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F3" w:rsidRDefault="00E55EF3" w:rsidP="00E55EF3">
      <w:pPr>
        <w:pStyle w:val="Heading1"/>
        <w:spacing w:before="0"/>
      </w:pPr>
      <w:r>
        <w:t>Integrating national surveys to estimate small area variations in poor health and limiting long term illness</w:t>
      </w:r>
      <w:r w:rsidR="00583B46">
        <w:t xml:space="preserve"> in Great Britain</w:t>
      </w:r>
    </w:p>
    <w:p w:rsidR="00E7549A" w:rsidRDefault="00E7549A" w:rsidP="00E7549A"/>
    <w:p w:rsidR="00E7549A" w:rsidRDefault="00E7549A" w:rsidP="00E7549A">
      <w:r>
        <w:t>Graham Moon (*)</w:t>
      </w:r>
    </w:p>
    <w:p w:rsidR="00E7549A" w:rsidRDefault="00E7549A" w:rsidP="008345DC">
      <w:r>
        <w:t xml:space="preserve">Geography and Environment, University of Southampton, Highfield, Southampton SO17 1BJ, </w:t>
      </w:r>
      <w:r w:rsidR="008345DC">
        <w:t>UK (</w:t>
      </w:r>
      <w:hyperlink r:id="rId8" w:history="1">
        <w:r w:rsidR="008345DC" w:rsidRPr="00507B5D">
          <w:rPr>
            <w:rStyle w:val="Hyperlink"/>
          </w:rPr>
          <w:t>g.moon@soton.ac.uk</w:t>
        </w:r>
      </w:hyperlink>
      <w:r w:rsidR="008345DC">
        <w:t>; tel. 02392 843822)</w:t>
      </w:r>
    </w:p>
    <w:p w:rsidR="00E7549A" w:rsidRDefault="00E7549A" w:rsidP="00E7549A"/>
    <w:p w:rsidR="00E7549A" w:rsidRDefault="00E7549A" w:rsidP="00E7549A">
      <w:r>
        <w:t>Grant Aitken</w:t>
      </w:r>
    </w:p>
    <w:p w:rsidR="00E7549A" w:rsidRDefault="00E7549A" w:rsidP="00E7549A">
      <w:r>
        <w:t>Information Services Division, NHS Scotland, UK</w:t>
      </w:r>
    </w:p>
    <w:p w:rsidR="00E7549A" w:rsidRDefault="00E7549A" w:rsidP="00E7549A"/>
    <w:p w:rsidR="00E7549A" w:rsidRDefault="00E7549A" w:rsidP="00E7549A">
      <w:r>
        <w:t>Joanna Taylor</w:t>
      </w:r>
    </w:p>
    <w:p w:rsidR="00E7549A" w:rsidRDefault="00E7549A" w:rsidP="00E7549A">
      <w:r>
        <w:t xml:space="preserve">Independent Scholar, Petersfield, UK </w:t>
      </w:r>
    </w:p>
    <w:p w:rsidR="00E7549A" w:rsidRDefault="00E7549A" w:rsidP="00E7549A"/>
    <w:p w:rsidR="00E7549A" w:rsidRDefault="00E7549A" w:rsidP="00E7549A">
      <w:r>
        <w:t>Liz Twigg</w:t>
      </w:r>
    </w:p>
    <w:p w:rsidR="00E7549A" w:rsidRDefault="00E7549A" w:rsidP="00E7549A">
      <w:r>
        <w:t>Department of Geography, University of Portsmouth, UK</w:t>
      </w:r>
    </w:p>
    <w:p w:rsidR="00E7549A" w:rsidRDefault="00E7549A" w:rsidP="00E7549A"/>
    <w:p w:rsidR="00E7549A" w:rsidRDefault="00E7549A" w:rsidP="00E7549A"/>
    <w:p w:rsidR="00E7549A" w:rsidRDefault="00E7549A" w:rsidP="00E7549A">
      <w:r>
        <w:t>(*) Corresponding Author</w:t>
      </w:r>
    </w:p>
    <w:p w:rsidR="00E7549A" w:rsidRDefault="00E7549A" w:rsidP="00E7549A">
      <w:pPr>
        <w:pStyle w:val="Heading2"/>
      </w:pPr>
      <w:r>
        <w:t>Keywords</w:t>
      </w:r>
    </w:p>
    <w:p w:rsidR="00E7549A" w:rsidRDefault="00E7549A" w:rsidP="00E7549A">
      <w:r>
        <w:t xml:space="preserve">Small Area Estimation;   Survey Methodology;   Self-rated General </w:t>
      </w:r>
      <w:proofErr w:type="gramStart"/>
      <w:r>
        <w:t>Health ;</w:t>
      </w:r>
      <w:proofErr w:type="gramEnd"/>
      <w:r>
        <w:t xml:space="preserve">   Limiting Long-term Illness  </w:t>
      </w:r>
    </w:p>
    <w:p w:rsidR="00E7549A" w:rsidRDefault="00E7549A" w:rsidP="00E7549A"/>
    <w:p w:rsidR="008345DC" w:rsidRPr="00E7549A" w:rsidRDefault="008345DC" w:rsidP="00967FEA">
      <w:r>
        <w:rPr>
          <w:rStyle w:val="Heading2Char"/>
        </w:rPr>
        <w:t xml:space="preserve">Word count: </w:t>
      </w:r>
      <w:r>
        <w:t xml:space="preserve"> 3</w:t>
      </w:r>
      <w:r w:rsidR="00967FEA">
        <w:t>405</w:t>
      </w:r>
      <w:r>
        <w:t xml:space="preserve"> excluding title page, references, figures and tables</w:t>
      </w:r>
    </w:p>
    <w:p w:rsidR="00BF71BC" w:rsidRDefault="00BF71BC" w:rsidP="00BF71BC"/>
    <w:p w:rsidR="008345DC" w:rsidRDefault="008345DC">
      <w:pPr>
        <w:rPr>
          <w:rFonts w:asciiTheme="majorHAnsi" w:eastAsiaTheme="majorEastAsia" w:hAnsiTheme="majorHAnsi"/>
          <w:b/>
          <w:bCs/>
          <w:i/>
          <w:iCs/>
          <w:sz w:val="28"/>
          <w:szCs w:val="28"/>
          <w:lang w:val="en"/>
        </w:rPr>
      </w:pPr>
      <w:r>
        <w:rPr>
          <w:lang w:val="en"/>
        </w:rPr>
        <w:br w:type="page"/>
      </w:r>
    </w:p>
    <w:p w:rsidR="00E769AA" w:rsidRDefault="00E769AA" w:rsidP="00E769AA">
      <w:pPr>
        <w:pStyle w:val="Heading1"/>
        <w:spacing w:before="0"/>
      </w:pPr>
      <w:r>
        <w:lastRenderedPageBreak/>
        <w:t>Integrating national surveys to estimate small area variations in poor health and limiting long term illness</w:t>
      </w:r>
      <w:r w:rsidR="00583B46">
        <w:t xml:space="preserve"> in Great Britain</w:t>
      </w:r>
    </w:p>
    <w:p w:rsidR="00680EA6" w:rsidRDefault="00680EA6" w:rsidP="00680EA6">
      <w:pPr>
        <w:pStyle w:val="Heading2"/>
        <w:rPr>
          <w:lang w:val="en"/>
        </w:rPr>
      </w:pPr>
      <w:r>
        <w:rPr>
          <w:lang w:val="en"/>
        </w:rPr>
        <w:t>Abstract</w:t>
      </w:r>
    </w:p>
    <w:p w:rsidR="008C1C36" w:rsidRDefault="008C1C36" w:rsidP="008C1C36">
      <w:r>
        <w:t xml:space="preserve">Objectives: This study aims to address, for the first time, the challenges of constructing small area estimates of health status using linked national surveys.  The study also seeks to assess the concordance of these small area estimates with data from national censuses. </w:t>
      </w:r>
    </w:p>
    <w:p w:rsidR="008C1C36" w:rsidRDefault="008C1C36" w:rsidP="008C1C36">
      <w:r>
        <w:t>Setting: Population level health status in England, Scotland and Wales</w:t>
      </w:r>
    </w:p>
    <w:p w:rsidR="008C1C36" w:rsidRDefault="008C1C36" w:rsidP="008C1C36">
      <w:r>
        <w:t xml:space="preserve">Participants:  A linked integrated dataset of 23,374 survey respondents (16+ years) from the 2011 waves of the Health Survey for England (n=8,603), the Scottish Health Survey (n=7,537) and the Welsh Health Survey (n=7,234) </w:t>
      </w:r>
    </w:p>
    <w:p w:rsidR="008C1C36" w:rsidRPr="00247A06" w:rsidRDefault="008C1C36" w:rsidP="008C1C36">
      <w:pPr>
        <w:rPr>
          <w:szCs w:val="22"/>
        </w:rPr>
      </w:pPr>
      <w:r w:rsidRPr="00247A06">
        <w:rPr>
          <w:szCs w:val="22"/>
        </w:rPr>
        <w:t xml:space="preserve">Primary and secondary outcome measures: Population prevalence </w:t>
      </w:r>
      <w:proofErr w:type="gramStart"/>
      <w:r w:rsidRPr="00247A06">
        <w:rPr>
          <w:szCs w:val="22"/>
        </w:rPr>
        <w:t>of  poorer</w:t>
      </w:r>
      <w:proofErr w:type="gramEnd"/>
      <w:r w:rsidRPr="00247A06">
        <w:rPr>
          <w:szCs w:val="22"/>
        </w:rPr>
        <w:t xml:space="preserve"> self-rated health and limiting long term illness. A multilevel small area estimation modelling approach was used to estimate prevalence of these outcomes for Middle Super Output Areas in England and Wales and Intermediate Zones in Scotland.  The estimates were then compared to matched measures from the contemporaneous 2011 UK Census. </w:t>
      </w:r>
    </w:p>
    <w:p w:rsidR="008C1C36" w:rsidRPr="00247A06" w:rsidRDefault="008C1C36" w:rsidP="008C1C36">
      <w:pPr>
        <w:rPr>
          <w:szCs w:val="22"/>
        </w:rPr>
      </w:pPr>
      <w:r w:rsidRPr="00247A06">
        <w:rPr>
          <w:szCs w:val="22"/>
        </w:rPr>
        <w:t xml:space="preserve">Results:  There was a strong positive association between the small area estimates and matched Census measures for all three countries for both poorer self-rated health (r=0.828, 95% CI 0.821 - 0.834) and limiting long-term illness (r=0.831, </w:t>
      </w:r>
      <w:r w:rsidRPr="00247A06">
        <w:rPr>
          <w:rFonts w:eastAsia="Times New Roman"/>
          <w:szCs w:val="22"/>
        </w:rPr>
        <w:t>95% CI 0.824 to 0.837</w:t>
      </w:r>
      <w:r>
        <w:rPr>
          <w:rFonts w:eastAsia="Times New Roman"/>
          <w:szCs w:val="22"/>
        </w:rPr>
        <w:t>)</w:t>
      </w:r>
      <w:r w:rsidRPr="00247A06">
        <w:rPr>
          <w:szCs w:val="22"/>
        </w:rPr>
        <w:t xml:space="preserve">, although systematic differences were evident and small area estimation tended to indicate higher prevalences than Census data. </w:t>
      </w:r>
    </w:p>
    <w:p w:rsidR="008C1C36" w:rsidRDefault="008C1C36" w:rsidP="008C1C36">
      <w:r w:rsidRPr="00247A06">
        <w:rPr>
          <w:szCs w:val="22"/>
        </w:rPr>
        <w:t>Conclusions:  Despite strong concordance, variations in the small area prevalences of poorer self-rated health and limiting long-term illness evident in Census data cannot be replicated perfectly using small area estimation with linked national surveys. This reflects a lack of harmonisation between surveys over question wording and design. The nature of small area estimates as ‘expected values’ also needs to be better understood</w:t>
      </w:r>
      <w:r>
        <w:t>.</w:t>
      </w:r>
    </w:p>
    <w:p w:rsidR="008C1C36" w:rsidRDefault="008C1C36" w:rsidP="008C1C36"/>
    <w:p w:rsidR="00880A0E" w:rsidRPr="008C1C36" w:rsidRDefault="00880A0E" w:rsidP="00680EA6"/>
    <w:p w:rsidR="00880A0E" w:rsidRDefault="00880A0E" w:rsidP="00880A0E">
      <w:pPr>
        <w:pStyle w:val="Heading2"/>
        <w:rPr>
          <w:lang w:val="en"/>
        </w:rPr>
      </w:pPr>
      <w:r>
        <w:rPr>
          <w:lang w:val="en"/>
        </w:rPr>
        <w:t>Article Summary</w:t>
      </w:r>
    </w:p>
    <w:p w:rsidR="00880A0E" w:rsidRDefault="00880A0E" w:rsidP="00880A0E">
      <w:pPr>
        <w:pStyle w:val="Heading3"/>
        <w:rPr>
          <w:lang w:val="en"/>
        </w:rPr>
      </w:pPr>
      <w:r>
        <w:rPr>
          <w:lang w:val="en"/>
        </w:rPr>
        <w:t>Strengths and limitations of this study</w:t>
      </w:r>
    </w:p>
    <w:p w:rsidR="00880A0E" w:rsidRDefault="00B57E43" w:rsidP="00B57E43">
      <w:pPr>
        <w:pStyle w:val="ListParagraph"/>
        <w:numPr>
          <w:ilvl w:val="0"/>
          <w:numId w:val="33"/>
        </w:numPr>
        <w:rPr>
          <w:lang w:val="en"/>
        </w:rPr>
      </w:pPr>
      <w:r>
        <w:rPr>
          <w:lang w:val="en"/>
        </w:rPr>
        <w:t xml:space="preserve">Reports on small area estimates of health status derived from the novel linkage of </w:t>
      </w:r>
      <w:r w:rsidR="00880A0E">
        <w:rPr>
          <w:lang w:val="en"/>
        </w:rPr>
        <w:t xml:space="preserve"> three large well-designed routine national health surveys</w:t>
      </w:r>
    </w:p>
    <w:p w:rsidR="00B57E43" w:rsidRDefault="00B57E43" w:rsidP="00B57E43">
      <w:pPr>
        <w:pStyle w:val="ListParagraph"/>
        <w:numPr>
          <w:ilvl w:val="0"/>
          <w:numId w:val="33"/>
        </w:numPr>
        <w:rPr>
          <w:lang w:val="en"/>
        </w:rPr>
      </w:pPr>
      <w:r>
        <w:rPr>
          <w:lang w:val="en"/>
        </w:rPr>
        <w:t>Develops and enhances a well-reputed approach to the small area estimation of health indicators</w:t>
      </w:r>
    </w:p>
    <w:p w:rsidR="00880A0E" w:rsidRDefault="00880A0E" w:rsidP="00880A0E">
      <w:pPr>
        <w:pStyle w:val="ListParagraph"/>
        <w:numPr>
          <w:ilvl w:val="0"/>
          <w:numId w:val="33"/>
        </w:numPr>
        <w:rPr>
          <w:lang w:val="en"/>
        </w:rPr>
      </w:pPr>
      <w:r>
        <w:rPr>
          <w:lang w:val="en"/>
        </w:rPr>
        <w:t xml:space="preserve">Highlights the enduring challenges entailed in </w:t>
      </w:r>
      <w:proofErr w:type="spellStart"/>
      <w:r>
        <w:rPr>
          <w:lang w:val="en"/>
        </w:rPr>
        <w:t>harmonising</w:t>
      </w:r>
      <w:proofErr w:type="spellEnd"/>
      <w:r>
        <w:rPr>
          <w:lang w:val="en"/>
        </w:rPr>
        <w:t xml:space="preserve"> measures of health status across different surveys</w:t>
      </w:r>
    </w:p>
    <w:p w:rsidR="00B57E43" w:rsidRDefault="00880A0E" w:rsidP="00B57E43">
      <w:pPr>
        <w:pStyle w:val="ListParagraph"/>
        <w:numPr>
          <w:ilvl w:val="0"/>
          <w:numId w:val="33"/>
        </w:numPr>
        <w:rPr>
          <w:lang w:val="en"/>
        </w:rPr>
      </w:pPr>
      <w:r w:rsidRPr="00B57E43">
        <w:rPr>
          <w:lang w:val="en"/>
        </w:rPr>
        <w:t xml:space="preserve">Enhances understanding of the </w:t>
      </w:r>
      <w:r w:rsidR="00B57E43" w:rsidRPr="00B57E43">
        <w:rPr>
          <w:lang w:val="en"/>
        </w:rPr>
        <w:t xml:space="preserve">reasons that underlie discrepancies </w:t>
      </w:r>
      <w:r w:rsidRPr="00B57E43">
        <w:rPr>
          <w:lang w:val="en"/>
        </w:rPr>
        <w:t>between small area estimates and equivalent observed data</w:t>
      </w:r>
    </w:p>
    <w:p w:rsidR="008C1C36" w:rsidRDefault="008C1C36" w:rsidP="00B57E43">
      <w:pPr>
        <w:rPr>
          <w:lang w:val="en"/>
        </w:rPr>
      </w:pPr>
    </w:p>
    <w:p w:rsidR="00E769AA" w:rsidRDefault="00E769AA" w:rsidP="00B57E43">
      <w:pPr>
        <w:rPr>
          <w:lang w:val="en"/>
        </w:rPr>
        <w:sectPr w:rsidR="00E769AA" w:rsidSect="005B2194">
          <w:footerReference w:type="default" r:id="rId9"/>
          <w:type w:val="continuous"/>
          <w:pgSz w:w="11906" w:h="16838"/>
          <w:pgMar w:top="1440" w:right="1440" w:bottom="1440" w:left="1440" w:header="708" w:footer="708" w:gutter="0"/>
          <w:pgNumType w:start="1"/>
          <w:cols w:space="708"/>
          <w:docGrid w:linePitch="360"/>
        </w:sectPr>
      </w:pPr>
    </w:p>
    <w:p w:rsidR="00962DCF" w:rsidRDefault="005C4584" w:rsidP="00E769AA">
      <w:pPr>
        <w:pStyle w:val="Heading1"/>
        <w:spacing w:before="0" w:line="480" w:lineRule="auto"/>
      </w:pPr>
      <w:r>
        <w:lastRenderedPageBreak/>
        <w:t>Introduction</w:t>
      </w:r>
    </w:p>
    <w:p w:rsidR="00CA6C98" w:rsidRDefault="009629EF" w:rsidP="00DC24D8">
      <w:pPr>
        <w:spacing w:after="240" w:line="480" w:lineRule="auto"/>
        <w:rPr>
          <w:rFonts w:cs="Arial"/>
          <w:color w:val="000000"/>
        </w:rPr>
      </w:pPr>
      <w:r w:rsidRPr="00E54B3B">
        <w:t xml:space="preserve">Small area data on variations in health status </w:t>
      </w:r>
      <w:r w:rsidR="004428D8">
        <w:t>have long been seen as central to</w:t>
      </w:r>
      <w:r w:rsidR="00CB0A16" w:rsidRPr="00E54B3B">
        <w:t xml:space="preserve"> geographical </w:t>
      </w:r>
      <w:r w:rsidRPr="00E54B3B">
        <w:t>compari</w:t>
      </w:r>
      <w:r w:rsidR="00CB0A16" w:rsidRPr="00E54B3B">
        <w:t>sons of</w:t>
      </w:r>
      <w:r w:rsidR="00DA05F3">
        <w:t xml:space="preserve"> health needs</w:t>
      </w:r>
      <w:r w:rsidR="004428D8">
        <w:t xml:space="preserve"> </w:t>
      </w:r>
      <w:r w:rsidR="004428D8">
        <w:fldChar w:fldCharType="begin"/>
      </w:r>
      <w:r w:rsidR="005B45C4">
        <w:instrText xml:space="preserve"> ADDIN EN.CITE &lt;EndNote&gt;&lt;Cite&gt;&lt;Author&gt;Mooney&lt;/Author&gt;&lt;Year&gt;1978&lt;/Year&gt;&lt;RecNum&gt;750&lt;/RecNum&gt;&lt;DisplayText&gt;[1]&lt;/DisplayText&gt;&lt;record&gt;&lt;rec-number&gt;750&lt;/rec-number&gt;&lt;foreign-keys&gt;&lt;key app="EN" db-id="v52zta5tsa9ezsezdzlv2zvd9rswwpvzdt9f"&gt;750&lt;/key&gt;&lt;/foreign-keys&gt;&lt;ref-type name="Journal Article"&gt;17&lt;/ref-type&gt;&lt;contributors&gt;&lt;authors&gt;&lt;author&gt;Mooney, A&lt;/author&gt;&lt;author&gt;Rives, N&lt;/author&gt;&lt;/authors&gt;&lt;/contributors&gt;&lt;titles&gt;&lt;title&gt;Measures of community health status for health planning&lt;/title&gt;&lt;secondary-title&gt;Health Services Research&lt;/secondary-title&gt;&lt;/titles&gt;&lt;periodical&gt;&lt;full-title&gt;Health services research&lt;/full-title&gt;&lt;/periodical&gt;&lt;pages&gt;129-145&lt;/pages&gt;&lt;volume&gt;13&lt;/volume&gt;&lt;number&gt;2&lt;/number&gt;&lt;dates&gt;&lt;year&gt;1978&lt;/year&gt;&lt;/dates&gt;&lt;urls&gt;&lt;/urls&gt;&lt;/record&gt;&lt;/Cite&gt;&lt;/EndNote&gt;</w:instrText>
      </w:r>
      <w:r w:rsidR="004428D8">
        <w:fldChar w:fldCharType="separate"/>
      </w:r>
      <w:r w:rsidR="005B45C4">
        <w:rPr>
          <w:noProof/>
        </w:rPr>
        <w:t>[</w:t>
      </w:r>
      <w:hyperlink w:anchor="_ENREF_1" w:tooltip="Mooney, 1978 #750" w:history="1">
        <w:r w:rsidR="00DC24D8">
          <w:rPr>
            <w:noProof/>
          </w:rPr>
          <w:t>1</w:t>
        </w:r>
      </w:hyperlink>
      <w:r w:rsidR="005B45C4">
        <w:rPr>
          <w:noProof/>
        </w:rPr>
        <w:t>]</w:t>
      </w:r>
      <w:r w:rsidR="004428D8">
        <w:fldChar w:fldCharType="end"/>
      </w:r>
      <w:r w:rsidRPr="00E54B3B">
        <w:t xml:space="preserve">. </w:t>
      </w:r>
      <w:r w:rsidR="004428D8">
        <w:t>Effectiveness</w:t>
      </w:r>
      <w:r w:rsidR="00CB0A16" w:rsidRPr="00E54B3B">
        <w:t xml:space="preserve"> is enhanced when data are</w:t>
      </w:r>
      <w:r w:rsidR="00124832" w:rsidRPr="00E54B3B">
        <w:t xml:space="preserve"> available at very local scales facilitating sensitive, community-focussed action. </w:t>
      </w:r>
      <w:r w:rsidR="004428D8">
        <w:t>Such</w:t>
      </w:r>
      <w:r w:rsidR="00124832" w:rsidRPr="00E54B3B">
        <w:t xml:space="preserve"> data </w:t>
      </w:r>
      <w:r w:rsidR="004428D8">
        <w:t xml:space="preserve">additionally </w:t>
      </w:r>
      <w:r w:rsidR="00124832" w:rsidRPr="00E54B3B">
        <w:t xml:space="preserve">need to be provided to consistent, robust and reliable standards that are shared nationally and, ideally, internationally. </w:t>
      </w:r>
      <w:r w:rsidR="004428D8">
        <w:t>Moreover they</w:t>
      </w:r>
      <w:r w:rsidR="00124832" w:rsidRPr="00E54B3B">
        <w:t xml:space="preserve"> need to capture the health status of whole populations</w:t>
      </w:r>
      <w:r w:rsidR="004428D8">
        <w:t>,</w:t>
      </w:r>
      <w:r w:rsidR="00CB0A16" w:rsidRPr="00E54B3B">
        <w:t xml:space="preserve"> to ensure comprehensive rather than selective coverage</w:t>
      </w:r>
      <w:r w:rsidR="00124832" w:rsidRPr="00E54B3B">
        <w:t>.</w:t>
      </w:r>
      <w:r w:rsidR="00E54B3B" w:rsidRPr="00E54B3B">
        <w:t xml:space="preserve"> </w:t>
      </w:r>
      <w:r w:rsidR="00124832" w:rsidRPr="00E54B3B">
        <w:rPr>
          <w:rFonts w:cs="Arial"/>
          <w:color w:val="000000"/>
        </w:rPr>
        <w:t>These ideals are seldom met</w:t>
      </w:r>
      <w:r w:rsidR="009317C7" w:rsidRPr="00E54B3B">
        <w:rPr>
          <w:rFonts w:cs="Arial"/>
          <w:color w:val="000000"/>
        </w:rPr>
        <w:t xml:space="preserve">.  </w:t>
      </w:r>
      <w:r w:rsidR="00CB0A16" w:rsidRPr="00E54B3B">
        <w:rPr>
          <w:rFonts w:cs="Arial"/>
          <w:color w:val="000000"/>
        </w:rPr>
        <w:t xml:space="preserve">National surveys </w:t>
      </w:r>
      <w:r w:rsidR="00E54B3B" w:rsidRPr="00E54B3B">
        <w:rPr>
          <w:rFonts w:cs="Arial"/>
          <w:color w:val="000000"/>
        </w:rPr>
        <w:t>are not usually</w:t>
      </w:r>
      <w:r w:rsidR="00CB0A16" w:rsidRPr="00E54B3B">
        <w:rPr>
          <w:rFonts w:cs="Arial"/>
          <w:color w:val="000000"/>
        </w:rPr>
        <w:t xml:space="preserve"> designed to provide</w:t>
      </w:r>
      <w:r w:rsidR="00E54B3B" w:rsidRPr="00E54B3B">
        <w:rPr>
          <w:rFonts w:cs="Arial"/>
          <w:color w:val="000000"/>
        </w:rPr>
        <w:t xml:space="preserve"> valid data down to suitably small areas</w:t>
      </w:r>
      <w:r w:rsidR="00DA05F3">
        <w:rPr>
          <w:rFonts w:cs="Arial"/>
          <w:color w:val="000000"/>
        </w:rPr>
        <w:t>,</w:t>
      </w:r>
      <w:r w:rsidR="00E54B3B" w:rsidRPr="00E54B3B">
        <w:rPr>
          <w:rFonts w:cs="Arial"/>
          <w:color w:val="000000"/>
        </w:rPr>
        <w:t xml:space="preserve"> although a</w:t>
      </w:r>
      <w:r w:rsidR="00CB0A16" w:rsidRPr="00E54B3B">
        <w:rPr>
          <w:rFonts w:cs="Arial"/>
          <w:color w:val="000000"/>
        </w:rPr>
        <w:t>n exception is offered in the few cases where national censuses provide small area health data.</w:t>
      </w:r>
      <w:r w:rsidR="00E54B3B" w:rsidRPr="00E54B3B">
        <w:rPr>
          <w:rFonts w:cs="Arial"/>
          <w:color w:val="000000"/>
        </w:rPr>
        <w:t xml:space="preserve"> </w:t>
      </w:r>
      <w:r w:rsidR="00CB0A16" w:rsidRPr="00E54B3B">
        <w:rPr>
          <w:rFonts w:cs="Arial"/>
          <w:color w:val="000000"/>
        </w:rPr>
        <w:t>Local surveys</w:t>
      </w:r>
      <w:r w:rsidR="00E54B3B" w:rsidRPr="00E54B3B">
        <w:rPr>
          <w:rFonts w:cs="Arial"/>
          <w:color w:val="000000"/>
        </w:rPr>
        <w:t>, if they exist at all,</w:t>
      </w:r>
      <w:r w:rsidR="00CB0A16" w:rsidRPr="00E54B3B">
        <w:rPr>
          <w:rFonts w:cs="Arial"/>
          <w:color w:val="000000"/>
        </w:rPr>
        <w:t xml:space="preserve"> can vary substantially in design, </w:t>
      </w:r>
      <w:r w:rsidR="00E54B3B" w:rsidRPr="00E54B3B">
        <w:rPr>
          <w:rFonts w:cs="Arial"/>
          <w:color w:val="000000"/>
        </w:rPr>
        <w:t>making</w:t>
      </w:r>
      <w:r w:rsidR="00CB0A16" w:rsidRPr="00E54B3B">
        <w:rPr>
          <w:rFonts w:cs="Arial"/>
          <w:color w:val="000000"/>
        </w:rPr>
        <w:t xml:space="preserve"> comparison</w:t>
      </w:r>
      <w:r w:rsidR="00E54B3B" w:rsidRPr="00E54B3B">
        <w:rPr>
          <w:rFonts w:cs="Arial"/>
          <w:color w:val="000000"/>
        </w:rPr>
        <w:t>s difficult</w:t>
      </w:r>
      <w:r w:rsidR="00CB0A16" w:rsidRPr="00E54B3B">
        <w:rPr>
          <w:rFonts w:cs="Arial"/>
          <w:color w:val="000000"/>
        </w:rPr>
        <w:t>.</w:t>
      </w:r>
      <w:r w:rsidR="00E54B3B" w:rsidRPr="00E54B3B">
        <w:rPr>
          <w:rFonts w:cs="Arial"/>
          <w:color w:val="000000"/>
        </w:rPr>
        <w:t xml:space="preserve"> Using</w:t>
      </w:r>
      <w:r w:rsidR="009317C7" w:rsidRPr="00E54B3B">
        <w:rPr>
          <w:rFonts w:cs="Arial"/>
          <w:color w:val="000000"/>
        </w:rPr>
        <w:t xml:space="preserve"> administrative data </w:t>
      </w:r>
      <w:r w:rsidR="00E54B3B" w:rsidRPr="00E54B3B">
        <w:rPr>
          <w:rFonts w:cs="Arial"/>
          <w:color w:val="000000"/>
        </w:rPr>
        <w:t>to make local estimates restricts attention to users of services and thus</w:t>
      </w:r>
      <w:r w:rsidR="009317C7" w:rsidRPr="00E54B3B">
        <w:rPr>
          <w:rFonts w:cs="Arial"/>
          <w:color w:val="000000"/>
        </w:rPr>
        <w:t xml:space="preserve"> lack</w:t>
      </w:r>
      <w:r w:rsidR="00E54B3B" w:rsidRPr="00E54B3B">
        <w:rPr>
          <w:rFonts w:cs="Arial"/>
          <w:color w:val="000000"/>
        </w:rPr>
        <w:t>s</w:t>
      </w:r>
      <w:r w:rsidR="00595513">
        <w:rPr>
          <w:rFonts w:cs="Arial"/>
          <w:color w:val="000000"/>
        </w:rPr>
        <w:t xml:space="preserve"> population representativeness.</w:t>
      </w:r>
      <w:r w:rsidR="009317C7">
        <w:rPr>
          <w:rFonts w:cs="Arial"/>
          <w:color w:val="000000"/>
        </w:rPr>
        <w:t xml:space="preserve"> </w:t>
      </w:r>
    </w:p>
    <w:p w:rsidR="00140C09" w:rsidRDefault="007B51C2" w:rsidP="00DC24D8">
      <w:pPr>
        <w:autoSpaceDE w:val="0"/>
        <w:autoSpaceDN w:val="0"/>
        <w:adjustRightInd w:val="0"/>
        <w:spacing w:after="240" w:line="480" w:lineRule="auto"/>
        <w:rPr>
          <w:rFonts w:cs="Arial"/>
          <w:color w:val="000000"/>
        </w:rPr>
      </w:pPr>
      <w:r>
        <w:rPr>
          <w:rFonts w:cs="Arial"/>
          <w:color w:val="000000"/>
        </w:rPr>
        <w:t xml:space="preserve">To address the unmet need for small area data, </w:t>
      </w:r>
      <w:r w:rsidR="009317C7">
        <w:rPr>
          <w:rFonts w:cs="Arial"/>
          <w:color w:val="000000"/>
        </w:rPr>
        <w:t xml:space="preserve"> researchers</w:t>
      </w:r>
      <w:r w:rsidR="009B558C">
        <w:rPr>
          <w:rFonts w:cs="Arial"/>
          <w:color w:val="000000"/>
        </w:rPr>
        <w:t xml:space="preserve"> across the world</w:t>
      </w:r>
      <w:r w:rsidR="009317C7">
        <w:rPr>
          <w:rFonts w:cs="Arial"/>
          <w:color w:val="000000"/>
        </w:rPr>
        <w:t xml:space="preserve"> </w:t>
      </w:r>
      <w:r>
        <w:rPr>
          <w:rFonts w:cs="Arial"/>
          <w:color w:val="000000"/>
        </w:rPr>
        <w:t>have increasingly turned</w:t>
      </w:r>
      <w:r w:rsidR="009317C7">
        <w:rPr>
          <w:rFonts w:cs="Arial"/>
          <w:color w:val="000000"/>
        </w:rPr>
        <w:t xml:space="preserve"> to small area estimation </w:t>
      </w:r>
      <w:r w:rsidR="00AC0A24">
        <w:rPr>
          <w:rFonts w:cs="Arial"/>
          <w:color w:val="000000"/>
        </w:rPr>
        <w:t xml:space="preserve">(SAE) </w:t>
      </w:r>
      <w:r w:rsidR="004428D8">
        <w:rPr>
          <w:rFonts w:cs="Arial"/>
          <w:color w:val="000000"/>
        </w:rPr>
        <w:t xml:space="preserve">methods </w:t>
      </w:r>
      <w:r w:rsidR="004428D8">
        <w:rPr>
          <w:rFonts w:cs="Arial"/>
          <w:color w:val="000000"/>
        </w:rPr>
        <w:fldChar w:fldCharType="begin"/>
      </w:r>
      <w:r w:rsidR="005B45C4">
        <w:rPr>
          <w:rFonts w:cs="Arial"/>
          <w:color w:val="000000"/>
        </w:rPr>
        <w:instrText xml:space="preserve"> ADDIN EN.CITE &lt;EndNote&gt;&lt;Cite&gt;&lt;Author&gt;Rao&lt;/Author&gt;&lt;Year&gt;2015&lt;/Year&gt;&lt;RecNum&gt;751&lt;/RecNum&gt;&lt;DisplayText&gt;[2]&lt;/DisplayText&gt;&lt;record&gt;&lt;rec-number&gt;751&lt;/rec-number&gt;&lt;foreign-keys&gt;&lt;key app="EN" db-id="v52zta5tsa9ezsezdzlv2zvd9rswwpvzdt9f"&gt;751&lt;/key&gt;&lt;/foreign-keys&gt;&lt;ref-type name="Book"&gt;6&lt;/ref-type&gt;&lt;contributors&gt;&lt;authors&gt;&lt;author&gt;Rao, J&lt;/author&gt;&lt;author&gt;Molina, Isabel&lt;/author&gt;&lt;/authors&gt;&lt;/contributors&gt;&lt;titles&gt;&lt;title&gt;Small Area Estimation&lt;/title&gt;&lt;/titles&gt;&lt;pages&gt;480&lt;/pages&gt;&lt;dates&gt;&lt;year&gt;2015&lt;/year&gt;&lt;/dates&gt;&lt;pub-location&gt;London&lt;/pub-location&gt;&lt;publisher&gt;John Wiley &amp;amp; Sons&lt;/publisher&gt;&lt;isbn&gt;1118735722&lt;/isbn&gt;&lt;urls&gt;&lt;/urls&gt;&lt;/record&gt;&lt;/Cite&gt;&lt;/EndNote&gt;</w:instrText>
      </w:r>
      <w:r w:rsidR="004428D8">
        <w:rPr>
          <w:rFonts w:cs="Arial"/>
          <w:color w:val="000000"/>
        </w:rPr>
        <w:fldChar w:fldCharType="separate"/>
      </w:r>
      <w:r w:rsidR="005B45C4">
        <w:rPr>
          <w:rFonts w:cs="Arial"/>
          <w:noProof/>
          <w:color w:val="000000"/>
        </w:rPr>
        <w:t>[</w:t>
      </w:r>
      <w:hyperlink w:anchor="_ENREF_2" w:tooltip="Rao, 2015 #751" w:history="1">
        <w:r w:rsidR="00DC24D8">
          <w:rPr>
            <w:rFonts w:cs="Arial"/>
            <w:noProof/>
            <w:color w:val="000000"/>
          </w:rPr>
          <w:t>2</w:t>
        </w:r>
      </w:hyperlink>
      <w:r w:rsidR="005B45C4">
        <w:rPr>
          <w:rFonts w:cs="Arial"/>
          <w:noProof/>
          <w:color w:val="000000"/>
        </w:rPr>
        <w:t>]</w:t>
      </w:r>
      <w:r w:rsidR="004428D8">
        <w:rPr>
          <w:rFonts w:cs="Arial"/>
          <w:color w:val="000000"/>
        </w:rPr>
        <w:fldChar w:fldCharType="end"/>
      </w:r>
      <w:r w:rsidR="009317C7">
        <w:rPr>
          <w:rFonts w:cs="Arial"/>
          <w:color w:val="000000"/>
        </w:rPr>
        <w:t xml:space="preserve">. </w:t>
      </w:r>
      <w:r w:rsidR="00AC0A24">
        <w:rPr>
          <w:rFonts w:cs="Arial"/>
          <w:color w:val="000000"/>
        </w:rPr>
        <w:t xml:space="preserve">SAE methods use statistical or mathematical methods to manipulate national survey data to produce local estimates for a target measure. </w:t>
      </w:r>
      <w:r w:rsidR="009B558C">
        <w:rPr>
          <w:rFonts w:cs="Arial"/>
          <w:color w:val="000000"/>
        </w:rPr>
        <w:t>A</w:t>
      </w:r>
      <w:r w:rsidR="00AC0A24">
        <w:rPr>
          <w:rFonts w:cs="Arial"/>
          <w:color w:val="000000"/>
        </w:rPr>
        <w:t xml:space="preserve"> common </w:t>
      </w:r>
      <w:r w:rsidR="00913229">
        <w:rPr>
          <w:rFonts w:cs="Arial"/>
          <w:color w:val="000000"/>
        </w:rPr>
        <w:t xml:space="preserve">methodological </w:t>
      </w:r>
      <w:r w:rsidR="00AC0A24">
        <w:rPr>
          <w:rFonts w:cs="Arial"/>
          <w:color w:val="000000"/>
        </w:rPr>
        <w:t xml:space="preserve">root is the association </w:t>
      </w:r>
      <w:r w:rsidR="009B558C">
        <w:rPr>
          <w:rFonts w:cs="Arial"/>
          <w:color w:val="000000"/>
        </w:rPr>
        <w:t xml:space="preserve">in a national survey </w:t>
      </w:r>
      <w:r w:rsidR="00AC0A24">
        <w:rPr>
          <w:rFonts w:cs="Arial"/>
          <w:color w:val="000000"/>
        </w:rPr>
        <w:t xml:space="preserve">between </w:t>
      </w:r>
      <w:r w:rsidR="009B558C">
        <w:rPr>
          <w:rFonts w:cs="Arial"/>
          <w:color w:val="000000"/>
        </w:rPr>
        <w:t xml:space="preserve">a target variable of interest and </w:t>
      </w:r>
      <w:r w:rsidR="00AC0A24">
        <w:rPr>
          <w:rFonts w:cs="Arial"/>
          <w:color w:val="000000"/>
        </w:rPr>
        <w:t>covariates thought to predict th</w:t>
      </w:r>
      <w:r w:rsidR="009B558C">
        <w:rPr>
          <w:rFonts w:cs="Arial"/>
          <w:color w:val="000000"/>
        </w:rPr>
        <w:t>at</w:t>
      </w:r>
      <w:r w:rsidR="00AC0A24">
        <w:rPr>
          <w:rFonts w:cs="Arial"/>
          <w:color w:val="000000"/>
        </w:rPr>
        <w:t xml:space="preserve"> target variable</w:t>
      </w:r>
      <w:r w:rsidR="00E54B3B">
        <w:rPr>
          <w:rFonts w:cs="Arial"/>
          <w:color w:val="000000"/>
        </w:rPr>
        <w:t>. Estimation uses</w:t>
      </w:r>
      <w:r w:rsidR="0066367E">
        <w:rPr>
          <w:rFonts w:cs="Arial"/>
          <w:color w:val="000000"/>
        </w:rPr>
        <w:t xml:space="preserve"> </w:t>
      </w:r>
      <w:r w:rsidR="009B558C">
        <w:rPr>
          <w:rFonts w:cs="Arial"/>
          <w:color w:val="000000"/>
        </w:rPr>
        <w:t xml:space="preserve">local data on </w:t>
      </w:r>
      <w:r w:rsidR="0066367E">
        <w:rPr>
          <w:rFonts w:cs="Arial"/>
          <w:color w:val="000000"/>
        </w:rPr>
        <w:t xml:space="preserve">the </w:t>
      </w:r>
      <w:r w:rsidR="009B558C">
        <w:rPr>
          <w:rFonts w:cs="Arial"/>
          <w:color w:val="000000"/>
        </w:rPr>
        <w:t>covariates</w:t>
      </w:r>
      <w:r w:rsidR="0066367E">
        <w:rPr>
          <w:rFonts w:cs="Arial"/>
          <w:color w:val="000000"/>
        </w:rPr>
        <w:t xml:space="preserve">. </w:t>
      </w:r>
      <w:r w:rsidR="00E54B3B">
        <w:rPr>
          <w:rFonts w:cs="Arial"/>
          <w:color w:val="000000"/>
        </w:rPr>
        <w:t xml:space="preserve">The SAE </w:t>
      </w:r>
      <w:r w:rsidR="00DA05F3">
        <w:rPr>
          <w:rFonts w:cs="Arial"/>
          <w:color w:val="000000"/>
        </w:rPr>
        <w:t xml:space="preserve">process generally </w:t>
      </w:r>
      <w:r w:rsidR="00F52E66">
        <w:rPr>
          <w:rFonts w:cs="Arial"/>
          <w:color w:val="000000"/>
        </w:rPr>
        <w:t xml:space="preserve">takes place within a single national setting </w:t>
      </w:r>
      <w:r w:rsidR="003F1C1D">
        <w:rPr>
          <w:rFonts w:cs="Arial"/>
          <w:color w:val="000000"/>
        </w:rPr>
        <w:t>with multiple</w:t>
      </w:r>
      <w:r w:rsidR="00F52E66">
        <w:rPr>
          <w:rFonts w:cs="Arial"/>
          <w:color w:val="000000"/>
        </w:rPr>
        <w:t xml:space="preserve"> surveys</w:t>
      </w:r>
      <w:r w:rsidR="003F1C1D">
        <w:rPr>
          <w:rFonts w:cs="Arial"/>
          <w:color w:val="000000"/>
        </w:rPr>
        <w:t xml:space="preserve"> being used to enhance the pool of available covariates</w:t>
      </w:r>
      <w:r w:rsidR="00F52E66">
        <w:rPr>
          <w:rFonts w:cs="Arial"/>
          <w:color w:val="000000"/>
        </w:rPr>
        <w:t>. There has been limited attention to</w:t>
      </w:r>
      <w:r w:rsidR="00913229">
        <w:rPr>
          <w:rFonts w:cs="Arial"/>
          <w:color w:val="000000"/>
        </w:rPr>
        <w:t xml:space="preserve"> </w:t>
      </w:r>
      <w:r w:rsidR="00140C09">
        <w:rPr>
          <w:rFonts w:cs="Arial"/>
          <w:color w:val="000000"/>
        </w:rPr>
        <w:t>linking surveys f</w:t>
      </w:r>
      <w:r w:rsidR="00595513">
        <w:rPr>
          <w:rFonts w:cs="Arial"/>
          <w:color w:val="000000"/>
        </w:rPr>
        <w:t>rom different geographical contexts</w:t>
      </w:r>
      <w:r w:rsidR="003F1C1D">
        <w:rPr>
          <w:rFonts w:cs="Arial"/>
          <w:color w:val="000000"/>
        </w:rPr>
        <w:t xml:space="preserve"> to enhance the spatial coverage of estimates through a larger pool of cases</w:t>
      </w:r>
      <w:r w:rsidR="00595513">
        <w:rPr>
          <w:rFonts w:cs="Arial"/>
          <w:color w:val="000000"/>
        </w:rPr>
        <w:t xml:space="preserve">. Addressing this omission </w:t>
      </w:r>
      <w:r w:rsidR="00140C09">
        <w:rPr>
          <w:rFonts w:cs="Arial"/>
          <w:color w:val="000000"/>
        </w:rPr>
        <w:t>recogni</w:t>
      </w:r>
      <w:r w:rsidR="009B558C">
        <w:rPr>
          <w:rFonts w:cs="Arial"/>
          <w:color w:val="000000"/>
        </w:rPr>
        <w:t>s</w:t>
      </w:r>
      <w:r w:rsidR="00595513">
        <w:rPr>
          <w:rFonts w:cs="Arial"/>
          <w:color w:val="000000"/>
        </w:rPr>
        <w:t>es</w:t>
      </w:r>
      <w:r w:rsidR="00140C09">
        <w:rPr>
          <w:rFonts w:cs="Arial"/>
          <w:color w:val="000000"/>
        </w:rPr>
        <w:t xml:space="preserve"> that health issues seldom respect </w:t>
      </w:r>
      <w:r w:rsidR="003F1C1D">
        <w:rPr>
          <w:rFonts w:cs="Arial"/>
          <w:color w:val="000000"/>
        </w:rPr>
        <w:t xml:space="preserve">geographical </w:t>
      </w:r>
      <w:r w:rsidR="00140C09">
        <w:rPr>
          <w:rFonts w:cs="Arial"/>
          <w:color w:val="000000"/>
        </w:rPr>
        <w:t>borders.</w:t>
      </w:r>
      <w:r w:rsidR="003F1C1D">
        <w:rPr>
          <w:rFonts w:cs="Arial"/>
          <w:color w:val="000000"/>
        </w:rPr>
        <w:t xml:space="preserve"> It also enables the identification </w:t>
      </w:r>
      <w:r w:rsidR="003F1C1D">
        <w:t xml:space="preserve">of </w:t>
      </w:r>
      <w:r w:rsidR="00541582">
        <w:t>‘place effects’ on</w:t>
      </w:r>
      <w:r w:rsidR="003F1C1D">
        <w:t xml:space="preserve"> outcome measure</w:t>
      </w:r>
      <w:r w:rsidR="00541582">
        <w:t>s</w:t>
      </w:r>
      <w:r w:rsidR="003F1C1D">
        <w:t xml:space="preserve"> and reveals the extent to which definitions of key health variables </w:t>
      </w:r>
      <w:r w:rsidR="00541582">
        <w:t>differ</w:t>
      </w:r>
      <w:r w:rsidR="003F1C1D">
        <w:t xml:space="preserve"> </w:t>
      </w:r>
      <w:r w:rsidR="00541582">
        <w:t>with</w:t>
      </w:r>
      <w:r w:rsidR="003F1C1D">
        <w:t xml:space="preserve"> </w:t>
      </w:r>
      <w:r w:rsidR="00541582">
        <w:t>geographical</w:t>
      </w:r>
      <w:r w:rsidR="003F1C1D">
        <w:t xml:space="preserve"> setting.</w:t>
      </w:r>
    </w:p>
    <w:p w:rsidR="00B84412" w:rsidRDefault="00595513" w:rsidP="00DC24D8">
      <w:pPr>
        <w:autoSpaceDE w:val="0"/>
        <w:autoSpaceDN w:val="0"/>
        <w:adjustRightInd w:val="0"/>
        <w:spacing w:after="240" w:line="480" w:lineRule="auto"/>
        <w:rPr>
          <w:rFonts w:cs="Arial"/>
          <w:color w:val="000000"/>
        </w:rPr>
      </w:pPr>
      <w:r>
        <w:rPr>
          <w:rFonts w:cs="Arial"/>
          <w:color w:val="000000"/>
        </w:rPr>
        <w:t>H</w:t>
      </w:r>
      <w:r w:rsidR="00CC7214">
        <w:rPr>
          <w:rFonts w:cs="Arial"/>
          <w:color w:val="000000"/>
        </w:rPr>
        <w:t xml:space="preserve">ealth </w:t>
      </w:r>
      <w:r w:rsidR="00BF1AA9">
        <w:rPr>
          <w:rFonts w:cs="Arial"/>
          <w:color w:val="000000"/>
        </w:rPr>
        <w:t>applications of SAE have</w:t>
      </w:r>
      <w:r w:rsidR="007B51C2" w:rsidRPr="007B51C2">
        <w:rPr>
          <w:rFonts w:cs="Arial"/>
          <w:color w:val="000000"/>
        </w:rPr>
        <w:t xml:space="preserve"> </w:t>
      </w:r>
      <w:r w:rsidR="00CC7214">
        <w:rPr>
          <w:rFonts w:cs="Arial"/>
          <w:color w:val="000000"/>
        </w:rPr>
        <w:t>focussed mainly on outcomes and behaviours</w:t>
      </w:r>
      <w:r w:rsidR="00F52E66">
        <w:rPr>
          <w:rFonts w:cs="Arial"/>
          <w:color w:val="000000"/>
        </w:rPr>
        <w:t xml:space="preserve"> </w:t>
      </w:r>
      <w:r w:rsidR="00F52E66">
        <w:rPr>
          <w:rFonts w:cs="Arial"/>
          <w:color w:val="000000"/>
        </w:rPr>
        <w:fldChar w:fldCharType="begin">
          <w:fldData xml:space="preserve">PEVuZE5vdGU+PENpdGU+PEF1dGhvcj5Ud2lnZzwvQXV0aG9yPjxZZWFyPjIwMDI8L1llYXI+PFJl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</w:fldData>
        </w:fldChar>
      </w:r>
      <w:r w:rsidR="005B45C4">
        <w:rPr>
          <w:rFonts w:cs="Arial"/>
          <w:color w:val="000000"/>
        </w:rPr>
        <w:instrText xml:space="preserve"> ADDIN EN.CITE </w:instrText>
      </w:r>
      <w:r w:rsidR="005B45C4">
        <w:rPr>
          <w:rFonts w:cs="Arial"/>
          <w:color w:val="000000"/>
        </w:rPr>
        <w:fldChar w:fldCharType="begin">
          <w:fldData xml:space="preserve">PEVuZE5vdGU+PENpdGU+PEF1dGhvcj5Ud2lnZzwvQXV0aG9yPjxZZWFyPjIwMDI8L1llYXI+PFJl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</w:fldData>
        </w:fldChar>
      </w:r>
      <w:r w:rsidR="005B45C4">
        <w:rPr>
          <w:rFonts w:cs="Arial"/>
          <w:color w:val="000000"/>
        </w:rPr>
        <w:instrText xml:space="preserve"> ADDIN EN.CITE.DATA </w:instrText>
      </w:r>
      <w:r w:rsidR="005B45C4">
        <w:rPr>
          <w:rFonts w:cs="Arial"/>
          <w:color w:val="000000"/>
        </w:rPr>
      </w:r>
      <w:r w:rsidR="005B45C4">
        <w:rPr>
          <w:rFonts w:cs="Arial"/>
          <w:color w:val="000000"/>
        </w:rPr>
        <w:fldChar w:fldCharType="end"/>
      </w:r>
      <w:r w:rsidR="00F52E66">
        <w:rPr>
          <w:rFonts w:cs="Arial"/>
          <w:color w:val="000000"/>
        </w:rPr>
      </w:r>
      <w:r w:rsidR="00F52E66">
        <w:rPr>
          <w:rFonts w:cs="Arial"/>
          <w:color w:val="000000"/>
        </w:rPr>
        <w:fldChar w:fldCharType="separate"/>
      </w:r>
      <w:r w:rsidR="005B45C4">
        <w:rPr>
          <w:rFonts w:cs="Arial"/>
          <w:noProof/>
          <w:color w:val="000000"/>
        </w:rPr>
        <w:t>[</w:t>
      </w:r>
      <w:hyperlink w:anchor="_ENREF_3" w:tooltip="Twigg, 2002 #59" w:history="1">
        <w:r w:rsidR="00DC24D8">
          <w:rPr>
            <w:rFonts w:cs="Arial"/>
            <w:noProof/>
            <w:color w:val="000000"/>
          </w:rPr>
          <w:t>3-7</w:t>
        </w:r>
      </w:hyperlink>
      <w:r w:rsidR="005B45C4">
        <w:rPr>
          <w:rFonts w:cs="Arial"/>
          <w:noProof/>
          <w:color w:val="000000"/>
        </w:rPr>
        <w:t>]</w:t>
      </w:r>
      <w:r w:rsidR="00F52E66">
        <w:rPr>
          <w:rFonts w:cs="Arial"/>
          <w:color w:val="000000"/>
        </w:rPr>
        <w:fldChar w:fldCharType="end"/>
      </w:r>
      <w:r w:rsidR="00CC7214">
        <w:rPr>
          <w:rFonts w:cs="Arial"/>
          <w:color w:val="000000"/>
        </w:rPr>
        <w:t xml:space="preserve">. Rather less attention has been given to </w:t>
      </w:r>
      <w:r w:rsidR="00AF7D68">
        <w:rPr>
          <w:rFonts w:cs="Arial"/>
          <w:color w:val="000000"/>
        </w:rPr>
        <w:t xml:space="preserve">SAEs of </w:t>
      </w:r>
      <w:r w:rsidR="00CC7214">
        <w:rPr>
          <w:rFonts w:cs="Arial"/>
          <w:color w:val="000000"/>
        </w:rPr>
        <w:t xml:space="preserve">general measures of </w:t>
      </w:r>
      <w:r w:rsidR="00CC7214" w:rsidRPr="00F92813">
        <w:rPr>
          <w:rFonts w:cs="Arial"/>
          <w:color w:val="000000"/>
        </w:rPr>
        <w:t>health status</w:t>
      </w:r>
      <w:r w:rsidR="00C94DFE" w:rsidRPr="00F92813">
        <w:rPr>
          <w:rFonts w:cs="Arial"/>
          <w:color w:val="000000"/>
        </w:rPr>
        <w:t xml:space="preserve"> such as Limiting Long-Term Illness (LLTI) and Self-reported General Health (SRGH)</w:t>
      </w:r>
      <w:r w:rsidR="00CC7214" w:rsidRPr="00F92813">
        <w:rPr>
          <w:rFonts w:cs="Arial"/>
          <w:color w:val="000000"/>
        </w:rPr>
        <w:t xml:space="preserve">. </w:t>
      </w:r>
      <w:r w:rsidRPr="00F92813">
        <w:rPr>
          <w:rFonts w:cs="Arial"/>
          <w:color w:val="000000"/>
        </w:rPr>
        <w:t>Such m</w:t>
      </w:r>
      <w:r w:rsidR="00051705" w:rsidRPr="00F92813">
        <w:rPr>
          <w:rFonts w:cs="Arial"/>
          <w:color w:val="000000"/>
        </w:rPr>
        <w:t>easures are g</w:t>
      </w:r>
      <w:r w:rsidR="00222586" w:rsidRPr="00F92813">
        <w:rPr>
          <w:rFonts w:cs="Arial"/>
          <w:color w:val="000000"/>
        </w:rPr>
        <w:t>ood at picking up ageing</w:t>
      </w:r>
      <w:r w:rsidR="000C1EC5" w:rsidRPr="00F92813">
        <w:rPr>
          <w:rFonts w:cs="Arial"/>
          <w:color w:val="000000"/>
        </w:rPr>
        <w:t xml:space="preserve"> </w:t>
      </w:r>
      <w:r w:rsidR="000C1EC5" w:rsidRPr="00F92813">
        <w:rPr>
          <w:rFonts w:cs="Arial"/>
          <w:color w:val="000000"/>
        </w:rPr>
        <w:lastRenderedPageBreak/>
        <w:t>populations and chronic illness</w:t>
      </w:r>
      <w:r w:rsidR="003F1C1D">
        <w:rPr>
          <w:rFonts w:cs="Arial"/>
          <w:color w:val="000000"/>
        </w:rPr>
        <w:t xml:space="preserve"> as well as pockets of severe health deprivation</w:t>
      </w:r>
      <w:r w:rsidR="000C1EC5" w:rsidRPr="00F92813">
        <w:rPr>
          <w:rFonts w:cs="Arial"/>
          <w:color w:val="000000"/>
        </w:rPr>
        <w:t xml:space="preserve"> </w:t>
      </w:r>
      <w:r w:rsidR="00222586" w:rsidRPr="00F92813">
        <w:rPr>
          <w:rFonts w:cs="Times-Roman"/>
        </w:rPr>
        <w:fldChar w:fldCharType="begin">
          <w:fldData xml:space="preserve">PEVuZE5vdGU+PENpdGU+PEF1dGhvcj5NYXJzaGFsbDwvQXV0aG9yPjxZZWFyPjIwMDk8L1llYXI+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</w:fldData>
        </w:fldChar>
      </w:r>
      <w:r w:rsidR="005B45C4">
        <w:rPr>
          <w:rFonts w:cs="Times-Roman"/>
        </w:rPr>
        <w:instrText xml:space="preserve"> ADDIN EN.CITE </w:instrText>
      </w:r>
      <w:r w:rsidR="005B45C4">
        <w:rPr>
          <w:rFonts w:cs="Times-Roman"/>
        </w:rPr>
        <w:fldChar w:fldCharType="begin">
          <w:fldData xml:space="preserve">PEVuZE5vdGU+PENpdGU+PEF1dGhvcj5NYXJzaGFsbDwvQXV0aG9yPjxZZWFyPjIwMDk8L1llYXI+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</w:fldData>
        </w:fldChar>
      </w:r>
      <w:r w:rsidR="005B45C4">
        <w:rPr>
          <w:rFonts w:cs="Times-Roman"/>
        </w:rPr>
        <w:instrText xml:space="preserve"> ADDIN EN.CITE.DATA </w:instrText>
      </w:r>
      <w:r w:rsidR="005B45C4">
        <w:rPr>
          <w:rFonts w:cs="Times-Roman"/>
        </w:rPr>
      </w:r>
      <w:r w:rsidR="005B45C4">
        <w:rPr>
          <w:rFonts w:cs="Times-Roman"/>
        </w:rPr>
        <w:fldChar w:fldCharType="end"/>
      </w:r>
      <w:r w:rsidR="00222586" w:rsidRPr="00F92813">
        <w:rPr>
          <w:rFonts w:cs="Times-Roman"/>
        </w:rPr>
      </w:r>
      <w:r w:rsidR="00222586" w:rsidRPr="00F92813">
        <w:rPr>
          <w:rFonts w:cs="Times-Roman"/>
        </w:rPr>
        <w:fldChar w:fldCharType="separate"/>
      </w:r>
      <w:r w:rsidR="005B45C4">
        <w:rPr>
          <w:rFonts w:cs="Times-Roman"/>
          <w:noProof/>
        </w:rPr>
        <w:t>[</w:t>
      </w:r>
      <w:hyperlink w:anchor="_ENREF_8" w:tooltip="Marshall, 2009 #578" w:history="1">
        <w:r w:rsidR="00DC24D8">
          <w:rPr>
            <w:rFonts w:cs="Times-Roman"/>
            <w:noProof/>
          </w:rPr>
          <w:t>8-13</w:t>
        </w:r>
      </w:hyperlink>
      <w:r w:rsidR="005B45C4">
        <w:rPr>
          <w:rFonts w:cs="Times-Roman"/>
          <w:noProof/>
        </w:rPr>
        <w:t>]</w:t>
      </w:r>
      <w:r w:rsidR="00222586" w:rsidRPr="00F92813">
        <w:rPr>
          <w:rFonts w:cs="Times-Roman"/>
        </w:rPr>
        <w:fldChar w:fldCharType="end"/>
      </w:r>
      <w:r w:rsidR="00F92813" w:rsidRPr="00F92813">
        <w:rPr>
          <w:rFonts w:cs="Times-Roman"/>
        </w:rPr>
        <w:t xml:space="preserve">. </w:t>
      </w:r>
      <w:r w:rsidRPr="00F92813">
        <w:rPr>
          <w:rFonts w:cs="Arial"/>
          <w:color w:val="000000"/>
        </w:rPr>
        <w:t>For these reasons, they are</w:t>
      </w:r>
      <w:r w:rsidR="00CC7214" w:rsidRPr="00F92813">
        <w:rPr>
          <w:rFonts w:cs="Arial"/>
          <w:color w:val="000000"/>
        </w:rPr>
        <w:t xml:space="preserve"> frequently included in national censuses. Though this might be held to obviate the need for SAEs of health</w:t>
      </w:r>
      <w:r w:rsidR="00CC7214">
        <w:rPr>
          <w:rFonts w:cs="Arial"/>
          <w:color w:val="000000"/>
        </w:rPr>
        <w:t xml:space="preserve"> status, it present</w:t>
      </w:r>
      <w:r>
        <w:rPr>
          <w:rFonts w:cs="Arial"/>
          <w:color w:val="000000"/>
        </w:rPr>
        <w:t>s</w:t>
      </w:r>
      <w:r w:rsidR="00CC7214">
        <w:rPr>
          <w:rFonts w:cs="Arial"/>
          <w:color w:val="000000"/>
        </w:rPr>
        <w:t xml:space="preserve"> an opportunity to </w:t>
      </w:r>
      <w:r>
        <w:rPr>
          <w:rFonts w:cs="Arial"/>
          <w:color w:val="000000"/>
        </w:rPr>
        <w:t>address a</w:t>
      </w:r>
      <w:r w:rsidR="00CC7214">
        <w:rPr>
          <w:rFonts w:cs="Arial"/>
          <w:color w:val="000000"/>
        </w:rPr>
        <w:t xml:space="preserve"> frequent criticism of SAEs: the absence of validation. </w:t>
      </w:r>
      <w:r>
        <w:rPr>
          <w:rFonts w:cs="Arial"/>
          <w:color w:val="000000"/>
        </w:rPr>
        <w:t>Small area c</w:t>
      </w:r>
      <w:r w:rsidR="00CA6C98">
        <w:rPr>
          <w:rFonts w:cs="Arial"/>
          <w:color w:val="000000"/>
        </w:rPr>
        <w:t>ensus data on health status provide what is arguably a ‘gold standard’ against which SAEs can be compared</w:t>
      </w:r>
      <w:r w:rsidR="00154846">
        <w:rPr>
          <w:rFonts w:cs="Arial"/>
          <w:color w:val="000000"/>
        </w:rPr>
        <w:t xml:space="preserve"> </w:t>
      </w:r>
      <w:r w:rsidR="00154846">
        <w:rPr>
          <w:rFonts w:cs="Arial"/>
          <w:color w:val="000000"/>
        </w:rPr>
        <w:fldChar w:fldCharType="begin"/>
      </w:r>
      <w:r w:rsidR="005B45C4">
        <w:rPr>
          <w:rFonts w:cs="Arial"/>
          <w:color w:val="000000"/>
        </w:rPr>
        <w:instrText xml:space="preserve"> ADDIN EN.CITE &lt;EndNote&gt;&lt;Cite&gt;&lt;Author&gt;Taylor&lt;/Author&gt;&lt;Year&gt;2016&lt;/Year&gt;&lt;RecNum&gt;752&lt;/RecNum&gt;&lt;DisplayText&gt;[14]&lt;/DisplayText&gt;&lt;record&gt;&lt;rec-number&gt;752&lt;/rec-number&gt;&lt;foreign-keys&gt;&lt;key app="EN" db-id="v52zta5tsa9ezsezdzlv2zvd9rswwpvzdt9f"&gt;752&lt;/key&gt;&lt;/foreign-keys&gt;&lt;ref-type name="Journal Article"&gt;17&lt;/ref-type&gt;&lt;contributors&gt;&lt;authors&gt;&lt;author&gt;Taylor, Joanna&lt;/author&gt;&lt;author&gt;Moon, Graham&lt;/author&gt;&lt;author&gt;Twigg, Liz&lt;/author&gt;&lt;/authors&gt;&lt;/contributors&gt;&lt;titles&gt;&lt;title&gt;Using geocoded survey data to improve the accuracy of multilevel small area synthetic estimates&lt;/title&gt;&lt;secondary-title&gt;Social Science Research&lt;/secondary-title&gt;&lt;/titles&gt;&lt;periodical&gt;&lt;full-title&gt;Social science research&lt;/full-title&gt;&lt;/periodical&gt;&lt;pages&gt;108-116&lt;/pages&gt;&lt;volume&gt;56&lt;/volume&gt;&lt;dates&gt;&lt;year&gt;2016&lt;/year&gt;&lt;/dates&gt;&lt;isbn&gt;0049-089X&lt;/isbn&gt;&lt;urls&gt;&lt;/urls&gt;&lt;/record&gt;&lt;/Cite&gt;&lt;/EndNote&gt;</w:instrText>
      </w:r>
      <w:r w:rsidR="00154846">
        <w:rPr>
          <w:rFonts w:cs="Arial"/>
          <w:color w:val="000000"/>
        </w:rPr>
        <w:fldChar w:fldCharType="separate"/>
      </w:r>
      <w:r w:rsidR="005B45C4">
        <w:rPr>
          <w:rFonts w:cs="Arial"/>
          <w:noProof/>
          <w:color w:val="000000"/>
        </w:rPr>
        <w:t>[</w:t>
      </w:r>
      <w:hyperlink w:anchor="_ENREF_14" w:tooltip="Taylor, 2016 #752" w:history="1">
        <w:r w:rsidR="00DC24D8">
          <w:rPr>
            <w:rFonts w:cs="Arial"/>
            <w:noProof/>
            <w:color w:val="000000"/>
          </w:rPr>
          <w:t>14</w:t>
        </w:r>
      </w:hyperlink>
      <w:r w:rsidR="005B45C4">
        <w:rPr>
          <w:rFonts w:cs="Arial"/>
          <w:noProof/>
          <w:color w:val="000000"/>
        </w:rPr>
        <w:t>]</w:t>
      </w:r>
      <w:r w:rsidR="00154846">
        <w:rPr>
          <w:rFonts w:cs="Arial"/>
          <w:color w:val="000000"/>
        </w:rPr>
        <w:fldChar w:fldCharType="end"/>
      </w:r>
      <w:r w:rsidR="00CA6C98">
        <w:rPr>
          <w:rFonts w:cs="Arial"/>
          <w:color w:val="000000"/>
        </w:rPr>
        <w:t>.</w:t>
      </w:r>
    </w:p>
    <w:p w:rsidR="00A7795D" w:rsidRDefault="00CA6C98" w:rsidP="00F92813">
      <w:pPr>
        <w:pStyle w:val="NoSpacing"/>
        <w:spacing w:line="480" w:lineRule="auto"/>
        <w:rPr>
          <w:rFonts w:cs="Arial"/>
          <w:color w:val="000000"/>
        </w:rPr>
      </w:pPr>
      <w:r>
        <w:rPr>
          <w:rFonts w:cs="Arial"/>
          <w:color w:val="000000"/>
        </w:rPr>
        <w:t>Motivated by the lack of previous research on health-related SAE using surveys from more than one geographical setting and the opportunity to ground-truth SAEs of health status using small area census data, this paper</w:t>
      </w:r>
      <w:r w:rsidR="0096627E">
        <w:rPr>
          <w:rFonts w:cs="Arial"/>
          <w:color w:val="000000"/>
        </w:rPr>
        <w:t xml:space="preserve"> </w:t>
      </w:r>
      <w:r w:rsidR="0084391C">
        <w:rPr>
          <w:rFonts w:cs="Arial"/>
          <w:color w:val="000000"/>
        </w:rPr>
        <w:t xml:space="preserve">addresses two objectives. First, we </w:t>
      </w:r>
      <w:r w:rsidR="0096627E">
        <w:rPr>
          <w:rFonts w:cs="Arial"/>
          <w:color w:val="000000"/>
        </w:rPr>
        <w:t xml:space="preserve">develop parsimonious SAE models of </w:t>
      </w:r>
      <w:r w:rsidR="00C94DFE">
        <w:rPr>
          <w:rFonts w:cs="Arial"/>
          <w:color w:val="000000"/>
        </w:rPr>
        <w:t>LLT</w:t>
      </w:r>
      <w:r w:rsidR="007B51C2">
        <w:rPr>
          <w:rFonts w:cs="Arial"/>
          <w:color w:val="000000"/>
        </w:rPr>
        <w:t>I</w:t>
      </w:r>
      <w:r w:rsidR="00C94DFE">
        <w:rPr>
          <w:rFonts w:cs="Arial"/>
          <w:color w:val="000000"/>
        </w:rPr>
        <w:t xml:space="preserve"> and SRGH</w:t>
      </w:r>
      <w:r w:rsidR="00595513">
        <w:rPr>
          <w:rFonts w:cs="Arial"/>
          <w:color w:val="000000"/>
        </w:rPr>
        <w:t xml:space="preserve"> using surveys from multiple geographical settings</w:t>
      </w:r>
      <w:r w:rsidR="0096627E">
        <w:rPr>
          <w:rFonts w:cs="Arial"/>
          <w:color w:val="000000"/>
        </w:rPr>
        <w:t xml:space="preserve">. </w:t>
      </w:r>
      <w:r w:rsidR="0084391C">
        <w:rPr>
          <w:rFonts w:cs="Arial"/>
          <w:color w:val="000000"/>
        </w:rPr>
        <w:t>Second, t</w:t>
      </w:r>
      <w:r w:rsidR="0096627E">
        <w:rPr>
          <w:rFonts w:cs="Arial"/>
          <w:color w:val="000000"/>
        </w:rPr>
        <w:t xml:space="preserve">he estimates from these models are </w:t>
      </w:r>
      <w:r w:rsidR="00AF7D68">
        <w:rPr>
          <w:rFonts w:cs="Arial"/>
          <w:color w:val="000000"/>
        </w:rPr>
        <w:t xml:space="preserve">compared to </w:t>
      </w:r>
      <w:r w:rsidR="00A7795D">
        <w:rPr>
          <w:rFonts w:cs="Arial"/>
          <w:color w:val="000000"/>
        </w:rPr>
        <w:t>population census</w:t>
      </w:r>
      <w:r w:rsidR="009A1045">
        <w:rPr>
          <w:rFonts w:cs="Arial"/>
          <w:color w:val="000000"/>
        </w:rPr>
        <w:t xml:space="preserve"> </w:t>
      </w:r>
      <w:r w:rsidR="00595513">
        <w:rPr>
          <w:rFonts w:cs="Arial"/>
          <w:color w:val="000000"/>
        </w:rPr>
        <w:t>data</w:t>
      </w:r>
      <w:r w:rsidR="00A7795D">
        <w:rPr>
          <w:rFonts w:cs="Arial"/>
          <w:color w:val="000000"/>
        </w:rPr>
        <w:t>.</w:t>
      </w:r>
      <w:r w:rsidR="009A1045">
        <w:rPr>
          <w:rFonts w:cs="Arial"/>
          <w:color w:val="000000"/>
        </w:rPr>
        <w:t xml:space="preserve"> As both SAEs and census data are population-level measures, we hypothesise a close concordance.</w:t>
      </w:r>
    </w:p>
    <w:p w:rsidR="009A1045" w:rsidRDefault="009A1045" w:rsidP="00F92813">
      <w:pPr>
        <w:pStyle w:val="NoSpacing"/>
        <w:spacing w:line="480" w:lineRule="auto"/>
        <w:rPr>
          <w:rFonts w:cs="Arial"/>
          <w:color w:val="000000"/>
        </w:rPr>
      </w:pPr>
    </w:p>
    <w:p w:rsidR="008D72CC" w:rsidRPr="00BE5C90" w:rsidRDefault="00A7795D" w:rsidP="00F92813">
      <w:pPr>
        <w:pStyle w:val="Heading1"/>
        <w:spacing w:line="480" w:lineRule="auto"/>
      </w:pPr>
      <w:r w:rsidRPr="00BE5C90">
        <w:t>M</w:t>
      </w:r>
      <w:r w:rsidR="005C4584" w:rsidRPr="00BE5C90">
        <w:t>ethods</w:t>
      </w:r>
    </w:p>
    <w:p w:rsidR="00051485" w:rsidRPr="00BE5C90" w:rsidRDefault="00442A7A" w:rsidP="005B45C4">
      <w:pPr>
        <w:spacing w:line="480" w:lineRule="auto"/>
      </w:pPr>
      <w:r>
        <w:t xml:space="preserve">We created SAEs by modelling routine data and applying the </w:t>
      </w:r>
      <w:r w:rsidR="000D4C4F">
        <w:t>coefficients from</w:t>
      </w:r>
      <w:r>
        <w:t xml:space="preserve"> our models to census data on </w:t>
      </w:r>
      <w:r w:rsidR="000D4C4F">
        <w:t xml:space="preserve">the </w:t>
      </w:r>
      <w:r>
        <w:t>covariate</w:t>
      </w:r>
      <w:r w:rsidR="000D4C4F">
        <w:t xml:space="preserve"> measure</w:t>
      </w:r>
      <w:r>
        <w:t xml:space="preserve">s. Our SAEs were then compared to census data on LLTI and SRGH. </w:t>
      </w:r>
      <w:r w:rsidR="00051485" w:rsidRPr="00BE5C90">
        <w:t xml:space="preserve">Great Britain </w:t>
      </w:r>
      <w:r>
        <w:t>w</w:t>
      </w:r>
      <w:r w:rsidR="00051485" w:rsidRPr="00BE5C90">
        <w:t xml:space="preserve">as the setting for the study as we had ready access to </w:t>
      </w:r>
      <w:r w:rsidR="005B45C4">
        <w:t>the separate</w:t>
      </w:r>
      <w:r w:rsidR="00051485" w:rsidRPr="00BE5C90">
        <w:t xml:space="preserve"> survey</w:t>
      </w:r>
      <w:r w:rsidR="00587A49">
        <w:t>s</w:t>
      </w:r>
      <w:r w:rsidR="00051485" w:rsidRPr="00BE5C90">
        <w:t xml:space="preserve"> for the constituent countries of Wales, Scotland and England as well as to census data for each country. LLTI and SRGH are</w:t>
      </w:r>
      <w:r w:rsidR="00587A49">
        <w:t xml:space="preserve"> </w:t>
      </w:r>
      <w:r w:rsidR="00051485" w:rsidRPr="00BE5C90">
        <w:t>established measures of health status in each country</w:t>
      </w:r>
      <w:r w:rsidR="004468EA">
        <w:t>. T</w:t>
      </w:r>
      <w:r w:rsidR="004468EA" w:rsidRPr="00751C39">
        <w:rPr>
          <w:rFonts w:cs="Arial"/>
          <w:color w:val="000000" w:themeColor="text1"/>
        </w:rPr>
        <w:t xml:space="preserve">he UK Census </w:t>
      </w:r>
      <w:r w:rsidR="004468EA">
        <w:rPr>
          <w:rFonts w:cs="Arial"/>
          <w:color w:val="000000" w:themeColor="text1"/>
        </w:rPr>
        <w:t xml:space="preserve">began collecting </w:t>
      </w:r>
      <w:r w:rsidR="004468EA" w:rsidRPr="00751C39">
        <w:rPr>
          <w:rFonts w:cs="Arial"/>
          <w:color w:val="000000" w:themeColor="text1"/>
        </w:rPr>
        <w:t xml:space="preserve">information </w:t>
      </w:r>
      <w:r w:rsidR="004468EA">
        <w:rPr>
          <w:rFonts w:cs="Arial"/>
          <w:color w:val="000000" w:themeColor="text1"/>
        </w:rPr>
        <w:t>on SRGH and LLTI in 1991.</w:t>
      </w:r>
    </w:p>
    <w:p w:rsidR="00144D8C" w:rsidRDefault="00144D8C" w:rsidP="00F92813">
      <w:pPr>
        <w:pStyle w:val="Heading2"/>
        <w:spacing w:line="480" w:lineRule="auto"/>
      </w:pPr>
    </w:p>
    <w:p w:rsidR="00051485" w:rsidRDefault="00587A49" w:rsidP="00F92813">
      <w:pPr>
        <w:pStyle w:val="Heading2"/>
        <w:spacing w:line="480" w:lineRule="auto"/>
      </w:pPr>
      <w:r>
        <w:t>Small Area Estimation</w:t>
      </w:r>
    </w:p>
    <w:p w:rsidR="00921EF3" w:rsidRDefault="00051485" w:rsidP="00DC24D8">
      <w:pPr>
        <w:spacing w:after="240" w:line="480" w:lineRule="auto"/>
        <w:rPr>
          <w:color w:val="000000" w:themeColor="text1"/>
          <w:lang w:eastAsia="zh-TW"/>
        </w:rPr>
      </w:pPr>
      <w:r w:rsidRPr="0063204D">
        <w:t>SAE</w:t>
      </w:r>
      <w:r w:rsidR="00BF1AA9" w:rsidRPr="0063204D">
        <w:t xml:space="preserve"> models</w:t>
      </w:r>
      <w:r w:rsidRPr="0063204D">
        <w:t xml:space="preserve"> were derived primarily from a </w:t>
      </w:r>
      <w:r w:rsidRPr="0063204D">
        <w:rPr>
          <w:lang w:eastAsia="zh-TW"/>
        </w:rPr>
        <w:t xml:space="preserve">linked data file comprising the </w:t>
      </w:r>
      <w:r w:rsidR="005859A4" w:rsidRPr="0063204D">
        <w:rPr>
          <w:lang w:eastAsia="zh-TW"/>
        </w:rPr>
        <w:t xml:space="preserve">individual responses to the </w:t>
      </w:r>
      <w:r w:rsidRPr="0063204D">
        <w:rPr>
          <w:lang w:eastAsia="zh-TW"/>
        </w:rPr>
        <w:t>2011 versions of the Health Survey for England (</w:t>
      </w:r>
      <w:proofErr w:type="spellStart"/>
      <w:r w:rsidRPr="0063204D">
        <w:rPr>
          <w:lang w:eastAsia="zh-TW"/>
        </w:rPr>
        <w:t>H</w:t>
      </w:r>
      <w:r w:rsidR="0035781B" w:rsidRPr="0063204D">
        <w:rPr>
          <w:lang w:eastAsia="zh-TW"/>
        </w:rPr>
        <w:t>f</w:t>
      </w:r>
      <w:r w:rsidRPr="0063204D">
        <w:rPr>
          <w:lang w:eastAsia="zh-TW"/>
        </w:rPr>
        <w:t>SE</w:t>
      </w:r>
      <w:proofErr w:type="spellEnd"/>
      <w:r w:rsidRPr="0063204D">
        <w:rPr>
          <w:lang w:eastAsia="zh-TW"/>
        </w:rPr>
        <w:t xml:space="preserve">), the Scottish Health Survey (SHS) and the </w:t>
      </w:r>
      <w:r w:rsidRPr="0063204D">
        <w:rPr>
          <w:lang w:eastAsia="zh-TW"/>
        </w:rPr>
        <w:lastRenderedPageBreak/>
        <w:t xml:space="preserve">Welsh Health Survey (WHS). </w:t>
      </w:r>
      <w:r w:rsidR="00DB0842" w:rsidRPr="0063204D">
        <w:rPr>
          <w:lang w:eastAsia="zh-TW"/>
        </w:rPr>
        <w:t xml:space="preserve"> </w:t>
      </w:r>
      <w:r w:rsidR="00442A7A" w:rsidRPr="0063204D">
        <w:rPr>
          <w:lang w:eastAsia="zh-TW"/>
        </w:rPr>
        <w:t xml:space="preserve">These sources were accessed through the UK Data Service. </w:t>
      </w:r>
      <w:r w:rsidR="00DB0842" w:rsidRPr="0063204D">
        <w:rPr>
          <w:lang w:eastAsia="zh-TW"/>
        </w:rPr>
        <w:t xml:space="preserve"> </w:t>
      </w:r>
      <w:r w:rsidR="00442A7A" w:rsidRPr="0063204D">
        <w:rPr>
          <w:color w:val="000000" w:themeColor="text1"/>
          <w:lang w:eastAsia="zh-TW"/>
        </w:rPr>
        <w:t xml:space="preserve">Surveys from 2011 were selected to facilitate direct comparison with 2011 decennial population census. </w:t>
      </w:r>
      <w:r w:rsidRPr="0063204D">
        <w:rPr>
          <w:lang w:eastAsia="zh-TW"/>
        </w:rPr>
        <w:t>Full details of the conduct</w:t>
      </w:r>
      <w:r w:rsidR="00442A7A" w:rsidRPr="0063204D">
        <w:rPr>
          <w:lang w:eastAsia="zh-TW"/>
        </w:rPr>
        <w:t xml:space="preserve"> of the surveys</w:t>
      </w:r>
      <w:r w:rsidRPr="0063204D">
        <w:rPr>
          <w:lang w:eastAsia="zh-TW"/>
        </w:rPr>
        <w:t xml:space="preserve">, </w:t>
      </w:r>
      <w:r w:rsidR="00442A7A" w:rsidRPr="0063204D">
        <w:rPr>
          <w:lang w:eastAsia="zh-TW"/>
        </w:rPr>
        <w:t xml:space="preserve">the </w:t>
      </w:r>
      <w:r w:rsidRPr="0063204D">
        <w:rPr>
          <w:lang w:eastAsia="zh-TW"/>
        </w:rPr>
        <w:t xml:space="preserve">measurement of variables and response rates are given in the </w:t>
      </w:r>
      <w:r w:rsidR="00442A7A" w:rsidRPr="0063204D">
        <w:rPr>
          <w:lang w:eastAsia="zh-TW"/>
        </w:rPr>
        <w:t xml:space="preserve">2011 </w:t>
      </w:r>
      <w:proofErr w:type="spellStart"/>
      <w:r w:rsidRPr="0063204D">
        <w:rPr>
          <w:lang w:eastAsia="zh-TW"/>
        </w:rPr>
        <w:t>HS</w:t>
      </w:r>
      <w:r w:rsidR="00442A7A" w:rsidRPr="0063204D">
        <w:rPr>
          <w:lang w:eastAsia="zh-TW"/>
        </w:rPr>
        <w:t>f</w:t>
      </w:r>
      <w:r w:rsidRPr="0063204D">
        <w:rPr>
          <w:lang w:eastAsia="zh-TW"/>
        </w:rPr>
        <w:t>E</w:t>
      </w:r>
      <w:proofErr w:type="spellEnd"/>
      <w:r w:rsidRPr="0063204D">
        <w:rPr>
          <w:lang w:eastAsia="zh-TW"/>
        </w:rPr>
        <w:t xml:space="preserve">, SHS and WHS reports  </w:t>
      </w:r>
      <w:r w:rsidRPr="0063204D">
        <w:rPr>
          <w:lang w:eastAsia="zh-TW"/>
        </w:rPr>
        <w:fldChar w:fldCharType="begin"/>
      </w:r>
      <w:r w:rsidR="005B45C4">
        <w:rPr>
          <w:lang w:eastAsia="zh-TW"/>
        </w:rPr>
        <w:instrText xml:space="preserve"> ADDIN EN.CITE &lt;EndNote&gt;&lt;Cite&gt;&lt;Author&gt;NatCen Social Research&lt;/Author&gt;&lt;Year&gt;2012&lt;/Year&gt;&lt;RecNum&gt;822&lt;/RecNum&gt;&lt;DisplayText&gt;[15-17]&lt;/DisplayText&gt;&lt;record&gt;&lt;rec-number&gt;822&lt;/rec-number&gt;&lt;foreign-keys&gt;&lt;key app="EN" db-id="erwxtz291d059ve0f2m520v7a0v5d0w5ep2r"&gt;822&lt;/key&gt;&lt;/foreign-keys&gt;&lt;ref-type name="Generic"&gt;13&lt;/ref-type&gt;&lt;contributors&gt;&lt;authors&gt;&lt;author&gt;NatCen Social Research,&lt;/author&gt;&lt;/authors&gt;&lt;/contributors&gt;&lt;titles&gt;&lt;title&gt;Health Survey for England 2011 user guide&lt;/title&gt;&lt;/titles&gt;&lt;dates&gt;&lt;year&gt;2012&lt;/year&gt;&lt;/dates&gt;&lt;pub-location&gt;London&lt;/pub-location&gt;&lt;publisher&gt;NatCen&lt;/publisher&gt;&lt;urls&gt;&lt;/urls&gt;&lt;/record&gt;&lt;/Cite&gt;&lt;Cite&gt;&lt;Author&gt;Rutherford&lt;/Author&gt;&lt;Year&gt;2012&lt;/Year&gt;&lt;RecNum&gt;987&lt;/RecNum&gt;&lt;record&gt;&lt;rec-number&gt;987&lt;/rec-number&gt;&lt;foreign-keys&gt;&lt;key app="EN" db-id="erwxtz291d059ve0f2m520v7a0v5d0w5ep2r"&gt;987&lt;/key&gt;&lt;/foreign-keys&gt;&lt;ref-type name="Edited Book"&gt;28&lt;/ref-type&gt;&lt;contributors&gt;&lt;authors&gt;&lt;author&gt;Lisa Rutherford&lt;/author&gt;&lt;author&gt;Clare Sharp&lt;/author&gt;&lt;author&gt;Catherine Bromley&lt;/author&gt;&lt;/authors&gt;&lt;/contributors&gt;&lt;titles&gt;&lt;title&gt;The Scottish Health Survey 2011 edition volume 3 technical report&lt;/title&gt;&lt;/titles&gt;&lt;dates&gt;&lt;year&gt;2012&lt;/year&gt;&lt;/dates&gt;&lt;pub-location&gt;Edinburgh&lt;/pub-location&gt;&lt;publisher&gt;A National Statistics Publication for Scotland&lt;/publisher&gt;&lt;urls&gt;&lt;related-urls&gt;&lt;url&gt;http://www.scotland.gov.uk/Resource/0040/00403290.pdf&lt;/url&gt;&lt;/related-urls&gt;&lt;/urls&gt;&lt;/record&gt;&lt;/Cite&gt;&lt;Cite&gt;&lt;Author&gt;NatCen Social Research&lt;/Author&gt;&lt;Year&gt;2012a&lt;/Year&gt;&lt;RecNum&gt;1035&lt;/RecNum&gt;&lt;record&gt;&lt;rec-number&gt;1035&lt;/rec-number&gt;&lt;foreign-keys&gt;&lt;key app="EN" db-id="erwxtz291d059ve0f2m520v7a0v5d0w5ep2r"&gt;1035&lt;/key&gt;&lt;/foreign-keys&gt;&lt;ref-type name="Generic"&gt;13&lt;/ref-type&gt;&lt;contributors&gt;&lt;authors&gt;&lt;author&gt;NatCen Social Research,&lt;/author&gt;&lt;/authors&gt;&lt;/contributors&gt;&lt;titles&gt;&lt;title&gt;Welsh Health Survey 2012 - Technical Report &lt;/title&gt;&lt;/titles&gt;&lt;dates&gt;&lt;year&gt;2012a&lt;/year&gt;&lt;/dates&gt;&lt;pub-location&gt;London&lt;/pub-location&gt;&lt;publisher&gt;NatCen&lt;/publisher&gt;&lt;urls&gt;&lt;/urls&gt;&lt;/record&gt;&lt;/Cite&gt;&lt;/EndNote&gt;</w:instrText>
      </w:r>
      <w:r w:rsidRPr="0063204D">
        <w:rPr>
          <w:lang w:eastAsia="zh-TW"/>
        </w:rPr>
        <w:fldChar w:fldCharType="separate"/>
      </w:r>
      <w:r w:rsidR="005B45C4">
        <w:rPr>
          <w:noProof/>
          <w:lang w:eastAsia="zh-TW"/>
        </w:rPr>
        <w:t>[</w:t>
      </w:r>
      <w:hyperlink w:anchor="_ENREF_15" w:tooltip="NatCen Social Research, 2012 #822" w:history="1">
        <w:r w:rsidR="00DC24D8">
          <w:rPr>
            <w:noProof/>
            <w:lang w:eastAsia="zh-TW"/>
          </w:rPr>
          <w:t>15-17</w:t>
        </w:r>
      </w:hyperlink>
      <w:r w:rsidR="005B45C4">
        <w:rPr>
          <w:noProof/>
          <w:lang w:eastAsia="zh-TW"/>
        </w:rPr>
        <w:t>]</w:t>
      </w:r>
      <w:r w:rsidRPr="0063204D">
        <w:rPr>
          <w:lang w:eastAsia="zh-TW"/>
        </w:rPr>
        <w:fldChar w:fldCharType="end"/>
      </w:r>
      <w:r w:rsidRPr="0063204D">
        <w:rPr>
          <w:lang w:eastAsia="zh-TW"/>
        </w:rPr>
        <w:t>.</w:t>
      </w:r>
      <w:r w:rsidRPr="0063204D">
        <w:rPr>
          <w:color w:val="000000" w:themeColor="text1"/>
          <w:lang w:eastAsia="zh-TW"/>
        </w:rPr>
        <w:t xml:space="preserve"> </w:t>
      </w:r>
      <w:r w:rsidR="00DB0842" w:rsidRPr="0063204D">
        <w:rPr>
          <w:color w:val="000000" w:themeColor="text1"/>
          <w:lang w:eastAsia="zh-TW"/>
        </w:rPr>
        <w:t xml:space="preserve"> Co</w:t>
      </w:r>
      <w:r w:rsidR="00442A7A" w:rsidRPr="0063204D">
        <w:rPr>
          <w:color w:val="000000" w:themeColor="text1"/>
          <w:lang w:eastAsia="zh-TW"/>
        </w:rPr>
        <w:t>llectively the sources offer co</w:t>
      </w:r>
      <w:r w:rsidR="00DB0842" w:rsidRPr="0063204D">
        <w:rPr>
          <w:color w:val="000000" w:themeColor="text1"/>
          <w:lang w:eastAsia="zh-TW"/>
        </w:rPr>
        <w:t>mprehensive well-found authoritative insight</w:t>
      </w:r>
      <w:r w:rsidR="00442A7A" w:rsidRPr="0063204D">
        <w:rPr>
          <w:color w:val="000000" w:themeColor="text1"/>
          <w:lang w:eastAsia="zh-TW"/>
        </w:rPr>
        <w:t>s</w:t>
      </w:r>
      <w:r w:rsidR="00DB0842" w:rsidRPr="0063204D">
        <w:rPr>
          <w:color w:val="000000" w:themeColor="text1"/>
          <w:lang w:eastAsia="zh-TW"/>
        </w:rPr>
        <w:t xml:space="preserve"> </w:t>
      </w:r>
      <w:r w:rsidR="00442A7A" w:rsidRPr="0063204D">
        <w:rPr>
          <w:color w:val="000000" w:themeColor="text1"/>
          <w:lang w:eastAsia="zh-TW"/>
        </w:rPr>
        <w:t>into</w:t>
      </w:r>
      <w:r w:rsidR="00DB0842" w:rsidRPr="0063204D">
        <w:rPr>
          <w:color w:val="000000" w:themeColor="text1"/>
          <w:lang w:eastAsia="zh-TW"/>
        </w:rPr>
        <w:t xml:space="preserve"> health status in each cou</w:t>
      </w:r>
      <w:r w:rsidR="00442A7A" w:rsidRPr="0063204D">
        <w:rPr>
          <w:color w:val="000000" w:themeColor="text1"/>
          <w:lang w:eastAsia="zh-TW"/>
        </w:rPr>
        <w:t>n</w:t>
      </w:r>
      <w:r w:rsidR="00DB0842" w:rsidRPr="0063204D">
        <w:rPr>
          <w:color w:val="000000" w:themeColor="text1"/>
          <w:lang w:eastAsia="zh-TW"/>
        </w:rPr>
        <w:t xml:space="preserve">try. </w:t>
      </w:r>
      <w:r w:rsidR="0063204D" w:rsidRPr="0063204D">
        <w:rPr>
          <w:color w:val="000000" w:themeColor="text1"/>
          <w:lang w:eastAsia="zh-TW"/>
        </w:rPr>
        <w:t>After data cleaning to address missing data the working data file</w:t>
      </w:r>
      <w:r w:rsidR="00A879A7">
        <w:rPr>
          <w:color w:val="000000" w:themeColor="text1"/>
          <w:lang w:eastAsia="zh-TW"/>
        </w:rPr>
        <w:t xml:space="preserve"> </w:t>
      </w:r>
      <w:r w:rsidR="00A879A7">
        <w:rPr>
          <w:rFonts w:eastAsia="Times New Roman" w:cs="Arial"/>
          <w:color w:val="000000" w:themeColor="text1"/>
        </w:rPr>
        <w:t>comprised</w:t>
      </w:r>
      <w:r w:rsidR="00A879A7" w:rsidRPr="003B62F4">
        <w:rPr>
          <w:rFonts w:eastAsia="Times New Roman" w:cs="Arial"/>
          <w:color w:val="000000" w:themeColor="text1"/>
        </w:rPr>
        <w:t xml:space="preserve"> 23,374 </w:t>
      </w:r>
      <w:r w:rsidR="00A879A7">
        <w:rPr>
          <w:rFonts w:eastAsia="Times New Roman" w:cs="Arial"/>
          <w:color w:val="000000" w:themeColor="text1"/>
        </w:rPr>
        <w:t>individuals</w:t>
      </w:r>
      <w:r w:rsidR="00A879A7" w:rsidRPr="003B62F4">
        <w:rPr>
          <w:rFonts w:eastAsia="Times New Roman" w:cs="Arial"/>
          <w:color w:val="000000" w:themeColor="text1"/>
        </w:rPr>
        <w:t xml:space="preserve"> (</w:t>
      </w:r>
      <w:r w:rsidR="00A879A7">
        <w:rPr>
          <w:rFonts w:eastAsia="Times New Roman" w:cs="Arial"/>
          <w:color w:val="000000" w:themeColor="text1"/>
        </w:rPr>
        <w:t xml:space="preserve">aged </w:t>
      </w:r>
      <w:r w:rsidR="00A879A7" w:rsidRPr="003B62F4">
        <w:rPr>
          <w:rFonts w:eastAsia="Times New Roman" w:cs="Arial"/>
          <w:color w:val="000000" w:themeColor="text1"/>
        </w:rPr>
        <w:t>16+ years</w:t>
      </w:r>
      <w:r w:rsidR="00A879A7">
        <w:rPr>
          <w:rFonts w:eastAsia="Times New Roman" w:cs="Arial"/>
          <w:color w:val="000000" w:themeColor="text1"/>
        </w:rPr>
        <w:t xml:space="preserve">; England </w:t>
      </w:r>
      <w:r w:rsidR="00A879A7" w:rsidRPr="003B62F4">
        <w:rPr>
          <w:rFonts w:eastAsia="Times New Roman" w:cs="Arial"/>
          <w:color w:val="000000" w:themeColor="text1"/>
        </w:rPr>
        <w:t>n=8,603</w:t>
      </w:r>
      <w:r w:rsidR="00A879A7">
        <w:rPr>
          <w:rFonts w:eastAsia="Times New Roman" w:cs="Arial"/>
          <w:color w:val="000000" w:themeColor="text1"/>
        </w:rPr>
        <w:t xml:space="preserve">, Scotland </w:t>
      </w:r>
      <w:r w:rsidR="00A879A7" w:rsidRPr="003B62F4">
        <w:rPr>
          <w:rFonts w:eastAsia="Times New Roman" w:cs="Arial"/>
          <w:color w:val="000000" w:themeColor="text1"/>
        </w:rPr>
        <w:t>n=7,537</w:t>
      </w:r>
      <w:r w:rsidR="00A879A7">
        <w:rPr>
          <w:rFonts w:eastAsia="Times New Roman" w:cs="Arial"/>
          <w:color w:val="000000" w:themeColor="text1"/>
        </w:rPr>
        <w:t xml:space="preserve">, Wales </w:t>
      </w:r>
      <w:r w:rsidR="00A879A7" w:rsidRPr="003B62F4">
        <w:rPr>
          <w:rFonts w:eastAsia="Times New Roman" w:cs="Arial"/>
          <w:color w:val="000000" w:themeColor="text1"/>
        </w:rPr>
        <w:t>n=7,234</w:t>
      </w:r>
      <w:r w:rsidR="00A879A7">
        <w:rPr>
          <w:color w:val="000000" w:themeColor="text1"/>
          <w:lang w:eastAsia="zh-TW"/>
        </w:rPr>
        <w:t>)</w:t>
      </w:r>
      <w:r w:rsidR="0035781B" w:rsidRPr="0063204D">
        <w:rPr>
          <w:color w:val="000000" w:themeColor="text1"/>
          <w:lang w:eastAsia="zh-TW"/>
        </w:rPr>
        <w:t>.</w:t>
      </w:r>
    </w:p>
    <w:p w:rsidR="002D7EF1" w:rsidRDefault="00DB0842" w:rsidP="00DC24D8">
      <w:pPr>
        <w:spacing w:line="480" w:lineRule="auto"/>
        <w:rPr>
          <w:rFonts w:eastAsia="PMingLiU"/>
          <w:color w:val="000000" w:themeColor="text1"/>
          <w:lang w:eastAsia="zh-TW"/>
        </w:rPr>
      </w:pPr>
      <w:r>
        <w:rPr>
          <w:color w:val="000000" w:themeColor="text1"/>
          <w:lang w:eastAsia="zh-TW"/>
        </w:rPr>
        <w:t xml:space="preserve">Data from the three health surveys </w:t>
      </w:r>
      <w:r w:rsidR="002D7EF1">
        <w:rPr>
          <w:color w:val="000000" w:themeColor="text1"/>
          <w:lang w:eastAsia="zh-TW"/>
        </w:rPr>
        <w:t xml:space="preserve">were </w:t>
      </w:r>
      <w:r w:rsidR="00BF1AA9">
        <w:rPr>
          <w:color w:val="000000" w:themeColor="text1"/>
          <w:lang w:eastAsia="zh-TW"/>
        </w:rPr>
        <w:t>supplemented with</w:t>
      </w:r>
      <w:r>
        <w:rPr>
          <w:color w:val="000000" w:themeColor="text1"/>
          <w:lang w:eastAsia="zh-TW"/>
        </w:rPr>
        <w:t xml:space="preserve"> linked </w:t>
      </w:r>
      <w:r w:rsidR="00BF1AA9">
        <w:rPr>
          <w:color w:val="000000" w:themeColor="text1"/>
          <w:lang w:eastAsia="zh-TW"/>
        </w:rPr>
        <w:t>data on disability and multiple deprivation</w:t>
      </w:r>
      <w:r w:rsidR="002D7EF1">
        <w:rPr>
          <w:color w:val="000000" w:themeColor="text1"/>
          <w:lang w:eastAsia="zh-TW"/>
        </w:rPr>
        <w:t xml:space="preserve"> at the area level,</w:t>
      </w:r>
      <w:r w:rsidR="00BF1AA9">
        <w:rPr>
          <w:color w:val="000000" w:themeColor="text1"/>
          <w:lang w:eastAsia="zh-TW"/>
        </w:rPr>
        <w:t xml:space="preserve"> in recognition of the close association between these factors and our target variable</w:t>
      </w:r>
      <w:r w:rsidR="00C21311">
        <w:rPr>
          <w:color w:val="000000" w:themeColor="text1"/>
          <w:lang w:eastAsia="zh-TW"/>
        </w:rPr>
        <w:t xml:space="preserve"> </w:t>
      </w:r>
      <w:r w:rsidR="00C21311">
        <w:rPr>
          <w:color w:val="000000" w:themeColor="text1"/>
          <w:lang w:eastAsia="zh-TW"/>
        </w:rPr>
        <w:fldChar w:fldCharType="begin">
          <w:fldData xml:space="preserve">PEVuZE5vdGU+PENpdGU+PEF1dGhvcj5NYXJ0aW48L0F1dGhvcj48WWVhcj4xOTk1PC9ZZWFyPjxS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</w:fldData>
        </w:fldChar>
      </w:r>
      <w:r w:rsidR="005B45C4">
        <w:rPr>
          <w:color w:val="000000" w:themeColor="text1"/>
          <w:lang w:eastAsia="zh-TW"/>
        </w:rPr>
        <w:instrText xml:space="preserve"> ADDIN EN.CITE </w:instrText>
      </w:r>
      <w:r w:rsidR="005B45C4">
        <w:rPr>
          <w:color w:val="000000" w:themeColor="text1"/>
          <w:lang w:eastAsia="zh-TW"/>
        </w:rPr>
        <w:fldChar w:fldCharType="begin">
          <w:fldData xml:space="preserve">PEVuZE5vdGU+PENpdGU+PEF1dGhvcj5NYXJ0aW48L0F1dGhvcj48WWVhcj4xOTk1PC9ZZWFyPjxS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</w:fldData>
        </w:fldChar>
      </w:r>
      <w:r w:rsidR="005B45C4">
        <w:rPr>
          <w:color w:val="000000" w:themeColor="text1"/>
          <w:lang w:eastAsia="zh-TW"/>
        </w:rPr>
        <w:instrText xml:space="preserve"> ADDIN EN.CITE.DATA </w:instrText>
      </w:r>
      <w:r w:rsidR="005B45C4">
        <w:rPr>
          <w:color w:val="000000" w:themeColor="text1"/>
          <w:lang w:eastAsia="zh-TW"/>
        </w:rPr>
      </w:r>
      <w:r w:rsidR="005B45C4">
        <w:rPr>
          <w:color w:val="000000" w:themeColor="text1"/>
          <w:lang w:eastAsia="zh-TW"/>
        </w:rPr>
        <w:fldChar w:fldCharType="end"/>
      </w:r>
      <w:r w:rsidR="00C21311">
        <w:rPr>
          <w:color w:val="000000" w:themeColor="text1"/>
          <w:lang w:eastAsia="zh-TW"/>
        </w:rPr>
      </w:r>
      <w:r w:rsidR="00C21311">
        <w:rPr>
          <w:color w:val="000000" w:themeColor="text1"/>
          <w:lang w:eastAsia="zh-TW"/>
        </w:rPr>
        <w:fldChar w:fldCharType="separate"/>
      </w:r>
      <w:r w:rsidR="005B45C4">
        <w:rPr>
          <w:noProof/>
          <w:color w:val="000000" w:themeColor="text1"/>
          <w:lang w:eastAsia="zh-TW"/>
        </w:rPr>
        <w:t>[</w:t>
      </w:r>
      <w:hyperlink w:anchor="_ENREF_8" w:tooltip="Marshall, 2009 #578" w:history="1">
        <w:r w:rsidR="00DC24D8">
          <w:rPr>
            <w:noProof/>
            <w:color w:val="000000" w:themeColor="text1"/>
            <w:lang w:eastAsia="zh-TW"/>
          </w:rPr>
          <w:t>8</w:t>
        </w:r>
      </w:hyperlink>
      <w:r w:rsidR="005B45C4">
        <w:rPr>
          <w:noProof/>
          <w:color w:val="000000" w:themeColor="text1"/>
          <w:lang w:eastAsia="zh-TW"/>
        </w:rPr>
        <w:t xml:space="preserve">, </w:t>
      </w:r>
      <w:hyperlink w:anchor="_ENREF_10" w:tooltip="Martin, 1995 #749" w:history="1">
        <w:r w:rsidR="00DC24D8">
          <w:rPr>
            <w:noProof/>
            <w:color w:val="000000" w:themeColor="text1"/>
            <w:lang w:eastAsia="zh-TW"/>
          </w:rPr>
          <w:t>10</w:t>
        </w:r>
      </w:hyperlink>
      <w:r w:rsidR="005B45C4">
        <w:rPr>
          <w:noProof/>
          <w:color w:val="000000" w:themeColor="text1"/>
          <w:lang w:eastAsia="zh-TW"/>
        </w:rPr>
        <w:t xml:space="preserve">, </w:t>
      </w:r>
      <w:hyperlink w:anchor="_ENREF_18" w:tooltip="Payne, 2000 #748" w:history="1">
        <w:r w:rsidR="00DC24D8">
          <w:rPr>
            <w:noProof/>
            <w:color w:val="000000" w:themeColor="text1"/>
            <w:lang w:eastAsia="zh-TW"/>
          </w:rPr>
          <w:t>18</w:t>
        </w:r>
      </w:hyperlink>
      <w:r w:rsidR="005B45C4">
        <w:rPr>
          <w:noProof/>
          <w:color w:val="000000" w:themeColor="text1"/>
          <w:lang w:eastAsia="zh-TW"/>
        </w:rPr>
        <w:t>]</w:t>
      </w:r>
      <w:r w:rsidR="00C21311">
        <w:rPr>
          <w:color w:val="000000" w:themeColor="text1"/>
          <w:lang w:eastAsia="zh-TW"/>
        </w:rPr>
        <w:fldChar w:fldCharType="end"/>
      </w:r>
      <w:r w:rsidR="00BF1AA9">
        <w:rPr>
          <w:color w:val="000000" w:themeColor="text1"/>
          <w:lang w:eastAsia="zh-TW"/>
        </w:rPr>
        <w:t xml:space="preserve">. </w:t>
      </w:r>
      <w:r w:rsidR="006B5AC5">
        <w:rPr>
          <w:rFonts w:eastAsia="PMingLiU"/>
          <w:lang w:eastAsia="zh-TW"/>
        </w:rPr>
        <w:t xml:space="preserve">We obtained special permission to use geo-coded data to link </w:t>
      </w:r>
      <w:r w:rsidR="00BF1AA9">
        <w:rPr>
          <w:rFonts w:eastAsia="PMingLiU"/>
          <w:lang w:eastAsia="zh-TW"/>
        </w:rPr>
        <w:t xml:space="preserve">these </w:t>
      </w:r>
      <w:r w:rsidR="006B5AC5">
        <w:rPr>
          <w:rFonts w:eastAsia="PMingLiU"/>
          <w:lang w:eastAsia="zh-TW"/>
        </w:rPr>
        <w:t xml:space="preserve">additional </w:t>
      </w:r>
      <w:r w:rsidR="00BF1AA9">
        <w:rPr>
          <w:rFonts w:eastAsia="PMingLiU"/>
          <w:lang w:eastAsia="zh-TW"/>
        </w:rPr>
        <w:t>variables</w:t>
      </w:r>
      <w:r w:rsidR="006B5AC5">
        <w:rPr>
          <w:rFonts w:eastAsia="PMingLiU"/>
          <w:lang w:eastAsia="zh-TW"/>
        </w:rPr>
        <w:t xml:space="preserve"> </w:t>
      </w:r>
      <w:r w:rsidR="00620280">
        <w:rPr>
          <w:rFonts w:eastAsia="PMingLiU"/>
          <w:lang w:eastAsia="zh-TW"/>
        </w:rPr>
        <w:t>for</w:t>
      </w:r>
      <w:r w:rsidR="006B5AC5">
        <w:rPr>
          <w:rFonts w:eastAsia="PMingLiU"/>
          <w:lang w:eastAsia="zh-TW"/>
        </w:rPr>
        <w:t xml:space="preserve"> </w:t>
      </w:r>
      <w:r w:rsidR="00BF1AA9">
        <w:rPr>
          <w:rFonts w:eastAsia="PMingLiU"/>
          <w:lang w:eastAsia="zh-TW"/>
        </w:rPr>
        <w:t>Middle (</w:t>
      </w:r>
      <w:r w:rsidR="00A879A7">
        <w:rPr>
          <w:rFonts w:eastAsia="PMingLiU"/>
          <w:lang w:eastAsia="zh-TW"/>
        </w:rPr>
        <w:t>layer</w:t>
      </w:r>
      <w:r w:rsidR="00BF1AA9">
        <w:rPr>
          <w:rFonts w:eastAsia="PMingLiU"/>
          <w:lang w:eastAsia="zh-TW"/>
        </w:rPr>
        <w:t>) Super Output Area</w:t>
      </w:r>
      <w:r w:rsidR="00620280">
        <w:rPr>
          <w:rFonts w:eastAsia="PMingLiU"/>
          <w:lang w:eastAsia="zh-TW"/>
        </w:rPr>
        <w:t>s</w:t>
      </w:r>
      <w:r w:rsidR="00BF1AA9">
        <w:rPr>
          <w:rFonts w:eastAsia="PMingLiU"/>
          <w:lang w:eastAsia="zh-TW"/>
        </w:rPr>
        <w:t xml:space="preserve"> (</w:t>
      </w:r>
      <w:r w:rsidR="006B5AC5">
        <w:rPr>
          <w:rFonts w:eastAsia="PMingLiU"/>
          <w:lang w:eastAsia="zh-TW"/>
        </w:rPr>
        <w:t>MSOA</w:t>
      </w:r>
      <w:r w:rsidR="00620280">
        <w:rPr>
          <w:rFonts w:eastAsia="PMingLiU"/>
          <w:lang w:eastAsia="zh-TW"/>
        </w:rPr>
        <w:t>s</w:t>
      </w:r>
      <w:r w:rsidR="00BF1AA9">
        <w:rPr>
          <w:rFonts w:eastAsia="PMingLiU"/>
          <w:lang w:eastAsia="zh-TW"/>
        </w:rPr>
        <w:t>)</w:t>
      </w:r>
      <w:r w:rsidR="006B5AC5">
        <w:rPr>
          <w:rFonts w:eastAsia="PMingLiU"/>
          <w:lang w:eastAsia="zh-TW"/>
        </w:rPr>
        <w:t xml:space="preserve">. </w:t>
      </w:r>
      <w:proofErr w:type="gramStart"/>
      <w:r w:rsidR="00BF1AA9">
        <w:rPr>
          <w:rFonts w:eastAsia="PMingLiU"/>
          <w:lang w:eastAsia="zh-TW"/>
        </w:rPr>
        <w:t xml:space="preserve">MSOAs </w:t>
      </w:r>
      <w:r w:rsidR="002D7EF1">
        <w:rPr>
          <w:rFonts w:eastAsiaTheme="majorEastAsia"/>
          <w:color w:val="000000" w:themeColor="text1"/>
        </w:rPr>
        <w:t>(known as Intermediate Zone</w:t>
      </w:r>
      <w:r w:rsidR="00620280">
        <w:rPr>
          <w:rFonts w:eastAsiaTheme="majorEastAsia"/>
          <w:color w:val="000000" w:themeColor="text1"/>
        </w:rPr>
        <w:t>s</w:t>
      </w:r>
      <w:r w:rsidR="002D7EF1">
        <w:rPr>
          <w:rFonts w:eastAsiaTheme="majorEastAsia"/>
          <w:color w:val="000000" w:themeColor="text1"/>
        </w:rPr>
        <w:t xml:space="preserve"> in Scotland, but referred to as MSOA</w:t>
      </w:r>
      <w:r w:rsidR="00620280">
        <w:rPr>
          <w:rFonts w:eastAsiaTheme="majorEastAsia"/>
          <w:color w:val="000000" w:themeColor="text1"/>
        </w:rPr>
        <w:t>s</w:t>
      </w:r>
      <w:r w:rsidR="002D7EF1">
        <w:rPr>
          <w:rFonts w:eastAsiaTheme="majorEastAsia"/>
          <w:color w:val="000000" w:themeColor="text1"/>
        </w:rPr>
        <w:t xml:space="preserve"> </w:t>
      </w:r>
      <w:r w:rsidR="00620280">
        <w:rPr>
          <w:rFonts w:eastAsiaTheme="majorEastAsia"/>
          <w:color w:val="000000" w:themeColor="text1"/>
        </w:rPr>
        <w:t>throughout</w:t>
      </w:r>
      <w:r w:rsidR="002D7EF1">
        <w:rPr>
          <w:rFonts w:eastAsiaTheme="majorEastAsia"/>
          <w:color w:val="000000" w:themeColor="text1"/>
        </w:rPr>
        <w:t xml:space="preserve"> this paper)</w:t>
      </w:r>
      <w:r w:rsidR="002D7EF1" w:rsidRPr="001D74B9">
        <w:rPr>
          <w:rFonts w:eastAsiaTheme="majorEastAsia"/>
          <w:color w:val="000000" w:themeColor="text1"/>
        </w:rPr>
        <w:t xml:space="preserve"> </w:t>
      </w:r>
      <w:r w:rsidR="002D7EF1">
        <w:rPr>
          <w:rFonts w:eastAsiaTheme="majorEastAsia"/>
          <w:color w:val="000000" w:themeColor="text1"/>
        </w:rPr>
        <w:t xml:space="preserve">total 6,791 in England, 1,235 in </w:t>
      </w:r>
      <w:r w:rsidR="002D7EF1" w:rsidRPr="00DE5D69">
        <w:rPr>
          <w:rFonts w:eastAsiaTheme="majorEastAsia"/>
          <w:color w:val="000000" w:themeColor="text1"/>
        </w:rPr>
        <w:t xml:space="preserve">Scotland </w:t>
      </w:r>
      <w:r w:rsidR="002D7EF1">
        <w:rPr>
          <w:rFonts w:eastAsiaTheme="majorEastAsia"/>
          <w:color w:val="000000" w:themeColor="text1"/>
        </w:rPr>
        <w:t>and 410</w:t>
      </w:r>
      <w:r w:rsidR="002D7EF1" w:rsidRPr="00DE5D69">
        <w:rPr>
          <w:rFonts w:eastAsiaTheme="majorEastAsia"/>
          <w:color w:val="000000" w:themeColor="text1"/>
        </w:rPr>
        <w:t xml:space="preserve"> </w:t>
      </w:r>
      <w:r w:rsidR="002D7EF1">
        <w:rPr>
          <w:rFonts w:eastAsiaTheme="majorEastAsia"/>
          <w:color w:val="000000" w:themeColor="text1"/>
        </w:rPr>
        <w:t xml:space="preserve">in </w:t>
      </w:r>
      <w:r w:rsidR="002D7EF1" w:rsidRPr="00DE5D69">
        <w:rPr>
          <w:rFonts w:eastAsiaTheme="majorEastAsia"/>
          <w:color w:val="000000" w:themeColor="text1"/>
        </w:rPr>
        <w:t>Wales</w:t>
      </w:r>
      <w:r w:rsidR="002D7EF1">
        <w:rPr>
          <w:rFonts w:eastAsiaTheme="majorEastAsia"/>
          <w:color w:val="000000" w:themeColor="text1"/>
        </w:rPr>
        <w:t>.</w:t>
      </w:r>
      <w:proofErr w:type="gramEnd"/>
      <w:r w:rsidR="002D7EF1">
        <w:rPr>
          <w:rFonts w:eastAsiaTheme="majorEastAsia"/>
          <w:color w:val="000000" w:themeColor="text1"/>
        </w:rPr>
        <w:t xml:space="preserve"> </w:t>
      </w:r>
      <w:r w:rsidR="00647C69">
        <w:rPr>
          <w:rFonts w:eastAsiaTheme="majorEastAsia"/>
          <w:color w:val="000000" w:themeColor="text1"/>
        </w:rPr>
        <w:t xml:space="preserve">They are small areas ranging in population from 5,000-15,000 in England and Wales, and 2,500-6,000 in Scotland. </w:t>
      </w:r>
      <w:r w:rsidR="00BF1AA9">
        <w:rPr>
          <w:rFonts w:eastAsia="PMingLiU"/>
          <w:lang w:eastAsia="zh-TW"/>
        </w:rPr>
        <w:t>We</w:t>
      </w:r>
      <w:r w:rsidR="006B5AC5">
        <w:rPr>
          <w:rFonts w:eastAsia="PMingLiU"/>
          <w:lang w:eastAsia="zh-TW"/>
        </w:rPr>
        <w:t xml:space="preserve"> </w:t>
      </w:r>
      <w:r w:rsidR="002D7EF1">
        <w:rPr>
          <w:rFonts w:eastAsia="PMingLiU"/>
          <w:lang w:eastAsia="zh-TW"/>
        </w:rPr>
        <w:t>added the</w:t>
      </w:r>
      <w:r w:rsidR="006B5AC5">
        <w:rPr>
          <w:rFonts w:eastAsia="PMingLiU"/>
          <w:lang w:eastAsia="zh-TW"/>
        </w:rPr>
        <w:t xml:space="preserve"> c</w:t>
      </w:r>
      <w:r w:rsidR="006B5AC5" w:rsidRPr="000A7FA5">
        <w:rPr>
          <w:rFonts w:eastAsia="PMingLiU"/>
          <w:lang w:eastAsia="zh-TW"/>
        </w:rPr>
        <w:t xml:space="preserve">ombined </w:t>
      </w:r>
      <w:r w:rsidR="006B5AC5">
        <w:rPr>
          <w:rFonts w:eastAsia="PMingLiU"/>
          <w:lang w:eastAsia="zh-TW"/>
        </w:rPr>
        <w:t xml:space="preserve">rate of </w:t>
      </w:r>
      <w:r w:rsidR="006B5AC5" w:rsidRPr="000A7FA5">
        <w:rPr>
          <w:rFonts w:eastAsia="PMingLiU"/>
          <w:lang w:eastAsia="zh-TW"/>
        </w:rPr>
        <w:t>D</w:t>
      </w:r>
      <w:r w:rsidR="006B5AC5">
        <w:rPr>
          <w:rFonts w:eastAsia="PMingLiU"/>
          <w:lang w:eastAsia="zh-TW"/>
        </w:rPr>
        <w:t xml:space="preserve">isability </w:t>
      </w:r>
      <w:r w:rsidR="006B5AC5" w:rsidRPr="000A7FA5">
        <w:rPr>
          <w:rFonts w:eastAsia="PMingLiU"/>
          <w:lang w:eastAsia="zh-TW"/>
        </w:rPr>
        <w:t>L</w:t>
      </w:r>
      <w:r w:rsidR="006B5AC5">
        <w:rPr>
          <w:rFonts w:eastAsia="PMingLiU"/>
          <w:lang w:eastAsia="zh-TW"/>
        </w:rPr>
        <w:t xml:space="preserve">iving </w:t>
      </w:r>
      <w:r w:rsidR="006B5AC5" w:rsidRPr="000A7FA5">
        <w:rPr>
          <w:rFonts w:eastAsia="PMingLiU"/>
          <w:lang w:eastAsia="zh-TW"/>
        </w:rPr>
        <w:t>A</w:t>
      </w:r>
      <w:r w:rsidR="006B5AC5">
        <w:rPr>
          <w:rFonts w:eastAsia="PMingLiU"/>
          <w:lang w:eastAsia="zh-TW"/>
        </w:rPr>
        <w:t>llowance</w:t>
      </w:r>
      <w:r w:rsidR="002D7EF1">
        <w:rPr>
          <w:rFonts w:eastAsia="PMingLiU"/>
          <w:lang w:eastAsia="zh-TW"/>
        </w:rPr>
        <w:t xml:space="preserve"> and Attendance A</w:t>
      </w:r>
      <w:r w:rsidR="006B5AC5" w:rsidRPr="000A7FA5">
        <w:rPr>
          <w:rFonts w:eastAsia="PMingLiU"/>
          <w:lang w:eastAsia="zh-TW"/>
        </w:rPr>
        <w:t xml:space="preserve">llowance </w:t>
      </w:r>
      <w:r w:rsidR="006B5AC5">
        <w:rPr>
          <w:rFonts w:eastAsia="PMingLiU"/>
          <w:lang w:eastAsia="zh-TW"/>
        </w:rPr>
        <w:t xml:space="preserve">per 1,000 adults per </w:t>
      </w:r>
      <w:r w:rsidR="00620280">
        <w:rPr>
          <w:rFonts w:eastAsia="PMingLiU"/>
          <w:lang w:eastAsia="zh-TW"/>
        </w:rPr>
        <w:t>MSOA</w:t>
      </w:r>
      <w:r w:rsidR="006B5AC5">
        <w:rPr>
          <w:rFonts w:eastAsia="PMingLiU"/>
          <w:lang w:eastAsia="zh-TW"/>
        </w:rPr>
        <w:t xml:space="preserve">, and </w:t>
      </w:r>
      <w:r w:rsidR="002D7EF1">
        <w:rPr>
          <w:rFonts w:eastAsia="PMingLiU"/>
          <w:lang w:eastAsia="zh-TW"/>
        </w:rPr>
        <w:t>the</w:t>
      </w:r>
      <w:r w:rsidR="006B5AC5">
        <w:rPr>
          <w:rFonts w:eastAsia="PMingLiU"/>
          <w:lang w:eastAsia="zh-TW"/>
        </w:rPr>
        <w:t xml:space="preserve"> c</w:t>
      </w:r>
      <w:r w:rsidR="006B5AC5" w:rsidRPr="000A7FA5">
        <w:rPr>
          <w:rFonts w:eastAsia="PMingLiU"/>
          <w:lang w:eastAsia="zh-TW"/>
        </w:rPr>
        <w:t xml:space="preserve">ombined </w:t>
      </w:r>
      <w:r w:rsidR="006B5AC5">
        <w:rPr>
          <w:rFonts w:eastAsia="PMingLiU"/>
          <w:lang w:eastAsia="zh-TW"/>
        </w:rPr>
        <w:t xml:space="preserve">rate of </w:t>
      </w:r>
      <w:r w:rsidR="002D7EF1">
        <w:rPr>
          <w:rFonts w:eastAsia="PMingLiU"/>
          <w:lang w:eastAsia="zh-TW"/>
        </w:rPr>
        <w:t>I</w:t>
      </w:r>
      <w:r w:rsidR="006B5AC5" w:rsidRPr="000A7FA5">
        <w:rPr>
          <w:rFonts w:eastAsia="PMingLiU"/>
          <w:lang w:eastAsia="zh-TW"/>
        </w:rPr>
        <w:t xml:space="preserve">ncapacity </w:t>
      </w:r>
      <w:r w:rsidR="002D7EF1">
        <w:rPr>
          <w:rFonts w:eastAsia="PMingLiU"/>
          <w:lang w:eastAsia="zh-TW"/>
        </w:rPr>
        <w:t>B</w:t>
      </w:r>
      <w:r w:rsidR="006B5AC5">
        <w:rPr>
          <w:rFonts w:eastAsia="PMingLiU"/>
          <w:lang w:eastAsia="zh-TW"/>
        </w:rPr>
        <w:t xml:space="preserve">enefit </w:t>
      </w:r>
      <w:r w:rsidR="006B5AC5" w:rsidRPr="000A7FA5">
        <w:rPr>
          <w:rFonts w:eastAsia="PMingLiU"/>
          <w:lang w:eastAsia="zh-TW"/>
        </w:rPr>
        <w:t>plus S</w:t>
      </w:r>
      <w:r w:rsidR="006B5AC5">
        <w:rPr>
          <w:rFonts w:eastAsia="PMingLiU"/>
          <w:lang w:eastAsia="zh-TW"/>
        </w:rPr>
        <w:t xml:space="preserve">evere </w:t>
      </w:r>
      <w:r w:rsidR="006B5AC5" w:rsidRPr="000A7FA5">
        <w:rPr>
          <w:rFonts w:eastAsia="PMingLiU"/>
          <w:lang w:eastAsia="zh-TW"/>
        </w:rPr>
        <w:t>D</w:t>
      </w:r>
      <w:r w:rsidR="006B5AC5">
        <w:rPr>
          <w:rFonts w:eastAsia="PMingLiU"/>
          <w:lang w:eastAsia="zh-TW"/>
        </w:rPr>
        <w:t xml:space="preserve">isablement </w:t>
      </w:r>
      <w:r w:rsidR="006B5AC5" w:rsidRPr="000A7FA5">
        <w:rPr>
          <w:rFonts w:eastAsia="PMingLiU"/>
          <w:lang w:eastAsia="zh-TW"/>
        </w:rPr>
        <w:t>A</w:t>
      </w:r>
      <w:r w:rsidR="006B5AC5">
        <w:rPr>
          <w:rFonts w:eastAsia="PMingLiU"/>
          <w:lang w:eastAsia="zh-TW"/>
        </w:rPr>
        <w:t>llowance</w:t>
      </w:r>
      <w:r w:rsidR="006B5AC5" w:rsidRPr="000A7FA5">
        <w:rPr>
          <w:rFonts w:eastAsia="PMingLiU"/>
          <w:lang w:eastAsia="zh-TW"/>
        </w:rPr>
        <w:t xml:space="preserve"> plus E</w:t>
      </w:r>
      <w:r w:rsidR="006B5AC5">
        <w:rPr>
          <w:rFonts w:eastAsia="PMingLiU"/>
          <w:lang w:eastAsia="zh-TW"/>
        </w:rPr>
        <w:t xml:space="preserve">mployment and </w:t>
      </w:r>
      <w:r w:rsidR="006B5AC5" w:rsidRPr="000A7FA5">
        <w:rPr>
          <w:rFonts w:eastAsia="PMingLiU"/>
          <w:lang w:eastAsia="zh-TW"/>
        </w:rPr>
        <w:t>S</w:t>
      </w:r>
      <w:r w:rsidR="006B5AC5">
        <w:rPr>
          <w:rFonts w:eastAsia="PMingLiU"/>
          <w:lang w:eastAsia="zh-TW"/>
        </w:rPr>
        <w:t xml:space="preserve">upport </w:t>
      </w:r>
      <w:r w:rsidR="006B5AC5" w:rsidRPr="00CE2594">
        <w:rPr>
          <w:rFonts w:eastAsia="PMingLiU"/>
          <w:color w:val="000000" w:themeColor="text1"/>
          <w:lang w:eastAsia="zh-TW"/>
        </w:rPr>
        <w:t xml:space="preserve">Allowance </w:t>
      </w:r>
      <w:r w:rsidR="006B5AC5">
        <w:rPr>
          <w:rFonts w:eastAsia="PMingLiU"/>
          <w:color w:val="000000" w:themeColor="text1"/>
          <w:lang w:eastAsia="zh-TW"/>
        </w:rPr>
        <w:t>per 1,</w:t>
      </w:r>
      <w:r w:rsidR="006B5AC5" w:rsidRPr="00CE2594">
        <w:rPr>
          <w:rFonts w:eastAsia="PMingLiU"/>
          <w:color w:val="000000" w:themeColor="text1"/>
          <w:lang w:eastAsia="zh-TW"/>
        </w:rPr>
        <w:t>000 adults</w:t>
      </w:r>
      <w:r w:rsidR="006B5AC5">
        <w:rPr>
          <w:rFonts w:eastAsia="PMingLiU"/>
          <w:color w:val="000000" w:themeColor="text1"/>
          <w:lang w:eastAsia="zh-TW"/>
        </w:rPr>
        <w:t xml:space="preserve"> per </w:t>
      </w:r>
      <w:r w:rsidR="00620280">
        <w:rPr>
          <w:rFonts w:eastAsia="PMingLiU"/>
          <w:color w:val="000000" w:themeColor="text1"/>
          <w:lang w:eastAsia="zh-TW"/>
        </w:rPr>
        <w:t>MSOA</w:t>
      </w:r>
      <w:r w:rsidR="006B5AC5">
        <w:rPr>
          <w:rFonts w:eastAsia="PMingLiU"/>
          <w:color w:val="000000" w:themeColor="text1"/>
          <w:lang w:eastAsia="zh-TW"/>
        </w:rPr>
        <w:t>. Both benefit measures were</w:t>
      </w:r>
      <w:r w:rsidR="006B5AC5">
        <w:rPr>
          <w:rFonts w:eastAsia="PMingLiU"/>
          <w:lang w:eastAsia="zh-TW"/>
        </w:rPr>
        <w:t xml:space="preserve"> derived from </w:t>
      </w:r>
      <w:r w:rsidR="001E0C8C">
        <w:rPr>
          <w:rFonts w:eastAsia="PMingLiU"/>
          <w:lang w:eastAsia="zh-TW"/>
        </w:rPr>
        <w:t xml:space="preserve">data held on </w:t>
      </w:r>
      <w:r w:rsidR="006B5AC5">
        <w:rPr>
          <w:rFonts w:eastAsia="PMingLiU"/>
          <w:lang w:eastAsia="zh-TW"/>
        </w:rPr>
        <w:t xml:space="preserve">the </w:t>
      </w:r>
      <w:r w:rsidR="001E0C8C">
        <w:rPr>
          <w:rFonts w:eastAsia="PMingLiU"/>
          <w:lang w:eastAsia="zh-TW"/>
        </w:rPr>
        <w:t>NOMIS</w:t>
      </w:r>
      <w:r w:rsidR="006B5AC5">
        <w:rPr>
          <w:rFonts w:eastAsia="PMingLiU"/>
          <w:lang w:eastAsia="zh-TW"/>
        </w:rPr>
        <w:t xml:space="preserve"> website</w:t>
      </w:r>
      <w:r w:rsidR="00DC24D8">
        <w:rPr>
          <w:rFonts w:eastAsia="PMingLiU"/>
          <w:lang w:eastAsia="zh-TW"/>
        </w:rPr>
        <w:t xml:space="preserve"> </w:t>
      </w:r>
      <w:r w:rsidR="00DC24D8">
        <w:rPr>
          <w:rFonts w:eastAsia="PMingLiU"/>
          <w:lang w:eastAsia="zh-TW"/>
        </w:rPr>
        <w:fldChar w:fldCharType="begin"/>
      </w:r>
      <w:r w:rsidR="00DC24D8">
        <w:rPr>
          <w:rFonts w:eastAsia="PMingLiU"/>
          <w:lang w:eastAsia="zh-TW"/>
        </w:rPr>
        <w:instrText xml:space="preserve"> ADDIN EN.CITE &lt;EndNote&gt;&lt;Cite&gt;&lt;Author&gt;NOMIS&lt;/Author&gt;&lt;RecNum&gt;847&lt;/RecNum&gt;&lt;DisplayText&gt;[19]&lt;/DisplayText&gt;&lt;record&gt;&lt;rec-number&gt;847&lt;/rec-number&gt;&lt;foreign-keys&gt;&lt;key app="EN" db-id="v52zta5tsa9ezsezdzlv2zvd9rswwpvzdt9f"&gt;847&lt;/key&gt;&lt;/foreign-keys&gt;&lt;ref-type name="Web Page"&gt;12&lt;/ref-type&gt;&lt;contributors&gt;&lt;authors&gt;&lt;author&gt;NOMIS&lt;/author&gt;&lt;/authors&gt;&lt;/contributors&gt;&lt;titles&gt;&lt;title&gt;Benefit Claimants: working age clients for small areas&lt;/title&gt;&lt;/titles&gt;&lt;volume&gt;2016&lt;/volume&gt;&lt;number&gt;Jan&lt;/number&gt;&lt;dates&gt;&lt;/dates&gt;&lt;pub-location&gt;https://www.nomisweb.co.uk/query/construct/summary.asp?mode=construct&amp;amp;version=0&amp;amp;dataset=103&lt;/pub-location&gt;&lt;urls&gt;&lt;related-urls&gt;&lt;url&gt;https://www.nomisweb.co.uk/query/construct/summary.asp?mode=construct&amp;amp;version=0&amp;amp;dataset=103&lt;/url&gt;&lt;/related-urls&gt;&lt;/urls&gt;&lt;/record&gt;&lt;/Cite&gt;&lt;/EndNote&gt;</w:instrText>
      </w:r>
      <w:r w:rsidR="00DC24D8">
        <w:rPr>
          <w:rFonts w:eastAsia="PMingLiU"/>
          <w:lang w:eastAsia="zh-TW"/>
        </w:rPr>
        <w:fldChar w:fldCharType="separate"/>
      </w:r>
      <w:r w:rsidR="00DC24D8">
        <w:rPr>
          <w:rFonts w:eastAsia="PMingLiU"/>
          <w:noProof/>
          <w:lang w:eastAsia="zh-TW"/>
        </w:rPr>
        <w:t>[</w:t>
      </w:r>
      <w:hyperlink w:anchor="_ENREF_19" w:tooltip="NOMIS,  #847" w:history="1">
        <w:r w:rsidR="00DC24D8">
          <w:rPr>
            <w:rFonts w:eastAsia="PMingLiU"/>
            <w:noProof/>
            <w:lang w:eastAsia="zh-TW"/>
          </w:rPr>
          <w:t>19</w:t>
        </w:r>
      </w:hyperlink>
      <w:r w:rsidR="00DC24D8">
        <w:rPr>
          <w:rFonts w:eastAsia="PMingLiU"/>
          <w:noProof/>
          <w:lang w:eastAsia="zh-TW"/>
        </w:rPr>
        <w:t>]</w:t>
      </w:r>
      <w:r w:rsidR="00DC24D8">
        <w:rPr>
          <w:rFonts w:eastAsia="PMingLiU"/>
          <w:lang w:eastAsia="zh-TW"/>
        </w:rPr>
        <w:fldChar w:fldCharType="end"/>
      </w:r>
      <w:r w:rsidR="006B5AC5">
        <w:rPr>
          <w:rFonts w:eastAsia="PMingLiU"/>
          <w:lang w:eastAsia="zh-TW"/>
        </w:rPr>
        <w:t xml:space="preserve">.  </w:t>
      </w:r>
      <w:r w:rsidR="002D7EF1">
        <w:rPr>
          <w:rFonts w:eastAsia="PMingLiU"/>
          <w:color w:val="000000" w:themeColor="text1"/>
          <w:lang w:eastAsia="zh-TW"/>
        </w:rPr>
        <w:t>For deprivation we used</w:t>
      </w:r>
      <w:r w:rsidR="006B5AC5">
        <w:rPr>
          <w:rFonts w:eastAsia="PMingLiU"/>
          <w:color w:val="000000" w:themeColor="text1"/>
          <w:lang w:eastAsia="zh-TW"/>
        </w:rPr>
        <w:t xml:space="preserve"> a UK-wide</w:t>
      </w:r>
      <w:r w:rsidR="006B5AC5" w:rsidRPr="00CE2594">
        <w:rPr>
          <w:rFonts w:eastAsia="PMingLiU"/>
          <w:color w:val="000000" w:themeColor="text1"/>
          <w:lang w:eastAsia="zh-TW"/>
        </w:rPr>
        <w:t xml:space="preserve"> Index of Multiple Deprivation (IMD) score, calibrated from the English, Scottish and Welsh versions of the index</w:t>
      </w:r>
      <w:r w:rsidR="0063204D">
        <w:rPr>
          <w:rFonts w:eastAsia="PMingLiU"/>
          <w:color w:val="000000" w:themeColor="text1"/>
          <w:lang w:eastAsia="zh-TW"/>
        </w:rPr>
        <w:t xml:space="preserve"> using a modified version of the method outlined by Payne and Abel.</w:t>
      </w:r>
      <w:r w:rsidR="006B5AC5" w:rsidRPr="00CE2594">
        <w:rPr>
          <w:rFonts w:eastAsia="PMingLiU"/>
          <w:color w:val="000000" w:themeColor="text1"/>
          <w:lang w:eastAsia="zh-TW"/>
        </w:rPr>
        <w:t xml:space="preserve"> </w:t>
      </w:r>
      <w:r w:rsidR="006B5AC5" w:rsidRPr="00CE2594">
        <w:rPr>
          <w:rFonts w:eastAsia="PMingLiU"/>
          <w:color w:val="000000" w:themeColor="text1"/>
          <w:lang w:eastAsia="zh-TW"/>
        </w:rPr>
        <w:fldChar w:fldCharType="begin"/>
      </w:r>
      <w:r w:rsidR="00DC24D8">
        <w:rPr>
          <w:rFonts w:eastAsia="PMingLiU"/>
          <w:color w:val="000000" w:themeColor="text1"/>
          <w:lang w:eastAsia="zh-TW"/>
        </w:rPr>
        <w:instrText xml:space="preserve"> ADDIN EN.CITE &lt;EndNote&gt;&lt;Cite&gt;&lt;Author&gt;Payne&lt;/Author&gt;&lt;Year&gt;2012&lt;/Year&gt;&lt;RecNum&gt;773&lt;/RecNum&gt;&lt;DisplayText&gt;[20]&lt;/DisplayText&gt;&lt;record&gt;&lt;rec-number&gt;773&lt;/rec-number&gt;&lt;foreign-keys&gt;&lt;key app="EN" db-id="erwxtz291d059ve0f2m520v7a0v5d0w5ep2r"&gt;773&lt;/key&gt;&lt;/foreign-keys&gt;&lt;ref-type name="Government Document"&gt;46&lt;/ref-type&gt;&lt;contributors&gt;&lt;authors&gt;&lt;author&gt;Rupert Payne&lt;/author&gt;&lt;author&gt;Gary Abel&lt;/author&gt;&lt;/authors&gt;&lt;/contributors&gt;&lt;titles&gt;&lt;title&gt;UK indices of multiple deprivation - a way to make comparisons across constituent countries easier&lt;/title&gt;&lt;/titles&gt;&lt;dates&gt;&lt;year&gt;2012&lt;/year&gt;&lt;/dates&gt;&lt;pub-location&gt;London&lt;/pub-location&gt;&lt;publisher&gt;Office for National Statistics&lt;/publisher&gt;&lt;urls&gt;&lt;related-urls&gt;&lt;url&gt;http://www.ons.gov.uk/ons/rel/hsq/health-statistics-quarterly/no--53--spring-2012/uk-indices-of-multiple-deprivation.html&lt;/url&gt;&lt;/related-urls&gt;&lt;/urls&gt;&lt;/record&gt;&lt;/Cite&gt;&lt;/EndNote&gt;</w:instrText>
      </w:r>
      <w:r w:rsidR="006B5AC5" w:rsidRPr="00CE2594">
        <w:rPr>
          <w:rFonts w:eastAsia="PMingLiU"/>
          <w:color w:val="000000" w:themeColor="text1"/>
          <w:lang w:eastAsia="zh-TW"/>
        </w:rPr>
        <w:fldChar w:fldCharType="separate"/>
      </w:r>
      <w:r w:rsidR="00DC24D8">
        <w:rPr>
          <w:rFonts w:eastAsia="PMingLiU"/>
          <w:noProof/>
          <w:color w:val="000000" w:themeColor="text1"/>
          <w:lang w:eastAsia="zh-TW"/>
        </w:rPr>
        <w:t>[</w:t>
      </w:r>
      <w:hyperlink w:anchor="_ENREF_20" w:tooltip="Payne, 2012 #773" w:history="1">
        <w:r w:rsidR="00DC24D8">
          <w:rPr>
            <w:rFonts w:eastAsia="PMingLiU"/>
            <w:noProof/>
            <w:color w:val="000000" w:themeColor="text1"/>
            <w:lang w:eastAsia="zh-TW"/>
          </w:rPr>
          <w:t>20</w:t>
        </w:r>
      </w:hyperlink>
      <w:r w:rsidR="00DC24D8">
        <w:rPr>
          <w:rFonts w:eastAsia="PMingLiU"/>
          <w:noProof/>
          <w:color w:val="000000" w:themeColor="text1"/>
          <w:lang w:eastAsia="zh-TW"/>
        </w:rPr>
        <w:t>]</w:t>
      </w:r>
      <w:r w:rsidR="006B5AC5" w:rsidRPr="00CE2594">
        <w:rPr>
          <w:rFonts w:eastAsia="PMingLiU"/>
          <w:color w:val="000000" w:themeColor="text1"/>
          <w:lang w:eastAsia="zh-TW"/>
        </w:rPr>
        <w:fldChar w:fldCharType="end"/>
      </w:r>
      <w:r w:rsidR="006B5AC5" w:rsidRPr="00CE2594">
        <w:rPr>
          <w:rFonts w:eastAsia="PMingLiU"/>
          <w:color w:val="000000" w:themeColor="text1"/>
          <w:lang w:eastAsia="zh-TW"/>
        </w:rPr>
        <w:t xml:space="preserve">. </w:t>
      </w:r>
      <w:r w:rsidR="002D7EF1">
        <w:rPr>
          <w:rFonts w:eastAsia="PMingLiU"/>
          <w:color w:val="000000" w:themeColor="text1"/>
          <w:lang w:eastAsia="zh-TW"/>
        </w:rPr>
        <w:t>To track survey effects we also added a flag denoting whether a respondent was from England, Scotland or Wales.</w:t>
      </w:r>
    </w:p>
    <w:p w:rsidR="00587A49" w:rsidRDefault="00587A49" w:rsidP="00F92813">
      <w:pPr>
        <w:spacing w:line="480" w:lineRule="auto"/>
        <w:rPr>
          <w:color w:val="000000" w:themeColor="text1"/>
          <w:lang w:eastAsia="zh-TW"/>
        </w:rPr>
      </w:pPr>
    </w:p>
    <w:p w:rsidR="00921EF3" w:rsidRDefault="0063204D" w:rsidP="00F92813">
      <w:pPr>
        <w:autoSpaceDE w:val="0"/>
        <w:autoSpaceDN w:val="0"/>
        <w:adjustRightInd w:val="0"/>
        <w:spacing w:line="480" w:lineRule="auto"/>
        <w:rPr>
          <w:color w:val="000000"/>
        </w:rPr>
      </w:pPr>
      <w:r>
        <w:rPr>
          <w:color w:val="000000" w:themeColor="text1"/>
          <w:shd w:val="clear" w:color="auto" w:fill="FFFFFF"/>
        </w:rPr>
        <w:t>The outcome measures for our two SAE models were poor</w:t>
      </w:r>
      <w:r w:rsidR="00CD2933">
        <w:rPr>
          <w:color w:val="000000" w:themeColor="text1"/>
          <w:shd w:val="clear" w:color="auto" w:fill="FFFFFF"/>
        </w:rPr>
        <w:t>er</w:t>
      </w:r>
      <w:r>
        <w:rPr>
          <w:color w:val="000000" w:themeColor="text1"/>
          <w:shd w:val="clear" w:color="auto" w:fill="FFFFFF"/>
        </w:rPr>
        <w:t xml:space="preserve"> SRGH and possession of an LLTI. Both measures required harmonisation of the relevant questions across the three surveys and in the Decennial Population Census</w:t>
      </w:r>
      <w:r w:rsidR="00921EF3">
        <w:rPr>
          <w:color w:val="000000"/>
          <w:lang w:eastAsia="en-US"/>
        </w:rPr>
        <w:t xml:space="preserve"> (Table 1). </w:t>
      </w:r>
      <w:r>
        <w:rPr>
          <w:color w:val="000000"/>
          <w:lang w:eastAsia="en-US"/>
        </w:rPr>
        <w:t xml:space="preserve"> For SRGH</w:t>
      </w:r>
      <w:r w:rsidR="00A1214B">
        <w:rPr>
          <w:color w:val="000000"/>
          <w:lang w:eastAsia="en-US"/>
        </w:rPr>
        <w:t>,</w:t>
      </w:r>
      <w:r>
        <w:rPr>
          <w:color w:val="000000"/>
          <w:lang w:eastAsia="en-US"/>
        </w:rPr>
        <w:t xml:space="preserve"> r</w:t>
      </w:r>
      <w:r w:rsidR="00921EF3">
        <w:rPr>
          <w:color w:val="000000" w:themeColor="text1"/>
          <w:shd w:val="clear" w:color="auto" w:fill="FFFFFF"/>
        </w:rPr>
        <w:t>espondents were asked to self-report</w:t>
      </w:r>
      <w:r w:rsidR="00921EF3" w:rsidRPr="005A713E">
        <w:rPr>
          <w:rFonts w:cs="Tahoma"/>
          <w:color w:val="000000" w:themeColor="text1"/>
          <w:shd w:val="clear" w:color="auto" w:fill="FFFFFF"/>
        </w:rPr>
        <w:t xml:space="preserve"> </w:t>
      </w:r>
      <w:r w:rsidR="00921EF3">
        <w:rPr>
          <w:rFonts w:cs="Tahoma"/>
          <w:color w:val="000000" w:themeColor="text1"/>
          <w:shd w:val="clear" w:color="auto" w:fill="FFFFFF"/>
        </w:rPr>
        <w:t xml:space="preserve">their </w:t>
      </w:r>
      <w:r w:rsidR="00921EF3" w:rsidRPr="005A713E">
        <w:rPr>
          <w:rFonts w:cs="Tahoma"/>
          <w:color w:val="000000" w:themeColor="text1"/>
          <w:shd w:val="clear" w:color="auto" w:fill="FFFFFF"/>
        </w:rPr>
        <w:t>general health</w:t>
      </w:r>
      <w:r>
        <w:rPr>
          <w:rFonts w:cs="Tahoma"/>
          <w:color w:val="000000" w:themeColor="text1"/>
          <w:shd w:val="clear" w:color="auto" w:fill="FFFFFF"/>
        </w:rPr>
        <w:t xml:space="preserve">. </w:t>
      </w:r>
      <w:r w:rsidR="00921EF3" w:rsidRPr="005A713E">
        <w:rPr>
          <w:rFonts w:cs="Tahoma"/>
          <w:color w:val="000000" w:themeColor="text1"/>
          <w:shd w:val="clear" w:color="auto" w:fill="FFFFFF"/>
        </w:rPr>
        <w:t xml:space="preserve"> </w:t>
      </w:r>
      <w:r w:rsidR="00921EF3">
        <w:rPr>
          <w:rFonts w:cs="Tahoma"/>
          <w:color w:val="000000" w:themeColor="text1"/>
          <w:shd w:val="clear" w:color="auto" w:fill="FFFFFF"/>
        </w:rPr>
        <w:t xml:space="preserve">In the Census, </w:t>
      </w:r>
      <w:proofErr w:type="spellStart"/>
      <w:r w:rsidR="00921EF3">
        <w:rPr>
          <w:rFonts w:cs="Tahoma"/>
          <w:color w:val="000000" w:themeColor="text1"/>
          <w:shd w:val="clear" w:color="auto" w:fill="FFFFFF"/>
        </w:rPr>
        <w:t>HS</w:t>
      </w:r>
      <w:r>
        <w:rPr>
          <w:rFonts w:cs="Tahoma"/>
          <w:color w:val="000000" w:themeColor="text1"/>
          <w:shd w:val="clear" w:color="auto" w:fill="FFFFFF"/>
        </w:rPr>
        <w:t>f</w:t>
      </w:r>
      <w:r w:rsidR="00BC3E3F">
        <w:rPr>
          <w:rFonts w:cs="Tahoma"/>
          <w:color w:val="000000" w:themeColor="text1"/>
          <w:shd w:val="clear" w:color="auto" w:fill="FFFFFF"/>
        </w:rPr>
        <w:t>E</w:t>
      </w:r>
      <w:proofErr w:type="spellEnd"/>
      <w:r w:rsidR="00BC3E3F">
        <w:rPr>
          <w:rFonts w:cs="Tahoma"/>
          <w:color w:val="000000" w:themeColor="text1"/>
          <w:shd w:val="clear" w:color="auto" w:fill="FFFFFF"/>
        </w:rPr>
        <w:t xml:space="preserve"> and SHS</w:t>
      </w:r>
      <w:r w:rsidR="00921EF3">
        <w:rPr>
          <w:rFonts w:cs="Tahoma"/>
          <w:color w:val="000000" w:themeColor="text1"/>
          <w:shd w:val="clear" w:color="auto" w:fill="FFFFFF"/>
        </w:rPr>
        <w:t xml:space="preserve"> ‘very good’ or ‘good’ general health was coded as good </w:t>
      </w:r>
      <w:r>
        <w:rPr>
          <w:rFonts w:cs="Tahoma"/>
          <w:color w:val="000000" w:themeColor="text1"/>
          <w:shd w:val="clear" w:color="auto" w:fill="FFFFFF"/>
        </w:rPr>
        <w:lastRenderedPageBreak/>
        <w:t>SRGH</w:t>
      </w:r>
      <w:r w:rsidR="00921EF3">
        <w:rPr>
          <w:rFonts w:cs="Tahoma"/>
          <w:color w:val="000000" w:themeColor="text1"/>
          <w:shd w:val="clear" w:color="auto" w:fill="FFFFFF"/>
        </w:rPr>
        <w:t xml:space="preserve">; </w:t>
      </w:r>
      <w:r w:rsidR="00A1214B">
        <w:rPr>
          <w:rFonts w:cs="Tahoma"/>
          <w:color w:val="000000" w:themeColor="text1"/>
          <w:shd w:val="clear" w:color="auto" w:fill="FFFFFF"/>
        </w:rPr>
        <w:t>‘</w:t>
      </w:r>
      <w:r w:rsidR="00921EF3">
        <w:rPr>
          <w:rFonts w:cs="Tahoma"/>
          <w:color w:val="000000" w:themeColor="text1"/>
          <w:shd w:val="clear" w:color="auto" w:fill="FFFFFF"/>
        </w:rPr>
        <w:t xml:space="preserve">fair’, ‘bad’ or ‘very bad’ general health was coded </w:t>
      </w:r>
      <w:r w:rsidR="00CD2933">
        <w:rPr>
          <w:rFonts w:cs="Tahoma"/>
          <w:color w:val="000000" w:themeColor="text1"/>
          <w:shd w:val="clear" w:color="auto" w:fill="FFFFFF"/>
        </w:rPr>
        <w:t xml:space="preserve"> as poorer</w:t>
      </w:r>
      <w:r>
        <w:rPr>
          <w:rFonts w:cs="Tahoma"/>
          <w:color w:val="000000" w:themeColor="text1"/>
          <w:shd w:val="clear" w:color="auto" w:fill="FFFFFF"/>
        </w:rPr>
        <w:t xml:space="preserve"> SRGH</w:t>
      </w:r>
      <w:r w:rsidR="00921EF3">
        <w:rPr>
          <w:rFonts w:cs="Tahoma"/>
          <w:color w:val="000000" w:themeColor="text1"/>
          <w:shd w:val="clear" w:color="auto" w:fill="FFFFFF"/>
        </w:rPr>
        <w:t xml:space="preserve">. In the WHS  ‘excellent’, ‘very good’ or ‘good’ general health was coded as good </w:t>
      </w:r>
      <w:r w:rsidR="00BC3E3F">
        <w:rPr>
          <w:rFonts w:cs="Tahoma"/>
          <w:color w:val="000000" w:themeColor="text1"/>
          <w:shd w:val="clear" w:color="auto" w:fill="FFFFFF"/>
        </w:rPr>
        <w:t>SRGH</w:t>
      </w:r>
      <w:r w:rsidR="00921EF3">
        <w:rPr>
          <w:rFonts w:cs="Tahoma"/>
          <w:color w:val="000000" w:themeColor="text1"/>
          <w:shd w:val="clear" w:color="auto" w:fill="FFFFFF"/>
        </w:rPr>
        <w:t xml:space="preserve"> and  ‘fair’ or ‘poor’ general health was  coded as </w:t>
      </w:r>
      <w:r w:rsidR="00CD2933">
        <w:rPr>
          <w:rFonts w:cs="Tahoma"/>
          <w:color w:val="000000" w:themeColor="text1"/>
          <w:shd w:val="clear" w:color="auto" w:fill="FFFFFF"/>
        </w:rPr>
        <w:t>poorer</w:t>
      </w:r>
      <w:r w:rsidR="00BC3E3F">
        <w:rPr>
          <w:rFonts w:cs="Tahoma"/>
          <w:color w:val="000000" w:themeColor="text1"/>
          <w:shd w:val="clear" w:color="auto" w:fill="FFFFFF"/>
        </w:rPr>
        <w:t xml:space="preserve"> SRGH</w:t>
      </w:r>
      <w:r w:rsidR="00921EF3">
        <w:rPr>
          <w:rFonts w:cs="Tahoma"/>
          <w:color w:val="000000" w:themeColor="text1"/>
          <w:shd w:val="clear" w:color="auto" w:fill="FFFFFF"/>
        </w:rPr>
        <w:t>.</w:t>
      </w:r>
      <w:r w:rsidR="00921EF3">
        <w:rPr>
          <w:color w:val="000000"/>
          <w:lang w:eastAsia="en-US"/>
        </w:rPr>
        <w:t xml:space="preserve"> LLTI was also </w:t>
      </w:r>
      <w:r w:rsidR="00921EF3">
        <w:rPr>
          <w:rFonts w:cs="Arial"/>
          <w:color w:val="000000"/>
        </w:rPr>
        <w:t>dichotomised. In the Census and the WHS, respondents were asked first to define if they had</w:t>
      </w:r>
      <w:r w:rsidR="00921EF3" w:rsidRPr="00F96900">
        <w:rPr>
          <w:color w:val="000000"/>
          <w:shd w:val="clear" w:color="auto" w:fill="FFFFFF"/>
        </w:rPr>
        <w:t xml:space="preserve"> any long-term illness, health pr</w:t>
      </w:r>
      <w:r w:rsidR="00921EF3">
        <w:rPr>
          <w:color w:val="000000"/>
          <w:shd w:val="clear" w:color="auto" w:fill="FFFFFF"/>
        </w:rPr>
        <w:t>oblem or disability which limited</w:t>
      </w:r>
      <w:r w:rsidR="00921EF3" w:rsidRPr="00F96900">
        <w:rPr>
          <w:color w:val="000000"/>
          <w:shd w:val="clear" w:color="auto" w:fill="FFFFFF"/>
        </w:rPr>
        <w:t xml:space="preserve"> </w:t>
      </w:r>
      <w:r w:rsidR="00921EF3">
        <w:rPr>
          <w:color w:val="000000"/>
          <w:shd w:val="clear" w:color="auto" w:fill="FFFFFF"/>
        </w:rPr>
        <w:t xml:space="preserve">their </w:t>
      </w:r>
      <w:r w:rsidR="00921EF3" w:rsidRPr="00F96900">
        <w:rPr>
          <w:color w:val="000000"/>
          <w:shd w:val="clear" w:color="auto" w:fill="FFFFFF"/>
        </w:rPr>
        <w:t xml:space="preserve">daily activities or the </w:t>
      </w:r>
      <w:r w:rsidR="00921EF3" w:rsidRPr="00B45471">
        <w:rPr>
          <w:color w:val="000000"/>
          <w:shd w:val="clear" w:color="auto" w:fill="FFFFFF"/>
        </w:rPr>
        <w:t xml:space="preserve">work </w:t>
      </w:r>
      <w:r w:rsidR="00921EF3" w:rsidRPr="00B45471">
        <w:rPr>
          <w:color w:val="000000" w:themeColor="text1"/>
          <w:shd w:val="clear" w:color="auto" w:fill="FFFFFF"/>
        </w:rPr>
        <w:t xml:space="preserve">they </w:t>
      </w:r>
      <w:r w:rsidR="00921EF3">
        <w:rPr>
          <w:color w:val="000000" w:themeColor="text1"/>
          <w:shd w:val="clear" w:color="auto" w:fill="FFFFFF"/>
        </w:rPr>
        <w:t>could</w:t>
      </w:r>
      <w:r w:rsidR="00921EF3" w:rsidRPr="00B45471">
        <w:rPr>
          <w:color w:val="000000" w:themeColor="text1"/>
          <w:shd w:val="clear" w:color="auto" w:fill="FFFFFF"/>
        </w:rPr>
        <w:t xml:space="preserve"> do. If they responded ‘yes, limited a lot’ or ‘yes, limited a little’ they were coded as having a LLTI</w:t>
      </w:r>
      <w:r w:rsidR="00921EF3">
        <w:rPr>
          <w:color w:val="000000" w:themeColor="text1"/>
          <w:shd w:val="clear" w:color="auto" w:fill="FFFFFF"/>
        </w:rPr>
        <w:t>, and if they responded ‘no’ they were not</w:t>
      </w:r>
      <w:r w:rsidR="00921EF3" w:rsidRPr="00B45471">
        <w:rPr>
          <w:color w:val="000000" w:themeColor="text1"/>
          <w:shd w:val="clear" w:color="auto" w:fill="FFFFFF"/>
        </w:rPr>
        <w:t xml:space="preserve">. In the </w:t>
      </w:r>
      <w:proofErr w:type="spellStart"/>
      <w:r w:rsidR="00921EF3" w:rsidRPr="00B45471">
        <w:rPr>
          <w:color w:val="000000" w:themeColor="text1"/>
          <w:shd w:val="clear" w:color="auto" w:fill="FFFFFF"/>
        </w:rPr>
        <w:t>HS</w:t>
      </w:r>
      <w:r w:rsidR="00BC3E3F">
        <w:rPr>
          <w:color w:val="000000" w:themeColor="text1"/>
          <w:shd w:val="clear" w:color="auto" w:fill="FFFFFF"/>
        </w:rPr>
        <w:t>f</w:t>
      </w:r>
      <w:r w:rsidR="00921EF3" w:rsidRPr="00B45471">
        <w:rPr>
          <w:color w:val="000000" w:themeColor="text1"/>
          <w:shd w:val="clear" w:color="auto" w:fill="FFFFFF"/>
        </w:rPr>
        <w:t>E</w:t>
      </w:r>
      <w:proofErr w:type="spellEnd"/>
      <w:r w:rsidR="00921EF3" w:rsidRPr="00B45471">
        <w:rPr>
          <w:color w:val="000000" w:themeColor="text1"/>
          <w:shd w:val="clear" w:color="auto" w:fill="FFFFFF"/>
        </w:rPr>
        <w:t xml:space="preserve"> people were</w:t>
      </w:r>
      <w:r w:rsidR="00921EF3">
        <w:rPr>
          <w:color w:val="000000" w:themeColor="text1"/>
          <w:shd w:val="clear" w:color="auto" w:fill="FFFFFF"/>
        </w:rPr>
        <w:t xml:space="preserve"> asked</w:t>
      </w:r>
      <w:r w:rsidR="00921EF3" w:rsidRPr="00B45471">
        <w:rPr>
          <w:color w:val="000000" w:themeColor="text1"/>
          <w:shd w:val="clear" w:color="auto" w:fill="FFFFFF"/>
        </w:rPr>
        <w:t xml:space="preserve"> if they had a </w:t>
      </w:r>
      <w:r w:rsidR="00921EF3" w:rsidRPr="00B45471">
        <w:rPr>
          <w:color w:val="000000"/>
        </w:rPr>
        <w:t xml:space="preserve">long-standing illness, disability or infirmity troubling them over a period of time. If they responded yes, they were </w:t>
      </w:r>
      <w:r w:rsidR="00BC3E3F">
        <w:rPr>
          <w:color w:val="000000"/>
        </w:rPr>
        <w:t xml:space="preserve">then </w:t>
      </w:r>
      <w:r w:rsidR="00921EF3" w:rsidRPr="00B45471">
        <w:rPr>
          <w:color w:val="000000"/>
        </w:rPr>
        <w:t>asked if this limite</w:t>
      </w:r>
      <w:r w:rsidR="00921EF3">
        <w:rPr>
          <w:color w:val="000000"/>
        </w:rPr>
        <w:t>d their activities in any way, with those individuals answering yes to this</w:t>
      </w:r>
      <w:r w:rsidR="00BC3E3F">
        <w:rPr>
          <w:color w:val="000000"/>
        </w:rPr>
        <w:t xml:space="preserve"> second</w:t>
      </w:r>
      <w:r w:rsidR="00921EF3">
        <w:rPr>
          <w:color w:val="000000"/>
        </w:rPr>
        <w:t xml:space="preserve"> question </w:t>
      </w:r>
      <w:r w:rsidR="00BC3E3F">
        <w:rPr>
          <w:color w:val="000000"/>
        </w:rPr>
        <w:t xml:space="preserve">being </w:t>
      </w:r>
      <w:r w:rsidR="00921EF3" w:rsidRPr="00B45471">
        <w:rPr>
          <w:color w:val="000000"/>
        </w:rPr>
        <w:t xml:space="preserve">coded as having a LLTI. </w:t>
      </w:r>
      <w:r w:rsidR="00921EF3" w:rsidRPr="00B45471">
        <w:rPr>
          <w:color w:val="000000" w:themeColor="text1"/>
          <w:shd w:val="clear" w:color="auto" w:fill="FFFFFF"/>
        </w:rPr>
        <w:t xml:space="preserve">In the SHS people were if they had </w:t>
      </w:r>
      <w:r w:rsidR="00921EF3" w:rsidRPr="00B45471">
        <w:t>a long-standing physical or mental condition or disability that troubled them for at least 12 months</w:t>
      </w:r>
      <w:r w:rsidR="00921EF3" w:rsidRPr="00B45471">
        <w:rPr>
          <w:color w:val="000000"/>
        </w:rPr>
        <w:t xml:space="preserve">. If they responded yes, they were asked if </w:t>
      </w:r>
      <w:r w:rsidR="00921EF3" w:rsidRPr="00B45471">
        <w:t>this condition limited their activities in any way</w:t>
      </w:r>
      <w:r w:rsidR="00921EF3">
        <w:rPr>
          <w:color w:val="000000"/>
        </w:rPr>
        <w:t xml:space="preserve">, with those individuals answering yes to this question </w:t>
      </w:r>
      <w:r w:rsidR="00921EF3" w:rsidRPr="00B45471">
        <w:rPr>
          <w:color w:val="000000"/>
        </w:rPr>
        <w:t xml:space="preserve">coded as having a LLTI. </w:t>
      </w:r>
    </w:p>
    <w:p w:rsidR="00144D8C" w:rsidRDefault="00144D8C" w:rsidP="00144D8C">
      <w:pPr>
        <w:pStyle w:val="NoSpacing"/>
        <w:rPr>
          <w:b/>
          <w:bCs/>
          <w:sz w:val="20"/>
          <w:szCs w:val="20"/>
        </w:rPr>
      </w:pPr>
      <w:r w:rsidRPr="005661FA">
        <w:rPr>
          <w:b/>
          <w:bCs/>
          <w:sz w:val="20"/>
          <w:szCs w:val="20"/>
        </w:rPr>
        <w:t xml:space="preserve">Table 1: Wording of </w:t>
      </w:r>
      <w:r>
        <w:rPr>
          <w:b/>
          <w:bCs/>
          <w:sz w:val="20"/>
          <w:szCs w:val="20"/>
        </w:rPr>
        <w:t>SRGH</w:t>
      </w:r>
      <w:r w:rsidRPr="005661FA">
        <w:rPr>
          <w:b/>
          <w:bCs/>
          <w:sz w:val="20"/>
          <w:szCs w:val="20"/>
        </w:rPr>
        <w:t xml:space="preserve"> and LLTI questions for Census, </w:t>
      </w:r>
      <w:proofErr w:type="spellStart"/>
      <w:r w:rsidRPr="005661FA">
        <w:rPr>
          <w:b/>
          <w:bCs/>
          <w:sz w:val="20"/>
          <w:szCs w:val="20"/>
        </w:rPr>
        <w:t>HS</w:t>
      </w:r>
      <w:r>
        <w:rPr>
          <w:b/>
          <w:bCs/>
          <w:sz w:val="20"/>
          <w:szCs w:val="20"/>
        </w:rPr>
        <w:t>f</w:t>
      </w:r>
      <w:r w:rsidRPr="005661FA">
        <w:rPr>
          <w:b/>
          <w:bCs/>
          <w:sz w:val="20"/>
          <w:szCs w:val="20"/>
        </w:rPr>
        <w:t>E</w:t>
      </w:r>
      <w:proofErr w:type="spellEnd"/>
      <w:r w:rsidRPr="005661FA">
        <w:rPr>
          <w:b/>
          <w:bCs/>
          <w:sz w:val="20"/>
          <w:szCs w:val="20"/>
        </w:rPr>
        <w:t xml:space="preserve">, SHS and WHS for </w:t>
      </w:r>
      <w:r>
        <w:rPr>
          <w:b/>
          <w:bCs/>
          <w:sz w:val="20"/>
          <w:szCs w:val="20"/>
        </w:rPr>
        <w:t>people</w:t>
      </w:r>
      <w:r w:rsidRPr="005661FA">
        <w:rPr>
          <w:b/>
          <w:bCs/>
          <w:sz w:val="20"/>
          <w:szCs w:val="20"/>
        </w:rPr>
        <w:t xml:space="preserve"> aged 16+</w:t>
      </w:r>
    </w:p>
    <w:p w:rsidR="00144D8C" w:rsidRPr="005661FA" w:rsidRDefault="00144D8C" w:rsidP="00144D8C">
      <w:pPr>
        <w:pStyle w:val="NoSpacing"/>
        <w:rPr>
          <w:b/>
          <w:bCs/>
          <w:sz w:val="20"/>
          <w:szCs w:val="20"/>
        </w:rPr>
      </w:pPr>
    </w:p>
    <w:tbl>
      <w:tblPr>
        <w:tblW w:w="4518" w:type="pct"/>
        <w:tblLayout w:type="fixed"/>
        <w:tblLook w:val="04A0" w:firstRow="1" w:lastRow="0" w:firstColumn="1" w:lastColumn="0" w:noHBand="0" w:noVBand="1"/>
      </w:tblPr>
      <w:tblGrid>
        <w:gridCol w:w="8351"/>
      </w:tblGrid>
      <w:tr w:rsidR="00144D8C" w:rsidRPr="00144410" w:rsidTr="00144D8C">
        <w:tc>
          <w:tcPr>
            <w:tcW w:w="5000" w:type="pct"/>
          </w:tcPr>
          <w:p w:rsidR="00144D8C" w:rsidRPr="00144410" w:rsidRDefault="00144D8C" w:rsidP="00144D8C">
            <w:pPr>
              <w:pStyle w:val="NoSpacing"/>
              <w:jc w:val="center"/>
              <w:rPr>
                <w:b/>
                <w:bCs/>
                <w:sz w:val="16"/>
                <w:szCs w:val="16"/>
              </w:rPr>
            </w:pPr>
            <w:r>
              <w:rPr>
                <w:b/>
                <w:bCs/>
                <w:sz w:val="16"/>
                <w:szCs w:val="16"/>
              </w:rPr>
              <w:t>SRGH: q</w:t>
            </w:r>
            <w:r w:rsidRPr="00144410">
              <w:rPr>
                <w:b/>
                <w:bCs/>
                <w:sz w:val="16"/>
                <w:szCs w:val="16"/>
              </w:rPr>
              <w:t>uestion and responses</w:t>
            </w:r>
          </w:p>
        </w:tc>
      </w:tr>
    </w:tbl>
    <w:tbl>
      <w:tblPr>
        <w:tblStyle w:val="TableGrid"/>
        <w:tblW w:w="4518" w:type="pct"/>
        <w:tblLayout w:type="fixed"/>
        <w:tblLook w:val="04A0" w:firstRow="1" w:lastRow="0" w:firstColumn="1" w:lastColumn="0" w:noHBand="0" w:noVBand="1"/>
      </w:tblPr>
      <w:tblGrid>
        <w:gridCol w:w="1492"/>
        <w:gridCol w:w="3885"/>
        <w:gridCol w:w="858"/>
        <w:gridCol w:w="1102"/>
        <w:gridCol w:w="1014"/>
      </w:tblGrid>
      <w:tr w:rsidR="00144D8C" w:rsidRPr="00144410" w:rsidTr="00144D8C">
        <w:tc>
          <w:tcPr>
            <w:tcW w:w="893" w:type="pct"/>
          </w:tcPr>
          <w:p w:rsidR="00144D8C" w:rsidRPr="00144410" w:rsidRDefault="00144D8C" w:rsidP="00144D8C">
            <w:pPr>
              <w:pStyle w:val="NoSpacing"/>
              <w:rPr>
                <w:b/>
                <w:bCs/>
                <w:sz w:val="16"/>
                <w:szCs w:val="16"/>
              </w:rPr>
            </w:pPr>
            <w:r w:rsidRPr="00144410">
              <w:rPr>
                <w:b/>
                <w:bCs/>
                <w:sz w:val="16"/>
                <w:szCs w:val="16"/>
              </w:rPr>
              <w:t>2011 Census</w:t>
            </w:r>
          </w:p>
        </w:tc>
        <w:tc>
          <w:tcPr>
            <w:tcW w:w="2326" w:type="pct"/>
          </w:tcPr>
          <w:p w:rsidR="00144D8C" w:rsidRPr="00144410" w:rsidRDefault="00144D8C" w:rsidP="00144D8C">
            <w:pPr>
              <w:pStyle w:val="NoSpacing"/>
              <w:rPr>
                <w:sz w:val="16"/>
                <w:szCs w:val="16"/>
              </w:rPr>
            </w:pPr>
            <w:r w:rsidRPr="00144410">
              <w:rPr>
                <w:sz w:val="16"/>
                <w:szCs w:val="16"/>
              </w:rPr>
              <w:t>How is your health in general?</w:t>
            </w:r>
          </w:p>
        </w:tc>
        <w:tc>
          <w:tcPr>
            <w:tcW w:w="514" w:type="pct"/>
          </w:tcPr>
          <w:p w:rsidR="00144D8C" w:rsidRPr="00144410" w:rsidRDefault="00144D8C" w:rsidP="00144D8C">
            <w:pPr>
              <w:pStyle w:val="NoSpacing"/>
              <w:jc w:val="center"/>
              <w:rPr>
                <w:sz w:val="16"/>
                <w:szCs w:val="16"/>
              </w:rPr>
            </w:pPr>
            <w:r w:rsidRPr="00144410">
              <w:rPr>
                <w:sz w:val="16"/>
                <w:szCs w:val="16"/>
              </w:rPr>
              <w:t>Very Good or Good</w:t>
            </w:r>
          </w:p>
        </w:tc>
        <w:tc>
          <w:tcPr>
            <w:tcW w:w="660" w:type="pct"/>
          </w:tcPr>
          <w:p w:rsidR="00144D8C" w:rsidRPr="00144410" w:rsidRDefault="00144D8C" w:rsidP="00144D8C">
            <w:pPr>
              <w:pStyle w:val="NoSpacing"/>
              <w:jc w:val="center"/>
              <w:rPr>
                <w:sz w:val="16"/>
                <w:szCs w:val="16"/>
              </w:rPr>
            </w:pPr>
            <w:r w:rsidRPr="00144410">
              <w:rPr>
                <w:sz w:val="16"/>
                <w:szCs w:val="16"/>
              </w:rPr>
              <w:t>Fair</w:t>
            </w:r>
          </w:p>
        </w:tc>
        <w:tc>
          <w:tcPr>
            <w:tcW w:w="607" w:type="pct"/>
          </w:tcPr>
          <w:p w:rsidR="00144D8C" w:rsidRPr="00144410" w:rsidRDefault="00144D8C" w:rsidP="00144D8C">
            <w:pPr>
              <w:pStyle w:val="NoSpacing"/>
              <w:jc w:val="center"/>
              <w:rPr>
                <w:sz w:val="16"/>
                <w:szCs w:val="16"/>
              </w:rPr>
            </w:pPr>
            <w:r w:rsidRPr="00144410">
              <w:rPr>
                <w:sz w:val="16"/>
                <w:szCs w:val="16"/>
              </w:rPr>
              <w:t>Bad or Very Bad</w:t>
            </w:r>
          </w:p>
        </w:tc>
      </w:tr>
      <w:tr w:rsidR="00144D8C" w:rsidRPr="00144410" w:rsidTr="00144D8C">
        <w:tc>
          <w:tcPr>
            <w:tcW w:w="893" w:type="pct"/>
          </w:tcPr>
          <w:p w:rsidR="00144D8C" w:rsidRPr="00144410" w:rsidRDefault="00144D8C" w:rsidP="00144D8C">
            <w:pPr>
              <w:pStyle w:val="NoSpacing"/>
              <w:rPr>
                <w:b/>
                <w:bCs/>
                <w:sz w:val="16"/>
                <w:szCs w:val="16"/>
              </w:rPr>
            </w:pPr>
            <w:r w:rsidRPr="00144410">
              <w:rPr>
                <w:b/>
                <w:bCs/>
                <w:sz w:val="16"/>
                <w:szCs w:val="16"/>
              </w:rPr>
              <w:t xml:space="preserve">2011 Health Survey for England </w:t>
            </w:r>
          </w:p>
        </w:tc>
        <w:tc>
          <w:tcPr>
            <w:tcW w:w="2326" w:type="pct"/>
          </w:tcPr>
          <w:p w:rsidR="00144D8C" w:rsidRPr="00144410" w:rsidRDefault="00144D8C" w:rsidP="00144D8C">
            <w:pPr>
              <w:pStyle w:val="NoSpacing"/>
              <w:rPr>
                <w:sz w:val="16"/>
                <w:szCs w:val="16"/>
              </w:rPr>
            </w:pPr>
            <w:r w:rsidRPr="00144410">
              <w:rPr>
                <w:sz w:val="16"/>
                <w:szCs w:val="16"/>
              </w:rPr>
              <w:t>How is your health in general? Would you say it was…</w:t>
            </w:r>
            <w:proofErr w:type="gramStart"/>
            <w:r w:rsidRPr="00144410">
              <w:rPr>
                <w:sz w:val="16"/>
                <w:szCs w:val="16"/>
              </w:rPr>
              <w:t>.</w:t>
            </w:r>
            <w:proofErr w:type="gramEnd"/>
          </w:p>
        </w:tc>
        <w:tc>
          <w:tcPr>
            <w:tcW w:w="514" w:type="pct"/>
          </w:tcPr>
          <w:p w:rsidR="00144D8C" w:rsidRPr="00144410" w:rsidRDefault="00144D8C" w:rsidP="00144D8C">
            <w:pPr>
              <w:pStyle w:val="NoSpacing"/>
              <w:jc w:val="center"/>
              <w:rPr>
                <w:sz w:val="16"/>
                <w:szCs w:val="16"/>
              </w:rPr>
            </w:pPr>
            <w:r w:rsidRPr="00144410">
              <w:rPr>
                <w:sz w:val="16"/>
                <w:szCs w:val="16"/>
              </w:rPr>
              <w:t>Very Good or Good</w:t>
            </w:r>
          </w:p>
        </w:tc>
        <w:tc>
          <w:tcPr>
            <w:tcW w:w="660" w:type="pct"/>
          </w:tcPr>
          <w:p w:rsidR="00144D8C" w:rsidRPr="00144410" w:rsidRDefault="00144D8C" w:rsidP="00144D8C">
            <w:pPr>
              <w:pStyle w:val="NoSpacing"/>
              <w:jc w:val="center"/>
              <w:rPr>
                <w:sz w:val="16"/>
                <w:szCs w:val="16"/>
              </w:rPr>
            </w:pPr>
            <w:r w:rsidRPr="00144410">
              <w:rPr>
                <w:sz w:val="16"/>
                <w:szCs w:val="16"/>
              </w:rPr>
              <w:t>Fair</w:t>
            </w:r>
          </w:p>
        </w:tc>
        <w:tc>
          <w:tcPr>
            <w:tcW w:w="607" w:type="pct"/>
          </w:tcPr>
          <w:p w:rsidR="00144D8C" w:rsidRPr="00144410" w:rsidRDefault="00144D8C" w:rsidP="00144D8C">
            <w:pPr>
              <w:pStyle w:val="NoSpacing"/>
              <w:jc w:val="center"/>
              <w:rPr>
                <w:sz w:val="16"/>
                <w:szCs w:val="16"/>
              </w:rPr>
            </w:pPr>
            <w:r w:rsidRPr="00144410">
              <w:rPr>
                <w:sz w:val="16"/>
                <w:szCs w:val="16"/>
              </w:rPr>
              <w:t>Bad or Very Bad</w:t>
            </w:r>
          </w:p>
        </w:tc>
      </w:tr>
      <w:tr w:rsidR="00144D8C" w:rsidRPr="00144410" w:rsidTr="00144D8C">
        <w:tc>
          <w:tcPr>
            <w:tcW w:w="893" w:type="pct"/>
          </w:tcPr>
          <w:p w:rsidR="00144D8C" w:rsidRPr="00144410" w:rsidRDefault="00144D8C" w:rsidP="00144D8C">
            <w:pPr>
              <w:pStyle w:val="NoSpacing"/>
              <w:rPr>
                <w:b/>
                <w:bCs/>
                <w:sz w:val="16"/>
                <w:szCs w:val="16"/>
              </w:rPr>
            </w:pPr>
            <w:r w:rsidRPr="00144410">
              <w:rPr>
                <w:b/>
                <w:bCs/>
                <w:sz w:val="16"/>
                <w:szCs w:val="16"/>
              </w:rPr>
              <w:t xml:space="preserve">2011 Scottish Health Survey </w:t>
            </w:r>
          </w:p>
        </w:tc>
        <w:tc>
          <w:tcPr>
            <w:tcW w:w="2326" w:type="pct"/>
          </w:tcPr>
          <w:p w:rsidR="00144D8C" w:rsidRPr="00144410" w:rsidRDefault="00144D8C" w:rsidP="00144D8C">
            <w:pPr>
              <w:pStyle w:val="NoSpacing"/>
              <w:rPr>
                <w:sz w:val="16"/>
                <w:szCs w:val="16"/>
              </w:rPr>
            </w:pPr>
            <w:r w:rsidRPr="00144410">
              <w:rPr>
                <w:sz w:val="16"/>
                <w:szCs w:val="16"/>
              </w:rPr>
              <w:t>How is your health in general? Would you say it was…</w:t>
            </w:r>
            <w:proofErr w:type="gramStart"/>
            <w:r w:rsidRPr="00144410">
              <w:rPr>
                <w:sz w:val="16"/>
                <w:szCs w:val="16"/>
              </w:rPr>
              <w:t>..</w:t>
            </w:r>
            <w:proofErr w:type="gramEnd"/>
          </w:p>
        </w:tc>
        <w:tc>
          <w:tcPr>
            <w:tcW w:w="514" w:type="pct"/>
          </w:tcPr>
          <w:p w:rsidR="00144D8C" w:rsidRPr="00144410" w:rsidRDefault="00144D8C" w:rsidP="00144D8C">
            <w:pPr>
              <w:pStyle w:val="NoSpacing"/>
              <w:jc w:val="center"/>
              <w:rPr>
                <w:sz w:val="16"/>
                <w:szCs w:val="16"/>
              </w:rPr>
            </w:pPr>
            <w:r w:rsidRPr="00144410">
              <w:rPr>
                <w:sz w:val="16"/>
                <w:szCs w:val="16"/>
              </w:rPr>
              <w:t>Very Good or Good</w:t>
            </w:r>
          </w:p>
        </w:tc>
        <w:tc>
          <w:tcPr>
            <w:tcW w:w="660" w:type="pct"/>
          </w:tcPr>
          <w:p w:rsidR="00144D8C" w:rsidRPr="00144410" w:rsidRDefault="00144D8C" w:rsidP="00144D8C">
            <w:pPr>
              <w:pStyle w:val="NoSpacing"/>
              <w:jc w:val="center"/>
              <w:rPr>
                <w:sz w:val="16"/>
                <w:szCs w:val="16"/>
              </w:rPr>
            </w:pPr>
            <w:r w:rsidRPr="00144410">
              <w:rPr>
                <w:sz w:val="16"/>
                <w:szCs w:val="16"/>
              </w:rPr>
              <w:t>Fair</w:t>
            </w:r>
          </w:p>
        </w:tc>
        <w:tc>
          <w:tcPr>
            <w:tcW w:w="607" w:type="pct"/>
          </w:tcPr>
          <w:p w:rsidR="00144D8C" w:rsidRPr="00144410" w:rsidRDefault="00144D8C" w:rsidP="00144D8C">
            <w:pPr>
              <w:pStyle w:val="NoSpacing"/>
              <w:jc w:val="center"/>
              <w:rPr>
                <w:sz w:val="16"/>
                <w:szCs w:val="16"/>
              </w:rPr>
            </w:pPr>
            <w:r w:rsidRPr="00144410">
              <w:rPr>
                <w:sz w:val="16"/>
                <w:szCs w:val="16"/>
              </w:rPr>
              <w:t>Bad or Very Bad</w:t>
            </w:r>
          </w:p>
        </w:tc>
      </w:tr>
      <w:tr w:rsidR="00144D8C" w:rsidRPr="00144410" w:rsidTr="00144D8C">
        <w:tc>
          <w:tcPr>
            <w:tcW w:w="893" w:type="pct"/>
          </w:tcPr>
          <w:p w:rsidR="00144D8C" w:rsidRPr="00144410" w:rsidRDefault="00144D8C" w:rsidP="00144D8C">
            <w:pPr>
              <w:pStyle w:val="NoSpacing"/>
              <w:rPr>
                <w:b/>
                <w:bCs/>
                <w:sz w:val="16"/>
                <w:szCs w:val="16"/>
              </w:rPr>
            </w:pPr>
            <w:r w:rsidRPr="00144410">
              <w:rPr>
                <w:b/>
                <w:bCs/>
                <w:sz w:val="16"/>
                <w:szCs w:val="16"/>
              </w:rPr>
              <w:t>2011 Welsh Health Survey</w:t>
            </w:r>
          </w:p>
        </w:tc>
        <w:tc>
          <w:tcPr>
            <w:tcW w:w="2326" w:type="pct"/>
          </w:tcPr>
          <w:p w:rsidR="00144D8C" w:rsidRPr="00144410" w:rsidRDefault="00144D8C" w:rsidP="00144D8C">
            <w:pPr>
              <w:rPr>
                <w:sz w:val="16"/>
                <w:szCs w:val="16"/>
              </w:rPr>
            </w:pPr>
            <w:r w:rsidRPr="00144410">
              <w:rPr>
                <w:sz w:val="16"/>
                <w:szCs w:val="16"/>
              </w:rPr>
              <w:t>In general, would you say your health is?</w:t>
            </w:r>
          </w:p>
        </w:tc>
        <w:tc>
          <w:tcPr>
            <w:tcW w:w="514" w:type="pct"/>
          </w:tcPr>
          <w:p w:rsidR="00144D8C" w:rsidRPr="00144410" w:rsidRDefault="00144D8C" w:rsidP="00144D8C">
            <w:pPr>
              <w:pStyle w:val="NoSpacing"/>
              <w:jc w:val="center"/>
              <w:rPr>
                <w:sz w:val="16"/>
                <w:szCs w:val="16"/>
              </w:rPr>
            </w:pPr>
            <w:r w:rsidRPr="00144410">
              <w:rPr>
                <w:sz w:val="16"/>
                <w:szCs w:val="16"/>
              </w:rPr>
              <w:t>Excellent, Very Good or Good</w:t>
            </w:r>
          </w:p>
        </w:tc>
        <w:tc>
          <w:tcPr>
            <w:tcW w:w="660" w:type="pct"/>
          </w:tcPr>
          <w:p w:rsidR="00144D8C" w:rsidRPr="00144410" w:rsidRDefault="00144D8C" w:rsidP="00144D8C">
            <w:pPr>
              <w:pStyle w:val="NoSpacing"/>
              <w:jc w:val="center"/>
              <w:rPr>
                <w:sz w:val="16"/>
                <w:szCs w:val="16"/>
              </w:rPr>
            </w:pPr>
            <w:r w:rsidRPr="00144410">
              <w:rPr>
                <w:sz w:val="16"/>
                <w:szCs w:val="16"/>
              </w:rPr>
              <w:t>Fair</w:t>
            </w:r>
          </w:p>
        </w:tc>
        <w:tc>
          <w:tcPr>
            <w:tcW w:w="607" w:type="pct"/>
          </w:tcPr>
          <w:p w:rsidR="00144D8C" w:rsidRPr="00144410" w:rsidRDefault="00144D8C" w:rsidP="00144D8C">
            <w:pPr>
              <w:pStyle w:val="NoSpacing"/>
              <w:jc w:val="center"/>
              <w:rPr>
                <w:sz w:val="16"/>
                <w:szCs w:val="16"/>
              </w:rPr>
            </w:pPr>
            <w:r w:rsidRPr="00144410">
              <w:rPr>
                <w:sz w:val="16"/>
                <w:szCs w:val="16"/>
              </w:rPr>
              <w:t>Poor</w:t>
            </w:r>
          </w:p>
        </w:tc>
      </w:tr>
      <w:tr w:rsidR="00144D8C" w:rsidRPr="00144410" w:rsidTr="0014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Pr>
          <w:p w:rsidR="00144D8C" w:rsidRPr="00144410" w:rsidRDefault="00144D8C" w:rsidP="00144D8C">
            <w:pPr>
              <w:pStyle w:val="NoSpacing"/>
              <w:jc w:val="center"/>
              <w:rPr>
                <w:b/>
                <w:bCs/>
                <w:sz w:val="16"/>
                <w:szCs w:val="16"/>
              </w:rPr>
            </w:pPr>
            <w:r w:rsidRPr="00144410">
              <w:rPr>
                <w:b/>
                <w:bCs/>
                <w:sz w:val="16"/>
                <w:szCs w:val="16"/>
              </w:rPr>
              <w:t>LLTI:  question and responses</w:t>
            </w:r>
          </w:p>
        </w:tc>
      </w:tr>
      <w:tr w:rsidR="00144D8C" w:rsidRPr="00144410" w:rsidTr="00144D8C">
        <w:tc>
          <w:tcPr>
            <w:tcW w:w="893" w:type="pct"/>
          </w:tcPr>
          <w:p w:rsidR="00144D8C" w:rsidRPr="00144410" w:rsidRDefault="00144D8C" w:rsidP="00144D8C">
            <w:pPr>
              <w:pStyle w:val="NoSpacing"/>
              <w:rPr>
                <w:b/>
                <w:bCs/>
                <w:sz w:val="16"/>
                <w:szCs w:val="16"/>
              </w:rPr>
            </w:pPr>
            <w:r w:rsidRPr="00144410">
              <w:rPr>
                <w:b/>
                <w:bCs/>
                <w:sz w:val="16"/>
                <w:szCs w:val="16"/>
              </w:rPr>
              <w:t>2011 Census</w:t>
            </w:r>
          </w:p>
        </w:tc>
        <w:tc>
          <w:tcPr>
            <w:tcW w:w="2326" w:type="pct"/>
          </w:tcPr>
          <w:p w:rsidR="00144D8C" w:rsidRPr="00144410" w:rsidRDefault="00144D8C" w:rsidP="00144D8C">
            <w:pPr>
              <w:rPr>
                <w:sz w:val="16"/>
                <w:szCs w:val="16"/>
              </w:rPr>
            </w:pPr>
            <w:r w:rsidRPr="00144410">
              <w:rPr>
                <w:sz w:val="16"/>
                <w:szCs w:val="16"/>
              </w:rPr>
              <w:t>Are your day-to-day activities limited because of a health problem or disability which has lasted, or is expected to last, at least 12 months? Include problems related to old age.</w:t>
            </w:r>
          </w:p>
        </w:tc>
        <w:tc>
          <w:tcPr>
            <w:tcW w:w="514" w:type="pct"/>
          </w:tcPr>
          <w:p w:rsidR="00144D8C" w:rsidRPr="00144410" w:rsidRDefault="00144D8C" w:rsidP="00144D8C">
            <w:pPr>
              <w:jc w:val="center"/>
              <w:rPr>
                <w:sz w:val="16"/>
                <w:szCs w:val="16"/>
              </w:rPr>
            </w:pPr>
            <w:r w:rsidRPr="00144410">
              <w:rPr>
                <w:sz w:val="16"/>
                <w:szCs w:val="16"/>
              </w:rPr>
              <w:t>No</w:t>
            </w:r>
          </w:p>
        </w:tc>
        <w:tc>
          <w:tcPr>
            <w:tcW w:w="660" w:type="pct"/>
          </w:tcPr>
          <w:p w:rsidR="00144D8C" w:rsidRPr="00144410" w:rsidRDefault="00144D8C" w:rsidP="00144D8C">
            <w:pPr>
              <w:jc w:val="center"/>
              <w:rPr>
                <w:sz w:val="16"/>
                <w:szCs w:val="16"/>
              </w:rPr>
            </w:pPr>
            <w:r w:rsidRPr="00144410">
              <w:rPr>
                <w:sz w:val="16"/>
                <w:szCs w:val="16"/>
              </w:rPr>
              <w:t>Yes, limited a little</w:t>
            </w:r>
          </w:p>
        </w:tc>
        <w:tc>
          <w:tcPr>
            <w:tcW w:w="607" w:type="pct"/>
          </w:tcPr>
          <w:p w:rsidR="00144D8C" w:rsidRPr="00144410" w:rsidRDefault="00144D8C" w:rsidP="00144D8C">
            <w:pPr>
              <w:pStyle w:val="NoSpacing"/>
              <w:jc w:val="center"/>
              <w:rPr>
                <w:sz w:val="16"/>
                <w:szCs w:val="16"/>
              </w:rPr>
            </w:pPr>
            <w:r w:rsidRPr="00144410">
              <w:rPr>
                <w:sz w:val="16"/>
                <w:szCs w:val="16"/>
              </w:rPr>
              <w:t>Yes, limited a lot</w:t>
            </w:r>
          </w:p>
        </w:tc>
      </w:tr>
      <w:tr w:rsidR="00144D8C" w:rsidRPr="00144410" w:rsidTr="00144D8C">
        <w:tc>
          <w:tcPr>
            <w:tcW w:w="893" w:type="pct"/>
            <w:vMerge w:val="restart"/>
          </w:tcPr>
          <w:p w:rsidR="00144D8C" w:rsidRPr="00144410" w:rsidRDefault="00144D8C" w:rsidP="00144D8C">
            <w:pPr>
              <w:pStyle w:val="NoSpacing"/>
              <w:rPr>
                <w:b/>
                <w:bCs/>
                <w:sz w:val="16"/>
                <w:szCs w:val="16"/>
              </w:rPr>
            </w:pPr>
            <w:r w:rsidRPr="00144410">
              <w:rPr>
                <w:b/>
                <w:bCs/>
                <w:sz w:val="16"/>
                <w:szCs w:val="16"/>
              </w:rPr>
              <w:t>2011 Health Survey for England</w:t>
            </w:r>
          </w:p>
        </w:tc>
        <w:tc>
          <w:tcPr>
            <w:tcW w:w="2326" w:type="pct"/>
          </w:tcPr>
          <w:p w:rsidR="00144D8C" w:rsidRPr="00144410" w:rsidRDefault="00144D8C" w:rsidP="00144D8C">
            <w:pPr>
              <w:autoSpaceDE w:val="0"/>
              <w:autoSpaceDN w:val="0"/>
              <w:adjustRightInd w:val="0"/>
              <w:rPr>
                <w:color w:val="000000"/>
                <w:sz w:val="16"/>
                <w:szCs w:val="16"/>
              </w:rPr>
            </w:pPr>
            <w:r w:rsidRPr="00144410">
              <w:rPr>
                <w:color w:val="000000"/>
                <w:sz w:val="16"/>
                <w:szCs w:val="16"/>
              </w:rPr>
              <w:t xml:space="preserve">Do you have any long-standing illness, disability or infirmity? By long-standing I mean anything that has troubled you over a period of time, or that is likely to affect you over a period of time? </w:t>
            </w:r>
          </w:p>
        </w:tc>
        <w:tc>
          <w:tcPr>
            <w:tcW w:w="514" w:type="pct"/>
          </w:tcPr>
          <w:p w:rsidR="00144D8C" w:rsidRPr="00144410" w:rsidRDefault="00144D8C" w:rsidP="00144D8C">
            <w:pPr>
              <w:jc w:val="center"/>
              <w:rPr>
                <w:sz w:val="16"/>
                <w:szCs w:val="16"/>
              </w:rPr>
            </w:pPr>
            <w:r w:rsidRPr="00144410">
              <w:rPr>
                <w:sz w:val="16"/>
                <w:szCs w:val="16"/>
              </w:rPr>
              <w:t>No</w:t>
            </w:r>
          </w:p>
        </w:tc>
        <w:tc>
          <w:tcPr>
            <w:tcW w:w="1267" w:type="pct"/>
            <w:gridSpan w:val="2"/>
          </w:tcPr>
          <w:p w:rsidR="00144D8C" w:rsidRPr="00144410" w:rsidRDefault="00144D8C" w:rsidP="00144D8C">
            <w:pPr>
              <w:pStyle w:val="NoSpacing"/>
              <w:jc w:val="center"/>
              <w:rPr>
                <w:sz w:val="16"/>
                <w:szCs w:val="16"/>
              </w:rPr>
            </w:pPr>
            <w:r w:rsidRPr="00144410">
              <w:rPr>
                <w:sz w:val="16"/>
                <w:szCs w:val="16"/>
              </w:rPr>
              <w:t>Yes</w:t>
            </w:r>
          </w:p>
        </w:tc>
      </w:tr>
      <w:tr w:rsidR="00144D8C" w:rsidRPr="00144410" w:rsidTr="00144D8C">
        <w:tc>
          <w:tcPr>
            <w:tcW w:w="893" w:type="pct"/>
            <w:vMerge/>
          </w:tcPr>
          <w:p w:rsidR="00144D8C" w:rsidRPr="00144410" w:rsidRDefault="00144D8C" w:rsidP="00144D8C">
            <w:pPr>
              <w:pStyle w:val="NoSpacing"/>
              <w:rPr>
                <w:b/>
                <w:bCs/>
                <w:sz w:val="16"/>
                <w:szCs w:val="16"/>
              </w:rPr>
            </w:pPr>
          </w:p>
        </w:tc>
        <w:tc>
          <w:tcPr>
            <w:tcW w:w="2326" w:type="pct"/>
          </w:tcPr>
          <w:p w:rsidR="00144D8C" w:rsidRPr="00144410" w:rsidRDefault="00144D8C" w:rsidP="00144D8C">
            <w:pPr>
              <w:autoSpaceDE w:val="0"/>
              <w:autoSpaceDN w:val="0"/>
              <w:adjustRightInd w:val="0"/>
              <w:rPr>
                <w:color w:val="000000"/>
                <w:sz w:val="16"/>
                <w:szCs w:val="16"/>
              </w:rPr>
            </w:pPr>
            <w:r w:rsidRPr="00144410">
              <w:rPr>
                <w:color w:val="000000"/>
                <w:sz w:val="16"/>
                <w:szCs w:val="16"/>
              </w:rPr>
              <w:t xml:space="preserve">If yes, does this illness or disability/do any of these illnesses or disabilities limit your activities in any way? </w:t>
            </w:r>
          </w:p>
        </w:tc>
        <w:tc>
          <w:tcPr>
            <w:tcW w:w="514" w:type="pct"/>
          </w:tcPr>
          <w:p w:rsidR="00144D8C" w:rsidRPr="00144410" w:rsidRDefault="00144D8C" w:rsidP="00144D8C">
            <w:pPr>
              <w:pStyle w:val="NoSpacing"/>
              <w:jc w:val="center"/>
              <w:rPr>
                <w:sz w:val="16"/>
                <w:szCs w:val="16"/>
              </w:rPr>
            </w:pPr>
            <w:r w:rsidRPr="00144410">
              <w:rPr>
                <w:sz w:val="16"/>
                <w:szCs w:val="16"/>
              </w:rPr>
              <w:t>No</w:t>
            </w:r>
          </w:p>
        </w:tc>
        <w:tc>
          <w:tcPr>
            <w:tcW w:w="1267" w:type="pct"/>
            <w:gridSpan w:val="2"/>
          </w:tcPr>
          <w:p w:rsidR="00144D8C" w:rsidRPr="00144410" w:rsidRDefault="00144D8C" w:rsidP="00144D8C">
            <w:pPr>
              <w:pStyle w:val="NoSpacing"/>
              <w:jc w:val="center"/>
              <w:rPr>
                <w:sz w:val="16"/>
                <w:szCs w:val="16"/>
              </w:rPr>
            </w:pPr>
            <w:r w:rsidRPr="00144410">
              <w:rPr>
                <w:sz w:val="16"/>
                <w:szCs w:val="16"/>
              </w:rPr>
              <w:t>Yes</w:t>
            </w:r>
          </w:p>
        </w:tc>
      </w:tr>
      <w:tr w:rsidR="00144D8C" w:rsidRPr="00144410" w:rsidTr="00144D8C">
        <w:tc>
          <w:tcPr>
            <w:tcW w:w="893" w:type="pct"/>
            <w:vMerge w:val="restart"/>
          </w:tcPr>
          <w:p w:rsidR="00144D8C" w:rsidRPr="00144410" w:rsidRDefault="00144D8C" w:rsidP="00144D8C">
            <w:pPr>
              <w:pStyle w:val="NoSpacing"/>
              <w:rPr>
                <w:b/>
                <w:bCs/>
                <w:sz w:val="16"/>
                <w:szCs w:val="16"/>
              </w:rPr>
            </w:pPr>
            <w:r w:rsidRPr="00144410">
              <w:rPr>
                <w:b/>
                <w:bCs/>
                <w:sz w:val="16"/>
                <w:szCs w:val="16"/>
              </w:rPr>
              <w:t>2011 Scottish</w:t>
            </w:r>
          </w:p>
          <w:p w:rsidR="00144D8C" w:rsidRPr="00144410" w:rsidRDefault="00144D8C" w:rsidP="00144D8C">
            <w:pPr>
              <w:pStyle w:val="NoSpacing"/>
              <w:rPr>
                <w:b/>
                <w:bCs/>
                <w:sz w:val="16"/>
                <w:szCs w:val="16"/>
              </w:rPr>
            </w:pPr>
            <w:r w:rsidRPr="00144410">
              <w:rPr>
                <w:b/>
                <w:bCs/>
                <w:sz w:val="16"/>
                <w:szCs w:val="16"/>
              </w:rPr>
              <w:t xml:space="preserve">Health Survey </w:t>
            </w:r>
          </w:p>
        </w:tc>
        <w:tc>
          <w:tcPr>
            <w:tcW w:w="2326" w:type="pct"/>
          </w:tcPr>
          <w:p w:rsidR="00144D8C" w:rsidRPr="00144410" w:rsidRDefault="00144D8C" w:rsidP="00144D8C">
            <w:pPr>
              <w:rPr>
                <w:sz w:val="16"/>
                <w:szCs w:val="16"/>
              </w:rPr>
            </w:pPr>
            <w:r w:rsidRPr="00144410">
              <w:rPr>
                <w:sz w:val="16"/>
                <w:szCs w:val="16"/>
              </w:rPr>
              <w:t xml:space="preserve">Do you have a long-standing physical or mental condition or disability that has troubled you for at least 12 months, or that is likely to affect you for at least 12 months? </w:t>
            </w:r>
          </w:p>
        </w:tc>
        <w:tc>
          <w:tcPr>
            <w:tcW w:w="514" w:type="pct"/>
          </w:tcPr>
          <w:p w:rsidR="00144D8C" w:rsidRPr="00144410" w:rsidRDefault="00144D8C" w:rsidP="00144D8C">
            <w:pPr>
              <w:jc w:val="center"/>
              <w:rPr>
                <w:sz w:val="16"/>
                <w:szCs w:val="16"/>
              </w:rPr>
            </w:pPr>
            <w:r w:rsidRPr="00144410">
              <w:rPr>
                <w:sz w:val="16"/>
                <w:szCs w:val="16"/>
              </w:rPr>
              <w:t>No</w:t>
            </w:r>
          </w:p>
        </w:tc>
        <w:tc>
          <w:tcPr>
            <w:tcW w:w="1267" w:type="pct"/>
            <w:gridSpan w:val="2"/>
          </w:tcPr>
          <w:p w:rsidR="00144D8C" w:rsidRPr="00144410" w:rsidRDefault="00144D8C" w:rsidP="00144D8C">
            <w:pPr>
              <w:pStyle w:val="NoSpacing"/>
              <w:jc w:val="center"/>
              <w:rPr>
                <w:sz w:val="16"/>
                <w:szCs w:val="16"/>
              </w:rPr>
            </w:pPr>
            <w:r w:rsidRPr="00144410">
              <w:rPr>
                <w:sz w:val="16"/>
                <w:szCs w:val="16"/>
              </w:rPr>
              <w:t>Yes</w:t>
            </w:r>
          </w:p>
        </w:tc>
      </w:tr>
      <w:tr w:rsidR="00144D8C" w:rsidRPr="00144410" w:rsidTr="00144D8C">
        <w:tc>
          <w:tcPr>
            <w:tcW w:w="893" w:type="pct"/>
            <w:vMerge/>
            <w:tcBorders>
              <w:bottom w:val="single" w:sz="4" w:space="0" w:color="auto"/>
            </w:tcBorders>
          </w:tcPr>
          <w:p w:rsidR="00144D8C" w:rsidRPr="00144410" w:rsidRDefault="00144D8C" w:rsidP="00144D8C">
            <w:pPr>
              <w:pStyle w:val="NoSpacing"/>
              <w:rPr>
                <w:b/>
                <w:bCs/>
                <w:sz w:val="16"/>
                <w:szCs w:val="16"/>
              </w:rPr>
            </w:pPr>
          </w:p>
        </w:tc>
        <w:tc>
          <w:tcPr>
            <w:tcW w:w="2326" w:type="pct"/>
            <w:tcBorders>
              <w:bottom w:val="single" w:sz="4" w:space="0" w:color="auto"/>
            </w:tcBorders>
          </w:tcPr>
          <w:p w:rsidR="00144D8C" w:rsidRPr="00144410" w:rsidRDefault="00144D8C" w:rsidP="00144D8C">
            <w:pPr>
              <w:rPr>
                <w:sz w:val="16"/>
                <w:szCs w:val="16"/>
              </w:rPr>
            </w:pPr>
            <w:r w:rsidRPr="00144410">
              <w:rPr>
                <w:sz w:val="16"/>
                <w:szCs w:val="16"/>
              </w:rPr>
              <w:t xml:space="preserve">If yes, does (name of condition) limit your activities in any way? </w:t>
            </w:r>
          </w:p>
        </w:tc>
        <w:tc>
          <w:tcPr>
            <w:tcW w:w="514" w:type="pct"/>
            <w:tcBorders>
              <w:bottom w:val="single" w:sz="4" w:space="0" w:color="auto"/>
            </w:tcBorders>
          </w:tcPr>
          <w:p w:rsidR="00144D8C" w:rsidRPr="00144410" w:rsidRDefault="00144D8C" w:rsidP="00144D8C">
            <w:pPr>
              <w:pStyle w:val="NoSpacing"/>
              <w:jc w:val="center"/>
              <w:rPr>
                <w:sz w:val="16"/>
                <w:szCs w:val="16"/>
              </w:rPr>
            </w:pPr>
            <w:r w:rsidRPr="00144410">
              <w:rPr>
                <w:sz w:val="16"/>
                <w:szCs w:val="16"/>
              </w:rPr>
              <w:t>No</w:t>
            </w:r>
          </w:p>
        </w:tc>
        <w:tc>
          <w:tcPr>
            <w:tcW w:w="1267" w:type="pct"/>
            <w:gridSpan w:val="2"/>
            <w:tcBorders>
              <w:bottom w:val="single" w:sz="4" w:space="0" w:color="auto"/>
            </w:tcBorders>
          </w:tcPr>
          <w:p w:rsidR="00144D8C" w:rsidRPr="00144410" w:rsidRDefault="00144D8C" w:rsidP="00144D8C">
            <w:pPr>
              <w:pStyle w:val="NoSpacing"/>
              <w:jc w:val="center"/>
              <w:rPr>
                <w:sz w:val="16"/>
                <w:szCs w:val="16"/>
              </w:rPr>
            </w:pPr>
            <w:r w:rsidRPr="00144410">
              <w:rPr>
                <w:sz w:val="16"/>
                <w:szCs w:val="16"/>
              </w:rPr>
              <w:t>Yes</w:t>
            </w:r>
          </w:p>
        </w:tc>
      </w:tr>
      <w:tr w:rsidR="00144D8C" w:rsidRPr="00144410" w:rsidTr="00144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 w:type="pct"/>
            <w:tcBorders>
              <w:top w:val="single" w:sz="4" w:space="0" w:color="auto"/>
              <w:left w:val="single" w:sz="4" w:space="0" w:color="auto"/>
              <w:bottom w:val="single" w:sz="4" w:space="0" w:color="auto"/>
              <w:right w:val="single" w:sz="4" w:space="0" w:color="auto"/>
            </w:tcBorders>
          </w:tcPr>
          <w:p w:rsidR="00144D8C" w:rsidRPr="00144410" w:rsidRDefault="00144D8C" w:rsidP="00144D8C">
            <w:pPr>
              <w:pStyle w:val="NoSpacing"/>
              <w:rPr>
                <w:b/>
                <w:bCs/>
                <w:sz w:val="16"/>
                <w:szCs w:val="16"/>
              </w:rPr>
            </w:pPr>
            <w:r w:rsidRPr="00144410">
              <w:rPr>
                <w:b/>
                <w:bCs/>
                <w:sz w:val="16"/>
                <w:szCs w:val="16"/>
              </w:rPr>
              <w:t xml:space="preserve">2011 Welsh Health Survey </w:t>
            </w:r>
          </w:p>
        </w:tc>
        <w:tc>
          <w:tcPr>
            <w:tcW w:w="2326" w:type="pct"/>
            <w:tcBorders>
              <w:top w:val="single" w:sz="4" w:space="0" w:color="auto"/>
              <w:left w:val="single" w:sz="4" w:space="0" w:color="auto"/>
              <w:bottom w:val="single" w:sz="4" w:space="0" w:color="auto"/>
              <w:right w:val="single" w:sz="4" w:space="0" w:color="auto"/>
            </w:tcBorders>
          </w:tcPr>
          <w:p w:rsidR="00144D8C" w:rsidRPr="00144410" w:rsidRDefault="00144D8C" w:rsidP="00144D8C">
            <w:pPr>
              <w:pStyle w:val="NoSpacing"/>
              <w:rPr>
                <w:sz w:val="16"/>
                <w:szCs w:val="16"/>
              </w:rPr>
            </w:pPr>
            <w:r w:rsidRPr="00144410">
              <w:rPr>
                <w:sz w:val="16"/>
                <w:szCs w:val="16"/>
              </w:rPr>
              <w:t>Are your day-to-day activities limited because of a health problem or disability which has lasted, or is expected to last, at least 12 months? Include problems related to old age.</w:t>
            </w:r>
          </w:p>
        </w:tc>
        <w:tc>
          <w:tcPr>
            <w:tcW w:w="514" w:type="pct"/>
            <w:tcBorders>
              <w:top w:val="single" w:sz="4" w:space="0" w:color="auto"/>
              <w:left w:val="single" w:sz="4" w:space="0" w:color="auto"/>
              <w:bottom w:val="single" w:sz="4" w:space="0" w:color="auto"/>
              <w:right w:val="single" w:sz="4" w:space="0" w:color="auto"/>
            </w:tcBorders>
          </w:tcPr>
          <w:p w:rsidR="00144D8C" w:rsidRPr="00144410" w:rsidRDefault="00144D8C" w:rsidP="00144D8C">
            <w:pPr>
              <w:pStyle w:val="NoSpacing"/>
              <w:jc w:val="center"/>
              <w:rPr>
                <w:sz w:val="16"/>
                <w:szCs w:val="16"/>
              </w:rPr>
            </w:pPr>
            <w:r w:rsidRPr="00144410">
              <w:rPr>
                <w:sz w:val="16"/>
                <w:szCs w:val="16"/>
              </w:rPr>
              <w:t>No</w:t>
            </w:r>
          </w:p>
        </w:tc>
        <w:tc>
          <w:tcPr>
            <w:tcW w:w="660" w:type="pct"/>
            <w:tcBorders>
              <w:top w:val="single" w:sz="4" w:space="0" w:color="auto"/>
              <w:left w:val="single" w:sz="4" w:space="0" w:color="auto"/>
              <w:bottom w:val="single" w:sz="4" w:space="0" w:color="auto"/>
              <w:right w:val="single" w:sz="4" w:space="0" w:color="auto"/>
            </w:tcBorders>
          </w:tcPr>
          <w:p w:rsidR="00144D8C" w:rsidRPr="00144410" w:rsidRDefault="00144D8C" w:rsidP="00144D8C">
            <w:pPr>
              <w:pStyle w:val="NoSpacing"/>
              <w:jc w:val="center"/>
              <w:rPr>
                <w:sz w:val="16"/>
                <w:szCs w:val="16"/>
              </w:rPr>
            </w:pPr>
            <w:r w:rsidRPr="00144410">
              <w:rPr>
                <w:sz w:val="16"/>
                <w:szCs w:val="16"/>
              </w:rPr>
              <w:t>Yes, limited a little</w:t>
            </w:r>
          </w:p>
        </w:tc>
        <w:tc>
          <w:tcPr>
            <w:tcW w:w="607" w:type="pct"/>
            <w:tcBorders>
              <w:top w:val="single" w:sz="4" w:space="0" w:color="auto"/>
              <w:left w:val="single" w:sz="4" w:space="0" w:color="auto"/>
              <w:bottom w:val="single" w:sz="4" w:space="0" w:color="auto"/>
              <w:right w:val="single" w:sz="4" w:space="0" w:color="auto"/>
            </w:tcBorders>
          </w:tcPr>
          <w:p w:rsidR="00144D8C" w:rsidRPr="00144410" w:rsidRDefault="00144D8C" w:rsidP="00144D8C">
            <w:pPr>
              <w:jc w:val="center"/>
              <w:rPr>
                <w:i/>
                <w:iCs/>
                <w:sz w:val="16"/>
                <w:szCs w:val="16"/>
              </w:rPr>
            </w:pPr>
            <w:r w:rsidRPr="00144410">
              <w:rPr>
                <w:sz w:val="16"/>
                <w:szCs w:val="16"/>
              </w:rPr>
              <w:t>Yes, limited a lot</w:t>
            </w:r>
          </w:p>
        </w:tc>
      </w:tr>
    </w:tbl>
    <w:p w:rsidR="00144D8C" w:rsidRDefault="00144D8C" w:rsidP="00144D8C">
      <w:pPr>
        <w:pStyle w:val="NoSpacing"/>
        <w:rPr>
          <w:b/>
          <w:bCs/>
        </w:rPr>
      </w:pPr>
    </w:p>
    <w:p w:rsidR="00921EF3" w:rsidRDefault="00921EF3" w:rsidP="00DC24D8">
      <w:pPr>
        <w:autoSpaceDE w:val="0"/>
        <w:autoSpaceDN w:val="0"/>
        <w:adjustRightInd w:val="0"/>
        <w:spacing w:after="240" w:line="480" w:lineRule="auto"/>
        <w:rPr>
          <w:rFonts w:eastAsia="PMingLiU"/>
          <w:lang w:eastAsia="zh-TW"/>
        </w:rPr>
      </w:pPr>
      <w:r>
        <w:rPr>
          <w:rFonts w:cstheme="minorHAnsi"/>
        </w:rPr>
        <w:t xml:space="preserve">Covariate data to facilitate the generation of small area estimates </w:t>
      </w:r>
      <w:r w:rsidR="00F2399B">
        <w:rPr>
          <w:rFonts w:cstheme="minorHAnsi"/>
        </w:rPr>
        <w:t>were</w:t>
      </w:r>
      <w:r>
        <w:rPr>
          <w:rFonts w:cstheme="minorHAnsi"/>
        </w:rPr>
        <w:t xml:space="preserve"> derived from the linked data file.</w:t>
      </w:r>
      <w:r w:rsidR="00A25B70">
        <w:rPr>
          <w:rFonts w:cstheme="minorHAnsi"/>
        </w:rPr>
        <w:t xml:space="preserve"> A parsimonious selection of covariates was made reflecting the known associations between LLTI and SRGH and age, s</w:t>
      </w:r>
      <w:r w:rsidR="00154846">
        <w:rPr>
          <w:rFonts w:cstheme="minorHAnsi"/>
        </w:rPr>
        <w:t xml:space="preserve">ex, disability and deprivation </w:t>
      </w:r>
      <w:r w:rsidR="00154846">
        <w:rPr>
          <w:rFonts w:cstheme="minorHAnsi"/>
        </w:rPr>
        <w:fldChar w:fldCharType="begin">
          <w:fldData xml:space="preserve">PEVuZE5vdGU+PENpdGU+PEF1dGhvcj5NYXJ0aW48L0F1dGhvcj48WWVhcj4yMDA5PC9ZZWFyPjxS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</w:fldData>
        </w:fldChar>
      </w:r>
      <w:r w:rsidR="00DC24D8">
        <w:rPr>
          <w:rFonts w:cstheme="minorHAnsi"/>
        </w:rPr>
        <w:instrText xml:space="preserve"> ADDIN EN.CITE </w:instrText>
      </w:r>
      <w:r w:rsidR="00DC24D8">
        <w:rPr>
          <w:rFonts w:cstheme="minorHAnsi"/>
        </w:rPr>
        <w:fldChar w:fldCharType="begin">
          <w:fldData xml:space="preserve">PEVuZE5vdGU+PENpdGU+PEF1dGhvcj5NYXJ0aW48L0F1dGhvcj48WWVhcj4yMDA5PC9ZZWFyPjxS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</w:fldData>
        </w:fldChar>
      </w:r>
      <w:r w:rsidR="00DC24D8">
        <w:rPr>
          <w:rFonts w:cstheme="minorHAnsi"/>
        </w:rPr>
        <w:instrText xml:space="preserve"> ADDIN EN.CITE.DATA </w:instrText>
      </w:r>
      <w:r w:rsidR="00DC24D8">
        <w:rPr>
          <w:rFonts w:cstheme="minorHAnsi"/>
        </w:rPr>
      </w:r>
      <w:r w:rsidR="00DC24D8">
        <w:rPr>
          <w:rFonts w:cstheme="minorHAnsi"/>
        </w:rPr>
        <w:fldChar w:fldCharType="end"/>
      </w:r>
      <w:r w:rsidR="00154846">
        <w:rPr>
          <w:rFonts w:cstheme="minorHAnsi"/>
        </w:rPr>
      </w:r>
      <w:r w:rsidR="00154846">
        <w:rPr>
          <w:rFonts w:cstheme="minorHAnsi"/>
        </w:rPr>
        <w:fldChar w:fldCharType="separate"/>
      </w:r>
      <w:r w:rsidR="00DC24D8">
        <w:rPr>
          <w:rFonts w:cstheme="minorHAnsi"/>
          <w:noProof/>
        </w:rPr>
        <w:t>[</w:t>
      </w:r>
      <w:hyperlink w:anchor="_ENREF_21" w:tooltip="Martin, 2009 #63" w:history="1">
        <w:r w:rsidR="00DC24D8">
          <w:rPr>
            <w:rFonts w:cstheme="minorHAnsi"/>
            <w:noProof/>
          </w:rPr>
          <w:t>21</w:t>
        </w:r>
      </w:hyperlink>
      <w:r w:rsidR="00DC24D8">
        <w:rPr>
          <w:rFonts w:cstheme="minorHAnsi"/>
          <w:noProof/>
        </w:rPr>
        <w:t xml:space="preserve">, </w:t>
      </w:r>
      <w:hyperlink w:anchor="_ENREF_22" w:tooltip="Zhang, 2013 #677" w:history="1">
        <w:r w:rsidR="00DC24D8">
          <w:rPr>
            <w:rFonts w:cstheme="minorHAnsi"/>
            <w:noProof/>
          </w:rPr>
          <w:t>22</w:t>
        </w:r>
      </w:hyperlink>
      <w:r w:rsidR="00DC24D8">
        <w:rPr>
          <w:rFonts w:cstheme="minorHAnsi"/>
          <w:noProof/>
        </w:rPr>
        <w:t>]</w:t>
      </w:r>
      <w:r w:rsidR="00154846">
        <w:rPr>
          <w:rFonts w:cstheme="minorHAnsi"/>
        </w:rPr>
        <w:fldChar w:fldCharType="end"/>
      </w:r>
      <w:r w:rsidR="00A25B70">
        <w:rPr>
          <w:rFonts w:cstheme="minorHAnsi"/>
        </w:rPr>
        <w:t>.</w:t>
      </w:r>
      <w:r>
        <w:rPr>
          <w:rFonts w:cstheme="minorHAnsi"/>
        </w:rPr>
        <w:t xml:space="preserve"> Individual-level </w:t>
      </w:r>
      <w:r>
        <w:rPr>
          <w:rFonts w:eastAsia="PMingLiU"/>
          <w:lang w:eastAsia="zh-TW"/>
        </w:rPr>
        <w:t>age and sex</w:t>
      </w:r>
      <w:r w:rsidRPr="004A441E">
        <w:rPr>
          <w:rFonts w:eastAsia="PMingLiU"/>
          <w:lang w:eastAsia="zh-TW"/>
        </w:rPr>
        <w:t xml:space="preserve"> were s</w:t>
      </w:r>
      <w:r>
        <w:rPr>
          <w:rFonts w:eastAsia="PMingLiU"/>
          <w:lang w:eastAsia="zh-TW"/>
        </w:rPr>
        <w:t>elf-reported</w:t>
      </w:r>
      <w:r w:rsidR="000D4C4F">
        <w:rPr>
          <w:rFonts w:eastAsia="PMingLiU"/>
          <w:lang w:eastAsia="zh-TW"/>
        </w:rPr>
        <w:t xml:space="preserve"> measures</w:t>
      </w:r>
      <w:r>
        <w:rPr>
          <w:rFonts w:eastAsia="PMingLiU"/>
          <w:lang w:eastAsia="zh-TW"/>
        </w:rPr>
        <w:t>. Age was grouped into thirteen categories: those aged 16 to 19; 5 year</w:t>
      </w:r>
      <w:r w:rsidR="00A25B70">
        <w:rPr>
          <w:rFonts w:eastAsia="PMingLiU"/>
          <w:lang w:eastAsia="zh-TW"/>
        </w:rPr>
        <w:t xml:space="preserve"> age groups</w:t>
      </w:r>
      <w:r>
        <w:rPr>
          <w:rFonts w:eastAsia="PMingLiU"/>
          <w:lang w:eastAsia="zh-TW"/>
        </w:rPr>
        <w:t xml:space="preserve"> until the age of 74; and all individuals aged 75+</w:t>
      </w:r>
      <w:r w:rsidRPr="004A441E">
        <w:rPr>
          <w:rFonts w:eastAsia="PMingLiU"/>
          <w:lang w:eastAsia="zh-TW"/>
        </w:rPr>
        <w:t>.</w:t>
      </w:r>
      <w:r w:rsidR="00A25B70">
        <w:rPr>
          <w:rFonts w:eastAsia="PMingLiU"/>
          <w:lang w:eastAsia="zh-TW"/>
        </w:rPr>
        <w:t xml:space="preserve"> </w:t>
      </w:r>
      <w:r>
        <w:rPr>
          <w:rFonts w:eastAsia="PMingLiU"/>
          <w:lang w:eastAsia="zh-TW"/>
        </w:rPr>
        <w:t>Th</w:t>
      </w:r>
      <w:r w:rsidR="00A25B70">
        <w:rPr>
          <w:rFonts w:eastAsia="PMingLiU"/>
          <w:lang w:eastAsia="zh-TW"/>
        </w:rPr>
        <w:t xml:space="preserve">ese individual-level covariates were supplemented with the area-level measures of disability and deprivation introduced above. </w:t>
      </w:r>
    </w:p>
    <w:p w:rsidR="00225B4F" w:rsidRDefault="000D4C4F" w:rsidP="00DC24D8">
      <w:pPr>
        <w:pStyle w:val="NoSpacing"/>
        <w:spacing w:after="240" w:line="480" w:lineRule="auto"/>
        <w:rPr>
          <w:rFonts w:cs="Arial"/>
          <w:color w:val="000000" w:themeColor="text1"/>
        </w:rPr>
      </w:pPr>
      <w:r>
        <w:rPr>
          <w:rFonts w:cstheme="minorHAnsi"/>
          <w:color w:val="000000" w:themeColor="text1"/>
        </w:rPr>
        <w:t>To create SAEs we used the</w:t>
      </w:r>
      <w:r w:rsidR="00A1214B">
        <w:rPr>
          <w:rFonts w:cstheme="minorHAnsi"/>
          <w:color w:val="000000" w:themeColor="text1"/>
        </w:rPr>
        <w:t xml:space="preserve"> established </w:t>
      </w:r>
      <w:r w:rsidRPr="00561279">
        <w:rPr>
          <w:rFonts w:cstheme="minorHAnsi"/>
          <w:color w:val="000000" w:themeColor="text1"/>
        </w:rPr>
        <w:t>multilevel small area estimation process</w:t>
      </w:r>
      <w:r w:rsidR="00DF099A">
        <w:rPr>
          <w:rFonts w:cstheme="minorHAnsi"/>
          <w:color w:val="000000" w:themeColor="text1"/>
        </w:rPr>
        <w:t xml:space="preserve"> recognising the hierarchical structure of the source surveys</w:t>
      </w:r>
      <w:r w:rsidRPr="00561279">
        <w:rPr>
          <w:rFonts w:cstheme="minorHAnsi"/>
          <w:color w:val="000000" w:themeColor="text1"/>
        </w:rPr>
        <w:t xml:space="preserve"> </w:t>
      </w:r>
      <w:r w:rsidRPr="00561279">
        <w:rPr>
          <w:rFonts w:cstheme="minorHAnsi"/>
          <w:color w:val="000000" w:themeColor="text1"/>
        </w:rPr>
        <w:fldChar w:fldCharType="begin">
          <w:fldData xml:space="preserve">PEVuZE5vdGU+PENpdGU+PEF1dGhvcj5Ud2lnZzwvQXV0aG9yPjxZZWFyPjIwMDA8L1llYXI+PFJl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</w:fldData>
        </w:fldChar>
      </w:r>
      <w:r w:rsidR="00DC24D8">
        <w:rPr>
          <w:rFonts w:cstheme="minorHAnsi"/>
          <w:color w:val="000000" w:themeColor="text1"/>
        </w:rPr>
        <w:instrText xml:space="preserve"> ADDIN EN.CITE </w:instrText>
      </w:r>
      <w:r w:rsidR="00DC24D8">
        <w:rPr>
          <w:rFonts w:cstheme="minorHAnsi"/>
          <w:color w:val="000000" w:themeColor="text1"/>
        </w:rPr>
        <w:fldChar w:fldCharType="begin">
          <w:fldData xml:space="preserve">PEVuZE5vdGU+PENpdGU+PEF1dGhvcj5Ud2lnZzwvQXV0aG9yPjxZZWFyPjIwMDA8L1llYXI+PFJl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</w:fldData>
        </w:fldChar>
      </w:r>
      <w:r w:rsidR="00DC24D8">
        <w:rPr>
          <w:rFonts w:cstheme="minorHAnsi"/>
          <w:color w:val="000000" w:themeColor="text1"/>
        </w:rPr>
        <w:instrText xml:space="preserve"> ADDIN EN.CITE.DATA </w:instrText>
      </w:r>
      <w:r w:rsidR="00DC24D8">
        <w:rPr>
          <w:rFonts w:cstheme="minorHAnsi"/>
          <w:color w:val="000000" w:themeColor="text1"/>
        </w:rPr>
      </w:r>
      <w:r w:rsidR="00DC24D8">
        <w:rPr>
          <w:rFonts w:cstheme="minorHAnsi"/>
          <w:color w:val="000000" w:themeColor="text1"/>
        </w:rPr>
        <w:fldChar w:fldCharType="end"/>
      </w:r>
      <w:r w:rsidRPr="00561279">
        <w:rPr>
          <w:rFonts w:cstheme="minorHAnsi"/>
          <w:color w:val="000000" w:themeColor="text1"/>
        </w:rPr>
      </w:r>
      <w:r w:rsidRPr="00561279">
        <w:rPr>
          <w:rFonts w:cstheme="minorHAnsi"/>
          <w:color w:val="000000" w:themeColor="text1"/>
        </w:rPr>
        <w:fldChar w:fldCharType="separate"/>
      </w:r>
      <w:r w:rsidR="00DC24D8">
        <w:rPr>
          <w:rFonts w:cstheme="minorHAnsi"/>
          <w:noProof/>
          <w:color w:val="000000" w:themeColor="text1"/>
        </w:rPr>
        <w:t>[</w:t>
      </w:r>
      <w:hyperlink w:anchor="_ENREF_3" w:tooltip="Twigg, 2002 #59" w:history="1">
        <w:r w:rsidR="00DC24D8">
          <w:rPr>
            <w:rFonts w:cstheme="minorHAnsi"/>
            <w:noProof/>
            <w:color w:val="000000" w:themeColor="text1"/>
          </w:rPr>
          <w:t>3</w:t>
        </w:r>
      </w:hyperlink>
      <w:r w:rsidR="00DC24D8">
        <w:rPr>
          <w:rFonts w:cstheme="minorHAnsi"/>
          <w:noProof/>
          <w:color w:val="000000" w:themeColor="text1"/>
        </w:rPr>
        <w:t xml:space="preserve">, </w:t>
      </w:r>
      <w:hyperlink w:anchor="_ENREF_23" w:tooltip="Twigg, 2000 #61" w:history="1">
        <w:r w:rsidR="00DC24D8">
          <w:rPr>
            <w:rFonts w:cstheme="minorHAnsi"/>
            <w:noProof/>
            <w:color w:val="000000" w:themeColor="text1"/>
          </w:rPr>
          <w:t>23</w:t>
        </w:r>
      </w:hyperlink>
      <w:r w:rsidR="00DC24D8">
        <w:rPr>
          <w:rFonts w:cstheme="minorHAnsi"/>
          <w:noProof/>
          <w:color w:val="000000" w:themeColor="text1"/>
        </w:rPr>
        <w:t xml:space="preserve">, </w:t>
      </w:r>
      <w:hyperlink w:anchor="_ENREF_24" w:tooltip="Moon, 2007 #60" w:history="1">
        <w:r w:rsidR="00DC24D8">
          <w:rPr>
            <w:rFonts w:cstheme="minorHAnsi"/>
            <w:noProof/>
            <w:color w:val="000000" w:themeColor="text1"/>
          </w:rPr>
          <w:t>24</w:t>
        </w:r>
      </w:hyperlink>
      <w:r w:rsidR="00DC24D8">
        <w:rPr>
          <w:rFonts w:cstheme="minorHAnsi"/>
          <w:noProof/>
          <w:color w:val="000000" w:themeColor="text1"/>
        </w:rPr>
        <w:t>]</w:t>
      </w:r>
      <w:r w:rsidRPr="00561279">
        <w:rPr>
          <w:rFonts w:cstheme="minorHAnsi"/>
          <w:color w:val="000000" w:themeColor="text1"/>
        </w:rPr>
        <w:fldChar w:fldCharType="end"/>
      </w:r>
      <w:r w:rsidRPr="00561279">
        <w:rPr>
          <w:rFonts w:cstheme="minorHAnsi"/>
          <w:color w:val="000000" w:themeColor="text1"/>
        </w:rPr>
        <w:t>.</w:t>
      </w:r>
      <w:r w:rsidR="0056161D">
        <w:rPr>
          <w:rFonts w:cstheme="minorHAnsi"/>
          <w:color w:val="000000" w:themeColor="text1"/>
        </w:rPr>
        <w:t xml:space="preserve"> This approach involves developing a multilevel model using survey data with covariate terms that are also available for all target small areas.</w:t>
      </w:r>
      <w:r w:rsidR="007B58BC">
        <w:rPr>
          <w:rFonts w:cstheme="minorHAnsi"/>
          <w:color w:val="000000" w:themeColor="text1"/>
        </w:rPr>
        <w:t xml:space="preserve"> The process began with </w:t>
      </w:r>
      <w:r w:rsidR="007B58BC">
        <w:rPr>
          <w:rFonts w:cs="Arial"/>
          <w:color w:val="000000" w:themeColor="text1"/>
        </w:rPr>
        <w:t>i</w:t>
      </w:r>
      <w:r w:rsidR="00B610F3">
        <w:rPr>
          <w:rFonts w:cs="Arial"/>
          <w:color w:val="000000" w:themeColor="text1"/>
        </w:rPr>
        <w:t xml:space="preserve">nitial data management </w:t>
      </w:r>
      <w:r w:rsidR="00B610F3" w:rsidRPr="00CE2594">
        <w:rPr>
          <w:rFonts w:cs="Arial"/>
          <w:color w:val="000000" w:themeColor="text1"/>
        </w:rPr>
        <w:t xml:space="preserve">into individual and area level covariates </w:t>
      </w:r>
      <w:proofErr w:type="gramStart"/>
      <w:r w:rsidR="007B58BC">
        <w:rPr>
          <w:rFonts w:cs="Arial"/>
          <w:color w:val="000000" w:themeColor="text1"/>
        </w:rPr>
        <w:t xml:space="preserve">using </w:t>
      </w:r>
      <w:r w:rsidR="007B58BC" w:rsidRPr="00CE2594">
        <w:rPr>
          <w:rFonts w:cs="Arial"/>
          <w:color w:val="000000" w:themeColor="text1"/>
        </w:rPr>
        <w:t xml:space="preserve"> </w:t>
      </w:r>
      <w:r w:rsidR="00B610F3" w:rsidRPr="00CE2594">
        <w:rPr>
          <w:rFonts w:cs="Arial"/>
          <w:color w:val="000000" w:themeColor="text1"/>
        </w:rPr>
        <w:t>IBM</w:t>
      </w:r>
      <w:proofErr w:type="gramEnd"/>
      <w:r w:rsidR="00B610F3" w:rsidRPr="00CE2594">
        <w:rPr>
          <w:rFonts w:cs="Arial"/>
          <w:color w:val="000000" w:themeColor="text1"/>
        </w:rPr>
        <w:t xml:space="preserve"> SPSS Statistics </w:t>
      </w:r>
      <w:r w:rsidR="00B610F3">
        <w:rPr>
          <w:rFonts w:cs="Arial"/>
          <w:color w:val="000000" w:themeColor="text1"/>
        </w:rPr>
        <w:t>(V22).</w:t>
      </w:r>
      <w:r w:rsidR="00B610F3" w:rsidRPr="00CE2594">
        <w:rPr>
          <w:rFonts w:cs="Arial"/>
          <w:color w:val="000000" w:themeColor="text1"/>
        </w:rPr>
        <w:t xml:space="preserve"> </w:t>
      </w:r>
      <w:r w:rsidR="00B610F3">
        <w:rPr>
          <w:rFonts w:cs="Arial"/>
          <w:color w:val="000000" w:themeColor="text1"/>
        </w:rPr>
        <w:t xml:space="preserve"> </w:t>
      </w:r>
      <w:r w:rsidR="00225B4F" w:rsidRPr="0014762B">
        <w:rPr>
          <w:rFonts w:eastAsiaTheme="majorEastAsia"/>
          <w:color w:val="000000" w:themeColor="text1"/>
        </w:rPr>
        <w:t xml:space="preserve">Area-level variables </w:t>
      </w:r>
      <w:r w:rsidR="00225B4F">
        <w:rPr>
          <w:rFonts w:eastAsiaTheme="majorEastAsia"/>
          <w:color w:val="000000" w:themeColor="text1"/>
        </w:rPr>
        <w:t xml:space="preserve">were </w:t>
      </w:r>
      <w:r w:rsidR="00225B4F" w:rsidRPr="0014762B">
        <w:rPr>
          <w:rFonts w:eastAsiaTheme="majorEastAsia"/>
          <w:color w:val="000000" w:themeColor="text1"/>
        </w:rPr>
        <w:t>centred on the</w:t>
      </w:r>
      <w:r w:rsidR="00225B4F">
        <w:rPr>
          <w:rFonts w:eastAsiaTheme="majorEastAsia"/>
          <w:color w:val="000000" w:themeColor="text1"/>
        </w:rPr>
        <w:t>ir</w:t>
      </w:r>
      <w:r w:rsidR="00225B4F" w:rsidRPr="0014762B">
        <w:rPr>
          <w:rFonts w:eastAsiaTheme="majorEastAsia"/>
          <w:color w:val="000000" w:themeColor="text1"/>
        </w:rPr>
        <w:t xml:space="preserve"> grand mean. </w:t>
      </w:r>
      <w:r w:rsidR="00B610F3">
        <w:rPr>
          <w:rFonts w:cstheme="minorHAnsi"/>
          <w:color w:val="000000" w:themeColor="text1"/>
        </w:rPr>
        <w:t xml:space="preserve">We then developed 2-level logistic models of individuals nested within MSOAs </w:t>
      </w:r>
      <w:r w:rsidR="00B610F3" w:rsidRPr="00CE2594">
        <w:rPr>
          <w:color w:val="000000" w:themeColor="text1"/>
        </w:rPr>
        <w:t xml:space="preserve">using </w:t>
      </w:r>
      <w:proofErr w:type="spellStart"/>
      <w:r w:rsidR="00B610F3" w:rsidRPr="00CE2594">
        <w:rPr>
          <w:color w:val="000000" w:themeColor="text1"/>
        </w:rPr>
        <w:t>MLwiN</w:t>
      </w:r>
      <w:proofErr w:type="spellEnd"/>
      <w:r w:rsidR="00B610F3" w:rsidRPr="00CE2594">
        <w:rPr>
          <w:color w:val="000000" w:themeColor="text1"/>
        </w:rPr>
        <w:t xml:space="preserve"> </w:t>
      </w:r>
      <w:r w:rsidR="00B610F3">
        <w:rPr>
          <w:color w:val="000000" w:themeColor="text1"/>
        </w:rPr>
        <w:t>(V</w:t>
      </w:r>
      <w:r w:rsidR="0030495B">
        <w:rPr>
          <w:color w:val="000000" w:themeColor="text1"/>
        </w:rPr>
        <w:t>2.35</w:t>
      </w:r>
      <w:r w:rsidR="00B610F3">
        <w:rPr>
          <w:color w:val="000000" w:themeColor="text1"/>
        </w:rPr>
        <w:t>)</w:t>
      </w:r>
      <w:r w:rsidR="0030495B" w:rsidRPr="0030495B">
        <w:rPr>
          <w:rFonts w:cs="Arial"/>
          <w:color w:val="000000" w:themeColor="text1"/>
        </w:rPr>
        <w:t xml:space="preserve"> </w:t>
      </w:r>
      <w:r w:rsidR="0030495B">
        <w:rPr>
          <w:rFonts w:cs="Arial"/>
          <w:color w:val="000000" w:themeColor="text1"/>
        </w:rPr>
        <w:fldChar w:fldCharType="begin"/>
      </w:r>
      <w:r w:rsidR="00DC24D8">
        <w:rPr>
          <w:rFonts w:cs="Arial"/>
          <w:color w:val="000000" w:themeColor="text1"/>
        </w:rPr>
        <w:instrText xml:space="preserve"> ADDIN EN.CITE &lt;EndNote&gt;&lt;Cite&gt;&lt;Author&gt;Rasbash&lt;/Author&gt;&lt;Year&gt;2015&lt;/Year&gt;&lt;RecNum&gt;754&lt;/RecNum&gt;&lt;DisplayText&gt;[25, 26]&lt;/DisplayText&gt;&lt;record&gt;&lt;rec-number&gt;754&lt;/rec-number&gt;&lt;foreign-keys&gt;&lt;key app="EN" db-id="v52zta5tsa9ezsezdzlv2zvd9rswwpvzdt9f"&gt;754&lt;/key&gt;&lt;/foreign-keys&gt;&lt;ref-type name="Computer Program"&gt;9&lt;/ref-type&gt;&lt;contributors&gt;&lt;authors&gt;&lt;author&gt;Rasbash, J.&lt;/author&gt;&lt;author&gt;Charlton, C.&lt;/author&gt;&lt;author&gt;Browne, W.&lt;/author&gt;&lt;author&gt;Healy, M. &lt;/author&gt;&lt;author&gt;Cameron, B.  &lt;/author&gt;&lt;/authors&gt;&lt;/contributors&gt;&lt;titles&gt;&lt;title&gt;MLwiN Version 2.35&lt;/title&gt;&lt;/titles&gt;&lt;dates&gt;&lt;year&gt;2015&lt;/year&gt;&lt;/dates&gt;&lt;publisher&gt;Centre for Multilevel Modelling, University of Bristol.&lt;/publisher&gt;&lt;urls&gt;&lt;/urls&gt;&lt;/record&gt;&lt;/Cite&gt;&lt;Cite&gt;&lt;Author&gt;Browne&lt;/Author&gt;&lt;Year&gt;2009&lt;/Year&gt;&lt;RecNum&gt;755&lt;/RecNum&gt;&lt;record&gt;&lt;rec-number&gt;755&lt;/rec-number&gt;&lt;foreign-keys&gt;&lt;key app="EN" db-id="v52zta5tsa9ezsezdzlv2zvd9rswwpvzdt9f"&gt;755&lt;/key&gt;&lt;/foreign-keys&gt;&lt;ref-type name="Book Section"&gt;5&lt;/ref-type&gt;&lt;contributors&gt;&lt;authors&gt;&lt;author&gt;Browne, W.&lt;/author&gt;&lt;/authors&gt;&lt;/contributors&gt;&lt;titles&gt;&lt;title&gt;MCMC Estimation in MLwiN&lt;/title&gt;&lt;/titles&gt;&lt;dates&gt;&lt;year&gt;2009&lt;/year&gt;&lt;/dates&gt;&lt;publisher&gt;Centre for Multilevel Modelling, University of Bristol&lt;/publisher&gt;&lt;urls&gt;&lt;/urls&gt;&lt;/record&gt;&lt;/Cite&gt;&lt;/EndNote&gt;</w:instrText>
      </w:r>
      <w:r w:rsidR="0030495B">
        <w:rPr>
          <w:rFonts w:cs="Arial"/>
          <w:color w:val="000000" w:themeColor="text1"/>
        </w:rPr>
        <w:fldChar w:fldCharType="separate"/>
      </w:r>
      <w:r w:rsidR="00DC24D8">
        <w:rPr>
          <w:rFonts w:cs="Arial"/>
          <w:noProof/>
          <w:color w:val="000000" w:themeColor="text1"/>
        </w:rPr>
        <w:t>[</w:t>
      </w:r>
      <w:hyperlink w:anchor="_ENREF_25" w:tooltip="Rasbash, 2015 #754" w:history="1">
        <w:r w:rsidR="00DC24D8">
          <w:rPr>
            <w:rFonts w:cs="Arial"/>
            <w:noProof/>
            <w:color w:val="000000" w:themeColor="text1"/>
          </w:rPr>
          <w:t>25</w:t>
        </w:r>
      </w:hyperlink>
      <w:r w:rsidR="00DC24D8">
        <w:rPr>
          <w:rFonts w:cs="Arial"/>
          <w:noProof/>
          <w:color w:val="000000" w:themeColor="text1"/>
        </w:rPr>
        <w:t xml:space="preserve">, </w:t>
      </w:r>
      <w:hyperlink w:anchor="_ENREF_26" w:tooltip="Browne, 2009 #755" w:history="1">
        <w:r w:rsidR="00DC24D8">
          <w:rPr>
            <w:rFonts w:cs="Arial"/>
            <w:noProof/>
            <w:color w:val="000000" w:themeColor="text1"/>
          </w:rPr>
          <w:t>26</w:t>
        </w:r>
      </w:hyperlink>
      <w:r w:rsidR="00DC24D8">
        <w:rPr>
          <w:rFonts w:cs="Arial"/>
          <w:noProof/>
          <w:color w:val="000000" w:themeColor="text1"/>
        </w:rPr>
        <w:t>]</w:t>
      </w:r>
      <w:r w:rsidR="0030495B">
        <w:rPr>
          <w:rFonts w:cs="Arial"/>
          <w:color w:val="000000" w:themeColor="text1"/>
        </w:rPr>
        <w:fldChar w:fldCharType="end"/>
      </w:r>
      <w:r w:rsidR="00B610F3" w:rsidRPr="00CE2594">
        <w:rPr>
          <w:color w:val="000000" w:themeColor="text1"/>
        </w:rPr>
        <w:t>.</w:t>
      </w:r>
      <w:r w:rsidR="00B610F3">
        <w:rPr>
          <w:color w:val="000000" w:themeColor="text1"/>
        </w:rPr>
        <w:t xml:space="preserve"> </w:t>
      </w:r>
      <w:r w:rsidR="00B610F3">
        <w:t xml:space="preserve">Separate models were produced to estimate SRGH and LLTI. </w:t>
      </w:r>
      <w:r w:rsidR="00225B4F">
        <w:t xml:space="preserve">Models </w:t>
      </w:r>
      <w:r w:rsidR="00225B4F" w:rsidRPr="0014762B">
        <w:t xml:space="preserve">were tested for </w:t>
      </w:r>
      <w:r w:rsidR="00225B4F" w:rsidRPr="0014762B">
        <w:rPr>
          <w:color w:val="000000" w:themeColor="text1"/>
        </w:rPr>
        <w:t>interactions between the age and sex terms</w:t>
      </w:r>
      <w:r w:rsidR="00225B4F">
        <w:rPr>
          <w:color w:val="000000" w:themeColor="text1"/>
        </w:rPr>
        <w:t xml:space="preserve">, </w:t>
      </w:r>
      <w:proofErr w:type="gramStart"/>
      <w:r w:rsidR="00225B4F">
        <w:rPr>
          <w:color w:val="000000" w:themeColor="text1"/>
        </w:rPr>
        <w:t>and  v</w:t>
      </w:r>
      <w:r w:rsidR="00225B4F" w:rsidRPr="0014762B">
        <w:rPr>
          <w:color w:val="000000" w:themeColor="text1"/>
        </w:rPr>
        <w:t>ariables</w:t>
      </w:r>
      <w:proofErr w:type="gramEnd"/>
      <w:r w:rsidR="00225B4F" w:rsidRPr="0014762B">
        <w:rPr>
          <w:color w:val="000000" w:themeColor="text1"/>
        </w:rPr>
        <w:t xml:space="preserve"> were retained in the final model</w:t>
      </w:r>
      <w:r w:rsidR="00225B4F">
        <w:rPr>
          <w:color w:val="000000" w:themeColor="text1"/>
        </w:rPr>
        <w:t>s</w:t>
      </w:r>
      <w:r w:rsidR="00225B4F" w:rsidRPr="0014762B">
        <w:rPr>
          <w:color w:val="000000" w:themeColor="text1"/>
        </w:rPr>
        <w:t xml:space="preserve"> if they were found to be statistically significant</w:t>
      </w:r>
      <w:r w:rsidR="00225B4F">
        <w:rPr>
          <w:rFonts w:eastAsiaTheme="majorEastAsia"/>
          <w:color w:val="000000" w:themeColor="text1"/>
        </w:rPr>
        <w:t xml:space="preserve"> using the Chi-Squared test (p≤0.05)</w:t>
      </w:r>
      <w:r w:rsidR="00225B4F" w:rsidRPr="0014762B">
        <w:rPr>
          <w:rFonts w:eastAsiaTheme="majorEastAsia"/>
          <w:color w:val="000000" w:themeColor="text1"/>
        </w:rPr>
        <w:t xml:space="preserve">. </w:t>
      </w:r>
      <w:r w:rsidR="00583B46">
        <w:t xml:space="preserve">We considered modelling with </w:t>
      </w:r>
      <w:r w:rsidR="00AA2A7D">
        <w:t xml:space="preserve">the </w:t>
      </w:r>
      <w:r w:rsidR="00583B46">
        <w:t>individual non-response weights</w:t>
      </w:r>
      <w:r w:rsidR="00AA2A7D">
        <w:t xml:space="preserve"> available in each of the national surveys but, after exploration, elected to proceed with unweighted data.  Views vary on whether or not to use weighted data in small area estimation with the Bayesian nature of our modelling process offering support for our decision</w:t>
      </w:r>
      <w:r w:rsidR="00CE35F3">
        <w:t xml:space="preserve"> </w:t>
      </w:r>
      <w:r w:rsidR="00CE35F3">
        <w:fldChar w:fldCharType="begin"/>
      </w:r>
      <w:r w:rsidR="00DC24D8">
        <w:instrText xml:space="preserve"> ADDIN EN.CITE &lt;EndNote&gt;&lt;Cite&gt;&lt;Author&gt;Gelman&lt;/Author&gt;&lt;Year&gt;2007&lt;/Year&gt;&lt;RecNum&gt;844&lt;/RecNum&gt;&lt;DisplayText&gt;[27]&lt;/DisplayText&gt;&lt;record&gt;&lt;rec-number&gt;844&lt;/rec-number&gt;&lt;foreign-keys&gt;&lt;key app="EN" db-id="v52zta5tsa9ezsezdzlv2zvd9rswwpvzdt9f"&gt;844&lt;/key&gt;&lt;/foreign-keys&gt;&lt;ref-type name="Journal Article"&gt;17&lt;/ref-type&gt;&lt;contributors&gt;&lt;authors&gt;&lt;author&gt;Gelman, Andrew&lt;/author&gt;&lt;/authors&gt;&lt;/contributors&gt;&lt;titles&gt;&lt;title&gt;Struggles with survey weighting and regression modeling&lt;/title&gt;&lt;secondary-title&gt;Statistical Science&lt;/secondary-title&gt;&lt;/titles&gt;&lt;periodical&gt;&lt;full-title&gt;Statistical Science&lt;/full-title&gt;&lt;/periodical&gt;&lt;pages&gt;153-164&lt;/pages&gt;&lt;volume&gt;22&lt;/volume&gt;&lt;number&gt;2&lt;/number&gt;&lt;dates&gt;&lt;year&gt;2007&lt;/year&gt;&lt;/dates&gt;&lt;isbn&gt;0883-4237&lt;/isbn&gt;&lt;urls&gt;&lt;/urls&gt;&lt;/record&gt;&lt;/Cite&gt;&lt;/EndNote&gt;</w:instrText>
      </w:r>
      <w:r w:rsidR="00CE35F3">
        <w:fldChar w:fldCharType="separate"/>
      </w:r>
      <w:r w:rsidR="00DC24D8">
        <w:rPr>
          <w:noProof/>
        </w:rPr>
        <w:t>[</w:t>
      </w:r>
      <w:hyperlink w:anchor="_ENREF_27" w:tooltip="Gelman, 2007 #844" w:history="1">
        <w:r w:rsidR="00DC24D8">
          <w:rPr>
            <w:noProof/>
          </w:rPr>
          <w:t>27</w:t>
        </w:r>
      </w:hyperlink>
      <w:r w:rsidR="00DC24D8">
        <w:rPr>
          <w:noProof/>
        </w:rPr>
        <w:t>]</w:t>
      </w:r>
      <w:r w:rsidR="00CE35F3">
        <w:fldChar w:fldCharType="end"/>
      </w:r>
      <w:r w:rsidR="00CE35F3">
        <w:t>.</w:t>
      </w:r>
      <w:r w:rsidR="00AA2A7D">
        <w:t xml:space="preserve"> </w:t>
      </w:r>
    </w:p>
    <w:p w:rsidR="00AC2377" w:rsidRDefault="00830EDE" w:rsidP="00F2399B">
      <w:pPr>
        <w:pStyle w:val="NoSpacing"/>
        <w:spacing w:line="480" w:lineRule="auto"/>
        <w:rPr>
          <w:rFonts w:cs="Arial"/>
          <w:color w:val="000000" w:themeColor="text1"/>
        </w:rPr>
      </w:pPr>
      <w:r>
        <w:rPr>
          <w:rFonts w:cs="Arial"/>
          <w:color w:val="000000" w:themeColor="text1"/>
        </w:rPr>
        <w:t>Our</w:t>
      </w:r>
      <w:r w:rsidRPr="0014762B">
        <w:rPr>
          <w:rFonts w:cs="Arial"/>
          <w:color w:val="000000" w:themeColor="text1"/>
        </w:rPr>
        <w:t xml:space="preserve"> </w:t>
      </w:r>
      <w:r w:rsidR="007B58BC">
        <w:rPr>
          <w:rFonts w:cs="Arial"/>
          <w:color w:val="000000" w:themeColor="text1"/>
        </w:rPr>
        <w:t xml:space="preserve">SAE </w:t>
      </w:r>
      <w:r w:rsidR="00B610F3" w:rsidRPr="0014762B">
        <w:rPr>
          <w:rFonts w:cs="Arial"/>
          <w:color w:val="000000" w:themeColor="text1"/>
        </w:rPr>
        <w:t xml:space="preserve">models </w:t>
      </w:r>
      <w:r w:rsidR="00225B4F">
        <w:rPr>
          <w:rFonts w:cs="Arial"/>
          <w:color w:val="000000" w:themeColor="text1"/>
        </w:rPr>
        <w:t xml:space="preserve">were </w:t>
      </w:r>
      <w:r w:rsidR="00B610F3">
        <w:rPr>
          <w:rFonts w:cs="Arial"/>
          <w:color w:val="000000" w:themeColor="text1"/>
        </w:rPr>
        <w:t xml:space="preserve">initially </w:t>
      </w:r>
      <w:r w:rsidR="00225B4F">
        <w:rPr>
          <w:rFonts w:cs="Arial"/>
          <w:color w:val="000000" w:themeColor="text1"/>
        </w:rPr>
        <w:t>estimated using</w:t>
      </w:r>
      <w:r w:rsidR="00225B4F" w:rsidRPr="0014762B">
        <w:rPr>
          <w:rFonts w:cs="Arial"/>
          <w:color w:val="000000" w:themeColor="text1"/>
        </w:rPr>
        <w:t xml:space="preserve"> </w:t>
      </w:r>
      <w:r w:rsidR="00B610F3" w:rsidRPr="0014762B">
        <w:rPr>
          <w:rFonts w:cs="Arial"/>
          <w:color w:val="000000" w:themeColor="text1"/>
        </w:rPr>
        <w:t xml:space="preserve">iterative generalised least </w:t>
      </w:r>
      <w:proofErr w:type="gramStart"/>
      <w:r w:rsidR="00B610F3" w:rsidRPr="0014762B">
        <w:rPr>
          <w:rFonts w:cs="Arial"/>
          <w:color w:val="000000" w:themeColor="text1"/>
        </w:rPr>
        <w:t xml:space="preserve">squares </w:t>
      </w:r>
      <w:r w:rsidR="0056161D">
        <w:rPr>
          <w:rFonts w:cs="Arial"/>
          <w:color w:val="000000" w:themeColor="text1"/>
        </w:rPr>
        <w:t xml:space="preserve"> (</w:t>
      </w:r>
      <w:proofErr w:type="gramEnd"/>
      <w:r w:rsidR="0056161D">
        <w:rPr>
          <w:rFonts w:cs="Arial"/>
          <w:color w:val="000000" w:themeColor="text1"/>
        </w:rPr>
        <w:t>IGLS)</w:t>
      </w:r>
      <w:r w:rsidR="00225B4F">
        <w:rPr>
          <w:rFonts w:cs="Arial"/>
          <w:color w:val="000000" w:themeColor="text1"/>
        </w:rPr>
        <w:t xml:space="preserve"> </w:t>
      </w:r>
      <w:r w:rsidR="00B610F3" w:rsidRPr="0014762B">
        <w:rPr>
          <w:rFonts w:cs="Arial"/>
          <w:color w:val="000000" w:themeColor="text1"/>
        </w:rPr>
        <w:t>with first order maximum quasi-likelihood estimation</w:t>
      </w:r>
      <w:r w:rsidR="00AC2377">
        <w:rPr>
          <w:rFonts w:cs="Arial"/>
          <w:color w:val="000000" w:themeColor="text1"/>
        </w:rPr>
        <w:t xml:space="preserve"> and took the general form:</w:t>
      </w:r>
    </w:p>
    <w:p w:rsidR="00FA4AB9" w:rsidRPr="00F2399B" w:rsidRDefault="00BA36C6" w:rsidP="00F2399B">
      <w:pPr>
        <w:pStyle w:val="NoSpacing"/>
        <w:spacing w:line="480" w:lineRule="auto"/>
        <w:rPr>
          <w:rFonts w:cs="Arial"/>
          <w:color w:val="000000" w:themeColor="text1"/>
          <w:lang w:val="es-ES"/>
        </w:rPr>
      </w:pPr>
      <m:oMath>
        <m:sSub>
          <m:sSubPr>
            <m:ctrlPr>
              <w:rPr>
                <w:rFonts w:ascii="Cambria Math" w:hAnsi="Cambria Math" w:cs="Arial"/>
                <w:i/>
                <w:color w:val="000000" w:themeColor="text1"/>
              </w:rPr>
            </m:ctrlPr>
          </m:sSubPr>
          <m:e>
            <m:r>
              <m:rPr>
                <m:nor/>
              </m:rPr>
              <w:rPr>
                <w:rFonts w:ascii="Cambria Math" w:hAnsi="Cambria Math" w:cs="Arial" w:hint="eastAsia"/>
                <w:color w:val="000000" w:themeColor="text1"/>
                <w:lang w:val="es-ES"/>
              </w:rPr>
              <m:t>Y</m:t>
            </m:r>
          </m:e>
          <m:sub>
            <m:r>
              <m:rPr>
                <m:nor/>
              </m:rPr>
              <w:rPr>
                <w:rFonts w:ascii="Cambria Math" w:hAnsi="Cambria Math" w:cs="Arial" w:hint="eastAsia"/>
                <w:color w:val="000000" w:themeColor="text1"/>
                <w:lang w:val="es-ES"/>
              </w:rPr>
              <m:t xml:space="preserve">ij </m:t>
            </m:r>
          </m:sub>
        </m:sSub>
        <m:r>
          <w:rPr>
            <w:rFonts w:ascii="Cambria Math" w:hAnsi="Cambria Math" w:cs="Arial"/>
            <w:color w:val="000000" w:themeColor="text1"/>
            <w:lang w:val="es-ES"/>
          </w:rPr>
          <m:t>=</m:t>
        </m:r>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lang w:val="es-ES"/>
              </w:rPr>
              <m:t>0</m:t>
            </m:r>
            <m:r>
              <w:rPr>
                <w:rFonts w:ascii="Cambria Math" w:hAnsi="Cambria Math" w:cs="Arial"/>
                <w:color w:val="000000" w:themeColor="text1"/>
              </w:rPr>
              <m:t>j</m:t>
            </m:r>
          </m:sub>
        </m:sSub>
        <m:r>
          <w:rPr>
            <w:rFonts w:ascii="Cambria Math" w:hAnsi="Cambria Math" w:cs="Arial"/>
            <w:color w:val="000000" w:themeColor="text1"/>
            <w:lang w:val="es-ES"/>
          </w:rPr>
          <m:t>+</m:t>
        </m:r>
        <m:sSub>
          <m:sSubPr>
            <m:ctrlPr>
              <w:rPr>
                <w:rFonts w:ascii="Cambria Math" w:hAnsi="Cambria Math" w:cs="Arial"/>
                <w:b/>
                <w:bCs/>
                <w:i/>
                <w:color w:val="000000" w:themeColor="text1"/>
              </w:rPr>
            </m:ctrlPr>
          </m:sSubPr>
          <m:e>
            <m:r>
              <m:rPr>
                <m:sty m:val="bi"/>
              </m:rPr>
              <w:rPr>
                <w:rFonts w:ascii="Cambria Math" w:hAnsi="Cambria Math" w:cs="Arial" w:hint="eastAsia"/>
                <w:color w:val="000000" w:themeColor="text1"/>
              </w:rPr>
              <m:t>β</m:t>
            </m:r>
          </m:e>
          <m:sub>
            <m:r>
              <m:rPr>
                <m:sty m:val="bi"/>
              </m:rPr>
              <w:rPr>
                <w:rFonts w:ascii="Cambria Math" w:hAnsi="Cambria Math" w:cs="Arial"/>
                <w:color w:val="000000" w:themeColor="text1"/>
              </w:rPr>
              <m:t>1</m:t>
            </m:r>
            <m:r>
              <m:rPr>
                <m:sty m:val="bi"/>
              </m:rPr>
              <w:rPr>
                <w:rFonts w:ascii="Cambria Math" w:hAnsi="Cambria Math" w:cs="Arial" w:hint="eastAsia"/>
                <w:color w:val="000000" w:themeColor="text1"/>
              </w:rPr>
              <m:t>ij</m:t>
            </m:r>
          </m:sub>
        </m:sSub>
        <m:r>
          <m:rPr>
            <m:sty m:val="bi"/>
          </m:rPr>
          <w:rPr>
            <w:rFonts w:ascii="Cambria Math" w:hAnsi="Cambria Math" w:cs="Arial"/>
            <w:color w:val="000000" w:themeColor="text1"/>
            <w:lang w:val="es-ES"/>
          </w:rPr>
          <m:t>+</m:t>
        </m:r>
        <m:sSub>
          <m:sSubPr>
            <m:ctrlPr>
              <w:rPr>
                <w:rFonts w:ascii="Cambria Math" w:hAnsi="Cambria Math" w:cs="Arial"/>
                <w:b/>
                <w:bCs/>
                <w:i/>
                <w:color w:val="000000" w:themeColor="text1"/>
              </w:rPr>
            </m:ctrlPr>
          </m:sSubPr>
          <m:e>
            <m:r>
              <m:rPr>
                <m:sty m:val="bi"/>
              </m:rPr>
              <w:rPr>
                <w:rFonts w:ascii="Cambria Math" w:hAnsi="Cambria Math" w:cs="Arial"/>
                <w:color w:val="000000" w:themeColor="text1"/>
              </w:rPr>
              <m:t>β</m:t>
            </m:r>
          </m:e>
          <m:sub>
            <m:r>
              <m:rPr>
                <m:sty m:val="bi"/>
              </m:rPr>
              <w:rPr>
                <w:rFonts w:ascii="Cambria Math" w:hAnsi="Cambria Math" w:cs="Arial"/>
                <w:color w:val="000000" w:themeColor="text1"/>
              </w:rPr>
              <m:t>2</m:t>
            </m:r>
            <m:r>
              <m:rPr>
                <m:sty m:val="bi"/>
              </m:rPr>
              <w:rPr>
                <w:rFonts w:ascii="Cambria Math" w:hAnsi="Cambria Math" w:cs="Arial"/>
                <w:color w:val="000000" w:themeColor="text1"/>
              </w:rPr>
              <m:t>ij</m:t>
            </m:r>
          </m:sub>
        </m:sSub>
        <m:r>
          <m:rPr>
            <m:sty m:val="bi"/>
          </m:rPr>
          <w:rPr>
            <w:rFonts w:ascii="Cambria Math" w:hAnsi="Cambria Math" w:cs="Arial"/>
            <w:color w:val="000000" w:themeColor="text1"/>
            <w:lang w:val="es-ES"/>
          </w:rPr>
          <m:t>+</m:t>
        </m:r>
        <m:sSub>
          <m:sSubPr>
            <m:ctrlPr>
              <w:rPr>
                <w:rFonts w:ascii="Cambria Math" w:hAnsi="Cambria Math" w:cs="Arial"/>
                <w:i/>
                <w:color w:val="000000" w:themeColor="text1"/>
              </w:rPr>
            </m:ctrlPr>
          </m:sSubPr>
          <m:e>
            <m:r>
              <w:rPr>
                <w:rFonts w:ascii="Cambria Math" w:hAnsi="Cambria Math" w:cs="Arial" w:hint="eastAsia"/>
                <w:color w:val="000000" w:themeColor="text1"/>
              </w:rPr>
              <m:t>μ</m:t>
            </m:r>
          </m:e>
          <m:sub>
            <m:r>
              <w:rPr>
                <w:rFonts w:ascii="Cambria Math" w:hAnsi="Cambria Math" w:cs="Arial" w:hint="eastAsia"/>
                <w:color w:val="000000" w:themeColor="text1"/>
                <w:lang w:val="es-ES"/>
              </w:rPr>
              <m:t>0</m:t>
            </m:r>
            <m:r>
              <w:rPr>
                <w:rFonts w:ascii="Cambria Math" w:hAnsi="Cambria Math" w:cs="Arial" w:hint="eastAsia"/>
                <w:color w:val="000000" w:themeColor="text1"/>
              </w:rPr>
              <m:t>j</m:t>
            </m:r>
          </m:sub>
        </m:sSub>
      </m:oMath>
      <w:r w:rsidR="00B229A8" w:rsidRPr="007B58BC">
        <w:rPr>
          <w:rFonts w:cs="Arial"/>
          <w:color w:val="000000" w:themeColor="text1"/>
          <w:lang w:val="es-ES"/>
        </w:rPr>
        <w:t xml:space="preserve">  </w:t>
      </w:r>
    </w:p>
    <w:p w:rsidR="000D4C4F" w:rsidRPr="0014762B" w:rsidRDefault="00B229A8" w:rsidP="00BA36C6">
      <w:pPr>
        <w:pStyle w:val="NoSpacing"/>
        <w:spacing w:line="480" w:lineRule="auto"/>
        <w:rPr>
          <w:rFonts w:eastAsiaTheme="majorEastAsia"/>
          <w:color w:val="000000" w:themeColor="text1"/>
        </w:rPr>
      </w:pPr>
      <w:r w:rsidRPr="00BA36C6">
        <w:rPr>
          <w:rFonts w:cs="Arial"/>
          <w:color w:val="000000" w:themeColor="text1"/>
          <w:lang w:val="es-ES"/>
        </w:rPr>
        <w:t xml:space="preserve"> </w:t>
      </w:r>
      <w:r w:rsidRPr="00F2399B">
        <w:rPr>
          <w:rFonts w:cs="Arial"/>
          <w:color w:val="000000" w:themeColor="text1"/>
        </w:rPr>
        <w:t>where Y represents the outcome, whether an individual has an LLTI or</w:t>
      </w:r>
      <w:r>
        <w:rPr>
          <w:rFonts w:cs="Arial"/>
          <w:color w:val="000000" w:themeColor="text1"/>
        </w:rPr>
        <w:t xml:space="preserve"> is in poor health, β</w:t>
      </w:r>
      <w:r w:rsidRPr="00F2399B">
        <w:rPr>
          <w:rFonts w:cs="Arial"/>
          <w:color w:val="000000" w:themeColor="text1"/>
          <w:vertAlign w:val="subscript"/>
        </w:rPr>
        <w:t>0</w:t>
      </w:r>
      <w:r w:rsidR="00FA4AB9">
        <w:rPr>
          <w:rFonts w:cs="Arial"/>
          <w:color w:val="000000" w:themeColor="text1"/>
          <w:vertAlign w:val="subscript"/>
        </w:rPr>
        <w:t>j</w:t>
      </w:r>
      <w:r>
        <w:rPr>
          <w:rFonts w:cs="Arial"/>
          <w:color w:val="000000" w:themeColor="text1"/>
        </w:rPr>
        <w:t xml:space="preserve"> is the intercept in the model, </w:t>
      </w:r>
      <w:r w:rsidRPr="00F2399B">
        <w:rPr>
          <w:rFonts w:cs="Arial"/>
          <w:b/>
          <w:bCs/>
          <w:color w:val="000000" w:themeColor="text1"/>
        </w:rPr>
        <w:t>β</w:t>
      </w:r>
      <w:r w:rsidRPr="00F2399B">
        <w:rPr>
          <w:rFonts w:cs="Arial"/>
          <w:b/>
          <w:bCs/>
          <w:color w:val="000000" w:themeColor="text1"/>
          <w:vertAlign w:val="subscript"/>
        </w:rPr>
        <w:t>1</w:t>
      </w:r>
      <w:r w:rsidR="00FA4AB9">
        <w:rPr>
          <w:rFonts w:cs="Arial"/>
          <w:b/>
          <w:bCs/>
          <w:color w:val="000000" w:themeColor="text1"/>
          <w:vertAlign w:val="subscript"/>
        </w:rPr>
        <w:t>ij</w:t>
      </w:r>
      <w:r>
        <w:rPr>
          <w:rFonts w:cs="Arial"/>
          <w:color w:val="000000" w:themeColor="text1"/>
        </w:rPr>
        <w:t xml:space="preserve"> represents covariates measured at the individual level</w:t>
      </w:r>
      <w:r w:rsidR="00FA4AB9">
        <w:rPr>
          <w:rFonts w:cs="Arial"/>
          <w:color w:val="000000" w:themeColor="text1"/>
        </w:rPr>
        <w:t xml:space="preserve"> (age and sex), </w:t>
      </w:r>
      <w:r w:rsidRPr="00F2399B">
        <w:rPr>
          <w:rFonts w:cs="Arial"/>
          <w:b/>
          <w:bCs/>
          <w:color w:val="000000" w:themeColor="text1"/>
        </w:rPr>
        <w:t>β</w:t>
      </w:r>
      <w:r w:rsidR="00FA4AB9" w:rsidRPr="00F2399B">
        <w:rPr>
          <w:rFonts w:cs="Arial"/>
          <w:b/>
          <w:bCs/>
          <w:color w:val="000000" w:themeColor="text1"/>
          <w:vertAlign w:val="subscript"/>
        </w:rPr>
        <w:t>2j</w:t>
      </w:r>
      <w:r w:rsidR="00FA4AB9">
        <w:rPr>
          <w:rFonts w:cs="Arial"/>
          <w:color w:val="000000" w:themeColor="text1"/>
        </w:rPr>
        <w:t xml:space="preserve"> refers to covariates measured at the MSOA level (benefit receipts, IMD and the flag denoting </w:t>
      </w:r>
      <w:r w:rsidR="00FA4AB9">
        <w:rPr>
          <w:rFonts w:cs="Arial"/>
          <w:color w:val="000000" w:themeColor="text1"/>
        </w:rPr>
        <w:lastRenderedPageBreak/>
        <w:t xml:space="preserve">England, Scotland or Wales), and </w:t>
      </w:r>
      <w:proofErr w:type="gramStart"/>
      <w:r w:rsidRPr="00FA4AB9">
        <w:rPr>
          <w:rFonts w:cs="Arial"/>
          <w:color w:val="000000" w:themeColor="text1"/>
        </w:rPr>
        <w:t>μ</w:t>
      </w:r>
      <w:r w:rsidR="00FA4AB9" w:rsidRPr="00F2399B">
        <w:rPr>
          <w:rFonts w:cs="Arial"/>
          <w:color w:val="000000" w:themeColor="text1"/>
          <w:vertAlign w:val="subscript"/>
        </w:rPr>
        <w:t>0j</w:t>
      </w:r>
      <w:r w:rsidR="00FA4AB9">
        <w:rPr>
          <w:rFonts w:cs="Arial"/>
          <w:color w:val="000000" w:themeColor="text1"/>
          <w:vertAlign w:val="subscript"/>
        </w:rPr>
        <w:t xml:space="preserve"> </w:t>
      </w:r>
      <w:r w:rsidR="00FA4AB9">
        <w:rPr>
          <w:rFonts w:cs="Arial"/>
          <w:color w:val="000000" w:themeColor="text1"/>
        </w:rPr>
        <w:t xml:space="preserve"> indicates</w:t>
      </w:r>
      <w:proofErr w:type="gramEnd"/>
      <w:r w:rsidR="00FA4AB9">
        <w:rPr>
          <w:rFonts w:cs="Arial"/>
          <w:color w:val="000000" w:themeColor="text1"/>
        </w:rPr>
        <w:t xml:space="preserve"> the MSOA level variance; individual level variance is constrained to one in the binomial model.</w:t>
      </w:r>
      <w:r w:rsidR="00C93A76">
        <w:rPr>
          <w:rFonts w:cs="Arial"/>
          <w:color w:val="000000" w:themeColor="text1"/>
        </w:rPr>
        <w:t xml:space="preserve"> </w:t>
      </w:r>
      <w:r w:rsidR="00B610F3" w:rsidRPr="0014762B">
        <w:rPr>
          <w:rFonts w:cs="Arial"/>
          <w:color w:val="000000" w:themeColor="text1"/>
        </w:rPr>
        <w:t xml:space="preserve">Once </w:t>
      </w:r>
      <w:r w:rsidR="00F80B45">
        <w:rPr>
          <w:rFonts w:cs="Arial"/>
          <w:color w:val="000000" w:themeColor="text1"/>
        </w:rPr>
        <w:t>the IGLS model</w:t>
      </w:r>
      <w:r w:rsidR="002E31FB">
        <w:rPr>
          <w:rFonts w:cs="Arial"/>
          <w:color w:val="000000" w:themeColor="text1"/>
        </w:rPr>
        <w:t>s</w:t>
      </w:r>
      <w:r w:rsidR="00F80B45">
        <w:rPr>
          <w:rFonts w:cs="Arial"/>
          <w:color w:val="000000" w:themeColor="text1"/>
        </w:rPr>
        <w:t xml:space="preserve"> achieved convergence</w:t>
      </w:r>
      <w:r w:rsidR="00B610F3" w:rsidRPr="0014762B">
        <w:rPr>
          <w:rFonts w:cs="Arial"/>
          <w:color w:val="000000" w:themeColor="text1"/>
        </w:rPr>
        <w:t xml:space="preserve">, </w:t>
      </w:r>
      <w:r w:rsidR="002E31FB">
        <w:rPr>
          <w:rFonts w:cs="Arial"/>
          <w:color w:val="000000" w:themeColor="text1"/>
        </w:rPr>
        <w:t>their coefficients were used as informative priors in Bayesian</w:t>
      </w:r>
      <w:r w:rsidR="002E31FB" w:rsidRPr="0014762B">
        <w:rPr>
          <w:rFonts w:cs="Arial"/>
          <w:color w:val="000000" w:themeColor="text1"/>
        </w:rPr>
        <w:t xml:space="preserve"> </w:t>
      </w:r>
      <w:r w:rsidR="00B610F3" w:rsidRPr="0014762B">
        <w:rPr>
          <w:rFonts w:cs="Arial"/>
          <w:color w:val="000000" w:themeColor="text1"/>
        </w:rPr>
        <w:t xml:space="preserve">Monte Carlo Markov Chain (MCMC) </w:t>
      </w:r>
      <w:r w:rsidR="002E31FB">
        <w:rPr>
          <w:rFonts w:cs="Arial"/>
          <w:color w:val="000000" w:themeColor="text1"/>
        </w:rPr>
        <w:t>models to</w:t>
      </w:r>
      <w:r w:rsidR="00BA36C6">
        <w:rPr>
          <w:rFonts w:cs="Arial"/>
          <w:color w:val="000000" w:themeColor="text1"/>
        </w:rPr>
        <w:t xml:space="preserve"> </w:t>
      </w:r>
      <w:r w:rsidR="00B610F3" w:rsidRPr="0014762B">
        <w:rPr>
          <w:rFonts w:cs="Arial"/>
          <w:color w:val="000000" w:themeColor="text1"/>
        </w:rPr>
        <w:t>allow for more robust estimates and standard errors. Both MCMC models were run thr</w:t>
      </w:r>
      <w:r w:rsidR="00B610F3">
        <w:rPr>
          <w:rFonts w:cs="Arial"/>
          <w:color w:val="000000" w:themeColor="text1"/>
        </w:rPr>
        <w:t>ough 500,</w:t>
      </w:r>
      <w:r w:rsidR="00B610F3" w:rsidRPr="0014762B">
        <w:rPr>
          <w:rFonts w:cs="Arial"/>
          <w:color w:val="000000" w:themeColor="text1"/>
        </w:rPr>
        <w:t>000 iterations</w:t>
      </w:r>
      <w:r w:rsidR="00B610F3" w:rsidRPr="00DD48E7">
        <w:rPr>
          <w:rFonts w:cs="Arial"/>
          <w:color w:val="000000" w:themeColor="text1"/>
        </w:rPr>
        <w:t>, with an initial burn-in period</w:t>
      </w:r>
      <w:r w:rsidR="00B610F3">
        <w:rPr>
          <w:rFonts w:cs="Arial"/>
          <w:color w:val="000000" w:themeColor="text1"/>
        </w:rPr>
        <w:t xml:space="preserve"> of 50,</w:t>
      </w:r>
      <w:r w:rsidR="00B610F3" w:rsidRPr="00DD48E7">
        <w:rPr>
          <w:rFonts w:cs="Arial"/>
          <w:color w:val="000000" w:themeColor="text1"/>
        </w:rPr>
        <w:t>000 iterations</w:t>
      </w:r>
      <w:r w:rsidR="00C93A76">
        <w:rPr>
          <w:rFonts w:cs="Arial"/>
          <w:color w:val="000000" w:themeColor="text1"/>
        </w:rPr>
        <w:t xml:space="preserve">. </w:t>
      </w:r>
      <w:r w:rsidR="001518EF">
        <w:rPr>
          <w:rFonts w:eastAsiaTheme="majorEastAsia"/>
          <w:color w:val="000000" w:themeColor="text1"/>
        </w:rPr>
        <w:t xml:space="preserve">The </w:t>
      </w:r>
      <w:r w:rsidR="000D4C4F">
        <w:rPr>
          <w:rFonts w:eastAsiaTheme="majorEastAsia"/>
          <w:color w:val="000000" w:themeColor="text1"/>
        </w:rPr>
        <w:t>SAE</w:t>
      </w:r>
      <w:r w:rsidR="001518EF">
        <w:rPr>
          <w:rFonts w:eastAsiaTheme="majorEastAsia"/>
          <w:color w:val="000000" w:themeColor="text1"/>
        </w:rPr>
        <w:t xml:space="preserve"> process concluded with the generation of SAEs</w:t>
      </w:r>
      <w:r w:rsidR="000D4C4F">
        <w:rPr>
          <w:rFonts w:cs="Arial"/>
          <w:color w:val="000000" w:themeColor="text1"/>
        </w:rPr>
        <w:t xml:space="preserve"> of SRGH</w:t>
      </w:r>
      <w:r w:rsidR="000D4C4F" w:rsidRPr="0014762B">
        <w:rPr>
          <w:rFonts w:cs="Arial"/>
          <w:color w:val="000000" w:themeColor="text1"/>
        </w:rPr>
        <w:t xml:space="preserve"> and LLTI at MSOA level produced</w:t>
      </w:r>
      <w:r w:rsidR="000D4C4F">
        <w:rPr>
          <w:rFonts w:cs="Arial"/>
          <w:color w:val="000000" w:themeColor="text1"/>
        </w:rPr>
        <w:t xml:space="preserve"> by </w:t>
      </w:r>
      <w:r w:rsidR="00BA36C6">
        <w:rPr>
          <w:rFonts w:cs="Arial"/>
          <w:color w:val="000000" w:themeColor="text1"/>
        </w:rPr>
        <w:t>converting</w:t>
      </w:r>
      <w:r w:rsidR="000D4C4F">
        <w:rPr>
          <w:rFonts w:cs="Arial"/>
          <w:color w:val="000000" w:themeColor="text1"/>
        </w:rPr>
        <w:t xml:space="preserve"> the</w:t>
      </w:r>
      <w:r w:rsidR="00C93A76">
        <w:rPr>
          <w:rFonts w:cs="Arial"/>
          <w:color w:val="000000" w:themeColor="text1"/>
        </w:rPr>
        <w:t xml:space="preserve"> final MCMC</w:t>
      </w:r>
      <w:r w:rsidR="000D4C4F">
        <w:rPr>
          <w:rFonts w:cs="Arial"/>
          <w:color w:val="000000" w:themeColor="text1"/>
        </w:rPr>
        <w:t xml:space="preserve"> model </w:t>
      </w:r>
      <w:r w:rsidR="00BA36C6">
        <w:rPr>
          <w:rFonts w:cs="Arial"/>
          <w:color w:val="000000" w:themeColor="text1"/>
        </w:rPr>
        <w:t>logit</w:t>
      </w:r>
      <w:r w:rsidR="006221E2">
        <w:rPr>
          <w:rFonts w:cs="Arial"/>
          <w:color w:val="000000" w:themeColor="text1"/>
        </w:rPr>
        <w:t xml:space="preserve"> coefficients</w:t>
      </w:r>
      <w:r w:rsidR="002E31FB">
        <w:rPr>
          <w:rFonts w:cs="Arial"/>
          <w:color w:val="000000" w:themeColor="text1"/>
        </w:rPr>
        <w:t xml:space="preserve"> </w:t>
      </w:r>
      <w:r w:rsidR="006221E2">
        <w:rPr>
          <w:rFonts w:cs="Arial"/>
          <w:color w:val="000000" w:themeColor="text1"/>
        </w:rPr>
        <w:t>to</w:t>
      </w:r>
      <w:r w:rsidR="00BA36C6">
        <w:rPr>
          <w:rFonts w:cs="Arial"/>
          <w:color w:val="000000" w:themeColor="text1"/>
        </w:rPr>
        <w:t xml:space="preserve"> probabilities and applying them to</w:t>
      </w:r>
      <w:r w:rsidR="006221E2">
        <w:rPr>
          <w:rFonts w:cs="Arial"/>
          <w:color w:val="000000" w:themeColor="text1"/>
        </w:rPr>
        <w:t xml:space="preserve"> a data file for all MSOAs in Great Britain comprising cross-tabulations of age and sex from the 2011 Decennial Population Census together with the area-level indicators. </w:t>
      </w:r>
    </w:p>
    <w:p w:rsidR="00B610F3" w:rsidRDefault="00B610F3" w:rsidP="00F92813">
      <w:pPr>
        <w:pStyle w:val="Heading2"/>
        <w:spacing w:before="0" w:after="0" w:line="480" w:lineRule="auto"/>
      </w:pPr>
    </w:p>
    <w:p w:rsidR="00DB0842" w:rsidRDefault="006221E2" w:rsidP="00F92813">
      <w:pPr>
        <w:pStyle w:val="Heading2"/>
        <w:spacing w:before="0" w:line="480" w:lineRule="auto"/>
      </w:pPr>
      <w:r>
        <w:t>Census Comparison</w:t>
      </w:r>
    </w:p>
    <w:p w:rsidR="00C02103" w:rsidRDefault="00AF7D68" w:rsidP="00DF0D5D">
      <w:pPr>
        <w:spacing w:after="240" w:line="480" w:lineRule="auto"/>
        <w:rPr>
          <w:rFonts w:eastAsiaTheme="majorEastAsia"/>
          <w:color w:val="000000" w:themeColor="text1"/>
        </w:rPr>
      </w:pPr>
      <w:r w:rsidRPr="00D34ECB">
        <w:rPr>
          <w:rFonts w:cs="Arial"/>
          <w:color w:val="000000"/>
        </w:rPr>
        <w:t xml:space="preserve">In the UK, the 2011 Census is the most recent source of information </w:t>
      </w:r>
      <w:r w:rsidRPr="00D34ECB">
        <w:t>on local inequalities</w:t>
      </w:r>
      <w:r w:rsidRPr="00D34ECB">
        <w:rPr>
          <w:rFonts w:cs="Arial"/>
          <w:color w:val="000000"/>
        </w:rPr>
        <w:t xml:space="preserve"> in </w:t>
      </w:r>
      <w:r>
        <w:rPr>
          <w:rFonts w:cs="Arial"/>
          <w:color w:val="000000"/>
        </w:rPr>
        <w:t>SRGH</w:t>
      </w:r>
      <w:r w:rsidRPr="00D34ECB">
        <w:rPr>
          <w:rFonts w:cs="Arial"/>
          <w:color w:val="000000"/>
        </w:rPr>
        <w:t xml:space="preserve"> and LLTI</w:t>
      </w:r>
      <w:r w:rsidRPr="00CA7194">
        <w:rPr>
          <w:color w:val="000000"/>
          <w:shd w:val="clear" w:color="auto" w:fill="FFFFFF"/>
        </w:rPr>
        <w:t xml:space="preserve">. </w:t>
      </w:r>
      <w:r w:rsidR="00DB0842">
        <w:rPr>
          <w:color w:val="000000"/>
          <w:shd w:val="clear" w:color="auto" w:fill="FFFFFF"/>
        </w:rPr>
        <w:t xml:space="preserve"> We compared our </w:t>
      </w:r>
      <w:r w:rsidR="00183B19">
        <w:rPr>
          <w:color w:val="000000"/>
          <w:shd w:val="clear" w:color="auto" w:fill="FFFFFF"/>
        </w:rPr>
        <w:t xml:space="preserve">MSOA </w:t>
      </w:r>
      <w:r w:rsidR="00B610F3">
        <w:rPr>
          <w:color w:val="000000"/>
          <w:shd w:val="clear" w:color="auto" w:fill="FFFFFF"/>
        </w:rPr>
        <w:t>SAEs</w:t>
      </w:r>
      <w:r w:rsidR="00DB0842">
        <w:rPr>
          <w:color w:val="000000"/>
          <w:shd w:val="clear" w:color="auto" w:fill="FFFFFF"/>
        </w:rPr>
        <w:t xml:space="preserve"> to </w:t>
      </w:r>
      <w:r w:rsidR="00B610F3">
        <w:rPr>
          <w:color w:val="000000"/>
          <w:shd w:val="clear" w:color="auto" w:fill="FFFFFF"/>
        </w:rPr>
        <w:t xml:space="preserve">census </w:t>
      </w:r>
      <w:r w:rsidR="00BB4C5B">
        <w:rPr>
          <w:rFonts w:eastAsia="PMingLiU"/>
          <w:lang w:eastAsia="zh-TW"/>
        </w:rPr>
        <w:t xml:space="preserve">data on </w:t>
      </w:r>
      <w:r w:rsidR="00220C8C">
        <w:rPr>
          <w:rFonts w:eastAsia="PMingLiU"/>
          <w:lang w:eastAsia="zh-TW"/>
        </w:rPr>
        <w:t>SRGH</w:t>
      </w:r>
      <w:r w:rsidR="00AC1926">
        <w:rPr>
          <w:rFonts w:eastAsia="PMingLiU"/>
          <w:lang w:eastAsia="zh-TW"/>
        </w:rPr>
        <w:t xml:space="preserve"> </w:t>
      </w:r>
      <w:r w:rsidR="00BB4C5B">
        <w:rPr>
          <w:rFonts w:eastAsia="PMingLiU"/>
          <w:lang w:eastAsia="zh-TW"/>
        </w:rPr>
        <w:t xml:space="preserve">and LLTI </w:t>
      </w:r>
      <w:r w:rsidR="00AC1926">
        <w:rPr>
          <w:rFonts w:eastAsia="PMingLiU"/>
          <w:lang w:eastAsia="zh-TW"/>
        </w:rPr>
        <w:t>for</w:t>
      </w:r>
      <w:r w:rsidR="00DB0842">
        <w:rPr>
          <w:rFonts w:eastAsia="PMingLiU"/>
          <w:lang w:eastAsia="zh-TW"/>
        </w:rPr>
        <w:t xml:space="preserve"> MSOAs</w:t>
      </w:r>
      <w:r w:rsidR="00BB4C5B" w:rsidRPr="00DE5D69">
        <w:rPr>
          <w:rFonts w:eastAsiaTheme="majorEastAsia"/>
          <w:color w:val="000000" w:themeColor="text1"/>
        </w:rPr>
        <w:t>.</w:t>
      </w:r>
      <w:r w:rsidR="00BB4C5B">
        <w:rPr>
          <w:rFonts w:eastAsiaTheme="majorEastAsia"/>
          <w:color w:val="000000" w:themeColor="text1"/>
        </w:rPr>
        <w:t xml:space="preserve"> </w:t>
      </w:r>
      <w:r w:rsidR="00B610F3">
        <w:rPr>
          <w:rFonts w:eastAsiaTheme="majorEastAsia"/>
          <w:color w:val="000000" w:themeColor="text1"/>
        </w:rPr>
        <w:t>F</w:t>
      </w:r>
      <w:r w:rsidR="00AC1926" w:rsidRPr="00DE5D69">
        <w:rPr>
          <w:rFonts w:eastAsiaTheme="majorEastAsia"/>
          <w:color w:val="000000" w:themeColor="text1"/>
        </w:rPr>
        <w:t xml:space="preserve">or England and Wales </w:t>
      </w:r>
      <w:r w:rsidR="00B610F3">
        <w:rPr>
          <w:rFonts w:eastAsiaTheme="majorEastAsia"/>
          <w:color w:val="000000" w:themeColor="text1"/>
        </w:rPr>
        <w:t xml:space="preserve">this </w:t>
      </w:r>
      <w:r w:rsidR="00AC1926" w:rsidRPr="00DE5D69">
        <w:rPr>
          <w:rFonts w:eastAsiaTheme="majorEastAsia"/>
          <w:color w:val="000000" w:themeColor="text1"/>
        </w:rPr>
        <w:t xml:space="preserve">was </w:t>
      </w:r>
      <w:r w:rsidR="00A1214B">
        <w:rPr>
          <w:rFonts w:eastAsiaTheme="majorEastAsia"/>
          <w:color w:val="000000" w:themeColor="text1"/>
        </w:rPr>
        <w:t>sourced</w:t>
      </w:r>
      <w:r w:rsidR="00AC1926" w:rsidRPr="00DE5D69">
        <w:rPr>
          <w:rFonts w:eastAsiaTheme="majorEastAsia"/>
          <w:color w:val="000000" w:themeColor="text1"/>
        </w:rPr>
        <w:t xml:space="preserve"> from the ONS official labour market statistics </w:t>
      </w:r>
      <w:r w:rsidR="00DF0D5D" w:rsidRPr="00DE5D69">
        <w:rPr>
          <w:rFonts w:eastAsiaTheme="majorEastAsia"/>
          <w:color w:val="000000" w:themeColor="text1"/>
        </w:rPr>
        <w:t xml:space="preserve">website. </w:t>
      </w:r>
      <w:r w:rsidR="00FB248C">
        <w:rPr>
          <w:rFonts w:eastAsiaTheme="majorEastAsia"/>
          <w:color w:val="000000" w:themeColor="text1"/>
        </w:rPr>
        <w:t>F</w:t>
      </w:r>
      <w:r w:rsidR="00AC1926" w:rsidRPr="00DE5D69">
        <w:rPr>
          <w:rFonts w:eastAsiaTheme="majorEastAsia"/>
          <w:color w:val="000000" w:themeColor="text1"/>
        </w:rPr>
        <w:t xml:space="preserve">or Scotland </w:t>
      </w:r>
      <w:r w:rsidR="00FB248C">
        <w:rPr>
          <w:rFonts w:eastAsiaTheme="majorEastAsia"/>
          <w:color w:val="000000" w:themeColor="text1"/>
        </w:rPr>
        <w:t xml:space="preserve">it </w:t>
      </w:r>
      <w:r w:rsidR="00AC1926" w:rsidRPr="00DE5D69">
        <w:rPr>
          <w:rFonts w:eastAsiaTheme="majorEastAsia"/>
          <w:color w:val="000000" w:themeColor="text1"/>
        </w:rPr>
        <w:t xml:space="preserve">was downloaded from the Scottish Census data </w:t>
      </w:r>
      <w:r w:rsidR="00DF0D5D" w:rsidRPr="00DE5D69">
        <w:rPr>
          <w:rFonts w:eastAsiaTheme="majorEastAsia"/>
          <w:color w:val="000000" w:themeColor="text1"/>
        </w:rPr>
        <w:t xml:space="preserve">warehouse. </w:t>
      </w:r>
    </w:p>
    <w:p w:rsidR="00B82FC7" w:rsidRPr="00B82FC7" w:rsidRDefault="00183B19" w:rsidP="00DC24D8">
      <w:pPr>
        <w:pStyle w:val="NoSpacing"/>
        <w:spacing w:after="240" w:line="480" w:lineRule="auto"/>
        <w:rPr>
          <w:szCs w:val="22"/>
        </w:rPr>
      </w:pPr>
      <w:r>
        <w:rPr>
          <w:rFonts w:cs="Arial"/>
          <w:color w:val="000000" w:themeColor="text1"/>
        </w:rPr>
        <w:t xml:space="preserve">SAEs and </w:t>
      </w:r>
      <w:r w:rsidR="0014762B">
        <w:rPr>
          <w:rFonts w:cs="Arial"/>
          <w:color w:val="000000" w:themeColor="text1"/>
        </w:rPr>
        <w:t xml:space="preserve"> </w:t>
      </w:r>
      <w:r w:rsidR="00EA4266" w:rsidRPr="0014762B">
        <w:rPr>
          <w:rFonts w:cs="Arial"/>
          <w:color w:val="000000" w:themeColor="text1"/>
        </w:rPr>
        <w:t>Census estimates</w:t>
      </w:r>
      <w:r>
        <w:rPr>
          <w:rFonts w:cs="Arial"/>
          <w:color w:val="000000" w:themeColor="text1"/>
        </w:rPr>
        <w:t xml:space="preserve"> were compared</w:t>
      </w:r>
      <w:r w:rsidR="00C774E7" w:rsidRPr="0014762B">
        <w:rPr>
          <w:rFonts w:cs="Arial"/>
          <w:color w:val="000000" w:themeColor="text1"/>
        </w:rPr>
        <w:t xml:space="preserve"> using regression and correlation analysis</w:t>
      </w:r>
      <w:r w:rsidR="00D528CE">
        <w:rPr>
          <w:rFonts w:cs="Arial"/>
          <w:color w:val="000000" w:themeColor="text1"/>
        </w:rPr>
        <w:t xml:space="preserve"> following the Scarborough</w:t>
      </w:r>
      <w:r w:rsidR="006555F2">
        <w:t xml:space="preserve"> </w:t>
      </w:r>
      <w:r w:rsidR="004662FD">
        <w:t xml:space="preserve">methodology </w:t>
      </w:r>
      <w:r w:rsidR="006555F2">
        <w:t xml:space="preserve">used </w:t>
      </w:r>
      <w:r>
        <w:t xml:space="preserve">previously </w:t>
      </w:r>
      <w:r w:rsidR="004662FD" w:rsidRPr="0014762B">
        <w:t xml:space="preserve">for validating </w:t>
      </w:r>
      <w:r>
        <w:t>SAEs</w:t>
      </w:r>
      <w:r w:rsidR="004662FD" w:rsidRPr="0014762B">
        <w:t xml:space="preserve"> for coronary he</w:t>
      </w:r>
      <w:r w:rsidR="006555F2">
        <w:t>art disease</w:t>
      </w:r>
      <w:r w:rsidR="0014762B" w:rsidRPr="0014762B">
        <w:t xml:space="preserve"> </w:t>
      </w:r>
      <w:r w:rsidR="0014762B" w:rsidRPr="0014762B">
        <w:fldChar w:fldCharType="begin"/>
      </w:r>
      <w:r w:rsidR="00DC24D8">
        <w:instrText xml:space="preserve"> ADDIN EN.CITE &lt;EndNote&gt;&lt;Cite&gt;&lt;Author&gt;Scarborough&lt;/Author&gt;&lt;Year&gt;2009&lt;/Year&gt;&lt;RecNum&gt;55&lt;/RecNum&gt;&lt;DisplayText&gt;[28]&lt;/DisplayText&gt;&lt;record&gt;&lt;rec-number&gt;55&lt;/rec-number&gt;&lt;foreign-keys&gt;&lt;key app="EN" db-id="v52zta5tsa9ezsezdzlv2zvd9rswwpvzdt9f"&gt;55&lt;/key&gt;&lt;/foreign-keys&gt;&lt;ref-type name="Journal Article"&gt;17&lt;/ref-type&gt;&lt;contributors&gt;&lt;authors&gt;&lt;author&gt;Scarborough, Peter&lt;/author&gt;&lt;author&gt;Allender, Steven&lt;/author&gt;&lt;author&gt;Rayner, Mike&lt;/author&gt;&lt;author&gt;Goldacre, Michael&lt;/author&gt;&lt;/authors&gt;&lt;/contributors&gt;&lt;titles&gt;&lt;title&gt;Validation of model-based estimates (synthetic estimates) of the prevalence of risk factors for coronary heart disease for wards in England&lt;/title&gt;&lt;secondary-title&gt;Health &amp;amp; Place&lt;/secondary-title&gt;&lt;/titles&gt;&lt;periodical&gt;&lt;full-title&gt;Health &amp;amp; place&lt;/full-title&gt;&lt;/periodical&gt;&lt;pages&gt;596-605&lt;/pages&gt;&lt;volume&gt;15&lt;/volume&gt;&lt;number&gt;2&lt;/number&gt;&lt;keywords&gt;&lt;keyword&gt;Synthetic estimates&lt;/keyword&gt;&lt;keyword&gt;Validity&lt;/keyword&gt;&lt;keyword&gt;Coronary heart disease&lt;/keyword&gt;&lt;keyword&gt;Risk factors&lt;/keyword&gt;&lt;keyword&gt;Smoking&lt;/keyword&gt;&lt;keyword&gt;Fruit and vegetables&lt;/keyword&gt;&lt;keyword&gt;Physical activity&lt;/keyword&gt;&lt;keyword&gt;Alcohol&lt;/keyword&gt;&lt;keyword&gt;Obesity&lt;/keyword&gt;&lt;keyword&gt;Diabetes&lt;/keyword&gt;&lt;keyword&gt;Hypertension&lt;/keyword&gt;&lt;keyword&gt;Cholesterol&lt;/keyword&gt;&lt;/keywords&gt;&lt;dates&gt;&lt;year&gt;2009&lt;/year&gt;&lt;/dates&gt;&lt;isbn&gt;1353-8292&lt;/isbn&gt;&lt;urls&gt;&lt;related-urls&gt;&lt;url&gt;http://www.sciencedirect.com/science/article/pii/S1353829208001275&lt;/url&gt;&lt;/related-urls&gt;&lt;/urls&gt;&lt;electronic-resource-num&gt;10.1016/j.healthplace.2008.10.003&lt;/electronic-resource-num&gt;&lt;/record&gt;&lt;/Cite&gt;&lt;/EndNote&gt;</w:instrText>
      </w:r>
      <w:r w:rsidR="0014762B" w:rsidRPr="0014762B">
        <w:fldChar w:fldCharType="separate"/>
      </w:r>
      <w:r w:rsidR="00DC24D8">
        <w:rPr>
          <w:noProof/>
        </w:rPr>
        <w:t>[</w:t>
      </w:r>
      <w:hyperlink w:anchor="_ENREF_28" w:tooltip="Scarborough, 2009 #55" w:history="1">
        <w:r w:rsidR="00DC24D8">
          <w:rPr>
            <w:noProof/>
          </w:rPr>
          <w:t>28</w:t>
        </w:r>
      </w:hyperlink>
      <w:r w:rsidR="00DC24D8">
        <w:rPr>
          <w:noProof/>
        </w:rPr>
        <w:t>]</w:t>
      </w:r>
      <w:r w:rsidR="0014762B" w:rsidRPr="0014762B">
        <w:fldChar w:fldCharType="end"/>
      </w:r>
      <w:r w:rsidR="00D528CE">
        <w:t>.</w:t>
      </w:r>
      <w:r w:rsidR="00531051">
        <w:t xml:space="preserve"> </w:t>
      </w:r>
      <w:r>
        <w:t>SAEs</w:t>
      </w:r>
      <w:r w:rsidR="0014762B" w:rsidRPr="0014762B">
        <w:t xml:space="preserve"> </w:t>
      </w:r>
      <w:r w:rsidR="00D528CE">
        <w:t xml:space="preserve">were plotted </w:t>
      </w:r>
      <w:r w:rsidR="0014762B" w:rsidRPr="0014762B">
        <w:t xml:space="preserve">against </w:t>
      </w:r>
      <w:r>
        <w:t>the Census</w:t>
      </w:r>
      <w:r w:rsidR="0014762B" w:rsidRPr="0014762B">
        <w:t xml:space="preserve"> measurement of the same target variable at the </w:t>
      </w:r>
      <w:r w:rsidR="0014762B">
        <w:t>M</w:t>
      </w:r>
      <w:r w:rsidR="006555F2">
        <w:t>SOA</w:t>
      </w:r>
      <w:r w:rsidR="00B82FC7">
        <w:t xml:space="preserve"> level</w:t>
      </w:r>
      <w:r w:rsidR="006555F2">
        <w:t>. Convergent validity wa</w:t>
      </w:r>
      <w:r w:rsidR="0014762B" w:rsidRPr="0014762B">
        <w:t xml:space="preserve">s achieved if </w:t>
      </w:r>
      <w:r w:rsidR="00B82FC7">
        <w:t>the</w:t>
      </w:r>
      <w:r w:rsidR="0014762B" w:rsidRPr="0014762B">
        <w:t xml:space="preserve"> </w:t>
      </w:r>
      <w:r w:rsidR="00B82FC7">
        <w:t>line of best fit had</w:t>
      </w:r>
      <w:r w:rsidR="0014762B" w:rsidRPr="0014762B">
        <w:t xml:space="preserve"> a gradient </w:t>
      </w:r>
      <w:r w:rsidR="00B82FC7">
        <w:t>with confidence intervals including</w:t>
      </w:r>
      <w:r w:rsidR="0014762B" w:rsidRPr="0014762B">
        <w:t xml:space="preserve"> one and an intercept </w:t>
      </w:r>
      <w:r w:rsidR="00B82FC7">
        <w:t>with confidence intervals including</w:t>
      </w:r>
      <w:r w:rsidR="0014762B" w:rsidRPr="0014762B">
        <w:t xml:space="preserve"> zero. For each model, we </w:t>
      </w:r>
      <w:r w:rsidR="00B82FC7">
        <w:t>considered</w:t>
      </w:r>
      <w:r w:rsidR="0014762B" w:rsidRPr="0014762B">
        <w:t xml:space="preserve"> four regression lines</w:t>
      </w:r>
      <w:r w:rsidR="00B82FC7">
        <w:t>:</w:t>
      </w:r>
      <w:r w:rsidR="0014762B" w:rsidRPr="0014762B">
        <w:t xml:space="preserve"> one </w:t>
      </w:r>
      <w:r w:rsidR="00531051">
        <w:t xml:space="preserve">for </w:t>
      </w:r>
      <w:r w:rsidR="0014762B" w:rsidRPr="0014762B">
        <w:t xml:space="preserve">Great Britain as a whole and </w:t>
      </w:r>
      <w:r w:rsidR="00B82FC7">
        <w:t>one each for</w:t>
      </w:r>
      <w:r w:rsidR="00647C69">
        <w:t xml:space="preserve"> the constituent countries </w:t>
      </w:r>
      <w:proofErr w:type="gramStart"/>
      <w:r w:rsidR="00647C69">
        <w:t xml:space="preserve">of </w:t>
      </w:r>
      <w:r w:rsidR="0014762B" w:rsidRPr="0014762B">
        <w:t xml:space="preserve"> England</w:t>
      </w:r>
      <w:proofErr w:type="gramEnd"/>
      <w:r w:rsidR="0014762B" w:rsidRPr="0014762B">
        <w:t xml:space="preserve">, Scotland and Wales. </w:t>
      </w:r>
      <w:r w:rsidR="00D528CE">
        <w:t>We also sought high correlations.</w:t>
      </w:r>
    </w:p>
    <w:p w:rsidR="008D72CC" w:rsidRDefault="008D72CC" w:rsidP="00F92813">
      <w:pPr>
        <w:pStyle w:val="Heading1"/>
        <w:spacing w:before="0" w:after="0" w:line="480" w:lineRule="auto"/>
      </w:pPr>
      <w:r w:rsidRPr="00B15392">
        <w:lastRenderedPageBreak/>
        <w:t>Results</w:t>
      </w:r>
    </w:p>
    <w:p w:rsidR="00C932B0" w:rsidRPr="00A43161" w:rsidRDefault="00E22D84" w:rsidP="00023E50">
      <w:pPr>
        <w:pStyle w:val="NoSpacing"/>
        <w:spacing w:line="480" w:lineRule="auto"/>
      </w:pPr>
      <w:r>
        <w:t>A descriptive summary of the full linked data file used to construct the SAEs is set out in Table 2.</w:t>
      </w:r>
      <w:r w:rsidR="00A43161">
        <w:t xml:space="preserve"> </w:t>
      </w:r>
      <w:r w:rsidR="00C932B0">
        <w:t>The</w:t>
      </w:r>
      <w:r w:rsidR="00A43161">
        <w:t xml:space="preserve"> resulting</w:t>
      </w:r>
      <w:r w:rsidR="00C932B0">
        <w:t xml:space="preserve"> small area estima</w:t>
      </w:r>
      <w:r w:rsidR="00DD2D5A">
        <w:t>tion mod</w:t>
      </w:r>
      <w:r w:rsidR="00A43161">
        <w:t>els are shown in Table 3</w:t>
      </w:r>
      <w:r w:rsidR="002904EE">
        <w:t xml:space="preserve">. </w:t>
      </w:r>
      <w:r w:rsidR="00531051">
        <w:t xml:space="preserve">We show logits and standard errors as these provide the input to the SAE process. </w:t>
      </w:r>
      <w:r w:rsidR="002904EE">
        <w:t xml:space="preserve">Having </w:t>
      </w:r>
      <w:r w:rsidR="003863B3">
        <w:t xml:space="preserve">poor </w:t>
      </w:r>
      <w:r w:rsidR="00220C8C">
        <w:t>SRGH</w:t>
      </w:r>
      <w:r w:rsidR="00C932B0">
        <w:t xml:space="preserve"> was </w:t>
      </w:r>
      <w:r w:rsidR="00DD2D5A">
        <w:t xml:space="preserve">largely a function of </w:t>
      </w:r>
      <w:r w:rsidR="00C932B0">
        <w:t>increasing age,</w:t>
      </w:r>
      <w:r w:rsidR="00B768E1">
        <w:t xml:space="preserve"> and</w:t>
      </w:r>
      <w:r w:rsidR="00C932B0">
        <w:t xml:space="preserve"> </w:t>
      </w:r>
      <w:r w:rsidR="003863B3">
        <w:t>higher</w:t>
      </w:r>
      <w:r w:rsidR="00B768E1">
        <w:t xml:space="preserve"> MSOA</w:t>
      </w:r>
      <w:r w:rsidR="00C932B0">
        <w:t xml:space="preserve"> IMD score</w:t>
      </w:r>
      <w:r w:rsidR="003863B3">
        <w:t>s (increased deprivation)</w:t>
      </w:r>
      <w:r w:rsidR="00B768E1">
        <w:t>.  A similar picture was evident for LLTI with being female playing a</w:t>
      </w:r>
      <w:r w:rsidR="00DD2D5A">
        <w:t>n additional</w:t>
      </w:r>
      <w:r w:rsidR="00B768E1">
        <w:t xml:space="preserve"> role. MSOA-level benefit measures </w:t>
      </w:r>
      <w:r w:rsidR="00DB2F9D">
        <w:t>had little</w:t>
      </w:r>
      <w:r w:rsidR="00B768E1">
        <w:t xml:space="preserve"> effect on either SRGH or LLTI</w:t>
      </w:r>
      <w:r w:rsidR="00C932B0">
        <w:t xml:space="preserve">. </w:t>
      </w:r>
      <w:r w:rsidR="00B768E1">
        <w:t xml:space="preserve">For SRGH the models showed no difference between Scotland and the </w:t>
      </w:r>
      <w:r w:rsidR="00C932B0">
        <w:t>reference country of England</w:t>
      </w:r>
      <w:r w:rsidR="00B768E1">
        <w:t xml:space="preserve"> but a ma</w:t>
      </w:r>
      <w:r w:rsidR="005F05E2">
        <w:t xml:space="preserve">rkedly lower likelihood of </w:t>
      </w:r>
      <w:r w:rsidR="00CD2933">
        <w:t>poorer</w:t>
      </w:r>
      <w:r w:rsidR="005F05E2">
        <w:t xml:space="preserve"> SRGH in Wales. In contrast, </w:t>
      </w:r>
      <w:r w:rsidR="00DB2F9D">
        <w:t>being</w:t>
      </w:r>
      <w:r w:rsidR="005B6A3E" w:rsidRPr="00604335">
        <w:rPr>
          <w:color w:val="000000" w:themeColor="text1"/>
        </w:rPr>
        <w:t xml:space="preserve"> located in </w:t>
      </w:r>
      <w:r w:rsidR="005F05E2">
        <w:rPr>
          <w:color w:val="000000" w:themeColor="text1"/>
        </w:rPr>
        <w:t xml:space="preserve">either </w:t>
      </w:r>
      <w:r w:rsidR="005C4584">
        <w:rPr>
          <w:color w:val="000000" w:themeColor="text1"/>
        </w:rPr>
        <w:t>Wales or Scotland wa</w:t>
      </w:r>
      <w:r w:rsidR="00C932B0" w:rsidRPr="00604335">
        <w:rPr>
          <w:color w:val="000000" w:themeColor="text1"/>
        </w:rPr>
        <w:t xml:space="preserve">s associated with </w:t>
      </w:r>
      <w:r w:rsidR="00906988">
        <w:rPr>
          <w:color w:val="000000" w:themeColor="text1"/>
        </w:rPr>
        <w:t xml:space="preserve">a </w:t>
      </w:r>
      <w:r w:rsidR="00C932B0" w:rsidRPr="00604335">
        <w:rPr>
          <w:color w:val="000000" w:themeColor="text1"/>
        </w:rPr>
        <w:t xml:space="preserve">higher likelihood of reporting </w:t>
      </w:r>
      <w:r w:rsidR="002904EE">
        <w:rPr>
          <w:color w:val="000000" w:themeColor="text1"/>
        </w:rPr>
        <w:t xml:space="preserve">an LLTI compared to </w:t>
      </w:r>
      <w:r w:rsidR="005B6A3E" w:rsidRPr="00604335">
        <w:rPr>
          <w:color w:val="000000" w:themeColor="text1"/>
        </w:rPr>
        <w:t>En</w:t>
      </w:r>
      <w:r w:rsidR="00C932B0" w:rsidRPr="00604335">
        <w:rPr>
          <w:color w:val="000000" w:themeColor="text1"/>
        </w:rPr>
        <w:t>gland.</w:t>
      </w:r>
      <w:r w:rsidR="00023E50">
        <w:rPr>
          <w:color w:val="000000" w:themeColor="text1"/>
        </w:rPr>
        <w:t xml:space="preserve"> Both models were relatively successful in capturing variation in their outcome measur</w:t>
      </w:r>
      <w:r w:rsidR="009F23BA">
        <w:rPr>
          <w:color w:val="000000" w:themeColor="text1"/>
        </w:rPr>
        <w:t>e</w:t>
      </w:r>
      <w:r w:rsidR="00023E50">
        <w:rPr>
          <w:color w:val="000000" w:themeColor="text1"/>
        </w:rPr>
        <w:t>s, with the LLTI model being marginally more effective.</w:t>
      </w: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9F23BA" w:rsidRDefault="009F23BA" w:rsidP="00E07D0C">
      <w:pPr>
        <w:pStyle w:val="NoSpacing"/>
        <w:rPr>
          <w:b/>
          <w:bCs/>
          <w:color w:val="000000" w:themeColor="text1"/>
        </w:rPr>
      </w:pPr>
    </w:p>
    <w:p w:rsidR="00B57E43" w:rsidRDefault="00A43161" w:rsidP="00E07D0C">
      <w:pPr>
        <w:pStyle w:val="NoSpacing"/>
        <w:rPr>
          <w:b/>
          <w:bCs/>
          <w:color w:val="000000" w:themeColor="text1"/>
        </w:rPr>
      </w:pPr>
      <w:r>
        <w:rPr>
          <w:b/>
          <w:bCs/>
          <w:color w:val="000000" w:themeColor="text1"/>
        </w:rPr>
        <w:lastRenderedPageBreak/>
        <w:t>Table 2: Descriptive statistics</w:t>
      </w:r>
      <w:r w:rsidR="00E07D0C">
        <w:rPr>
          <w:b/>
          <w:bCs/>
          <w:color w:val="000000" w:themeColor="text1"/>
        </w:rPr>
        <w:t>: full linked data set</w:t>
      </w:r>
    </w:p>
    <w:p w:rsidR="00A43161" w:rsidRDefault="00A43161" w:rsidP="00144D8C">
      <w:pPr>
        <w:pStyle w:val="NoSpacing"/>
        <w:rPr>
          <w:b/>
          <w:bCs/>
          <w:color w:val="000000" w:themeColor="text1"/>
        </w:rPr>
      </w:pPr>
    </w:p>
    <w:tbl>
      <w:tblPr>
        <w:tblStyle w:val="TableGrid"/>
        <w:tblW w:w="0" w:type="auto"/>
        <w:tblInd w:w="108" w:type="dxa"/>
        <w:tblLayout w:type="fixed"/>
        <w:tblLook w:val="04A0" w:firstRow="1" w:lastRow="0" w:firstColumn="1" w:lastColumn="0" w:noHBand="0" w:noVBand="1"/>
      </w:tblPr>
      <w:tblGrid>
        <w:gridCol w:w="1080"/>
        <w:gridCol w:w="1330"/>
        <w:gridCol w:w="992"/>
        <w:gridCol w:w="1134"/>
        <w:gridCol w:w="993"/>
        <w:gridCol w:w="1134"/>
        <w:gridCol w:w="992"/>
        <w:gridCol w:w="1134"/>
      </w:tblGrid>
      <w:tr w:rsidR="00A43161" w:rsidTr="00345D28">
        <w:tc>
          <w:tcPr>
            <w:tcW w:w="1080" w:type="dxa"/>
            <w:vMerge w:val="restart"/>
          </w:tcPr>
          <w:p w:rsidR="00A43161" w:rsidRPr="002D6510" w:rsidRDefault="00A43161" w:rsidP="0065703B">
            <w:pPr>
              <w:pStyle w:val="NoSpacing"/>
              <w:jc w:val="center"/>
              <w:rPr>
                <w:b/>
                <w:bCs/>
              </w:rPr>
            </w:pPr>
            <w:r w:rsidRPr="002D6510">
              <w:rPr>
                <w:b/>
                <w:bCs/>
              </w:rPr>
              <w:t>Variable</w:t>
            </w:r>
          </w:p>
        </w:tc>
        <w:tc>
          <w:tcPr>
            <w:tcW w:w="1330" w:type="dxa"/>
            <w:vMerge w:val="restart"/>
          </w:tcPr>
          <w:p w:rsidR="00A43161" w:rsidRPr="002D6510" w:rsidRDefault="00A43161" w:rsidP="0065703B">
            <w:pPr>
              <w:pStyle w:val="NoSpacing"/>
              <w:jc w:val="center"/>
              <w:rPr>
                <w:b/>
                <w:bCs/>
              </w:rPr>
            </w:pPr>
            <w:r w:rsidRPr="002D6510">
              <w:rPr>
                <w:b/>
                <w:bCs/>
              </w:rPr>
              <w:t>Category</w:t>
            </w:r>
          </w:p>
        </w:tc>
        <w:tc>
          <w:tcPr>
            <w:tcW w:w="2126" w:type="dxa"/>
            <w:gridSpan w:val="2"/>
          </w:tcPr>
          <w:p w:rsidR="00A43161" w:rsidRPr="002D6510" w:rsidRDefault="00A43161" w:rsidP="0065703B">
            <w:pPr>
              <w:pStyle w:val="NoSpacing"/>
              <w:jc w:val="center"/>
              <w:rPr>
                <w:b/>
                <w:bCs/>
              </w:rPr>
            </w:pPr>
            <w:r>
              <w:rPr>
                <w:b/>
                <w:bCs/>
              </w:rPr>
              <w:t>Full Sample</w:t>
            </w:r>
          </w:p>
        </w:tc>
        <w:tc>
          <w:tcPr>
            <w:tcW w:w="2127" w:type="dxa"/>
            <w:gridSpan w:val="2"/>
          </w:tcPr>
          <w:p w:rsidR="00A43161" w:rsidRPr="002D6510" w:rsidRDefault="00A43161" w:rsidP="0065703B">
            <w:pPr>
              <w:pStyle w:val="NoSpacing"/>
              <w:jc w:val="center"/>
              <w:rPr>
                <w:b/>
                <w:bCs/>
              </w:rPr>
            </w:pPr>
            <w:r>
              <w:rPr>
                <w:b/>
                <w:bCs/>
              </w:rPr>
              <w:t>General Health</w:t>
            </w:r>
          </w:p>
        </w:tc>
        <w:tc>
          <w:tcPr>
            <w:tcW w:w="2126" w:type="dxa"/>
            <w:gridSpan w:val="2"/>
          </w:tcPr>
          <w:p w:rsidR="00A43161" w:rsidRPr="002D6510" w:rsidRDefault="00A43161" w:rsidP="00023E50">
            <w:pPr>
              <w:pStyle w:val="NoSpacing"/>
              <w:jc w:val="center"/>
              <w:rPr>
                <w:b/>
                <w:bCs/>
              </w:rPr>
            </w:pPr>
            <w:r>
              <w:rPr>
                <w:b/>
                <w:bCs/>
              </w:rPr>
              <w:t xml:space="preserve">LLTI </w:t>
            </w:r>
          </w:p>
        </w:tc>
      </w:tr>
      <w:tr w:rsidR="00A43161" w:rsidTr="00345D28">
        <w:tc>
          <w:tcPr>
            <w:tcW w:w="1080" w:type="dxa"/>
            <w:vMerge/>
          </w:tcPr>
          <w:p w:rsidR="00A43161" w:rsidRPr="002D6510" w:rsidRDefault="00A43161" w:rsidP="0065703B">
            <w:pPr>
              <w:pStyle w:val="NoSpacing"/>
              <w:jc w:val="center"/>
              <w:rPr>
                <w:b/>
                <w:bCs/>
              </w:rPr>
            </w:pPr>
          </w:p>
        </w:tc>
        <w:tc>
          <w:tcPr>
            <w:tcW w:w="1330" w:type="dxa"/>
            <w:vMerge/>
          </w:tcPr>
          <w:p w:rsidR="00A43161" w:rsidRPr="002D6510" w:rsidRDefault="00A43161" w:rsidP="0065703B">
            <w:pPr>
              <w:pStyle w:val="NoSpacing"/>
              <w:jc w:val="center"/>
              <w:rPr>
                <w:b/>
                <w:bCs/>
              </w:rPr>
            </w:pPr>
          </w:p>
        </w:tc>
        <w:tc>
          <w:tcPr>
            <w:tcW w:w="992" w:type="dxa"/>
          </w:tcPr>
          <w:p w:rsidR="00A43161" w:rsidRPr="002D6510" w:rsidRDefault="00A43161" w:rsidP="0065703B">
            <w:pPr>
              <w:pStyle w:val="NoSpacing"/>
              <w:jc w:val="center"/>
              <w:rPr>
                <w:b/>
                <w:bCs/>
              </w:rPr>
            </w:pPr>
            <w:r w:rsidRPr="002D6510">
              <w:rPr>
                <w:b/>
                <w:bCs/>
              </w:rPr>
              <w:t>Number</w:t>
            </w:r>
          </w:p>
        </w:tc>
        <w:tc>
          <w:tcPr>
            <w:tcW w:w="1134" w:type="dxa"/>
          </w:tcPr>
          <w:p w:rsidR="00A43161" w:rsidRPr="002D6510" w:rsidRDefault="00A43161" w:rsidP="0065703B">
            <w:pPr>
              <w:pStyle w:val="NoSpacing"/>
              <w:jc w:val="center"/>
              <w:rPr>
                <w:b/>
                <w:bCs/>
              </w:rPr>
            </w:pPr>
            <w:r w:rsidRPr="002D6510">
              <w:rPr>
                <w:b/>
                <w:bCs/>
              </w:rPr>
              <w:t>Column %</w:t>
            </w:r>
          </w:p>
        </w:tc>
        <w:tc>
          <w:tcPr>
            <w:tcW w:w="993" w:type="dxa"/>
          </w:tcPr>
          <w:p w:rsidR="00A43161" w:rsidRPr="002D6510" w:rsidRDefault="00A43161" w:rsidP="0065703B">
            <w:pPr>
              <w:pStyle w:val="NoSpacing"/>
              <w:jc w:val="center"/>
              <w:rPr>
                <w:b/>
                <w:bCs/>
              </w:rPr>
            </w:pPr>
            <w:r w:rsidRPr="002D6510">
              <w:rPr>
                <w:b/>
                <w:bCs/>
              </w:rPr>
              <w:t>Number</w:t>
            </w:r>
          </w:p>
        </w:tc>
        <w:tc>
          <w:tcPr>
            <w:tcW w:w="1134" w:type="dxa"/>
          </w:tcPr>
          <w:p w:rsidR="00A43161" w:rsidRPr="002D6510" w:rsidRDefault="00A43161" w:rsidP="0065703B">
            <w:pPr>
              <w:pStyle w:val="NoSpacing"/>
              <w:jc w:val="center"/>
              <w:rPr>
                <w:b/>
                <w:bCs/>
              </w:rPr>
            </w:pPr>
            <w:r w:rsidRPr="002D6510">
              <w:rPr>
                <w:b/>
                <w:bCs/>
              </w:rPr>
              <w:t>Column %</w:t>
            </w:r>
          </w:p>
        </w:tc>
        <w:tc>
          <w:tcPr>
            <w:tcW w:w="992" w:type="dxa"/>
          </w:tcPr>
          <w:p w:rsidR="00A43161" w:rsidRPr="002D6510" w:rsidRDefault="00A43161" w:rsidP="0065703B">
            <w:pPr>
              <w:pStyle w:val="NoSpacing"/>
              <w:jc w:val="center"/>
              <w:rPr>
                <w:b/>
                <w:bCs/>
              </w:rPr>
            </w:pPr>
            <w:r w:rsidRPr="002D6510">
              <w:rPr>
                <w:b/>
                <w:bCs/>
              </w:rPr>
              <w:t>Number</w:t>
            </w:r>
          </w:p>
        </w:tc>
        <w:tc>
          <w:tcPr>
            <w:tcW w:w="1134" w:type="dxa"/>
          </w:tcPr>
          <w:p w:rsidR="00A43161" w:rsidRPr="002D6510" w:rsidRDefault="00A43161" w:rsidP="0065703B">
            <w:pPr>
              <w:pStyle w:val="NoSpacing"/>
              <w:jc w:val="center"/>
              <w:rPr>
                <w:b/>
                <w:bCs/>
              </w:rPr>
            </w:pPr>
            <w:r w:rsidRPr="002D6510">
              <w:rPr>
                <w:b/>
                <w:bCs/>
              </w:rPr>
              <w:t>Column %</w:t>
            </w:r>
          </w:p>
        </w:tc>
      </w:tr>
      <w:tr w:rsidR="00A43161" w:rsidTr="00345D28">
        <w:tc>
          <w:tcPr>
            <w:tcW w:w="1080" w:type="dxa"/>
          </w:tcPr>
          <w:p w:rsidR="00A43161" w:rsidRPr="00B65C59" w:rsidRDefault="00A43161" w:rsidP="0065703B">
            <w:pPr>
              <w:pStyle w:val="NoSpacing"/>
              <w:jc w:val="center"/>
              <w:rPr>
                <w:b/>
                <w:bCs/>
              </w:rPr>
            </w:pPr>
            <w:r w:rsidRPr="00B65C59">
              <w:rPr>
                <w:b/>
                <w:bCs/>
              </w:rPr>
              <w:t>All</w:t>
            </w:r>
          </w:p>
        </w:tc>
        <w:tc>
          <w:tcPr>
            <w:tcW w:w="1330" w:type="dxa"/>
          </w:tcPr>
          <w:p w:rsidR="00A43161" w:rsidRPr="00B65C59" w:rsidRDefault="00A43161" w:rsidP="0065703B">
            <w:pPr>
              <w:pStyle w:val="NoSpacing"/>
              <w:jc w:val="center"/>
              <w:rPr>
                <w:b/>
                <w:bCs/>
              </w:rPr>
            </w:pPr>
            <w:r w:rsidRPr="00B65C59">
              <w:rPr>
                <w:b/>
                <w:bCs/>
              </w:rPr>
              <w:t>Aged 16+</w:t>
            </w:r>
          </w:p>
        </w:tc>
        <w:tc>
          <w:tcPr>
            <w:tcW w:w="992" w:type="dxa"/>
          </w:tcPr>
          <w:p w:rsidR="00A43161" w:rsidRPr="004E7FC5" w:rsidRDefault="00A43161" w:rsidP="0065703B">
            <w:pPr>
              <w:pStyle w:val="NoSpacing"/>
              <w:jc w:val="center"/>
              <w:rPr>
                <w:rFonts w:eastAsia="PMingLiU"/>
                <w:lang w:eastAsia="zh-TW"/>
              </w:rPr>
            </w:pPr>
            <w:r>
              <w:rPr>
                <w:rFonts w:eastAsia="PMingLiU" w:hint="eastAsia"/>
                <w:lang w:eastAsia="zh-TW"/>
              </w:rPr>
              <w:t>23 3</w:t>
            </w:r>
            <w:r>
              <w:rPr>
                <w:rFonts w:eastAsia="PMingLiU"/>
                <w:lang w:eastAsia="zh-TW"/>
              </w:rPr>
              <w:t>74</w:t>
            </w:r>
          </w:p>
        </w:tc>
        <w:tc>
          <w:tcPr>
            <w:tcW w:w="1134" w:type="dxa"/>
          </w:tcPr>
          <w:p w:rsidR="00A43161" w:rsidRPr="004E7FC5" w:rsidRDefault="00A43161" w:rsidP="0065703B">
            <w:pPr>
              <w:pStyle w:val="NoSpacing"/>
              <w:jc w:val="center"/>
              <w:rPr>
                <w:rFonts w:eastAsia="PMingLiU"/>
                <w:lang w:eastAsia="zh-TW"/>
              </w:rPr>
            </w:pPr>
            <w:r>
              <w:rPr>
                <w:rFonts w:eastAsia="PMingLiU" w:hint="eastAsia"/>
                <w:lang w:eastAsia="zh-TW"/>
              </w:rPr>
              <w:t>100</w:t>
            </w:r>
          </w:p>
        </w:tc>
        <w:tc>
          <w:tcPr>
            <w:tcW w:w="993" w:type="dxa"/>
          </w:tcPr>
          <w:p w:rsidR="00A43161" w:rsidRPr="004E7FC5" w:rsidRDefault="00A43161" w:rsidP="0065703B">
            <w:pPr>
              <w:pStyle w:val="NoSpacing"/>
              <w:jc w:val="center"/>
              <w:rPr>
                <w:rFonts w:eastAsia="PMingLiU"/>
                <w:lang w:eastAsia="zh-TW"/>
              </w:rPr>
            </w:pPr>
            <w:r>
              <w:rPr>
                <w:rFonts w:eastAsia="PMingLiU" w:hint="eastAsia"/>
                <w:lang w:eastAsia="zh-TW"/>
              </w:rPr>
              <w:t>23 3</w:t>
            </w:r>
            <w:r>
              <w:rPr>
                <w:rFonts w:eastAsia="PMingLiU"/>
                <w:lang w:eastAsia="zh-TW"/>
              </w:rPr>
              <w:t>55</w:t>
            </w:r>
          </w:p>
        </w:tc>
        <w:tc>
          <w:tcPr>
            <w:tcW w:w="1134" w:type="dxa"/>
          </w:tcPr>
          <w:p w:rsidR="00A43161" w:rsidRPr="004E7FC5" w:rsidRDefault="00A43161" w:rsidP="0065703B">
            <w:pPr>
              <w:pStyle w:val="NoSpacing"/>
              <w:jc w:val="center"/>
              <w:rPr>
                <w:rFonts w:eastAsia="PMingLiU"/>
                <w:lang w:eastAsia="zh-TW"/>
              </w:rPr>
            </w:pPr>
            <w:r>
              <w:rPr>
                <w:rFonts w:eastAsia="PMingLiU" w:hint="eastAsia"/>
                <w:lang w:eastAsia="zh-TW"/>
              </w:rPr>
              <w:t>100</w:t>
            </w:r>
          </w:p>
        </w:tc>
        <w:tc>
          <w:tcPr>
            <w:tcW w:w="992" w:type="dxa"/>
          </w:tcPr>
          <w:p w:rsidR="00A43161" w:rsidRPr="004E7FC5" w:rsidRDefault="00A43161" w:rsidP="0065703B">
            <w:pPr>
              <w:pStyle w:val="NoSpacing"/>
              <w:jc w:val="center"/>
              <w:rPr>
                <w:rFonts w:eastAsia="PMingLiU"/>
                <w:lang w:eastAsia="zh-TW"/>
              </w:rPr>
            </w:pPr>
            <w:r>
              <w:rPr>
                <w:rFonts w:eastAsia="PMingLiU" w:hint="eastAsia"/>
                <w:lang w:eastAsia="zh-TW"/>
              </w:rPr>
              <w:t xml:space="preserve">23 </w:t>
            </w:r>
            <w:r>
              <w:rPr>
                <w:rFonts w:eastAsia="PMingLiU"/>
                <w:lang w:eastAsia="zh-TW"/>
              </w:rPr>
              <w:t>281</w:t>
            </w:r>
          </w:p>
        </w:tc>
        <w:tc>
          <w:tcPr>
            <w:tcW w:w="1134" w:type="dxa"/>
          </w:tcPr>
          <w:p w:rsidR="00A43161" w:rsidRPr="004E7FC5" w:rsidRDefault="00A43161" w:rsidP="0065703B">
            <w:pPr>
              <w:pStyle w:val="NoSpacing"/>
              <w:jc w:val="center"/>
              <w:rPr>
                <w:rFonts w:eastAsia="PMingLiU"/>
                <w:lang w:eastAsia="zh-TW"/>
              </w:rPr>
            </w:pPr>
            <w:r>
              <w:rPr>
                <w:rFonts w:eastAsia="PMingLiU" w:hint="eastAsia"/>
                <w:lang w:eastAsia="zh-TW"/>
              </w:rPr>
              <w:t>100</w:t>
            </w:r>
          </w:p>
        </w:tc>
      </w:tr>
      <w:tr w:rsidR="00A43161" w:rsidTr="00345D28">
        <w:tc>
          <w:tcPr>
            <w:tcW w:w="1080" w:type="dxa"/>
            <w:vMerge w:val="restart"/>
          </w:tcPr>
          <w:p w:rsidR="00A43161" w:rsidRPr="009F5490" w:rsidRDefault="00A43161" w:rsidP="0065703B">
            <w:pPr>
              <w:pStyle w:val="NoSpacing"/>
              <w:jc w:val="center"/>
              <w:rPr>
                <w:rFonts w:eastAsia="PMingLiU"/>
                <w:b/>
                <w:bCs/>
                <w:vertAlign w:val="superscript"/>
                <w:lang w:eastAsia="zh-TW"/>
              </w:rPr>
            </w:pPr>
            <w:r>
              <w:rPr>
                <w:rFonts w:eastAsia="PMingLiU" w:hint="eastAsia"/>
                <w:b/>
                <w:bCs/>
                <w:lang w:eastAsia="zh-TW"/>
              </w:rPr>
              <w:t>Country</w:t>
            </w:r>
          </w:p>
        </w:tc>
        <w:tc>
          <w:tcPr>
            <w:tcW w:w="1330" w:type="dxa"/>
          </w:tcPr>
          <w:p w:rsidR="00A43161" w:rsidRPr="002E6D40" w:rsidRDefault="00A43161" w:rsidP="0065703B">
            <w:pPr>
              <w:pStyle w:val="NoSpacing"/>
              <w:jc w:val="center"/>
              <w:rPr>
                <w:rFonts w:eastAsia="PMingLiU"/>
                <w:b/>
                <w:bCs/>
                <w:lang w:eastAsia="zh-TW"/>
              </w:rPr>
            </w:pPr>
            <w:r>
              <w:rPr>
                <w:rFonts w:eastAsia="PMingLiU" w:hint="eastAsia"/>
                <w:b/>
                <w:bCs/>
                <w:lang w:eastAsia="zh-TW"/>
              </w:rPr>
              <w:t>England</w:t>
            </w:r>
          </w:p>
        </w:tc>
        <w:tc>
          <w:tcPr>
            <w:tcW w:w="992" w:type="dxa"/>
          </w:tcPr>
          <w:p w:rsidR="00A43161" w:rsidRDefault="00A43161" w:rsidP="0065703B">
            <w:pPr>
              <w:pStyle w:val="NoSpacing"/>
              <w:jc w:val="center"/>
              <w:rPr>
                <w:rFonts w:eastAsia="PMingLiU"/>
                <w:lang w:eastAsia="zh-TW"/>
              </w:rPr>
            </w:pPr>
            <w:r>
              <w:rPr>
                <w:rFonts w:eastAsia="PMingLiU" w:hint="eastAsia"/>
                <w:lang w:eastAsia="zh-TW"/>
              </w:rPr>
              <w:t>8 603</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36.8</w:t>
            </w:r>
          </w:p>
        </w:tc>
        <w:tc>
          <w:tcPr>
            <w:tcW w:w="993" w:type="dxa"/>
          </w:tcPr>
          <w:p w:rsidR="00A43161" w:rsidRDefault="00A43161" w:rsidP="0065703B">
            <w:pPr>
              <w:pStyle w:val="NoSpacing"/>
              <w:jc w:val="center"/>
              <w:rPr>
                <w:rFonts w:eastAsia="PMingLiU"/>
                <w:lang w:eastAsia="zh-TW"/>
              </w:rPr>
            </w:pPr>
            <w:r>
              <w:rPr>
                <w:rFonts w:eastAsia="PMingLiU" w:hint="eastAsia"/>
                <w:lang w:eastAsia="zh-TW"/>
              </w:rPr>
              <w:t xml:space="preserve">8 </w:t>
            </w:r>
            <w:r>
              <w:rPr>
                <w:rFonts w:eastAsia="PMingLiU"/>
                <w:lang w:eastAsia="zh-TW"/>
              </w:rPr>
              <w:t>603</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36.8</w:t>
            </w:r>
          </w:p>
        </w:tc>
        <w:tc>
          <w:tcPr>
            <w:tcW w:w="992" w:type="dxa"/>
          </w:tcPr>
          <w:p w:rsidR="00A43161" w:rsidRDefault="00A43161" w:rsidP="0065703B">
            <w:pPr>
              <w:pStyle w:val="NoSpacing"/>
              <w:jc w:val="center"/>
              <w:rPr>
                <w:rFonts w:eastAsia="PMingLiU"/>
                <w:lang w:eastAsia="zh-TW"/>
              </w:rPr>
            </w:pPr>
            <w:r>
              <w:rPr>
                <w:rFonts w:eastAsia="PMingLiU" w:hint="eastAsia"/>
                <w:lang w:eastAsia="zh-TW"/>
              </w:rPr>
              <w:t>8 60</w:t>
            </w:r>
            <w:r>
              <w:rPr>
                <w:rFonts w:eastAsia="PMingLiU"/>
                <w:lang w:eastAsia="zh-TW"/>
              </w:rPr>
              <w:t>3</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37.0</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2E6D40" w:rsidRDefault="00A43161" w:rsidP="0065703B">
            <w:pPr>
              <w:pStyle w:val="NoSpacing"/>
              <w:jc w:val="center"/>
              <w:rPr>
                <w:rFonts w:eastAsia="PMingLiU"/>
                <w:b/>
                <w:bCs/>
                <w:lang w:eastAsia="zh-TW"/>
              </w:rPr>
            </w:pPr>
            <w:r>
              <w:rPr>
                <w:rFonts w:eastAsia="PMingLiU" w:hint="eastAsia"/>
                <w:b/>
                <w:bCs/>
                <w:lang w:eastAsia="zh-TW"/>
              </w:rPr>
              <w:t>Scotland</w:t>
            </w:r>
          </w:p>
        </w:tc>
        <w:tc>
          <w:tcPr>
            <w:tcW w:w="992" w:type="dxa"/>
          </w:tcPr>
          <w:p w:rsidR="00A43161" w:rsidRDefault="00A43161" w:rsidP="0065703B">
            <w:pPr>
              <w:pStyle w:val="NoSpacing"/>
              <w:jc w:val="center"/>
              <w:rPr>
                <w:rFonts w:eastAsia="PMingLiU"/>
                <w:lang w:eastAsia="zh-TW"/>
              </w:rPr>
            </w:pPr>
            <w:r>
              <w:rPr>
                <w:rFonts w:eastAsia="PMingLiU" w:hint="eastAsia"/>
                <w:lang w:eastAsia="zh-TW"/>
              </w:rPr>
              <w:t>7 537</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32.3</w:t>
            </w:r>
          </w:p>
        </w:tc>
        <w:tc>
          <w:tcPr>
            <w:tcW w:w="993" w:type="dxa"/>
          </w:tcPr>
          <w:p w:rsidR="00A43161" w:rsidRDefault="00A43161" w:rsidP="0065703B">
            <w:pPr>
              <w:pStyle w:val="NoSpacing"/>
              <w:jc w:val="center"/>
              <w:rPr>
                <w:rFonts w:eastAsia="PMingLiU"/>
                <w:lang w:eastAsia="zh-TW"/>
              </w:rPr>
            </w:pPr>
            <w:r>
              <w:rPr>
                <w:rFonts w:eastAsia="PMingLiU" w:hint="eastAsia"/>
                <w:lang w:eastAsia="zh-TW"/>
              </w:rPr>
              <w:t>7 537</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32.3</w:t>
            </w:r>
          </w:p>
        </w:tc>
        <w:tc>
          <w:tcPr>
            <w:tcW w:w="992" w:type="dxa"/>
          </w:tcPr>
          <w:p w:rsidR="00A43161" w:rsidRDefault="00A43161" w:rsidP="0065703B">
            <w:pPr>
              <w:pStyle w:val="NoSpacing"/>
              <w:jc w:val="center"/>
              <w:rPr>
                <w:rFonts w:eastAsia="PMingLiU"/>
                <w:lang w:eastAsia="zh-TW"/>
              </w:rPr>
            </w:pPr>
            <w:r>
              <w:rPr>
                <w:rFonts w:eastAsia="PMingLiU" w:hint="eastAsia"/>
                <w:lang w:eastAsia="zh-TW"/>
              </w:rPr>
              <w:t>7 53</w:t>
            </w:r>
            <w:r>
              <w:rPr>
                <w:rFonts w:eastAsia="PMingLiU"/>
                <w:lang w:eastAsia="zh-TW"/>
              </w:rPr>
              <w:t>7</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32.4</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2E6D40" w:rsidRDefault="00A43161" w:rsidP="0065703B">
            <w:pPr>
              <w:pStyle w:val="NoSpacing"/>
              <w:jc w:val="center"/>
              <w:rPr>
                <w:rFonts w:eastAsia="PMingLiU"/>
                <w:b/>
                <w:bCs/>
                <w:lang w:eastAsia="zh-TW"/>
              </w:rPr>
            </w:pPr>
            <w:r>
              <w:rPr>
                <w:rFonts w:eastAsia="PMingLiU" w:hint="eastAsia"/>
                <w:b/>
                <w:bCs/>
                <w:lang w:eastAsia="zh-TW"/>
              </w:rPr>
              <w:t>Wales</w:t>
            </w:r>
          </w:p>
        </w:tc>
        <w:tc>
          <w:tcPr>
            <w:tcW w:w="992" w:type="dxa"/>
          </w:tcPr>
          <w:p w:rsidR="00A43161" w:rsidRDefault="00A43161" w:rsidP="0065703B">
            <w:pPr>
              <w:pStyle w:val="NoSpacing"/>
              <w:jc w:val="center"/>
              <w:rPr>
                <w:rFonts w:eastAsia="PMingLiU"/>
                <w:lang w:eastAsia="zh-TW"/>
              </w:rPr>
            </w:pPr>
            <w:r>
              <w:rPr>
                <w:rFonts w:eastAsia="PMingLiU" w:hint="eastAsia"/>
                <w:lang w:eastAsia="zh-TW"/>
              </w:rPr>
              <w:t>7 2</w:t>
            </w:r>
            <w:r>
              <w:rPr>
                <w:rFonts w:eastAsia="PMingLiU"/>
                <w:lang w:eastAsia="zh-TW"/>
              </w:rPr>
              <w:t>34</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30.9</w:t>
            </w:r>
          </w:p>
        </w:tc>
        <w:tc>
          <w:tcPr>
            <w:tcW w:w="993" w:type="dxa"/>
          </w:tcPr>
          <w:p w:rsidR="00A43161" w:rsidRDefault="00A43161" w:rsidP="0065703B">
            <w:pPr>
              <w:pStyle w:val="NoSpacing"/>
              <w:jc w:val="center"/>
              <w:rPr>
                <w:rFonts w:eastAsia="PMingLiU"/>
                <w:lang w:eastAsia="zh-TW"/>
              </w:rPr>
            </w:pPr>
            <w:r>
              <w:rPr>
                <w:rFonts w:eastAsia="PMingLiU" w:hint="eastAsia"/>
                <w:lang w:eastAsia="zh-TW"/>
              </w:rPr>
              <w:t>7 2</w:t>
            </w:r>
            <w:r>
              <w:rPr>
                <w:rFonts w:eastAsia="PMingLiU"/>
                <w:lang w:eastAsia="zh-TW"/>
              </w:rPr>
              <w:t>15</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30.9</w:t>
            </w:r>
          </w:p>
        </w:tc>
        <w:tc>
          <w:tcPr>
            <w:tcW w:w="992" w:type="dxa"/>
          </w:tcPr>
          <w:p w:rsidR="00A43161" w:rsidRDefault="00A43161" w:rsidP="0065703B">
            <w:pPr>
              <w:pStyle w:val="NoSpacing"/>
              <w:jc w:val="center"/>
              <w:rPr>
                <w:rFonts w:eastAsia="PMingLiU"/>
                <w:lang w:eastAsia="zh-TW"/>
              </w:rPr>
            </w:pPr>
            <w:r>
              <w:rPr>
                <w:rFonts w:eastAsia="PMingLiU" w:hint="eastAsia"/>
                <w:lang w:eastAsia="zh-TW"/>
              </w:rPr>
              <w:t xml:space="preserve">7 </w:t>
            </w:r>
            <w:r>
              <w:rPr>
                <w:rFonts w:eastAsia="PMingLiU"/>
                <w:lang w:eastAsia="zh-TW"/>
              </w:rPr>
              <w:t>141</w:t>
            </w:r>
          </w:p>
        </w:tc>
        <w:tc>
          <w:tcPr>
            <w:tcW w:w="1134" w:type="dxa"/>
          </w:tcPr>
          <w:p w:rsidR="00A43161" w:rsidRDefault="00A43161" w:rsidP="0065703B">
            <w:pPr>
              <w:pStyle w:val="NoSpacing"/>
              <w:jc w:val="center"/>
              <w:rPr>
                <w:rFonts w:eastAsia="PMingLiU"/>
                <w:lang w:eastAsia="zh-TW"/>
              </w:rPr>
            </w:pPr>
            <w:r>
              <w:rPr>
                <w:rFonts w:eastAsia="PMingLiU" w:hint="eastAsia"/>
                <w:lang w:eastAsia="zh-TW"/>
              </w:rPr>
              <w:t>30.5</w:t>
            </w:r>
          </w:p>
        </w:tc>
      </w:tr>
      <w:tr w:rsidR="00A43161" w:rsidTr="00345D28">
        <w:tc>
          <w:tcPr>
            <w:tcW w:w="1080" w:type="dxa"/>
            <w:vMerge w:val="restart"/>
          </w:tcPr>
          <w:p w:rsidR="00A43161" w:rsidRPr="003006D8" w:rsidRDefault="00A43161" w:rsidP="0065703B">
            <w:pPr>
              <w:pStyle w:val="NoSpacing"/>
              <w:jc w:val="center"/>
              <w:rPr>
                <w:b/>
                <w:bCs/>
                <w:vertAlign w:val="superscript"/>
              </w:rPr>
            </w:pPr>
            <w:r w:rsidRPr="00B65C59">
              <w:rPr>
                <w:b/>
                <w:bCs/>
              </w:rPr>
              <w:t>Sex</w:t>
            </w:r>
          </w:p>
        </w:tc>
        <w:tc>
          <w:tcPr>
            <w:tcW w:w="1330" w:type="dxa"/>
          </w:tcPr>
          <w:p w:rsidR="00A43161" w:rsidRPr="00B65C59" w:rsidRDefault="00A43161" w:rsidP="0065703B">
            <w:pPr>
              <w:pStyle w:val="NoSpacing"/>
              <w:jc w:val="center"/>
              <w:rPr>
                <w:b/>
                <w:bCs/>
              </w:rPr>
            </w:pPr>
            <w:r w:rsidRPr="00B65C59">
              <w:rPr>
                <w:b/>
                <w:bCs/>
              </w:rPr>
              <w:t>Male</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10 2</w:t>
            </w:r>
            <w:r>
              <w:rPr>
                <w:rFonts w:eastAsia="PMingLiU"/>
                <w:lang w:eastAsia="zh-TW"/>
              </w:rPr>
              <w:t>85</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44.0</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10 2</w:t>
            </w:r>
            <w:r>
              <w:rPr>
                <w:rFonts w:eastAsia="PMingLiU"/>
                <w:lang w:eastAsia="zh-TW"/>
              </w:rPr>
              <w:t>76</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44.0</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10 2</w:t>
            </w:r>
            <w:r>
              <w:rPr>
                <w:rFonts w:eastAsia="PMingLiU"/>
                <w:lang w:eastAsia="zh-TW"/>
              </w:rPr>
              <w:t>40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44.0</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B65C59" w:rsidRDefault="00A43161" w:rsidP="0065703B">
            <w:pPr>
              <w:pStyle w:val="NoSpacing"/>
              <w:jc w:val="center"/>
              <w:rPr>
                <w:b/>
                <w:bCs/>
              </w:rPr>
            </w:pPr>
            <w:r w:rsidRPr="00B65C59">
              <w:rPr>
                <w:b/>
                <w:bCs/>
              </w:rPr>
              <w:t>Female</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 xml:space="preserve">13 </w:t>
            </w:r>
            <w:r>
              <w:rPr>
                <w:rFonts w:eastAsia="PMingLiU"/>
                <w:lang w:eastAsia="zh-TW"/>
              </w:rPr>
              <w:t>089</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56.0</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 xml:space="preserve">13 </w:t>
            </w:r>
            <w:r>
              <w:rPr>
                <w:rFonts w:eastAsia="PMingLiU"/>
                <w:lang w:eastAsia="zh-TW"/>
              </w:rPr>
              <w:t>079</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56.0</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 xml:space="preserve">13 </w:t>
            </w:r>
            <w:r>
              <w:rPr>
                <w:rFonts w:eastAsia="PMingLiU"/>
                <w:lang w:eastAsia="zh-TW"/>
              </w:rPr>
              <w:t>041</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56.0</w:t>
            </w:r>
          </w:p>
        </w:tc>
      </w:tr>
      <w:tr w:rsidR="00A43161" w:rsidTr="00345D28">
        <w:tc>
          <w:tcPr>
            <w:tcW w:w="1080" w:type="dxa"/>
            <w:vMerge w:val="restart"/>
          </w:tcPr>
          <w:p w:rsidR="00A43161" w:rsidRPr="003006D8" w:rsidRDefault="00A43161" w:rsidP="0065703B">
            <w:pPr>
              <w:pStyle w:val="NoSpacing"/>
              <w:jc w:val="center"/>
              <w:rPr>
                <w:b/>
                <w:bCs/>
                <w:vertAlign w:val="superscript"/>
              </w:rPr>
            </w:pPr>
            <w:r w:rsidRPr="00B65C59">
              <w:rPr>
                <w:b/>
                <w:bCs/>
              </w:rPr>
              <w:t>Age</w:t>
            </w:r>
          </w:p>
        </w:tc>
        <w:tc>
          <w:tcPr>
            <w:tcW w:w="1330" w:type="dxa"/>
          </w:tcPr>
          <w:p w:rsidR="00A43161" w:rsidRPr="00B65C59" w:rsidRDefault="00A43161" w:rsidP="0065703B">
            <w:pPr>
              <w:pStyle w:val="NoSpacing"/>
              <w:jc w:val="center"/>
              <w:rPr>
                <w:b/>
                <w:bCs/>
              </w:rPr>
            </w:pPr>
            <w:r>
              <w:rPr>
                <w:b/>
                <w:bCs/>
              </w:rPr>
              <w:t>16-19</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77</w:t>
            </w:r>
            <w:r>
              <w:rPr>
                <w:rFonts w:eastAsia="PMingLiU"/>
                <w:lang w:eastAsia="zh-TW"/>
              </w:rPr>
              <w:t>2</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3.3</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77</w:t>
            </w:r>
            <w:r>
              <w:rPr>
                <w:rFonts w:eastAsia="PMingLiU"/>
                <w:lang w:eastAsia="zh-TW"/>
              </w:rPr>
              <w:t>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3.3</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7</w:t>
            </w:r>
            <w:r>
              <w:rPr>
                <w:rFonts w:eastAsia="PMingLiU"/>
                <w:lang w:eastAsia="zh-TW"/>
              </w:rPr>
              <w:t>80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3.</w:t>
            </w:r>
            <w:r>
              <w:rPr>
                <w:rFonts w:eastAsia="PMingLiU"/>
                <w:lang w:eastAsia="zh-TW"/>
              </w:rPr>
              <w:t>4</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20-24</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1 1</w:t>
            </w:r>
            <w:r>
              <w:rPr>
                <w:rFonts w:eastAsia="PMingLiU"/>
                <w:lang w:eastAsia="zh-TW"/>
              </w:rPr>
              <w:t>46</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4.9</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1 1</w:t>
            </w:r>
            <w:r>
              <w:rPr>
                <w:rFonts w:eastAsia="PMingLiU"/>
                <w:lang w:eastAsia="zh-TW"/>
              </w:rPr>
              <w:t>46</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4.9</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1 15</w:t>
            </w:r>
            <w:r>
              <w:rPr>
                <w:rFonts w:eastAsia="PMingLiU"/>
                <w:lang w:eastAsia="zh-TW"/>
              </w:rPr>
              <w:t>3</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5.0</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25-29</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1 40</w:t>
            </w:r>
            <w:r>
              <w:rPr>
                <w:rFonts w:eastAsia="PMingLiU"/>
                <w:lang w:eastAsia="zh-TW"/>
              </w:rPr>
              <w:t>3</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6.0</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1 40</w:t>
            </w:r>
            <w:r>
              <w:rPr>
                <w:rFonts w:eastAsia="PMingLiU"/>
                <w:lang w:eastAsia="zh-TW"/>
              </w:rPr>
              <w:t>3</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6.0</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1 40</w:t>
            </w:r>
            <w:r>
              <w:rPr>
                <w:rFonts w:eastAsia="PMingLiU"/>
                <w:lang w:eastAsia="zh-TW"/>
              </w:rPr>
              <w:t>4</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6.0</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30-34</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1 6</w:t>
            </w:r>
            <w:r>
              <w:rPr>
                <w:rFonts w:eastAsia="PMingLiU"/>
                <w:lang w:eastAsia="zh-TW"/>
              </w:rPr>
              <w:t>50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7.1</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1 6</w:t>
            </w:r>
            <w:r>
              <w:rPr>
                <w:rFonts w:eastAsia="PMingLiU"/>
                <w:lang w:eastAsia="zh-TW"/>
              </w:rPr>
              <w:t>50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7.1</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1 64</w:t>
            </w:r>
            <w:r>
              <w:rPr>
                <w:rFonts w:eastAsia="PMingLiU"/>
                <w:lang w:eastAsia="zh-TW"/>
              </w:rPr>
              <w:t>5</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7.1</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35-39</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1 7</w:t>
            </w:r>
            <w:r>
              <w:rPr>
                <w:rFonts w:eastAsia="PMingLiU"/>
                <w:lang w:eastAsia="zh-TW"/>
              </w:rPr>
              <w:t>90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7.7</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1 7</w:t>
            </w:r>
            <w:r>
              <w:rPr>
                <w:rFonts w:eastAsia="PMingLiU"/>
                <w:lang w:eastAsia="zh-TW"/>
              </w:rPr>
              <w:t>88</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7.7</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1 78</w:t>
            </w:r>
            <w:r>
              <w:rPr>
                <w:rFonts w:eastAsia="PMingLiU"/>
                <w:lang w:eastAsia="zh-TW"/>
              </w:rPr>
              <w:t>3</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7.7</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40-44</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2 12</w:t>
            </w:r>
            <w:r>
              <w:rPr>
                <w:rFonts w:eastAsia="PMingLiU"/>
                <w:lang w:eastAsia="zh-TW"/>
              </w:rPr>
              <w:t>3</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9.1</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2 12</w:t>
            </w:r>
            <w:r>
              <w:rPr>
                <w:rFonts w:eastAsia="PMingLiU"/>
                <w:lang w:eastAsia="zh-TW"/>
              </w:rPr>
              <w:t>2</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9.1</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2 112</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9.1</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45-49</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2 1</w:t>
            </w:r>
            <w:r>
              <w:rPr>
                <w:rFonts w:eastAsia="PMingLiU"/>
                <w:lang w:eastAsia="zh-TW"/>
              </w:rPr>
              <w:t>40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9.2</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2 1</w:t>
            </w:r>
            <w:r>
              <w:rPr>
                <w:rFonts w:eastAsia="PMingLiU"/>
                <w:lang w:eastAsia="zh-TW"/>
              </w:rPr>
              <w:t>38</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9.2</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2 1</w:t>
            </w:r>
            <w:r>
              <w:rPr>
                <w:rFonts w:eastAsia="PMingLiU"/>
                <w:lang w:eastAsia="zh-TW"/>
              </w:rPr>
              <w:t>36</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9.2</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50-54</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2 03</w:t>
            </w:r>
            <w:r>
              <w:rPr>
                <w:rFonts w:eastAsia="PMingLiU"/>
                <w:lang w:eastAsia="zh-TW"/>
              </w:rPr>
              <w:t>2</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8.7</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2 03</w:t>
            </w:r>
            <w:r>
              <w:rPr>
                <w:rFonts w:eastAsia="PMingLiU"/>
                <w:lang w:eastAsia="zh-TW"/>
              </w:rPr>
              <w:t>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8.7</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2 02</w:t>
            </w:r>
            <w:r>
              <w:rPr>
                <w:rFonts w:eastAsia="PMingLiU"/>
                <w:lang w:eastAsia="zh-TW"/>
              </w:rPr>
              <w:t>3</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8.7</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55-59</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1 9</w:t>
            </w:r>
            <w:r>
              <w:rPr>
                <w:rFonts w:eastAsia="PMingLiU"/>
                <w:lang w:eastAsia="zh-TW"/>
              </w:rPr>
              <w:t>41</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8.3</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1 9</w:t>
            </w:r>
            <w:r>
              <w:rPr>
                <w:rFonts w:eastAsia="PMingLiU"/>
                <w:lang w:eastAsia="zh-TW"/>
              </w:rPr>
              <w:t>40</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8.3</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1 9</w:t>
            </w:r>
            <w:r>
              <w:rPr>
                <w:rFonts w:eastAsia="PMingLiU"/>
                <w:lang w:eastAsia="zh-TW"/>
              </w:rPr>
              <w:t>35</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8.3</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60-64</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2 2</w:t>
            </w:r>
            <w:r>
              <w:rPr>
                <w:rFonts w:eastAsia="PMingLiU"/>
                <w:lang w:eastAsia="zh-TW"/>
              </w:rPr>
              <w:t>72</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9.7</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2 2</w:t>
            </w:r>
            <w:r>
              <w:rPr>
                <w:rFonts w:eastAsia="PMingLiU"/>
                <w:lang w:eastAsia="zh-TW"/>
              </w:rPr>
              <w:t>71</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9.7</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2 26</w:t>
            </w:r>
            <w:r>
              <w:rPr>
                <w:rFonts w:eastAsia="PMingLiU"/>
                <w:lang w:eastAsia="zh-TW"/>
              </w:rPr>
              <w:t>8</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9.7</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65-69</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1 91</w:t>
            </w:r>
            <w:r>
              <w:rPr>
                <w:rFonts w:eastAsia="PMingLiU"/>
                <w:lang w:eastAsia="zh-TW"/>
              </w:rPr>
              <w:t>7</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8.2</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1 91</w:t>
            </w:r>
            <w:r>
              <w:rPr>
                <w:rFonts w:eastAsia="PMingLiU"/>
                <w:lang w:eastAsia="zh-TW"/>
              </w:rPr>
              <w:t>4</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8.2</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1 90</w:t>
            </w:r>
            <w:r>
              <w:rPr>
                <w:rFonts w:eastAsia="PMingLiU"/>
                <w:lang w:eastAsia="zh-TW"/>
              </w:rPr>
              <w:t>7</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8.2</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70-74</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1 50</w:t>
            </w:r>
            <w:r>
              <w:rPr>
                <w:rFonts w:eastAsia="PMingLiU"/>
                <w:lang w:eastAsia="zh-TW"/>
              </w:rPr>
              <w:t>9</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6.5</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1 50</w:t>
            </w:r>
            <w:r>
              <w:rPr>
                <w:rFonts w:eastAsia="PMingLiU"/>
                <w:lang w:eastAsia="zh-TW"/>
              </w:rPr>
              <w:t>8</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6.5</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1 4</w:t>
            </w:r>
            <w:r>
              <w:rPr>
                <w:rFonts w:eastAsia="PMingLiU"/>
                <w:lang w:eastAsia="zh-TW"/>
              </w:rPr>
              <w:t>94</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6.4</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A43161" w:rsidRPr="003C0578" w:rsidRDefault="00A43161" w:rsidP="0065703B">
            <w:pPr>
              <w:jc w:val="center"/>
              <w:rPr>
                <w:b/>
                <w:bCs/>
                <w:color w:val="000000" w:themeColor="text1"/>
              </w:rPr>
            </w:pPr>
            <w:r>
              <w:rPr>
                <w:b/>
                <w:bCs/>
                <w:color w:val="000000" w:themeColor="text1"/>
              </w:rPr>
              <w:t>75+</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2 67</w:t>
            </w:r>
            <w:r>
              <w:rPr>
                <w:rFonts w:eastAsia="PMingLiU"/>
                <w:lang w:eastAsia="zh-TW"/>
              </w:rPr>
              <w:t>9</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11.4</w:t>
            </w:r>
          </w:p>
        </w:tc>
        <w:tc>
          <w:tcPr>
            <w:tcW w:w="993" w:type="dxa"/>
          </w:tcPr>
          <w:p w:rsidR="00A43161" w:rsidRPr="009F5490" w:rsidRDefault="00A43161" w:rsidP="0065703B">
            <w:pPr>
              <w:pStyle w:val="NoSpacing"/>
              <w:jc w:val="center"/>
              <w:rPr>
                <w:rFonts w:eastAsia="PMingLiU"/>
                <w:lang w:eastAsia="zh-TW"/>
              </w:rPr>
            </w:pPr>
            <w:r>
              <w:rPr>
                <w:rFonts w:eastAsia="PMingLiU" w:hint="eastAsia"/>
                <w:lang w:eastAsia="zh-TW"/>
              </w:rPr>
              <w:t>2 67</w:t>
            </w:r>
            <w:r>
              <w:rPr>
                <w:rFonts w:eastAsia="PMingLiU"/>
                <w:lang w:eastAsia="zh-TW"/>
              </w:rPr>
              <w:t>5</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11.4</w:t>
            </w:r>
          </w:p>
        </w:tc>
        <w:tc>
          <w:tcPr>
            <w:tcW w:w="992" w:type="dxa"/>
          </w:tcPr>
          <w:p w:rsidR="00A43161" w:rsidRPr="009F5490" w:rsidRDefault="00A43161" w:rsidP="0065703B">
            <w:pPr>
              <w:pStyle w:val="NoSpacing"/>
              <w:jc w:val="center"/>
              <w:rPr>
                <w:rFonts w:eastAsia="PMingLiU"/>
                <w:lang w:eastAsia="zh-TW"/>
              </w:rPr>
            </w:pPr>
            <w:r>
              <w:rPr>
                <w:rFonts w:eastAsia="PMingLiU" w:hint="eastAsia"/>
                <w:lang w:eastAsia="zh-TW"/>
              </w:rPr>
              <w:t>2 6</w:t>
            </w:r>
            <w:r>
              <w:rPr>
                <w:rFonts w:eastAsia="PMingLiU"/>
                <w:lang w:eastAsia="zh-TW"/>
              </w:rPr>
              <w:t>41</w:t>
            </w:r>
          </w:p>
        </w:tc>
        <w:tc>
          <w:tcPr>
            <w:tcW w:w="1134" w:type="dxa"/>
          </w:tcPr>
          <w:p w:rsidR="00A43161" w:rsidRPr="009F5490" w:rsidRDefault="00A43161" w:rsidP="0065703B">
            <w:pPr>
              <w:pStyle w:val="NoSpacing"/>
              <w:jc w:val="center"/>
              <w:rPr>
                <w:rFonts w:eastAsia="PMingLiU"/>
                <w:lang w:eastAsia="zh-TW"/>
              </w:rPr>
            </w:pPr>
            <w:r>
              <w:rPr>
                <w:rFonts w:eastAsia="PMingLiU" w:hint="eastAsia"/>
                <w:lang w:eastAsia="zh-TW"/>
              </w:rPr>
              <w:t>11.3</w:t>
            </w:r>
          </w:p>
        </w:tc>
      </w:tr>
      <w:tr w:rsidR="00A43161" w:rsidTr="00345D28">
        <w:tc>
          <w:tcPr>
            <w:tcW w:w="1080" w:type="dxa"/>
            <w:vMerge w:val="restart"/>
          </w:tcPr>
          <w:p w:rsidR="00A43161" w:rsidRPr="009F5490" w:rsidRDefault="00A43161" w:rsidP="0065703B">
            <w:pPr>
              <w:pStyle w:val="NoSpacing"/>
              <w:jc w:val="center"/>
              <w:rPr>
                <w:rFonts w:eastAsia="PMingLiU"/>
                <w:b/>
                <w:bCs/>
                <w:vertAlign w:val="superscript"/>
                <w:lang w:eastAsia="zh-TW"/>
              </w:rPr>
            </w:pPr>
            <w:r>
              <w:rPr>
                <w:b/>
                <w:bCs/>
              </w:rPr>
              <w:t>General Health</w:t>
            </w:r>
          </w:p>
        </w:tc>
        <w:tc>
          <w:tcPr>
            <w:tcW w:w="1330" w:type="dxa"/>
          </w:tcPr>
          <w:p w:rsidR="00345D28" w:rsidRDefault="00345D28" w:rsidP="00345D28">
            <w:pPr>
              <w:pStyle w:val="NoSpacing"/>
              <w:jc w:val="center"/>
              <w:rPr>
                <w:b/>
                <w:bCs/>
              </w:rPr>
            </w:pPr>
            <w:r>
              <w:rPr>
                <w:b/>
                <w:bCs/>
              </w:rPr>
              <w:t>Fair/poor/</w:t>
            </w:r>
          </w:p>
          <w:p w:rsidR="00A43161" w:rsidRPr="00B65C59" w:rsidRDefault="00345D28" w:rsidP="00345D28">
            <w:pPr>
              <w:pStyle w:val="NoSpacing"/>
              <w:jc w:val="center"/>
              <w:rPr>
                <w:b/>
                <w:bCs/>
              </w:rPr>
            </w:pPr>
            <w:r>
              <w:rPr>
                <w:b/>
                <w:bCs/>
              </w:rPr>
              <w:t xml:space="preserve">very poor </w:t>
            </w:r>
          </w:p>
        </w:tc>
        <w:tc>
          <w:tcPr>
            <w:tcW w:w="992"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993" w:type="dxa"/>
          </w:tcPr>
          <w:p w:rsidR="00A43161" w:rsidRPr="00E3208A" w:rsidRDefault="00A43161" w:rsidP="0065703B">
            <w:pPr>
              <w:pStyle w:val="NoSpacing"/>
              <w:jc w:val="center"/>
              <w:rPr>
                <w:rFonts w:eastAsia="PMingLiU"/>
                <w:lang w:eastAsia="zh-TW"/>
              </w:rPr>
            </w:pPr>
            <w:r>
              <w:rPr>
                <w:rFonts w:eastAsia="PMingLiU" w:hint="eastAsia"/>
                <w:lang w:eastAsia="zh-TW"/>
              </w:rPr>
              <w:t xml:space="preserve">5 </w:t>
            </w:r>
            <w:r>
              <w:rPr>
                <w:rFonts w:eastAsia="PMingLiU"/>
                <w:lang w:eastAsia="zh-TW"/>
              </w:rPr>
              <w:t>956</w:t>
            </w:r>
          </w:p>
        </w:tc>
        <w:tc>
          <w:tcPr>
            <w:tcW w:w="1134" w:type="dxa"/>
          </w:tcPr>
          <w:p w:rsidR="00A43161" w:rsidRPr="00E3208A" w:rsidRDefault="00A43161" w:rsidP="0065703B">
            <w:pPr>
              <w:pStyle w:val="NoSpacing"/>
              <w:jc w:val="center"/>
              <w:rPr>
                <w:rFonts w:eastAsia="PMingLiU"/>
                <w:lang w:eastAsia="zh-TW"/>
              </w:rPr>
            </w:pPr>
            <w:r>
              <w:rPr>
                <w:rFonts w:eastAsia="PMingLiU" w:hint="eastAsia"/>
                <w:lang w:eastAsia="zh-TW"/>
              </w:rPr>
              <w:t>2</w:t>
            </w:r>
            <w:r>
              <w:rPr>
                <w:rFonts w:eastAsia="PMingLiU"/>
                <w:lang w:eastAsia="zh-TW"/>
              </w:rPr>
              <w:t>5.5</w:t>
            </w:r>
          </w:p>
        </w:tc>
        <w:tc>
          <w:tcPr>
            <w:tcW w:w="992"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r>
      <w:tr w:rsidR="00A43161" w:rsidTr="00345D28">
        <w:tc>
          <w:tcPr>
            <w:tcW w:w="1080" w:type="dxa"/>
            <w:vMerge/>
          </w:tcPr>
          <w:p w:rsidR="00A43161" w:rsidRPr="00B65C59" w:rsidRDefault="00A43161" w:rsidP="0065703B">
            <w:pPr>
              <w:pStyle w:val="NoSpacing"/>
              <w:jc w:val="center"/>
              <w:rPr>
                <w:b/>
                <w:bCs/>
              </w:rPr>
            </w:pPr>
          </w:p>
        </w:tc>
        <w:tc>
          <w:tcPr>
            <w:tcW w:w="1330" w:type="dxa"/>
          </w:tcPr>
          <w:p w:rsidR="00345D28" w:rsidRDefault="00345D28" w:rsidP="00345D28">
            <w:pPr>
              <w:pStyle w:val="NoSpacing"/>
              <w:jc w:val="center"/>
              <w:rPr>
                <w:b/>
                <w:bCs/>
              </w:rPr>
            </w:pPr>
            <w:r>
              <w:rPr>
                <w:b/>
                <w:bCs/>
              </w:rPr>
              <w:t>Very good/</w:t>
            </w:r>
          </w:p>
          <w:p w:rsidR="00A43161" w:rsidRPr="00B65C59" w:rsidRDefault="00345D28" w:rsidP="00345D28">
            <w:pPr>
              <w:pStyle w:val="NoSpacing"/>
              <w:jc w:val="center"/>
              <w:rPr>
                <w:b/>
                <w:bCs/>
              </w:rPr>
            </w:pPr>
            <w:r>
              <w:rPr>
                <w:b/>
                <w:bCs/>
              </w:rPr>
              <w:t>good</w:t>
            </w:r>
          </w:p>
        </w:tc>
        <w:tc>
          <w:tcPr>
            <w:tcW w:w="992"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993" w:type="dxa"/>
          </w:tcPr>
          <w:p w:rsidR="00A43161" w:rsidRPr="00E3208A" w:rsidRDefault="00A43161" w:rsidP="0065703B">
            <w:pPr>
              <w:pStyle w:val="NoSpacing"/>
              <w:jc w:val="center"/>
              <w:rPr>
                <w:rFonts w:eastAsia="PMingLiU"/>
                <w:lang w:eastAsia="zh-TW"/>
              </w:rPr>
            </w:pPr>
            <w:r>
              <w:rPr>
                <w:rFonts w:eastAsia="PMingLiU" w:hint="eastAsia"/>
                <w:lang w:eastAsia="zh-TW"/>
              </w:rPr>
              <w:t xml:space="preserve">17 </w:t>
            </w:r>
            <w:r>
              <w:rPr>
                <w:rFonts w:eastAsia="PMingLiU"/>
                <w:lang w:eastAsia="zh-TW"/>
              </w:rPr>
              <w:t>399</w:t>
            </w:r>
          </w:p>
        </w:tc>
        <w:tc>
          <w:tcPr>
            <w:tcW w:w="1134" w:type="dxa"/>
          </w:tcPr>
          <w:p w:rsidR="00A43161" w:rsidRPr="00E3208A" w:rsidRDefault="00A43161" w:rsidP="0065703B">
            <w:pPr>
              <w:pStyle w:val="NoSpacing"/>
              <w:jc w:val="center"/>
              <w:rPr>
                <w:rFonts w:eastAsia="PMingLiU"/>
                <w:lang w:eastAsia="zh-TW"/>
              </w:rPr>
            </w:pPr>
            <w:r>
              <w:rPr>
                <w:rFonts w:eastAsia="PMingLiU"/>
                <w:lang w:eastAsia="zh-TW"/>
              </w:rPr>
              <w:t>74</w:t>
            </w:r>
            <w:r>
              <w:rPr>
                <w:rFonts w:eastAsia="PMingLiU" w:hint="eastAsia"/>
                <w:lang w:eastAsia="zh-TW"/>
              </w:rPr>
              <w:t>.</w:t>
            </w:r>
            <w:r>
              <w:rPr>
                <w:rFonts w:eastAsia="PMingLiU"/>
                <w:lang w:eastAsia="zh-TW"/>
              </w:rPr>
              <w:t>5</w:t>
            </w:r>
          </w:p>
        </w:tc>
        <w:tc>
          <w:tcPr>
            <w:tcW w:w="992"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r>
      <w:tr w:rsidR="00A43161" w:rsidTr="00345D28">
        <w:tc>
          <w:tcPr>
            <w:tcW w:w="1080" w:type="dxa"/>
            <w:vMerge w:val="restart"/>
          </w:tcPr>
          <w:p w:rsidR="00A43161" w:rsidRPr="009F5490" w:rsidRDefault="00A43161" w:rsidP="0065703B">
            <w:pPr>
              <w:pStyle w:val="NoSpacing"/>
              <w:jc w:val="center"/>
              <w:rPr>
                <w:rFonts w:eastAsia="PMingLiU"/>
                <w:b/>
                <w:bCs/>
                <w:vertAlign w:val="superscript"/>
                <w:lang w:eastAsia="zh-TW"/>
              </w:rPr>
            </w:pPr>
            <w:r>
              <w:rPr>
                <w:b/>
                <w:bCs/>
              </w:rPr>
              <w:t>LLTI</w:t>
            </w:r>
          </w:p>
        </w:tc>
        <w:tc>
          <w:tcPr>
            <w:tcW w:w="1330" w:type="dxa"/>
          </w:tcPr>
          <w:p w:rsidR="00A43161" w:rsidRPr="00B65C59" w:rsidRDefault="00345D28" w:rsidP="0065703B">
            <w:pPr>
              <w:pStyle w:val="NoSpacing"/>
              <w:jc w:val="center"/>
              <w:rPr>
                <w:b/>
                <w:bCs/>
              </w:rPr>
            </w:pPr>
            <w:r>
              <w:rPr>
                <w:b/>
                <w:bCs/>
              </w:rPr>
              <w:t>Present</w:t>
            </w:r>
          </w:p>
        </w:tc>
        <w:tc>
          <w:tcPr>
            <w:tcW w:w="992"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993"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c>
          <w:tcPr>
            <w:tcW w:w="992" w:type="dxa"/>
          </w:tcPr>
          <w:p w:rsidR="00A43161" w:rsidRPr="00E3208A" w:rsidRDefault="00A43161" w:rsidP="0065703B">
            <w:pPr>
              <w:pStyle w:val="NoSpacing"/>
              <w:jc w:val="center"/>
              <w:rPr>
                <w:rFonts w:eastAsia="PMingLiU"/>
                <w:lang w:eastAsia="zh-TW"/>
              </w:rPr>
            </w:pPr>
            <w:r>
              <w:rPr>
                <w:rFonts w:eastAsia="PMingLiU"/>
                <w:lang w:eastAsia="zh-TW"/>
              </w:rPr>
              <w:t>7 309</w:t>
            </w:r>
          </w:p>
        </w:tc>
        <w:tc>
          <w:tcPr>
            <w:tcW w:w="1134" w:type="dxa"/>
          </w:tcPr>
          <w:p w:rsidR="00A43161" w:rsidRPr="00E3208A" w:rsidRDefault="00A43161" w:rsidP="0065703B">
            <w:pPr>
              <w:pStyle w:val="NoSpacing"/>
              <w:jc w:val="center"/>
              <w:rPr>
                <w:rFonts w:eastAsia="PMingLiU"/>
                <w:lang w:eastAsia="zh-TW"/>
              </w:rPr>
            </w:pPr>
            <w:r>
              <w:rPr>
                <w:rFonts w:eastAsia="PMingLiU"/>
                <w:lang w:eastAsia="zh-TW"/>
              </w:rPr>
              <w:t>31.4</w:t>
            </w:r>
          </w:p>
        </w:tc>
      </w:tr>
      <w:tr w:rsidR="00A43161" w:rsidTr="00345D28">
        <w:tc>
          <w:tcPr>
            <w:tcW w:w="1080" w:type="dxa"/>
            <w:vMerge/>
          </w:tcPr>
          <w:p w:rsidR="00A43161" w:rsidRDefault="00A43161" w:rsidP="0065703B">
            <w:pPr>
              <w:pStyle w:val="NoSpacing"/>
              <w:jc w:val="center"/>
              <w:rPr>
                <w:b/>
                <w:bCs/>
              </w:rPr>
            </w:pPr>
          </w:p>
        </w:tc>
        <w:tc>
          <w:tcPr>
            <w:tcW w:w="1330" w:type="dxa"/>
          </w:tcPr>
          <w:p w:rsidR="00A43161" w:rsidRPr="00B65C59" w:rsidRDefault="00345D28" w:rsidP="0065703B">
            <w:pPr>
              <w:pStyle w:val="NoSpacing"/>
              <w:jc w:val="center"/>
              <w:rPr>
                <w:b/>
                <w:bCs/>
              </w:rPr>
            </w:pPr>
            <w:r>
              <w:rPr>
                <w:b/>
                <w:bCs/>
              </w:rPr>
              <w:t>Not present</w:t>
            </w:r>
          </w:p>
        </w:tc>
        <w:tc>
          <w:tcPr>
            <w:tcW w:w="992"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0C3B14" w:rsidRDefault="00A43161" w:rsidP="0065703B">
            <w:pPr>
              <w:pStyle w:val="NoSpacing"/>
              <w:jc w:val="center"/>
              <w:rPr>
                <w:rFonts w:eastAsia="PMingLiU"/>
                <w:lang w:eastAsia="zh-TW"/>
              </w:rPr>
            </w:pPr>
            <w:r>
              <w:rPr>
                <w:rFonts w:eastAsia="PMingLiU" w:hint="eastAsia"/>
                <w:lang w:eastAsia="zh-TW"/>
              </w:rPr>
              <w:t>-</w:t>
            </w:r>
          </w:p>
        </w:tc>
        <w:tc>
          <w:tcPr>
            <w:tcW w:w="993"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c>
          <w:tcPr>
            <w:tcW w:w="1134" w:type="dxa"/>
          </w:tcPr>
          <w:p w:rsidR="00A43161" w:rsidRPr="00E3208A" w:rsidRDefault="00A43161" w:rsidP="0065703B">
            <w:pPr>
              <w:pStyle w:val="NoSpacing"/>
              <w:jc w:val="center"/>
              <w:rPr>
                <w:rFonts w:eastAsia="PMingLiU"/>
                <w:lang w:eastAsia="zh-TW"/>
              </w:rPr>
            </w:pPr>
            <w:r>
              <w:rPr>
                <w:rFonts w:eastAsia="PMingLiU" w:hint="eastAsia"/>
                <w:lang w:eastAsia="zh-TW"/>
              </w:rPr>
              <w:t>-</w:t>
            </w:r>
          </w:p>
        </w:tc>
        <w:tc>
          <w:tcPr>
            <w:tcW w:w="992" w:type="dxa"/>
          </w:tcPr>
          <w:p w:rsidR="00A43161" w:rsidRPr="00E3208A" w:rsidRDefault="00A43161" w:rsidP="0065703B">
            <w:pPr>
              <w:pStyle w:val="NoSpacing"/>
              <w:jc w:val="center"/>
              <w:rPr>
                <w:rFonts w:eastAsia="PMingLiU"/>
                <w:lang w:eastAsia="zh-TW"/>
              </w:rPr>
            </w:pPr>
            <w:r>
              <w:rPr>
                <w:rFonts w:eastAsia="PMingLiU"/>
                <w:lang w:eastAsia="zh-TW"/>
              </w:rPr>
              <w:t>15 972</w:t>
            </w:r>
          </w:p>
        </w:tc>
        <w:tc>
          <w:tcPr>
            <w:tcW w:w="1134" w:type="dxa"/>
          </w:tcPr>
          <w:p w:rsidR="00A43161" w:rsidRPr="00E3208A" w:rsidRDefault="00A43161" w:rsidP="0065703B">
            <w:pPr>
              <w:pStyle w:val="NoSpacing"/>
              <w:jc w:val="center"/>
              <w:rPr>
                <w:rFonts w:eastAsia="PMingLiU"/>
                <w:lang w:eastAsia="zh-TW"/>
              </w:rPr>
            </w:pPr>
            <w:r>
              <w:rPr>
                <w:rFonts w:eastAsia="PMingLiU"/>
                <w:lang w:eastAsia="zh-TW"/>
              </w:rPr>
              <w:t>68.6</w:t>
            </w:r>
          </w:p>
        </w:tc>
      </w:tr>
      <w:tr w:rsidR="00A43161" w:rsidTr="0065703B">
        <w:tc>
          <w:tcPr>
            <w:tcW w:w="2410" w:type="dxa"/>
            <w:gridSpan w:val="2"/>
          </w:tcPr>
          <w:p w:rsidR="00A43161" w:rsidRDefault="00A43161" w:rsidP="0065703B">
            <w:pPr>
              <w:pStyle w:val="NoSpacing"/>
              <w:jc w:val="center"/>
              <w:rPr>
                <w:b/>
                <w:bCs/>
              </w:rPr>
            </w:pPr>
          </w:p>
        </w:tc>
        <w:tc>
          <w:tcPr>
            <w:tcW w:w="2126" w:type="dxa"/>
            <w:gridSpan w:val="2"/>
          </w:tcPr>
          <w:p w:rsidR="00A43161" w:rsidRPr="004E7FC5" w:rsidRDefault="00A43161" w:rsidP="0065703B">
            <w:pPr>
              <w:pStyle w:val="NoSpacing"/>
              <w:jc w:val="center"/>
              <w:rPr>
                <w:rFonts w:eastAsia="PMingLiU"/>
                <w:b/>
                <w:bCs/>
                <w:lang w:eastAsia="zh-TW"/>
              </w:rPr>
            </w:pPr>
            <w:r>
              <w:rPr>
                <w:rFonts w:eastAsia="PMingLiU" w:hint="eastAsia"/>
                <w:b/>
                <w:bCs/>
                <w:lang w:eastAsia="zh-TW"/>
              </w:rPr>
              <w:t>Mean (SD)</w:t>
            </w:r>
          </w:p>
        </w:tc>
        <w:tc>
          <w:tcPr>
            <w:tcW w:w="2127" w:type="dxa"/>
            <w:gridSpan w:val="2"/>
          </w:tcPr>
          <w:p w:rsidR="00A43161" w:rsidRPr="004E7FC5" w:rsidRDefault="00A43161" w:rsidP="0065703B">
            <w:pPr>
              <w:pStyle w:val="NoSpacing"/>
              <w:jc w:val="center"/>
              <w:rPr>
                <w:rFonts w:eastAsia="PMingLiU"/>
                <w:b/>
                <w:bCs/>
                <w:lang w:eastAsia="zh-TW"/>
              </w:rPr>
            </w:pPr>
            <w:r>
              <w:rPr>
                <w:rFonts w:eastAsia="PMingLiU" w:hint="eastAsia"/>
                <w:b/>
                <w:bCs/>
                <w:lang w:eastAsia="zh-TW"/>
              </w:rPr>
              <w:t>Mean (SD)</w:t>
            </w:r>
          </w:p>
        </w:tc>
        <w:tc>
          <w:tcPr>
            <w:tcW w:w="2126" w:type="dxa"/>
            <w:gridSpan w:val="2"/>
          </w:tcPr>
          <w:p w:rsidR="00A43161" w:rsidRPr="004E7FC5" w:rsidRDefault="00A43161" w:rsidP="0065703B">
            <w:pPr>
              <w:pStyle w:val="NoSpacing"/>
              <w:jc w:val="center"/>
              <w:rPr>
                <w:rFonts w:eastAsia="PMingLiU"/>
                <w:b/>
                <w:bCs/>
                <w:lang w:eastAsia="zh-TW"/>
              </w:rPr>
            </w:pPr>
            <w:r>
              <w:rPr>
                <w:rFonts w:eastAsia="PMingLiU" w:hint="eastAsia"/>
                <w:b/>
                <w:bCs/>
                <w:lang w:eastAsia="zh-TW"/>
              </w:rPr>
              <w:t>Mean (SD)</w:t>
            </w:r>
          </w:p>
        </w:tc>
      </w:tr>
      <w:tr w:rsidR="00A43161" w:rsidTr="0065703B">
        <w:tc>
          <w:tcPr>
            <w:tcW w:w="2410" w:type="dxa"/>
            <w:gridSpan w:val="2"/>
          </w:tcPr>
          <w:p w:rsidR="00A43161" w:rsidRDefault="00A43161" w:rsidP="0065703B">
            <w:pPr>
              <w:pStyle w:val="NoSpacing"/>
              <w:jc w:val="center"/>
              <w:rPr>
                <w:b/>
                <w:bCs/>
              </w:rPr>
            </w:pPr>
            <w:r>
              <w:rPr>
                <w:b/>
                <w:bCs/>
              </w:rPr>
              <w:t>Disability Benefits</w:t>
            </w:r>
          </w:p>
        </w:tc>
        <w:tc>
          <w:tcPr>
            <w:tcW w:w="2126" w:type="dxa"/>
            <w:gridSpan w:val="2"/>
          </w:tcPr>
          <w:p w:rsidR="00A43161" w:rsidRPr="000C3B14" w:rsidRDefault="00A43161" w:rsidP="0065703B">
            <w:pPr>
              <w:pStyle w:val="NoSpacing"/>
              <w:jc w:val="center"/>
              <w:rPr>
                <w:rFonts w:eastAsia="PMingLiU"/>
                <w:lang w:eastAsia="zh-TW"/>
              </w:rPr>
            </w:pPr>
            <w:r>
              <w:rPr>
                <w:rFonts w:eastAsia="PMingLiU" w:hint="eastAsia"/>
                <w:lang w:eastAsia="zh-TW"/>
              </w:rPr>
              <w:t>109.39 (</w:t>
            </w:r>
            <w:r>
              <w:rPr>
                <w:rFonts w:eastAsia="PMingLiU"/>
                <w:lang w:eastAsia="zh-TW"/>
              </w:rPr>
              <w:t>±</w:t>
            </w:r>
            <w:r>
              <w:rPr>
                <w:rFonts w:eastAsia="PMingLiU" w:hint="eastAsia"/>
                <w:lang w:eastAsia="zh-TW"/>
              </w:rPr>
              <w:t>45.19)</w:t>
            </w:r>
          </w:p>
        </w:tc>
        <w:tc>
          <w:tcPr>
            <w:tcW w:w="2127" w:type="dxa"/>
            <w:gridSpan w:val="2"/>
          </w:tcPr>
          <w:p w:rsidR="00A43161" w:rsidRPr="009F5490" w:rsidRDefault="00A43161" w:rsidP="0065703B">
            <w:pPr>
              <w:pStyle w:val="NoSpacing"/>
              <w:jc w:val="center"/>
              <w:rPr>
                <w:rFonts w:eastAsia="PMingLiU"/>
                <w:lang w:eastAsia="zh-TW"/>
              </w:rPr>
            </w:pPr>
            <w:r>
              <w:rPr>
                <w:rFonts w:eastAsia="PMingLiU" w:hint="eastAsia"/>
                <w:lang w:eastAsia="zh-TW"/>
              </w:rPr>
              <w:t>109.38 (</w:t>
            </w:r>
            <w:r>
              <w:rPr>
                <w:rFonts w:eastAsia="PMingLiU"/>
                <w:lang w:eastAsia="zh-TW"/>
              </w:rPr>
              <w:t>±</w:t>
            </w:r>
            <w:r>
              <w:rPr>
                <w:rFonts w:eastAsia="PMingLiU" w:hint="eastAsia"/>
                <w:lang w:eastAsia="zh-TW"/>
              </w:rPr>
              <w:t>45.20)</w:t>
            </w:r>
          </w:p>
        </w:tc>
        <w:tc>
          <w:tcPr>
            <w:tcW w:w="2126" w:type="dxa"/>
            <w:gridSpan w:val="2"/>
          </w:tcPr>
          <w:p w:rsidR="00A43161" w:rsidRDefault="00A43161" w:rsidP="0065703B">
            <w:pPr>
              <w:pStyle w:val="NoSpacing"/>
              <w:jc w:val="center"/>
            </w:pPr>
            <w:r>
              <w:rPr>
                <w:rFonts w:eastAsia="PMingLiU" w:hint="eastAsia"/>
                <w:lang w:eastAsia="zh-TW"/>
              </w:rPr>
              <w:t>109.18 (</w:t>
            </w:r>
            <w:r>
              <w:rPr>
                <w:rFonts w:eastAsia="PMingLiU"/>
                <w:lang w:eastAsia="zh-TW"/>
              </w:rPr>
              <w:t>±</w:t>
            </w:r>
            <w:r>
              <w:rPr>
                <w:rFonts w:eastAsia="PMingLiU" w:hint="eastAsia"/>
                <w:lang w:eastAsia="zh-TW"/>
              </w:rPr>
              <w:t>45.13)</w:t>
            </w:r>
          </w:p>
        </w:tc>
      </w:tr>
      <w:tr w:rsidR="00A43161" w:rsidTr="0065703B">
        <w:tc>
          <w:tcPr>
            <w:tcW w:w="2410" w:type="dxa"/>
            <w:gridSpan w:val="2"/>
          </w:tcPr>
          <w:p w:rsidR="00A43161" w:rsidRDefault="00A43161" w:rsidP="0065703B">
            <w:pPr>
              <w:pStyle w:val="NoSpacing"/>
              <w:jc w:val="center"/>
              <w:rPr>
                <w:b/>
                <w:bCs/>
              </w:rPr>
            </w:pPr>
            <w:r>
              <w:rPr>
                <w:b/>
                <w:bCs/>
              </w:rPr>
              <w:t>Work Benefits</w:t>
            </w:r>
          </w:p>
        </w:tc>
        <w:tc>
          <w:tcPr>
            <w:tcW w:w="2126" w:type="dxa"/>
            <w:gridSpan w:val="2"/>
          </w:tcPr>
          <w:p w:rsidR="00A43161" w:rsidRDefault="00A43161" w:rsidP="0065703B">
            <w:pPr>
              <w:pStyle w:val="NoSpacing"/>
              <w:jc w:val="center"/>
            </w:pPr>
            <w:r>
              <w:rPr>
                <w:rFonts w:eastAsia="PMingLiU" w:hint="eastAsia"/>
                <w:lang w:eastAsia="zh-TW"/>
              </w:rPr>
              <w:t>86.66 (</w:t>
            </w:r>
            <w:r>
              <w:rPr>
                <w:rFonts w:eastAsia="PMingLiU"/>
                <w:lang w:eastAsia="zh-TW"/>
              </w:rPr>
              <w:t>±</w:t>
            </w:r>
            <w:r>
              <w:rPr>
                <w:rFonts w:eastAsia="PMingLiU" w:hint="eastAsia"/>
                <w:lang w:eastAsia="zh-TW"/>
              </w:rPr>
              <w:t>57.49)</w:t>
            </w:r>
          </w:p>
        </w:tc>
        <w:tc>
          <w:tcPr>
            <w:tcW w:w="2127" w:type="dxa"/>
            <w:gridSpan w:val="2"/>
          </w:tcPr>
          <w:p w:rsidR="00A43161" w:rsidRDefault="00A43161" w:rsidP="0065703B">
            <w:pPr>
              <w:pStyle w:val="NoSpacing"/>
              <w:jc w:val="center"/>
            </w:pPr>
            <w:r>
              <w:rPr>
                <w:rFonts w:eastAsia="PMingLiU" w:hint="eastAsia"/>
                <w:lang w:eastAsia="zh-TW"/>
              </w:rPr>
              <w:t>86.68 (</w:t>
            </w:r>
            <w:r>
              <w:rPr>
                <w:rFonts w:eastAsia="PMingLiU"/>
                <w:lang w:eastAsia="zh-TW"/>
              </w:rPr>
              <w:t>±</w:t>
            </w:r>
            <w:r>
              <w:rPr>
                <w:rFonts w:eastAsia="PMingLiU" w:hint="eastAsia"/>
                <w:lang w:eastAsia="zh-TW"/>
              </w:rPr>
              <w:t>57.51)</w:t>
            </w:r>
          </w:p>
        </w:tc>
        <w:tc>
          <w:tcPr>
            <w:tcW w:w="2126" w:type="dxa"/>
            <w:gridSpan w:val="2"/>
          </w:tcPr>
          <w:p w:rsidR="00A43161" w:rsidRDefault="00A43161" w:rsidP="0065703B">
            <w:pPr>
              <w:pStyle w:val="NoSpacing"/>
              <w:jc w:val="center"/>
            </w:pPr>
            <w:r>
              <w:rPr>
                <w:rFonts w:eastAsia="PMingLiU" w:hint="eastAsia"/>
                <w:lang w:eastAsia="zh-TW"/>
              </w:rPr>
              <w:t>86.73 (</w:t>
            </w:r>
            <w:r>
              <w:rPr>
                <w:rFonts w:eastAsia="PMingLiU"/>
                <w:lang w:eastAsia="zh-TW"/>
              </w:rPr>
              <w:t>±</w:t>
            </w:r>
            <w:r>
              <w:rPr>
                <w:rFonts w:eastAsia="PMingLiU" w:hint="eastAsia"/>
                <w:lang w:eastAsia="zh-TW"/>
              </w:rPr>
              <w:t>57.60)</w:t>
            </w:r>
          </w:p>
        </w:tc>
      </w:tr>
      <w:tr w:rsidR="00A43161" w:rsidTr="0065703B">
        <w:tc>
          <w:tcPr>
            <w:tcW w:w="2410" w:type="dxa"/>
            <w:gridSpan w:val="2"/>
          </w:tcPr>
          <w:p w:rsidR="00A43161" w:rsidRDefault="00A43161" w:rsidP="0065703B">
            <w:pPr>
              <w:pStyle w:val="NoSpacing"/>
              <w:jc w:val="center"/>
              <w:rPr>
                <w:b/>
                <w:bCs/>
              </w:rPr>
            </w:pPr>
            <w:r>
              <w:rPr>
                <w:rFonts w:eastAsia="PMingLiU" w:hint="eastAsia"/>
                <w:b/>
                <w:bCs/>
                <w:lang w:eastAsia="zh-TW"/>
              </w:rPr>
              <w:t>IMD</w:t>
            </w:r>
          </w:p>
        </w:tc>
        <w:tc>
          <w:tcPr>
            <w:tcW w:w="2126" w:type="dxa"/>
            <w:gridSpan w:val="2"/>
          </w:tcPr>
          <w:p w:rsidR="00A43161" w:rsidRPr="000C3B14" w:rsidRDefault="00A43161" w:rsidP="0065703B">
            <w:pPr>
              <w:pStyle w:val="NoSpacing"/>
              <w:jc w:val="center"/>
              <w:rPr>
                <w:rFonts w:eastAsia="PMingLiU"/>
                <w:lang w:eastAsia="zh-TW"/>
              </w:rPr>
            </w:pPr>
            <w:r>
              <w:rPr>
                <w:rFonts w:eastAsia="PMingLiU" w:hint="eastAsia"/>
                <w:lang w:eastAsia="zh-TW"/>
              </w:rPr>
              <w:t>19.11 (</w:t>
            </w:r>
            <w:r>
              <w:rPr>
                <w:rFonts w:eastAsia="PMingLiU"/>
                <w:lang w:eastAsia="zh-TW"/>
              </w:rPr>
              <w:t>±</w:t>
            </w:r>
            <w:r>
              <w:rPr>
                <w:rFonts w:eastAsia="PMingLiU" w:hint="eastAsia"/>
                <w:lang w:eastAsia="zh-TW"/>
              </w:rPr>
              <w:t>10.67)</w:t>
            </w:r>
          </w:p>
        </w:tc>
        <w:tc>
          <w:tcPr>
            <w:tcW w:w="2127" w:type="dxa"/>
            <w:gridSpan w:val="2"/>
          </w:tcPr>
          <w:p w:rsidR="00A43161" w:rsidRDefault="00A43161" w:rsidP="0065703B">
            <w:pPr>
              <w:pStyle w:val="NoSpacing"/>
              <w:jc w:val="center"/>
            </w:pPr>
            <w:r>
              <w:rPr>
                <w:rFonts w:eastAsia="PMingLiU" w:hint="eastAsia"/>
                <w:lang w:eastAsia="zh-TW"/>
              </w:rPr>
              <w:t>19.10 (</w:t>
            </w:r>
            <w:r>
              <w:rPr>
                <w:rFonts w:eastAsia="PMingLiU"/>
                <w:lang w:eastAsia="zh-TW"/>
              </w:rPr>
              <w:t>±</w:t>
            </w:r>
            <w:r>
              <w:rPr>
                <w:rFonts w:eastAsia="PMingLiU" w:hint="eastAsia"/>
                <w:lang w:eastAsia="zh-TW"/>
              </w:rPr>
              <w:t>10.67)</w:t>
            </w:r>
          </w:p>
        </w:tc>
        <w:tc>
          <w:tcPr>
            <w:tcW w:w="2126" w:type="dxa"/>
            <w:gridSpan w:val="2"/>
          </w:tcPr>
          <w:p w:rsidR="00A43161" w:rsidRDefault="00A43161" w:rsidP="0065703B">
            <w:pPr>
              <w:pStyle w:val="NoSpacing"/>
              <w:jc w:val="center"/>
            </w:pPr>
            <w:r>
              <w:rPr>
                <w:rFonts w:eastAsia="PMingLiU" w:hint="eastAsia"/>
                <w:lang w:eastAsia="zh-TW"/>
              </w:rPr>
              <w:t>19.07 (</w:t>
            </w:r>
            <w:r>
              <w:rPr>
                <w:rFonts w:eastAsia="PMingLiU"/>
                <w:lang w:eastAsia="zh-TW"/>
              </w:rPr>
              <w:t>±</w:t>
            </w:r>
            <w:r>
              <w:rPr>
                <w:rFonts w:eastAsia="PMingLiU" w:hint="eastAsia"/>
                <w:lang w:eastAsia="zh-TW"/>
              </w:rPr>
              <w:t>10.67)</w:t>
            </w:r>
          </w:p>
        </w:tc>
      </w:tr>
    </w:tbl>
    <w:p w:rsidR="00A43161" w:rsidRDefault="00A43161" w:rsidP="00144D8C">
      <w:pPr>
        <w:pStyle w:val="NoSpacing"/>
        <w:rPr>
          <w:b/>
          <w:bCs/>
          <w:color w:val="000000" w:themeColor="text1"/>
        </w:rPr>
      </w:pPr>
    </w:p>
    <w:p w:rsidR="00B57E43" w:rsidRDefault="00B57E43" w:rsidP="00144D8C">
      <w:pPr>
        <w:pStyle w:val="NoSpacing"/>
        <w:rPr>
          <w:b/>
          <w:bCs/>
          <w:color w:val="000000" w:themeColor="text1"/>
        </w:rPr>
      </w:pPr>
    </w:p>
    <w:p w:rsidR="00B57E43" w:rsidRDefault="00B57E43" w:rsidP="00144D8C">
      <w:pPr>
        <w:pStyle w:val="NoSpacing"/>
        <w:rPr>
          <w:b/>
          <w:bCs/>
          <w:color w:val="000000" w:themeColor="text1"/>
        </w:rPr>
      </w:pPr>
    </w:p>
    <w:p w:rsidR="00B57E43" w:rsidRDefault="00B57E43" w:rsidP="00144D8C">
      <w:pPr>
        <w:pStyle w:val="NoSpacing"/>
        <w:rPr>
          <w:b/>
          <w:bCs/>
          <w:color w:val="000000" w:themeColor="text1"/>
        </w:rPr>
      </w:pPr>
    </w:p>
    <w:p w:rsidR="00A43161" w:rsidRDefault="00A43161">
      <w:pPr>
        <w:rPr>
          <w:b/>
          <w:bCs/>
          <w:color w:val="000000" w:themeColor="text1"/>
          <w:szCs w:val="32"/>
        </w:rPr>
      </w:pPr>
      <w:r>
        <w:rPr>
          <w:b/>
          <w:bCs/>
          <w:color w:val="000000" w:themeColor="text1"/>
        </w:rPr>
        <w:br w:type="page"/>
      </w:r>
    </w:p>
    <w:p w:rsidR="00144D8C" w:rsidRDefault="00A43161" w:rsidP="003759CE">
      <w:pPr>
        <w:pStyle w:val="NoSpacing"/>
        <w:rPr>
          <w:b/>
          <w:bCs/>
          <w:color w:val="000000" w:themeColor="text1"/>
        </w:rPr>
      </w:pPr>
      <w:r>
        <w:rPr>
          <w:b/>
          <w:bCs/>
          <w:color w:val="000000" w:themeColor="text1"/>
        </w:rPr>
        <w:lastRenderedPageBreak/>
        <w:t>Table 3</w:t>
      </w:r>
      <w:r w:rsidR="00144D8C" w:rsidRPr="00DF150C">
        <w:rPr>
          <w:b/>
          <w:bCs/>
          <w:color w:val="000000" w:themeColor="text1"/>
        </w:rPr>
        <w:t xml:space="preserve">: </w:t>
      </w:r>
      <w:r w:rsidR="00144D8C">
        <w:rPr>
          <w:b/>
          <w:bCs/>
          <w:color w:val="000000" w:themeColor="text1"/>
        </w:rPr>
        <w:t>SRGH and LLTI model</w:t>
      </w:r>
      <w:r w:rsidR="003759CE">
        <w:rPr>
          <w:b/>
          <w:bCs/>
          <w:color w:val="000000" w:themeColor="text1"/>
        </w:rPr>
        <w:t xml:space="preserve"> parameters:</w:t>
      </w:r>
      <w:r w:rsidR="00144D8C">
        <w:rPr>
          <w:b/>
          <w:bCs/>
          <w:color w:val="000000" w:themeColor="text1"/>
        </w:rPr>
        <w:t xml:space="preserve"> </w:t>
      </w:r>
      <w:r w:rsidR="00144D8C" w:rsidRPr="00DF150C">
        <w:rPr>
          <w:b/>
          <w:bCs/>
          <w:color w:val="000000" w:themeColor="text1"/>
        </w:rPr>
        <w:t>logit and standard error values</w:t>
      </w:r>
    </w:p>
    <w:p w:rsidR="00144D8C" w:rsidRPr="00DF150C" w:rsidRDefault="00144D8C" w:rsidP="00144D8C">
      <w:pPr>
        <w:pStyle w:val="NoSpacing"/>
        <w:rPr>
          <w:b/>
          <w:bCs/>
          <w:color w:val="000000" w:themeColor="text1"/>
        </w:rPr>
      </w:pPr>
    </w:p>
    <w:tbl>
      <w:tblPr>
        <w:tblStyle w:val="TableGrid"/>
        <w:tblW w:w="0" w:type="auto"/>
        <w:tblInd w:w="108" w:type="dxa"/>
        <w:tblLook w:val="04A0" w:firstRow="1" w:lastRow="0" w:firstColumn="1" w:lastColumn="0" w:noHBand="0" w:noVBand="1"/>
      </w:tblPr>
      <w:tblGrid>
        <w:gridCol w:w="2552"/>
        <w:gridCol w:w="1701"/>
        <w:gridCol w:w="1843"/>
        <w:gridCol w:w="1134"/>
        <w:gridCol w:w="1701"/>
      </w:tblGrid>
      <w:tr w:rsidR="00144D8C" w:rsidRPr="003C0578" w:rsidTr="00144D8C">
        <w:tc>
          <w:tcPr>
            <w:tcW w:w="2552" w:type="dxa"/>
            <w:vMerge w:val="restart"/>
          </w:tcPr>
          <w:p w:rsidR="00144D8C" w:rsidRPr="003C0578" w:rsidRDefault="00144D8C" w:rsidP="00144D8C">
            <w:pPr>
              <w:rPr>
                <w:b/>
                <w:bCs/>
                <w:color w:val="000000" w:themeColor="text1"/>
              </w:rPr>
            </w:pPr>
          </w:p>
        </w:tc>
        <w:tc>
          <w:tcPr>
            <w:tcW w:w="3544" w:type="dxa"/>
            <w:gridSpan w:val="2"/>
          </w:tcPr>
          <w:p w:rsidR="00144D8C" w:rsidRPr="003C0578" w:rsidRDefault="00144D8C" w:rsidP="00144D8C">
            <w:pPr>
              <w:jc w:val="center"/>
              <w:rPr>
                <w:b/>
                <w:bCs/>
                <w:color w:val="000000" w:themeColor="text1"/>
                <w:sz w:val="24"/>
              </w:rPr>
            </w:pPr>
            <w:r>
              <w:rPr>
                <w:b/>
                <w:bCs/>
                <w:color w:val="000000" w:themeColor="text1"/>
                <w:sz w:val="24"/>
              </w:rPr>
              <w:t>Poorer SRGH model</w:t>
            </w:r>
          </w:p>
        </w:tc>
        <w:tc>
          <w:tcPr>
            <w:tcW w:w="2835" w:type="dxa"/>
            <w:gridSpan w:val="2"/>
          </w:tcPr>
          <w:p w:rsidR="00144D8C" w:rsidRPr="003C0578" w:rsidRDefault="00144D8C" w:rsidP="00144D8C">
            <w:pPr>
              <w:jc w:val="center"/>
              <w:rPr>
                <w:b/>
                <w:bCs/>
                <w:color w:val="000000" w:themeColor="text1"/>
                <w:sz w:val="24"/>
              </w:rPr>
            </w:pPr>
            <w:r>
              <w:rPr>
                <w:b/>
                <w:bCs/>
                <w:color w:val="000000" w:themeColor="text1"/>
                <w:sz w:val="24"/>
              </w:rPr>
              <w:t>LLTI model</w:t>
            </w:r>
          </w:p>
        </w:tc>
      </w:tr>
      <w:tr w:rsidR="00144D8C" w:rsidRPr="003C0578" w:rsidTr="00144D8C">
        <w:tc>
          <w:tcPr>
            <w:tcW w:w="2552" w:type="dxa"/>
            <w:vMerge/>
          </w:tcPr>
          <w:p w:rsidR="00144D8C" w:rsidRPr="003C0578" w:rsidRDefault="00144D8C" w:rsidP="00144D8C">
            <w:pPr>
              <w:rPr>
                <w:b/>
                <w:bCs/>
                <w:color w:val="000000" w:themeColor="text1"/>
              </w:rPr>
            </w:pPr>
          </w:p>
        </w:tc>
        <w:tc>
          <w:tcPr>
            <w:tcW w:w="1701" w:type="dxa"/>
          </w:tcPr>
          <w:p w:rsidR="00144D8C" w:rsidRPr="003C0578" w:rsidRDefault="00144D8C" w:rsidP="00144D8C">
            <w:pPr>
              <w:jc w:val="center"/>
              <w:rPr>
                <w:b/>
                <w:bCs/>
                <w:color w:val="000000" w:themeColor="text1"/>
                <w:sz w:val="24"/>
              </w:rPr>
            </w:pPr>
            <w:r w:rsidRPr="003C0578">
              <w:rPr>
                <w:b/>
                <w:bCs/>
                <w:color w:val="000000" w:themeColor="text1"/>
                <w:sz w:val="24"/>
              </w:rPr>
              <w:t>Logit</w:t>
            </w:r>
          </w:p>
        </w:tc>
        <w:tc>
          <w:tcPr>
            <w:tcW w:w="1843" w:type="dxa"/>
          </w:tcPr>
          <w:p w:rsidR="00144D8C" w:rsidRPr="003C0578" w:rsidRDefault="00144D8C" w:rsidP="00144D8C">
            <w:pPr>
              <w:jc w:val="center"/>
              <w:rPr>
                <w:b/>
                <w:bCs/>
                <w:color w:val="000000" w:themeColor="text1"/>
                <w:sz w:val="24"/>
              </w:rPr>
            </w:pPr>
            <w:r w:rsidRPr="003C0578">
              <w:rPr>
                <w:b/>
                <w:bCs/>
                <w:color w:val="000000" w:themeColor="text1"/>
                <w:sz w:val="24"/>
              </w:rPr>
              <w:t>Standard Error</w:t>
            </w:r>
          </w:p>
        </w:tc>
        <w:tc>
          <w:tcPr>
            <w:tcW w:w="1134" w:type="dxa"/>
          </w:tcPr>
          <w:p w:rsidR="00144D8C" w:rsidRPr="003C0578" w:rsidRDefault="00144D8C" w:rsidP="00144D8C">
            <w:pPr>
              <w:jc w:val="center"/>
              <w:rPr>
                <w:b/>
                <w:bCs/>
                <w:color w:val="000000" w:themeColor="text1"/>
                <w:sz w:val="24"/>
              </w:rPr>
            </w:pPr>
            <w:r w:rsidRPr="003C0578">
              <w:rPr>
                <w:b/>
                <w:bCs/>
                <w:color w:val="000000" w:themeColor="text1"/>
                <w:sz w:val="24"/>
              </w:rPr>
              <w:t>Logit</w:t>
            </w:r>
          </w:p>
        </w:tc>
        <w:tc>
          <w:tcPr>
            <w:tcW w:w="1701" w:type="dxa"/>
          </w:tcPr>
          <w:p w:rsidR="00144D8C" w:rsidRPr="003C0578" w:rsidRDefault="00144D8C" w:rsidP="00144D8C">
            <w:pPr>
              <w:jc w:val="center"/>
              <w:rPr>
                <w:b/>
                <w:bCs/>
                <w:color w:val="000000" w:themeColor="text1"/>
                <w:sz w:val="24"/>
              </w:rPr>
            </w:pPr>
            <w:r w:rsidRPr="003C0578">
              <w:rPr>
                <w:b/>
                <w:bCs/>
                <w:color w:val="000000" w:themeColor="text1"/>
                <w:sz w:val="24"/>
              </w:rPr>
              <w:t>Standard Error</w:t>
            </w:r>
          </w:p>
        </w:tc>
      </w:tr>
      <w:tr w:rsidR="00144D8C" w:rsidRPr="003C0578" w:rsidTr="00144D8C">
        <w:tc>
          <w:tcPr>
            <w:tcW w:w="2552" w:type="dxa"/>
          </w:tcPr>
          <w:p w:rsidR="00144D8C" w:rsidRPr="003C0578" w:rsidRDefault="00144D8C" w:rsidP="00144D8C">
            <w:pPr>
              <w:rPr>
                <w:b/>
                <w:bCs/>
                <w:color w:val="000000" w:themeColor="text1"/>
              </w:rPr>
            </w:pPr>
            <w:r w:rsidRPr="003C0578">
              <w:rPr>
                <w:b/>
                <w:bCs/>
                <w:color w:val="000000" w:themeColor="text1"/>
              </w:rPr>
              <w:t>Constant</w:t>
            </w:r>
          </w:p>
        </w:tc>
        <w:tc>
          <w:tcPr>
            <w:tcW w:w="1701" w:type="dxa"/>
          </w:tcPr>
          <w:p w:rsidR="00144D8C" w:rsidRPr="00C178AC" w:rsidRDefault="00144D8C" w:rsidP="00144D8C">
            <w:pPr>
              <w:jc w:val="center"/>
              <w:rPr>
                <w:color w:val="000000"/>
              </w:rPr>
            </w:pPr>
            <w:r>
              <w:rPr>
                <w:color w:val="000000"/>
              </w:rPr>
              <w:t>-2.470</w:t>
            </w:r>
          </w:p>
        </w:tc>
        <w:tc>
          <w:tcPr>
            <w:tcW w:w="1843" w:type="dxa"/>
          </w:tcPr>
          <w:p w:rsidR="00144D8C" w:rsidRPr="00C178AC" w:rsidRDefault="00144D8C" w:rsidP="00144D8C">
            <w:pPr>
              <w:jc w:val="center"/>
              <w:rPr>
                <w:color w:val="000000"/>
              </w:rPr>
            </w:pPr>
            <w:r>
              <w:rPr>
                <w:color w:val="000000"/>
              </w:rPr>
              <w:t>0.137</w:t>
            </w:r>
          </w:p>
        </w:tc>
        <w:tc>
          <w:tcPr>
            <w:tcW w:w="1134" w:type="dxa"/>
          </w:tcPr>
          <w:p w:rsidR="00144D8C" w:rsidRPr="003C0578" w:rsidRDefault="00144D8C" w:rsidP="00144D8C">
            <w:pPr>
              <w:jc w:val="center"/>
              <w:rPr>
                <w:color w:val="000000" w:themeColor="text1"/>
              </w:rPr>
            </w:pPr>
            <w:r>
              <w:rPr>
                <w:color w:val="000000" w:themeColor="text1"/>
              </w:rPr>
              <w:t>-2.422</w:t>
            </w:r>
          </w:p>
        </w:tc>
        <w:tc>
          <w:tcPr>
            <w:tcW w:w="1701" w:type="dxa"/>
          </w:tcPr>
          <w:p w:rsidR="00144D8C" w:rsidRPr="003C0578" w:rsidRDefault="00144D8C" w:rsidP="00144D8C">
            <w:pPr>
              <w:jc w:val="center"/>
              <w:rPr>
                <w:color w:val="000000" w:themeColor="text1"/>
              </w:rPr>
            </w:pPr>
            <w:r>
              <w:rPr>
                <w:color w:val="000000" w:themeColor="text1"/>
              </w:rPr>
              <w:t>0.122</w:t>
            </w:r>
          </w:p>
        </w:tc>
      </w:tr>
      <w:tr w:rsidR="00144D8C" w:rsidRPr="003C0578" w:rsidTr="00144D8C">
        <w:tc>
          <w:tcPr>
            <w:tcW w:w="2552" w:type="dxa"/>
          </w:tcPr>
          <w:p w:rsidR="00144D8C" w:rsidRPr="003C0578" w:rsidRDefault="00144D8C" w:rsidP="00144D8C">
            <w:pPr>
              <w:rPr>
                <w:b/>
                <w:bCs/>
                <w:color w:val="000000" w:themeColor="text1"/>
              </w:rPr>
            </w:pPr>
            <w:r w:rsidRPr="003C0578">
              <w:rPr>
                <w:b/>
                <w:bCs/>
                <w:color w:val="000000" w:themeColor="text1"/>
              </w:rPr>
              <w:t>Sex: Female</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0.059</w:t>
            </w:r>
          </w:p>
        </w:tc>
        <w:tc>
          <w:tcPr>
            <w:tcW w:w="1843" w:type="dxa"/>
          </w:tcPr>
          <w:p w:rsidR="00144D8C" w:rsidRPr="00F2399B" w:rsidRDefault="00144D8C" w:rsidP="00144D8C">
            <w:pPr>
              <w:jc w:val="center"/>
              <w:rPr>
                <w:color w:val="BFBFBF" w:themeColor="background1" w:themeShade="BF"/>
              </w:rPr>
            </w:pPr>
            <w:r w:rsidRPr="00F2399B">
              <w:rPr>
                <w:color w:val="BFBFBF" w:themeColor="background1" w:themeShade="BF"/>
              </w:rPr>
              <w:t>0.032</w:t>
            </w:r>
          </w:p>
        </w:tc>
        <w:tc>
          <w:tcPr>
            <w:tcW w:w="1134" w:type="dxa"/>
          </w:tcPr>
          <w:p w:rsidR="00144D8C" w:rsidRPr="003C0578" w:rsidRDefault="00144D8C" w:rsidP="00144D8C">
            <w:pPr>
              <w:jc w:val="center"/>
              <w:rPr>
                <w:color w:val="000000" w:themeColor="text1"/>
              </w:rPr>
            </w:pPr>
            <w:r>
              <w:rPr>
                <w:color w:val="000000" w:themeColor="text1"/>
              </w:rPr>
              <w:t>0.151</w:t>
            </w:r>
          </w:p>
        </w:tc>
        <w:tc>
          <w:tcPr>
            <w:tcW w:w="1701" w:type="dxa"/>
          </w:tcPr>
          <w:p w:rsidR="00144D8C" w:rsidRPr="003C0578" w:rsidRDefault="00144D8C" w:rsidP="00144D8C">
            <w:pPr>
              <w:jc w:val="center"/>
              <w:rPr>
                <w:color w:val="000000" w:themeColor="text1"/>
              </w:rPr>
            </w:pPr>
            <w:r>
              <w:rPr>
                <w:color w:val="000000" w:themeColor="text1"/>
              </w:rPr>
              <w:t>0.031</w:t>
            </w:r>
          </w:p>
        </w:tc>
      </w:tr>
      <w:tr w:rsidR="00144D8C" w:rsidRPr="003C0578" w:rsidTr="00144D8C">
        <w:tc>
          <w:tcPr>
            <w:tcW w:w="2552" w:type="dxa"/>
          </w:tcPr>
          <w:p w:rsidR="00144D8C" w:rsidRPr="003C0578" w:rsidRDefault="00144D8C" w:rsidP="00144D8C">
            <w:pPr>
              <w:rPr>
                <w:b/>
                <w:bCs/>
                <w:color w:val="000000" w:themeColor="text1"/>
              </w:rPr>
            </w:pPr>
            <w:r>
              <w:rPr>
                <w:b/>
                <w:bCs/>
                <w:color w:val="000000" w:themeColor="text1"/>
              </w:rPr>
              <w:t>Age: 20-24</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0.188</w:t>
            </w:r>
          </w:p>
        </w:tc>
        <w:tc>
          <w:tcPr>
            <w:tcW w:w="1843" w:type="dxa"/>
          </w:tcPr>
          <w:p w:rsidR="00144D8C" w:rsidRPr="00F2399B" w:rsidRDefault="00144D8C" w:rsidP="00144D8C">
            <w:pPr>
              <w:jc w:val="center"/>
              <w:rPr>
                <w:color w:val="BFBFBF" w:themeColor="background1" w:themeShade="BF"/>
              </w:rPr>
            </w:pPr>
            <w:r w:rsidRPr="00F2399B">
              <w:rPr>
                <w:color w:val="BFBFBF" w:themeColor="background1" w:themeShade="BF"/>
              </w:rPr>
              <w:t>0.165</w:t>
            </w:r>
          </w:p>
        </w:tc>
        <w:tc>
          <w:tcPr>
            <w:tcW w:w="1134" w:type="dxa"/>
          </w:tcPr>
          <w:p w:rsidR="00144D8C" w:rsidRPr="00F2399B" w:rsidRDefault="00144D8C" w:rsidP="00144D8C">
            <w:pPr>
              <w:jc w:val="center"/>
              <w:rPr>
                <w:color w:val="BFBFBF" w:themeColor="background1" w:themeShade="BF"/>
              </w:rPr>
            </w:pPr>
            <w:r w:rsidRPr="00F2399B">
              <w:rPr>
                <w:color w:val="BFBFBF" w:themeColor="background1" w:themeShade="BF"/>
              </w:rPr>
              <w:t>-0.193</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0.156</w:t>
            </w:r>
          </w:p>
        </w:tc>
      </w:tr>
      <w:tr w:rsidR="00144D8C" w:rsidRPr="003C0578" w:rsidTr="00144D8C">
        <w:tc>
          <w:tcPr>
            <w:tcW w:w="2552" w:type="dxa"/>
          </w:tcPr>
          <w:p w:rsidR="00144D8C" w:rsidRPr="003C0578" w:rsidRDefault="00144D8C" w:rsidP="00144D8C">
            <w:pPr>
              <w:rPr>
                <w:b/>
                <w:bCs/>
                <w:color w:val="000000" w:themeColor="text1"/>
              </w:rPr>
            </w:pPr>
            <w:r>
              <w:rPr>
                <w:b/>
                <w:bCs/>
                <w:color w:val="000000" w:themeColor="text1"/>
              </w:rPr>
              <w:t>Age: 25.29</w:t>
            </w:r>
          </w:p>
        </w:tc>
        <w:tc>
          <w:tcPr>
            <w:tcW w:w="1701" w:type="dxa"/>
          </w:tcPr>
          <w:p w:rsidR="00144D8C" w:rsidRPr="00C178AC" w:rsidRDefault="00144D8C" w:rsidP="00144D8C">
            <w:pPr>
              <w:jc w:val="center"/>
              <w:rPr>
                <w:color w:val="000000"/>
              </w:rPr>
            </w:pPr>
            <w:r>
              <w:rPr>
                <w:color w:val="000000"/>
              </w:rPr>
              <w:t>0.339</w:t>
            </w:r>
          </w:p>
        </w:tc>
        <w:tc>
          <w:tcPr>
            <w:tcW w:w="1843" w:type="dxa"/>
          </w:tcPr>
          <w:p w:rsidR="00144D8C" w:rsidRPr="00C178AC" w:rsidRDefault="00144D8C" w:rsidP="00144D8C">
            <w:pPr>
              <w:jc w:val="center"/>
              <w:rPr>
                <w:color w:val="000000"/>
              </w:rPr>
            </w:pPr>
            <w:r>
              <w:rPr>
                <w:color w:val="000000"/>
              </w:rPr>
              <w:t>0.157</w:t>
            </w:r>
          </w:p>
        </w:tc>
        <w:tc>
          <w:tcPr>
            <w:tcW w:w="1134" w:type="dxa"/>
          </w:tcPr>
          <w:p w:rsidR="00144D8C" w:rsidRPr="00F2399B" w:rsidRDefault="00144D8C" w:rsidP="00144D8C">
            <w:pPr>
              <w:jc w:val="center"/>
              <w:rPr>
                <w:color w:val="BFBFBF" w:themeColor="background1" w:themeShade="BF"/>
              </w:rPr>
            </w:pPr>
            <w:r w:rsidRPr="00F2399B">
              <w:rPr>
                <w:color w:val="BFBFBF" w:themeColor="background1" w:themeShade="BF"/>
              </w:rPr>
              <w:t>0.178</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0.143</w:t>
            </w:r>
          </w:p>
        </w:tc>
      </w:tr>
      <w:tr w:rsidR="00144D8C" w:rsidRPr="003C0578" w:rsidTr="00144D8C">
        <w:tc>
          <w:tcPr>
            <w:tcW w:w="2552" w:type="dxa"/>
          </w:tcPr>
          <w:p w:rsidR="00144D8C" w:rsidRPr="003C0578" w:rsidRDefault="00144D8C" w:rsidP="00144D8C">
            <w:pPr>
              <w:rPr>
                <w:b/>
                <w:bCs/>
                <w:color w:val="000000" w:themeColor="text1"/>
              </w:rPr>
            </w:pPr>
            <w:r>
              <w:rPr>
                <w:b/>
                <w:bCs/>
                <w:color w:val="000000" w:themeColor="text1"/>
              </w:rPr>
              <w:t>Age: 30-34</w:t>
            </w:r>
          </w:p>
        </w:tc>
        <w:tc>
          <w:tcPr>
            <w:tcW w:w="1701" w:type="dxa"/>
          </w:tcPr>
          <w:p w:rsidR="00144D8C" w:rsidRPr="00C178AC" w:rsidRDefault="00144D8C" w:rsidP="00144D8C">
            <w:pPr>
              <w:jc w:val="center"/>
              <w:rPr>
                <w:color w:val="000000"/>
              </w:rPr>
            </w:pPr>
            <w:r>
              <w:rPr>
                <w:color w:val="000000"/>
              </w:rPr>
              <w:t>0.208</w:t>
            </w:r>
          </w:p>
        </w:tc>
        <w:tc>
          <w:tcPr>
            <w:tcW w:w="1843" w:type="dxa"/>
          </w:tcPr>
          <w:p w:rsidR="00144D8C" w:rsidRPr="00C178AC" w:rsidRDefault="00144D8C" w:rsidP="00144D8C">
            <w:pPr>
              <w:jc w:val="center"/>
              <w:rPr>
                <w:color w:val="000000"/>
              </w:rPr>
            </w:pPr>
            <w:r>
              <w:rPr>
                <w:color w:val="000000"/>
              </w:rPr>
              <w:t>0.156</w:t>
            </w:r>
          </w:p>
        </w:tc>
        <w:tc>
          <w:tcPr>
            <w:tcW w:w="1134" w:type="dxa"/>
          </w:tcPr>
          <w:p w:rsidR="00144D8C" w:rsidRPr="00F2399B" w:rsidRDefault="00144D8C" w:rsidP="00144D8C">
            <w:pPr>
              <w:jc w:val="center"/>
              <w:rPr>
                <w:color w:val="BFBFBF" w:themeColor="background1" w:themeShade="BF"/>
              </w:rPr>
            </w:pPr>
            <w:r w:rsidRPr="00F2399B">
              <w:rPr>
                <w:color w:val="BFBFBF" w:themeColor="background1" w:themeShade="BF"/>
              </w:rPr>
              <w:t>0.173</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0.140</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35-39</w:t>
            </w:r>
          </w:p>
        </w:tc>
        <w:tc>
          <w:tcPr>
            <w:tcW w:w="1701" w:type="dxa"/>
          </w:tcPr>
          <w:p w:rsidR="00144D8C" w:rsidRPr="00C178AC" w:rsidRDefault="00144D8C" w:rsidP="00144D8C">
            <w:pPr>
              <w:jc w:val="center"/>
              <w:rPr>
                <w:color w:val="000000"/>
              </w:rPr>
            </w:pPr>
            <w:r>
              <w:rPr>
                <w:color w:val="000000"/>
              </w:rPr>
              <w:t>0.680</w:t>
            </w:r>
          </w:p>
        </w:tc>
        <w:tc>
          <w:tcPr>
            <w:tcW w:w="1843" w:type="dxa"/>
          </w:tcPr>
          <w:p w:rsidR="00144D8C" w:rsidRPr="00C178AC" w:rsidRDefault="00144D8C" w:rsidP="00144D8C">
            <w:pPr>
              <w:jc w:val="center"/>
              <w:rPr>
                <w:color w:val="000000"/>
              </w:rPr>
            </w:pPr>
            <w:r>
              <w:rPr>
                <w:color w:val="000000"/>
              </w:rPr>
              <w:t>0.148</w:t>
            </w:r>
          </w:p>
        </w:tc>
        <w:tc>
          <w:tcPr>
            <w:tcW w:w="1134" w:type="dxa"/>
          </w:tcPr>
          <w:p w:rsidR="00144D8C" w:rsidRPr="003C0578" w:rsidRDefault="00144D8C" w:rsidP="00144D8C">
            <w:pPr>
              <w:jc w:val="center"/>
              <w:rPr>
                <w:color w:val="000000" w:themeColor="text1"/>
              </w:rPr>
            </w:pPr>
            <w:r>
              <w:rPr>
                <w:color w:val="000000" w:themeColor="text1"/>
              </w:rPr>
              <w:t>0.455</w:t>
            </w:r>
          </w:p>
        </w:tc>
        <w:tc>
          <w:tcPr>
            <w:tcW w:w="1701" w:type="dxa"/>
          </w:tcPr>
          <w:p w:rsidR="00144D8C" w:rsidRPr="003C0578" w:rsidRDefault="00144D8C" w:rsidP="00144D8C">
            <w:pPr>
              <w:jc w:val="center"/>
              <w:rPr>
                <w:color w:val="000000" w:themeColor="text1"/>
              </w:rPr>
            </w:pPr>
            <w:r>
              <w:rPr>
                <w:color w:val="000000" w:themeColor="text1"/>
              </w:rPr>
              <w:t>0.135</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40-44</w:t>
            </w:r>
          </w:p>
        </w:tc>
        <w:tc>
          <w:tcPr>
            <w:tcW w:w="1701" w:type="dxa"/>
          </w:tcPr>
          <w:p w:rsidR="00144D8C" w:rsidRDefault="00144D8C" w:rsidP="00144D8C">
            <w:pPr>
              <w:jc w:val="center"/>
              <w:rPr>
                <w:color w:val="000000"/>
              </w:rPr>
            </w:pPr>
            <w:r>
              <w:rPr>
                <w:color w:val="000000"/>
              </w:rPr>
              <w:t>0.863</w:t>
            </w:r>
          </w:p>
        </w:tc>
        <w:tc>
          <w:tcPr>
            <w:tcW w:w="1843" w:type="dxa"/>
          </w:tcPr>
          <w:p w:rsidR="00144D8C" w:rsidRDefault="00144D8C" w:rsidP="00144D8C">
            <w:pPr>
              <w:jc w:val="center"/>
              <w:rPr>
                <w:color w:val="000000"/>
              </w:rPr>
            </w:pPr>
            <w:r>
              <w:rPr>
                <w:color w:val="000000"/>
              </w:rPr>
              <w:t>0.144</w:t>
            </w:r>
          </w:p>
        </w:tc>
        <w:tc>
          <w:tcPr>
            <w:tcW w:w="1134" w:type="dxa"/>
          </w:tcPr>
          <w:p w:rsidR="00144D8C" w:rsidRPr="003C0578" w:rsidRDefault="00144D8C" w:rsidP="00144D8C">
            <w:pPr>
              <w:jc w:val="center"/>
              <w:rPr>
                <w:color w:val="000000" w:themeColor="text1"/>
              </w:rPr>
            </w:pPr>
            <w:r>
              <w:rPr>
                <w:color w:val="000000" w:themeColor="text1"/>
              </w:rPr>
              <w:t>0.654</w:t>
            </w:r>
          </w:p>
        </w:tc>
        <w:tc>
          <w:tcPr>
            <w:tcW w:w="1701" w:type="dxa"/>
          </w:tcPr>
          <w:p w:rsidR="00144D8C" w:rsidRPr="003C0578" w:rsidRDefault="00144D8C" w:rsidP="00144D8C">
            <w:pPr>
              <w:jc w:val="center"/>
              <w:rPr>
                <w:color w:val="000000" w:themeColor="text1"/>
              </w:rPr>
            </w:pPr>
            <w:r>
              <w:rPr>
                <w:color w:val="000000" w:themeColor="text1"/>
              </w:rPr>
              <w:t>0.131</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45-49</w:t>
            </w:r>
          </w:p>
        </w:tc>
        <w:tc>
          <w:tcPr>
            <w:tcW w:w="1701" w:type="dxa"/>
          </w:tcPr>
          <w:p w:rsidR="00144D8C" w:rsidRDefault="00144D8C" w:rsidP="00144D8C">
            <w:pPr>
              <w:jc w:val="center"/>
              <w:rPr>
                <w:color w:val="000000"/>
              </w:rPr>
            </w:pPr>
            <w:r>
              <w:rPr>
                <w:color w:val="000000"/>
              </w:rPr>
              <w:t>1.168</w:t>
            </w:r>
          </w:p>
        </w:tc>
        <w:tc>
          <w:tcPr>
            <w:tcW w:w="1843" w:type="dxa"/>
          </w:tcPr>
          <w:p w:rsidR="00144D8C" w:rsidRDefault="00144D8C" w:rsidP="00144D8C">
            <w:pPr>
              <w:jc w:val="center"/>
              <w:rPr>
                <w:color w:val="000000"/>
              </w:rPr>
            </w:pPr>
            <w:r>
              <w:rPr>
                <w:color w:val="000000"/>
              </w:rPr>
              <w:t>0.142</w:t>
            </w:r>
          </w:p>
        </w:tc>
        <w:tc>
          <w:tcPr>
            <w:tcW w:w="1134" w:type="dxa"/>
          </w:tcPr>
          <w:p w:rsidR="00144D8C" w:rsidRPr="003C0578" w:rsidRDefault="00144D8C" w:rsidP="00144D8C">
            <w:pPr>
              <w:jc w:val="center"/>
              <w:rPr>
                <w:color w:val="000000" w:themeColor="text1"/>
              </w:rPr>
            </w:pPr>
            <w:r>
              <w:rPr>
                <w:color w:val="000000" w:themeColor="text1"/>
              </w:rPr>
              <w:t>0.984</w:t>
            </w:r>
          </w:p>
        </w:tc>
        <w:tc>
          <w:tcPr>
            <w:tcW w:w="1701" w:type="dxa"/>
          </w:tcPr>
          <w:p w:rsidR="00144D8C" w:rsidRPr="003C0578" w:rsidRDefault="00144D8C" w:rsidP="00144D8C">
            <w:pPr>
              <w:jc w:val="center"/>
              <w:rPr>
                <w:color w:val="000000" w:themeColor="text1"/>
              </w:rPr>
            </w:pPr>
            <w:r>
              <w:rPr>
                <w:color w:val="000000" w:themeColor="text1"/>
              </w:rPr>
              <w:t>0.129</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50-54</w:t>
            </w:r>
          </w:p>
        </w:tc>
        <w:tc>
          <w:tcPr>
            <w:tcW w:w="1701" w:type="dxa"/>
          </w:tcPr>
          <w:p w:rsidR="00144D8C" w:rsidRDefault="00144D8C" w:rsidP="00144D8C">
            <w:pPr>
              <w:jc w:val="center"/>
              <w:rPr>
                <w:color w:val="000000"/>
              </w:rPr>
            </w:pPr>
            <w:r>
              <w:rPr>
                <w:color w:val="000000"/>
              </w:rPr>
              <w:t>1.465</w:t>
            </w:r>
          </w:p>
        </w:tc>
        <w:tc>
          <w:tcPr>
            <w:tcW w:w="1843" w:type="dxa"/>
          </w:tcPr>
          <w:p w:rsidR="00144D8C" w:rsidRDefault="00144D8C" w:rsidP="00144D8C">
            <w:pPr>
              <w:jc w:val="center"/>
              <w:rPr>
                <w:color w:val="000000"/>
              </w:rPr>
            </w:pPr>
            <w:r>
              <w:rPr>
                <w:color w:val="000000"/>
              </w:rPr>
              <w:t>0.142</w:t>
            </w:r>
          </w:p>
        </w:tc>
        <w:tc>
          <w:tcPr>
            <w:tcW w:w="1134" w:type="dxa"/>
          </w:tcPr>
          <w:p w:rsidR="00144D8C" w:rsidRPr="003C0578" w:rsidRDefault="00144D8C" w:rsidP="00144D8C">
            <w:pPr>
              <w:jc w:val="center"/>
              <w:rPr>
                <w:color w:val="000000" w:themeColor="text1"/>
              </w:rPr>
            </w:pPr>
            <w:r>
              <w:rPr>
                <w:color w:val="000000" w:themeColor="text1"/>
              </w:rPr>
              <w:t>1.281</w:t>
            </w:r>
          </w:p>
        </w:tc>
        <w:tc>
          <w:tcPr>
            <w:tcW w:w="1701" w:type="dxa"/>
          </w:tcPr>
          <w:p w:rsidR="00144D8C" w:rsidRPr="003C0578" w:rsidRDefault="00144D8C" w:rsidP="00144D8C">
            <w:pPr>
              <w:jc w:val="center"/>
              <w:rPr>
                <w:color w:val="000000" w:themeColor="text1"/>
              </w:rPr>
            </w:pPr>
            <w:r>
              <w:rPr>
                <w:color w:val="000000" w:themeColor="text1"/>
              </w:rPr>
              <w:t>0.128</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55-59</w:t>
            </w:r>
          </w:p>
        </w:tc>
        <w:tc>
          <w:tcPr>
            <w:tcW w:w="1701" w:type="dxa"/>
          </w:tcPr>
          <w:p w:rsidR="00144D8C" w:rsidRDefault="00144D8C" w:rsidP="00144D8C">
            <w:pPr>
              <w:jc w:val="center"/>
              <w:rPr>
                <w:color w:val="000000"/>
              </w:rPr>
            </w:pPr>
            <w:r>
              <w:rPr>
                <w:color w:val="000000"/>
              </w:rPr>
              <w:t>1.650</w:t>
            </w:r>
          </w:p>
        </w:tc>
        <w:tc>
          <w:tcPr>
            <w:tcW w:w="1843" w:type="dxa"/>
          </w:tcPr>
          <w:p w:rsidR="00144D8C" w:rsidRDefault="00144D8C" w:rsidP="00144D8C">
            <w:pPr>
              <w:jc w:val="center"/>
              <w:rPr>
                <w:color w:val="000000"/>
              </w:rPr>
            </w:pPr>
            <w:r>
              <w:rPr>
                <w:color w:val="000000"/>
              </w:rPr>
              <w:t>0.142</w:t>
            </w:r>
          </w:p>
        </w:tc>
        <w:tc>
          <w:tcPr>
            <w:tcW w:w="1134" w:type="dxa"/>
          </w:tcPr>
          <w:p w:rsidR="00144D8C" w:rsidRPr="003C0578" w:rsidRDefault="00144D8C" w:rsidP="00144D8C">
            <w:pPr>
              <w:jc w:val="center"/>
              <w:rPr>
                <w:color w:val="000000" w:themeColor="text1"/>
              </w:rPr>
            </w:pPr>
            <w:r>
              <w:rPr>
                <w:color w:val="000000" w:themeColor="text1"/>
              </w:rPr>
              <w:t>1.436</w:t>
            </w:r>
          </w:p>
        </w:tc>
        <w:tc>
          <w:tcPr>
            <w:tcW w:w="1701" w:type="dxa"/>
          </w:tcPr>
          <w:p w:rsidR="00144D8C" w:rsidRPr="003C0578" w:rsidRDefault="00144D8C" w:rsidP="00144D8C">
            <w:pPr>
              <w:jc w:val="center"/>
              <w:rPr>
                <w:color w:val="000000" w:themeColor="text1"/>
              </w:rPr>
            </w:pPr>
            <w:r>
              <w:rPr>
                <w:color w:val="000000" w:themeColor="text1"/>
              </w:rPr>
              <w:t>0.128</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60-64</w:t>
            </w:r>
          </w:p>
        </w:tc>
        <w:tc>
          <w:tcPr>
            <w:tcW w:w="1701" w:type="dxa"/>
          </w:tcPr>
          <w:p w:rsidR="00144D8C" w:rsidRDefault="00144D8C" w:rsidP="00144D8C">
            <w:pPr>
              <w:jc w:val="center"/>
              <w:rPr>
                <w:color w:val="000000"/>
              </w:rPr>
            </w:pPr>
            <w:r>
              <w:rPr>
                <w:color w:val="000000"/>
              </w:rPr>
              <w:t>1.758</w:t>
            </w:r>
          </w:p>
        </w:tc>
        <w:tc>
          <w:tcPr>
            <w:tcW w:w="1843" w:type="dxa"/>
          </w:tcPr>
          <w:p w:rsidR="00144D8C" w:rsidRDefault="00144D8C" w:rsidP="00144D8C">
            <w:pPr>
              <w:jc w:val="center"/>
              <w:rPr>
                <w:color w:val="000000"/>
              </w:rPr>
            </w:pPr>
            <w:r>
              <w:rPr>
                <w:color w:val="000000"/>
              </w:rPr>
              <w:t>0.140</w:t>
            </w:r>
          </w:p>
        </w:tc>
        <w:tc>
          <w:tcPr>
            <w:tcW w:w="1134" w:type="dxa"/>
          </w:tcPr>
          <w:p w:rsidR="00144D8C" w:rsidRPr="003C0578" w:rsidRDefault="00144D8C" w:rsidP="00144D8C">
            <w:pPr>
              <w:jc w:val="center"/>
              <w:rPr>
                <w:color w:val="000000" w:themeColor="text1"/>
              </w:rPr>
            </w:pPr>
            <w:r>
              <w:rPr>
                <w:color w:val="000000" w:themeColor="text1"/>
              </w:rPr>
              <w:t>1.671</w:t>
            </w:r>
          </w:p>
        </w:tc>
        <w:tc>
          <w:tcPr>
            <w:tcW w:w="1701" w:type="dxa"/>
          </w:tcPr>
          <w:p w:rsidR="00144D8C" w:rsidRPr="003C0578" w:rsidRDefault="00144D8C" w:rsidP="00144D8C">
            <w:pPr>
              <w:jc w:val="center"/>
              <w:rPr>
                <w:color w:val="000000" w:themeColor="text1"/>
              </w:rPr>
            </w:pPr>
            <w:r>
              <w:rPr>
                <w:color w:val="000000" w:themeColor="text1"/>
              </w:rPr>
              <w:t>0.127</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65-69</w:t>
            </w:r>
          </w:p>
        </w:tc>
        <w:tc>
          <w:tcPr>
            <w:tcW w:w="1701" w:type="dxa"/>
          </w:tcPr>
          <w:p w:rsidR="00144D8C" w:rsidRDefault="00144D8C" w:rsidP="00144D8C">
            <w:pPr>
              <w:jc w:val="center"/>
              <w:rPr>
                <w:color w:val="000000"/>
              </w:rPr>
            </w:pPr>
            <w:r>
              <w:rPr>
                <w:color w:val="000000"/>
              </w:rPr>
              <w:t>1.886</w:t>
            </w:r>
          </w:p>
        </w:tc>
        <w:tc>
          <w:tcPr>
            <w:tcW w:w="1843" w:type="dxa"/>
          </w:tcPr>
          <w:p w:rsidR="00144D8C" w:rsidRDefault="00144D8C" w:rsidP="00144D8C">
            <w:pPr>
              <w:jc w:val="center"/>
              <w:rPr>
                <w:color w:val="000000"/>
              </w:rPr>
            </w:pPr>
            <w:r>
              <w:rPr>
                <w:color w:val="000000"/>
              </w:rPr>
              <w:t>0.141</w:t>
            </w:r>
          </w:p>
        </w:tc>
        <w:tc>
          <w:tcPr>
            <w:tcW w:w="1134" w:type="dxa"/>
          </w:tcPr>
          <w:p w:rsidR="00144D8C" w:rsidRPr="003C0578" w:rsidRDefault="00144D8C" w:rsidP="00144D8C">
            <w:pPr>
              <w:jc w:val="center"/>
              <w:rPr>
                <w:color w:val="000000" w:themeColor="text1"/>
              </w:rPr>
            </w:pPr>
            <w:r>
              <w:rPr>
                <w:color w:val="000000" w:themeColor="text1"/>
              </w:rPr>
              <w:t>1.816</w:t>
            </w:r>
          </w:p>
        </w:tc>
        <w:tc>
          <w:tcPr>
            <w:tcW w:w="1701" w:type="dxa"/>
          </w:tcPr>
          <w:p w:rsidR="00144D8C" w:rsidRPr="003C0578" w:rsidRDefault="00144D8C" w:rsidP="00144D8C">
            <w:pPr>
              <w:jc w:val="center"/>
              <w:rPr>
                <w:color w:val="000000" w:themeColor="text1"/>
              </w:rPr>
            </w:pPr>
            <w:r>
              <w:rPr>
                <w:color w:val="000000" w:themeColor="text1"/>
              </w:rPr>
              <w:t>0.128</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70-74</w:t>
            </w:r>
          </w:p>
        </w:tc>
        <w:tc>
          <w:tcPr>
            <w:tcW w:w="1701" w:type="dxa"/>
          </w:tcPr>
          <w:p w:rsidR="00144D8C" w:rsidRDefault="00144D8C" w:rsidP="00144D8C">
            <w:pPr>
              <w:jc w:val="center"/>
              <w:rPr>
                <w:color w:val="000000"/>
              </w:rPr>
            </w:pPr>
            <w:r>
              <w:rPr>
                <w:color w:val="000000"/>
              </w:rPr>
              <w:t>2.086</w:t>
            </w:r>
          </w:p>
        </w:tc>
        <w:tc>
          <w:tcPr>
            <w:tcW w:w="1843" w:type="dxa"/>
          </w:tcPr>
          <w:p w:rsidR="00144D8C" w:rsidRDefault="00144D8C" w:rsidP="00144D8C">
            <w:pPr>
              <w:jc w:val="center"/>
              <w:rPr>
                <w:color w:val="000000"/>
              </w:rPr>
            </w:pPr>
            <w:r>
              <w:rPr>
                <w:color w:val="000000"/>
              </w:rPr>
              <w:t>0.143</w:t>
            </w:r>
          </w:p>
        </w:tc>
        <w:tc>
          <w:tcPr>
            <w:tcW w:w="1134" w:type="dxa"/>
          </w:tcPr>
          <w:p w:rsidR="00144D8C" w:rsidRPr="003C0578" w:rsidRDefault="00144D8C" w:rsidP="00144D8C">
            <w:pPr>
              <w:jc w:val="center"/>
              <w:rPr>
                <w:color w:val="000000" w:themeColor="text1"/>
              </w:rPr>
            </w:pPr>
            <w:r>
              <w:rPr>
                <w:color w:val="000000" w:themeColor="text1"/>
              </w:rPr>
              <w:t>2.023</w:t>
            </w:r>
          </w:p>
        </w:tc>
        <w:tc>
          <w:tcPr>
            <w:tcW w:w="1701" w:type="dxa"/>
          </w:tcPr>
          <w:p w:rsidR="00144D8C" w:rsidRPr="003C0578" w:rsidRDefault="00144D8C" w:rsidP="00144D8C">
            <w:pPr>
              <w:jc w:val="center"/>
              <w:rPr>
                <w:color w:val="000000" w:themeColor="text1"/>
              </w:rPr>
            </w:pPr>
            <w:r>
              <w:rPr>
                <w:color w:val="000000" w:themeColor="text1"/>
              </w:rPr>
              <w:t>0.130</w:t>
            </w:r>
          </w:p>
        </w:tc>
      </w:tr>
      <w:tr w:rsidR="00144D8C" w:rsidRPr="003C0578" w:rsidTr="00144D8C">
        <w:trPr>
          <w:trHeight w:val="64"/>
        </w:trPr>
        <w:tc>
          <w:tcPr>
            <w:tcW w:w="2552" w:type="dxa"/>
          </w:tcPr>
          <w:p w:rsidR="00144D8C" w:rsidRPr="003C0578" w:rsidRDefault="00144D8C" w:rsidP="00144D8C">
            <w:pPr>
              <w:rPr>
                <w:b/>
                <w:bCs/>
                <w:color w:val="000000" w:themeColor="text1"/>
              </w:rPr>
            </w:pPr>
            <w:r>
              <w:rPr>
                <w:b/>
                <w:bCs/>
                <w:color w:val="000000" w:themeColor="text1"/>
              </w:rPr>
              <w:t>Age: 75+</w:t>
            </w:r>
          </w:p>
        </w:tc>
        <w:tc>
          <w:tcPr>
            <w:tcW w:w="1701" w:type="dxa"/>
          </w:tcPr>
          <w:p w:rsidR="00144D8C" w:rsidRDefault="00144D8C" w:rsidP="00144D8C">
            <w:pPr>
              <w:jc w:val="center"/>
              <w:rPr>
                <w:color w:val="000000"/>
              </w:rPr>
            </w:pPr>
            <w:r>
              <w:rPr>
                <w:color w:val="000000"/>
              </w:rPr>
              <w:t>2.541</w:t>
            </w:r>
          </w:p>
        </w:tc>
        <w:tc>
          <w:tcPr>
            <w:tcW w:w="1843" w:type="dxa"/>
          </w:tcPr>
          <w:p w:rsidR="00144D8C" w:rsidRDefault="00144D8C" w:rsidP="00144D8C">
            <w:pPr>
              <w:jc w:val="center"/>
              <w:rPr>
                <w:color w:val="000000"/>
              </w:rPr>
            </w:pPr>
            <w:r>
              <w:rPr>
                <w:color w:val="000000"/>
              </w:rPr>
              <w:t>0.138</w:t>
            </w:r>
          </w:p>
        </w:tc>
        <w:tc>
          <w:tcPr>
            <w:tcW w:w="1134" w:type="dxa"/>
          </w:tcPr>
          <w:p w:rsidR="00144D8C" w:rsidRPr="003C0578" w:rsidRDefault="00144D8C" w:rsidP="00144D8C">
            <w:pPr>
              <w:jc w:val="center"/>
              <w:rPr>
                <w:color w:val="000000" w:themeColor="text1"/>
              </w:rPr>
            </w:pPr>
            <w:r>
              <w:rPr>
                <w:color w:val="000000" w:themeColor="text1"/>
              </w:rPr>
              <w:t>2.617</w:t>
            </w:r>
          </w:p>
        </w:tc>
        <w:tc>
          <w:tcPr>
            <w:tcW w:w="1701" w:type="dxa"/>
          </w:tcPr>
          <w:p w:rsidR="00144D8C" w:rsidRPr="003C0578" w:rsidRDefault="00144D8C" w:rsidP="00144D8C">
            <w:pPr>
              <w:jc w:val="center"/>
              <w:rPr>
                <w:color w:val="000000" w:themeColor="text1"/>
              </w:rPr>
            </w:pPr>
            <w:r>
              <w:rPr>
                <w:color w:val="000000" w:themeColor="text1"/>
              </w:rPr>
              <w:t>0.126</w:t>
            </w:r>
          </w:p>
        </w:tc>
      </w:tr>
      <w:tr w:rsidR="00144D8C" w:rsidRPr="003C0578" w:rsidTr="00144D8C">
        <w:tc>
          <w:tcPr>
            <w:tcW w:w="2552" w:type="dxa"/>
          </w:tcPr>
          <w:p w:rsidR="00144D8C" w:rsidRPr="003C0578" w:rsidRDefault="00144D8C" w:rsidP="00144D8C">
            <w:pPr>
              <w:rPr>
                <w:b/>
                <w:bCs/>
                <w:color w:val="000000" w:themeColor="text1"/>
              </w:rPr>
            </w:pPr>
            <w:r>
              <w:rPr>
                <w:b/>
                <w:bCs/>
                <w:color w:val="000000" w:themeColor="text1"/>
              </w:rPr>
              <w:t>IMD</w:t>
            </w:r>
          </w:p>
        </w:tc>
        <w:tc>
          <w:tcPr>
            <w:tcW w:w="1701" w:type="dxa"/>
          </w:tcPr>
          <w:p w:rsidR="00144D8C" w:rsidRPr="003C0578" w:rsidRDefault="00144D8C" w:rsidP="00144D8C">
            <w:pPr>
              <w:jc w:val="center"/>
              <w:rPr>
                <w:color w:val="000000" w:themeColor="text1"/>
              </w:rPr>
            </w:pPr>
            <w:r>
              <w:rPr>
                <w:color w:val="000000" w:themeColor="text1"/>
              </w:rPr>
              <w:t>0.023</w:t>
            </w:r>
          </w:p>
        </w:tc>
        <w:tc>
          <w:tcPr>
            <w:tcW w:w="1843" w:type="dxa"/>
          </w:tcPr>
          <w:p w:rsidR="00144D8C" w:rsidRPr="003C0578" w:rsidRDefault="00144D8C" w:rsidP="00144D8C">
            <w:pPr>
              <w:jc w:val="center"/>
              <w:rPr>
                <w:color w:val="000000" w:themeColor="text1"/>
              </w:rPr>
            </w:pPr>
            <w:r>
              <w:rPr>
                <w:color w:val="000000" w:themeColor="text1"/>
              </w:rPr>
              <w:t>0.003</w:t>
            </w:r>
          </w:p>
        </w:tc>
        <w:tc>
          <w:tcPr>
            <w:tcW w:w="1134" w:type="dxa"/>
          </w:tcPr>
          <w:p w:rsidR="00144D8C" w:rsidRPr="003C0578" w:rsidRDefault="00144D8C" w:rsidP="00144D8C">
            <w:pPr>
              <w:jc w:val="center"/>
              <w:rPr>
                <w:color w:val="000000" w:themeColor="text1"/>
              </w:rPr>
            </w:pPr>
            <w:r>
              <w:rPr>
                <w:color w:val="000000" w:themeColor="text1"/>
              </w:rPr>
              <w:t>0.011</w:t>
            </w:r>
          </w:p>
        </w:tc>
        <w:tc>
          <w:tcPr>
            <w:tcW w:w="1701" w:type="dxa"/>
          </w:tcPr>
          <w:p w:rsidR="00144D8C" w:rsidRPr="003C0578" w:rsidRDefault="00144D8C" w:rsidP="00144D8C">
            <w:pPr>
              <w:jc w:val="center"/>
              <w:rPr>
                <w:color w:val="000000" w:themeColor="text1"/>
              </w:rPr>
            </w:pPr>
            <w:r>
              <w:rPr>
                <w:color w:val="000000" w:themeColor="text1"/>
              </w:rPr>
              <w:t>0.003</w:t>
            </w:r>
          </w:p>
        </w:tc>
      </w:tr>
      <w:tr w:rsidR="00144D8C" w:rsidRPr="003C0578" w:rsidTr="00144D8C">
        <w:tc>
          <w:tcPr>
            <w:tcW w:w="2552" w:type="dxa"/>
          </w:tcPr>
          <w:p w:rsidR="00144D8C" w:rsidRPr="003C0578" w:rsidRDefault="00144D8C" w:rsidP="00144D8C">
            <w:pPr>
              <w:rPr>
                <w:b/>
                <w:bCs/>
                <w:color w:val="000000" w:themeColor="text1"/>
              </w:rPr>
            </w:pPr>
            <w:r>
              <w:rPr>
                <w:b/>
                <w:bCs/>
                <w:color w:val="000000" w:themeColor="text1"/>
              </w:rPr>
              <w:t>Disability Benefits</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0.002</w:t>
            </w:r>
          </w:p>
        </w:tc>
        <w:tc>
          <w:tcPr>
            <w:tcW w:w="1843" w:type="dxa"/>
          </w:tcPr>
          <w:p w:rsidR="00144D8C" w:rsidRPr="00F2399B" w:rsidRDefault="00144D8C" w:rsidP="00144D8C">
            <w:pPr>
              <w:jc w:val="center"/>
              <w:rPr>
                <w:color w:val="BFBFBF" w:themeColor="background1" w:themeShade="BF"/>
              </w:rPr>
            </w:pPr>
            <w:r w:rsidRPr="00F2399B">
              <w:rPr>
                <w:color w:val="BFBFBF" w:themeColor="background1" w:themeShade="BF"/>
              </w:rPr>
              <w:t>0.001</w:t>
            </w:r>
          </w:p>
        </w:tc>
        <w:tc>
          <w:tcPr>
            <w:tcW w:w="1134" w:type="dxa"/>
          </w:tcPr>
          <w:p w:rsidR="00144D8C" w:rsidRPr="00F2399B" w:rsidRDefault="00144D8C" w:rsidP="00144D8C">
            <w:pPr>
              <w:jc w:val="center"/>
              <w:rPr>
                <w:color w:val="BFBFBF" w:themeColor="background1" w:themeShade="BF"/>
              </w:rPr>
            </w:pPr>
            <w:r w:rsidRPr="00F2399B">
              <w:rPr>
                <w:color w:val="BFBFBF" w:themeColor="background1" w:themeShade="BF"/>
              </w:rPr>
              <w:t>0.002</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0.001</w:t>
            </w:r>
          </w:p>
        </w:tc>
      </w:tr>
      <w:tr w:rsidR="00144D8C" w:rsidRPr="003C0578" w:rsidTr="00144D8C">
        <w:tc>
          <w:tcPr>
            <w:tcW w:w="2552" w:type="dxa"/>
          </w:tcPr>
          <w:p w:rsidR="00144D8C" w:rsidRPr="003C0578" w:rsidRDefault="00144D8C" w:rsidP="00144D8C">
            <w:pPr>
              <w:rPr>
                <w:b/>
                <w:bCs/>
                <w:color w:val="000000" w:themeColor="text1"/>
              </w:rPr>
            </w:pPr>
            <w:r>
              <w:rPr>
                <w:b/>
                <w:bCs/>
                <w:color w:val="000000" w:themeColor="text1"/>
              </w:rPr>
              <w:t>Work Benefits</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-0.001</w:t>
            </w:r>
          </w:p>
        </w:tc>
        <w:tc>
          <w:tcPr>
            <w:tcW w:w="1843" w:type="dxa"/>
          </w:tcPr>
          <w:p w:rsidR="00144D8C" w:rsidRPr="00F2399B" w:rsidRDefault="00144D8C" w:rsidP="00144D8C">
            <w:pPr>
              <w:jc w:val="center"/>
              <w:rPr>
                <w:color w:val="BFBFBF" w:themeColor="background1" w:themeShade="BF"/>
              </w:rPr>
            </w:pPr>
            <w:r w:rsidRPr="00F2399B">
              <w:rPr>
                <w:color w:val="BFBFBF" w:themeColor="background1" w:themeShade="BF"/>
              </w:rPr>
              <w:t>0.001</w:t>
            </w:r>
          </w:p>
        </w:tc>
        <w:tc>
          <w:tcPr>
            <w:tcW w:w="1134" w:type="dxa"/>
          </w:tcPr>
          <w:p w:rsidR="00144D8C" w:rsidRPr="00F2399B" w:rsidRDefault="00144D8C" w:rsidP="00144D8C">
            <w:pPr>
              <w:jc w:val="center"/>
              <w:rPr>
                <w:color w:val="BFBFBF" w:themeColor="background1" w:themeShade="BF"/>
              </w:rPr>
            </w:pPr>
            <w:r w:rsidRPr="00F2399B">
              <w:rPr>
                <w:color w:val="BFBFBF" w:themeColor="background1" w:themeShade="BF"/>
              </w:rPr>
              <w:t>-</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w:t>
            </w:r>
          </w:p>
        </w:tc>
      </w:tr>
      <w:tr w:rsidR="00144D8C" w:rsidRPr="003C0578" w:rsidTr="00144D8C">
        <w:tc>
          <w:tcPr>
            <w:tcW w:w="2552" w:type="dxa"/>
          </w:tcPr>
          <w:p w:rsidR="00144D8C" w:rsidRPr="003C0578" w:rsidRDefault="00144D8C" w:rsidP="00144D8C">
            <w:pPr>
              <w:rPr>
                <w:b/>
                <w:bCs/>
                <w:color w:val="000000" w:themeColor="text1"/>
              </w:rPr>
            </w:pPr>
            <w:r>
              <w:rPr>
                <w:b/>
                <w:bCs/>
                <w:color w:val="000000" w:themeColor="text1"/>
              </w:rPr>
              <w:t>Scotland</w:t>
            </w:r>
          </w:p>
        </w:tc>
        <w:tc>
          <w:tcPr>
            <w:tcW w:w="1701" w:type="dxa"/>
          </w:tcPr>
          <w:p w:rsidR="00144D8C" w:rsidRPr="00F2399B" w:rsidRDefault="00144D8C" w:rsidP="00144D8C">
            <w:pPr>
              <w:jc w:val="center"/>
              <w:rPr>
                <w:color w:val="BFBFBF" w:themeColor="background1" w:themeShade="BF"/>
              </w:rPr>
            </w:pPr>
            <w:r w:rsidRPr="00F2399B">
              <w:rPr>
                <w:color w:val="BFBFBF" w:themeColor="background1" w:themeShade="BF"/>
              </w:rPr>
              <w:t>0.150</w:t>
            </w:r>
          </w:p>
        </w:tc>
        <w:tc>
          <w:tcPr>
            <w:tcW w:w="1843" w:type="dxa"/>
          </w:tcPr>
          <w:p w:rsidR="00144D8C" w:rsidRPr="00F2399B" w:rsidRDefault="00144D8C" w:rsidP="00144D8C">
            <w:pPr>
              <w:jc w:val="center"/>
              <w:rPr>
                <w:color w:val="BFBFBF" w:themeColor="background1" w:themeShade="BF"/>
              </w:rPr>
            </w:pPr>
            <w:r w:rsidRPr="00F2399B">
              <w:rPr>
                <w:color w:val="BFBFBF" w:themeColor="background1" w:themeShade="BF"/>
              </w:rPr>
              <w:t>0.110</w:t>
            </w:r>
          </w:p>
        </w:tc>
        <w:tc>
          <w:tcPr>
            <w:tcW w:w="1134" w:type="dxa"/>
          </w:tcPr>
          <w:p w:rsidR="00144D8C" w:rsidRPr="003C0578" w:rsidRDefault="00144D8C" w:rsidP="00144D8C">
            <w:pPr>
              <w:jc w:val="center"/>
              <w:rPr>
                <w:color w:val="000000" w:themeColor="text1"/>
              </w:rPr>
            </w:pPr>
            <w:r>
              <w:rPr>
                <w:color w:val="000000" w:themeColor="text1"/>
              </w:rPr>
              <w:t>0.319</w:t>
            </w:r>
          </w:p>
        </w:tc>
        <w:tc>
          <w:tcPr>
            <w:tcW w:w="1701" w:type="dxa"/>
          </w:tcPr>
          <w:p w:rsidR="00144D8C" w:rsidRPr="003C0578" w:rsidRDefault="00144D8C" w:rsidP="00144D8C">
            <w:pPr>
              <w:jc w:val="center"/>
              <w:rPr>
                <w:color w:val="000000" w:themeColor="text1"/>
              </w:rPr>
            </w:pPr>
            <w:r>
              <w:rPr>
                <w:color w:val="000000" w:themeColor="text1"/>
              </w:rPr>
              <w:t>0.046</w:t>
            </w:r>
          </w:p>
        </w:tc>
      </w:tr>
      <w:tr w:rsidR="00144D8C" w:rsidRPr="003C0578" w:rsidTr="00144D8C">
        <w:tc>
          <w:tcPr>
            <w:tcW w:w="2552" w:type="dxa"/>
          </w:tcPr>
          <w:p w:rsidR="00144D8C" w:rsidRDefault="00144D8C" w:rsidP="00144D8C">
            <w:pPr>
              <w:rPr>
                <w:b/>
                <w:bCs/>
                <w:color w:val="000000" w:themeColor="text1"/>
              </w:rPr>
            </w:pPr>
            <w:r>
              <w:rPr>
                <w:b/>
                <w:bCs/>
                <w:color w:val="000000" w:themeColor="text1"/>
              </w:rPr>
              <w:t>Wales</w:t>
            </w:r>
          </w:p>
        </w:tc>
        <w:tc>
          <w:tcPr>
            <w:tcW w:w="1701" w:type="dxa"/>
          </w:tcPr>
          <w:p w:rsidR="00144D8C" w:rsidRDefault="00144D8C" w:rsidP="00144D8C">
            <w:pPr>
              <w:jc w:val="center"/>
              <w:rPr>
                <w:color w:val="000000" w:themeColor="text1"/>
              </w:rPr>
            </w:pPr>
            <w:r>
              <w:rPr>
                <w:color w:val="000000" w:themeColor="text1"/>
              </w:rPr>
              <w:t>-0.456</w:t>
            </w:r>
          </w:p>
        </w:tc>
        <w:tc>
          <w:tcPr>
            <w:tcW w:w="1843" w:type="dxa"/>
          </w:tcPr>
          <w:p w:rsidR="00144D8C" w:rsidRDefault="00144D8C" w:rsidP="00144D8C">
            <w:pPr>
              <w:jc w:val="center"/>
              <w:rPr>
                <w:color w:val="000000" w:themeColor="text1"/>
              </w:rPr>
            </w:pPr>
            <w:r>
              <w:rPr>
                <w:color w:val="000000" w:themeColor="text1"/>
              </w:rPr>
              <w:t>0.056</w:t>
            </w:r>
          </w:p>
        </w:tc>
        <w:tc>
          <w:tcPr>
            <w:tcW w:w="1134" w:type="dxa"/>
          </w:tcPr>
          <w:p w:rsidR="00144D8C" w:rsidRDefault="00144D8C" w:rsidP="00144D8C">
            <w:pPr>
              <w:jc w:val="center"/>
              <w:rPr>
                <w:color w:val="000000" w:themeColor="text1"/>
              </w:rPr>
            </w:pPr>
            <w:r>
              <w:rPr>
                <w:color w:val="000000" w:themeColor="text1"/>
              </w:rPr>
              <w:t>0.469</w:t>
            </w:r>
          </w:p>
        </w:tc>
        <w:tc>
          <w:tcPr>
            <w:tcW w:w="1701" w:type="dxa"/>
          </w:tcPr>
          <w:p w:rsidR="00144D8C" w:rsidRDefault="00144D8C" w:rsidP="00144D8C">
            <w:pPr>
              <w:jc w:val="center"/>
              <w:rPr>
                <w:color w:val="000000" w:themeColor="text1"/>
              </w:rPr>
            </w:pPr>
            <w:r>
              <w:rPr>
                <w:color w:val="000000" w:themeColor="text1"/>
              </w:rPr>
              <w:t>0.049</w:t>
            </w:r>
          </w:p>
        </w:tc>
      </w:tr>
      <w:tr w:rsidR="00143BF7" w:rsidRPr="003C0578" w:rsidTr="00144D8C">
        <w:tc>
          <w:tcPr>
            <w:tcW w:w="2552" w:type="dxa"/>
          </w:tcPr>
          <w:p w:rsidR="00143BF7" w:rsidRDefault="00143BF7" w:rsidP="00144D8C">
            <w:pPr>
              <w:rPr>
                <w:b/>
                <w:bCs/>
                <w:color w:val="000000" w:themeColor="text1"/>
              </w:rPr>
            </w:pPr>
          </w:p>
        </w:tc>
        <w:tc>
          <w:tcPr>
            <w:tcW w:w="1701" w:type="dxa"/>
          </w:tcPr>
          <w:p w:rsidR="00143BF7" w:rsidRDefault="00143BF7" w:rsidP="00144D8C">
            <w:pPr>
              <w:jc w:val="center"/>
              <w:rPr>
                <w:color w:val="000000" w:themeColor="text1"/>
              </w:rPr>
            </w:pPr>
          </w:p>
        </w:tc>
        <w:tc>
          <w:tcPr>
            <w:tcW w:w="1843" w:type="dxa"/>
          </w:tcPr>
          <w:p w:rsidR="00143BF7" w:rsidRDefault="00143BF7" w:rsidP="00144D8C">
            <w:pPr>
              <w:jc w:val="center"/>
              <w:rPr>
                <w:color w:val="000000" w:themeColor="text1"/>
              </w:rPr>
            </w:pPr>
          </w:p>
        </w:tc>
        <w:tc>
          <w:tcPr>
            <w:tcW w:w="1134" w:type="dxa"/>
          </w:tcPr>
          <w:p w:rsidR="00143BF7" w:rsidRDefault="00143BF7" w:rsidP="00144D8C">
            <w:pPr>
              <w:jc w:val="center"/>
              <w:rPr>
                <w:color w:val="000000" w:themeColor="text1"/>
              </w:rPr>
            </w:pPr>
          </w:p>
        </w:tc>
        <w:tc>
          <w:tcPr>
            <w:tcW w:w="1701" w:type="dxa"/>
          </w:tcPr>
          <w:p w:rsidR="00143BF7" w:rsidRDefault="00143BF7" w:rsidP="00144D8C">
            <w:pPr>
              <w:jc w:val="center"/>
              <w:rPr>
                <w:color w:val="000000" w:themeColor="text1"/>
              </w:rPr>
            </w:pPr>
          </w:p>
        </w:tc>
      </w:tr>
      <w:tr w:rsidR="00227C9A" w:rsidRPr="003C0578" w:rsidTr="00BA36C6">
        <w:tc>
          <w:tcPr>
            <w:tcW w:w="2552" w:type="dxa"/>
          </w:tcPr>
          <w:p w:rsidR="00227C9A" w:rsidRDefault="00227C9A" w:rsidP="00144D8C">
            <w:pPr>
              <w:rPr>
                <w:b/>
                <w:bCs/>
                <w:color w:val="000000" w:themeColor="text1"/>
              </w:rPr>
            </w:pPr>
            <w:r>
              <w:rPr>
                <w:b/>
                <w:bCs/>
                <w:color w:val="000000" w:themeColor="text1"/>
              </w:rPr>
              <w:t>Deviance Information Criterion Reduction</w:t>
            </w:r>
            <w:r w:rsidR="0037131A">
              <w:rPr>
                <w:b/>
                <w:bCs/>
                <w:color w:val="000000" w:themeColor="text1"/>
              </w:rPr>
              <w:t xml:space="preserve"> (1)</w:t>
            </w:r>
          </w:p>
        </w:tc>
        <w:tc>
          <w:tcPr>
            <w:tcW w:w="3544" w:type="dxa"/>
            <w:gridSpan w:val="2"/>
          </w:tcPr>
          <w:p w:rsidR="00227C9A" w:rsidRDefault="00227C9A" w:rsidP="00144D8C">
            <w:pPr>
              <w:jc w:val="center"/>
              <w:rPr>
                <w:color w:val="000000" w:themeColor="text1"/>
              </w:rPr>
            </w:pPr>
            <w:r>
              <w:rPr>
                <w:color w:val="000000" w:themeColor="text1"/>
              </w:rPr>
              <w:t>2179</w:t>
            </w:r>
          </w:p>
        </w:tc>
        <w:tc>
          <w:tcPr>
            <w:tcW w:w="2835" w:type="dxa"/>
            <w:gridSpan w:val="2"/>
          </w:tcPr>
          <w:p w:rsidR="00227C9A" w:rsidRDefault="00227C9A" w:rsidP="00144D8C">
            <w:pPr>
              <w:jc w:val="center"/>
              <w:rPr>
                <w:color w:val="000000" w:themeColor="text1"/>
              </w:rPr>
            </w:pPr>
            <w:r>
              <w:rPr>
                <w:color w:val="000000" w:themeColor="text1"/>
              </w:rPr>
              <w:t>3031</w:t>
            </w:r>
          </w:p>
        </w:tc>
      </w:tr>
      <w:tr w:rsidR="00227C9A" w:rsidRPr="003C0578" w:rsidTr="00BA36C6">
        <w:tc>
          <w:tcPr>
            <w:tcW w:w="2552" w:type="dxa"/>
          </w:tcPr>
          <w:p w:rsidR="00227C9A" w:rsidRDefault="00227C9A" w:rsidP="00144D8C">
            <w:pPr>
              <w:rPr>
                <w:b/>
                <w:bCs/>
                <w:color w:val="000000" w:themeColor="text1"/>
              </w:rPr>
            </w:pPr>
            <w:r>
              <w:rPr>
                <w:b/>
                <w:bCs/>
                <w:color w:val="000000" w:themeColor="text1"/>
              </w:rPr>
              <w:t>Explained Variance</w:t>
            </w:r>
            <w:r w:rsidR="0037131A">
              <w:rPr>
                <w:b/>
                <w:bCs/>
                <w:color w:val="000000" w:themeColor="text1"/>
              </w:rPr>
              <w:t xml:space="preserve"> (2)</w:t>
            </w:r>
          </w:p>
        </w:tc>
        <w:tc>
          <w:tcPr>
            <w:tcW w:w="3544" w:type="dxa"/>
            <w:gridSpan w:val="2"/>
          </w:tcPr>
          <w:p w:rsidR="00227C9A" w:rsidRDefault="00227C9A" w:rsidP="00144D8C">
            <w:pPr>
              <w:jc w:val="center"/>
              <w:rPr>
                <w:color w:val="000000" w:themeColor="text1"/>
              </w:rPr>
            </w:pPr>
            <w:r>
              <w:rPr>
                <w:color w:val="000000" w:themeColor="text1"/>
              </w:rPr>
              <w:t>15.6%</w:t>
            </w:r>
          </w:p>
        </w:tc>
        <w:tc>
          <w:tcPr>
            <w:tcW w:w="2835" w:type="dxa"/>
            <w:gridSpan w:val="2"/>
          </w:tcPr>
          <w:p w:rsidR="00227C9A" w:rsidRDefault="00227C9A" w:rsidP="00144D8C">
            <w:pPr>
              <w:jc w:val="center"/>
              <w:rPr>
                <w:color w:val="000000" w:themeColor="text1"/>
              </w:rPr>
            </w:pPr>
            <w:r>
              <w:rPr>
                <w:color w:val="000000" w:themeColor="text1"/>
              </w:rPr>
              <w:t>19.5%</w:t>
            </w:r>
          </w:p>
        </w:tc>
      </w:tr>
      <w:tr w:rsidR="00143BF7" w:rsidRPr="003C0578" w:rsidTr="00144D8C">
        <w:tc>
          <w:tcPr>
            <w:tcW w:w="2552" w:type="dxa"/>
          </w:tcPr>
          <w:p w:rsidR="00143BF7" w:rsidRDefault="00143BF7" w:rsidP="00144D8C">
            <w:pPr>
              <w:rPr>
                <w:b/>
                <w:bCs/>
                <w:color w:val="000000" w:themeColor="text1"/>
              </w:rPr>
            </w:pPr>
          </w:p>
        </w:tc>
        <w:tc>
          <w:tcPr>
            <w:tcW w:w="1701" w:type="dxa"/>
          </w:tcPr>
          <w:p w:rsidR="00143BF7" w:rsidRDefault="00143BF7" w:rsidP="00144D8C">
            <w:pPr>
              <w:jc w:val="center"/>
              <w:rPr>
                <w:color w:val="000000" w:themeColor="text1"/>
              </w:rPr>
            </w:pPr>
          </w:p>
        </w:tc>
        <w:tc>
          <w:tcPr>
            <w:tcW w:w="1843" w:type="dxa"/>
          </w:tcPr>
          <w:p w:rsidR="00143BF7" w:rsidRDefault="00143BF7" w:rsidP="00144D8C">
            <w:pPr>
              <w:jc w:val="center"/>
              <w:rPr>
                <w:color w:val="000000" w:themeColor="text1"/>
              </w:rPr>
            </w:pPr>
          </w:p>
        </w:tc>
        <w:tc>
          <w:tcPr>
            <w:tcW w:w="1134" w:type="dxa"/>
          </w:tcPr>
          <w:p w:rsidR="00143BF7" w:rsidRDefault="00143BF7" w:rsidP="00144D8C">
            <w:pPr>
              <w:jc w:val="center"/>
              <w:rPr>
                <w:color w:val="000000" w:themeColor="text1"/>
              </w:rPr>
            </w:pPr>
          </w:p>
        </w:tc>
        <w:tc>
          <w:tcPr>
            <w:tcW w:w="1701" w:type="dxa"/>
          </w:tcPr>
          <w:p w:rsidR="00143BF7" w:rsidRDefault="00143BF7" w:rsidP="00144D8C">
            <w:pPr>
              <w:jc w:val="center"/>
              <w:rPr>
                <w:color w:val="000000" w:themeColor="text1"/>
              </w:rPr>
            </w:pPr>
          </w:p>
        </w:tc>
      </w:tr>
    </w:tbl>
    <w:p w:rsidR="00C313A7" w:rsidRPr="009F23BA" w:rsidRDefault="0037131A" w:rsidP="003759CE">
      <w:pPr>
        <w:pStyle w:val="NoSpacing"/>
      </w:pPr>
      <w:r w:rsidRPr="009F23BA">
        <w:t xml:space="preserve">Notes: </w:t>
      </w:r>
    </w:p>
    <w:p w:rsidR="00144D8C" w:rsidRPr="009F23BA" w:rsidRDefault="0037131A" w:rsidP="003759CE">
      <w:pPr>
        <w:pStyle w:val="NoSpacing"/>
      </w:pPr>
      <w:r w:rsidRPr="009F23BA">
        <w:t>Greyed out data are not statistically significant (p&gt;0.05; Wald test)</w:t>
      </w:r>
      <w:r w:rsidR="003759CE" w:rsidRPr="009F23BA">
        <w:t>. The models’ constants are a man aged 16-19, living in an MSOA of average IMD, disability receipt and work benefit receipt, and resident in England.</w:t>
      </w:r>
    </w:p>
    <w:p w:rsidR="009F23BA" w:rsidRPr="009F23BA" w:rsidRDefault="0037131A" w:rsidP="00DC24D8">
      <w:pPr>
        <w:pStyle w:val="NoSpacing"/>
        <w:numPr>
          <w:ilvl w:val="0"/>
          <w:numId w:val="34"/>
        </w:numPr>
      </w:pPr>
      <w:r w:rsidRPr="009F23BA">
        <w:t xml:space="preserve">Deviance Information Criterion reductions from null models. Larger reductions indicate better models </w:t>
      </w:r>
      <w:r w:rsidRPr="009F23BA">
        <w:fldChar w:fldCharType="begin"/>
      </w:r>
      <w:r w:rsidR="00DC24D8">
        <w:instrText xml:space="preserve"> ADDIN EN.CITE &lt;EndNote&gt;&lt;Cite&gt;&lt;Author&gt;Browne&lt;/Author&gt;&lt;Year&gt;2015&lt;/Year&gt;&lt;RecNum&gt;22&lt;/RecNum&gt;&lt;DisplayText&gt;[29]&lt;/DisplayText&gt;&lt;record&gt;&lt;rec-number&gt;22&lt;/rec-number&gt;&lt;foreign-keys&gt;&lt;key app="EN" db-id="pww9vvrrerda09extxg5pse2t0e2rp02ap5a"&gt;22&lt;/key&gt;&lt;/foreign-keys&gt;&lt;ref-type name="Book"&gt;6&lt;/ref-type&gt;&lt;contributors&gt;&lt;authors&gt;&lt;author&gt;Browne, W.&lt;/author&gt;&lt;/authors&gt;&lt;/contributors&gt;&lt;titles&gt;&lt;title&gt;MCMC Estimation Methods in MLwiN&lt;/title&gt;&lt;/titles&gt;&lt;dates&gt;&lt;year&gt;2015&lt;/year&gt;&lt;/dates&gt;&lt;pub-location&gt;University of Bristol&lt;/pub-location&gt;&lt;publisher&gt;Centre for Multilevel Modelling&lt;/publisher&gt;&lt;urls&gt;&lt;/urls&gt;&lt;/record&gt;&lt;/Cite&gt;&lt;/EndNote&gt;</w:instrText>
      </w:r>
      <w:r w:rsidRPr="009F23BA">
        <w:fldChar w:fldCharType="separate"/>
      </w:r>
      <w:r w:rsidR="00DC24D8">
        <w:rPr>
          <w:noProof/>
        </w:rPr>
        <w:t>[</w:t>
      </w:r>
      <w:hyperlink w:anchor="_ENREF_29" w:tooltip="Browne, 2015 #22" w:history="1">
        <w:r w:rsidR="00DC24D8">
          <w:rPr>
            <w:noProof/>
          </w:rPr>
          <w:t>29</w:t>
        </w:r>
      </w:hyperlink>
      <w:r w:rsidR="00DC24D8">
        <w:rPr>
          <w:noProof/>
        </w:rPr>
        <w:t>]</w:t>
      </w:r>
      <w:r w:rsidRPr="009F23BA">
        <w:fldChar w:fldCharType="end"/>
      </w:r>
    </w:p>
    <w:p w:rsidR="0037131A" w:rsidRDefault="0037131A" w:rsidP="00DC24D8">
      <w:pPr>
        <w:pStyle w:val="NoSpacing"/>
        <w:numPr>
          <w:ilvl w:val="0"/>
          <w:numId w:val="34"/>
        </w:numPr>
        <w:rPr>
          <w:color w:val="FF0000"/>
        </w:rPr>
      </w:pPr>
      <w:r w:rsidRPr="009F23BA">
        <w:t xml:space="preserve">Computed following </w:t>
      </w:r>
      <w:proofErr w:type="spellStart"/>
      <w:r w:rsidRPr="009F23BA">
        <w:t>Snijders</w:t>
      </w:r>
      <w:proofErr w:type="spellEnd"/>
      <w:r w:rsidRPr="009F23BA">
        <w:t xml:space="preserve"> and </w:t>
      </w:r>
      <w:proofErr w:type="spellStart"/>
      <w:r w:rsidRPr="009F23BA">
        <w:t>Bosker</w:t>
      </w:r>
      <w:proofErr w:type="spellEnd"/>
      <w:r w:rsidR="003759CE" w:rsidRPr="009F23BA">
        <w:t xml:space="preserve"> latent variable approach </w:t>
      </w:r>
      <w:r w:rsidR="003759CE" w:rsidRPr="009F23BA">
        <w:fldChar w:fldCharType="begin"/>
      </w:r>
      <w:r w:rsidR="00DC24D8">
        <w:instrText xml:space="preserve"> ADDIN EN.CITE &lt;EndNote&gt;&lt;Cite&gt;&lt;Author&gt;Snijders&lt;/Author&gt;&lt;Year&gt;1999&lt;/Year&gt;&lt;RecNum&gt;846&lt;/RecNum&gt;&lt;DisplayText&gt;[30]&lt;/DisplayText&gt;&lt;record&gt;&lt;rec-number&gt;846&lt;/rec-number&gt;&lt;foreign-keys&gt;&lt;key app="EN" db-id="v52zta5tsa9ezsezdzlv2zvd9rswwpvzdt9f"&gt;846&lt;/key&gt;&lt;/foreign-keys&gt;&lt;ref-type name="Generic"&gt;13&lt;/ref-type&gt;&lt;contributors&gt;&lt;authors&gt;&lt;author&gt;Snijders, Tom&lt;/author&gt;&lt;author&gt;Bosker, Roel&lt;/author&gt;&lt;/authors&gt;&lt;/contributors&gt;&lt;titles&gt;&lt;title&gt;Multilevel analysis: An introduction to basic and applied multilevel analysis&lt;/title&gt;&lt;/titles&gt;&lt;dates&gt;&lt;year&gt;1999&lt;/year&gt;&lt;/dates&gt;&lt;publisher&gt;London: Sage&lt;/publisher&gt;&lt;urls&gt;&lt;/urls&gt;&lt;/record&gt;&lt;/Cite&gt;&lt;/EndNote&gt;</w:instrText>
      </w:r>
      <w:r w:rsidR="003759CE" w:rsidRPr="009F23BA">
        <w:fldChar w:fldCharType="separate"/>
      </w:r>
      <w:r w:rsidR="00DC24D8">
        <w:rPr>
          <w:noProof/>
        </w:rPr>
        <w:t>[</w:t>
      </w:r>
      <w:hyperlink w:anchor="_ENREF_30" w:tooltip="Snijders, 1999 #846" w:history="1">
        <w:r w:rsidR="00DC24D8">
          <w:rPr>
            <w:noProof/>
          </w:rPr>
          <w:t>30</w:t>
        </w:r>
      </w:hyperlink>
      <w:r w:rsidR="00DC24D8">
        <w:rPr>
          <w:noProof/>
        </w:rPr>
        <w:t>]</w:t>
      </w:r>
      <w:r w:rsidR="003759CE" w:rsidRPr="009F23BA">
        <w:fldChar w:fldCharType="end"/>
      </w:r>
      <w:r w:rsidRPr="009F23BA">
        <w:rPr>
          <w:color w:val="FF0000"/>
        </w:rPr>
        <w:t>.</w:t>
      </w:r>
    </w:p>
    <w:p w:rsidR="009F23BA" w:rsidRPr="009F23BA" w:rsidRDefault="009F23BA" w:rsidP="009F23BA">
      <w:pPr>
        <w:pStyle w:val="NoSpacing"/>
        <w:ind w:left="360"/>
        <w:rPr>
          <w:color w:val="FF0000"/>
        </w:rPr>
      </w:pPr>
    </w:p>
    <w:p w:rsidR="00144D8C" w:rsidRPr="000E4780" w:rsidRDefault="00144D8C" w:rsidP="00144D8C">
      <w:pPr>
        <w:pStyle w:val="NoSpacing"/>
        <w:rPr>
          <w:color w:val="000000" w:themeColor="text1"/>
          <w:lang w:val="en-US"/>
        </w:rPr>
      </w:pPr>
    </w:p>
    <w:p w:rsidR="003B29B8" w:rsidRDefault="00751A92" w:rsidP="00144D8C">
      <w:pPr>
        <w:pStyle w:val="NoSpacing"/>
        <w:spacing w:line="480" w:lineRule="auto"/>
        <w:rPr>
          <w:color w:val="000000" w:themeColor="text1"/>
        </w:rPr>
      </w:pPr>
      <w:r>
        <w:rPr>
          <w:color w:val="000000" w:themeColor="text1"/>
        </w:rPr>
        <w:t>Summary statistics on t</w:t>
      </w:r>
      <w:r w:rsidR="001E5FB7">
        <w:rPr>
          <w:color w:val="000000" w:themeColor="text1"/>
        </w:rPr>
        <w:t xml:space="preserve">he SAEs derived from these models are </w:t>
      </w:r>
      <w:r>
        <w:rPr>
          <w:color w:val="000000" w:themeColor="text1"/>
        </w:rPr>
        <w:t xml:space="preserve">presented for </w:t>
      </w:r>
      <w:r w:rsidR="00977DD9">
        <w:rPr>
          <w:color w:val="000000" w:themeColor="text1"/>
        </w:rPr>
        <w:t>England, Scotland and Wales</w:t>
      </w:r>
      <w:r>
        <w:rPr>
          <w:color w:val="000000" w:themeColor="text1"/>
        </w:rPr>
        <w:t xml:space="preserve"> </w:t>
      </w:r>
      <w:r w:rsidR="00A43161">
        <w:rPr>
          <w:color w:val="000000" w:themeColor="text1"/>
        </w:rPr>
        <w:t>in Table 4</w:t>
      </w:r>
      <w:r w:rsidR="001E5FB7">
        <w:rPr>
          <w:color w:val="000000" w:themeColor="text1"/>
        </w:rPr>
        <w:t>.</w:t>
      </w:r>
      <w:r>
        <w:rPr>
          <w:color w:val="000000" w:themeColor="text1"/>
        </w:rPr>
        <w:t xml:space="preserve"> The mean MSOA prevalence of </w:t>
      </w:r>
      <w:r w:rsidR="00977DD9">
        <w:rPr>
          <w:color w:val="000000" w:themeColor="text1"/>
        </w:rPr>
        <w:t xml:space="preserve">poorer </w:t>
      </w:r>
      <w:r>
        <w:rPr>
          <w:color w:val="000000" w:themeColor="text1"/>
        </w:rPr>
        <w:t>SRGH is highest in Scotland and lowest in Wales. For LLTI</w:t>
      </w:r>
      <w:r w:rsidR="00D528CE">
        <w:rPr>
          <w:color w:val="000000" w:themeColor="text1"/>
        </w:rPr>
        <w:t>,</w:t>
      </w:r>
      <w:r w:rsidR="00977DD9">
        <w:rPr>
          <w:color w:val="000000" w:themeColor="text1"/>
        </w:rPr>
        <w:t xml:space="preserve"> Wales has </w:t>
      </w:r>
      <w:r>
        <w:rPr>
          <w:color w:val="000000" w:themeColor="text1"/>
        </w:rPr>
        <w:t>the highest mean MSOA prevalence and England</w:t>
      </w:r>
      <w:r w:rsidR="00977DD9">
        <w:rPr>
          <w:color w:val="000000" w:themeColor="text1"/>
        </w:rPr>
        <w:t xml:space="preserve"> is lowest. In both Scotland and Wales, the mean MSOA prevalence for LLTI is notably higher than that for poorer SRGH. Table </w:t>
      </w:r>
      <w:r w:rsidR="00A43161">
        <w:rPr>
          <w:color w:val="000000" w:themeColor="text1"/>
        </w:rPr>
        <w:t>4</w:t>
      </w:r>
      <w:r w:rsidR="00977DD9">
        <w:rPr>
          <w:color w:val="000000" w:themeColor="text1"/>
        </w:rPr>
        <w:t xml:space="preserve"> also indicates the mean MSOA census prevalences for poorer SRGH and LLTI for each country, </w:t>
      </w:r>
      <w:r w:rsidR="00D528CE">
        <w:rPr>
          <w:color w:val="000000" w:themeColor="text1"/>
        </w:rPr>
        <w:t>p</w:t>
      </w:r>
      <w:r w:rsidR="00977DD9">
        <w:rPr>
          <w:color w:val="000000" w:themeColor="text1"/>
        </w:rPr>
        <w:t xml:space="preserve">roviding initial insights into the match between SAEs and ‘gold standard’ census data. Differences are evident. For poorer SRGH, Scotland </w:t>
      </w:r>
      <w:r w:rsidR="003B29B8">
        <w:rPr>
          <w:color w:val="000000" w:themeColor="text1"/>
        </w:rPr>
        <w:t xml:space="preserve">has the lowest mean prevalence on the Census measure but </w:t>
      </w:r>
      <w:r w:rsidR="003B29B8">
        <w:rPr>
          <w:color w:val="000000" w:themeColor="text1"/>
        </w:rPr>
        <w:lastRenderedPageBreak/>
        <w:t>the highest on SAE measure; for Wales the situation is reversed. Both England and Scotland have a lower mean prevalence on the Census measure compared to the SAE while for Wales the SAE prevalence is higher. In the case of LLTI the relative position of the three countries is the same for the two measures but the Census mean prevalences are substantially lower.</w:t>
      </w:r>
    </w:p>
    <w:p w:rsidR="00144D8C" w:rsidRDefault="00A43161" w:rsidP="00144D8C">
      <w:pPr>
        <w:rPr>
          <w:b/>
          <w:bCs/>
          <w:color w:val="000000" w:themeColor="text1"/>
          <w:szCs w:val="32"/>
          <w:lang w:val="en-US"/>
        </w:rPr>
      </w:pPr>
      <w:r>
        <w:rPr>
          <w:b/>
          <w:bCs/>
          <w:color w:val="000000" w:themeColor="text1"/>
          <w:szCs w:val="32"/>
          <w:lang w:val="en-US"/>
        </w:rPr>
        <w:t>Table 4</w:t>
      </w:r>
      <w:r w:rsidR="00144D8C">
        <w:rPr>
          <w:b/>
          <w:bCs/>
          <w:color w:val="000000" w:themeColor="text1"/>
          <w:szCs w:val="32"/>
          <w:lang w:val="en-US"/>
        </w:rPr>
        <w:t>: MSOA level SAEs and Census estimates compared</w:t>
      </w:r>
    </w:p>
    <w:p w:rsidR="00144D8C" w:rsidRDefault="00144D8C" w:rsidP="00144D8C">
      <w:pPr>
        <w:rPr>
          <w:b/>
          <w:bCs/>
          <w:color w:val="000000" w:themeColor="text1"/>
          <w:szCs w:val="32"/>
          <w:lang w:val="en-US"/>
        </w:rPr>
      </w:pPr>
    </w:p>
    <w:tbl>
      <w:tblPr>
        <w:tblStyle w:val="TableGrid"/>
        <w:tblW w:w="0" w:type="auto"/>
        <w:tblLook w:val="04A0" w:firstRow="1" w:lastRow="0" w:firstColumn="1" w:lastColumn="0" w:noHBand="0" w:noVBand="1"/>
      </w:tblPr>
      <w:tblGrid>
        <w:gridCol w:w="1006"/>
        <w:gridCol w:w="856"/>
        <w:gridCol w:w="833"/>
        <w:gridCol w:w="816"/>
        <w:gridCol w:w="825"/>
        <w:gridCol w:w="827"/>
        <w:gridCol w:w="855"/>
        <w:gridCol w:w="810"/>
        <w:gridCol w:w="801"/>
        <w:gridCol w:w="806"/>
        <w:gridCol w:w="807"/>
      </w:tblGrid>
      <w:tr w:rsidR="009F23BA" w:rsidTr="00144D8C">
        <w:tc>
          <w:tcPr>
            <w:tcW w:w="1006" w:type="dxa"/>
          </w:tcPr>
          <w:p w:rsidR="00144D8C" w:rsidRPr="00FA1221" w:rsidRDefault="00144D8C" w:rsidP="00144D8C">
            <w:pPr>
              <w:rPr>
                <w:b/>
                <w:bCs/>
                <w:color w:val="000000" w:themeColor="text1"/>
                <w:szCs w:val="32"/>
                <w:lang w:val="en-US"/>
              </w:rPr>
            </w:pPr>
          </w:p>
        </w:tc>
        <w:tc>
          <w:tcPr>
            <w:tcW w:w="4157" w:type="dxa"/>
            <w:gridSpan w:val="5"/>
            <w:tcBorders>
              <w:right w:val="single" w:sz="18" w:space="0" w:color="auto"/>
            </w:tcBorders>
            <w:vAlign w:val="center"/>
          </w:tcPr>
          <w:p w:rsidR="00144D8C" w:rsidRPr="00FA1221" w:rsidRDefault="00144D8C" w:rsidP="00144D8C">
            <w:pPr>
              <w:jc w:val="center"/>
              <w:rPr>
                <w:b/>
                <w:bCs/>
                <w:color w:val="000000" w:themeColor="text1"/>
                <w:szCs w:val="32"/>
                <w:lang w:val="en-US"/>
              </w:rPr>
            </w:pPr>
            <w:r w:rsidRPr="00FA1221">
              <w:rPr>
                <w:b/>
                <w:bCs/>
                <w:color w:val="000000" w:themeColor="text1"/>
                <w:szCs w:val="32"/>
                <w:lang w:val="en-US"/>
              </w:rPr>
              <w:t>Poorer SRGH</w:t>
            </w:r>
          </w:p>
        </w:tc>
        <w:tc>
          <w:tcPr>
            <w:tcW w:w="4079" w:type="dxa"/>
            <w:gridSpan w:val="5"/>
            <w:tcBorders>
              <w:left w:val="single" w:sz="18" w:space="0" w:color="auto"/>
            </w:tcBorders>
            <w:vAlign w:val="center"/>
          </w:tcPr>
          <w:p w:rsidR="00144D8C" w:rsidRPr="00FA1221" w:rsidRDefault="00144D8C" w:rsidP="00144D8C">
            <w:pPr>
              <w:jc w:val="center"/>
              <w:rPr>
                <w:b/>
                <w:bCs/>
                <w:color w:val="000000" w:themeColor="text1"/>
                <w:szCs w:val="32"/>
                <w:lang w:val="en-US"/>
              </w:rPr>
            </w:pPr>
            <w:r w:rsidRPr="00FA1221">
              <w:rPr>
                <w:b/>
                <w:bCs/>
                <w:color w:val="000000" w:themeColor="text1"/>
                <w:szCs w:val="32"/>
                <w:lang w:val="en-US"/>
              </w:rPr>
              <w:t>LLTI</w:t>
            </w:r>
          </w:p>
        </w:tc>
      </w:tr>
      <w:tr w:rsidR="001E0C8C" w:rsidTr="00144D8C">
        <w:tc>
          <w:tcPr>
            <w:tcW w:w="1006" w:type="dxa"/>
          </w:tcPr>
          <w:p w:rsidR="00144D8C" w:rsidRPr="00FA1221" w:rsidRDefault="00144D8C" w:rsidP="00144D8C">
            <w:pPr>
              <w:rPr>
                <w:b/>
                <w:bCs/>
                <w:color w:val="000000" w:themeColor="text1"/>
                <w:szCs w:val="32"/>
                <w:lang w:val="en-US"/>
              </w:rPr>
            </w:pPr>
          </w:p>
        </w:tc>
        <w:tc>
          <w:tcPr>
            <w:tcW w:w="856" w:type="dxa"/>
            <w:vMerge w:val="restart"/>
          </w:tcPr>
          <w:p w:rsidR="00144D8C" w:rsidRPr="00FA1221" w:rsidRDefault="00144D8C" w:rsidP="00144D8C">
            <w:pPr>
              <w:rPr>
                <w:b/>
                <w:bCs/>
                <w:color w:val="000000" w:themeColor="text1"/>
                <w:szCs w:val="32"/>
                <w:lang w:val="en-US"/>
              </w:rPr>
            </w:pPr>
            <w:r w:rsidRPr="00FA1221">
              <w:rPr>
                <w:b/>
                <w:bCs/>
                <w:color w:val="000000" w:themeColor="text1"/>
                <w:szCs w:val="32"/>
                <w:lang w:val="en-US"/>
              </w:rPr>
              <w:t>Census</w:t>
            </w:r>
          </w:p>
          <w:p w:rsidR="00144D8C" w:rsidRPr="00FA1221" w:rsidRDefault="00144D8C" w:rsidP="00144D8C">
            <w:pPr>
              <w:rPr>
                <w:b/>
                <w:bCs/>
                <w:color w:val="000000" w:themeColor="text1"/>
                <w:szCs w:val="32"/>
                <w:lang w:val="en-US"/>
              </w:rPr>
            </w:pPr>
            <w:r w:rsidRPr="00FA1221">
              <w:rPr>
                <w:b/>
                <w:bCs/>
                <w:color w:val="000000" w:themeColor="text1"/>
                <w:szCs w:val="32"/>
                <w:lang w:val="en-US"/>
              </w:rPr>
              <w:t>mean</w:t>
            </w:r>
          </w:p>
        </w:tc>
        <w:tc>
          <w:tcPr>
            <w:tcW w:w="3301" w:type="dxa"/>
            <w:gridSpan w:val="4"/>
            <w:tcBorders>
              <w:right w:val="single" w:sz="18" w:space="0" w:color="auto"/>
            </w:tcBorders>
            <w:vAlign w:val="center"/>
          </w:tcPr>
          <w:p w:rsidR="00144D8C" w:rsidRPr="00FA1221" w:rsidRDefault="00144D8C" w:rsidP="00144D8C">
            <w:pPr>
              <w:jc w:val="center"/>
              <w:rPr>
                <w:b/>
                <w:bCs/>
                <w:color w:val="000000" w:themeColor="text1"/>
                <w:szCs w:val="32"/>
                <w:lang w:val="en-US"/>
              </w:rPr>
            </w:pPr>
            <w:r w:rsidRPr="00FA1221">
              <w:rPr>
                <w:b/>
                <w:bCs/>
                <w:color w:val="000000" w:themeColor="text1"/>
                <w:szCs w:val="32"/>
                <w:lang w:val="en-US"/>
              </w:rPr>
              <w:t>SAE</w:t>
            </w:r>
          </w:p>
        </w:tc>
        <w:tc>
          <w:tcPr>
            <w:tcW w:w="855" w:type="dxa"/>
            <w:vMerge w:val="restart"/>
            <w:tcBorders>
              <w:left w:val="single" w:sz="18" w:space="0" w:color="auto"/>
            </w:tcBorders>
          </w:tcPr>
          <w:p w:rsidR="00144D8C" w:rsidRPr="00FA1221" w:rsidRDefault="00144D8C" w:rsidP="00144D8C">
            <w:pPr>
              <w:rPr>
                <w:b/>
                <w:bCs/>
                <w:color w:val="000000" w:themeColor="text1"/>
                <w:szCs w:val="32"/>
                <w:lang w:val="en-US"/>
              </w:rPr>
            </w:pPr>
            <w:r w:rsidRPr="00FA1221">
              <w:rPr>
                <w:b/>
                <w:bCs/>
                <w:color w:val="000000" w:themeColor="text1"/>
                <w:szCs w:val="32"/>
                <w:lang w:val="en-US"/>
              </w:rPr>
              <w:t>Census</w:t>
            </w:r>
          </w:p>
          <w:p w:rsidR="00144D8C" w:rsidRPr="00FA1221" w:rsidRDefault="00144D8C" w:rsidP="00144D8C">
            <w:pPr>
              <w:rPr>
                <w:b/>
                <w:bCs/>
                <w:color w:val="000000" w:themeColor="text1"/>
                <w:szCs w:val="32"/>
                <w:lang w:val="en-US"/>
              </w:rPr>
            </w:pPr>
            <w:r w:rsidRPr="00FA1221">
              <w:rPr>
                <w:b/>
                <w:bCs/>
                <w:color w:val="000000" w:themeColor="text1"/>
                <w:szCs w:val="32"/>
                <w:lang w:val="en-US"/>
              </w:rPr>
              <w:t>mean</w:t>
            </w:r>
          </w:p>
        </w:tc>
        <w:tc>
          <w:tcPr>
            <w:tcW w:w="3224" w:type="dxa"/>
            <w:gridSpan w:val="4"/>
            <w:vAlign w:val="center"/>
          </w:tcPr>
          <w:p w:rsidR="00144D8C" w:rsidRPr="00FA1221" w:rsidRDefault="00144D8C" w:rsidP="00144D8C">
            <w:pPr>
              <w:jc w:val="center"/>
              <w:rPr>
                <w:b/>
                <w:bCs/>
                <w:color w:val="000000" w:themeColor="text1"/>
                <w:szCs w:val="32"/>
                <w:lang w:val="en-US"/>
              </w:rPr>
            </w:pPr>
            <w:r w:rsidRPr="00FA1221">
              <w:rPr>
                <w:b/>
                <w:bCs/>
                <w:color w:val="000000" w:themeColor="text1"/>
                <w:szCs w:val="32"/>
                <w:lang w:val="en-US"/>
              </w:rPr>
              <w:t>SAE</w:t>
            </w:r>
          </w:p>
        </w:tc>
      </w:tr>
      <w:tr w:rsidR="00DC24D8" w:rsidTr="00144D8C">
        <w:tc>
          <w:tcPr>
            <w:tcW w:w="1006" w:type="dxa"/>
          </w:tcPr>
          <w:p w:rsidR="00144D8C" w:rsidRPr="00FA1221" w:rsidRDefault="00144D8C" w:rsidP="00144D8C">
            <w:pPr>
              <w:rPr>
                <w:b/>
                <w:bCs/>
                <w:color w:val="000000" w:themeColor="text1"/>
                <w:szCs w:val="32"/>
                <w:lang w:val="en-US"/>
              </w:rPr>
            </w:pPr>
          </w:p>
        </w:tc>
        <w:tc>
          <w:tcPr>
            <w:tcW w:w="856" w:type="dxa"/>
            <w:vMerge/>
          </w:tcPr>
          <w:p w:rsidR="00144D8C" w:rsidRPr="00FA1221" w:rsidRDefault="00144D8C" w:rsidP="00144D8C">
            <w:pPr>
              <w:rPr>
                <w:b/>
                <w:bCs/>
                <w:color w:val="000000" w:themeColor="text1"/>
                <w:szCs w:val="32"/>
                <w:lang w:val="en-US"/>
              </w:rPr>
            </w:pPr>
          </w:p>
        </w:tc>
        <w:tc>
          <w:tcPr>
            <w:tcW w:w="833" w:type="dxa"/>
          </w:tcPr>
          <w:p w:rsidR="00144D8C" w:rsidRPr="00FA1221" w:rsidRDefault="00144D8C" w:rsidP="00144D8C">
            <w:pPr>
              <w:rPr>
                <w:b/>
                <w:bCs/>
                <w:color w:val="000000" w:themeColor="text1"/>
                <w:szCs w:val="32"/>
                <w:lang w:val="en-US"/>
              </w:rPr>
            </w:pPr>
            <w:r>
              <w:rPr>
                <w:b/>
                <w:bCs/>
                <w:color w:val="000000" w:themeColor="text1"/>
                <w:szCs w:val="32"/>
                <w:lang w:val="en-US"/>
              </w:rPr>
              <w:t>M</w:t>
            </w:r>
            <w:r w:rsidRPr="00FA1221">
              <w:rPr>
                <w:b/>
                <w:bCs/>
                <w:color w:val="000000" w:themeColor="text1"/>
                <w:szCs w:val="32"/>
                <w:lang w:val="en-US"/>
              </w:rPr>
              <w:t>ean</w:t>
            </w:r>
          </w:p>
        </w:tc>
        <w:tc>
          <w:tcPr>
            <w:tcW w:w="816" w:type="dxa"/>
          </w:tcPr>
          <w:p w:rsidR="00144D8C" w:rsidRPr="00FA1221" w:rsidRDefault="00144D8C" w:rsidP="00144D8C">
            <w:pPr>
              <w:rPr>
                <w:b/>
                <w:bCs/>
                <w:color w:val="000000" w:themeColor="text1"/>
                <w:szCs w:val="32"/>
                <w:lang w:val="en-US"/>
              </w:rPr>
            </w:pPr>
            <w:r w:rsidRPr="00FA1221">
              <w:rPr>
                <w:b/>
                <w:bCs/>
                <w:color w:val="000000" w:themeColor="text1"/>
                <w:szCs w:val="32"/>
                <w:lang w:val="en-US"/>
              </w:rPr>
              <w:t>SD</w:t>
            </w:r>
          </w:p>
        </w:tc>
        <w:tc>
          <w:tcPr>
            <w:tcW w:w="825" w:type="dxa"/>
          </w:tcPr>
          <w:p w:rsidR="00144D8C" w:rsidRPr="00FA1221" w:rsidRDefault="00144D8C" w:rsidP="00144D8C">
            <w:pPr>
              <w:rPr>
                <w:b/>
                <w:bCs/>
                <w:color w:val="000000" w:themeColor="text1"/>
                <w:szCs w:val="32"/>
                <w:lang w:val="en-US"/>
              </w:rPr>
            </w:pPr>
            <w:r w:rsidRPr="00FA1221">
              <w:rPr>
                <w:b/>
                <w:bCs/>
                <w:color w:val="000000" w:themeColor="text1"/>
                <w:szCs w:val="32"/>
                <w:lang w:val="en-US"/>
              </w:rPr>
              <w:t>Min</w:t>
            </w:r>
          </w:p>
        </w:tc>
        <w:tc>
          <w:tcPr>
            <w:tcW w:w="827" w:type="dxa"/>
            <w:tcBorders>
              <w:right w:val="single" w:sz="18" w:space="0" w:color="auto"/>
            </w:tcBorders>
          </w:tcPr>
          <w:p w:rsidR="00144D8C" w:rsidRPr="00FA1221" w:rsidRDefault="00144D8C" w:rsidP="00144D8C">
            <w:pPr>
              <w:rPr>
                <w:b/>
                <w:bCs/>
                <w:color w:val="000000" w:themeColor="text1"/>
                <w:szCs w:val="32"/>
                <w:lang w:val="en-US"/>
              </w:rPr>
            </w:pPr>
            <w:r w:rsidRPr="00FA1221">
              <w:rPr>
                <w:b/>
                <w:bCs/>
                <w:color w:val="000000" w:themeColor="text1"/>
                <w:szCs w:val="32"/>
                <w:lang w:val="en-US"/>
              </w:rPr>
              <w:t>Max</w:t>
            </w:r>
          </w:p>
        </w:tc>
        <w:tc>
          <w:tcPr>
            <w:tcW w:w="855" w:type="dxa"/>
            <w:vMerge/>
            <w:tcBorders>
              <w:left w:val="single" w:sz="18" w:space="0" w:color="auto"/>
            </w:tcBorders>
          </w:tcPr>
          <w:p w:rsidR="00144D8C" w:rsidRPr="00FA1221" w:rsidRDefault="00144D8C" w:rsidP="00144D8C">
            <w:pPr>
              <w:rPr>
                <w:b/>
                <w:bCs/>
                <w:color w:val="000000" w:themeColor="text1"/>
                <w:szCs w:val="32"/>
                <w:lang w:val="en-US"/>
              </w:rPr>
            </w:pPr>
          </w:p>
        </w:tc>
        <w:tc>
          <w:tcPr>
            <w:tcW w:w="810" w:type="dxa"/>
          </w:tcPr>
          <w:p w:rsidR="00144D8C" w:rsidRPr="00FA1221" w:rsidRDefault="00144D8C" w:rsidP="00144D8C">
            <w:pPr>
              <w:rPr>
                <w:b/>
                <w:bCs/>
                <w:color w:val="000000" w:themeColor="text1"/>
                <w:szCs w:val="32"/>
                <w:lang w:val="en-US"/>
              </w:rPr>
            </w:pPr>
            <w:r>
              <w:rPr>
                <w:b/>
                <w:bCs/>
                <w:color w:val="000000" w:themeColor="text1"/>
                <w:szCs w:val="32"/>
                <w:lang w:val="en-US"/>
              </w:rPr>
              <w:t>M</w:t>
            </w:r>
            <w:r w:rsidRPr="00FA1221">
              <w:rPr>
                <w:b/>
                <w:bCs/>
                <w:color w:val="000000" w:themeColor="text1"/>
                <w:szCs w:val="32"/>
                <w:lang w:val="en-US"/>
              </w:rPr>
              <w:t>ean</w:t>
            </w:r>
          </w:p>
        </w:tc>
        <w:tc>
          <w:tcPr>
            <w:tcW w:w="801" w:type="dxa"/>
          </w:tcPr>
          <w:p w:rsidR="00144D8C" w:rsidRPr="00FA1221" w:rsidRDefault="00144D8C" w:rsidP="00144D8C">
            <w:pPr>
              <w:rPr>
                <w:b/>
                <w:bCs/>
                <w:color w:val="000000" w:themeColor="text1"/>
                <w:szCs w:val="32"/>
                <w:lang w:val="en-US"/>
              </w:rPr>
            </w:pPr>
            <w:r w:rsidRPr="00FA1221">
              <w:rPr>
                <w:b/>
                <w:bCs/>
                <w:color w:val="000000" w:themeColor="text1"/>
                <w:szCs w:val="32"/>
                <w:lang w:val="en-US"/>
              </w:rPr>
              <w:t>SD</w:t>
            </w:r>
          </w:p>
        </w:tc>
        <w:tc>
          <w:tcPr>
            <w:tcW w:w="806" w:type="dxa"/>
          </w:tcPr>
          <w:p w:rsidR="00144D8C" w:rsidRPr="00FA1221" w:rsidRDefault="00144D8C" w:rsidP="00144D8C">
            <w:pPr>
              <w:rPr>
                <w:b/>
                <w:bCs/>
                <w:color w:val="000000" w:themeColor="text1"/>
                <w:szCs w:val="32"/>
                <w:lang w:val="en-US"/>
              </w:rPr>
            </w:pPr>
            <w:r w:rsidRPr="00FA1221">
              <w:rPr>
                <w:b/>
                <w:bCs/>
                <w:color w:val="000000" w:themeColor="text1"/>
                <w:szCs w:val="32"/>
                <w:lang w:val="en-US"/>
              </w:rPr>
              <w:t>Min</w:t>
            </w:r>
          </w:p>
        </w:tc>
        <w:tc>
          <w:tcPr>
            <w:tcW w:w="807" w:type="dxa"/>
          </w:tcPr>
          <w:p w:rsidR="00144D8C" w:rsidRPr="00FA1221" w:rsidRDefault="00144D8C" w:rsidP="00144D8C">
            <w:pPr>
              <w:rPr>
                <w:b/>
                <w:bCs/>
                <w:color w:val="000000" w:themeColor="text1"/>
                <w:szCs w:val="32"/>
                <w:lang w:val="en-US"/>
              </w:rPr>
            </w:pPr>
            <w:r w:rsidRPr="00FA1221">
              <w:rPr>
                <w:b/>
                <w:bCs/>
                <w:color w:val="000000" w:themeColor="text1"/>
                <w:szCs w:val="32"/>
                <w:lang w:val="en-US"/>
              </w:rPr>
              <w:t>Max</w:t>
            </w:r>
          </w:p>
        </w:tc>
      </w:tr>
      <w:tr w:rsidR="00DC24D8" w:rsidTr="00144D8C">
        <w:tc>
          <w:tcPr>
            <w:tcW w:w="1006" w:type="dxa"/>
          </w:tcPr>
          <w:p w:rsidR="00144D8C" w:rsidRDefault="00144D8C" w:rsidP="00144D8C">
            <w:pPr>
              <w:rPr>
                <w:b/>
                <w:bCs/>
                <w:color w:val="000000" w:themeColor="text1"/>
                <w:szCs w:val="32"/>
                <w:lang w:val="en-US"/>
              </w:rPr>
            </w:pPr>
            <w:r>
              <w:rPr>
                <w:b/>
                <w:bCs/>
                <w:color w:val="000000" w:themeColor="text1"/>
                <w:szCs w:val="32"/>
                <w:lang w:val="en-US"/>
              </w:rPr>
              <w:t>England</w:t>
            </w:r>
          </w:p>
        </w:tc>
        <w:tc>
          <w:tcPr>
            <w:tcW w:w="856" w:type="dxa"/>
          </w:tcPr>
          <w:p w:rsidR="00144D8C" w:rsidRPr="00FA1221" w:rsidRDefault="00144D8C" w:rsidP="00144D8C">
            <w:pPr>
              <w:rPr>
                <w:color w:val="000000" w:themeColor="text1"/>
                <w:szCs w:val="32"/>
                <w:lang w:val="en-US"/>
              </w:rPr>
            </w:pPr>
            <w:r w:rsidRPr="00FA1221">
              <w:rPr>
                <w:color w:val="000000" w:themeColor="text1"/>
                <w:szCs w:val="32"/>
                <w:lang w:val="en-US"/>
              </w:rPr>
              <w:t>22.04</w:t>
            </w:r>
          </w:p>
        </w:tc>
        <w:tc>
          <w:tcPr>
            <w:tcW w:w="833" w:type="dxa"/>
          </w:tcPr>
          <w:p w:rsidR="00144D8C" w:rsidRPr="00FA1221" w:rsidRDefault="00144D8C" w:rsidP="00144D8C">
            <w:pPr>
              <w:rPr>
                <w:color w:val="000000" w:themeColor="text1"/>
                <w:szCs w:val="32"/>
                <w:lang w:val="en-US"/>
              </w:rPr>
            </w:pPr>
            <w:r w:rsidRPr="00FA1221">
              <w:rPr>
                <w:color w:val="000000" w:themeColor="text1"/>
                <w:szCs w:val="32"/>
                <w:lang w:val="en-US"/>
              </w:rPr>
              <w:t>25.92</w:t>
            </w:r>
          </w:p>
        </w:tc>
        <w:tc>
          <w:tcPr>
            <w:tcW w:w="816" w:type="dxa"/>
          </w:tcPr>
          <w:p w:rsidR="00144D8C" w:rsidRPr="00FA1221" w:rsidRDefault="00144D8C" w:rsidP="00144D8C">
            <w:pPr>
              <w:rPr>
                <w:color w:val="000000" w:themeColor="text1"/>
                <w:szCs w:val="32"/>
                <w:lang w:val="en-US"/>
              </w:rPr>
            </w:pPr>
            <w:r w:rsidRPr="00FA1221">
              <w:rPr>
                <w:color w:val="000000" w:themeColor="text1"/>
                <w:szCs w:val="32"/>
                <w:lang w:val="en-US"/>
              </w:rPr>
              <w:t>5.53</w:t>
            </w:r>
          </w:p>
        </w:tc>
        <w:tc>
          <w:tcPr>
            <w:tcW w:w="825" w:type="dxa"/>
          </w:tcPr>
          <w:p w:rsidR="00144D8C" w:rsidRPr="00FA1221" w:rsidRDefault="00144D8C" w:rsidP="00144D8C">
            <w:pPr>
              <w:rPr>
                <w:color w:val="000000" w:themeColor="text1"/>
                <w:szCs w:val="32"/>
                <w:lang w:val="en-US"/>
              </w:rPr>
            </w:pPr>
            <w:r w:rsidRPr="00FA1221">
              <w:rPr>
                <w:color w:val="000000" w:themeColor="text1"/>
                <w:szCs w:val="32"/>
                <w:lang w:val="en-US"/>
              </w:rPr>
              <w:t>10.64</w:t>
            </w:r>
          </w:p>
        </w:tc>
        <w:tc>
          <w:tcPr>
            <w:tcW w:w="827" w:type="dxa"/>
            <w:tcBorders>
              <w:right w:val="single" w:sz="18" w:space="0" w:color="auto"/>
            </w:tcBorders>
          </w:tcPr>
          <w:p w:rsidR="00144D8C" w:rsidRPr="00FA1221" w:rsidRDefault="00144D8C" w:rsidP="00144D8C">
            <w:pPr>
              <w:rPr>
                <w:color w:val="000000" w:themeColor="text1"/>
                <w:szCs w:val="32"/>
                <w:lang w:val="en-US"/>
              </w:rPr>
            </w:pPr>
            <w:r w:rsidRPr="00FA1221">
              <w:rPr>
                <w:color w:val="000000" w:themeColor="text1"/>
                <w:szCs w:val="32"/>
                <w:lang w:val="en-US"/>
              </w:rPr>
              <w:t>55.76</w:t>
            </w:r>
          </w:p>
        </w:tc>
        <w:tc>
          <w:tcPr>
            <w:tcW w:w="855" w:type="dxa"/>
            <w:tcBorders>
              <w:left w:val="single" w:sz="18" w:space="0" w:color="auto"/>
            </w:tcBorders>
          </w:tcPr>
          <w:p w:rsidR="00144D8C" w:rsidRPr="00FA1221" w:rsidRDefault="00144D8C" w:rsidP="00144D8C">
            <w:pPr>
              <w:rPr>
                <w:color w:val="000000" w:themeColor="text1"/>
                <w:szCs w:val="32"/>
                <w:lang w:val="en-US"/>
              </w:rPr>
            </w:pPr>
            <w:r w:rsidRPr="00FA1221">
              <w:rPr>
                <w:color w:val="000000" w:themeColor="text1"/>
                <w:szCs w:val="32"/>
                <w:lang w:val="en-US"/>
              </w:rPr>
              <w:t>21.48</w:t>
            </w:r>
          </w:p>
        </w:tc>
        <w:tc>
          <w:tcPr>
            <w:tcW w:w="810" w:type="dxa"/>
          </w:tcPr>
          <w:p w:rsidR="00144D8C" w:rsidRPr="00FA1221" w:rsidRDefault="00144D8C" w:rsidP="00144D8C">
            <w:pPr>
              <w:rPr>
                <w:color w:val="000000" w:themeColor="text1"/>
                <w:szCs w:val="32"/>
                <w:lang w:val="en-US"/>
              </w:rPr>
            </w:pPr>
            <w:r w:rsidRPr="00FA1221">
              <w:rPr>
                <w:color w:val="000000" w:themeColor="text1"/>
                <w:szCs w:val="32"/>
                <w:lang w:val="en-US"/>
              </w:rPr>
              <w:t>25.23</w:t>
            </w:r>
          </w:p>
        </w:tc>
        <w:tc>
          <w:tcPr>
            <w:tcW w:w="801" w:type="dxa"/>
          </w:tcPr>
          <w:p w:rsidR="00144D8C" w:rsidRPr="00FA1221" w:rsidRDefault="00144D8C" w:rsidP="00144D8C">
            <w:pPr>
              <w:rPr>
                <w:color w:val="000000" w:themeColor="text1"/>
                <w:szCs w:val="32"/>
                <w:lang w:val="en-US"/>
              </w:rPr>
            </w:pPr>
            <w:r w:rsidRPr="00FA1221">
              <w:rPr>
                <w:color w:val="000000" w:themeColor="text1"/>
                <w:szCs w:val="32"/>
                <w:lang w:val="en-US"/>
              </w:rPr>
              <w:t>4.09</w:t>
            </w:r>
          </w:p>
        </w:tc>
        <w:tc>
          <w:tcPr>
            <w:tcW w:w="806" w:type="dxa"/>
          </w:tcPr>
          <w:p w:rsidR="00144D8C" w:rsidRPr="00FA1221" w:rsidRDefault="00144D8C" w:rsidP="00144D8C">
            <w:pPr>
              <w:rPr>
                <w:color w:val="000000" w:themeColor="text1"/>
                <w:szCs w:val="32"/>
                <w:lang w:val="en-US"/>
              </w:rPr>
            </w:pPr>
            <w:r w:rsidRPr="00FA1221">
              <w:rPr>
                <w:color w:val="000000" w:themeColor="text1"/>
                <w:szCs w:val="32"/>
                <w:lang w:val="en-US"/>
              </w:rPr>
              <w:t>9.4</w:t>
            </w:r>
          </w:p>
        </w:tc>
        <w:tc>
          <w:tcPr>
            <w:tcW w:w="807" w:type="dxa"/>
          </w:tcPr>
          <w:p w:rsidR="00144D8C" w:rsidRPr="00FA1221" w:rsidRDefault="00144D8C" w:rsidP="00144D8C">
            <w:pPr>
              <w:rPr>
                <w:color w:val="000000" w:themeColor="text1"/>
                <w:szCs w:val="32"/>
                <w:lang w:val="en-US"/>
              </w:rPr>
            </w:pPr>
            <w:r w:rsidRPr="00FA1221">
              <w:rPr>
                <w:color w:val="000000" w:themeColor="text1"/>
                <w:szCs w:val="32"/>
                <w:lang w:val="en-US"/>
              </w:rPr>
              <w:t>43.96</w:t>
            </w:r>
          </w:p>
        </w:tc>
      </w:tr>
      <w:tr w:rsidR="00DC24D8" w:rsidTr="00144D8C">
        <w:tc>
          <w:tcPr>
            <w:tcW w:w="1006" w:type="dxa"/>
          </w:tcPr>
          <w:p w:rsidR="00144D8C" w:rsidRDefault="00144D8C" w:rsidP="00144D8C">
            <w:pPr>
              <w:rPr>
                <w:b/>
                <w:bCs/>
                <w:color w:val="000000" w:themeColor="text1"/>
                <w:szCs w:val="32"/>
                <w:lang w:val="en-US"/>
              </w:rPr>
            </w:pPr>
            <w:r>
              <w:rPr>
                <w:b/>
                <w:bCs/>
                <w:color w:val="000000" w:themeColor="text1"/>
                <w:szCs w:val="32"/>
                <w:lang w:val="en-US"/>
              </w:rPr>
              <w:t>Scotland</w:t>
            </w:r>
          </w:p>
        </w:tc>
        <w:tc>
          <w:tcPr>
            <w:tcW w:w="856" w:type="dxa"/>
          </w:tcPr>
          <w:p w:rsidR="00144D8C" w:rsidRPr="00FA1221" w:rsidRDefault="00144D8C" w:rsidP="00144D8C">
            <w:pPr>
              <w:rPr>
                <w:color w:val="000000" w:themeColor="text1"/>
                <w:szCs w:val="32"/>
                <w:lang w:val="en-US"/>
              </w:rPr>
            </w:pPr>
            <w:r w:rsidRPr="00FA1221">
              <w:rPr>
                <w:color w:val="000000" w:themeColor="text1"/>
                <w:szCs w:val="32"/>
                <w:lang w:val="en-US"/>
              </w:rPr>
              <w:t>21.33</w:t>
            </w:r>
          </w:p>
        </w:tc>
        <w:tc>
          <w:tcPr>
            <w:tcW w:w="833" w:type="dxa"/>
          </w:tcPr>
          <w:p w:rsidR="00144D8C" w:rsidRPr="00FA1221" w:rsidRDefault="00144D8C" w:rsidP="00144D8C">
            <w:pPr>
              <w:rPr>
                <w:color w:val="000000" w:themeColor="text1"/>
                <w:szCs w:val="32"/>
                <w:lang w:val="en-US"/>
              </w:rPr>
            </w:pPr>
            <w:r w:rsidRPr="00FA1221">
              <w:rPr>
                <w:color w:val="000000" w:themeColor="text1"/>
                <w:szCs w:val="32"/>
                <w:lang w:val="en-US"/>
              </w:rPr>
              <w:t>29.17</w:t>
            </w:r>
          </w:p>
        </w:tc>
        <w:tc>
          <w:tcPr>
            <w:tcW w:w="816" w:type="dxa"/>
          </w:tcPr>
          <w:p w:rsidR="00144D8C" w:rsidRPr="00FA1221" w:rsidRDefault="00144D8C" w:rsidP="00144D8C">
            <w:pPr>
              <w:rPr>
                <w:color w:val="000000" w:themeColor="text1"/>
                <w:szCs w:val="32"/>
                <w:lang w:val="en-US"/>
              </w:rPr>
            </w:pPr>
            <w:r w:rsidRPr="00FA1221">
              <w:rPr>
                <w:color w:val="000000" w:themeColor="text1"/>
                <w:szCs w:val="32"/>
                <w:lang w:val="en-US"/>
              </w:rPr>
              <w:t>6.59</w:t>
            </w:r>
          </w:p>
        </w:tc>
        <w:tc>
          <w:tcPr>
            <w:tcW w:w="825" w:type="dxa"/>
          </w:tcPr>
          <w:p w:rsidR="00144D8C" w:rsidRPr="00FA1221" w:rsidRDefault="00144D8C" w:rsidP="00144D8C">
            <w:pPr>
              <w:rPr>
                <w:color w:val="000000" w:themeColor="text1"/>
                <w:szCs w:val="32"/>
                <w:lang w:val="en-US"/>
              </w:rPr>
            </w:pPr>
            <w:r w:rsidRPr="00FA1221">
              <w:rPr>
                <w:color w:val="000000" w:themeColor="text1"/>
                <w:szCs w:val="32"/>
                <w:lang w:val="en-US"/>
              </w:rPr>
              <w:t>11.89</w:t>
            </w:r>
          </w:p>
        </w:tc>
        <w:tc>
          <w:tcPr>
            <w:tcW w:w="827" w:type="dxa"/>
            <w:tcBorders>
              <w:right w:val="single" w:sz="18" w:space="0" w:color="auto"/>
            </w:tcBorders>
          </w:tcPr>
          <w:p w:rsidR="00144D8C" w:rsidRPr="00FA1221" w:rsidRDefault="00144D8C" w:rsidP="00144D8C">
            <w:pPr>
              <w:rPr>
                <w:color w:val="000000" w:themeColor="text1"/>
                <w:szCs w:val="32"/>
                <w:lang w:val="en-US"/>
              </w:rPr>
            </w:pPr>
            <w:r w:rsidRPr="00FA1221">
              <w:rPr>
                <w:color w:val="000000" w:themeColor="text1"/>
                <w:szCs w:val="32"/>
                <w:lang w:val="en-US"/>
              </w:rPr>
              <w:t>54.62</w:t>
            </w:r>
          </w:p>
        </w:tc>
        <w:tc>
          <w:tcPr>
            <w:tcW w:w="855" w:type="dxa"/>
            <w:tcBorders>
              <w:left w:val="single" w:sz="18" w:space="0" w:color="auto"/>
            </w:tcBorders>
          </w:tcPr>
          <w:p w:rsidR="00144D8C" w:rsidRPr="00FA1221" w:rsidRDefault="00144D8C" w:rsidP="00144D8C">
            <w:pPr>
              <w:rPr>
                <w:color w:val="000000" w:themeColor="text1"/>
                <w:szCs w:val="32"/>
                <w:lang w:val="en-US"/>
              </w:rPr>
            </w:pPr>
            <w:r w:rsidRPr="00FA1221">
              <w:rPr>
                <w:color w:val="000000" w:themeColor="text1"/>
                <w:szCs w:val="32"/>
                <w:lang w:val="en-US"/>
              </w:rPr>
              <w:t>23.10</w:t>
            </w:r>
          </w:p>
        </w:tc>
        <w:tc>
          <w:tcPr>
            <w:tcW w:w="810" w:type="dxa"/>
          </w:tcPr>
          <w:p w:rsidR="00144D8C" w:rsidRPr="00FA1221" w:rsidRDefault="00144D8C" w:rsidP="00144D8C">
            <w:pPr>
              <w:rPr>
                <w:color w:val="000000" w:themeColor="text1"/>
                <w:szCs w:val="32"/>
                <w:lang w:val="en-US"/>
              </w:rPr>
            </w:pPr>
            <w:r w:rsidRPr="00FA1221">
              <w:rPr>
                <w:color w:val="000000" w:themeColor="text1"/>
                <w:szCs w:val="32"/>
                <w:lang w:val="en-US"/>
              </w:rPr>
              <w:t>31.47</w:t>
            </w:r>
          </w:p>
        </w:tc>
        <w:tc>
          <w:tcPr>
            <w:tcW w:w="801" w:type="dxa"/>
          </w:tcPr>
          <w:p w:rsidR="00144D8C" w:rsidRPr="00FA1221" w:rsidRDefault="00144D8C" w:rsidP="00144D8C">
            <w:pPr>
              <w:rPr>
                <w:color w:val="000000" w:themeColor="text1"/>
                <w:szCs w:val="32"/>
                <w:lang w:val="en-US"/>
              </w:rPr>
            </w:pPr>
            <w:r w:rsidRPr="00FA1221">
              <w:rPr>
                <w:color w:val="000000" w:themeColor="text1"/>
                <w:szCs w:val="32"/>
                <w:lang w:val="en-US"/>
              </w:rPr>
              <w:t>4.86</w:t>
            </w:r>
          </w:p>
        </w:tc>
        <w:tc>
          <w:tcPr>
            <w:tcW w:w="806" w:type="dxa"/>
          </w:tcPr>
          <w:p w:rsidR="00144D8C" w:rsidRPr="00FA1221" w:rsidRDefault="00144D8C" w:rsidP="00144D8C">
            <w:pPr>
              <w:rPr>
                <w:color w:val="000000" w:themeColor="text1"/>
                <w:szCs w:val="32"/>
                <w:lang w:val="en-US"/>
              </w:rPr>
            </w:pPr>
            <w:r w:rsidRPr="00FA1221">
              <w:rPr>
                <w:color w:val="000000" w:themeColor="text1"/>
                <w:szCs w:val="32"/>
                <w:lang w:val="en-US"/>
              </w:rPr>
              <w:t>14.31</w:t>
            </w:r>
          </w:p>
        </w:tc>
        <w:tc>
          <w:tcPr>
            <w:tcW w:w="807" w:type="dxa"/>
          </w:tcPr>
          <w:p w:rsidR="00144D8C" w:rsidRPr="00FA1221" w:rsidRDefault="00144D8C" w:rsidP="00144D8C">
            <w:pPr>
              <w:rPr>
                <w:color w:val="000000" w:themeColor="text1"/>
                <w:szCs w:val="32"/>
                <w:lang w:val="en-US"/>
              </w:rPr>
            </w:pPr>
            <w:r w:rsidRPr="00FA1221">
              <w:rPr>
                <w:color w:val="000000" w:themeColor="text1"/>
                <w:szCs w:val="32"/>
                <w:lang w:val="en-US"/>
              </w:rPr>
              <w:t>48.33</w:t>
            </w:r>
          </w:p>
        </w:tc>
      </w:tr>
      <w:tr w:rsidR="00DC24D8" w:rsidTr="00144D8C">
        <w:tc>
          <w:tcPr>
            <w:tcW w:w="1006" w:type="dxa"/>
          </w:tcPr>
          <w:p w:rsidR="00144D8C" w:rsidRDefault="00144D8C" w:rsidP="00144D8C">
            <w:pPr>
              <w:rPr>
                <w:b/>
                <w:bCs/>
                <w:color w:val="000000" w:themeColor="text1"/>
                <w:szCs w:val="32"/>
                <w:lang w:val="en-US"/>
              </w:rPr>
            </w:pPr>
            <w:r>
              <w:rPr>
                <w:b/>
                <w:bCs/>
                <w:color w:val="000000" w:themeColor="text1"/>
                <w:szCs w:val="32"/>
                <w:lang w:val="en-US"/>
              </w:rPr>
              <w:t>Wales</w:t>
            </w:r>
          </w:p>
        </w:tc>
        <w:tc>
          <w:tcPr>
            <w:tcW w:w="856" w:type="dxa"/>
          </w:tcPr>
          <w:p w:rsidR="00144D8C" w:rsidRPr="00FA1221" w:rsidRDefault="00144D8C" w:rsidP="00144D8C">
            <w:pPr>
              <w:rPr>
                <w:color w:val="000000" w:themeColor="text1"/>
                <w:szCs w:val="32"/>
                <w:lang w:val="en-US"/>
              </w:rPr>
            </w:pPr>
            <w:r w:rsidRPr="00FA1221">
              <w:rPr>
                <w:color w:val="000000" w:themeColor="text1"/>
                <w:szCs w:val="32"/>
                <w:lang w:val="en-US"/>
              </w:rPr>
              <w:t>26.23</w:t>
            </w:r>
          </w:p>
        </w:tc>
        <w:tc>
          <w:tcPr>
            <w:tcW w:w="833" w:type="dxa"/>
          </w:tcPr>
          <w:p w:rsidR="00144D8C" w:rsidRPr="00FA1221" w:rsidRDefault="00144D8C" w:rsidP="00144D8C">
            <w:pPr>
              <w:rPr>
                <w:color w:val="000000" w:themeColor="text1"/>
                <w:szCs w:val="32"/>
                <w:lang w:val="en-US"/>
              </w:rPr>
            </w:pPr>
            <w:r w:rsidRPr="00FA1221">
              <w:rPr>
                <w:color w:val="000000" w:themeColor="text1"/>
                <w:szCs w:val="32"/>
                <w:lang w:val="en-US"/>
              </w:rPr>
              <w:t>21.65</w:t>
            </w:r>
          </w:p>
        </w:tc>
        <w:tc>
          <w:tcPr>
            <w:tcW w:w="816" w:type="dxa"/>
          </w:tcPr>
          <w:p w:rsidR="00144D8C" w:rsidRPr="00FA1221" w:rsidRDefault="00144D8C" w:rsidP="00144D8C">
            <w:pPr>
              <w:rPr>
                <w:color w:val="000000" w:themeColor="text1"/>
                <w:szCs w:val="32"/>
                <w:lang w:val="en-US"/>
              </w:rPr>
            </w:pPr>
            <w:r w:rsidRPr="00FA1221">
              <w:rPr>
                <w:color w:val="000000" w:themeColor="text1"/>
                <w:szCs w:val="32"/>
                <w:lang w:val="en-US"/>
              </w:rPr>
              <w:t>5.23</w:t>
            </w:r>
          </w:p>
        </w:tc>
        <w:tc>
          <w:tcPr>
            <w:tcW w:w="825" w:type="dxa"/>
          </w:tcPr>
          <w:p w:rsidR="00144D8C" w:rsidRPr="00FA1221" w:rsidRDefault="00144D8C" w:rsidP="00144D8C">
            <w:pPr>
              <w:rPr>
                <w:color w:val="000000" w:themeColor="text1"/>
                <w:szCs w:val="32"/>
                <w:lang w:val="en-US"/>
              </w:rPr>
            </w:pPr>
            <w:r w:rsidRPr="00FA1221">
              <w:rPr>
                <w:color w:val="000000" w:themeColor="text1"/>
                <w:szCs w:val="32"/>
                <w:lang w:val="en-US"/>
              </w:rPr>
              <w:t>6.68</w:t>
            </w:r>
          </w:p>
        </w:tc>
        <w:tc>
          <w:tcPr>
            <w:tcW w:w="827" w:type="dxa"/>
            <w:tcBorders>
              <w:right w:val="single" w:sz="18" w:space="0" w:color="auto"/>
            </w:tcBorders>
          </w:tcPr>
          <w:p w:rsidR="00144D8C" w:rsidRPr="00FA1221" w:rsidRDefault="00144D8C" w:rsidP="00144D8C">
            <w:pPr>
              <w:rPr>
                <w:color w:val="000000" w:themeColor="text1"/>
                <w:szCs w:val="32"/>
                <w:lang w:val="en-US"/>
              </w:rPr>
            </w:pPr>
            <w:r w:rsidRPr="00FA1221">
              <w:rPr>
                <w:color w:val="000000" w:themeColor="text1"/>
                <w:szCs w:val="32"/>
                <w:lang w:val="en-US"/>
              </w:rPr>
              <w:t>41.36</w:t>
            </w:r>
          </w:p>
        </w:tc>
        <w:tc>
          <w:tcPr>
            <w:tcW w:w="855" w:type="dxa"/>
            <w:tcBorders>
              <w:left w:val="single" w:sz="18" w:space="0" w:color="auto"/>
            </w:tcBorders>
          </w:tcPr>
          <w:p w:rsidR="00144D8C" w:rsidRPr="00FA1221" w:rsidRDefault="00144D8C" w:rsidP="00144D8C">
            <w:pPr>
              <w:rPr>
                <w:color w:val="000000" w:themeColor="text1"/>
                <w:szCs w:val="32"/>
                <w:lang w:val="en-US"/>
              </w:rPr>
            </w:pPr>
            <w:r w:rsidRPr="00FA1221">
              <w:rPr>
                <w:color w:val="000000" w:themeColor="text1"/>
                <w:szCs w:val="32"/>
                <w:lang w:val="en-US"/>
              </w:rPr>
              <w:t>27.76</w:t>
            </w:r>
          </w:p>
        </w:tc>
        <w:tc>
          <w:tcPr>
            <w:tcW w:w="810" w:type="dxa"/>
          </w:tcPr>
          <w:p w:rsidR="00144D8C" w:rsidRPr="00FA1221" w:rsidRDefault="00144D8C" w:rsidP="00144D8C">
            <w:pPr>
              <w:rPr>
                <w:color w:val="000000" w:themeColor="text1"/>
                <w:szCs w:val="32"/>
                <w:lang w:val="en-US"/>
              </w:rPr>
            </w:pPr>
            <w:r w:rsidRPr="00FA1221">
              <w:rPr>
                <w:color w:val="000000" w:themeColor="text1"/>
                <w:szCs w:val="32"/>
                <w:lang w:val="en-US"/>
              </w:rPr>
              <w:t>37.29</w:t>
            </w:r>
          </w:p>
        </w:tc>
        <w:tc>
          <w:tcPr>
            <w:tcW w:w="801" w:type="dxa"/>
          </w:tcPr>
          <w:p w:rsidR="00144D8C" w:rsidRPr="00FA1221" w:rsidRDefault="00144D8C" w:rsidP="00144D8C">
            <w:pPr>
              <w:rPr>
                <w:color w:val="000000" w:themeColor="text1"/>
                <w:szCs w:val="32"/>
                <w:lang w:val="en-US"/>
              </w:rPr>
            </w:pPr>
            <w:r w:rsidRPr="00FA1221">
              <w:rPr>
                <w:color w:val="000000" w:themeColor="text1"/>
                <w:szCs w:val="32"/>
                <w:lang w:val="en-US"/>
              </w:rPr>
              <w:t>4.97</w:t>
            </w:r>
          </w:p>
        </w:tc>
        <w:tc>
          <w:tcPr>
            <w:tcW w:w="806" w:type="dxa"/>
          </w:tcPr>
          <w:p w:rsidR="00144D8C" w:rsidRPr="00FA1221" w:rsidRDefault="00144D8C" w:rsidP="00144D8C">
            <w:pPr>
              <w:rPr>
                <w:color w:val="000000" w:themeColor="text1"/>
                <w:szCs w:val="32"/>
                <w:lang w:val="en-US"/>
              </w:rPr>
            </w:pPr>
            <w:r w:rsidRPr="00FA1221">
              <w:rPr>
                <w:color w:val="000000" w:themeColor="text1"/>
                <w:szCs w:val="32"/>
                <w:lang w:val="en-US"/>
              </w:rPr>
              <w:t>13.97</w:t>
            </w:r>
          </w:p>
        </w:tc>
        <w:tc>
          <w:tcPr>
            <w:tcW w:w="807" w:type="dxa"/>
          </w:tcPr>
          <w:p w:rsidR="00144D8C" w:rsidRPr="00FA1221" w:rsidRDefault="00144D8C" w:rsidP="00144D8C">
            <w:pPr>
              <w:rPr>
                <w:color w:val="000000" w:themeColor="text1"/>
                <w:szCs w:val="32"/>
                <w:lang w:val="en-US"/>
              </w:rPr>
            </w:pPr>
            <w:r w:rsidRPr="00FA1221">
              <w:rPr>
                <w:color w:val="000000" w:themeColor="text1"/>
                <w:szCs w:val="32"/>
                <w:lang w:val="en-US"/>
              </w:rPr>
              <w:t>51.54</w:t>
            </w:r>
          </w:p>
        </w:tc>
      </w:tr>
    </w:tbl>
    <w:p w:rsidR="00144D8C" w:rsidRPr="009F23BA" w:rsidRDefault="00144D8C" w:rsidP="009F23BA">
      <w:pPr>
        <w:spacing w:after="200" w:line="276" w:lineRule="auto"/>
        <w:rPr>
          <w:color w:val="000000" w:themeColor="text1"/>
          <w:lang w:val="en-US"/>
        </w:rPr>
      </w:pPr>
      <w:r w:rsidRPr="009F23BA">
        <w:rPr>
          <w:color w:val="000000" w:themeColor="text1"/>
          <w:lang w:val="en-US"/>
        </w:rPr>
        <w:t>All figures percentages except SD (standard deviation)</w:t>
      </w:r>
    </w:p>
    <w:p w:rsidR="009F23BA" w:rsidRDefault="009F23BA" w:rsidP="00144D8C">
      <w:pPr>
        <w:pStyle w:val="NoSpacing"/>
        <w:spacing w:line="480" w:lineRule="auto"/>
        <w:rPr>
          <w:color w:val="000000" w:themeColor="text1"/>
        </w:rPr>
      </w:pPr>
    </w:p>
    <w:p w:rsidR="00341B7E" w:rsidRDefault="003B29B8" w:rsidP="00144D8C">
      <w:pPr>
        <w:pStyle w:val="NoSpacing"/>
        <w:spacing w:line="480" w:lineRule="auto"/>
        <w:rPr>
          <w:rFonts w:cs="AdvOT863180fb"/>
        </w:rPr>
      </w:pPr>
      <w:r>
        <w:rPr>
          <w:color w:val="000000" w:themeColor="text1"/>
        </w:rPr>
        <w:t xml:space="preserve">The concordance between SAEs and Census data </w:t>
      </w:r>
      <w:r w:rsidR="00F70D36">
        <w:rPr>
          <w:color w:val="000000" w:themeColor="text1"/>
        </w:rPr>
        <w:t>is explored further in Figure</w:t>
      </w:r>
      <w:r w:rsidR="00144D8C">
        <w:rPr>
          <w:color w:val="000000" w:themeColor="text1"/>
        </w:rPr>
        <w:t xml:space="preserve"> 1</w:t>
      </w:r>
      <w:r w:rsidR="00341B7E">
        <w:rPr>
          <w:color w:val="000000" w:themeColor="text1"/>
        </w:rPr>
        <w:t xml:space="preserve">. The diagonal reference line captures the scenario where the SAE and Census estimates would match. </w:t>
      </w:r>
      <w:r w:rsidR="005C4584">
        <w:rPr>
          <w:rFonts w:cs="AdvOT863180fb"/>
        </w:rPr>
        <w:t xml:space="preserve">The </w:t>
      </w:r>
      <w:r w:rsidR="00CD2933">
        <w:rPr>
          <w:rFonts w:cs="AdvOT863180fb"/>
        </w:rPr>
        <w:t>SAEs for poorer SRGH in England and Scotland were</w:t>
      </w:r>
      <w:r w:rsidR="00CC2F7D" w:rsidRPr="00A00570">
        <w:rPr>
          <w:rFonts w:cs="AdvOT863180fb"/>
        </w:rPr>
        <w:t xml:space="preserve"> </w:t>
      </w:r>
      <w:r w:rsidR="00CD2933">
        <w:rPr>
          <w:rFonts w:cs="AdvOT863180fb"/>
        </w:rPr>
        <w:t xml:space="preserve">higher </w:t>
      </w:r>
      <w:r w:rsidR="00CC2F7D" w:rsidRPr="00A00570">
        <w:rPr>
          <w:rFonts w:cs="AdvOT863180fb"/>
        </w:rPr>
        <w:t xml:space="preserve">for most </w:t>
      </w:r>
      <w:r w:rsidR="00CC2F7D">
        <w:rPr>
          <w:rFonts w:cs="AdvOT863180fb"/>
        </w:rPr>
        <w:t>small</w:t>
      </w:r>
      <w:r w:rsidR="00216CCB">
        <w:rPr>
          <w:rFonts w:cs="AdvOT863180fb"/>
        </w:rPr>
        <w:t xml:space="preserve"> </w:t>
      </w:r>
      <w:r w:rsidR="00CC2F7D">
        <w:rPr>
          <w:rFonts w:cs="AdvOT863180fb"/>
        </w:rPr>
        <w:t xml:space="preserve">areas compared </w:t>
      </w:r>
      <w:r w:rsidR="00F70D36">
        <w:rPr>
          <w:rFonts w:cs="AdvOT863180fb"/>
        </w:rPr>
        <w:t>to</w:t>
      </w:r>
      <w:r w:rsidR="00CC2F7D">
        <w:rPr>
          <w:rFonts w:cs="AdvOT863180fb"/>
        </w:rPr>
        <w:t xml:space="preserve"> the C</w:t>
      </w:r>
      <w:r w:rsidR="00CC2F7D" w:rsidRPr="00A00570">
        <w:rPr>
          <w:rFonts w:cs="AdvOT863180fb"/>
        </w:rPr>
        <w:t>ensus</w:t>
      </w:r>
      <w:r w:rsidR="005C4584">
        <w:rPr>
          <w:rFonts w:cs="AdvOT863180fb"/>
        </w:rPr>
        <w:t>, while the</w:t>
      </w:r>
      <w:r w:rsidR="00341B7E">
        <w:rPr>
          <w:rFonts w:cs="AdvOT863180fb"/>
        </w:rPr>
        <w:t xml:space="preserve"> great majority of</w:t>
      </w:r>
      <w:r w:rsidR="005C4584">
        <w:rPr>
          <w:rFonts w:cs="AdvOT863180fb"/>
        </w:rPr>
        <w:t xml:space="preserve"> </w:t>
      </w:r>
      <w:r w:rsidR="00CD2933">
        <w:rPr>
          <w:rFonts w:cs="AdvOT863180fb"/>
        </w:rPr>
        <w:t>Welsh estimates were lower</w:t>
      </w:r>
      <w:r w:rsidR="00144D8C">
        <w:rPr>
          <w:rFonts w:cs="AdvOT863180fb"/>
        </w:rPr>
        <w:t xml:space="preserve">. </w:t>
      </w:r>
      <w:r w:rsidR="00341B7E">
        <w:rPr>
          <w:rFonts w:cs="AdvOT863180fb"/>
        </w:rPr>
        <w:t>For LLTI most SAE prevalences exceeded the equivalent Census prevalences; thos</w:t>
      </w:r>
      <w:r w:rsidR="00D528CE">
        <w:rPr>
          <w:rFonts w:cs="AdvOT863180fb"/>
        </w:rPr>
        <w:t xml:space="preserve">e MSOAs with SAEs less than the </w:t>
      </w:r>
      <w:r w:rsidR="00341B7E">
        <w:rPr>
          <w:rFonts w:cs="AdvOT863180fb"/>
        </w:rPr>
        <w:t>corresponding Census values tended to be in England.</w:t>
      </w:r>
    </w:p>
    <w:p w:rsidR="00987085" w:rsidRDefault="00987085" w:rsidP="00987085">
      <w:pPr>
        <w:jc w:val="both"/>
      </w:pPr>
    </w:p>
    <w:p w:rsidR="00987085" w:rsidRDefault="00987085" w:rsidP="001C158F">
      <w:pPr>
        <w:jc w:val="both"/>
      </w:pPr>
      <w:r>
        <w:t>Figure 1: SAEs versus Census Estimates: LLTI (</w:t>
      </w:r>
      <w:r w:rsidR="001C158F">
        <w:t>a</w:t>
      </w:r>
      <w:r>
        <w:t>), poorer SRGH (</w:t>
      </w:r>
      <w:r w:rsidR="001C158F">
        <w:t>b</w:t>
      </w:r>
      <w:r>
        <w:t>)</w:t>
      </w:r>
    </w:p>
    <w:p w:rsidR="00BA36C6" w:rsidRDefault="00BA36C6" w:rsidP="00987085">
      <w:pPr>
        <w:jc w:val="both"/>
      </w:pPr>
    </w:p>
    <w:p w:rsidR="00E50A49" w:rsidRDefault="00BA36C6" w:rsidP="00E50A49">
      <w:pPr>
        <w:jc w:val="both"/>
      </w:pPr>
      <w:proofErr w:type="gramStart"/>
      <w:r>
        <w:t>insert</w:t>
      </w:r>
      <w:proofErr w:type="gramEnd"/>
      <w:r>
        <w:t xml:space="preserve"> </w:t>
      </w:r>
      <w:bookmarkStart w:id="0" w:name="_GoBack"/>
      <w:bookmarkEnd w:id="0"/>
      <w:r w:rsidR="00F565EC">
        <w:t>bmjopenfig</w:t>
      </w:r>
      <w:r w:rsidR="005127FA">
        <w:t>ure</w:t>
      </w:r>
      <w:r w:rsidR="00F565EC">
        <w:t xml:space="preserve">1a.tif </w:t>
      </w:r>
    </w:p>
    <w:p w:rsidR="00BA36C6" w:rsidRDefault="00E50A49" w:rsidP="00E50A49">
      <w:pPr>
        <w:jc w:val="both"/>
      </w:pPr>
      <w:r>
        <w:t xml:space="preserve">Insert </w:t>
      </w:r>
      <w:r w:rsidR="00F565EC">
        <w:t>bmjopenfig</w:t>
      </w:r>
      <w:r w:rsidR="005127FA">
        <w:t>ure</w:t>
      </w:r>
      <w:r w:rsidR="00F565EC">
        <w:t>1b.tif&gt;&gt;</w:t>
      </w:r>
    </w:p>
    <w:p w:rsidR="00987085" w:rsidRDefault="00987085" w:rsidP="00144D8C">
      <w:pPr>
        <w:pStyle w:val="NoSpacing"/>
        <w:spacing w:line="480" w:lineRule="auto"/>
        <w:rPr>
          <w:rFonts w:cs="AdvOT863180fb"/>
        </w:rPr>
      </w:pPr>
    </w:p>
    <w:p w:rsidR="00341B7E" w:rsidRDefault="00341B7E" w:rsidP="00F92813">
      <w:pPr>
        <w:pStyle w:val="NoSpacing"/>
        <w:spacing w:line="480" w:lineRule="auto"/>
        <w:rPr>
          <w:rFonts w:cs="AdvOT863180fb"/>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987085" w:rsidRDefault="00987085" w:rsidP="00F92813">
      <w:pPr>
        <w:pStyle w:val="NoSpacing"/>
        <w:spacing w:line="480" w:lineRule="auto"/>
        <w:rPr>
          <w:color w:val="000000" w:themeColor="text1"/>
        </w:rPr>
      </w:pPr>
    </w:p>
    <w:p w:rsidR="005C4584" w:rsidRDefault="00341B7E" w:rsidP="00F92813">
      <w:pPr>
        <w:pStyle w:val="NoSpacing"/>
        <w:spacing w:line="480" w:lineRule="auto"/>
        <w:rPr>
          <w:color w:val="000000" w:themeColor="text1"/>
        </w:rPr>
      </w:pPr>
      <w:r>
        <w:rPr>
          <w:color w:val="000000" w:themeColor="text1"/>
        </w:rPr>
        <w:t xml:space="preserve">Table </w:t>
      </w:r>
      <w:r w:rsidR="00A43161">
        <w:rPr>
          <w:color w:val="000000" w:themeColor="text1"/>
        </w:rPr>
        <w:t>5</w:t>
      </w:r>
      <w:r>
        <w:rPr>
          <w:color w:val="000000" w:themeColor="text1"/>
        </w:rPr>
        <w:t xml:space="preserve"> </w:t>
      </w:r>
      <w:r w:rsidR="00F70D36">
        <w:rPr>
          <w:color w:val="000000" w:themeColor="text1"/>
        </w:rPr>
        <w:t>continues the exploration of the</w:t>
      </w:r>
      <w:r>
        <w:rPr>
          <w:color w:val="000000" w:themeColor="text1"/>
        </w:rPr>
        <w:t xml:space="preserve"> match between SAEs and Census using the ‘Scarborough criteria’. </w:t>
      </w:r>
      <w:r w:rsidR="00F70D36">
        <w:rPr>
          <w:color w:val="000000" w:themeColor="text1"/>
        </w:rPr>
        <w:t xml:space="preserve"> There are strong correlations between the two measures across all settings suggesting broad agreement. However</w:t>
      </w:r>
      <w:r w:rsidR="00F50490">
        <w:rPr>
          <w:color w:val="000000" w:themeColor="text1"/>
        </w:rPr>
        <w:t>, neither for individual countries nor collectively do any of the SAEs exhibit anything approaching the requirements for a strong concordance with Census measures. All have intercepts significantly above zero and gradients that depart markedly from one.</w:t>
      </w:r>
    </w:p>
    <w:p w:rsidR="00987085" w:rsidRDefault="00A43161" w:rsidP="00987085">
      <w:pPr>
        <w:pStyle w:val="NoSpacing"/>
        <w:rPr>
          <w:b/>
          <w:bCs/>
          <w:color w:val="000000" w:themeColor="text1"/>
          <w:lang w:val="en-US"/>
        </w:rPr>
      </w:pPr>
      <w:r>
        <w:rPr>
          <w:b/>
          <w:bCs/>
          <w:color w:val="000000" w:themeColor="text1"/>
          <w:lang w:val="en-US"/>
        </w:rPr>
        <w:t>Table 5</w:t>
      </w:r>
      <w:r w:rsidR="00987085" w:rsidRPr="006A5E0D">
        <w:rPr>
          <w:b/>
          <w:bCs/>
          <w:color w:val="000000" w:themeColor="text1"/>
          <w:lang w:val="en-US"/>
        </w:rPr>
        <w:t xml:space="preserve">: Convergent validity of </w:t>
      </w:r>
      <w:r w:rsidR="00987085">
        <w:rPr>
          <w:b/>
          <w:bCs/>
          <w:color w:val="000000" w:themeColor="text1"/>
          <w:lang w:val="en-US"/>
        </w:rPr>
        <w:t>SAEs against C</w:t>
      </w:r>
      <w:r w:rsidR="00987085" w:rsidRPr="006A5E0D">
        <w:rPr>
          <w:b/>
          <w:bCs/>
          <w:color w:val="000000" w:themeColor="text1"/>
          <w:lang w:val="en-US"/>
        </w:rPr>
        <w:t>ensus estimates at MSOA level</w:t>
      </w:r>
    </w:p>
    <w:p w:rsidR="00987085" w:rsidRPr="006A5E0D" w:rsidRDefault="00987085" w:rsidP="00987085">
      <w:pPr>
        <w:pStyle w:val="NoSpacing"/>
        <w:rPr>
          <w:b/>
          <w:bCs/>
          <w:color w:val="000000" w:themeColor="text1"/>
          <w:lang w:val="en-US"/>
        </w:rPr>
      </w:pPr>
    </w:p>
    <w:tbl>
      <w:tblPr>
        <w:tblStyle w:val="TableGrid"/>
        <w:tblW w:w="0" w:type="auto"/>
        <w:tblInd w:w="108" w:type="dxa"/>
        <w:tblLook w:val="04A0" w:firstRow="1" w:lastRow="0" w:firstColumn="1" w:lastColumn="0" w:noHBand="0" w:noVBand="1"/>
      </w:tblPr>
      <w:tblGrid>
        <w:gridCol w:w="1006"/>
        <w:gridCol w:w="979"/>
        <w:gridCol w:w="828"/>
        <w:gridCol w:w="833"/>
        <w:gridCol w:w="862"/>
        <w:gridCol w:w="948"/>
        <w:gridCol w:w="829"/>
        <w:gridCol w:w="833"/>
        <w:gridCol w:w="862"/>
        <w:gridCol w:w="1154"/>
      </w:tblGrid>
      <w:tr w:rsidR="00987085" w:rsidRPr="000E4780" w:rsidTr="00BF71BC">
        <w:tc>
          <w:tcPr>
            <w:tcW w:w="0" w:type="auto"/>
          </w:tcPr>
          <w:p w:rsidR="00987085" w:rsidRPr="000E4780" w:rsidRDefault="00987085" w:rsidP="00BF71BC">
            <w:pPr>
              <w:pStyle w:val="NoSpacing"/>
              <w:jc w:val="center"/>
              <w:rPr>
                <w:color w:val="000000" w:themeColor="text1"/>
              </w:rPr>
            </w:pP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Intercept</w:t>
            </w: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Lower CI</w:t>
            </w: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Upper CI</w:t>
            </w: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Contain</w:t>
            </w:r>
          </w:p>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Zero?</w:t>
            </w: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Gradient</w:t>
            </w: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Lower CI</w:t>
            </w: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Upper CI</w:t>
            </w:r>
          </w:p>
        </w:tc>
        <w:tc>
          <w:tcPr>
            <w:tcW w:w="0" w:type="auto"/>
          </w:tcPr>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Contain</w:t>
            </w:r>
          </w:p>
          <w:p w:rsidR="00987085" w:rsidRPr="006A5E0D" w:rsidRDefault="00987085" w:rsidP="00BF71BC">
            <w:pPr>
              <w:pStyle w:val="NoSpacing"/>
              <w:jc w:val="center"/>
              <w:rPr>
                <w:b/>
                <w:bCs/>
                <w:color w:val="000000" w:themeColor="text1"/>
                <w:sz w:val="20"/>
                <w:szCs w:val="20"/>
              </w:rPr>
            </w:pPr>
            <w:r w:rsidRPr="006A5E0D">
              <w:rPr>
                <w:b/>
                <w:bCs/>
                <w:color w:val="000000" w:themeColor="text1"/>
                <w:sz w:val="20"/>
                <w:szCs w:val="20"/>
              </w:rPr>
              <w:t>One?</w:t>
            </w:r>
          </w:p>
        </w:tc>
        <w:tc>
          <w:tcPr>
            <w:tcW w:w="0" w:type="auto"/>
          </w:tcPr>
          <w:p w:rsidR="00987085" w:rsidRPr="006A5E0D" w:rsidRDefault="00987085" w:rsidP="00BF71BC">
            <w:pPr>
              <w:pStyle w:val="NoSpacing"/>
              <w:jc w:val="center"/>
              <w:rPr>
                <w:b/>
                <w:bCs/>
                <w:color w:val="000000" w:themeColor="text1"/>
                <w:sz w:val="20"/>
                <w:szCs w:val="20"/>
              </w:rPr>
            </w:pPr>
            <w:r>
              <w:rPr>
                <w:b/>
                <w:bCs/>
                <w:color w:val="000000" w:themeColor="text1"/>
                <w:sz w:val="20"/>
                <w:szCs w:val="20"/>
              </w:rPr>
              <w:t xml:space="preserve">Correlation </w:t>
            </w:r>
          </w:p>
        </w:tc>
      </w:tr>
      <w:tr w:rsidR="00987085" w:rsidRPr="000E4780" w:rsidTr="00BF71BC">
        <w:tc>
          <w:tcPr>
            <w:tcW w:w="0" w:type="auto"/>
            <w:gridSpan w:val="10"/>
          </w:tcPr>
          <w:p w:rsidR="00987085" w:rsidRPr="006A5E0D" w:rsidRDefault="00987085" w:rsidP="00BF71BC">
            <w:pPr>
              <w:pStyle w:val="NoSpacing"/>
              <w:jc w:val="center"/>
              <w:rPr>
                <w:b/>
                <w:bCs/>
                <w:color w:val="000000" w:themeColor="text1"/>
              </w:rPr>
            </w:pPr>
            <w:r>
              <w:rPr>
                <w:b/>
                <w:bCs/>
                <w:color w:val="000000" w:themeColor="text1"/>
              </w:rPr>
              <w:t>Poorer SRGH</w:t>
            </w:r>
          </w:p>
        </w:tc>
      </w:tr>
      <w:tr w:rsidR="00987085" w:rsidRPr="000E4780" w:rsidTr="00BF71BC">
        <w:tc>
          <w:tcPr>
            <w:tcW w:w="0" w:type="auto"/>
          </w:tcPr>
          <w:p w:rsidR="00987085" w:rsidRPr="006A5E0D" w:rsidRDefault="00987085" w:rsidP="00BF71BC">
            <w:pPr>
              <w:pStyle w:val="NoSpacing"/>
              <w:rPr>
                <w:b/>
                <w:bCs/>
                <w:color w:val="000000" w:themeColor="text1"/>
              </w:rPr>
            </w:pPr>
            <w:r>
              <w:rPr>
                <w:b/>
                <w:bCs/>
                <w:color w:val="000000" w:themeColor="text1"/>
              </w:rPr>
              <w:t>GB</w:t>
            </w:r>
          </w:p>
        </w:tc>
        <w:tc>
          <w:tcPr>
            <w:tcW w:w="0" w:type="auto"/>
          </w:tcPr>
          <w:p w:rsidR="00987085" w:rsidRPr="00942DD7" w:rsidRDefault="00987085" w:rsidP="00BF71BC">
            <w:pPr>
              <w:pStyle w:val="NoSpacing"/>
              <w:jc w:val="center"/>
              <w:rPr>
                <w:color w:val="000000" w:themeColor="text1"/>
              </w:rPr>
            </w:pPr>
            <w:r w:rsidRPr="00942DD7">
              <w:rPr>
                <w:color w:val="000000" w:themeColor="text1"/>
              </w:rPr>
              <w:t>6.87</w:t>
            </w:r>
          </w:p>
        </w:tc>
        <w:tc>
          <w:tcPr>
            <w:tcW w:w="0" w:type="auto"/>
          </w:tcPr>
          <w:p w:rsidR="00987085" w:rsidRPr="00942DD7" w:rsidRDefault="00987085" w:rsidP="00BF71BC">
            <w:pPr>
              <w:pStyle w:val="NoSpacing"/>
              <w:jc w:val="center"/>
              <w:rPr>
                <w:color w:val="000000" w:themeColor="text1"/>
              </w:rPr>
            </w:pPr>
            <w:r w:rsidRPr="00942DD7">
              <w:rPr>
                <w:color w:val="000000" w:themeColor="text1"/>
              </w:rPr>
              <w:t>6.58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7.16</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0.87</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0.86</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0.89</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FF54DD" w:rsidP="00E86B4C">
            <w:pPr>
              <w:pStyle w:val="NoSpacing"/>
              <w:rPr>
                <w:color w:val="000000" w:themeColor="text1"/>
              </w:rPr>
            </w:pPr>
            <w:r>
              <w:rPr>
                <w:color w:val="000000" w:themeColor="text1"/>
              </w:rPr>
              <w:t>0.828</w:t>
            </w:r>
            <w:r w:rsidR="00987085" w:rsidRPr="00942DD7">
              <w:rPr>
                <w:color w:val="000000" w:themeColor="text1"/>
              </w:rPr>
              <w:t>**</w:t>
            </w:r>
          </w:p>
        </w:tc>
      </w:tr>
      <w:tr w:rsidR="00987085" w:rsidRPr="000E4780" w:rsidTr="00BF71BC">
        <w:tc>
          <w:tcPr>
            <w:tcW w:w="0" w:type="auto"/>
          </w:tcPr>
          <w:p w:rsidR="00987085" w:rsidRPr="006A5E0D" w:rsidRDefault="00987085" w:rsidP="00BF71BC">
            <w:pPr>
              <w:pStyle w:val="NoSpacing"/>
              <w:rPr>
                <w:b/>
                <w:bCs/>
                <w:color w:val="000000" w:themeColor="text1"/>
              </w:rPr>
            </w:pPr>
            <w:r>
              <w:rPr>
                <w:b/>
                <w:bCs/>
                <w:color w:val="000000" w:themeColor="text1"/>
              </w:rPr>
              <w:t>England</w:t>
            </w:r>
          </w:p>
        </w:tc>
        <w:tc>
          <w:tcPr>
            <w:tcW w:w="0" w:type="auto"/>
          </w:tcPr>
          <w:p w:rsidR="00987085" w:rsidRPr="00942DD7" w:rsidRDefault="00987085" w:rsidP="00BF71BC">
            <w:pPr>
              <w:pStyle w:val="NoSpacing"/>
              <w:jc w:val="center"/>
              <w:rPr>
                <w:color w:val="000000" w:themeColor="text1"/>
              </w:rPr>
            </w:pPr>
            <w:r w:rsidRPr="00942DD7">
              <w:rPr>
                <w:color w:val="000000" w:themeColor="text1"/>
              </w:rPr>
              <w:t>4.98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4.75</w:t>
            </w:r>
          </w:p>
        </w:tc>
        <w:tc>
          <w:tcPr>
            <w:tcW w:w="0" w:type="auto"/>
          </w:tcPr>
          <w:p w:rsidR="00987085" w:rsidRPr="00942DD7" w:rsidRDefault="00987085" w:rsidP="00BF71BC">
            <w:pPr>
              <w:pStyle w:val="NoSpacing"/>
              <w:jc w:val="center"/>
              <w:rPr>
                <w:color w:val="000000" w:themeColor="text1"/>
              </w:rPr>
            </w:pPr>
            <w:r w:rsidRPr="00942DD7">
              <w:rPr>
                <w:color w:val="000000" w:themeColor="text1"/>
              </w:rPr>
              <w:t>5.21</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0.95</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0.94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0.96</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FF54DD" w:rsidP="00E86B4C">
            <w:pPr>
              <w:pStyle w:val="NoSpacing"/>
              <w:rPr>
                <w:color w:val="000000" w:themeColor="text1"/>
              </w:rPr>
            </w:pPr>
            <w:r>
              <w:rPr>
                <w:color w:val="000000" w:themeColor="text1"/>
              </w:rPr>
              <w:t>0.916</w:t>
            </w:r>
            <w:r w:rsidR="00987085" w:rsidRPr="00942DD7">
              <w:rPr>
                <w:color w:val="000000" w:themeColor="text1"/>
              </w:rPr>
              <w:t>**</w:t>
            </w:r>
          </w:p>
        </w:tc>
      </w:tr>
      <w:tr w:rsidR="00987085" w:rsidRPr="000E4780" w:rsidTr="00BF71BC">
        <w:tc>
          <w:tcPr>
            <w:tcW w:w="0" w:type="auto"/>
          </w:tcPr>
          <w:p w:rsidR="00987085" w:rsidRPr="006A5E0D" w:rsidRDefault="00987085" w:rsidP="00BF71BC">
            <w:pPr>
              <w:pStyle w:val="NoSpacing"/>
              <w:rPr>
                <w:b/>
                <w:bCs/>
                <w:color w:val="000000" w:themeColor="text1"/>
              </w:rPr>
            </w:pPr>
            <w:r>
              <w:rPr>
                <w:b/>
                <w:bCs/>
                <w:color w:val="000000" w:themeColor="text1"/>
              </w:rPr>
              <w:t>Scotland</w:t>
            </w:r>
          </w:p>
        </w:tc>
        <w:tc>
          <w:tcPr>
            <w:tcW w:w="0" w:type="auto"/>
          </w:tcPr>
          <w:p w:rsidR="00987085" w:rsidRPr="00942DD7" w:rsidRDefault="00987085" w:rsidP="00BF71BC">
            <w:pPr>
              <w:pStyle w:val="NoSpacing"/>
              <w:jc w:val="center"/>
              <w:rPr>
                <w:color w:val="000000" w:themeColor="text1"/>
              </w:rPr>
            </w:pPr>
            <w:r w:rsidRPr="00942DD7">
              <w:rPr>
                <w:color w:val="000000" w:themeColor="text1"/>
              </w:rPr>
              <w:t>8.64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8.18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9.10</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0.96</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0.94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0.98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E86B4C">
            <w:pPr>
              <w:pStyle w:val="NoSpacing"/>
              <w:rPr>
                <w:color w:val="000000" w:themeColor="text1"/>
              </w:rPr>
            </w:pPr>
            <w:r w:rsidRPr="00942DD7">
              <w:rPr>
                <w:color w:val="000000" w:themeColor="text1"/>
              </w:rPr>
              <w:t>0.93</w:t>
            </w:r>
            <w:r w:rsidR="00FF54DD">
              <w:rPr>
                <w:color w:val="000000" w:themeColor="text1"/>
              </w:rPr>
              <w:t>3</w:t>
            </w:r>
            <w:r w:rsidRPr="00942DD7">
              <w:rPr>
                <w:color w:val="000000" w:themeColor="text1"/>
              </w:rPr>
              <w:t>**</w:t>
            </w:r>
          </w:p>
        </w:tc>
      </w:tr>
      <w:tr w:rsidR="00987085" w:rsidRPr="000E4780" w:rsidTr="00BF71BC">
        <w:tc>
          <w:tcPr>
            <w:tcW w:w="0" w:type="auto"/>
          </w:tcPr>
          <w:p w:rsidR="00987085" w:rsidRPr="006A5E0D" w:rsidRDefault="00987085" w:rsidP="00BF71BC">
            <w:pPr>
              <w:pStyle w:val="NoSpacing"/>
              <w:rPr>
                <w:b/>
                <w:bCs/>
                <w:color w:val="000000" w:themeColor="text1"/>
              </w:rPr>
            </w:pPr>
            <w:r w:rsidRPr="006A5E0D">
              <w:rPr>
                <w:b/>
                <w:bCs/>
                <w:color w:val="000000" w:themeColor="text1"/>
              </w:rPr>
              <w:t>W</w:t>
            </w:r>
            <w:r>
              <w:rPr>
                <w:b/>
                <w:bCs/>
                <w:color w:val="000000" w:themeColor="text1"/>
              </w:rPr>
              <w:t>ales</w:t>
            </w:r>
          </w:p>
        </w:tc>
        <w:tc>
          <w:tcPr>
            <w:tcW w:w="0" w:type="auto"/>
          </w:tcPr>
          <w:p w:rsidR="00987085" w:rsidRPr="00942DD7" w:rsidRDefault="00987085" w:rsidP="00BF71BC">
            <w:pPr>
              <w:pStyle w:val="NoSpacing"/>
              <w:jc w:val="center"/>
              <w:rPr>
                <w:color w:val="000000" w:themeColor="text1"/>
              </w:rPr>
            </w:pPr>
            <w:r w:rsidRPr="00942DD7">
              <w:rPr>
                <w:color w:val="000000" w:themeColor="text1"/>
              </w:rPr>
              <w:t>3.76</w:t>
            </w:r>
          </w:p>
        </w:tc>
        <w:tc>
          <w:tcPr>
            <w:tcW w:w="0" w:type="auto"/>
          </w:tcPr>
          <w:p w:rsidR="00987085" w:rsidRPr="00942DD7" w:rsidRDefault="00987085" w:rsidP="00BF71BC">
            <w:pPr>
              <w:pStyle w:val="NoSpacing"/>
              <w:jc w:val="center"/>
              <w:rPr>
                <w:color w:val="000000" w:themeColor="text1"/>
              </w:rPr>
            </w:pPr>
            <w:r w:rsidRPr="00942DD7">
              <w:rPr>
                <w:color w:val="000000" w:themeColor="text1"/>
              </w:rPr>
              <w:t>2.04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5.49</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0.68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0.62</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0.75</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E86B4C">
            <w:pPr>
              <w:pStyle w:val="NoSpacing"/>
              <w:rPr>
                <w:color w:val="000000" w:themeColor="text1"/>
              </w:rPr>
            </w:pPr>
            <w:r w:rsidRPr="00942DD7">
              <w:rPr>
                <w:color w:val="000000" w:themeColor="text1"/>
              </w:rPr>
              <w:t>0.7</w:t>
            </w:r>
            <w:r w:rsidR="00FF54DD">
              <w:rPr>
                <w:color w:val="000000" w:themeColor="text1"/>
              </w:rPr>
              <w:t>19</w:t>
            </w:r>
            <w:r w:rsidRPr="00942DD7">
              <w:rPr>
                <w:color w:val="000000" w:themeColor="text1"/>
              </w:rPr>
              <w:t>*</w:t>
            </w:r>
          </w:p>
        </w:tc>
      </w:tr>
      <w:tr w:rsidR="00987085" w:rsidRPr="000E4780" w:rsidTr="00BF71BC">
        <w:tc>
          <w:tcPr>
            <w:tcW w:w="0" w:type="auto"/>
            <w:gridSpan w:val="10"/>
          </w:tcPr>
          <w:p w:rsidR="00987085" w:rsidRPr="00942DD7" w:rsidRDefault="00987085" w:rsidP="00E86B4C">
            <w:pPr>
              <w:pStyle w:val="NoSpacing"/>
              <w:rPr>
                <w:b/>
                <w:bCs/>
                <w:color w:val="000000" w:themeColor="text1"/>
              </w:rPr>
            </w:pPr>
            <w:r w:rsidRPr="00942DD7">
              <w:rPr>
                <w:b/>
                <w:bCs/>
                <w:color w:val="000000" w:themeColor="text1"/>
              </w:rPr>
              <w:t>LLTI</w:t>
            </w:r>
          </w:p>
        </w:tc>
      </w:tr>
      <w:tr w:rsidR="00987085" w:rsidRPr="000E4780" w:rsidTr="00BF71BC">
        <w:tc>
          <w:tcPr>
            <w:tcW w:w="0" w:type="auto"/>
          </w:tcPr>
          <w:p w:rsidR="00987085" w:rsidRPr="00942DD7" w:rsidRDefault="00987085" w:rsidP="00BF71BC">
            <w:pPr>
              <w:pStyle w:val="NoSpacing"/>
              <w:rPr>
                <w:b/>
                <w:bCs/>
                <w:color w:val="000000" w:themeColor="text1"/>
              </w:rPr>
            </w:pPr>
            <w:r>
              <w:rPr>
                <w:b/>
                <w:bCs/>
                <w:color w:val="000000" w:themeColor="text1"/>
              </w:rPr>
              <w:t>GB</w:t>
            </w:r>
          </w:p>
        </w:tc>
        <w:tc>
          <w:tcPr>
            <w:tcW w:w="0" w:type="auto"/>
          </w:tcPr>
          <w:p w:rsidR="00987085" w:rsidRPr="00942DD7" w:rsidRDefault="00987085" w:rsidP="00BF71BC">
            <w:pPr>
              <w:pStyle w:val="NoSpacing"/>
              <w:jc w:val="center"/>
              <w:rPr>
                <w:color w:val="000000" w:themeColor="text1"/>
              </w:rPr>
            </w:pPr>
            <w:r w:rsidRPr="00942DD7">
              <w:rPr>
                <w:color w:val="000000" w:themeColor="text1"/>
              </w:rPr>
              <w:t>9.24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8.99</w:t>
            </w:r>
          </w:p>
        </w:tc>
        <w:tc>
          <w:tcPr>
            <w:tcW w:w="0" w:type="auto"/>
          </w:tcPr>
          <w:p w:rsidR="00987085" w:rsidRPr="00942DD7" w:rsidRDefault="00987085" w:rsidP="00BF71BC">
            <w:pPr>
              <w:pStyle w:val="NoSpacing"/>
              <w:jc w:val="center"/>
              <w:rPr>
                <w:color w:val="000000" w:themeColor="text1"/>
              </w:rPr>
            </w:pPr>
            <w:r w:rsidRPr="00942DD7">
              <w:rPr>
                <w:color w:val="000000" w:themeColor="text1"/>
              </w:rPr>
              <w:t>9.50</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0.79</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0.78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0.81</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E86B4C">
            <w:pPr>
              <w:pStyle w:val="NoSpacing"/>
              <w:rPr>
                <w:color w:val="000000" w:themeColor="text1"/>
              </w:rPr>
            </w:pPr>
            <w:r w:rsidRPr="00942DD7">
              <w:rPr>
                <w:color w:val="000000" w:themeColor="text1"/>
              </w:rPr>
              <w:t>0.83</w:t>
            </w:r>
            <w:r w:rsidR="00FF54DD">
              <w:rPr>
                <w:color w:val="000000" w:themeColor="text1"/>
              </w:rPr>
              <w:t>2</w:t>
            </w:r>
            <w:r w:rsidRPr="00942DD7">
              <w:rPr>
                <w:color w:val="000000" w:themeColor="text1"/>
              </w:rPr>
              <w:t>**</w:t>
            </w:r>
          </w:p>
        </w:tc>
      </w:tr>
      <w:tr w:rsidR="00987085" w:rsidRPr="000E4780" w:rsidTr="00BF71BC">
        <w:tc>
          <w:tcPr>
            <w:tcW w:w="0" w:type="auto"/>
          </w:tcPr>
          <w:p w:rsidR="00987085" w:rsidRPr="00942DD7" w:rsidRDefault="00987085" w:rsidP="00BF71BC">
            <w:pPr>
              <w:pStyle w:val="NoSpacing"/>
              <w:rPr>
                <w:b/>
                <w:bCs/>
                <w:color w:val="000000" w:themeColor="text1"/>
              </w:rPr>
            </w:pPr>
            <w:r>
              <w:rPr>
                <w:b/>
                <w:bCs/>
                <w:color w:val="000000" w:themeColor="text1"/>
              </w:rPr>
              <w:t>England</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10.56</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10.36</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10.74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0.68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0.67</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0.69</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E86B4C">
            <w:pPr>
              <w:pStyle w:val="NoSpacing"/>
              <w:rPr>
                <w:color w:val="000000" w:themeColor="text1"/>
              </w:rPr>
            </w:pPr>
            <w:r w:rsidRPr="00942DD7">
              <w:rPr>
                <w:color w:val="000000" w:themeColor="text1"/>
              </w:rPr>
              <w:t>0.89</w:t>
            </w:r>
            <w:r w:rsidR="00FF54DD">
              <w:rPr>
                <w:color w:val="000000" w:themeColor="text1"/>
              </w:rPr>
              <w:t>5</w:t>
            </w:r>
            <w:r w:rsidRPr="00942DD7">
              <w:rPr>
                <w:color w:val="000000" w:themeColor="text1"/>
              </w:rPr>
              <w:t>**</w:t>
            </w:r>
          </w:p>
        </w:tc>
      </w:tr>
      <w:tr w:rsidR="00987085" w:rsidRPr="000E4780" w:rsidTr="00BF71BC">
        <w:tc>
          <w:tcPr>
            <w:tcW w:w="0" w:type="auto"/>
          </w:tcPr>
          <w:p w:rsidR="00987085" w:rsidRPr="00942DD7" w:rsidRDefault="00987085" w:rsidP="00BF71BC">
            <w:pPr>
              <w:pStyle w:val="NoSpacing"/>
              <w:rPr>
                <w:b/>
                <w:bCs/>
                <w:color w:val="000000" w:themeColor="text1"/>
              </w:rPr>
            </w:pPr>
            <w:r>
              <w:rPr>
                <w:b/>
                <w:bCs/>
                <w:color w:val="000000" w:themeColor="text1"/>
              </w:rPr>
              <w:t>Scotland</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13.31</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12.87</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13.74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0.79</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0.77</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0.81</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E86B4C">
            <w:pPr>
              <w:pStyle w:val="NoSpacing"/>
              <w:rPr>
                <w:color w:val="000000" w:themeColor="text1"/>
              </w:rPr>
            </w:pPr>
            <w:r w:rsidRPr="00942DD7">
              <w:rPr>
                <w:color w:val="000000" w:themeColor="text1"/>
              </w:rPr>
              <w:t>0.92</w:t>
            </w:r>
            <w:r w:rsidR="00FF54DD">
              <w:rPr>
                <w:color w:val="000000" w:themeColor="text1"/>
              </w:rPr>
              <w:t>2</w:t>
            </w:r>
            <w:r w:rsidRPr="00942DD7">
              <w:rPr>
                <w:color w:val="000000" w:themeColor="text1"/>
              </w:rPr>
              <w:t>**</w:t>
            </w:r>
          </w:p>
        </w:tc>
      </w:tr>
      <w:tr w:rsidR="00987085" w:rsidRPr="000E4780" w:rsidTr="00BF71BC">
        <w:tc>
          <w:tcPr>
            <w:tcW w:w="0" w:type="auto"/>
          </w:tcPr>
          <w:p w:rsidR="00987085" w:rsidRPr="00942DD7" w:rsidRDefault="00987085" w:rsidP="00BF71BC">
            <w:pPr>
              <w:pStyle w:val="NoSpacing"/>
              <w:rPr>
                <w:b/>
                <w:bCs/>
                <w:color w:val="000000" w:themeColor="text1"/>
              </w:rPr>
            </w:pPr>
            <w:r>
              <w:rPr>
                <w:b/>
                <w:bCs/>
                <w:color w:val="000000" w:themeColor="text1"/>
              </w:rPr>
              <w:lastRenderedPageBreak/>
              <w:t>Wales</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17.98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16.48</w:t>
            </w:r>
          </w:p>
        </w:tc>
        <w:tc>
          <w:tcPr>
            <w:tcW w:w="0" w:type="auto"/>
          </w:tcPr>
          <w:p w:rsidR="00987085" w:rsidRPr="00942DD7" w:rsidRDefault="00987085" w:rsidP="00BF71BC">
            <w:pPr>
              <w:pStyle w:val="NoSpacing"/>
              <w:jc w:val="center"/>
              <w:rPr>
                <w:color w:val="000000" w:themeColor="text1"/>
              </w:rPr>
            </w:pPr>
            <w:r w:rsidRPr="00942DD7">
              <w:rPr>
                <w:color w:val="000000" w:themeColor="text1"/>
              </w:rPr>
              <w:t>19.47</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0.69</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0.64</w:t>
            </w:r>
          </w:p>
        </w:tc>
        <w:tc>
          <w:tcPr>
            <w:tcW w:w="0" w:type="auto"/>
          </w:tcPr>
          <w:p w:rsidR="00987085" w:rsidRPr="00942DD7" w:rsidRDefault="00987085" w:rsidP="00BF71BC">
            <w:pPr>
              <w:pStyle w:val="NoSpacing"/>
              <w:jc w:val="center"/>
              <w:rPr>
                <w:color w:val="000000" w:themeColor="text1"/>
              </w:rPr>
            </w:pPr>
            <w:r w:rsidRPr="00942DD7">
              <w:rPr>
                <w:color w:val="000000" w:themeColor="text1"/>
              </w:rPr>
              <w:t>0.75</w:t>
            </w:r>
          </w:p>
        </w:tc>
        <w:tc>
          <w:tcPr>
            <w:tcW w:w="0" w:type="auto"/>
          </w:tcPr>
          <w:p w:rsidR="00987085" w:rsidRPr="00942DD7" w:rsidRDefault="00987085" w:rsidP="00BF71BC">
            <w:pPr>
              <w:pStyle w:val="NoSpacing"/>
              <w:jc w:val="center"/>
              <w:rPr>
                <w:color w:val="000000" w:themeColor="text1"/>
              </w:rPr>
            </w:pPr>
            <w:r w:rsidRPr="00942DD7">
              <w:rPr>
                <w:color w:val="000000" w:themeColor="text1"/>
              </w:rPr>
              <w:t>X</w:t>
            </w:r>
          </w:p>
        </w:tc>
        <w:tc>
          <w:tcPr>
            <w:tcW w:w="0" w:type="auto"/>
          </w:tcPr>
          <w:p w:rsidR="00987085" w:rsidRPr="00942DD7" w:rsidRDefault="00987085" w:rsidP="00E86B4C">
            <w:pPr>
              <w:pStyle w:val="NoSpacing"/>
              <w:rPr>
                <w:color w:val="000000" w:themeColor="text1"/>
              </w:rPr>
            </w:pPr>
            <w:r w:rsidRPr="00942DD7">
              <w:rPr>
                <w:color w:val="000000" w:themeColor="text1"/>
              </w:rPr>
              <w:t>0.7</w:t>
            </w:r>
            <w:r w:rsidR="00FF54DD">
              <w:rPr>
                <w:color w:val="000000" w:themeColor="text1"/>
              </w:rPr>
              <w:t>8</w:t>
            </w:r>
            <w:r w:rsidRPr="00942DD7">
              <w:rPr>
                <w:color w:val="000000" w:themeColor="text1"/>
              </w:rPr>
              <w:t>9*</w:t>
            </w:r>
          </w:p>
        </w:tc>
      </w:tr>
    </w:tbl>
    <w:p w:rsidR="00987085" w:rsidRPr="00604335" w:rsidRDefault="00987085" w:rsidP="00987085">
      <w:pPr>
        <w:pStyle w:val="NoSpacing"/>
        <w:rPr>
          <w:color w:val="000000" w:themeColor="text1"/>
        </w:rPr>
      </w:pPr>
      <w:r w:rsidRPr="00604335">
        <w:rPr>
          <w:color w:val="000000" w:themeColor="text1"/>
        </w:rPr>
        <w:t>*significant p&lt;0.05</w:t>
      </w:r>
    </w:p>
    <w:p w:rsidR="00987085" w:rsidRPr="00604335" w:rsidRDefault="00987085" w:rsidP="00987085">
      <w:pPr>
        <w:pStyle w:val="NoSpacing"/>
        <w:rPr>
          <w:color w:val="000000" w:themeColor="text1"/>
        </w:rPr>
      </w:pPr>
      <w:r w:rsidRPr="00604335">
        <w:rPr>
          <w:color w:val="000000" w:themeColor="text1"/>
        </w:rPr>
        <w:t>**significant p&lt;0.01</w:t>
      </w:r>
    </w:p>
    <w:p w:rsidR="00987085" w:rsidRDefault="00987085" w:rsidP="00987085">
      <w:pPr>
        <w:pStyle w:val="NoSpacing"/>
        <w:rPr>
          <w:rFonts w:cstheme="minorHAnsi"/>
          <w:color w:val="000000" w:themeColor="text1"/>
        </w:rPr>
      </w:pPr>
    </w:p>
    <w:p w:rsidR="003518B5" w:rsidRPr="005C4584" w:rsidRDefault="008D72CC" w:rsidP="00F92813">
      <w:pPr>
        <w:pStyle w:val="Heading1"/>
        <w:spacing w:line="480" w:lineRule="auto"/>
      </w:pPr>
      <w:r w:rsidRPr="005C4584">
        <w:t>Discussion</w:t>
      </w:r>
    </w:p>
    <w:p w:rsidR="004652C2" w:rsidRDefault="00447B9A" w:rsidP="004652C2">
      <w:pPr>
        <w:pStyle w:val="NoSpacing"/>
        <w:spacing w:after="240" w:line="480" w:lineRule="auto"/>
      </w:pPr>
      <w:r>
        <w:t xml:space="preserve">Even with jurisdictions as closely associated as England, Scotland and Wales and ongoing </w:t>
      </w:r>
      <w:r w:rsidR="002A0A1A">
        <w:t xml:space="preserve">UK-wide </w:t>
      </w:r>
      <w:r>
        <w:t>attempts at harmonising questions in health and other routine national surveys, there remain differences in wording and format that pose difficulties for SAE when it comes to linking survey input data across geographical settings. Overcoming these difficulties requires compromise and accommodation but is possible. In response to our first objective, we have shown how a cross-setting dataset can be developed as the basis for a parsimonious SAE model reflecting the key social determinants of poorer SRGH and L</w:t>
      </w:r>
      <w:r w:rsidR="004652C2">
        <w:t>LTI.</w:t>
      </w:r>
    </w:p>
    <w:p w:rsidR="002B0F46" w:rsidRDefault="00447B9A" w:rsidP="000A70D9">
      <w:pPr>
        <w:pStyle w:val="NoSpacing"/>
        <w:spacing w:line="480" w:lineRule="auto"/>
      </w:pPr>
      <w:r>
        <w:t>Our second objective entailed comparing our SAEs with</w:t>
      </w:r>
      <w:r w:rsidR="00C86047">
        <w:t xml:space="preserve"> matched and contemporaneous MS</w:t>
      </w:r>
      <w:r>
        <w:t>O</w:t>
      </w:r>
      <w:r w:rsidR="00C86047">
        <w:t>A</w:t>
      </w:r>
      <w:r>
        <w:t xml:space="preserve"> Census data.  Here our results were at best equivocal. While strong correlations were evident, suggesting a </w:t>
      </w:r>
      <w:r w:rsidR="002B0F46">
        <w:t xml:space="preserve">tight association between the two measures running in an expected direction, closer inspection revealed that SAEs tended broadly to exceed Census estimates, and MSOAs in different national contexts returned starkly varying results across the two measures. </w:t>
      </w:r>
      <w:r w:rsidR="00830EDE">
        <w:t>It would, of course, be possible, in the case of this specific example, to</w:t>
      </w:r>
      <w:r w:rsidR="004652C2">
        <w:t xml:space="preserve"> go further and weight</w:t>
      </w:r>
      <w:r w:rsidR="00830EDE">
        <w:t xml:space="preserve"> the </w:t>
      </w:r>
      <w:proofErr w:type="gramStart"/>
      <w:r w:rsidR="00830EDE">
        <w:t>SAEs</w:t>
      </w:r>
      <w:r w:rsidR="004652C2">
        <w:t xml:space="preserve">  with</w:t>
      </w:r>
      <w:proofErr w:type="gramEnd"/>
      <w:r w:rsidR="00830EDE">
        <w:t xml:space="preserve"> the Census data to bring the SAEs closer to the presumed </w:t>
      </w:r>
      <w:r w:rsidR="00D7251A">
        <w:t>(</w:t>
      </w:r>
      <w:r w:rsidR="00830EDE">
        <w:t>Census</w:t>
      </w:r>
      <w:r w:rsidR="00D7251A">
        <w:t>)</w:t>
      </w:r>
      <w:r w:rsidR="00830EDE">
        <w:t xml:space="preserve"> gold standard. More generally however such post hoc adjustment presumes the availability of gold standard data and, in most </w:t>
      </w:r>
      <w:proofErr w:type="gramStart"/>
      <w:r w:rsidR="00830EDE">
        <w:t>cases,</w:t>
      </w:r>
      <w:proofErr w:type="gramEnd"/>
      <w:r w:rsidR="00830EDE">
        <w:t xml:space="preserve"> SAEs are created to fill the gaps occasioned by the absence of such data</w:t>
      </w:r>
      <w:r w:rsidR="00D7251A">
        <w:t xml:space="preserve"> </w:t>
      </w:r>
      <w:r w:rsidR="004652C2">
        <w:t>at a local geographical scale making.</w:t>
      </w:r>
      <w:r w:rsidR="004652C2" w:rsidDel="00D7251A">
        <w:t xml:space="preserve"> </w:t>
      </w:r>
      <w:r w:rsidR="000A70D9">
        <w:t>While p</w:t>
      </w:r>
      <w:r w:rsidR="004652C2">
        <w:t>ost hoc adjustment</w:t>
      </w:r>
      <w:r w:rsidR="000A70D9">
        <w:t xml:space="preserve"> at a local level</w:t>
      </w:r>
      <w:r w:rsidR="004652C2">
        <w:t xml:space="preserve"> is therefore seldom possible, it can </w:t>
      </w:r>
      <w:proofErr w:type="gramStart"/>
      <w:r w:rsidR="004652C2">
        <w:t>be  done</w:t>
      </w:r>
      <w:proofErr w:type="gramEnd"/>
      <w:r w:rsidR="004652C2">
        <w:t xml:space="preserve"> when</w:t>
      </w:r>
      <w:r w:rsidR="000A70D9">
        <w:t xml:space="preserve"> gold standard data are available at a higher spatial level, ensuring for example that local SAEs sum to known higher level figures.                                                 </w:t>
      </w:r>
    </w:p>
    <w:p w:rsidR="002B0F46" w:rsidRDefault="002B0F46" w:rsidP="004652C2">
      <w:pPr>
        <w:pStyle w:val="NoSpacing"/>
        <w:spacing w:line="480" w:lineRule="auto"/>
      </w:pPr>
    </w:p>
    <w:p w:rsidR="00A7795D" w:rsidRPr="00297BA6" w:rsidRDefault="002B0F46" w:rsidP="00DC24D8">
      <w:pPr>
        <w:pStyle w:val="NoSpacing"/>
        <w:spacing w:after="240" w:line="480" w:lineRule="auto"/>
        <w:rPr>
          <w:color w:val="000000" w:themeColor="text1"/>
          <w:lang w:eastAsia="zh-TW"/>
        </w:rPr>
      </w:pPr>
      <w:r>
        <w:t xml:space="preserve">Despite this lack of concordance, our </w:t>
      </w:r>
      <w:r w:rsidR="00EA6EE6">
        <w:t>findings</w:t>
      </w:r>
      <w:r>
        <w:t xml:space="preserve"> </w:t>
      </w:r>
      <w:r w:rsidR="00E53432">
        <w:t xml:space="preserve">update previous knowledge on SRGH and LLTI in Great Britain.  </w:t>
      </w:r>
      <w:r w:rsidR="007E53CC">
        <w:t xml:space="preserve">Levels of LLTI were found to be higher in Wales than in </w:t>
      </w:r>
      <w:r w:rsidR="00EA6EE6">
        <w:t>Scotland</w:t>
      </w:r>
      <w:r w:rsidR="007E53CC">
        <w:t xml:space="preserve"> or England using</w:t>
      </w:r>
      <w:r>
        <w:t xml:space="preserve">  </w:t>
      </w:r>
      <w:r w:rsidR="005C4584">
        <w:t xml:space="preserve">1991 </w:t>
      </w:r>
      <w:r w:rsidR="005B7B7D" w:rsidRPr="003518B5">
        <w:t xml:space="preserve">Census </w:t>
      </w:r>
      <w:r w:rsidR="007E53CC">
        <w:t xml:space="preserve">data </w:t>
      </w:r>
      <w:r w:rsidR="005B7B7D" w:rsidRPr="003518B5">
        <w:fldChar w:fldCharType="begin"/>
      </w:r>
      <w:r w:rsidR="00DC24D8">
        <w:instrText xml:space="preserve"> ADDIN EN.CITE &lt;EndNote&gt;&lt;Cite&gt;&lt;Author&gt;Gould&lt;/Author&gt;&lt;Year&gt;1996&lt;/Year&gt;&lt;RecNum&gt;977&lt;/RecNum&gt;&lt;DisplayText&gt;[31]&lt;/DisplayText&gt;&lt;record&gt;&lt;rec-number&gt;977&lt;/rec-number&gt;&lt;foreign-keys&gt;&lt;key app="EN" db-id="erwxtz291d059ve0f2m520v7a0v5d0w5ep2r"&gt;977&lt;/key&gt;&lt;/foreign-keys&gt;&lt;ref-type name="Journal Article"&gt;17&lt;/ref-type&gt;&lt;contributors&gt;&lt;authors&gt;&lt;author&gt;Gould, Myles&lt;/author&gt;&lt;author&gt;Jones, Kelvyn&lt;/author&gt;&lt;/authors&gt;&lt;/contributors&gt;&lt;titles&gt;&lt;title&gt;Analyzing perceived limiting long-term illness using UK census microdata&lt;/title&gt;&lt;secondary-title&gt;Social Science &amp;amp; Medicine&lt;/secondary-title&gt;&lt;/titles&gt;&lt;periodical&gt;&lt;full-title&gt;Social Science &amp;amp; Medicine&lt;/full-title&gt;&lt;/periodical&gt;&lt;pages&gt;857-869&lt;/pages&gt;&lt;volume&gt;42&lt;/volume&gt;&lt;number&gt;6&lt;/number&gt;&lt;dates&gt;&lt;year&gt;1996&lt;/year&gt;&lt;/dates&gt;&lt;isbn&gt;0277-9536&lt;/isbn&gt;&lt;urls&gt;&lt;related-urls&gt;&lt;url&gt;http://www.sciencedirect.com/science/article/pii/0277953695001840&lt;/url&gt;&lt;/related-urls&gt;&lt;/urls&gt;&lt;/record&gt;&lt;/Cite&gt;&lt;/EndNote&gt;</w:instrText>
      </w:r>
      <w:r w:rsidR="005B7B7D" w:rsidRPr="003518B5">
        <w:fldChar w:fldCharType="separate"/>
      </w:r>
      <w:r w:rsidR="00DC24D8">
        <w:rPr>
          <w:noProof/>
        </w:rPr>
        <w:t>[</w:t>
      </w:r>
      <w:hyperlink w:anchor="_ENREF_31" w:tooltip="Gould, 1996 #977" w:history="1">
        <w:r w:rsidR="00DC24D8">
          <w:rPr>
            <w:noProof/>
          </w:rPr>
          <w:t>31</w:t>
        </w:r>
      </w:hyperlink>
      <w:r w:rsidR="00DC24D8">
        <w:rPr>
          <w:noProof/>
        </w:rPr>
        <w:t>]</w:t>
      </w:r>
      <w:r w:rsidR="005B7B7D" w:rsidRPr="003518B5">
        <w:fldChar w:fldCharType="end"/>
      </w:r>
      <w:r w:rsidR="005B7B7D" w:rsidRPr="003518B5">
        <w:t>.</w:t>
      </w:r>
      <w:r w:rsidR="009B1ECB" w:rsidRPr="003518B5">
        <w:t xml:space="preserve"> </w:t>
      </w:r>
      <w:r w:rsidR="007E53CC">
        <w:t>This situation still persists</w:t>
      </w:r>
      <w:r w:rsidR="004468EA">
        <w:t xml:space="preserve"> and is evident in our SAEs, which run counter to suggestions that models </w:t>
      </w:r>
      <w:r w:rsidR="009B1ECB" w:rsidRPr="003518B5">
        <w:rPr>
          <w:shd w:val="clear" w:color="auto" w:fill="FFFFFF"/>
        </w:rPr>
        <w:t>under-predict</w:t>
      </w:r>
      <w:r w:rsidR="004468EA">
        <w:rPr>
          <w:shd w:val="clear" w:color="auto" w:fill="FFFFFF"/>
        </w:rPr>
        <w:t xml:space="preserve"> LLTI in Wales but possibly confirm a </w:t>
      </w:r>
      <w:r w:rsidR="000654B5">
        <w:rPr>
          <w:shd w:val="clear" w:color="auto" w:fill="FFFFFF"/>
        </w:rPr>
        <w:t xml:space="preserve">continued </w:t>
      </w:r>
      <w:r w:rsidR="004468EA">
        <w:rPr>
          <w:shd w:val="clear" w:color="auto" w:fill="FFFFFF"/>
        </w:rPr>
        <w:t xml:space="preserve">tendency to over-prediction in Scotland </w:t>
      </w:r>
      <w:r w:rsidR="009B1ECB" w:rsidRPr="003518B5">
        <w:rPr>
          <w:shd w:val="clear" w:color="auto" w:fill="FFFFFF"/>
        </w:rPr>
        <w:fldChar w:fldCharType="begin"/>
      </w:r>
      <w:r w:rsidR="00DC24D8">
        <w:rPr>
          <w:shd w:val="clear" w:color="auto" w:fill="FFFFFF"/>
        </w:rPr>
        <w:instrText xml:space="preserve"> ADDIN EN.CITE &lt;EndNote&gt;&lt;Cite&gt;&lt;Author&gt;Senior&lt;/Author&gt;&lt;Year&gt;1998&lt;/Year&gt;&lt;RecNum&gt;688&lt;/RecNum&gt;&lt;DisplayText&gt;[32]&lt;/DisplayText&gt;&lt;record&gt;&lt;rec-number&gt;688&lt;/rec-number&gt;&lt;foreign-keys&gt;&lt;key app="EN" db-id="v52zta5tsa9ezsezdzlv2zvd9rswwpvzdt9f"&gt;688&lt;/key&gt;&lt;/foreign-keys&gt;&lt;ref-type name="Journal Article"&gt;17&lt;/ref-type&gt;&lt;contributors&gt;&lt;authors&gt;&lt;author&gt;Senior, M.L.&lt;/author&gt;&lt;/authors&gt;&lt;/contributors&gt;&lt;titles&gt;&lt;title&gt;Area Variations in Self-perceived Limiting Long Term Illness in Britain, 1991: Is the Welsh Experience Exceptional?, &lt;/title&gt;&lt;secondary-title&gt;Regional Studies&lt;/secondary-title&gt;&lt;/titles&gt;&lt;periodical&gt;&lt;full-title&gt;Regional Studies&lt;/full-title&gt;&lt;/periodical&gt;&lt;pages&gt;265-280&lt;/pages&gt;&lt;volume&gt;32&lt;/volume&gt;&lt;number&gt;3&lt;/number&gt;&lt;dates&gt;&lt;year&gt;1998&lt;/year&gt;&lt;/dates&gt;&lt;urls&gt;&lt;/urls&gt;&lt;/record&gt;&lt;/Cite&gt;&lt;/EndNote&gt;</w:instrText>
      </w:r>
      <w:r w:rsidR="009B1ECB" w:rsidRPr="003518B5">
        <w:rPr>
          <w:shd w:val="clear" w:color="auto" w:fill="FFFFFF"/>
        </w:rPr>
        <w:fldChar w:fldCharType="separate"/>
      </w:r>
      <w:r w:rsidR="00DC24D8">
        <w:rPr>
          <w:noProof/>
          <w:shd w:val="clear" w:color="auto" w:fill="FFFFFF"/>
        </w:rPr>
        <w:t>[</w:t>
      </w:r>
      <w:hyperlink w:anchor="_ENREF_32" w:tooltip="Senior, 1998 #688" w:history="1">
        <w:r w:rsidR="00DC24D8">
          <w:rPr>
            <w:noProof/>
            <w:shd w:val="clear" w:color="auto" w:fill="FFFFFF"/>
          </w:rPr>
          <w:t>32</w:t>
        </w:r>
      </w:hyperlink>
      <w:r w:rsidR="00DC24D8">
        <w:rPr>
          <w:noProof/>
          <w:shd w:val="clear" w:color="auto" w:fill="FFFFFF"/>
        </w:rPr>
        <w:t>]</w:t>
      </w:r>
      <w:r w:rsidR="009B1ECB" w:rsidRPr="003518B5">
        <w:rPr>
          <w:shd w:val="clear" w:color="auto" w:fill="FFFFFF"/>
        </w:rPr>
        <w:fldChar w:fldCharType="end"/>
      </w:r>
      <w:r w:rsidR="009B1ECB" w:rsidRPr="003518B5">
        <w:rPr>
          <w:shd w:val="clear" w:color="auto" w:fill="FFFFFF"/>
        </w:rPr>
        <w:t xml:space="preserve">. </w:t>
      </w:r>
      <w:r w:rsidR="00A7795D">
        <w:rPr>
          <w:rFonts w:cs="Helvetica"/>
          <w:color w:val="000000" w:themeColor="text1"/>
        </w:rPr>
        <w:t xml:space="preserve">2001 Census data was used  to highlight higher rates of </w:t>
      </w:r>
      <w:r w:rsidR="000654B5">
        <w:rPr>
          <w:rFonts w:cs="Helvetica"/>
          <w:color w:val="000000" w:themeColor="text1"/>
        </w:rPr>
        <w:t xml:space="preserve">poor </w:t>
      </w:r>
      <w:r w:rsidR="00A7795D">
        <w:rPr>
          <w:rFonts w:cs="Helvetica"/>
          <w:color w:val="000000" w:themeColor="text1"/>
        </w:rPr>
        <w:t xml:space="preserve">SRGH </w:t>
      </w:r>
      <w:r w:rsidR="000654B5">
        <w:rPr>
          <w:rFonts w:cs="Helvetica"/>
          <w:color w:val="000000" w:themeColor="text1"/>
        </w:rPr>
        <w:t xml:space="preserve">in Wales </w:t>
      </w:r>
      <w:r w:rsidR="00A7795D">
        <w:rPr>
          <w:rFonts w:cs="Helvetica"/>
          <w:color w:val="000000" w:themeColor="text1"/>
        </w:rPr>
        <w:t>compared to the rest of  Great Britain</w:t>
      </w:r>
      <w:r w:rsidR="00A7795D" w:rsidRPr="006E4FBB">
        <w:rPr>
          <w:rFonts w:cs="Helvetica"/>
          <w:color w:val="000000" w:themeColor="text1"/>
        </w:rPr>
        <w:t xml:space="preserve"> </w:t>
      </w:r>
      <w:r w:rsidR="00A7795D" w:rsidRPr="006E4FBB">
        <w:rPr>
          <w:rFonts w:cs="Helvetica"/>
          <w:color w:val="000000" w:themeColor="text1"/>
        </w:rPr>
        <w:fldChar w:fldCharType="begin"/>
      </w:r>
      <w:r w:rsidR="00DC24D8">
        <w:rPr>
          <w:rFonts w:cs="Helvetica"/>
          <w:color w:val="000000" w:themeColor="text1"/>
        </w:rPr>
        <w:instrText xml:space="preserve"> ADDIN EN.CITE &lt;EndNote&gt;&lt;Cite&gt;&lt;Author&gt;Doran&lt;/Author&gt;&lt;Year&gt;2004&lt;/Year&gt;&lt;RecNum&gt;687&lt;/RecNum&gt;&lt;DisplayText&gt;[33]&lt;/DisplayText&gt;&lt;record&gt;&lt;rec-number&gt;687&lt;/rec-number&gt;&lt;foreign-keys&gt;&lt;key app="EN" db-id="v52zta5tsa9ezsezdzlv2zvd9rswwpvzdt9f"&gt;687&lt;/key&gt;&lt;/foreign-keys&gt;&lt;ref-type name="Journal Article"&gt;17&lt;/ref-type&gt;&lt;contributors&gt;&lt;authors&gt;&lt;author&gt;Doran, T.&lt;/author&gt;&lt;/authors&gt;&lt;/contributors&gt;&lt;titles&gt;&lt;title&gt;Is there a north-south divide in social class inequalities in health in Great Britain? Cross sectional study using data from the 2001 census&lt;/title&gt;&lt;secondary-title&gt;BMJ&lt;/secondary-title&gt;&lt;/titles&gt;&lt;periodical&gt;&lt;full-title&gt;BMJ&lt;/full-title&gt;&lt;/periodical&gt;&lt;pages&gt;1043&lt;/pages&gt;&lt;number&gt;328&lt;/number&gt;&lt;dates&gt;&lt;year&gt;2004&lt;/year&gt;&lt;/dates&gt;&lt;urls&gt;&lt;/urls&gt;&lt;/record&gt;&lt;/Cite&gt;&lt;/EndNote&gt;</w:instrText>
      </w:r>
      <w:r w:rsidR="00A7795D" w:rsidRPr="006E4FBB">
        <w:rPr>
          <w:rFonts w:cs="Helvetica"/>
          <w:color w:val="000000" w:themeColor="text1"/>
        </w:rPr>
        <w:fldChar w:fldCharType="separate"/>
      </w:r>
      <w:r w:rsidR="00DC24D8">
        <w:rPr>
          <w:rFonts w:cs="Helvetica"/>
          <w:noProof/>
          <w:color w:val="000000" w:themeColor="text1"/>
        </w:rPr>
        <w:t>[</w:t>
      </w:r>
      <w:hyperlink w:anchor="_ENREF_33" w:tooltip="Doran, 2004 #687" w:history="1">
        <w:r w:rsidR="00DC24D8">
          <w:rPr>
            <w:rFonts w:cs="Helvetica"/>
            <w:noProof/>
            <w:color w:val="000000" w:themeColor="text1"/>
          </w:rPr>
          <w:t>33</w:t>
        </w:r>
      </w:hyperlink>
      <w:r w:rsidR="00DC24D8">
        <w:rPr>
          <w:rFonts w:cs="Helvetica"/>
          <w:noProof/>
          <w:color w:val="000000" w:themeColor="text1"/>
        </w:rPr>
        <w:t>]</w:t>
      </w:r>
      <w:r w:rsidR="00A7795D" w:rsidRPr="006E4FBB">
        <w:rPr>
          <w:rFonts w:cs="Helvetica"/>
          <w:color w:val="000000" w:themeColor="text1"/>
        </w:rPr>
        <w:fldChar w:fldCharType="end"/>
      </w:r>
      <w:r w:rsidR="00A7795D" w:rsidRPr="006E4FBB">
        <w:rPr>
          <w:rFonts w:cs="Helvetica"/>
          <w:color w:val="000000" w:themeColor="text1"/>
        </w:rPr>
        <w:t>.</w:t>
      </w:r>
      <w:r w:rsidR="00A7795D">
        <w:rPr>
          <w:rFonts w:cs="Helvetica"/>
          <w:color w:val="000000" w:themeColor="text1"/>
        </w:rPr>
        <w:t xml:space="preserve"> </w:t>
      </w:r>
      <w:r w:rsidR="00A7795D">
        <w:rPr>
          <w:rFonts w:cs="Helvetica"/>
          <w:color w:val="000000" w:themeColor="text1"/>
          <w:shd w:val="clear" w:color="auto" w:fill="FFFFFF"/>
        </w:rPr>
        <w:t>A</w:t>
      </w:r>
      <w:r w:rsidR="000654B5">
        <w:rPr>
          <w:rFonts w:cs="Helvetica"/>
          <w:color w:val="000000" w:themeColor="text1"/>
          <w:shd w:val="clear" w:color="auto" w:fill="FFFFFF"/>
        </w:rPr>
        <w:t>nother study with 2001 Census data</w:t>
      </w:r>
      <w:r w:rsidR="00A7795D">
        <w:rPr>
          <w:rFonts w:cs="Helvetica"/>
          <w:color w:val="000000" w:themeColor="text1"/>
          <w:shd w:val="clear" w:color="auto" w:fill="FFFFFF"/>
        </w:rPr>
        <w:t xml:space="preserve"> confirmed</w:t>
      </w:r>
      <w:r w:rsidR="00A7795D" w:rsidRPr="006E4FBB">
        <w:rPr>
          <w:rFonts w:cs="Helvetica"/>
          <w:color w:val="000000" w:themeColor="text1"/>
          <w:shd w:val="clear" w:color="auto" w:fill="FFFFFF"/>
        </w:rPr>
        <w:t xml:space="preserve"> that levels of</w:t>
      </w:r>
      <w:r w:rsidR="000654B5">
        <w:rPr>
          <w:rFonts w:cs="Helvetica"/>
          <w:color w:val="000000" w:themeColor="text1"/>
          <w:shd w:val="clear" w:color="auto" w:fill="FFFFFF"/>
        </w:rPr>
        <w:t xml:space="preserve"> poorer</w:t>
      </w:r>
      <w:r w:rsidR="00A7795D" w:rsidRPr="006E4FBB">
        <w:rPr>
          <w:rFonts w:cs="Helvetica"/>
          <w:color w:val="000000" w:themeColor="text1"/>
          <w:shd w:val="clear" w:color="auto" w:fill="FFFFFF"/>
        </w:rPr>
        <w:t xml:space="preserve"> </w:t>
      </w:r>
      <w:r w:rsidR="00A7795D">
        <w:rPr>
          <w:rFonts w:cs="Helvetica"/>
          <w:color w:val="000000" w:themeColor="text1"/>
          <w:shd w:val="clear" w:color="auto" w:fill="FFFFFF"/>
        </w:rPr>
        <w:t>SRGH</w:t>
      </w:r>
      <w:r w:rsidR="00A7795D" w:rsidRPr="006E4FBB">
        <w:rPr>
          <w:rFonts w:cs="Helvetica"/>
          <w:color w:val="000000" w:themeColor="text1"/>
          <w:shd w:val="clear" w:color="auto" w:fill="FFFFFF"/>
        </w:rPr>
        <w:t xml:space="preserve"> were worst in Wales, followed by Scotland, then </w:t>
      </w:r>
      <w:r w:rsidR="00A7795D">
        <w:rPr>
          <w:rFonts w:cs="Helvetica"/>
          <w:color w:val="000000" w:themeColor="text1"/>
          <w:shd w:val="clear" w:color="auto" w:fill="FFFFFF"/>
        </w:rPr>
        <w:t xml:space="preserve">England </w:t>
      </w:r>
      <w:r w:rsidR="00A7795D" w:rsidRPr="006E4FBB">
        <w:rPr>
          <w:rFonts w:cs="Helvetica"/>
          <w:color w:val="000000" w:themeColor="text1"/>
          <w:shd w:val="clear" w:color="auto" w:fill="FFFFFF"/>
        </w:rPr>
        <w:fldChar w:fldCharType="begin"/>
      </w:r>
      <w:r w:rsidR="00DC24D8">
        <w:rPr>
          <w:rFonts w:cs="Helvetica"/>
          <w:color w:val="000000" w:themeColor="text1"/>
          <w:shd w:val="clear" w:color="auto" w:fill="FFFFFF"/>
        </w:rPr>
        <w:instrText xml:space="preserve"> ADDIN EN.CITE &lt;EndNote&gt;&lt;Cite&gt;&lt;Author&gt;O&amp;apos;Reilly&lt;/Author&gt;&lt;Year&gt;2005&lt;/Year&gt;&lt;RecNum&gt;689&lt;/RecNum&gt;&lt;DisplayText&gt;[34]&lt;/DisplayText&gt;&lt;record&gt;&lt;rec-number&gt;689&lt;/rec-number&gt;&lt;foreign-keys&gt;&lt;key app="EN" db-id="v52zta5tsa9ezsezdzlv2zvd9rswwpvzdt9f"&gt;689&lt;/key&gt;&lt;/foreign-keys&gt;&lt;ref-type name="Journal Article"&gt;17&lt;/ref-type&gt;&lt;contributors&gt;&lt;authors&gt;&lt;author&gt;O&amp;apos;Reilly, D.&lt;/author&gt;&lt;/authors&gt;&lt;/contributors&gt;&lt;titles&gt;&lt;title&gt;Self reported health and mortality: ecological analysis based on electoral wards across the United Kingdom&lt;/title&gt;&lt;secondary-title&gt;BMJ&lt;/secondary-title&gt;&lt;/titles&gt;&lt;periodical&gt;&lt;full-title&gt;BMJ&lt;/full-title&gt;&lt;/periodical&gt;&lt;pages&gt;938&lt;/pages&gt;&lt;volume&gt;331&lt;/volume&gt;&lt;dates&gt;&lt;year&gt;2005&lt;/year&gt;&lt;/dates&gt;&lt;urls&gt;&lt;/urls&gt;&lt;/record&gt;&lt;/Cite&gt;&lt;/EndNote&gt;</w:instrText>
      </w:r>
      <w:r w:rsidR="00A7795D" w:rsidRPr="006E4FBB">
        <w:rPr>
          <w:rFonts w:cs="Helvetica"/>
          <w:color w:val="000000" w:themeColor="text1"/>
          <w:shd w:val="clear" w:color="auto" w:fill="FFFFFF"/>
        </w:rPr>
        <w:fldChar w:fldCharType="separate"/>
      </w:r>
      <w:r w:rsidR="00DC24D8">
        <w:rPr>
          <w:rFonts w:cs="Helvetica"/>
          <w:noProof/>
          <w:color w:val="000000" w:themeColor="text1"/>
          <w:shd w:val="clear" w:color="auto" w:fill="FFFFFF"/>
        </w:rPr>
        <w:t>[</w:t>
      </w:r>
      <w:hyperlink w:anchor="_ENREF_34" w:tooltip="O'Reilly, 2005 #689" w:history="1">
        <w:r w:rsidR="00DC24D8">
          <w:rPr>
            <w:rFonts w:cs="Helvetica"/>
            <w:noProof/>
            <w:color w:val="000000" w:themeColor="text1"/>
            <w:shd w:val="clear" w:color="auto" w:fill="FFFFFF"/>
          </w:rPr>
          <w:t>34</w:t>
        </w:r>
      </w:hyperlink>
      <w:r w:rsidR="00DC24D8">
        <w:rPr>
          <w:rFonts w:cs="Helvetica"/>
          <w:noProof/>
          <w:color w:val="000000" w:themeColor="text1"/>
          <w:shd w:val="clear" w:color="auto" w:fill="FFFFFF"/>
        </w:rPr>
        <w:t>]</w:t>
      </w:r>
      <w:r w:rsidR="00A7795D" w:rsidRPr="006E4FBB">
        <w:rPr>
          <w:rFonts w:cs="Helvetica"/>
          <w:color w:val="000000" w:themeColor="text1"/>
          <w:shd w:val="clear" w:color="auto" w:fill="FFFFFF"/>
        </w:rPr>
        <w:fldChar w:fldCharType="end"/>
      </w:r>
      <w:r w:rsidR="00A7795D">
        <w:rPr>
          <w:rFonts w:cs="Helvetica"/>
          <w:color w:val="000000" w:themeColor="text1"/>
          <w:shd w:val="clear" w:color="auto" w:fill="FFFFFF"/>
        </w:rPr>
        <w:t xml:space="preserve">. </w:t>
      </w:r>
      <w:r w:rsidR="00EA6EE6">
        <w:rPr>
          <w:rFonts w:cs="Helvetica"/>
          <w:color w:val="000000" w:themeColor="text1"/>
          <w:shd w:val="clear" w:color="auto" w:fill="FFFFFF"/>
        </w:rPr>
        <w:t>Our analysis sustains this finding with 2011 Census data but our SAEs suggest a contrary picture in which Wales has better levels of poorer SRGH than either Scotland or England.</w:t>
      </w:r>
    </w:p>
    <w:p w:rsidR="00B934E8" w:rsidRDefault="00D36E88" w:rsidP="00DC24D8">
      <w:pPr>
        <w:autoSpaceDE w:val="0"/>
        <w:autoSpaceDN w:val="0"/>
        <w:adjustRightInd w:val="0"/>
        <w:spacing w:after="240" w:line="480" w:lineRule="auto"/>
      </w:pPr>
      <w:r>
        <w:t>Reasons for the</w:t>
      </w:r>
      <w:r w:rsidR="00A2506F">
        <w:t xml:space="preserve"> differences between our SAEs and contemporaneous Census data for matched measures</w:t>
      </w:r>
      <w:r>
        <w:t xml:space="preserve"> are</w:t>
      </w:r>
      <w:r w:rsidR="00B32A6E">
        <w:t xml:space="preserve"> of relevance to future research on SAE</w:t>
      </w:r>
      <w:r>
        <w:t xml:space="preserve"> and merit examination</w:t>
      </w:r>
      <w:r w:rsidR="00F92813">
        <w:t>.</w:t>
      </w:r>
      <w:r w:rsidR="008B25FF">
        <w:t xml:space="preserve"> </w:t>
      </w:r>
      <w:r w:rsidR="00B934E8">
        <w:t>D</w:t>
      </w:r>
      <w:r w:rsidR="00B32A6E">
        <w:t xml:space="preserve">ifferences in the wording of the SRGH and LLTI questions </w:t>
      </w:r>
      <w:r w:rsidR="00B934E8">
        <w:t xml:space="preserve">were evident </w:t>
      </w:r>
      <w:r w:rsidR="00B32A6E">
        <w:t>between the source survey</w:t>
      </w:r>
      <w:r w:rsidR="00A2506F">
        <w:t>s</w:t>
      </w:r>
      <w:r w:rsidR="00F92813">
        <w:t xml:space="preserve"> and between the surveys and the Census</w:t>
      </w:r>
      <w:r w:rsidR="00B32A6E">
        <w:t>. There were also variations in the categoris</w:t>
      </w:r>
      <w:r w:rsidR="00A2506F">
        <w:t xml:space="preserve">ation of outcome possibilities and in the positioning of the questions within the surveys. In the English and Scottish surveys the SRGH question appeared at the start of the individual interview immediately after age, with the LLTI question appearing immediately afterwards . In the WHS, additional health questions were asked before the SRGH </w:t>
      </w:r>
      <w:proofErr w:type="gramStart"/>
      <w:r w:rsidR="00A2506F">
        <w:t>questions .</w:t>
      </w:r>
      <w:proofErr w:type="gramEnd"/>
      <w:r w:rsidR="00A2506F">
        <w:t xml:space="preserve"> </w:t>
      </w:r>
      <w:r w:rsidR="00A2506F">
        <w:rPr>
          <w:color w:val="000000" w:themeColor="text1"/>
        </w:rPr>
        <w:t>Asking about</w:t>
      </w:r>
      <w:r w:rsidR="00A2506F" w:rsidRPr="002F6ED1">
        <w:rPr>
          <w:rFonts w:cs="Arial"/>
          <w:color w:val="000000" w:themeColor="text1"/>
        </w:rPr>
        <w:t xml:space="preserve"> </w:t>
      </w:r>
      <w:r w:rsidR="00A2506F">
        <w:rPr>
          <w:rFonts w:cs="Arial"/>
          <w:color w:val="000000" w:themeColor="text1"/>
        </w:rPr>
        <w:t>SHRG</w:t>
      </w:r>
      <w:r w:rsidR="00A2506F" w:rsidRPr="002F6ED1">
        <w:rPr>
          <w:rFonts w:cs="Arial"/>
          <w:color w:val="000000" w:themeColor="text1"/>
        </w:rPr>
        <w:t xml:space="preserve"> after, rather than before, </w:t>
      </w:r>
      <w:r w:rsidR="00A2506F">
        <w:rPr>
          <w:rFonts w:cs="Arial"/>
          <w:color w:val="000000" w:themeColor="text1"/>
        </w:rPr>
        <w:t>other</w:t>
      </w:r>
      <w:r w:rsidR="00A2506F" w:rsidRPr="002F6ED1">
        <w:rPr>
          <w:rFonts w:cs="Arial"/>
          <w:color w:val="000000" w:themeColor="text1"/>
        </w:rPr>
        <w:t xml:space="preserve"> health questions, </w:t>
      </w:r>
      <w:r w:rsidR="00A2506F">
        <w:rPr>
          <w:rFonts w:cs="Arial"/>
          <w:color w:val="000000" w:themeColor="text1"/>
        </w:rPr>
        <w:t>results</w:t>
      </w:r>
      <w:r w:rsidR="00A2506F" w:rsidRPr="002F6ED1">
        <w:rPr>
          <w:rFonts w:cs="Arial"/>
          <w:color w:val="000000" w:themeColor="text1"/>
        </w:rPr>
        <w:t xml:space="preserve"> in more </w:t>
      </w:r>
      <w:r w:rsidR="00A2506F">
        <w:rPr>
          <w:rFonts w:cs="Arial"/>
          <w:color w:val="000000" w:themeColor="text1"/>
        </w:rPr>
        <w:t>positive</w:t>
      </w:r>
      <w:r w:rsidR="00A2506F" w:rsidRPr="002F6ED1">
        <w:rPr>
          <w:rFonts w:cs="Arial"/>
          <w:color w:val="000000" w:themeColor="text1"/>
        </w:rPr>
        <w:t xml:space="preserve"> health assessments</w:t>
      </w:r>
      <w:r w:rsidR="00BF6B9F">
        <w:rPr>
          <w:rFonts w:cs="Arial"/>
          <w:color w:val="000000" w:themeColor="text1"/>
        </w:rPr>
        <w:t xml:space="preserve"> and</w:t>
      </w:r>
      <w:r w:rsidR="00A2506F">
        <w:rPr>
          <w:rFonts w:cs="Arial"/>
          <w:color w:val="000000" w:themeColor="text1"/>
        </w:rPr>
        <w:t xml:space="preserve"> </w:t>
      </w:r>
      <w:r w:rsidR="00BF6B9F">
        <w:rPr>
          <w:rFonts w:cs="Arial"/>
          <w:color w:val="000000" w:themeColor="text1"/>
        </w:rPr>
        <w:t>replacing</w:t>
      </w:r>
      <w:r w:rsidR="00BF6B9F" w:rsidRPr="002F6ED1">
        <w:rPr>
          <w:rFonts w:cs="Arial"/>
          <w:color w:val="000000" w:themeColor="text1"/>
        </w:rPr>
        <w:t xml:space="preserve"> ‘very good’ with ‘excellent’ as </w:t>
      </w:r>
      <w:r w:rsidR="00BF6B9F">
        <w:rPr>
          <w:rFonts w:cs="Arial"/>
          <w:color w:val="000000" w:themeColor="text1"/>
        </w:rPr>
        <w:t>a</w:t>
      </w:r>
      <w:r w:rsidR="00BF6B9F" w:rsidRPr="002F6ED1">
        <w:rPr>
          <w:rFonts w:cs="Arial"/>
          <w:color w:val="000000" w:themeColor="text1"/>
        </w:rPr>
        <w:t xml:space="preserve"> response category</w:t>
      </w:r>
      <w:r w:rsidR="00BF6B9F">
        <w:rPr>
          <w:rFonts w:cs="Arial"/>
          <w:color w:val="000000" w:themeColor="text1"/>
        </w:rPr>
        <w:t xml:space="preserve"> has a similarly more positive effect </w:t>
      </w:r>
      <w:r w:rsidR="00A2506F">
        <w:rPr>
          <w:rFonts w:cs="Lucida Sans Unicode"/>
          <w:shd w:val="clear" w:color="auto" w:fill="FFFFFF"/>
        </w:rPr>
        <w:fldChar w:fldCharType="begin"/>
      </w:r>
      <w:r w:rsidR="00DC24D8">
        <w:rPr>
          <w:rFonts w:cs="Lucida Sans Unicode"/>
          <w:shd w:val="clear" w:color="auto" w:fill="FFFFFF"/>
        </w:rPr>
        <w:instrText xml:space="preserve"> ADDIN EN.CITE &lt;EndNote&gt;&lt;Cite&gt;&lt;Author&gt;Bowling&lt;/Author&gt;&lt;Year&gt;2008&lt;/Year&gt;&lt;RecNum&gt;711&lt;/RecNum&gt;&lt;DisplayText&gt;[35]&lt;/DisplayText&gt;&lt;record&gt;&lt;rec-number&gt;711&lt;/rec-number&gt;&lt;foreign-keys&gt;&lt;key app="EN" db-id="v52zta5tsa9ezsezdzlv2zvd9rswwpvzdt9f"&gt;711&lt;/key&gt;&lt;/foreign-keys&gt;&lt;ref-type name="Journal Article"&gt;17&lt;/ref-type&gt;&lt;contributors&gt;&lt;authors&gt;&lt;author&gt;Bowling, A.&lt;/author&gt;&lt;author&gt;Windsor, J.&lt;/author&gt;&lt;/authors&gt;&lt;/contributors&gt;&lt;titles&gt;&lt;title&gt;The effects of question order and response-choice on self-rated health status in the English Longitudinal Study of Ageing (ELSA)&lt;/title&gt;&lt;secondary-title&gt;J Epidemiol Community Health&lt;/secondary-title&gt;&lt;/titles&gt;&lt;periodical&gt;&lt;full-title&gt;J Epidemiol Community Health&lt;/full-title&gt;&lt;/periodical&gt;&lt;pages&gt;81-85&lt;/pages&gt;&lt;volume&gt;62&lt;/volume&gt;&lt;dates&gt;&lt;year&gt;2008&lt;/year&gt;&lt;/dates&gt;&lt;urls&gt;&lt;/urls&gt;&lt;electronic-resource-num&gt;10.1136/jech.2006.058214&lt;/electronic-resource-num&gt;&lt;/record&gt;&lt;/Cite&gt;&lt;/EndNote&gt;</w:instrText>
      </w:r>
      <w:r w:rsidR="00A2506F">
        <w:rPr>
          <w:rFonts w:cs="Lucida Sans Unicode"/>
          <w:shd w:val="clear" w:color="auto" w:fill="FFFFFF"/>
        </w:rPr>
        <w:fldChar w:fldCharType="separate"/>
      </w:r>
      <w:r w:rsidR="00DC24D8">
        <w:rPr>
          <w:rFonts w:cs="Lucida Sans Unicode"/>
          <w:noProof/>
          <w:shd w:val="clear" w:color="auto" w:fill="FFFFFF"/>
        </w:rPr>
        <w:t>[</w:t>
      </w:r>
      <w:hyperlink w:anchor="_ENREF_35" w:tooltip="Bowling, 2008 #711" w:history="1">
        <w:r w:rsidR="00DC24D8">
          <w:rPr>
            <w:rFonts w:cs="Lucida Sans Unicode"/>
            <w:noProof/>
            <w:shd w:val="clear" w:color="auto" w:fill="FFFFFF"/>
          </w:rPr>
          <w:t>35</w:t>
        </w:r>
      </w:hyperlink>
      <w:r w:rsidR="00DC24D8">
        <w:rPr>
          <w:rFonts w:cs="Lucida Sans Unicode"/>
          <w:noProof/>
          <w:shd w:val="clear" w:color="auto" w:fill="FFFFFF"/>
        </w:rPr>
        <w:t>]</w:t>
      </w:r>
      <w:r w:rsidR="00A2506F">
        <w:rPr>
          <w:rFonts w:cs="Lucida Sans Unicode"/>
          <w:shd w:val="clear" w:color="auto" w:fill="FFFFFF"/>
        </w:rPr>
        <w:fldChar w:fldCharType="end"/>
      </w:r>
      <w:r w:rsidR="00A2506F">
        <w:rPr>
          <w:rFonts w:cs="Lucida Sans Unicode"/>
          <w:shd w:val="clear" w:color="auto" w:fill="FFFFFF"/>
        </w:rPr>
        <w:t>.</w:t>
      </w:r>
      <w:r w:rsidR="00A2506F" w:rsidRPr="002F6ED1">
        <w:rPr>
          <w:color w:val="FF0000"/>
        </w:rPr>
        <w:t xml:space="preserve"> </w:t>
      </w:r>
      <w:r w:rsidR="00A2506F" w:rsidRPr="002F6ED1">
        <w:rPr>
          <w:rFonts w:cs="Helvetica"/>
          <w:color w:val="000000" w:themeColor="text1"/>
          <w:shd w:val="clear" w:color="auto" w:fill="FFFFFF"/>
        </w:rPr>
        <w:t xml:space="preserve">The wording of the WHS question about </w:t>
      </w:r>
      <w:r w:rsidR="00BF6B9F">
        <w:rPr>
          <w:rFonts w:cs="Helvetica"/>
          <w:color w:val="000000" w:themeColor="text1"/>
          <w:shd w:val="clear" w:color="auto" w:fill="FFFFFF"/>
        </w:rPr>
        <w:t>LLTI</w:t>
      </w:r>
      <w:r w:rsidR="00A2506F" w:rsidRPr="002F6ED1">
        <w:rPr>
          <w:rFonts w:cs="Helvetica"/>
          <w:color w:val="000000" w:themeColor="text1"/>
          <w:shd w:val="clear" w:color="auto" w:fill="FFFFFF"/>
        </w:rPr>
        <w:t xml:space="preserve"> </w:t>
      </w:r>
      <w:r w:rsidR="00BF6B9F">
        <w:rPr>
          <w:rFonts w:cs="Helvetica"/>
          <w:color w:val="000000" w:themeColor="text1"/>
          <w:shd w:val="clear" w:color="auto" w:fill="FFFFFF"/>
        </w:rPr>
        <w:t xml:space="preserve">and specifically the inclusion of the reference to ‘problems of old age’ </w:t>
      </w:r>
      <w:r w:rsidR="00A2506F">
        <w:rPr>
          <w:rFonts w:cs="Helvetica"/>
          <w:color w:val="000000" w:themeColor="text1"/>
          <w:shd w:val="clear" w:color="auto" w:fill="FFFFFF"/>
        </w:rPr>
        <w:t>may</w:t>
      </w:r>
      <w:r w:rsidR="00A2506F" w:rsidRPr="002F6ED1">
        <w:rPr>
          <w:rFonts w:cs="Helvetica"/>
          <w:color w:val="000000" w:themeColor="text1"/>
          <w:shd w:val="clear" w:color="auto" w:fill="FFFFFF"/>
        </w:rPr>
        <w:t xml:space="preserve"> </w:t>
      </w:r>
      <w:r w:rsidR="00A2506F">
        <w:rPr>
          <w:rFonts w:cs="Helvetica"/>
          <w:color w:val="000000" w:themeColor="text1"/>
          <w:shd w:val="clear" w:color="auto" w:fill="FFFFFF"/>
        </w:rPr>
        <w:t xml:space="preserve">have </w:t>
      </w:r>
      <w:r w:rsidR="00BF6B9F">
        <w:rPr>
          <w:rFonts w:cs="Helvetica"/>
          <w:color w:val="000000" w:themeColor="text1"/>
          <w:shd w:val="clear" w:color="auto" w:fill="FFFFFF"/>
        </w:rPr>
        <w:t>led to greater levels of problem identification</w:t>
      </w:r>
      <w:r w:rsidR="00A2506F">
        <w:rPr>
          <w:rFonts w:cs="Helvetica"/>
          <w:color w:val="000000" w:themeColor="text1"/>
          <w:shd w:val="clear" w:color="auto" w:fill="FFFFFF"/>
        </w:rPr>
        <w:t xml:space="preserve"> </w:t>
      </w:r>
      <w:r w:rsidR="00A2506F">
        <w:rPr>
          <w:rFonts w:cs="Helvetica"/>
          <w:color w:val="000000" w:themeColor="text1"/>
          <w:shd w:val="clear" w:color="auto" w:fill="FFFFFF"/>
        </w:rPr>
        <w:fldChar w:fldCharType="begin"/>
      </w:r>
      <w:r w:rsidR="005B45C4">
        <w:rPr>
          <w:rFonts w:cs="Helvetica"/>
          <w:color w:val="000000" w:themeColor="text1"/>
          <w:shd w:val="clear" w:color="auto" w:fill="FFFFFF"/>
        </w:rPr>
        <w:instrText xml:space="preserve"> ADDIN EN.CITE &lt;EndNote&gt;&lt;Cite&gt;&lt;Author&gt;Cohen&lt;/Author&gt;&lt;Year&gt;1995&lt;/Year&gt;&lt;RecNum&gt;714&lt;/RecNum&gt;&lt;DisplayText&gt;[9]&lt;/DisplayText&gt;&lt;record&gt;&lt;rec-number&gt;714&lt;/rec-number&gt;&lt;foreign-keys&gt;&lt;key app="EN" db-id="v52zta5tsa9ezsezdzlv2zvd9rswwpvzdt9f"&gt;714&lt;/key&gt;&lt;/foreign-keys&gt;&lt;ref-type name="Journal Article"&gt;17&lt;/ref-type&gt;&lt;contributors&gt;&lt;authors&gt;&lt;author&gt;Cohen, G.&lt;/author&gt;&lt;author&gt;Forbes, J.&lt;/author&gt;&lt;author&gt;Garraway, M.&lt;/author&gt;&lt;/authors&gt;&lt;/contributors&gt;&lt;titles&gt;&lt;title&gt;Interpreting self reported limiting long term illness&lt;/title&gt;&lt;secondary-title&gt;BMJ&lt;/secondary-title&gt;&lt;/titles&gt;&lt;periodical&gt;&lt;full-title&gt;BMJ&lt;/full-title&gt;&lt;/periodical&gt;&lt;pages&gt;722&lt;/pages&gt;&lt;volume&gt;311&lt;/volume&gt;&lt;dates&gt;&lt;year&gt;1995&lt;/year&gt;&lt;/dates&gt;&lt;urls&gt;&lt;/urls&gt;&lt;/record&gt;&lt;/Cite&gt;&lt;/EndNote&gt;</w:instrText>
      </w:r>
      <w:r w:rsidR="00A2506F">
        <w:rPr>
          <w:rFonts w:cs="Helvetica"/>
          <w:color w:val="000000" w:themeColor="text1"/>
          <w:shd w:val="clear" w:color="auto" w:fill="FFFFFF"/>
        </w:rPr>
        <w:fldChar w:fldCharType="separate"/>
      </w:r>
      <w:r w:rsidR="005B45C4">
        <w:rPr>
          <w:rFonts w:cs="Helvetica"/>
          <w:noProof/>
          <w:color w:val="000000" w:themeColor="text1"/>
          <w:shd w:val="clear" w:color="auto" w:fill="FFFFFF"/>
        </w:rPr>
        <w:t>[</w:t>
      </w:r>
      <w:hyperlink w:anchor="_ENREF_9" w:tooltip="Cohen, 1995 #714" w:history="1">
        <w:r w:rsidR="00DC24D8">
          <w:rPr>
            <w:rFonts w:cs="Helvetica"/>
            <w:noProof/>
            <w:color w:val="000000" w:themeColor="text1"/>
            <w:shd w:val="clear" w:color="auto" w:fill="FFFFFF"/>
          </w:rPr>
          <w:t>9</w:t>
        </w:r>
      </w:hyperlink>
      <w:r w:rsidR="005B45C4">
        <w:rPr>
          <w:rFonts w:cs="Helvetica"/>
          <w:noProof/>
          <w:color w:val="000000" w:themeColor="text1"/>
          <w:shd w:val="clear" w:color="auto" w:fill="FFFFFF"/>
        </w:rPr>
        <w:t>]</w:t>
      </w:r>
      <w:r w:rsidR="00A2506F">
        <w:rPr>
          <w:rFonts w:cs="Helvetica"/>
          <w:color w:val="000000" w:themeColor="text1"/>
          <w:shd w:val="clear" w:color="auto" w:fill="FFFFFF"/>
        </w:rPr>
        <w:fldChar w:fldCharType="end"/>
      </w:r>
      <w:r w:rsidR="00A2506F">
        <w:rPr>
          <w:color w:val="000000" w:themeColor="text1"/>
        </w:rPr>
        <w:t xml:space="preserve"> </w:t>
      </w:r>
      <w:r w:rsidR="00A2506F">
        <w:fldChar w:fldCharType="begin"/>
      </w:r>
      <w:r w:rsidR="005B45C4">
        <w:instrText xml:space="preserve"> ADDIN EN.CITE &lt;EndNote&gt;&lt;Cite&gt;&lt;Author&gt;Jordan&lt;/Author&gt;&lt;Year&gt;2000&lt;/Year&gt;&lt;RecNum&gt;717&lt;/RecNum&gt;&lt;DisplayText&gt;[11]&lt;/DisplayText&gt;&lt;record&gt;&lt;rec-number&gt;717&lt;/rec-number&gt;&lt;foreign-keys&gt;&lt;key app="EN" db-id="v52zta5tsa9ezsezdzlv2zvd9rswwpvzdt9f"&gt;717&lt;/key&gt;&lt;/foreign-keys&gt;&lt;ref-type name="Journal Article"&gt;17&lt;/ref-type&gt;&lt;contributors&gt;&lt;authors&gt;&lt;author&gt;Jordan, K.&lt;/author&gt;&lt;author&gt;Ong, B.N.&lt;/author&gt;&lt;author&gt;Croft, P.&lt;/author&gt;&lt;/authors&gt;&lt;/contributors&gt;&lt;titles&gt;&lt;title&gt;Researching limiting long-term illness&lt;/title&gt;&lt;secondary-title&gt;Social Science and Medicine&lt;/secondary-title&gt;&lt;/titles&gt;&lt;periodical&gt;&lt;full-title&gt;Social Science and Medicine&lt;/full-title&gt;&lt;/periodical&gt;&lt;pages&gt;397-405&lt;/pages&gt;&lt;volume&gt;50&lt;/volume&gt;&lt;number&gt;3&lt;/number&gt;&lt;dates&gt;&lt;year&gt;2000&lt;/year&gt;&lt;/dates&gt;&lt;urls&gt;&lt;/urls&gt;&lt;/record&gt;&lt;/Cite&gt;&lt;/EndNote&gt;</w:instrText>
      </w:r>
      <w:r w:rsidR="00A2506F">
        <w:fldChar w:fldCharType="separate"/>
      </w:r>
      <w:r w:rsidR="005B45C4">
        <w:rPr>
          <w:noProof/>
        </w:rPr>
        <w:t>[</w:t>
      </w:r>
      <w:hyperlink w:anchor="_ENREF_11" w:tooltip="Jordan, 2000 #717" w:history="1">
        <w:r w:rsidR="00DC24D8">
          <w:rPr>
            <w:noProof/>
          </w:rPr>
          <w:t>11</w:t>
        </w:r>
      </w:hyperlink>
      <w:r w:rsidR="005B45C4">
        <w:rPr>
          <w:noProof/>
        </w:rPr>
        <w:t>]</w:t>
      </w:r>
      <w:r w:rsidR="00A2506F">
        <w:fldChar w:fldCharType="end"/>
      </w:r>
      <w:r w:rsidR="00A2506F" w:rsidRPr="002F6ED1">
        <w:t>.</w:t>
      </w:r>
      <w:r w:rsidR="00BA6B5D">
        <w:t xml:space="preserve"> </w:t>
      </w:r>
      <w:r w:rsidR="00F92813">
        <w:t xml:space="preserve">Collectively there points </w:t>
      </w:r>
      <w:r w:rsidR="006A1766">
        <w:t>echo calls from other jurisdictions for continued work on the</w:t>
      </w:r>
      <w:r w:rsidR="00F92813">
        <w:t xml:space="preserve"> harmonisation</w:t>
      </w:r>
      <w:r w:rsidR="006A1766">
        <w:t xml:space="preserve"> of questions</w:t>
      </w:r>
      <w:r w:rsidR="00F92813">
        <w:t xml:space="preserve"> between surveys and census</w:t>
      </w:r>
      <w:r w:rsidR="00C86047">
        <w:t>es</w:t>
      </w:r>
      <w:r w:rsidR="00F92813">
        <w:t xml:space="preserve"> across national borders</w:t>
      </w:r>
      <w:r w:rsidR="006A1766">
        <w:t xml:space="preserve"> </w:t>
      </w:r>
      <w:r w:rsidR="006A1766">
        <w:fldChar w:fldCharType="begin"/>
      </w:r>
      <w:r w:rsidR="00DC24D8">
        <w:instrText xml:space="preserve"> ADDIN EN.CITE &lt;EndNote&gt;&lt;Cite&gt;&lt;Author&gt;Desesquelles&lt;/Author&gt;&lt;Year&gt;2009&lt;/Year&gt;&lt;RecNum&gt;759&lt;/RecNum&gt;&lt;DisplayText&gt;[36]&lt;/DisplayText&gt;&lt;record&gt;&lt;rec-number&gt;759&lt;/rec-number&gt;&lt;foreign-keys&gt;&lt;key app="EN" db-id="v52zta5tsa9ezsezdzlv2zvd9rswwpvzdt9f"&gt;759&lt;/key&gt;&lt;/foreign-keys&gt;&lt;ref-type name="Journal Article"&gt;17&lt;/ref-type&gt;&lt;contributors&gt;&lt;authors&gt;&lt;author&gt;Desesquelles, Aline F&lt;/author&gt;&lt;author&gt;Egidi, Viviana&lt;/author&gt;&lt;author&gt;Salvatore, Michele A&lt;/author&gt;&lt;/authors&gt;&lt;/contributors&gt;&lt;titles&gt;&lt;title&gt;Why do Italian people rate their health worse than French people do? An exploration of cross-country differentials of self-rated health&lt;/title&gt;&lt;secondary-title&gt;Social Science &amp;amp; Medicine&lt;/secondary-title&gt;&lt;/titles&gt;&lt;periodical&gt;&lt;full-title&gt;Social Science &amp;amp; Medicine&lt;/full-title&gt;&lt;/periodical&gt;&lt;pages&gt;1124-1128&lt;/pages&gt;&lt;volume&gt;68&lt;/volume&gt;&lt;number&gt;6&lt;/number&gt;&lt;dates&gt;&lt;year&gt;2009&lt;/year&gt;&lt;/dates&gt;&lt;isbn&gt;0277-9536&lt;/isbn&gt;&lt;urls&gt;&lt;/urls&gt;&lt;/record&gt;&lt;/Cite&gt;&lt;/EndNote&gt;</w:instrText>
      </w:r>
      <w:r w:rsidR="006A1766">
        <w:fldChar w:fldCharType="separate"/>
      </w:r>
      <w:r w:rsidR="00DC24D8">
        <w:rPr>
          <w:noProof/>
        </w:rPr>
        <w:t>[</w:t>
      </w:r>
      <w:hyperlink w:anchor="_ENREF_36" w:tooltip="Desesquelles, 2009 #759" w:history="1">
        <w:r w:rsidR="00DC24D8">
          <w:rPr>
            <w:noProof/>
          </w:rPr>
          <w:t>36</w:t>
        </w:r>
      </w:hyperlink>
      <w:r w:rsidR="00DC24D8">
        <w:rPr>
          <w:noProof/>
        </w:rPr>
        <w:t>]</w:t>
      </w:r>
      <w:r w:rsidR="006A1766">
        <w:fldChar w:fldCharType="end"/>
      </w:r>
      <w:r w:rsidR="00F92813">
        <w:t>.</w:t>
      </w:r>
    </w:p>
    <w:p w:rsidR="00B934E8" w:rsidRDefault="006A1766" w:rsidP="00DC24D8">
      <w:pPr>
        <w:autoSpaceDE w:val="0"/>
        <w:autoSpaceDN w:val="0"/>
        <w:adjustRightInd w:val="0"/>
        <w:spacing w:line="480" w:lineRule="auto"/>
        <w:rPr>
          <w:rFonts w:cs="AdvOT863180fb"/>
          <w:color w:val="000000"/>
        </w:rPr>
      </w:pPr>
      <w:r>
        <w:rPr>
          <w:rFonts w:cs="AdvOT863180fb"/>
          <w:color w:val="000000"/>
        </w:rPr>
        <w:t xml:space="preserve">Another reason for discrepancies between our SAEs and Census data is that </w:t>
      </w:r>
      <w:r w:rsidR="00BA6B5D">
        <w:rPr>
          <w:rFonts w:cs="AdvOT863180fb"/>
          <w:color w:val="000000"/>
        </w:rPr>
        <w:t xml:space="preserve">Census and survey information are </w:t>
      </w:r>
      <w:r w:rsidR="00BA6B5D" w:rsidRPr="001E72B0">
        <w:rPr>
          <w:rFonts w:cs="AdvOT863180fb"/>
          <w:color w:val="000000"/>
        </w:rPr>
        <w:t xml:space="preserve">collected </w:t>
      </w:r>
      <w:r w:rsidR="005C3DB5">
        <w:rPr>
          <w:rFonts w:cs="AdvOT863180fb"/>
          <w:color w:val="000000"/>
        </w:rPr>
        <w:t>in different ways</w:t>
      </w:r>
      <w:r w:rsidR="00B934E8">
        <w:rPr>
          <w:rFonts w:cs="AdvOT863180fb"/>
          <w:color w:val="000000"/>
        </w:rPr>
        <w:t>. T</w:t>
      </w:r>
      <w:r w:rsidR="00BA6B5D">
        <w:rPr>
          <w:rFonts w:cs="AdvOT863180fb"/>
          <w:color w:val="000000"/>
        </w:rPr>
        <w:t xml:space="preserve">he </w:t>
      </w:r>
      <w:r w:rsidR="00BA6B5D" w:rsidRPr="001E72B0">
        <w:rPr>
          <w:rFonts w:cs="AdvOT863180fb"/>
          <w:color w:val="000000"/>
        </w:rPr>
        <w:t>householder is responsible for ensurin</w:t>
      </w:r>
      <w:r w:rsidR="00BA6B5D">
        <w:rPr>
          <w:rFonts w:cs="AdvOT863180fb"/>
          <w:color w:val="000000"/>
        </w:rPr>
        <w:t xml:space="preserve">g that the </w:t>
      </w:r>
      <w:r>
        <w:rPr>
          <w:rFonts w:cs="AdvOT863180fb"/>
          <w:color w:val="000000"/>
        </w:rPr>
        <w:t xml:space="preserve">UK </w:t>
      </w:r>
      <w:r w:rsidR="00BA6B5D">
        <w:rPr>
          <w:rFonts w:cs="AdvOT863180fb"/>
          <w:color w:val="000000"/>
        </w:rPr>
        <w:t xml:space="preserve">Census </w:t>
      </w:r>
      <w:r w:rsidR="00BA6B5D" w:rsidRPr="001E72B0">
        <w:rPr>
          <w:rFonts w:cs="AdvOT863180fb"/>
          <w:color w:val="000000"/>
        </w:rPr>
        <w:t>is completed whereas t</w:t>
      </w:r>
      <w:r w:rsidR="00BA6B5D">
        <w:rPr>
          <w:rFonts w:cs="AdvOT863180fb"/>
          <w:color w:val="000000"/>
        </w:rPr>
        <w:t xml:space="preserve">he surveys are completed by </w:t>
      </w:r>
      <w:r w:rsidR="005C3DB5">
        <w:rPr>
          <w:rFonts w:cs="AdvOT863180fb"/>
          <w:color w:val="000000"/>
        </w:rPr>
        <w:t>an</w:t>
      </w:r>
      <w:r w:rsidR="00BA6B5D">
        <w:rPr>
          <w:rFonts w:cs="AdvOT863180fb"/>
          <w:color w:val="000000"/>
        </w:rPr>
        <w:t xml:space="preserve"> individual. Furthermore the </w:t>
      </w:r>
      <w:r>
        <w:rPr>
          <w:rFonts w:cs="AdvOT863180fb"/>
          <w:color w:val="000000"/>
        </w:rPr>
        <w:t xml:space="preserve">UK </w:t>
      </w:r>
      <w:r w:rsidR="00BA6B5D">
        <w:rPr>
          <w:rFonts w:cs="AdvOT863180fb"/>
          <w:color w:val="000000"/>
        </w:rPr>
        <w:t>C</w:t>
      </w:r>
      <w:r w:rsidR="00BA6B5D" w:rsidRPr="001E72B0">
        <w:rPr>
          <w:rFonts w:cs="AdvOT863180fb"/>
          <w:color w:val="000000"/>
        </w:rPr>
        <w:t>e</w:t>
      </w:r>
      <w:r w:rsidR="00BA6B5D">
        <w:rPr>
          <w:rFonts w:cs="AdvOT863180fb"/>
          <w:color w:val="000000"/>
        </w:rPr>
        <w:t xml:space="preserve">nsus is a self-completion </w:t>
      </w:r>
      <w:r w:rsidR="00BA6B5D" w:rsidRPr="001E72B0">
        <w:rPr>
          <w:rFonts w:cs="AdvOT863180fb"/>
          <w:color w:val="000000"/>
        </w:rPr>
        <w:t xml:space="preserve">form </w:t>
      </w:r>
      <w:r w:rsidR="005C3DB5">
        <w:rPr>
          <w:rFonts w:cs="AdvOT863180fb"/>
          <w:color w:val="000000"/>
        </w:rPr>
        <w:t xml:space="preserve">but </w:t>
      </w:r>
      <w:r>
        <w:rPr>
          <w:rFonts w:cs="AdvOT863180fb"/>
          <w:color w:val="000000"/>
        </w:rPr>
        <w:t>our</w:t>
      </w:r>
      <w:r w:rsidR="00BA6B5D" w:rsidRPr="001E72B0">
        <w:rPr>
          <w:rFonts w:cs="AdvOT863180fb"/>
          <w:color w:val="000000"/>
        </w:rPr>
        <w:t xml:space="preserve"> surveys wer</w:t>
      </w:r>
      <w:r w:rsidR="00BA6B5D">
        <w:rPr>
          <w:rFonts w:cs="AdvOT863180fb"/>
          <w:color w:val="000000"/>
        </w:rPr>
        <w:t>e interviewer administered. Both these factors can lead to Census prevalence data generally being lower that that from surveys</w:t>
      </w:r>
      <w:r w:rsidR="0030495B">
        <w:rPr>
          <w:rFonts w:cs="AdvOT863180fb"/>
          <w:color w:val="000000"/>
        </w:rPr>
        <w:t xml:space="preserve"> </w:t>
      </w:r>
      <w:r w:rsidR="0030495B">
        <w:rPr>
          <w:rFonts w:cs="AdvOT863180fb"/>
          <w:color w:val="000000"/>
        </w:rPr>
        <w:fldChar w:fldCharType="begin"/>
      </w:r>
      <w:r w:rsidR="00DC24D8">
        <w:rPr>
          <w:rFonts w:cs="AdvOT863180fb"/>
          <w:color w:val="000000"/>
        </w:rPr>
        <w:instrText xml:space="preserve"> ADDIN EN.CITE &lt;EndNote&gt;&lt;Cite&gt;&lt;Author&gt;Gnambs&lt;/Author&gt;&lt;Year&gt;2015&lt;/Year&gt;&lt;RecNum&gt;756&lt;/RecNum&gt;&lt;DisplayText&gt;[37]&lt;/DisplayText&gt;&lt;record&gt;&lt;rec-number&gt;756&lt;/rec-number&gt;&lt;foreign-keys&gt;&lt;key app="EN" db-id="v52zta5tsa9ezsezdzlv2zvd9rswwpvzdt9f"&gt;756&lt;/key&gt;&lt;/foreign-keys&gt;&lt;ref-type name="Journal Article"&gt;17&lt;/ref-type&gt;&lt;contributors&gt;&lt;authors&gt;&lt;author&gt;Gnambs, Timo&lt;/author&gt;&lt;author&gt;Kaspar, Kai&lt;/author&gt;&lt;/authors&gt;&lt;/contributors&gt;&lt;titles&gt;&lt;title&gt;Disclosure of sensitive behaviors across self-administered survey modes: A meta-analysis&lt;/title&gt;&lt;secondary-title&gt;Behavior Research Methods&lt;/secondary-title&gt;&lt;/titles&gt;&lt;periodical&gt;&lt;full-title&gt;Behavior research methods&lt;/full-title&gt;&lt;/periodical&gt;&lt;pages&gt;1237-1259&lt;/pages&gt;&lt;volume&gt;47&lt;/volume&gt;&lt;number&gt;4&lt;/number&gt;&lt;dates&gt;&lt;year&gt;2015&lt;/year&gt;&lt;/dates&gt;&lt;isbn&gt;1554-3528&lt;/isbn&gt;&lt;urls&gt;&lt;/urls&gt;&lt;/record&gt;&lt;/Cite&gt;&lt;/EndNote&gt;</w:instrText>
      </w:r>
      <w:r w:rsidR="0030495B">
        <w:rPr>
          <w:rFonts w:cs="AdvOT863180fb"/>
          <w:color w:val="000000"/>
        </w:rPr>
        <w:fldChar w:fldCharType="separate"/>
      </w:r>
      <w:r w:rsidR="00DC24D8">
        <w:rPr>
          <w:rFonts w:cs="AdvOT863180fb"/>
          <w:noProof/>
          <w:color w:val="000000"/>
        </w:rPr>
        <w:t>[</w:t>
      </w:r>
      <w:hyperlink w:anchor="_ENREF_37" w:tooltip="Gnambs, 2015 #756" w:history="1">
        <w:r w:rsidR="00DC24D8">
          <w:rPr>
            <w:rFonts w:cs="AdvOT863180fb"/>
            <w:noProof/>
            <w:color w:val="000000"/>
          </w:rPr>
          <w:t>37</w:t>
        </w:r>
      </w:hyperlink>
      <w:r w:rsidR="00DC24D8">
        <w:rPr>
          <w:rFonts w:cs="AdvOT863180fb"/>
          <w:noProof/>
          <w:color w:val="000000"/>
        </w:rPr>
        <w:t>]</w:t>
      </w:r>
      <w:r w:rsidR="0030495B">
        <w:rPr>
          <w:rFonts w:cs="AdvOT863180fb"/>
          <w:color w:val="000000"/>
        </w:rPr>
        <w:fldChar w:fldCharType="end"/>
      </w:r>
      <w:r w:rsidR="00BA6B5D">
        <w:rPr>
          <w:rFonts w:cs="AdvOT863180fb"/>
          <w:color w:val="000000"/>
        </w:rPr>
        <w:t xml:space="preserve">. One </w:t>
      </w:r>
      <w:r>
        <w:rPr>
          <w:rFonts w:cs="AdvOT863180fb"/>
          <w:color w:val="000000"/>
        </w:rPr>
        <w:t>manifestation</w:t>
      </w:r>
      <w:r w:rsidR="00BA6B5D">
        <w:rPr>
          <w:rFonts w:cs="AdvOT863180fb"/>
          <w:color w:val="000000"/>
        </w:rPr>
        <w:t xml:space="preserve"> of </w:t>
      </w:r>
      <w:r>
        <w:rPr>
          <w:rFonts w:cs="AdvOT863180fb"/>
          <w:color w:val="000000"/>
        </w:rPr>
        <w:t>both this and the previous</w:t>
      </w:r>
      <w:r w:rsidR="00BA6B5D">
        <w:rPr>
          <w:rFonts w:cs="AdvOT863180fb"/>
          <w:color w:val="000000"/>
        </w:rPr>
        <w:t xml:space="preserve"> point is that the input survey data for our SAE models</w:t>
      </w:r>
      <w:r w:rsidR="00345D28">
        <w:rPr>
          <w:rFonts w:cs="AdvOT863180fb"/>
          <w:color w:val="000000"/>
        </w:rPr>
        <w:t xml:space="preserve"> (Table 2)</w:t>
      </w:r>
      <w:r w:rsidR="00BA6B5D">
        <w:rPr>
          <w:rFonts w:cs="AdvOT863180fb"/>
          <w:color w:val="000000"/>
        </w:rPr>
        <w:t xml:space="preserve"> collectively evidenced prevalences of </w:t>
      </w:r>
      <w:r w:rsidR="00C6276D">
        <w:rPr>
          <w:rFonts w:cs="AdvOT863180fb"/>
          <w:color w:val="000000"/>
        </w:rPr>
        <w:t>25.5%</w:t>
      </w:r>
      <w:r w:rsidR="00BA6B5D">
        <w:rPr>
          <w:rFonts w:cs="AdvOT863180fb"/>
          <w:color w:val="000000"/>
        </w:rPr>
        <w:t xml:space="preserve"> for poorer SRGH and </w:t>
      </w:r>
      <w:r w:rsidR="00C6276D">
        <w:rPr>
          <w:rFonts w:cs="AdvOT863180fb"/>
          <w:color w:val="000000"/>
        </w:rPr>
        <w:t>31.4%</w:t>
      </w:r>
      <w:r w:rsidR="00BA6B5D">
        <w:rPr>
          <w:rFonts w:cs="AdvOT863180fb"/>
          <w:color w:val="000000"/>
        </w:rPr>
        <w:t xml:space="preserve"> for LLTI, both greater than </w:t>
      </w:r>
      <w:r w:rsidR="00C6276D">
        <w:rPr>
          <w:rFonts w:cs="AdvOT863180fb"/>
          <w:color w:val="000000"/>
        </w:rPr>
        <w:t xml:space="preserve">all bar one of </w:t>
      </w:r>
      <w:r w:rsidR="00BA6B5D">
        <w:rPr>
          <w:rFonts w:cs="AdvOT863180fb"/>
          <w:color w:val="000000"/>
        </w:rPr>
        <w:t xml:space="preserve">the corresponding </w:t>
      </w:r>
      <w:r w:rsidR="00C6276D">
        <w:rPr>
          <w:rFonts w:cs="AdvOT863180fb"/>
          <w:color w:val="000000"/>
        </w:rPr>
        <w:t xml:space="preserve">national </w:t>
      </w:r>
      <w:r w:rsidR="00BA6B5D">
        <w:rPr>
          <w:rFonts w:cs="AdvOT863180fb"/>
          <w:color w:val="000000"/>
        </w:rPr>
        <w:t>prevalences evident for Census data in Table 3. Inevitably the SAEs accord more with this input data.</w:t>
      </w:r>
      <w:r w:rsidR="00D36E88">
        <w:rPr>
          <w:rFonts w:cs="AdvOT863180fb"/>
          <w:color w:val="000000"/>
        </w:rPr>
        <w:t xml:space="preserve"> </w:t>
      </w:r>
    </w:p>
    <w:p w:rsidR="00B934E8" w:rsidRDefault="00B934E8" w:rsidP="00F92813">
      <w:pPr>
        <w:autoSpaceDE w:val="0"/>
        <w:autoSpaceDN w:val="0"/>
        <w:adjustRightInd w:val="0"/>
        <w:spacing w:line="480" w:lineRule="auto"/>
        <w:rPr>
          <w:rFonts w:cs="AdvOT863180fb"/>
          <w:color w:val="000000"/>
        </w:rPr>
      </w:pPr>
    </w:p>
    <w:p w:rsidR="008B25FF" w:rsidRDefault="00B934E8" w:rsidP="00DC24D8">
      <w:pPr>
        <w:autoSpaceDE w:val="0"/>
        <w:autoSpaceDN w:val="0"/>
        <w:adjustRightInd w:val="0"/>
        <w:spacing w:line="480" w:lineRule="auto"/>
        <w:rPr>
          <w:color w:val="000000" w:themeColor="text1"/>
        </w:rPr>
      </w:pPr>
      <w:r>
        <w:rPr>
          <w:rFonts w:cs="AdvOT863180fb"/>
          <w:color w:val="000000"/>
        </w:rPr>
        <w:t>T</w:t>
      </w:r>
      <w:r w:rsidR="00D36E88">
        <w:rPr>
          <w:rFonts w:cs="AdvOT863180fb"/>
          <w:color w:val="000000"/>
        </w:rPr>
        <w:t xml:space="preserve">hough soundly based on theory, our models were undeniably simple. </w:t>
      </w:r>
      <w:r w:rsidR="00D36E88">
        <w:t xml:space="preserve"> Research using</w:t>
      </w:r>
      <w:r w:rsidR="00CA0D9B" w:rsidRPr="00461E6D">
        <w:t xml:space="preserve"> a multinomial </w:t>
      </w:r>
      <w:r w:rsidR="008B25FF">
        <w:t>LLTI outcome measures  has found improved concordance with</w:t>
      </w:r>
      <w:r w:rsidR="00CA0D9B" w:rsidRPr="00461E6D">
        <w:t xml:space="preserve"> 2011 Census est</w:t>
      </w:r>
      <w:r w:rsidR="00C57FFE" w:rsidRPr="00461E6D">
        <w:t>imates at MSOA level in England</w:t>
      </w:r>
      <w:r w:rsidR="00C21311">
        <w:t xml:space="preserve"> </w:t>
      </w:r>
      <w:r w:rsidR="00C21311">
        <w:fldChar w:fldCharType="begin"/>
      </w:r>
      <w:r w:rsidR="00DC24D8">
        <w:instrText xml:space="preserve"> ADDIN EN.CITE &lt;EndNote&gt;&lt;Cite&gt;&lt;Author&gt;Moon&lt;/Author&gt;&lt;Year&gt;2014&lt;/Year&gt;&lt;RecNum&gt;732&lt;/RecNum&gt;&lt;DisplayText&gt;[38]&lt;/DisplayText&gt;&lt;record&gt;&lt;rec-number&gt;732&lt;/rec-number&gt;&lt;foreign-keys&gt;&lt;key app="EN" db-id="v52zta5tsa9ezsezdzlv2zvd9rswwpvzdt9f"&gt;732&lt;/key&gt;&lt;/foreign-keys&gt;&lt;ref-type name="Journal Article"&gt;17&lt;/ref-type&gt;&lt;contributors&gt;&lt;authors&gt;&lt;author&gt;Moon, G&lt;/author&gt;&lt;author&gt;Twigg, L&lt;/author&gt;&lt;author&gt;Taylor, J&lt;/author&gt;&lt;/authors&gt;&lt;/contributors&gt;&lt;titles&gt;&lt;title&gt;Estimating local variations in the prevalence of limiting long-term illness: evaluating multinomial small area synthetic estimation&lt;/title&gt;&lt;secondary-title&gt;Journal of Epidemiology and Community Health&lt;/secondary-title&gt;&lt;/titles&gt;&lt;periodical&gt;&lt;full-title&gt;Journal of Epidemiology and Community Health&lt;/full-title&gt;&lt;/periodical&gt;&lt;pages&gt;A71-A71&lt;/pages&gt;&lt;volume&gt;68&lt;/volume&gt;&lt;number&gt;Suppl 1&lt;/number&gt;&lt;dates&gt;&lt;year&gt;2014&lt;/year&gt;&lt;/dates&gt;&lt;isbn&gt;1470-2738&lt;/isbn&gt;&lt;urls&gt;&lt;/urls&gt;&lt;/record&gt;&lt;/Cite&gt;&lt;/EndNote&gt;</w:instrText>
      </w:r>
      <w:r w:rsidR="00C21311">
        <w:fldChar w:fldCharType="separate"/>
      </w:r>
      <w:r w:rsidR="00DC24D8">
        <w:rPr>
          <w:noProof/>
        </w:rPr>
        <w:t>[</w:t>
      </w:r>
      <w:hyperlink w:anchor="_ENREF_38" w:tooltip="Moon, 2014 #732" w:history="1">
        <w:r w:rsidR="00DC24D8">
          <w:rPr>
            <w:noProof/>
          </w:rPr>
          <w:t>38</w:t>
        </w:r>
      </w:hyperlink>
      <w:r w:rsidR="00DC24D8">
        <w:rPr>
          <w:noProof/>
        </w:rPr>
        <w:t>]</w:t>
      </w:r>
      <w:r w:rsidR="00C21311">
        <w:fldChar w:fldCharType="end"/>
      </w:r>
      <w:r w:rsidR="00C57FFE" w:rsidRPr="00461E6D">
        <w:t>.</w:t>
      </w:r>
      <w:r w:rsidR="008B25FF">
        <w:rPr>
          <w:color w:val="000000" w:themeColor="text1"/>
        </w:rPr>
        <w:t xml:space="preserve"> Additional </w:t>
      </w:r>
      <w:r w:rsidR="008B25FF" w:rsidRPr="0003154A">
        <w:rPr>
          <w:color w:val="000000" w:themeColor="text1"/>
        </w:rPr>
        <w:t>socio</w:t>
      </w:r>
      <w:r w:rsidR="008B25FF" w:rsidRPr="00266470">
        <w:rPr>
          <w:color w:val="000000" w:themeColor="text1"/>
        </w:rPr>
        <w:t>-economic, health and clinical covariates, known to be associate</w:t>
      </w:r>
      <w:r w:rsidR="008B25FF">
        <w:rPr>
          <w:color w:val="000000" w:themeColor="text1"/>
        </w:rPr>
        <w:t xml:space="preserve">d with increased SRGH or LLTI prevalence were not </w:t>
      </w:r>
      <w:r w:rsidR="008B25FF" w:rsidRPr="00266470">
        <w:rPr>
          <w:color w:val="000000" w:themeColor="text1"/>
        </w:rPr>
        <w:t>included within the modelling framework</w:t>
      </w:r>
      <w:r w:rsidR="008B25FF">
        <w:rPr>
          <w:color w:val="000000" w:themeColor="text1"/>
        </w:rPr>
        <w:t xml:space="preserve"> due to data constraints and the requirements of the SAE process</w:t>
      </w:r>
      <w:r w:rsidR="008B25FF" w:rsidRPr="00266470">
        <w:rPr>
          <w:color w:val="000000" w:themeColor="text1"/>
        </w:rPr>
        <w:t>.</w:t>
      </w:r>
      <w:r w:rsidR="008B25FF">
        <w:rPr>
          <w:color w:val="000000" w:themeColor="text1"/>
        </w:rPr>
        <w:t xml:space="preserve"> These omissions may have been significant and uncaptured by the areal IMD and benefit measures.  For example</w:t>
      </w:r>
    </w:p>
    <w:p w:rsidR="00B934E8" w:rsidRDefault="008B25FF" w:rsidP="00DC24D8">
      <w:pPr>
        <w:autoSpaceDE w:val="0"/>
        <w:autoSpaceDN w:val="0"/>
        <w:adjustRightInd w:val="0"/>
        <w:spacing w:line="480" w:lineRule="auto"/>
        <w:rPr>
          <w:rFonts w:cs="AdvOT863180fb"/>
          <w:color w:val="000000"/>
        </w:rPr>
      </w:pPr>
      <w:r>
        <w:rPr>
          <w:rFonts w:cs="AdvOT863180fb"/>
          <w:color w:val="000000"/>
        </w:rPr>
        <w:t xml:space="preserve">there may be </w:t>
      </w:r>
      <w:r w:rsidRPr="001E72B0">
        <w:rPr>
          <w:rFonts w:cs="AdvOT863180fb"/>
          <w:color w:val="000000"/>
        </w:rPr>
        <w:t>system</w:t>
      </w:r>
      <w:r>
        <w:rPr>
          <w:rFonts w:cs="AdvOT863180fb"/>
          <w:color w:val="000000"/>
        </w:rPr>
        <w:t xml:space="preserve">atic differences between social </w:t>
      </w:r>
      <w:r w:rsidRPr="001E72B0">
        <w:rPr>
          <w:rFonts w:cs="AdvOT863180fb"/>
          <w:color w:val="000000"/>
        </w:rPr>
        <w:t>groups</w:t>
      </w:r>
      <w:r w:rsidR="0020041D">
        <w:rPr>
          <w:rFonts w:cs="AdvOT863180fb"/>
          <w:color w:val="000000"/>
        </w:rPr>
        <w:t xml:space="preserve"> </w:t>
      </w:r>
      <w:r w:rsidRPr="001E72B0">
        <w:rPr>
          <w:rFonts w:cs="AdvOT863180fb"/>
          <w:color w:val="000000"/>
        </w:rPr>
        <w:t xml:space="preserve">in their understanding </w:t>
      </w:r>
      <w:r>
        <w:rPr>
          <w:rFonts w:cs="AdvOT863180fb"/>
          <w:color w:val="000000"/>
        </w:rPr>
        <w:t>of SRGH</w:t>
      </w:r>
      <w:r w:rsidR="0020041D">
        <w:rPr>
          <w:rFonts w:cs="AdvOT863180fb"/>
          <w:color w:val="000000"/>
        </w:rPr>
        <w:t xml:space="preserve"> and the omission of ethnicity is undoubtedly significant</w:t>
      </w:r>
      <w:r w:rsidRPr="001E72B0">
        <w:rPr>
          <w:rFonts w:cs="AdvOT863180fb"/>
          <w:color w:val="000000"/>
        </w:rPr>
        <w:t xml:space="preserve"> </w:t>
      </w:r>
      <w:r>
        <w:rPr>
          <w:rFonts w:cs="AdvOT863180fb"/>
          <w:color w:val="000000"/>
        </w:rPr>
        <w:fldChar w:fldCharType="begin"/>
      </w:r>
      <w:r w:rsidR="00DC24D8">
        <w:rPr>
          <w:rFonts w:cs="AdvOT863180fb"/>
          <w:color w:val="000000"/>
        </w:rPr>
        <w:instrText xml:space="preserve"> ADDIN EN.CITE &lt;EndNote&gt;&lt;Cite&gt;&lt;Author&gt;Evandrou&lt;/Author&gt;&lt;Year&gt;2016&lt;/Year&gt;&lt;RecNum&gt;733&lt;/RecNum&gt;&lt;DisplayText&gt;[39]&lt;/DisplayText&gt;&lt;record&gt;&lt;rec-number&gt;733&lt;/rec-number&gt;&lt;foreign-keys&gt;&lt;key app="EN" db-id="v52zta5tsa9ezsezdzlv2zvd9rswwpvzdt9f"&gt;733&lt;/key&gt;&lt;/foreign-keys&gt;&lt;ref-type name="Journal Article"&gt;17&lt;/ref-type&gt;&lt;contributors&gt;&lt;authors&gt;&lt;author&gt;Evandrou, M.&lt;/author&gt;&lt;author&gt;Falkingham, J.&lt;/author&gt;&lt;author&gt;Feng, Z.&lt;/author&gt;&lt;author&gt;Vlachantoni, A.&lt;/author&gt;&lt;/authors&gt;&lt;/contributors&gt;&lt;auth-address&gt;Faculty of Social, Human and Mathematical Sciences Centre for Research on Ageing, University of Southampton, Southampton, United Kingdom&amp;#xD;Faculty of Social, Human and Mathematical Sciences ESRC Centre for Population Change, University of Southampton, Southampton, United Kingdom&lt;/auth-address&gt;&lt;titles&gt;&lt;title&gt;Ethnic inequalities in limiting health and self-reported health in later life revisited&lt;/title&gt;&lt;secondary-title&gt;Journal of Epidemiology and Community Health&lt;/secondary-title&gt;&lt;/titles&gt;&lt;periodical&gt;&lt;full-title&gt;Journal of Epidemiology and Community Health&lt;/full-title&gt;&lt;/periodical&gt;&lt;pages&gt;653-662&lt;/pages&gt;&lt;volume&gt;70&lt;/volume&gt;&lt;number&gt;7&lt;/number&gt;&lt;dates&gt;&lt;year&gt;2016&lt;/year&gt;&lt;/dates&gt;&lt;work-type&gt;Article&lt;/work-type&gt;&lt;urls&gt;&lt;related-urls&gt;&lt;url&gt;https://www.scopus.com/inward/record.uri?eid=2-s2.0-84957899349&amp;amp;partnerID=40&amp;amp;md5=9c493e10cd375765e21299d0251535be&lt;/url&gt;&lt;/related-urls&gt;&lt;/urls&gt;&lt;electronic-resource-num&gt;10.1136/jech-2015-206074&lt;/electronic-resource-num&gt;&lt;remote-database-name&gt;Scopus&lt;/remote-database-name&gt;&lt;/record&gt;&lt;/Cite&gt;&lt;/EndNote&gt;</w:instrText>
      </w:r>
      <w:r>
        <w:rPr>
          <w:rFonts w:cs="AdvOT863180fb"/>
          <w:color w:val="000000"/>
        </w:rPr>
        <w:fldChar w:fldCharType="separate"/>
      </w:r>
      <w:r w:rsidR="00DC24D8">
        <w:rPr>
          <w:rFonts w:cs="AdvOT863180fb"/>
          <w:noProof/>
          <w:color w:val="000000"/>
        </w:rPr>
        <w:t>[</w:t>
      </w:r>
      <w:hyperlink w:anchor="_ENREF_39" w:tooltip="Evandrou, 2016 #733" w:history="1">
        <w:r w:rsidR="00DC24D8">
          <w:rPr>
            <w:rFonts w:cs="AdvOT863180fb"/>
            <w:noProof/>
            <w:color w:val="000000"/>
          </w:rPr>
          <w:t>39</w:t>
        </w:r>
      </w:hyperlink>
      <w:r w:rsidR="00DC24D8">
        <w:rPr>
          <w:rFonts w:cs="AdvOT863180fb"/>
          <w:noProof/>
          <w:color w:val="000000"/>
        </w:rPr>
        <w:t>]</w:t>
      </w:r>
      <w:r>
        <w:rPr>
          <w:rFonts w:cs="AdvOT863180fb"/>
          <w:color w:val="000000"/>
        </w:rPr>
        <w:fldChar w:fldCharType="end"/>
      </w:r>
      <w:r>
        <w:rPr>
          <w:rFonts w:cs="AdvOT863180fb"/>
          <w:color w:val="000000"/>
        </w:rPr>
        <w:t xml:space="preserve">. </w:t>
      </w:r>
    </w:p>
    <w:p w:rsidR="00B934E8" w:rsidRDefault="00B934E8" w:rsidP="00F92813">
      <w:pPr>
        <w:autoSpaceDE w:val="0"/>
        <w:autoSpaceDN w:val="0"/>
        <w:adjustRightInd w:val="0"/>
        <w:spacing w:line="480" w:lineRule="auto"/>
        <w:rPr>
          <w:rFonts w:cs="AdvOT863180fb"/>
          <w:color w:val="000000"/>
        </w:rPr>
      </w:pPr>
    </w:p>
    <w:p w:rsidR="008B25FF" w:rsidRPr="00043EBC" w:rsidRDefault="00B934E8" w:rsidP="00DC24D8">
      <w:pPr>
        <w:autoSpaceDE w:val="0"/>
        <w:autoSpaceDN w:val="0"/>
        <w:adjustRightInd w:val="0"/>
        <w:spacing w:line="480" w:lineRule="auto"/>
      </w:pPr>
      <w:r>
        <w:rPr>
          <w:rFonts w:cs="AdvOT863180fb"/>
          <w:color w:val="000000"/>
        </w:rPr>
        <w:t>As a final point</w:t>
      </w:r>
      <w:r w:rsidR="005C3DB5">
        <w:rPr>
          <w:rFonts w:cs="AdvOT863180fb"/>
          <w:color w:val="000000"/>
        </w:rPr>
        <w:t xml:space="preserve">, we reflect on the nature of SAEs and Census data.  </w:t>
      </w:r>
      <w:r w:rsidR="00AC6DEB">
        <w:rPr>
          <w:rFonts w:cs="AdvOT863180fb"/>
          <w:color w:val="000000"/>
        </w:rPr>
        <w:t>SAEs</w:t>
      </w:r>
      <w:r w:rsidR="005C3DB5">
        <w:rPr>
          <w:rFonts w:cs="AdvOT863180fb"/>
          <w:color w:val="000000"/>
        </w:rPr>
        <w:t xml:space="preserve"> are </w:t>
      </w:r>
      <w:r w:rsidR="001B1856">
        <w:rPr>
          <w:rFonts w:cs="AdvOT863180fb"/>
          <w:color w:val="000000"/>
        </w:rPr>
        <w:t>perhaps mo</w:t>
      </w:r>
      <w:r w:rsidR="00AC6DEB">
        <w:rPr>
          <w:rFonts w:cs="AdvOT863180fb"/>
          <w:color w:val="000000"/>
        </w:rPr>
        <w:t>st</w:t>
      </w:r>
      <w:r w:rsidR="001B1856">
        <w:rPr>
          <w:rFonts w:cs="AdvOT863180fb"/>
          <w:color w:val="000000"/>
        </w:rPr>
        <w:t xml:space="preserve"> usefully seen </w:t>
      </w:r>
      <w:r w:rsidR="0074141D">
        <w:rPr>
          <w:rFonts w:cs="AdvOT863180fb"/>
          <w:color w:val="000000"/>
        </w:rPr>
        <w:t>as</w:t>
      </w:r>
      <w:r w:rsidR="001B1856">
        <w:rPr>
          <w:rFonts w:cs="AdvOT863180fb"/>
          <w:color w:val="000000"/>
        </w:rPr>
        <w:t xml:space="preserve"> expected values </w:t>
      </w:r>
      <w:r w:rsidR="0074141D">
        <w:rPr>
          <w:rFonts w:cs="AdvOT863180fb"/>
          <w:color w:val="000000"/>
        </w:rPr>
        <w:t>for</w:t>
      </w:r>
      <w:r w:rsidR="001B1856">
        <w:rPr>
          <w:rFonts w:cs="AdvOT863180fb"/>
          <w:color w:val="000000"/>
        </w:rPr>
        <w:t xml:space="preserve"> the target variable, given the covariates included in the modelling process</w:t>
      </w:r>
      <w:r w:rsidR="0030495B">
        <w:rPr>
          <w:rFonts w:cs="AdvOT863180fb"/>
          <w:color w:val="000000"/>
        </w:rPr>
        <w:t xml:space="preserve"> </w:t>
      </w:r>
      <w:r w:rsidR="0030495B">
        <w:rPr>
          <w:rFonts w:cs="AdvOT863180fb"/>
          <w:color w:val="000000"/>
        </w:rPr>
        <w:fldChar w:fldCharType="begin"/>
      </w:r>
      <w:r w:rsidR="00DC24D8">
        <w:rPr>
          <w:rFonts w:cs="AdvOT863180fb"/>
          <w:color w:val="000000"/>
        </w:rPr>
        <w:instrText xml:space="preserve"> ADDIN EN.CITE &lt;EndNote&gt;&lt;Cite&gt;&lt;Author&gt;Twigg&lt;/Author&gt;&lt;Year&gt;2004&lt;/Year&gt;&lt;RecNum&gt;122&lt;/RecNum&gt;&lt;DisplayText&gt;[40, 41]&lt;/DisplayText&gt;&lt;record&gt;&lt;rec-number&gt;122&lt;/rec-number&gt;&lt;foreign-keys&gt;&lt;key app="EN" db-id="v52zta5tsa9ezsezdzlv2zvd9rswwpvzdt9f"&gt;122&lt;/key&gt;&lt;/foreign-keys&gt;&lt;ref-type name="Government Document"&gt;46&lt;/ref-type&gt;&lt;contributors&gt;&lt;authors&gt;&lt;author&gt;Twigg, L.&lt;/author&gt;&lt;author&gt;Moon, G.&lt;/author&gt;&lt;author&gt;Walker, S.&lt;/author&gt;&lt;/authors&gt;&lt;/contributors&gt;&lt;titles&gt;&lt;title&gt;The smoking epidemic in England&lt;/title&gt;&lt;/titles&gt;&lt;dates&gt;&lt;year&gt;2004&lt;/year&gt;&lt;/dates&gt;&lt;pub-location&gt;London&lt;/pub-location&gt;&lt;publisher&gt;Health Development Agency&lt;/publisher&gt;&lt;urls&gt;&lt;/urls&gt;&lt;/record&gt;&lt;/Cite&gt;&lt;Cite&gt;&lt;Author&gt;Moon&lt;/Author&gt;&lt;Year&gt;2006&lt;/Year&gt;&lt;RecNum&gt;126&lt;/RecNum&gt;&lt;record&gt;&lt;rec-number&gt;126&lt;/rec-number&gt;&lt;foreign-keys&gt;&lt;key app="EN" db-id="v52zta5tsa9ezsezdzlv2zvd9rswwpvzdt9f"&gt;126&lt;/key&gt;&lt;/foreign-keys&gt;&lt;ref-type name="Report"&gt;27&lt;/ref-type&gt;&lt;contributors&gt;&lt;authors&gt;&lt;author&gt;Moon, G.&lt;/author&gt;&lt;author&gt;Altankhuyag, G.&lt;/author&gt;&lt;author&gt;Barnard, S.&lt;/author&gt;&lt;author&gt;Twigg, L&lt;/author&gt;&lt;/authors&gt;&lt;subsidiary-authors&gt;&lt;author&gt;NHS Health Scotland&lt;/author&gt;&lt;/subsidiary-authors&gt;&lt;/contributors&gt;&lt;titles&gt;&lt;title&gt;Smoking Prevalence in Scotland: 2003/4 sub-national estimates.&lt;/title&gt;&lt;alt-title&gt;Technical Supplement to main report for NHS Health Scotland&lt;/alt-title&gt;&lt;/titles&gt;&lt;dates&gt;&lt;year&gt;2006&lt;/year&gt;&lt;/dates&gt;&lt;pub-location&gt;NHS Health Scotland, Glasgow&lt;/pub-location&gt;&lt;urls&gt;&lt;/urls&gt;&lt;/record&gt;&lt;/Cite&gt;&lt;/EndNote&gt;</w:instrText>
      </w:r>
      <w:r w:rsidR="0030495B">
        <w:rPr>
          <w:rFonts w:cs="AdvOT863180fb"/>
          <w:color w:val="000000"/>
        </w:rPr>
        <w:fldChar w:fldCharType="separate"/>
      </w:r>
      <w:r w:rsidR="00DC24D8">
        <w:rPr>
          <w:rFonts w:cs="AdvOT863180fb"/>
          <w:noProof/>
          <w:color w:val="000000"/>
        </w:rPr>
        <w:t>[</w:t>
      </w:r>
      <w:hyperlink w:anchor="_ENREF_40" w:tooltip="Twigg, 2004 #122" w:history="1">
        <w:r w:rsidR="00DC24D8">
          <w:rPr>
            <w:rFonts w:cs="AdvOT863180fb"/>
            <w:noProof/>
            <w:color w:val="000000"/>
          </w:rPr>
          <w:t>40</w:t>
        </w:r>
      </w:hyperlink>
      <w:r w:rsidR="00DC24D8">
        <w:rPr>
          <w:rFonts w:cs="AdvOT863180fb"/>
          <w:noProof/>
          <w:color w:val="000000"/>
        </w:rPr>
        <w:t xml:space="preserve">, </w:t>
      </w:r>
      <w:hyperlink w:anchor="_ENREF_41" w:tooltip="Moon, 2006 #126" w:history="1">
        <w:r w:rsidR="00DC24D8">
          <w:rPr>
            <w:rFonts w:cs="AdvOT863180fb"/>
            <w:noProof/>
            <w:color w:val="000000"/>
          </w:rPr>
          <w:t>41</w:t>
        </w:r>
      </w:hyperlink>
      <w:r w:rsidR="00DC24D8">
        <w:rPr>
          <w:rFonts w:cs="AdvOT863180fb"/>
          <w:noProof/>
          <w:color w:val="000000"/>
        </w:rPr>
        <w:t>]</w:t>
      </w:r>
      <w:r w:rsidR="0030495B">
        <w:rPr>
          <w:rFonts w:cs="AdvOT863180fb"/>
          <w:color w:val="000000"/>
        </w:rPr>
        <w:fldChar w:fldCharType="end"/>
      </w:r>
      <w:r w:rsidR="001B1856">
        <w:rPr>
          <w:rFonts w:cs="AdvOT863180fb"/>
          <w:color w:val="000000"/>
        </w:rPr>
        <w:t xml:space="preserve">. </w:t>
      </w:r>
      <w:r w:rsidR="00AC6DEB">
        <w:rPr>
          <w:rFonts w:cs="AdvOT863180fb"/>
          <w:color w:val="000000"/>
        </w:rPr>
        <w:t>Census data</w:t>
      </w:r>
      <w:r w:rsidR="001B1856">
        <w:rPr>
          <w:rFonts w:cs="AdvOT863180fb"/>
          <w:color w:val="000000"/>
        </w:rPr>
        <w:t xml:space="preserve"> are also estimates, subject to differential response and variations in understanding</w:t>
      </w:r>
      <w:r w:rsidR="0020041D">
        <w:rPr>
          <w:rFonts w:cs="AdvOT863180fb"/>
          <w:color w:val="000000"/>
        </w:rPr>
        <w:t xml:space="preserve"> </w:t>
      </w:r>
      <w:r w:rsidR="0020041D">
        <w:rPr>
          <w:rFonts w:cs="AdvOT863180fb"/>
          <w:color w:val="000000"/>
        </w:rPr>
        <w:fldChar w:fldCharType="begin"/>
      </w:r>
      <w:r w:rsidR="00DC24D8">
        <w:rPr>
          <w:rFonts w:cs="AdvOT863180fb"/>
          <w:color w:val="000000"/>
        </w:rPr>
        <w:instrText xml:space="preserve"> ADDIN EN.CITE &lt;EndNote&gt;&lt;Cite&gt;&lt;Author&gt;Baffour&lt;/Author&gt;&lt;Year&gt;2012&lt;/Year&gt;&lt;RecNum&gt;757&lt;/RecNum&gt;&lt;DisplayText&gt;[42, 43]&lt;/DisplayText&gt;&lt;record&gt;&lt;rec-number&gt;757&lt;/rec-number&gt;&lt;foreign-keys&gt;&lt;key app="EN" db-id="v52zta5tsa9ezsezdzlv2zvd9rswwpvzdt9f"&gt;757&lt;/key&gt;&lt;/foreign-keys&gt;&lt;ref-type name="Journal Article"&gt;17&lt;/ref-type&gt;&lt;contributors&gt;&lt;authors&gt;&lt;author&gt;Baffour, Bernard&lt;/author&gt;&lt;author&gt;Valente, Paolo&lt;/author&gt;&lt;/authors&gt;&lt;/contributors&gt;&lt;titles&gt;&lt;title&gt;An evaluation of census quality&lt;/title&gt;&lt;secondary-title&gt;Statistical Journal of the IAOS&lt;/secondary-title&gt;&lt;/titles&gt;&lt;periodical&gt;&lt;full-title&gt;Statistical Journal of the IAOS&lt;/full-title&gt;&lt;/periodical&gt;&lt;pages&gt;121-135&lt;/pages&gt;&lt;volume&gt;28&lt;/volume&gt;&lt;number&gt;3, 4&lt;/number&gt;&lt;dates&gt;&lt;year&gt;2012&lt;/year&gt;&lt;/dates&gt;&lt;isbn&gt;1874-7655&lt;/isbn&gt;&lt;urls&gt;&lt;/urls&gt;&lt;/record&gt;&lt;/Cite&gt;&lt;Cite&gt;&lt;Author&gt;Coleman&lt;/Author&gt;&lt;Year&gt;2013&lt;/Year&gt;&lt;RecNum&gt;758&lt;/RecNum&gt;&lt;record&gt;&lt;rec-number&gt;758&lt;/rec-number&gt;&lt;foreign-keys&gt;&lt;key app="EN" db-id="v52zta5tsa9ezsezdzlv2zvd9rswwpvzdt9f"&gt;758&lt;/key&gt;&lt;/foreign-keys&gt;&lt;ref-type name="Journal Article"&gt;17&lt;/ref-type&gt;&lt;contributors&gt;&lt;authors&gt;&lt;author&gt;Coleman, David&lt;/author&gt;&lt;/authors&gt;&lt;/contributors&gt;&lt;titles&gt;&lt;title&gt;The twilight of the census&lt;/title&gt;&lt;secondary-title&gt;Population and Development Review&lt;/secondary-title&gt;&lt;/titles&gt;&lt;periodical&gt;&lt;full-title&gt;PoPulation and develoPment review&lt;/full-title&gt;&lt;/periodical&gt;&lt;pages&gt;334-351&lt;/pages&gt;&lt;volume&gt;38&lt;/volume&gt;&lt;number&gt;s1&lt;/number&gt;&lt;dates&gt;&lt;year&gt;2013&lt;/year&gt;&lt;/dates&gt;&lt;isbn&gt;1728-4457&lt;/isbn&gt;&lt;urls&gt;&lt;/urls&gt;&lt;/record&gt;&lt;/Cite&gt;&lt;/EndNote&gt;</w:instrText>
      </w:r>
      <w:r w:rsidR="0020041D">
        <w:rPr>
          <w:rFonts w:cs="AdvOT863180fb"/>
          <w:color w:val="000000"/>
        </w:rPr>
        <w:fldChar w:fldCharType="separate"/>
      </w:r>
      <w:r w:rsidR="00DC24D8">
        <w:rPr>
          <w:rFonts w:cs="AdvOT863180fb"/>
          <w:noProof/>
          <w:color w:val="000000"/>
        </w:rPr>
        <w:t>[</w:t>
      </w:r>
      <w:hyperlink w:anchor="_ENREF_42" w:tooltip="Baffour, 2012 #757" w:history="1">
        <w:r w:rsidR="00DC24D8">
          <w:rPr>
            <w:rFonts w:cs="AdvOT863180fb"/>
            <w:noProof/>
            <w:color w:val="000000"/>
          </w:rPr>
          <w:t>42</w:t>
        </w:r>
      </w:hyperlink>
      <w:r w:rsidR="00DC24D8">
        <w:rPr>
          <w:rFonts w:cs="AdvOT863180fb"/>
          <w:noProof/>
          <w:color w:val="000000"/>
        </w:rPr>
        <w:t xml:space="preserve">, </w:t>
      </w:r>
      <w:hyperlink w:anchor="_ENREF_43" w:tooltip="Coleman, 2013 #758" w:history="1">
        <w:r w:rsidR="00DC24D8">
          <w:rPr>
            <w:rFonts w:cs="AdvOT863180fb"/>
            <w:noProof/>
            <w:color w:val="000000"/>
          </w:rPr>
          <w:t>43</w:t>
        </w:r>
      </w:hyperlink>
      <w:r w:rsidR="00DC24D8">
        <w:rPr>
          <w:rFonts w:cs="AdvOT863180fb"/>
          <w:noProof/>
          <w:color w:val="000000"/>
        </w:rPr>
        <w:t>]</w:t>
      </w:r>
      <w:r w:rsidR="0020041D">
        <w:rPr>
          <w:rFonts w:cs="AdvOT863180fb"/>
          <w:color w:val="000000"/>
        </w:rPr>
        <w:fldChar w:fldCharType="end"/>
      </w:r>
      <w:r w:rsidR="001B1856">
        <w:rPr>
          <w:rFonts w:cs="AdvOT863180fb"/>
          <w:color w:val="000000"/>
        </w:rPr>
        <w:t xml:space="preserve">. The Census is thus not a ‘gold standard’ though it comes close. </w:t>
      </w:r>
      <w:r w:rsidR="00AC6DEB">
        <w:rPr>
          <w:rFonts w:cs="AdvOT863180fb"/>
          <w:color w:val="000000"/>
        </w:rPr>
        <w:t>We should not anticipate</w:t>
      </w:r>
      <w:r w:rsidR="001B1856">
        <w:rPr>
          <w:rFonts w:cs="AdvOT863180fb"/>
          <w:color w:val="000000"/>
        </w:rPr>
        <w:t xml:space="preserve"> that SAEs </w:t>
      </w:r>
      <w:r w:rsidR="00863659">
        <w:rPr>
          <w:rFonts w:cs="AdvOT863180fb"/>
          <w:color w:val="000000"/>
        </w:rPr>
        <w:t>should have</w:t>
      </w:r>
      <w:r w:rsidR="001B1856">
        <w:rPr>
          <w:rFonts w:cs="AdvOT863180fb"/>
          <w:color w:val="000000"/>
        </w:rPr>
        <w:t xml:space="preserve"> to match</w:t>
      </w:r>
      <w:r w:rsidR="00AC6DEB">
        <w:rPr>
          <w:rFonts w:cs="AdvOT863180fb"/>
          <w:color w:val="000000"/>
        </w:rPr>
        <w:t xml:space="preserve"> exactly to the estimates provided by</w:t>
      </w:r>
      <w:r w:rsidR="001B1856">
        <w:rPr>
          <w:rFonts w:cs="AdvOT863180fb"/>
          <w:color w:val="000000"/>
        </w:rPr>
        <w:t xml:space="preserve"> their equivalent census measures. Rather, </w:t>
      </w:r>
      <w:r w:rsidR="00AC6DEB">
        <w:rPr>
          <w:rFonts w:cs="AdvOT863180fb"/>
          <w:color w:val="000000"/>
        </w:rPr>
        <w:t xml:space="preserve">SAEs </w:t>
      </w:r>
      <w:r w:rsidR="001B1856">
        <w:rPr>
          <w:rFonts w:cs="AdvOT863180fb"/>
          <w:color w:val="000000"/>
        </w:rPr>
        <w:t>provide a</w:t>
      </w:r>
      <w:r w:rsidR="00F92813">
        <w:rPr>
          <w:rFonts w:cs="AdvOT863180fb"/>
          <w:color w:val="000000"/>
        </w:rPr>
        <w:t>n</w:t>
      </w:r>
      <w:r w:rsidR="001B1856">
        <w:rPr>
          <w:rFonts w:cs="AdvOT863180fb"/>
          <w:color w:val="000000"/>
        </w:rPr>
        <w:t xml:space="preserve"> </w:t>
      </w:r>
      <w:r w:rsidR="0074141D">
        <w:rPr>
          <w:rFonts w:cs="AdvOT863180fb"/>
          <w:color w:val="000000"/>
        </w:rPr>
        <w:t>expectation</w:t>
      </w:r>
      <w:r w:rsidR="001B1856">
        <w:rPr>
          <w:rFonts w:cs="AdvOT863180fb"/>
          <w:color w:val="000000"/>
        </w:rPr>
        <w:t xml:space="preserve"> against which Census data can be compared. </w:t>
      </w:r>
      <w:r w:rsidR="00F92813">
        <w:rPr>
          <w:rFonts w:cs="AdvOT863180fb"/>
          <w:color w:val="000000"/>
        </w:rPr>
        <w:t xml:space="preserve">In our analysis, linking surveys across three countries </w:t>
      </w:r>
      <w:r w:rsidR="00AC6DEB">
        <w:rPr>
          <w:rFonts w:cs="AdvOT863180fb"/>
          <w:color w:val="000000"/>
        </w:rPr>
        <w:t xml:space="preserve">thus </w:t>
      </w:r>
      <w:r w:rsidR="00F92813">
        <w:rPr>
          <w:rFonts w:cs="AdvOT863180fb"/>
          <w:color w:val="000000"/>
        </w:rPr>
        <w:t xml:space="preserve">points to an expectation that levels of poorer SRGH and LLTI </w:t>
      </w:r>
      <w:r w:rsidR="00AC6DEB">
        <w:rPr>
          <w:rFonts w:cs="AdvOT863180fb"/>
          <w:color w:val="000000"/>
        </w:rPr>
        <w:t>should be rather higher than suggested by Census data</w:t>
      </w:r>
      <w:r w:rsidR="00F92813">
        <w:rPr>
          <w:rFonts w:cs="AdvOT863180fb"/>
          <w:color w:val="000000"/>
        </w:rPr>
        <w:t>, given variations in population distributions by age and sex,</w:t>
      </w:r>
      <w:r w:rsidR="0003401A">
        <w:rPr>
          <w:rFonts w:cs="AdvOT863180fb"/>
          <w:color w:val="000000"/>
        </w:rPr>
        <w:t xml:space="preserve"> and</w:t>
      </w:r>
      <w:r w:rsidR="00F92813">
        <w:rPr>
          <w:rFonts w:cs="AdvOT863180fb"/>
          <w:color w:val="000000"/>
        </w:rPr>
        <w:t xml:space="preserve"> the varying areal prevalences of b</w:t>
      </w:r>
      <w:r w:rsidR="0003401A">
        <w:rPr>
          <w:rFonts w:cs="AdvOT863180fb"/>
          <w:color w:val="000000"/>
        </w:rPr>
        <w:t>enefit take-up and deprivation</w:t>
      </w:r>
      <w:r w:rsidR="00AC6DEB">
        <w:rPr>
          <w:rFonts w:cs="AdvOT863180fb"/>
          <w:color w:val="000000"/>
        </w:rPr>
        <w:t xml:space="preserve">. </w:t>
      </w:r>
      <w:r w:rsidR="00F92813">
        <w:rPr>
          <w:rFonts w:cs="AdvOT863180fb"/>
          <w:color w:val="000000"/>
        </w:rPr>
        <w:t xml:space="preserve">. </w:t>
      </w:r>
    </w:p>
    <w:p w:rsidR="00024F1B" w:rsidRDefault="00024F1B" w:rsidP="00F92813">
      <w:pPr>
        <w:pStyle w:val="NoSpacing"/>
        <w:spacing w:line="480" w:lineRule="auto"/>
        <w:rPr>
          <w:rFonts w:eastAsia="PMingLiU"/>
          <w:lang w:eastAsia="zh-TW"/>
        </w:rPr>
      </w:pPr>
    </w:p>
    <w:p w:rsidR="00507905" w:rsidRDefault="00507905" w:rsidP="00F92813">
      <w:pPr>
        <w:pStyle w:val="NoSpacing"/>
        <w:spacing w:line="480" w:lineRule="auto"/>
        <w:rPr>
          <w:b/>
          <w:bCs/>
        </w:rPr>
      </w:pPr>
    </w:p>
    <w:p w:rsidR="003406E0" w:rsidRDefault="0031187F" w:rsidP="00F92813">
      <w:pPr>
        <w:spacing w:line="480" w:lineRule="auto"/>
        <w:rPr>
          <w:b/>
          <w:bCs/>
          <w:sz w:val="20"/>
          <w:szCs w:val="20"/>
        </w:rPr>
      </w:pPr>
      <w:r w:rsidRPr="003406E0">
        <w:rPr>
          <w:rStyle w:val="Heading1Char"/>
        </w:rPr>
        <w:t>Funding</w:t>
      </w:r>
      <w:r w:rsidR="00B57E43">
        <w:rPr>
          <w:rStyle w:val="Heading1Char"/>
        </w:rPr>
        <w:t xml:space="preserve"> Statement</w:t>
      </w:r>
    </w:p>
    <w:p w:rsidR="00B57E43" w:rsidRDefault="0031187F" w:rsidP="00F92813">
      <w:pPr>
        <w:spacing w:line="480" w:lineRule="auto"/>
        <w:rPr>
          <w:rFonts w:cs="Segoe UI"/>
          <w:szCs w:val="22"/>
        </w:rPr>
      </w:pPr>
      <w:r w:rsidRPr="00F1743F">
        <w:rPr>
          <w:szCs w:val="22"/>
          <w:lang w:val="en"/>
        </w:rPr>
        <w:t xml:space="preserve">This work was supported by the </w:t>
      </w:r>
      <w:r w:rsidR="00541BC3" w:rsidRPr="00F1743F">
        <w:rPr>
          <w:szCs w:val="22"/>
          <w:lang w:val="en"/>
        </w:rPr>
        <w:t>UK Economic and Social Research Council</w:t>
      </w:r>
      <w:r w:rsidR="004E6523" w:rsidRPr="00F1743F">
        <w:rPr>
          <w:szCs w:val="22"/>
          <w:lang w:val="en"/>
        </w:rPr>
        <w:t xml:space="preserve"> </w:t>
      </w:r>
      <w:r w:rsidR="00541BC3" w:rsidRPr="00F1743F">
        <w:rPr>
          <w:szCs w:val="22"/>
          <w:lang w:val="en"/>
        </w:rPr>
        <w:t xml:space="preserve">grant number </w:t>
      </w:r>
      <w:r w:rsidR="00707230" w:rsidRPr="00F1743F">
        <w:rPr>
          <w:rFonts w:cs="Segoe UI"/>
          <w:szCs w:val="22"/>
        </w:rPr>
        <w:t>ES/K003046/1</w:t>
      </w:r>
      <w:r w:rsidR="004E6523" w:rsidRPr="00F1743F">
        <w:rPr>
          <w:rFonts w:cs="Segoe UI"/>
          <w:szCs w:val="22"/>
        </w:rPr>
        <w:t>.</w:t>
      </w:r>
    </w:p>
    <w:p w:rsidR="00906F28" w:rsidRDefault="00906F28" w:rsidP="00906F28">
      <w:pPr>
        <w:pStyle w:val="Heading1"/>
      </w:pPr>
      <w:r>
        <w:t>Author Contributions</w:t>
      </w:r>
    </w:p>
    <w:p w:rsidR="00906F28" w:rsidRDefault="00906F28" w:rsidP="00906F28">
      <w:pPr>
        <w:spacing w:line="480" w:lineRule="auto"/>
        <w:rPr>
          <w:rFonts w:cs="Segoe UI"/>
          <w:szCs w:val="22"/>
        </w:rPr>
      </w:pPr>
      <w:r>
        <w:rPr>
          <w:rFonts w:cs="Segoe UI"/>
          <w:szCs w:val="22"/>
        </w:rPr>
        <w:t>GM</w:t>
      </w:r>
      <w:r w:rsidRPr="00906F28">
        <w:rPr>
          <w:rFonts w:cs="Segoe UI"/>
          <w:szCs w:val="22"/>
        </w:rPr>
        <w:t xml:space="preserve"> and </w:t>
      </w:r>
      <w:r>
        <w:rPr>
          <w:rFonts w:cs="Segoe UI"/>
          <w:szCs w:val="22"/>
        </w:rPr>
        <w:t>LT</w:t>
      </w:r>
      <w:r w:rsidRPr="00906F28">
        <w:rPr>
          <w:rFonts w:cs="Segoe UI"/>
          <w:szCs w:val="22"/>
        </w:rPr>
        <w:t xml:space="preserve"> conceived and led the study, and participated in data analysis and interpretation. </w:t>
      </w:r>
      <w:r>
        <w:rPr>
          <w:rFonts w:cs="Segoe UI"/>
          <w:szCs w:val="22"/>
        </w:rPr>
        <w:t>JT</w:t>
      </w:r>
      <w:r w:rsidRPr="00906F28">
        <w:rPr>
          <w:rFonts w:cs="Segoe UI"/>
          <w:szCs w:val="22"/>
        </w:rPr>
        <w:t xml:space="preserve"> led on data acquisition and participated in data analysis. </w:t>
      </w:r>
      <w:r>
        <w:rPr>
          <w:rFonts w:cs="Segoe UI"/>
          <w:szCs w:val="22"/>
        </w:rPr>
        <w:t>GA</w:t>
      </w:r>
      <w:r w:rsidRPr="00906F28">
        <w:rPr>
          <w:rFonts w:cs="Segoe UI"/>
          <w:szCs w:val="22"/>
        </w:rPr>
        <w:t xml:space="preserve"> participated in data analysis and interpretation. All authors contributed to drafting, revision and final approval of the manuscript.  All authors are responsible for the manuscript.</w:t>
      </w:r>
    </w:p>
    <w:p w:rsidR="00B57E43" w:rsidRDefault="00B57E43" w:rsidP="00B57E43">
      <w:pPr>
        <w:pStyle w:val="Heading1"/>
      </w:pPr>
      <w:r>
        <w:t>Competing Interests</w:t>
      </w:r>
    </w:p>
    <w:p w:rsidR="00B57E43" w:rsidRDefault="00B57E43" w:rsidP="00B57E43">
      <w:r>
        <w:t>There were no competing interests</w:t>
      </w:r>
    </w:p>
    <w:p w:rsidR="00B57E43" w:rsidRDefault="00B57E43" w:rsidP="00B57E43"/>
    <w:p w:rsidR="00B57E43" w:rsidRDefault="00B57E43" w:rsidP="00906F28">
      <w:pPr>
        <w:pStyle w:val="Heading1"/>
      </w:pPr>
      <w:r>
        <w:t>Data Sharing</w:t>
      </w:r>
    </w:p>
    <w:p w:rsidR="00267509" w:rsidRPr="00F1743F" w:rsidRDefault="00906F28" w:rsidP="00906F28">
      <w:r>
        <w:t>Project data files are available by emailing the corresponding author</w:t>
      </w:r>
      <w:r w:rsidR="00267509" w:rsidRPr="00F1743F">
        <w:br w:type="page"/>
      </w:r>
    </w:p>
    <w:p w:rsidR="00442A7A" w:rsidRDefault="00442A7A" w:rsidP="00F92813">
      <w:pPr>
        <w:pStyle w:val="Heading1"/>
        <w:spacing w:line="480" w:lineRule="auto"/>
      </w:pPr>
      <w:r>
        <w:t>References</w:t>
      </w:r>
    </w:p>
    <w:p w:rsidR="00DC24D8" w:rsidRPr="00DC24D8" w:rsidRDefault="000F4A6F" w:rsidP="00DC24D8">
      <w:pPr>
        <w:pStyle w:val="NoSpacing"/>
        <w:rPr>
          <w:rFonts w:ascii="Calibri" w:hAnsi="Calibri" w:cstheme="minorHAnsi"/>
          <w:noProof/>
          <w:color w:val="000000" w:themeColor="text1"/>
        </w:rPr>
      </w:pPr>
      <w:r>
        <w:rPr>
          <w:rFonts w:cstheme="minorHAnsi"/>
          <w:color w:val="000000" w:themeColor="text1"/>
        </w:rPr>
        <w:fldChar w:fldCharType="begin"/>
      </w:r>
      <w:r w:rsidRPr="00C22386">
        <w:rPr>
          <w:rFonts w:cstheme="minorHAnsi"/>
          <w:color w:val="000000" w:themeColor="text1"/>
        </w:rPr>
        <w:instrText xml:space="preserve"> ADDIN EN.REFLIST </w:instrText>
      </w:r>
      <w:r>
        <w:rPr>
          <w:rFonts w:cstheme="minorHAnsi"/>
          <w:color w:val="000000" w:themeColor="text1"/>
        </w:rPr>
        <w:fldChar w:fldCharType="separate"/>
      </w:r>
      <w:bookmarkStart w:id="1" w:name="_ENREF_1"/>
      <w:r w:rsidR="00DC24D8" w:rsidRPr="00DC24D8">
        <w:rPr>
          <w:rFonts w:ascii="Calibri" w:hAnsi="Calibri" w:cstheme="minorHAnsi"/>
          <w:noProof/>
          <w:color w:val="000000" w:themeColor="text1"/>
        </w:rPr>
        <w:t>1</w:t>
      </w:r>
      <w:r w:rsidR="00DC24D8" w:rsidRPr="00DC24D8">
        <w:rPr>
          <w:rFonts w:ascii="Calibri" w:hAnsi="Calibri" w:cstheme="minorHAnsi"/>
          <w:noProof/>
          <w:color w:val="000000" w:themeColor="text1"/>
        </w:rPr>
        <w:tab/>
        <w:t xml:space="preserve">Mooney A, Rives N. Measures of community health status for health planning. </w:t>
      </w:r>
      <w:r w:rsidR="00DC24D8" w:rsidRPr="00DC24D8">
        <w:rPr>
          <w:rFonts w:ascii="Calibri" w:hAnsi="Calibri" w:cstheme="minorHAnsi"/>
          <w:i/>
          <w:noProof/>
          <w:color w:val="000000" w:themeColor="text1"/>
        </w:rPr>
        <w:t>Health Services Research</w:t>
      </w:r>
      <w:r w:rsidR="00DC24D8" w:rsidRPr="00DC24D8">
        <w:rPr>
          <w:rFonts w:ascii="Calibri" w:hAnsi="Calibri" w:cstheme="minorHAnsi"/>
          <w:noProof/>
          <w:color w:val="000000" w:themeColor="text1"/>
        </w:rPr>
        <w:t xml:space="preserve"> 1978;</w:t>
      </w:r>
      <w:r w:rsidR="00DC24D8" w:rsidRPr="00DC24D8">
        <w:rPr>
          <w:rFonts w:ascii="Calibri" w:hAnsi="Calibri" w:cstheme="minorHAnsi"/>
          <w:b/>
          <w:noProof/>
          <w:color w:val="000000" w:themeColor="text1"/>
        </w:rPr>
        <w:t>13</w:t>
      </w:r>
      <w:r w:rsidR="00DC24D8" w:rsidRPr="00DC24D8">
        <w:rPr>
          <w:rFonts w:ascii="Calibri" w:hAnsi="Calibri" w:cstheme="minorHAnsi"/>
          <w:noProof/>
          <w:color w:val="000000" w:themeColor="text1"/>
        </w:rPr>
        <w:t>:129-45.</w:t>
      </w:r>
      <w:bookmarkEnd w:id="1"/>
    </w:p>
    <w:p w:rsidR="00DC24D8" w:rsidRPr="00DC24D8" w:rsidRDefault="00DC24D8" w:rsidP="00DC24D8">
      <w:pPr>
        <w:pStyle w:val="NoSpacing"/>
        <w:rPr>
          <w:rFonts w:ascii="Calibri" w:hAnsi="Calibri" w:cstheme="minorHAnsi"/>
          <w:noProof/>
          <w:color w:val="000000" w:themeColor="text1"/>
        </w:rPr>
      </w:pPr>
      <w:bookmarkStart w:id="2" w:name="_ENREF_2"/>
      <w:r w:rsidRPr="00DC24D8">
        <w:rPr>
          <w:rFonts w:ascii="Calibri" w:hAnsi="Calibri" w:cstheme="minorHAnsi"/>
          <w:noProof/>
          <w:color w:val="000000" w:themeColor="text1"/>
        </w:rPr>
        <w:t>2</w:t>
      </w:r>
      <w:r w:rsidRPr="00DC24D8">
        <w:rPr>
          <w:rFonts w:ascii="Calibri" w:hAnsi="Calibri" w:cstheme="minorHAnsi"/>
          <w:noProof/>
          <w:color w:val="000000" w:themeColor="text1"/>
        </w:rPr>
        <w:tab/>
        <w:t xml:space="preserve">Rao J, Molina I. </w:t>
      </w:r>
      <w:r w:rsidRPr="00DC24D8">
        <w:rPr>
          <w:rFonts w:ascii="Calibri" w:hAnsi="Calibri" w:cstheme="minorHAnsi"/>
          <w:i/>
          <w:noProof/>
          <w:color w:val="000000" w:themeColor="text1"/>
        </w:rPr>
        <w:t>Small Area Estimation</w:t>
      </w:r>
      <w:r w:rsidRPr="00DC24D8">
        <w:rPr>
          <w:rFonts w:ascii="Calibri" w:hAnsi="Calibri" w:cstheme="minorHAnsi"/>
          <w:noProof/>
          <w:color w:val="000000" w:themeColor="text1"/>
        </w:rPr>
        <w:t>. London: John Wiley &amp; Sons 2015.</w:t>
      </w:r>
      <w:bookmarkEnd w:id="2"/>
    </w:p>
    <w:p w:rsidR="00DC24D8" w:rsidRPr="00DC24D8" w:rsidRDefault="00DC24D8" w:rsidP="00DC24D8">
      <w:pPr>
        <w:pStyle w:val="NoSpacing"/>
        <w:rPr>
          <w:rFonts w:ascii="Calibri" w:hAnsi="Calibri" w:cstheme="minorHAnsi"/>
          <w:noProof/>
          <w:color w:val="000000" w:themeColor="text1"/>
        </w:rPr>
      </w:pPr>
      <w:bookmarkStart w:id="3" w:name="_ENREF_3"/>
      <w:r w:rsidRPr="00DC24D8">
        <w:rPr>
          <w:rFonts w:ascii="Calibri" w:hAnsi="Calibri" w:cstheme="minorHAnsi"/>
          <w:noProof/>
          <w:color w:val="000000" w:themeColor="text1"/>
        </w:rPr>
        <w:t>3</w:t>
      </w:r>
      <w:r w:rsidRPr="00DC24D8">
        <w:rPr>
          <w:rFonts w:ascii="Calibri" w:hAnsi="Calibri" w:cstheme="minorHAnsi"/>
          <w:noProof/>
          <w:color w:val="000000" w:themeColor="text1"/>
        </w:rPr>
        <w:tab/>
        <w:t xml:space="preserve">Twigg L, Moon G. Predicting small area health-related behaviour: a comparison of multilevel synthetic estimation and local survey data. </w:t>
      </w:r>
      <w:r w:rsidRPr="00DC24D8">
        <w:rPr>
          <w:rFonts w:ascii="Calibri" w:hAnsi="Calibri" w:cstheme="minorHAnsi"/>
          <w:i/>
          <w:noProof/>
          <w:color w:val="000000" w:themeColor="text1"/>
        </w:rPr>
        <w:t>Social Science and Medicine</w:t>
      </w:r>
      <w:r w:rsidRPr="00DC24D8">
        <w:rPr>
          <w:rFonts w:ascii="Calibri" w:hAnsi="Calibri" w:cstheme="minorHAnsi"/>
          <w:noProof/>
          <w:color w:val="000000" w:themeColor="text1"/>
        </w:rPr>
        <w:t xml:space="preserve"> 2002;</w:t>
      </w:r>
      <w:r w:rsidRPr="00DC24D8">
        <w:rPr>
          <w:rFonts w:ascii="Calibri" w:hAnsi="Calibri" w:cstheme="minorHAnsi"/>
          <w:b/>
          <w:noProof/>
          <w:color w:val="000000" w:themeColor="text1"/>
        </w:rPr>
        <w:t>54</w:t>
      </w:r>
      <w:r w:rsidRPr="00DC24D8">
        <w:rPr>
          <w:rFonts w:ascii="Calibri" w:hAnsi="Calibri" w:cstheme="minorHAnsi"/>
          <w:noProof/>
          <w:color w:val="000000" w:themeColor="text1"/>
        </w:rPr>
        <w:t>:931-7.</w:t>
      </w:r>
      <w:bookmarkEnd w:id="3"/>
    </w:p>
    <w:p w:rsidR="00DC24D8" w:rsidRPr="00DC24D8" w:rsidRDefault="00DC24D8" w:rsidP="00DC24D8">
      <w:pPr>
        <w:pStyle w:val="NoSpacing"/>
        <w:rPr>
          <w:rFonts w:ascii="Calibri" w:hAnsi="Calibri" w:cstheme="minorHAnsi"/>
          <w:noProof/>
          <w:color w:val="000000" w:themeColor="text1"/>
        </w:rPr>
      </w:pPr>
      <w:bookmarkStart w:id="4" w:name="_ENREF_4"/>
      <w:r w:rsidRPr="00DC24D8">
        <w:rPr>
          <w:rFonts w:ascii="Calibri" w:hAnsi="Calibri" w:cstheme="minorHAnsi"/>
          <w:noProof/>
          <w:color w:val="000000" w:themeColor="text1"/>
        </w:rPr>
        <w:t>4</w:t>
      </w:r>
      <w:r w:rsidRPr="00DC24D8">
        <w:rPr>
          <w:rFonts w:ascii="Calibri" w:hAnsi="Calibri" w:cstheme="minorHAnsi"/>
          <w:noProof/>
          <w:color w:val="000000" w:themeColor="text1"/>
        </w:rPr>
        <w:tab/>
        <w:t>Dwyer-Lindgren L, Mokdad AH, Srebotnjak T</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Cigarette smoking prevalence in US counties: 1996-2012. </w:t>
      </w:r>
      <w:r w:rsidRPr="00DC24D8">
        <w:rPr>
          <w:rFonts w:ascii="Calibri" w:hAnsi="Calibri" w:cstheme="minorHAnsi"/>
          <w:i/>
          <w:noProof/>
          <w:color w:val="000000" w:themeColor="text1"/>
        </w:rPr>
        <w:t>Population Health Metrics</w:t>
      </w:r>
      <w:r w:rsidRPr="00DC24D8">
        <w:rPr>
          <w:rFonts w:ascii="Calibri" w:hAnsi="Calibri" w:cstheme="minorHAnsi"/>
          <w:noProof/>
          <w:color w:val="000000" w:themeColor="text1"/>
        </w:rPr>
        <w:t xml:space="preserve"> 2014;</w:t>
      </w:r>
      <w:r w:rsidRPr="00DC24D8">
        <w:rPr>
          <w:rFonts w:ascii="Calibri" w:hAnsi="Calibri" w:cstheme="minorHAnsi"/>
          <w:b/>
          <w:noProof/>
          <w:color w:val="000000" w:themeColor="text1"/>
        </w:rPr>
        <w:t>12</w:t>
      </w:r>
      <w:r w:rsidRPr="00DC24D8">
        <w:rPr>
          <w:rFonts w:ascii="Calibri" w:hAnsi="Calibri" w:cstheme="minorHAnsi"/>
          <w:noProof/>
          <w:color w:val="000000" w:themeColor="text1"/>
        </w:rPr>
        <w:t>.</w:t>
      </w:r>
      <w:bookmarkEnd w:id="4"/>
    </w:p>
    <w:p w:rsidR="00DC24D8" w:rsidRPr="00DC24D8" w:rsidRDefault="00DC24D8" w:rsidP="00DC24D8">
      <w:pPr>
        <w:pStyle w:val="NoSpacing"/>
        <w:rPr>
          <w:rFonts w:ascii="Calibri" w:hAnsi="Calibri" w:cstheme="minorHAnsi"/>
          <w:noProof/>
          <w:color w:val="000000" w:themeColor="text1"/>
        </w:rPr>
      </w:pPr>
      <w:bookmarkStart w:id="5" w:name="_ENREF_5"/>
      <w:r w:rsidRPr="00DC24D8">
        <w:rPr>
          <w:rFonts w:ascii="Calibri" w:hAnsi="Calibri" w:cstheme="minorHAnsi"/>
          <w:noProof/>
          <w:color w:val="000000" w:themeColor="text1"/>
        </w:rPr>
        <w:t>5</w:t>
      </w:r>
      <w:r w:rsidRPr="00DC24D8">
        <w:rPr>
          <w:rFonts w:ascii="Calibri" w:hAnsi="Calibri" w:cstheme="minorHAnsi"/>
          <w:noProof/>
          <w:color w:val="000000" w:themeColor="text1"/>
        </w:rPr>
        <w:tab/>
        <w:t xml:space="preserve">Ha NS, Lahiri P, Parsons V. Methods and results for small area estimation using smoking data from the 2008 National Health Interview Survey. </w:t>
      </w:r>
      <w:r w:rsidRPr="00DC24D8">
        <w:rPr>
          <w:rFonts w:ascii="Calibri" w:hAnsi="Calibri" w:cstheme="minorHAnsi"/>
          <w:i/>
          <w:noProof/>
          <w:color w:val="000000" w:themeColor="text1"/>
        </w:rPr>
        <w:t>Statistics in Medicine</w:t>
      </w:r>
      <w:r w:rsidRPr="00DC24D8">
        <w:rPr>
          <w:rFonts w:ascii="Calibri" w:hAnsi="Calibri" w:cstheme="minorHAnsi"/>
          <w:noProof/>
          <w:color w:val="000000" w:themeColor="text1"/>
        </w:rPr>
        <w:t xml:space="preserve"> 2014;</w:t>
      </w:r>
      <w:r w:rsidRPr="00DC24D8">
        <w:rPr>
          <w:rFonts w:ascii="Calibri" w:hAnsi="Calibri" w:cstheme="minorHAnsi"/>
          <w:b/>
          <w:noProof/>
          <w:color w:val="000000" w:themeColor="text1"/>
        </w:rPr>
        <w:t>33</w:t>
      </w:r>
      <w:r w:rsidRPr="00DC24D8">
        <w:rPr>
          <w:rFonts w:ascii="Calibri" w:hAnsi="Calibri" w:cstheme="minorHAnsi"/>
          <w:noProof/>
          <w:color w:val="000000" w:themeColor="text1"/>
        </w:rPr>
        <w:t>:3932-45.</w:t>
      </w:r>
      <w:bookmarkEnd w:id="5"/>
    </w:p>
    <w:p w:rsidR="00DC24D8" w:rsidRPr="00DC24D8" w:rsidRDefault="00DC24D8" w:rsidP="00DC24D8">
      <w:pPr>
        <w:pStyle w:val="NoSpacing"/>
        <w:rPr>
          <w:rFonts w:ascii="Calibri" w:hAnsi="Calibri" w:cstheme="minorHAnsi"/>
          <w:noProof/>
          <w:color w:val="000000" w:themeColor="text1"/>
        </w:rPr>
      </w:pPr>
      <w:bookmarkStart w:id="6" w:name="_ENREF_6"/>
      <w:r w:rsidRPr="00DC24D8">
        <w:rPr>
          <w:rFonts w:ascii="Calibri" w:hAnsi="Calibri" w:cstheme="minorHAnsi"/>
          <w:noProof/>
          <w:color w:val="000000" w:themeColor="text1"/>
        </w:rPr>
        <w:t>6</w:t>
      </w:r>
      <w:r w:rsidRPr="00DC24D8">
        <w:rPr>
          <w:rFonts w:ascii="Calibri" w:hAnsi="Calibri" w:cstheme="minorHAnsi"/>
          <w:noProof/>
          <w:color w:val="000000" w:themeColor="text1"/>
        </w:rPr>
        <w:tab/>
        <w:t>Wang Y, Ponce NA, Wang P</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Generating health estimates by zip code: A semiparametric small area estimation approach using the California health interview survey. </w:t>
      </w:r>
      <w:r w:rsidRPr="00DC24D8">
        <w:rPr>
          <w:rFonts w:ascii="Calibri" w:hAnsi="Calibri" w:cstheme="minorHAnsi"/>
          <w:i/>
          <w:noProof/>
          <w:color w:val="000000" w:themeColor="text1"/>
        </w:rPr>
        <w:t>American Journal of Public Health</w:t>
      </w:r>
      <w:r w:rsidRPr="00DC24D8">
        <w:rPr>
          <w:rFonts w:ascii="Calibri" w:hAnsi="Calibri" w:cstheme="minorHAnsi"/>
          <w:noProof/>
          <w:color w:val="000000" w:themeColor="text1"/>
        </w:rPr>
        <w:t xml:space="preserve"> 2015;</w:t>
      </w:r>
      <w:r w:rsidRPr="00DC24D8">
        <w:rPr>
          <w:rFonts w:ascii="Calibri" w:hAnsi="Calibri" w:cstheme="minorHAnsi"/>
          <w:b/>
          <w:noProof/>
          <w:color w:val="000000" w:themeColor="text1"/>
        </w:rPr>
        <w:t>105</w:t>
      </w:r>
      <w:r w:rsidRPr="00DC24D8">
        <w:rPr>
          <w:rFonts w:ascii="Calibri" w:hAnsi="Calibri" w:cstheme="minorHAnsi"/>
          <w:noProof/>
          <w:color w:val="000000" w:themeColor="text1"/>
        </w:rPr>
        <w:t>:2534-40.</w:t>
      </w:r>
      <w:bookmarkEnd w:id="6"/>
    </w:p>
    <w:p w:rsidR="00DC24D8" w:rsidRPr="00DC24D8" w:rsidRDefault="00DC24D8" w:rsidP="00DC24D8">
      <w:pPr>
        <w:pStyle w:val="NoSpacing"/>
        <w:rPr>
          <w:rFonts w:ascii="Calibri" w:hAnsi="Calibri" w:cstheme="minorHAnsi"/>
          <w:noProof/>
          <w:color w:val="000000" w:themeColor="text1"/>
        </w:rPr>
      </w:pPr>
      <w:bookmarkStart w:id="7" w:name="_ENREF_7"/>
      <w:r w:rsidRPr="00DC24D8">
        <w:rPr>
          <w:rFonts w:ascii="Calibri" w:hAnsi="Calibri" w:cstheme="minorHAnsi"/>
          <w:noProof/>
          <w:color w:val="000000" w:themeColor="text1"/>
        </w:rPr>
        <w:t>7</w:t>
      </w:r>
      <w:r w:rsidRPr="00DC24D8">
        <w:rPr>
          <w:rFonts w:ascii="Calibri" w:hAnsi="Calibri" w:cstheme="minorHAnsi"/>
          <w:noProof/>
          <w:color w:val="000000" w:themeColor="text1"/>
        </w:rPr>
        <w:tab/>
        <w:t>Zhang X, Holt JB, Yun S</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Validation of Multilevel Regression and Poststratification Methodology for Small Area Estimation of Health Indicators from the Behavioral Risk Factor Surveillance System. </w:t>
      </w:r>
      <w:r w:rsidRPr="00DC24D8">
        <w:rPr>
          <w:rFonts w:ascii="Calibri" w:hAnsi="Calibri" w:cstheme="minorHAnsi"/>
          <w:i/>
          <w:noProof/>
          <w:color w:val="000000" w:themeColor="text1"/>
        </w:rPr>
        <w:t>American Journal of Epidemiology</w:t>
      </w:r>
      <w:r w:rsidRPr="00DC24D8">
        <w:rPr>
          <w:rFonts w:ascii="Calibri" w:hAnsi="Calibri" w:cstheme="minorHAnsi"/>
          <w:noProof/>
          <w:color w:val="000000" w:themeColor="text1"/>
        </w:rPr>
        <w:t xml:space="preserve"> 2015;</w:t>
      </w:r>
      <w:r w:rsidRPr="00DC24D8">
        <w:rPr>
          <w:rFonts w:ascii="Calibri" w:hAnsi="Calibri" w:cstheme="minorHAnsi"/>
          <w:b/>
          <w:noProof/>
          <w:color w:val="000000" w:themeColor="text1"/>
        </w:rPr>
        <w:t>182</w:t>
      </w:r>
      <w:r w:rsidRPr="00DC24D8">
        <w:rPr>
          <w:rFonts w:ascii="Calibri" w:hAnsi="Calibri" w:cstheme="minorHAnsi"/>
          <w:noProof/>
          <w:color w:val="000000" w:themeColor="text1"/>
        </w:rPr>
        <w:t>:127-37.</w:t>
      </w:r>
      <w:bookmarkEnd w:id="7"/>
    </w:p>
    <w:p w:rsidR="00DC24D8" w:rsidRPr="00DC24D8" w:rsidRDefault="00DC24D8" w:rsidP="00DC24D8">
      <w:pPr>
        <w:pStyle w:val="NoSpacing"/>
        <w:rPr>
          <w:rFonts w:ascii="Calibri" w:hAnsi="Calibri" w:cstheme="minorHAnsi"/>
          <w:noProof/>
          <w:color w:val="000000" w:themeColor="text1"/>
        </w:rPr>
      </w:pPr>
      <w:bookmarkStart w:id="8" w:name="_ENREF_8"/>
      <w:r w:rsidRPr="00DC24D8">
        <w:rPr>
          <w:rFonts w:ascii="Calibri" w:hAnsi="Calibri" w:cstheme="minorHAnsi"/>
          <w:noProof/>
          <w:color w:val="000000" w:themeColor="text1"/>
        </w:rPr>
        <w:t>8</w:t>
      </w:r>
      <w:r w:rsidRPr="00DC24D8">
        <w:rPr>
          <w:rFonts w:ascii="Calibri" w:hAnsi="Calibri" w:cstheme="minorHAnsi"/>
          <w:noProof/>
          <w:color w:val="000000" w:themeColor="text1"/>
        </w:rPr>
        <w:tab/>
        <w:t xml:space="preserve">Marshall A. Developing a methodology for the local estimation and projection of limiting long term illness and disability. </w:t>
      </w:r>
      <w:r w:rsidRPr="00DC24D8">
        <w:rPr>
          <w:rFonts w:ascii="Calibri" w:hAnsi="Calibri" w:cstheme="minorHAnsi"/>
          <w:i/>
          <w:noProof/>
          <w:color w:val="000000" w:themeColor="text1"/>
        </w:rPr>
        <w:t>PhD Thesis</w:t>
      </w:r>
      <w:r w:rsidRPr="00DC24D8">
        <w:rPr>
          <w:rFonts w:ascii="Calibri" w:hAnsi="Calibri" w:cstheme="minorHAnsi"/>
          <w:noProof/>
          <w:color w:val="000000" w:themeColor="text1"/>
        </w:rPr>
        <w:t>: University of Manchester 2009.</w:t>
      </w:r>
      <w:bookmarkEnd w:id="8"/>
    </w:p>
    <w:p w:rsidR="00DC24D8" w:rsidRPr="00DC24D8" w:rsidRDefault="00DC24D8" w:rsidP="00DC24D8">
      <w:pPr>
        <w:pStyle w:val="NoSpacing"/>
        <w:rPr>
          <w:rFonts w:ascii="Calibri" w:hAnsi="Calibri" w:cstheme="minorHAnsi"/>
          <w:noProof/>
          <w:color w:val="000000" w:themeColor="text1"/>
        </w:rPr>
      </w:pPr>
      <w:bookmarkStart w:id="9" w:name="_ENREF_9"/>
      <w:r w:rsidRPr="00DC24D8">
        <w:rPr>
          <w:rFonts w:ascii="Calibri" w:hAnsi="Calibri" w:cstheme="minorHAnsi"/>
          <w:noProof/>
          <w:color w:val="000000" w:themeColor="text1"/>
        </w:rPr>
        <w:t>9</w:t>
      </w:r>
      <w:r w:rsidRPr="00DC24D8">
        <w:rPr>
          <w:rFonts w:ascii="Calibri" w:hAnsi="Calibri" w:cstheme="minorHAnsi"/>
          <w:noProof/>
          <w:color w:val="000000" w:themeColor="text1"/>
        </w:rPr>
        <w:tab/>
        <w:t xml:space="preserve">Cohen G, Forbes J, Garraway M. Interpreting self reported limiting long term illness. </w:t>
      </w:r>
      <w:r w:rsidRPr="00DC24D8">
        <w:rPr>
          <w:rFonts w:ascii="Calibri" w:hAnsi="Calibri" w:cstheme="minorHAnsi"/>
          <w:i/>
          <w:noProof/>
          <w:color w:val="000000" w:themeColor="text1"/>
        </w:rPr>
        <w:t>BMJ</w:t>
      </w:r>
      <w:r w:rsidRPr="00DC24D8">
        <w:rPr>
          <w:rFonts w:ascii="Calibri" w:hAnsi="Calibri" w:cstheme="minorHAnsi"/>
          <w:noProof/>
          <w:color w:val="000000" w:themeColor="text1"/>
        </w:rPr>
        <w:t xml:space="preserve"> 1995;</w:t>
      </w:r>
      <w:r w:rsidRPr="00DC24D8">
        <w:rPr>
          <w:rFonts w:ascii="Calibri" w:hAnsi="Calibri" w:cstheme="minorHAnsi"/>
          <w:b/>
          <w:noProof/>
          <w:color w:val="000000" w:themeColor="text1"/>
        </w:rPr>
        <w:t>311</w:t>
      </w:r>
      <w:r w:rsidRPr="00DC24D8">
        <w:rPr>
          <w:rFonts w:ascii="Calibri" w:hAnsi="Calibri" w:cstheme="minorHAnsi"/>
          <w:noProof/>
          <w:color w:val="000000" w:themeColor="text1"/>
        </w:rPr>
        <w:t>:722.</w:t>
      </w:r>
      <w:bookmarkEnd w:id="9"/>
    </w:p>
    <w:p w:rsidR="00DC24D8" w:rsidRPr="00DC24D8" w:rsidRDefault="00DC24D8" w:rsidP="00DC24D8">
      <w:pPr>
        <w:pStyle w:val="NoSpacing"/>
        <w:rPr>
          <w:rFonts w:ascii="Calibri" w:hAnsi="Calibri" w:cstheme="minorHAnsi"/>
          <w:noProof/>
          <w:color w:val="000000" w:themeColor="text1"/>
        </w:rPr>
      </w:pPr>
      <w:bookmarkStart w:id="10" w:name="_ENREF_10"/>
      <w:r w:rsidRPr="00DC24D8">
        <w:rPr>
          <w:rFonts w:ascii="Calibri" w:hAnsi="Calibri" w:cstheme="minorHAnsi"/>
          <w:noProof/>
          <w:color w:val="000000" w:themeColor="text1"/>
        </w:rPr>
        <w:t>10</w:t>
      </w:r>
      <w:r w:rsidRPr="00DC24D8">
        <w:rPr>
          <w:rFonts w:ascii="Calibri" w:hAnsi="Calibri" w:cstheme="minorHAnsi"/>
          <w:noProof/>
          <w:color w:val="000000" w:themeColor="text1"/>
        </w:rPr>
        <w:tab/>
        <w:t xml:space="preserve">Martin S, Sheldon TA, Smith P. Interpreting the new illness question in the UK census for health research on small areas. </w:t>
      </w:r>
      <w:r w:rsidRPr="00DC24D8">
        <w:rPr>
          <w:rFonts w:ascii="Calibri" w:hAnsi="Calibri" w:cstheme="minorHAnsi"/>
          <w:i/>
          <w:noProof/>
          <w:color w:val="000000" w:themeColor="text1"/>
        </w:rPr>
        <w:t>Journal of Epidemiology and Community Health</w:t>
      </w:r>
      <w:r w:rsidRPr="00DC24D8">
        <w:rPr>
          <w:rFonts w:ascii="Calibri" w:hAnsi="Calibri" w:cstheme="minorHAnsi"/>
          <w:noProof/>
          <w:color w:val="000000" w:themeColor="text1"/>
        </w:rPr>
        <w:t xml:space="preserve"> 1995;</w:t>
      </w:r>
      <w:r w:rsidRPr="00DC24D8">
        <w:rPr>
          <w:rFonts w:ascii="Calibri" w:hAnsi="Calibri" w:cstheme="minorHAnsi"/>
          <w:b/>
          <w:noProof/>
          <w:color w:val="000000" w:themeColor="text1"/>
        </w:rPr>
        <w:t>49</w:t>
      </w:r>
      <w:r w:rsidRPr="00DC24D8">
        <w:rPr>
          <w:rFonts w:ascii="Calibri" w:hAnsi="Calibri" w:cstheme="minorHAnsi"/>
          <w:noProof/>
          <w:color w:val="000000" w:themeColor="text1"/>
        </w:rPr>
        <w:t>:634-41.</w:t>
      </w:r>
      <w:bookmarkEnd w:id="10"/>
    </w:p>
    <w:p w:rsidR="00DC24D8" w:rsidRPr="00DC24D8" w:rsidRDefault="00DC24D8" w:rsidP="00DC24D8">
      <w:pPr>
        <w:pStyle w:val="NoSpacing"/>
        <w:rPr>
          <w:rFonts w:ascii="Calibri" w:hAnsi="Calibri" w:cstheme="minorHAnsi"/>
          <w:noProof/>
          <w:color w:val="000000" w:themeColor="text1"/>
        </w:rPr>
      </w:pPr>
      <w:bookmarkStart w:id="11" w:name="_ENREF_11"/>
      <w:r w:rsidRPr="00DC24D8">
        <w:rPr>
          <w:rFonts w:ascii="Calibri" w:hAnsi="Calibri" w:cstheme="minorHAnsi"/>
          <w:noProof/>
          <w:color w:val="000000" w:themeColor="text1"/>
        </w:rPr>
        <w:t>11</w:t>
      </w:r>
      <w:r w:rsidRPr="00DC24D8">
        <w:rPr>
          <w:rFonts w:ascii="Calibri" w:hAnsi="Calibri" w:cstheme="minorHAnsi"/>
          <w:noProof/>
          <w:color w:val="000000" w:themeColor="text1"/>
        </w:rPr>
        <w:tab/>
        <w:t xml:space="preserve">Jordan K, Ong BN, Croft P. Researching limiting long-term illness. </w:t>
      </w:r>
      <w:r w:rsidRPr="00DC24D8">
        <w:rPr>
          <w:rFonts w:ascii="Calibri" w:hAnsi="Calibri" w:cstheme="minorHAnsi"/>
          <w:i/>
          <w:noProof/>
          <w:color w:val="000000" w:themeColor="text1"/>
        </w:rPr>
        <w:t>Social Science and Medicine</w:t>
      </w:r>
      <w:r w:rsidRPr="00DC24D8">
        <w:rPr>
          <w:rFonts w:ascii="Calibri" w:hAnsi="Calibri" w:cstheme="minorHAnsi"/>
          <w:noProof/>
          <w:color w:val="000000" w:themeColor="text1"/>
        </w:rPr>
        <w:t xml:space="preserve"> 2000;</w:t>
      </w:r>
      <w:r w:rsidRPr="00DC24D8">
        <w:rPr>
          <w:rFonts w:ascii="Calibri" w:hAnsi="Calibri" w:cstheme="minorHAnsi"/>
          <w:b/>
          <w:noProof/>
          <w:color w:val="000000" w:themeColor="text1"/>
        </w:rPr>
        <w:t>50</w:t>
      </w:r>
      <w:r w:rsidRPr="00DC24D8">
        <w:rPr>
          <w:rFonts w:ascii="Calibri" w:hAnsi="Calibri" w:cstheme="minorHAnsi"/>
          <w:noProof/>
          <w:color w:val="000000" w:themeColor="text1"/>
        </w:rPr>
        <w:t>:397-405.</w:t>
      </w:r>
      <w:bookmarkEnd w:id="11"/>
    </w:p>
    <w:p w:rsidR="00DC24D8" w:rsidRPr="00DC24D8" w:rsidRDefault="00DC24D8" w:rsidP="00DC24D8">
      <w:pPr>
        <w:pStyle w:val="NoSpacing"/>
        <w:rPr>
          <w:rFonts w:ascii="Calibri" w:hAnsi="Calibri" w:cstheme="minorHAnsi"/>
          <w:noProof/>
          <w:color w:val="000000" w:themeColor="text1"/>
        </w:rPr>
      </w:pPr>
      <w:bookmarkStart w:id="12" w:name="_ENREF_12"/>
      <w:r w:rsidRPr="00DC24D8">
        <w:rPr>
          <w:rFonts w:ascii="Calibri" w:hAnsi="Calibri" w:cstheme="minorHAnsi"/>
          <w:noProof/>
          <w:color w:val="000000" w:themeColor="text1"/>
        </w:rPr>
        <w:t>12</w:t>
      </w:r>
      <w:r w:rsidRPr="00DC24D8">
        <w:rPr>
          <w:rFonts w:ascii="Calibri" w:hAnsi="Calibri" w:cstheme="minorHAnsi"/>
          <w:noProof/>
          <w:color w:val="000000" w:themeColor="text1"/>
        </w:rPr>
        <w:tab/>
        <w:t xml:space="preserve">Jordan K, Ong BN, Croft P. Previous consultation and self reported health status as predictors of future demand for primary care. </w:t>
      </w:r>
      <w:r w:rsidRPr="00DC24D8">
        <w:rPr>
          <w:rFonts w:ascii="Calibri" w:hAnsi="Calibri" w:cstheme="minorHAnsi"/>
          <w:i/>
          <w:noProof/>
          <w:color w:val="000000" w:themeColor="text1"/>
        </w:rPr>
        <w:t>Journal of Epidemiology and Community Health</w:t>
      </w:r>
      <w:r w:rsidRPr="00DC24D8">
        <w:rPr>
          <w:rFonts w:ascii="Calibri" w:hAnsi="Calibri" w:cstheme="minorHAnsi"/>
          <w:noProof/>
          <w:color w:val="000000" w:themeColor="text1"/>
        </w:rPr>
        <w:t xml:space="preserve"> 2003;</w:t>
      </w:r>
      <w:r w:rsidRPr="00DC24D8">
        <w:rPr>
          <w:rFonts w:ascii="Calibri" w:hAnsi="Calibri" w:cstheme="minorHAnsi"/>
          <w:b/>
          <w:noProof/>
          <w:color w:val="000000" w:themeColor="text1"/>
        </w:rPr>
        <w:t>57</w:t>
      </w:r>
      <w:r w:rsidRPr="00DC24D8">
        <w:rPr>
          <w:rFonts w:ascii="Calibri" w:hAnsi="Calibri" w:cstheme="minorHAnsi"/>
          <w:noProof/>
          <w:color w:val="000000" w:themeColor="text1"/>
        </w:rPr>
        <w:t>:109-13.</w:t>
      </w:r>
      <w:bookmarkEnd w:id="12"/>
    </w:p>
    <w:p w:rsidR="00DC24D8" w:rsidRPr="00DC24D8" w:rsidRDefault="00DC24D8" w:rsidP="00DC24D8">
      <w:pPr>
        <w:pStyle w:val="NoSpacing"/>
        <w:rPr>
          <w:rFonts w:ascii="Calibri" w:hAnsi="Calibri" w:cstheme="minorHAnsi"/>
          <w:noProof/>
          <w:color w:val="000000" w:themeColor="text1"/>
        </w:rPr>
      </w:pPr>
      <w:bookmarkStart w:id="13" w:name="_ENREF_13"/>
      <w:r w:rsidRPr="00DC24D8">
        <w:rPr>
          <w:rFonts w:ascii="Calibri" w:hAnsi="Calibri" w:cstheme="minorHAnsi"/>
          <w:noProof/>
          <w:color w:val="000000" w:themeColor="text1"/>
        </w:rPr>
        <w:t>13</w:t>
      </w:r>
      <w:r w:rsidRPr="00DC24D8">
        <w:rPr>
          <w:rFonts w:ascii="Calibri" w:hAnsi="Calibri" w:cstheme="minorHAnsi"/>
          <w:noProof/>
          <w:color w:val="000000" w:themeColor="text1"/>
        </w:rPr>
        <w:tab/>
        <w:t xml:space="preserve">Taylor J, Twigg L, Moon G. The convergent validity of three surveys as alternative sources of health information to the 2011 UK census. </w:t>
      </w:r>
      <w:r w:rsidRPr="00DC24D8">
        <w:rPr>
          <w:rFonts w:ascii="Calibri" w:hAnsi="Calibri" w:cstheme="minorHAnsi"/>
          <w:i/>
          <w:noProof/>
          <w:color w:val="000000" w:themeColor="text1"/>
        </w:rPr>
        <w:t>Social Science and Medicine</w:t>
      </w:r>
      <w:r w:rsidRPr="00DC24D8">
        <w:rPr>
          <w:rFonts w:ascii="Calibri" w:hAnsi="Calibri" w:cstheme="minorHAnsi"/>
          <w:noProof/>
          <w:color w:val="000000" w:themeColor="text1"/>
        </w:rPr>
        <w:t xml:space="preserve"> 2014;</w:t>
      </w:r>
      <w:r w:rsidRPr="00DC24D8">
        <w:rPr>
          <w:rFonts w:ascii="Calibri" w:hAnsi="Calibri" w:cstheme="minorHAnsi"/>
          <w:b/>
          <w:noProof/>
          <w:color w:val="000000" w:themeColor="text1"/>
        </w:rPr>
        <w:t>116</w:t>
      </w:r>
      <w:r w:rsidRPr="00DC24D8">
        <w:rPr>
          <w:rFonts w:ascii="Calibri" w:hAnsi="Calibri" w:cstheme="minorHAnsi"/>
          <w:noProof/>
          <w:color w:val="000000" w:themeColor="text1"/>
        </w:rPr>
        <w:t>:187-92.</w:t>
      </w:r>
      <w:bookmarkEnd w:id="13"/>
    </w:p>
    <w:p w:rsidR="00DC24D8" w:rsidRPr="00DC24D8" w:rsidRDefault="00DC24D8" w:rsidP="00DC24D8">
      <w:pPr>
        <w:pStyle w:val="NoSpacing"/>
        <w:rPr>
          <w:rFonts w:ascii="Calibri" w:hAnsi="Calibri" w:cstheme="minorHAnsi"/>
          <w:noProof/>
          <w:color w:val="000000" w:themeColor="text1"/>
        </w:rPr>
      </w:pPr>
      <w:bookmarkStart w:id="14" w:name="_ENREF_14"/>
      <w:r w:rsidRPr="00DC24D8">
        <w:rPr>
          <w:rFonts w:ascii="Calibri" w:hAnsi="Calibri" w:cstheme="minorHAnsi"/>
          <w:noProof/>
          <w:color w:val="000000" w:themeColor="text1"/>
        </w:rPr>
        <w:t>14</w:t>
      </w:r>
      <w:r w:rsidRPr="00DC24D8">
        <w:rPr>
          <w:rFonts w:ascii="Calibri" w:hAnsi="Calibri" w:cstheme="minorHAnsi"/>
          <w:noProof/>
          <w:color w:val="000000" w:themeColor="text1"/>
        </w:rPr>
        <w:tab/>
        <w:t xml:space="preserve">Taylor J, Moon G, Twigg L. Using geocoded survey data to improve the accuracy of multilevel small area synthetic estimates. </w:t>
      </w:r>
      <w:r w:rsidRPr="00DC24D8">
        <w:rPr>
          <w:rFonts w:ascii="Calibri" w:hAnsi="Calibri" w:cstheme="minorHAnsi"/>
          <w:i/>
          <w:noProof/>
          <w:color w:val="000000" w:themeColor="text1"/>
        </w:rPr>
        <w:t>Social Science Research</w:t>
      </w:r>
      <w:r w:rsidRPr="00DC24D8">
        <w:rPr>
          <w:rFonts w:ascii="Calibri" w:hAnsi="Calibri" w:cstheme="minorHAnsi"/>
          <w:noProof/>
          <w:color w:val="000000" w:themeColor="text1"/>
        </w:rPr>
        <w:t xml:space="preserve"> 2016;</w:t>
      </w:r>
      <w:r w:rsidRPr="00DC24D8">
        <w:rPr>
          <w:rFonts w:ascii="Calibri" w:hAnsi="Calibri" w:cstheme="minorHAnsi"/>
          <w:b/>
          <w:noProof/>
          <w:color w:val="000000" w:themeColor="text1"/>
        </w:rPr>
        <w:t>56</w:t>
      </w:r>
      <w:r w:rsidRPr="00DC24D8">
        <w:rPr>
          <w:rFonts w:ascii="Calibri" w:hAnsi="Calibri" w:cstheme="minorHAnsi"/>
          <w:noProof/>
          <w:color w:val="000000" w:themeColor="text1"/>
        </w:rPr>
        <w:t>:108-16.</w:t>
      </w:r>
      <w:bookmarkEnd w:id="14"/>
    </w:p>
    <w:p w:rsidR="00DC24D8" w:rsidRPr="00DC24D8" w:rsidRDefault="00DC24D8" w:rsidP="00DC24D8">
      <w:pPr>
        <w:pStyle w:val="NoSpacing"/>
        <w:rPr>
          <w:rFonts w:ascii="Calibri" w:hAnsi="Calibri" w:cstheme="minorHAnsi"/>
          <w:noProof/>
          <w:color w:val="000000" w:themeColor="text1"/>
        </w:rPr>
      </w:pPr>
      <w:bookmarkStart w:id="15" w:name="_ENREF_15"/>
      <w:r w:rsidRPr="00DC24D8">
        <w:rPr>
          <w:rFonts w:ascii="Calibri" w:hAnsi="Calibri" w:cstheme="minorHAnsi"/>
          <w:noProof/>
          <w:color w:val="000000" w:themeColor="text1"/>
        </w:rPr>
        <w:t>15</w:t>
      </w:r>
      <w:r w:rsidRPr="00DC24D8">
        <w:rPr>
          <w:rFonts w:ascii="Calibri" w:hAnsi="Calibri" w:cstheme="minorHAnsi"/>
          <w:noProof/>
          <w:color w:val="000000" w:themeColor="text1"/>
        </w:rPr>
        <w:tab/>
        <w:t>NatCen Social Research. Health Survey for England 2011 user guide. London: NatCen 2012.</w:t>
      </w:r>
      <w:bookmarkEnd w:id="15"/>
    </w:p>
    <w:p w:rsidR="00DC24D8" w:rsidRPr="00DC24D8" w:rsidRDefault="00DC24D8" w:rsidP="00DC24D8">
      <w:pPr>
        <w:pStyle w:val="NoSpacing"/>
        <w:rPr>
          <w:rFonts w:ascii="Calibri" w:hAnsi="Calibri" w:cstheme="minorHAnsi"/>
          <w:noProof/>
          <w:color w:val="000000" w:themeColor="text1"/>
        </w:rPr>
      </w:pPr>
      <w:bookmarkStart w:id="16" w:name="_ENREF_16"/>
      <w:r w:rsidRPr="00DC24D8">
        <w:rPr>
          <w:rFonts w:ascii="Calibri" w:hAnsi="Calibri" w:cstheme="minorHAnsi"/>
          <w:noProof/>
          <w:color w:val="000000" w:themeColor="text1"/>
        </w:rPr>
        <w:t>16</w:t>
      </w:r>
      <w:r w:rsidRPr="00DC24D8">
        <w:rPr>
          <w:rFonts w:ascii="Calibri" w:hAnsi="Calibri" w:cstheme="minorHAnsi"/>
          <w:noProof/>
          <w:color w:val="000000" w:themeColor="text1"/>
        </w:rPr>
        <w:tab/>
        <w:t xml:space="preserve">Rutherford L, Sharp C, Bromley C, eds. </w:t>
      </w:r>
      <w:r w:rsidRPr="00DC24D8">
        <w:rPr>
          <w:rFonts w:ascii="Calibri" w:hAnsi="Calibri" w:cstheme="minorHAnsi"/>
          <w:i/>
          <w:noProof/>
          <w:color w:val="000000" w:themeColor="text1"/>
        </w:rPr>
        <w:t>The Scottish Health Survey 2011 edition volume 3 technical report</w:t>
      </w:r>
      <w:r w:rsidRPr="00DC24D8">
        <w:rPr>
          <w:rFonts w:ascii="Calibri" w:hAnsi="Calibri" w:cstheme="minorHAnsi"/>
          <w:noProof/>
          <w:color w:val="000000" w:themeColor="text1"/>
        </w:rPr>
        <w:t>. Edinburgh: A National Statistics Publication for Scotland 2012.</w:t>
      </w:r>
      <w:bookmarkEnd w:id="16"/>
    </w:p>
    <w:p w:rsidR="00DC24D8" w:rsidRPr="00DC24D8" w:rsidRDefault="00DC24D8" w:rsidP="00DC24D8">
      <w:pPr>
        <w:pStyle w:val="NoSpacing"/>
        <w:rPr>
          <w:rFonts w:ascii="Calibri" w:hAnsi="Calibri" w:cstheme="minorHAnsi"/>
          <w:noProof/>
          <w:color w:val="000000" w:themeColor="text1"/>
        </w:rPr>
      </w:pPr>
      <w:bookmarkStart w:id="17" w:name="_ENREF_17"/>
      <w:r w:rsidRPr="00DC24D8">
        <w:rPr>
          <w:rFonts w:ascii="Calibri" w:hAnsi="Calibri" w:cstheme="minorHAnsi"/>
          <w:noProof/>
          <w:color w:val="000000" w:themeColor="text1"/>
        </w:rPr>
        <w:t>17</w:t>
      </w:r>
      <w:r w:rsidRPr="00DC24D8">
        <w:rPr>
          <w:rFonts w:ascii="Calibri" w:hAnsi="Calibri" w:cstheme="minorHAnsi"/>
          <w:noProof/>
          <w:color w:val="000000" w:themeColor="text1"/>
        </w:rPr>
        <w:tab/>
        <w:t>NatCen Social Research. Welsh Health Survey 2012 - Technical Report London: NatCen 2012a.</w:t>
      </w:r>
      <w:bookmarkEnd w:id="17"/>
    </w:p>
    <w:p w:rsidR="00DC24D8" w:rsidRPr="00DC24D8" w:rsidRDefault="00DC24D8" w:rsidP="00DC24D8">
      <w:pPr>
        <w:pStyle w:val="NoSpacing"/>
        <w:rPr>
          <w:rFonts w:ascii="Calibri" w:hAnsi="Calibri" w:cstheme="minorHAnsi"/>
          <w:noProof/>
          <w:color w:val="000000" w:themeColor="text1"/>
        </w:rPr>
      </w:pPr>
      <w:bookmarkStart w:id="18" w:name="_ENREF_18"/>
      <w:r w:rsidRPr="00DC24D8">
        <w:rPr>
          <w:rFonts w:ascii="Calibri" w:hAnsi="Calibri" w:cstheme="minorHAnsi"/>
          <w:noProof/>
          <w:color w:val="000000" w:themeColor="text1"/>
        </w:rPr>
        <w:t>18</w:t>
      </w:r>
      <w:r w:rsidRPr="00DC24D8">
        <w:rPr>
          <w:rFonts w:ascii="Calibri" w:hAnsi="Calibri" w:cstheme="minorHAnsi"/>
          <w:noProof/>
          <w:color w:val="000000" w:themeColor="text1"/>
        </w:rPr>
        <w:tab/>
        <w:t xml:space="preserve">Payne N, Saul C. What common disorders do those reporting limiting long-term illness experience, and what is their survival and health service utilization experience? </w:t>
      </w:r>
      <w:r w:rsidRPr="00DC24D8">
        <w:rPr>
          <w:rFonts w:ascii="Calibri" w:hAnsi="Calibri" w:cstheme="minorHAnsi"/>
          <w:i/>
          <w:noProof/>
          <w:color w:val="000000" w:themeColor="text1"/>
        </w:rPr>
        <w:t>Journal of Public Health Medicine</w:t>
      </w:r>
      <w:r w:rsidRPr="00DC24D8">
        <w:rPr>
          <w:rFonts w:ascii="Calibri" w:hAnsi="Calibri" w:cstheme="minorHAnsi"/>
          <w:noProof/>
          <w:color w:val="000000" w:themeColor="text1"/>
        </w:rPr>
        <w:t xml:space="preserve"> 2000;</w:t>
      </w:r>
      <w:r w:rsidRPr="00DC24D8">
        <w:rPr>
          <w:rFonts w:ascii="Calibri" w:hAnsi="Calibri" w:cstheme="minorHAnsi"/>
          <w:b/>
          <w:noProof/>
          <w:color w:val="000000" w:themeColor="text1"/>
        </w:rPr>
        <w:t>22</w:t>
      </w:r>
      <w:r w:rsidRPr="00DC24D8">
        <w:rPr>
          <w:rFonts w:ascii="Calibri" w:hAnsi="Calibri" w:cstheme="minorHAnsi"/>
          <w:noProof/>
          <w:color w:val="000000" w:themeColor="text1"/>
        </w:rPr>
        <w:t>:324-9.</w:t>
      </w:r>
      <w:bookmarkEnd w:id="18"/>
    </w:p>
    <w:p w:rsidR="00DC24D8" w:rsidRPr="00DC24D8" w:rsidRDefault="00DC24D8" w:rsidP="00DC24D8">
      <w:pPr>
        <w:pStyle w:val="NoSpacing"/>
        <w:rPr>
          <w:rFonts w:ascii="Calibri" w:hAnsi="Calibri" w:cstheme="minorHAnsi"/>
          <w:noProof/>
          <w:color w:val="000000" w:themeColor="text1"/>
        </w:rPr>
      </w:pPr>
      <w:bookmarkStart w:id="19" w:name="_ENREF_19"/>
      <w:r w:rsidRPr="00DC24D8">
        <w:rPr>
          <w:rFonts w:ascii="Calibri" w:hAnsi="Calibri" w:cstheme="minorHAnsi"/>
          <w:noProof/>
          <w:color w:val="000000" w:themeColor="text1"/>
        </w:rPr>
        <w:t>19</w:t>
      </w:r>
      <w:r w:rsidRPr="00DC24D8">
        <w:rPr>
          <w:rFonts w:ascii="Calibri" w:hAnsi="Calibri" w:cstheme="minorHAnsi"/>
          <w:noProof/>
          <w:color w:val="000000" w:themeColor="text1"/>
        </w:rPr>
        <w:tab/>
        <w:t>NOMIS. Benefit Claimants: working age clients for small areas. https://</w:t>
      </w:r>
      <w:hyperlink r:id="rId10" w:history="1">
        <w:r w:rsidRPr="00DC24D8">
          <w:rPr>
            <w:rStyle w:val="Hyperlink"/>
            <w:rFonts w:ascii="Calibri" w:hAnsi="Calibri" w:cstheme="minorHAnsi"/>
            <w:noProof/>
          </w:rPr>
          <w:t>www.nomisweb.co.uk/query/construct/summary.asp?mode=construct&amp;version=0&amp;dataset=103</w:t>
        </w:r>
      </w:hyperlink>
      <w:r w:rsidRPr="00DC24D8">
        <w:rPr>
          <w:rFonts w:ascii="Calibri" w:hAnsi="Calibri" w:cstheme="minorHAnsi"/>
          <w:noProof/>
          <w:color w:val="000000" w:themeColor="text1"/>
        </w:rPr>
        <w:t>.</w:t>
      </w:r>
      <w:bookmarkEnd w:id="19"/>
    </w:p>
    <w:p w:rsidR="00DC24D8" w:rsidRPr="00DC24D8" w:rsidRDefault="00DC24D8" w:rsidP="00DC24D8">
      <w:pPr>
        <w:pStyle w:val="NoSpacing"/>
        <w:rPr>
          <w:rFonts w:ascii="Calibri" w:hAnsi="Calibri" w:cstheme="minorHAnsi"/>
          <w:noProof/>
          <w:color w:val="000000" w:themeColor="text1"/>
        </w:rPr>
      </w:pPr>
      <w:bookmarkStart w:id="20" w:name="_ENREF_20"/>
      <w:r w:rsidRPr="00DC24D8">
        <w:rPr>
          <w:rFonts w:ascii="Calibri" w:hAnsi="Calibri" w:cstheme="minorHAnsi"/>
          <w:noProof/>
          <w:color w:val="000000" w:themeColor="text1"/>
        </w:rPr>
        <w:t>20</w:t>
      </w:r>
      <w:r w:rsidRPr="00DC24D8">
        <w:rPr>
          <w:rFonts w:ascii="Calibri" w:hAnsi="Calibri" w:cstheme="minorHAnsi"/>
          <w:noProof/>
          <w:color w:val="000000" w:themeColor="text1"/>
        </w:rPr>
        <w:tab/>
        <w:t>Payne R, Abel G. UK indices of multiple deprivation - a way to make comparisons across constituent countries easier. London: Office for National Statistics 2012.</w:t>
      </w:r>
      <w:bookmarkEnd w:id="20"/>
    </w:p>
    <w:p w:rsidR="00DC24D8" w:rsidRPr="00DC24D8" w:rsidRDefault="00DC24D8" w:rsidP="00DC24D8">
      <w:pPr>
        <w:pStyle w:val="NoSpacing"/>
        <w:rPr>
          <w:rFonts w:ascii="Calibri" w:hAnsi="Calibri" w:cstheme="minorHAnsi"/>
          <w:noProof/>
          <w:color w:val="000000" w:themeColor="text1"/>
        </w:rPr>
      </w:pPr>
      <w:bookmarkStart w:id="21" w:name="_ENREF_21"/>
      <w:r w:rsidRPr="00DC24D8">
        <w:rPr>
          <w:rFonts w:ascii="Calibri" w:hAnsi="Calibri" w:cstheme="minorHAnsi"/>
          <w:noProof/>
          <w:color w:val="000000" w:themeColor="text1"/>
        </w:rPr>
        <w:t>21</w:t>
      </w:r>
      <w:r w:rsidRPr="00DC24D8">
        <w:rPr>
          <w:rFonts w:ascii="Calibri" w:hAnsi="Calibri" w:cstheme="minorHAnsi"/>
          <w:noProof/>
          <w:color w:val="000000" w:themeColor="text1"/>
        </w:rPr>
        <w:tab/>
        <w:t xml:space="preserve">Martin D, Wright JA. Disease prevalence in the English population: A comparison of primary care registers and prevalence models. </w:t>
      </w:r>
      <w:r w:rsidRPr="00DC24D8">
        <w:rPr>
          <w:rFonts w:ascii="Calibri" w:hAnsi="Calibri" w:cstheme="minorHAnsi"/>
          <w:i/>
          <w:noProof/>
          <w:color w:val="000000" w:themeColor="text1"/>
        </w:rPr>
        <w:t>Social Science and Medicine</w:t>
      </w:r>
      <w:r w:rsidRPr="00DC24D8">
        <w:rPr>
          <w:rFonts w:ascii="Calibri" w:hAnsi="Calibri" w:cstheme="minorHAnsi"/>
          <w:noProof/>
          <w:color w:val="000000" w:themeColor="text1"/>
        </w:rPr>
        <w:t xml:space="preserve"> 2009;</w:t>
      </w:r>
      <w:r w:rsidRPr="00DC24D8">
        <w:rPr>
          <w:rFonts w:ascii="Calibri" w:hAnsi="Calibri" w:cstheme="minorHAnsi"/>
          <w:b/>
          <w:noProof/>
          <w:color w:val="000000" w:themeColor="text1"/>
        </w:rPr>
        <w:t>68</w:t>
      </w:r>
      <w:r w:rsidRPr="00DC24D8">
        <w:rPr>
          <w:rFonts w:ascii="Calibri" w:hAnsi="Calibri" w:cstheme="minorHAnsi"/>
          <w:noProof/>
          <w:color w:val="000000" w:themeColor="text1"/>
        </w:rPr>
        <w:t>:266-74.</w:t>
      </w:r>
      <w:bookmarkEnd w:id="21"/>
    </w:p>
    <w:p w:rsidR="00DC24D8" w:rsidRPr="00DC24D8" w:rsidRDefault="00DC24D8" w:rsidP="00DC24D8">
      <w:pPr>
        <w:pStyle w:val="NoSpacing"/>
        <w:rPr>
          <w:rFonts w:ascii="Calibri" w:hAnsi="Calibri" w:cstheme="minorHAnsi"/>
          <w:noProof/>
          <w:color w:val="000000" w:themeColor="text1"/>
        </w:rPr>
      </w:pPr>
      <w:bookmarkStart w:id="22" w:name="_ENREF_22"/>
      <w:r w:rsidRPr="00DC24D8">
        <w:rPr>
          <w:rFonts w:ascii="Calibri" w:hAnsi="Calibri" w:cstheme="minorHAnsi"/>
          <w:noProof/>
          <w:color w:val="000000" w:themeColor="text1"/>
        </w:rPr>
        <w:t>22</w:t>
      </w:r>
      <w:r w:rsidRPr="00DC24D8">
        <w:rPr>
          <w:rFonts w:ascii="Calibri" w:hAnsi="Calibri" w:cstheme="minorHAnsi"/>
          <w:noProof/>
          <w:color w:val="000000" w:themeColor="text1"/>
        </w:rPr>
        <w:tab/>
        <w:t>Zhang X, Cook P, Lisboa P</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The effects of deprivation and relative deprivation on self-reported morbidity in England: An area-level ecological study. </w:t>
      </w:r>
      <w:r w:rsidRPr="00DC24D8">
        <w:rPr>
          <w:rFonts w:ascii="Calibri" w:hAnsi="Calibri" w:cstheme="minorHAnsi"/>
          <w:i/>
          <w:noProof/>
          <w:color w:val="000000" w:themeColor="text1"/>
        </w:rPr>
        <w:t>International Journal of Health Geographics</w:t>
      </w:r>
      <w:r w:rsidRPr="00DC24D8">
        <w:rPr>
          <w:rFonts w:ascii="Calibri" w:hAnsi="Calibri" w:cstheme="minorHAnsi"/>
          <w:noProof/>
          <w:color w:val="000000" w:themeColor="text1"/>
        </w:rPr>
        <w:t xml:space="preserve"> 2013;</w:t>
      </w:r>
      <w:r w:rsidRPr="00DC24D8">
        <w:rPr>
          <w:rFonts w:ascii="Calibri" w:hAnsi="Calibri" w:cstheme="minorHAnsi"/>
          <w:b/>
          <w:noProof/>
          <w:color w:val="000000" w:themeColor="text1"/>
        </w:rPr>
        <w:t>12</w:t>
      </w:r>
      <w:r w:rsidRPr="00DC24D8">
        <w:rPr>
          <w:rFonts w:ascii="Calibri" w:hAnsi="Calibri" w:cstheme="minorHAnsi"/>
          <w:noProof/>
          <w:color w:val="000000" w:themeColor="text1"/>
        </w:rPr>
        <w:t>:5.</w:t>
      </w:r>
      <w:bookmarkEnd w:id="22"/>
    </w:p>
    <w:p w:rsidR="00DC24D8" w:rsidRPr="00DC24D8" w:rsidRDefault="00DC24D8" w:rsidP="00DC24D8">
      <w:pPr>
        <w:pStyle w:val="NoSpacing"/>
        <w:rPr>
          <w:rFonts w:ascii="Calibri" w:hAnsi="Calibri" w:cstheme="minorHAnsi"/>
          <w:noProof/>
          <w:color w:val="000000" w:themeColor="text1"/>
        </w:rPr>
      </w:pPr>
      <w:bookmarkStart w:id="23" w:name="_ENREF_23"/>
      <w:r w:rsidRPr="00DC24D8">
        <w:rPr>
          <w:rFonts w:ascii="Calibri" w:hAnsi="Calibri" w:cstheme="minorHAnsi"/>
          <w:noProof/>
          <w:color w:val="000000" w:themeColor="text1"/>
        </w:rPr>
        <w:t>23</w:t>
      </w:r>
      <w:r w:rsidRPr="00DC24D8">
        <w:rPr>
          <w:rFonts w:ascii="Calibri" w:hAnsi="Calibri" w:cstheme="minorHAnsi"/>
          <w:noProof/>
          <w:color w:val="000000" w:themeColor="text1"/>
        </w:rPr>
        <w:tab/>
        <w:t xml:space="preserve">Twigg L, Moon G, Jones K. Predicting small-area health-related behaviour: a comparison of smoking and drinking indicators. </w:t>
      </w:r>
      <w:r w:rsidRPr="00DC24D8">
        <w:rPr>
          <w:rFonts w:ascii="Calibri" w:hAnsi="Calibri" w:cstheme="minorHAnsi"/>
          <w:i/>
          <w:noProof/>
          <w:color w:val="000000" w:themeColor="text1"/>
        </w:rPr>
        <w:t>Social Science &amp; Medicine</w:t>
      </w:r>
      <w:r w:rsidRPr="00DC24D8">
        <w:rPr>
          <w:rFonts w:ascii="Calibri" w:hAnsi="Calibri" w:cstheme="minorHAnsi"/>
          <w:noProof/>
          <w:color w:val="000000" w:themeColor="text1"/>
        </w:rPr>
        <w:t xml:space="preserve"> 2000;</w:t>
      </w:r>
      <w:r w:rsidRPr="00DC24D8">
        <w:rPr>
          <w:rFonts w:ascii="Calibri" w:hAnsi="Calibri" w:cstheme="minorHAnsi"/>
          <w:b/>
          <w:noProof/>
          <w:color w:val="000000" w:themeColor="text1"/>
        </w:rPr>
        <w:t>50</w:t>
      </w:r>
      <w:r w:rsidRPr="00DC24D8">
        <w:rPr>
          <w:rFonts w:ascii="Calibri" w:hAnsi="Calibri" w:cstheme="minorHAnsi"/>
          <w:noProof/>
          <w:color w:val="000000" w:themeColor="text1"/>
        </w:rPr>
        <w:t>:1109-20.</w:t>
      </w:r>
      <w:bookmarkEnd w:id="23"/>
    </w:p>
    <w:p w:rsidR="00DC24D8" w:rsidRPr="00DC24D8" w:rsidRDefault="00DC24D8" w:rsidP="00DC24D8">
      <w:pPr>
        <w:pStyle w:val="NoSpacing"/>
        <w:rPr>
          <w:rFonts w:ascii="Calibri" w:hAnsi="Calibri" w:cstheme="minorHAnsi"/>
          <w:noProof/>
          <w:color w:val="000000" w:themeColor="text1"/>
        </w:rPr>
      </w:pPr>
      <w:bookmarkStart w:id="24" w:name="_ENREF_24"/>
      <w:r w:rsidRPr="00DC24D8">
        <w:rPr>
          <w:rFonts w:ascii="Calibri" w:hAnsi="Calibri" w:cstheme="minorHAnsi"/>
          <w:noProof/>
          <w:color w:val="000000" w:themeColor="text1"/>
        </w:rPr>
        <w:t>24</w:t>
      </w:r>
      <w:r w:rsidRPr="00DC24D8">
        <w:rPr>
          <w:rFonts w:ascii="Calibri" w:hAnsi="Calibri" w:cstheme="minorHAnsi"/>
          <w:noProof/>
          <w:color w:val="000000" w:themeColor="text1"/>
        </w:rPr>
        <w:tab/>
        <w:t>Moon G, Quarendon G, Barnard S</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Fat nation: Deciphering the distinctive geographies of obesity in England. </w:t>
      </w:r>
      <w:r w:rsidRPr="00DC24D8">
        <w:rPr>
          <w:rFonts w:ascii="Calibri" w:hAnsi="Calibri" w:cstheme="minorHAnsi"/>
          <w:i/>
          <w:noProof/>
          <w:color w:val="000000" w:themeColor="text1"/>
        </w:rPr>
        <w:t>Social Science and Medicine</w:t>
      </w:r>
      <w:r w:rsidRPr="00DC24D8">
        <w:rPr>
          <w:rFonts w:ascii="Calibri" w:hAnsi="Calibri" w:cstheme="minorHAnsi"/>
          <w:noProof/>
          <w:color w:val="000000" w:themeColor="text1"/>
        </w:rPr>
        <w:t xml:space="preserve"> 2007;</w:t>
      </w:r>
      <w:r w:rsidRPr="00DC24D8">
        <w:rPr>
          <w:rFonts w:ascii="Calibri" w:hAnsi="Calibri" w:cstheme="minorHAnsi"/>
          <w:b/>
          <w:noProof/>
          <w:color w:val="000000" w:themeColor="text1"/>
        </w:rPr>
        <w:t>65</w:t>
      </w:r>
      <w:r w:rsidRPr="00DC24D8">
        <w:rPr>
          <w:rFonts w:ascii="Calibri" w:hAnsi="Calibri" w:cstheme="minorHAnsi"/>
          <w:noProof/>
          <w:color w:val="000000" w:themeColor="text1"/>
        </w:rPr>
        <w:t>:20-31.</w:t>
      </w:r>
      <w:bookmarkEnd w:id="24"/>
    </w:p>
    <w:p w:rsidR="00DC24D8" w:rsidRPr="00DC24D8" w:rsidRDefault="00DC24D8" w:rsidP="00DC24D8">
      <w:pPr>
        <w:pStyle w:val="NoSpacing"/>
        <w:rPr>
          <w:rFonts w:ascii="Calibri" w:hAnsi="Calibri" w:cstheme="minorHAnsi"/>
          <w:noProof/>
          <w:color w:val="000000" w:themeColor="text1"/>
        </w:rPr>
      </w:pPr>
      <w:bookmarkStart w:id="25" w:name="_ENREF_25"/>
      <w:r w:rsidRPr="00DC24D8">
        <w:rPr>
          <w:rFonts w:ascii="Calibri" w:hAnsi="Calibri" w:cstheme="minorHAnsi"/>
          <w:noProof/>
          <w:color w:val="000000" w:themeColor="text1"/>
        </w:rPr>
        <w:t>25</w:t>
      </w:r>
      <w:r w:rsidRPr="00DC24D8">
        <w:rPr>
          <w:rFonts w:ascii="Calibri" w:hAnsi="Calibri" w:cstheme="minorHAnsi"/>
          <w:noProof/>
          <w:color w:val="000000" w:themeColor="text1"/>
        </w:rPr>
        <w:tab/>
        <w:t>Rasbash J, Charlton C, Browne W</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MLwiN Version 2.35. Centre for Multilevel Modelling, University of Bristol. 2015.</w:t>
      </w:r>
      <w:bookmarkEnd w:id="25"/>
    </w:p>
    <w:p w:rsidR="00DC24D8" w:rsidRPr="00DC24D8" w:rsidRDefault="00DC24D8" w:rsidP="00DC24D8">
      <w:pPr>
        <w:pStyle w:val="NoSpacing"/>
        <w:rPr>
          <w:rFonts w:ascii="Calibri" w:hAnsi="Calibri" w:cstheme="minorHAnsi"/>
          <w:noProof/>
          <w:color w:val="000000" w:themeColor="text1"/>
        </w:rPr>
      </w:pPr>
      <w:bookmarkStart w:id="26" w:name="_ENREF_26"/>
      <w:r w:rsidRPr="00DC24D8">
        <w:rPr>
          <w:rFonts w:ascii="Calibri" w:hAnsi="Calibri" w:cstheme="minorHAnsi"/>
          <w:noProof/>
          <w:color w:val="000000" w:themeColor="text1"/>
        </w:rPr>
        <w:t>26</w:t>
      </w:r>
      <w:r w:rsidRPr="00DC24D8">
        <w:rPr>
          <w:rFonts w:ascii="Calibri" w:hAnsi="Calibri" w:cstheme="minorHAnsi"/>
          <w:noProof/>
          <w:color w:val="000000" w:themeColor="text1"/>
        </w:rPr>
        <w:tab/>
        <w:t>Browne W. MCMC Estimation in MLwiN. Centre for Multilevel Modelling, University of Bristol 2009.</w:t>
      </w:r>
      <w:bookmarkEnd w:id="26"/>
    </w:p>
    <w:p w:rsidR="00DC24D8" w:rsidRPr="00DC24D8" w:rsidRDefault="00DC24D8" w:rsidP="00DC24D8">
      <w:pPr>
        <w:pStyle w:val="NoSpacing"/>
        <w:rPr>
          <w:rFonts w:ascii="Calibri" w:hAnsi="Calibri" w:cstheme="minorHAnsi"/>
          <w:noProof/>
          <w:color w:val="000000" w:themeColor="text1"/>
        </w:rPr>
      </w:pPr>
      <w:bookmarkStart w:id="27" w:name="_ENREF_27"/>
      <w:r w:rsidRPr="00DC24D8">
        <w:rPr>
          <w:rFonts w:ascii="Calibri" w:hAnsi="Calibri" w:cstheme="minorHAnsi"/>
          <w:noProof/>
          <w:color w:val="000000" w:themeColor="text1"/>
        </w:rPr>
        <w:t>27</w:t>
      </w:r>
      <w:r w:rsidRPr="00DC24D8">
        <w:rPr>
          <w:rFonts w:ascii="Calibri" w:hAnsi="Calibri" w:cstheme="minorHAnsi"/>
          <w:noProof/>
          <w:color w:val="000000" w:themeColor="text1"/>
        </w:rPr>
        <w:tab/>
        <w:t xml:space="preserve">Gelman A. Struggles with survey weighting and regression modeling. </w:t>
      </w:r>
      <w:r w:rsidRPr="00DC24D8">
        <w:rPr>
          <w:rFonts w:ascii="Calibri" w:hAnsi="Calibri" w:cstheme="minorHAnsi"/>
          <w:i/>
          <w:noProof/>
          <w:color w:val="000000" w:themeColor="text1"/>
        </w:rPr>
        <w:t>Statistical Science</w:t>
      </w:r>
      <w:r w:rsidRPr="00DC24D8">
        <w:rPr>
          <w:rFonts w:ascii="Calibri" w:hAnsi="Calibri" w:cstheme="minorHAnsi"/>
          <w:noProof/>
          <w:color w:val="000000" w:themeColor="text1"/>
        </w:rPr>
        <w:t xml:space="preserve"> 2007;</w:t>
      </w:r>
      <w:r w:rsidRPr="00DC24D8">
        <w:rPr>
          <w:rFonts w:ascii="Calibri" w:hAnsi="Calibri" w:cstheme="minorHAnsi"/>
          <w:b/>
          <w:noProof/>
          <w:color w:val="000000" w:themeColor="text1"/>
        </w:rPr>
        <w:t>22</w:t>
      </w:r>
      <w:r w:rsidRPr="00DC24D8">
        <w:rPr>
          <w:rFonts w:ascii="Calibri" w:hAnsi="Calibri" w:cstheme="minorHAnsi"/>
          <w:noProof/>
          <w:color w:val="000000" w:themeColor="text1"/>
        </w:rPr>
        <w:t>:153-64.</w:t>
      </w:r>
      <w:bookmarkEnd w:id="27"/>
    </w:p>
    <w:p w:rsidR="00DC24D8" w:rsidRPr="00DC24D8" w:rsidRDefault="00DC24D8" w:rsidP="00DC24D8">
      <w:pPr>
        <w:pStyle w:val="NoSpacing"/>
        <w:rPr>
          <w:rFonts w:ascii="Calibri" w:hAnsi="Calibri" w:cstheme="minorHAnsi"/>
          <w:noProof/>
          <w:color w:val="000000" w:themeColor="text1"/>
        </w:rPr>
      </w:pPr>
      <w:bookmarkStart w:id="28" w:name="_ENREF_28"/>
      <w:r w:rsidRPr="00DC24D8">
        <w:rPr>
          <w:rFonts w:ascii="Calibri" w:hAnsi="Calibri" w:cstheme="minorHAnsi"/>
          <w:noProof/>
          <w:color w:val="000000" w:themeColor="text1"/>
        </w:rPr>
        <w:t>28</w:t>
      </w:r>
      <w:r w:rsidRPr="00DC24D8">
        <w:rPr>
          <w:rFonts w:ascii="Calibri" w:hAnsi="Calibri" w:cstheme="minorHAnsi"/>
          <w:noProof/>
          <w:color w:val="000000" w:themeColor="text1"/>
        </w:rPr>
        <w:tab/>
        <w:t>Scarborough P, Allender S, Rayner M</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Validation of model-based estimates (synthetic estimates) of the prevalence of risk factors for coronary heart disease for wards in England. </w:t>
      </w:r>
      <w:r w:rsidRPr="00DC24D8">
        <w:rPr>
          <w:rFonts w:ascii="Calibri" w:hAnsi="Calibri" w:cstheme="minorHAnsi"/>
          <w:i/>
          <w:noProof/>
          <w:color w:val="000000" w:themeColor="text1"/>
        </w:rPr>
        <w:t>Health &amp; Place</w:t>
      </w:r>
      <w:r w:rsidRPr="00DC24D8">
        <w:rPr>
          <w:rFonts w:ascii="Calibri" w:hAnsi="Calibri" w:cstheme="minorHAnsi"/>
          <w:noProof/>
          <w:color w:val="000000" w:themeColor="text1"/>
        </w:rPr>
        <w:t xml:space="preserve"> 2009;</w:t>
      </w:r>
      <w:r w:rsidRPr="00DC24D8">
        <w:rPr>
          <w:rFonts w:ascii="Calibri" w:hAnsi="Calibri" w:cstheme="minorHAnsi"/>
          <w:b/>
          <w:noProof/>
          <w:color w:val="000000" w:themeColor="text1"/>
        </w:rPr>
        <w:t>15</w:t>
      </w:r>
      <w:r w:rsidRPr="00DC24D8">
        <w:rPr>
          <w:rFonts w:ascii="Calibri" w:hAnsi="Calibri" w:cstheme="minorHAnsi"/>
          <w:noProof/>
          <w:color w:val="000000" w:themeColor="text1"/>
        </w:rPr>
        <w:t>:596-605.</w:t>
      </w:r>
      <w:bookmarkEnd w:id="28"/>
    </w:p>
    <w:p w:rsidR="00DC24D8" w:rsidRPr="00DC24D8" w:rsidRDefault="00DC24D8" w:rsidP="00DC24D8">
      <w:pPr>
        <w:pStyle w:val="NoSpacing"/>
        <w:rPr>
          <w:rFonts w:ascii="Calibri" w:hAnsi="Calibri" w:cstheme="minorHAnsi"/>
          <w:noProof/>
          <w:color w:val="000000" w:themeColor="text1"/>
        </w:rPr>
      </w:pPr>
      <w:bookmarkStart w:id="29" w:name="_ENREF_29"/>
      <w:r w:rsidRPr="00DC24D8">
        <w:rPr>
          <w:rFonts w:ascii="Calibri" w:hAnsi="Calibri" w:cstheme="minorHAnsi"/>
          <w:noProof/>
          <w:color w:val="000000" w:themeColor="text1"/>
        </w:rPr>
        <w:t>29</w:t>
      </w:r>
      <w:r w:rsidRPr="00DC24D8">
        <w:rPr>
          <w:rFonts w:ascii="Calibri" w:hAnsi="Calibri" w:cstheme="minorHAnsi"/>
          <w:noProof/>
          <w:color w:val="000000" w:themeColor="text1"/>
        </w:rPr>
        <w:tab/>
        <w:t xml:space="preserve">Browne W. </w:t>
      </w:r>
      <w:r w:rsidRPr="00DC24D8">
        <w:rPr>
          <w:rFonts w:ascii="Calibri" w:hAnsi="Calibri" w:cstheme="minorHAnsi"/>
          <w:i/>
          <w:noProof/>
          <w:color w:val="000000" w:themeColor="text1"/>
        </w:rPr>
        <w:t>MCMC Estimation Methods in MLwiN</w:t>
      </w:r>
      <w:r w:rsidRPr="00DC24D8">
        <w:rPr>
          <w:rFonts w:ascii="Calibri" w:hAnsi="Calibri" w:cstheme="minorHAnsi"/>
          <w:noProof/>
          <w:color w:val="000000" w:themeColor="text1"/>
        </w:rPr>
        <w:t>. University of Bristol: Centre for Multilevel Modelling 2015.</w:t>
      </w:r>
      <w:bookmarkEnd w:id="29"/>
    </w:p>
    <w:p w:rsidR="00DC24D8" w:rsidRPr="00DC24D8" w:rsidRDefault="00DC24D8" w:rsidP="00DC24D8">
      <w:pPr>
        <w:pStyle w:val="NoSpacing"/>
        <w:rPr>
          <w:rFonts w:ascii="Calibri" w:hAnsi="Calibri" w:cstheme="minorHAnsi"/>
          <w:noProof/>
          <w:color w:val="000000" w:themeColor="text1"/>
        </w:rPr>
      </w:pPr>
      <w:bookmarkStart w:id="30" w:name="_ENREF_30"/>
      <w:r w:rsidRPr="00DC24D8">
        <w:rPr>
          <w:rFonts w:ascii="Calibri" w:hAnsi="Calibri" w:cstheme="minorHAnsi"/>
          <w:noProof/>
          <w:color w:val="000000" w:themeColor="text1"/>
        </w:rPr>
        <w:t>30</w:t>
      </w:r>
      <w:r w:rsidRPr="00DC24D8">
        <w:rPr>
          <w:rFonts w:ascii="Calibri" w:hAnsi="Calibri" w:cstheme="minorHAnsi"/>
          <w:noProof/>
          <w:color w:val="000000" w:themeColor="text1"/>
        </w:rPr>
        <w:tab/>
        <w:t>Snijders T, Bosker R. Multilevel analysis: An introduction to basic and applied multilevel analysis. London: Sage 1999.</w:t>
      </w:r>
      <w:bookmarkEnd w:id="30"/>
    </w:p>
    <w:p w:rsidR="00DC24D8" w:rsidRPr="00DC24D8" w:rsidRDefault="00DC24D8" w:rsidP="00DC24D8">
      <w:pPr>
        <w:pStyle w:val="NoSpacing"/>
        <w:rPr>
          <w:rFonts w:ascii="Calibri" w:hAnsi="Calibri" w:cstheme="minorHAnsi"/>
          <w:noProof/>
          <w:color w:val="000000" w:themeColor="text1"/>
        </w:rPr>
      </w:pPr>
      <w:bookmarkStart w:id="31" w:name="_ENREF_31"/>
      <w:r w:rsidRPr="00DC24D8">
        <w:rPr>
          <w:rFonts w:ascii="Calibri" w:hAnsi="Calibri" w:cstheme="minorHAnsi"/>
          <w:noProof/>
          <w:color w:val="000000" w:themeColor="text1"/>
        </w:rPr>
        <w:t>31</w:t>
      </w:r>
      <w:r w:rsidRPr="00DC24D8">
        <w:rPr>
          <w:rFonts w:ascii="Calibri" w:hAnsi="Calibri" w:cstheme="minorHAnsi"/>
          <w:noProof/>
          <w:color w:val="000000" w:themeColor="text1"/>
        </w:rPr>
        <w:tab/>
        <w:t xml:space="preserve">Gould M, Jones K. Analyzing perceived limiting long-term illness using UK census microdata. </w:t>
      </w:r>
      <w:r w:rsidRPr="00DC24D8">
        <w:rPr>
          <w:rFonts w:ascii="Calibri" w:hAnsi="Calibri" w:cstheme="minorHAnsi"/>
          <w:i/>
          <w:noProof/>
          <w:color w:val="000000" w:themeColor="text1"/>
        </w:rPr>
        <w:t>Social Science &amp; Medicine</w:t>
      </w:r>
      <w:r w:rsidRPr="00DC24D8">
        <w:rPr>
          <w:rFonts w:ascii="Calibri" w:hAnsi="Calibri" w:cstheme="minorHAnsi"/>
          <w:noProof/>
          <w:color w:val="000000" w:themeColor="text1"/>
        </w:rPr>
        <w:t xml:space="preserve"> 1996;</w:t>
      </w:r>
      <w:r w:rsidRPr="00DC24D8">
        <w:rPr>
          <w:rFonts w:ascii="Calibri" w:hAnsi="Calibri" w:cstheme="minorHAnsi"/>
          <w:b/>
          <w:noProof/>
          <w:color w:val="000000" w:themeColor="text1"/>
        </w:rPr>
        <w:t>42</w:t>
      </w:r>
      <w:r w:rsidRPr="00DC24D8">
        <w:rPr>
          <w:rFonts w:ascii="Calibri" w:hAnsi="Calibri" w:cstheme="minorHAnsi"/>
          <w:noProof/>
          <w:color w:val="000000" w:themeColor="text1"/>
        </w:rPr>
        <w:t>:857-69.</w:t>
      </w:r>
      <w:bookmarkEnd w:id="31"/>
    </w:p>
    <w:p w:rsidR="00DC24D8" w:rsidRPr="00DC24D8" w:rsidRDefault="00DC24D8" w:rsidP="00DC24D8">
      <w:pPr>
        <w:pStyle w:val="NoSpacing"/>
        <w:rPr>
          <w:rFonts w:ascii="Calibri" w:hAnsi="Calibri" w:cstheme="minorHAnsi"/>
          <w:noProof/>
          <w:color w:val="000000" w:themeColor="text1"/>
        </w:rPr>
      </w:pPr>
      <w:bookmarkStart w:id="32" w:name="_ENREF_32"/>
      <w:r w:rsidRPr="00DC24D8">
        <w:rPr>
          <w:rFonts w:ascii="Calibri" w:hAnsi="Calibri" w:cstheme="minorHAnsi"/>
          <w:noProof/>
          <w:color w:val="000000" w:themeColor="text1"/>
        </w:rPr>
        <w:t>32</w:t>
      </w:r>
      <w:r w:rsidRPr="00DC24D8">
        <w:rPr>
          <w:rFonts w:ascii="Calibri" w:hAnsi="Calibri" w:cstheme="minorHAnsi"/>
          <w:noProof/>
          <w:color w:val="000000" w:themeColor="text1"/>
        </w:rPr>
        <w:tab/>
        <w:t xml:space="preserve">Senior ML. Area Variations in Self-perceived Limiting Long Term Illness in Britain, 1991: Is the Welsh Experience Exceptional?, . </w:t>
      </w:r>
      <w:r w:rsidRPr="00DC24D8">
        <w:rPr>
          <w:rFonts w:ascii="Calibri" w:hAnsi="Calibri" w:cstheme="minorHAnsi"/>
          <w:i/>
          <w:noProof/>
          <w:color w:val="000000" w:themeColor="text1"/>
        </w:rPr>
        <w:t>Regional Studies</w:t>
      </w:r>
      <w:r w:rsidRPr="00DC24D8">
        <w:rPr>
          <w:rFonts w:ascii="Calibri" w:hAnsi="Calibri" w:cstheme="minorHAnsi"/>
          <w:noProof/>
          <w:color w:val="000000" w:themeColor="text1"/>
        </w:rPr>
        <w:t xml:space="preserve"> 1998;</w:t>
      </w:r>
      <w:r w:rsidRPr="00DC24D8">
        <w:rPr>
          <w:rFonts w:ascii="Calibri" w:hAnsi="Calibri" w:cstheme="minorHAnsi"/>
          <w:b/>
          <w:noProof/>
          <w:color w:val="000000" w:themeColor="text1"/>
        </w:rPr>
        <w:t>32</w:t>
      </w:r>
      <w:r w:rsidRPr="00DC24D8">
        <w:rPr>
          <w:rFonts w:ascii="Calibri" w:hAnsi="Calibri" w:cstheme="minorHAnsi"/>
          <w:noProof/>
          <w:color w:val="000000" w:themeColor="text1"/>
        </w:rPr>
        <w:t>:265-80.</w:t>
      </w:r>
      <w:bookmarkEnd w:id="32"/>
    </w:p>
    <w:p w:rsidR="00DC24D8" w:rsidRPr="00DC24D8" w:rsidRDefault="00DC24D8" w:rsidP="00DC24D8">
      <w:pPr>
        <w:pStyle w:val="NoSpacing"/>
        <w:rPr>
          <w:rFonts w:ascii="Calibri" w:hAnsi="Calibri" w:cstheme="minorHAnsi"/>
          <w:noProof/>
          <w:color w:val="000000" w:themeColor="text1"/>
        </w:rPr>
      </w:pPr>
      <w:bookmarkStart w:id="33" w:name="_ENREF_33"/>
      <w:r w:rsidRPr="00DC24D8">
        <w:rPr>
          <w:rFonts w:ascii="Calibri" w:hAnsi="Calibri" w:cstheme="minorHAnsi"/>
          <w:noProof/>
          <w:color w:val="000000" w:themeColor="text1"/>
        </w:rPr>
        <w:t>33</w:t>
      </w:r>
      <w:r w:rsidRPr="00DC24D8">
        <w:rPr>
          <w:rFonts w:ascii="Calibri" w:hAnsi="Calibri" w:cstheme="minorHAnsi"/>
          <w:noProof/>
          <w:color w:val="000000" w:themeColor="text1"/>
        </w:rPr>
        <w:tab/>
        <w:t xml:space="preserve">Doran T. Is there a north-south divide in social class inequalities in health in Great Britain? Cross sectional study using data from the 2001 census. </w:t>
      </w:r>
      <w:r w:rsidRPr="00DC24D8">
        <w:rPr>
          <w:rFonts w:ascii="Calibri" w:hAnsi="Calibri" w:cstheme="minorHAnsi"/>
          <w:i/>
          <w:noProof/>
          <w:color w:val="000000" w:themeColor="text1"/>
        </w:rPr>
        <w:t>BMJ</w:t>
      </w:r>
      <w:r w:rsidRPr="00DC24D8">
        <w:rPr>
          <w:rFonts w:ascii="Calibri" w:hAnsi="Calibri" w:cstheme="minorHAnsi"/>
          <w:noProof/>
          <w:color w:val="000000" w:themeColor="text1"/>
        </w:rPr>
        <w:t xml:space="preserve"> 2004:1043.</w:t>
      </w:r>
      <w:bookmarkEnd w:id="33"/>
    </w:p>
    <w:p w:rsidR="00DC24D8" w:rsidRPr="00DC24D8" w:rsidRDefault="00DC24D8" w:rsidP="00DC24D8">
      <w:pPr>
        <w:pStyle w:val="NoSpacing"/>
        <w:rPr>
          <w:rFonts w:ascii="Calibri" w:hAnsi="Calibri" w:cstheme="minorHAnsi"/>
          <w:noProof/>
          <w:color w:val="000000" w:themeColor="text1"/>
        </w:rPr>
      </w:pPr>
      <w:bookmarkStart w:id="34" w:name="_ENREF_34"/>
      <w:r w:rsidRPr="00DC24D8">
        <w:rPr>
          <w:rFonts w:ascii="Calibri" w:hAnsi="Calibri" w:cstheme="minorHAnsi"/>
          <w:noProof/>
          <w:color w:val="000000" w:themeColor="text1"/>
        </w:rPr>
        <w:t>34</w:t>
      </w:r>
      <w:r w:rsidRPr="00DC24D8">
        <w:rPr>
          <w:rFonts w:ascii="Calibri" w:hAnsi="Calibri" w:cstheme="minorHAnsi"/>
          <w:noProof/>
          <w:color w:val="000000" w:themeColor="text1"/>
        </w:rPr>
        <w:tab/>
        <w:t xml:space="preserve">O'Reilly D. Self reported health and mortality: ecological analysis based on electoral wards across the United Kingdom. </w:t>
      </w:r>
      <w:r w:rsidRPr="00DC24D8">
        <w:rPr>
          <w:rFonts w:ascii="Calibri" w:hAnsi="Calibri" w:cstheme="minorHAnsi"/>
          <w:i/>
          <w:noProof/>
          <w:color w:val="000000" w:themeColor="text1"/>
        </w:rPr>
        <w:t>BMJ</w:t>
      </w:r>
      <w:r w:rsidRPr="00DC24D8">
        <w:rPr>
          <w:rFonts w:ascii="Calibri" w:hAnsi="Calibri" w:cstheme="minorHAnsi"/>
          <w:noProof/>
          <w:color w:val="000000" w:themeColor="text1"/>
        </w:rPr>
        <w:t xml:space="preserve"> 2005;</w:t>
      </w:r>
      <w:r w:rsidRPr="00DC24D8">
        <w:rPr>
          <w:rFonts w:ascii="Calibri" w:hAnsi="Calibri" w:cstheme="minorHAnsi"/>
          <w:b/>
          <w:noProof/>
          <w:color w:val="000000" w:themeColor="text1"/>
        </w:rPr>
        <w:t>331</w:t>
      </w:r>
      <w:r w:rsidRPr="00DC24D8">
        <w:rPr>
          <w:rFonts w:ascii="Calibri" w:hAnsi="Calibri" w:cstheme="minorHAnsi"/>
          <w:noProof/>
          <w:color w:val="000000" w:themeColor="text1"/>
        </w:rPr>
        <w:t>:938.</w:t>
      </w:r>
      <w:bookmarkEnd w:id="34"/>
    </w:p>
    <w:p w:rsidR="00DC24D8" w:rsidRPr="00DC24D8" w:rsidRDefault="00DC24D8" w:rsidP="00DC24D8">
      <w:pPr>
        <w:pStyle w:val="NoSpacing"/>
        <w:rPr>
          <w:rFonts w:ascii="Calibri" w:hAnsi="Calibri" w:cstheme="minorHAnsi"/>
          <w:noProof/>
          <w:color w:val="000000" w:themeColor="text1"/>
        </w:rPr>
      </w:pPr>
      <w:bookmarkStart w:id="35" w:name="_ENREF_35"/>
      <w:r w:rsidRPr="00DC24D8">
        <w:rPr>
          <w:rFonts w:ascii="Calibri" w:hAnsi="Calibri" w:cstheme="minorHAnsi"/>
          <w:noProof/>
          <w:color w:val="000000" w:themeColor="text1"/>
        </w:rPr>
        <w:t>35</w:t>
      </w:r>
      <w:r w:rsidRPr="00DC24D8">
        <w:rPr>
          <w:rFonts w:ascii="Calibri" w:hAnsi="Calibri" w:cstheme="minorHAnsi"/>
          <w:noProof/>
          <w:color w:val="000000" w:themeColor="text1"/>
        </w:rPr>
        <w:tab/>
        <w:t xml:space="preserve">Bowling A, Windsor J. The effects of question order and response-choice on self-rated health status in the English Longitudinal Study of Ageing (ELSA). </w:t>
      </w:r>
      <w:r w:rsidRPr="00DC24D8">
        <w:rPr>
          <w:rFonts w:ascii="Calibri" w:hAnsi="Calibri" w:cstheme="minorHAnsi"/>
          <w:i/>
          <w:noProof/>
          <w:color w:val="000000" w:themeColor="text1"/>
        </w:rPr>
        <w:t>J Epidemiol Community Health</w:t>
      </w:r>
      <w:r w:rsidRPr="00DC24D8">
        <w:rPr>
          <w:rFonts w:ascii="Calibri" w:hAnsi="Calibri" w:cstheme="minorHAnsi"/>
          <w:noProof/>
          <w:color w:val="000000" w:themeColor="text1"/>
        </w:rPr>
        <w:t xml:space="preserve"> 2008;</w:t>
      </w:r>
      <w:r w:rsidRPr="00DC24D8">
        <w:rPr>
          <w:rFonts w:ascii="Calibri" w:hAnsi="Calibri" w:cstheme="minorHAnsi"/>
          <w:b/>
          <w:noProof/>
          <w:color w:val="000000" w:themeColor="text1"/>
        </w:rPr>
        <w:t>62</w:t>
      </w:r>
      <w:r w:rsidRPr="00DC24D8">
        <w:rPr>
          <w:rFonts w:ascii="Calibri" w:hAnsi="Calibri" w:cstheme="minorHAnsi"/>
          <w:noProof/>
          <w:color w:val="000000" w:themeColor="text1"/>
        </w:rPr>
        <w:t>:81-5.</w:t>
      </w:r>
      <w:bookmarkEnd w:id="35"/>
    </w:p>
    <w:p w:rsidR="00DC24D8" w:rsidRPr="00DC24D8" w:rsidRDefault="00DC24D8" w:rsidP="00DC24D8">
      <w:pPr>
        <w:pStyle w:val="NoSpacing"/>
        <w:rPr>
          <w:rFonts w:ascii="Calibri" w:hAnsi="Calibri" w:cstheme="minorHAnsi"/>
          <w:noProof/>
          <w:color w:val="000000" w:themeColor="text1"/>
        </w:rPr>
      </w:pPr>
      <w:bookmarkStart w:id="36" w:name="_ENREF_36"/>
      <w:r w:rsidRPr="00DC24D8">
        <w:rPr>
          <w:rFonts w:ascii="Calibri" w:hAnsi="Calibri" w:cstheme="minorHAnsi"/>
          <w:noProof/>
          <w:color w:val="000000" w:themeColor="text1"/>
        </w:rPr>
        <w:t>36</w:t>
      </w:r>
      <w:r w:rsidRPr="00DC24D8">
        <w:rPr>
          <w:rFonts w:ascii="Calibri" w:hAnsi="Calibri" w:cstheme="minorHAnsi"/>
          <w:noProof/>
          <w:color w:val="000000" w:themeColor="text1"/>
        </w:rPr>
        <w:tab/>
        <w:t xml:space="preserve">Desesquelles AF, Egidi V, Salvatore MA. Why do Italian people rate their health worse than French people do? An exploration of cross-country differentials of self-rated health. </w:t>
      </w:r>
      <w:r w:rsidRPr="00DC24D8">
        <w:rPr>
          <w:rFonts w:ascii="Calibri" w:hAnsi="Calibri" w:cstheme="minorHAnsi"/>
          <w:i/>
          <w:noProof/>
          <w:color w:val="000000" w:themeColor="text1"/>
        </w:rPr>
        <w:t>Social Science &amp; Medicine</w:t>
      </w:r>
      <w:r w:rsidRPr="00DC24D8">
        <w:rPr>
          <w:rFonts w:ascii="Calibri" w:hAnsi="Calibri" w:cstheme="minorHAnsi"/>
          <w:noProof/>
          <w:color w:val="000000" w:themeColor="text1"/>
        </w:rPr>
        <w:t xml:space="preserve"> 2009;</w:t>
      </w:r>
      <w:r w:rsidRPr="00DC24D8">
        <w:rPr>
          <w:rFonts w:ascii="Calibri" w:hAnsi="Calibri" w:cstheme="minorHAnsi"/>
          <w:b/>
          <w:noProof/>
          <w:color w:val="000000" w:themeColor="text1"/>
        </w:rPr>
        <w:t>68</w:t>
      </w:r>
      <w:r w:rsidRPr="00DC24D8">
        <w:rPr>
          <w:rFonts w:ascii="Calibri" w:hAnsi="Calibri" w:cstheme="minorHAnsi"/>
          <w:noProof/>
          <w:color w:val="000000" w:themeColor="text1"/>
        </w:rPr>
        <w:t>:1124-8.</w:t>
      </w:r>
      <w:bookmarkEnd w:id="36"/>
    </w:p>
    <w:p w:rsidR="00DC24D8" w:rsidRPr="00DC24D8" w:rsidRDefault="00DC24D8" w:rsidP="00DC24D8">
      <w:pPr>
        <w:pStyle w:val="NoSpacing"/>
        <w:rPr>
          <w:rFonts w:ascii="Calibri" w:hAnsi="Calibri" w:cstheme="minorHAnsi"/>
          <w:noProof/>
          <w:color w:val="000000" w:themeColor="text1"/>
        </w:rPr>
      </w:pPr>
      <w:bookmarkStart w:id="37" w:name="_ENREF_37"/>
      <w:r w:rsidRPr="00DC24D8">
        <w:rPr>
          <w:rFonts w:ascii="Calibri" w:hAnsi="Calibri" w:cstheme="minorHAnsi"/>
          <w:noProof/>
          <w:color w:val="000000" w:themeColor="text1"/>
        </w:rPr>
        <w:t>37</w:t>
      </w:r>
      <w:r w:rsidRPr="00DC24D8">
        <w:rPr>
          <w:rFonts w:ascii="Calibri" w:hAnsi="Calibri" w:cstheme="minorHAnsi"/>
          <w:noProof/>
          <w:color w:val="000000" w:themeColor="text1"/>
        </w:rPr>
        <w:tab/>
        <w:t xml:space="preserve">Gnambs T, Kaspar K. Disclosure of sensitive behaviors across self-administered survey modes: A meta-analysis. </w:t>
      </w:r>
      <w:r w:rsidRPr="00DC24D8">
        <w:rPr>
          <w:rFonts w:ascii="Calibri" w:hAnsi="Calibri" w:cstheme="minorHAnsi"/>
          <w:i/>
          <w:noProof/>
          <w:color w:val="000000" w:themeColor="text1"/>
        </w:rPr>
        <w:t>Behavior Research Methods</w:t>
      </w:r>
      <w:r w:rsidRPr="00DC24D8">
        <w:rPr>
          <w:rFonts w:ascii="Calibri" w:hAnsi="Calibri" w:cstheme="minorHAnsi"/>
          <w:noProof/>
          <w:color w:val="000000" w:themeColor="text1"/>
        </w:rPr>
        <w:t xml:space="preserve"> 2015;</w:t>
      </w:r>
      <w:r w:rsidRPr="00DC24D8">
        <w:rPr>
          <w:rFonts w:ascii="Calibri" w:hAnsi="Calibri" w:cstheme="minorHAnsi"/>
          <w:b/>
          <w:noProof/>
          <w:color w:val="000000" w:themeColor="text1"/>
        </w:rPr>
        <w:t>47</w:t>
      </w:r>
      <w:r w:rsidRPr="00DC24D8">
        <w:rPr>
          <w:rFonts w:ascii="Calibri" w:hAnsi="Calibri" w:cstheme="minorHAnsi"/>
          <w:noProof/>
          <w:color w:val="000000" w:themeColor="text1"/>
        </w:rPr>
        <w:t>:1237-59.</w:t>
      </w:r>
      <w:bookmarkEnd w:id="37"/>
    </w:p>
    <w:p w:rsidR="00DC24D8" w:rsidRPr="00DC24D8" w:rsidRDefault="00DC24D8" w:rsidP="00DC24D8">
      <w:pPr>
        <w:pStyle w:val="NoSpacing"/>
        <w:rPr>
          <w:rFonts w:ascii="Calibri" w:hAnsi="Calibri" w:cstheme="minorHAnsi"/>
          <w:noProof/>
          <w:color w:val="000000" w:themeColor="text1"/>
        </w:rPr>
      </w:pPr>
      <w:bookmarkStart w:id="38" w:name="_ENREF_38"/>
      <w:r w:rsidRPr="00DC24D8">
        <w:rPr>
          <w:rFonts w:ascii="Calibri" w:hAnsi="Calibri" w:cstheme="minorHAnsi"/>
          <w:noProof/>
          <w:color w:val="000000" w:themeColor="text1"/>
        </w:rPr>
        <w:t>38</w:t>
      </w:r>
      <w:r w:rsidRPr="00DC24D8">
        <w:rPr>
          <w:rFonts w:ascii="Calibri" w:hAnsi="Calibri" w:cstheme="minorHAnsi"/>
          <w:noProof/>
          <w:color w:val="000000" w:themeColor="text1"/>
        </w:rPr>
        <w:tab/>
        <w:t xml:space="preserve">Moon G, Twigg L, Taylor J. Estimating local variations in the prevalence of limiting long-term illness: evaluating multinomial small area synthetic estimation. </w:t>
      </w:r>
      <w:r w:rsidRPr="00DC24D8">
        <w:rPr>
          <w:rFonts w:ascii="Calibri" w:hAnsi="Calibri" w:cstheme="minorHAnsi"/>
          <w:i/>
          <w:noProof/>
          <w:color w:val="000000" w:themeColor="text1"/>
        </w:rPr>
        <w:t>Journal of Epidemiology and Community Health</w:t>
      </w:r>
      <w:r w:rsidRPr="00DC24D8">
        <w:rPr>
          <w:rFonts w:ascii="Calibri" w:hAnsi="Calibri" w:cstheme="minorHAnsi"/>
          <w:noProof/>
          <w:color w:val="000000" w:themeColor="text1"/>
        </w:rPr>
        <w:t xml:space="preserve"> 2014;</w:t>
      </w:r>
      <w:r w:rsidRPr="00DC24D8">
        <w:rPr>
          <w:rFonts w:ascii="Calibri" w:hAnsi="Calibri" w:cstheme="minorHAnsi"/>
          <w:b/>
          <w:noProof/>
          <w:color w:val="000000" w:themeColor="text1"/>
        </w:rPr>
        <w:t>68</w:t>
      </w:r>
      <w:r w:rsidRPr="00DC24D8">
        <w:rPr>
          <w:rFonts w:ascii="Calibri" w:hAnsi="Calibri" w:cstheme="minorHAnsi"/>
          <w:noProof/>
          <w:color w:val="000000" w:themeColor="text1"/>
        </w:rPr>
        <w:t>:A71-A.</w:t>
      </w:r>
      <w:bookmarkEnd w:id="38"/>
    </w:p>
    <w:p w:rsidR="00DC24D8" w:rsidRPr="00DC24D8" w:rsidRDefault="00DC24D8" w:rsidP="00DC24D8">
      <w:pPr>
        <w:pStyle w:val="NoSpacing"/>
        <w:rPr>
          <w:rFonts w:ascii="Calibri" w:hAnsi="Calibri" w:cstheme="minorHAnsi"/>
          <w:noProof/>
          <w:color w:val="000000" w:themeColor="text1"/>
        </w:rPr>
      </w:pPr>
      <w:bookmarkStart w:id="39" w:name="_ENREF_39"/>
      <w:r w:rsidRPr="00DC24D8">
        <w:rPr>
          <w:rFonts w:ascii="Calibri" w:hAnsi="Calibri" w:cstheme="minorHAnsi"/>
          <w:noProof/>
          <w:color w:val="000000" w:themeColor="text1"/>
        </w:rPr>
        <w:t>39</w:t>
      </w:r>
      <w:r w:rsidRPr="00DC24D8">
        <w:rPr>
          <w:rFonts w:ascii="Calibri" w:hAnsi="Calibri" w:cstheme="minorHAnsi"/>
          <w:noProof/>
          <w:color w:val="000000" w:themeColor="text1"/>
        </w:rPr>
        <w:tab/>
        <w:t>Evandrou M, Falkingham J, Feng Z</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Ethnic inequalities in limiting health and self-reported health in later life revisited. </w:t>
      </w:r>
      <w:r w:rsidRPr="00DC24D8">
        <w:rPr>
          <w:rFonts w:ascii="Calibri" w:hAnsi="Calibri" w:cstheme="minorHAnsi"/>
          <w:i/>
          <w:noProof/>
          <w:color w:val="000000" w:themeColor="text1"/>
        </w:rPr>
        <w:t>Journal of Epidemiology and Community Health</w:t>
      </w:r>
      <w:r w:rsidRPr="00DC24D8">
        <w:rPr>
          <w:rFonts w:ascii="Calibri" w:hAnsi="Calibri" w:cstheme="minorHAnsi"/>
          <w:noProof/>
          <w:color w:val="000000" w:themeColor="text1"/>
        </w:rPr>
        <w:t xml:space="preserve"> 2016;</w:t>
      </w:r>
      <w:r w:rsidRPr="00DC24D8">
        <w:rPr>
          <w:rFonts w:ascii="Calibri" w:hAnsi="Calibri" w:cstheme="minorHAnsi"/>
          <w:b/>
          <w:noProof/>
          <w:color w:val="000000" w:themeColor="text1"/>
        </w:rPr>
        <w:t>70</w:t>
      </w:r>
      <w:r w:rsidRPr="00DC24D8">
        <w:rPr>
          <w:rFonts w:ascii="Calibri" w:hAnsi="Calibri" w:cstheme="minorHAnsi"/>
          <w:noProof/>
          <w:color w:val="000000" w:themeColor="text1"/>
        </w:rPr>
        <w:t>:653-62.</w:t>
      </w:r>
      <w:bookmarkEnd w:id="39"/>
    </w:p>
    <w:p w:rsidR="00DC24D8" w:rsidRPr="00DC24D8" w:rsidRDefault="00DC24D8" w:rsidP="00DC24D8">
      <w:pPr>
        <w:pStyle w:val="NoSpacing"/>
        <w:rPr>
          <w:rFonts w:ascii="Calibri" w:hAnsi="Calibri" w:cstheme="minorHAnsi"/>
          <w:noProof/>
          <w:color w:val="000000" w:themeColor="text1"/>
        </w:rPr>
      </w:pPr>
      <w:bookmarkStart w:id="40" w:name="_ENREF_40"/>
      <w:r w:rsidRPr="00DC24D8">
        <w:rPr>
          <w:rFonts w:ascii="Calibri" w:hAnsi="Calibri" w:cstheme="minorHAnsi"/>
          <w:noProof/>
          <w:color w:val="000000" w:themeColor="text1"/>
        </w:rPr>
        <w:t>40</w:t>
      </w:r>
      <w:r w:rsidRPr="00DC24D8">
        <w:rPr>
          <w:rFonts w:ascii="Calibri" w:hAnsi="Calibri" w:cstheme="minorHAnsi"/>
          <w:noProof/>
          <w:color w:val="000000" w:themeColor="text1"/>
        </w:rPr>
        <w:tab/>
        <w:t>Twigg L, Moon G, Walker S. The smoking epidemic in England. London: Health Development Agency 2004.</w:t>
      </w:r>
      <w:bookmarkEnd w:id="40"/>
    </w:p>
    <w:p w:rsidR="00DC24D8" w:rsidRPr="00DC24D8" w:rsidRDefault="00DC24D8" w:rsidP="00DC24D8">
      <w:pPr>
        <w:pStyle w:val="NoSpacing"/>
        <w:rPr>
          <w:rFonts w:ascii="Calibri" w:hAnsi="Calibri" w:cstheme="minorHAnsi"/>
          <w:noProof/>
          <w:color w:val="000000" w:themeColor="text1"/>
        </w:rPr>
      </w:pPr>
      <w:bookmarkStart w:id="41" w:name="_ENREF_41"/>
      <w:r w:rsidRPr="00DC24D8">
        <w:rPr>
          <w:rFonts w:ascii="Calibri" w:hAnsi="Calibri" w:cstheme="minorHAnsi"/>
          <w:noProof/>
          <w:color w:val="000000" w:themeColor="text1"/>
        </w:rPr>
        <w:t>41</w:t>
      </w:r>
      <w:r w:rsidRPr="00DC24D8">
        <w:rPr>
          <w:rFonts w:ascii="Calibri" w:hAnsi="Calibri" w:cstheme="minorHAnsi"/>
          <w:noProof/>
          <w:color w:val="000000" w:themeColor="text1"/>
        </w:rPr>
        <w:tab/>
        <w:t>Moon G, Altankhuyag G, Barnard S</w:t>
      </w:r>
      <w:r w:rsidRPr="00DC24D8">
        <w:rPr>
          <w:rFonts w:ascii="Calibri" w:hAnsi="Calibri" w:cstheme="minorHAnsi"/>
          <w:i/>
          <w:noProof/>
          <w:color w:val="000000" w:themeColor="text1"/>
        </w:rPr>
        <w:t>, et al.</w:t>
      </w:r>
      <w:r w:rsidRPr="00DC24D8">
        <w:rPr>
          <w:rFonts w:ascii="Calibri" w:hAnsi="Calibri" w:cstheme="minorHAnsi"/>
          <w:noProof/>
          <w:color w:val="000000" w:themeColor="text1"/>
        </w:rPr>
        <w:t xml:space="preserve"> Smoking Prevalence in Scotland: 2003/4 sub-national estimates. NHS Health Scotland, Glasgow 2006.</w:t>
      </w:r>
      <w:bookmarkEnd w:id="41"/>
    </w:p>
    <w:p w:rsidR="00DC24D8" w:rsidRPr="00DC24D8" w:rsidRDefault="00DC24D8" w:rsidP="00DC24D8">
      <w:pPr>
        <w:pStyle w:val="NoSpacing"/>
        <w:rPr>
          <w:rFonts w:ascii="Calibri" w:hAnsi="Calibri" w:cstheme="minorHAnsi"/>
          <w:noProof/>
          <w:color w:val="000000" w:themeColor="text1"/>
        </w:rPr>
      </w:pPr>
      <w:bookmarkStart w:id="42" w:name="_ENREF_42"/>
      <w:r w:rsidRPr="00DC24D8">
        <w:rPr>
          <w:rFonts w:ascii="Calibri" w:hAnsi="Calibri" w:cstheme="minorHAnsi"/>
          <w:noProof/>
          <w:color w:val="000000" w:themeColor="text1"/>
        </w:rPr>
        <w:t>42</w:t>
      </w:r>
      <w:r w:rsidRPr="00DC24D8">
        <w:rPr>
          <w:rFonts w:ascii="Calibri" w:hAnsi="Calibri" w:cstheme="minorHAnsi"/>
          <w:noProof/>
          <w:color w:val="000000" w:themeColor="text1"/>
        </w:rPr>
        <w:tab/>
        <w:t xml:space="preserve">Baffour B, Valente P. An evaluation of census quality. </w:t>
      </w:r>
      <w:r w:rsidRPr="00DC24D8">
        <w:rPr>
          <w:rFonts w:ascii="Calibri" w:hAnsi="Calibri" w:cstheme="minorHAnsi"/>
          <w:i/>
          <w:noProof/>
          <w:color w:val="000000" w:themeColor="text1"/>
        </w:rPr>
        <w:t>Statistical Journal of the IAOS</w:t>
      </w:r>
      <w:r w:rsidRPr="00DC24D8">
        <w:rPr>
          <w:rFonts w:ascii="Calibri" w:hAnsi="Calibri" w:cstheme="minorHAnsi"/>
          <w:noProof/>
          <w:color w:val="000000" w:themeColor="text1"/>
        </w:rPr>
        <w:t xml:space="preserve"> 2012;</w:t>
      </w:r>
      <w:r w:rsidRPr="00DC24D8">
        <w:rPr>
          <w:rFonts w:ascii="Calibri" w:hAnsi="Calibri" w:cstheme="minorHAnsi"/>
          <w:b/>
          <w:noProof/>
          <w:color w:val="000000" w:themeColor="text1"/>
        </w:rPr>
        <w:t>28</w:t>
      </w:r>
      <w:r w:rsidRPr="00DC24D8">
        <w:rPr>
          <w:rFonts w:ascii="Calibri" w:hAnsi="Calibri" w:cstheme="minorHAnsi"/>
          <w:noProof/>
          <w:color w:val="000000" w:themeColor="text1"/>
        </w:rPr>
        <w:t>:121-35.</w:t>
      </w:r>
      <w:bookmarkEnd w:id="42"/>
    </w:p>
    <w:p w:rsidR="00DC24D8" w:rsidRPr="00DC24D8" w:rsidRDefault="00DC24D8" w:rsidP="00DC24D8">
      <w:pPr>
        <w:pStyle w:val="NoSpacing"/>
        <w:rPr>
          <w:rFonts w:ascii="Calibri" w:hAnsi="Calibri" w:cstheme="minorHAnsi"/>
          <w:noProof/>
          <w:color w:val="000000" w:themeColor="text1"/>
        </w:rPr>
      </w:pPr>
      <w:bookmarkStart w:id="43" w:name="_ENREF_43"/>
      <w:r w:rsidRPr="00DC24D8">
        <w:rPr>
          <w:rFonts w:ascii="Calibri" w:hAnsi="Calibri" w:cstheme="minorHAnsi"/>
          <w:noProof/>
          <w:color w:val="000000" w:themeColor="text1"/>
        </w:rPr>
        <w:t>43</w:t>
      </w:r>
      <w:r w:rsidRPr="00DC24D8">
        <w:rPr>
          <w:rFonts w:ascii="Calibri" w:hAnsi="Calibri" w:cstheme="minorHAnsi"/>
          <w:noProof/>
          <w:color w:val="000000" w:themeColor="text1"/>
        </w:rPr>
        <w:tab/>
        <w:t xml:space="preserve">Coleman D. The twilight of the census. </w:t>
      </w:r>
      <w:r w:rsidRPr="00DC24D8">
        <w:rPr>
          <w:rFonts w:ascii="Calibri" w:hAnsi="Calibri" w:cstheme="minorHAnsi"/>
          <w:i/>
          <w:noProof/>
          <w:color w:val="000000" w:themeColor="text1"/>
        </w:rPr>
        <w:t>Population and Development Review</w:t>
      </w:r>
      <w:r w:rsidRPr="00DC24D8">
        <w:rPr>
          <w:rFonts w:ascii="Calibri" w:hAnsi="Calibri" w:cstheme="minorHAnsi"/>
          <w:noProof/>
          <w:color w:val="000000" w:themeColor="text1"/>
        </w:rPr>
        <w:t xml:space="preserve"> 2013;</w:t>
      </w:r>
      <w:r w:rsidRPr="00DC24D8">
        <w:rPr>
          <w:rFonts w:ascii="Calibri" w:hAnsi="Calibri" w:cstheme="minorHAnsi"/>
          <w:b/>
          <w:noProof/>
          <w:color w:val="000000" w:themeColor="text1"/>
        </w:rPr>
        <w:t>38</w:t>
      </w:r>
      <w:r w:rsidRPr="00DC24D8">
        <w:rPr>
          <w:rFonts w:ascii="Calibri" w:hAnsi="Calibri" w:cstheme="minorHAnsi"/>
          <w:noProof/>
          <w:color w:val="000000" w:themeColor="text1"/>
        </w:rPr>
        <w:t>:334-51.</w:t>
      </w:r>
      <w:bookmarkEnd w:id="43"/>
    </w:p>
    <w:p w:rsidR="00DC24D8" w:rsidRDefault="00DC24D8" w:rsidP="00DC24D8">
      <w:pPr>
        <w:pStyle w:val="NoSpacing"/>
        <w:rPr>
          <w:rFonts w:ascii="Calibri" w:hAnsi="Calibri" w:cstheme="minorHAnsi"/>
          <w:noProof/>
          <w:color w:val="000000" w:themeColor="text1"/>
        </w:rPr>
      </w:pPr>
    </w:p>
    <w:p w:rsidR="001D47CF" w:rsidRPr="008D72CC" w:rsidRDefault="000F4A6F" w:rsidP="00F92813">
      <w:pPr>
        <w:pStyle w:val="NoSpacing"/>
        <w:spacing w:line="480" w:lineRule="auto"/>
        <w:rPr>
          <w:rFonts w:cstheme="minorHAnsi"/>
          <w:color w:val="000000" w:themeColor="text1"/>
        </w:rPr>
      </w:pPr>
      <w:r>
        <w:rPr>
          <w:rFonts w:cstheme="minorHAnsi"/>
          <w:color w:val="000000" w:themeColor="text1"/>
        </w:rPr>
        <w:fldChar w:fldCharType="end"/>
      </w:r>
      <w:r w:rsidR="0065703B">
        <w:rPr>
          <w:rFonts w:cstheme="minorHAnsi"/>
          <w:color w:val="000000" w:themeColor="text1"/>
        </w:rPr>
        <w:fldChar w:fldCharType="begin"/>
      </w:r>
      <w:r w:rsidR="0065703B">
        <w:rPr>
          <w:rFonts w:cstheme="minorHAnsi"/>
          <w:color w:val="000000" w:themeColor="text1"/>
        </w:rPr>
        <w:instrText xml:space="preserve"> ADDIN </w:instrText>
      </w:r>
      <w:r w:rsidR="0065703B">
        <w:rPr>
          <w:rFonts w:cstheme="minorHAnsi"/>
          <w:color w:val="000000" w:themeColor="text1"/>
        </w:rPr>
        <w:fldChar w:fldCharType="end"/>
      </w:r>
    </w:p>
    <w:sectPr w:rsidR="001D47CF" w:rsidRPr="008D72CC" w:rsidSect="00E769AA">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6C6" w:rsidRDefault="00BA36C6" w:rsidP="000164EE">
      <w:r>
        <w:separator/>
      </w:r>
    </w:p>
  </w:endnote>
  <w:endnote w:type="continuationSeparator" w:id="0">
    <w:p w:rsidR="00BA36C6" w:rsidRDefault="00BA36C6" w:rsidP="0001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PMingLiU">
    <w:altName w:val="新細明體"/>
    <w:panose1 w:val="020203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dvOT863180fb">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6C6" w:rsidRDefault="00BA36C6" w:rsidP="00E769AA">
    <w:pPr>
      <w:pStyle w:val="Footer"/>
      <w:jc w:val="center"/>
    </w:pPr>
  </w:p>
  <w:p w:rsidR="00BA36C6" w:rsidRDefault="00BA3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140393"/>
      <w:docPartObj>
        <w:docPartGallery w:val="Page Numbers (Bottom of Page)"/>
        <w:docPartUnique/>
      </w:docPartObj>
    </w:sdtPr>
    <w:sdtEndPr>
      <w:rPr>
        <w:noProof/>
      </w:rPr>
    </w:sdtEndPr>
    <w:sdtContent>
      <w:p w:rsidR="00BA36C6" w:rsidRDefault="00BA36C6">
        <w:pPr>
          <w:pStyle w:val="Footer"/>
          <w:jc w:val="center"/>
        </w:pPr>
        <w:r>
          <w:fldChar w:fldCharType="begin"/>
        </w:r>
        <w:r>
          <w:instrText xml:space="preserve"> PAGE   \* MERGEFORMAT </w:instrText>
        </w:r>
        <w:r>
          <w:fldChar w:fldCharType="separate"/>
        </w:r>
        <w:r w:rsidR="00E50A49">
          <w:rPr>
            <w:noProof/>
          </w:rPr>
          <w:t>10</w:t>
        </w:r>
        <w:r>
          <w:rPr>
            <w:noProof/>
          </w:rPr>
          <w:fldChar w:fldCharType="end"/>
        </w:r>
      </w:p>
    </w:sdtContent>
  </w:sdt>
  <w:p w:rsidR="00BA36C6" w:rsidRDefault="00BA3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6C6" w:rsidRDefault="00BA36C6" w:rsidP="000164EE">
      <w:r>
        <w:separator/>
      </w:r>
    </w:p>
  </w:footnote>
  <w:footnote w:type="continuationSeparator" w:id="0">
    <w:p w:rsidR="00BA36C6" w:rsidRDefault="00BA36C6" w:rsidP="00016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4D5"/>
    <w:multiLevelType w:val="multilevel"/>
    <w:tmpl w:val="B122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60ADC"/>
    <w:multiLevelType w:val="multilevel"/>
    <w:tmpl w:val="7924F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012BB"/>
    <w:multiLevelType w:val="multilevel"/>
    <w:tmpl w:val="958C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86F49"/>
    <w:multiLevelType w:val="multilevel"/>
    <w:tmpl w:val="3A8A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46032"/>
    <w:multiLevelType w:val="multilevel"/>
    <w:tmpl w:val="7440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B738E"/>
    <w:multiLevelType w:val="multilevel"/>
    <w:tmpl w:val="CCCC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553C15"/>
    <w:multiLevelType w:val="multilevel"/>
    <w:tmpl w:val="5836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912DB5"/>
    <w:multiLevelType w:val="multilevel"/>
    <w:tmpl w:val="7272E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D129B1"/>
    <w:multiLevelType w:val="hybridMultilevel"/>
    <w:tmpl w:val="600E7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A961992"/>
    <w:multiLevelType w:val="multilevel"/>
    <w:tmpl w:val="56C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E6969"/>
    <w:multiLevelType w:val="multilevel"/>
    <w:tmpl w:val="7F1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918C7"/>
    <w:multiLevelType w:val="multilevel"/>
    <w:tmpl w:val="A2B0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5C6A20"/>
    <w:multiLevelType w:val="hybridMultilevel"/>
    <w:tmpl w:val="E37EDFEC"/>
    <w:lvl w:ilvl="0" w:tplc="FD72A41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5FE29F7"/>
    <w:multiLevelType w:val="multilevel"/>
    <w:tmpl w:val="6BE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A02CAF"/>
    <w:multiLevelType w:val="multilevel"/>
    <w:tmpl w:val="08BA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316AA5"/>
    <w:multiLevelType w:val="multilevel"/>
    <w:tmpl w:val="233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525ACD"/>
    <w:multiLevelType w:val="multilevel"/>
    <w:tmpl w:val="853A8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337FBA"/>
    <w:multiLevelType w:val="multilevel"/>
    <w:tmpl w:val="B042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7D2A86"/>
    <w:multiLevelType w:val="hybridMultilevel"/>
    <w:tmpl w:val="D4C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B366FA"/>
    <w:multiLevelType w:val="multilevel"/>
    <w:tmpl w:val="BE84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5E70A0"/>
    <w:multiLevelType w:val="multilevel"/>
    <w:tmpl w:val="EC7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615B8B"/>
    <w:multiLevelType w:val="hybridMultilevel"/>
    <w:tmpl w:val="5A8E6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F3264A4"/>
    <w:multiLevelType w:val="hybridMultilevel"/>
    <w:tmpl w:val="4CBA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7A48BD"/>
    <w:multiLevelType w:val="multilevel"/>
    <w:tmpl w:val="6D1C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EE1888"/>
    <w:multiLevelType w:val="multilevel"/>
    <w:tmpl w:val="A7A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826A80"/>
    <w:multiLevelType w:val="hybridMultilevel"/>
    <w:tmpl w:val="E72A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527B51"/>
    <w:multiLevelType w:val="multilevel"/>
    <w:tmpl w:val="4998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760DC3"/>
    <w:multiLevelType w:val="multilevel"/>
    <w:tmpl w:val="3E1A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8E6222"/>
    <w:multiLevelType w:val="multilevel"/>
    <w:tmpl w:val="0D1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C1602C"/>
    <w:multiLevelType w:val="multilevel"/>
    <w:tmpl w:val="784E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251AE4"/>
    <w:multiLevelType w:val="multilevel"/>
    <w:tmpl w:val="CA3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77730A"/>
    <w:multiLevelType w:val="multilevel"/>
    <w:tmpl w:val="1DC8E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F07309"/>
    <w:multiLevelType w:val="multilevel"/>
    <w:tmpl w:val="BD8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351E1F"/>
    <w:multiLevelType w:val="multilevel"/>
    <w:tmpl w:val="AAD8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25"/>
  </w:num>
  <w:num w:numId="4">
    <w:abstractNumId w:val="18"/>
  </w:num>
  <w:num w:numId="5">
    <w:abstractNumId w:val="32"/>
  </w:num>
  <w:num w:numId="6">
    <w:abstractNumId w:val="11"/>
  </w:num>
  <w:num w:numId="7">
    <w:abstractNumId w:val="26"/>
  </w:num>
  <w:num w:numId="8">
    <w:abstractNumId w:val="22"/>
  </w:num>
  <w:num w:numId="9">
    <w:abstractNumId w:val="16"/>
  </w:num>
  <w:num w:numId="10">
    <w:abstractNumId w:val="29"/>
  </w:num>
  <w:num w:numId="11">
    <w:abstractNumId w:val="13"/>
  </w:num>
  <w:num w:numId="12">
    <w:abstractNumId w:val="19"/>
  </w:num>
  <w:num w:numId="13">
    <w:abstractNumId w:val="33"/>
  </w:num>
  <w:num w:numId="14">
    <w:abstractNumId w:val="17"/>
  </w:num>
  <w:num w:numId="15">
    <w:abstractNumId w:val="23"/>
  </w:num>
  <w:num w:numId="16">
    <w:abstractNumId w:val="14"/>
  </w:num>
  <w:num w:numId="17">
    <w:abstractNumId w:val="0"/>
  </w:num>
  <w:num w:numId="18">
    <w:abstractNumId w:val="27"/>
  </w:num>
  <w:num w:numId="19">
    <w:abstractNumId w:val="5"/>
  </w:num>
  <w:num w:numId="20">
    <w:abstractNumId w:val="10"/>
  </w:num>
  <w:num w:numId="21">
    <w:abstractNumId w:val="3"/>
  </w:num>
  <w:num w:numId="22">
    <w:abstractNumId w:val="24"/>
  </w:num>
  <w:num w:numId="23">
    <w:abstractNumId w:val="20"/>
  </w:num>
  <w:num w:numId="24">
    <w:abstractNumId w:val="7"/>
  </w:num>
  <w:num w:numId="25">
    <w:abstractNumId w:val="15"/>
  </w:num>
  <w:num w:numId="26">
    <w:abstractNumId w:val="31"/>
  </w:num>
  <w:num w:numId="27">
    <w:abstractNumId w:val="4"/>
  </w:num>
  <w:num w:numId="28">
    <w:abstractNumId w:val="1"/>
  </w:num>
  <w:num w:numId="29">
    <w:abstractNumId w:val="28"/>
  </w:num>
  <w:num w:numId="30">
    <w:abstractNumId w:val="9"/>
  </w:num>
  <w:num w:numId="31">
    <w:abstractNumId w:val="6"/>
  </w:num>
  <w:num w:numId="32">
    <w:abstractNumId w:val="21"/>
  </w:num>
  <w:num w:numId="33">
    <w:abstractNumId w:va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pidemiol Community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ww9vvrrerda09extxg5pse2t0e2rp02ap5a&quot;&gt;EndnoteLibrary_Oct2016&lt;record-ids&gt;&lt;item&gt;22&lt;/item&gt;&lt;item&gt;81&lt;/item&gt;&lt;/record-ids&gt;&lt;/item&gt;&lt;item db-id=&quot;v52zta5tsa9ezsezdzlv2zvd9rswwpvzdt9f&quot;&gt;My EndNote Library&lt;record-ids&gt;&lt;item&gt;55&lt;/item&gt;&lt;item&gt;59&lt;/item&gt;&lt;item&gt;60&lt;/item&gt;&lt;item&gt;61&lt;/item&gt;&lt;item&gt;122&lt;/item&gt;&lt;item&gt;126&lt;/item&gt;&lt;item&gt;578&lt;/item&gt;&lt;item&gt;677&lt;/item&gt;&lt;item&gt;687&lt;/item&gt;&lt;item&gt;688&lt;/item&gt;&lt;item&gt;689&lt;/item&gt;&lt;item&gt;711&lt;/item&gt;&lt;item&gt;714&lt;/item&gt;&lt;item&gt;717&lt;/item&gt;&lt;item&gt;732&lt;/item&gt;&lt;item&gt;733&lt;/item&gt;&lt;item&gt;735&lt;/item&gt;&lt;item&gt;736&lt;/item&gt;&lt;item&gt;737&lt;/item&gt;&lt;item&gt;739&lt;/item&gt;&lt;item&gt;740&lt;/item&gt;&lt;item&gt;747&lt;/item&gt;&lt;item&gt;748&lt;/item&gt;&lt;item&gt;749&lt;/item&gt;&lt;item&gt;750&lt;/item&gt;&lt;item&gt;751&lt;/item&gt;&lt;item&gt;752&lt;/item&gt;&lt;item&gt;754&lt;/item&gt;&lt;item&gt;755&lt;/item&gt;&lt;item&gt;756&lt;/item&gt;&lt;item&gt;757&lt;/item&gt;&lt;item&gt;758&lt;/item&gt;&lt;item&gt;759&lt;/item&gt;&lt;item&gt;844&lt;/item&gt;&lt;item&gt;846&lt;/item&gt;&lt;item&gt;847&lt;/item&gt;&lt;/record-ids&gt;&lt;/item&gt;&lt;/Libraries&gt;"/>
  </w:docVars>
  <w:rsids>
    <w:rsidRoot w:val="003904BA"/>
    <w:rsid w:val="00003E76"/>
    <w:rsid w:val="00010247"/>
    <w:rsid w:val="000145CB"/>
    <w:rsid w:val="000164EE"/>
    <w:rsid w:val="00023E50"/>
    <w:rsid w:val="00024F1B"/>
    <w:rsid w:val="000265E5"/>
    <w:rsid w:val="00032D56"/>
    <w:rsid w:val="0003401A"/>
    <w:rsid w:val="00040D14"/>
    <w:rsid w:val="00041040"/>
    <w:rsid w:val="00043EBC"/>
    <w:rsid w:val="00046491"/>
    <w:rsid w:val="00051485"/>
    <w:rsid w:val="00051705"/>
    <w:rsid w:val="00053AE2"/>
    <w:rsid w:val="000634E5"/>
    <w:rsid w:val="00064522"/>
    <w:rsid w:val="000654B5"/>
    <w:rsid w:val="000702E9"/>
    <w:rsid w:val="00072496"/>
    <w:rsid w:val="00092B17"/>
    <w:rsid w:val="000A21DA"/>
    <w:rsid w:val="000A70D9"/>
    <w:rsid w:val="000A7FA5"/>
    <w:rsid w:val="000B2FFC"/>
    <w:rsid w:val="000B4461"/>
    <w:rsid w:val="000C1EC5"/>
    <w:rsid w:val="000C3B14"/>
    <w:rsid w:val="000D3BB3"/>
    <w:rsid w:val="000D4A53"/>
    <w:rsid w:val="000D4C4F"/>
    <w:rsid w:val="000D5210"/>
    <w:rsid w:val="000D71AE"/>
    <w:rsid w:val="000D7571"/>
    <w:rsid w:val="000E06CA"/>
    <w:rsid w:val="000E0818"/>
    <w:rsid w:val="000E3C67"/>
    <w:rsid w:val="000E4780"/>
    <w:rsid w:val="000F0407"/>
    <w:rsid w:val="000F058F"/>
    <w:rsid w:val="000F4A6F"/>
    <w:rsid w:val="000F64CB"/>
    <w:rsid w:val="00100B67"/>
    <w:rsid w:val="0010315D"/>
    <w:rsid w:val="00104E1A"/>
    <w:rsid w:val="001050D3"/>
    <w:rsid w:val="00120EBE"/>
    <w:rsid w:val="0012286E"/>
    <w:rsid w:val="00124832"/>
    <w:rsid w:val="00137100"/>
    <w:rsid w:val="00140C09"/>
    <w:rsid w:val="001437E8"/>
    <w:rsid w:val="00143BF7"/>
    <w:rsid w:val="00144410"/>
    <w:rsid w:val="00144D8C"/>
    <w:rsid w:val="0014762B"/>
    <w:rsid w:val="001518EF"/>
    <w:rsid w:val="00152373"/>
    <w:rsid w:val="00154846"/>
    <w:rsid w:val="00167754"/>
    <w:rsid w:val="00170727"/>
    <w:rsid w:val="00173CC4"/>
    <w:rsid w:val="00175E05"/>
    <w:rsid w:val="001778A5"/>
    <w:rsid w:val="00181334"/>
    <w:rsid w:val="00183B19"/>
    <w:rsid w:val="0019741F"/>
    <w:rsid w:val="001B1856"/>
    <w:rsid w:val="001C158F"/>
    <w:rsid w:val="001C39F0"/>
    <w:rsid w:val="001C3EFD"/>
    <w:rsid w:val="001D47CF"/>
    <w:rsid w:val="001E0C8C"/>
    <w:rsid w:val="001E4827"/>
    <w:rsid w:val="001E5FB7"/>
    <w:rsid w:val="001E72B0"/>
    <w:rsid w:val="001E7314"/>
    <w:rsid w:val="001F123A"/>
    <w:rsid w:val="001F1F9E"/>
    <w:rsid w:val="0020041D"/>
    <w:rsid w:val="002024D2"/>
    <w:rsid w:val="002076D3"/>
    <w:rsid w:val="00212864"/>
    <w:rsid w:val="002139CB"/>
    <w:rsid w:val="002152D9"/>
    <w:rsid w:val="00216CCB"/>
    <w:rsid w:val="002179D9"/>
    <w:rsid w:val="00220C8C"/>
    <w:rsid w:val="00222586"/>
    <w:rsid w:val="0022263C"/>
    <w:rsid w:val="00225B4F"/>
    <w:rsid w:val="00226F3D"/>
    <w:rsid w:val="0022702A"/>
    <w:rsid w:val="00227C9A"/>
    <w:rsid w:val="00231781"/>
    <w:rsid w:val="00244F19"/>
    <w:rsid w:val="00245CD7"/>
    <w:rsid w:val="0025131C"/>
    <w:rsid w:val="00251701"/>
    <w:rsid w:val="00251D07"/>
    <w:rsid w:val="00267509"/>
    <w:rsid w:val="00272DDD"/>
    <w:rsid w:val="002734E9"/>
    <w:rsid w:val="00283E8C"/>
    <w:rsid w:val="002904EE"/>
    <w:rsid w:val="002959D1"/>
    <w:rsid w:val="00297BA6"/>
    <w:rsid w:val="002A0A1A"/>
    <w:rsid w:val="002A1984"/>
    <w:rsid w:val="002A1D59"/>
    <w:rsid w:val="002B0F46"/>
    <w:rsid w:val="002B5368"/>
    <w:rsid w:val="002C2045"/>
    <w:rsid w:val="002C304E"/>
    <w:rsid w:val="002C485D"/>
    <w:rsid w:val="002D7EF1"/>
    <w:rsid w:val="002E2985"/>
    <w:rsid w:val="002E31FB"/>
    <w:rsid w:val="002E37FD"/>
    <w:rsid w:val="002E6D40"/>
    <w:rsid w:val="002E709C"/>
    <w:rsid w:val="002F5B81"/>
    <w:rsid w:val="002F6ED1"/>
    <w:rsid w:val="00304726"/>
    <w:rsid w:val="0030495B"/>
    <w:rsid w:val="00310086"/>
    <w:rsid w:val="0031187F"/>
    <w:rsid w:val="00312F86"/>
    <w:rsid w:val="00324790"/>
    <w:rsid w:val="00334D7E"/>
    <w:rsid w:val="003368CF"/>
    <w:rsid w:val="003406E0"/>
    <w:rsid w:val="00341B7E"/>
    <w:rsid w:val="003434D9"/>
    <w:rsid w:val="00345D28"/>
    <w:rsid w:val="003472E1"/>
    <w:rsid w:val="003518B5"/>
    <w:rsid w:val="0035781B"/>
    <w:rsid w:val="00364D08"/>
    <w:rsid w:val="0037131A"/>
    <w:rsid w:val="00374083"/>
    <w:rsid w:val="003759CE"/>
    <w:rsid w:val="00380BBA"/>
    <w:rsid w:val="003863B3"/>
    <w:rsid w:val="003904BA"/>
    <w:rsid w:val="00395FC6"/>
    <w:rsid w:val="003A2D5B"/>
    <w:rsid w:val="003A5939"/>
    <w:rsid w:val="003B1D54"/>
    <w:rsid w:val="003B29B8"/>
    <w:rsid w:val="003B6DF0"/>
    <w:rsid w:val="003C377E"/>
    <w:rsid w:val="003C6802"/>
    <w:rsid w:val="003D4C05"/>
    <w:rsid w:val="003E184B"/>
    <w:rsid w:val="003F1C1D"/>
    <w:rsid w:val="00404FBE"/>
    <w:rsid w:val="0040691F"/>
    <w:rsid w:val="00414928"/>
    <w:rsid w:val="004154DF"/>
    <w:rsid w:val="004321AD"/>
    <w:rsid w:val="00436E31"/>
    <w:rsid w:val="004428D8"/>
    <w:rsid w:val="00442A7A"/>
    <w:rsid w:val="0044641A"/>
    <w:rsid w:val="004468EA"/>
    <w:rsid w:val="00447B9A"/>
    <w:rsid w:val="00453986"/>
    <w:rsid w:val="00461E6D"/>
    <w:rsid w:val="00464040"/>
    <w:rsid w:val="004652C2"/>
    <w:rsid w:val="004662FD"/>
    <w:rsid w:val="0047332B"/>
    <w:rsid w:val="00495252"/>
    <w:rsid w:val="00497F6A"/>
    <w:rsid w:val="004A4BED"/>
    <w:rsid w:val="004B498F"/>
    <w:rsid w:val="004D7500"/>
    <w:rsid w:val="004D7795"/>
    <w:rsid w:val="004E232A"/>
    <w:rsid w:val="004E390E"/>
    <w:rsid w:val="004E55C0"/>
    <w:rsid w:val="004E6523"/>
    <w:rsid w:val="004E66CB"/>
    <w:rsid w:val="004E7132"/>
    <w:rsid w:val="004E7FC5"/>
    <w:rsid w:val="004F2342"/>
    <w:rsid w:val="00507905"/>
    <w:rsid w:val="005127FA"/>
    <w:rsid w:val="0051352F"/>
    <w:rsid w:val="005162A6"/>
    <w:rsid w:val="005172EB"/>
    <w:rsid w:val="00521904"/>
    <w:rsid w:val="00522BBB"/>
    <w:rsid w:val="00531051"/>
    <w:rsid w:val="00541582"/>
    <w:rsid w:val="00541857"/>
    <w:rsid w:val="00541BC3"/>
    <w:rsid w:val="00541CF4"/>
    <w:rsid w:val="00552955"/>
    <w:rsid w:val="00561279"/>
    <w:rsid w:val="0056161D"/>
    <w:rsid w:val="00561840"/>
    <w:rsid w:val="005661FA"/>
    <w:rsid w:val="00570594"/>
    <w:rsid w:val="00572444"/>
    <w:rsid w:val="00576E83"/>
    <w:rsid w:val="00577A6F"/>
    <w:rsid w:val="00577C06"/>
    <w:rsid w:val="00583B46"/>
    <w:rsid w:val="00584348"/>
    <w:rsid w:val="005859A4"/>
    <w:rsid w:val="00586CA5"/>
    <w:rsid w:val="00587A49"/>
    <w:rsid w:val="00587AF1"/>
    <w:rsid w:val="00592792"/>
    <w:rsid w:val="00595513"/>
    <w:rsid w:val="00596F88"/>
    <w:rsid w:val="005A192C"/>
    <w:rsid w:val="005A7106"/>
    <w:rsid w:val="005A712E"/>
    <w:rsid w:val="005A713E"/>
    <w:rsid w:val="005B025E"/>
    <w:rsid w:val="005B2194"/>
    <w:rsid w:val="005B2ED4"/>
    <w:rsid w:val="005B45C4"/>
    <w:rsid w:val="005B589C"/>
    <w:rsid w:val="005B6A3E"/>
    <w:rsid w:val="005B7B7D"/>
    <w:rsid w:val="005C13A2"/>
    <w:rsid w:val="005C3DB5"/>
    <w:rsid w:val="005C4584"/>
    <w:rsid w:val="005C5153"/>
    <w:rsid w:val="005D2F6B"/>
    <w:rsid w:val="005D496C"/>
    <w:rsid w:val="005D531A"/>
    <w:rsid w:val="005D74A2"/>
    <w:rsid w:val="005E2CFF"/>
    <w:rsid w:val="005F05E2"/>
    <w:rsid w:val="005F0745"/>
    <w:rsid w:val="005F23F1"/>
    <w:rsid w:val="005F3AB9"/>
    <w:rsid w:val="005F4014"/>
    <w:rsid w:val="005F7C12"/>
    <w:rsid w:val="00604335"/>
    <w:rsid w:val="006047CE"/>
    <w:rsid w:val="006101FC"/>
    <w:rsid w:val="0061181F"/>
    <w:rsid w:val="0061465A"/>
    <w:rsid w:val="006150E2"/>
    <w:rsid w:val="00620280"/>
    <w:rsid w:val="006221E2"/>
    <w:rsid w:val="00624AE8"/>
    <w:rsid w:val="0062535A"/>
    <w:rsid w:val="00627101"/>
    <w:rsid w:val="0063204D"/>
    <w:rsid w:val="006354A6"/>
    <w:rsid w:val="00635D32"/>
    <w:rsid w:val="006441C1"/>
    <w:rsid w:val="00647C69"/>
    <w:rsid w:val="006555F2"/>
    <w:rsid w:val="0065703B"/>
    <w:rsid w:val="0066367E"/>
    <w:rsid w:val="00666083"/>
    <w:rsid w:val="00674542"/>
    <w:rsid w:val="006809D8"/>
    <w:rsid w:val="00680EA6"/>
    <w:rsid w:val="00687813"/>
    <w:rsid w:val="00687B42"/>
    <w:rsid w:val="006931D8"/>
    <w:rsid w:val="00697853"/>
    <w:rsid w:val="006A0B74"/>
    <w:rsid w:val="006A1766"/>
    <w:rsid w:val="006A1970"/>
    <w:rsid w:val="006A5E0D"/>
    <w:rsid w:val="006B0A71"/>
    <w:rsid w:val="006B3CEF"/>
    <w:rsid w:val="006B435F"/>
    <w:rsid w:val="006B5AC5"/>
    <w:rsid w:val="006C573C"/>
    <w:rsid w:val="006D4ECF"/>
    <w:rsid w:val="006E4FBB"/>
    <w:rsid w:val="006F71D1"/>
    <w:rsid w:val="00700ACE"/>
    <w:rsid w:val="00703FFC"/>
    <w:rsid w:val="00706AEB"/>
    <w:rsid w:val="00707230"/>
    <w:rsid w:val="00707235"/>
    <w:rsid w:val="00712645"/>
    <w:rsid w:val="00714588"/>
    <w:rsid w:val="0072676C"/>
    <w:rsid w:val="00730181"/>
    <w:rsid w:val="007356DC"/>
    <w:rsid w:val="00736712"/>
    <w:rsid w:val="0074141D"/>
    <w:rsid w:val="00742172"/>
    <w:rsid w:val="00743EAA"/>
    <w:rsid w:val="00747032"/>
    <w:rsid w:val="00750D9D"/>
    <w:rsid w:val="0075181F"/>
    <w:rsid w:val="00751A92"/>
    <w:rsid w:val="00751C39"/>
    <w:rsid w:val="00755807"/>
    <w:rsid w:val="00760BBC"/>
    <w:rsid w:val="0076520C"/>
    <w:rsid w:val="00767263"/>
    <w:rsid w:val="00767D06"/>
    <w:rsid w:val="00771518"/>
    <w:rsid w:val="007732C6"/>
    <w:rsid w:val="0078012F"/>
    <w:rsid w:val="00785222"/>
    <w:rsid w:val="00786FA8"/>
    <w:rsid w:val="00792B05"/>
    <w:rsid w:val="007969C1"/>
    <w:rsid w:val="007A059C"/>
    <w:rsid w:val="007A433F"/>
    <w:rsid w:val="007A60C4"/>
    <w:rsid w:val="007B0BFA"/>
    <w:rsid w:val="007B291D"/>
    <w:rsid w:val="007B3499"/>
    <w:rsid w:val="007B452E"/>
    <w:rsid w:val="007B51C2"/>
    <w:rsid w:val="007B58BC"/>
    <w:rsid w:val="007C68FF"/>
    <w:rsid w:val="007D2233"/>
    <w:rsid w:val="007E36E2"/>
    <w:rsid w:val="007E53CC"/>
    <w:rsid w:val="007F2100"/>
    <w:rsid w:val="007F6560"/>
    <w:rsid w:val="00802BA0"/>
    <w:rsid w:val="0081162B"/>
    <w:rsid w:val="00814A1F"/>
    <w:rsid w:val="00815B5B"/>
    <w:rsid w:val="008206F4"/>
    <w:rsid w:val="00821273"/>
    <w:rsid w:val="008224B1"/>
    <w:rsid w:val="008233FE"/>
    <w:rsid w:val="0082569D"/>
    <w:rsid w:val="00830EDE"/>
    <w:rsid w:val="00831448"/>
    <w:rsid w:val="00831A59"/>
    <w:rsid w:val="008334D3"/>
    <w:rsid w:val="008338D2"/>
    <w:rsid w:val="00833AE6"/>
    <w:rsid w:val="008345DC"/>
    <w:rsid w:val="0083611E"/>
    <w:rsid w:val="00842491"/>
    <w:rsid w:val="0084391C"/>
    <w:rsid w:val="008471DD"/>
    <w:rsid w:val="0085033C"/>
    <w:rsid w:val="00850579"/>
    <w:rsid w:val="00861192"/>
    <w:rsid w:val="00861195"/>
    <w:rsid w:val="00863584"/>
    <w:rsid w:val="00863659"/>
    <w:rsid w:val="00865815"/>
    <w:rsid w:val="00872756"/>
    <w:rsid w:val="00873403"/>
    <w:rsid w:val="00877EED"/>
    <w:rsid w:val="0088051E"/>
    <w:rsid w:val="00880A0E"/>
    <w:rsid w:val="00894186"/>
    <w:rsid w:val="008A1259"/>
    <w:rsid w:val="008A1CCA"/>
    <w:rsid w:val="008A7991"/>
    <w:rsid w:val="008A7B1B"/>
    <w:rsid w:val="008B25FF"/>
    <w:rsid w:val="008B718E"/>
    <w:rsid w:val="008C1C36"/>
    <w:rsid w:val="008C62A6"/>
    <w:rsid w:val="008C638C"/>
    <w:rsid w:val="008D72CC"/>
    <w:rsid w:val="008E0821"/>
    <w:rsid w:val="008E0D89"/>
    <w:rsid w:val="008E5F41"/>
    <w:rsid w:val="00906988"/>
    <w:rsid w:val="00906F28"/>
    <w:rsid w:val="00907BA5"/>
    <w:rsid w:val="009123E1"/>
    <w:rsid w:val="00912563"/>
    <w:rsid w:val="00913229"/>
    <w:rsid w:val="009132CD"/>
    <w:rsid w:val="009147CF"/>
    <w:rsid w:val="00921EF3"/>
    <w:rsid w:val="00930334"/>
    <w:rsid w:val="009317C7"/>
    <w:rsid w:val="00937058"/>
    <w:rsid w:val="00940C98"/>
    <w:rsid w:val="00951DDE"/>
    <w:rsid w:val="00957A37"/>
    <w:rsid w:val="009629EF"/>
    <w:rsid w:val="00962DCF"/>
    <w:rsid w:val="00965CF1"/>
    <w:rsid w:val="0096627E"/>
    <w:rsid w:val="00967FEA"/>
    <w:rsid w:val="0097093F"/>
    <w:rsid w:val="009754F9"/>
    <w:rsid w:val="00977DD9"/>
    <w:rsid w:val="0098310F"/>
    <w:rsid w:val="00983A4D"/>
    <w:rsid w:val="00987085"/>
    <w:rsid w:val="0099135B"/>
    <w:rsid w:val="00991449"/>
    <w:rsid w:val="009917B4"/>
    <w:rsid w:val="00996007"/>
    <w:rsid w:val="009962C4"/>
    <w:rsid w:val="00997584"/>
    <w:rsid w:val="009A0DCA"/>
    <w:rsid w:val="009A1045"/>
    <w:rsid w:val="009A3140"/>
    <w:rsid w:val="009A545F"/>
    <w:rsid w:val="009B1D65"/>
    <w:rsid w:val="009B1ECB"/>
    <w:rsid w:val="009B3B3F"/>
    <w:rsid w:val="009B4BE2"/>
    <w:rsid w:val="009B558C"/>
    <w:rsid w:val="009C0999"/>
    <w:rsid w:val="009C2370"/>
    <w:rsid w:val="009C7A08"/>
    <w:rsid w:val="009D09C3"/>
    <w:rsid w:val="009D0E28"/>
    <w:rsid w:val="009D41DF"/>
    <w:rsid w:val="009F23BA"/>
    <w:rsid w:val="009F2DFC"/>
    <w:rsid w:val="009F4FB7"/>
    <w:rsid w:val="009F5490"/>
    <w:rsid w:val="00A00570"/>
    <w:rsid w:val="00A06C29"/>
    <w:rsid w:val="00A06DE3"/>
    <w:rsid w:val="00A1214B"/>
    <w:rsid w:val="00A2506F"/>
    <w:rsid w:val="00A25B70"/>
    <w:rsid w:val="00A317E5"/>
    <w:rsid w:val="00A33366"/>
    <w:rsid w:val="00A43161"/>
    <w:rsid w:val="00A46004"/>
    <w:rsid w:val="00A46A0A"/>
    <w:rsid w:val="00A50225"/>
    <w:rsid w:val="00A513AE"/>
    <w:rsid w:val="00A6553F"/>
    <w:rsid w:val="00A72E0E"/>
    <w:rsid w:val="00A75020"/>
    <w:rsid w:val="00A7795D"/>
    <w:rsid w:val="00A812B2"/>
    <w:rsid w:val="00A82250"/>
    <w:rsid w:val="00A8457F"/>
    <w:rsid w:val="00A876D7"/>
    <w:rsid w:val="00A879A7"/>
    <w:rsid w:val="00A92527"/>
    <w:rsid w:val="00AA2A7D"/>
    <w:rsid w:val="00AA2B4B"/>
    <w:rsid w:val="00AB1813"/>
    <w:rsid w:val="00AC01C6"/>
    <w:rsid w:val="00AC0A24"/>
    <w:rsid w:val="00AC1926"/>
    <w:rsid w:val="00AC2377"/>
    <w:rsid w:val="00AC5241"/>
    <w:rsid w:val="00AC6DEB"/>
    <w:rsid w:val="00AC7EDB"/>
    <w:rsid w:val="00AD7675"/>
    <w:rsid w:val="00AE2F2F"/>
    <w:rsid w:val="00AF0C56"/>
    <w:rsid w:val="00AF7D68"/>
    <w:rsid w:val="00B01515"/>
    <w:rsid w:val="00B06838"/>
    <w:rsid w:val="00B15392"/>
    <w:rsid w:val="00B229A8"/>
    <w:rsid w:val="00B324C2"/>
    <w:rsid w:val="00B32A6E"/>
    <w:rsid w:val="00B37CBE"/>
    <w:rsid w:val="00B429EE"/>
    <w:rsid w:val="00B45471"/>
    <w:rsid w:val="00B462F4"/>
    <w:rsid w:val="00B53959"/>
    <w:rsid w:val="00B5780D"/>
    <w:rsid w:val="00B57E43"/>
    <w:rsid w:val="00B610F3"/>
    <w:rsid w:val="00B768E1"/>
    <w:rsid w:val="00B82FC7"/>
    <w:rsid w:val="00B84412"/>
    <w:rsid w:val="00B85981"/>
    <w:rsid w:val="00B862BD"/>
    <w:rsid w:val="00B914A2"/>
    <w:rsid w:val="00B926C4"/>
    <w:rsid w:val="00B934E8"/>
    <w:rsid w:val="00B94F72"/>
    <w:rsid w:val="00B96046"/>
    <w:rsid w:val="00BA02C4"/>
    <w:rsid w:val="00BA05BD"/>
    <w:rsid w:val="00BA36C6"/>
    <w:rsid w:val="00BA6B5D"/>
    <w:rsid w:val="00BA70EC"/>
    <w:rsid w:val="00BB2BA8"/>
    <w:rsid w:val="00BB4C5B"/>
    <w:rsid w:val="00BB5097"/>
    <w:rsid w:val="00BC0C24"/>
    <w:rsid w:val="00BC1DEA"/>
    <w:rsid w:val="00BC3A98"/>
    <w:rsid w:val="00BC3E3F"/>
    <w:rsid w:val="00BC7E05"/>
    <w:rsid w:val="00BD5BE0"/>
    <w:rsid w:val="00BE04CC"/>
    <w:rsid w:val="00BE5C90"/>
    <w:rsid w:val="00BF1AA9"/>
    <w:rsid w:val="00BF2E0A"/>
    <w:rsid w:val="00BF5FBC"/>
    <w:rsid w:val="00BF6B9F"/>
    <w:rsid w:val="00BF71BC"/>
    <w:rsid w:val="00C02103"/>
    <w:rsid w:val="00C026AA"/>
    <w:rsid w:val="00C07983"/>
    <w:rsid w:val="00C115B0"/>
    <w:rsid w:val="00C1170F"/>
    <w:rsid w:val="00C16748"/>
    <w:rsid w:val="00C21311"/>
    <w:rsid w:val="00C22386"/>
    <w:rsid w:val="00C26180"/>
    <w:rsid w:val="00C313A7"/>
    <w:rsid w:val="00C337CC"/>
    <w:rsid w:val="00C4492E"/>
    <w:rsid w:val="00C45A7D"/>
    <w:rsid w:val="00C5788B"/>
    <w:rsid w:val="00C57FFE"/>
    <w:rsid w:val="00C6276D"/>
    <w:rsid w:val="00C62B2B"/>
    <w:rsid w:val="00C72AFD"/>
    <w:rsid w:val="00C735AF"/>
    <w:rsid w:val="00C75001"/>
    <w:rsid w:val="00C774E7"/>
    <w:rsid w:val="00C80294"/>
    <w:rsid w:val="00C804B6"/>
    <w:rsid w:val="00C804C1"/>
    <w:rsid w:val="00C86047"/>
    <w:rsid w:val="00C9053B"/>
    <w:rsid w:val="00C906DA"/>
    <w:rsid w:val="00C932B0"/>
    <w:rsid w:val="00C93A76"/>
    <w:rsid w:val="00C94DFE"/>
    <w:rsid w:val="00CA0139"/>
    <w:rsid w:val="00CA0D9B"/>
    <w:rsid w:val="00CA6560"/>
    <w:rsid w:val="00CA6C98"/>
    <w:rsid w:val="00CA7194"/>
    <w:rsid w:val="00CB0A16"/>
    <w:rsid w:val="00CB7DB7"/>
    <w:rsid w:val="00CC2F7D"/>
    <w:rsid w:val="00CC7214"/>
    <w:rsid w:val="00CC7903"/>
    <w:rsid w:val="00CC7911"/>
    <w:rsid w:val="00CD0776"/>
    <w:rsid w:val="00CD2933"/>
    <w:rsid w:val="00CD778B"/>
    <w:rsid w:val="00CE022F"/>
    <w:rsid w:val="00CE2594"/>
    <w:rsid w:val="00CE35F3"/>
    <w:rsid w:val="00CF3C6B"/>
    <w:rsid w:val="00CF7E51"/>
    <w:rsid w:val="00D10E23"/>
    <w:rsid w:val="00D11901"/>
    <w:rsid w:val="00D34ECB"/>
    <w:rsid w:val="00D36E88"/>
    <w:rsid w:val="00D528CE"/>
    <w:rsid w:val="00D601B0"/>
    <w:rsid w:val="00D61B10"/>
    <w:rsid w:val="00D62B66"/>
    <w:rsid w:val="00D63E1C"/>
    <w:rsid w:val="00D647E0"/>
    <w:rsid w:val="00D7251A"/>
    <w:rsid w:val="00D8605E"/>
    <w:rsid w:val="00D86F04"/>
    <w:rsid w:val="00D90BCF"/>
    <w:rsid w:val="00D92DCE"/>
    <w:rsid w:val="00D9413C"/>
    <w:rsid w:val="00DA05F3"/>
    <w:rsid w:val="00DA7C17"/>
    <w:rsid w:val="00DB0842"/>
    <w:rsid w:val="00DB2F9D"/>
    <w:rsid w:val="00DB520C"/>
    <w:rsid w:val="00DC05B0"/>
    <w:rsid w:val="00DC24D8"/>
    <w:rsid w:val="00DC4615"/>
    <w:rsid w:val="00DC706A"/>
    <w:rsid w:val="00DD2D5A"/>
    <w:rsid w:val="00DD2FCD"/>
    <w:rsid w:val="00DD48E7"/>
    <w:rsid w:val="00DE2C91"/>
    <w:rsid w:val="00DE5D69"/>
    <w:rsid w:val="00DE6DA3"/>
    <w:rsid w:val="00DF099A"/>
    <w:rsid w:val="00DF0D5D"/>
    <w:rsid w:val="00E059DB"/>
    <w:rsid w:val="00E07D0C"/>
    <w:rsid w:val="00E12749"/>
    <w:rsid w:val="00E1298E"/>
    <w:rsid w:val="00E22D84"/>
    <w:rsid w:val="00E231EF"/>
    <w:rsid w:val="00E24E64"/>
    <w:rsid w:val="00E3208A"/>
    <w:rsid w:val="00E46CE5"/>
    <w:rsid w:val="00E50A49"/>
    <w:rsid w:val="00E53432"/>
    <w:rsid w:val="00E54B3B"/>
    <w:rsid w:val="00E55EF3"/>
    <w:rsid w:val="00E600F0"/>
    <w:rsid w:val="00E7549A"/>
    <w:rsid w:val="00E769AA"/>
    <w:rsid w:val="00E86B4C"/>
    <w:rsid w:val="00E93C31"/>
    <w:rsid w:val="00E975B3"/>
    <w:rsid w:val="00E97770"/>
    <w:rsid w:val="00E97A0B"/>
    <w:rsid w:val="00EA4266"/>
    <w:rsid w:val="00EA6EE6"/>
    <w:rsid w:val="00EB6870"/>
    <w:rsid w:val="00EC01CD"/>
    <w:rsid w:val="00EC47CC"/>
    <w:rsid w:val="00ED2261"/>
    <w:rsid w:val="00ED369B"/>
    <w:rsid w:val="00ED393A"/>
    <w:rsid w:val="00EE16C1"/>
    <w:rsid w:val="00EF3A5E"/>
    <w:rsid w:val="00EF55C2"/>
    <w:rsid w:val="00F034B8"/>
    <w:rsid w:val="00F04234"/>
    <w:rsid w:val="00F1062A"/>
    <w:rsid w:val="00F1743F"/>
    <w:rsid w:val="00F2193D"/>
    <w:rsid w:val="00F23667"/>
    <w:rsid w:val="00F2399B"/>
    <w:rsid w:val="00F242EA"/>
    <w:rsid w:val="00F33C01"/>
    <w:rsid w:val="00F41EA0"/>
    <w:rsid w:val="00F42C4F"/>
    <w:rsid w:val="00F50490"/>
    <w:rsid w:val="00F52E66"/>
    <w:rsid w:val="00F52FEC"/>
    <w:rsid w:val="00F565EC"/>
    <w:rsid w:val="00F60800"/>
    <w:rsid w:val="00F60D46"/>
    <w:rsid w:val="00F709F6"/>
    <w:rsid w:val="00F70D36"/>
    <w:rsid w:val="00F71913"/>
    <w:rsid w:val="00F74C17"/>
    <w:rsid w:val="00F75862"/>
    <w:rsid w:val="00F76169"/>
    <w:rsid w:val="00F80B45"/>
    <w:rsid w:val="00F833C1"/>
    <w:rsid w:val="00F83E08"/>
    <w:rsid w:val="00F859C6"/>
    <w:rsid w:val="00F87361"/>
    <w:rsid w:val="00F91B0B"/>
    <w:rsid w:val="00F92813"/>
    <w:rsid w:val="00F96900"/>
    <w:rsid w:val="00FA4AB9"/>
    <w:rsid w:val="00FB248C"/>
    <w:rsid w:val="00FD1805"/>
    <w:rsid w:val="00FE2C56"/>
    <w:rsid w:val="00FE3781"/>
    <w:rsid w:val="00FF03B6"/>
    <w:rsid w:val="00FF103C"/>
    <w:rsid w:val="00FF2A66"/>
    <w:rsid w:val="00FF54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90"/>
    <w:rPr>
      <w:szCs w:val="24"/>
    </w:rPr>
  </w:style>
  <w:style w:type="paragraph" w:styleId="Heading1">
    <w:name w:val="heading 1"/>
    <w:basedOn w:val="Normal"/>
    <w:next w:val="Normal"/>
    <w:link w:val="Heading1Char"/>
    <w:uiPriority w:val="9"/>
    <w:qFormat/>
    <w:rsid w:val="00BE5C9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E5C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BE5C9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5C9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E5C9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E5C90"/>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BE5C90"/>
    <w:pPr>
      <w:spacing w:before="240" w:after="60"/>
      <w:outlineLvl w:val="6"/>
    </w:pPr>
  </w:style>
  <w:style w:type="paragraph" w:styleId="Heading8">
    <w:name w:val="heading 8"/>
    <w:basedOn w:val="Normal"/>
    <w:next w:val="Normal"/>
    <w:link w:val="Heading8Char"/>
    <w:uiPriority w:val="9"/>
    <w:semiHidden/>
    <w:unhideWhenUsed/>
    <w:qFormat/>
    <w:rsid w:val="00BE5C90"/>
    <w:pPr>
      <w:spacing w:before="240" w:after="60"/>
      <w:outlineLvl w:val="7"/>
    </w:pPr>
    <w:rPr>
      <w:i/>
      <w:iCs/>
    </w:rPr>
  </w:style>
  <w:style w:type="paragraph" w:styleId="Heading9">
    <w:name w:val="heading 9"/>
    <w:basedOn w:val="Normal"/>
    <w:next w:val="Normal"/>
    <w:link w:val="Heading9Char"/>
    <w:uiPriority w:val="9"/>
    <w:semiHidden/>
    <w:unhideWhenUsed/>
    <w:qFormat/>
    <w:rsid w:val="00BE5C90"/>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E5C90"/>
    <w:rPr>
      <w:szCs w:val="32"/>
    </w:rPr>
  </w:style>
  <w:style w:type="character" w:customStyle="1" w:styleId="Heading2Char">
    <w:name w:val="Heading 2 Char"/>
    <w:basedOn w:val="DefaultParagraphFont"/>
    <w:link w:val="Heading2"/>
    <w:uiPriority w:val="9"/>
    <w:rsid w:val="00BE5C90"/>
    <w:rPr>
      <w:rFonts w:asciiTheme="majorHAnsi" w:eastAsiaTheme="majorEastAsia" w:hAnsiTheme="majorHAnsi"/>
      <w:b/>
      <w:bCs/>
      <w:i/>
      <w:iCs/>
      <w:sz w:val="28"/>
      <w:szCs w:val="28"/>
    </w:rPr>
  </w:style>
  <w:style w:type="paragraph" w:styleId="NormalWeb">
    <w:name w:val="Normal (Web)"/>
    <w:basedOn w:val="Normal"/>
    <w:uiPriority w:val="99"/>
    <w:semiHidden/>
    <w:unhideWhenUsed/>
    <w:rsid w:val="00771518"/>
    <w:pPr>
      <w:spacing w:before="100" w:beforeAutospacing="1" w:after="100" w:afterAutospacing="1"/>
    </w:pPr>
    <w:rPr>
      <w:rFonts w:ascii="Times New Roman" w:eastAsia="Times New Roman" w:hAnsi="Times New Roman"/>
      <w:sz w:val="24"/>
    </w:rPr>
  </w:style>
  <w:style w:type="character" w:customStyle="1" w:styleId="apple-converted-space">
    <w:name w:val="apple-converted-space"/>
    <w:basedOn w:val="DefaultParagraphFont"/>
    <w:rsid w:val="001E7314"/>
  </w:style>
  <w:style w:type="table" w:styleId="TableGrid">
    <w:name w:val="Table Grid"/>
    <w:basedOn w:val="TableNormal"/>
    <w:uiPriority w:val="59"/>
    <w:rsid w:val="000E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25E"/>
    <w:rPr>
      <w:rFonts w:ascii="Tahoma" w:hAnsi="Tahoma" w:cs="Tahoma"/>
      <w:sz w:val="16"/>
      <w:szCs w:val="16"/>
    </w:rPr>
  </w:style>
  <w:style w:type="character" w:customStyle="1" w:styleId="BalloonTextChar">
    <w:name w:val="Balloon Text Char"/>
    <w:basedOn w:val="DefaultParagraphFont"/>
    <w:link w:val="BalloonText"/>
    <w:uiPriority w:val="99"/>
    <w:semiHidden/>
    <w:rsid w:val="005B025E"/>
    <w:rPr>
      <w:rFonts w:ascii="Tahoma" w:hAnsi="Tahoma" w:cs="Tahoma"/>
      <w:sz w:val="16"/>
      <w:szCs w:val="16"/>
    </w:rPr>
  </w:style>
  <w:style w:type="character" w:customStyle="1" w:styleId="highwire-citation-authors">
    <w:name w:val="highwire-citation-authors"/>
    <w:basedOn w:val="DefaultParagraphFont"/>
    <w:rsid w:val="00226F3D"/>
  </w:style>
  <w:style w:type="character" w:customStyle="1" w:styleId="nlm-given-names">
    <w:name w:val="nlm-given-names"/>
    <w:basedOn w:val="DefaultParagraphFont"/>
    <w:rsid w:val="00226F3D"/>
  </w:style>
  <w:style w:type="character" w:customStyle="1" w:styleId="nlm-surname">
    <w:name w:val="nlm-surname"/>
    <w:basedOn w:val="DefaultParagraphFont"/>
    <w:rsid w:val="00226F3D"/>
  </w:style>
  <w:style w:type="character" w:customStyle="1" w:styleId="highwire-cite-doi">
    <w:name w:val="highwire-cite-doi"/>
    <w:basedOn w:val="DefaultParagraphFont"/>
    <w:rsid w:val="00226F3D"/>
  </w:style>
  <w:style w:type="character" w:styleId="Hyperlink">
    <w:name w:val="Hyperlink"/>
    <w:basedOn w:val="DefaultParagraphFont"/>
    <w:uiPriority w:val="99"/>
    <w:unhideWhenUsed/>
    <w:rsid w:val="00226F3D"/>
    <w:rPr>
      <w:color w:val="0000FF"/>
      <w:u w:val="single"/>
    </w:rPr>
  </w:style>
  <w:style w:type="character" w:customStyle="1" w:styleId="highwire-cite-pages">
    <w:name w:val="highwire-cite-pages"/>
    <w:basedOn w:val="DefaultParagraphFont"/>
    <w:rsid w:val="00226F3D"/>
  </w:style>
  <w:style w:type="character" w:customStyle="1" w:styleId="highwire-cite-fpub">
    <w:name w:val="highwire-cite-fpub"/>
    <w:basedOn w:val="DefaultParagraphFont"/>
    <w:rsid w:val="00226F3D"/>
  </w:style>
  <w:style w:type="character" w:customStyle="1" w:styleId="Heading1Char">
    <w:name w:val="Heading 1 Char"/>
    <w:basedOn w:val="DefaultParagraphFont"/>
    <w:link w:val="Heading1"/>
    <w:uiPriority w:val="9"/>
    <w:rsid w:val="00BE5C90"/>
    <w:rPr>
      <w:rFonts w:asciiTheme="majorHAnsi" w:eastAsiaTheme="majorEastAsia" w:hAnsiTheme="majorHAnsi" w:cstheme="majorBidi"/>
      <w:b/>
      <w:bCs/>
      <w:kern w:val="32"/>
      <w:sz w:val="32"/>
      <w:szCs w:val="32"/>
    </w:rPr>
  </w:style>
  <w:style w:type="character" w:styleId="HTMLCite">
    <w:name w:val="HTML Cite"/>
    <w:basedOn w:val="DefaultParagraphFont"/>
    <w:uiPriority w:val="99"/>
    <w:semiHidden/>
    <w:unhideWhenUsed/>
    <w:rsid w:val="005162A6"/>
    <w:rPr>
      <w:i/>
      <w:iCs/>
    </w:rPr>
  </w:style>
  <w:style w:type="character" w:customStyle="1" w:styleId="volume-value">
    <w:name w:val="volume-value"/>
    <w:basedOn w:val="DefaultParagraphFont"/>
    <w:rsid w:val="002C304E"/>
  </w:style>
  <w:style w:type="character" w:customStyle="1" w:styleId="vol-issue-comma">
    <w:name w:val="vol-issue-comma"/>
    <w:basedOn w:val="DefaultParagraphFont"/>
    <w:rsid w:val="002C304E"/>
  </w:style>
  <w:style w:type="character" w:customStyle="1" w:styleId="issue-value">
    <w:name w:val="issue-value"/>
    <w:basedOn w:val="DefaultParagraphFont"/>
    <w:rsid w:val="002C304E"/>
  </w:style>
  <w:style w:type="character" w:customStyle="1" w:styleId="slug-pages">
    <w:name w:val="slug-pages"/>
    <w:basedOn w:val="DefaultParagraphFont"/>
    <w:rsid w:val="002C304E"/>
  </w:style>
  <w:style w:type="character" w:customStyle="1" w:styleId="name">
    <w:name w:val="name"/>
    <w:basedOn w:val="DefaultParagraphFont"/>
    <w:rsid w:val="002C304E"/>
  </w:style>
  <w:style w:type="character" w:customStyle="1" w:styleId="maintitle">
    <w:name w:val="maintitle"/>
    <w:basedOn w:val="DefaultParagraphFont"/>
    <w:rsid w:val="00712645"/>
  </w:style>
  <w:style w:type="character" w:customStyle="1" w:styleId="contrib-role">
    <w:name w:val="contrib-role"/>
    <w:basedOn w:val="DefaultParagraphFont"/>
    <w:rsid w:val="00712645"/>
  </w:style>
  <w:style w:type="character" w:customStyle="1" w:styleId="slug-pub-date">
    <w:name w:val="slug-pub-date"/>
    <w:basedOn w:val="DefaultParagraphFont"/>
    <w:rsid w:val="00687B42"/>
  </w:style>
  <w:style w:type="character" w:customStyle="1" w:styleId="slug-vol">
    <w:name w:val="slug-vol"/>
    <w:basedOn w:val="DefaultParagraphFont"/>
    <w:rsid w:val="00687B42"/>
  </w:style>
  <w:style w:type="character" w:customStyle="1" w:styleId="cit-sep">
    <w:name w:val="cit-sep"/>
    <w:basedOn w:val="DefaultParagraphFont"/>
    <w:rsid w:val="00687B42"/>
  </w:style>
  <w:style w:type="character" w:customStyle="1" w:styleId="slug-doi">
    <w:name w:val="slug-doi"/>
    <w:basedOn w:val="DefaultParagraphFont"/>
    <w:rsid w:val="00687B42"/>
  </w:style>
  <w:style w:type="character" w:customStyle="1" w:styleId="highwire-cite-journal">
    <w:name w:val="highwire-cite-journal"/>
    <w:basedOn w:val="DefaultParagraphFont"/>
    <w:rsid w:val="00F2193D"/>
  </w:style>
  <w:style w:type="character" w:customStyle="1" w:styleId="highwire-cite-published-year">
    <w:name w:val="highwire-cite-published-year"/>
    <w:basedOn w:val="DefaultParagraphFont"/>
    <w:rsid w:val="00F2193D"/>
  </w:style>
  <w:style w:type="character" w:customStyle="1" w:styleId="highwire-cite-volume-issue">
    <w:name w:val="highwire-cite-volume-issue"/>
    <w:basedOn w:val="DefaultParagraphFont"/>
    <w:rsid w:val="00F2193D"/>
  </w:style>
  <w:style w:type="character" w:customStyle="1" w:styleId="highwire-cite-date">
    <w:name w:val="highwire-cite-date"/>
    <w:basedOn w:val="DefaultParagraphFont"/>
    <w:rsid w:val="00F2193D"/>
  </w:style>
  <w:style w:type="character" w:customStyle="1" w:styleId="highwire-cite-article-as">
    <w:name w:val="highwire-cite-article-as"/>
    <w:basedOn w:val="DefaultParagraphFont"/>
    <w:rsid w:val="00F2193D"/>
  </w:style>
  <w:style w:type="character" w:customStyle="1" w:styleId="italic">
    <w:name w:val="italic"/>
    <w:basedOn w:val="DefaultParagraphFont"/>
    <w:rsid w:val="00F2193D"/>
  </w:style>
  <w:style w:type="paragraph" w:customStyle="1" w:styleId="volissue">
    <w:name w:val="volissue"/>
    <w:basedOn w:val="Normal"/>
    <w:rsid w:val="006B3CEF"/>
    <w:pPr>
      <w:spacing w:before="100" w:beforeAutospacing="1" w:after="100" w:afterAutospacing="1"/>
    </w:pPr>
    <w:rPr>
      <w:rFonts w:ascii="Times New Roman" w:eastAsia="Times New Roman" w:hAnsi="Times New Roman"/>
      <w:sz w:val="24"/>
    </w:rPr>
  </w:style>
  <w:style w:type="paragraph" w:customStyle="1" w:styleId="Default">
    <w:name w:val="Default"/>
    <w:rsid w:val="00CA0D9B"/>
    <w:pPr>
      <w:autoSpaceDE w:val="0"/>
      <w:autoSpaceDN w:val="0"/>
      <w:adjustRightInd w:val="0"/>
    </w:pPr>
    <w:rPr>
      <w:rFonts w:ascii="Century" w:hAnsi="Century" w:cs="Century"/>
      <w:color w:val="000000"/>
      <w:sz w:val="24"/>
      <w:szCs w:val="24"/>
    </w:rPr>
  </w:style>
  <w:style w:type="character" w:styleId="CommentReference">
    <w:name w:val="annotation reference"/>
    <w:basedOn w:val="DefaultParagraphFont"/>
    <w:uiPriority w:val="99"/>
    <w:semiHidden/>
    <w:unhideWhenUsed/>
    <w:rsid w:val="00104E1A"/>
    <w:rPr>
      <w:sz w:val="16"/>
      <w:szCs w:val="16"/>
    </w:rPr>
  </w:style>
  <w:style w:type="paragraph" w:styleId="CommentText">
    <w:name w:val="annotation text"/>
    <w:basedOn w:val="Normal"/>
    <w:link w:val="CommentTextChar"/>
    <w:uiPriority w:val="99"/>
    <w:semiHidden/>
    <w:unhideWhenUsed/>
    <w:rsid w:val="00104E1A"/>
    <w:rPr>
      <w:sz w:val="20"/>
      <w:szCs w:val="20"/>
    </w:rPr>
  </w:style>
  <w:style w:type="character" w:customStyle="1" w:styleId="CommentTextChar">
    <w:name w:val="Comment Text Char"/>
    <w:basedOn w:val="DefaultParagraphFont"/>
    <w:link w:val="CommentText"/>
    <w:uiPriority w:val="99"/>
    <w:semiHidden/>
    <w:rsid w:val="00104E1A"/>
    <w:rPr>
      <w:sz w:val="20"/>
      <w:szCs w:val="20"/>
    </w:rPr>
  </w:style>
  <w:style w:type="paragraph" w:styleId="CommentSubject">
    <w:name w:val="annotation subject"/>
    <w:basedOn w:val="CommentText"/>
    <w:next w:val="CommentText"/>
    <w:link w:val="CommentSubjectChar"/>
    <w:uiPriority w:val="99"/>
    <w:semiHidden/>
    <w:unhideWhenUsed/>
    <w:rsid w:val="00104E1A"/>
    <w:rPr>
      <w:b/>
      <w:bCs/>
    </w:rPr>
  </w:style>
  <w:style w:type="character" w:customStyle="1" w:styleId="CommentSubjectChar">
    <w:name w:val="Comment Subject Char"/>
    <w:basedOn w:val="CommentTextChar"/>
    <w:link w:val="CommentSubject"/>
    <w:uiPriority w:val="99"/>
    <w:semiHidden/>
    <w:rsid w:val="00104E1A"/>
    <w:rPr>
      <w:b/>
      <w:bCs/>
      <w:sz w:val="20"/>
      <w:szCs w:val="20"/>
    </w:rPr>
  </w:style>
  <w:style w:type="paragraph" w:styleId="Revision">
    <w:name w:val="Revision"/>
    <w:hidden/>
    <w:uiPriority w:val="99"/>
    <w:semiHidden/>
    <w:rsid w:val="001E4827"/>
  </w:style>
  <w:style w:type="paragraph" w:styleId="Header">
    <w:name w:val="header"/>
    <w:basedOn w:val="Normal"/>
    <w:link w:val="HeaderChar"/>
    <w:uiPriority w:val="99"/>
    <w:unhideWhenUsed/>
    <w:rsid w:val="000164EE"/>
    <w:pPr>
      <w:tabs>
        <w:tab w:val="center" w:pos="4513"/>
        <w:tab w:val="right" w:pos="9026"/>
      </w:tabs>
    </w:pPr>
  </w:style>
  <w:style w:type="character" w:customStyle="1" w:styleId="HeaderChar">
    <w:name w:val="Header Char"/>
    <w:basedOn w:val="DefaultParagraphFont"/>
    <w:link w:val="Header"/>
    <w:uiPriority w:val="99"/>
    <w:rsid w:val="000164EE"/>
  </w:style>
  <w:style w:type="paragraph" w:styleId="Footer">
    <w:name w:val="footer"/>
    <w:basedOn w:val="Normal"/>
    <w:link w:val="FooterChar"/>
    <w:uiPriority w:val="99"/>
    <w:unhideWhenUsed/>
    <w:rsid w:val="000164EE"/>
    <w:pPr>
      <w:tabs>
        <w:tab w:val="center" w:pos="4513"/>
        <w:tab w:val="right" w:pos="9026"/>
      </w:tabs>
    </w:pPr>
  </w:style>
  <w:style w:type="character" w:customStyle="1" w:styleId="FooterChar">
    <w:name w:val="Footer Char"/>
    <w:basedOn w:val="DefaultParagraphFont"/>
    <w:link w:val="Footer"/>
    <w:uiPriority w:val="99"/>
    <w:rsid w:val="000164EE"/>
  </w:style>
  <w:style w:type="character" w:customStyle="1" w:styleId="Heading3Char">
    <w:name w:val="Heading 3 Char"/>
    <w:basedOn w:val="DefaultParagraphFont"/>
    <w:link w:val="Heading3"/>
    <w:uiPriority w:val="9"/>
    <w:rsid w:val="00BE5C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5C90"/>
    <w:rPr>
      <w:b/>
      <w:bCs/>
      <w:sz w:val="28"/>
      <w:szCs w:val="28"/>
    </w:rPr>
  </w:style>
  <w:style w:type="character" w:customStyle="1" w:styleId="Heading5Char">
    <w:name w:val="Heading 5 Char"/>
    <w:basedOn w:val="DefaultParagraphFont"/>
    <w:link w:val="Heading5"/>
    <w:uiPriority w:val="9"/>
    <w:semiHidden/>
    <w:rsid w:val="00BE5C90"/>
    <w:rPr>
      <w:b/>
      <w:bCs/>
      <w:i/>
      <w:iCs/>
      <w:sz w:val="26"/>
      <w:szCs w:val="26"/>
    </w:rPr>
  </w:style>
  <w:style w:type="character" w:customStyle="1" w:styleId="Heading6Char">
    <w:name w:val="Heading 6 Char"/>
    <w:basedOn w:val="DefaultParagraphFont"/>
    <w:link w:val="Heading6"/>
    <w:uiPriority w:val="9"/>
    <w:semiHidden/>
    <w:rsid w:val="00BE5C90"/>
    <w:rPr>
      <w:b/>
      <w:bCs/>
    </w:rPr>
  </w:style>
  <w:style w:type="character" w:customStyle="1" w:styleId="Heading7Char">
    <w:name w:val="Heading 7 Char"/>
    <w:basedOn w:val="DefaultParagraphFont"/>
    <w:link w:val="Heading7"/>
    <w:uiPriority w:val="9"/>
    <w:semiHidden/>
    <w:rsid w:val="00BE5C90"/>
    <w:rPr>
      <w:sz w:val="24"/>
      <w:szCs w:val="24"/>
    </w:rPr>
  </w:style>
  <w:style w:type="character" w:customStyle="1" w:styleId="Heading8Char">
    <w:name w:val="Heading 8 Char"/>
    <w:basedOn w:val="DefaultParagraphFont"/>
    <w:link w:val="Heading8"/>
    <w:uiPriority w:val="9"/>
    <w:semiHidden/>
    <w:rsid w:val="00BE5C90"/>
    <w:rPr>
      <w:i/>
      <w:iCs/>
      <w:sz w:val="24"/>
      <w:szCs w:val="24"/>
    </w:rPr>
  </w:style>
  <w:style w:type="character" w:customStyle="1" w:styleId="Heading9Char">
    <w:name w:val="Heading 9 Char"/>
    <w:basedOn w:val="DefaultParagraphFont"/>
    <w:link w:val="Heading9"/>
    <w:uiPriority w:val="9"/>
    <w:semiHidden/>
    <w:rsid w:val="00BE5C90"/>
    <w:rPr>
      <w:rFonts w:asciiTheme="majorHAnsi" w:eastAsiaTheme="majorEastAsia" w:hAnsiTheme="majorHAnsi"/>
    </w:rPr>
  </w:style>
  <w:style w:type="paragraph" w:styleId="Title">
    <w:name w:val="Title"/>
    <w:basedOn w:val="Normal"/>
    <w:next w:val="Normal"/>
    <w:link w:val="TitleChar"/>
    <w:uiPriority w:val="10"/>
    <w:qFormat/>
    <w:rsid w:val="00BE5C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E5C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E5C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E5C90"/>
    <w:rPr>
      <w:rFonts w:asciiTheme="majorHAnsi" w:eastAsiaTheme="majorEastAsia" w:hAnsiTheme="majorHAnsi"/>
      <w:sz w:val="24"/>
      <w:szCs w:val="24"/>
    </w:rPr>
  </w:style>
  <w:style w:type="character" w:styleId="Strong">
    <w:name w:val="Strong"/>
    <w:basedOn w:val="DefaultParagraphFont"/>
    <w:uiPriority w:val="22"/>
    <w:qFormat/>
    <w:rsid w:val="00BE5C90"/>
    <w:rPr>
      <w:b/>
      <w:bCs/>
    </w:rPr>
  </w:style>
  <w:style w:type="character" w:styleId="Emphasis">
    <w:name w:val="Emphasis"/>
    <w:basedOn w:val="DefaultParagraphFont"/>
    <w:uiPriority w:val="20"/>
    <w:qFormat/>
    <w:rsid w:val="00BE5C90"/>
    <w:rPr>
      <w:rFonts w:asciiTheme="minorHAnsi" w:hAnsiTheme="minorHAnsi"/>
      <w:b/>
      <w:i/>
      <w:iCs/>
    </w:rPr>
  </w:style>
  <w:style w:type="paragraph" w:styleId="ListParagraph">
    <w:name w:val="List Paragraph"/>
    <w:basedOn w:val="Normal"/>
    <w:uiPriority w:val="34"/>
    <w:qFormat/>
    <w:rsid w:val="00BE5C90"/>
    <w:pPr>
      <w:ind w:left="720"/>
      <w:contextualSpacing/>
    </w:pPr>
  </w:style>
  <w:style w:type="paragraph" w:styleId="Quote">
    <w:name w:val="Quote"/>
    <w:basedOn w:val="Normal"/>
    <w:next w:val="Normal"/>
    <w:link w:val="QuoteChar"/>
    <w:uiPriority w:val="29"/>
    <w:qFormat/>
    <w:rsid w:val="00BE5C90"/>
    <w:rPr>
      <w:i/>
    </w:rPr>
  </w:style>
  <w:style w:type="character" w:customStyle="1" w:styleId="QuoteChar">
    <w:name w:val="Quote Char"/>
    <w:basedOn w:val="DefaultParagraphFont"/>
    <w:link w:val="Quote"/>
    <w:uiPriority w:val="29"/>
    <w:rsid w:val="00BE5C90"/>
    <w:rPr>
      <w:i/>
      <w:sz w:val="24"/>
      <w:szCs w:val="24"/>
    </w:rPr>
  </w:style>
  <w:style w:type="paragraph" w:styleId="IntenseQuote">
    <w:name w:val="Intense Quote"/>
    <w:basedOn w:val="Normal"/>
    <w:next w:val="Normal"/>
    <w:link w:val="IntenseQuoteChar"/>
    <w:uiPriority w:val="30"/>
    <w:qFormat/>
    <w:rsid w:val="00BE5C90"/>
    <w:pPr>
      <w:ind w:left="720" w:right="720"/>
    </w:pPr>
    <w:rPr>
      <w:b/>
      <w:i/>
      <w:szCs w:val="22"/>
    </w:rPr>
  </w:style>
  <w:style w:type="character" w:customStyle="1" w:styleId="IntenseQuoteChar">
    <w:name w:val="Intense Quote Char"/>
    <w:basedOn w:val="DefaultParagraphFont"/>
    <w:link w:val="IntenseQuote"/>
    <w:uiPriority w:val="30"/>
    <w:rsid w:val="00BE5C90"/>
    <w:rPr>
      <w:b/>
      <w:i/>
      <w:sz w:val="24"/>
    </w:rPr>
  </w:style>
  <w:style w:type="character" w:styleId="SubtleEmphasis">
    <w:name w:val="Subtle Emphasis"/>
    <w:uiPriority w:val="19"/>
    <w:qFormat/>
    <w:rsid w:val="00BE5C90"/>
    <w:rPr>
      <w:i/>
      <w:color w:val="5A5A5A" w:themeColor="text1" w:themeTint="A5"/>
    </w:rPr>
  </w:style>
  <w:style w:type="character" w:styleId="IntenseEmphasis">
    <w:name w:val="Intense Emphasis"/>
    <w:basedOn w:val="DefaultParagraphFont"/>
    <w:uiPriority w:val="21"/>
    <w:qFormat/>
    <w:rsid w:val="00BE5C90"/>
    <w:rPr>
      <w:b/>
      <w:i/>
      <w:sz w:val="24"/>
      <w:szCs w:val="24"/>
      <w:u w:val="single"/>
    </w:rPr>
  </w:style>
  <w:style w:type="character" w:styleId="SubtleReference">
    <w:name w:val="Subtle Reference"/>
    <w:basedOn w:val="DefaultParagraphFont"/>
    <w:uiPriority w:val="31"/>
    <w:qFormat/>
    <w:rsid w:val="00BE5C90"/>
    <w:rPr>
      <w:sz w:val="24"/>
      <w:szCs w:val="24"/>
      <w:u w:val="single"/>
    </w:rPr>
  </w:style>
  <w:style w:type="character" w:styleId="IntenseReference">
    <w:name w:val="Intense Reference"/>
    <w:basedOn w:val="DefaultParagraphFont"/>
    <w:uiPriority w:val="32"/>
    <w:qFormat/>
    <w:rsid w:val="00BE5C90"/>
    <w:rPr>
      <w:b/>
      <w:sz w:val="24"/>
      <w:u w:val="single"/>
    </w:rPr>
  </w:style>
  <w:style w:type="character" w:styleId="BookTitle">
    <w:name w:val="Book Title"/>
    <w:basedOn w:val="DefaultParagraphFont"/>
    <w:uiPriority w:val="33"/>
    <w:qFormat/>
    <w:rsid w:val="00BE5C9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5C90"/>
    <w:pPr>
      <w:outlineLvl w:val="9"/>
    </w:pPr>
    <w:rPr>
      <w:rFonts w:cs="Times New Roman"/>
    </w:rPr>
  </w:style>
  <w:style w:type="character" w:styleId="PlaceholderText">
    <w:name w:val="Placeholder Text"/>
    <w:basedOn w:val="DefaultParagraphFont"/>
    <w:uiPriority w:val="99"/>
    <w:semiHidden/>
    <w:rsid w:val="00AC237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90"/>
    <w:rPr>
      <w:szCs w:val="24"/>
    </w:rPr>
  </w:style>
  <w:style w:type="paragraph" w:styleId="Heading1">
    <w:name w:val="heading 1"/>
    <w:basedOn w:val="Normal"/>
    <w:next w:val="Normal"/>
    <w:link w:val="Heading1Char"/>
    <w:uiPriority w:val="9"/>
    <w:qFormat/>
    <w:rsid w:val="00BE5C9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E5C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BE5C9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5C9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E5C9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E5C90"/>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BE5C90"/>
    <w:pPr>
      <w:spacing w:before="240" w:after="60"/>
      <w:outlineLvl w:val="6"/>
    </w:pPr>
  </w:style>
  <w:style w:type="paragraph" w:styleId="Heading8">
    <w:name w:val="heading 8"/>
    <w:basedOn w:val="Normal"/>
    <w:next w:val="Normal"/>
    <w:link w:val="Heading8Char"/>
    <w:uiPriority w:val="9"/>
    <w:semiHidden/>
    <w:unhideWhenUsed/>
    <w:qFormat/>
    <w:rsid w:val="00BE5C90"/>
    <w:pPr>
      <w:spacing w:before="240" w:after="60"/>
      <w:outlineLvl w:val="7"/>
    </w:pPr>
    <w:rPr>
      <w:i/>
      <w:iCs/>
    </w:rPr>
  </w:style>
  <w:style w:type="paragraph" w:styleId="Heading9">
    <w:name w:val="heading 9"/>
    <w:basedOn w:val="Normal"/>
    <w:next w:val="Normal"/>
    <w:link w:val="Heading9Char"/>
    <w:uiPriority w:val="9"/>
    <w:semiHidden/>
    <w:unhideWhenUsed/>
    <w:qFormat/>
    <w:rsid w:val="00BE5C90"/>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E5C90"/>
    <w:rPr>
      <w:szCs w:val="32"/>
    </w:rPr>
  </w:style>
  <w:style w:type="character" w:customStyle="1" w:styleId="Heading2Char">
    <w:name w:val="Heading 2 Char"/>
    <w:basedOn w:val="DefaultParagraphFont"/>
    <w:link w:val="Heading2"/>
    <w:uiPriority w:val="9"/>
    <w:rsid w:val="00BE5C90"/>
    <w:rPr>
      <w:rFonts w:asciiTheme="majorHAnsi" w:eastAsiaTheme="majorEastAsia" w:hAnsiTheme="majorHAnsi"/>
      <w:b/>
      <w:bCs/>
      <w:i/>
      <w:iCs/>
      <w:sz w:val="28"/>
      <w:szCs w:val="28"/>
    </w:rPr>
  </w:style>
  <w:style w:type="paragraph" w:styleId="NormalWeb">
    <w:name w:val="Normal (Web)"/>
    <w:basedOn w:val="Normal"/>
    <w:uiPriority w:val="99"/>
    <w:semiHidden/>
    <w:unhideWhenUsed/>
    <w:rsid w:val="00771518"/>
    <w:pPr>
      <w:spacing w:before="100" w:beforeAutospacing="1" w:after="100" w:afterAutospacing="1"/>
    </w:pPr>
    <w:rPr>
      <w:rFonts w:ascii="Times New Roman" w:eastAsia="Times New Roman" w:hAnsi="Times New Roman"/>
      <w:sz w:val="24"/>
    </w:rPr>
  </w:style>
  <w:style w:type="character" w:customStyle="1" w:styleId="apple-converted-space">
    <w:name w:val="apple-converted-space"/>
    <w:basedOn w:val="DefaultParagraphFont"/>
    <w:rsid w:val="001E7314"/>
  </w:style>
  <w:style w:type="table" w:styleId="TableGrid">
    <w:name w:val="Table Grid"/>
    <w:basedOn w:val="TableNormal"/>
    <w:uiPriority w:val="59"/>
    <w:rsid w:val="000E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25E"/>
    <w:rPr>
      <w:rFonts w:ascii="Tahoma" w:hAnsi="Tahoma" w:cs="Tahoma"/>
      <w:sz w:val="16"/>
      <w:szCs w:val="16"/>
    </w:rPr>
  </w:style>
  <w:style w:type="character" w:customStyle="1" w:styleId="BalloonTextChar">
    <w:name w:val="Balloon Text Char"/>
    <w:basedOn w:val="DefaultParagraphFont"/>
    <w:link w:val="BalloonText"/>
    <w:uiPriority w:val="99"/>
    <w:semiHidden/>
    <w:rsid w:val="005B025E"/>
    <w:rPr>
      <w:rFonts w:ascii="Tahoma" w:hAnsi="Tahoma" w:cs="Tahoma"/>
      <w:sz w:val="16"/>
      <w:szCs w:val="16"/>
    </w:rPr>
  </w:style>
  <w:style w:type="character" w:customStyle="1" w:styleId="highwire-citation-authors">
    <w:name w:val="highwire-citation-authors"/>
    <w:basedOn w:val="DefaultParagraphFont"/>
    <w:rsid w:val="00226F3D"/>
  </w:style>
  <w:style w:type="character" w:customStyle="1" w:styleId="nlm-given-names">
    <w:name w:val="nlm-given-names"/>
    <w:basedOn w:val="DefaultParagraphFont"/>
    <w:rsid w:val="00226F3D"/>
  </w:style>
  <w:style w:type="character" w:customStyle="1" w:styleId="nlm-surname">
    <w:name w:val="nlm-surname"/>
    <w:basedOn w:val="DefaultParagraphFont"/>
    <w:rsid w:val="00226F3D"/>
  </w:style>
  <w:style w:type="character" w:customStyle="1" w:styleId="highwire-cite-doi">
    <w:name w:val="highwire-cite-doi"/>
    <w:basedOn w:val="DefaultParagraphFont"/>
    <w:rsid w:val="00226F3D"/>
  </w:style>
  <w:style w:type="character" w:styleId="Hyperlink">
    <w:name w:val="Hyperlink"/>
    <w:basedOn w:val="DefaultParagraphFont"/>
    <w:uiPriority w:val="99"/>
    <w:unhideWhenUsed/>
    <w:rsid w:val="00226F3D"/>
    <w:rPr>
      <w:color w:val="0000FF"/>
      <w:u w:val="single"/>
    </w:rPr>
  </w:style>
  <w:style w:type="character" w:customStyle="1" w:styleId="highwire-cite-pages">
    <w:name w:val="highwire-cite-pages"/>
    <w:basedOn w:val="DefaultParagraphFont"/>
    <w:rsid w:val="00226F3D"/>
  </w:style>
  <w:style w:type="character" w:customStyle="1" w:styleId="highwire-cite-fpub">
    <w:name w:val="highwire-cite-fpub"/>
    <w:basedOn w:val="DefaultParagraphFont"/>
    <w:rsid w:val="00226F3D"/>
  </w:style>
  <w:style w:type="character" w:customStyle="1" w:styleId="Heading1Char">
    <w:name w:val="Heading 1 Char"/>
    <w:basedOn w:val="DefaultParagraphFont"/>
    <w:link w:val="Heading1"/>
    <w:uiPriority w:val="9"/>
    <w:rsid w:val="00BE5C90"/>
    <w:rPr>
      <w:rFonts w:asciiTheme="majorHAnsi" w:eastAsiaTheme="majorEastAsia" w:hAnsiTheme="majorHAnsi" w:cstheme="majorBidi"/>
      <w:b/>
      <w:bCs/>
      <w:kern w:val="32"/>
      <w:sz w:val="32"/>
      <w:szCs w:val="32"/>
    </w:rPr>
  </w:style>
  <w:style w:type="character" w:styleId="HTMLCite">
    <w:name w:val="HTML Cite"/>
    <w:basedOn w:val="DefaultParagraphFont"/>
    <w:uiPriority w:val="99"/>
    <w:semiHidden/>
    <w:unhideWhenUsed/>
    <w:rsid w:val="005162A6"/>
    <w:rPr>
      <w:i/>
      <w:iCs/>
    </w:rPr>
  </w:style>
  <w:style w:type="character" w:customStyle="1" w:styleId="volume-value">
    <w:name w:val="volume-value"/>
    <w:basedOn w:val="DefaultParagraphFont"/>
    <w:rsid w:val="002C304E"/>
  </w:style>
  <w:style w:type="character" w:customStyle="1" w:styleId="vol-issue-comma">
    <w:name w:val="vol-issue-comma"/>
    <w:basedOn w:val="DefaultParagraphFont"/>
    <w:rsid w:val="002C304E"/>
  </w:style>
  <w:style w:type="character" w:customStyle="1" w:styleId="issue-value">
    <w:name w:val="issue-value"/>
    <w:basedOn w:val="DefaultParagraphFont"/>
    <w:rsid w:val="002C304E"/>
  </w:style>
  <w:style w:type="character" w:customStyle="1" w:styleId="slug-pages">
    <w:name w:val="slug-pages"/>
    <w:basedOn w:val="DefaultParagraphFont"/>
    <w:rsid w:val="002C304E"/>
  </w:style>
  <w:style w:type="character" w:customStyle="1" w:styleId="name">
    <w:name w:val="name"/>
    <w:basedOn w:val="DefaultParagraphFont"/>
    <w:rsid w:val="002C304E"/>
  </w:style>
  <w:style w:type="character" w:customStyle="1" w:styleId="maintitle">
    <w:name w:val="maintitle"/>
    <w:basedOn w:val="DefaultParagraphFont"/>
    <w:rsid w:val="00712645"/>
  </w:style>
  <w:style w:type="character" w:customStyle="1" w:styleId="contrib-role">
    <w:name w:val="contrib-role"/>
    <w:basedOn w:val="DefaultParagraphFont"/>
    <w:rsid w:val="00712645"/>
  </w:style>
  <w:style w:type="character" w:customStyle="1" w:styleId="slug-pub-date">
    <w:name w:val="slug-pub-date"/>
    <w:basedOn w:val="DefaultParagraphFont"/>
    <w:rsid w:val="00687B42"/>
  </w:style>
  <w:style w:type="character" w:customStyle="1" w:styleId="slug-vol">
    <w:name w:val="slug-vol"/>
    <w:basedOn w:val="DefaultParagraphFont"/>
    <w:rsid w:val="00687B42"/>
  </w:style>
  <w:style w:type="character" w:customStyle="1" w:styleId="cit-sep">
    <w:name w:val="cit-sep"/>
    <w:basedOn w:val="DefaultParagraphFont"/>
    <w:rsid w:val="00687B42"/>
  </w:style>
  <w:style w:type="character" w:customStyle="1" w:styleId="slug-doi">
    <w:name w:val="slug-doi"/>
    <w:basedOn w:val="DefaultParagraphFont"/>
    <w:rsid w:val="00687B42"/>
  </w:style>
  <w:style w:type="character" w:customStyle="1" w:styleId="highwire-cite-journal">
    <w:name w:val="highwire-cite-journal"/>
    <w:basedOn w:val="DefaultParagraphFont"/>
    <w:rsid w:val="00F2193D"/>
  </w:style>
  <w:style w:type="character" w:customStyle="1" w:styleId="highwire-cite-published-year">
    <w:name w:val="highwire-cite-published-year"/>
    <w:basedOn w:val="DefaultParagraphFont"/>
    <w:rsid w:val="00F2193D"/>
  </w:style>
  <w:style w:type="character" w:customStyle="1" w:styleId="highwire-cite-volume-issue">
    <w:name w:val="highwire-cite-volume-issue"/>
    <w:basedOn w:val="DefaultParagraphFont"/>
    <w:rsid w:val="00F2193D"/>
  </w:style>
  <w:style w:type="character" w:customStyle="1" w:styleId="highwire-cite-date">
    <w:name w:val="highwire-cite-date"/>
    <w:basedOn w:val="DefaultParagraphFont"/>
    <w:rsid w:val="00F2193D"/>
  </w:style>
  <w:style w:type="character" w:customStyle="1" w:styleId="highwire-cite-article-as">
    <w:name w:val="highwire-cite-article-as"/>
    <w:basedOn w:val="DefaultParagraphFont"/>
    <w:rsid w:val="00F2193D"/>
  </w:style>
  <w:style w:type="character" w:customStyle="1" w:styleId="italic">
    <w:name w:val="italic"/>
    <w:basedOn w:val="DefaultParagraphFont"/>
    <w:rsid w:val="00F2193D"/>
  </w:style>
  <w:style w:type="paragraph" w:customStyle="1" w:styleId="volissue">
    <w:name w:val="volissue"/>
    <w:basedOn w:val="Normal"/>
    <w:rsid w:val="006B3CEF"/>
    <w:pPr>
      <w:spacing w:before="100" w:beforeAutospacing="1" w:after="100" w:afterAutospacing="1"/>
    </w:pPr>
    <w:rPr>
      <w:rFonts w:ascii="Times New Roman" w:eastAsia="Times New Roman" w:hAnsi="Times New Roman"/>
      <w:sz w:val="24"/>
    </w:rPr>
  </w:style>
  <w:style w:type="paragraph" w:customStyle="1" w:styleId="Default">
    <w:name w:val="Default"/>
    <w:rsid w:val="00CA0D9B"/>
    <w:pPr>
      <w:autoSpaceDE w:val="0"/>
      <w:autoSpaceDN w:val="0"/>
      <w:adjustRightInd w:val="0"/>
    </w:pPr>
    <w:rPr>
      <w:rFonts w:ascii="Century" w:hAnsi="Century" w:cs="Century"/>
      <w:color w:val="000000"/>
      <w:sz w:val="24"/>
      <w:szCs w:val="24"/>
    </w:rPr>
  </w:style>
  <w:style w:type="character" w:styleId="CommentReference">
    <w:name w:val="annotation reference"/>
    <w:basedOn w:val="DefaultParagraphFont"/>
    <w:uiPriority w:val="99"/>
    <w:semiHidden/>
    <w:unhideWhenUsed/>
    <w:rsid w:val="00104E1A"/>
    <w:rPr>
      <w:sz w:val="16"/>
      <w:szCs w:val="16"/>
    </w:rPr>
  </w:style>
  <w:style w:type="paragraph" w:styleId="CommentText">
    <w:name w:val="annotation text"/>
    <w:basedOn w:val="Normal"/>
    <w:link w:val="CommentTextChar"/>
    <w:uiPriority w:val="99"/>
    <w:semiHidden/>
    <w:unhideWhenUsed/>
    <w:rsid w:val="00104E1A"/>
    <w:rPr>
      <w:sz w:val="20"/>
      <w:szCs w:val="20"/>
    </w:rPr>
  </w:style>
  <w:style w:type="character" w:customStyle="1" w:styleId="CommentTextChar">
    <w:name w:val="Comment Text Char"/>
    <w:basedOn w:val="DefaultParagraphFont"/>
    <w:link w:val="CommentText"/>
    <w:uiPriority w:val="99"/>
    <w:semiHidden/>
    <w:rsid w:val="00104E1A"/>
    <w:rPr>
      <w:sz w:val="20"/>
      <w:szCs w:val="20"/>
    </w:rPr>
  </w:style>
  <w:style w:type="paragraph" w:styleId="CommentSubject">
    <w:name w:val="annotation subject"/>
    <w:basedOn w:val="CommentText"/>
    <w:next w:val="CommentText"/>
    <w:link w:val="CommentSubjectChar"/>
    <w:uiPriority w:val="99"/>
    <w:semiHidden/>
    <w:unhideWhenUsed/>
    <w:rsid w:val="00104E1A"/>
    <w:rPr>
      <w:b/>
      <w:bCs/>
    </w:rPr>
  </w:style>
  <w:style w:type="character" w:customStyle="1" w:styleId="CommentSubjectChar">
    <w:name w:val="Comment Subject Char"/>
    <w:basedOn w:val="CommentTextChar"/>
    <w:link w:val="CommentSubject"/>
    <w:uiPriority w:val="99"/>
    <w:semiHidden/>
    <w:rsid w:val="00104E1A"/>
    <w:rPr>
      <w:b/>
      <w:bCs/>
      <w:sz w:val="20"/>
      <w:szCs w:val="20"/>
    </w:rPr>
  </w:style>
  <w:style w:type="paragraph" w:styleId="Revision">
    <w:name w:val="Revision"/>
    <w:hidden/>
    <w:uiPriority w:val="99"/>
    <w:semiHidden/>
    <w:rsid w:val="001E4827"/>
  </w:style>
  <w:style w:type="paragraph" w:styleId="Header">
    <w:name w:val="header"/>
    <w:basedOn w:val="Normal"/>
    <w:link w:val="HeaderChar"/>
    <w:uiPriority w:val="99"/>
    <w:unhideWhenUsed/>
    <w:rsid w:val="000164EE"/>
    <w:pPr>
      <w:tabs>
        <w:tab w:val="center" w:pos="4513"/>
        <w:tab w:val="right" w:pos="9026"/>
      </w:tabs>
    </w:pPr>
  </w:style>
  <w:style w:type="character" w:customStyle="1" w:styleId="HeaderChar">
    <w:name w:val="Header Char"/>
    <w:basedOn w:val="DefaultParagraphFont"/>
    <w:link w:val="Header"/>
    <w:uiPriority w:val="99"/>
    <w:rsid w:val="000164EE"/>
  </w:style>
  <w:style w:type="paragraph" w:styleId="Footer">
    <w:name w:val="footer"/>
    <w:basedOn w:val="Normal"/>
    <w:link w:val="FooterChar"/>
    <w:uiPriority w:val="99"/>
    <w:unhideWhenUsed/>
    <w:rsid w:val="000164EE"/>
    <w:pPr>
      <w:tabs>
        <w:tab w:val="center" w:pos="4513"/>
        <w:tab w:val="right" w:pos="9026"/>
      </w:tabs>
    </w:pPr>
  </w:style>
  <w:style w:type="character" w:customStyle="1" w:styleId="FooterChar">
    <w:name w:val="Footer Char"/>
    <w:basedOn w:val="DefaultParagraphFont"/>
    <w:link w:val="Footer"/>
    <w:uiPriority w:val="99"/>
    <w:rsid w:val="000164EE"/>
  </w:style>
  <w:style w:type="character" w:customStyle="1" w:styleId="Heading3Char">
    <w:name w:val="Heading 3 Char"/>
    <w:basedOn w:val="DefaultParagraphFont"/>
    <w:link w:val="Heading3"/>
    <w:uiPriority w:val="9"/>
    <w:rsid w:val="00BE5C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5C90"/>
    <w:rPr>
      <w:b/>
      <w:bCs/>
      <w:sz w:val="28"/>
      <w:szCs w:val="28"/>
    </w:rPr>
  </w:style>
  <w:style w:type="character" w:customStyle="1" w:styleId="Heading5Char">
    <w:name w:val="Heading 5 Char"/>
    <w:basedOn w:val="DefaultParagraphFont"/>
    <w:link w:val="Heading5"/>
    <w:uiPriority w:val="9"/>
    <w:semiHidden/>
    <w:rsid w:val="00BE5C90"/>
    <w:rPr>
      <w:b/>
      <w:bCs/>
      <w:i/>
      <w:iCs/>
      <w:sz w:val="26"/>
      <w:szCs w:val="26"/>
    </w:rPr>
  </w:style>
  <w:style w:type="character" w:customStyle="1" w:styleId="Heading6Char">
    <w:name w:val="Heading 6 Char"/>
    <w:basedOn w:val="DefaultParagraphFont"/>
    <w:link w:val="Heading6"/>
    <w:uiPriority w:val="9"/>
    <w:semiHidden/>
    <w:rsid w:val="00BE5C90"/>
    <w:rPr>
      <w:b/>
      <w:bCs/>
    </w:rPr>
  </w:style>
  <w:style w:type="character" w:customStyle="1" w:styleId="Heading7Char">
    <w:name w:val="Heading 7 Char"/>
    <w:basedOn w:val="DefaultParagraphFont"/>
    <w:link w:val="Heading7"/>
    <w:uiPriority w:val="9"/>
    <w:semiHidden/>
    <w:rsid w:val="00BE5C90"/>
    <w:rPr>
      <w:sz w:val="24"/>
      <w:szCs w:val="24"/>
    </w:rPr>
  </w:style>
  <w:style w:type="character" w:customStyle="1" w:styleId="Heading8Char">
    <w:name w:val="Heading 8 Char"/>
    <w:basedOn w:val="DefaultParagraphFont"/>
    <w:link w:val="Heading8"/>
    <w:uiPriority w:val="9"/>
    <w:semiHidden/>
    <w:rsid w:val="00BE5C90"/>
    <w:rPr>
      <w:i/>
      <w:iCs/>
      <w:sz w:val="24"/>
      <w:szCs w:val="24"/>
    </w:rPr>
  </w:style>
  <w:style w:type="character" w:customStyle="1" w:styleId="Heading9Char">
    <w:name w:val="Heading 9 Char"/>
    <w:basedOn w:val="DefaultParagraphFont"/>
    <w:link w:val="Heading9"/>
    <w:uiPriority w:val="9"/>
    <w:semiHidden/>
    <w:rsid w:val="00BE5C90"/>
    <w:rPr>
      <w:rFonts w:asciiTheme="majorHAnsi" w:eastAsiaTheme="majorEastAsia" w:hAnsiTheme="majorHAnsi"/>
    </w:rPr>
  </w:style>
  <w:style w:type="paragraph" w:styleId="Title">
    <w:name w:val="Title"/>
    <w:basedOn w:val="Normal"/>
    <w:next w:val="Normal"/>
    <w:link w:val="TitleChar"/>
    <w:uiPriority w:val="10"/>
    <w:qFormat/>
    <w:rsid w:val="00BE5C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E5C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E5C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E5C90"/>
    <w:rPr>
      <w:rFonts w:asciiTheme="majorHAnsi" w:eastAsiaTheme="majorEastAsia" w:hAnsiTheme="majorHAnsi"/>
      <w:sz w:val="24"/>
      <w:szCs w:val="24"/>
    </w:rPr>
  </w:style>
  <w:style w:type="character" w:styleId="Strong">
    <w:name w:val="Strong"/>
    <w:basedOn w:val="DefaultParagraphFont"/>
    <w:uiPriority w:val="22"/>
    <w:qFormat/>
    <w:rsid w:val="00BE5C90"/>
    <w:rPr>
      <w:b/>
      <w:bCs/>
    </w:rPr>
  </w:style>
  <w:style w:type="character" w:styleId="Emphasis">
    <w:name w:val="Emphasis"/>
    <w:basedOn w:val="DefaultParagraphFont"/>
    <w:uiPriority w:val="20"/>
    <w:qFormat/>
    <w:rsid w:val="00BE5C90"/>
    <w:rPr>
      <w:rFonts w:asciiTheme="minorHAnsi" w:hAnsiTheme="minorHAnsi"/>
      <w:b/>
      <w:i/>
      <w:iCs/>
    </w:rPr>
  </w:style>
  <w:style w:type="paragraph" w:styleId="ListParagraph">
    <w:name w:val="List Paragraph"/>
    <w:basedOn w:val="Normal"/>
    <w:uiPriority w:val="34"/>
    <w:qFormat/>
    <w:rsid w:val="00BE5C90"/>
    <w:pPr>
      <w:ind w:left="720"/>
      <w:contextualSpacing/>
    </w:pPr>
  </w:style>
  <w:style w:type="paragraph" w:styleId="Quote">
    <w:name w:val="Quote"/>
    <w:basedOn w:val="Normal"/>
    <w:next w:val="Normal"/>
    <w:link w:val="QuoteChar"/>
    <w:uiPriority w:val="29"/>
    <w:qFormat/>
    <w:rsid w:val="00BE5C90"/>
    <w:rPr>
      <w:i/>
    </w:rPr>
  </w:style>
  <w:style w:type="character" w:customStyle="1" w:styleId="QuoteChar">
    <w:name w:val="Quote Char"/>
    <w:basedOn w:val="DefaultParagraphFont"/>
    <w:link w:val="Quote"/>
    <w:uiPriority w:val="29"/>
    <w:rsid w:val="00BE5C90"/>
    <w:rPr>
      <w:i/>
      <w:sz w:val="24"/>
      <w:szCs w:val="24"/>
    </w:rPr>
  </w:style>
  <w:style w:type="paragraph" w:styleId="IntenseQuote">
    <w:name w:val="Intense Quote"/>
    <w:basedOn w:val="Normal"/>
    <w:next w:val="Normal"/>
    <w:link w:val="IntenseQuoteChar"/>
    <w:uiPriority w:val="30"/>
    <w:qFormat/>
    <w:rsid w:val="00BE5C90"/>
    <w:pPr>
      <w:ind w:left="720" w:right="720"/>
    </w:pPr>
    <w:rPr>
      <w:b/>
      <w:i/>
      <w:szCs w:val="22"/>
    </w:rPr>
  </w:style>
  <w:style w:type="character" w:customStyle="1" w:styleId="IntenseQuoteChar">
    <w:name w:val="Intense Quote Char"/>
    <w:basedOn w:val="DefaultParagraphFont"/>
    <w:link w:val="IntenseQuote"/>
    <w:uiPriority w:val="30"/>
    <w:rsid w:val="00BE5C90"/>
    <w:rPr>
      <w:b/>
      <w:i/>
      <w:sz w:val="24"/>
    </w:rPr>
  </w:style>
  <w:style w:type="character" w:styleId="SubtleEmphasis">
    <w:name w:val="Subtle Emphasis"/>
    <w:uiPriority w:val="19"/>
    <w:qFormat/>
    <w:rsid w:val="00BE5C90"/>
    <w:rPr>
      <w:i/>
      <w:color w:val="5A5A5A" w:themeColor="text1" w:themeTint="A5"/>
    </w:rPr>
  </w:style>
  <w:style w:type="character" w:styleId="IntenseEmphasis">
    <w:name w:val="Intense Emphasis"/>
    <w:basedOn w:val="DefaultParagraphFont"/>
    <w:uiPriority w:val="21"/>
    <w:qFormat/>
    <w:rsid w:val="00BE5C90"/>
    <w:rPr>
      <w:b/>
      <w:i/>
      <w:sz w:val="24"/>
      <w:szCs w:val="24"/>
      <w:u w:val="single"/>
    </w:rPr>
  </w:style>
  <w:style w:type="character" w:styleId="SubtleReference">
    <w:name w:val="Subtle Reference"/>
    <w:basedOn w:val="DefaultParagraphFont"/>
    <w:uiPriority w:val="31"/>
    <w:qFormat/>
    <w:rsid w:val="00BE5C90"/>
    <w:rPr>
      <w:sz w:val="24"/>
      <w:szCs w:val="24"/>
      <w:u w:val="single"/>
    </w:rPr>
  </w:style>
  <w:style w:type="character" w:styleId="IntenseReference">
    <w:name w:val="Intense Reference"/>
    <w:basedOn w:val="DefaultParagraphFont"/>
    <w:uiPriority w:val="32"/>
    <w:qFormat/>
    <w:rsid w:val="00BE5C90"/>
    <w:rPr>
      <w:b/>
      <w:sz w:val="24"/>
      <w:u w:val="single"/>
    </w:rPr>
  </w:style>
  <w:style w:type="character" w:styleId="BookTitle">
    <w:name w:val="Book Title"/>
    <w:basedOn w:val="DefaultParagraphFont"/>
    <w:uiPriority w:val="33"/>
    <w:qFormat/>
    <w:rsid w:val="00BE5C9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E5C90"/>
    <w:pPr>
      <w:outlineLvl w:val="9"/>
    </w:pPr>
    <w:rPr>
      <w:rFonts w:cs="Times New Roman"/>
    </w:rPr>
  </w:style>
  <w:style w:type="character" w:styleId="PlaceholderText">
    <w:name w:val="Placeholder Text"/>
    <w:basedOn w:val="DefaultParagraphFont"/>
    <w:uiPriority w:val="99"/>
    <w:semiHidden/>
    <w:rsid w:val="00AC23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1605">
      <w:bodyDiv w:val="1"/>
      <w:marLeft w:val="0"/>
      <w:marRight w:val="0"/>
      <w:marTop w:val="0"/>
      <w:marBottom w:val="0"/>
      <w:divBdr>
        <w:top w:val="none" w:sz="0" w:space="0" w:color="auto"/>
        <w:left w:val="none" w:sz="0" w:space="0" w:color="auto"/>
        <w:bottom w:val="none" w:sz="0" w:space="0" w:color="auto"/>
        <w:right w:val="none" w:sz="0" w:space="0" w:color="auto"/>
      </w:divBdr>
    </w:div>
    <w:div w:id="196743483">
      <w:bodyDiv w:val="1"/>
      <w:marLeft w:val="0"/>
      <w:marRight w:val="0"/>
      <w:marTop w:val="0"/>
      <w:marBottom w:val="0"/>
      <w:divBdr>
        <w:top w:val="none" w:sz="0" w:space="0" w:color="auto"/>
        <w:left w:val="none" w:sz="0" w:space="0" w:color="auto"/>
        <w:bottom w:val="none" w:sz="0" w:space="0" w:color="auto"/>
        <w:right w:val="none" w:sz="0" w:space="0" w:color="auto"/>
      </w:divBdr>
    </w:div>
    <w:div w:id="223373230">
      <w:bodyDiv w:val="1"/>
      <w:marLeft w:val="0"/>
      <w:marRight w:val="0"/>
      <w:marTop w:val="0"/>
      <w:marBottom w:val="0"/>
      <w:divBdr>
        <w:top w:val="none" w:sz="0" w:space="0" w:color="auto"/>
        <w:left w:val="none" w:sz="0" w:space="0" w:color="auto"/>
        <w:bottom w:val="none" w:sz="0" w:space="0" w:color="auto"/>
        <w:right w:val="none" w:sz="0" w:space="0" w:color="auto"/>
      </w:divBdr>
      <w:divsChild>
        <w:div w:id="559708265">
          <w:marLeft w:val="0"/>
          <w:marRight w:val="0"/>
          <w:marTop w:val="0"/>
          <w:marBottom w:val="0"/>
          <w:divBdr>
            <w:top w:val="none" w:sz="0" w:space="0" w:color="auto"/>
            <w:left w:val="none" w:sz="0" w:space="0" w:color="auto"/>
            <w:bottom w:val="none" w:sz="0" w:space="0" w:color="auto"/>
            <w:right w:val="none" w:sz="0" w:space="0" w:color="auto"/>
          </w:divBdr>
        </w:div>
      </w:divsChild>
    </w:div>
    <w:div w:id="268512218">
      <w:bodyDiv w:val="1"/>
      <w:marLeft w:val="0"/>
      <w:marRight w:val="0"/>
      <w:marTop w:val="0"/>
      <w:marBottom w:val="0"/>
      <w:divBdr>
        <w:top w:val="none" w:sz="0" w:space="0" w:color="auto"/>
        <w:left w:val="none" w:sz="0" w:space="0" w:color="auto"/>
        <w:bottom w:val="none" w:sz="0" w:space="0" w:color="auto"/>
        <w:right w:val="none" w:sz="0" w:space="0" w:color="auto"/>
      </w:divBdr>
    </w:div>
    <w:div w:id="298416551">
      <w:bodyDiv w:val="1"/>
      <w:marLeft w:val="0"/>
      <w:marRight w:val="0"/>
      <w:marTop w:val="0"/>
      <w:marBottom w:val="0"/>
      <w:divBdr>
        <w:top w:val="none" w:sz="0" w:space="0" w:color="auto"/>
        <w:left w:val="none" w:sz="0" w:space="0" w:color="auto"/>
        <w:bottom w:val="none" w:sz="0" w:space="0" w:color="auto"/>
        <w:right w:val="none" w:sz="0" w:space="0" w:color="auto"/>
      </w:divBdr>
    </w:div>
    <w:div w:id="494415594">
      <w:bodyDiv w:val="1"/>
      <w:marLeft w:val="0"/>
      <w:marRight w:val="0"/>
      <w:marTop w:val="0"/>
      <w:marBottom w:val="0"/>
      <w:divBdr>
        <w:top w:val="none" w:sz="0" w:space="0" w:color="auto"/>
        <w:left w:val="none" w:sz="0" w:space="0" w:color="auto"/>
        <w:bottom w:val="none" w:sz="0" w:space="0" w:color="auto"/>
        <w:right w:val="none" w:sz="0" w:space="0" w:color="auto"/>
      </w:divBdr>
      <w:divsChild>
        <w:div w:id="1785923781">
          <w:marLeft w:val="0"/>
          <w:marRight w:val="0"/>
          <w:marTop w:val="0"/>
          <w:marBottom w:val="210"/>
          <w:divBdr>
            <w:top w:val="none" w:sz="0" w:space="0" w:color="auto"/>
            <w:left w:val="none" w:sz="0" w:space="0" w:color="auto"/>
            <w:bottom w:val="none" w:sz="0" w:space="0" w:color="auto"/>
            <w:right w:val="none" w:sz="0" w:space="0" w:color="auto"/>
          </w:divBdr>
          <w:divsChild>
            <w:div w:id="1663729562">
              <w:marLeft w:val="0"/>
              <w:marRight w:val="0"/>
              <w:marTop w:val="0"/>
              <w:marBottom w:val="0"/>
              <w:divBdr>
                <w:top w:val="none" w:sz="0" w:space="0" w:color="auto"/>
                <w:left w:val="none" w:sz="0" w:space="0" w:color="auto"/>
                <w:bottom w:val="none" w:sz="0" w:space="0" w:color="auto"/>
                <w:right w:val="none" w:sz="0" w:space="0" w:color="auto"/>
              </w:divBdr>
            </w:div>
          </w:divsChild>
        </w:div>
        <w:div w:id="557281836">
          <w:marLeft w:val="0"/>
          <w:marRight w:val="0"/>
          <w:marTop w:val="0"/>
          <w:marBottom w:val="0"/>
          <w:divBdr>
            <w:top w:val="none" w:sz="0" w:space="0" w:color="auto"/>
            <w:left w:val="none" w:sz="0" w:space="0" w:color="auto"/>
            <w:bottom w:val="none" w:sz="0" w:space="0" w:color="auto"/>
            <w:right w:val="none" w:sz="0" w:space="0" w:color="auto"/>
          </w:divBdr>
          <w:divsChild>
            <w:div w:id="20347634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06676928">
      <w:bodyDiv w:val="1"/>
      <w:marLeft w:val="0"/>
      <w:marRight w:val="0"/>
      <w:marTop w:val="0"/>
      <w:marBottom w:val="0"/>
      <w:divBdr>
        <w:top w:val="none" w:sz="0" w:space="0" w:color="auto"/>
        <w:left w:val="none" w:sz="0" w:space="0" w:color="auto"/>
        <w:bottom w:val="none" w:sz="0" w:space="0" w:color="auto"/>
        <w:right w:val="none" w:sz="0" w:space="0" w:color="auto"/>
      </w:divBdr>
    </w:div>
    <w:div w:id="513306425">
      <w:bodyDiv w:val="1"/>
      <w:marLeft w:val="0"/>
      <w:marRight w:val="0"/>
      <w:marTop w:val="0"/>
      <w:marBottom w:val="0"/>
      <w:divBdr>
        <w:top w:val="none" w:sz="0" w:space="0" w:color="auto"/>
        <w:left w:val="none" w:sz="0" w:space="0" w:color="auto"/>
        <w:bottom w:val="none" w:sz="0" w:space="0" w:color="auto"/>
        <w:right w:val="none" w:sz="0" w:space="0" w:color="auto"/>
      </w:divBdr>
    </w:div>
    <w:div w:id="528759087">
      <w:bodyDiv w:val="1"/>
      <w:marLeft w:val="0"/>
      <w:marRight w:val="0"/>
      <w:marTop w:val="0"/>
      <w:marBottom w:val="0"/>
      <w:divBdr>
        <w:top w:val="none" w:sz="0" w:space="0" w:color="auto"/>
        <w:left w:val="none" w:sz="0" w:space="0" w:color="auto"/>
        <w:bottom w:val="none" w:sz="0" w:space="0" w:color="auto"/>
        <w:right w:val="none" w:sz="0" w:space="0" w:color="auto"/>
      </w:divBdr>
    </w:div>
    <w:div w:id="539635669">
      <w:bodyDiv w:val="1"/>
      <w:marLeft w:val="0"/>
      <w:marRight w:val="0"/>
      <w:marTop w:val="0"/>
      <w:marBottom w:val="0"/>
      <w:divBdr>
        <w:top w:val="none" w:sz="0" w:space="0" w:color="auto"/>
        <w:left w:val="none" w:sz="0" w:space="0" w:color="auto"/>
        <w:bottom w:val="none" w:sz="0" w:space="0" w:color="auto"/>
        <w:right w:val="none" w:sz="0" w:space="0" w:color="auto"/>
      </w:divBdr>
    </w:div>
    <w:div w:id="559487127">
      <w:bodyDiv w:val="1"/>
      <w:marLeft w:val="0"/>
      <w:marRight w:val="0"/>
      <w:marTop w:val="0"/>
      <w:marBottom w:val="0"/>
      <w:divBdr>
        <w:top w:val="none" w:sz="0" w:space="0" w:color="auto"/>
        <w:left w:val="none" w:sz="0" w:space="0" w:color="auto"/>
        <w:bottom w:val="none" w:sz="0" w:space="0" w:color="auto"/>
        <w:right w:val="none" w:sz="0" w:space="0" w:color="auto"/>
      </w:divBdr>
    </w:div>
    <w:div w:id="651056737">
      <w:bodyDiv w:val="1"/>
      <w:marLeft w:val="0"/>
      <w:marRight w:val="0"/>
      <w:marTop w:val="0"/>
      <w:marBottom w:val="0"/>
      <w:divBdr>
        <w:top w:val="none" w:sz="0" w:space="0" w:color="auto"/>
        <w:left w:val="none" w:sz="0" w:space="0" w:color="auto"/>
        <w:bottom w:val="none" w:sz="0" w:space="0" w:color="auto"/>
        <w:right w:val="none" w:sz="0" w:space="0" w:color="auto"/>
      </w:divBdr>
      <w:divsChild>
        <w:div w:id="2112625758">
          <w:marLeft w:val="0"/>
          <w:marRight w:val="0"/>
          <w:marTop w:val="0"/>
          <w:marBottom w:val="0"/>
          <w:divBdr>
            <w:top w:val="none" w:sz="0" w:space="0" w:color="auto"/>
            <w:left w:val="none" w:sz="0" w:space="0" w:color="auto"/>
            <w:bottom w:val="none" w:sz="0" w:space="0" w:color="auto"/>
            <w:right w:val="none" w:sz="0" w:space="0" w:color="auto"/>
          </w:divBdr>
        </w:div>
        <w:div w:id="1284456751">
          <w:marLeft w:val="0"/>
          <w:marRight w:val="0"/>
          <w:marTop w:val="0"/>
          <w:marBottom w:val="0"/>
          <w:divBdr>
            <w:top w:val="none" w:sz="0" w:space="0" w:color="auto"/>
            <w:left w:val="none" w:sz="0" w:space="0" w:color="auto"/>
            <w:bottom w:val="none" w:sz="0" w:space="0" w:color="auto"/>
            <w:right w:val="none" w:sz="0" w:space="0" w:color="auto"/>
          </w:divBdr>
        </w:div>
        <w:div w:id="1341659365">
          <w:marLeft w:val="0"/>
          <w:marRight w:val="0"/>
          <w:marTop w:val="0"/>
          <w:marBottom w:val="0"/>
          <w:divBdr>
            <w:top w:val="none" w:sz="0" w:space="0" w:color="auto"/>
            <w:left w:val="none" w:sz="0" w:space="0" w:color="auto"/>
            <w:bottom w:val="none" w:sz="0" w:space="0" w:color="auto"/>
            <w:right w:val="none" w:sz="0" w:space="0" w:color="auto"/>
          </w:divBdr>
        </w:div>
      </w:divsChild>
    </w:div>
    <w:div w:id="748767251">
      <w:bodyDiv w:val="1"/>
      <w:marLeft w:val="0"/>
      <w:marRight w:val="0"/>
      <w:marTop w:val="0"/>
      <w:marBottom w:val="0"/>
      <w:divBdr>
        <w:top w:val="none" w:sz="0" w:space="0" w:color="auto"/>
        <w:left w:val="none" w:sz="0" w:space="0" w:color="auto"/>
        <w:bottom w:val="none" w:sz="0" w:space="0" w:color="auto"/>
        <w:right w:val="none" w:sz="0" w:space="0" w:color="auto"/>
      </w:divBdr>
      <w:divsChild>
        <w:div w:id="949514254">
          <w:marLeft w:val="0"/>
          <w:marRight w:val="0"/>
          <w:marTop w:val="0"/>
          <w:marBottom w:val="0"/>
          <w:divBdr>
            <w:top w:val="none" w:sz="0" w:space="0" w:color="auto"/>
            <w:left w:val="none" w:sz="0" w:space="0" w:color="auto"/>
            <w:bottom w:val="none" w:sz="0" w:space="0" w:color="auto"/>
            <w:right w:val="none" w:sz="0" w:space="0" w:color="auto"/>
          </w:divBdr>
          <w:divsChild>
            <w:div w:id="891968383">
              <w:marLeft w:val="0"/>
              <w:marRight w:val="0"/>
              <w:marTop w:val="0"/>
              <w:marBottom w:val="0"/>
              <w:divBdr>
                <w:top w:val="none" w:sz="0" w:space="0" w:color="auto"/>
                <w:left w:val="none" w:sz="0" w:space="0" w:color="auto"/>
                <w:bottom w:val="none" w:sz="0" w:space="0" w:color="auto"/>
                <w:right w:val="none" w:sz="0" w:space="0" w:color="auto"/>
              </w:divBdr>
              <w:divsChild>
                <w:div w:id="14511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3189">
          <w:marLeft w:val="0"/>
          <w:marRight w:val="0"/>
          <w:marTop w:val="0"/>
          <w:marBottom w:val="0"/>
          <w:divBdr>
            <w:top w:val="none" w:sz="0" w:space="0" w:color="auto"/>
            <w:left w:val="none" w:sz="0" w:space="0" w:color="auto"/>
            <w:bottom w:val="none" w:sz="0" w:space="0" w:color="auto"/>
            <w:right w:val="none" w:sz="0" w:space="0" w:color="auto"/>
          </w:divBdr>
          <w:divsChild>
            <w:div w:id="1306353742">
              <w:marLeft w:val="0"/>
              <w:marRight w:val="0"/>
              <w:marTop w:val="0"/>
              <w:marBottom w:val="0"/>
              <w:divBdr>
                <w:top w:val="none" w:sz="0" w:space="0" w:color="auto"/>
                <w:left w:val="none" w:sz="0" w:space="0" w:color="auto"/>
                <w:bottom w:val="none" w:sz="0" w:space="0" w:color="auto"/>
                <w:right w:val="none" w:sz="0" w:space="0" w:color="auto"/>
              </w:divBdr>
            </w:div>
          </w:divsChild>
        </w:div>
        <w:div w:id="1157454542">
          <w:marLeft w:val="0"/>
          <w:marRight w:val="0"/>
          <w:marTop w:val="0"/>
          <w:marBottom w:val="0"/>
          <w:divBdr>
            <w:top w:val="none" w:sz="0" w:space="0" w:color="auto"/>
            <w:left w:val="none" w:sz="0" w:space="0" w:color="auto"/>
            <w:bottom w:val="none" w:sz="0" w:space="0" w:color="auto"/>
            <w:right w:val="none" w:sz="0" w:space="0" w:color="auto"/>
          </w:divBdr>
          <w:divsChild>
            <w:div w:id="999965072">
              <w:marLeft w:val="0"/>
              <w:marRight w:val="0"/>
              <w:marTop w:val="0"/>
              <w:marBottom w:val="0"/>
              <w:divBdr>
                <w:top w:val="none" w:sz="0" w:space="0" w:color="auto"/>
                <w:left w:val="none" w:sz="0" w:space="0" w:color="auto"/>
                <w:bottom w:val="none" w:sz="0" w:space="0" w:color="auto"/>
                <w:right w:val="none" w:sz="0" w:space="0" w:color="auto"/>
              </w:divBdr>
              <w:divsChild>
                <w:div w:id="138036324">
                  <w:marLeft w:val="0"/>
                  <w:marRight w:val="0"/>
                  <w:marTop w:val="0"/>
                  <w:marBottom w:val="0"/>
                  <w:divBdr>
                    <w:top w:val="none" w:sz="0" w:space="0" w:color="auto"/>
                    <w:left w:val="none" w:sz="0" w:space="0" w:color="auto"/>
                    <w:bottom w:val="none" w:sz="0" w:space="0" w:color="auto"/>
                    <w:right w:val="none" w:sz="0" w:space="0" w:color="auto"/>
                  </w:divBdr>
                  <w:divsChild>
                    <w:div w:id="1539975501">
                      <w:marLeft w:val="0"/>
                      <w:marRight w:val="0"/>
                      <w:marTop w:val="0"/>
                      <w:marBottom w:val="0"/>
                      <w:divBdr>
                        <w:top w:val="none" w:sz="0" w:space="0" w:color="auto"/>
                        <w:left w:val="none" w:sz="0" w:space="0" w:color="auto"/>
                        <w:bottom w:val="none" w:sz="0" w:space="0" w:color="auto"/>
                        <w:right w:val="none" w:sz="0" w:space="0" w:color="auto"/>
                      </w:divBdr>
                      <w:divsChild>
                        <w:div w:id="200284024">
                          <w:marLeft w:val="0"/>
                          <w:marRight w:val="0"/>
                          <w:marTop w:val="0"/>
                          <w:marBottom w:val="0"/>
                          <w:divBdr>
                            <w:top w:val="none" w:sz="0" w:space="0" w:color="auto"/>
                            <w:left w:val="none" w:sz="0" w:space="0" w:color="auto"/>
                            <w:bottom w:val="none" w:sz="0" w:space="0" w:color="auto"/>
                            <w:right w:val="none" w:sz="0" w:space="0" w:color="auto"/>
                          </w:divBdr>
                          <w:divsChild>
                            <w:div w:id="1778868471">
                              <w:marLeft w:val="0"/>
                              <w:marRight w:val="0"/>
                              <w:marTop w:val="0"/>
                              <w:marBottom w:val="0"/>
                              <w:divBdr>
                                <w:top w:val="none" w:sz="0" w:space="0" w:color="auto"/>
                                <w:left w:val="none" w:sz="0" w:space="0" w:color="auto"/>
                                <w:bottom w:val="none" w:sz="0" w:space="0" w:color="auto"/>
                                <w:right w:val="none" w:sz="0" w:space="0" w:color="auto"/>
                              </w:divBdr>
                              <w:divsChild>
                                <w:div w:id="1086271084">
                                  <w:marLeft w:val="0"/>
                                  <w:marRight w:val="0"/>
                                  <w:marTop w:val="0"/>
                                  <w:marBottom w:val="0"/>
                                  <w:divBdr>
                                    <w:top w:val="none" w:sz="0" w:space="0" w:color="auto"/>
                                    <w:left w:val="none" w:sz="0" w:space="0" w:color="auto"/>
                                    <w:bottom w:val="none" w:sz="0" w:space="0" w:color="auto"/>
                                    <w:right w:val="none" w:sz="0" w:space="0" w:color="auto"/>
                                  </w:divBdr>
                                  <w:divsChild>
                                    <w:div w:id="704864808">
                                      <w:marLeft w:val="0"/>
                                      <w:marRight w:val="0"/>
                                      <w:marTop w:val="0"/>
                                      <w:marBottom w:val="0"/>
                                      <w:divBdr>
                                        <w:top w:val="none" w:sz="0" w:space="0" w:color="auto"/>
                                        <w:left w:val="none" w:sz="0" w:space="0" w:color="auto"/>
                                        <w:bottom w:val="none" w:sz="0" w:space="0" w:color="auto"/>
                                        <w:right w:val="none" w:sz="0" w:space="0" w:color="auto"/>
                                      </w:divBdr>
                                      <w:divsChild>
                                        <w:div w:id="125705332">
                                          <w:marLeft w:val="0"/>
                                          <w:marRight w:val="0"/>
                                          <w:marTop w:val="0"/>
                                          <w:marBottom w:val="0"/>
                                          <w:divBdr>
                                            <w:top w:val="none" w:sz="0" w:space="0" w:color="auto"/>
                                            <w:left w:val="none" w:sz="0" w:space="0" w:color="auto"/>
                                            <w:bottom w:val="none" w:sz="0" w:space="0" w:color="auto"/>
                                            <w:right w:val="none" w:sz="0" w:space="0" w:color="auto"/>
                                          </w:divBdr>
                                          <w:divsChild>
                                            <w:div w:id="1510101278">
                                              <w:marLeft w:val="0"/>
                                              <w:marRight w:val="0"/>
                                              <w:marTop w:val="0"/>
                                              <w:marBottom w:val="0"/>
                                              <w:divBdr>
                                                <w:top w:val="none" w:sz="0" w:space="0" w:color="auto"/>
                                                <w:left w:val="none" w:sz="0" w:space="0" w:color="auto"/>
                                                <w:bottom w:val="none" w:sz="0" w:space="0" w:color="auto"/>
                                                <w:right w:val="none" w:sz="0" w:space="0" w:color="auto"/>
                                              </w:divBdr>
                                              <w:divsChild>
                                                <w:div w:id="1968462493">
                                                  <w:marLeft w:val="0"/>
                                                  <w:marRight w:val="0"/>
                                                  <w:marTop w:val="0"/>
                                                  <w:marBottom w:val="0"/>
                                                  <w:divBdr>
                                                    <w:top w:val="none" w:sz="0" w:space="0" w:color="auto"/>
                                                    <w:left w:val="none" w:sz="0" w:space="0" w:color="auto"/>
                                                    <w:bottom w:val="none" w:sz="0" w:space="0" w:color="auto"/>
                                                    <w:right w:val="none" w:sz="0" w:space="0" w:color="auto"/>
                                                  </w:divBdr>
                                                  <w:divsChild>
                                                    <w:div w:id="1507013709">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 w:id="858619119">
      <w:bodyDiv w:val="1"/>
      <w:marLeft w:val="0"/>
      <w:marRight w:val="0"/>
      <w:marTop w:val="0"/>
      <w:marBottom w:val="0"/>
      <w:divBdr>
        <w:top w:val="none" w:sz="0" w:space="0" w:color="auto"/>
        <w:left w:val="none" w:sz="0" w:space="0" w:color="auto"/>
        <w:bottom w:val="none" w:sz="0" w:space="0" w:color="auto"/>
        <w:right w:val="none" w:sz="0" w:space="0" w:color="auto"/>
      </w:divBdr>
      <w:divsChild>
        <w:div w:id="2088915317">
          <w:marLeft w:val="0"/>
          <w:marRight w:val="0"/>
          <w:marTop w:val="225"/>
          <w:marBottom w:val="315"/>
          <w:divBdr>
            <w:top w:val="single" w:sz="6" w:space="0" w:color="D7D7D7"/>
            <w:left w:val="none" w:sz="0" w:space="0" w:color="auto"/>
            <w:bottom w:val="single" w:sz="6" w:space="0" w:color="D7D7D7"/>
            <w:right w:val="none" w:sz="0" w:space="0" w:color="auto"/>
          </w:divBdr>
          <w:divsChild>
            <w:div w:id="674379161">
              <w:marLeft w:val="0"/>
              <w:marRight w:val="0"/>
              <w:marTop w:val="0"/>
              <w:marBottom w:val="0"/>
              <w:divBdr>
                <w:top w:val="none" w:sz="0" w:space="0" w:color="auto"/>
                <w:left w:val="none" w:sz="0" w:space="0" w:color="auto"/>
                <w:bottom w:val="none" w:sz="0" w:space="0" w:color="auto"/>
                <w:right w:val="none" w:sz="0" w:space="0" w:color="auto"/>
              </w:divBdr>
            </w:div>
            <w:div w:id="1141850894">
              <w:marLeft w:val="0"/>
              <w:marRight w:val="0"/>
              <w:marTop w:val="0"/>
              <w:marBottom w:val="0"/>
              <w:divBdr>
                <w:top w:val="none" w:sz="0" w:space="0" w:color="auto"/>
                <w:left w:val="none" w:sz="0" w:space="0" w:color="auto"/>
                <w:bottom w:val="none" w:sz="0" w:space="0" w:color="auto"/>
                <w:right w:val="none" w:sz="0" w:space="0" w:color="auto"/>
              </w:divBdr>
            </w:div>
          </w:divsChild>
        </w:div>
        <w:div w:id="1659379512">
          <w:marLeft w:val="0"/>
          <w:marRight w:val="0"/>
          <w:marTop w:val="0"/>
          <w:marBottom w:val="0"/>
          <w:divBdr>
            <w:top w:val="none" w:sz="0" w:space="0" w:color="auto"/>
            <w:left w:val="none" w:sz="0" w:space="0" w:color="auto"/>
            <w:bottom w:val="none" w:sz="0" w:space="0" w:color="auto"/>
            <w:right w:val="none" w:sz="0" w:space="0" w:color="auto"/>
          </w:divBdr>
        </w:div>
      </w:divsChild>
    </w:div>
    <w:div w:id="896667061">
      <w:bodyDiv w:val="1"/>
      <w:marLeft w:val="0"/>
      <w:marRight w:val="0"/>
      <w:marTop w:val="0"/>
      <w:marBottom w:val="0"/>
      <w:divBdr>
        <w:top w:val="dotted" w:sz="6" w:space="0" w:color="008000"/>
        <w:left w:val="dotted" w:sz="6" w:space="0" w:color="008000"/>
        <w:bottom w:val="dotted" w:sz="6" w:space="0" w:color="008000"/>
        <w:right w:val="dotted" w:sz="6" w:space="0" w:color="008000"/>
      </w:divBdr>
      <w:divsChild>
        <w:div w:id="553395034">
          <w:marLeft w:val="0"/>
          <w:marRight w:val="0"/>
          <w:marTop w:val="100"/>
          <w:marBottom w:val="100"/>
          <w:divBdr>
            <w:top w:val="none" w:sz="0" w:space="0" w:color="auto"/>
            <w:left w:val="single" w:sz="6" w:space="0" w:color="CCCCCC"/>
            <w:bottom w:val="none" w:sz="0" w:space="0" w:color="auto"/>
            <w:right w:val="single" w:sz="6" w:space="0" w:color="CCCCCC"/>
          </w:divBdr>
          <w:divsChild>
            <w:div w:id="1838301640">
              <w:marLeft w:val="0"/>
              <w:marRight w:val="0"/>
              <w:marTop w:val="0"/>
              <w:marBottom w:val="0"/>
              <w:divBdr>
                <w:top w:val="none" w:sz="0" w:space="0" w:color="auto"/>
                <w:left w:val="none" w:sz="0" w:space="0" w:color="auto"/>
                <w:bottom w:val="none" w:sz="0" w:space="0" w:color="auto"/>
                <w:right w:val="none" w:sz="0" w:space="0" w:color="auto"/>
              </w:divBdr>
              <w:divsChild>
                <w:div w:id="1079641902">
                  <w:marLeft w:val="225"/>
                  <w:marRight w:val="225"/>
                  <w:marTop w:val="0"/>
                  <w:marBottom w:val="0"/>
                  <w:divBdr>
                    <w:top w:val="none" w:sz="0" w:space="0" w:color="auto"/>
                    <w:left w:val="none" w:sz="0" w:space="0" w:color="auto"/>
                    <w:bottom w:val="none" w:sz="0" w:space="0" w:color="auto"/>
                    <w:right w:val="none" w:sz="0" w:space="0" w:color="auto"/>
                  </w:divBdr>
                  <w:divsChild>
                    <w:div w:id="1595435106">
                      <w:marLeft w:val="0"/>
                      <w:marRight w:val="0"/>
                      <w:marTop w:val="0"/>
                      <w:marBottom w:val="0"/>
                      <w:divBdr>
                        <w:top w:val="none" w:sz="0" w:space="0" w:color="auto"/>
                        <w:left w:val="none" w:sz="0" w:space="0" w:color="auto"/>
                        <w:bottom w:val="none" w:sz="0" w:space="0" w:color="auto"/>
                        <w:right w:val="none" w:sz="0" w:space="0" w:color="auto"/>
                      </w:divBdr>
                    </w:div>
                    <w:div w:id="815418129">
                      <w:marLeft w:val="0"/>
                      <w:marRight w:val="0"/>
                      <w:marTop w:val="0"/>
                      <w:marBottom w:val="0"/>
                      <w:divBdr>
                        <w:top w:val="none" w:sz="0" w:space="0" w:color="auto"/>
                        <w:left w:val="none" w:sz="0" w:space="0" w:color="auto"/>
                        <w:bottom w:val="none" w:sz="0" w:space="0" w:color="auto"/>
                        <w:right w:val="none" w:sz="0" w:space="0" w:color="auto"/>
                      </w:divBdr>
                    </w:div>
                    <w:div w:id="15857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09984">
      <w:bodyDiv w:val="1"/>
      <w:marLeft w:val="0"/>
      <w:marRight w:val="0"/>
      <w:marTop w:val="0"/>
      <w:marBottom w:val="0"/>
      <w:divBdr>
        <w:top w:val="none" w:sz="0" w:space="0" w:color="auto"/>
        <w:left w:val="none" w:sz="0" w:space="0" w:color="auto"/>
        <w:bottom w:val="none" w:sz="0" w:space="0" w:color="auto"/>
        <w:right w:val="none" w:sz="0" w:space="0" w:color="auto"/>
      </w:divBdr>
    </w:div>
    <w:div w:id="1077558211">
      <w:bodyDiv w:val="1"/>
      <w:marLeft w:val="0"/>
      <w:marRight w:val="0"/>
      <w:marTop w:val="0"/>
      <w:marBottom w:val="0"/>
      <w:divBdr>
        <w:top w:val="none" w:sz="0" w:space="0" w:color="auto"/>
        <w:left w:val="none" w:sz="0" w:space="0" w:color="auto"/>
        <w:bottom w:val="none" w:sz="0" w:space="0" w:color="auto"/>
        <w:right w:val="none" w:sz="0" w:space="0" w:color="auto"/>
      </w:divBdr>
    </w:div>
    <w:div w:id="1103376092">
      <w:bodyDiv w:val="1"/>
      <w:marLeft w:val="0"/>
      <w:marRight w:val="0"/>
      <w:marTop w:val="0"/>
      <w:marBottom w:val="0"/>
      <w:divBdr>
        <w:top w:val="none" w:sz="0" w:space="0" w:color="auto"/>
        <w:left w:val="none" w:sz="0" w:space="0" w:color="auto"/>
        <w:bottom w:val="none" w:sz="0" w:space="0" w:color="auto"/>
        <w:right w:val="none" w:sz="0" w:space="0" w:color="auto"/>
      </w:divBdr>
      <w:divsChild>
        <w:div w:id="1161699443">
          <w:marLeft w:val="0"/>
          <w:marRight w:val="0"/>
          <w:marTop w:val="150"/>
          <w:marBottom w:val="0"/>
          <w:divBdr>
            <w:top w:val="none" w:sz="0" w:space="0" w:color="auto"/>
            <w:left w:val="none" w:sz="0" w:space="0" w:color="auto"/>
            <w:bottom w:val="none" w:sz="0" w:space="0" w:color="auto"/>
            <w:right w:val="none" w:sz="0" w:space="0" w:color="auto"/>
          </w:divBdr>
        </w:div>
        <w:div w:id="169102863">
          <w:marLeft w:val="0"/>
          <w:marRight w:val="0"/>
          <w:marTop w:val="0"/>
          <w:marBottom w:val="150"/>
          <w:divBdr>
            <w:top w:val="none" w:sz="0" w:space="0" w:color="auto"/>
            <w:left w:val="none" w:sz="0" w:space="0" w:color="auto"/>
            <w:bottom w:val="none" w:sz="0" w:space="0" w:color="auto"/>
            <w:right w:val="none" w:sz="0" w:space="0" w:color="auto"/>
          </w:divBdr>
        </w:div>
      </w:divsChild>
    </w:div>
    <w:div w:id="1114208177">
      <w:bodyDiv w:val="1"/>
      <w:marLeft w:val="0"/>
      <w:marRight w:val="0"/>
      <w:marTop w:val="0"/>
      <w:marBottom w:val="0"/>
      <w:divBdr>
        <w:top w:val="none" w:sz="0" w:space="0" w:color="auto"/>
        <w:left w:val="none" w:sz="0" w:space="0" w:color="auto"/>
        <w:bottom w:val="none" w:sz="0" w:space="0" w:color="auto"/>
        <w:right w:val="none" w:sz="0" w:space="0" w:color="auto"/>
      </w:divBdr>
    </w:div>
    <w:div w:id="1167280251">
      <w:bodyDiv w:val="1"/>
      <w:marLeft w:val="0"/>
      <w:marRight w:val="0"/>
      <w:marTop w:val="0"/>
      <w:marBottom w:val="0"/>
      <w:divBdr>
        <w:top w:val="none" w:sz="0" w:space="0" w:color="auto"/>
        <w:left w:val="none" w:sz="0" w:space="0" w:color="auto"/>
        <w:bottom w:val="none" w:sz="0" w:space="0" w:color="auto"/>
        <w:right w:val="none" w:sz="0" w:space="0" w:color="auto"/>
      </w:divBdr>
    </w:div>
    <w:div w:id="1241521609">
      <w:bodyDiv w:val="1"/>
      <w:marLeft w:val="0"/>
      <w:marRight w:val="0"/>
      <w:marTop w:val="0"/>
      <w:marBottom w:val="0"/>
      <w:divBdr>
        <w:top w:val="none" w:sz="0" w:space="0" w:color="auto"/>
        <w:left w:val="none" w:sz="0" w:space="0" w:color="auto"/>
        <w:bottom w:val="none" w:sz="0" w:space="0" w:color="auto"/>
        <w:right w:val="none" w:sz="0" w:space="0" w:color="auto"/>
      </w:divBdr>
      <w:divsChild>
        <w:div w:id="1459761140">
          <w:marLeft w:val="0"/>
          <w:marRight w:val="0"/>
          <w:marTop w:val="150"/>
          <w:marBottom w:val="0"/>
          <w:divBdr>
            <w:top w:val="none" w:sz="0" w:space="0" w:color="auto"/>
            <w:left w:val="none" w:sz="0" w:space="0" w:color="auto"/>
            <w:bottom w:val="none" w:sz="0" w:space="0" w:color="auto"/>
            <w:right w:val="none" w:sz="0" w:space="0" w:color="auto"/>
          </w:divBdr>
        </w:div>
        <w:div w:id="336613350">
          <w:marLeft w:val="0"/>
          <w:marRight w:val="0"/>
          <w:marTop w:val="0"/>
          <w:marBottom w:val="150"/>
          <w:divBdr>
            <w:top w:val="none" w:sz="0" w:space="0" w:color="auto"/>
            <w:left w:val="none" w:sz="0" w:space="0" w:color="auto"/>
            <w:bottom w:val="none" w:sz="0" w:space="0" w:color="auto"/>
            <w:right w:val="none" w:sz="0" w:space="0" w:color="auto"/>
          </w:divBdr>
        </w:div>
      </w:divsChild>
    </w:div>
    <w:div w:id="1276137329">
      <w:bodyDiv w:val="1"/>
      <w:marLeft w:val="0"/>
      <w:marRight w:val="0"/>
      <w:marTop w:val="0"/>
      <w:marBottom w:val="0"/>
      <w:divBdr>
        <w:top w:val="none" w:sz="0" w:space="0" w:color="auto"/>
        <w:left w:val="none" w:sz="0" w:space="0" w:color="auto"/>
        <w:bottom w:val="none" w:sz="0" w:space="0" w:color="auto"/>
        <w:right w:val="none" w:sz="0" w:space="0" w:color="auto"/>
      </w:divBdr>
    </w:div>
    <w:div w:id="1279525317">
      <w:bodyDiv w:val="1"/>
      <w:marLeft w:val="0"/>
      <w:marRight w:val="0"/>
      <w:marTop w:val="0"/>
      <w:marBottom w:val="0"/>
      <w:divBdr>
        <w:top w:val="none" w:sz="0" w:space="0" w:color="auto"/>
        <w:left w:val="none" w:sz="0" w:space="0" w:color="auto"/>
        <w:bottom w:val="none" w:sz="0" w:space="0" w:color="auto"/>
        <w:right w:val="none" w:sz="0" w:space="0" w:color="auto"/>
      </w:divBdr>
    </w:div>
    <w:div w:id="1360007370">
      <w:bodyDiv w:val="1"/>
      <w:marLeft w:val="0"/>
      <w:marRight w:val="0"/>
      <w:marTop w:val="0"/>
      <w:marBottom w:val="0"/>
      <w:divBdr>
        <w:top w:val="none" w:sz="0" w:space="0" w:color="auto"/>
        <w:left w:val="none" w:sz="0" w:space="0" w:color="auto"/>
        <w:bottom w:val="none" w:sz="0" w:space="0" w:color="auto"/>
        <w:right w:val="none" w:sz="0" w:space="0" w:color="auto"/>
      </w:divBdr>
    </w:div>
    <w:div w:id="1466393403">
      <w:bodyDiv w:val="1"/>
      <w:marLeft w:val="0"/>
      <w:marRight w:val="0"/>
      <w:marTop w:val="0"/>
      <w:marBottom w:val="0"/>
      <w:divBdr>
        <w:top w:val="none" w:sz="0" w:space="0" w:color="auto"/>
        <w:left w:val="none" w:sz="0" w:space="0" w:color="auto"/>
        <w:bottom w:val="none" w:sz="0" w:space="0" w:color="auto"/>
        <w:right w:val="none" w:sz="0" w:space="0" w:color="auto"/>
      </w:divBdr>
      <w:divsChild>
        <w:div w:id="1394963055">
          <w:marLeft w:val="0"/>
          <w:marRight w:val="0"/>
          <w:marTop w:val="225"/>
          <w:marBottom w:val="315"/>
          <w:divBdr>
            <w:top w:val="single" w:sz="6" w:space="0" w:color="D7D7D7"/>
            <w:left w:val="none" w:sz="0" w:space="0" w:color="auto"/>
            <w:bottom w:val="single" w:sz="6" w:space="0" w:color="D7D7D7"/>
            <w:right w:val="none" w:sz="0" w:space="0" w:color="auto"/>
          </w:divBdr>
          <w:divsChild>
            <w:div w:id="1262563574">
              <w:marLeft w:val="0"/>
              <w:marRight w:val="0"/>
              <w:marTop w:val="0"/>
              <w:marBottom w:val="0"/>
              <w:divBdr>
                <w:top w:val="none" w:sz="0" w:space="0" w:color="auto"/>
                <w:left w:val="none" w:sz="0" w:space="0" w:color="auto"/>
                <w:bottom w:val="none" w:sz="0" w:space="0" w:color="auto"/>
                <w:right w:val="none" w:sz="0" w:space="0" w:color="auto"/>
              </w:divBdr>
            </w:div>
            <w:div w:id="1725911768">
              <w:marLeft w:val="0"/>
              <w:marRight w:val="0"/>
              <w:marTop w:val="0"/>
              <w:marBottom w:val="0"/>
              <w:divBdr>
                <w:top w:val="none" w:sz="0" w:space="0" w:color="auto"/>
                <w:left w:val="none" w:sz="0" w:space="0" w:color="auto"/>
                <w:bottom w:val="none" w:sz="0" w:space="0" w:color="auto"/>
                <w:right w:val="none" w:sz="0" w:space="0" w:color="auto"/>
              </w:divBdr>
            </w:div>
          </w:divsChild>
        </w:div>
        <w:div w:id="1204059043">
          <w:marLeft w:val="0"/>
          <w:marRight w:val="0"/>
          <w:marTop w:val="0"/>
          <w:marBottom w:val="0"/>
          <w:divBdr>
            <w:top w:val="none" w:sz="0" w:space="0" w:color="auto"/>
            <w:left w:val="none" w:sz="0" w:space="0" w:color="auto"/>
            <w:bottom w:val="none" w:sz="0" w:space="0" w:color="auto"/>
            <w:right w:val="none" w:sz="0" w:space="0" w:color="auto"/>
          </w:divBdr>
        </w:div>
      </w:divsChild>
    </w:div>
    <w:div w:id="1500072251">
      <w:bodyDiv w:val="1"/>
      <w:marLeft w:val="0"/>
      <w:marRight w:val="0"/>
      <w:marTop w:val="0"/>
      <w:marBottom w:val="0"/>
      <w:divBdr>
        <w:top w:val="none" w:sz="0" w:space="0" w:color="auto"/>
        <w:left w:val="none" w:sz="0" w:space="0" w:color="auto"/>
        <w:bottom w:val="none" w:sz="0" w:space="0" w:color="auto"/>
        <w:right w:val="none" w:sz="0" w:space="0" w:color="auto"/>
      </w:divBdr>
      <w:divsChild>
        <w:div w:id="645009429">
          <w:marLeft w:val="0"/>
          <w:marRight w:val="0"/>
          <w:marTop w:val="150"/>
          <w:marBottom w:val="0"/>
          <w:divBdr>
            <w:top w:val="none" w:sz="0" w:space="0" w:color="auto"/>
            <w:left w:val="none" w:sz="0" w:space="0" w:color="auto"/>
            <w:bottom w:val="none" w:sz="0" w:space="0" w:color="auto"/>
            <w:right w:val="none" w:sz="0" w:space="0" w:color="auto"/>
          </w:divBdr>
        </w:div>
        <w:div w:id="433668189">
          <w:marLeft w:val="0"/>
          <w:marRight w:val="0"/>
          <w:marTop w:val="0"/>
          <w:marBottom w:val="150"/>
          <w:divBdr>
            <w:top w:val="none" w:sz="0" w:space="0" w:color="auto"/>
            <w:left w:val="none" w:sz="0" w:space="0" w:color="auto"/>
            <w:bottom w:val="none" w:sz="0" w:space="0" w:color="auto"/>
            <w:right w:val="none" w:sz="0" w:space="0" w:color="auto"/>
          </w:divBdr>
        </w:div>
      </w:divsChild>
    </w:div>
    <w:div w:id="1638103034">
      <w:bodyDiv w:val="1"/>
      <w:marLeft w:val="0"/>
      <w:marRight w:val="0"/>
      <w:marTop w:val="0"/>
      <w:marBottom w:val="0"/>
      <w:divBdr>
        <w:top w:val="none" w:sz="0" w:space="0" w:color="auto"/>
        <w:left w:val="none" w:sz="0" w:space="0" w:color="auto"/>
        <w:bottom w:val="none" w:sz="0" w:space="0" w:color="auto"/>
        <w:right w:val="none" w:sz="0" w:space="0" w:color="auto"/>
      </w:divBdr>
      <w:divsChild>
        <w:div w:id="1517500785">
          <w:marLeft w:val="0"/>
          <w:marRight w:val="0"/>
          <w:marTop w:val="0"/>
          <w:marBottom w:val="0"/>
          <w:divBdr>
            <w:top w:val="single" w:sz="18" w:space="6" w:color="E1E9EB"/>
            <w:left w:val="none" w:sz="0" w:space="0" w:color="auto"/>
            <w:bottom w:val="none" w:sz="0" w:space="0" w:color="auto"/>
            <w:right w:val="none" w:sz="0" w:space="0" w:color="auto"/>
          </w:divBdr>
        </w:div>
        <w:div w:id="256910838">
          <w:marLeft w:val="0"/>
          <w:marRight w:val="0"/>
          <w:marTop w:val="120"/>
          <w:marBottom w:val="0"/>
          <w:divBdr>
            <w:top w:val="none" w:sz="0" w:space="0" w:color="auto"/>
            <w:left w:val="none" w:sz="0" w:space="0" w:color="auto"/>
            <w:bottom w:val="none" w:sz="0" w:space="0" w:color="auto"/>
            <w:right w:val="none" w:sz="0" w:space="0" w:color="auto"/>
          </w:divBdr>
        </w:div>
      </w:divsChild>
    </w:div>
    <w:div w:id="1675182725">
      <w:bodyDiv w:val="1"/>
      <w:marLeft w:val="0"/>
      <w:marRight w:val="0"/>
      <w:marTop w:val="0"/>
      <w:marBottom w:val="0"/>
      <w:divBdr>
        <w:top w:val="none" w:sz="0" w:space="0" w:color="auto"/>
        <w:left w:val="none" w:sz="0" w:space="0" w:color="auto"/>
        <w:bottom w:val="none" w:sz="0" w:space="0" w:color="auto"/>
        <w:right w:val="none" w:sz="0" w:space="0" w:color="auto"/>
      </w:divBdr>
    </w:div>
    <w:div w:id="1718697887">
      <w:bodyDiv w:val="1"/>
      <w:marLeft w:val="0"/>
      <w:marRight w:val="0"/>
      <w:marTop w:val="0"/>
      <w:marBottom w:val="0"/>
      <w:divBdr>
        <w:top w:val="none" w:sz="0" w:space="0" w:color="auto"/>
        <w:left w:val="none" w:sz="0" w:space="0" w:color="auto"/>
        <w:bottom w:val="none" w:sz="0" w:space="0" w:color="auto"/>
        <w:right w:val="none" w:sz="0" w:space="0" w:color="auto"/>
      </w:divBdr>
      <w:divsChild>
        <w:div w:id="392125945">
          <w:marLeft w:val="0"/>
          <w:marRight w:val="0"/>
          <w:marTop w:val="0"/>
          <w:marBottom w:val="0"/>
          <w:divBdr>
            <w:top w:val="none" w:sz="0" w:space="0" w:color="auto"/>
            <w:left w:val="none" w:sz="0" w:space="0" w:color="auto"/>
            <w:bottom w:val="none" w:sz="0" w:space="0" w:color="auto"/>
            <w:right w:val="none" w:sz="0" w:space="0" w:color="auto"/>
          </w:divBdr>
          <w:divsChild>
            <w:div w:id="1785075958">
              <w:marLeft w:val="0"/>
              <w:marRight w:val="0"/>
              <w:marTop w:val="0"/>
              <w:marBottom w:val="0"/>
              <w:divBdr>
                <w:top w:val="none" w:sz="0" w:space="0" w:color="auto"/>
                <w:left w:val="none" w:sz="0" w:space="0" w:color="auto"/>
                <w:bottom w:val="none" w:sz="0" w:space="0" w:color="auto"/>
                <w:right w:val="none" w:sz="0" w:space="0" w:color="auto"/>
              </w:divBdr>
              <w:divsChild>
                <w:div w:id="8866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3296">
          <w:marLeft w:val="0"/>
          <w:marRight w:val="0"/>
          <w:marTop w:val="0"/>
          <w:marBottom w:val="0"/>
          <w:divBdr>
            <w:top w:val="none" w:sz="0" w:space="0" w:color="auto"/>
            <w:left w:val="none" w:sz="0" w:space="0" w:color="auto"/>
            <w:bottom w:val="none" w:sz="0" w:space="0" w:color="auto"/>
            <w:right w:val="none" w:sz="0" w:space="0" w:color="auto"/>
          </w:divBdr>
          <w:divsChild>
            <w:div w:id="2086565000">
              <w:marLeft w:val="0"/>
              <w:marRight w:val="0"/>
              <w:marTop w:val="0"/>
              <w:marBottom w:val="0"/>
              <w:divBdr>
                <w:top w:val="none" w:sz="0" w:space="0" w:color="auto"/>
                <w:left w:val="none" w:sz="0" w:space="0" w:color="auto"/>
                <w:bottom w:val="none" w:sz="0" w:space="0" w:color="auto"/>
                <w:right w:val="none" w:sz="0" w:space="0" w:color="auto"/>
              </w:divBdr>
            </w:div>
          </w:divsChild>
        </w:div>
        <w:div w:id="60980846">
          <w:marLeft w:val="0"/>
          <w:marRight w:val="0"/>
          <w:marTop w:val="0"/>
          <w:marBottom w:val="0"/>
          <w:divBdr>
            <w:top w:val="none" w:sz="0" w:space="0" w:color="auto"/>
            <w:left w:val="none" w:sz="0" w:space="0" w:color="auto"/>
            <w:bottom w:val="none" w:sz="0" w:space="0" w:color="auto"/>
            <w:right w:val="none" w:sz="0" w:space="0" w:color="auto"/>
          </w:divBdr>
          <w:divsChild>
            <w:div w:id="766922667">
              <w:marLeft w:val="0"/>
              <w:marRight w:val="0"/>
              <w:marTop w:val="0"/>
              <w:marBottom w:val="0"/>
              <w:divBdr>
                <w:top w:val="none" w:sz="0" w:space="0" w:color="auto"/>
                <w:left w:val="none" w:sz="0" w:space="0" w:color="auto"/>
                <w:bottom w:val="none" w:sz="0" w:space="0" w:color="auto"/>
                <w:right w:val="none" w:sz="0" w:space="0" w:color="auto"/>
              </w:divBdr>
              <w:divsChild>
                <w:div w:id="1402869306">
                  <w:marLeft w:val="0"/>
                  <w:marRight w:val="0"/>
                  <w:marTop w:val="0"/>
                  <w:marBottom w:val="0"/>
                  <w:divBdr>
                    <w:top w:val="none" w:sz="0" w:space="0" w:color="auto"/>
                    <w:left w:val="none" w:sz="0" w:space="0" w:color="auto"/>
                    <w:bottom w:val="none" w:sz="0" w:space="0" w:color="auto"/>
                    <w:right w:val="none" w:sz="0" w:space="0" w:color="auto"/>
                  </w:divBdr>
                  <w:divsChild>
                    <w:div w:id="104421431">
                      <w:marLeft w:val="0"/>
                      <w:marRight w:val="0"/>
                      <w:marTop w:val="0"/>
                      <w:marBottom w:val="0"/>
                      <w:divBdr>
                        <w:top w:val="none" w:sz="0" w:space="0" w:color="auto"/>
                        <w:left w:val="none" w:sz="0" w:space="0" w:color="auto"/>
                        <w:bottom w:val="none" w:sz="0" w:space="0" w:color="auto"/>
                        <w:right w:val="none" w:sz="0" w:space="0" w:color="auto"/>
                      </w:divBdr>
                      <w:divsChild>
                        <w:div w:id="1812022190">
                          <w:marLeft w:val="0"/>
                          <w:marRight w:val="0"/>
                          <w:marTop w:val="0"/>
                          <w:marBottom w:val="0"/>
                          <w:divBdr>
                            <w:top w:val="none" w:sz="0" w:space="0" w:color="auto"/>
                            <w:left w:val="none" w:sz="0" w:space="0" w:color="auto"/>
                            <w:bottom w:val="none" w:sz="0" w:space="0" w:color="auto"/>
                            <w:right w:val="none" w:sz="0" w:space="0" w:color="auto"/>
                          </w:divBdr>
                          <w:divsChild>
                            <w:div w:id="1341852802">
                              <w:marLeft w:val="0"/>
                              <w:marRight w:val="0"/>
                              <w:marTop w:val="0"/>
                              <w:marBottom w:val="0"/>
                              <w:divBdr>
                                <w:top w:val="none" w:sz="0" w:space="0" w:color="auto"/>
                                <w:left w:val="none" w:sz="0" w:space="0" w:color="auto"/>
                                <w:bottom w:val="none" w:sz="0" w:space="0" w:color="auto"/>
                                <w:right w:val="none" w:sz="0" w:space="0" w:color="auto"/>
                              </w:divBdr>
                              <w:divsChild>
                                <w:div w:id="2121335497">
                                  <w:marLeft w:val="0"/>
                                  <w:marRight w:val="0"/>
                                  <w:marTop w:val="0"/>
                                  <w:marBottom w:val="0"/>
                                  <w:divBdr>
                                    <w:top w:val="none" w:sz="0" w:space="0" w:color="auto"/>
                                    <w:left w:val="none" w:sz="0" w:space="0" w:color="auto"/>
                                    <w:bottom w:val="none" w:sz="0" w:space="0" w:color="auto"/>
                                    <w:right w:val="none" w:sz="0" w:space="0" w:color="auto"/>
                                  </w:divBdr>
                                  <w:divsChild>
                                    <w:div w:id="1199046843">
                                      <w:marLeft w:val="0"/>
                                      <w:marRight w:val="0"/>
                                      <w:marTop w:val="0"/>
                                      <w:marBottom w:val="0"/>
                                      <w:divBdr>
                                        <w:top w:val="none" w:sz="0" w:space="0" w:color="auto"/>
                                        <w:left w:val="none" w:sz="0" w:space="0" w:color="auto"/>
                                        <w:bottom w:val="none" w:sz="0" w:space="0" w:color="auto"/>
                                        <w:right w:val="none" w:sz="0" w:space="0" w:color="auto"/>
                                      </w:divBdr>
                                      <w:divsChild>
                                        <w:div w:id="1879704478">
                                          <w:marLeft w:val="0"/>
                                          <w:marRight w:val="0"/>
                                          <w:marTop w:val="0"/>
                                          <w:marBottom w:val="0"/>
                                          <w:divBdr>
                                            <w:top w:val="none" w:sz="0" w:space="0" w:color="auto"/>
                                            <w:left w:val="none" w:sz="0" w:space="0" w:color="auto"/>
                                            <w:bottom w:val="none" w:sz="0" w:space="0" w:color="auto"/>
                                            <w:right w:val="none" w:sz="0" w:space="0" w:color="auto"/>
                                          </w:divBdr>
                                          <w:divsChild>
                                            <w:div w:id="1298609072">
                                              <w:marLeft w:val="0"/>
                                              <w:marRight w:val="0"/>
                                              <w:marTop w:val="0"/>
                                              <w:marBottom w:val="0"/>
                                              <w:divBdr>
                                                <w:top w:val="none" w:sz="0" w:space="0" w:color="auto"/>
                                                <w:left w:val="none" w:sz="0" w:space="0" w:color="auto"/>
                                                <w:bottom w:val="none" w:sz="0" w:space="0" w:color="auto"/>
                                                <w:right w:val="none" w:sz="0" w:space="0" w:color="auto"/>
                                              </w:divBdr>
                                              <w:divsChild>
                                                <w:div w:id="727264588">
                                                  <w:marLeft w:val="0"/>
                                                  <w:marRight w:val="0"/>
                                                  <w:marTop w:val="0"/>
                                                  <w:marBottom w:val="0"/>
                                                  <w:divBdr>
                                                    <w:top w:val="none" w:sz="0" w:space="0" w:color="auto"/>
                                                    <w:left w:val="none" w:sz="0" w:space="0" w:color="auto"/>
                                                    <w:bottom w:val="none" w:sz="0" w:space="0" w:color="auto"/>
                                                    <w:right w:val="none" w:sz="0" w:space="0" w:color="auto"/>
                                                  </w:divBdr>
                                                  <w:divsChild>
                                                    <w:div w:id="1388065533">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 w:id="1800144082">
      <w:bodyDiv w:val="1"/>
      <w:marLeft w:val="0"/>
      <w:marRight w:val="0"/>
      <w:marTop w:val="0"/>
      <w:marBottom w:val="0"/>
      <w:divBdr>
        <w:top w:val="none" w:sz="0" w:space="0" w:color="auto"/>
        <w:left w:val="none" w:sz="0" w:space="0" w:color="auto"/>
        <w:bottom w:val="none" w:sz="0" w:space="0" w:color="auto"/>
        <w:right w:val="none" w:sz="0" w:space="0" w:color="auto"/>
      </w:divBdr>
    </w:div>
    <w:div w:id="2010869501">
      <w:bodyDiv w:val="1"/>
      <w:marLeft w:val="0"/>
      <w:marRight w:val="0"/>
      <w:marTop w:val="0"/>
      <w:marBottom w:val="0"/>
      <w:divBdr>
        <w:top w:val="none" w:sz="0" w:space="0" w:color="auto"/>
        <w:left w:val="none" w:sz="0" w:space="0" w:color="auto"/>
        <w:bottom w:val="none" w:sz="0" w:space="0" w:color="auto"/>
        <w:right w:val="none" w:sz="0" w:space="0" w:color="auto"/>
      </w:divBdr>
    </w:div>
    <w:div w:id="2045010245">
      <w:bodyDiv w:val="1"/>
      <w:marLeft w:val="0"/>
      <w:marRight w:val="0"/>
      <w:marTop w:val="0"/>
      <w:marBottom w:val="0"/>
      <w:divBdr>
        <w:top w:val="none" w:sz="0" w:space="0" w:color="auto"/>
        <w:left w:val="none" w:sz="0" w:space="0" w:color="auto"/>
        <w:bottom w:val="none" w:sz="0" w:space="0" w:color="auto"/>
        <w:right w:val="none" w:sz="0" w:space="0" w:color="auto"/>
      </w:divBdr>
      <w:divsChild>
        <w:div w:id="2133206102">
          <w:marLeft w:val="0"/>
          <w:marRight w:val="0"/>
          <w:marTop w:val="150"/>
          <w:marBottom w:val="0"/>
          <w:divBdr>
            <w:top w:val="none" w:sz="0" w:space="0" w:color="auto"/>
            <w:left w:val="none" w:sz="0" w:space="0" w:color="auto"/>
            <w:bottom w:val="none" w:sz="0" w:space="0" w:color="auto"/>
            <w:right w:val="none" w:sz="0" w:space="0" w:color="auto"/>
          </w:divBdr>
        </w:div>
        <w:div w:id="2041783659">
          <w:marLeft w:val="0"/>
          <w:marRight w:val="0"/>
          <w:marTop w:val="0"/>
          <w:marBottom w:val="150"/>
          <w:divBdr>
            <w:top w:val="none" w:sz="0" w:space="0" w:color="auto"/>
            <w:left w:val="none" w:sz="0" w:space="0" w:color="auto"/>
            <w:bottom w:val="none" w:sz="0" w:space="0" w:color="auto"/>
            <w:right w:val="none" w:sz="0" w:space="0" w:color="auto"/>
          </w:divBdr>
        </w:div>
      </w:divsChild>
    </w:div>
    <w:div w:id="20702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oon@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nomisweb.co.uk/query/construct/summary.asp?mode=construct&amp;version=0&amp;dataset=10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19</Pages>
  <Words>9330</Words>
  <Characters>53185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Aitken G.R.</dc:creator>
  <cp:lastModifiedBy>Moon G.</cp:lastModifiedBy>
  <cp:revision>4</cp:revision>
  <cp:lastPrinted>2016-11-23T18:47:00Z</cp:lastPrinted>
  <dcterms:created xsi:type="dcterms:W3CDTF">2017-05-12T14:19:00Z</dcterms:created>
  <dcterms:modified xsi:type="dcterms:W3CDTF">2017-05-12T16:31:00Z</dcterms:modified>
</cp:coreProperties>
</file>