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210FD" w14:textId="74EB5CC8" w:rsidR="006115E3" w:rsidRDefault="002440E7" w:rsidP="00566472">
      <w:pPr>
        <w:spacing w:line="360" w:lineRule="auto"/>
        <w:jc w:val="center"/>
        <w:outlineLvl w:val="0"/>
        <w:rPr>
          <w:b/>
        </w:rPr>
      </w:pPr>
      <w:bookmarkStart w:id="0" w:name="_GoBack"/>
      <w:r>
        <w:rPr>
          <w:b/>
        </w:rPr>
        <w:t>THE CLEOPATRAS AND THE JEWS</w:t>
      </w:r>
    </w:p>
    <w:bookmarkEnd w:id="0"/>
    <w:p w14:paraId="5E03D180" w14:textId="32447969" w:rsidR="002440E7" w:rsidRDefault="002440E7" w:rsidP="00566472">
      <w:pPr>
        <w:spacing w:line="360" w:lineRule="auto"/>
        <w:jc w:val="center"/>
        <w:outlineLvl w:val="0"/>
        <w:rPr>
          <w:b/>
        </w:rPr>
      </w:pPr>
      <w:r>
        <w:rPr>
          <w:b/>
        </w:rPr>
        <w:t>By Sarah Pearce</w:t>
      </w:r>
    </w:p>
    <w:p w14:paraId="045354FA" w14:textId="6B6DC3E4" w:rsidR="002440E7" w:rsidRDefault="002440E7" w:rsidP="00566472">
      <w:pPr>
        <w:spacing w:line="360" w:lineRule="auto"/>
        <w:jc w:val="center"/>
        <w:outlineLvl w:val="0"/>
        <w:rPr>
          <w:b/>
        </w:rPr>
      </w:pPr>
      <w:r>
        <w:rPr>
          <w:b/>
        </w:rPr>
        <w:t xml:space="preserve">READ </w:t>
      </w:r>
      <w:r w:rsidR="0097181B">
        <w:rPr>
          <w:b/>
        </w:rPr>
        <w:t>23 SEPTEMBER 2016</w:t>
      </w:r>
    </w:p>
    <w:p w14:paraId="4B12FB6E" w14:textId="77777777" w:rsidR="002440E7" w:rsidRDefault="002440E7" w:rsidP="00B35E88">
      <w:pPr>
        <w:spacing w:line="360" w:lineRule="auto"/>
        <w:rPr>
          <w:b/>
        </w:rPr>
      </w:pPr>
    </w:p>
    <w:p w14:paraId="2C7A5753" w14:textId="7BF20B82" w:rsidR="001D307F" w:rsidRPr="00954224" w:rsidRDefault="002136CC" w:rsidP="001530E3">
      <w:pPr>
        <w:spacing w:line="360" w:lineRule="auto"/>
        <w:ind w:left="720"/>
        <w:outlineLvl w:val="0"/>
        <w:rPr>
          <w:sz w:val="22"/>
          <w:szCs w:val="22"/>
        </w:rPr>
      </w:pPr>
      <w:r w:rsidRPr="001530E3">
        <w:t>A</w:t>
      </w:r>
      <w:r w:rsidR="001530E3" w:rsidRPr="001530E3">
        <w:t>BSTRACT</w:t>
      </w:r>
      <w:r w:rsidR="001530E3" w:rsidRPr="001530E3">
        <w:rPr>
          <w:sz w:val="22"/>
          <w:szCs w:val="22"/>
        </w:rPr>
        <w:t>.</w:t>
      </w:r>
      <w:r w:rsidR="001530E3">
        <w:rPr>
          <w:sz w:val="22"/>
          <w:szCs w:val="22"/>
        </w:rPr>
        <w:t xml:space="preserve"> </w:t>
      </w:r>
      <w:r w:rsidR="001D307F" w:rsidRPr="00954224">
        <w:rPr>
          <w:sz w:val="22"/>
          <w:szCs w:val="22"/>
        </w:rPr>
        <w:t>This paper explores a variety of evidence f</w:t>
      </w:r>
      <w:r w:rsidR="00954224">
        <w:rPr>
          <w:sz w:val="22"/>
          <w:szCs w:val="22"/>
        </w:rPr>
        <w:t>or relations between</w:t>
      </w:r>
      <w:r w:rsidR="001530E3">
        <w:rPr>
          <w:sz w:val="22"/>
          <w:szCs w:val="22"/>
        </w:rPr>
        <w:t xml:space="preserve"> </w:t>
      </w:r>
      <w:r w:rsidR="00954224">
        <w:rPr>
          <w:sz w:val="22"/>
          <w:szCs w:val="22"/>
        </w:rPr>
        <w:t xml:space="preserve">Cleopatra </w:t>
      </w:r>
      <w:r w:rsidR="001D307F" w:rsidRPr="00954224">
        <w:rPr>
          <w:sz w:val="22"/>
          <w:szCs w:val="22"/>
        </w:rPr>
        <w:t>VII, the last Ptolemaic ruler of Egypt, and her</w:t>
      </w:r>
      <w:r w:rsidR="00BD2801" w:rsidRPr="00954224">
        <w:rPr>
          <w:sz w:val="22"/>
          <w:szCs w:val="22"/>
        </w:rPr>
        <w:t xml:space="preserve"> Jewish subjects. In the first </w:t>
      </w:r>
      <w:r w:rsidR="001D307F" w:rsidRPr="00954224">
        <w:rPr>
          <w:sz w:val="22"/>
          <w:szCs w:val="22"/>
        </w:rPr>
        <w:t>part of the paper, the focus is on the profo</w:t>
      </w:r>
      <w:r w:rsidR="00954224">
        <w:rPr>
          <w:sz w:val="22"/>
          <w:szCs w:val="22"/>
        </w:rPr>
        <w:t xml:space="preserve">undly negative portrait of the </w:t>
      </w:r>
      <w:r w:rsidR="001D307F" w:rsidRPr="00954224">
        <w:rPr>
          <w:sz w:val="22"/>
          <w:szCs w:val="22"/>
        </w:rPr>
        <w:t>Queen in the works of Josephus, wi</w:t>
      </w:r>
      <w:r w:rsidR="001819E6" w:rsidRPr="00954224">
        <w:rPr>
          <w:sz w:val="22"/>
          <w:szCs w:val="22"/>
        </w:rPr>
        <w:t xml:space="preserve">th particular attention to </w:t>
      </w:r>
      <w:r w:rsidR="008565DA" w:rsidRPr="00954224">
        <w:rPr>
          <w:sz w:val="22"/>
          <w:szCs w:val="22"/>
        </w:rPr>
        <w:t>Cleopatra’s</w:t>
      </w:r>
      <w:r w:rsidR="001819E6" w:rsidRPr="00954224">
        <w:rPr>
          <w:sz w:val="22"/>
          <w:szCs w:val="22"/>
        </w:rPr>
        <w:t xml:space="preserve"> </w:t>
      </w:r>
      <w:r w:rsidR="001D307F" w:rsidRPr="00954224">
        <w:rPr>
          <w:sz w:val="22"/>
          <w:szCs w:val="22"/>
        </w:rPr>
        <w:t>alleged antipathy to Alexandria</w:t>
      </w:r>
      <w:r w:rsidR="008565DA" w:rsidRPr="00954224">
        <w:rPr>
          <w:sz w:val="22"/>
          <w:szCs w:val="22"/>
        </w:rPr>
        <w:t>n Jews</w:t>
      </w:r>
      <w:r w:rsidR="001530E3">
        <w:rPr>
          <w:sz w:val="22"/>
          <w:szCs w:val="22"/>
        </w:rPr>
        <w:t xml:space="preserve"> in </w:t>
      </w:r>
      <w:r w:rsidR="001D307F" w:rsidRPr="00954224">
        <w:rPr>
          <w:sz w:val="22"/>
          <w:szCs w:val="22"/>
        </w:rPr>
        <w:t xml:space="preserve">Josephus’ </w:t>
      </w:r>
      <w:r w:rsidR="001D307F" w:rsidRPr="00954224">
        <w:rPr>
          <w:i/>
          <w:sz w:val="22"/>
          <w:szCs w:val="22"/>
        </w:rPr>
        <w:t>Against Apion</w:t>
      </w:r>
      <w:r w:rsidR="001819E6" w:rsidRPr="00954224">
        <w:rPr>
          <w:sz w:val="22"/>
          <w:szCs w:val="22"/>
        </w:rPr>
        <w:t xml:space="preserve">. </w:t>
      </w:r>
      <w:r w:rsidR="0081624C" w:rsidRPr="00954224">
        <w:rPr>
          <w:sz w:val="22"/>
          <w:szCs w:val="22"/>
        </w:rPr>
        <w:t xml:space="preserve">Analysis of Josephus’ evidence confirms, </w:t>
      </w:r>
      <w:r w:rsidR="008565DA" w:rsidRPr="00954224">
        <w:rPr>
          <w:sz w:val="22"/>
          <w:szCs w:val="22"/>
        </w:rPr>
        <w:t>I argue</w:t>
      </w:r>
      <w:r w:rsidR="0081624C" w:rsidRPr="00954224">
        <w:rPr>
          <w:sz w:val="22"/>
          <w:szCs w:val="22"/>
        </w:rPr>
        <w:t xml:space="preserve">, that his case against the Queen does not stand up. The </w:t>
      </w:r>
      <w:r w:rsidR="001117CB" w:rsidRPr="00954224">
        <w:rPr>
          <w:sz w:val="22"/>
          <w:szCs w:val="22"/>
        </w:rPr>
        <w:t>second part of the paper offers</w:t>
      </w:r>
      <w:r w:rsidR="001D307F" w:rsidRPr="00954224">
        <w:rPr>
          <w:sz w:val="22"/>
          <w:szCs w:val="22"/>
        </w:rPr>
        <w:t xml:space="preserve"> a detailed consideration of other evidence, </w:t>
      </w:r>
      <w:r w:rsidR="001819E6" w:rsidRPr="00954224">
        <w:rPr>
          <w:sz w:val="22"/>
          <w:szCs w:val="22"/>
        </w:rPr>
        <w:t xml:space="preserve">epigraphic </w:t>
      </w:r>
      <w:r w:rsidR="001D307F" w:rsidRPr="00954224">
        <w:rPr>
          <w:sz w:val="22"/>
          <w:szCs w:val="22"/>
        </w:rPr>
        <w:t xml:space="preserve">and literary, which, </w:t>
      </w:r>
      <w:r w:rsidR="008565DA" w:rsidRPr="00954224">
        <w:rPr>
          <w:sz w:val="22"/>
          <w:szCs w:val="22"/>
        </w:rPr>
        <w:t>I suggest</w:t>
      </w:r>
      <w:r w:rsidR="001D307F" w:rsidRPr="00954224">
        <w:rPr>
          <w:sz w:val="22"/>
          <w:szCs w:val="22"/>
        </w:rPr>
        <w:t>, conf</w:t>
      </w:r>
      <w:r w:rsidR="001819E6" w:rsidRPr="00954224">
        <w:rPr>
          <w:sz w:val="22"/>
          <w:szCs w:val="22"/>
        </w:rPr>
        <w:t xml:space="preserve">irms a picture of the Queen as </w:t>
      </w:r>
      <w:r w:rsidR="001D307F" w:rsidRPr="00954224">
        <w:rPr>
          <w:sz w:val="22"/>
          <w:szCs w:val="22"/>
        </w:rPr>
        <w:t xml:space="preserve">continuing the policy of her predecessors </w:t>
      </w:r>
      <w:r w:rsidR="001819E6" w:rsidRPr="00954224">
        <w:rPr>
          <w:sz w:val="22"/>
          <w:szCs w:val="22"/>
        </w:rPr>
        <w:t xml:space="preserve">with regard to the Jews of the </w:t>
      </w:r>
      <w:r w:rsidR="001D307F" w:rsidRPr="00954224">
        <w:rPr>
          <w:sz w:val="22"/>
          <w:szCs w:val="22"/>
        </w:rPr>
        <w:t>Ptolemaic kingdom</w:t>
      </w:r>
      <w:r w:rsidR="00954224">
        <w:rPr>
          <w:sz w:val="22"/>
          <w:szCs w:val="22"/>
        </w:rPr>
        <w:t>,</w:t>
      </w:r>
      <w:r w:rsidR="001D307F" w:rsidRPr="00954224">
        <w:rPr>
          <w:sz w:val="22"/>
          <w:szCs w:val="22"/>
        </w:rPr>
        <w:t xml:space="preserve"> by participating in the long-</w:t>
      </w:r>
      <w:r w:rsidR="001819E6" w:rsidRPr="00954224">
        <w:rPr>
          <w:sz w:val="22"/>
          <w:szCs w:val="22"/>
        </w:rPr>
        <w:t xml:space="preserve">established practice of </w:t>
      </w:r>
      <w:r w:rsidR="001D307F" w:rsidRPr="00954224">
        <w:rPr>
          <w:sz w:val="22"/>
          <w:szCs w:val="22"/>
        </w:rPr>
        <w:t xml:space="preserve">extending royal support and protection to Jewish </w:t>
      </w:r>
      <w:r w:rsidR="001D307F" w:rsidRPr="00954224">
        <w:rPr>
          <w:i/>
          <w:sz w:val="22"/>
          <w:szCs w:val="22"/>
        </w:rPr>
        <w:t>proseuchai</w:t>
      </w:r>
      <w:r w:rsidR="001530E3">
        <w:rPr>
          <w:sz w:val="22"/>
          <w:szCs w:val="22"/>
        </w:rPr>
        <w:t xml:space="preserve"> (places of </w:t>
      </w:r>
      <w:r w:rsidR="001D307F" w:rsidRPr="00954224">
        <w:rPr>
          <w:sz w:val="22"/>
          <w:szCs w:val="22"/>
        </w:rPr>
        <w:t xml:space="preserve">prayer). </w:t>
      </w:r>
      <w:r w:rsidR="005B0F88" w:rsidRPr="00954224">
        <w:rPr>
          <w:sz w:val="22"/>
          <w:szCs w:val="22"/>
        </w:rPr>
        <w:t xml:space="preserve">While the evidence does not </w:t>
      </w:r>
      <w:r w:rsidR="00954224">
        <w:rPr>
          <w:sz w:val="22"/>
          <w:szCs w:val="22"/>
        </w:rPr>
        <w:t>permit</w:t>
      </w:r>
      <w:r w:rsidR="005B0F88" w:rsidRPr="00954224">
        <w:rPr>
          <w:sz w:val="22"/>
          <w:szCs w:val="22"/>
        </w:rPr>
        <w:t xml:space="preserve"> definitive conclusions, it </w:t>
      </w:r>
      <w:r w:rsidR="0098569C" w:rsidRPr="00954224">
        <w:rPr>
          <w:sz w:val="22"/>
          <w:szCs w:val="22"/>
        </w:rPr>
        <w:t>suggests</w:t>
      </w:r>
      <w:r w:rsidR="001819E6" w:rsidRPr="00954224">
        <w:rPr>
          <w:sz w:val="22"/>
          <w:szCs w:val="22"/>
        </w:rPr>
        <w:t xml:space="preserve"> </w:t>
      </w:r>
      <w:r w:rsidR="005B0F88" w:rsidRPr="00954224">
        <w:rPr>
          <w:sz w:val="22"/>
          <w:szCs w:val="22"/>
        </w:rPr>
        <w:t>that Cleopatra looked to particular Jewish groups</w:t>
      </w:r>
      <w:r w:rsidR="0098569C" w:rsidRPr="00954224">
        <w:rPr>
          <w:sz w:val="22"/>
          <w:szCs w:val="22"/>
        </w:rPr>
        <w:t xml:space="preserve"> – as to other</w:t>
      </w:r>
      <w:r w:rsidR="00954224">
        <w:rPr>
          <w:sz w:val="22"/>
          <w:szCs w:val="22"/>
        </w:rPr>
        <w:t>s</w:t>
      </w:r>
      <w:r w:rsidR="0098569C" w:rsidRPr="00954224">
        <w:rPr>
          <w:sz w:val="22"/>
          <w:szCs w:val="22"/>
        </w:rPr>
        <w:t xml:space="preserve"> –</w:t>
      </w:r>
      <w:r w:rsidR="005B0F88" w:rsidRPr="00954224">
        <w:rPr>
          <w:sz w:val="22"/>
          <w:szCs w:val="22"/>
        </w:rPr>
        <w:t xml:space="preserve"> within Egypt for support and in this, followed a path taken by Cleopatra II and Cleopatra III. </w:t>
      </w:r>
      <w:r w:rsidRPr="00954224">
        <w:rPr>
          <w:sz w:val="22"/>
          <w:szCs w:val="22"/>
        </w:rPr>
        <w:t xml:space="preserve">Finally, a few details in Plutarch’s </w:t>
      </w:r>
      <w:r w:rsidRPr="00954224">
        <w:rPr>
          <w:i/>
          <w:sz w:val="22"/>
          <w:szCs w:val="22"/>
        </w:rPr>
        <w:t>Life of Antony</w:t>
      </w:r>
      <w:r w:rsidRPr="00954224">
        <w:rPr>
          <w:sz w:val="22"/>
          <w:szCs w:val="22"/>
        </w:rPr>
        <w:t xml:space="preserve"> may also suggest the Queen’s </w:t>
      </w:r>
      <w:r w:rsidR="001117CB" w:rsidRPr="00954224">
        <w:rPr>
          <w:sz w:val="22"/>
          <w:szCs w:val="22"/>
        </w:rPr>
        <w:t xml:space="preserve">political and personal </w:t>
      </w:r>
      <w:r w:rsidR="005B0F88" w:rsidRPr="00954224">
        <w:rPr>
          <w:sz w:val="22"/>
          <w:szCs w:val="22"/>
        </w:rPr>
        <w:t xml:space="preserve">alliances with individual Jews, in Egypt and Judea. </w:t>
      </w:r>
    </w:p>
    <w:p w14:paraId="3FB08302" w14:textId="77777777" w:rsidR="00955DC2" w:rsidRPr="003D7C4A" w:rsidRDefault="00955DC2" w:rsidP="00B35E88">
      <w:pPr>
        <w:spacing w:line="360" w:lineRule="auto"/>
        <w:rPr>
          <w:b/>
        </w:rPr>
      </w:pPr>
    </w:p>
    <w:p w14:paraId="424B48CC" w14:textId="309B359A" w:rsidR="00D60971" w:rsidRDefault="00F32DC5" w:rsidP="00B35E88">
      <w:pPr>
        <w:spacing w:line="360" w:lineRule="auto"/>
      </w:pPr>
      <w:r>
        <w:t xml:space="preserve">Little has come down to us from antiquity by way of detailed </w:t>
      </w:r>
      <w:r w:rsidR="00634551">
        <w:t xml:space="preserve">reports </w:t>
      </w:r>
      <w:r>
        <w:t xml:space="preserve">of the life of Cleopatra VII. </w:t>
      </w:r>
      <w:r w:rsidR="008417B0">
        <w:t xml:space="preserve">This is </w:t>
      </w:r>
      <w:r w:rsidR="00232FB7">
        <w:t xml:space="preserve">not </w:t>
      </w:r>
      <w:r w:rsidR="00E70003">
        <w:t>surprising in view of</w:t>
      </w:r>
      <w:r>
        <w:t xml:space="preserve"> </w:t>
      </w:r>
      <w:r w:rsidR="00232FB7">
        <w:t>the tendency of ancient authors to</w:t>
      </w:r>
      <w:r w:rsidR="00634551">
        <w:t xml:space="preserve"> neglect</w:t>
      </w:r>
      <w:r>
        <w:t xml:space="preserve"> </w:t>
      </w:r>
      <w:r w:rsidR="00232FB7">
        <w:t>the</w:t>
      </w:r>
      <w:r>
        <w:t xml:space="preserve"> lives </w:t>
      </w:r>
      <w:r w:rsidR="00232FB7">
        <w:t>of women</w:t>
      </w:r>
      <w:r w:rsidR="00D7041D">
        <w:t>,</w:t>
      </w:r>
      <w:r w:rsidR="00D7041D">
        <w:rPr>
          <w:rStyle w:val="FootnoteReference"/>
        </w:rPr>
        <w:footnoteReference w:id="1"/>
      </w:r>
      <w:r w:rsidR="00232FB7">
        <w:t xml:space="preserve"> </w:t>
      </w:r>
      <w:r>
        <w:t xml:space="preserve">and, in particular, </w:t>
      </w:r>
      <w:r w:rsidR="00634551">
        <w:t>a</w:t>
      </w:r>
      <w:r>
        <w:t xml:space="preserve"> life that was subjected to </w:t>
      </w:r>
      <w:r w:rsidR="00D7041D">
        <w:t>the relentlessly negative propaganda of</w:t>
      </w:r>
      <w:r>
        <w:t xml:space="preserve"> the Augustan house.</w:t>
      </w:r>
      <w:r w:rsidR="00913BDB">
        <w:rPr>
          <w:rStyle w:val="FootnoteReference"/>
        </w:rPr>
        <w:footnoteReference w:id="2"/>
      </w:r>
      <w:r>
        <w:t xml:space="preserve"> Our most substantial </w:t>
      </w:r>
      <w:r w:rsidR="00155D87">
        <w:t xml:space="preserve">literary </w:t>
      </w:r>
      <w:r>
        <w:t xml:space="preserve">source is </w:t>
      </w:r>
      <w:r w:rsidR="000961FE">
        <w:t xml:space="preserve">the </w:t>
      </w:r>
      <w:r w:rsidR="002A06FE">
        <w:t xml:space="preserve">biographer and </w:t>
      </w:r>
      <w:r w:rsidR="000961FE">
        <w:t xml:space="preserve">philosopher </w:t>
      </w:r>
      <w:r>
        <w:t>Plutarch</w:t>
      </w:r>
      <w:r w:rsidR="005C17C5">
        <w:t xml:space="preserve"> (</w:t>
      </w:r>
      <w:r w:rsidR="00381E5E">
        <w:t>c. 45</w:t>
      </w:r>
      <w:r w:rsidR="00D5124A">
        <w:t>–</w:t>
      </w:r>
      <w:r w:rsidR="00381E5E">
        <w:t>c. 125 CE</w:t>
      </w:r>
      <w:r w:rsidR="005C17C5">
        <w:t>)</w:t>
      </w:r>
      <w:r w:rsidR="00D5124A">
        <w:t>,</w:t>
      </w:r>
      <w:r w:rsidR="00A7491F">
        <w:t xml:space="preserve"> </w:t>
      </w:r>
      <w:r>
        <w:t>whose morali</w:t>
      </w:r>
      <w:r w:rsidR="00D5124A">
        <w:t>z</w:t>
      </w:r>
      <w:r>
        <w:t>ing</w:t>
      </w:r>
      <w:r w:rsidR="00E573EF">
        <w:t xml:space="preserve"> </w:t>
      </w:r>
      <w:r w:rsidR="002A06FE">
        <w:t xml:space="preserve">accounts </w:t>
      </w:r>
      <w:r w:rsidR="003E2008">
        <w:t xml:space="preserve">of famous </w:t>
      </w:r>
      <w:r w:rsidR="00EC641B">
        <w:t xml:space="preserve">Greek and Roman </w:t>
      </w:r>
      <w:r w:rsidR="003E2008">
        <w:t>men</w:t>
      </w:r>
      <w:r w:rsidR="00EC641B">
        <w:t xml:space="preserve">, </w:t>
      </w:r>
      <w:r w:rsidR="00E573EF">
        <w:t xml:space="preserve">as presented in </w:t>
      </w:r>
      <w:r w:rsidR="00EC641B">
        <w:t xml:space="preserve">the </w:t>
      </w:r>
      <w:r w:rsidR="00EC641B" w:rsidRPr="00CE1CD7">
        <w:rPr>
          <w:i/>
        </w:rPr>
        <w:t>Parallel Lives</w:t>
      </w:r>
      <w:r w:rsidR="00EC641B">
        <w:t>,</w:t>
      </w:r>
      <w:r w:rsidR="003E2008">
        <w:t xml:space="preserve"> deal</w:t>
      </w:r>
      <w:r w:rsidR="00E573EF">
        <w:t xml:space="preserve"> with Cleopatra’s role </w:t>
      </w:r>
      <w:r w:rsidR="007F3204">
        <w:t>in</w:t>
      </w:r>
      <w:r>
        <w:t xml:space="preserve"> the lives of Julius Caesar and Mark Antony. </w:t>
      </w:r>
      <w:r w:rsidR="004F03E0">
        <w:t>Our</w:t>
      </w:r>
      <w:r w:rsidR="007F3204">
        <w:t xml:space="preserve"> most complete narrative of the period context of Cleopatra’s reign </w:t>
      </w:r>
      <w:r w:rsidR="004731F7">
        <w:t>comes from</w:t>
      </w:r>
      <w:r w:rsidR="007F3204">
        <w:t xml:space="preserve"> Cassius Dio’s </w:t>
      </w:r>
      <w:r w:rsidR="007F3204" w:rsidRPr="007F3204">
        <w:rPr>
          <w:i/>
        </w:rPr>
        <w:t>Roman History</w:t>
      </w:r>
      <w:r w:rsidR="0061117F">
        <w:t>;</w:t>
      </w:r>
      <w:r w:rsidR="007F3204">
        <w:t xml:space="preserve"> </w:t>
      </w:r>
      <w:r w:rsidR="0061117F">
        <w:t>writing long</w:t>
      </w:r>
      <w:r w:rsidR="007F3204">
        <w:t xml:space="preserve"> after the Roman victory over Cleopatra, Dio </w:t>
      </w:r>
      <w:r w:rsidR="00DD7333">
        <w:t xml:space="preserve">(c. CE 164–after 229) </w:t>
      </w:r>
      <w:r w:rsidR="007F3204">
        <w:t xml:space="preserve">is </w:t>
      </w:r>
      <w:r w:rsidR="0061117F">
        <w:t xml:space="preserve">nevertheless </w:t>
      </w:r>
      <w:r w:rsidR="007F3204">
        <w:t xml:space="preserve">our most substantial source for the preservation of Augustan propaganda against the Queen. </w:t>
      </w:r>
      <w:r w:rsidR="00C25F90">
        <w:t xml:space="preserve">Otherwise, our most </w:t>
      </w:r>
      <w:r w:rsidR="00637542">
        <w:t>important</w:t>
      </w:r>
      <w:r w:rsidR="00C25F90">
        <w:t xml:space="preserve"> literary account of Cleopatra is provided by the Jewish historian Josephus, </w:t>
      </w:r>
      <w:r w:rsidR="00C25F90">
        <w:lastRenderedPageBreak/>
        <w:t xml:space="preserve">writing </w:t>
      </w:r>
      <w:r w:rsidR="00A9090E">
        <w:t>towards the end of the</w:t>
      </w:r>
      <w:r w:rsidR="00C25F90">
        <w:t xml:space="preserve"> first century CE, in the aftermath of the Jewish war against Rome </w:t>
      </w:r>
      <w:r w:rsidR="00634551">
        <w:t>and the fall of Jerusalem in the year 70.</w:t>
      </w:r>
      <w:r w:rsidR="008C3EEA">
        <w:t xml:space="preserve"> Josephus represents Cleopatra as a significant figure in two distinct contexts: first, </w:t>
      </w:r>
      <w:r w:rsidR="00871794">
        <w:t>in her relations with</w:t>
      </w:r>
      <w:r w:rsidR="00D23F25">
        <w:t xml:space="preserve"> her close neighbo</w:t>
      </w:r>
      <w:r w:rsidR="00A9090E">
        <w:t>u</w:t>
      </w:r>
      <w:r w:rsidR="00B1593C">
        <w:t xml:space="preserve">r, Herod, the king of Judaea; and, secondly, as </w:t>
      </w:r>
      <w:r w:rsidR="000C47E3">
        <w:t>an enemy of the Jews of her capital, Alexandria.</w:t>
      </w:r>
      <w:r w:rsidR="0018066E">
        <w:t xml:space="preserve"> In both contexts, the Queen is painted as a monster.</w:t>
      </w:r>
      <w:r w:rsidR="00632403">
        <w:rPr>
          <w:rStyle w:val="FootnoteReference"/>
        </w:rPr>
        <w:footnoteReference w:id="3"/>
      </w:r>
      <w:r w:rsidR="00163654">
        <w:t xml:space="preserve"> </w:t>
      </w:r>
    </w:p>
    <w:p w14:paraId="0BD6EB6A" w14:textId="6A189388" w:rsidR="00064FED" w:rsidRDefault="00064FED" w:rsidP="00B35E88">
      <w:pPr>
        <w:spacing w:line="360" w:lineRule="auto"/>
      </w:pPr>
      <w:r>
        <w:tab/>
        <w:t xml:space="preserve">The testimony of Josephus has long served to define the rule of Cleopatra as profoundly negative </w:t>
      </w:r>
      <w:r w:rsidR="00B832A2">
        <w:t xml:space="preserve">for Jews, </w:t>
      </w:r>
      <w:r>
        <w:t xml:space="preserve">and </w:t>
      </w:r>
      <w:r w:rsidR="00B832A2">
        <w:t xml:space="preserve">it forms </w:t>
      </w:r>
      <w:r>
        <w:t xml:space="preserve">the basis for </w:t>
      </w:r>
      <w:r w:rsidR="002A48E6">
        <w:t xml:space="preserve">later </w:t>
      </w:r>
      <w:r>
        <w:t>judgments that Jews responded by betraying Cleopatra and rejoiced at her downfall.</w:t>
      </w:r>
      <w:r w:rsidR="00C24BF2">
        <w:rPr>
          <w:rStyle w:val="FootnoteReference"/>
        </w:rPr>
        <w:footnoteReference w:id="4"/>
      </w:r>
      <w:r>
        <w:t xml:space="preserve"> In the case of the Jews of Egypt, there is no evidence for either contention. If Cleopatra’s rule was indeed a negative experience for the Jews of her kingdom, this would mark her out as following a very different path from that taken by her predecessors with regard to the large and important Jewish community that prospered in Ptolemaic Egypt from the times of Ptolemy II Philadelphus onwards. A golden age of Jewish literature flourished in Ptolemaic Egypt, from the translation of the Hebrew Scriptures into Greek to tales of Jewish triumph</w:t>
      </w:r>
      <w:r w:rsidR="00E278C3">
        <w:t>s</w:t>
      </w:r>
      <w:r>
        <w:t xml:space="preserve"> and happy </w:t>
      </w:r>
      <w:r w:rsidR="00E278C3">
        <w:t>relationships</w:t>
      </w:r>
      <w:r>
        <w:t xml:space="preserve"> with Ptolemaic monarchs</w:t>
      </w:r>
      <w:r w:rsidR="00E278C3">
        <w:t xml:space="preserve"> who valued their Jewish subjects and honoured the Jewish God</w:t>
      </w:r>
      <w:r>
        <w:t xml:space="preserve">. Inscriptions </w:t>
      </w:r>
      <w:r w:rsidR="00EE75A3">
        <w:t xml:space="preserve">from Jewish prayer-houses </w:t>
      </w:r>
      <w:r>
        <w:t>record the loyalty of Jewish communities in Egypt to their Ptolemaic rulers</w:t>
      </w:r>
      <w:r w:rsidR="00B832A2">
        <w:t>,</w:t>
      </w:r>
      <w:r>
        <w:t xml:space="preserve"> </w:t>
      </w:r>
      <w:r w:rsidR="00B832A2">
        <w:t xml:space="preserve">while </w:t>
      </w:r>
      <w:r>
        <w:t xml:space="preserve">the corpus of Jewish papyri from Egypt </w:t>
      </w:r>
      <w:r w:rsidR="00395B03">
        <w:t xml:space="preserve">illuminates </w:t>
      </w:r>
      <w:r>
        <w:t>the lives of Jewish settlers, serving in the Ptolemaic army and administration.</w:t>
      </w:r>
      <w:r w:rsidR="00763CFF">
        <w:rPr>
          <w:rStyle w:val="FootnoteReference"/>
        </w:rPr>
        <w:footnoteReference w:id="5"/>
      </w:r>
      <w:r w:rsidR="00F07CFC">
        <w:t xml:space="preserve"> </w:t>
      </w:r>
      <w:r w:rsidR="007E2B01">
        <w:t xml:space="preserve">Against this background, Josephus’s testimony presents Cleopatra as an aberration. In so doing, he applied to the Jews the more general tendency of the Augustan </w:t>
      </w:r>
      <w:r w:rsidR="00BA498D">
        <w:t>literature</w:t>
      </w:r>
      <w:r w:rsidR="007E2B01">
        <w:t xml:space="preserve"> to </w:t>
      </w:r>
      <w:r w:rsidR="00BA498D">
        <w:t xml:space="preserve">present </w:t>
      </w:r>
      <w:r w:rsidR="007E2B01">
        <w:t xml:space="preserve">the Queen as a </w:t>
      </w:r>
      <w:r w:rsidR="00BA498D">
        <w:t>‘</w:t>
      </w:r>
      <w:r w:rsidR="007E2B01">
        <w:t>singular stain</w:t>
      </w:r>
      <w:r w:rsidR="00BA498D">
        <w:t>’</w:t>
      </w:r>
      <w:r w:rsidR="007E2B01">
        <w:t xml:space="preserve"> on her Macedonian heritage;</w:t>
      </w:r>
      <w:r w:rsidR="00BA498D">
        <w:rPr>
          <w:rStyle w:val="FootnoteReference"/>
        </w:rPr>
        <w:footnoteReference w:id="6"/>
      </w:r>
      <w:r w:rsidR="007E2B01">
        <w:t xml:space="preserve"> the last, and worst, of Ptolemaic rulers. </w:t>
      </w:r>
      <w:r w:rsidR="008C7017">
        <w:t xml:space="preserve">In </w:t>
      </w:r>
      <w:r w:rsidR="00CA075C">
        <w:t>what follows</w:t>
      </w:r>
      <w:r w:rsidR="008C7017">
        <w:t xml:space="preserve">, I attempt to open up Josephus’s evidence for closer scrutiny to see what lies beneath, </w:t>
      </w:r>
      <w:r w:rsidR="00CA075C">
        <w:t>together</w:t>
      </w:r>
      <w:r w:rsidR="008C7017">
        <w:t xml:space="preserve"> with an examination of other evidence that </w:t>
      </w:r>
      <w:r w:rsidR="00CA075C">
        <w:t>may offer</w:t>
      </w:r>
      <w:r w:rsidR="002C0C8E">
        <w:t xml:space="preserve"> </w:t>
      </w:r>
      <w:r w:rsidR="008C7017">
        <w:t>alternative perspective</w:t>
      </w:r>
      <w:r w:rsidR="002C0C8E">
        <w:t>s</w:t>
      </w:r>
      <w:r w:rsidR="008C7017">
        <w:t>.</w:t>
      </w:r>
    </w:p>
    <w:p w14:paraId="6D0B198E" w14:textId="4F8016C6" w:rsidR="00B204BD" w:rsidRDefault="00202D8B" w:rsidP="00B35E88">
      <w:pPr>
        <w:spacing w:line="360" w:lineRule="auto"/>
      </w:pPr>
      <w:r>
        <w:tab/>
      </w:r>
      <w:r w:rsidR="00487ECD">
        <w:t>I begin with Josephus on Cleopatra and the Alexandrian Jews.</w:t>
      </w:r>
      <w:r w:rsidR="00B52303">
        <w:t xml:space="preserve"> </w:t>
      </w:r>
      <w:r w:rsidR="0005778B">
        <w:t>Josephus’s</w:t>
      </w:r>
      <w:r w:rsidR="00BB6EB9">
        <w:t xml:space="preserve"> treatment of this subject forms part of an extended attack on Cleopatra in </w:t>
      </w:r>
      <w:r w:rsidR="0005778B">
        <w:t xml:space="preserve">his </w:t>
      </w:r>
      <w:r w:rsidR="00BB6EB9">
        <w:t>work</w:t>
      </w:r>
      <w:r w:rsidR="006C5F60">
        <w:t xml:space="preserve"> known as </w:t>
      </w:r>
      <w:r w:rsidR="00BB6EB9">
        <w:t xml:space="preserve">the </w:t>
      </w:r>
      <w:r w:rsidR="00BB6EB9" w:rsidRPr="00BB6EB9">
        <w:rPr>
          <w:i/>
        </w:rPr>
        <w:t>Against Apion</w:t>
      </w:r>
      <w:r w:rsidR="00B1769F">
        <w:t xml:space="preserve">. Among ancient sources, this attack may be considered, as </w:t>
      </w:r>
      <w:r w:rsidR="00D6550E">
        <w:t xml:space="preserve">Duane </w:t>
      </w:r>
      <w:r w:rsidR="00B1769F">
        <w:t>Roller observes in his recent biography of the Queen,</w:t>
      </w:r>
      <w:r w:rsidR="00BB6EB9">
        <w:t xml:space="preserve"> </w:t>
      </w:r>
      <w:r w:rsidR="00BA6202">
        <w:t>‘</w:t>
      </w:r>
      <w:r w:rsidR="00BB6EB9">
        <w:t>perhaps the most complete and concise polemic</w:t>
      </w:r>
      <w:r w:rsidR="00BA6202">
        <w:t>’</w:t>
      </w:r>
      <w:r w:rsidR="00BB6EB9">
        <w:t xml:space="preserve"> </w:t>
      </w:r>
      <w:r w:rsidR="006C5F60">
        <w:t>directed against Cleopatra’s reputation</w:t>
      </w:r>
      <w:r w:rsidR="00BB6EB9">
        <w:t>.</w:t>
      </w:r>
      <w:r w:rsidR="00BA6202">
        <w:rPr>
          <w:rStyle w:val="FootnoteReference"/>
        </w:rPr>
        <w:footnoteReference w:id="7"/>
      </w:r>
      <w:r w:rsidR="00BB6EB9">
        <w:t xml:space="preserve"> </w:t>
      </w:r>
      <w:r w:rsidR="005B226D">
        <w:t xml:space="preserve">As Josephus constructs her in the </w:t>
      </w:r>
      <w:r w:rsidR="005B226D" w:rsidRPr="005B226D">
        <w:rPr>
          <w:i/>
        </w:rPr>
        <w:t>Against Apion</w:t>
      </w:r>
      <w:r w:rsidR="005B226D">
        <w:t xml:space="preserve">, </w:t>
      </w:r>
      <w:r w:rsidR="00B06301">
        <w:t xml:space="preserve">Cleopatra committed every possible crime: against her family, her husbands, and </w:t>
      </w:r>
      <w:r w:rsidR="00BC1A15">
        <w:t xml:space="preserve">her </w:t>
      </w:r>
      <w:r w:rsidR="00BA6202">
        <w:t>‘</w:t>
      </w:r>
      <w:r w:rsidR="00BC1A15">
        <w:t>benefactors</w:t>
      </w:r>
      <w:r w:rsidR="00BA6202">
        <w:t>’</w:t>
      </w:r>
      <w:r w:rsidR="00BC1A15">
        <w:t xml:space="preserve">, </w:t>
      </w:r>
      <w:r w:rsidR="00B06301">
        <w:t xml:space="preserve">the Roman people and their </w:t>
      </w:r>
      <w:r w:rsidR="00F7368E">
        <w:t>leaders</w:t>
      </w:r>
      <w:r w:rsidR="00B06301">
        <w:t xml:space="preserve">; </w:t>
      </w:r>
      <w:r w:rsidR="00915214">
        <w:t>she murdered her siblings</w:t>
      </w:r>
      <w:r w:rsidR="00E212CA">
        <w:t xml:space="preserve">; </w:t>
      </w:r>
      <w:r w:rsidR="00915214">
        <w:t xml:space="preserve">desecrated the temples and tombs of her ancestors; </w:t>
      </w:r>
      <w:r w:rsidR="00484834">
        <w:t xml:space="preserve">her </w:t>
      </w:r>
      <w:r w:rsidR="00BA6202">
        <w:t>‘</w:t>
      </w:r>
      <w:r w:rsidR="00484834">
        <w:t>husband</w:t>
      </w:r>
      <w:r w:rsidR="00BA6202">
        <w:t>’</w:t>
      </w:r>
      <w:r w:rsidR="00484834">
        <w:t xml:space="preserve"> </w:t>
      </w:r>
      <w:r w:rsidR="00915214">
        <w:t xml:space="preserve">Antony she made a traitor to Rome, and then betrayed him herself. </w:t>
      </w:r>
      <w:r w:rsidR="00CC20A6">
        <w:t xml:space="preserve">In this great catalogue of monstrous crimes, the final place is given to Cleopatra’s </w:t>
      </w:r>
      <w:r w:rsidR="00537E01">
        <w:t>alleged hostility to the Jews of Alexandria.</w:t>
      </w:r>
      <w:r w:rsidR="00863916">
        <w:rPr>
          <w:rStyle w:val="FootnoteReference"/>
        </w:rPr>
        <w:footnoteReference w:id="8"/>
      </w:r>
    </w:p>
    <w:p w14:paraId="6D805139" w14:textId="3AB6E340" w:rsidR="0068090F" w:rsidRDefault="002A7386" w:rsidP="00B35E88">
      <w:pPr>
        <w:spacing w:line="360" w:lineRule="auto"/>
      </w:pPr>
      <w:r>
        <w:tab/>
      </w:r>
      <w:r w:rsidR="00511199">
        <w:t>As with all ou</w:t>
      </w:r>
      <w:r w:rsidR="00C77890">
        <w:t>r</w:t>
      </w:r>
      <w:r w:rsidR="00511199">
        <w:t xml:space="preserve"> literary sources for the representation of Cleopatra, the context is compl</w:t>
      </w:r>
      <w:r w:rsidR="002570EC">
        <w:t>icated</w:t>
      </w:r>
      <w:r w:rsidR="005D3319">
        <w:t xml:space="preserve">. Indeed, in </w:t>
      </w:r>
      <w:r>
        <w:t xml:space="preserve">the case of Josephus’s </w:t>
      </w:r>
      <w:r w:rsidR="00BD56E7" w:rsidRPr="006C5F60">
        <w:rPr>
          <w:i/>
        </w:rPr>
        <w:t xml:space="preserve">Against </w:t>
      </w:r>
      <w:r w:rsidRPr="002A7386">
        <w:rPr>
          <w:i/>
        </w:rPr>
        <w:t>Apion</w:t>
      </w:r>
      <w:r w:rsidR="005D3319">
        <w:t xml:space="preserve"> </w:t>
      </w:r>
      <w:r>
        <w:t xml:space="preserve">we are dealing with the polemical use of the figure of Cleopatra </w:t>
      </w:r>
      <w:r w:rsidR="0038032E">
        <w:t>in different contexts</w:t>
      </w:r>
      <w:r w:rsidR="000B3BA7">
        <w:t xml:space="preserve"> over more than a century</w:t>
      </w:r>
      <w:r w:rsidR="0038032E">
        <w:t>, and a brief look at th</w:t>
      </w:r>
      <w:r w:rsidR="009E5D02">
        <w:t>at</w:t>
      </w:r>
      <w:r w:rsidR="0038032E">
        <w:t xml:space="preserve"> background is essential for understan</w:t>
      </w:r>
      <w:r w:rsidR="00B05F0F">
        <w:t>ding what Josephus is about</w:t>
      </w:r>
      <w:r w:rsidR="0038032E">
        <w:t>.</w:t>
      </w:r>
      <w:r w:rsidR="006C5F60">
        <w:t xml:space="preserve"> </w:t>
      </w:r>
      <w:r w:rsidR="001F5B1A">
        <w:t>First</w:t>
      </w:r>
      <w:r w:rsidR="006C5F60">
        <w:t xml:space="preserve">, the </w:t>
      </w:r>
      <w:r w:rsidR="006C5F60" w:rsidRPr="006C5F60">
        <w:rPr>
          <w:i/>
        </w:rPr>
        <w:t>Against Apion</w:t>
      </w:r>
      <w:r w:rsidR="00667447">
        <w:t xml:space="preserve"> is a work </w:t>
      </w:r>
      <w:r w:rsidR="00074B18">
        <w:t>of the late first/early second centuries CE (c. 94</w:t>
      </w:r>
      <w:r w:rsidR="0033072B">
        <w:t>–</w:t>
      </w:r>
      <w:r w:rsidR="00074B18">
        <w:t>c. 105 CE),</w:t>
      </w:r>
      <w:r w:rsidR="00AE3D15">
        <w:t xml:space="preserve"> in which Josephus sets out to defend the reputation of the Jewish people against their detractors and to promote a vision of Judaism as compatible with </w:t>
      </w:r>
      <w:r w:rsidR="00EA72FA">
        <w:t>Roman values and loyalty to the Roman Empire.</w:t>
      </w:r>
      <w:r w:rsidR="00074B18">
        <w:rPr>
          <w:rStyle w:val="FootnoteReference"/>
        </w:rPr>
        <w:footnoteReference w:id="9"/>
      </w:r>
      <w:r w:rsidR="00EA72FA">
        <w:t xml:space="preserve"> </w:t>
      </w:r>
      <w:r w:rsidR="009B086C">
        <w:t>A member of the ruling class of Judaea before the war, Josephus played a leading role on the rebel side before his imprisonment by the Romans</w:t>
      </w:r>
      <w:r w:rsidR="00850FE8">
        <w:t xml:space="preserve"> in 67 CE</w:t>
      </w:r>
      <w:r w:rsidR="009B086C">
        <w:t xml:space="preserve">; in the freedom awarded by </w:t>
      </w:r>
      <w:r w:rsidR="001359C7">
        <w:t>the victors</w:t>
      </w:r>
      <w:r w:rsidR="009B086C">
        <w:t xml:space="preserve">, </w:t>
      </w:r>
      <w:r w:rsidR="001359C7">
        <w:t xml:space="preserve">Vespasian and Titus, </w:t>
      </w:r>
      <w:r w:rsidR="009B086C">
        <w:t xml:space="preserve">Josephus dedicated his life to writing </w:t>
      </w:r>
      <w:r w:rsidR="001359C7">
        <w:t xml:space="preserve">in defence of the </w:t>
      </w:r>
      <w:r w:rsidR="009B086C">
        <w:t xml:space="preserve">Jewish </w:t>
      </w:r>
      <w:r w:rsidR="001359C7">
        <w:t>people</w:t>
      </w:r>
      <w:r w:rsidR="00395359">
        <w:t xml:space="preserve">. </w:t>
      </w:r>
      <w:r w:rsidR="00CC71CA">
        <w:t xml:space="preserve">Older </w:t>
      </w:r>
      <w:r w:rsidR="00650831">
        <w:t>studies</w:t>
      </w:r>
      <w:r w:rsidR="00F511EC">
        <w:t xml:space="preserve"> </w:t>
      </w:r>
      <w:r w:rsidR="00B806F2">
        <w:t>often portrayed</w:t>
      </w:r>
      <w:r w:rsidR="00CC71CA">
        <w:t xml:space="preserve"> Josephus </w:t>
      </w:r>
      <w:r w:rsidR="00B806F2">
        <w:t>as</w:t>
      </w:r>
      <w:r w:rsidR="00CC71CA">
        <w:t xml:space="preserve"> traitor to the Jewish cause; the Roman lackey, living a life of ease in the household of the emperors who made their name with the destruction of Jerusalem. A very different </w:t>
      </w:r>
      <w:r w:rsidR="005422EB">
        <w:t xml:space="preserve">and more complex </w:t>
      </w:r>
      <w:r w:rsidR="00CC71CA">
        <w:t>p</w:t>
      </w:r>
      <w:r w:rsidR="004F4A9F">
        <w:t xml:space="preserve">ortrait of Josephus </w:t>
      </w:r>
      <w:r w:rsidR="00CC71CA">
        <w:t xml:space="preserve">emerges </w:t>
      </w:r>
      <w:r w:rsidR="00B03B27">
        <w:t>in modern scholarship</w:t>
      </w:r>
      <w:r w:rsidR="004F4A9F">
        <w:t xml:space="preserve">: </w:t>
      </w:r>
      <w:r w:rsidR="00F511EC">
        <w:t xml:space="preserve">a courageous and loyal Jew, </w:t>
      </w:r>
      <w:r w:rsidR="00C4765E">
        <w:t>working</w:t>
      </w:r>
      <w:r w:rsidR="00BF1735">
        <w:t xml:space="preserve"> </w:t>
      </w:r>
      <w:r w:rsidR="00F511EC">
        <w:t>in a context deeply hostile towards Jews.</w:t>
      </w:r>
      <w:r w:rsidR="00F832F1">
        <w:t xml:space="preserve"> As a matter of imperial policy, all Jews of the Roman Empire were </w:t>
      </w:r>
      <w:r w:rsidR="001F5F1B">
        <w:t>punished</w:t>
      </w:r>
      <w:r w:rsidR="002709F2">
        <w:t xml:space="preserve"> </w:t>
      </w:r>
      <w:r w:rsidR="00F832F1">
        <w:t xml:space="preserve">for the revolt in Judaea </w:t>
      </w:r>
      <w:r w:rsidR="004E453B">
        <w:t>(66</w:t>
      </w:r>
      <w:r w:rsidR="00E4491A">
        <w:rPr>
          <w:sz w:val="20"/>
          <w:szCs w:val="20"/>
        </w:rPr>
        <w:t>–</w:t>
      </w:r>
      <w:r w:rsidR="004E453B">
        <w:t xml:space="preserve">73/4 CE) </w:t>
      </w:r>
      <w:r w:rsidR="00F832F1">
        <w:t xml:space="preserve">through the imposition of </w:t>
      </w:r>
      <w:r w:rsidR="009E5D02">
        <w:t xml:space="preserve">the </w:t>
      </w:r>
      <w:r w:rsidR="009E5D02" w:rsidRPr="009E5D02">
        <w:rPr>
          <w:i/>
        </w:rPr>
        <w:t>fiscus iudaicus</w:t>
      </w:r>
      <w:r w:rsidR="00F832F1">
        <w:t xml:space="preserve">; the propaganda of the </w:t>
      </w:r>
      <w:r w:rsidR="00673173">
        <w:t xml:space="preserve">emperors promoted their </w:t>
      </w:r>
      <w:r w:rsidR="00E87E37">
        <w:t xml:space="preserve">own </w:t>
      </w:r>
      <w:r w:rsidR="00673173">
        <w:t>role as savio</w:t>
      </w:r>
      <w:r w:rsidR="009E5D02">
        <w:t>u</w:t>
      </w:r>
      <w:r w:rsidR="00673173">
        <w:t xml:space="preserve">rs of the </w:t>
      </w:r>
      <w:r w:rsidR="001F5F1B">
        <w:t>Roman</w:t>
      </w:r>
      <w:r w:rsidR="00673173">
        <w:t xml:space="preserve"> people by emphasizing the magnitude of the Jewish threat </w:t>
      </w:r>
      <w:r w:rsidR="00DD277B">
        <w:t xml:space="preserve">that </w:t>
      </w:r>
      <w:r w:rsidR="00673173">
        <w:t xml:space="preserve">they had crushed. </w:t>
      </w:r>
      <w:r w:rsidR="009F5811">
        <w:t>In the decades after the destruction of Jerusalem</w:t>
      </w:r>
      <w:r w:rsidR="00E420AC">
        <w:t xml:space="preserve">, the Roman world </w:t>
      </w:r>
      <w:r w:rsidR="009F5811">
        <w:t>was no</w:t>
      </w:r>
      <w:r w:rsidR="004E453B">
        <w:t>t a comfortable place for Jews—not at all—</w:t>
      </w:r>
      <w:r w:rsidR="00F220BC">
        <w:t>and Josephus</w:t>
      </w:r>
      <w:r w:rsidR="006644C0">
        <w:t>’s work is a powerful witness to that fact</w:t>
      </w:r>
      <w:r w:rsidR="00F220BC">
        <w:t>.</w:t>
      </w:r>
      <w:r w:rsidR="004F4A9F">
        <w:rPr>
          <w:rStyle w:val="FootnoteReference"/>
        </w:rPr>
        <w:footnoteReference w:id="10"/>
      </w:r>
      <w:r w:rsidR="004F4A9F">
        <w:t xml:space="preserve"> </w:t>
      </w:r>
      <w:r w:rsidR="00673173">
        <w:t xml:space="preserve">  </w:t>
      </w:r>
      <w:r w:rsidR="00F832F1">
        <w:t xml:space="preserve">  </w:t>
      </w:r>
      <w:r w:rsidR="009A4936">
        <w:t xml:space="preserve"> </w:t>
      </w:r>
    </w:p>
    <w:p w14:paraId="6915DF2A" w14:textId="09BADCFF" w:rsidR="00202D8B" w:rsidRDefault="001834F0" w:rsidP="00B35E88">
      <w:pPr>
        <w:spacing w:line="360" w:lineRule="auto"/>
      </w:pPr>
      <w:r>
        <w:tab/>
        <w:t xml:space="preserve">The </w:t>
      </w:r>
      <w:r w:rsidR="009A4936" w:rsidRPr="009A4936">
        <w:rPr>
          <w:i/>
        </w:rPr>
        <w:t>Against Apion</w:t>
      </w:r>
      <w:r w:rsidR="009A4936">
        <w:t xml:space="preserve"> is a deeply apologetic work, </w:t>
      </w:r>
      <w:r w:rsidR="0012365B">
        <w:t xml:space="preserve">explicitly formulated as a response to specific accusations against the Jews and Jewish customs, and </w:t>
      </w:r>
      <w:r w:rsidR="00A50DAE">
        <w:t>filled with features</w:t>
      </w:r>
      <w:r w:rsidR="00A0069D">
        <w:t xml:space="preserve"> that look designed to appeal to Roman readers – with an emphasis on the venerable antiquity of the Jews and the </w:t>
      </w:r>
      <w:r w:rsidR="00FB7DB4">
        <w:t>harmonious relationship between</w:t>
      </w:r>
      <w:r w:rsidR="00A0069D">
        <w:t xml:space="preserve"> the authentic Jewish way of life </w:t>
      </w:r>
      <w:r w:rsidR="00AC54AE">
        <w:t>and</w:t>
      </w:r>
      <w:r w:rsidR="00A0069D">
        <w:t xml:space="preserve"> loyalty to Rome and traditional Roman values.</w:t>
      </w:r>
      <w:r w:rsidR="00996874">
        <w:rPr>
          <w:rStyle w:val="FootnoteReference"/>
        </w:rPr>
        <w:footnoteReference w:id="11"/>
      </w:r>
      <w:r w:rsidR="00996874">
        <w:t xml:space="preserve"> At the heart of this work is a long, sustained refutation of hostile statements made by Greek</w:t>
      </w:r>
      <w:r w:rsidR="00AE19B6">
        <w:t>-writing</w:t>
      </w:r>
      <w:r w:rsidR="00996874">
        <w:t xml:space="preserve"> authors against Jews and Judaism.</w:t>
      </w:r>
      <w:r w:rsidR="003F391A">
        <w:rPr>
          <w:rStyle w:val="FootnoteReference"/>
        </w:rPr>
        <w:footnoteReference w:id="12"/>
      </w:r>
      <w:r w:rsidR="00996874">
        <w:t xml:space="preserve"> Among these, the final example is </w:t>
      </w:r>
      <w:r w:rsidR="00405897">
        <w:t xml:space="preserve">represented by </w:t>
      </w:r>
      <w:r w:rsidR="00996874">
        <w:t xml:space="preserve">the figure of Apion of Alexandria, the eponymous villain of the book’s </w:t>
      </w:r>
      <w:r w:rsidR="009A1DE6">
        <w:t>best-known</w:t>
      </w:r>
      <w:r w:rsidR="00996874">
        <w:t xml:space="preserve"> title.</w:t>
      </w:r>
      <w:r w:rsidR="005422EB">
        <w:rPr>
          <w:rStyle w:val="FootnoteReference"/>
        </w:rPr>
        <w:footnoteReference w:id="13"/>
      </w:r>
      <w:r w:rsidR="00BF0540">
        <w:t xml:space="preserve"> It is Apion, according to Josephus, who was </w:t>
      </w:r>
      <w:r w:rsidR="00756056">
        <w:t xml:space="preserve">apparently </w:t>
      </w:r>
      <w:r w:rsidR="00BF0540">
        <w:t>the source for the allegation that Cleopatra VII treated the Jews of Alexandria badly.</w:t>
      </w:r>
      <w:r w:rsidR="005949D3">
        <w:rPr>
          <w:rStyle w:val="FootnoteReference"/>
        </w:rPr>
        <w:footnoteReference w:id="14"/>
      </w:r>
      <w:r w:rsidR="00BF0540">
        <w:t xml:space="preserve"> Josephus aims to turn this charge around to benefit the reputation of the Jews</w:t>
      </w:r>
      <w:r w:rsidR="00D31759">
        <w:t>, assuming his readers’ familiarity with the deeply negative reputation of Cleopatra in Rome</w:t>
      </w:r>
      <w:r w:rsidR="00BF0540">
        <w:t xml:space="preserve">: if the Roman people and its government were Cleopatra’s deadly enemies, then </w:t>
      </w:r>
      <w:r w:rsidR="00756056">
        <w:t xml:space="preserve">‘we’ </w:t>
      </w:r>
      <w:r w:rsidR="00BF0540">
        <w:t xml:space="preserve">Jews should be glorified, not maligned, for finding </w:t>
      </w:r>
      <w:r w:rsidR="00756056">
        <w:t>‘our</w:t>
      </w:r>
      <w:r w:rsidR="00405897">
        <w:t>selves</w:t>
      </w:r>
      <w:r w:rsidR="00756056">
        <w:t>’</w:t>
      </w:r>
      <w:r w:rsidR="00405897">
        <w:t xml:space="preserve"> </w:t>
      </w:r>
      <w:r w:rsidR="00BF0540">
        <w:t>also abused by this monstrous queen.</w:t>
      </w:r>
      <w:r w:rsidR="00756056">
        <w:rPr>
          <w:rStyle w:val="FootnoteReference"/>
        </w:rPr>
        <w:footnoteReference w:id="15"/>
      </w:r>
      <w:r w:rsidR="00D066C8">
        <w:t xml:space="preserve"> In fact, </w:t>
      </w:r>
      <w:r w:rsidR="00C62C9C">
        <w:t xml:space="preserve">the strength of </w:t>
      </w:r>
      <w:r w:rsidR="00D066C8">
        <w:t xml:space="preserve">Josephus’s argument is unimpressive on this point: the list of murders, sacrilege and betrayals </w:t>
      </w:r>
      <w:r w:rsidR="005361D7">
        <w:t>attributed to</w:t>
      </w:r>
      <w:r w:rsidR="00D066C8">
        <w:t xml:space="preserve"> the Queen climaxes in her omission of the Jews from </w:t>
      </w:r>
      <w:r w:rsidR="00A32840">
        <w:t xml:space="preserve">a distribution of </w:t>
      </w:r>
      <w:r w:rsidR="00D066C8">
        <w:t xml:space="preserve">grain </w:t>
      </w:r>
      <w:r w:rsidR="00A32840">
        <w:t>in</w:t>
      </w:r>
      <w:r w:rsidR="00D066C8">
        <w:t xml:space="preserve"> time of famine.</w:t>
      </w:r>
      <w:r w:rsidR="00245BFE">
        <w:rPr>
          <w:rStyle w:val="FootnoteReference"/>
        </w:rPr>
        <w:footnoteReference w:id="16"/>
      </w:r>
      <w:r w:rsidR="00D066C8">
        <w:t xml:space="preserve"> </w:t>
      </w:r>
    </w:p>
    <w:p w14:paraId="28AE1870" w14:textId="791B3A0A" w:rsidR="0038426C" w:rsidRDefault="009306DE" w:rsidP="00B35E88">
      <w:pPr>
        <w:spacing w:line="360" w:lineRule="auto"/>
      </w:pPr>
      <w:r>
        <w:tab/>
        <w:t xml:space="preserve">The charge that Cleopatra was hostile to the Jews of Alexandria </w:t>
      </w:r>
      <w:r w:rsidR="00526D95">
        <w:t>has</w:t>
      </w:r>
      <w:r>
        <w:t xml:space="preserve"> often </w:t>
      </w:r>
      <w:r w:rsidR="00526D95">
        <w:t xml:space="preserve">been </w:t>
      </w:r>
      <w:r>
        <w:t>accepted at face value.</w:t>
      </w:r>
      <w:r w:rsidR="0082029B">
        <w:t xml:space="preserve"> The </w:t>
      </w:r>
      <w:r w:rsidR="00112BC6">
        <w:t xml:space="preserve">great Thackeray, editor of the 1926 </w:t>
      </w:r>
      <w:r w:rsidR="0082029B">
        <w:t xml:space="preserve">Loeb edition of </w:t>
      </w:r>
      <w:r w:rsidR="00112BC6">
        <w:t xml:space="preserve">the </w:t>
      </w:r>
      <w:r w:rsidR="0082029B" w:rsidRPr="00112BC6">
        <w:rPr>
          <w:i/>
        </w:rPr>
        <w:t>Against Apion</w:t>
      </w:r>
      <w:r w:rsidR="008942D0">
        <w:t xml:space="preserve">, </w:t>
      </w:r>
      <w:r w:rsidR="00112BC6">
        <w:t xml:space="preserve">still </w:t>
      </w:r>
      <w:r w:rsidR="00847DE5">
        <w:t>a great standard</w:t>
      </w:r>
      <w:r w:rsidR="008942D0">
        <w:t xml:space="preserve"> in scholarship,</w:t>
      </w:r>
      <w:r w:rsidR="00112BC6">
        <w:t xml:space="preserve"> entitles this section </w:t>
      </w:r>
      <w:r w:rsidR="00F46966">
        <w:t>‘</w:t>
      </w:r>
      <w:r w:rsidR="00112BC6">
        <w:t>Persecution by the infamous Cleopatra</w:t>
      </w:r>
      <w:r w:rsidR="00F46966">
        <w:t>’</w:t>
      </w:r>
      <w:r w:rsidR="00112BC6">
        <w:t>.</w:t>
      </w:r>
      <w:r w:rsidR="00F46966">
        <w:rPr>
          <w:rStyle w:val="FootnoteReference"/>
        </w:rPr>
        <w:footnoteReference w:id="17"/>
      </w:r>
      <w:r w:rsidR="00112BC6">
        <w:t xml:space="preserve"> </w:t>
      </w:r>
      <w:r w:rsidR="00163F80">
        <w:t xml:space="preserve">However, there are good reasons to be cautious about the reliability of this allegation against </w:t>
      </w:r>
      <w:r w:rsidR="008E0A5B">
        <w:t>the Queen</w:t>
      </w:r>
      <w:r w:rsidR="00163F80">
        <w:t xml:space="preserve">. </w:t>
      </w:r>
      <w:r w:rsidR="00B71D0E">
        <w:t xml:space="preserve">First of all, it relies on the testimony of Apion, as mediated through Josephus. A contemporary of neither Cleopatra nor Josephus, </w:t>
      </w:r>
      <w:r w:rsidR="00A04937">
        <w:t xml:space="preserve">Apion was </w:t>
      </w:r>
      <w:r w:rsidR="00B71D0E">
        <w:t xml:space="preserve">an Alexandrian scholar of the first half of the first century CE, famous for his commentaries on the classics of Greek literature but </w:t>
      </w:r>
      <w:r w:rsidR="00BB6EE3">
        <w:t xml:space="preserve">also </w:t>
      </w:r>
      <w:r w:rsidR="00B71D0E">
        <w:t xml:space="preserve">with a mixed reputation, based on </w:t>
      </w:r>
      <w:r w:rsidR="00772F12">
        <w:t xml:space="preserve">his publishing </w:t>
      </w:r>
      <w:r w:rsidR="001A1D0B">
        <w:t xml:space="preserve">some </w:t>
      </w:r>
      <w:r w:rsidR="00772F12">
        <w:t xml:space="preserve">manifestly </w:t>
      </w:r>
      <w:r w:rsidR="001A1D0B">
        <w:t xml:space="preserve">outlandish </w:t>
      </w:r>
      <w:r w:rsidR="00772F12">
        <w:t>lies</w:t>
      </w:r>
      <w:r w:rsidR="001A1D0B">
        <w:t>.</w:t>
      </w:r>
      <w:r w:rsidR="005361D7">
        <w:rPr>
          <w:rStyle w:val="FootnoteReference"/>
        </w:rPr>
        <w:footnoteReference w:id="18"/>
      </w:r>
      <w:r w:rsidR="001A1D0B">
        <w:t xml:space="preserve"> </w:t>
      </w:r>
      <w:r w:rsidR="00450323">
        <w:t>Apion’s many works are all lost</w:t>
      </w:r>
      <w:r w:rsidR="0061342B">
        <w:t>,</w:t>
      </w:r>
      <w:r w:rsidR="00450323">
        <w:t xml:space="preserve"> preserved </w:t>
      </w:r>
      <w:r w:rsidR="0061342B">
        <w:t xml:space="preserve">only in </w:t>
      </w:r>
      <w:r w:rsidR="008C7AB4">
        <w:t xml:space="preserve">fragments in </w:t>
      </w:r>
      <w:r w:rsidR="0061342B">
        <w:t>the works</w:t>
      </w:r>
      <w:r w:rsidR="00450323">
        <w:t xml:space="preserve"> of authors like Josephus</w:t>
      </w:r>
      <w:r w:rsidR="00A41970">
        <w:t>,</w:t>
      </w:r>
      <w:r w:rsidR="00450323">
        <w:t xml:space="preserve"> who uses them to his own end.</w:t>
      </w:r>
      <w:r w:rsidR="00EF0D03">
        <w:rPr>
          <w:rStyle w:val="FootnoteReference"/>
        </w:rPr>
        <w:footnoteReference w:id="19"/>
      </w:r>
      <w:r w:rsidR="00650D9B">
        <w:t xml:space="preserve"> </w:t>
      </w:r>
      <w:r w:rsidR="006A2900">
        <w:t xml:space="preserve">As his source for Apion’s statements on the Jews, Josephus drew on Apion’s </w:t>
      </w:r>
      <w:r w:rsidR="00F23FE0">
        <w:t>five</w:t>
      </w:r>
      <w:r w:rsidR="00650D9B">
        <w:t xml:space="preserve">-volume work on Egyptian topics, the </w:t>
      </w:r>
      <w:r w:rsidR="00650D9B" w:rsidRPr="00650D9B">
        <w:rPr>
          <w:i/>
        </w:rPr>
        <w:t>Aig</w:t>
      </w:r>
      <w:r w:rsidR="00B17D3F">
        <w:rPr>
          <w:i/>
        </w:rPr>
        <w:t>y</w:t>
      </w:r>
      <w:r w:rsidR="00650D9B" w:rsidRPr="00650D9B">
        <w:rPr>
          <w:i/>
        </w:rPr>
        <w:t>ptiaka</w:t>
      </w:r>
      <w:r w:rsidR="006A2900">
        <w:t>.</w:t>
      </w:r>
      <w:r w:rsidR="00613431">
        <w:rPr>
          <w:rStyle w:val="FootnoteReference"/>
        </w:rPr>
        <w:footnoteReference w:id="20"/>
      </w:r>
      <w:r w:rsidR="00650D9B">
        <w:t xml:space="preserve"> This was no systematic </w:t>
      </w:r>
      <w:r w:rsidR="00C476E9">
        <w:t xml:space="preserve">treatise </w:t>
      </w:r>
      <w:r w:rsidR="00650D9B">
        <w:t xml:space="preserve">against the Jews, </w:t>
      </w:r>
      <w:r w:rsidR="00C476E9">
        <w:t xml:space="preserve">but, in the extracts preserved by Josephus, </w:t>
      </w:r>
      <w:r w:rsidR="00666301">
        <w:t>Apion had created</w:t>
      </w:r>
      <w:r w:rsidR="00C476E9">
        <w:t xml:space="preserve"> a hostile and unflattering portrait of the Jews and their ancestors. </w:t>
      </w:r>
      <w:r w:rsidR="00E9653C">
        <w:t xml:space="preserve">A major part of this material dealt with Apion’s contempt for the idea that Jews could be called ‘Alexandrians’, even though </w:t>
      </w:r>
      <w:r w:rsidR="00165174">
        <w:t>Jews</w:t>
      </w:r>
      <w:r w:rsidR="00E9653C">
        <w:t xml:space="preserve"> did not worship the gods of the city.</w:t>
      </w:r>
      <w:r w:rsidR="00613431">
        <w:rPr>
          <w:rStyle w:val="FootnoteReference"/>
        </w:rPr>
        <w:footnoteReference w:id="21"/>
      </w:r>
      <w:r w:rsidR="008A6EA3">
        <w:t xml:space="preserve"> It is in this </w:t>
      </w:r>
      <w:r w:rsidR="0035657A">
        <w:t xml:space="preserve">broader </w:t>
      </w:r>
      <w:r w:rsidR="008A6EA3">
        <w:t>context that Josephus locates Apion’s remarks about Cleopatra and the Jews.</w:t>
      </w:r>
      <w:r w:rsidR="008635E3">
        <w:t xml:space="preserve"> We also know from Josephus that Apion played a leading role in the politics surrounding the crisis of 38 CE, when </w:t>
      </w:r>
      <w:r w:rsidR="001E19EC">
        <w:t xml:space="preserve">a faction of the Greek elite </w:t>
      </w:r>
      <w:r w:rsidR="00CA6D78">
        <w:t>in Alexandria</w:t>
      </w:r>
      <w:r w:rsidR="001E19EC">
        <w:t xml:space="preserve"> led an attack on</w:t>
      </w:r>
      <w:r w:rsidR="008635E3">
        <w:t xml:space="preserve"> Jewish civic rights in </w:t>
      </w:r>
      <w:r w:rsidR="00CA6D78">
        <w:t>that city</w:t>
      </w:r>
      <w:r w:rsidR="001E19EC">
        <w:t>, culminating</w:t>
      </w:r>
      <w:r w:rsidR="008635E3">
        <w:t xml:space="preserve"> </w:t>
      </w:r>
      <w:r w:rsidR="001E19EC">
        <w:t>in</w:t>
      </w:r>
      <w:r w:rsidR="00C76DAD">
        <w:t xml:space="preserve"> </w:t>
      </w:r>
      <w:r w:rsidR="003B70E0">
        <w:t>an outbreak of extreme violence against the Jews.</w:t>
      </w:r>
      <w:r w:rsidR="00E77044">
        <w:t xml:space="preserve"> Apion led an embassy to the emperor Gaius Caligula to put the case for the Greeks; Philo, the </w:t>
      </w:r>
      <w:r w:rsidR="008C7EAE">
        <w:t xml:space="preserve">outstanding </w:t>
      </w:r>
      <w:r w:rsidR="00E77044">
        <w:t xml:space="preserve">Jewish </w:t>
      </w:r>
      <w:r w:rsidR="008C7EAE">
        <w:t>scholar</w:t>
      </w:r>
      <w:r w:rsidR="00EC1F6A">
        <w:t xml:space="preserve"> of the time</w:t>
      </w:r>
      <w:r w:rsidR="00E77044">
        <w:t>, headed up the delegation t</w:t>
      </w:r>
      <w:r w:rsidR="006E5E73">
        <w:t>o speak for the Jews of Alexandria</w:t>
      </w:r>
      <w:r w:rsidR="00E77044">
        <w:t>.</w:t>
      </w:r>
      <w:r w:rsidR="00CA6D78">
        <w:rPr>
          <w:rStyle w:val="FootnoteReference"/>
        </w:rPr>
        <w:footnoteReference w:id="22"/>
      </w:r>
      <w:r w:rsidR="00B31122">
        <w:t xml:space="preserve"> The precise nature </w:t>
      </w:r>
      <w:r w:rsidR="001071AA">
        <w:t xml:space="preserve">and cause </w:t>
      </w:r>
      <w:r w:rsidR="00B31122">
        <w:t>of the dispute is impossible to determine from the evidence</w:t>
      </w:r>
      <w:r w:rsidR="008F3AE5">
        <w:t xml:space="preserve"> availa</w:t>
      </w:r>
      <w:r w:rsidR="00673C98">
        <w:t>ble.</w:t>
      </w:r>
      <w:r w:rsidR="00C73B0A">
        <w:rPr>
          <w:rStyle w:val="FootnoteReference"/>
        </w:rPr>
        <w:footnoteReference w:id="23"/>
      </w:r>
      <w:r w:rsidR="00673C98">
        <w:t xml:space="preserve"> Philo, our chief source for events, emphasizes the wholly unprecedented character of the attempt to destroy the civic privileges of the Jewish community, </w:t>
      </w:r>
      <w:r w:rsidR="005A47EA">
        <w:t>above all</w:t>
      </w:r>
      <w:r w:rsidR="00673C98">
        <w:t xml:space="preserve"> the right of Jews to observe their ancestral customs without compromising the fundamental Jewish prohibiti</w:t>
      </w:r>
      <w:r w:rsidR="0038426C">
        <w:t>on of worshipping other gods.</w:t>
      </w:r>
      <w:r w:rsidR="004A21E7">
        <w:rPr>
          <w:rStyle w:val="FootnoteReference"/>
        </w:rPr>
        <w:footnoteReference w:id="24"/>
      </w:r>
      <w:r w:rsidR="0038426C">
        <w:t xml:space="preserve"> </w:t>
      </w:r>
      <w:r w:rsidR="001323FF">
        <w:t>The matters brought before Gaius, so Philo states, h</w:t>
      </w:r>
      <w:r w:rsidR="009F126D">
        <w:t xml:space="preserve">ad not been brought up for four </w:t>
      </w:r>
      <w:r w:rsidR="001323FF">
        <w:t>hundred years;</w:t>
      </w:r>
      <w:r w:rsidR="001323FF">
        <w:rPr>
          <w:rStyle w:val="FootnoteReference"/>
        </w:rPr>
        <w:footnoteReference w:id="25"/>
      </w:r>
      <w:r w:rsidR="001323FF">
        <w:t xml:space="preserve"> in other words, at no time since the conquest of Egypt by Alexander the Great and his foundation of the city of Alexandria. </w:t>
      </w:r>
      <w:r w:rsidR="00B71D10">
        <w:t xml:space="preserve">Under all the Ptolemaic monarchs, Philo declares, Jews were permitted to show their loyalty </w:t>
      </w:r>
      <w:r w:rsidR="00F24430">
        <w:t xml:space="preserve">to the crown </w:t>
      </w:r>
      <w:r w:rsidR="00B71D10">
        <w:t xml:space="preserve">by making offerings </w:t>
      </w:r>
      <w:r w:rsidR="003F647A">
        <w:t xml:space="preserve">to God </w:t>
      </w:r>
      <w:r w:rsidR="00B71D10">
        <w:t>on behalf</w:t>
      </w:r>
      <w:r w:rsidR="005C10C5">
        <w:t xml:space="preserve"> of the monarchs, a way of hono</w:t>
      </w:r>
      <w:r w:rsidR="00512F66">
        <w:t>u</w:t>
      </w:r>
      <w:r w:rsidR="00B71D10">
        <w:t xml:space="preserve">ring their rulers without taking part in the city’s cults </w:t>
      </w:r>
      <w:r w:rsidR="00C223B1">
        <w:t>of the deified Ptolemies</w:t>
      </w:r>
      <w:r w:rsidR="00B71D10">
        <w:t>.</w:t>
      </w:r>
      <w:r w:rsidR="000F6A2C">
        <w:rPr>
          <w:rStyle w:val="FootnoteReference"/>
        </w:rPr>
        <w:footnoteReference w:id="26"/>
      </w:r>
      <w:r w:rsidR="00B71D10">
        <w:t xml:space="preserve"> Philo leaves us in no doubt that this was also the situation under Cleopatra </w:t>
      </w:r>
      <w:r w:rsidR="00FA7CE6">
        <w:t xml:space="preserve">VII </w:t>
      </w:r>
      <w:r w:rsidR="00B71D10">
        <w:t xml:space="preserve">and that </w:t>
      </w:r>
      <w:r w:rsidR="00CB154B">
        <w:t>the policy</w:t>
      </w:r>
      <w:r w:rsidR="00B71D10">
        <w:t xml:space="preserve"> continued under </w:t>
      </w:r>
      <w:r w:rsidR="00CB154B">
        <w:t>the rule of Roman emperors</w:t>
      </w:r>
      <w:r w:rsidR="00B71D10">
        <w:t xml:space="preserve"> until the accession of the lunatic Gaius Caligula</w:t>
      </w:r>
      <w:r w:rsidR="00A959D4">
        <w:t>,</w:t>
      </w:r>
      <w:r w:rsidR="00B71D10">
        <w:t xml:space="preserve"> who declared himself a god.</w:t>
      </w:r>
      <w:r w:rsidR="00FD599A">
        <w:t xml:space="preserve"> It was only then that a certain faction in Alexandria, among whom we should include Apion</w:t>
      </w:r>
      <w:r w:rsidR="000576F5">
        <w:t xml:space="preserve"> (not named by Philo)</w:t>
      </w:r>
      <w:r w:rsidR="00FD599A">
        <w:t>, stirred up accusations against the Jews that their refusal to worship the emperor was</w:t>
      </w:r>
      <w:r w:rsidR="00150728">
        <w:t xml:space="preserve">, in effect, treason. </w:t>
      </w:r>
      <w:r w:rsidR="00160D33">
        <w:t xml:space="preserve">Against this background, it seems that part of Apion’s argument was that Cleopatra’s treatment of the Jews confirmed that they lacked civic privileges and that this state of affairs was also reflected in </w:t>
      </w:r>
      <w:r w:rsidR="00502672">
        <w:t xml:space="preserve">later </w:t>
      </w:r>
      <w:r w:rsidR="00160D33">
        <w:t>Roman policy</w:t>
      </w:r>
      <w:r w:rsidR="00E071CC">
        <w:t xml:space="preserve"> towards the Jews</w:t>
      </w:r>
      <w:r w:rsidR="00160D33">
        <w:t>.</w:t>
      </w:r>
      <w:r w:rsidR="001D7AA9">
        <w:rPr>
          <w:rStyle w:val="FootnoteReference"/>
        </w:rPr>
        <w:footnoteReference w:id="27"/>
      </w:r>
    </w:p>
    <w:p w14:paraId="39FDEE5D" w14:textId="76CCCA24" w:rsidR="0038426C" w:rsidRDefault="004D1C32" w:rsidP="00B35E88">
      <w:pPr>
        <w:spacing w:line="360" w:lineRule="auto"/>
      </w:pPr>
      <w:r>
        <w:tab/>
        <w:t xml:space="preserve">But what did Apion </w:t>
      </w:r>
      <w:r w:rsidR="00CD0E61">
        <w:t xml:space="preserve">really </w:t>
      </w:r>
      <w:r>
        <w:t xml:space="preserve">say? We only have access to his words </w:t>
      </w:r>
      <w:r w:rsidR="00927DC3">
        <w:t xml:space="preserve">on these matters </w:t>
      </w:r>
      <w:r w:rsidR="00961C35">
        <w:t>th</w:t>
      </w:r>
      <w:r w:rsidR="005361D7">
        <w:t>r</w:t>
      </w:r>
      <w:r w:rsidR="00961C35">
        <w:t xml:space="preserve">ough Josephus; and </w:t>
      </w:r>
      <w:r w:rsidR="005361D7">
        <w:t xml:space="preserve">we have </w:t>
      </w:r>
      <w:r w:rsidR="00961C35">
        <w:t>access to Josephus</w:t>
      </w:r>
      <w:r w:rsidR="00927DC3">
        <w:t>’ Greek original</w:t>
      </w:r>
      <w:r w:rsidR="00961C35">
        <w:t xml:space="preserve"> only through a </w:t>
      </w:r>
      <w:r w:rsidR="0065576D">
        <w:t>sixth</w:t>
      </w:r>
      <w:r w:rsidR="00961C35">
        <w:t>-century Latin translation</w:t>
      </w:r>
      <w:r w:rsidR="00EE59B0">
        <w:t xml:space="preserve"> (of variable reliability).</w:t>
      </w:r>
      <w:r w:rsidR="00927DC3">
        <w:rPr>
          <w:rStyle w:val="FootnoteReference"/>
        </w:rPr>
        <w:footnoteReference w:id="28"/>
      </w:r>
      <w:r w:rsidR="00EE59B0">
        <w:t xml:space="preserve"> In this context, the introduction to Apion’s statement about Cleopatra reads as follows:</w:t>
      </w:r>
    </w:p>
    <w:p w14:paraId="7372297A" w14:textId="77777777" w:rsidR="00EE59B0" w:rsidRDefault="00EE59B0" w:rsidP="00B35E88">
      <w:pPr>
        <w:spacing w:line="360" w:lineRule="auto"/>
      </w:pPr>
    </w:p>
    <w:p w14:paraId="733DD726" w14:textId="7BA58EF1" w:rsidR="00AC7385" w:rsidRDefault="00EE59B0" w:rsidP="00B35E88">
      <w:pPr>
        <w:spacing w:line="360" w:lineRule="auto"/>
      </w:pPr>
      <w:r>
        <w:tab/>
        <w:t xml:space="preserve">(Apion) also mentioned Cleopatra, the last queen of the Alexandrians, as if it </w:t>
      </w:r>
      <w:r w:rsidR="006F4382">
        <w:tab/>
        <w:t xml:space="preserve">were a matter of </w:t>
      </w:r>
      <w:r>
        <w:t xml:space="preserve">reproach against us that she was ungracious (or ungrateful) </w:t>
      </w:r>
      <w:r w:rsidR="006F4382">
        <w:tab/>
        <w:t xml:space="preserve">towards us </w:t>
      </w:r>
      <w:r>
        <w:t>(</w:t>
      </w:r>
      <w:r w:rsidRPr="00EE59B0">
        <w:rPr>
          <w:i/>
        </w:rPr>
        <w:t>nos fuit ingrata</w:t>
      </w:r>
      <w:r>
        <w:t>)</w:t>
      </w:r>
      <w:r w:rsidR="00A94601">
        <w:t xml:space="preserve">, instead of </w:t>
      </w:r>
      <w:r w:rsidR="006316BA">
        <w:t>using his energy to indict her.</w:t>
      </w:r>
      <w:r w:rsidR="006316BA">
        <w:rPr>
          <w:rStyle w:val="FootnoteReference"/>
        </w:rPr>
        <w:footnoteReference w:id="29"/>
      </w:r>
    </w:p>
    <w:p w14:paraId="3FC6C2ED" w14:textId="77777777" w:rsidR="00AC7385" w:rsidRDefault="00AC7385" w:rsidP="00B35E88">
      <w:pPr>
        <w:spacing w:line="360" w:lineRule="auto"/>
      </w:pPr>
    </w:p>
    <w:p w14:paraId="4117933E" w14:textId="5B4B6123" w:rsidR="00346F91" w:rsidRDefault="00AC7385" w:rsidP="00B35E88">
      <w:pPr>
        <w:spacing w:line="360" w:lineRule="auto"/>
      </w:pPr>
      <w:r>
        <w:t xml:space="preserve">Since Apion failed to condemn the Queen, </w:t>
      </w:r>
      <w:r w:rsidR="005A01CE">
        <w:t xml:space="preserve">as (Josephus implies) he should have done, </w:t>
      </w:r>
      <w:r>
        <w:t xml:space="preserve">Josephus </w:t>
      </w:r>
      <w:r w:rsidR="00E25AE7">
        <w:t xml:space="preserve">lists her </w:t>
      </w:r>
      <w:r w:rsidR="00BA6ACF">
        <w:t xml:space="preserve">alleged </w:t>
      </w:r>
      <w:r w:rsidR="00E25AE7">
        <w:t>crimes</w:t>
      </w:r>
      <w:r w:rsidR="00610567">
        <w:t xml:space="preserve"> at length</w:t>
      </w:r>
      <w:r w:rsidR="00BE51C4">
        <w:t>–</w:t>
      </w:r>
      <w:r w:rsidR="00610567">
        <w:t>against her family</w:t>
      </w:r>
      <w:r w:rsidR="00FF1CDF">
        <w:t xml:space="preserve"> and her ancestors</w:t>
      </w:r>
      <w:r w:rsidR="00610567">
        <w:t xml:space="preserve">, </w:t>
      </w:r>
      <w:r w:rsidR="00F757ED">
        <w:t>her husbands</w:t>
      </w:r>
      <w:r w:rsidR="00FF1CDF">
        <w:t xml:space="preserve"> (Ptolemies</w:t>
      </w:r>
      <w:r w:rsidR="006A33C3">
        <w:t xml:space="preserve"> XIII, XIV and Mark Antony</w:t>
      </w:r>
      <w:r w:rsidR="00FF1CDF">
        <w:t>)</w:t>
      </w:r>
      <w:r w:rsidR="00F757ED">
        <w:t xml:space="preserve">, </w:t>
      </w:r>
      <w:r w:rsidR="004009AF">
        <w:t>the gods, and the Roman state</w:t>
      </w:r>
      <w:r w:rsidR="00610567">
        <w:t>–</w:t>
      </w:r>
      <w:r>
        <w:t xml:space="preserve"> </w:t>
      </w:r>
      <w:r w:rsidR="00610567">
        <w:t xml:space="preserve">thus setting the scene for her alleged </w:t>
      </w:r>
      <w:r w:rsidR="00346F91" w:rsidRPr="00346F91">
        <w:rPr>
          <w:i/>
        </w:rPr>
        <w:t>ingratia</w:t>
      </w:r>
      <w:r w:rsidR="00610567" w:rsidRPr="00346F91">
        <w:rPr>
          <w:i/>
        </w:rPr>
        <w:t xml:space="preserve"> </w:t>
      </w:r>
      <w:r w:rsidR="00346F91">
        <w:t xml:space="preserve">towards </w:t>
      </w:r>
      <w:r w:rsidR="00610567">
        <w:t>the Jews</w:t>
      </w:r>
      <w:r w:rsidR="00346F91">
        <w:t>.</w:t>
      </w:r>
      <w:r w:rsidR="00FF1CDF">
        <w:rPr>
          <w:rStyle w:val="FootnoteReference"/>
        </w:rPr>
        <w:footnoteReference w:id="30"/>
      </w:r>
      <w:r w:rsidR="00346F91">
        <w:t xml:space="preserve"> </w:t>
      </w:r>
      <w:r w:rsidR="00B5178F">
        <w:t>The task of interpreting</w:t>
      </w:r>
      <w:r w:rsidR="00346F91">
        <w:t xml:space="preserve"> Josephus is not helped by the Latin</w:t>
      </w:r>
      <w:r w:rsidR="00B5178F">
        <w:t>,</w:t>
      </w:r>
      <w:r w:rsidR="00346F91">
        <w:t xml:space="preserve"> in which textual corruption </w:t>
      </w:r>
      <w:r w:rsidR="00FE1BD2">
        <w:t xml:space="preserve">seems to have </w:t>
      </w:r>
      <w:r w:rsidR="00346F91">
        <w:t xml:space="preserve">greatly </w:t>
      </w:r>
      <w:r w:rsidR="00FE1BD2">
        <w:t>augmented</w:t>
      </w:r>
      <w:r w:rsidR="00346F91">
        <w:t xml:space="preserve"> the Queen’s alleged </w:t>
      </w:r>
      <w:r w:rsidR="008A2693">
        <w:t xml:space="preserve">offence </w:t>
      </w:r>
      <w:r w:rsidR="00346F91">
        <w:t>against the Jews:</w:t>
      </w:r>
    </w:p>
    <w:p w14:paraId="562411D6" w14:textId="77777777" w:rsidR="00346F91" w:rsidRDefault="00346F91" w:rsidP="00B35E88">
      <w:pPr>
        <w:spacing w:line="360" w:lineRule="auto"/>
      </w:pPr>
    </w:p>
    <w:p w14:paraId="1B2E7006" w14:textId="330BD8BA" w:rsidR="00346F91" w:rsidRDefault="00346F91" w:rsidP="00B35E88">
      <w:pPr>
        <w:spacing w:line="360" w:lineRule="auto"/>
      </w:pPr>
      <w:r>
        <w:tab/>
      </w:r>
      <w:r w:rsidR="00F757ED">
        <w:t xml:space="preserve">Finally, when Alexandria had been captured by Caesar (Octavian), she was </w:t>
      </w:r>
      <w:r w:rsidR="00F757ED">
        <w:tab/>
        <w:t xml:space="preserve">reduced to such </w:t>
      </w:r>
      <w:r w:rsidR="00111FD5">
        <w:t>straits</w:t>
      </w:r>
      <w:r w:rsidR="003076E5">
        <w:t xml:space="preserve"> </w:t>
      </w:r>
      <w:r w:rsidR="00F757ED">
        <w:t xml:space="preserve">that she judged she could hope for salvation if, by </w:t>
      </w:r>
      <w:r w:rsidR="00111FD5">
        <w:t xml:space="preserve">her </w:t>
      </w:r>
      <w:r w:rsidR="00111FD5">
        <w:tab/>
      </w:r>
      <w:r w:rsidR="00F757ED">
        <w:t xml:space="preserve">own hand, she could kill </w:t>
      </w:r>
      <w:r w:rsidR="005A1383">
        <w:t xml:space="preserve">the </w:t>
      </w:r>
      <w:r w:rsidR="00F757ED">
        <w:t xml:space="preserve">Jews, after the cruelty and treachery which </w:t>
      </w:r>
      <w:r w:rsidR="003076E5">
        <w:t xml:space="preserve">she </w:t>
      </w:r>
      <w:r w:rsidR="00111FD5">
        <w:tab/>
      </w:r>
      <w:r w:rsidR="00F757ED">
        <w:t>had practi</w:t>
      </w:r>
      <w:r w:rsidR="00111FD5">
        <w:t>s</w:t>
      </w:r>
      <w:r w:rsidR="00F757ED">
        <w:t>ed towards all.</w:t>
      </w:r>
      <w:r w:rsidR="00FE1BD2">
        <w:t xml:space="preserve"> Would you not think it something to be proud of </w:t>
      </w:r>
      <w:r w:rsidR="003076E5">
        <w:tab/>
        <w:t xml:space="preserve">if, </w:t>
      </w:r>
      <w:r w:rsidR="00FE1BD2">
        <w:t xml:space="preserve">as Apion says, she did not distribute grain rations to Jews in a time of </w:t>
      </w:r>
      <w:r w:rsidR="003076E5">
        <w:tab/>
      </w:r>
      <w:r w:rsidR="00FE1BD2">
        <w:t>famine?</w:t>
      </w:r>
      <w:r w:rsidR="003076E5">
        <w:rPr>
          <w:rStyle w:val="FootnoteReference"/>
        </w:rPr>
        <w:footnoteReference w:id="31"/>
      </w:r>
    </w:p>
    <w:p w14:paraId="633D952A" w14:textId="77777777" w:rsidR="00673C98" w:rsidRDefault="00673C98" w:rsidP="00B35E88">
      <w:pPr>
        <w:spacing w:line="360" w:lineRule="auto"/>
      </w:pPr>
    </w:p>
    <w:p w14:paraId="4C9054EF" w14:textId="0997A3C3" w:rsidR="00673C98" w:rsidRDefault="005A1383" w:rsidP="00B35E88">
      <w:pPr>
        <w:spacing w:line="360" w:lineRule="auto"/>
      </w:pPr>
      <w:r>
        <w:t xml:space="preserve">The suspect text belongs to Josephus’s own formulation of the Queen’s crimes: that, after Octavian’s conquest of Alexandria, Cleopatra was ‘reduced to such </w:t>
      </w:r>
      <w:r w:rsidR="00111FD5">
        <w:t>straits</w:t>
      </w:r>
      <w:r>
        <w:t xml:space="preserve">’ </w:t>
      </w:r>
      <w:r w:rsidRPr="005A1383">
        <w:rPr>
          <w:i/>
        </w:rPr>
        <w:t>ut salutem hinc sperare se iudicaret, si posset ipsa manu sua Iudaeos perimere</w:t>
      </w:r>
      <w:r>
        <w:t xml:space="preserve">. Almost all critics take the Latin as hopelessly corrupt. Thus, for example, Thackeray: </w:t>
      </w:r>
      <w:r w:rsidR="00541D06">
        <w:t>‘</w:t>
      </w:r>
      <w:r>
        <w:t>T</w:t>
      </w:r>
      <w:r w:rsidR="00364DF2">
        <w:t>he Latin is manifestly absurd</w:t>
      </w:r>
      <w:r w:rsidR="00541D06">
        <w:t>’</w:t>
      </w:r>
      <w:r w:rsidR="00364DF2">
        <w:t xml:space="preserve">; the Greek original probably read something like </w:t>
      </w:r>
      <w:r w:rsidR="00541D06">
        <w:t>‘</w:t>
      </w:r>
      <w:r w:rsidR="00364DF2">
        <w:t>if she could kill herself (Greek: α</w:t>
      </w:r>
      <w:r w:rsidR="00A26893">
        <w:t>ὑ</w:t>
      </w:r>
      <w:r w:rsidR="00364DF2">
        <w:t>τὴν) by her own hand</w:t>
      </w:r>
      <w:r w:rsidR="00541D06">
        <w:t>’</w:t>
      </w:r>
      <w:r w:rsidR="00364DF2">
        <w:t>; α</w:t>
      </w:r>
      <w:r w:rsidR="00A26893">
        <w:t>ὑ</w:t>
      </w:r>
      <w:r w:rsidR="00364DF2">
        <w:t xml:space="preserve">τὴν was corrupted to </w:t>
      </w:r>
      <w:r w:rsidR="00364DF2">
        <w:rPr>
          <w:lang w:val="el-GR"/>
        </w:rPr>
        <w:t xml:space="preserve">αὐτοὺς, </w:t>
      </w:r>
      <w:r w:rsidR="00541D06">
        <w:t>‘</w:t>
      </w:r>
      <w:r w:rsidR="00364DF2">
        <w:rPr>
          <w:lang w:val="el-GR"/>
        </w:rPr>
        <w:t>them</w:t>
      </w:r>
      <w:r w:rsidR="00541D06">
        <w:t>’</w:t>
      </w:r>
      <w:r w:rsidR="00364DF2">
        <w:rPr>
          <w:lang w:val="el-GR"/>
        </w:rPr>
        <w:t>,</w:t>
      </w:r>
      <w:r w:rsidR="00364DF2">
        <w:t xml:space="preserve"> and thence to </w:t>
      </w:r>
      <w:r w:rsidR="000149E3">
        <w:rPr>
          <w:lang w:val="el-GR"/>
        </w:rPr>
        <w:t>Ἰουδαίους</w:t>
      </w:r>
      <w:r w:rsidR="00364DF2">
        <w:t xml:space="preserve">, </w:t>
      </w:r>
      <w:r w:rsidR="00541D06">
        <w:t>‘</w:t>
      </w:r>
      <w:r w:rsidR="00364DF2">
        <w:t>Jews</w:t>
      </w:r>
      <w:r w:rsidR="00541D06">
        <w:t>’</w:t>
      </w:r>
      <w:r w:rsidR="00364DF2">
        <w:t>.</w:t>
      </w:r>
      <w:r w:rsidR="00364DF2">
        <w:rPr>
          <w:rStyle w:val="FootnoteReference"/>
        </w:rPr>
        <w:footnoteReference w:id="32"/>
      </w:r>
      <w:r w:rsidR="000149E3">
        <w:t xml:space="preserve"> Cleopatra’s hope for </w:t>
      </w:r>
      <w:r w:rsidR="000149E3" w:rsidRPr="00246FDC">
        <w:rPr>
          <w:i/>
        </w:rPr>
        <w:t>salus</w:t>
      </w:r>
      <w:r w:rsidR="000149E3">
        <w:t xml:space="preserve"> is surely </w:t>
      </w:r>
      <w:r w:rsidR="00197631">
        <w:t xml:space="preserve">for </w:t>
      </w:r>
      <w:r w:rsidR="00541D06">
        <w:t xml:space="preserve">her </w:t>
      </w:r>
      <w:r w:rsidR="000149E3">
        <w:t xml:space="preserve">deliverance from the fate of being paraded in Octavian’s Roman </w:t>
      </w:r>
      <w:r w:rsidR="00542CD4">
        <w:t xml:space="preserve">triumph, an escape she secures </w:t>
      </w:r>
      <w:r w:rsidR="00197631">
        <w:t>‘</w:t>
      </w:r>
      <w:r w:rsidR="00542CD4">
        <w:t>by her own hand</w:t>
      </w:r>
      <w:r w:rsidR="00197631">
        <w:t>’,</w:t>
      </w:r>
      <w:r w:rsidR="000149E3">
        <w:t xml:space="preserve"> </w:t>
      </w:r>
      <w:r w:rsidR="00F26143">
        <w:t>through</w:t>
      </w:r>
      <w:r w:rsidR="000149E3">
        <w:t xml:space="preserve"> suicide.</w:t>
      </w:r>
      <w:r w:rsidR="00C612B9">
        <w:rPr>
          <w:rStyle w:val="FootnoteReference"/>
        </w:rPr>
        <w:footnoteReference w:id="33"/>
      </w:r>
      <w:r w:rsidR="000149E3">
        <w:t xml:space="preserve"> This interpretation matches Josephus’s emphasis in this same context </w:t>
      </w:r>
      <w:r w:rsidR="00122E30">
        <w:t>on Cleopatra</w:t>
      </w:r>
      <w:r w:rsidR="00C8014A">
        <w:t>’s death</w:t>
      </w:r>
      <w:r w:rsidR="00122E30">
        <w:t xml:space="preserve"> as a fitting punishment for her crimes against others.</w:t>
      </w:r>
      <w:r w:rsidR="002B37B1">
        <w:rPr>
          <w:rStyle w:val="FootnoteReference"/>
        </w:rPr>
        <w:footnoteReference w:id="34"/>
      </w:r>
      <w:r w:rsidR="00122E30">
        <w:t xml:space="preserve"> It is hard to see how even the most hostile enemy of the Queen could </w:t>
      </w:r>
      <w:r w:rsidR="00197631">
        <w:t>plausibly</w:t>
      </w:r>
      <w:r w:rsidR="007F725C">
        <w:t xml:space="preserve"> argue</w:t>
      </w:r>
      <w:r w:rsidR="00122E30">
        <w:t xml:space="preserve"> that Cleopatra sought escape from Octavian by killing Jews.</w:t>
      </w:r>
      <w:r w:rsidR="007B3B14">
        <w:rPr>
          <w:rStyle w:val="FootnoteReference"/>
        </w:rPr>
        <w:footnoteReference w:id="35"/>
      </w:r>
      <w:r w:rsidR="00122E30">
        <w:t xml:space="preserve"> That proposition</w:t>
      </w:r>
      <w:r w:rsidR="007B3B14">
        <w:t>, in my view,</w:t>
      </w:r>
      <w:r w:rsidR="00122E30">
        <w:t xml:space="preserve"> can be safely set aside.</w:t>
      </w:r>
      <w:r w:rsidR="00B14107">
        <w:rPr>
          <w:rStyle w:val="FootnoteReference"/>
        </w:rPr>
        <w:footnoteReference w:id="36"/>
      </w:r>
      <w:r w:rsidR="00542CD4">
        <w:t xml:space="preserve"> Th</w:t>
      </w:r>
      <w:r w:rsidR="00157209">
        <w:t>is</w:t>
      </w:r>
      <w:r w:rsidR="00542CD4">
        <w:t xml:space="preserve"> leaves us with the allegation, based on Apion’s words, that </w:t>
      </w:r>
      <w:r w:rsidR="007E50C4">
        <w:t>‘</w:t>
      </w:r>
      <w:r w:rsidR="00542CD4">
        <w:t>in a time of famine, Cleopatra did not distribute grain rations to Jews</w:t>
      </w:r>
      <w:r w:rsidR="0032709A">
        <w:t xml:space="preserve"> (</w:t>
      </w:r>
      <w:r w:rsidR="0032709A" w:rsidRPr="0032709A">
        <w:rPr>
          <w:i/>
        </w:rPr>
        <w:t>triticum non est mensa</w:t>
      </w:r>
      <w:r w:rsidR="0032709A">
        <w:t>)</w:t>
      </w:r>
      <w:r w:rsidR="007E50C4">
        <w:t>’</w:t>
      </w:r>
      <w:r w:rsidR="00542CD4">
        <w:t>.</w:t>
      </w:r>
      <w:r w:rsidR="0042347B">
        <w:rPr>
          <w:rStyle w:val="FootnoteReference"/>
        </w:rPr>
        <w:footnoteReference w:id="37"/>
      </w:r>
      <w:r w:rsidR="00C666EF">
        <w:t xml:space="preserve"> </w:t>
      </w:r>
      <w:r w:rsidR="006A7F16">
        <w:t xml:space="preserve">Josephus does not give the context, but instead </w:t>
      </w:r>
      <w:r w:rsidR="0003290F">
        <w:t>focuses on</w:t>
      </w:r>
      <w:r w:rsidR="006A7F16">
        <w:t xml:space="preserve"> Apion’s </w:t>
      </w:r>
      <w:r w:rsidR="00BD4256">
        <w:t xml:space="preserve">allegedly </w:t>
      </w:r>
      <w:r w:rsidR="006A7F16">
        <w:t>astounding ignorance of written Roman testimony to the loyalty of the Jewish people towards Rome and</w:t>
      </w:r>
      <w:r w:rsidR="009E287B">
        <w:t>,</w:t>
      </w:r>
      <w:r w:rsidR="006A7F16">
        <w:t xml:space="preserve"> before </w:t>
      </w:r>
      <w:r w:rsidR="009E287B">
        <w:t>the time of Roman rule,</w:t>
      </w:r>
      <w:r w:rsidR="006A7F16">
        <w:t xml:space="preserve"> </w:t>
      </w:r>
      <w:r w:rsidR="00515D7E">
        <w:t>‘</w:t>
      </w:r>
      <w:r w:rsidR="006A7F16">
        <w:t xml:space="preserve">under </w:t>
      </w:r>
      <w:r w:rsidR="007800CA">
        <w:t xml:space="preserve">Alexander and under </w:t>
      </w:r>
      <w:r w:rsidR="006A7F16">
        <w:t>all the Ptolemies</w:t>
      </w:r>
      <w:r w:rsidR="00515D7E">
        <w:t>’</w:t>
      </w:r>
      <w:r w:rsidR="006A7F16">
        <w:t>.</w:t>
      </w:r>
      <w:r w:rsidR="009E287B">
        <w:rPr>
          <w:rStyle w:val="FootnoteReference"/>
        </w:rPr>
        <w:footnoteReference w:id="38"/>
      </w:r>
      <w:r w:rsidR="00CE568B">
        <w:t xml:space="preserve"> </w:t>
      </w:r>
      <w:r w:rsidR="0017188C">
        <w:t xml:space="preserve">Clearly, </w:t>
      </w:r>
      <w:r w:rsidR="00A346A1">
        <w:t xml:space="preserve">however, </w:t>
      </w:r>
      <w:r w:rsidR="0017188C">
        <w:t>t</w:t>
      </w:r>
      <w:r w:rsidR="00CE568B">
        <w:t xml:space="preserve">he real heart of the problem addressed by Josephus is the situation in the Roman administration of Egypt, since he follows the denunciation of Cleopatra with special pleading about the </w:t>
      </w:r>
      <w:r w:rsidR="003923F6">
        <w:t xml:space="preserve">similar </w:t>
      </w:r>
      <w:r w:rsidR="00CE568B">
        <w:t>treatment of Jews by Germanicus, nephew of the emperor Tiberius, on his visit to Alexandria in the year 19 CE:</w:t>
      </w:r>
    </w:p>
    <w:p w14:paraId="614D6339" w14:textId="77777777" w:rsidR="00CE568B" w:rsidRDefault="00CE568B" w:rsidP="00B35E88">
      <w:pPr>
        <w:spacing w:line="360" w:lineRule="auto"/>
      </w:pPr>
    </w:p>
    <w:p w14:paraId="628D2E6B" w14:textId="1010B8C5" w:rsidR="00CE568B" w:rsidRPr="00364DF2" w:rsidRDefault="00CE568B" w:rsidP="00B35E88">
      <w:pPr>
        <w:spacing w:line="360" w:lineRule="auto"/>
      </w:pPr>
      <w:r>
        <w:tab/>
        <w:t xml:space="preserve">If </w:t>
      </w:r>
      <w:r w:rsidR="000B2A27">
        <w:t xml:space="preserve">(says Josephus) </w:t>
      </w:r>
      <w:r>
        <w:t xml:space="preserve">Germanicus was unable to distribute </w:t>
      </w:r>
      <w:r w:rsidR="00E26531">
        <w:t>grain</w:t>
      </w:r>
      <w:r>
        <w:t xml:space="preserve"> to all the </w:t>
      </w:r>
      <w:r w:rsidR="000B2A27">
        <w:tab/>
      </w:r>
      <w:r>
        <w:t xml:space="preserve">inhabitants of Alexandria, that </w:t>
      </w:r>
      <w:r w:rsidR="007641D4">
        <w:t xml:space="preserve">is an indication of the failure of the crops and </w:t>
      </w:r>
      <w:r w:rsidR="007641D4">
        <w:tab/>
        <w:t>the shortage of grain, not grounds for an indictment of the Jews</w:t>
      </w:r>
      <w:r w:rsidR="005A385E">
        <w:t>…</w:t>
      </w:r>
      <w:r w:rsidR="0003290F">
        <w:rPr>
          <w:rStyle w:val="FootnoteReference"/>
        </w:rPr>
        <w:footnoteReference w:id="39"/>
      </w:r>
      <w:r w:rsidR="00F328F8">
        <w:t xml:space="preserve"> </w:t>
      </w:r>
    </w:p>
    <w:p w14:paraId="7D2AA8FA" w14:textId="77777777" w:rsidR="00C25F90" w:rsidRDefault="00C25F90" w:rsidP="00B35E88">
      <w:pPr>
        <w:spacing w:line="360" w:lineRule="auto"/>
      </w:pPr>
    </w:p>
    <w:p w14:paraId="73CDDDAA" w14:textId="1D1054AA" w:rsidR="00C64AF0" w:rsidRDefault="001A0205" w:rsidP="00B35E88">
      <w:pPr>
        <w:spacing w:line="360" w:lineRule="auto"/>
      </w:pPr>
      <w:r>
        <w:t xml:space="preserve">Josephus </w:t>
      </w:r>
      <w:r w:rsidR="006254D9">
        <w:t xml:space="preserve">thus </w:t>
      </w:r>
      <w:r w:rsidR="00B22D4F">
        <w:t>tries to dispose</w:t>
      </w:r>
      <w:r w:rsidR="00EA2AB3">
        <w:t xml:space="preserve"> of what, </w:t>
      </w:r>
      <w:r>
        <w:t>presumably</w:t>
      </w:r>
      <w:r w:rsidR="00EA2AB3">
        <w:t>, were</w:t>
      </w:r>
      <w:r>
        <w:t xml:space="preserve"> further claims made by Apion about </w:t>
      </w:r>
      <w:r w:rsidR="000E0722">
        <w:t>the status of Jews</w:t>
      </w:r>
      <w:r>
        <w:t xml:space="preserve"> </w:t>
      </w:r>
      <w:r w:rsidR="00611F67">
        <w:t xml:space="preserve">in Alexandria </w:t>
      </w:r>
      <w:r>
        <w:t xml:space="preserve">under Roman rule. </w:t>
      </w:r>
      <w:r w:rsidR="00905556">
        <w:t>In</w:t>
      </w:r>
      <w:r>
        <w:t xml:space="preserve"> response</w:t>
      </w:r>
      <w:r w:rsidR="00905556">
        <w:t>, Josephus</w:t>
      </w:r>
      <w:r>
        <w:t xml:space="preserve"> seeks to show that Roman rule did not single out Jews for discriminatory purposes</w:t>
      </w:r>
      <w:r w:rsidR="00B520F0">
        <w:t>, while implying</w:t>
      </w:r>
      <w:r w:rsidR="007C2F2C">
        <w:t>, on the other hand,</w:t>
      </w:r>
      <w:r w:rsidR="00B520F0">
        <w:t xml:space="preserve"> that </w:t>
      </w:r>
      <w:r w:rsidR="00E02C6F">
        <w:t>–</w:t>
      </w:r>
      <w:r w:rsidR="0026620F">
        <w:t xml:space="preserve"> if Cleopatra did indeed leave Jews out of </w:t>
      </w:r>
      <w:r w:rsidR="000E0722">
        <w:t>a grain distribution</w:t>
      </w:r>
      <w:r w:rsidR="0026620F">
        <w:t xml:space="preserve"> – her policy was </w:t>
      </w:r>
      <w:r w:rsidR="00A02C06">
        <w:t xml:space="preserve">manifestly </w:t>
      </w:r>
      <w:r w:rsidR="0026620F">
        <w:t xml:space="preserve">part of her </w:t>
      </w:r>
      <w:r w:rsidR="00E02C6F">
        <w:t xml:space="preserve">appalling </w:t>
      </w:r>
      <w:r w:rsidR="0026620F">
        <w:t xml:space="preserve">portfolio of evil acts </w:t>
      </w:r>
      <w:r w:rsidR="00E02C6F">
        <w:t>committed against</w:t>
      </w:r>
      <w:r w:rsidR="0026620F">
        <w:t xml:space="preserve"> all those who deserved </w:t>
      </w:r>
      <w:r w:rsidR="00EC6AE0">
        <w:t xml:space="preserve">much </w:t>
      </w:r>
      <w:r w:rsidR="0026620F">
        <w:t xml:space="preserve">better. </w:t>
      </w:r>
      <w:r w:rsidR="00791E22">
        <w:t>What</w:t>
      </w:r>
      <w:r w:rsidR="00B92CA9">
        <w:t>, we might ask,</w:t>
      </w:r>
      <w:r w:rsidR="00791E22">
        <w:t xml:space="preserve"> was Apion’s p</w:t>
      </w:r>
      <w:r w:rsidR="0075107E">
        <w:t>urpose</w:t>
      </w:r>
      <w:r w:rsidR="00E53B76">
        <w:t xml:space="preserve"> in mentioning Cleopatra’s distribution of grain</w:t>
      </w:r>
      <w:r w:rsidR="00791E22">
        <w:t xml:space="preserve">? </w:t>
      </w:r>
      <w:r w:rsidR="00D667F1">
        <w:t xml:space="preserve">In the context of a dispute over Jewish civic rights, </w:t>
      </w:r>
      <w:r w:rsidR="009F12AB">
        <w:t xml:space="preserve">the topic might </w:t>
      </w:r>
      <w:r w:rsidR="007E7A79">
        <w:t xml:space="preserve">well </w:t>
      </w:r>
      <w:r w:rsidR="009F12AB">
        <w:t xml:space="preserve">serve </w:t>
      </w:r>
      <w:r w:rsidR="00D667F1">
        <w:t xml:space="preserve">to underline the inferior status of </w:t>
      </w:r>
      <w:r w:rsidR="0056610D">
        <w:t xml:space="preserve">those rights in relation to those of </w:t>
      </w:r>
      <w:r w:rsidR="00D667F1">
        <w:t>the Alexandrian citizen body</w:t>
      </w:r>
      <w:r w:rsidR="00F3384E">
        <w:t>. Nevertheless, the evidence is very unclear in this case, with no sense of why th</w:t>
      </w:r>
      <w:r w:rsidR="000D4B12">
        <w:t>is</w:t>
      </w:r>
      <w:r w:rsidR="00F3384E">
        <w:t xml:space="preserve"> distribution was made, and no clear identification of the recipients of the grain from the Queen. </w:t>
      </w:r>
      <w:r w:rsidR="00485779">
        <w:t>Apion’s argument seems to have presented this case</w:t>
      </w:r>
      <w:r w:rsidR="00F3384E">
        <w:t xml:space="preserve"> as a one-off event rather than a regular occurrence. If, as </w:t>
      </w:r>
      <w:r w:rsidR="004E0880">
        <w:t>seems</w:t>
      </w:r>
      <w:r w:rsidR="00F3384E">
        <w:t xml:space="preserve"> </w:t>
      </w:r>
      <w:r w:rsidR="004E0880">
        <w:t>likely</w:t>
      </w:r>
      <w:r w:rsidR="00F3384E">
        <w:t>,</w:t>
      </w:r>
      <w:r w:rsidR="00C83C2A">
        <w:t xml:space="preserve"> Cleopatra was engaged in the distribution of </w:t>
      </w:r>
      <w:r w:rsidR="00C64AF0">
        <w:t>a</w:t>
      </w:r>
      <w:r w:rsidR="00C83C2A">
        <w:t xml:space="preserve"> grain dole, and that privilege was, as in other Greek cities,</w:t>
      </w:r>
      <w:r w:rsidR="00EC1614">
        <w:rPr>
          <w:rStyle w:val="FootnoteReference"/>
        </w:rPr>
        <w:footnoteReference w:id="40"/>
      </w:r>
      <w:r w:rsidR="00C83C2A">
        <w:t xml:space="preserve"> </w:t>
      </w:r>
      <w:r w:rsidR="00D667F1">
        <w:t xml:space="preserve">reserved for the </w:t>
      </w:r>
      <w:r w:rsidR="0056610D">
        <w:t xml:space="preserve">citizen </w:t>
      </w:r>
      <w:r w:rsidR="00E0218E">
        <w:t>class</w:t>
      </w:r>
      <w:r w:rsidR="00C83C2A">
        <w:t>,</w:t>
      </w:r>
      <w:r w:rsidR="00601C75">
        <w:t xml:space="preserve"> </w:t>
      </w:r>
      <w:r w:rsidR="00C64AF0">
        <w:t xml:space="preserve">it should be noted that </w:t>
      </w:r>
      <w:r w:rsidR="00C83C2A">
        <w:t>the Alexandria</w:t>
      </w:r>
      <w:r w:rsidR="00A016A9">
        <w:t>’s</w:t>
      </w:r>
      <w:r w:rsidR="00C83C2A">
        <w:t xml:space="preserve"> citizen body</w:t>
      </w:r>
      <w:r w:rsidR="0056610D">
        <w:t xml:space="preserve"> is likely to have included some Jews as well as others of non-Greek background, </w:t>
      </w:r>
      <w:r w:rsidR="008646EC">
        <w:t xml:space="preserve">though </w:t>
      </w:r>
      <w:r w:rsidR="0056610D">
        <w:t xml:space="preserve">certainly not the </w:t>
      </w:r>
      <w:r w:rsidR="002C26B1">
        <w:t>Jews of Alexandria</w:t>
      </w:r>
      <w:r w:rsidR="0056610D">
        <w:t xml:space="preserve"> as a whole.</w:t>
      </w:r>
      <w:r w:rsidR="00930126">
        <w:rPr>
          <w:rStyle w:val="FootnoteReference"/>
        </w:rPr>
        <w:footnoteReference w:id="41"/>
      </w:r>
      <w:r w:rsidR="00930126">
        <w:t xml:space="preserve"> </w:t>
      </w:r>
      <w:r w:rsidR="003A6469">
        <w:t xml:space="preserve">As to a date for this episode, we know that serious famine struck Egypt </w:t>
      </w:r>
      <w:r w:rsidR="00205CD8">
        <w:t xml:space="preserve">following the failure of the Nile flood </w:t>
      </w:r>
      <w:r w:rsidR="003A6469">
        <w:t xml:space="preserve">at the time of Cleopatra’s co-rule with her </w:t>
      </w:r>
      <w:r w:rsidR="00884509">
        <w:t xml:space="preserve">young </w:t>
      </w:r>
      <w:r w:rsidR="003A6469">
        <w:t xml:space="preserve">brother Ptolemy XIII (51/50 BCE) and again in </w:t>
      </w:r>
      <w:r w:rsidR="00075572">
        <w:t xml:space="preserve">the years </w:t>
      </w:r>
      <w:r w:rsidR="003A6469">
        <w:t>43</w:t>
      </w:r>
      <w:r w:rsidR="007E36DD">
        <w:t>–</w:t>
      </w:r>
      <w:r w:rsidR="00075572">
        <w:t>41</w:t>
      </w:r>
      <w:r w:rsidR="003A6469">
        <w:t xml:space="preserve"> BCE, when she ruled with her </w:t>
      </w:r>
      <w:r w:rsidR="00884509">
        <w:t xml:space="preserve">infant </w:t>
      </w:r>
      <w:r w:rsidR="003A6469">
        <w:t>son Ptolemy XV Caesar.</w:t>
      </w:r>
      <w:r w:rsidR="00075572">
        <w:rPr>
          <w:rStyle w:val="FootnoteReference"/>
        </w:rPr>
        <w:footnoteReference w:id="42"/>
      </w:r>
      <w:r w:rsidR="00205CD8">
        <w:t xml:space="preserve"> From October 50 BCE, a royal decree </w:t>
      </w:r>
      <w:r w:rsidR="00A378FA">
        <w:t>prohibits</w:t>
      </w:r>
      <w:r w:rsidR="00884509">
        <w:t xml:space="preserve"> </w:t>
      </w:r>
      <w:r w:rsidR="00A319A3">
        <w:t xml:space="preserve">the </w:t>
      </w:r>
      <w:r w:rsidR="00912CE8">
        <w:t xml:space="preserve">transport of </w:t>
      </w:r>
      <w:r w:rsidR="00A319A3">
        <w:t xml:space="preserve">grain supplies </w:t>
      </w:r>
      <w:r w:rsidR="00A378FA">
        <w:t xml:space="preserve">to anywhere other than </w:t>
      </w:r>
      <w:r w:rsidR="00A319A3">
        <w:t>Alexandria.</w:t>
      </w:r>
      <w:r w:rsidR="00A319A3">
        <w:rPr>
          <w:rStyle w:val="FootnoteReference"/>
        </w:rPr>
        <w:footnoteReference w:id="43"/>
      </w:r>
      <w:r w:rsidR="000B5BD5">
        <w:t xml:space="preserve"> </w:t>
      </w:r>
      <w:r w:rsidR="00A378FA">
        <w:t xml:space="preserve">Its significance is best understood, as Dorothy Thompson suggests, as exemplifying ‘the Queen at work in Egypt’, concerned, in a time of crisis, to ensure political stability in the capital by ensuring sufficient food for its population; or perhaps </w:t>
      </w:r>
      <w:r w:rsidR="00A016A9">
        <w:t xml:space="preserve">specifically </w:t>
      </w:r>
      <w:r w:rsidR="00A378FA">
        <w:t>to benefit the wealthy landowners and elite of Alexandria, as a pitch for their support.</w:t>
      </w:r>
      <w:r w:rsidR="00A378FA">
        <w:rPr>
          <w:rStyle w:val="FootnoteReference"/>
        </w:rPr>
        <w:footnoteReference w:id="44"/>
      </w:r>
      <w:r w:rsidR="0065388B">
        <w:t xml:space="preserve"> The Queen’s concern for the welfare of the landowning class of Alexandria is explicit in another decree of 41 BCE, guaranteeing their </w:t>
      </w:r>
      <w:r w:rsidR="007D4BE1">
        <w:t>fiscal privileges</w:t>
      </w:r>
      <w:r w:rsidR="0056610D">
        <w:t>.</w:t>
      </w:r>
      <w:r w:rsidR="007D1C29">
        <w:rPr>
          <w:rStyle w:val="FootnoteReference"/>
        </w:rPr>
        <w:footnoteReference w:id="45"/>
      </w:r>
      <w:r w:rsidR="00C87D31">
        <w:t xml:space="preserve"> </w:t>
      </w:r>
      <w:r w:rsidR="005A0371">
        <w:t xml:space="preserve">Both in 51, her first year as ruler, and in 41, following the </w:t>
      </w:r>
      <w:r w:rsidR="0055670A">
        <w:t>defeat of the assassins of Julius Caesar at Philippi</w:t>
      </w:r>
      <w:r w:rsidR="005A0371">
        <w:t xml:space="preserve">, Cleopatra faced </w:t>
      </w:r>
      <w:r w:rsidR="00956B3A">
        <w:t xml:space="preserve">turbulent </w:t>
      </w:r>
      <w:r w:rsidR="005A0371">
        <w:t xml:space="preserve">times in which it was essential to </w:t>
      </w:r>
      <w:r w:rsidR="0055670A">
        <w:t xml:space="preserve">do all she could to </w:t>
      </w:r>
      <w:r w:rsidR="005A0371">
        <w:t>preserve stability and win support, particularly among the elite of Alexandria.</w:t>
      </w:r>
      <w:r w:rsidR="00A016A9">
        <w:t xml:space="preserve"> </w:t>
      </w:r>
      <w:r w:rsidR="005A0371">
        <w:t xml:space="preserve">If she restricted the distribution of grain to Alexandria’s citizen class in time of famine, this was hardly a </w:t>
      </w:r>
      <w:r w:rsidR="00C112A2">
        <w:t>policy of</w:t>
      </w:r>
      <w:r w:rsidR="00C87D31">
        <w:t xml:space="preserve"> discriminati</w:t>
      </w:r>
      <w:r w:rsidR="00C112A2">
        <w:t xml:space="preserve">ng </w:t>
      </w:r>
      <w:r w:rsidR="00C87D31">
        <w:t xml:space="preserve">against the Jews </w:t>
      </w:r>
      <w:r w:rsidR="005A0371">
        <w:t>or anyone else</w:t>
      </w:r>
      <w:r w:rsidR="00C87D31">
        <w:t xml:space="preserve">, but a tried and tested </w:t>
      </w:r>
      <w:r w:rsidR="00C112A2">
        <w:t>means</w:t>
      </w:r>
      <w:r w:rsidR="00C87D31">
        <w:t xml:space="preserve"> of keeping the powerful </w:t>
      </w:r>
      <w:r w:rsidR="008B5AB8">
        <w:t>among the Alexandrian population</w:t>
      </w:r>
      <w:r w:rsidR="001D46B2">
        <w:t xml:space="preserve"> </w:t>
      </w:r>
      <w:r w:rsidR="00C87D31">
        <w:t>on side.</w:t>
      </w:r>
      <w:r w:rsidR="0056610D">
        <w:t xml:space="preserve"> </w:t>
      </w:r>
    </w:p>
    <w:p w14:paraId="68A323C8" w14:textId="77777777" w:rsidR="0048419C" w:rsidRDefault="00D938E4" w:rsidP="00B35E88">
      <w:pPr>
        <w:spacing w:line="360" w:lineRule="auto"/>
      </w:pPr>
      <w:r>
        <w:tab/>
      </w:r>
      <w:r w:rsidR="00EF457F">
        <w:t>Thus far</w:t>
      </w:r>
      <w:r w:rsidR="00FB72A9">
        <w:t>,</w:t>
      </w:r>
      <w:r w:rsidR="00F61A18">
        <w:t xml:space="preserve"> </w:t>
      </w:r>
      <w:r w:rsidR="00A87AE3">
        <w:t xml:space="preserve">several factors </w:t>
      </w:r>
      <w:r w:rsidR="00FB72A9">
        <w:t xml:space="preserve">emerge as shaping </w:t>
      </w:r>
      <w:r w:rsidR="00A87AE3">
        <w:t>the image of Cleopatra</w:t>
      </w:r>
      <w:r w:rsidR="006E6453">
        <w:t xml:space="preserve"> in the </w:t>
      </w:r>
      <w:r w:rsidR="006E6453" w:rsidRPr="006E6453">
        <w:rPr>
          <w:i/>
        </w:rPr>
        <w:t>Against Apion</w:t>
      </w:r>
      <w:r w:rsidR="00A87AE3">
        <w:t xml:space="preserve">: the Augustan perspective on Cleopatra, </w:t>
      </w:r>
      <w:r w:rsidR="00035AAB">
        <w:t>adapted by</w:t>
      </w:r>
      <w:r w:rsidR="00A87AE3">
        <w:t xml:space="preserve"> Josephus for apologetic purposes after the Jewish War, to stress the alignment of loyal Jews with Roman values;</w:t>
      </w:r>
      <w:r w:rsidR="001E3C8F">
        <w:rPr>
          <w:rStyle w:val="FootnoteReference"/>
        </w:rPr>
        <w:footnoteReference w:id="46"/>
      </w:r>
      <w:r w:rsidR="00A87AE3">
        <w:t xml:space="preserve"> and </w:t>
      </w:r>
      <w:r w:rsidR="0075488C">
        <w:t xml:space="preserve">the </w:t>
      </w:r>
      <w:r w:rsidR="00A87AE3">
        <w:t>perspective</w:t>
      </w:r>
      <w:r w:rsidR="0075488C">
        <w:t xml:space="preserve"> of Apion</w:t>
      </w:r>
      <w:r w:rsidR="00A87AE3">
        <w:t>, wh</w:t>
      </w:r>
      <w:r w:rsidR="0075488C">
        <w:t>o seems to have</w:t>
      </w:r>
      <w:r w:rsidR="00A87AE3">
        <w:t xml:space="preserve"> appeal</w:t>
      </w:r>
      <w:r w:rsidR="0075488C">
        <w:t>ed</w:t>
      </w:r>
      <w:r w:rsidR="00A87AE3">
        <w:t xml:space="preserve"> to Cleopatra as a precedent for his own times</w:t>
      </w:r>
      <w:r w:rsidR="00453796">
        <w:t>, under Gaius Caligula,</w:t>
      </w:r>
      <w:r w:rsidR="00A87AE3">
        <w:t xml:space="preserve"> in upholding status distinctions that put the Jews of Alexandria in their place, outside the Alexandrian citizen body.</w:t>
      </w:r>
      <w:r w:rsidR="006C01B1">
        <w:t xml:space="preserve"> </w:t>
      </w:r>
    </w:p>
    <w:p w14:paraId="1AFD9435" w14:textId="27714CD0" w:rsidR="009D0644" w:rsidRDefault="0048419C" w:rsidP="00B35E88">
      <w:pPr>
        <w:spacing w:line="360" w:lineRule="auto"/>
      </w:pPr>
      <w:r>
        <w:tab/>
      </w:r>
      <w:r w:rsidR="006C01B1">
        <w:t>Another element in the mix, I suggest, is the influence of Cleopatra’s contemporary, Herod, king of Judaea</w:t>
      </w:r>
      <w:r w:rsidR="006D436C">
        <w:t xml:space="preserve"> (c. 73–4 BCE)</w:t>
      </w:r>
      <w:r w:rsidR="006C01B1">
        <w:t xml:space="preserve">, </w:t>
      </w:r>
      <w:r w:rsidR="00F904A3">
        <w:t>and his role in</w:t>
      </w:r>
      <w:r w:rsidR="006C01B1">
        <w:t xml:space="preserve"> constructi</w:t>
      </w:r>
      <w:r w:rsidR="00F904A3">
        <w:t xml:space="preserve">ng the Queen’s negative </w:t>
      </w:r>
      <w:r w:rsidR="006C01B1">
        <w:t xml:space="preserve">reputation. </w:t>
      </w:r>
      <w:r w:rsidR="003D7261">
        <w:t xml:space="preserve">In the </w:t>
      </w:r>
      <w:r w:rsidR="003D7261" w:rsidRPr="003D7261">
        <w:rPr>
          <w:i/>
        </w:rPr>
        <w:t>Jewish War</w:t>
      </w:r>
      <w:r w:rsidR="003D7261">
        <w:t xml:space="preserve"> and the </w:t>
      </w:r>
      <w:r w:rsidR="003D7261" w:rsidRPr="003D7261">
        <w:rPr>
          <w:i/>
        </w:rPr>
        <w:t>Antiquities</w:t>
      </w:r>
      <w:r w:rsidR="003D7261">
        <w:t xml:space="preserve">, Josephus provides </w:t>
      </w:r>
      <w:r w:rsidR="00832710">
        <w:t>detailed</w:t>
      </w:r>
      <w:r w:rsidR="003D7261">
        <w:t xml:space="preserve"> </w:t>
      </w:r>
      <w:r w:rsidR="00B5327D">
        <w:t>reports</w:t>
      </w:r>
      <w:r w:rsidR="003D7261">
        <w:t xml:space="preserve"> of Herod’s reign, including </w:t>
      </w:r>
      <w:r w:rsidR="00B5327D">
        <w:t xml:space="preserve">accounts of </w:t>
      </w:r>
      <w:r w:rsidR="003D7261">
        <w:t>Herod’s thoughts on Cleopatra.</w:t>
      </w:r>
      <w:r w:rsidR="005E26CC">
        <w:rPr>
          <w:rStyle w:val="FootnoteReference"/>
        </w:rPr>
        <w:footnoteReference w:id="47"/>
      </w:r>
      <w:r w:rsidR="00D92EBC">
        <w:t xml:space="preserve"> Josephus gained access to those thoughts </w:t>
      </w:r>
      <w:r w:rsidR="0051397D">
        <w:t xml:space="preserve">primarily </w:t>
      </w:r>
      <w:r w:rsidR="00D92EBC">
        <w:t>through th</w:t>
      </w:r>
      <w:r w:rsidR="00374F2A">
        <w:t xml:space="preserve">e work of Nicolaus of Damascus. </w:t>
      </w:r>
      <w:r w:rsidR="0051397D">
        <w:t>Sometime</w:t>
      </w:r>
      <w:r w:rsidR="00374F2A">
        <w:t xml:space="preserve"> tutor to the children of Antony and Cleopatra, Nicolaus </w:t>
      </w:r>
      <w:r w:rsidR="0051397D">
        <w:t xml:space="preserve">later </w:t>
      </w:r>
      <w:r w:rsidR="00374F2A">
        <w:t xml:space="preserve">became </w:t>
      </w:r>
      <w:r w:rsidR="00D92EBC">
        <w:t>Herod</w:t>
      </w:r>
      <w:r w:rsidR="00374F2A">
        <w:t>’s courtier and</w:t>
      </w:r>
      <w:r w:rsidR="00D92EBC">
        <w:t xml:space="preserve"> historian</w:t>
      </w:r>
      <w:r w:rsidR="00064C5E">
        <w:t>:</w:t>
      </w:r>
      <w:r w:rsidR="009D0644">
        <w:t xml:space="preserve"> </w:t>
      </w:r>
      <w:r w:rsidR="00064C5E">
        <w:t>h</w:t>
      </w:r>
      <w:r w:rsidR="0051397D">
        <w:t>is account of Herod’s reign</w:t>
      </w:r>
      <w:r w:rsidR="00EB393A">
        <w:t xml:space="preserve">, part of a massive work of </w:t>
      </w:r>
      <w:r w:rsidR="006D4713">
        <w:t xml:space="preserve">world </w:t>
      </w:r>
      <w:r w:rsidR="00EB393A">
        <w:t xml:space="preserve">history, draws </w:t>
      </w:r>
      <w:r w:rsidR="0051397D">
        <w:t xml:space="preserve">on the king’s </w:t>
      </w:r>
      <w:r w:rsidR="0051397D" w:rsidRPr="0051397D">
        <w:rPr>
          <w:i/>
        </w:rPr>
        <w:t>Memoirs</w:t>
      </w:r>
      <w:r w:rsidR="0051397D">
        <w:t xml:space="preserve"> as well as Nicolaus’ knowledge of events</w:t>
      </w:r>
      <w:r w:rsidR="009D0644">
        <w:t xml:space="preserve"> in which he himself played a </w:t>
      </w:r>
      <w:r w:rsidR="00C134DB">
        <w:t>leading</w:t>
      </w:r>
      <w:r w:rsidR="009D0644">
        <w:t xml:space="preserve"> part</w:t>
      </w:r>
      <w:r w:rsidR="00C134DB">
        <w:t>, notably as Herod’s ambassador to Augustus</w:t>
      </w:r>
      <w:r w:rsidR="0051397D">
        <w:t>.</w:t>
      </w:r>
      <w:r w:rsidR="00177006">
        <w:rPr>
          <w:rStyle w:val="FootnoteReference"/>
        </w:rPr>
        <w:footnoteReference w:id="48"/>
      </w:r>
      <w:r w:rsidR="00832710">
        <w:t xml:space="preserve"> </w:t>
      </w:r>
      <w:r w:rsidR="009D0644">
        <w:t>By the time that Nicolaus joined Herod’s retinue (</w:t>
      </w:r>
      <w:r w:rsidR="003B31F4">
        <w:t xml:space="preserve">no later than </w:t>
      </w:r>
      <w:r w:rsidR="009D0644">
        <w:t xml:space="preserve">14 BCE), Cleopatra was </w:t>
      </w:r>
      <w:r w:rsidR="00473366">
        <w:t>certainly</w:t>
      </w:r>
      <w:r w:rsidR="009D0644">
        <w:t xml:space="preserve"> a figure of the past; in Nicolaus’ construction, however, she plays a </w:t>
      </w:r>
      <w:r w:rsidR="00064C5E">
        <w:t>vital</w:t>
      </w:r>
      <w:r w:rsidR="009D0644">
        <w:t xml:space="preserve"> role </w:t>
      </w:r>
      <w:r w:rsidR="00EE78B5">
        <w:t xml:space="preserve">as one of several </w:t>
      </w:r>
      <w:r w:rsidR="009D0644">
        <w:t xml:space="preserve">female figures </w:t>
      </w:r>
      <w:r w:rsidR="00A2203B">
        <w:t>portrayed as</w:t>
      </w:r>
      <w:r w:rsidR="009D0644">
        <w:t xml:space="preserve"> threaten</w:t>
      </w:r>
      <w:r w:rsidR="00A2203B">
        <w:t>ing</w:t>
      </w:r>
      <w:r w:rsidR="009D0644">
        <w:t xml:space="preserve"> Herod’s kingship.</w:t>
      </w:r>
      <w:r w:rsidR="009D0644">
        <w:rPr>
          <w:rStyle w:val="FootnoteReference"/>
        </w:rPr>
        <w:footnoteReference w:id="49"/>
      </w:r>
      <w:r w:rsidR="00064C5E">
        <w:t xml:space="preserve"> </w:t>
      </w:r>
    </w:p>
    <w:p w14:paraId="000C2473" w14:textId="2616874C" w:rsidR="004679B6" w:rsidRDefault="009D0644" w:rsidP="00B35E88">
      <w:pPr>
        <w:spacing w:line="360" w:lineRule="auto"/>
      </w:pPr>
      <w:r>
        <w:tab/>
      </w:r>
      <w:r w:rsidR="00EC3DE8">
        <w:t>Of non-royal stock, Herod was a king made in Rome</w:t>
      </w:r>
      <w:r w:rsidR="008D04EC">
        <w:t xml:space="preserve">. </w:t>
      </w:r>
      <w:r w:rsidR="00EC3DE8">
        <w:t xml:space="preserve">Pompey’s </w:t>
      </w:r>
      <w:r w:rsidR="005A7A70">
        <w:t xml:space="preserve">Roman </w:t>
      </w:r>
      <w:r w:rsidR="00EC3DE8">
        <w:t xml:space="preserve">settlement of Syria in 63 </w:t>
      </w:r>
      <w:r w:rsidR="00EF7BCB">
        <w:t xml:space="preserve">BCE </w:t>
      </w:r>
      <w:r w:rsidR="00035D9C">
        <w:t>ended the rule of the Hasmonean monarchy in Judea (revived temporarily 40–37 BCE, see below)</w:t>
      </w:r>
      <w:r w:rsidR="008D04EC">
        <w:t xml:space="preserve">, </w:t>
      </w:r>
      <w:r w:rsidR="008B7D37">
        <w:t xml:space="preserve">while </w:t>
      </w:r>
      <w:r w:rsidR="008D04EC">
        <w:t xml:space="preserve">retaining the Hasmonean Hyrcanus II as </w:t>
      </w:r>
      <w:r w:rsidR="00A6000E">
        <w:t xml:space="preserve">high priest and ethnarch </w:t>
      </w:r>
      <w:r w:rsidR="0009689D">
        <w:t>(63–40 BCE)–</w:t>
      </w:r>
      <w:r w:rsidR="008D04EC">
        <w:t>but not king</w:t>
      </w:r>
      <w:r w:rsidR="0009689D">
        <w:t>–</w:t>
      </w:r>
      <w:r w:rsidR="008D04EC">
        <w:t xml:space="preserve">of a country now under </w:t>
      </w:r>
      <w:r w:rsidR="00CB28A9">
        <w:t xml:space="preserve">the control of the Roman governor of </w:t>
      </w:r>
      <w:r w:rsidR="00534340">
        <w:t xml:space="preserve">the newly created province of </w:t>
      </w:r>
      <w:r w:rsidR="00CB28A9">
        <w:t>Syria</w:t>
      </w:r>
      <w:r w:rsidR="008D04EC">
        <w:t>.</w:t>
      </w:r>
      <w:r w:rsidR="006A60CD">
        <w:t xml:space="preserve"> </w:t>
      </w:r>
      <w:r w:rsidR="00604C50">
        <w:t xml:space="preserve">In </w:t>
      </w:r>
      <w:r w:rsidR="00A6000E">
        <w:t>this role</w:t>
      </w:r>
      <w:r w:rsidR="006A60CD">
        <w:t xml:space="preserve">, Hyrcanus was assisted by </w:t>
      </w:r>
      <w:r w:rsidR="008B7D37">
        <w:t xml:space="preserve">the powerful figure of </w:t>
      </w:r>
      <w:r w:rsidR="006A60CD">
        <w:t>Antipater of Ascalon</w:t>
      </w:r>
      <w:r w:rsidR="00D51796">
        <w:t xml:space="preserve">, </w:t>
      </w:r>
      <w:r w:rsidR="00F21623">
        <w:t>the father of the future Herod the Great, and Hyrcanus’</w:t>
      </w:r>
      <w:r w:rsidR="00D51796">
        <w:t xml:space="preserve"> long-time supporter in the inner-dynastic Hasmonean conflict that </w:t>
      </w:r>
      <w:r w:rsidR="00F21623">
        <w:t xml:space="preserve">had </w:t>
      </w:r>
      <w:r w:rsidR="00D51796">
        <w:t>led to Pompey’s intervention in Jerusalem</w:t>
      </w:r>
      <w:r w:rsidR="00AD5497">
        <w:t>.</w:t>
      </w:r>
      <w:r w:rsidR="00EB5672">
        <w:rPr>
          <w:rStyle w:val="FootnoteReference"/>
        </w:rPr>
        <w:footnoteReference w:id="50"/>
      </w:r>
      <w:r w:rsidR="00A6000E">
        <w:t xml:space="preserve"> </w:t>
      </w:r>
      <w:r w:rsidR="001947DC">
        <w:t>Following</w:t>
      </w:r>
      <w:r w:rsidR="00F21623">
        <w:t xml:space="preserve"> the demise of Pompey (killed in Egypt on the authority of Ptolemy XIII, 48 BCE), </w:t>
      </w:r>
      <w:r w:rsidR="001947DC">
        <w:t xml:space="preserve">Julius Caesar confirmed Hyrcanus </w:t>
      </w:r>
      <w:r w:rsidR="00B41817">
        <w:t xml:space="preserve">as high priest, </w:t>
      </w:r>
      <w:r w:rsidR="001947DC">
        <w:t>in recognition of the assistance received by Caesar from Antipater and Hyrcanus in the course of the Alexandrian War in which Ptolemy XIII was eliminated</w:t>
      </w:r>
      <w:r w:rsidR="007B137C">
        <w:t xml:space="preserve"> (47 BCE)</w:t>
      </w:r>
      <w:r w:rsidR="00B41817">
        <w:t xml:space="preserve">; </w:t>
      </w:r>
      <w:r w:rsidR="00F41F8E">
        <w:t xml:space="preserve">in the same year, Antipater’s rewards included the prize of Roman citizenship and the position of procurator </w:t>
      </w:r>
      <w:r w:rsidR="008D44EE">
        <w:t>(</w:t>
      </w:r>
      <w:r w:rsidR="008D44EE" w:rsidRPr="008D44EE">
        <w:rPr>
          <w:i/>
        </w:rPr>
        <w:t>epitropos</w:t>
      </w:r>
      <w:r w:rsidR="008D44EE">
        <w:t xml:space="preserve">) </w:t>
      </w:r>
      <w:r w:rsidR="00F41F8E">
        <w:t>of Judea.</w:t>
      </w:r>
      <w:r w:rsidR="005F0C6B">
        <w:rPr>
          <w:rStyle w:val="FootnoteReference"/>
        </w:rPr>
        <w:footnoteReference w:id="51"/>
      </w:r>
      <w:r w:rsidR="00B41817">
        <w:t xml:space="preserve"> </w:t>
      </w:r>
      <w:r w:rsidR="00775B27">
        <w:t xml:space="preserve">Early in the Second Triumvirate, following </w:t>
      </w:r>
      <w:r w:rsidR="00026D19">
        <w:t>the</w:t>
      </w:r>
      <w:r w:rsidR="00775B27">
        <w:t xml:space="preserve"> assassination</w:t>
      </w:r>
      <w:r w:rsidR="009E35E1">
        <w:t>s</w:t>
      </w:r>
      <w:r w:rsidR="00026D19">
        <w:t xml:space="preserve"> of Caesar</w:t>
      </w:r>
      <w:r w:rsidR="00775B27">
        <w:t xml:space="preserve"> (44 BCE)</w:t>
      </w:r>
      <w:r w:rsidR="00026D19">
        <w:t xml:space="preserve"> and Antipater (43 BCE)</w:t>
      </w:r>
      <w:r w:rsidR="00775B27">
        <w:t xml:space="preserve">, </w:t>
      </w:r>
      <w:r w:rsidR="00F364AE">
        <w:t xml:space="preserve">Antony’s settlement of the East </w:t>
      </w:r>
      <w:r w:rsidR="00775B27">
        <w:t>(</w:t>
      </w:r>
      <w:r w:rsidR="006E5535">
        <w:t xml:space="preserve">41 </w:t>
      </w:r>
      <w:r w:rsidR="00EF7BCB">
        <w:t>BCE</w:t>
      </w:r>
      <w:r w:rsidR="00775B27">
        <w:t>)</w:t>
      </w:r>
      <w:r w:rsidR="00EF7BCB">
        <w:t xml:space="preserve"> </w:t>
      </w:r>
      <w:r w:rsidR="00F364AE">
        <w:t>promoted Antipater’s sons</w:t>
      </w:r>
      <w:r w:rsidR="00775B27">
        <w:t>, including Herod,</w:t>
      </w:r>
      <w:r w:rsidR="00F364AE">
        <w:t xml:space="preserve"> as local </w:t>
      </w:r>
      <w:r w:rsidR="005A7A70">
        <w:t xml:space="preserve">governors </w:t>
      </w:r>
      <w:r w:rsidR="00157ECF">
        <w:t>(</w:t>
      </w:r>
      <w:r w:rsidR="00157ECF" w:rsidRPr="006B49B9">
        <w:rPr>
          <w:i/>
        </w:rPr>
        <w:t>tetrarchs</w:t>
      </w:r>
      <w:r w:rsidR="00157ECF">
        <w:t xml:space="preserve">) </w:t>
      </w:r>
      <w:r w:rsidR="005A7A70">
        <w:t>within the J</w:t>
      </w:r>
      <w:r w:rsidR="009B0446">
        <w:t>ewish</w:t>
      </w:r>
      <w:r w:rsidR="005A7A70">
        <w:t xml:space="preserve"> territory.</w:t>
      </w:r>
      <w:r w:rsidR="00E547A3">
        <w:rPr>
          <w:rStyle w:val="FootnoteReference"/>
        </w:rPr>
        <w:footnoteReference w:id="52"/>
      </w:r>
      <w:r w:rsidR="005A7A70">
        <w:t xml:space="preserve"> </w:t>
      </w:r>
      <w:r w:rsidR="009B0446">
        <w:t>In the f</w:t>
      </w:r>
      <w:r w:rsidR="005A7A70">
        <w:t xml:space="preserve">ollowing </w:t>
      </w:r>
      <w:r w:rsidR="009B0446">
        <w:t xml:space="preserve">year, </w:t>
      </w:r>
      <w:r w:rsidR="005A7A70">
        <w:t>the Parthian</w:t>
      </w:r>
      <w:r w:rsidR="009B0446">
        <w:t>s</w:t>
      </w:r>
      <w:r w:rsidR="005A7A70">
        <w:t xml:space="preserve"> inva</w:t>
      </w:r>
      <w:r w:rsidR="009B0446">
        <w:t xml:space="preserve">ded </w:t>
      </w:r>
      <w:r w:rsidR="005A7A70">
        <w:t>Roman</w:t>
      </w:r>
      <w:r w:rsidR="00F364AE">
        <w:t xml:space="preserve"> </w:t>
      </w:r>
      <w:r w:rsidR="005A7A70">
        <w:t xml:space="preserve">Syria, </w:t>
      </w:r>
      <w:r w:rsidR="003260EE">
        <w:t xml:space="preserve">taking </w:t>
      </w:r>
      <w:r w:rsidR="005A7A70">
        <w:t>Jerusalem</w:t>
      </w:r>
      <w:r w:rsidR="005F0ADB">
        <w:t xml:space="preserve"> </w:t>
      </w:r>
      <w:r w:rsidR="003260EE">
        <w:t xml:space="preserve">and installing as its </w:t>
      </w:r>
      <w:r w:rsidR="00B667CE">
        <w:t xml:space="preserve">high priest and </w:t>
      </w:r>
      <w:r w:rsidR="003260EE">
        <w:t xml:space="preserve">king </w:t>
      </w:r>
      <w:r w:rsidR="005F0ADB">
        <w:t xml:space="preserve">Antigonus, </w:t>
      </w:r>
      <w:r w:rsidR="003260EE">
        <w:t xml:space="preserve">who, as </w:t>
      </w:r>
      <w:r w:rsidR="005F0ADB">
        <w:t xml:space="preserve">nephew of Hyrcanus II, </w:t>
      </w:r>
      <w:r w:rsidR="003260EE">
        <w:t>was to be</w:t>
      </w:r>
      <w:r w:rsidR="000027DE">
        <w:t xml:space="preserve"> the last of the Hasmonean monarchs</w:t>
      </w:r>
      <w:r w:rsidR="005F0ADB">
        <w:t xml:space="preserve"> (40–37 BCE).</w:t>
      </w:r>
      <w:r w:rsidR="005F0ADB">
        <w:rPr>
          <w:rStyle w:val="FootnoteReference"/>
        </w:rPr>
        <w:footnoteReference w:id="53"/>
      </w:r>
      <w:r w:rsidR="005F0ADB">
        <w:t xml:space="preserve"> </w:t>
      </w:r>
      <w:r w:rsidR="005A7A70">
        <w:t>Herod fled</w:t>
      </w:r>
      <w:r w:rsidR="00C806ED">
        <w:t>–via Cleopatra’s Alexandria–</w:t>
      </w:r>
      <w:r w:rsidR="005A7A70">
        <w:t>to Antony in Rome, where</w:t>
      </w:r>
      <w:r w:rsidR="0035319D">
        <w:t>, with the support of the triumvirs,</w:t>
      </w:r>
      <w:r w:rsidR="005A7A70">
        <w:t xml:space="preserve"> he received </w:t>
      </w:r>
      <w:r w:rsidR="00907286">
        <w:t>from</w:t>
      </w:r>
      <w:r w:rsidR="00CA7E6F">
        <w:t xml:space="preserve"> the Senate </w:t>
      </w:r>
      <w:r w:rsidR="005A7A70">
        <w:t xml:space="preserve">the </w:t>
      </w:r>
      <w:r w:rsidR="007031C9">
        <w:t>kingship</w:t>
      </w:r>
      <w:r w:rsidR="005A7A70">
        <w:t xml:space="preserve"> of Judea</w:t>
      </w:r>
      <w:r w:rsidR="00CA7E6F">
        <w:t xml:space="preserve"> </w:t>
      </w:r>
      <w:r w:rsidR="00B22A4F">
        <w:t>(40 BCE)</w:t>
      </w:r>
      <w:r w:rsidR="00EB4AE8">
        <w:t>;</w:t>
      </w:r>
      <w:r w:rsidR="004679B6" w:rsidRPr="004679B6">
        <w:rPr>
          <w:rStyle w:val="FootnoteReference"/>
        </w:rPr>
        <w:t xml:space="preserve"> </w:t>
      </w:r>
      <w:r w:rsidR="004679B6">
        <w:rPr>
          <w:rStyle w:val="FootnoteReference"/>
        </w:rPr>
        <w:footnoteReference w:id="54"/>
      </w:r>
      <w:r w:rsidR="004679B6">
        <w:t xml:space="preserve"> </w:t>
      </w:r>
      <w:r w:rsidR="005A7A70">
        <w:t>and</w:t>
      </w:r>
      <w:r w:rsidR="0037028F">
        <w:t>, in time,</w:t>
      </w:r>
      <w:r w:rsidR="007E77B1">
        <w:t xml:space="preserve"> the</w:t>
      </w:r>
      <w:r w:rsidR="005A7A70">
        <w:t xml:space="preserve"> might of Roman military backing to </w:t>
      </w:r>
      <w:r w:rsidR="006E2478">
        <w:t xml:space="preserve">exterminate the </w:t>
      </w:r>
      <w:r w:rsidR="003A100A">
        <w:t>pro-</w:t>
      </w:r>
      <w:r w:rsidR="006E2478">
        <w:t>Parthian</w:t>
      </w:r>
      <w:r w:rsidR="00EB4AE8">
        <w:t xml:space="preserve"> </w:t>
      </w:r>
      <w:r w:rsidR="006E2478">
        <w:t>Antigonus</w:t>
      </w:r>
      <w:r w:rsidR="00EB4AE8">
        <w:t>, executed on the order of Antony,</w:t>
      </w:r>
      <w:r w:rsidR="006E2478">
        <w:t xml:space="preserve"> and to </w:t>
      </w:r>
      <w:r w:rsidR="005A7A70">
        <w:t xml:space="preserve">install </w:t>
      </w:r>
      <w:r w:rsidR="00537AE5">
        <w:t>Herod</w:t>
      </w:r>
      <w:r w:rsidR="005A7A70">
        <w:t xml:space="preserve"> </w:t>
      </w:r>
      <w:r w:rsidR="00537AE5">
        <w:t>as king in J</w:t>
      </w:r>
      <w:r w:rsidR="00EB4AE8">
        <w:t xml:space="preserve">udea </w:t>
      </w:r>
      <w:r w:rsidR="006E2478">
        <w:t>(</w:t>
      </w:r>
      <w:r w:rsidR="007E77B1">
        <w:t>37 BCE</w:t>
      </w:r>
      <w:r w:rsidR="00537AE5">
        <w:t>)</w:t>
      </w:r>
      <w:r w:rsidR="005A7A70">
        <w:t>.</w:t>
      </w:r>
      <w:r w:rsidR="006B3C21">
        <w:rPr>
          <w:rStyle w:val="FootnoteReference"/>
        </w:rPr>
        <w:footnoteReference w:id="55"/>
      </w:r>
      <w:r w:rsidR="00182904">
        <w:t xml:space="preserve"> </w:t>
      </w:r>
    </w:p>
    <w:p w14:paraId="4B47AF87" w14:textId="67533401" w:rsidR="00271178" w:rsidRDefault="00407FF0" w:rsidP="00B35E88">
      <w:pPr>
        <w:spacing w:line="360" w:lineRule="auto"/>
      </w:pPr>
      <w:r>
        <w:tab/>
      </w:r>
      <w:r w:rsidR="001257E5">
        <w:t xml:space="preserve">Any evaluation of Herod must take into account the fundamental insecurity that dominated </w:t>
      </w:r>
      <w:r w:rsidR="00D03531">
        <w:t xml:space="preserve">much of </w:t>
      </w:r>
      <w:r w:rsidR="001257E5">
        <w:t>his r</w:t>
      </w:r>
      <w:r w:rsidR="00D03531">
        <w:t>eign</w:t>
      </w:r>
      <w:r w:rsidR="00EF7BCB">
        <w:t>. I</w:t>
      </w:r>
      <w:r w:rsidR="001D0E53">
        <w:t xml:space="preserve">nternally, </w:t>
      </w:r>
      <w:r w:rsidR="00B57916">
        <w:t>surviving</w:t>
      </w:r>
      <w:r w:rsidR="001D0E53">
        <w:t xml:space="preserve"> Hasmoneans remained a powerful threat, not </w:t>
      </w:r>
      <w:r w:rsidR="00336FA1">
        <w:t xml:space="preserve">at all </w:t>
      </w:r>
      <w:r w:rsidR="001D0E53">
        <w:t xml:space="preserve">diminished by Herod’s marriage to Mariamme, </w:t>
      </w:r>
      <w:r w:rsidR="00D7308E">
        <w:t xml:space="preserve">Hasmonean </w:t>
      </w:r>
      <w:r w:rsidR="00E521C7">
        <w:t xml:space="preserve">granddaughter of </w:t>
      </w:r>
      <w:r w:rsidR="006C6127">
        <w:t>Hyrcanus II</w:t>
      </w:r>
      <w:r w:rsidR="003221E2">
        <w:t>.</w:t>
      </w:r>
      <w:r w:rsidR="00137323">
        <w:rPr>
          <w:rStyle w:val="FootnoteReference"/>
        </w:rPr>
        <w:footnoteReference w:id="56"/>
      </w:r>
      <w:r w:rsidR="003221E2">
        <w:t xml:space="preserve"> Josephus records Cleopatra’s support for </w:t>
      </w:r>
      <w:r w:rsidR="006763E3">
        <w:t xml:space="preserve">Alexandra and Aristobulus, </w:t>
      </w:r>
      <w:r w:rsidR="00F373A9">
        <w:t>Mariamme’s mother and brother</w:t>
      </w:r>
      <w:r w:rsidR="006763E3">
        <w:t xml:space="preserve">, promoting </w:t>
      </w:r>
      <w:r w:rsidR="000C4E1E">
        <w:t xml:space="preserve">to Antony </w:t>
      </w:r>
      <w:r w:rsidR="006763E3">
        <w:t>their claim to the right of Aristobulus to the high priesthood</w:t>
      </w:r>
      <w:r w:rsidR="008A0AFF">
        <w:t>,</w:t>
      </w:r>
      <w:r w:rsidR="006763E3">
        <w:t xml:space="preserve"> and</w:t>
      </w:r>
      <w:r w:rsidR="00427CBA">
        <w:t xml:space="preserve">, on behalf of the old </w:t>
      </w:r>
      <w:r w:rsidR="00806248">
        <w:t>monarchy,</w:t>
      </w:r>
      <w:r w:rsidR="006763E3">
        <w:t xml:space="preserve"> challenging the legitimacy of Herod as commoner turned king.</w:t>
      </w:r>
      <w:r w:rsidR="000C4E1E">
        <w:rPr>
          <w:rStyle w:val="FootnoteReference"/>
        </w:rPr>
        <w:footnoteReference w:id="57"/>
      </w:r>
      <w:r w:rsidR="00F373A9">
        <w:t xml:space="preserve"> </w:t>
      </w:r>
      <w:r w:rsidR="006763E3">
        <w:t>C</w:t>
      </w:r>
      <w:r w:rsidR="00F373A9">
        <w:t xml:space="preserve">onfined to house arrest by Herod, </w:t>
      </w:r>
      <w:r w:rsidR="00AF1133">
        <w:t xml:space="preserve">Alexandra appealed to </w:t>
      </w:r>
      <w:r w:rsidR="00F373A9">
        <w:t xml:space="preserve">Cleopatra </w:t>
      </w:r>
      <w:r w:rsidR="00AF1133">
        <w:t>for help.</w:t>
      </w:r>
      <w:r w:rsidR="00AF1133">
        <w:rPr>
          <w:rStyle w:val="FootnoteReference"/>
        </w:rPr>
        <w:footnoteReference w:id="58"/>
      </w:r>
      <w:r w:rsidR="00F373A9">
        <w:t xml:space="preserve"> </w:t>
      </w:r>
      <w:r w:rsidR="00AF1133">
        <w:t xml:space="preserve">The Queen offered sanctuary to Alexandra and Aristobulus in Egypt, </w:t>
      </w:r>
      <w:r w:rsidR="00F373A9">
        <w:t xml:space="preserve">but </w:t>
      </w:r>
      <w:r w:rsidR="00AF1133">
        <w:t>their plan to escape was betrayed to Herod</w:t>
      </w:r>
      <w:r w:rsidR="004E5103">
        <w:t>;</w:t>
      </w:r>
      <w:r w:rsidR="00F373A9">
        <w:t xml:space="preserve"> </w:t>
      </w:r>
      <w:r w:rsidR="00B26C74">
        <w:t>Aristobulus</w:t>
      </w:r>
      <w:r w:rsidR="00F373A9">
        <w:t>, the last Hasmonean high priest, was dead within the year, drowned in Herod’s swimming pool at Jericho</w:t>
      </w:r>
      <w:r w:rsidR="000C4E1E">
        <w:t xml:space="preserve"> (35 BCE)</w:t>
      </w:r>
      <w:r w:rsidR="00F373A9">
        <w:t>.</w:t>
      </w:r>
      <w:r w:rsidR="00F430C1">
        <w:rPr>
          <w:rStyle w:val="FootnoteReference"/>
        </w:rPr>
        <w:footnoteReference w:id="59"/>
      </w:r>
      <w:r w:rsidR="001171C7">
        <w:t xml:space="preserve"> </w:t>
      </w:r>
      <w:r w:rsidR="009B3049" w:rsidRPr="005356B8">
        <w:t>Alexandra</w:t>
      </w:r>
      <w:r w:rsidR="0046659C" w:rsidRPr="005356B8">
        <w:t xml:space="preserve"> again</w:t>
      </w:r>
      <w:r w:rsidR="009B3049" w:rsidRPr="005356B8">
        <w:t xml:space="preserve"> appeal</w:t>
      </w:r>
      <w:r w:rsidR="0046659C" w:rsidRPr="005356B8">
        <w:t>ed</w:t>
      </w:r>
      <w:r w:rsidR="009B3049" w:rsidRPr="005356B8">
        <w:t xml:space="preserve"> to C</w:t>
      </w:r>
      <w:r w:rsidR="0046659C" w:rsidRPr="005356B8">
        <w:t>leopatra, hoping that</w:t>
      </w:r>
      <w:r w:rsidR="009B3049" w:rsidRPr="005356B8">
        <w:t xml:space="preserve"> </w:t>
      </w:r>
      <w:r w:rsidR="0046659C" w:rsidRPr="005356B8">
        <w:t>the Queen’s</w:t>
      </w:r>
      <w:r w:rsidR="009B3049" w:rsidRPr="005356B8">
        <w:t xml:space="preserve"> influence with Antony </w:t>
      </w:r>
      <w:r w:rsidR="0046659C" w:rsidRPr="005356B8">
        <w:t>would lead to Herod’s punishment for the killing</w:t>
      </w:r>
      <w:r w:rsidR="00DB05FD" w:rsidRPr="005356B8">
        <w:t xml:space="preserve">; </w:t>
      </w:r>
      <w:r w:rsidR="0046659C" w:rsidRPr="005356B8">
        <w:t>while Josephus portrays Cleopatra’s</w:t>
      </w:r>
      <w:r w:rsidR="00DB05FD" w:rsidRPr="005356B8">
        <w:t xml:space="preserve"> promotion of </w:t>
      </w:r>
      <w:r w:rsidR="00E108D7">
        <w:t>Alexandra’s</w:t>
      </w:r>
      <w:r w:rsidR="00DB05FD" w:rsidRPr="005356B8">
        <w:t xml:space="preserve"> cause as the pursuit of </w:t>
      </w:r>
      <w:r w:rsidR="00A76672" w:rsidRPr="005356B8">
        <w:t xml:space="preserve">her </w:t>
      </w:r>
      <w:r w:rsidR="007E1B7E" w:rsidRPr="005356B8">
        <w:t xml:space="preserve">supposed </w:t>
      </w:r>
      <w:r w:rsidR="00A76672" w:rsidRPr="005356B8">
        <w:t>long-term</w:t>
      </w:r>
      <w:r w:rsidR="00DB05FD" w:rsidRPr="005356B8">
        <w:t xml:space="preserve"> policy to make Antony the enemy of Herod</w:t>
      </w:r>
      <w:r w:rsidR="0046659C" w:rsidRPr="005356B8">
        <w:t>,</w:t>
      </w:r>
      <w:r w:rsidR="00DB05FD" w:rsidRPr="005356B8">
        <w:t xml:space="preserve"> the power of </w:t>
      </w:r>
      <w:r w:rsidR="0046659C" w:rsidRPr="005356B8">
        <w:t>the Queen’s</w:t>
      </w:r>
      <w:r w:rsidR="00DB05FD" w:rsidRPr="005356B8">
        <w:t xml:space="preserve"> hold over Antony </w:t>
      </w:r>
      <w:r w:rsidR="0046659C" w:rsidRPr="005356B8">
        <w:t xml:space="preserve">was </w:t>
      </w:r>
      <w:r w:rsidR="00DB05FD" w:rsidRPr="005356B8">
        <w:t>not proved on this occasion as Antony</w:t>
      </w:r>
      <w:r w:rsidR="00A33301" w:rsidRPr="005356B8">
        <w:t>, bribed by Herod,</w:t>
      </w:r>
      <w:r w:rsidR="00DB05FD" w:rsidRPr="005356B8">
        <w:t xml:space="preserve"> dismissed the challenge to </w:t>
      </w:r>
      <w:r w:rsidR="00A33301" w:rsidRPr="005356B8">
        <w:t>his</w:t>
      </w:r>
      <w:r w:rsidR="00DF6ED3" w:rsidRPr="005356B8">
        <w:t xml:space="preserve"> </w:t>
      </w:r>
      <w:r w:rsidR="001A4F0D">
        <w:t>client king</w:t>
      </w:r>
      <w:r w:rsidR="00271178" w:rsidRPr="005356B8">
        <w:t>.</w:t>
      </w:r>
      <w:r w:rsidR="00271178" w:rsidRPr="005356B8">
        <w:rPr>
          <w:rStyle w:val="FootnoteReference"/>
        </w:rPr>
        <w:footnoteReference w:id="60"/>
      </w:r>
      <w:r w:rsidR="00DB05FD">
        <w:t xml:space="preserve"> </w:t>
      </w:r>
      <w:r w:rsidR="004F551C">
        <w:t xml:space="preserve">In another episode, of uncertain date, </w:t>
      </w:r>
      <w:r w:rsidR="00BB0EA0">
        <w:t>Josephus reports the attempt by Costobarus, the Idumean husband of Herod’s sister Salome and governor of Idumea, to persuade Cleopatra to collaborate with him against Herod. In this case, Costobarus alleged</w:t>
      </w:r>
      <w:r w:rsidR="0011336E">
        <w:t>ly appealed explicitly to Cleopatra’s ancestral claims on Idumea as the basis on which she should ask Antony for the return of the land</w:t>
      </w:r>
      <w:r w:rsidR="00710954">
        <w:t>. The motive of Costobarus, we are told, involved another kind of ancestral claim: to free Idumea of subjection to Jewish laws and to promote his own rule of the country.</w:t>
      </w:r>
      <w:r w:rsidR="00710954">
        <w:rPr>
          <w:rStyle w:val="FootnoteReference"/>
        </w:rPr>
        <w:footnoteReference w:id="61"/>
      </w:r>
      <w:r w:rsidR="00710954">
        <w:t xml:space="preserve"> With Antony’s refusal of Cleopatra’s request, the plan came to nothing, but the story is striking for its explicit articulation of Cleopatra’s ambition for the restoration of the empire of her ancestors. </w:t>
      </w:r>
    </w:p>
    <w:p w14:paraId="6F66524A" w14:textId="0B1176F4" w:rsidR="00C25F90" w:rsidRDefault="00307540" w:rsidP="00B35E88">
      <w:pPr>
        <w:spacing w:line="360" w:lineRule="auto"/>
      </w:pPr>
      <w:r>
        <w:tab/>
      </w:r>
      <w:r w:rsidR="003221E2">
        <w:t>E</w:t>
      </w:r>
      <w:r w:rsidR="004B290D">
        <w:t>xternally, Herod saw Cleopatra as his greatest threat, driven by her ambition for his territory.</w:t>
      </w:r>
      <w:r w:rsidR="00232F00">
        <w:t xml:space="preserve"> Josephus tells us that Herod fortified Masada as a refuge from his</w:t>
      </w:r>
      <w:r w:rsidR="00EE6BB2">
        <w:t xml:space="preserve"> enemies, </w:t>
      </w:r>
      <w:r w:rsidR="005A53B1">
        <w:t xml:space="preserve">specifically pro-Hasmonean Jews, aiming to restore the </w:t>
      </w:r>
      <w:r w:rsidR="004017CD">
        <w:t xml:space="preserve">old </w:t>
      </w:r>
      <w:r w:rsidR="005A53B1">
        <w:t>dynasty</w:t>
      </w:r>
      <w:r w:rsidR="004017CD">
        <w:t xml:space="preserve"> to power</w:t>
      </w:r>
      <w:r w:rsidR="005A53B1">
        <w:t xml:space="preserve">, and the even greater </w:t>
      </w:r>
      <w:r w:rsidR="00253048">
        <w:t xml:space="preserve">danger </w:t>
      </w:r>
      <w:r w:rsidR="005A53B1">
        <w:t xml:space="preserve">of </w:t>
      </w:r>
      <w:r w:rsidR="00EE6BB2">
        <w:t>Cleopatra</w:t>
      </w:r>
      <w:r w:rsidR="004B7959">
        <w:t>, who allegedly sought the throne of Judea for herself</w:t>
      </w:r>
      <w:r w:rsidR="00232F00">
        <w:t>.</w:t>
      </w:r>
      <w:r w:rsidR="00971D54">
        <w:rPr>
          <w:rStyle w:val="FootnoteReference"/>
        </w:rPr>
        <w:footnoteReference w:id="62"/>
      </w:r>
      <w:r w:rsidR="001D0E53">
        <w:t xml:space="preserve"> </w:t>
      </w:r>
      <w:r w:rsidR="001C466B">
        <w:t xml:space="preserve">A client king of Rome, Herod owed loyalty to Antony as commander in the East; after </w:t>
      </w:r>
      <w:r w:rsidR="00CD251F">
        <w:t xml:space="preserve">Antony’s defeat at </w:t>
      </w:r>
      <w:r w:rsidR="001C466B">
        <w:t>Actium (at which Herod was not present),</w:t>
      </w:r>
      <w:r w:rsidR="004017CD">
        <w:rPr>
          <w:rStyle w:val="FootnoteReference"/>
        </w:rPr>
        <w:footnoteReference w:id="63"/>
      </w:r>
      <w:r w:rsidR="001C466B">
        <w:t xml:space="preserve"> Herod presented himself to Octavian as </w:t>
      </w:r>
      <w:r w:rsidR="002B6763">
        <w:t xml:space="preserve">always </w:t>
      </w:r>
      <w:r w:rsidR="001C466B">
        <w:t>a loyal servant to Rome but an enemy of Cleopatra from the beginning.</w:t>
      </w:r>
      <w:r w:rsidR="00971D54">
        <w:rPr>
          <w:rStyle w:val="FootnoteReference"/>
        </w:rPr>
        <w:footnoteReference w:id="64"/>
      </w:r>
      <w:r w:rsidR="001C466B">
        <w:t xml:space="preserve"> </w:t>
      </w:r>
      <w:r w:rsidR="007E0B92">
        <w:t>Herod benefited greatly from Cleopatra’s fall, and</w:t>
      </w:r>
      <w:r w:rsidR="002E3AD9">
        <w:t xml:space="preserve"> </w:t>
      </w:r>
      <w:r w:rsidR="007E0B92">
        <w:t>played a major role in promoting Octavian</w:t>
      </w:r>
      <w:r w:rsidR="00142C67">
        <w:t>’s victory</w:t>
      </w:r>
      <w:r w:rsidR="007E0B92">
        <w:t xml:space="preserve"> as </w:t>
      </w:r>
      <w:r w:rsidR="00142C67">
        <w:t xml:space="preserve">the salvation </w:t>
      </w:r>
      <w:r w:rsidR="007E0B92">
        <w:t>of the Roman state.</w:t>
      </w:r>
      <w:r w:rsidR="00971D54">
        <w:rPr>
          <w:rStyle w:val="FootnoteReference"/>
        </w:rPr>
        <w:footnoteReference w:id="65"/>
      </w:r>
    </w:p>
    <w:p w14:paraId="19742F9E" w14:textId="2E5700D3" w:rsidR="002B6763" w:rsidRPr="007E32EB" w:rsidRDefault="002B6763" w:rsidP="00B35E88">
      <w:pPr>
        <w:spacing w:line="360" w:lineRule="auto"/>
      </w:pPr>
      <w:r>
        <w:tab/>
      </w:r>
      <w:r w:rsidR="00D95551">
        <w:t>In Josephus’</w:t>
      </w:r>
      <w:r>
        <w:t xml:space="preserve"> portrait of Cleopatra in the </w:t>
      </w:r>
      <w:r w:rsidRPr="002B6763">
        <w:rPr>
          <w:i/>
        </w:rPr>
        <w:t>Apion</w:t>
      </w:r>
      <w:r w:rsidR="00EF7BCB">
        <w:t>,</w:t>
      </w:r>
      <w:r>
        <w:t xml:space="preserve"> the influence of Herod’s perspective</w:t>
      </w:r>
      <w:r w:rsidR="00EE7EA0">
        <w:t xml:space="preserve"> may be seen in two respects</w:t>
      </w:r>
      <w:r w:rsidR="003A05CE">
        <w:t>, beginning with the</w:t>
      </w:r>
      <w:r w:rsidR="00C604C6">
        <w:t xml:space="preserve"> condemnation of Cleopatra as </w:t>
      </w:r>
      <w:r w:rsidR="00771E22">
        <w:rPr>
          <w:i/>
        </w:rPr>
        <w:t>ingrata</w:t>
      </w:r>
      <w:r w:rsidR="00771E22">
        <w:t xml:space="preserve"> (</w:t>
      </w:r>
      <w:r w:rsidR="00771E22" w:rsidRPr="00771E22">
        <w:rPr>
          <w:i/>
        </w:rPr>
        <w:t>circa nos fuit ingrata</w:t>
      </w:r>
      <w:r w:rsidR="00771E22">
        <w:t>).</w:t>
      </w:r>
      <w:r w:rsidR="00771E22">
        <w:rPr>
          <w:rStyle w:val="FootnoteReference"/>
        </w:rPr>
        <w:footnoteReference w:id="66"/>
      </w:r>
      <w:r w:rsidR="00C604C6">
        <w:t xml:space="preserve"> What </w:t>
      </w:r>
      <w:r w:rsidR="002A5491">
        <w:t>does this</w:t>
      </w:r>
      <w:r w:rsidR="00C604C6">
        <w:t xml:space="preserve"> mean</w:t>
      </w:r>
      <w:r w:rsidR="007920A7">
        <w:t xml:space="preserve"> here</w:t>
      </w:r>
      <w:r w:rsidR="002A5491">
        <w:t>?</w:t>
      </w:r>
      <w:r w:rsidR="00C604C6">
        <w:t xml:space="preserve"> The </w:t>
      </w:r>
      <w:r w:rsidR="00A80191">
        <w:t>question</w:t>
      </w:r>
      <w:r w:rsidR="00C604C6">
        <w:t xml:space="preserve"> goes back to M</w:t>
      </w:r>
      <w:r w:rsidR="00A80191">
        <w:t>ü</w:t>
      </w:r>
      <w:r w:rsidR="00C604C6">
        <w:t>ller’s commentary of 1877, in which he states that Josephus knew no reason why Cleopatra</w:t>
      </w:r>
      <w:r w:rsidR="004B4873">
        <w:t xml:space="preserve"> should be grateful to the Jews; </w:t>
      </w:r>
      <w:r w:rsidR="006E22D2">
        <w:t xml:space="preserve">rather, </w:t>
      </w:r>
      <w:r w:rsidR="004B4873" w:rsidRPr="00C604C6">
        <w:rPr>
          <w:i/>
        </w:rPr>
        <w:t>ingrata</w:t>
      </w:r>
      <w:r w:rsidR="004B4873">
        <w:t xml:space="preserve"> </w:t>
      </w:r>
      <w:r w:rsidR="006F30A5">
        <w:t>should be read as</w:t>
      </w:r>
      <w:r w:rsidR="00C604C6">
        <w:t xml:space="preserve"> </w:t>
      </w:r>
      <w:r w:rsidR="00D46433">
        <w:t>‘ungracious’, a symptom of the Q</w:t>
      </w:r>
      <w:r w:rsidR="00C604C6">
        <w:t>ueen’s malevolence.</w:t>
      </w:r>
      <w:r w:rsidR="006F30A5">
        <w:rPr>
          <w:rStyle w:val="FootnoteReference"/>
        </w:rPr>
        <w:footnoteReference w:id="67"/>
      </w:r>
      <w:r w:rsidR="00CE2E02">
        <w:t xml:space="preserve"> Müller’s interpretation is </w:t>
      </w:r>
      <w:r w:rsidR="00842E09">
        <w:t>widely</w:t>
      </w:r>
      <w:r w:rsidR="00CE522F">
        <w:t xml:space="preserve"> adopted.</w:t>
      </w:r>
      <w:r w:rsidR="00B87A32">
        <w:t xml:space="preserve"> But I would like to speak up for the ‘ungrateful’</w:t>
      </w:r>
      <w:r w:rsidR="00CE522F">
        <w:t xml:space="preserve"> </w:t>
      </w:r>
      <w:r w:rsidR="00B87A32">
        <w:t>reading of Cleopatra.</w:t>
      </w:r>
      <w:r w:rsidR="00D95551">
        <w:rPr>
          <w:rStyle w:val="FootnoteReference"/>
        </w:rPr>
        <w:footnoteReference w:id="68"/>
      </w:r>
      <w:r w:rsidR="00B87A32">
        <w:t xml:space="preserve"> This, I suggest, reflects the view that Cleopatra should have counted the Jews</w:t>
      </w:r>
      <w:r w:rsidR="006A0F9D">
        <w:t>, especially the family of Herod,</w:t>
      </w:r>
      <w:r w:rsidR="00B87A32">
        <w:t xml:space="preserve"> among her benefactors. As Josephus reports it, Herod’s father Antipater played a crucial military role in Roman effort</w:t>
      </w:r>
      <w:r w:rsidR="007107C9">
        <w:t>s</w:t>
      </w:r>
      <w:r w:rsidR="00B87A32">
        <w:t xml:space="preserve"> to restore Cleopatra’s father </w:t>
      </w:r>
      <w:r w:rsidR="00CE3930">
        <w:t xml:space="preserve">to power </w:t>
      </w:r>
      <w:r w:rsidR="007107C9">
        <w:t>in Alexandria</w:t>
      </w:r>
      <w:r w:rsidR="00D84DAE">
        <w:t xml:space="preserve"> (55 BCE), while</w:t>
      </w:r>
      <w:r w:rsidR="0064361D">
        <w:t xml:space="preserve"> </w:t>
      </w:r>
      <w:r w:rsidR="00DC3D58">
        <w:t xml:space="preserve">Antipater’s </w:t>
      </w:r>
      <w:r w:rsidR="0064361D">
        <w:t xml:space="preserve">support for Julius Caesar in </w:t>
      </w:r>
      <w:r w:rsidR="00DC3D58">
        <w:t xml:space="preserve">Egypt </w:t>
      </w:r>
      <w:r w:rsidR="00D84DAE">
        <w:t xml:space="preserve">(47 BCE) </w:t>
      </w:r>
      <w:r w:rsidR="00DC3D58">
        <w:t xml:space="preserve">brought Jewish troops to </w:t>
      </w:r>
      <w:r w:rsidR="006067A9">
        <w:t>assist</w:t>
      </w:r>
      <w:r w:rsidR="0064361D">
        <w:t xml:space="preserve"> the restoration of Cleopatra.</w:t>
      </w:r>
      <w:r w:rsidR="00C10489">
        <w:rPr>
          <w:rStyle w:val="FootnoteReference"/>
        </w:rPr>
        <w:footnoteReference w:id="69"/>
      </w:r>
      <w:r w:rsidR="00CA482A">
        <w:t xml:space="preserve"> Herod’s actions in 40</w:t>
      </w:r>
      <w:r w:rsidR="00155C8D">
        <w:t xml:space="preserve"> BCE</w:t>
      </w:r>
      <w:r w:rsidR="00CA482A">
        <w:t xml:space="preserve">, after the Parthian takeover in Judea, </w:t>
      </w:r>
      <w:r w:rsidR="007449EF">
        <w:t xml:space="preserve">assume </w:t>
      </w:r>
      <w:r w:rsidR="00CA482A">
        <w:t xml:space="preserve">the strength of </w:t>
      </w:r>
      <w:r w:rsidR="007449EF">
        <w:t>this connection,</w:t>
      </w:r>
      <w:r w:rsidR="00CA482A">
        <w:t xml:space="preserve"> </w:t>
      </w:r>
      <w:r w:rsidR="0031766C">
        <w:t>heading</w:t>
      </w:r>
      <w:r w:rsidR="00CA482A">
        <w:t xml:space="preserve"> for Alexandria as his first source of refuge</w:t>
      </w:r>
      <w:r w:rsidR="003A5F06">
        <w:t>,</w:t>
      </w:r>
      <w:r w:rsidR="00CA482A">
        <w:t xml:space="preserve"> and </w:t>
      </w:r>
      <w:r w:rsidR="007449EF">
        <w:t>received</w:t>
      </w:r>
      <w:r w:rsidR="007E32EB">
        <w:t xml:space="preserve"> ‘magnificently </w:t>
      </w:r>
      <w:r w:rsidR="007E32EB" w:rsidRPr="007E32EB">
        <w:t xml:space="preserve">(λαμπρῶς)’ </w:t>
      </w:r>
      <w:r w:rsidR="007449EF" w:rsidRPr="007E32EB">
        <w:t>by Cleopatra as an ally.</w:t>
      </w:r>
      <w:r w:rsidR="0031766C" w:rsidRPr="007E32EB">
        <w:rPr>
          <w:rStyle w:val="FootnoteReference"/>
        </w:rPr>
        <w:footnoteReference w:id="70"/>
      </w:r>
      <w:r w:rsidR="007107C9" w:rsidRPr="007E32EB">
        <w:t xml:space="preserve"> Cleopatra did indeed have reason to be grateful.</w:t>
      </w:r>
      <w:r w:rsidR="00D006E3">
        <w:rPr>
          <w:rStyle w:val="FootnoteReference"/>
        </w:rPr>
        <w:footnoteReference w:id="71"/>
      </w:r>
    </w:p>
    <w:p w14:paraId="349C6765" w14:textId="6F958AAC" w:rsidR="00954ABB" w:rsidRDefault="00954ABB" w:rsidP="00B35E88">
      <w:pPr>
        <w:spacing w:line="360" w:lineRule="auto"/>
      </w:pPr>
      <w:r>
        <w:tab/>
        <w:t xml:space="preserve">Secondly, the list of crimes attributed to Cleopatra in the </w:t>
      </w:r>
      <w:r w:rsidRPr="00954ABB">
        <w:rPr>
          <w:i/>
        </w:rPr>
        <w:t>Against Apion</w:t>
      </w:r>
      <w:r>
        <w:t xml:space="preserve"> matches very closely the account of her atrocities as given in Josephus’s details of Herod’s reign in</w:t>
      </w:r>
      <w:r w:rsidR="004B2935">
        <w:t xml:space="preserve"> Book 15 of the </w:t>
      </w:r>
      <w:r w:rsidR="004B2935" w:rsidRPr="004B2935">
        <w:rPr>
          <w:i/>
        </w:rPr>
        <w:t>Jewish Antiquities</w:t>
      </w:r>
      <w:r w:rsidR="004B2935">
        <w:t>.</w:t>
      </w:r>
      <w:r w:rsidR="00ED145B">
        <w:rPr>
          <w:rStyle w:val="FootnoteReference"/>
        </w:rPr>
        <w:footnoteReference w:id="72"/>
      </w:r>
      <w:r w:rsidR="004B2935">
        <w:t xml:space="preserve"> </w:t>
      </w:r>
      <w:r w:rsidR="00D6012D">
        <w:t xml:space="preserve">In that context, Cleopatra’s insatiable greed </w:t>
      </w:r>
      <w:r w:rsidR="00DB1B53">
        <w:t xml:space="preserve">is </w:t>
      </w:r>
      <w:r w:rsidR="00180B7C">
        <w:t xml:space="preserve">repeatedly </w:t>
      </w:r>
      <w:r w:rsidR="00DB1B53">
        <w:t>given</w:t>
      </w:r>
      <w:r w:rsidR="00D6012D">
        <w:t xml:space="preserve"> as the root cause of all </w:t>
      </w:r>
      <w:r w:rsidR="004C39B2">
        <w:t>her other evil acts</w:t>
      </w:r>
      <w:r w:rsidR="00D6012D">
        <w:t xml:space="preserve">, with particular focus on her greed </w:t>
      </w:r>
      <w:r w:rsidR="00A7420D">
        <w:t xml:space="preserve">(πλεονεξία) </w:t>
      </w:r>
      <w:r w:rsidR="00D6012D">
        <w:t>for Herod’s kingdom.</w:t>
      </w:r>
      <w:r w:rsidR="0020424F">
        <w:rPr>
          <w:rStyle w:val="FootnoteReference"/>
        </w:rPr>
        <w:footnoteReference w:id="73"/>
      </w:r>
      <w:r w:rsidR="004C39B2">
        <w:t xml:space="preserve"> This </w:t>
      </w:r>
      <w:r w:rsidR="001F315E">
        <w:t xml:space="preserve">idea </w:t>
      </w:r>
      <w:r w:rsidR="004C39B2">
        <w:t xml:space="preserve">is at the heart of Herod’s construction of Cleopatra and exploits a powerful </w:t>
      </w:r>
      <w:r w:rsidR="001F315E">
        <w:t xml:space="preserve">theme </w:t>
      </w:r>
      <w:r w:rsidR="004C39B2">
        <w:t xml:space="preserve">of the Augustan propaganda which justified going to war on the </w:t>
      </w:r>
      <w:r w:rsidR="00F54942">
        <w:t>grounds</w:t>
      </w:r>
      <w:r w:rsidR="004C39B2">
        <w:t xml:space="preserve"> that Antony was giving Cleopatra lands that belonged to the Roman people.</w:t>
      </w:r>
      <w:r w:rsidR="00A7420D">
        <w:rPr>
          <w:rStyle w:val="FootnoteReference"/>
        </w:rPr>
        <w:footnoteReference w:id="74"/>
      </w:r>
      <w:r w:rsidR="00D3061B">
        <w:t xml:space="preserve"> To this familiar theme, </w:t>
      </w:r>
      <w:r w:rsidR="008A1E57">
        <w:t>the Herodian perspective adds the further, specific charge</w:t>
      </w:r>
      <w:r w:rsidR="00AF206E">
        <w:t>–</w:t>
      </w:r>
      <w:r w:rsidR="00D3061B">
        <w:t>that Cleopatra sought to obtain his lands, either by seduction</w:t>
      </w:r>
      <w:r w:rsidR="004C39B2">
        <w:t xml:space="preserve"> </w:t>
      </w:r>
      <w:r w:rsidR="00D71970">
        <w:t>or by plotting to kill him.</w:t>
      </w:r>
      <w:r w:rsidR="008A1E57">
        <w:rPr>
          <w:rStyle w:val="FootnoteReference"/>
        </w:rPr>
        <w:footnoteReference w:id="75"/>
      </w:r>
    </w:p>
    <w:p w14:paraId="784F5186" w14:textId="44C1E6C5" w:rsidR="00F06A7C" w:rsidRDefault="00D71970" w:rsidP="00B35E88">
      <w:pPr>
        <w:spacing w:line="360" w:lineRule="auto"/>
      </w:pPr>
      <w:r>
        <w:tab/>
      </w:r>
      <w:r w:rsidR="005E4EA1">
        <w:t xml:space="preserve">Certainly, Herod’s </w:t>
      </w:r>
      <w:r w:rsidR="00AE6ED7">
        <w:t xml:space="preserve">fear of </w:t>
      </w:r>
      <w:r w:rsidR="005E4EA1">
        <w:t xml:space="preserve">Cleopatra </w:t>
      </w:r>
      <w:r w:rsidR="00AE6ED7">
        <w:t xml:space="preserve">centred on </w:t>
      </w:r>
      <w:r w:rsidR="00E446B9">
        <w:t xml:space="preserve">the </w:t>
      </w:r>
      <w:r w:rsidR="00AF206E">
        <w:t xml:space="preserve">threat to his newly acquired kingdom </w:t>
      </w:r>
      <w:r w:rsidR="00141CAA">
        <w:t>posed by</w:t>
      </w:r>
      <w:r w:rsidR="00AF206E">
        <w:t xml:space="preserve"> Antony’s policy of </w:t>
      </w:r>
      <w:r w:rsidR="00AE6ED7">
        <w:t>expa</w:t>
      </w:r>
      <w:r w:rsidR="00AF206E">
        <w:t xml:space="preserve">nding the Queen’s </w:t>
      </w:r>
      <w:r w:rsidR="00AE6ED7">
        <w:t>lands outside Egypt</w:t>
      </w:r>
      <w:r w:rsidR="00AF206E">
        <w:t xml:space="preserve"> in the period from 37–34 BCE</w:t>
      </w:r>
      <w:r w:rsidR="005E4EA1">
        <w:t xml:space="preserve">. Antony’s organization of the East involved the gradual redistribution of territories among rulers friendly to Rome. </w:t>
      </w:r>
      <w:r w:rsidR="000F3976">
        <w:t>Herod benefited. But Cleopatra</w:t>
      </w:r>
      <w:r w:rsidR="00F74CE2">
        <w:t xml:space="preserve"> benefited most</w:t>
      </w:r>
      <w:r w:rsidR="000F3976">
        <w:t>,</w:t>
      </w:r>
      <w:r w:rsidR="00F74CE2">
        <w:t xml:space="preserve"> </w:t>
      </w:r>
      <w:r w:rsidR="000F3976">
        <w:t xml:space="preserve">her proven loyalty to Julius Caesar and Antony rewarded </w:t>
      </w:r>
      <w:r w:rsidR="00F74CE2">
        <w:t>with Antony’s enlargement of Cleopatra’s territories</w:t>
      </w:r>
      <w:r w:rsidR="000F3976">
        <w:t xml:space="preserve"> and the extension of</w:t>
      </w:r>
      <w:r w:rsidR="00F74CE2">
        <w:t xml:space="preserve"> the Ptolemaic Empire in the East </w:t>
      </w:r>
      <w:r w:rsidR="000F3976">
        <w:t xml:space="preserve">almost </w:t>
      </w:r>
      <w:r w:rsidR="00F74CE2">
        <w:t>to</w:t>
      </w:r>
      <w:r w:rsidR="00C016C7">
        <w:t xml:space="preserve"> its glory days at the beginning of the third century BCE.</w:t>
      </w:r>
      <w:r w:rsidR="006F13F3">
        <w:t xml:space="preserve"> </w:t>
      </w:r>
      <w:r w:rsidR="0032625F">
        <w:t xml:space="preserve">In 37/36 BCE, </w:t>
      </w:r>
      <w:r w:rsidR="00616705">
        <w:t>Antony</w:t>
      </w:r>
      <w:r w:rsidR="005134BB">
        <w:t>’s dispositions granted Cleopatra</w:t>
      </w:r>
      <w:r w:rsidR="00616705">
        <w:t xml:space="preserve"> a vast extension to her territory: Chalcis (in Lebanon), part</w:t>
      </w:r>
      <w:r w:rsidR="00D50ED8">
        <w:t>s</w:t>
      </w:r>
      <w:r w:rsidR="00616705">
        <w:t xml:space="preserve"> of Judea</w:t>
      </w:r>
      <w:r w:rsidR="007D521B">
        <w:t xml:space="preserve"> and</w:t>
      </w:r>
      <w:r w:rsidR="00D50ED8">
        <w:t xml:space="preserve"> the Nabatean kingdom, together with the city of Cyrene and estates on Crete.</w:t>
      </w:r>
      <w:r w:rsidR="00AA5728">
        <w:rPr>
          <w:rStyle w:val="FootnoteReference"/>
        </w:rPr>
        <w:footnoteReference w:id="76"/>
      </w:r>
      <w:r w:rsidR="00E044FD">
        <w:t xml:space="preserve"> </w:t>
      </w:r>
      <w:r w:rsidR="007869B6">
        <w:t xml:space="preserve">For </w:t>
      </w:r>
      <w:r w:rsidR="001E60C8">
        <w:t>Cleopatra</w:t>
      </w:r>
      <w:r w:rsidR="007869B6">
        <w:t xml:space="preserve">, 37/36 BCE marked the official beginning of a new era of her rule, </w:t>
      </w:r>
      <w:r w:rsidR="00F050BA">
        <w:t xml:space="preserve">‘Year </w:t>
      </w:r>
      <w:r w:rsidR="007869B6">
        <w:t>16 which is also Year</w:t>
      </w:r>
      <w:r w:rsidR="00F050BA">
        <w:t xml:space="preserve"> </w:t>
      </w:r>
      <w:r w:rsidR="007869B6">
        <w:t>1’</w:t>
      </w:r>
      <w:r w:rsidR="001E60C8">
        <w:t>.</w:t>
      </w:r>
      <w:r w:rsidR="001553AA">
        <w:rPr>
          <w:rStyle w:val="FootnoteReference"/>
        </w:rPr>
        <w:footnoteReference w:id="77"/>
      </w:r>
      <w:r w:rsidR="001E60C8">
        <w:t xml:space="preserve"> </w:t>
      </w:r>
      <w:r w:rsidR="007F0E9F">
        <w:t>In the East, coins of the new territories, with portraits of Antony</w:t>
      </w:r>
      <w:r w:rsidR="003E3A56">
        <w:t xml:space="preserve"> (reverse),</w:t>
      </w:r>
      <w:r w:rsidR="007F0E9F">
        <w:t xml:space="preserve"> and</w:t>
      </w:r>
      <w:r w:rsidR="003E3A56">
        <w:t xml:space="preserve"> </w:t>
      </w:r>
      <w:r w:rsidR="007F0E9F">
        <w:t>Cleopatra</w:t>
      </w:r>
      <w:r w:rsidR="003E3A56">
        <w:t xml:space="preserve"> (obverse), mark the new era and a new titulature for the Queen: ‘Thea Neotera (the </w:t>
      </w:r>
      <w:r w:rsidR="00D11E76">
        <w:t xml:space="preserve">New </w:t>
      </w:r>
      <w:r w:rsidR="003E3A56">
        <w:t>Goddess)’ or ‘Queen Cleopatra Thea Neotera’</w:t>
      </w:r>
      <w:r w:rsidR="004F4FA9">
        <w:t>.</w:t>
      </w:r>
      <w:r w:rsidR="003C704F">
        <w:rPr>
          <w:rStyle w:val="FootnoteReference"/>
        </w:rPr>
        <w:footnoteReference w:id="78"/>
      </w:r>
      <w:r w:rsidR="00DC48A1">
        <w:t xml:space="preserve"> The title promotes Cleopatra </w:t>
      </w:r>
      <w:r w:rsidR="005D2F3C">
        <w:t xml:space="preserve">VII </w:t>
      </w:r>
      <w:r w:rsidR="00DC48A1">
        <w:t>as successor to Cleopatra Thea</w:t>
      </w:r>
      <w:r w:rsidR="00161CCC">
        <w:t xml:space="preserve"> (c. 164–c. 121 BCE)</w:t>
      </w:r>
      <w:r w:rsidR="00DC48A1">
        <w:t>, daughter of Ptolemy VI and Cleopatra II</w:t>
      </w:r>
      <w:r w:rsidR="002648F5">
        <w:t>; as queen of</w:t>
      </w:r>
      <w:r w:rsidR="00DC48A1">
        <w:t xml:space="preserve"> three Seleucid kings in turn</w:t>
      </w:r>
      <w:r w:rsidR="002648F5">
        <w:t>, Cleopatra Thea had represented the Ptolemies’ ancestral claims over large parts of the Seleucid empire</w:t>
      </w:r>
      <w:r w:rsidR="00DC48A1">
        <w:t>.</w:t>
      </w:r>
      <w:r w:rsidR="00DC48A1">
        <w:rPr>
          <w:rStyle w:val="FootnoteReference"/>
        </w:rPr>
        <w:footnoteReference w:id="79"/>
      </w:r>
    </w:p>
    <w:p w14:paraId="05294F5E" w14:textId="17ADE208" w:rsidR="00D71970" w:rsidRDefault="00D47674" w:rsidP="00B35E88">
      <w:pPr>
        <w:spacing w:line="360" w:lineRule="auto"/>
      </w:pPr>
      <w:r>
        <w:tab/>
      </w:r>
      <w:r w:rsidR="008E7EE9">
        <w:t>The expansion of Ptolemaic-controlled lands</w:t>
      </w:r>
      <w:r w:rsidR="00D041A4">
        <w:t xml:space="preserve"> had </w:t>
      </w:r>
      <w:r w:rsidR="008E7EE9">
        <w:t xml:space="preserve">already </w:t>
      </w:r>
      <w:r w:rsidR="00D041A4">
        <w:t xml:space="preserve">begun, in fact, under the </w:t>
      </w:r>
      <w:r w:rsidR="009D74B6">
        <w:t xml:space="preserve">Egyptian </w:t>
      </w:r>
      <w:r w:rsidR="00D041A4">
        <w:t xml:space="preserve">settlement of Julius Caesar, who </w:t>
      </w:r>
      <w:r w:rsidR="00BD3763">
        <w:t xml:space="preserve">in 48 BCE </w:t>
      </w:r>
      <w:r w:rsidR="00D041A4">
        <w:t xml:space="preserve">restored </w:t>
      </w:r>
      <w:r w:rsidR="002C1EA4">
        <w:t xml:space="preserve">Roman </w:t>
      </w:r>
      <w:r w:rsidR="00D041A4">
        <w:t>Cyprus</w:t>
      </w:r>
      <w:r w:rsidR="008E7EE9">
        <w:t xml:space="preserve"> to Ptolemaic rule (first acquired under Ptolemy I Soter)</w:t>
      </w:r>
      <w:r w:rsidR="00F738C9">
        <w:t xml:space="preserve">; </w:t>
      </w:r>
      <w:r w:rsidR="00C102BA">
        <w:t xml:space="preserve">and, apparently with no objection raised by Octavian, Roman Cilicia </w:t>
      </w:r>
      <w:r w:rsidR="004C6B0B">
        <w:t xml:space="preserve">(under Ptolemaic rule in the third century BCE) </w:t>
      </w:r>
      <w:r w:rsidR="00C102BA">
        <w:t xml:space="preserve">was </w:t>
      </w:r>
      <w:r w:rsidR="00EE5F58">
        <w:t>placed</w:t>
      </w:r>
      <w:r w:rsidR="00C102BA">
        <w:t xml:space="preserve"> by Antony </w:t>
      </w:r>
      <w:r w:rsidR="00EE5F58">
        <w:t>under Ptolemaic control</w:t>
      </w:r>
      <w:r w:rsidR="00C102BA">
        <w:t xml:space="preserve"> c. 40 BCE</w:t>
      </w:r>
      <w:r w:rsidR="00D041A4">
        <w:t>.</w:t>
      </w:r>
      <w:r w:rsidR="00AC0050">
        <w:rPr>
          <w:rStyle w:val="FootnoteReference"/>
        </w:rPr>
        <w:footnoteReference w:id="80"/>
      </w:r>
      <w:r w:rsidR="00F9448C">
        <w:t xml:space="preserve"> </w:t>
      </w:r>
      <w:r w:rsidR="00255A2D">
        <w:t xml:space="preserve">As tensions increased between Octavian and Antony, however, the further extension of Cleopatra’s territories from 37 BCE became a focus of Octavian’s negative propaganda against his rival. </w:t>
      </w:r>
      <w:r w:rsidR="006F13F3">
        <w:t xml:space="preserve">These gifts, as Plutarch puts it, </w:t>
      </w:r>
      <w:r w:rsidR="00C44C03">
        <w:t>‘particularly annoyed the Romans’</w:t>
      </w:r>
      <w:r w:rsidR="007E6CA7">
        <w:t xml:space="preserve">, </w:t>
      </w:r>
      <w:r w:rsidR="00255A2D">
        <w:t xml:space="preserve">even </w:t>
      </w:r>
      <w:r w:rsidR="007E6CA7">
        <w:t>though</w:t>
      </w:r>
      <w:r w:rsidR="00D366F4">
        <w:t>–</w:t>
      </w:r>
      <w:r w:rsidR="00255A2D">
        <w:t xml:space="preserve">as Plutarch </w:t>
      </w:r>
      <w:r w:rsidR="00D366F4">
        <w:t xml:space="preserve">justly </w:t>
      </w:r>
      <w:r w:rsidR="00255A2D">
        <w:t>notes</w:t>
      </w:r>
      <w:r w:rsidR="00D366F4">
        <w:t>–</w:t>
      </w:r>
      <w:r w:rsidR="007E6CA7">
        <w:t>Antony had also distributed lands to others</w:t>
      </w:r>
      <w:r w:rsidR="00980819">
        <w:t>, including commoners who received the lands of former monarchs</w:t>
      </w:r>
      <w:r w:rsidR="00383B92">
        <w:t>, the Hasmonean Antigonus</w:t>
      </w:r>
      <w:r w:rsidR="000C155E">
        <w:t xml:space="preserve"> among them</w:t>
      </w:r>
      <w:r w:rsidR="00B07E41">
        <w:t>.</w:t>
      </w:r>
      <w:r w:rsidR="00C44C03">
        <w:rPr>
          <w:rStyle w:val="FootnoteReference"/>
        </w:rPr>
        <w:footnoteReference w:id="81"/>
      </w:r>
      <w:r w:rsidR="00B07E41">
        <w:t xml:space="preserve"> The propaganda of Octavian, matched by Herod, makes Antony’s </w:t>
      </w:r>
      <w:r w:rsidR="00B77EC4">
        <w:t xml:space="preserve">land distributions to Cleopatra </w:t>
      </w:r>
      <w:r w:rsidR="00B07E41">
        <w:t xml:space="preserve">the product of his passion for </w:t>
      </w:r>
      <w:r w:rsidR="00B77EC4">
        <w:t>the Egyptian queen</w:t>
      </w:r>
      <w:r w:rsidR="00B07E41">
        <w:t xml:space="preserve">. </w:t>
      </w:r>
      <w:r w:rsidR="005D0DB2">
        <w:t xml:space="preserve">That view does not </w:t>
      </w:r>
      <w:r w:rsidR="00060A91">
        <w:t>stand up to historical scrutiny. A</w:t>
      </w:r>
      <w:r w:rsidR="005D0DB2">
        <w:t xml:space="preserve">s Günther Hölbl </w:t>
      </w:r>
      <w:r w:rsidR="00BA6896">
        <w:t>observes</w:t>
      </w:r>
      <w:r w:rsidR="005D0DB2">
        <w:t xml:space="preserve"> in his </w:t>
      </w:r>
      <w:r w:rsidR="005D0DB2" w:rsidRPr="005D0DB2">
        <w:rPr>
          <w:i/>
        </w:rPr>
        <w:t>History of the Ptolemaic Empire</w:t>
      </w:r>
      <w:r w:rsidR="00060A91">
        <w:t>,</w:t>
      </w:r>
      <w:r w:rsidR="005D0DB2">
        <w:t xml:space="preserve"> </w:t>
      </w:r>
      <w:r w:rsidR="00A9768D">
        <w:t>‘</w:t>
      </w:r>
      <w:r w:rsidR="005D0DB2">
        <w:t xml:space="preserve">It is no longer the opinion of modern scholarship </w:t>
      </w:r>
      <w:r w:rsidR="00E8345B">
        <w:t>that these so-called gifts to Cleopatra were the acts of an unrestrained lover. Instead, they are now seen as a “balanced and clear-sighted reorganization of the administration of the east which won over to Antony’s cause capable</w:t>
      </w:r>
      <w:r w:rsidR="00A9768D">
        <w:t xml:space="preserve"> figures and powerful dominion</w:t>
      </w:r>
      <w:r w:rsidR="00546515">
        <w:t>s”</w:t>
      </w:r>
      <w:r w:rsidR="003942B1">
        <w:t>’.</w:t>
      </w:r>
      <w:r w:rsidR="00A9768D">
        <w:rPr>
          <w:rStyle w:val="FootnoteReference"/>
        </w:rPr>
        <w:footnoteReference w:id="82"/>
      </w:r>
      <w:r w:rsidR="00E8345B">
        <w:t xml:space="preserve"> </w:t>
      </w:r>
    </w:p>
    <w:p w14:paraId="07D0F7E0" w14:textId="1740714D" w:rsidR="00701023" w:rsidRPr="00583792" w:rsidRDefault="00701023" w:rsidP="00B35E88">
      <w:pPr>
        <w:spacing w:line="360" w:lineRule="auto"/>
        <w:rPr>
          <w:b/>
        </w:rPr>
      </w:pPr>
      <w:r>
        <w:tab/>
      </w:r>
      <w:r w:rsidR="009F238F">
        <w:t xml:space="preserve">From </w:t>
      </w:r>
      <w:r w:rsidR="00566DBD">
        <w:t>Herod’s</w:t>
      </w:r>
      <w:r w:rsidR="009F238F">
        <w:t xml:space="preserve"> perspective</w:t>
      </w:r>
      <w:r w:rsidR="006C6FC2">
        <w:t xml:space="preserve">, </w:t>
      </w:r>
      <w:r w:rsidR="002D1565">
        <w:t xml:space="preserve">outrage was </w:t>
      </w:r>
      <w:r w:rsidR="00566DBD">
        <w:t xml:space="preserve">particularly </w:t>
      </w:r>
      <w:r w:rsidR="002D1565">
        <w:t>dire</w:t>
      </w:r>
      <w:r w:rsidR="00C7061D">
        <w:t>cted at Cleopatra’s acquisition—as part of Antony’s reorganization of the East—</w:t>
      </w:r>
      <w:r w:rsidR="002D1565">
        <w:t xml:space="preserve">of </w:t>
      </w:r>
      <w:r w:rsidR="00387B98">
        <w:t xml:space="preserve">parts </w:t>
      </w:r>
      <w:r w:rsidR="002D1565">
        <w:t xml:space="preserve">of </w:t>
      </w:r>
      <w:r w:rsidR="008769FB">
        <w:t>Judaea</w:t>
      </w:r>
      <w:r w:rsidR="002D1565">
        <w:t>, including J</w:t>
      </w:r>
      <w:r w:rsidR="00182135">
        <w:t xml:space="preserve">ericho, rich in balsam and date </w:t>
      </w:r>
      <w:r w:rsidR="002D1565">
        <w:t xml:space="preserve">groves, and </w:t>
      </w:r>
      <w:r w:rsidR="00387B98">
        <w:t xml:space="preserve">sections </w:t>
      </w:r>
      <w:r w:rsidR="002D1565">
        <w:t>of the coastal area.</w:t>
      </w:r>
      <w:r w:rsidR="000429E6">
        <w:rPr>
          <w:rStyle w:val="FootnoteReference"/>
        </w:rPr>
        <w:footnoteReference w:id="83"/>
      </w:r>
      <w:r w:rsidR="002D1565">
        <w:t xml:space="preserve"> </w:t>
      </w:r>
      <w:r w:rsidR="00165117">
        <w:t xml:space="preserve">From then on, </w:t>
      </w:r>
      <w:r w:rsidR="00373E2C">
        <w:t xml:space="preserve">Herod leased </w:t>
      </w:r>
      <w:r w:rsidR="00527A07">
        <w:t xml:space="preserve">from Cleopatra </w:t>
      </w:r>
      <w:r w:rsidR="00373E2C">
        <w:t>the</w:t>
      </w:r>
      <w:r w:rsidR="00165117">
        <w:t xml:space="preserve"> lands </w:t>
      </w:r>
      <w:r w:rsidR="00527A07">
        <w:t>‘detached from his kingdom’</w:t>
      </w:r>
      <w:r w:rsidR="00373E2C">
        <w:t xml:space="preserve"> </w:t>
      </w:r>
      <w:r w:rsidR="00515FE8">
        <w:t>at</w:t>
      </w:r>
      <w:r w:rsidR="00373E2C">
        <w:t xml:space="preserve"> two hundred talents</w:t>
      </w:r>
      <w:r w:rsidR="00515FE8">
        <w:t xml:space="preserve"> a year</w:t>
      </w:r>
      <w:r w:rsidR="00373E2C">
        <w:t xml:space="preserve"> (</w:t>
      </w:r>
      <w:r w:rsidR="00515FE8">
        <w:t xml:space="preserve">at least a fifth of </w:t>
      </w:r>
      <w:r w:rsidR="00373E2C">
        <w:t>his annual income).</w:t>
      </w:r>
      <w:r w:rsidR="00373E2C">
        <w:rPr>
          <w:rStyle w:val="FootnoteReference"/>
        </w:rPr>
        <w:footnoteReference w:id="84"/>
      </w:r>
      <w:r w:rsidR="00581F07">
        <w:t xml:space="preserve"> </w:t>
      </w:r>
      <w:r w:rsidR="00586FA8">
        <w:t>F</w:t>
      </w:r>
      <w:r w:rsidR="008147E3">
        <w:t>or</w:t>
      </w:r>
      <w:r w:rsidR="00586FA8">
        <w:t xml:space="preserve"> Cleopatra, </w:t>
      </w:r>
      <w:r w:rsidR="008147E3">
        <w:t>the deal could be seen as the</w:t>
      </w:r>
      <w:r w:rsidR="00586FA8">
        <w:t xml:space="preserve"> </w:t>
      </w:r>
      <w:r w:rsidR="001B507A">
        <w:t>restoration</w:t>
      </w:r>
      <w:r w:rsidR="00586FA8">
        <w:t xml:space="preserve"> </w:t>
      </w:r>
      <w:r w:rsidR="008147E3">
        <w:t xml:space="preserve">of </w:t>
      </w:r>
      <w:r w:rsidR="00586FA8">
        <w:t xml:space="preserve">ancestral territory, first won under Ptolemy I Soter in 301 BCE; Palestine </w:t>
      </w:r>
      <w:r w:rsidR="0099562E">
        <w:t xml:space="preserve">later </w:t>
      </w:r>
      <w:r w:rsidR="00586FA8">
        <w:t xml:space="preserve">came under </w:t>
      </w:r>
      <w:r w:rsidR="00991D00">
        <w:t xml:space="preserve">the rule of Seleucid Syria with the conquests of Antiochus the Great in 201, but the marriage of his daughter Cleopatra I to Ptolemy V served to fuel Ptolemaic ambitions to reclaim sovereignty in this region. According to pro-Ptolemaic sources, including the Jewish ‘Tales of the Tobiads’, Cleopatra </w:t>
      </w:r>
      <w:r w:rsidR="00CA3B95">
        <w:t>I, ‘</w:t>
      </w:r>
      <w:r w:rsidR="00991D00">
        <w:t>the Syrian</w:t>
      </w:r>
      <w:r w:rsidR="00CA3B95">
        <w:t>’</w:t>
      </w:r>
      <w:r w:rsidR="00991D00">
        <w:t>, the first Cleopatra to rule Egypt, brought Palestine to the Ptolemies as part of her dowry, employing loyal Jews to collect the tax revenues.</w:t>
      </w:r>
      <w:r w:rsidR="000429E6">
        <w:rPr>
          <w:rStyle w:val="FootnoteReference"/>
        </w:rPr>
        <w:footnoteReference w:id="85"/>
      </w:r>
      <w:r w:rsidR="00991D00">
        <w:t xml:space="preserve"> In a sense, her descendant Cleopatra VII was continuing the practice</w:t>
      </w:r>
      <w:r w:rsidR="00FD4697">
        <w:t xml:space="preserve"> of her ancestors</w:t>
      </w:r>
      <w:r w:rsidR="00991D00">
        <w:t>.</w:t>
      </w:r>
      <w:r w:rsidR="00583792">
        <w:t xml:space="preserve"> </w:t>
      </w:r>
    </w:p>
    <w:p w14:paraId="24F96FA6" w14:textId="57609EAE" w:rsidR="00C25F90" w:rsidRDefault="008F049D" w:rsidP="00B35E88">
      <w:pPr>
        <w:spacing w:line="360" w:lineRule="auto"/>
      </w:pPr>
      <w:r>
        <w:tab/>
      </w:r>
      <w:r w:rsidR="00F03B43">
        <w:t>From the testimony of Josephus an</w:t>
      </w:r>
      <w:r w:rsidR="008D6F92">
        <w:t>d the world of Herod, I now turn to explore other sources of evidence bearing on</w:t>
      </w:r>
      <w:r w:rsidR="006D5E35">
        <w:t xml:space="preserve"> the relation</w:t>
      </w:r>
      <w:r w:rsidR="002715A7">
        <w:t>ship between Cleopatra and Jews, based on documentary evidence from the Ptolemaic era and the testimony of Plutarch’s biography of Mark Antony.</w:t>
      </w:r>
      <w:r w:rsidR="00CA61B0">
        <w:rPr>
          <w:rStyle w:val="FootnoteReference"/>
        </w:rPr>
        <w:footnoteReference w:id="86"/>
      </w:r>
    </w:p>
    <w:p w14:paraId="5C4C1A56" w14:textId="77777777" w:rsidR="006D5E35" w:rsidRDefault="006D5E35" w:rsidP="00B35E88">
      <w:pPr>
        <w:spacing w:line="360" w:lineRule="auto"/>
      </w:pPr>
    </w:p>
    <w:p w14:paraId="362EF9E9" w14:textId="31014BB2" w:rsidR="00C25F90" w:rsidRPr="00C25F90" w:rsidRDefault="00C25F90" w:rsidP="00566472">
      <w:pPr>
        <w:spacing w:line="360" w:lineRule="auto"/>
        <w:outlineLvl w:val="0"/>
        <w:rPr>
          <w:b/>
          <w:i/>
        </w:rPr>
      </w:pPr>
      <w:r w:rsidRPr="00C25F90">
        <w:rPr>
          <w:b/>
          <w:i/>
        </w:rPr>
        <w:t xml:space="preserve">An asylum decree for a Jewish </w:t>
      </w:r>
      <w:r w:rsidR="00162F85">
        <w:rPr>
          <w:b/>
          <w:i/>
        </w:rPr>
        <w:t>place of prayer</w:t>
      </w:r>
    </w:p>
    <w:p w14:paraId="5D34A242" w14:textId="77777777" w:rsidR="00D60971" w:rsidRDefault="00D60971" w:rsidP="00B35E88">
      <w:pPr>
        <w:spacing w:line="360" w:lineRule="auto"/>
      </w:pPr>
    </w:p>
    <w:p w14:paraId="5E315FF9" w14:textId="784DFAC0" w:rsidR="00E45DAC" w:rsidRDefault="00D1478F" w:rsidP="006D6059">
      <w:pPr>
        <w:spacing w:line="360" w:lineRule="auto"/>
      </w:pPr>
      <w:r>
        <w:t>Rare</w:t>
      </w:r>
      <w:r w:rsidR="00E45DAC">
        <w:t xml:space="preserve"> material evidence </w:t>
      </w:r>
      <w:r w:rsidR="008B2A67">
        <w:t xml:space="preserve">bearing on </w:t>
      </w:r>
      <w:r w:rsidR="00E45DAC">
        <w:t xml:space="preserve">our subject </w:t>
      </w:r>
      <w:r w:rsidR="009453B0">
        <w:t>appears</w:t>
      </w:r>
      <w:r w:rsidR="00247A45">
        <w:t xml:space="preserve"> in the </w:t>
      </w:r>
      <w:r w:rsidR="00E66F71">
        <w:t xml:space="preserve">form of a </w:t>
      </w:r>
      <w:r w:rsidR="001E61DE">
        <w:t>bilingual</w:t>
      </w:r>
      <w:r w:rsidR="008B2A67">
        <w:t xml:space="preserve"> (Greek and Latin)</w:t>
      </w:r>
      <w:r w:rsidR="001E61DE">
        <w:t xml:space="preserve"> </w:t>
      </w:r>
      <w:r w:rsidR="00B86DBD">
        <w:t>marble plaque</w:t>
      </w:r>
      <w:r w:rsidR="00742283">
        <w:t>,</w:t>
      </w:r>
      <w:r w:rsidR="008B2A67">
        <w:t xml:space="preserve"> </w:t>
      </w:r>
      <w:r w:rsidR="00B86DBD">
        <w:t>on which is inscribed</w:t>
      </w:r>
      <w:r w:rsidR="00011CEA">
        <w:t xml:space="preserve"> </w:t>
      </w:r>
      <w:r w:rsidR="00DF2D26">
        <w:t xml:space="preserve">the grant </w:t>
      </w:r>
      <w:r w:rsidR="00BA64BE">
        <w:t xml:space="preserve">of </w:t>
      </w:r>
      <w:r w:rsidR="00E45DAC">
        <w:t xml:space="preserve">asylum </w:t>
      </w:r>
      <w:r w:rsidR="00DF6D85">
        <w:t xml:space="preserve">by </w:t>
      </w:r>
      <w:r w:rsidR="00347518">
        <w:t xml:space="preserve">a Ptolemaic </w:t>
      </w:r>
      <w:r w:rsidR="008C14C6">
        <w:t>monarch</w:t>
      </w:r>
      <w:r w:rsidR="00DF6D85">
        <w:t xml:space="preserve"> </w:t>
      </w:r>
      <w:r w:rsidR="00BA64BE">
        <w:t xml:space="preserve">to </w:t>
      </w:r>
      <w:r w:rsidR="00E45DAC">
        <w:t xml:space="preserve">a Jewish </w:t>
      </w:r>
      <w:r w:rsidR="00D05CA7">
        <w:t>place of prayer (</w:t>
      </w:r>
      <w:r w:rsidR="00A40539">
        <w:t xml:space="preserve">Greek, </w:t>
      </w:r>
      <w:r w:rsidR="00D05CA7" w:rsidRPr="00011CEA">
        <w:rPr>
          <w:i/>
        </w:rPr>
        <w:t>proseuche</w:t>
      </w:r>
      <w:r w:rsidR="00D05CA7">
        <w:t>)</w:t>
      </w:r>
      <w:r w:rsidR="00BA64BE">
        <w:t xml:space="preserve"> and </w:t>
      </w:r>
      <w:r w:rsidR="0089127E">
        <w:t>the</w:t>
      </w:r>
      <w:r w:rsidR="00BA64BE">
        <w:t xml:space="preserve"> renewal </w:t>
      </w:r>
      <w:r w:rsidR="0089127E">
        <w:t xml:space="preserve">of the grant </w:t>
      </w:r>
      <w:r w:rsidR="00477865">
        <w:t>ordered by</w:t>
      </w:r>
      <w:r w:rsidR="00BA64BE">
        <w:t xml:space="preserve"> ‘the </w:t>
      </w:r>
      <w:r w:rsidR="0096193E">
        <w:t>q</w:t>
      </w:r>
      <w:r w:rsidR="00BA64BE">
        <w:t xml:space="preserve">ueen and </w:t>
      </w:r>
      <w:r w:rsidR="0096193E">
        <w:t>k</w:t>
      </w:r>
      <w:r w:rsidR="00BA64BE">
        <w:t xml:space="preserve">ing’, </w:t>
      </w:r>
      <w:r w:rsidR="00EB4420">
        <w:t xml:space="preserve">who are </w:t>
      </w:r>
      <w:r w:rsidR="00BA64BE">
        <w:t xml:space="preserve">almost certainly to be identified with Cleopatra VII and </w:t>
      </w:r>
      <w:r w:rsidR="009D2BFD">
        <w:t xml:space="preserve">a co-ruler, probably </w:t>
      </w:r>
      <w:r w:rsidR="00BA64BE">
        <w:t xml:space="preserve">her </w:t>
      </w:r>
      <w:r w:rsidR="00CD14CF">
        <w:t xml:space="preserve">son </w:t>
      </w:r>
      <w:r w:rsidR="00566281">
        <w:t xml:space="preserve">Ptolemy </w:t>
      </w:r>
      <w:r w:rsidR="00BA64BE">
        <w:t>XV Caesarion</w:t>
      </w:r>
      <w:r w:rsidR="00E45DAC">
        <w:t>.</w:t>
      </w:r>
      <w:r w:rsidR="00742283">
        <w:rPr>
          <w:rStyle w:val="FootnoteReference"/>
        </w:rPr>
        <w:footnoteReference w:id="87"/>
      </w:r>
      <w:r w:rsidR="00E45DAC">
        <w:t xml:space="preserve"> The </w:t>
      </w:r>
      <w:r w:rsidR="00BA64BE">
        <w:t xml:space="preserve">royal </w:t>
      </w:r>
      <w:r w:rsidR="00E45DAC">
        <w:t xml:space="preserve">grant of asylum to temples in Egypt </w:t>
      </w:r>
      <w:r w:rsidR="009F6E32">
        <w:t xml:space="preserve">represents </w:t>
      </w:r>
      <w:r w:rsidR="00E45DAC">
        <w:t>a distinctive part of Ptolemaic</w:t>
      </w:r>
      <w:r w:rsidR="00C846E8">
        <w:t xml:space="preserve"> </w:t>
      </w:r>
      <w:r w:rsidR="00E45DAC">
        <w:t>domestic policy</w:t>
      </w:r>
      <w:r w:rsidR="00090086">
        <w:t xml:space="preserve"> </w:t>
      </w:r>
      <w:r w:rsidR="005A3178">
        <w:t xml:space="preserve">from </w:t>
      </w:r>
      <w:r w:rsidR="00A17344">
        <w:t>the beginning of the first century</w:t>
      </w:r>
      <w:r w:rsidR="005A3178">
        <w:t xml:space="preserve"> BCE </w:t>
      </w:r>
      <w:r w:rsidR="00694737">
        <w:t>until the fall of Cleopatra</w:t>
      </w:r>
      <w:r w:rsidR="00E45DAC">
        <w:t>.</w:t>
      </w:r>
      <w:r w:rsidR="009209AB">
        <w:rPr>
          <w:rStyle w:val="FootnoteReference"/>
        </w:rPr>
        <w:footnoteReference w:id="88"/>
      </w:r>
      <w:r w:rsidR="00E45DAC">
        <w:t xml:space="preserve"> </w:t>
      </w:r>
      <w:r w:rsidR="00735DA5">
        <w:t xml:space="preserve">As Kent Rigsby shows in his comprehensive treatment </w:t>
      </w:r>
      <w:r w:rsidR="007D113A">
        <w:t xml:space="preserve">of </w:t>
      </w:r>
      <w:r w:rsidR="00735DA5" w:rsidRPr="00735DA5">
        <w:rPr>
          <w:i/>
        </w:rPr>
        <w:t xml:space="preserve">asylia </w:t>
      </w:r>
      <w:r w:rsidR="00735DA5">
        <w:t xml:space="preserve">documents from </w:t>
      </w:r>
      <w:r w:rsidR="008F049D">
        <w:t>the Hellenistic world</w:t>
      </w:r>
      <w:r w:rsidR="00735DA5">
        <w:t>, P</w:t>
      </w:r>
      <w:r w:rsidR="00E45DAC">
        <w:t>tolemaic asylum decrees serve</w:t>
      </w:r>
      <w:r w:rsidR="009453B0">
        <w:t>d</w:t>
      </w:r>
      <w:r w:rsidR="00E45DAC">
        <w:t xml:space="preserve"> to honour certain temples with the privilege of ‘religious immunity from the civil law’</w:t>
      </w:r>
      <w:r w:rsidR="00D60971">
        <w:t>,</w:t>
      </w:r>
      <w:r w:rsidR="00D60971">
        <w:rPr>
          <w:rStyle w:val="FootnoteReference"/>
        </w:rPr>
        <w:footnoteReference w:id="89"/>
      </w:r>
      <w:r w:rsidR="00B04608">
        <w:t xml:space="preserve"> </w:t>
      </w:r>
      <w:r w:rsidR="00E45DAC">
        <w:t xml:space="preserve">and </w:t>
      </w:r>
      <w:r w:rsidR="00331323">
        <w:t xml:space="preserve">at least in some cases </w:t>
      </w:r>
      <w:r w:rsidR="0012767A">
        <w:t>to</w:t>
      </w:r>
      <w:r w:rsidR="00E45DAC">
        <w:t xml:space="preserve"> </w:t>
      </w:r>
      <w:r w:rsidR="0012767A">
        <w:t>show</w:t>
      </w:r>
      <w:r w:rsidR="00E45DAC">
        <w:t xml:space="preserve"> royal favour towards powerful institutions that could pro</w:t>
      </w:r>
      <w:r w:rsidR="00334CB1">
        <w:t>mote</w:t>
      </w:r>
      <w:r w:rsidR="00E45DAC">
        <w:t xml:space="preserve"> crucial support for the monarchy. </w:t>
      </w:r>
      <w:r w:rsidR="009F6E32">
        <w:t>Judging by</w:t>
      </w:r>
      <w:r w:rsidR="002C2C49">
        <w:t xml:space="preserve"> the </w:t>
      </w:r>
      <w:r w:rsidR="00AF5B32">
        <w:t>number of</w:t>
      </w:r>
      <w:r w:rsidR="002C2C49">
        <w:t xml:space="preserve"> decrees extant, </w:t>
      </w:r>
      <w:r w:rsidR="00F8707C">
        <w:t xml:space="preserve">the grant of </w:t>
      </w:r>
      <w:r w:rsidR="00F8707C" w:rsidRPr="00F8707C">
        <w:rPr>
          <w:i/>
        </w:rPr>
        <w:t xml:space="preserve">asylia </w:t>
      </w:r>
      <w:r w:rsidR="00F8707C">
        <w:t xml:space="preserve">to </w:t>
      </w:r>
      <w:r w:rsidR="002C2C49">
        <w:t>religious institutions in Ptolemaic Egypt</w:t>
      </w:r>
      <w:r w:rsidR="00D07772">
        <w:t xml:space="preserve"> was a rather rare privilege</w:t>
      </w:r>
      <w:r w:rsidR="00D15BC4">
        <w:t>.</w:t>
      </w:r>
      <w:r w:rsidR="00D15BC4">
        <w:rPr>
          <w:rStyle w:val="FootnoteReference"/>
        </w:rPr>
        <w:footnoteReference w:id="90"/>
      </w:r>
      <w:r w:rsidR="002C2C49">
        <w:t xml:space="preserve"> </w:t>
      </w:r>
      <w:r w:rsidR="00D15BC4">
        <w:t>M</w:t>
      </w:r>
      <w:r w:rsidR="002C2C49">
        <w:t xml:space="preserve">ost </w:t>
      </w:r>
      <w:r w:rsidR="009F6E32">
        <w:t xml:space="preserve">of the </w:t>
      </w:r>
      <w:r w:rsidR="00C8336A">
        <w:t xml:space="preserve">extant </w:t>
      </w:r>
      <w:r w:rsidR="009F6E32">
        <w:t>evidence concerns</w:t>
      </w:r>
      <w:r w:rsidR="002C2C49">
        <w:t xml:space="preserve"> temples of Egyptian gods, </w:t>
      </w:r>
      <w:r w:rsidR="00893D49">
        <w:t xml:space="preserve">including </w:t>
      </w:r>
      <w:r w:rsidR="002C2C49">
        <w:t xml:space="preserve">institutions of ‘first rank’, </w:t>
      </w:r>
      <w:r w:rsidR="00F33403">
        <w:t>such as the temple of Horus at Athribis</w:t>
      </w:r>
      <w:r w:rsidR="00653CDE">
        <w:t xml:space="preserve"> in the southern Delta</w:t>
      </w:r>
      <w:r w:rsidR="00F33403">
        <w:t xml:space="preserve">, </w:t>
      </w:r>
      <w:r w:rsidR="002C2C49">
        <w:t xml:space="preserve">distinguished by </w:t>
      </w:r>
      <w:r w:rsidR="00F33403">
        <w:t xml:space="preserve">its </w:t>
      </w:r>
      <w:r w:rsidR="002C2C49">
        <w:t xml:space="preserve">fame </w:t>
      </w:r>
      <w:r w:rsidR="00F33403">
        <w:t xml:space="preserve">and </w:t>
      </w:r>
      <w:r w:rsidR="002C2C49">
        <w:t>antiquity</w:t>
      </w:r>
      <w:r w:rsidR="00893D49">
        <w:t>,</w:t>
      </w:r>
      <w:r w:rsidR="004915A3">
        <w:rPr>
          <w:rStyle w:val="FootnoteReference"/>
        </w:rPr>
        <w:footnoteReference w:id="91"/>
      </w:r>
      <w:r w:rsidR="00893D49">
        <w:t xml:space="preserve"> </w:t>
      </w:r>
      <w:r w:rsidR="00382179">
        <w:t>a</w:t>
      </w:r>
      <w:r w:rsidR="006E0B59">
        <w:t>s well as</w:t>
      </w:r>
      <w:r w:rsidR="005F3B38">
        <w:t xml:space="preserve"> </w:t>
      </w:r>
      <w:r w:rsidR="004915A3">
        <w:t>the more modest</w:t>
      </w:r>
      <w:r w:rsidR="007979D6">
        <w:t xml:space="preserve"> </w:t>
      </w:r>
      <w:r w:rsidR="00893D49">
        <w:t xml:space="preserve">temples </w:t>
      </w:r>
      <w:r w:rsidR="004915A3">
        <w:t>of the Fayum</w:t>
      </w:r>
      <w:r w:rsidR="002C2C49">
        <w:t>.</w:t>
      </w:r>
      <w:r w:rsidR="00382179">
        <w:rPr>
          <w:rStyle w:val="FootnoteReference"/>
        </w:rPr>
        <w:footnoteReference w:id="92"/>
      </w:r>
      <w:r w:rsidR="002C2C49">
        <w:t xml:space="preserve"> From the reign of Cleopatra</w:t>
      </w:r>
      <w:r w:rsidR="000F6212">
        <w:t xml:space="preserve"> VII</w:t>
      </w:r>
      <w:r w:rsidR="002C2C49">
        <w:t xml:space="preserve">, </w:t>
      </w:r>
      <w:r w:rsidR="00662FC2">
        <w:t xml:space="preserve">we have the latest known example of the grant of </w:t>
      </w:r>
      <w:r w:rsidR="007D1C29">
        <w:t>asylum</w:t>
      </w:r>
      <w:r w:rsidR="00662FC2">
        <w:t xml:space="preserve"> made to the temple of an Egyptian deity, the temple of Isis </w:t>
      </w:r>
      <w:r w:rsidR="00690FD1">
        <w:t>south of</w:t>
      </w:r>
      <w:r w:rsidR="00662FC2">
        <w:t xml:space="preserve"> </w:t>
      </w:r>
      <w:r w:rsidR="00690FD1">
        <w:t xml:space="preserve">the city of </w:t>
      </w:r>
      <w:r w:rsidR="00662FC2">
        <w:t>Ptolemais</w:t>
      </w:r>
      <w:r w:rsidR="00FE65F1">
        <w:t xml:space="preserve"> in Upper Egypt</w:t>
      </w:r>
      <w:r w:rsidR="00662FC2">
        <w:t>.</w:t>
      </w:r>
      <w:r w:rsidR="007D1C29">
        <w:rPr>
          <w:rStyle w:val="FootnoteReference"/>
        </w:rPr>
        <w:footnoteReference w:id="93"/>
      </w:r>
      <w:r w:rsidR="00662FC2">
        <w:t xml:space="preserve"> </w:t>
      </w:r>
      <w:r w:rsidR="006D6059">
        <w:t>D</w:t>
      </w:r>
      <w:r w:rsidR="00DD5A17">
        <w:t xml:space="preserve">ated to </w:t>
      </w:r>
      <w:r w:rsidR="006D6059">
        <w:t>year 6 of Cleopatra’s rule (</w:t>
      </w:r>
      <w:r w:rsidR="00DD5A17">
        <w:t>46 BCE</w:t>
      </w:r>
      <w:r w:rsidR="006D6059">
        <w:t>)</w:t>
      </w:r>
      <w:r w:rsidR="00DD5A17">
        <w:t xml:space="preserve">, </w:t>
      </w:r>
      <w:r w:rsidR="0093775C">
        <w:t>following</w:t>
      </w:r>
      <w:r w:rsidR="00AD05BB">
        <w:t xml:space="preserve"> </w:t>
      </w:r>
      <w:r w:rsidR="00DD5A17">
        <w:t xml:space="preserve">Julius Caesar’s departure from Egypt and the birth of </w:t>
      </w:r>
      <w:r w:rsidR="000135A8">
        <w:t xml:space="preserve">Cleopatra’s son by Caesar, </w:t>
      </w:r>
      <w:r w:rsidR="00DD5A17">
        <w:t>Caesarion</w:t>
      </w:r>
      <w:r w:rsidR="00AD05BB">
        <w:t xml:space="preserve"> (47 BCE)</w:t>
      </w:r>
      <w:r w:rsidR="006D6059">
        <w:t xml:space="preserve">, the grant </w:t>
      </w:r>
      <w:r w:rsidR="00AD05BB">
        <w:t xml:space="preserve">was issued at a </w:t>
      </w:r>
      <w:r w:rsidR="00AA63C5">
        <w:t>very significant moment</w:t>
      </w:r>
      <w:r w:rsidR="00AD05BB">
        <w:t xml:space="preserve"> in </w:t>
      </w:r>
      <w:r w:rsidR="008A66D4">
        <w:t>the Queen’s</w:t>
      </w:r>
      <w:r w:rsidR="00AD05BB">
        <w:t xml:space="preserve"> political life: her </w:t>
      </w:r>
      <w:r w:rsidR="003D7C4A">
        <w:t xml:space="preserve">first year </w:t>
      </w:r>
      <w:r w:rsidR="00A170C1">
        <w:t xml:space="preserve">in charge after the elimination of </w:t>
      </w:r>
      <w:r w:rsidR="00CD6388">
        <w:t>her brother Ptolemy XIII</w:t>
      </w:r>
      <w:r w:rsidR="00A170C1">
        <w:t xml:space="preserve"> in the Alexandrian War</w:t>
      </w:r>
      <w:r w:rsidR="00CD6388">
        <w:t>,</w:t>
      </w:r>
      <w:r w:rsidR="003D7C4A">
        <w:t xml:space="preserve"> and a crucial </w:t>
      </w:r>
      <w:r w:rsidR="000F6212">
        <w:t xml:space="preserve">period </w:t>
      </w:r>
      <w:r w:rsidR="00AA63C5">
        <w:t xml:space="preserve">for </w:t>
      </w:r>
      <w:r w:rsidR="003D7C4A">
        <w:t>build</w:t>
      </w:r>
      <w:r w:rsidR="00AA63C5">
        <w:t>ing</w:t>
      </w:r>
      <w:r w:rsidR="006D6059">
        <w:t xml:space="preserve"> </w:t>
      </w:r>
      <w:r w:rsidR="003D7C4A">
        <w:t>alliances</w:t>
      </w:r>
      <w:r w:rsidR="006D6059">
        <w:t xml:space="preserve"> for the future</w:t>
      </w:r>
      <w:r w:rsidR="00BE09E2">
        <w:t xml:space="preserve">. As part of that strategy, </w:t>
      </w:r>
      <w:r w:rsidR="007E21E2">
        <w:t>th</w:t>
      </w:r>
      <w:r w:rsidR="002B7C08">
        <w:t>e royal</w:t>
      </w:r>
      <w:r w:rsidR="001659D3">
        <w:t xml:space="preserve"> </w:t>
      </w:r>
      <w:r w:rsidR="00BE09E2">
        <w:t xml:space="preserve">decree </w:t>
      </w:r>
      <w:r w:rsidR="007E21E2">
        <w:t>gives protection to a</w:t>
      </w:r>
      <w:r w:rsidR="005974BA">
        <w:t xml:space="preserve"> new </w:t>
      </w:r>
      <w:r w:rsidR="007E21E2">
        <w:t xml:space="preserve">Isis </w:t>
      </w:r>
      <w:r w:rsidR="005974BA">
        <w:t>temple</w:t>
      </w:r>
      <w:r w:rsidR="007E21E2">
        <w:t xml:space="preserve">, </w:t>
      </w:r>
      <w:r w:rsidR="005974BA">
        <w:t xml:space="preserve">built for </w:t>
      </w:r>
      <w:r w:rsidR="006B60DE">
        <w:t xml:space="preserve">the </w:t>
      </w:r>
      <w:r w:rsidR="00BE09E2">
        <w:t>monarch</w:t>
      </w:r>
      <w:r w:rsidR="00F168D3">
        <w:t>y</w:t>
      </w:r>
      <w:r w:rsidR="005974BA">
        <w:t xml:space="preserve"> by </w:t>
      </w:r>
      <w:r w:rsidR="00BE09E2">
        <w:t>Cleopatra’s</w:t>
      </w:r>
      <w:r w:rsidR="005974BA">
        <w:t xml:space="preserve"> </w:t>
      </w:r>
      <w:r w:rsidR="008F0C2B">
        <w:t>powerful ally</w:t>
      </w:r>
      <w:r w:rsidR="005974BA">
        <w:t xml:space="preserve"> </w:t>
      </w:r>
      <w:r w:rsidR="00791274">
        <w:t>Callimachos</w:t>
      </w:r>
      <w:r w:rsidR="0093775C">
        <w:t>,</w:t>
      </w:r>
      <w:r w:rsidR="005974BA">
        <w:t xml:space="preserve"> </w:t>
      </w:r>
      <w:r w:rsidR="0093775C">
        <w:t>close to</w:t>
      </w:r>
      <w:r w:rsidR="005974BA">
        <w:t xml:space="preserve"> Ptolemais, </w:t>
      </w:r>
      <w:r w:rsidR="0093775C">
        <w:t xml:space="preserve">the Greek city </w:t>
      </w:r>
      <w:r w:rsidR="005974BA">
        <w:t xml:space="preserve">founded </w:t>
      </w:r>
      <w:r w:rsidR="007E21E2">
        <w:t xml:space="preserve">by Ptolemy I </w:t>
      </w:r>
      <w:r w:rsidR="005974BA">
        <w:t xml:space="preserve">to </w:t>
      </w:r>
      <w:r w:rsidR="00791274">
        <w:t xml:space="preserve">support </w:t>
      </w:r>
      <w:r w:rsidR="005974BA">
        <w:t xml:space="preserve">the monarchy’s interests in </w:t>
      </w:r>
      <w:r w:rsidR="007E6AE6">
        <w:t>Upper</w:t>
      </w:r>
      <w:r w:rsidR="005974BA">
        <w:t xml:space="preserve"> Egypt.</w:t>
      </w:r>
      <w:r w:rsidR="00B744C3">
        <w:rPr>
          <w:rStyle w:val="FootnoteReference"/>
        </w:rPr>
        <w:footnoteReference w:id="94"/>
      </w:r>
      <w:r w:rsidR="0054535B">
        <w:t xml:space="preserve"> </w:t>
      </w:r>
      <w:r w:rsidR="005D3ADF">
        <w:t>By</w:t>
      </w:r>
      <w:r w:rsidR="00956C3B">
        <w:t xml:space="preserve"> promoting the</w:t>
      </w:r>
      <w:r w:rsidR="0054535B">
        <w:t xml:space="preserve"> </w:t>
      </w:r>
      <w:r w:rsidR="00956C3B">
        <w:t>worship of the</w:t>
      </w:r>
      <w:r w:rsidR="0054535B">
        <w:t xml:space="preserve"> traditional gods of Egypt</w:t>
      </w:r>
      <w:r w:rsidR="005D3ADF">
        <w:t>, Cleopatra</w:t>
      </w:r>
      <w:r w:rsidR="0054535B">
        <w:t xml:space="preserve"> </w:t>
      </w:r>
      <w:r w:rsidR="00956C3B">
        <w:t>continue</w:t>
      </w:r>
      <w:r w:rsidR="005D3ADF">
        <w:t>d</w:t>
      </w:r>
      <w:r w:rsidR="00956C3B">
        <w:t xml:space="preserve"> the policies of </w:t>
      </w:r>
      <w:r w:rsidR="005D3ADF">
        <w:t>her</w:t>
      </w:r>
      <w:r w:rsidR="00956C3B">
        <w:t xml:space="preserve"> father</w:t>
      </w:r>
      <w:r w:rsidR="005D3ADF">
        <w:t>, following a strategy of embracing Egyptian religion</w:t>
      </w:r>
      <w:r w:rsidR="00956C3B">
        <w:t xml:space="preserve"> that goes back to</w:t>
      </w:r>
      <w:r w:rsidR="0054535B">
        <w:t xml:space="preserve"> </w:t>
      </w:r>
      <w:r w:rsidR="00956C3B">
        <w:t>the beginning of the Ptolemaic dynasty.</w:t>
      </w:r>
    </w:p>
    <w:p w14:paraId="3B1A72DA" w14:textId="64C0E269" w:rsidR="00E4279B" w:rsidRDefault="00956C3B" w:rsidP="00B35E88">
      <w:pPr>
        <w:spacing w:line="360" w:lineRule="auto"/>
      </w:pPr>
      <w:r>
        <w:tab/>
      </w:r>
      <w:r w:rsidR="003542AC">
        <w:t xml:space="preserve">Much more unusual, based on what </w:t>
      </w:r>
      <w:r w:rsidR="00E65897">
        <w:t>we know</w:t>
      </w:r>
      <w:r w:rsidR="003542AC">
        <w:t xml:space="preserve"> of Ptolemaic policy, is the </w:t>
      </w:r>
      <w:r w:rsidR="000043E4">
        <w:t>grant of asylum</w:t>
      </w:r>
      <w:r w:rsidR="003542AC">
        <w:t xml:space="preserve"> for a Jewish </w:t>
      </w:r>
      <w:r w:rsidR="00E4279B" w:rsidRPr="00E65897">
        <w:rPr>
          <w:i/>
        </w:rPr>
        <w:t>proseuche</w:t>
      </w:r>
      <w:r w:rsidR="00E4279B">
        <w:t xml:space="preserve">, </w:t>
      </w:r>
      <w:r w:rsidR="00DB5E21">
        <w:t xml:space="preserve">a </w:t>
      </w:r>
      <w:r w:rsidR="00E4279B">
        <w:t>‘place of prayer’, preserved in a bilingual inscription of uncertain date and provenance, but which may, with good reason, be placed in the reign of Cleopatra VII. The royal command is given as follows:</w:t>
      </w:r>
    </w:p>
    <w:p w14:paraId="5F648F3F" w14:textId="77777777" w:rsidR="003A1212" w:rsidRDefault="003A1212" w:rsidP="00B35E88">
      <w:pPr>
        <w:spacing w:line="360" w:lineRule="auto"/>
      </w:pPr>
    </w:p>
    <w:p w14:paraId="1959D0FD" w14:textId="26ED43E6" w:rsidR="003A1212" w:rsidRDefault="003A1212" w:rsidP="00B35E88">
      <w:pPr>
        <w:spacing w:line="360" w:lineRule="auto"/>
      </w:pPr>
      <w:r>
        <w:tab/>
        <w:t xml:space="preserve">(Greek). On the orders of the </w:t>
      </w:r>
      <w:r w:rsidR="00186C3E">
        <w:t>q</w:t>
      </w:r>
      <w:r>
        <w:t xml:space="preserve">ueen and </w:t>
      </w:r>
      <w:r w:rsidR="00186C3E">
        <w:t>k</w:t>
      </w:r>
      <w:r>
        <w:t>ing.</w:t>
      </w:r>
    </w:p>
    <w:p w14:paraId="7760E842" w14:textId="3AFEC66C" w:rsidR="003A1212" w:rsidRPr="00AC119C" w:rsidRDefault="003A1212" w:rsidP="00B35E88">
      <w:pPr>
        <w:spacing w:line="360" w:lineRule="auto"/>
        <w:rPr>
          <w:lang w:val="el-GR"/>
        </w:rPr>
      </w:pPr>
      <w:r>
        <w:tab/>
        <w:t xml:space="preserve">In place of </w:t>
      </w:r>
      <w:r w:rsidR="00083AF8">
        <w:t xml:space="preserve">the previous plaque concerning the dedication of the </w:t>
      </w:r>
      <w:r w:rsidR="0002607A" w:rsidRPr="0002607A">
        <w:rPr>
          <w:i/>
        </w:rPr>
        <w:t>proseuche</w:t>
      </w:r>
      <w:r w:rsidR="00083AF8" w:rsidRPr="0002607A">
        <w:rPr>
          <w:i/>
        </w:rPr>
        <w:t xml:space="preserve"> </w:t>
      </w:r>
      <w:r w:rsidR="00083AF8">
        <w:tab/>
        <w:t>(</w:t>
      </w:r>
      <w:r w:rsidR="00AC119C">
        <w:t>προσευχή</w:t>
      </w:r>
      <w:r w:rsidR="00083AF8">
        <w:t xml:space="preserve">) let the following be </w:t>
      </w:r>
      <w:r w:rsidR="00A035CA">
        <w:t>inscribed</w:t>
      </w:r>
      <w:r w:rsidR="00083AF8">
        <w:t>.</w:t>
      </w:r>
      <w:r w:rsidR="00AC119C">
        <w:t xml:space="preserve"> King Ptolemy Euergetes </w:t>
      </w:r>
      <w:r w:rsidR="00AC119C">
        <w:tab/>
        <w:t xml:space="preserve">(proclaimed) the </w:t>
      </w:r>
      <w:r w:rsidR="0002607A" w:rsidRPr="0002607A">
        <w:rPr>
          <w:i/>
        </w:rPr>
        <w:t>proseuche</w:t>
      </w:r>
      <w:r w:rsidR="00AC119C">
        <w:t xml:space="preserve"> inviolate (ἄσυλον).</w:t>
      </w:r>
    </w:p>
    <w:p w14:paraId="3C287818" w14:textId="179D0324" w:rsidR="00E45DAC" w:rsidRDefault="00AC119C" w:rsidP="00B35E88">
      <w:pPr>
        <w:spacing w:line="360" w:lineRule="auto"/>
      </w:pPr>
      <w:r>
        <w:tab/>
      </w:r>
      <w:r w:rsidR="004D6BD1">
        <w:t>(</w:t>
      </w:r>
      <w:r>
        <w:t xml:space="preserve">Latin). The </w:t>
      </w:r>
      <w:r w:rsidR="00186C3E">
        <w:t>q</w:t>
      </w:r>
      <w:r>
        <w:t xml:space="preserve">ueen and </w:t>
      </w:r>
      <w:r w:rsidR="00186C3E">
        <w:t>k</w:t>
      </w:r>
      <w:r>
        <w:t xml:space="preserve">ing </w:t>
      </w:r>
      <w:r w:rsidR="00750FEC">
        <w:t>gave the order</w:t>
      </w:r>
      <w:r>
        <w:t>.</w:t>
      </w:r>
      <w:r w:rsidR="00D82223">
        <w:rPr>
          <w:rStyle w:val="FootnoteReference"/>
        </w:rPr>
        <w:footnoteReference w:id="95"/>
      </w:r>
    </w:p>
    <w:p w14:paraId="2653A235" w14:textId="7E4B4710" w:rsidR="000B605A" w:rsidRDefault="000B605A" w:rsidP="00B35E88">
      <w:pPr>
        <w:spacing w:line="360" w:lineRule="auto"/>
      </w:pPr>
    </w:p>
    <w:p w14:paraId="3F9222A8" w14:textId="24EB03D8" w:rsidR="0072788E" w:rsidRDefault="0072788E" w:rsidP="00B35E88">
      <w:pPr>
        <w:spacing w:line="360" w:lineRule="auto"/>
      </w:pPr>
      <w:r>
        <w:t>That the decree concerns a Jew</w:t>
      </w:r>
      <w:r w:rsidR="00C94064">
        <w:t>ish institution is not in doubt. The term</w:t>
      </w:r>
      <w:r>
        <w:t xml:space="preserve"> </w:t>
      </w:r>
      <w:r w:rsidRPr="0072788E">
        <w:rPr>
          <w:i/>
        </w:rPr>
        <w:t>proseuche</w:t>
      </w:r>
      <w:r w:rsidR="004960C0">
        <w:t xml:space="preserve"> means</w:t>
      </w:r>
      <w:r>
        <w:t xml:space="preserve"> ‘prayer’, </w:t>
      </w:r>
      <w:r w:rsidR="008E2327">
        <w:t xml:space="preserve">and </w:t>
      </w:r>
      <w:r>
        <w:t xml:space="preserve">by extension ‘place of prayer’, </w:t>
      </w:r>
      <w:r w:rsidR="004960C0">
        <w:t xml:space="preserve">and </w:t>
      </w:r>
      <w:r>
        <w:t xml:space="preserve">in </w:t>
      </w:r>
      <w:r w:rsidR="00247AAA">
        <w:t xml:space="preserve">the latter sense, in </w:t>
      </w:r>
      <w:r w:rsidR="0034371C">
        <w:t xml:space="preserve">ancient </w:t>
      </w:r>
      <w:r w:rsidR="001D31D6">
        <w:t>literary and documentary evidence</w:t>
      </w:r>
      <w:r w:rsidR="00247AAA">
        <w:t xml:space="preserve">, </w:t>
      </w:r>
      <w:r w:rsidR="00446A5B">
        <w:t>normally</w:t>
      </w:r>
      <w:r w:rsidR="00247AAA">
        <w:t xml:space="preserve"> </w:t>
      </w:r>
      <w:r w:rsidR="001D31D6">
        <w:t>designate</w:t>
      </w:r>
      <w:r w:rsidR="00446A5B">
        <w:t>s</w:t>
      </w:r>
      <w:r>
        <w:t xml:space="preserve"> </w:t>
      </w:r>
      <w:r w:rsidR="00633224">
        <w:t>a</w:t>
      </w:r>
      <w:r>
        <w:t xml:space="preserve"> Jewish place of worship</w:t>
      </w:r>
      <w:r w:rsidR="00740A17">
        <w:t>.</w:t>
      </w:r>
      <w:r w:rsidR="00D86F2F">
        <w:rPr>
          <w:rStyle w:val="FootnoteReference"/>
        </w:rPr>
        <w:footnoteReference w:id="96"/>
      </w:r>
      <w:r w:rsidR="000F1CA9">
        <w:t xml:space="preserve"> The </w:t>
      </w:r>
      <w:r>
        <w:t xml:space="preserve">use of </w:t>
      </w:r>
      <w:r w:rsidRPr="0072788E">
        <w:rPr>
          <w:i/>
        </w:rPr>
        <w:t>proseuche</w:t>
      </w:r>
      <w:r>
        <w:t xml:space="preserve"> in this sense gives way only gradually</w:t>
      </w:r>
      <w:r w:rsidR="007432A2">
        <w:t xml:space="preserve"> in later centuries </w:t>
      </w:r>
      <w:r>
        <w:t xml:space="preserve">to </w:t>
      </w:r>
      <w:r w:rsidR="008C5CA2">
        <w:t>the use of Greek</w:t>
      </w:r>
      <w:r>
        <w:t xml:space="preserve"> </w:t>
      </w:r>
      <w:r w:rsidRPr="00F41C70">
        <w:rPr>
          <w:i/>
        </w:rPr>
        <w:t>synagoge</w:t>
      </w:r>
      <w:r>
        <w:t xml:space="preserve">, </w:t>
      </w:r>
      <w:r w:rsidR="008C5CA2">
        <w:t>‘place of assembly’</w:t>
      </w:r>
      <w:r w:rsidR="008936F3">
        <w:t>, in Jewish communal contexts</w:t>
      </w:r>
      <w:r>
        <w:t>.</w:t>
      </w:r>
      <w:r w:rsidR="008C5CA2">
        <w:rPr>
          <w:rStyle w:val="FootnoteReference"/>
        </w:rPr>
        <w:footnoteReference w:id="97"/>
      </w:r>
      <w:r>
        <w:t xml:space="preserve"> </w:t>
      </w:r>
      <w:r w:rsidR="000508E4">
        <w:t xml:space="preserve">In the context of our evidence for Ptolemaic grants of </w:t>
      </w:r>
      <w:r w:rsidR="000508E4" w:rsidRPr="000508E4">
        <w:rPr>
          <w:i/>
        </w:rPr>
        <w:t>asylia</w:t>
      </w:r>
      <w:r w:rsidR="000508E4">
        <w:t>, this is the only known example of such a grant to a Jewish institution.</w:t>
      </w:r>
      <w:r w:rsidR="003816C2">
        <w:t xml:space="preserve"> </w:t>
      </w:r>
    </w:p>
    <w:p w14:paraId="348FDC13" w14:textId="7643DC7A" w:rsidR="00C75E95" w:rsidRDefault="00C75E95" w:rsidP="00B35E88">
      <w:pPr>
        <w:spacing w:line="360" w:lineRule="auto"/>
      </w:pPr>
      <w:r>
        <w:tab/>
      </w:r>
      <w:r w:rsidR="003816C2">
        <w:t>The decree is</w:t>
      </w:r>
      <w:r w:rsidR="00BC31F2">
        <w:t xml:space="preserve"> unique in another respect, as the only known witness to the renewal of an asylum decree in Ptolemaic Egypt. The royal order commands the</w:t>
      </w:r>
      <w:r w:rsidR="003816C2">
        <w:t xml:space="preserve"> renewal of</w:t>
      </w:r>
      <w:r>
        <w:t xml:space="preserve"> </w:t>
      </w:r>
      <w:r w:rsidR="00BC31F2">
        <w:t xml:space="preserve">an asylum grant </w:t>
      </w:r>
      <w:r>
        <w:t xml:space="preserve">made originally for a </w:t>
      </w:r>
      <w:r w:rsidRPr="00F41C70">
        <w:rPr>
          <w:i/>
        </w:rPr>
        <w:t>proseuche</w:t>
      </w:r>
      <w:r>
        <w:t xml:space="preserve"> at the time of its dedication under </w:t>
      </w:r>
      <w:r w:rsidR="007A0981">
        <w:t>‘King Ptolemy Euergetes’</w:t>
      </w:r>
      <w:r w:rsidR="00003FD3">
        <w:t>. Two different monarchs may be in view here:</w:t>
      </w:r>
      <w:r w:rsidR="007A0981">
        <w:t xml:space="preserve"> </w:t>
      </w:r>
      <w:r>
        <w:t xml:space="preserve">Ptolemy III </w:t>
      </w:r>
      <w:r w:rsidR="001D03A2">
        <w:t>Euergetes</w:t>
      </w:r>
      <w:r w:rsidR="00DE3EC4">
        <w:t xml:space="preserve"> (</w:t>
      </w:r>
      <w:r w:rsidR="006B54BE">
        <w:t>r. 246–221</w:t>
      </w:r>
      <w:r w:rsidR="00DE3EC4">
        <w:t xml:space="preserve"> BCE</w:t>
      </w:r>
      <w:r w:rsidR="009272F5">
        <w:t>)</w:t>
      </w:r>
      <w:r w:rsidR="001D03A2">
        <w:t xml:space="preserve"> </w:t>
      </w:r>
      <w:r>
        <w:t xml:space="preserve">or </w:t>
      </w:r>
      <w:r w:rsidR="008C0087">
        <w:t xml:space="preserve">Ptolemy </w:t>
      </w:r>
      <w:r>
        <w:t>VIII</w:t>
      </w:r>
      <w:r w:rsidR="001D03A2">
        <w:t xml:space="preserve"> Euergetes II</w:t>
      </w:r>
      <w:r w:rsidR="00DE3EC4">
        <w:t xml:space="preserve"> (</w:t>
      </w:r>
      <w:r w:rsidR="006B54BE">
        <w:t>r. 170</w:t>
      </w:r>
      <w:r w:rsidR="00DE3EC4">
        <w:t>–</w:t>
      </w:r>
      <w:r w:rsidR="006B54BE">
        <w:t>163, 145–</w:t>
      </w:r>
      <w:r w:rsidR="00DE3EC4">
        <w:t>116 BCE)</w:t>
      </w:r>
      <w:r w:rsidR="00003FD3">
        <w:t xml:space="preserve">. </w:t>
      </w:r>
      <w:r w:rsidR="001B4727">
        <w:t xml:space="preserve">Since the </w:t>
      </w:r>
      <w:r w:rsidR="00422509">
        <w:t xml:space="preserve">dated </w:t>
      </w:r>
      <w:r w:rsidR="001B4727">
        <w:t xml:space="preserve">evidence </w:t>
      </w:r>
      <w:r w:rsidR="005E33E0">
        <w:t xml:space="preserve">for the use of </w:t>
      </w:r>
      <w:r w:rsidR="008B31A0">
        <w:t xml:space="preserve">asylum </w:t>
      </w:r>
      <w:r>
        <w:t xml:space="preserve">decrees </w:t>
      </w:r>
      <w:r w:rsidR="008B31A0">
        <w:t xml:space="preserve">as </w:t>
      </w:r>
      <w:r w:rsidR="00B231CF">
        <w:t>an instrument</w:t>
      </w:r>
      <w:r w:rsidR="008B31A0">
        <w:t xml:space="preserve"> of </w:t>
      </w:r>
      <w:r w:rsidR="00422509">
        <w:t>royal</w:t>
      </w:r>
      <w:r>
        <w:t xml:space="preserve"> policy</w:t>
      </w:r>
      <w:r w:rsidR="001B4727">
        <w:t xml:space="preserve"> belongs to the </w:t>
      </w:r>
      <w:r w:rsidR="003A13A6">
        <w:t xml:space="preserve">later period </w:t>
      </w:r>
      <w:r w:rsidR="001B4727">
        <w:t>of Ptolemaic rule, however,</w:t>
      </w:r>
      <w:r>
        <w:t xml:space="preserve"> we are almost certainly dealing with Ptolemy VIII Euergetes</w:t>
      </w:r>
      <w:r w:rsidR="008C0087">
        <w:t xml:space="preserve"> II</w:t>
      </w:r>
      <w:r>
        <w:t xml:space="preserve"> and </w:t>
      </w:r>
      <w:r w:rsidR="005E33E0">
        <w:t xml:space="preserve">therefore </w:t>
      </w:r>
      <w:r>
        <w:t xml:space="preserve">a </w:t>
      </w:r>
      <w:r w:rsidR="00EE47E3">
        <w:t>latest possible date of 116 BCE for the initial grant of asylum.</w:t>
      </w:r>
      <w:r w:rsidR="00F13F24">
        <w:rPr>
          <w:rStyle w:val="FootnoteReference"/>
        </w:rPr>
        <w:footnoteReference w:id="98"/>
      </w:r>
      <w:r w:rsidR="002E40C4">
        <w:t xml:space="preserve"> </w:t>
      </w:r>
      <w:r w:rsidR="00725DE8">
        <w:t>On this basis,</w:t>
      </w:r>
      <w:r w:rsidR="008B31A0">
        <w:t xml:space="preserve"> the </w:t>
      </w:r>
      <w:r w:rsidR="002E40C4">
        <w:t xml:space="preserve">renewal </w:t>
      </w:r>
      <w:r w:rsidR="00322ABB">
        <w:t xml:space="preserve">may be seen as supplying </w:t>
      </w:r>
      <w:r w:rsidR="002E40C4">
        <w:t xml:space="preserve">rare and precious evidence for the continuity of a </w:t>
      </w:r>
      <w:r w:rsidR="007A0981">
        <w:t xml:space="preserve">particular </w:t>
      </w:r>
      <w:r w:rsidR="002E40C4">
        <w:t xml:space="preserve">Jewish community </w:t>
      </w:r>
      <w:r w:rsidR="007A0981">
        <w:t xml:space="preserve">in Egypt </w:t>
      </w:r>
      <w:r w:rsidR="002E40C4">
        <w:t xml:space="preserve">over </w:t>
      </w:r>
      <w:r w:rsidR="006A2799">
        <w:t>a significant period of time</w:t>
      </w:r>
      <w:r w:rsidR="002E40C4">
        <w:t>.</w:t>
      </w:r>
      <w:r w:rsidR="0003360E">
        <w:rPr>
          <w:rStyle w:val="FootnoteReference"/>
        </w:rPr>
        <w:footnoteReference w:id="99"/>
      </w:r>
      <w:r w:rsidR="002E40C4">
        <w:t xml:space="preserve"> Frustratingly, the identity</w:t>
      </w:r>
      <w:r w:rsidR="004E2721">
        <w:t xml:space="preserve"> or location</w:t>
      </w:r>
      <w:r w:rsidR="002E40C4">
        <w:t xml:space="preserve"> of this community is not stated, a point to which we will return.</w:t>
      </w:r>
    </w:p>
    <w:p w14:paraId="1E4584AA" w14:textId="6D5E78B1" w:rsidR="009E7DDF" w:rsidRDefault="009E7DDF" w:rsidP="00B35E88">
      <w:pPr>
        <w:spacing w:line="360" w:lineRule="auto"/>
      </w:pPr>
      <w:r>
        <w:tab/>
      </w:r>
      <w:r w:rsidR="004E031E">
        <w:t xml:space="preserve">As for the </w:t>
      </w:r>
      <w:r w:rsidR="00AB286B">
        <w:t xml:space="preserve">date </w:t>
      </w:r>
      <w:r w:rsidR="00AA5B1D">
        <w:t>of the renewal of</w:t>
      </w:r>
      <w:r w:rsidR="004E031E">
        <w:t xml:space="preserve"> the</w:t>
      </w:r>
      <w:r>
        <w:t xml:space="preserve"> grant of asylum</w:t>
      </w:r>
      <w:r w:rsidR="00AA5B1D">
        <w:t>, the decree</w:t>
      </w:r>
      <w:r>
        <w:t xml:space="preserve"> is </w:t>
      </w:r>
      <w:r w:rsidR="00AA5B1D">
        <w:t>issued by order</w:t>
      </w:r>
      <w:r>
        <w:t xml:space="preserve"> (</w:t>
      </w:r>
      <w:r w:rsidR="00FA567B">
        <w:t>προτάσσω</w:t>
      </w:r>
      <w:r>
        <w:t>/</w:t>
      </w:r>
      <w:r w:rsidRPr="00FA567B">
        <w:rPr>
          <w:i/>
        </w:rPr>
        <w:t>iuss</w:t>
      </w:r>
      <w:r w:rsidR="00FA567B" w:rsidRPr="00FA567B">
        <w:rPr>
          <w:i/>
        </w:rPr>
        <w:t>erunt</w:t>
      </w:r>
      <w:r w:rsidRPr="00FA567B">
        <w:rPr>
          <w:i/>
        </w:rPr>
        <w:t>)</w:t>
      </w:r>
      <w:r>
        <w:t xml:space="preserve"> </w:t>
      </w:r>
      <w:r w:rsidR="00AA5B1D">
        <w:t>of</w:t>
      </w:r>
      <w:r>
        <w:t xml:space="preserve"> ‘the </w:t>
      </w:r>
      <w:r w:rsidR="003855F6">
        <w:t>q</w:t>
      </w:r>
      <w:r>
        <w:t xml:space="preserve">ueen and </w:t>
      </w:r>
      <w:r w:rsidR="003855F6">
        <w:t>k</w:t>
      </w:r>
      <w:r>
        <w:t xml:space="preserve">ing’, βασίλισσα καὶ βασιλεύς, </w:t>
      </w:r>
      <w:r w:rsidRPr="009E7DDF">
        <w:rPr>
          <w:i/>
        </w:rPr>
        <w:t>regina</w:t>
      </w:r>
      <w:r w:rsidR="0034371C">
        <w:rPr>
          <w:i/>
        </w:rPr>
        <w:t xml:space="preserve"> et rex</w:t>
      </w:r>
      <w:r>
        <w:t xml:space="preserve">. </w:t>
      </w:r>
      <w:r w:rsidR="00FA567B">
        <w:t xml:space="preserve">No names are given, but the </w:t>
      </w:r>
      <w:r w:rsidR="0005286D">
        <w:t xml:space="preserve">unusual </w:t>
      </w:r>
      <w:r w:rsidR="00FA567B">
        <w:t>order of the royal titles</w:t>
      </w:r>
      <w:r w:rsidR="00E8688E">
        <w:t>,</w:t>
      </w:r>
      <w:r w:rsidR="00FA567B">
        <w:t xml:space="preserve"> </w:t>
      </w:r>
      <w:r w:rsidR="00E25350">
        <w:t>giving</w:t>
      </w:r>
      <w:r w:rsidR="00674A3C">
        <w:t xml:space="preserve"> precedence to</w:t>
      </w:r>
      <w:r w:rsidR="00FA567B">
        <w:t xml:space="preserve"> the queen</w:t>
      </w:r>
      <w:r w:rsidR="00E8688E">
        <w:t>,</w:t>
      </w:r>
      <w:r w:rsidR="00FA567B">
        <w:t xml:space="preserve"> </w:t>
      </w:r>
      <w:r w:rsidR="00F76347">
        <w:t xml:space="preserve">is </w:t>
      </w:r>
      <w:r w:rsidR="0005286D">
        <w:t>matche</w:t>
      </w:r>
      <w:r w:rsidR="00F76347">
        <w:t>d in some of the</w:t>
      </w:r>
      <w:r w:rsidR="00FA567B">
        <w:t xml:space="preserve"> official documents of powerful Ptolemaic queens</w:t>
      </w:r>
      <w:r w:rsidR="00F76347">
        <w:t xml:space="preserve"> as co-rulers with their children or siblings</w:t>
      </w:r>
      <w:r w:rsidR="00FA567B">
        <w:t xml:space="preserve">: </w:t>
      </w:r>
      <w:r w:rsidR="00F76347">
        <w:t xml:space="preserve">in particular, </w:t>
      </w:r>
      <w:r w:rsidR="00FA567B">
        <w:t xml:space="preserve">Cleopatra III, widow of Ptolemy VIII, </w:t>
      </w:r>
      <w:r w:rsidR="00F76347">
        <w:t>who ruled</w:t>
      </w:r>
      <w:r w:rsidR="00FA567B">
        <w:t xml:space="preserve"> </w:t>
      </w:r>
      <w:r w:rsidR="00F76347">
        <w:t>jointly</w:t>
      </w:r>
      <w:r w:rsidR="00FA567B">
        <w:t xml:space="preserve"> with both her sons </w:t>
      </w:r>
      <w:r w:rsidR="00FB452A">
        <w:t xml:space="preserve">(Ptolemy IX and Ptolemy X) </w:t>
      </w:r>
      <w:r w:rsidR="00FA567B">
        <w:t xml:space="preserve">at different times until her </w:t>
      </w:r>
      <w:r w:rsidR="00EA33BE">
        <w:t>assassination</w:t>
      </w:r>
      <w:r w:rsidR="00FA567B">
        <w:t xml:space="preserve"> in 101 BCE;</w:t>
      </w:r>
      <w:r w:rsidR="00FB452A">
        <w:rPr>
          <w:rStyle w:val="FootnoteReference"/>
        </w:rPr>
        <w:footnoteReference w:id="100"/>
      </w:r>
      <w:r w:rsidR="00FA567B">
        <w:t xml:space="preserve"> and </w:t>
      </w:r>
      <w:r w:rsidR="001F30D6">
        <w:t>Cleopatra VII</w:t>
      </w:r>
      <w:r w:rsidR="00F76347">
        <w:t>,</w:t>
      </w:r>
      <w:r w:rsidR="001F30D6">
        <w:t xml:space="preserve"> </w:t>
      </w:r>
      <w:r w:rsidR="00F76347">
        <w:t>as</w:t>
      </w:r>
      <w:r w:rsidR="001F30D6">
        <w:t xml:space="preserve"> co-rule</w:t>
      </w:r>
      <w:r w:rsidR="00F76347">
        <w:t>r</w:t>
      </w:r>
      <w:r w:rsidR="001F30D6">
        <w:t xml:space="preserve"> </w:t>
      </w:r>
      <w:r w:rsidR="00714D85">
        <w:t xml:space="preserve">and official wife </w:t>
      </w:r>
      <w:r w:rsidR="00DF45CE">
        <w:t xml:space="preserve">successively </w:t>
      </w:r>
      <w:r w:rsidR="00714D85">
        <w:t>to her younger brothers</w:t>
      </w:r>
      <w:r w:rsidR="00F76347">
        <w:t xml:space="preserve"> </w:t>
      </w:r>
      <w:r w:rsidR="001F30D6">
        <w:t xml:space="preserve">Ptolemy </w:t>
      </w:r>
      <w:r w:rsidR="00F76347">
        <w:t xml:space="preserve">XIII and </w:t>
      </w:r>
      <w:r w:rsidR="00714D85">
        <w:t xml:space="preserve">XIV and </w:t>
      </w:r>
      <w:r w:rsidR="001F30D6">
        <w:t>from 44</w:t>
      </w:r>
      <w:r w:rsidR="00BE20EC">
        <w:t>–</w:t>
      </w:r>
      <w:r w:rsidR="001F30D6">
        <w:t xml:space="preserve">30 </w:t>
      </w:r>
      <w:r w:rsidR="00002DC1">
        <w:t xml:space="preserve">BCE as co-ruler </w:t>
      </w:r>
      <w:r w:rsidR="001F30D6">
        <w:t>wi</w:t>
      </w:r>
      <w:r w:rsidR="00C12F3B">
        <w:t>th her son Ptolemy XV Caesarion.</w:t>
      </w:r>
      <w:r w:rsidR="005A3178">
        <w:rPr>
          <w:rStyle w:val="FootnoteReference"/>
        </w:rPr>
        <w:footnoteReference w:id="101"/>
      </w:r>
      <w:r w:rsidR="0005286D">
        <w:t xml:space="preserve"> </w:t>
      </w:r>
      <w:r w:rsidR="00F76347">
        <w:t>Our</w:t>
      </w:r>
      <w:r w:rsidR="00E95E66">
        <w:t xml:space="preserve"> inscription supplies no dates, but the use of Latin </w:t>
      </w:r>
      <w:r w:rsidR="004E715B">
        <w:t xml:space="preserve">clearly </w:t>
      </w:r>
      <w:r w:rsidR="00E95E66">
        <w:t>points to the reign of Cleopatra VII, and the substantial presence in her kingdom from 47 BCE onwards of a Latin-speaking</w:t>
      </w:r>
      <w:r w:rsidR="00284D7E">
        <w:t>,</w:t>
      </w:r>
      <w:r w:rsidR="00E95E66">
        <w:t xml:space="preserve"> Roman military</w:t>
      </w:r>
      <w:r w:rsidR="00284D7E">
        <w:t xml:space="preserve"> force</w:t>
      </w:r>
      <w:r w:rsidR="00E95E66">
        <w:t xml:space="preserve"> to protect the Queen and the interests of Rome as represented by Julius Caesar and, </w:t>
      </w:r>
      <w:r w:rsidR="00321DF1">
        <w:t>from 41 BCE</w:t>
      </w:r>
      <w:r w:rsidR="00A96383">
        <w:t>,</w:t>
      </w:r>
      <w:r w:rsidR="00E95E66">
        <w:t xml:space="preserve"> by Mark Antony.</w:t>
      </w:r>
      <w:r w:rsidR="00E02BDE">
        <w:rPr>
          <w:rStyle w:val="FootnoteReference"/>
        </w:rPr>
        <w:footnoteReference w:id="102"/>
      </w:r>
    </w:p>
    <w:p w14:paraId="38C42D81" w14:textId="54BB8713" w:rsidR="00E9668F" w:rsidRDefault="00145F9A" w:rsidP="00B35E88">
      <w:pPr>
        <w:spacing w:line="360" w:lineRule="auto"/>
      </w:pPr>
      <w:r>
        <w:tab/>
      </w:r>
      <w:r w:rsidR="005C2677">
        <w:t xml:space="preserve">Of course, our decree relates to just one, unnamed </w:t>
      </w:r>
      <w:r w:rsidR="005C2677" w:rsidRPr="005C2677">
        <w:rPr>
          <w:i/>
        </w:rPr>
        <w:t>proseuche</w:t>
      </w:r>
      <w:r w:rsidR="00427F41">
        <w:t xml:space="preserve">, rather than to Jews in general. </w:t>
      </w:r>
      <w:r w:rsidR="00C32475">
        <w:t xml:space="preserve">Theoretically, </w:t>
      </w:r>
      <w:r w:rsidR="00427F41">
        <w:t>the decree</w:t>
      </w:r>
      <w:r w:rsidR="00C32475">
        <w:t xml:space="preserve"> could belong to any one of the multiple Jewish </w:t>
      </w:r>
      <w:r w:rsidR="00EE2DCA">
        <w:t>places of prayer</w:t>
      </w:r>
      <w:r w:rsidR="00C32475">
        <w:t xml:space="preserve"> </w:t>
      </w:r>
      <w:r w:rsidR="00C17879">
        <w:t>known to have existed</w:t>
      </w:r>
      <w:r w:rsidR="009203FE">
        <w:t xml:space="preserve"> throughout Alexandria and the Egyptian countryside</w:t>
      </w:r>
      <w:r w:rsidR="00C32475">
        <w:t>.</w:t>
      </w:r>
      <w:r w:rsidR="00866C2C">
        <w:rPr>
          <w:rStyle w:val="FootnoteReference"/>
        </w:rPr>
        <w:footnoteReference w:id="103"/>
      </w:r>
      <w:r w:rsidR="006929FC">
        <w:t xml:space="preserve"> </w:t>
      </w:r>
      <w:r w:rsidR="00050F0A">
        <w:t xml:space="preserve">The exceptional character of the decree in its application to a Jewish </w:t>
      </w:r>
      <w:r w:rsidR="00EE2DCA" w:rsidRPr="003C13CF">
        <w:rPr>
          <w:i/>
        </w:rPr>
        <w:t>proseuche</w:t>
      </w:r>
      <w:r w:rsidR="00050F0A">
        <w:t xml:space="preserve">, however, suggests the likelihood that this was no ordinary </w:t>
      </w:r>
      <w:r w:rsidR="000C4D84">
        <w:t>institution</w:t>
      </w:r>
      <w:r w:rsidR="00050F0A">
        <w:t>.</w:t>
      </w:r>
      <w:r w:rsidR="008202CC">
        <w:rPr>
          <w:rStyle w:val="FootnoteReference"/>
        </w:rPr>
        <w:footnoteReference w:id="104"/>
      </w:r>
      <w:r w:rsidR="00050F0A">
        <w:t xml:space="preserve"> </w:t>
      </w:r>
      <w:r w:rsidR="00CF180D">
        <w:t>Might this</w:t>
      </w:r>
      <w:r w:rsidR="00EC26DD">
        <w:t xml:space="preserve"> then</w:t>
      </w:r>
      <w:r w:rsidR="00CF180D">
        <w:t xml:space="preserve"> be </w:t>
      </w:r>
      <w:r w:rsidR="00EC26DD">
        <w:t xml:space="preserve">identified with </w:t>
      </w:r>
      <w:r w:rsidR="00CF180D">
        <w:t xml:space="preserve">the </w:t>
      </w:r>
      <w:r w:rsidR="00140754">
        <w:t>‘</w:t>
      </w:r>
      <w:r w:rsidR="00CF180D">
        <w:t xml:space="preserve">great </w:t>
      </w:r>
      <w:r w:rsidR="00CF180D" w:rsidRPr="00CF180D">
        <w:rPr>
          <w:i/>
        </w:rPr>
        <w:t>proseuche</w:t>
      </w:r>
      <w:r w:rsidR="00140754">
        <w:t>’</w:t>
      </w:r>
      <w:r w:rsidR="00CF180D" w:rsidRPr="00CF180D">
        <w:rPr>
          <w:i/>
        </w:rPr>
        <w:t xml:space="preserve"> </w:t>
      </w:r>
      <w:r w:rsidR="00CF180D">
        <w:t>of Alexandria, so large and prominent in Philo’s time that the Alexandrian mob failed to destroy it?</w:t>
      </w:r>
      <w:r w:rsidR="00CF180D">
        <w:rPr>
          <w:rStyle w:val="FootnoteReference"/>
        </w:rPr>
        <w:footnoteReference w:id="105"/>
      </w:r>
      <w:r w:rsidR="00CF180D">
        <w:t xml:space="preserve"> </w:t>
      </w:r>
      <w:r w:rsidR="009E6D06">
        <w:t>A different place of origin is, however, indicated by</w:t>
      </w:r>
      <w:r w:rsidR="00143CE3">
        <w:t xml:space="preserve"> t</w:t>
      </w:r>
      <w:r w:rsidR="009F5F5F">
        <w:t>he fact that</w:t>
      </w:r>
      <w:r w:rsidR="00914528">
        <w:t xml:space="preserve"> the plaque turned up for sale in Cairo, not Alexandria, </w:t>
      </w:r>
      <w:r w:rsidR="009F5F5F">
        <w:t>and that it was reportedly found</w:t>
      </w:r>
      <w:r w:rsidR="00914528">
        <w:t xml:space="preserve"> in Lower Egypt</w:t>
      </w:r>
      <w:r w:rsidR="009E6D06">
        <w:t>.</w:t>
      </w:r>
      <w:r w:rsidR="00EB32FF">
        <w:rPr>
          <w:rStyle w:val="FootnoteReference"/>
        </w:rPr>
        <w:footnoteReference w:id="106"/>
      </w:r>
      <w:r w:rsidR="00914528">
        <w:t xml:space="preserve"> </w:t>
      </w:r>
      <w:r w:rsidR="0068344C">
        <w:t xml:space="preserve">In that context, </w:t>
      </w:r>
      <w:r w:rsidR="00A84F05">
        <w:t xml:space="preserve">Kent Rigsby makes </w:t>
      </w:r>
      <w:r w:rsidR="0068344C">
        <w:t>a</w:t>
      </w:r>
      <w:r w:rsidR="00AD303B">
        <w:t xml:space="preserve"> strong case </w:t>
      </w:r>
      <w:r w:rsidR="00143CE3">
        <w:t xml:space="preserve">for identifying the unnamed </w:t>
      </w:r>
      <w:r w:rsidR="00143CE3" w:rsidRPr="00143CE3">
        <w:rPr>
          <w:i/>
        </w:rPr>
        <w:t>proseuche</w:t>
      </w:r>
      <w:r w:rsidR="00143CE3">
        <w:t xml:space="preserve"> of the asylum decree with</w:t>
      </w:r>
      <w:r w:rsidR="00A3176D">
        <w:t xml:space="preserve"> the Jewish temple of Onias </w:t>
      </w:r>
      <w:r w:rsidR="00414C29">
        <w:t xml:space="preserve">at Leontopolis </w:t>
      </w:r>
      <w:r w:rsidR="00D30A01">
        <w:t xml:space="preserve">near Heliopolis </w:t>
      </w:r>
      <w:r w:rsidR="00414C29">
        <w:t>in the Nil</w:t>
      </w:r>
      <w:r w:rsidR="00A3176D">
        <w:t>e Delta</w:t>
      </w:r>
      <w:r w:rsidR="00DA2585">
        <w:t>, founded under the patronage of Ptolemy VI and Cleopatra II, the older siblings of Ptolemy VIII</w:t>
      </w:r>
      <w:r w:rsidR="00227422">
        <w:t xml:space="preserve">, the likely author of the original grant of asylum to the </w:t>
      </w:r>
      <w:r w:rsidR="00227422" w:rsidRPr="00227422">
        <w:rPr>
          <w:i/>
        </w:rPr>
        <w:t>proseuche</w:t>
      </w:r>
      <w:r w:rsidR="00A3176D">
        <w:t>.</w:t>
      </w:r>
      <w:r w:rsidR="00A3176D">
        <w:rPr>
          <w:rStyle w:val="FootnoteReference"/>
        </w:rPr>
        <w:footnoteReference w:id="107"/>
      </w:r>
      <w:r w:rsidR="00453C79">
        <w:t xml:space="preserve"> </w:t>
      </w:r>
      <w:r w:rsidR="00B05B35">
        <w:t>W</w:t>
      </w:r>
      <w:r w:rsidR="004F0FD0">
        <w:t xml:space="preserve">hen dealing with a world that </w:t>
      </w:r>
      <w:r w:rsidR="00F20780">
        <w:t>must be re</w:t>
      </w:r>
      <w:r w:rsidR="004F0FD0">
        <w:t xml:space="preserve">constructed </w:t>
      </w:r>
      <w:r w:rsidR="00F20780">
        <w:t>from</w:t>
      </w:r>
      <w:r w:rsidR="004F0FD0">
        <w:t xml:space="preserve"> the survival of fragments and chance finds, </w:t>
      </w:r>
      <w:r w:rsidR="00453C79">
        <w:t xml:space="preserve">great caution </w:t>
      </w:r>
      <w:r w:rsidR="00E02CC1">
        <w:t xml:space="preserve">must </w:t>
      </w:r>
      <w:r w:rsidR="00006243">
        <w:t xml:space="preserve">of course </w:t>
      </w:r>
      <w:r w:rsidR="00E02CC1">
        <w:t>be exercised in</w:t>
      </w:r>
      <w:r w:rsidR="00F20780">
        <w:t xml:space="preserve"> </w:t>
      </w:r>
      <w:r w:rsidR="00E02CC1">
        <w:t>any attempt</w:t>
      </w:r>
      <w:r w:rsidR="00F20780">
        <w:t xml:space="preserve"> </w:t>
      </w:r>
      <w:r w:rsidR="00E02CC1">
        <w:t xml:space="preserve">to </w:t>
      </w:r>
      <w:r w:rsidR="00136B2C">
        <w:t xml:space="preserve">draw conclusions based on </w:t>
      </w:r>
      <w:r w:rsidR="004F0FD0">
        <w:t>link</w:t>
      </w:r>
      <w:r w:rsidR="00136B2C">
        <w:t>ing</w:t>
      </w:r>
      <w:r w:rsidR="00F20780">
        <w:t xml:space="preserve"> </w:t>
      </w:r>
      <w:r w:rsidR="004F0FD0">
        <w:t xml:space="preserve">one rare </w:t>
      </w:r>
      <w:r w:rsidR="00453C79">
        <w:t xml:space="preserve">piece </w:t>
      </w:r>
      <w:r w:rsidR="004F0FD0">
        <w:t xml:space="preserve">of evidence to another. But the </w:t>
      </w:r>
      <w:r w:rsidR="004C1721">
        <w:t xml:space="preserve">hypothesis </w:t>
      </w:r>
      <w:r w:rsidR="004F0FD0">
        <w:t xml:space="preserve">that Cleopatra VII singled out the temple of Onias for exceptional privileges has much to commend it. In scale, </w:t>
      </w:r>
      <w:r w:rsidR="00C830F0">
        <w:t xml:space="preserve">judging </w:t>
      </w:r>
      <w:r w:rsidR="000174B0">
        <w:t xml:space="preserve">by </w:t>
      </w:r>
      <w:r w:rsidR="008D26EA">
        <w:t>Josephus’ account(s)</w:t>
      </w:r>
      <w:r w:rsidR="000174B0">
        <w:t xml:space="preserve">, </w:t>
      </w:r>
      <w:r w:rsidR="00CF4BC8">
        <w:t>the Jewish</w:t>
      </w:r>
      <w:r w:rsidR="00731B54">
        <w:t xml:space="preserve"> </w:t>
      </w:r>
      <w:r w:rsidR="004F0FD0">
        <w:t xml:space="preserve">foundation at Leontopolis might well </w:t>
      </w:r>
      <w:r w:rsidR="00C830F0">
        <w:t xml:space="preserve">have been considered </w:t>
      </w:r>
      <w:r w:rsidR="004F0FD0">
        <w:t xml:space="preserve">a great temple, </w:t>
      </w:r>
      <w:r w:rsidR="005B707B">
        <w:t>not only in size and importance</w:t>
      </w:r>
      <w:r w:rsidR="00FC3BAF">
        <w:t>,</w:t>
      </w:r>
      <w:r w:rsidR="00FC3BAF">
        <w:rPr>
          <w:rStyle w:val="FootnoteReference"/>
        </w:rPr>
        <w:footnoteReference w:id="108"/>
      </w:r>
      <w:r w:rsidR="005B707B">
        <w:t xml:space="preserve"> but also in </w:t>
      </w:r>
      <w:r w:rsidR="0096077E">
        <w:t>the prestige</w:t>
      </w:r>
      <w:r w:rsidR="004F0FD0">
        <w:t xml:space="preserve"> </w:t>
      </w:r>
      <w:r w:rsidR="0096077E">
        <w:t>of its founder, Onias IV, descendant of the old Jerusalem high priesthood and a powerful supporter of the Ptolemaic monarchy.</w:t>
      </w:r>
      <w:r w:rsidR="00A4708A">
        <w:rPr>
          <w:rStyle w:val="FootnoteReference"/>
        </w:rPr>
        <w:footnoteReference w:id="109"/>
      </w:r>
      <w:r w:rsidR="000407B9">
        <w:t xml:space="preserve"> From its beginnings, the </w:t>
      </w:r>
      <w:r w:rsidR="00AA7787">
        <w:t>Jewish settlement at</w:t>
      </w:r>
      <w:r w:rsidR="000407B9">
        <w:t xml:space="preserve"> Leontopolis repeatedly demonst</w:t>
      </w:r>
      <w:r w:rsidR="001E203C">
        <w:t xml:space="preserve">rated </w:t>
      </w:r>
      <w:r w:rsidR="00D92D91">
        <w:t>its</w:t>
      </w:r>
      <w:r w:rsidR="001E203C">
        <w:t xml:space="preserve"> loyalty to the crown</w:t>
      </w:r>
      <w:r w:rsidR="0002276A">
        <w:t>.</w:t>
      </w:r>
      <w:r w:rsidR="00B05834">
        <w:rPr>
          <w:rStyle w:val="FootnoteReference"/>
        </w:rPr>
        <w:footnoteReference w:id="110"/>
      </w:r>
      <w:r w:rsidR="0002276A">
        <w:t xml:space="preserve"> </w:t>
      </w:r>
      <w:r w:rsidR="005B34DF">
        <w:t xml:space="preserve">The founder </w:t>
      </w:r>
      <w:r w:rsidR="00CB0BD9" w:rsidRPr="00DA4A3F">
        <w:t xml:space="preserve">Onias was </w:t>
      </w:r>
      <w:r w:rsidR="00DA4A3F">
        <w:t>probably</w:t>
      </w:r>
      <w:r w:rsidR="00CB0BD9" w:rsidRPr="00DA4A3F">
        <w:t xml:space="preserve"> one of the two Jewish commanders </w:t>
      </w:r>
      <w:r w:rsidR="000B1799">
        <w:t xml:space="preserve">(Onias and Dositheos) </w:t>
      </w:r>
      <w:r w:rsidR="00CB0BD9" w:rsidRPr="00DA4A3F">
        <w:t xml:space="preserve">to whom Ptolemy VI and Cleopatra II entrusted their army, as Josephus </w:t>
      </w:r>
      <w:r w:rsidR="00436815">
        <w:t xml:space="preserve">proudly </w:t>
      </w:r>
      <w:r w:rsidR="00CB0BD9" w:rsidRPr="00DA4A3F">
        <w:t xml:space="preserve">reports in the </w:t>
      </w:r>
      <w:r w:rsidR="00CB0BD9" w:rsidRPr="00DA4A3F">
        <w:rPr>
          <w:i/>
        </w:rPr>
        <w:t>Against Apion</w:t>
      </w:r>
      <w:r w:rsidR="00B0773D">
        <w:t>.</w:t>
      </w:r>
      <w:r w:rsidR="00BE56F2">
        <w:rPr>
          <w:rStyle w:val="FootnoteReference"/>
        </w:rPr>
        <w:footnoteReference w:id="111"/>
      </w:r>
      <w:r w:rsidR="00B0773D">
        <w:t xml:space="preserve"> A</w:t>
      </w:r>
      <w:r w:rsidR="00436815">
        <w:t xml:space="preserve">fter the death of Ptolemy VI, the same Onias </w:t>
      </w:r>
      <w:r w:rsidR="00BE56F2">
        <w:t>fought</w:t>
      </w:r>
      <w:r w:rsidR="00436815">
        <w:t xml:space="preserve"> </w:t>
      </w:r>
      <w:r w:rsidR="0071185F">
        <w:t>on the side</w:t>
      </w:r>
      <w:r w:rsidR="00436815">
        <w:t xml:space="preserve"> of Cleopatra II in her military struggle </w:t>
      </w:r>
      <w:r w:rsidR="006B480D">
        <w:t xml:space="preserve">against Ptolemy VIII </w:t>
      </w:r>
      <w:r w:rsidR="00436815">
        <w:t>to retain power</w:t>
      </w:r>
      <w:r w:rsidR="005C66E3">
        <w:t>.</w:t>
      </w:r>
      <w:r w:rsidR="00BE56F2">
        <w:rPr>
          <w:rStyle w:val="FootnoteReference"/>
        </w:rPr>
        <w:footnoteReference w:id="112"/>
      </w:r>
      <w:r w:rsidR="00436815">
        <w:t xml:space="preserve"> </w:t>
      </w:r>
      <w:r w:rsidR="008C4647">
        <w:t xml:space="preserve">In the next generation, </w:t>
      </w:r>
      <w:r w:rsidR="005C66E3">
        <w:t xml:space="preserve">Cleopatra III, </w:t>
      </w:r>
      <w:r w:rsidR="008C4647">
        <w:t xml:space="preserve">daughter of Cleopatra II, </w:t>
      </w:r>
      <w:r w:rsidR="005C66E3">
        <w:t xml:space="preserve">relied on the military leadership of the </w:t>
      </w:r>
      <w:r w:rsidR="00B928A8">
        <w:t>sons of Onias IV</w:t>
      </w:r>
      <w:r w:rsidR="005C66E3">
        <w:t xml:space="preserve"> in her war </w:t>
      </w:r>
      <w:r w:rsidR="00FC3BAF">
        <w:t>against</w:t>
      </w:r>
      <w:r w:rsidR="005C66E3">
        <w:t xml:space="preserve"> her </w:t>
      </w:r>
      <w:r w:rsidR="00545805">
        <w:t xml:space="preserve">elder </w:t>
      </w:r>
      <w:r w:rsidR="005C66E3">
        <w:t>son, P</w:t>
      </w:r>
      <w:r w:rsidR="000B7898">
        <w:t>tolemy IX</w:t>
      </w:r>
      <w:r w:rsidR="0024013A">
        <w:t>.</w:t>
      </w:r>
      <w:r w:rsidR="005C66E3">
        <w:t xml:space="preserve"> Josephus quotes Strabo </w:t>
      </w:r>
      <w:r w:rsidR="00396ACB">
        <w:t>(</w:t>
      </w:r>
      <w:r w:rsidR="00035AF2">
        <w:t>a source with privileged access to information in Egypt in the first decade after the fall of Cleopatra</w:t>
      </w:r>
      <w:r w:rsidR="00396ACB">
        <w:t xml:space="preserve">) </w:t>
      </w:r>
      <w:r w:rsidR="00C5234D">
        <w:t>as</w:t>
      </w:r>
      <w:r w:rsidR="002920B1">
        <w:t xml:space="preserve"> confirming that ‘</w:t>
      </w:r>
      <w:r w:rsidR="005C66E3">
        <w:t xml:space="preserve">only the Jews </w:t>
      </w:r>
      <w:r w:rsidR="00DB2FA7">
        <w:t xml:space="preserve">of the </w:t>
      </w:r>
      <w:r w:rsidR="00C705A9">
        <w:t>district</w:t>
      </w:r>
      <w:r w:rsidR="00DB2FA7">
        <w:t xml:space="preserve"> named for Onias</w:t>
      </w:r>
      <w:r w:rsidR="005C66E3">
        <w:t xml:space="preserve"> remained faithful to her</w:t>
      </w:r>
      <w:r w:rsidR="002920B1">
        <w:t>’</w:t>
      </w:r>
      <w:r w:rsidR="005C66E3">
        <w:t xml:space="preserve"> because of the Queen’s favo</w:t>
      </w:r>
      <w:r w:rsidR="002920B1">
        <w:t>u</w:t>
      </w:r>
      <w:r w:rsidR="005C66E3">
        <w:t xml:space="preserve">r to </w:t>
      </w:r>
      <w:r w:rsidR="00A44673">
        <w:t>her Jewish generals</w:t>
      </w:r>
      <w:r w:rsidR="0024013A">
        <w:t>, ‘Chelkias and Ananias, sons of the Onias who had built the temple in the nome of Heliopolis’</w:t>
      </w:r>
      <w:r w:rsidR="005C66E3">
        <w:t>.</w:t>
      </w:r>
      <w:r w:rsidR="005C66E3">
        <w:rPr>
          <w:rStyle w:val="FootnoteReference"/>
        </w:rPr>
        <w:footnoteReference w:id="113"/>
      </w:r>
      <w:r w:rsidR="00C5234D">
        <w:t xml:space="preserve"> </w:t>
      </w:r>
      <w:r w:rsidR="004A040D">
        <w:t>In</w:t>
      </w:r>
      <w:r w:rsidR="007768E5">
        <w:t xml:space="preserve"> the lifetime of Cleopatra VII, </w:t>
      </w:r>
      <w:r w:rsidR="002920B1">
        <w:t xml:space="preserve">according to </w:t>
      </w:r>
      <w:r w:rsidR="000407B9">
        <w:t xml:space="preserve">Josephus, the support of </w:t>
      </w:r>
      <w:r w:rsidR="00E97ABF">
        <w:t>‘</w:t>
      </w:r>
      <w:r w:rsidR="0053674E">
        <w:t xml:space="preserve">the Jews from </w:t>
      </w:r>
      <w:r w:rsidR="000407B9">
        <w:t xml:space="preserve">the </w:t>
      </w:r>
      <w:r w:rsidR="009D0F96">
        <w:t xml:space="preserve">so-called </w:t>
      </w:r>
      <w:r w:rsidR="000407B9">
        <w:t>land of Onias</w:t>
      </w:r>
      <w:r w:rsidR="00E97ABF">
        <w:t>’</w:t>
      </w:r>
      <w:r w:rsidR="009D0F96">
        <w:t xml:space="preserve"> </w:t>
      </w:r>
      <w:r w:rsidR="00AA54B7">
        <w:t>(persuaded by Antipater</w:t>
      </w:r>
      <w:r w:rsidR="00B7030A">
        <w:t>, father of the future Herod the Great,</w:t>
      </w:r>
      <w:r w:rsidR="00AA54B7">
        <w:t xml:space="preserve"> and </w:t>
      </w:r>
      <w:r w:rsidR="00923A63">
        <w:t xml:space="preserve">the authority of the Jerusalem high priest </w:t>
      </w:r>
      <w:r w:rsidR="00AA54B7">
        <w:t>Hyrcanus) played an important role in</w:t>
      </w:r>
      <w:r w:rsidR="000407B9">
        <w:t xml:space="preserve"> the </w:t>
      </w:r>
      <w:r w:rsidR="007768E5">
        <w:t xml:space="preserve">victory of Julius Caesar </w:t>
      </w:r>
      <w:r w:rsidR="009E1CB7">
        <w:t xml:space="preserve">over the forces of </w:t>
      </w:r>
      <w:r w:rsidR="002C3943">
        <w:t xml:space="preserve">Cleopatra’s rival, </w:t>
      </w:r>
      <w:r w:rsidR="009E1CB7">
        <w:t>Ptolemy XIII</w:t>
      </w:r>
      <w:r w:rsidR="002C3943">
        <w:t>,</w:t>
      </w:r>
      <w:r w:rsidR="009E1CB7">
        <w:t xml:space="preserve"> </w:t>
      </w:r>
      <w:r w:rsidR="007768E5">
        <w:t xml:space="preserve">in the </w:t>
      </w:r>
      <w:r w:rsidR="003D5E26">
        <w:t xml:space="preserve">course of the </w:t>
      </w:r>
      <w:r w:rsidR="007768E5">
        <w:t>Alexandrian War</w:t>
      </w:r>
      <w:r w:rsidR="00CE2FBF">
        <w:t xml:space="preserve"> (</w:t>
      </w:r>
      <w:r w:rsidR="003D5E26">
        <w:t xml:space="preserve">spring </w:t>
      </w:r>
      <w:r w:rsidR="00CE2FBF">
        <w:t>47 BCE)</w:t>
      </w:r>
      <w:r w:rsidR="007768E5">
        <w:t>.</w:t>
      </w:r>
      <w:r w:rsidR="000B1799">
        <w:rPr>
          <w:rStyle w:val="FootnoteReference"/>
        </w:rPr>
        <w:footnoteReference w:id="114"/>
      </w:r>
      <w:r w:rsidR="007768E5">
        <w:t xml:space="preserve"> Though Josephus does not say so, it follows that Jews </w:t>
      </w:r>
      <w:r w:rsidR="00C13C17">
        <w:t>from</w:t>
      </w:r>
      <w:r w:rsidR="007768E5">
        <w:t xml:space="preserve"> </w:t>
      </w:r>
      <w:r w:rsidR="000A6E85">
        <w:t>‘</w:t>
      </w:r>
      <w:r w:rsidR="00C13C17">
        <w:t>the land of Onias</w:t>
      </w:r>
      <w:r w:rsidR="000A6E85">
        <w:t>’</w:t>
      </w:r>
      <w:r w:rsidR="007768E5">
        <w:t xml:space="preserve"> played an important part in events that led to the restoration of Cleopatra VII as Queen of Egypt.</w:t>
      </w:r>
      <w:r w:rsidR="003C2B64">
        <w:rPr>
          <w:rStyle w:val="FootnoteReference"/>
        </w:rPr>
        <w:footnoteReference w:id="115"/>
      </w:r>
      <w:r w:rsidR="007768E5">
        <w:t xml:space="preserve"> The asylum decree may well reflect that context of a special relationship between the crown and the Jews of Leontopolis, and perhaps of Cleopatra’s hopes of continued reliance on this powerful base of support outside Alexandria, as in the case of her patronage of the Isis temple near Ptolemais in the south.</w:t>
      </w:r>
      <w:r w:rsidR="00CF1E15">
        <w:rPr>
          <w:rStyle w:val="FootnoteReference"/>
        </w:rPr>
        <w:footnoteReference w:id="116"/>
      </w:r>
      <w:r w:rsidR="004D6B3F">
        <w:t xml:space="preserve"> </w:t>
      </w:r>
    </w:p>
    <w:p w14:paraId="74B1F1EB" w14:textId="3939CF6D" w:rsidR="00986B0B" w:rsidRDefault="004556C6" w:rsidP="00B35E88">
      <w:pPr>
        <w:spacing w:line="360" w:lineRule="auto"/>
      </w:pPr>
      <w:r>
        <w:tab/>
        <w:t xml:space="preserve">Whether this decree originates with the Jews of Leontopolis or </w:t>
      </w:r>
      <w:r w:rsidR="00633293">
        <w:t xml:space="preserve">belongs to another Jewish place of worship in Egypt, other evidence points to the conclusion that the rule of Cleopatra VII </w:t>
      </w:r>
      <w:r w:rsidR="00F427AD">
        <w:t xml:space="preserve">did not </w:t>
      </w:r>
      <w:r w:rsidR="0043538C">
        <w:t>deviate</w:t>
      </w:r>
      <w:r w:rsidR="00633293">
        <w:t xml:space="preserve"> from the long-established practice of the Ptolemaic monarchs with regard to their official, publicly-stated support for Jewish </w:t>
      </w:r>
      <w:r w:rsidR="00633293" w:rsidRPr="00633293">
        <w:rPr>
          <w:i/>
        </w:rPr>
        <w:t>proseuchai</w:t>
      </w:r>
      <w:r w:rsidR="00633293">
        <w:t xml:space="preserve">. </w:t>
      </w:r>
      <w:r w:rsidR="001465AA">
        <w:t xml:space="preserve">From the third century BCE on, the Jews of Egypt dedicated their </w:t>
      </w:r>
      <w:r w:rsidR="001465AA" w:rsidRPr="001465AA">
        <w:rPr>
          <w:i/>
        </w:rPr>
        <w:t>proseuchai</w:t>
      </w:r>
      <w:r w:rsidR="001465AA">
        <w:t xml:space="preserve"> ‘on behalf of (ὑπέρ)’ the royal family.</w:t>
      </w:r>
      <w:r w:rsidR="003E69DF">
        <w:rPr>
          <w:rStyle w:val="FootnoteReference"/>
        </w:rPr>
        <w:footnoteReference w:id="117"/>
      </w:r>
      <w:r w:rsidR="001465AA">
        <w:t xml:space="preserve"> This custom, attested in diverse inscriptions and literary sources, adapted the practice </w:t>
      </w:r>
      <w:r w:rsidR="001A1D0E">
        <w:t>known from</w:t>
      </w:r>
      <w:r w:rsidR="00525BCE">
        <w:t xml:space="preserve"> </w:t>
      </w:r>
      <w:r w:rsidR="006451A4">
        <w:t xml:space="preserve">non-Jewish temples in Egypt in using </w:t>
      </w:r>
      <w:r w:rsidR="003F5A89">
        <w:t>such dedications</w:t>
      </w:r>
      <w:r w:rsidR="002D4504">
        <w:t xml:space="preserve"> </w:t>
      </w:r>
      <w:r w:rsidR="006451A4">
        <w:t>as a means of honouring the monarchs</w:t>
      </w:r>
      <w:r w:rsidR="00AD0CD0">
        <w:t xml:space="preserve">, </w:t>
      </w:r>
      <w:r w:rsidR="00B723F0">
        <w:t xml:space="preserve">promoting their image as pious rulers by associating </w:t>
      </w:r>
      <w:r w:rsidR="00AD0CD0">
        <w:t xml:space="preserve">them in the worship </w:t>
      </w:r>
      <w:r w:rsidR="00B723F0">
        <w:t>of</w:t>
      </w:r>
      <w:r w:rsidR="00AD0CD0">
        <w:t xml:space="preserve"> </w:t>
      </w:r>
      <w:r w:rsidR="00B723F0">
        <w:t>the deity/ies</w:t>
      </w:r>
      <w:r w:rsidR="00AD0CD0">
        <w:t xml:space="preserve">, </w:t>
      </w:r>
      <w:r w:rsidR="001F67A5">
        <w:t xml:space="preserve">while refraining from </w:t>
      </w:r>
      <w:r w:rsidR="00953283">
        <w:t xml:space="preserve">any explicit ascription of divinity to </w:t>
      </w:r>
      <w:r w:rsidR="00AD0CD0">
        <w:t>the Ptolemies themselves</w:t>
      </w:r>
      <w:r w:rsidR="006451A4">
        <w:t>.</w:t>
      </w:r>
      <w:r w:rsidR="00417670">
        <w:rPr>
          <w:rStyle w:val="FootnoteReference"/>
        </w:rPr>
        <w:footnoteReference w:id="118"/>
      </w:r>
      <w:r w:rsidR="006451A4">
        <w:t xml:space="preserve"> </w:t>
      </w:r>
      <w:r w:rsidR="00137439">
        <w:t>Within the temples of Greek (non-Jewish) communities</w:t>
      </w:r>
      <w:r w:rsidR="00931AB1">
        <w:t xml:space="preserve">, </w:t>
      </w:r>
      <w:r w:rsidR="00137439">
        <w:t>the honorific dedication</w:t>
      </w:r>
      <w:r w:rsidR="006337D3">
        <w:t xml:space="preserve"> </w:t>
      </w:r>
      <w:r w:rsidR="00137439">
        <w:t xml:space="preserve">served, as Peter Fraser explains, as </w:t>
      </w:r>
      <w:r w:rsidR="00931AB1">
        <w:t xml:space="preserve">‘a formula of loyalty, expressing the fact that the Greeks had a personal relationship </w:t>
      </w:r>
      <w:r w:rsidR="00137439">
        <w:t>with, and were therefore under the protection of the sovereign’.</w:t>
      </w:r>
      <w:r w:rsidR="00137439">
        <w:rPr>
          <w:rStyle w:val="FootnoteReference"/>
        </w:rPr>
        <w:footnoteReference w:id="119"/>
      </w:r>
      <w:r w:rsidR="00D03500">
        <w:t xml:space="preserve"> </w:t>
      </w:r>
      <w:r w:rsidR="006451A4">
        <w:t xml:space="preserve">Among Jews, </w:t>
      </w:r>
      <w:r w:rsidR="003F5A89">
        <w:t xml:space="preserve">the honorific dedication of a </w:t>
      </w:r>
      <w:r w:rsidR="003F5A89" w:rsidRPr="003F5A89">
        <w:rPr>
          <w:i/>
        </w:rPr>
        <w:t>proseuche</w:t>
      </w:r>
      <w:r w:rsidR="006451A4" w:rsidRPr="003F5A89">
        <w:rPr>
          <w:i/>
        </w:rPr>
        <w:t xml:space="preserve"> </w:t>
      </w:r>
      <w:r w:rsidR="006451A4">
        <w:t>permitted public expression of loyalty towards the monarchy,</w:t>
      </w:r>
      <w:r w:rsidR="00254036">
        <w:rPr>
          <w:rStyle w:val="FootnoteReference"/>
        </w:rPr>
        <w:footnoteReference w:id="120"/>
      </w:r>
      <w:r w:rsidR="006451A4">
        <w:t xml:space="preserve"> </w:t>
      </w:r>
      <w:r w:rsidR="004F01A3">
        <w:t xml:space="preserve">while at the same time not </w:t>
      </w:r>
      <w:r w:rsidR="006451A4">
        <w:t>compromising their exclusive, ancestral commitment to the God of Israe</w:t>
      </w:r>
      <w:r w:rsidR="00125822">
        <w:t>l, which permitted the worship of no other god.</w:t>
      </w:r>
    </w:p>
    <w:p w14:paraId="338CAABC" w14:textId="54EB6B40" w:rsidR="00F27D50" w:rsidRDefault="00F27D50" w:rsidP="00B35E88">
      <w:pPr>
        <w:spacing w:line="360" w:lineRule="auto"/>
      </w:pPr>
      <w:r>
        <w:tab/>
        <w:t xml:space="preserve">The reign of Cleopatra VII </w:t>
      </w:r>
      <w:r w:rsidR="00EC3C9F">
        <w:t>is very likely</w:t>
      </w:r>
      <w:r>
        <w:t xml:space="preserve"> the setting for the last known </w:t>
      </w:r>
      <w:r w:rsidRPr="00F27D50">
        <w:rPr>
          <w:i/>
        </w:rPr>
        <w:t>proseuche</w:t>
      </w:r>
      <w:r>
        <w:t xml:space="preserve"> inscription </w:t>
      </w:r>
      <w:r w:rsidR="00EC3C9F">
        <w:t>of this kind.</w:t>
      </w:r>
      <w:r w:rsidR="00E00A43">
        <w:rPr>
          <w:rStyle w:val="FootnoteReference"/>
        </w:rPr>
        <w:footnoteReference w:id="121"/>
      </w:r>
      <w:r w:rsidR="00EC3C9F">
        <w:t xml:space="preserve"> Found among rubbish in modern Gabbar</w:t>
      </w:r>
      <w:r w:rsidR="00C33D7F">
        <w:t>i</w:t>
      </w:r>
      <w:r w:rsidR="00EC3C9F">
        <w:t xml:space="preserve">, </w:t>
      </w:r>
      <w:r w:rsidR="003335E4">
        <w:t xml:space="preserve">a suburb </w:t>
      </w:r>
      <w:r w:rsidR="00DF110A">
        <w:t>in</w:t>
      </w:r>
      <w:r w:rsidR="002610BA">
        <w:t xml:space="preserve"> the</w:t>
      </w:r>
      <w:r w:rsidR="00EC3C9F">
        <w:t xml:space="preserve"> south</w:t>
      </w:r>
      <w:r w:rsidR="00661ABF">
        <w:t xml:space="preserve"> </w:t>
      </w:r>
      <w:r w:rsidR="00EC3C9F">
        <w:t xml:space="preserve">west of Alexandria, </w:t>
      </w:r>
      <w:r w:rsidR="00EA65D4">
        <w:t>a badly damaged plaque preserves the following words:</w:t>
      </w:r>
    </w:p>
    <w:p w14:paraId="69F2D12D" w14:textId="77777777" w:rsidR="00682C23" w:rsidRDefault="00682C23" w:rsidP="00B35E88">
      <w:pPr>
        <w:spacing w:line="360" w:lineRule="auto"/>
      </w:pPr>
    </w:p>
    <w:p w14:paraId="34AC1DB7" w14:textId="129F6298" w:rsidR="00EA65D4" w:rsidRDefault="00682C23" w:rsidP="00B35E88">
      <w:pPr>
        <w:spacing w:line="360" w:lineRule="auto"/>
      </w:pPr>
      <w:r>
        <w:tab/>
        <w:t xml:space="preserve">[On behalf] of </w:t>
      </w:r>
      <w:r w:rsidRPr="00F6434B">
        <w:rPr>
          <w:u w:val="single"/>
        </w:rPr>
        <w:t>the queen</w:t>
      </w:r>
      <w:r w:rsidRPr="00F6434B">
        <w:t xml:space="preserve"> and</w:t>
      </w:r>
      <w:r w:rsidRPr="00F6434B">
        <w:rPr>
          <w:u w:val="single"/>
        </w:rPr>
        <w:t xml:space="preserve"> king</w:t>
      </w:r>
      <w:r>
        <w:t xml:space="preserve">, for the </w:t>
      </w:r>
      <w:r w:rsidRPr="00F6434B">
        <w:rPr>
          <w:u w:val="single"/>
        </w:rPr>
        <w:t xml:space="preserve">great </w:t>
      </w:r>
      <w:r>
        <w:t xml:space="preserve">God who </w:t>
      </w:r>
      <w:r w:rsidRPr="00F6434B">
        <w:rPr>
          <w:u w:val="single"/>
        </w:rPr>
        <w:t>listens to prayer</w:t>
      </w:r>
      <w:r>
        <w:t>,</w:t>
      </w:r>
    </w:p>
    <w:p w14:paraId="43EDBE03" w14:textId="722867D5" w:rsidR="00682C23" w:rsidRDefault="00682C23" w:rsidP="00B35E88">
      <w:pPr>
        <w:spacing w:line="360" w:lineRule="auto"/>
      </w:pPr>
      <w:r>
        <w:tab/>
        <w:t>Alyp</w:t>
      </w:r>
      <w:r w:rsidR="00F6434B">
        <w:t>[o</w:t>
      </w:r>
      <w:r>
        <w:t xml:space="preserve">s </w:t>
      </w:r>
      <w:r w:rsidR="00F6434B">
        <w:t>(</w:t>
      </w:r>
      <w:r>
        <w:t>made</w:t>
      </w:r>
      <w:r w:rsidR="00F6434B">
        <w:t>)</w:t>
      </w:r>
      <w:r>
        <w:t xml:space="preserve"> the</w:t>
      </w:r>
      <w:r w:rsidR="00F6434B">
        <w:t>]</w:t>
      </w:r>
      <w:r>
        <w:t xml:space="preserve"> </w:t>
      </w:r>
      <w:r w:rsidRPr="00F6434B">
        <w:rPr>
          <w:i/>
        </w:rPr>
        <w:t>prose</w:t>
      </w:r>
      <w:r w:rsidR="00F6434B">
        <w:t>[</w:t>
      </w:r>
      <w:r w:rsidRPr="00F6434B">
        <w:rPr>
          <w:i/>
        </w:rPr>
        <w:t>uche</w:t>
      </w:r>
      <w:r w:rsidR="00F6434B">
        <w:t>]</w:t>
      </w:r>
      <w:r>
        <w:t xml:space="preserve"> in the 15</w:t>
      </w:r>
      <w:r w:rsidRPr="00682C23">
        <w:rPr>
          <w:vertAlign w:val="superscript"/>
        </w:rPr>
        <w:t>th</w:t>
      </w:r>
      <w:r>
        <w:t xml:space="preserve"> year, Me</w:t>
      </w:r>
      <w:r w:rsidR="00F6434B">
        <w:t>[</w:t>
      </w:r>
      <w:r>
        <w:t>cheir…</w:t>
      </w:r>
      <w:r w:rsidR="00F6434B">
        <w:t>]</w:t>
      </w:r>
    </w:p>
    <w:p w14:paraId="132455E9" w14:textId="7F1584D0" w:rsidR="00F6434B" w:rsidRPr="00F6434B" w:rsidRDefault="00F6434B" w:rsidP="00F6434B">
      <w:pPr>
        <w:spacing w:line="360" w:lineRule="auto"/>
        <w:ind w:left="720"/>
        <w:rPr>
          <w:lang w:val="en-GB"/>
        </w:rPr>
      </w:pPr>
      <w:r>
        <w:t>[ὑπὲρ] βασ[ιλίσ]σης καὶ β[ασι]λέως θεῶι [με]γάλωι ἐ[πηκό]ωι (?) Ἄλυπ[ος τὴν] προσε[υχὴν] ἐπόει [?</w:t>
      </w:r>
      <w:r w:rsidRPr="00F6434B">
        <w:rPr>
          <w:i/>
        </w:rPr>
        <w:t>vacat</w:t>
      </w:r>
      <w:r>
        <w:t xml:space="preserve">] </w:t>
      </w:r>
      <w:r w:rsidR="002610BA">
        <w:t>(</w:t>
      </w:r>
      <w:r>
        <w:t>ἔτους</w:t>
      </w:r>
      <w:r w:rsidR="002610BA">
        <w:t>)</w:t>
      </w:r>
      <w:r>
        <w:t xml:space="preserve"> ιε</w:t>
      </w:r>
      <w:r w:rsidR="002610BA">
        <w:t>´</w:t>
      </w:r>
      <w:r>
        <w:t xml:space="preserve"> Με</w:t>
      </w:r>
      <w:r w:rsidR="002610BA">
        <w:t>[</w:t>
      </w:r>
      <w:r>
        <w:t>χείρ</w:t>
      </w:r>
      <w:r w:rsidR="002610BA">
        <w:t>…]</w:t>
      </w:r>
      <w:r w:rsidR="002610BA">
        <w:rPr>
          <w:rStyle w:val="FootnoteReference"/>
        </w:rPr>
        <w:footnoteReference w:id="122"/>
      </w:r>
    </w:p>
    <w:p w14:paraId="36943CB3" w14:textId="77777777" w:rsidR="003B1921" w:rsidRDefault="003B1921" w:rsidP="00B35E88">
      <w:pPr>
        <w:spacing w:line="360" w:lineRule="auto"/>
      </w:pPr>
    </w:p>
    <w:p w14:paraId="6FE96B9A" w14:textId="16D913C6" w:rsidR="003B1921" w:rsidRDefault="0013273D" w:rsidP="00B35E88">
      <w:pPr>
        <w:spacing w:line="360" w:lineRule="auto"/>
      </w:pPr>
      <w:r>
        <w:t>A date of 37 BCE, the fifteenth year of Cleopatra’s rule, is suggested by the sequence of royal titles, giving precedence to the queen (over Caesarion</w:t>
      </w:r>
      <w:r w:rsidR="001959AA">
        <w:t>)</w:t>
      </w:r>
      <w:r>
        <w:t>.</w:t>
      </w:r>
      <w:r w:rsidR="001959AA">
        <w:rPr>
          <w:rStyle w:val="FootnoteReference"/>
        </w:rPr>
        <w:footnoteReference w:id="123"/>
      </w:r>
      <w:r w:rsidR="00807A45">
        <w:t xml:space="preserve"> </w:t>
      </w:r>
      <w:r w:rsidR="001F4397">
        <w:t xml:space="preserve">If this identification is correct, it </w:t>
      </w:r>
      <w:r w:rsidR="006605DD">
        <w:t>offers</w:t>
      </w:r>
      <w:r w:rsidR="001F4397">
        <w:t xml:space="preserve"> a striking example of the declaration of loyalty to the </w:t>
      </w:r>
      <w:r w:rsidR="00C40E8F">
        <w:t xml:space="preserve">monarchs </w:t>
      </w:r>
      <w:r w:rsidR="001F4397">
        <w:t>by at least one group of Jews within the royal capital, in a momentous year for the politics of the Ptolemaic kingdom.</w:t>
      </w:r>
      <w:r w:rsidR="00165018">
        <w:t xml:space="preserve"> At the same time,</w:t>
      </w:r>
      <w:r w:rsidR="001F7395">
        <w:t xml:space="preserve"> the dedication suggests the confidence of the Jews of this </w:t>
      </w:r>
      <w:r w:rsidR="00C35AE3">
        <w:t xml:space="preserve">Alexandrian </w:t>
      </w:r>
      <w:r w:rsidR="001F7395" w:rsidRPr="00C35AE3">
        <w:rPr>
          <w:i/>
        </w:rPr>
        <w:t>proseuche</w:t>
      </w:r>
      <w:r w:rsidR="001F7395">
        <w:t xml:space="preserve"> in the patronage and support of the queen and her co-ruler.</w:t>
      </w:r>
      <w:r w:rsidR="00D12E9C">
        <w:rPr>
          <w:rStyle w:val="FootnoteReference"/>
        </w:rPr>
        <w:footnoteReference w:id="124"/>
      </w:r>
      <w:r w:rsidR="001F7395">
        <w:t xml:space="preserve"> </w:t>
      </w:r>
      <w:r w:rsidR="009C09D7">
        <w:t xml:space="preserve">This was no doubt one of the many </w:t>
      </w:r>
      <w:r w:rsidR="009C09D7" w:rsidRPr="009C09D7">
        <w:rPr>
          <w:i/>
        </w:rPr>
        <w:t xml:space="preserve">proseuchai </w:t>
      </w:r>
      <w:r w:rsidR="009C09D7">
        <w:t>which Philo describes as scattered throughout the city in the 30s CE.</w:t>
      </w:r>
      <w:r w:rsidR="003943DA">
        <w:rPr>
          <w:rStyle w:val="FootnoteReference"/>
        </w:rPr>
        <w:footnoteReference w:id="125"/>
      </w:r>
      <w:r w:rsidR="009C09D7">
        <w:t xml:space="preserve"> Many, if not all of those building</w:t>
      </w:r>
      <w:r w:rsidR="00F042F5">
        <w:t>s</w:t>
      </w:r>
      <w:r w:rsidR="009C09D7">
        <w:t xml:space="preserve"> will have been part of the landscape of Cleopatra’s Alexandria.</w:t>
      </w:r>
      <w:r w:rsidR="00C3540D">
        <w:t xml:space="preserve"> In his powerful denunciation of those who violated the </w:t>
      </w:r>
      <w:r w:rsidR="00C3540D" w:rsidRPr="00C3540D">
        <w:rPr>
          <w:i/>
        </w:rPr>
        <w:t xml:space="preserve">proseuchai </w:t>
      </w:r>
      <w:r w:rsidR="00C3540D">
        <w:t xml:space="preserve">of Alexandria in 38 CE, Philo emphasizes that no such violation ever took place in the Ptolemaic era. In the context of Roman-ruled Egypt, more than sixty years after the death of Cleopatra VII, Philo reflects on the stark contrast between the respectful treatment of the </w:t>
      </w:r>
      <w:r w:rsidR="00C3540D" w:rsidRPr="00C3540D">
        <w:rPr>
          <w:i/>
        </w:rPr>
        <w:t xml:space="preserve">proseuchai </w:t>
      </w:r>
      <w:r w:rsidR="00C3540D">
        <w:t xml:space="preserve">under all the Ptolemaic monarchs and the disastrous situation in his own Alexandria. </w:t>
      </w:r>
      <w:r w:rsidR="00C14523">
        <w:t>According to Philo</w:t>
      </w:r>
      <w:r w:rsidR="00C3540D">
        <w:t xml:space="preserve">, the </w:t>
      </w:r>
      <w:r w:rsidR="00C3540D" w:rsidRPr="00C3540D">
        <w:rPr>
          <w:i/>
        </w:rPr>
        <w:t xml:space="preserve">proseuchai </w:t>
      </w:r>
      <w:r w:rsidR="00C3540D">
        <w:t xml:space="preserve">of Alexandria’s Jews became the target for accusations of Jewish disloyalty and impiety </w:t>
      </w:r>
      <w:r w:rsidR="00C14523">
        <w:t xml:space="preserve">towards the emperor Gaius; in 38 CE, </w:t>
      </w:r>
      <w:r w:rsidR="003D0DDB">
        <w:t>as Philo reports</w:t>
      </w:r>
      <w:r w:rsidR="00CA5336">
        <w:t xml:space="preserve">, </w:t>
      </w:r>
      <w:r w:rsidR="00C14523">
        <w:t xml:space="preserve">most of the </w:t>
      </w:r>
      <w:r w:rsidR="00C14523" w:rsidRPr="00CA5336">
        <w:rPr>
          <w:i/>
        </w:rPr>
        <w:t>proseuchai</w:t>
      </w:r>
      <w:r w:rsidR="00C14523">
        <w:t xml:space="preserve"> were destroyed with great violence or transformed, with images of Gaius ‘the god’, into shrines for the worship of the emperor. Philo condemns these actions as an illegal innovation, designed only to inflict suffering on the Jews by their enemies in Alexandria.</w:t>
      </w:r>
      <w:r w:rsidR="005032BF">
        <w:t xml:space="preserve"> In this perspective, the rule of Cleopatra</w:t>
      </w:r>
      <w:r w:rsidR="0085247E">
        <w:t xml:space="preserve"> and</w:t>
      </w:r>
      <w:r w:rsidR="005032BF">
        <w:t xml:space="preserve"> </w:t>
      </w:r>
      <w:r w:rsidR="0085247E">
        <w:t>her predecessors</w:t>
      </w:r>
      <w:r w:rsidR="005032BF">
        <w:t xml:space="preserve"> provides the model of appropriate monarchic piety with regard to the </w:t>
      </w:r>
      <w:r w:rsidR="005032BF" w:rsidRPr="005032BF">
        <w:rPr>
          <w:i/>
        </w:rPr>
        <w:t>proseuchai</w:t>
      </w:r>
      <w:r w:rsidR="005032BF">
        <w:t>. Philo’s testimony serves to confirm the continuation of Ptolemaic policy under Cleopatra VII in permitting Jews to dedicate their places of prayer ‘on behalf of’ the monarchs, without imposing on the Jews the worship of the Ptolemaic rulers themselves as gods.</w:t>
      </w:r>
      <w:r w:rsidR="007420F1">
        <w:rPr>
          <w:rStyle w:val="FootnoteReference"/>
        </w:rPr>
        <w:footnoteReference w:id="126"/>
      </w:r>
    </w:p>
    <w:p w14:paraId="68D1E535" w14:textId="77777777" w:rsidR="003B1921" w:rsidRDefault="003B1921" w:rsidP="00B35E88">
      <w:pPr>
        <w:spacing w:line="360" w:lineRule="auto"/>
      </w:pPr>
    </w:p>
    <w:p w14:paraId="60A62645" w14:textId="61170007" w:rsidR="0051512C" w:rsidRDefault="0051512C" w:rsidP="00B35E88">
      <w:pPr>
        <w:spacing w:line="360" w:lineRule="auto"/>
      </w:pPr>
      <w:r>
        <w:tab/>
      </w:r>
    </w:p>
    <w:p w14:paraId="01511EF6" w14:textId="440D1A1F" w:rsidR="00FC705D" w:rsidRPr="006337D3" w:rsidRDefault="00FC705D" w:rsidP="00566472">
      <w:pPr>
        <w:spacing w:line="360" w:lineRule="auto"/>
        <w:outlineLvl w:val="0"/>
        <w:rPr>
          <w:b/>
          <w:i/>
        </w:rPr>
      </w:pPr>
      <w:r w:rsidRPr="00FC705D">
        <w:rPr>
          <w:b/>
          <w:i/>
        </w:rPr>
        <w:t>Plutarch, Cleopatra and the Jews</w:t>
      </w:r>
    </w:p>
    <w:p w14:paraId="26F49C2B" w14:textId="35580ACD" w:rsidR="00FC705D" w:rsidRDefault="00C57F26" w:rsidP="00B35E88">
      <w:pPr>
        <w:spacing w:line="360" w:lineRule="auto"/>
      </w:pPr>
      <w:r>
        <w:t xml:space="preserve">The </w:t>
      </w:r>
      <w:r w:rsidR="001577E5">
        <w:t>final group of</w:t>
      </w:r>
      <w:r>
        <w:t xml:space="preserve"> evidence </w:t>
      </w:r>
      <w:r w:rsidR="0002734C">
        <w:t>to be considered</w:t>
      </w:r>
      <w:r>
        <w:t xml:space="preserve"> come</w:t>
      </w:r>
      <w:r w:rsidR="001577E5">
        <w:t>s</w:t>
      </w:r>
      <w:r>
        <w:t xml:space="preserve"> from</w:t>
      </w:r>
      <w:r w:rsidR="00FC705D">
        <w:t xml:space="preserve"> Plutarch’s </w:t>
      </w:r>
      <w:r w:rsidRPr="00C57F26">
        <w:rPr>
          <w:i/>
        </w:rPr>
        <w:t>Life of Antony</w:t>
      </w:r>
      <w:r>
        <w:t xml:space="preserve">. </w:t>
      </w:r>
      <w:r w:rsidR="00FC705D">
        <w:t xml:space="preserve">A younger contemporary of Josephus, Plutarch is of first importance as a source </w:t>
      </w:r>
      <w:r w:rsidR="00027F92">
        <w:t>for many details of the life of Cleopatra VII</w:t>
      </w:r>
      <w:r>
        <w:t>, including some intriguing passages bearing on the question of the Queen’s relations with individual Jews</w:t>
      </w:r>
      <w:r w:rsidR="00027F92">
        <w:t xml:space="preserve">. </w:t>
      </w:r>
      <w:r w:rsidR="009C3964">
        <w:t xml:space="preserve">The task of interpreting this version of Cleopatra is by no means straightforward. </w:t>
      </w:r>
      <w:r w:rsidR="007A3794">
        <w:t>In his account of Mark Antony, Plutarch’s</w:t>
      </w:r>
      <w:r w:rsidR="00027F92">
        <w:t xml:space="preserve"> portrait of </w:t>
      </w:r>
      <w:r w:rsidR="00E64E25">
        <w:t>Cleopatra</w:t>
      </w:r>
      <w:r w:rsidR="00027F92">
        <w:t xml:space="preserve"> </w:t>
      </w:r>
      <w:r w:rsidR="00CF0239">
        <w:t xml:space="preserve">as enslaving and bewitching Antony </w:t>
      </w:r>
      <w:r w:rsidR="00027F92">
        <w:t xml:space="preserve">is </w:t>
      </w:r>
      <w:r w:rsidR="00EB29EA">
        <w:t xml:space="preserve">clearly </w:t>
      </w:r>
      <w:r w:rsidR="00027F92">
        <w:t xml:space="preserve">shaped by the </w:t>
      </w:r>
      <w:r w:rsidR="0064230D">
        <w:t xml:space="preserve">hostile </w:t>
      </w:r>
      <w:r w:rsidR="00B815B4">
        <w:t>perspective</w:t>
      </w:r>
      <w:r w:rsidR="0064230D">
        <w:t xml:space="preserve"> of Octavian’s propaganda</w:t>
      </w:r>
      <w:r w:rsidR="00631D7E">
        <w:t xml:space="preserve">. </w:t>
      </w:r>
      <w:r w:rsidR="00E64E25">
        <w:t xml:space="preserve">Plutarch’s </w:t>
      </w:r>
      <w:r w:rsidR="00E64E25" w:rsidRPr="00E64E25">
        <w:rPr>
          <w:i/>
        </w:rPr>
        <w:t>Antony</w:t>
      </w:r>
      <w:r w:rsidR="00E64E25">
        <w:t xml:space="preserve"> is</w:t>
      </w:r>
      <w:r w:rsidR="00027F92">
        <w:t xml:space="preserve"> the </w:t>
      </w:r>
      <w:r w:rsidR="00D303DD">
        <w:t xml:space="preserve">story </w:t>
      </w:r>
      <w:r w:rsidR="00027F92">
        <w:t xml:space="preserve">of a </w:t>
      </w:r>
      <w:r w:rsidR="00DC0D29">
        <w:t xml:space="preserve">great </w:t>
      </w:r>
      <w:r w:rsidR="00931EAE">
        <w:t>man who went</w:t>
      </w:r>
      <w:r w:rsidR="00027F92">
        <w:t xml:space="preserve"> wrong</w:t>
      </w:r>
      <w:r w:rsidR="00965E9E">
        <w:t xml:space="preserve"> through </w:t>
      </w:r>
      <w:r w:rsidR="0056050E">
        <w:t>lack of self-</w:t>
      </w:r>
      <w:r w:rsidR="00466283">
        <w:t xml:space="preserve">discipline </w:t>
      </w:r>
      <w:r w:rsidR="0056050E">
        <w:t xml:space="preserve">and submission to </w:t>
      </w:r>
      <w:r w:rsidR="00965E9E">
        <w:t xml:space="preserve">the </w:t>
      </w:r>
      <w:r w:rsidR="0056050E">
        <w:t>control</w:t>
      </w:r>
      <w:r w:rsidR="00965E9E">
        <w:t xml:space="preserve"> of others</w:t>
      </w:r>
      <w:r w:rsidR="001C595F">
        <w:t>,</w:t>
      </w:r>
      <w:r w:rsidR="0092424A">
        <w:t xml:space="preserve"> including his wife Fulvia, who</w:t>
      </w:r>
      <w:r w:rsidR="00FC1B49">
        <w:t xml:space="preserve">se unwomanly desire ‘to rule a ruler’ </w:t>
      </w:r>
      <w:r w:rsidR="0073370C">
        <w:t>helped Cleopatra by establishing</w:t>
      </w:r>
      <w:r w:rsidR="001B6CE5">
        <w:t xml:space="preserve"> ‘the female domination (</w:t>
      </w:r>
      <w:r w:rsidR="001B6CE5">
        <w:rPr>
          <w:lang w:val="el-GR"/>
        </w:rPr>
        <w:t>γυναικοκρατία</w:t>
      </w:r>
      <w:r w:rsidR="00AB1220">
        <w:t>)</w:t>
      </w:r>
      <w:r w:rsidR="00B04641">
        <w:t>’ of Antony</w:t>
      </w:r>
      <w:r w:rsidR="00631D7E">
        <w:t>.</w:t>
      </w:r>
      <w:r w:rsidR="00AB1220">
        <w:rPr>
          <w:rStyle w:val="FootnoteReference"/>
        </w:rPr>
        <w:footnoteReference w:id="127"/>
      </w:r>
      <w:r w:rsidR="00512041">
        <w:t xml:space="preserve"> </w:t>
      </w:r>
      <w:r w:rsidR="00AD05D9">
        <w:t xml:space="preserve">According to Plutarch, </w:t>
      </w:r>
      <w:r w:rsidR="00512041">
        <w:t>Antony’s</w:t>
      </w:r>
      <w:r w:rsidR="00631D7E">
        <w:t xml:space="preserve"> </w:t>
      </w:r>
      <w:r w:rsidR="00512041">
        <w:t>passion</w:t>
      </w:r>
      <w:r w:rsidR="00631D7E">
        <w:t xml:space="preserve"> for Cleopatra rep</w:t>
      </w:r>
      <w:r w:rsidR="00396CE3">
        <w:t>resents the ‘final evil</w:t>
      </w:r>
      <w:r w:rsidR="00382BC6">
        <w:t xml:space="preserve"> (τελευταῖον κακόν)</w:t>
      </w:r>
      <w:r w:rsidR="00631D7E">
        <w:t xml:space="preserve">’ in the story of </w:t>
      </w:r>
      <w:r w:rsidR="00E16786">
        <w:t xml:space="preserve">the Roman’s </w:t>
      </w:r>
      <w:r w:rsidR="00631D7E">
        <w:t>downfall</w:t>
      </w:r>
      <w:r w:rsidR="00357BEE">
        <w:t>.</w:t>
      </w:r>
      <w:r w:rsidR="00512041">
        <w:rPr>
          <w:rStyle w:val="FootnoteReference"/>
        </w:rPr>
        <w:footnoteReference w:id="128"/>
      </w:r>
      <w:r w:rsidR="00D303DD">
        <w:t xml:space="preserve"> </w:t>
      </w:r>
      <w:r w:rsidR="00965E9E">
        <w:t xml:space="preserve">Plutarch’s </w:t>
      </w:r>
      <w:r w:rsidR="00595CB7">
        <w:t xml:space="preserve">account is </w:t>
      </w:r>
      <w:r w:rsidR="00CA6F13">
        <w:t xml:space="preserve">nevertheless </w:t>
      </w:r>
      <w:r w:rsidR="00595CB7">
        <w:t>valuable</w:t>
      </w:r>
      <w:r w:rsidR="005C112C">
        <w:t xml:space="preserve"> </w:t>
      </w:r>
      <w:r w:rsidR="00846AC4">
        <w:t xml:space="preserve">not only </w:t>
      </w:r>
      <w:r w:rsidR="0041018B">
        <w:t>for</w:t>
      </w:r>
      <w:r w:rsidR="00476895">
        <w:t xml:space="preserve"> confirm</w:t>
      </w:r>
      <w:r w:rsidR="00D4505A">
        <w:t xml:space="preserve">ing </w:t>
      </w:r>
      <w:r w:rsidR="00846AC4">
        <w:t xml:space="preserve">the enduring power of </w:t>
      </w:r>
      <w:r w:rsidR="00B8622D">
        <w:t xml:space="preserve">the negative </w:t>
      </w:r>
      <w:r w:rsidR="00846AC4">
        <w:t>propaganda</w:t>
      </w:r>
      <w:r w:rsidR="00B8622D">
        <w:t xml:space="preserve"> against Antony and Cleopatra</w:t>
      </w:r>
      <w:r w:rsidR="00846AC4">
        <w:t xml:space="preserve">, but also for what it offers by way of alternative viewpoints, </w:t>
      </w:r>
      <w:r w:rsidR="00B87B5D">
        <w:t>i</w:t>
      </w:r>
      <w:r w:rsidR="0064230D">
        <w:t xml:space="preserve">ncluding </w:t>
      </w:r>
      <w:r w:rsidR="00846AC4">
        <w:t xml:space="preserve">reports </w:t>
      </w:r>
      <w:r w:rsidR="008E6D98">
        <w:t xml:space="preserve">by those who </w:t>
      </w:r>
      <w:r w:rsidR="00211DBC">
        <w:t>apparently witnessed first-hand the activities and appearance of the Queen</w:t>
      </w:r>
      <w:r w:rsidR="00595CB7">
        <w:t>.</w:t>
      </w:r>
      <w:r w:rsidR="003D3D03">
        <w:rPr>
          <w:rStyle w:val="FootnoteReference"/>
        </w:rPr>
        <w:footnoteReference w:id="129"/>
      </w:r>
      <w:r w:rsidR="00595CB7">
        <w:t xml:space="preserve"> </w:t>
      </w:r>
      <w:r w:rsidR="007E47A0">
        <w:t xml:space="preserve">To the last category belongs the </w:t>
      </w:r>
      <w:r w:rsidR="006C0550">
        <w:t xml:space="preserve">following </w:t>
      </w:r>
      <w:r w:rsidR="007E47A0">
        <w:t>well-known anecdote about Cleopat</w:t>
      </w:r>
      <w:r w:rsidR="005715A5">
        <w:t xml:space="preserve">ra’s multilingual skills, </w:t>
      </w:r>
      <w:r w:rsidR="00B21BDC">
        <w:t xml:space="preserve">which, among other things, are </w:t>
      </w:r>
      <w:r w:rsidR="005715A5">
        <w:t xml:space="preserve">said to have </w:t>
      </w:r>
      <w:r w:rsidR="007E47A0">
        <w:t xml:space="preserve">included </w:t>
      </w:r>
      <w:r w:rsidR="00113D2B">
        <w:t>her</w:t>
      </w:r>
      <w:r w:rsidR="007E47A0">
        <w:t xml:space="preserve"> ability to speak to ‘Hebrews’ without an interpreter</w:t>
      </w:r>
      <w:r w:rsidR="003C0330">
        <w:t>:</w:t>
      </w:r>
      <w:r w:rsidR="00313549">
        <w:rPr>
          <w:rStyle w:val="FootnoteReference"/>
        </w:rPr>
        <w:footnoteReference w:id="130"/>
      </w:r>
    </w:p>
    <w:p w14:paraId="5DC75741" w14:textId="77777777" w:rsidR="003C0330" w:rsidRDefault="003C0330" w:rsidP="00B35E88">
      <w:pPr>
        <w:spacing w:line="360" w:lineRule="auto"/>
      </w:pPr>
    </w:p>
    <w:p w14:paraId="2185DA5B" w14:textId="76A47B64" w:rsidR="003C0330" w:rsidRDefault="003C0330" w:rsidP="003C0330">
      <w:pPr>
        <w:spacing w:line="360" w:lineRule="auto"/>
      </w:pPr>
      <w:r>
        <w:tab/>
        <w:t xml:space="preserve">There was pleasure even in the sound of her voice, and her tongue, like an </w:t>
      </w:r>
      <w:r>
        <w:tab/>
        <w:t>instrument of many strings, she could easily turn to</w:t>
      </w:r>
      <w:r w:rsidR="002E538F">
        <w:t xml:space="preserve"> </w:t>
      </w:r>
      <w:r>
        <w:t xml:space="preserve">whatever kind of </w:t>
      </w:r>
      <w:r>
        <w:tab/>
        <w:t xml:space="preserve">language she wished, so that with barbarians she very rarely conversed </w:t>
      </w:r>
      <w:r>
        <w:tab/>
        <w:t xml:space="preserve">through an interpreter, but gave her answers to most of them herself and in her </w:t>
      </w:r>
      <w:r>
        <w:tab/>
        <w:t>own person, whether Ethiopians, Trôgodytes, Hebrews</w:t>
      </w:r>
      <w:r w:rsidR="00DD274D">
        <w:t xml:space="preserve"> (</w:t>
      </w:r>
      <w:r w:rsidR="00DD274D" w:rsidRPr="000D5779">
        <w:rPr>
          <w:i/>
        </w:rPr>
        <w:t>Hebraioi</w:t>
      </w:r>
      <w:r w:rsidR="00DD274D">
        <w:t>)</w:t>
      </w:r>
      <w:r>
        <w:t xml:space="preserve">, Arabians, </w:t>
      </w:r>
      <w:r w:rsidR="00DD274D">
        <w:tab/>
        <w:t xml:space="preserve">Syrians, </w:t>
      </w:r>
      <w:r>
        <w:t xml:space="preserve">Medes or Parthians. It is said that she knew the languages of many </w:t>
      </w:r>
      <w:r w:rsidR="00DD274D">
        <w:tab/>
        <w:t xml:space="preserve">other </w:t>
      </w:r>
      <w:r>
        <w:t xml:space="preserve">peoples too, though the monarchs before her did not even trouble </w:t>
      </w:r>
      <w:r w:rsidR="00DD274D">
        <w:tab/>
      </w:r>
      <w:r>
        <w:t xml:space="preserve">themselves to learn the Egyptian language, and some of them had even </w:t>
      </w:r>
      <w:r w:rsidR="00DD274D">
        <w:tab/>
      </w:r>
      <w:r>
        <w:t>abandoned speaking Macedonian.</w:t>
      </w:r>
      <w:r>
        <w:rPr>
          <w:rStyle w:val="FootnoteReference"/>
        </w:rPr>
        <w:footnoteReference w:id="131"/>
      </w:r>
    </w:p>
    <w:p w14:paraId="05471D9D" w14:textId="1447CCBB" w:rsidR="003C0330" w:rsidRDefault="003C0330" w:rsidP="00B35E88">
      <w:pPr>
        <w:spacing w:line="360" w:lineRule="auto"/>
      </w:pPr>
    </w:p>
    <w:p w14:paraId="467FDB2E" w14:textId="62913A37" w:rsidR="00BB585B" w:rsidRDefault="002A522B" w:rsidP="002A522B">
      <w:pPr>
        <w:spacing w:line="360" w:lineRule="auto"/>
      </w:pPr>
      <w:r>
        <w:t>This statement finds its place within Plutarch’s</w:t>
      </w:r>
      <w:r w:rsidR="004177B1">
        <w:t xml:space="preserve"> </w:t>
      </w:r>
      <w:r w:rsidR="002E3BFA">
        <w:t xml:space="preserve">spectacular </w:t>
      </w:r>
      <w:r w:rsidR="004177B1">
        <w:t>description of Antony</w:t>
      </w:r>
      <w:r w:rsidR="00B232FF">
        <w:t>’s first meeting with Cleopatra</w:t>
      </w:r>
      <w:r w:rsidR="004177B1">
        <w:t xml:space="preserve"> at Tarsus </w:t>
      </w:r>
      <w:r w:rsidR="00B232FF">
        <w:t>(</w:t>
      </w:r>
      <w:r w:rsidR="004177B1">
        <w:t>41 BCE</w:t>
      </w:r>
      <w:r w:rsidR="00B232FF">
        <w:t>)</w:t>
      </w:r>
      <w:r w:rsidR="004177B1">
        <w:t xml:space="preserve">, to which the </w:t>
      </w:r>
      <w:r w:rsidR="00C20684">
        <w:t xml:space="preserve">triumvir </w:t>
      </w:r>
      <w:r w:rsidR="004177B1">
        <w:t>had summoned the Queen to test her loyalties</w:t>
      </w:r>
      <w:r w:rsidR="000B5CBC">
        <w:t xml:space="preserve"> in the context of the struggle for power in Rome after the assassination of Julius Caesar</w:t>
      </w:r>
      <w:r w:rsidR="004177B1">
        <w:t>.</w:t>
      </w:r>
      <w:r w:rsidR="00382BC6">
        <w:rPr>
          <w:rStyle w:val="FootnoteReference"/>
        </w:rPr>
        <w:footnoteReference w:id="132"/>
      </w:r>
      <w:r w:rsidR="004177B1">
        <w:t xml:space="preserve"> </w:t>
      </w:r>
      <w:r w:rsidR="008121F0">
        <w:t xml:space="preserve">Here, however, </w:t>
      </w:r>
      <w:r w:rsidR="00060C08">
        <w:t>Plutarch’s interest</w:t>
      </w:r>
      <w:r w:rsidR="00151BF8">
        <w:t xml:space="preserve"> </w:t>
      </w:r>
      <w:r w:rsidR="00060C08">
        <w:t xml:space="preserve">is </w:t>
      </w:r>
      <w:r w:rsidR="008121F0">
        <w:t xml:space="preserve">less </w:t>
      </w:r>
      <w:r w:rsidR="00060C08">
        <w:t>in the politics</w:t>
      </w:r>
      <w:r w:rsidR="008121F0">
        <w:t xml:space="preserve"> than </w:t>
      </w:r>
      <w:r w:rsidR="00060C08">
        <w:t xml:space="preserve">the impact of </w:t>
      </w:r>
      <w:r w:rsidR="003F4B67">
        <w:t>Cleopatra</w:t>
      </w:r>
      <w:r w:rsidR="00060C08">
        <w:t xml:space="preserve"> on Antony</w:t>
      </w:r>
      <w:r w:rsidR="003F4B67">
        <w:t>’s mental state</w:t>
      </w:r>
      <w:r w:rsidR="0033364E">
        <w:t>. Thus, according to Plutarch, this meeting serves to explain</w:t>
      </w:r>
      <w:r w:rsidR="00060C08">
        <w:t xml:space="preserve"> how </w:t>
      </w:r>
      <w:r w:rsidR="0042700F">
        <w:t>Antony</w:t>
      </w:r>
      <w:r w:rsidR="00060C08">
        <w:t xml:space="preserve"> was </w:t>
      </w:r>
      <w:r w:rsidR="00BD48DA">
        <w:t>‘</w:t>
      </w:r>
      <w:r w:rsidR="00410170">
        <w:t>taken prisoner</w:t>
      </w:r>
      <w:r w:rsidR="00BD48DA">
        <w:t xml:space="preserve"> (</w:t>
      </w:r>
      <w:r w:rsidR="00410170">
        <w:rPr>
          <w:lang w:val="el-GR"/>
        </w:rPr>
        <w:t>ἁλίσκεται</w:t>
      </w:r>
      <w:r w:rsidR="0033364E">
        <w:t>)’</w:t>
      </w:r>
      <w:r w:rsidR="003A6557">
        <w:t>;</w:t>
      </w:r>
      <w:r w:rsidR="007120CD">
        <w:rPr>
          <w:rStyle w:val="FootnoteReference"/>
        </w:rPr>
        <w:footnoteReference w:id="133"/>
      </w:r>
      <w:r w:rsidR="00060C08">
        <w:t xml:space="preserve"> </w:t>
      </w:r>
      <w:r w:rsidR="003A6557">
        <w:t xml:space="preserve">how </w:t>
      </w:r>
      <w:r w:rsidR="0042700F">
        <w:t>Cleopatra</w:t>
      </w:r>
      <w:r w:rsidR="003A6557">
        <w:t xml:space="preserve"> ‘overpowered</w:t>
      </w:r>
      <w:r w:rsidR="00F128BE">
        <w:t xml:space="preserve"> </w:t>
      </w:r>
      <w:r w:rsidR="00F128BE" w:rsidRPr="00F93697">
        <w:t>(</w:t>
      </w:r>
      <w:r w:rsidR="00F93697" w:rsidRPr="00F93697">
        <w:t>ἥρπασεν</w:t>
      </w:r>
      <w:r w:rsidR="00F128BE" w:rsidRPr="00F93697">
        <w:t>)</w:t>
      </w:r>
      <w:r w:rsidR="003A6557" w:rsidRPr="00F93697">
        <w:t>’</w:t>
      </w:r>
      <w:r w:rsidR="003A6557">
        <w:t xml:space="preserve"> him</w:t>
      </w:r>
      <w:r w:rsidR="00313864">
        <w:t>,</w:t>
      </w:r>
      <w:r w:rsidR="002D0DA9">
        <w:t xml:space="preserve"> </w:t>
      </w:r>
      <w:r w:rsidR="00AA37C7">
        <w:t>hurrying</w:t>
      </w:r>
      <w:r w:rsidR="002D0DA9">
        <w:t xml:space="preserve"> him </w:t>
      </w:r>
      <w:r w:rsidR="00AA37C7">
        <w:t xml:space="preserve">away </w:t>
      </w:r>
      <w:r w:rsidR="002D0DA9">
        <w:t xml:space="preserve">from Tarsus </w:t>
      </w:r>
      <w:r w:rsidR="00AA37C7">
        <w:t xml:space="preserve">and his duties in Rome </w:t>
      </w:r>
      <w:r w:rsidR="002D0DA9">
        <w:t xml:space="preserve">to </w:t>
      </w:r>
      <w:r w:rsidR="005C5197">
        <w:t xml:space="preserve">join her in </w:t>
      </w:r>
      <w:r w:rsidR="002D0DA9">
        <w:t>Alexandria</w:t>
      </w:r>
      <w:r w:rsidR="003A6557">
        <w:t>.</w:t>
      </w:r>
      <w:r w:rsidR="003A6557">
        <w:rPr>
          <w:rStyle w:val="FootnoteReference"/>
        </w:rPr>
        <w:footnoteReference w:id="134"/>
      </w:r>
      <w:r w:rsidR="003A6557">
        <w:t xml:space="preserve"> </w:t>
      </w:r>
      <w:r w:rsidR="00551A2F">
        <w:t xml:space="preserve"> </w:t>
      </w:r>
    </w:p>
    <w:p w14:paraId="13C7F125" w14:textId="0DA33224" w:rsidR="00272752" w:rsidRDefault="00BB585B" w:rsidP="00B35E88">
      <w:pPr>
        <w:spacing w:line="360" w:lineRule="auto"/>
      </w:pPr>
      <w:r>
        <w:tab/>
      </w:r>
      <w:r w:rsidR="00702711">
        <w:t xml:space="preserve">How then to explain this captivating power over Antony? </w:t>
      </w:r>
      <w:r w:rsidR="008E24FB">
        <w:t xml:space="preserve">In our passage, </w:t>
      </w:r>
      <w:r w:rsidR="005764A5">
        <w:t>Plutarch’</w:t>
      </w:r>
      <w:r w:rsidR="00A9217B">
        <w:t xml:space="preserve">s rationale </w:t>
      </w:r>
      <w:r w:rsidR="005764A5">
        <w:t>appeal</w:t>
      </w:r>
      <w:r w:rsidR="00A9217B">
        <w:t>s</w:t>
      </w:r>
      <w:r w:rsidR="005764A5">
        <w:t xml:space="preserve"> to the testimony of those who saw and heard Cleopatra. In terms of the queen’s appearance, </w:t>
      </w:r>
      <w:r w:rsidR="0025447D">
        <w:t xml:space="preserve">Plutarch cites others as confirming </w:t>
      </w:r>
      <w:r w:rsidR="00CD32AA">
        <w:t xml:space="preserve">(‘as they say’) </w:t>
      </w:r>
      <w:r w:rsidR="0025447D">
        <w:t>that</w:t>
      </w:r>
      <w:r w:rsidR="005764A5">
        <w:t xml:space="preserve"> </w:t>
      </w:r>
      <w:r w:rsidR="00697367">
        <w:t xml:space="preserve">Cleopatra’s beauty was </w:t>
      </w:r>
      <w:r w:rsidR="00BF7B9A">
        <w:t xml:space="preserve">not </w:t>
      </w:r>
      <w:r w:rsidR="00B719B7">
        <w:t xml:space="preserve">wholly </w:t>
      </w:r>
      <w:r w:rsidR="006C616D">
        <w:t>‘</w:t>
      </w:r>
      <w:r w:rsidR="00B719B7">
        <w:t>incomparable (</w:t>
      </w:r>
      <w:r w:rsidR="00697367">
        <w:t>οὐ πάνυ δυσπαράβλητον</w:t>
      </w:r>
      <w:r w:rsidR="00B719B7">
        <w:t>)</w:t>
      </w:r>
      <w:r w:rsidR="00BF7B9A">
        <w:t>’</w:t>
      </w:r>
      <w:r w:rsidR="00697367">
        <w:t>;</w:t>
      </w:r>
      <w:r w:rsidR="001A79ED">
        <w:rPr>
          <w:rStyle w:val="FootnoteReference"/>
        </w:rPr>
        <w:footnoteReference w:id="135"/>
      </w:r>
      <w:r w:rsidR="00697367">
        <w:t xml:space="preserve"> </w:t>
      </w:r>
      <w:r w:rsidR="0025447D">
        <w:t xml:space="preserve">on the other hand, he reports </w:t>
      </w:r>
      <w:r w:rsidR="00A21547">
        <w:t xml:space="preserve">(‘it is said’) </w:t>
      </w:r>
      <w:r w:rsidR="00A81956">
        <w:t xml:space="preserve">that </w:t>
      </w:r>
      <w:r w:rsidR="00697367">
        <w:t>her over</w:t>
      </w:r>
      <w:r w:rsidR="00EB08FA">
        <w:t>powering</w:t>
      </w:r>
      <w:r w:rsidR="00697367">
        <w:t xml:space="preserve"> attractiveness lay rather</w:t>
      </w:r>
      <w:r w:rsidR="0025447D">
        <w:t xml:space="preserve"> </w:t>
      </w:r>
      <w:r w:rsidR="00697367">
        <w:t xml:space="preserve">in </w:t>
      </w:r>
      <w:r w:rsidR="006460E3">
        <w:t xml:space="preserve">her remarkable </w:t>
      </w:r>
      <w:r w:rsidR="00D91362">
        <w:t>interaction</w:t>
      </w:r>
      <w:r w:rsidR="00697367">
        <w:t xml:space="preserve"> with </w:t>
      </w:r>
      <w:r w:rsidR="007F54B8">
        <w:t>all those she encountered</w:t>
      </w:r>
      <w:r>
        <w:t>.</w:t>
      </w:r>
      <w:r w:rsidR="007F54B8">
        <w:rPr>
          <w:rStyle w:val="FootnoteReference"/>
        </w:rPr>
        <w:footnoteReference w:id="136"/>
      </w:r>
      <w:r w:rsidR="00C141D9">
        <w:t xml:space="preserve"> While</w:t>
      </w:r>
      <w:r w:rsidR="00697367">
        <w:t xml:space="preserve"> </w:t>
      </w:r>
      <w:r w:rsidR="00366F01">
        <w:t>Plutarch</w:t>
      </w:r>
      <w:r w:rsidR="00697367">
        <w:t xml:space="preserve">’s primary purpose </w:t>
      </w:r>
      <w:r w:rsidR="00C141D9">
        <w:t xml:space="preserve">in this context </w:t>
      </w:r>
      <w:r w:rsidR="00697367">
        <w:t>is to explain Cleopatra’s power over Antony,</w:t>
      </w:r>
      <w:r w:rsidR="00C65EE7">
        <w:t xml:space="preserve"> </w:t>
      </w:r>
      <w:r w:rsidR="00697367">
        <w:t xml:space="preserve">the description of the </w:t>
      </w:r>
      <w:r w:rsidR="00937640">
        <w:t>Q</w:t>
      </w:r>
      <w:r w:rsidR="00697367">
        <w:t xml:space="preserve">ueen, from unnamed sources, </w:t>
      </w:r>
      <w:r w:rsidR="00CF11A8">
        <w:t xml:space="preserve">may </w:t>
      </w:r>
      <w:r w:rsidR="00366F01">
        <w:t xml:space="preserve">offer </w:t>
      </w:r>
      <w:r w:rsidR="00C65EE7">
        <w:t>a rare insight into the ‘real’ Cleopatra, at work</w:t>
      </w:r>
      <w:r w:rsidR="00C141D9">
        <w:t xml:space="preserve"> in</w:t>
      </w:r>
      <w:r w:rsidR="002A0417">
        <w:t xml:space="preserve"> her personal </w:t>
      </w:r>
      <w:r w:rsidR="00C141D9">
        <w:t>diplomacy</w:t>
      </w:r>
      <w:r w:rsidR="002A0417">
        <w:t xml:space="preserve"> </w:t>
      </w:r>
      <w:r w:rsidR="009D3A3F">
        <w:t>with Egypt’s neighbouring peoples; it is also offers significant evidence about Cleopatra’s identification with Egypt, with the</w:t>
      </w:r>
      <w:r w:rsidR="002A0417">
        <w:t xml:space="preserve"> strong suggestion that she </w:t>
      </w:r>
      <w:r w:rsidR="002B276F">
        <w:t>was fluent in</w:t>
      </w:r>
      <w:r w:rsidR="002A0417">
        <w:t xml:space="preserve"> Egyptian, the language of </w:t>
      </w:r>
      <w:r w:rsidR="002A35B3">
        <w:t>the vast majority of her subjects</w:t>
      </w:r>
      <w:r w:rsidR="002A0417">
        <w:t>.</w:t>
      </w:r>
      <w:r w:rsidR="00272752">
        <w:rPr>
          <w:rStyle w:val="FootnoteReference"/>
        </w:rPr>
        <w:footnoteReference w:id="137"/>
      </w:r>
    </w:p>
    <w:p w14:paraId="3147F4C7" w14:textId="136EAEA8" w:rsidR="00BC443E" w:rsidRDefault="00545CBE" w:rsidP="00B35E88">
      <w:pPr>
        <w:spacing w:line="360" w:lineRule="auto"/>
      </w:pPr>
      <w:r>
        <w:tab/>
      </w:r>
      <w:r w:rsidR="00645DB3">
        <w:t>In Plutarch’s report, the</w:t>
      </w:r>
      <w:r>
        <w:t xml:space="preserve"> list of</w:t>
      </w:r>
      <w:r w:rsidR="00607643">
        <w:t xml:space="preserve"> </w:t>
      </w:r>
      <w:r>
        <w:t>‘</w:t>
      </w:r>
      <w:r w:rsidR="00607643">
        <w:t>barbarian</w:t>
      </w:r>
      <w:r>
        <w:t>s’ (</w:t>
      </w:r>
      <w:r w:rsidR="00607643">
        <w:t>non-Greek speaking</w:t>
      </w:r>
      <w:r>
        <w:t xml:space="preserve"> </w:t>
      </w:r>
      <w:r w:rsidR="00645DB3">
        <w:t>peoples</w:t>
      </w:r>
      <w:r>
        <w:t xml:space="preserve">) with whom the </w:t>
      </w:r>
      <w:r w:rsidR="00557FFC">
        <w:t>Q</w:t>
      </w:r>
      <w:r>
        <w:t xml:space="preserve">ueen is said to have spoken </w:t>
      </w:r>
      <w:r w:rsidR="00645DB3">
        <w:t>correspond</w:t>
      </w:r>
      <w:r>
        <w:t>s</w:t>
      </w:r>
      <w:r w:rsidR="00645DB3">
        <w:t xml:space="preserve"> to regions in which the Ptolemaic monarchy had long-standing interests; the</w:t>
      </w:r>
      <w:r w:rsidR="002A085D">
        <w:t>se peoples</w:t>
      </w:r>
      <w:r w:rsidR="00645DB3">
        <w:t xml:space="preserve"> represent the importance of diplomacy for the </w:t>
      </w:r>
      <w:r w:rsidR="006F7F06">
        <w:t>Q</w:t>
      </w:r>
      <w:r w:rsidR="00645DB3">
        <w:t>ueen</w:t>
      </w:r>
      <w:r>
        <w:t xml:space="preserve">, </w:t>
      </w:r>
      <w:r w:rsidR="00AD3441">
        <w:t xml:space="preserve">particularly </w:t>
      </w:r>
      <w:r>
        <w:t>on behalf of Antony</w:t>
      </w:r>
      <w:r w:rsidR="007D3072">
        <w:t xml:space="preserve"> and his</w:t>
      </w:r>
      <w:r>
        <w:t xml:space="preserve"> campaigns in the East</w:t>
      </w:r>
      <w:r w:rsidR="00645DB3">
        <w:t>.</w:t>
      </w:r>
      <w:r w:rsidR="00E7260E">
        <w:rPr>
          <w:rStyle w:val="FootnoteReference"/>
        </w:rPr>
        <w:footnoteReference w:id="138"/>
      </w:r>
      <w:r w:rsidR="00645DB3">
        <w:t xml:space="preserve"> </w:t>
      </w:r>
      <w:r w:rsidR="007C1979">
        <w:t xml:space="preserve">As Duane Roller observes, the </w:t>
      </w:r>
      <w:r w:rsidR="00366F01">
        <w:t xml:space="preserve">details </w:t>
      </w:r>
      <w:r w:rsidR="00D82AF2">
        <w:t xml:space="preserve">may </w:t>
      </w:r>
      <w:r w:rsidR="007C1979">
        <w:t xml:space="preserve">also </w:t>
      </w:r>
      <w:r w:rsidR="00D82AF2">
        <w:t>be indicative of</w:t>
      </w:r>
      <w:r w:rsidR="00366F01">
        <w:t xml:space="preserve"> Cleopatra’s intellectual interests: the learned ruler </w:t>
      </w:r>
      <w:r w:rsidR="00645DB3">
        <w:t xml:space="preserve">represents an ideal </w:t>
      </w:r>
      <w:r w:rsidR="00366F01">
        <w:t>of Hellenistic monarchy (male),</w:t>
      </w:r>
      <w:r w:rsidR="00D31009">
        <w:rPr>
          <w:rStyle w:val="FootnoteReference"/>
        </w:rPr>
        <w:footnoteReference w:id="139"/>
      </w:r>
      <w:r w:rsidR="00366F01">
        <w:t xml:space="preserve"> </w:t>
      </w:r>
      <w:r w:rsidR="00AC25B6">
        <w:t xml:space="preserve">and </w:t>
      </w:r>
      <w:r w:rsidR="00366F01">
        <w:t>one that Cleopa</w:t>
      </w:r>
      <w:r w:rsidR="003123CC">
        <w:t xml:space="preserve">tra </w:t>
      </w:r>
      <w:r w:rsidR="00255614">
        <w:t>seems to</w:t>
      </w:r>
      <w:r w:rsidR="00A84676">
        <w:t xml:space="preserve"> </w:t>
      </w:r>
      <w:r w:rsidR="003123CC">
        <w:t>have embraced</w:t>
      </w:r>
      <w:r w:rsidR="00D920E2">
        <w:t xml:space="preserve"> if we follow Roller’s careful</w:t>
      </w:r>
      <w:r w:rsidR="007C1979">
        <w:t>ly constructed</w:t>
      </w:r>
      <w:r w:rsidR="00D920E2">
        <w:t xml:space="preserve"> evaluation of the young </w:t>
      </w:r>
      <w:r w:rsidR="00405D5B">
        <w:t>Q</w:t>
      </w:r>
      <w:r w:rsidR="00D920E2">
        <w:t>ueen as ‘a remarkably educated person’.</w:t>
      </w:r>
      <w:r w:rsidR="00544149">
        <w:rPr>
          <w:rStyle w:val="FootnoteReference"/>
        </w:rPr>
        <w:footnoteReference w:id="140"/>
      </w:r>
      <w:r w:rsidR="0076629A">
        <w:t xml:space="preserve"> </w:t>
      </w:r>
    </w:p>
    <w:p w14:paraId="66C1B37B" w14:textId="09C9CDF7" w:rsidR="00175942" w:rsidRDefault="00BC443E" w:rsidP="00B35E88">
      <w:pPr>
        <w:spacing w:line="360" w:lineRule="auto"/>
      </w:pPr>
      <w:r>
        <w:tab/>
      </w:r>
      <w:r w:rsidR="00D11D26">
        <w:t>That Cleopatra is said to have spoken with ‘</w:t>
      </w:r>
      <w:r w:rsidR="00D11D26" w:rsidRPr="0001085A">
        <w:rPr>
          <w:i/>
        </w:rPr>
        <w:t>Hebraioi</w:t>
      </w:r>
      <w:r w:rsidR="0001085A">
        <w:t xml:space="preserve"> (Hebrews)</w:t>
      </w:r>
      <w:r w:rsidR="00D11D26">
        <w:t xml:space="preserve">’ in their own </w:t>
      </w:r>
      <w:r w:rsidR="0064711F">
        <w:t xml:space="preserve">language has been interpreted as </w:t>
      </w:r>
      <w:r w:rsidR="00AB136D">
        <w:t>a sign</w:t>
      </w:r>
      <w:r w:rsidR="0064711F">
        <w:t xml:space="preserve"> of her favour towards Jews.</w:t>
      </w:r>
      <w:r w:rsidR="00414803">
        <w:rPr>
          <w:rStyle w:val="FootnoteReference"/>
        </w:rPr>
        <w:footnoteReference w:id="141"/>
      </w:r>
      <w:r w:rsidR="0064711F">
        <w:t xml:space="preserve"> That judgment goes beyond the evidence of Plutarch’s text, which confirms (if we believe the report) only that the Queen had taken the trouble to learn enough of their language to speak directly with </w:t>
      </w:r>
      <w:r w:rsidR="00E51247">
        <w:t>‘</w:t>
      </w:r>
      <w:r w:rsidR="0064711F">
        <w:t>Hebrews</w:t>
      </w:r>
      <w:r w:rsidR="00E51247">
        <w:t>’</w:t>
      </w:r>
      <w:r w:rsidR="0064711F">
        <w:t xml:space="preserve"> </w:t>
      </w:r>
      <w:r w:rsidR="00CA5D74">
        <w:t>and</w:t>
      </w:r>
      <w:r w:rsidR="0064711F">
        <w:t xml:space="preserve"> a number of other barbarian peoples. It does not prove the Queen’s favour or particular friendship</w:t>
      </w:r>
      <w:r w:rsidR="00561D0C">
        <w:t xml:space="preserve"> towards any particular group</w:t>
      </w:r>
      <w:r w:rsidR="002E2FD5">
        <w:t>,</w:t>
      </w:r>
      <w:r w:rsidR="00561D0C">
        <w:t xml:space="preserve"> though </w:t>
      </w:r>
      <w:r w:rsidR="00CD215F">
        <w:t>it at least</w:t>
      </w:r>
      <w:r w:rsidR="00561D0C">
        <w:t xml:space="preserve"> suggests that she sought alliances with these peoples</w:t>
      </w:r>
      <w:r w:rsidR="0064711F">
        <w:t xml:space="preserve">. </w:t>
      </w:r>
    </w:p>
    <w:p w14:paraId="54B086AC" w14:textId="224DB0DC" w:rsidR="001641D8" w:rsidRDefault="00175942" w:rsidP="00B35E88">
      <w:pPr>
        <w:spacing w:line="360" w:lineRule="auto"/>
      </w:pPr>
      <w:r>
        <w:tab/>
      </w:r>
      <w:r w:rsidR="00966B33">
        <w:t xml:space="preserve">What </w:t>
      </w:r>
      <w:r w:rsidR="007657B0">
        <w:t>Plutarch mean</w:t>
      </w:r>
      <w:r>
        <w:t>s</w:t>
      </w:r>
      <w:r w:rsidR="007657B0">
        <w:t xml:space="preserve"> here by</w:t>
      </w:r>
      <w:r w:rsidR="00D11892">
        <w:t xml:space="preserve"> </w:t>
      </w:r>
      <w:r w:rsidR="007657B0" w:rsidRPr="007657B0">
        <w:rPr>
          <w:i/>
        </w:rPr>
        <w:t>Hebraioi</w:t>
      </w:r>
      <w:r>
        <w:t xml:space="preserve"> is not clear-cut and deserves brief comment.</w:t>
      </w:r>
      <w:r w:rsidR="00174B33">
        <w:rPr>
          <w:rStyle w:val="FootnoteReference"/>
        </w:rPr>
        <w:footnoteReference w:id="142"/>
      </w:r>
      <w:r w:rsidR="00D11892">
        <w:t xml:space="preserve"> </w:t>
      </w:r>
      <w:r w:rsidR="006566A7">
        <w:t xml:space="preserve">Elsewhere in Plutarch’s writings, he refers only once to the </w:t>
      </w:r>
      <w:r w:rsidR="006566A7" w:rsidRPr="005A7AE6">
        <w:rPr>
          <w:i/>
        </w:rPr>
        <w:t>Hebraioi</w:t>
      </w:r>
      <w:r w:rsidR="006566A7">
        <w:t xml:space="preserve">, their ‘secret rituals’ a topic of one of several questions about the practices and beliefs of the Jews, discussed at a symposium </w:t>
      </w:r>
      <w:r w:rsidR="00BD0917">
        <w:t>(narrated by Plutarch, who presents himself as participant)</w:t>
      </w:r>
      <w:r w:rsidR="001641D8">
        <w:t xml:space="preserve"> </w:t>
      </w:r>
      <w:r w:rsidR="003E2427">
        <w:t xml:space="preserve">whose participants </w:t>
      </w:r>
      <w:r w:rsidR="009F0116">
        <w:t>a</w:t>
      </w:r>
      <w:r w:rsidR="003E2427">
        <w:t>ppear</w:t>
      </w:r>
      <w:r w:rsidR="009F0116">
        <w:t xml:space="preserve"> neither positive nor </w:t>
      </w:r>
      <w:r w:rsidR="005A7AE6">
        <w:t xml:space="preserve">particularly </w:t>
      </w:r>
      <w:r w:rsidR="00B3179C">
        <w:t>well</w:t>
      </w:r>
      <w:r w:rsidR="00962575">
        <w:t xml:space="preserve"> </w:t>
      </w:r>
      <w:r w:rsidR="009F0116">
        <w:t xml:space="preserve">informed about </w:t>
      </w:r>
      <w:r w:rsidR="005A7AE6">
        <w:t>the culture of the Jews</w:t>
      </w:r>
      <w:r w:rsidR="006566A7">
        <w:t>.</w:t>
      </w:r>
      <w:r w:rsidR="005A7AE6">
        <w:rPr>
          <w:rStyle w:val="FootnoteReference"/>
        </w:rPr>
        <w:footnoteReference w:id="143"/>
      </w:r>
      <w:r w:rsidR="005A7AE6">
        <w:t xml:space="preserve"> Elements of </w:t>
      </w:r>
      <w:r w:rsidR="003E6A4A">
        <w:t>their</w:t>
      </w:r>
      <w:r w:rsidR="005A7AE6">
        <w:t xml:space="preserve"> description of Jewish practices are clearly derived from a source, and that same source may be responsible for the use of the term </w:t>
      </w:r>
      <w:r w:rsidR="005A7AE6" w:rsidRPr="005A7AE6">
        <w:rPr>
          <w:i/>
        </w:rPr>
        <w:t>Hebraioi</w:t>
      </w:r>
      <w:r w:rsidR="005A7AE6">
        <w:t>.</w:t>
      </w:r>
      <w:r w:rsidR="00BC5970">
        <w:rPr>
          <w:rStyle w:val="FootnoteReference"/>
        </w:rPr>
        <w:footnoteReference w:id="144"/>
      </w:r>
      <w:r w:rsidR="00943390">
        <w:t xml:space="preserve"> </w:t>
      </w:r>
      <w:r w:rsidR="00DB4FA1">
        <w:t xml:space="preserve">In the same context, Plutarch’s symposiasts </w:t>
      </w:r>
      <w:r w:rsidR="00943390">
        <w:t xml:space="preserve">also </w:t>
      </w:r>
      <w:r w:rsidR="00DB4FA1">
        <w:t>refer</w:t>
      </w:r>
      <w:r w:rsidR="00110ADF">
        <w:t xml:space="preserve"> </w:t>
      </w:r>
      <w:r w:rsidR="00DB4FA1">
        <w:t xml:space="preserve">to the </w:t>
      </w:r>
      <w:r w:rsidR="00DB4FA1" w:rsidRPr="00DB4FA1">
        <w:rPr>
          <w:i/>
        </w:rPr>
        <w:t>Ioudaioi</w:t>
      </w:r>
      <w:r w:rsidR="00DB4FA1">
        <w:t xml:space="preserve"> and their customs</w:t>
      </w:r>
      <w:r w:rsidR="008F32C7">
        <w:t>,</w:t>
      </w:r>
      <w:r w:rsidR="00DB4FA1">
        <w:rPr>
          <w:rStyle w:val="FootnoteReference"/>
        </w:rPr>
        <w:footnoteReference w:id="145"/>
      </w:r>
      <w:r w:rsidR="00DB4FA1">
        <w:t xml:space="preserve"> </w:t>
      </w:r>
      <w:r w:rsidR="008F32C7">
        <w:t xml:space="preserve">and it </w:t>
      </w:r>
      <w:r w:rsidR="00830C8A">
        <w:t>is</w:t>
      </w:r>
      <w:r w:rsidR="008F32C7">
        <w:t xml:space="preserve"> clear that both terms are used </w:t>
      </w:r>
      <w:r w:rsidR="008C0767">
        <w:t xml:space="preserve">here </w:t>
      </w:r>
      <w:r w:rsidR="00263C2A">
        <w:t xml:space="preserve">interchangeably </w:t>
      </w:r>
      <w:r w:rsidR="008F32C7">
        <w:t xml:space="preserve">to </w:t>
      </w:r>
      <w:r w:rsidR="00263C2A">
        <w:t xml:space="preserve">refer to a </w:t>
      </w:r>
      <w:r w:rsidR="008F32C7">
        <w:t xml:space="preserve">people </w:t>
      </w:r>
      <w:r w:rsidR="00263C2A">
        <w:t>(</w:t>
      </w:r>
      <w:r w:rsidR="00263C2A" w:rsidRPr="00CE584B">
        <w:rPr>
          <w:i/>
        </w:rPr>
        <w:t xml:space="preserve">Hebraioi </w:t>
      </w:r>
      <w:r w:rsidR="00263C2A">
        <w:t xml:space="preserve">or </w:t>
      </w:r>
      <w:r w:rsidR="00263C2A" w:rsidRPr="00CE584B">
        <w:rPr>
          <w:i/>
        </w:rPr>
        <w:t>Ioudaioi</w:t>
      </w:r>
      <w:r w:rsidR="00263C2A">
        <w:t xml:space="preserve">) </w:t>
      </w:r>
      <w:r w:rsidR="008F32C7">
        <w:t>defined by religious practice</w:t>
      </w:r>
      <w:r w:rsidR="00263C2A">
        <w:t>s and beliefs, though not by territory</w:t>
      </w:r>
      <w:r w:rsidR="008F32C7">
        <w:t>.</w:t>
      </w:r>
      <w:r w:rsidR="008C0314">
        <w:rPr>
          <w:rStyle w:val="FootnoteReference"/>
        </w:rPr>
        <w:footnoteReference w:id="146"/>
      </w:r>
    </w:p>
    <w:p w14:paraId="0232E395" w14:textId="5E65CE4F" w:rsidR="00D67520" w:rsidRDefault="003A7306" w:rsidP="00B35E88">
      <w:pPr>
        <w:spacing w:line="360" w:lineRule="auto"/>
      </w:pPr>
      <w:r>
        <w:tab/>
        <w:t>In the case of Cleopatra’s ‘Hebrews’,</w:t>
      </w:r>
      <w:r w:rsidR="00E129E4">
        <w:t xml:space="preserve"> the geographical shape of </w:t>
      </w:r>
      <w:r>
        <w:t xml:space="preserve">Plutarch’s </w:t>
      </w:r>
      <w:r w:rsidR="00E129E4">
        <w:t>report (</w:t>
      </w:r>
      <w:r>
        <w:t>almost a</w:t>
      </w:r>
      <w:r w:rsidR="00E129E4">
        <w:t xml:space="preserve"> half circle around Egypt)</w:t>
      </w:r>
      <w:r w:rsidR="00A87DEE">
        <w:t xml:space="preserve"> </w:t>
      </w:r>
      <w:r w:rsidR="00E129E4">
        <w:t xml:space="preserve">probably </w:t>
      </w:r>
      <w:r w:rsidR="002B17AD">
        <w:t>points</w:t>
      </w:r>
      <w:r w:rsidR="00A87DEE">
        <w:t xml:space="preserve"> to Jews </w:t>
      </w:r>
      <w:r w:rsidR="004A5D7A">
        <w:t>from</w:t>
      </w:r>
      <w:r w:rsidR="00A87DEE">
        <w:t xml:space="preserve"> Herod’s kingdom</w:t>
      </w:r>
      <w:r w:rsidR="00D11892">
        <w:t xml:space="preserve">. </w:t>
      </w:r>
      <w:r w:rsidR="00E378C1">
        <w:t>A good number of th</w:t>
      </w:r>
      <w:r w:rsidR="006E6965">
        <w:t>e</w:t>
      </w:r>
      <w:r w:rsidR="00E378C1">
        <w:t xml:space="preserve"> Jews</w:t>
      </w:r>
      <w:r w:rsidR="006E6965">
        <w:t xml:space="preserve"> of Judea</w:t>
      </w:r>
      <w:r w:rsidR="00E378C1">
        <w:t>, including Herod and his courtiers, would have spoken Greek. But s</w:t>
      </w:r>
      <w:r w:rsidR="00FB7BC7">
        <w:t xml:space="preserve">ince Plutarch specifies Cleopatra’s prowess in speaking with ‘barbarians’, </w:t>
      </w:r>
      <w:r w:rsidR="00BE6558">
        <w:t>conversation with</w:t>
      </w:r>
      <w:r w:rsidR="00FB7BC7">
        <w:t xml:space="preserve"> ‘Hebrews’ </w:t>
      </w:r>
      <w:r w:rsidR="00133122">
        <w:t>must mean</w:t>
      </w:r>
      <w:r w:rsidR="00FB7BC7">
        <w:t xml:space="preserve"> Aramaic or</w:t>
      </w:r>
      <w:r w:rsidR="00F92D68">
        <w:t xml:space="preserve"> Hebrew. </w:t>
      </w:r>
      <w:r w:rsidR="008D5E61">
        <w:t xml:space="preserve">As other evidence </w:t>
      </w:r>
      <w:r w:rsidR="00CD1DD2">
        <w:t>confirms</w:t>
      </w:r>
      <w:r w:rsidR="008D5E61">
        <w:t>,</w:t>
      </w:r>
      <w:r w:rsidR="00DA190F">
        <w:t xml:space="preserve"> </w:t>
      </w:r>
      <w:r w:rsidR="00FB7BC7">
        <w:t xml:space="preserve">the language of the ‘Hebrews’ </w:t>
      </w:r>
      <w:r w:rsidR="008D5E61">
        <w:t xml:space="preserve">in the Graeco-Roman period </w:t>
      </w:r>
      <w:r w:rsidR="00F92D68">
        <w:t xml:space="preserve">could </w:t>
      </w:r>
      <w:r w:rsidR="00FB7BC7">
        <w:t xml:space="preserve">include Hebrew or Aramaic, and </w:t>
      </w:r>
      <w:r w:rsidR="00DE1BFC">
        <w:t>the context does not usually reveal which language</w:t>
      </w:r>
      <w:r w:rsidR="00FB7BC7">
        <w:t xml:space="preserve"> is meant. Aramaic</w:t>
      </w:r>
      <w:r w:rsidR="00A000C2">
        <w:t xml:space="preserve"> and Hebrew</w:t>
      </w:r>
      <w:r w:rsidR="00777002">
        <w:t xml:space="preserve"> </w:t>
      </w:r>
      <w:r w:rsidR="00A46224">
        <w:t>were</w:t>
      </w:r>
      <w:r w:rsidR="00777002">
        <w:t xml:space="preserve"> </w:t>
      </w:r>
      <w:r w:rsidR="0048020E">
        <w:t xml:space="preserve">both </w:t>
      </w:r>
      <w:r w:rsidR="00777002">
        <w:t xml:space="preserve">spoken in first-century </w:t>
      </w:r>
      <w:r w:rsidR="00FB7BC7">
        <w:t>Judea and the wider Palestinian region.</w:t>
      </w:r>
      <w:r w:rsidR="0048020E">
        <w:rPr>
          <w:rStyle w:val="FootnoteReference"/>
        </w:rPr>
        <w:footnoteReference w:id="147"/>
      </w:r>
      <w:r w:rsidR="00FB7BC7">
        <w:t xml:space="preserve"> </w:t>
      </w:r>
      <w:r w:rsidR="00E53DD4">
        <w:t xml:space="preserve">If Aramaic was the language in which Cleopatra addressed </w:t>
      </w:r>
      <w:r w:rsidR="00B30A52">
        <w:t xml:space="preserve">certain </w:t>
      </w:r>
      <w:r w:rsidR="00E53DD4">
        <w:t>‘Hebrews’, it was also the language in which she likely spoke with others including Syrians. And i</w:t>
      </w:r>
      <w:r w:rsidR="00F92D68">
        <w:t xml:space="preserve">f Cleopatra really could speak to ‘Hebrews’ in their own language, she could do more than is usually </w:t>
      </w:r>
      <w:r w:rsidR="00FC7659">
        <w:t>presumed</w:t>
      </w:r>
      <w:r w:rsidR="00F92D68">
        <w:t xml:space="preserve"> for </w:t>
      </w:r>
      <w:r w:rsidR="004571A3">
        <w:t xml:space="preserve">most of </w:t>
      </w:r>
      <w:r w:rsidR="00F92D68">
        <w:t xml:space="preserve">the Jews of </w:t>
      </w:r>
      <w:r w:rsidR="00A92B24">
        <w:t>Ptolemaic Egypt</w:t>
      </w:r>
      <w:r w:rsidR="00A000C2">
        <w:t xml:space="preserve"> in which few traces of the use of Hebrew or Aramaic survive.</w:t>
      </w:r>
      <w:r w:rsidR="007D7BB4">
        <w:t xml:space="preserve"> </w:t>
      </w:r>
      <w:r w:rsidR="00FD56E1">
        <w:t xml:space="preserve">In any case, Plutarch’s evidence for Cleopatra’s conversations with Hebraioi adds to the broader picture of what we know of Cleopatra’s </w:t>
      </w:r>
      <w:r w:rsidR="00800BE3">
        <w:t xml:space="preserve">personal </w:t>
      </w:r>
      <w:r w:rsidR="00FD56E1">
        <w:t>interactions with Herod, as ally of Mark Antony,</w:t>
      </w:r>
      <w:r w:rsidR="00D76231">
        <w:rPr>
          <w:rStyle w:val="FootnoteReference"/>
        </w:rPr>
        <w:footnoteReference w:id="148"/>
      </w:r>
      <w:r w:rsidR="00777810">
        <w:t xml:space="preserve"> and with Hasmonaean members of his family by marriage.</w:t>
      </w:r>
    </w:p>
    <w:p w14:paraId="526472A1" w14:textId="77777777" w:rsidR="00D67520" w:rsidRDefault="00D67520" w:rsidP="00B35E88">
      <w:pPr>
        <w:spacing w:line="360" w:lineRule="auto"/>
      </w:pPr>
    </w:p>
    <w:p w14:paraId="69057DB5" w14:textId="41DBBFAF" w:rsidR="00D53628" w:rsidRDefault="00BD1F98" w:rsidP="00566472">
      <w:pPr>
        <w:spacing w:line="360" w:lineRule="auto"/>
        <w:outlineLvl w:val="0"/>
        <w:rPr>
          <w:i/>
        </w:rPr>
      </w:pPr>
      <w:r w:rsidRPr="00BD1F98">
        <w:rPr>
          <w:i/>
        </w:rPr>
        <w:t>Eiras and Cleopatra</w:t>
      </w:r>
    </w:p>
    <w:p w14:paraId="5D5CDC50" w14:textId="77777777" w:rsidR="0040441D" w:rsidRPr="00BD1F98" w:rsidRDefault="0040441D" w:rsidP="00B35E88">
      <w:pPr>
        <w:spacing w:line="360" w:lineRule="auto"/>
        <w:rPr>
          <w:i/>
        </w:rPr>
      </w:pPr>
    </w:p>
    <w:p w14:paraId="64495B99" w14:textId="6A2AFAC3" w:rsidR="004166D2" w:rsidRDefault="00F47D20" w:rsidP="00B35E88">
      <w:pPr>
        <w:spacing w:line="360" w:lineRule="auto"/>
      </w:pPr>
      <w:r>
        <w:t>Plutarch also supplies important evidence that allows at least for the possibility that one of Cleopatra’s most trusted companions was a Jew. The issue rests on the question of</w:t>
      </w:r>
      <w:r w:rsidR="00EF1121">
        <w:t xml:space="preserve"> t</w:t>
      </w:r>
      <w:r w:rsidR="00094B63">
        <w:t>he</w:t>
      </w:r>
      <w:r w:rsidR="00795232">
        <w:t xml:space="preserve"> </w:t>
      </w:r>
      <w:r w:rsidR="00094B63">
        <w:t xml:space="preserve">identity of Eiras, one of </w:t>
      </w:r>
      <w:r w:rsidR="00C1508C">
        <w:t xml:space="preserve">the </w:t>
      </w:r>
      <w:r w:rsidR="00094B63">
        <w:t>two women who</w:t>
      </w:r>
      <w:r w:rsidR="00E368BC">
        <w:t xml:space="preserve">, according to Plutarch’s </w:t>
      </w:r>
      <w:r w:rsidR="00E368BC" w:rsidRPr="00E368BC">
        <w:rPr>
          <w:i/>
        </w:rPr>
        <w:t>Antony</w:t>
      </w:r>
      <w:r w:rsidR="00E368BC">
        <w:t>,</w:t>
      </w:r>
      <w:r w:rsidR="00094B63">
        <w:t xml:space="preserve"> accompa</w:t>
      </w:r>
      <w:r w:rsidR="006D2CA9">
        <w:t xml:space="preserve">nied Cleopatra in her last days </w:t>
      </w:r>
      <w:r w:rsidR="00795232">
        <w:t xml:space="preserve">after the Battle of Actium </w:t>
      </w:r>
      <w:r w:rsidR="006D2CA9">
        <w:t xml:space="preserve">and who died with </w:t>
      </w:r>
      <w:r w:rsidR="00EF1121">
        <w:t>the Queen</w:t>
      </w:r>
      <w:r w:rsidR="006D2CA9">
        <w:t>.</w:t>
      </w:r>
      <w:r w:rsidR="00D6028A">
        <w:rPr>
          <w:rStyle w:val="FootnoteReference"/>
        </w:rPr>
        <w:footnoteReference w:id="149"/>
      </w:r>
      <w:r w:rsidR="00795232">
        <w:t xml:space="preserve"> </w:t>
      </w:r>
      <w:r w:rsidR="004166D2">
        <w:t xml:space="preserve">Plutarch first mentions Eiras in words attributed </w:t>
      </w:r>
      <w:r>
        <w:t>directly to Octavian</w:t>
      </w:r>
      <w:r w:rsidR="009C0F35">
        <w:t>:</w:t>
      </w:r>
    </w:p>
    <w:p w14:paraId="748AC4B3" w14:textId="77777777" w:rsidR="009C0F35" w:rsidRDefault="009C0F35" w:rsidP="00B35E88">
      <w:pPr>
        <w:spacing w:line="360" w:lineRule="auto"/>
      </w:pPr>
    </w:p>
    <w:p w14:paraId="11E3300C" w14:textId="5A5A7DB8" w:rsidR="009C0F35" w:rsidRDefault="009C0F35" w:rsidP="009C0F35">
      <w:pPr>
        <w:spacing w:line="360" w:lineRule="auto"/>
      </w:pPr>
      <w:r>
        <w:tab/>
        <w:t xml:space="preserve">Caesar (Octavian) said in addition that Antony had been drugged and was not </w:t>
      </w:r>
      <w:r>
        <w:tab/>
        <w:t xml:space="preserve">even master of himself, and that the Romans were carrying on war with </w:t>
      </w:r>
      <w:r>
        <w:tab/>
        <w:t xml:space="preserve">Mardion the eunuch, and Potheinos, and Eiras, Cleopatra’s hairdresser, and </w:t>
      </w:r>
      <w:r>
        <w:tab/>
        <w:t xml:space="preserve">Charmion, by (all of whom) the principal affairs of the government were </w:t>
      </w:r>
      <w:r>
        <w:tab/>
        <w:t>managed.</w:t>
      </w:r>
      <w:r>
        <w:rPr>
          <w:rStyle w:val="FootnoteReference"/>
        </w:rPr>
        <w:footnoteReference w:id="150"/>
      </w:r>
      <w:r>
        <w:t xml:space="preserve"> </w:t>
      </w:r>
    </w:p>
    <w:p w14:paraId="42A8DE84" w14:textId="77777777" w:rsidR="00FD0D4C" w:rsidRDefault="00FD0D4C" w:rsidP="00B35E88">
      <w:pPr>
        <w:spacing w:line="360" w:lineRule="auto"/>
      </w:pPr>
    </w:p>
    <w:p w14:paraId="4A48FABE" w14:textId="02A88EC9" w:rsidR="00795232" w:rsidRDefault="007841C0" w:rsidP="00B35E88">
      <w:pPr>
        <w:spacing w:line="360" w:lineRule="auto"/>
      </w:pPr>
      <w:r>
        <w:t>Octavian</w:t>
      </w:r>
      <w:r w:rsidR="00B050B3">
        <w:t>’s</w:t>
      </w:r>
      <w:r w:rsidR="00652AB7">
        <w:t xml:space="preserve"> </w:t>
      </w:r>
      <w:r w:rsidR="00496AEA">
        <w:t>reported</w:t>
      </w:r>
      <w:r>
        <w:t xml:space="preserve"> </w:t>
      </w:r>
      <w:r w:rsidR="00652AB7">
        <w:t>words stress the humiliation of Antony, no longer a man, no longer in control of himself</w:t>
      </w:r>
      <w:r w:rsidR="00C03DF4">
        <w:t>,</w:t>
      </w:r>
      <w:r w:rsidR="00652AB7">
        <w:t xml:space="preserve"> but the </w:t>
      </w:r>
      <w:r w:rsidR="00213542">
        <w:t>s</w:t>
      </w:r>
      <w:r w:rsidR="007A113D">
        <w:t xml:space="preserve">lave </w:t>
      </w:r>
      <w:r w:rsidR="00652AB7">
        <w:t xml:space="preserve">of </w:t>
      </w:r>
      <w:r w:rsidR="00475764">
        <w:t xml:space="preserve">a foreign government </w:t>
      </w:r>
      <w:r w:rsidR="00C03DF4">
        <w:t>under the misrule of</w:t>
      </w:r>
      <w:r w:rsidR="00475764">
        <w:t xml:space="preserve"> </w:t>
      </w:r>
      <w:r w:rsidR="00652AB7">
        <w:t>eunuchs and women.</w:t>
      </w:r>
      <w:r w:rsidR="004A338C">
        <w:t xml:space="preserve"> </w:t>
      </w:r>
      <w:r w:rsidR="001F66E7">
        <w:t>There is</w:t>
      </w:r>
      <w:r w:rsidR="000475F7">
        <w:t xml:space="preserve"> good reason to think that such images of Antony and his relationship to Cleopatra’s court</w:t>
      </w:r>
      <w:r w:rsidR="001F66E7">
        <w:t xml:space="preserve"> </w:t>
      </w:r>
      <w:r w:rsidR="00741178">
        <w:t>indeed originate</w:t>
      </w:r>
      <w:r w:rsidR="00A55FC1">
        <w:t>d</w:t>
      </w:r>
      <w:r w:rsidR="00741178">
        <w:t xml:space="preserve"> with Octavian and his supporters, in the context of </w:t>
      </w:r>
      <w:r w:rsidR="0066264A">
        <w:t>the</w:t>
      </w:r>
      <w:r w:rsidR="00383835">
        <w:t xml:space="preserve"> campaign </w:t>
      </w:r>
      <w:r w:rsidR="00C03DF4">
        <w:t>from the mid 30s BCE onwards</w:t>
      </w:r>
      <w:r w:rsidR="0066264A">
        <w:t xml:space="preserve"> </w:t>
      </w:r>
      <w:r w:rsidR="00383835">
        <w:t>to justify the elimination of Antony</w:t>
      </w:r>
      <w:r w:rsidR="006D06E8">
        <w:t xml:space="preserve">. </w:t>
      </w:r>
      <w:r w:rsidR="000B4004">
        <w:t>A</w:t>
      </w:r>
      <w:r w:rsidR="00333A77">
        <w:t xml:space="preserve"> strong emphasis on </w:t>
      </w:r>
      <w:r w:rsidR="001F66E7">
        <w:t xml:space="preserve">Antony as the ‘slave’ of </w:t>
      </w:r>
      <w:r w:rsidR="00E53E53">
        <w:t>the</w:t>
      </w:r>
      <w:r w:rsidR="0032556F">
        <w:t xml:space="preserve"> </w:t>
      </w:r>
      <w:r w:rsidR="001F66E7">
        <w:t xml:space="preserve">‘Egyptian woman’ and the </w:t>
      </w:r>
      <w:r w:rsidR="0032556F">
        <w:t>unmanly</w:t>
      </w:r>
      <w:r w:rsidR="00E5083E">
        <w:t>, female</w:t>
      </w:r>
      <w:r w:rsidR="0032556F">
        <w:t xml:space="preserve"> character of Egypt’s government</w:t>
      </w:r>
      <w:r w:rsidR="00B54D3C">
        <w:t>,</w:t>
      </w:r>
      <w:r w:rsidR="0032556F">
        <w:t xml:space="preserve"> </w:t>
      </w:r>
      <w:r w:rsidR="00A41AA9">
        <w:t>whose destruction is the duty of loyal Romans</w:t>
      </w:r>
      <w:r w:rsidR="00B54D3C">
        <w:t>,</w:t>
      </w:r>
      <w:r w:rsidR="00A41AA9">
        <w:t xml:space="preserve"> </w:t>
      </w:r>
      <w:r w:rsidR="00D30482">
        <w:t>pervades</w:t>
      </w:r>
      <w:r w:rsidR="00B45470">
        <w:t xml:space="preserve"> </w:t>
      </w:r>
      <w:r w:rsidR="001F66E7">
        <w:t>the</w:t>
      </w:r>
      <w:r w:rsidR="000B4004">
        <w:t xml:space="preserve"> sources for </w:t>
      </w:r>
      <w:r w:rsidR="00B45470">
        <w:t>Octavian’s war of words against Antony and Cleopatra</w:t>
      </w:r>
      <w:r w:rsidR="001F66E7">
        <w:t>. We see this</w:t>
      </w:r>
      <w:r w:rsidR="006B6114">
        <w:t xml:space="preserve"> </w:t>
      </w:r>
      <w:r w:rsidR="00A41AA9">
        <w:t xml:space="preserve">powerfully exemplified </w:t>
      </w:r>
      <w:r w:rsidR="006B6114">
        <w:t xml:space="preserve">in Dio’s report of Octavian’s arguments for war on the eve of the </w:t>
      </w:r>
      <w:r w:rsidR="00300475">
        <w:t xml:space="preserve">Battle </w:t>
      </w:r>
      <w:r w:rsidR="006B6114">
        <w:t>of Actium</w:t>
      </w:r>
      <w:r w:rsidR="001F66E7">
        <w:t>,</w:t>
      </w:r>
      <w:r w:rsidR="006B6114">
        <w:rPr>
          <w:rStyle w:val="FootnoteReference"/>
        </w:rPr>
        <w:footnoteReference w:id="151"/>
      </w:r>
      <w:r w:rsidR="006B6114">
        <w:t xml:space="preserve"> </w:t>
      </w:r>
      <w:r w:rsidR="00E36F2B">
        <w:t>or</w:t>
      </w:r>
      <w:r w:rsidR="00B45470">
        <w:t xml:space="preserve"> in the </w:t>
      </w:r>
      <w:r w:rsidR="001C023C">
        <w:t>celebration of Octavian</w:t>
      </w:r>
      <w:r w:rsidR="00B45470">
        <w:t>’s victory</w:t>
      </w:r>
      <w:r w:rsidR="00333A77">
        <w:t xml:space="preserve"> </w:t>
      </w:r>
      <w:r w:rsidR="001F66E7">
        <w:t>by the poet</w:t>
      </w:r>
      <w:r w:rsidR="00333A77">
        <w:t xml:space="preserve"> Horace who makes Antony</w:t>
      </w:r>
      <w:r w:rsidR="00021634">
        <w:t xml:space="preserve"> </w:t>
      </w:r>
      <w:r w:rsidR="00027DCC">
        <w:t>‘</w:t>
      </w:r>
      <w:r w:rsidR="00021634">
        <w:t>a</w:t>
      </w:r>
      <w:r w:rsidR="00027DCC">
        <w:t xml:space="preserve"> Roman (you future generations will refuse to believe it!) enslaved to a woman</w:t>
      </w:r>
      <w:r w:rsidR="006147F8">
        <w:t xml:space="preserve"> (</w:t>
      </w:r>
      <w:r w:rsidR="006147F8" w:rsidRPr="006147F8">
        <w:rPr>
          <w:i/>
        </w:rPr>
        <w:t>emancipatus feminae</w:t>
      </w:r>
      <w:r w:rsidR="006147F8">
        <w:t>)</w:t>
      </w:r>
      <w:r w:rsidR="008144F0">
        <w:t>’, a soldier who</w:t>
      </w:r>
      <w:r w:rsidR="00027DCC">
        <w:t xml:space="preserve"> </w:t>
      </w:r>
      <w:r w:rsidR="008144F0">
        <w:t>‘</w:t>
      </w:r>
      <w:r w:rsidR="00027DCC">
        <w:t>can bear to serve a lot of shrivelled</w:t>
      </w:r>
      <w:r w:rsidR="00652AB7">
        <w:t xml:space="preserve"> eunuchs</w:t>
      </w:r>
      <w:r w:rsidR="004274AE">
        <w:t xml:space="preserve"> (</w:t>
      </w:r>
      <w:r w:rsidR="004274AE" w:rsidRPr="004274AE">
        <w:rPr>
          <w:i/>
        </w:rPr>
        <w:t>spadonibus servire rugosis potest</w:t>
      </w:r>
      <w:r w:rsidR="004274AE">
        <w:t>)</w:t>
      </w:r>
      <w:r w:rsidR="00535996">
        <w:t>…</w:t>
      </w:r>
      <w:r w:rsidR="00652AB7">
        <w:t>’</w:t>
      </w:r>
      <w:r w:rsidR="00A47301">
        <w:rPr>
          <w:rStyle w:val="FootnoteReference"/>
        </w:rPr>
        <w:footnoteReference w:id="152"/>
      </w:r>
      <w:r w:rsidR="00652AB7">
        <w:t xml:space="preserve"> </w:t>
      </w:r>
      <w:r w:rsidR="00F97E85">
        <w:t>Writing as a friend of the first prefect of Roman Egypt in the 20s BCE, the geographer Strabo writes approvingly of the fact that, in contrast with the years of Antony’s subservience to Cleopatra, Egypt is now ruled ‘by prudent men (ὑπὸ σωφρόνων ἀνδρῶν)’.</w:t>
      </w:r>
      <w:r w:rsidR="00304D74">
        <w:rPr>
          <w:rStyle w:val="FootnoteReference"/>
        </w:rPr>
        <w:footnoteReference w:id="153"/>
      </w:r>
      <w:r w:rsidR="00F97E85">
        <w:t xml:space="preserve"> </w:t>
      </w:r>
      <w:r w:rsidR="00E36F2B">
        <w:t>Certainly, Plutarch reflects th</w:t>
      </w:r>
      <w:r w:rsidR="00E856A1">
        <w:t xml:space="preserve">e </w:t>
      </w:r>
      <w:r w:rsidR="001C414B">
        <w:t>influence of</w:t>
      </w:r>
      <w:r w:rsidR="00E856A1">
        <w:t xml:space="preserve"> Octavian’s propaganda </w:t>
      </w:r>
      <w:r w:rsidR="00E36F2B">
        <w:t xml:space="preserve">when he </w:t>
      </w:r>
      <w:r w:rsidR="008740AB">
        <w:t>places</w:t>
      </w:r>
      <w:r w:rsidR="00E36F2B">
        <w:t xml:space="preserve"> the description of Cleopatra’s unmanly court </w:t>
      </w:r>
      <w:r w:rsidR="008740AB">
        <w:t>in prime position within</w:t>
      </w:r>
      <w:r w:rsidR="007E513F">
        <w:t xml:space="preserve"> </w:t>
      </w:r>
      <w:r w:rsidR="00790BC6">
        <w:t>the argument</w:t>
      </w:r>
      <w:r w:rsidR="008740AB">
        <w:t>s</w:t>
      </w:r>
      <w:r w:rsidR="00790BC6">
        <w:t xml:space="preserve"> </w:t>
      </w:r>
      <w:r w:rsidR="008740AB">
        <w:t xml:space="preserve">presented by </w:t>
      </w:r>
      <w:r w:rsidR="00790BC6">
        <w:t>Octavian in Rome</w:t>
      </w:r>
      <w:r w:rsidR="00E36F2B">
        <w:t xml:space="preserve"> for war against Cleopatra (32 BCE), </w:t>
      </w:r>
      <w:r w:rsidR="00654764">
        <w:t>with the goal of removing from Antony ‘the authority which he had surrendered to a woman’.</w:t>
      </w:r>
      <w:r w:rsidR="00654764">
        <w:rPr>
          <w:rStyle w:val="FootnoteReference"/>
        </w:rPr>
        <w:footnoteReference w:id="154"/>
      </w:r>
      <w:r w:rsidR="00654764">
        <w:t xml:space="preserve"> </w:t>
      </w:r>
      <w:r w:rsidR="00851F0C">
        <w:t xml:space="preserve">Whether Octavian is also </w:t>
      </w:r>
      <w:r w:rsidR="008740AB">
        <w:t>Plutarch’s</w:t>
      </w:r>
      <w:r w:rsidR="00851F0C">
        <w:t xml:space="preserve"> source for </w:t>
      </w:r>
      <w:r w:rsidR="00E00D13">
        <w:t xml:space="preserve">identifying Eiras and </w:t>
      </w:r>
      <w:r w:rsidR="00851F0C">
        <w:t xml:space="preserve">the </w:t>
      </w:r>
      <w:r w:rsidR="00E00D13">
        <w:t xml:space="preserve">other </w:t>
      </w:r>
      <w:r w:rsidR="00851F0C">
        <w:t>names of Cleopatra’s retinue we do not know; it is more likely that Plutarch drew such details from a</w:t>
      </w:r>
      <w:r w:rsidR="007657AF">
        <w:t xml:space="preserve"> different </w:t>
      </w:r>
      <w:r w:rsidR="00851F0C">
        <w:t>source with close knowledge of the Alexandrian court</w:t>
      </w:r>
      <w:r w:rsidR="00652AB7">
        <w:t>.</w:t>
      </w:r>
      <w:r w:rsidR="007F3561">
        <w:rPr>
          <w:rStyle w:val="FootnoteReference"/>
        </w:rPr>
        <w:footnoteReference w:id="155"/>
      </w:r>
    </w:p>
    <w:p w14:paraId="329BAC1B" w14:textId="5E3F7622" w:rsidR="0010167B" w:rsidRPr="0010167B" w:rsidRDefault="0010167B" w:rsidP="00B35E88">
      <w:pPr>
        <w:spacing w:line="360" w:lineRule="auto"/>
        <w:rPr>
          <w:lang w:val="el-GR"/>
        </w:rPr>
      </w:pPr>
      <w:r>
        <w:tab/>
        <w:t>The description of Eiras as ‘hairdresser (κο</w:t>
      </w:r>
      <w:r w:rsidR="00811652">
        <w:t>υ</w:t>
      </w:r>
      <w:r>
        <w:t xml:space="preserve">ρεύτρια)’ </w:t>
      </w:r>
      <w:r w:rsidR="001212E6">
        <w:t>is suggestive of</w:t>
      </w:r>
      <w:r>
        <w:t xml:space="preserve"> low status, marked by a job associated with slaves or freedwomen. For Ptolemaic queens, with their power hair and melon coiffures, the hairdresser was </w:t>
      </w:r>
      <w:r w:rsidR="00510F17">
        <w:t>an essential and influential role</w:t>
      </w:r>
      <w:r>
        <w:t>.</w:t>
      </w:r>
      <w:r>
        <w:rPr>
          <w:rStyle w:val="FootnoteReference"/>
        </w:rPr>
        <w:footnoteReference w:id="156"/>
      </w:r>
      <w:r>
        <w:t xml:space="preserve"> But in this context, ‘hairdresser’ </w:t>
      </w:r>
      <w:r w:rsidR="009E5F62">
        <w:t xml:space="preserve">might be intended </w:t>
      </w:r>
      <w:r w:rsidR="00B53A55">
        <w:t>as</w:t>
      </w:r>
      <w:r>
        <w:t xml:space="preserve"> a term of abuse, not a real job description</w:t>
      </w:r>
      <w:r w:rsidR="00CD7F9A">
        <w:t>,</w:t>
      </w:r>
      <w:r w:rsidR="00CD7F9A">
        <w:rPr>
          <w:rStyle w:val="FootnoteReference"/>
        </w:rPr>
        <w:footnoteReference w:id="157"/>
      </w:r>
      <w:r>
        <w:t xml:space="preserve"> – </w:t>
      </w:r>
      <w:r w:rsidR="009E5F62">
        <w:t>serving</w:t>
      </w:r>
      <w:r w:rsidR="0016041D">
        <w:t xml:space="preserve"> to underline</w:t>
      </w:r>
      <w:r>
        <w:t xml:space="preserve"> the </w:t>
      </w:r>
      <w:r w:rsidR="0016041D">
        <w:t xml:space="preserve">construction of the </w:t>
      </w:r>
      <w:r>
        <w:t xml:space="preserve">unmanly, servile character of Cleopatra’s followers, a </w:t>
      </w:r>
      <w:r w:rsidR="00F839D5">
        <w:t xml:space="preserve">rabble </w:t>
      </w:r>
      <w:r>
        <w:t xml:space="preserve">that has turned the natural order of male-led government upside down. </w:t>
      </w:r>
    </w:p>
    <w:p w14:paraId="3889EF8B" w14:textId="0342AB28" w:rsidR="00FB5CAB" w:rsidRDefault="00F67477" w:rsidP="00B35E88">
      <w:pPr>
        <w:spacing w:line="360" w:lineRule="auto"/>
      </w:pPr>
      <w:r>
        <w:tab/>
        <w:t xml:space="preserve">Eiras is also </w:t>
      </w:r>
      <w:r w:rsidR="00925B7F">
        <w:t xml:space="preserve">named by Plutarch as </w:t>
      </w:r>
      <w:r>
        <w:t xml:space="preserve">one of the ‘two women’ who accompanied Cleopatra in her imprisonment in Alexandria, under Roman guard, and who joined </w:t>
      </w:r>
      <w:r w:rsidR="0030354C">
        <w:t>the Queen</w:t>
      </w:r>
      <w:r>
        <w:t xml:space="preserve"> in </w:t>
      </w:r>
      <w:r w:rsidR="0030354C">
        <w:t>a self-inflicted death in her tomb in August 30 BCE.</w:t>
      </w:r>
      <w:r w:rsidR="001F0A18">
        <w:rPr>
          <w:rStyle w:val="FootnoteReference"/>
        </w:rPr>
        <w:footnoteReference w:id="158"/>
      </w:r>
      <w:r w:rsidR="00510F17">
        <w:t xml:space="preserve"> In Plutarch’s account of th</w:t>
      </w:r>
      <w:r w:rsidR="00A2725D">
        <w:t>o</w:t>
      </w:r>
      <w:r w:rsidR="00510F17">
        <w:t xml:space="preserve">se final days, Eiras and Charmion play a crucial role in </w:t>
      </w:r>
      <w:r w:rsidR="00A2725D">
        <w:t>helping Cleopatra to avoid humiliation in Octavian’s triumph</w:t>
      </w:r>
      <w:r w:rsidR="00C26188">
        <w:t>,</w:t>
      </w:r>
      <w:r w:rsidR="00A2725D">
        <w:t xml:space="preserve"> and to die a noble death of her own making.</w:t>
      </w:r>
      <w:r w:rsidR="00830499">
        <w:t xml:space="preserve"> The high status of these women is </w:t>
      </w:r>
      <w:r w:rsidR="00C26188">
        <w:t>indicated</w:t>
      </w:r>
      <w:r w:rsidR="00830499">
        <w:t xml:space="preserve"> by Plutarch’s note that their bodies received ‘honourable interment’ on the orders of Octavian.</w:t>
      </w:r>
      <w:r w:rsidR="00830499">
        <w:rPr>
          <w:rStyle w:val="FootnoteReference"/>
        </w:rPr>
        <w:footnoteReference w:id="159"/>
      </w:r>
      <w:r w:rsidR="001028D7">
        <w:t xml:space="preserve"> </w:t>
      </w:r>
      <w:r w:rsidR="00C26188">
        <w:t xml:space="preserve">If we follow Plutarch, </w:t>
      </w:r>
      <w:r w:rsidR="001028D7">
        <w:t xml:space="preserve">Eiras and Charmion were Cleopatra’s most trusted </w:t>
      </w:r>
      <w:r w:rsidR="00EB55FB">
        <w:t>and devoted people.</w:t>
      </w:r>
      <w:r w:rsidR="001028D7">
        <w:t xml:space="preserve"> </w:t>
      </w:r>
      <w:r w:rsidR="00EB55FB">
        <w:t>T</w:t>
      </w:r>
      <w:r w:rsidR="0021007C">
        <w:t xml:space="preserve">heir loyalty </w:t>
      </w:r>
      <w:r w:rsidR="00EB55FB">
        <w:t xml:space="preserve">is </w:t>
      </w:r>
      <w:r w:rsidR="0021007C">
        <w:t xml:space="preserve">enshrined in the </w:t>
      </w:r>
      <w:r w:rsidR="00FB5CAB">
        <w:t>words</w:t>
      </w:r>
      <w:r w:rsidR="00EB55FB">
        <w:t xml:space="preserve"> of the dying Charmion</w:t>
      </w:r>
      <w:r w:rsidR="00CF6294">
        <w:t>, as she responds defiantly to the Roman soldiers of Octavian</w:t>
      </w:r>
      <w:r w:rsidR="00FB5CAB">
        <w:t>: that the Queen’s death was ‘excellently done (</w:t>
      </w:r>
      <w:r w:rsidR="001F0A18" w:rsidRPr="001F0A18">
        <w:t>κάλλιστα</w:t>
      </w:r>
      <w:r w:rsidR="00FB5CAB">
        <w:t>) and befitting the woman who was th</w:t>
      </w:r>
      <w:r w:rsidR="001F0A18">
        <w:t>e descendant of so many kings’</w:t>
      </w:r>
      <w:r w:rsidR="00FB5CAB">
        <w:t>.</w:t>
      </w:r>
      <w:r w:rsidR="001F0A18">
        <w:rPr>
          <w:rStyle w:val="FootnoteReference"/>
        </w:rPr>
        <w:footnoteReference w:id="160"/>
      </w:r>
    </w:p>
    <w:p w14:paraId="7FD24D42" w14:textId="21FD6B85" w:rsidR="007A43BD" w:rsidRDefault="00436940" w:rsidP="00B35E88">
      <w:pPr>
        <w:spacing w:line="360" w:lineRule="auto"/>
        <w:rPr>
          <w:lang w:val="el-GR"/>
        </w:rPr>
      </w:pPr>
      <w:r>
        <w:tab/>
        <w:t>As for the possible association of Eiras with Jewish identity, the issue rests on the significance of her name.</w:t>
      </w:r>
      <w:r w:rsidR="00875DFE">
        <w:rPr>
          <w:rStyle w:val="FootnoteReference"/>
        </w:rPr>
        <w:footnoteReference w:id="161"/>
      </w:r>
      <w:r>
        <w:t xml:space="preserve"> </w:t>
      </w:r>
      <w:r w:rsidR="00C6148A">
        <w:t>The</w:t>
      </w:r>
      <w:r w:rsidR="00D35534">
        <w:t xml:space="preserve"> volumes of the </w:t>
      </w:r>
      <w:r w:rsidR="00D35534" w:rsidRPr="00C6148A">
        <w:rPr>
          <w:i/>
        </w:rPr>
        <w:t>Lexicon of Greek Personal Names</w:t>
      </w:r>
      <w:r w:rsidR="00D35534">
        <w:t xml:space="preserve"> published thus far do not include </w:t>
      </w:r>
      <w:r w:rsidR="00D35534">
        <w:rPr>
          <w:lang w:val="el-GR"/>
        </w:rPr>
        <w:t>Εἰρᾶς</w:t>
      </w:r>
      <w:r w:rsidR="00D35534">
        <w:t xml:space="preserve"> as a female name.</w:t>
      </w:r>
      <w:r w:rsidR="00D35534">
        <w:rPr>
          <w:rStyle w:val="FootnoteReference"/>
        </w:rPr>
        <w:footnoteReference w:id="162"/>
      </w:r>
      <w:r w:rsidR="009772E0">
        <w:t xml:space="preserve"> Most of the (</w:t>
      </w:r>
      <w:r w:rsidR="008824C6">
        <w:t xml:space="preserve">currently </w:t>
      </w:r>
      <w:r w:rsidR="009772E0">
        <w:t xml:space="preserve">meagre) evidence for parallels comes from Egypt, to the extent that </w:t>
      </w:r>
      <w:r w:rsidR="009772E0">
        <w:rPr>
          <w:lang w:val="el-GR"/>
        </w:rPr>
        <w:t>Εἰρᾶς may be designated a ‘Graeco-Egyptian’ name</w:t>
      </w:r>
      <w:r w:rsidR="007A43BD">
        <w:rPr>
          <w:lang w:val="el-GR"/>
        </w:rPr>
        <w:t>,</w:t>
      </w:r>
      <w:r w:rsidR="009772E0">
        <w:rPr>
          <w:rStyle w:val="FootnoteReference"/>
          <w:lang w:val="el-GR"/>
        </w:rPr>
        <w:footnoteReference w:id="163"/>
      </w:r>
      <w:r w:rsidR="007A43BD">
        <w:rPr>
          <w:lang w:val="el-GR"/>
        </w:rPr>
        <w:t xml:space="preserve"> attested by the following examples: </w:t>
      </w:r>
    </w:p>
    <w:p w14:paraId="54EDABA8" w14:textId="177A5F95" w:rsidR="00973973" w:rsidRDefault="00973973" w:rsidP="00B35E88">
      <w:pPr>
        <w:spacing w:line="360" w:lineRule="auto"/>
        <w:rPr>
          <w:lang w:val="el-GR"/>
        </w:rPr>
      </w:pPr>
      <w:r>
        <w:rPr>
          <w:lang w:val="el-GR"/>
        </w:rPr>
        <w:t>(i) T</w:t>
      </w:r>
      <w:r w:rsidR="007A43BD">
        <w:rPr>
          <w:lang w:val="el-GR"/>
        </w:rPr>
        <w:t>he genitive form Εἰρᾶτος in a Herakl</w:t>
      </w:r>
      <w:r w:rsidR="00942BFD">
        <w:rPr>
          <w:lang w:val="el-GR"/>
        </w:rPr>
        <w:t>e</w:t>
      </w:r>
      <w:r w:rsidR="007A43BD">
        <w:rPr>
          <w:lang w:val="el-GR"/>
        </w:rPr>
        <w:t>opolis papyrus of CE 224</w:t>
      </w:r>
      <w:r>
        <w:rPr>
          <w:lang w:val="el-GR"/>
        </w:rPr>
        <w:t>.</w:t>
      </w:r>
      <w:r w:rsidR="007A43BD">
        <w:rPr>
          <w:rStyle w:val="FootnoteReference"/>
          <w:lang w:val="el-GR"/>
        </w:rPr>
        <w:footnoteReference w:id="164"/>
      </w:r>
      <w:r w:rsidR="00A360C6">
        <w:rPr>
          <w:lang w:val="el-GR"/>
        </w:rPr>
        <w:t xml:space="preserve"> </w:t>
      </w:r>
    </w:p>
    <w:p w14:paraId="5838481F" w14:textId="7D2CA9F5" w:rsidR="00973973" w:rsidRDefault="00A360C6" w:rsidP="00B35E88">
      <w:pPr>
        <w:spacing w:line="360" w:lineRule="auto"/>
        <w:rPr>
          <w:lang w:val="el-GR"/>
        </w:rPr>
      </w:pPr>
      <w:r>
        <w:rPr>
          <w:lang w:val="el-GR"/>
        </w:rPr>
        <w:t>(</w:t>
      </w:r>
      <w:r w:rsidR="00973973">
        <w:rPr>
          <w:lang w:val="el-GR"/>
        </w:rPr>
        <w:t>ii</w:t>
      </w:r>
      <w:r>
        <w:rPr>
          <w:lang w:val="el-GR"/>
        </w:rPr>
        <w:t xml:space="preserve">) </w:t>
      </w:r>
      <w:r w:rsidR="00973973">
        <w:rPr>
          <w:lang w:val="el-GR"/>
        </w:rPr>
        <w:t>A</w:t>
      </w:r>
      <w:r w:rsidR="00917485">
        <w:rPr>
          <w:lang w:val="el-GR"/>
        </w:rPr>
        <w:t xml:space="preserve"> possible</w:t>
      </w:r>
      <w:r>
        <w:rPr>
          <w:lang w:val="el-GR"/>
        </w:rPr>
        <w:t xml:space="preserve"> variant of the name in </w:t>
      </w:r>
      <w:r w:rsidR="007A4E30">
        <w:rPr>
          <w:lang w:val="el-GR"/>
        </w:rPr>
        <w:t>Εἴρα (or Εἰρᾶ</w:t>
      </w:r>
      <w:r w:rsidR="007A4E30">
        <w:t xml:space="preserve">?) </w:t>
      </w:r>
      <w:r w:rsidR="007A4E30">
        <w:rPr>
          <w:lang w:val="el-GR"/>
        </w:rPr>
        <w:t>Εἰκαβαθίου, documented in the Fayum in the sixth-seventh centuries CE</w:t>
      </w:r>
      <w:r w:rsidR="00973973">
        <w:rPr>
          <w:lang w:val="el-GR"/>
        </w:rPr>
        <w:t>.</w:t>
      </w:r>
      <w:r w:rsidR="007A4E30">
        <w:rPr>
          <w:rStyle w:val="FootnoteReference"/>
          <w:lang w:val="el-GR"/>
        </w:rPr>
        <w:footnoteReference w:id="165"/>
      </w:r>
      <w:r w:rsidR="00973973">
        <w:rPr>
          <w:lang w:val="el-GR"/>
        </w:rPr>
        <w:t xml:space="preserve"> </w:t>
      </w:r>
    </w:p>
    <w:p w14:paraId="2D5E84A5" w14:textId="4CB19133" w:rsidR="00436940" w:rsidRDefault="00973973" w:rsidP="00B35E88">
      <w:pPr>
        <w:spacing w:line="360" w:lineRule="auto"/>
      </w:pPr>
      <w:r>
        <w:rPr>
          <w:lang w:val="el-GR"/>
        </w:rPr>
        <w:t xml:space="preserve">(iii) Closer to the era of Cleopatra VII, </w:t>
      </w:r>
      <w:r w:rsidR="00EC1AD7">
        <w:rPr>
          <w:lang w:val="el-GR"/>
        </w:rPr>
        <w:t>the epitaph of Εἰρᾶς θυγάτηρ</w:t>
      </w:r>
      <w:r w:rsidR="00EC1AD7">
        <w:t>, ‘Eiras the daughter’, from the necropolis at Tell el-Yehoudieh, associated with the Jewish settlement of Onias at Leontopolis.</w:t>
      </w:r>
      <w:r w:rsidR="000409E1">
        <w:rPr>
          <w:rStyle w:val="FootnoteReference"/>
        </w:rPr>
        <w:footnoteReference w:id="166"/>
      </w:r>
      <w:r w:rsidR="00B94938">
        <w:t xml:space="preserve"> Though the inscription includes no date, it must belong to the period of settlement between Onias’</w:t>
      </w:r>
      <w:r w:rsidR="00E1730A">
        <w:t xml:space="preserve"> </w:t>
      </w:r>
      <w:r w:rsidR="00B94938">
        <w:t>foundation in the mid second century BCE to the presumed end of the settlement as a consequence of the revolt under Trajan (CE 115</w:t>
      </w:r>
      <w:r w:rsidR="000F055F" w:rsidRPr="00C475B8">
        <w:rPr>
          <w:sz w:val="20"/>
          <w:szCs w:val="20"/>
        </w:rPr>
        <w:t>–</w:t>
      </w:r>
      <w:r w:rsidR="00B94938">
        <w:t>117)</w:t>
      </w:r>
      <w:r w:rsidR="00B94938" w:rsidRPr="00AE6469">
        <w:t>.</w:t>
      </w:r>
      <w:r w:rsidR="00626F5C">
        <w:rPr>
          <w:rStyle w:val="FootnoteReference"/>
        </w:rPr>
        <w:footnoteReference w:id="167"/>
      </w:r>
      <w:r w:rsidR="00B94938">
        <w:t xml:space="preserve"> </w:t>
      </w:r>
      <w:r w:rsidR="00013146">
        <w:t>Here, Eiras the daughter is commemorated in a modest epitaph, together with ‘Tryphaina the mother’, placed over two burial niches.</w:t>
      </w:r>
    </w:p>
    <w:p w14:paraId="5A2C24D9" w14:textId="10526860" w:rsidR="00E50ED3" w:rsidRDefault="00E50ED3" w:rsidP="00B35E88">
      <w:pPr>
        <w:spacing w:line="360" w:lineRule="auto"/>
      </w:pPr>
      <w:r>
        <w:t>(iv) Finally, from the Akeldama burial caves, south of Jerusalem, an ossuary of the first centuries BCE/CE contains the bones of a woman commemorated by two brief lines</w:t>
      </w:r>
      <w:r w:rsidR="00D34C82">
        <w:t>:</w:t>
      </w:r>
      <w:r>
        <w:t xml:space="preserve"> </w:t>
      </w:r>
      <w:r>
        <w:rPr>
          <w:lang w:val="el-GR"/>
        </w:rPr>
        <w:t xml:space="preserve">ΕΙΡΑΣ </w:t>
      </w:r>
      <w:r w:rsidR="00D34C82">
        <w:rPr>
          <w:lang w:val="el-GR"/>
        </w:rPr>
        <w:t>| ΣΕΛΕΥΚ</w:t>
      </w:r>
      <w:r w:rsidR="00D34C82">
        <w:t>, ‘E</w:t>
      </w:r>
      <w:r w:rsidR="00D479F4">
        <w:t>IRAS</w:t>
      </w:r>
      <w:r w:rsidR="00D34C82">
        <w:t xml:space="preserve">’ | ‘(daughter of?) </w:t>
      </w:r>
      <w:r w:rsidR="00D479F4">
        <w:t>SELEUK[OS</w:t>
      </w:r>
      <w:r w:rsidR="007E2E16">
        <w:t>]’, or ‘from SELEUK[IA</w:t>
      </w:r>
      <w:r w:rsidR="00D34C82">
        <w:t>]’.</w:t>
      </w:r>
      <w:r w:rsidR="005025B3">
        <w:rPr>
          <w:rStyle w:val="FootnoteReference"/>
        </w:rPr>
        <w:footnoteReference w:id="168"/>
      </w:r>
      <w:r w:rsidR="00021C33">
        <w:t xml:space="preserve"> </w:t>
      </w:r>
      <w:r w:rsidR="0052332F">
        <w:t xml:space="preserve">As indicated by the inscriptions, </w:t>
      </w:r>
      <w:r w:rsidR="00FA46AD">
        <w:t>Akeldama’s</w:t>
      </w:r>
      <w:r w:rsidR="0052332F">
        <w:t xml:space="preserve"> burial caves seem to have been used by inter-related families, with most names recorded in Greek, others in a Jewish script or in bilingual records.</w:t>
      </w:r>
      <w:r w:rsidR="0052332F">
        <w:rPr>
          <w:rStyle w:val="FootnoteReference"/>
        </w:rPr>
        <w:footnoteReference w:id="169"/>
      </w:r>
      <w:r w:rsidR="0052332F">
        <w:t xml:space="preserve"> </w:t>
      </w:r>
      <w:r w:rsidR="00021C33">
        <w:t>I</w:t>
      </w:r>
      <w:r w:rsidR="0052332F">
        <w:t>n the case of Eiras,</w:t>
      </w:r>
      <w:r w:rsidR="00021C33">
        <w:t xml:space="preserve"> </w:t>
      </w:r>
      <w:r w:rsidR="00950764">
        <w:t xml:space="preserve">it </w:t>
      </w:r>
      <w:r w:rsidR="00021C33">
        <w:t xml:space="preserve">is not certain whether the second, incomplete word refers to </w:t>
      </w:r>
      <w:r w:rsidR="0052332F">
        <w:t>her</w:t>
      </w:r>
      <w:r w:rsidR="00021C33">
        <w:t xml:space="preserve"> </w:t>
      </w:r>
      <w:r w:rsidR="00021C33" w:rsidRPr="00021C33">
        <w:rPr>
          <w:i/>
        </w:rPr>
        <w:t>patris</w:t>
      </w:r>
      <w:r w:rsidR="00021C33">
        <w:t>, or (as is more likely</w:t>
      </w:r>
      <w:r w:rsidR="009A545D">
        <w:t>,</w:t>
      </w:r>
      <w:r w:rsidR="00021C33">
        <w:t xml:space="preserve"> based on the use of patronymics in the associated ossuaries) to her father.</w:t>
      </w:r>
      <w:r w:rsidR="00775139">
        <w:rPr>
          <w:rStyle w:val="FootnoteReference"/>
        </w:rPr>
        <w:footnoteReference w:id="170"/>
      </w:r>
      <w:r w:rsidR="00021C33">
        <w:t xml:space="preserve"> </w:t>
      </w:r>
      <w:r w:rsidR="009A545D">
        <w:t xml:space="preserve">If Seleuk- does not refer to Seleucia in Syria (there are two candidates for this location), a Syrian origin for Eiras and other </w:t>
      </w:r>
      <w:r w:rsidR="00BC7F68">
        <w:t>family members</w:t>
      </w:r>
      <w:r w:rsidR="00DB47BB">
        <w:t xml:space="preserve"> </w:t>
      </w:r>
      <w:r w:rsidR="002D6D40">
        <w:t xml:space="preserve">buried </w:t>
      </w:r>
      <w:r w:rsidR="00DB47BB">
        <w:t xml:space="preserve">at Akeldama is suggested </w:t>
      </w:r>
      <w:r w:rsidR="00BC7F68">
        <w:t>but not proved by a reference to Apamea as the home of one of the deceased</w:t>
      </w:r>
      <w:r w:rsidR="002D6D40">
        <w:t>,</w:t>
      </w:r>
      <w:r w:rsidR="002D6D40">
        <w:rPr>
          <w:rStyle w:val="FootnoteReference"/>
        </w:rPr>
        <w:footnoteReference w:id="171"/>
      </w:r>
      <w:r w:rsidR="00BC7F68">
        <w:t xml:space="preserve"> and by the predominant use of Greek in the inscriptions, characteristic of other Jewish inscriptions from Syria but not </w:t>
      </w:r>
      <w:r w:rsidR="0023696F">
        <w:t xml:space="preserve">generally </w:t>
      </w:r>
      <w:r w:rsidR="00BC7F68">
        <w:t>of Jerusalem ossuaries.</w:t>
      </w:r>
      <w:r w:rsidR="00BC7F68">
        <w:rPr>
          <w:rStyle w:val="FootnoteReference"/>
        </w:rPr>
        <w:footnoteReference w:id="172"/>
      </w:r>
      <w:r w:rsidR="00D32B3A">
        <w:t xml:space="preserve"> Certainly, </w:t>
      </w:r>
      <w:r w:rsidR="00930560">
        <w:t xml:space="preserve">the </w:t>
      </w:r>
      <w:r w:rsidR="00D32B3A">
        <w:t xml:space="preserve">Eiras </w:t>
      </w:r>
      <w:r w:rsidR="00930560">
        <w:t xml:space="preserve">buried at Akeldama </w:t>
      </w:r>
      <w:r w:rsidR="00D32B3A">
        <w:t>is likely to have come originally from outside Judaea; whether she lived at some point in Jerusalem or simply had her bones transported to Judaea is unknown.</w:t>
      </w:r>
      <w:r w:rsidR="00193825">
        <w:rPr>
          <w:rStyle w:val="FootnoteReference"/>
        </w:rPr>
        <w:footnoteReference w:id="173"/>
      </w:r>
    </w:p>
    <w:p w14:paraId="1E73B43B" w14:textId="7CDAAE3F" w:rsidR="00507289" w:rsidRDefault="00734B30" w:rsidP="00B35E88">
      <w:pPr>
        <w:spacing w:line="360" w:lineRule="auto"/>
      </w:pPr>
      <w:r>
        <w:tab/>
        <w:t xml:space="preserve">On the basis of this evidence, the case for identifying </w:t>
      </w:r>
      <w:r>
        <w:rPr>
          <w:lang w:val="el-GR"/>
        </w:rPr>
        <w:t>Εἰρᾶς as a name strongly suggestive of Jewish origins depends on several factors. Firstly, while the name is rarely documented in the ancient world, Εἰρᾶς is attested in two contexts associated with Jews, in Egypt at Tell el-Yehoudieh, and in Judaea, apparently as part of a di</w:t>
      </w:r>
      <w:r w:rsidR="00FE7150">
        <w:rPr>
          <w:lang w:val="el-GR"/>
        </w:rPr>
        <w:t>as</w:t>
      </w:r>
      <w:r>
        <w:rPr>
          <w:lang w:val="el-GR"/>
        </w:rPr>
        <w:t xml:space="preserve">pora Jewish burial </w:t>
      </w:r>
      <w:r w:rsidR="00E27300">
        <w:rPr>
          <w:lang w:val="el-GR"/>
        </w:rPr>
        <w:t>site</w:t>
      </w:r>
      <w:r w:rsidR="00FE7150">
        <w:rPr>
          <w:lang w:val="el-GR"/>
        </w:rPr>
        <w:t xml:space="preserve"> in the vicinity of Jerusalem</w:t>
      </w:r>
      <w:r>
        <w:rPr>
          <w:lang w:val="el-GR"/>
        </w:rPr>
        <w:t>.</w:t>
      </w:r>
      <w:r w:rsidR="002A77BA">
        <w:rPr>
          <w:lang w:val="el-GR"/>
        </w:rPr>
        <w:t xml:space="preserve"> Furthermore, a distinctively Jewish association with the name Εἰρᾶς is also indicated by the likelihood, as demonstrated in the authoritative analysis of Heinz Heinen, that Εἰρᾶς is a hypocoristic form </w:t>
      </w:r>
      <w:r w:rsidR="00C52150">
        <w:rPr>
          <w:lang w:val="el-GR"/>
        </w:rPr>
        <w:t xml:space="preserve">(the short form of </w:t>
      </w:r>
      <w:r w:rsidR="00220906">
        <w:rPr>
          <w:lang w:val="el-GR"/>
        </w:rPr>
        <w:t>a</w:t>
      </w:r>
      <w:r w:rsidR="00C52150">
        <w:rPr>
          <w:lang w:val="el-GR"/>
        </w:rPr>
        <w:t xml:space="preserve"> name</w:t>
      </w:r>
      <w:r w:rsidR="00E95288">
        <w:rPr>
          <w:lang w:val="el-GR"/>
        </w:rPr>
        <w:t>,</w:t>
      </w:r>
      <w:r w:rsidR="00C52150">
        <w:rPr>
          <w:lang w:val="el-GR"/>
        </w:rPr>
        <w:t xml:space="preserve"> typically used in intimate circles) </w:t>
      </w:r>
      <w:r w:rsidR="002A77BA">
        <w:rPr>
          <w:lang w:val="el-GR"/>
        </w:rPr>
        <w:t xml:space="preserve">of Eirene, </w:t>
      </w:r>
      <w:r w:rsidR="0045331F">
        <w:rPr>
          <w:lang w:val="el-GR"/>
        </w:rPr>
        <w:t xml:space="preserve">a name </w:t>
      </w:r>
      <w:r w:rsidR="000A2127">
        <w:rPr>
          <w:lang w:val="el-GR"/>
        </w:rPr>
        <w:t xml:space="preserve">generally </w:t>
      </w:r>
      <w:r w:rsidR="002A77BA">
        <w:rPr>
          <w:lang w:val="el-GR"/>
        </w:rPr>
        <w:t>widespread from the hellenistic period on</w:t>
      </w:r>
      <w:r w:rsidR="000A2127">
        <w:rPr>
          <w:lang w:val="el-GR"/>
        </w:rPr>
        <w:t>,</w:t>
      </w:r>
      <w:r w:rsidR="002A77BA">
        <w:rPr>
          <w:lang w:val="el-GR"/>
        </w:rPr>
        <w:t xml:space="preserve"> and well documented among the Jews of Egypt</w:t>
      </w:r>
      <w:r w:rsidR="003F1ABC">
        <w:rPr>
          <w:lang w:val="el-GR"/>
        </w:rPr>
        <w:t xml:space="preserve"> and elsewhere</w:t>
      </w:r>
      <w:r w:rsidR="002A77BA">
        <w:rPr>
          <w:lang w:val="el-GR"/>
        </w:rPr>
        <w:t>.</w:t>
      </w:r>
      <w:r w:rsidR="00AC7F82">
        <w:rPr>
          <w:rStyle w:val="FootnoteReference"/>
          <w:lang w:val="el-GR"/>
        </w:rPr>
        <w:footnoteReference w:id="174"/>
      </w:r>
      <w:r w:rsidR="002A77BA">
        <w:rPr>
          <w:lang w:val="el-GR"/>
        </w:rPr>
        <w:t xml:space="preserve"> </w:t>
      </w:r>
      <w:r w:rsidR="00710890">
        <w:rPr>
          <w:lang w:val="el-GR"/>
        </w:rPr>
        <w:t>As</w:t>
      </w:r>
      <w:r w:rsidR="0045331F">
        <w:rPr>
          <w:lang w:val="el-GR"/>
        </w:rPr>
        <w:t xml:space="preserve"> Heinen</w:t>
      </w:r>
      <w:r w:rsidR="00710890">
        <w:rPr>
          <w:lang w:val="el-GR"/>
        </w:rPr>
        <w:t xml:space="preserve"> puts it</w:t>
      </w:r>
      <w:r w:rsidR="0045331F">
        <w:rPr>
          <w:lang w:val="el-GR"/>
        </w:rPr>
        <w:t>, ‘The popularity of the name Eirene among the Jewish population of Ptolemaic Egypt is a fact’.</w:t>
      </w:r>
      <w:r w:rsidR="006A5DFD">
        <w:rPr>
          <w:rStyle w:val="FootnoteReference"/>
          <w:lang w:val="el-GR"/>
        </w:rPr>
        <w:footnoteReference w:id="175"/>
      </w:r>
      <w:r w:rsidR="0045331F">
        <w:rPr>
          <w:lang w:val="el-GR"/>
        </w:rPr>
        <w:t xml:space="preserve"> </w:t>
      </w:r>
      <w:r w:rsidR="002A77BA">
        <w:rPr>
          <w:lang w:val="el-GR"/>
        </w:rPr>
        <w:t xml:space="preserve">In the Jewish context, Eirene </w:t>
      </w:r>
      <w:r w:rsidR="00687E33">
        <w:rPr>
          <w:lang w:val="el-GR"/>
        </w:rPr>
        <w:t>(Greek: εἰρήνη</w:t>
      </w:r>
      <w:r w:rsidR="00687E33">
        <w:t xml:space="preserve">, ‘peace’) </w:t>
      </w:r>
      <w:r w:rsidR="002A77BA">
        <w:rPr>
          <w:lang w:val="el-GR"/>
        </w:rPr>
        <w:t xml:space="preserve">may have </w:t>
      </w:r>
      <w:r w:rsidR="00E04A8A">
        <w:rPr>
          <w:lang w:val="el-GR"/>
        </w:rPr>
        <w:t xml:space="preserve">been used </w:t>
      </w:r>
      <w:r w:rsidR="002A77BA">
        <w:rPr>
          <w:lang w:val="el-GR"/>
        </w:rPr>
        <w:t>as the equivalent of the hellenized Hebrew name Salome</w:t>
      </w:r>
      <w:r w:rsidR="000A2127">
        <w:rPr>
          <w:lang w:val="el-GR"/>
        </w:rPr>
        <w:t xml:space="preserve"> (Hebrew</w:t>
      </w:r>
      <w:r w:rsidR="00D00862">
        <w:rPr>
          <w:lang w:val="el-GR"/>
        </w:rPr>
        <w:t>:</w:t>
      </w:r>
      <w:r w:rsidR="000A2127">
        <w:rPr>
          <w:lang w:val="el-GR"/>
        </w:rPr>
        <w:t xml:space="preserve"> </w:t>
      </w:r>
      <w:r w:rsidR="000A2127" w:rsidRPr="008F76C7">
        <w:rPr>
          <w:i/>
          <w:lang w:val="el-GR"/>
        </w:rPr>
        <w:t>Shalom</w:t>
      </w:r>
      <w:r w:rsidR="000A2127">
        <w:rPr>
          <w:lang w:val="el-GR"/>
        </w:rPr>
        <w:t>, ‘Peace’)</w:t>
      </w:r>
      <w:r w:rsidR="002A77BA">
        <w:rPr>
          <w:lang w:val="el-GR"/>
        </w:rPr>
        <w:t xml:space="preserve">, </w:t>
      </w:r>
      <w:r w:rsidR="00E23483">
        <w:rPr>
          <w:lang w:val="el-GR"/>
        </w:rPr>
        <w:t>the most popular female name</w:t>
      </w:r>
      <w:r w:rsidR="002A77BA">
        <w:rPr>
          <w:lang w:val="el-GR"/>
        </w:rPr>
        <w:t xml:space="preserve"> in Graeco-Roman Palestine.</w:t>
      </w:r>
      <w:r w:rsidR="00D21A4A">
        <w:rPr>
          <w:rStyle w:val="FootnoteReference"/>
          <w:lang w:val="el-GR"/>
        </w:rPr>
        <w:footnoteReference w:id="176"/>
      </w:r>
      <w:r w:rsidR="0045331F">
        <w:rPr>
          <w:lang w:val="el-GR"/>
        </w:rPr>
        <w:t xml:space="preserve"> </w:t>
      </w:r>
      <w:r w:rsidR="003A3A23">
        <w:rPr>
          <w:lang w:val="el-GR"/>
        </w:rPr>
        <w:t>The strongest case for identifying Cleopatra’s companion Eiras as a Jew is based on the rarity of this name formation, probably a hypocoristic form of Eirene, and its appearance, despite that rarity, in distinctively Jewish contexts. New evidence may transform that picture. Following Heinen’s cautious findings, the evidence does not prove that Cleopatra’s Eiras was a Jew,</w:t>
      </w:r>
      <w:r w:rsidR="001F7470">
        <w:rPr>
          <w:rStyle w:val="FootnoteReference"/>
          <w:lang w:val="el-GR"/>
        </w:rPr>
        <w:footnoteReference w:id="177"/>
      </w:r>
      <w:r w:rsidR="003A3A23">
        <w:rPr>
          <w:lang w:val="el-GR"/>
        </w:rPr>
        <w:t xml:space="preserve"> but her name is certainly suggestive of Jewish origins,</w:t>
      </w:r>
      <w:r w:rsidR="003A3A23">
        <w:rPr>
          <w:rStyle w:val="FootnoteReference"/>
          <w:lang w:val="el-GR"/>
        </w:rPr>
        <w:footnoteReference w:id="178"/>
      </w:r>
      <w:r w:rsidR="003A3A23">
        <w:rPr>
          <w:lang w:val="el-GR"/>
        </w:rPr>
        <w:t xml:space="preserve"> and this suggestion is further strengthened by the Akeldama inscription not yet available at the time of Heinen’s study.</w:t>
      </w:r>
      <w:r w:rsidR="00C3545D">
        <w:rPr>
          <w:lang w:val="el-GR"/>
        </w:rPr>
        <w:t xml:space="preserve"> Certainly, the context of Cleopatra’s rule, </w:t>
      </w:r>
      <w:r w:rsidR="00CC41DD">
        <w:rPr>
          <w:lang w:val="el-GR"/>
        </w:rPr>
        <w:t>her</w:t>
      </w:r>
      <w:r w:rsidR="00C3545D">
        <w:rPr>
          <w:lang w:val="el-GR"/>
        </w:rPr>
        <w:t xml:space="preserve"> connections to the Hasmoneans of Judaea, and the evidence for her good relations with Jewish groups within Egypt, </w:t>
      </w:r>
      <w:r w:rsidR="003B1AAA">
        <w:rPr>
          <w:lang w:val="el-GR"/>
        </w:rPr>
        <w:t>allows for</w:t>
      </w:r>
      <w:r w:rsidR="00C3545D">
        <w:rPr>
          <w:lang w:val="el-GR"/>
        </w:rPr>
        <w:t xml:space="preserve"> the possibility that one of her most trusted companions might have been a Jew.</w:t>
      </w:r>
      <w:r w:rsidR="001F7470">
        <w:rPr>
          <w:lang w:val="el-GR"/>
        </w:rPr>
        <w:t xml:space="preserve"> </w:t>
      </w:r>
      <w:r w:rsidR="006B022E">
        <w:t xml:space="preserve">Was Eiras perhaps a Jew from a high-ranking family in the Jewish colony of Leontopolis? </w:t>
      </w:r>
      <w:r w:rsidR="009924A6">
        <w:t xml:space="preserve">The presence of Jews in the Ptolemaic court is not so unusual in the context of the practice of Cleopatra’s predecessors, particularly from the time of the earlier Cleopatras, when the bond of loyalty was forged between </w:t>
      </w:r>
      <w:r w:rsidR="002F663E">
        <w:t xml:space="preserve">the Jewish priest </w:t>
      </w:r>
      <w:r w:rsidR="007029E3">
        <w:t xml:space="preserve">Onias IV and his followers with </w:t>
      </w:r>
      <w:r w:rsidR="009924A6">
        <w:t xml:space="preserve">Ptolemy </w:t>
      </w:r>
      <w:r w:rsidR="00C06B9B">
        <w:t>VI Philometor</w:t>
      </w:r>
      <w:r w:rsidR="00027868">
        <w:t xml:space="preserve"> and </w:t>
      </w:r>
      <w:r w:rsidR="00C06B9B">
        <w:t xml:space="preserve">Cleopatra II, and </w:t>
      </w:r>
      <w:r w:rsidR="00027868">
        <w:t xml:space="preserve">with </w:t>
      </w:r>
      <w:r w:rsidR="00C06B9B">
        <w:t>their daughter, Cleopatra III, the great-grandmother of Cleopatra VII</w:t>
      </w:r>
      <w:r w:rsidR="00737F72">
        <w:t>.</w:t>
      </w:r>
      <w:r w:rsidR="007B65EC">
        <w:rPr>
          <w:rStyle w:val="FootnoteReference"/>
        </w:rPr>
        <w:footnoteReference w:id="179"/>
      </w:r>
    </w:p>
    <w:p w14:paraId="5C8A97D8" w14:textId="77777777" w:rsidR="00472519" w:rsidRDefault="00472519" w:rsidP="00B35E88">
      <w:pPr>
        <w:spacing w:line="360" w:lineRule="auto"/>
      </w:pPr>
    </w:p>
    <w:p w14:paraId="4BF02DD5" w14:textId="581B2197" w:rsidR="00472519" w:rsidRPr="005B4160" w:rsidRDefault="00472519" w:rsidP="00566472">
      <w:pPr>
        <w:spacing w:line="360" w:lineRule="auto"/>
        <w:outlineLvl w:val="0"/>
        <w:rPr>
          <w:i/>
          <w:lang w:val="el-GR"/>
        </w:rPr>
      </w:pPr>
      <w:r w:rsidRPr="005B4160">
        <w:rPr>
          <w:i/>
        </w:rPr>
        <w:t>Conclusion</w:t>
      </w:r>
    </w:p>
    <w:p w14:paraId="1B08C670" w14:textId="679EFBDD" w:rsidR="00354FC2" w:rsidRDefault="00E144E5" w:rsidP="00B35E88">
      <w:pPr>
        <w:spacing w:line="360" w:lineRule="auto"/>
      </w:pPr>
      <w:r>
        <w:t>A</w:t>
      </w:r>
      <w:r w:rsidR="00354FC2">
        <w:t xml:space="preserve">ny attempt to get back to the realities of the last Cleopatra must contend with a subject profoundly obscured by the propaganda of her enemies and the </w:t>
      </w:r>
      <w:r w:rsidR="00912981">
        <w:t xml:space="preserve">instrumentalization </w:t>
      </w:r>
      <w:r w:rsidR="00354FC2">
        <w:t xml:space="preserve">of Cleopatra as the Roman ‘other’. </w:t>
      </w:r>
      <w:r w:rsidR="00F125CB">
        <w:t xml:space="preserve">In the case of </w:t>
      </w:r>
      <w:r w:rsidR="004F34F5">
        <w:t>Josephus’s testimony, I suggest</w:t>
      </w:r>
      <w:r w:rsidR="00F125CB">
        <w:t xml:space="preserve"> that – despite his noble purpose, the exoneration of the Jews under Roman rule – he has not served truth well in the case of Cleopatra. There is no good evidence for Cleopatra as persecutor of the Jews. Indeed, Josephus gives us glimpses of another Cleopatra, offering refuge to members of the Jewish aristocracy among the Hasmoneans, as they </w:t>
      </w:r>
      <w:r w:rsidR="004D1CC9">
        <w:t xml:space="preserve">sought </w:t>
      </w:r>
      <w:r w:rsidR="00F125CB">
        <w:t>survival away from Herod. Cleopatra may have learned Hebrew or Aramaic; among her supporters, someone thought it worthy of record that the Queen held conversations, in person, with ‘Hebrews’. And perhaps among those very few who stayed loyal to Cleopatra at the end, the courtier Eiras may have been a Jew.</w:t>
      </w:r>
    </w:p>
    <w:p w14:paraId="43C27BD2" w14:textId="15277905" w:rsidR="00F125CB" w:rsidRDefault="00F125CB" w:rsidP="00B35E88">
      <w:pPr>
        <w:spacing w:line="360" w:lineRule="auto"/>
      </w:pPr>
      <w:r>
        <w:tab/>
        <w:t>But what perhaps speaks most powerfully against the negative tradition about Cleopatra and the Jews is our evidence</w:t>
      </w:r>
      <w:r w:rsidR="00784014">
        <w:t xml:space="preserve"> for her patronage and protection of the fundamental Jewish institution of the prayer-house. After Cleopatra, we have no more decrees of asylum, no dedications of prayer-houses to Roman emperors; this phenomenon simply disappears with the Roman conquest of Egypt. </w:t>
      </w:r>
      <w:r w:rsidR="003C072E">
        <w:t>When Philo the Jew from Alexandria despaired at the destruction of his city’s Jewish prayer-houses, he insisted that nothing like this had ever happened under Ptolemaic rule.</w:t>
      </w:r>
      <w:r w:rsidR="00C70A9C">
        <w:rPr>
          <w:rStyle w:val="FootnoteReference"/>
        </w:rPr>
        <w:footnoteReference w:id="180"/>
      </w:r>
      <w:r w:rsidR="003C072E">
        <w:t xml:space="preserve"> Philo does not hold back in a fight; but</w:t>
      </w:r>
      <w:r w:rsidR="003D3D61">
        <w:t>, despite the world of Augustan propaganda around him,</w:t>
      </w:r>
      <w:r w:rsidR="003C072E">
        <w:t xml:space="preserve"> he never condemns Cleopatra or her Ptolemaic predecessors.</w:t>
      </w:r>
      <w:r w:rsidR="003D3D61">
        <w:t xml:space="preserve"> His is a voice from within ancient Alexandria, from a man born in the decade after Actium. Philo’s voice has the ring of authenticity and it deserves our attention.</w:t>
      </w:r>
    </w:p>
    <w:p w14:paraId="1885888E" w14:textId="401B00B6" w:rsidR="0066790F" w:rsidRDefault="0066790F" w:rsidP="00B35E88">
      <w:pPr>
        <w:spacing w:line="360" w:lineRule="auto"/>
      </w:pPr>
    </w:p>
    <w:p w14:paraId="6FD9009D" w14:textId="77777777" w:rsidR="00071EBC" w:rsidRDefault="00071EBC" w:rsidP="00B35E88">
      <w:pPr>
        <w:spacing w:line="360" w:lineRule="auto"/>
      </w:pPr>
    </w:p>
    <w:p w14:paraId="4C61C853" w14:textId="77777777" w:rsidR="00B076F6" w:rsidRDefault="00B076F6" w:rsidP="00B35E88">
      <w:pPr>
        <w:spacing w:line="360" w:lineRule="auto"/>
        <w:rPr>
          <w:b/>
        </w:rPr>
      </w:pPr>
    </w:p>
    <w:p w14:paraId="5E4EE3E7" w14:textId="77777777" w:rsidR="00B076F6" w:rsidRDefault="00B076F6" w:rsidP="00B35E88">
      <w:pPr>
        <w:spacing w:line="360" w:lineRule="auto"/>
        <w:rPr>
          <w:b/>
        </w:rPr>
      </w:pPr>
    </w:p>
    <w:p w14:paraId="138A0743" w14:textId="77777777" w:rsidR="00B076F6" w:rsidRDefault="00B076F6" w:rsidP="00B35E88">
      <w:pPr>
        <w:spacing w:line="360" w:lineRule="auto"/>
        <w:rPr>
          <w:b/>
        </w:rPr>
      </w:pPr>
    </w:p>
    <w:p w14:paraId="31454FDC" w14:textId="77777777" w:rsidR="00B076F6" w:rsidRDefault="00B076F6" w:rsidP="00B35E88">
      <w:pPr>
        <w:spacing w:line="360" w:lineRule="auto"/>
        <w:rPr>
          <w:b/>
        </w:rPr>
      </w:pPr>
    </w:p>
    <w:p w14:paraId="667493DB" w14:textId="77777777" w:rsidR="00FF387E" w:rsidRDefault="00FF387E" w:rsidP="00B35E88">
      <w:pPr>
        <w:spacing w:line="360" w:lineRule="auto"/>
        <w:rPr>
          <w:b/>
        </w:rPr>
      </w:pPr>
    </w:p>
    <w:p w14:paraId="215932FE" w14:textId="77777777" w:rsidR="00FF387E" w:rsidRDefault="00FF387E" w:rsidP="00B35E88">
      <w:pPr>
        <w:spacing w:line="360" w:lineRule="auto"/>
        <w:rPr>
          <w:b/>
        </w:rPr>
      </w:pPr>
    </w:p>
    <w:p w14:paraId="76060C78" w14:textId="77777777" w:rsidR="00FF387E" w:rsidRDefault="00FF387E" w:rsidP="00B35E88">
      <w:pPr>
        <w:spacing w:line="360" w:lineRule="auto"/>
        <w:rPr>
          <w:b/>
        </w:rPr>
      </w:pPr>
    </w:p>
    <w:p w14:paraId="61193B66" w14:textId="77777777" w:rsidR="00FF387E" w:rsidRDefault="00FF387E" w:rsidP="00B35E88">
      <w:pPr>
        <w:spacing w:line="360" w:lineRule="auto"/>
        <w:rPr>
          <w:b/>
        </w:rPr>
      </w:pPr>
    </w:p>
    <w:p w14:paraId="20088FCC" w14:textId="77777777" w:rsidR="00FF387E" w:rsidRDefault="00FF387E" w:rsidP="00B35E88">
      <w:pPr>
        <w:spacing w:line="360" w:lineRule="auto"/>
        <w:rPr>
          <w:b/>
        </w:rPr>
      </w:pPr>
    </w:p>
    <w:p w14:paraId="0381537D" w14:textId="77777777" w:rsidR="00FF387E" w:rsidRDefault="00FF387E" w:rsidP="00B35E88">
      <w:pPr>
        <w:spacing w:line="360" w:lineRule="auto"/>
        <w:rPr>
          <w:b/>
        </w:rPr>
      </w:pPr>
    </w:p>
    <w:p w14:paraId="136C95BD" w14:textId="77777777" w:rsidR="00FF387E" w:rsidRDefault="00FF387E" w:rsidP="00B35E88">
      <w:pPr>
        <w:spacing w:line="360" w:lineRule="auto"/>
        <w:rPr>
          <w:b/>
        </w:rPr>
      </w:pPr>
    </w:p>
    <w:p w14:paraId="47B93765" w14:textId="77777777" w:rsidR="00FF387E" w:rsidRDefault="00FF387E" w:rsidP="00B35E88">
      <w:pPr>
        <w:spacing w:line="360" w:lineRule="auto"/>
        <w:rPr>
          <w:b/>
        </w:rPr>
      </w:pPr>
    </w:p>
    <w:p w14:paraId="278EFF53" w14:textId="77777777" w:rsidR="00FF387E" w:rsidRDefault="00FF387E" w:rsidP="00B35E88">
      <w:pPr>
        <w:spacing w:line="360" w:lineRule="auto"/>
        <w:rPr>
          <w:b/>
        </w:rPr>
      </w:pPr>
    </w:p>
    <w:p w14:paraId="33E5E0A1" w14:textId="77777777" w:rsidR="00FF387E" w:rsidRDefault="00FF387E" w:rsidP="00B35E88">
      <w:pPr>
        <w:spacing w:line="360" w:lineRule="auto"/>
        <w:rPr>
          <w:b/>
        </w:rPr>
      </w:pPr>
    </w:p>
    <w:p w14:paraId="14E75349" w14:textId="77777777" w:rsidR="00FF387E" w:rsidRDefault="00FF387E" w:rsidP="00B35E88">
      <w:pPr>
        <w:spacing w:line="360" w:lineRule="auto"/>
        <w:rPr>
          <w:b/>
        </w:rPr>
      </w:pPr>
    </w:p>
    <w:p w14:paraId="0972E659" w14:textId="77777777" w:rsidR="00FF387E" w:rsidRDefault="00FF387E" w:rsidP="00B35E88">
      <w:pPr>
        <w:spacing w:line="360" w:lineRule="auto"/>
        <w:rPr>
          <w:b/>
        </w:rPr>
      </w:pPr>
    </w:p>
    <w:p w14:paraId="17FB9B1B" w14:textId="77777777" w:rsidR="00FF387E" w:rsidRDefault="00FF387E" w:rsidP="00B35E88">
      <w:pPr>
        <w:spacing w:line="360" w:lineRule="auto"/>
        <w:rPr>
          <w:b/>
        </w:rPr>
      </w:pPr>
    </w:p>
    <w:p w14:paraId="047EC3FE" w14:textId="77777777" w:rsidR="007D538C" w:rsidRPr="009E7DDF" w:rsidRDefault="007D538C" w:rsidP="00B35E88">
      <w:pPr>
        <w:spacing w:line="360" w:lineRule="auto"/>
      </w:pPr>
    </w:p>
    <w:sectPr w:rsidR="007D538C" w:rsidRPr="009E7DDF" w:rsidSect="006115E3">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40D67" w14:textId="77777777" w:rsidR="00386D72" w:rsidRDefault="00386D72" w:rsidP="005C2677">
      <w:r>
        <w:separator/>
      </w:r>
    </w:p>
  </w:endnote>
  <w:endnote w:type="continuationSeparator" w:id="0">
    <w:p w14:paraId="3AF20C1A" w14:textId="77777777" w:rsidR="00386D72" w:rsidRDefault="00386D72" w:rsidP="005C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40BAB" w14:textId="77777777" w:rsidR="00EA696C" w:rsidRDefault="00EA696C" w:rsidP="009145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C2A72C" w14:textId="77777777" w:rsidR="00EA696C" w:rsidRDefault="00EA696C" w:rsidP="005C26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BE54A" w14:textId="77777777" w:rsidR="00EA696C" w:rsidRDefault="00EA696C" w:rsidP="009145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08D">
      <w:rPr>
        <w:rStyle w:val="PageNumber"/>
        <w:noProof/>
      </w:rPr>
      <w:t>1</w:t>
    </w:r>
    <w:r>
      <w:rPr>
        <w:rStyle w:val="PageNumber"/>
      </w:rPr>
      <w:fldChar w:fldCharType="end"/>
    </w:r>
  </w:p>
  <w:p w14:paraId="40D73C95" w14:textId="77777777" w:rsidR="00EA696C" w:rsidRDefault="00EA696C" w:rsidP="005C26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4BA68" w14:textId="77777777" w:rsidR="00386D72" w:rsidRDefault="00386D72" w:rsidP="005C2677">
      <w:r>
        <w:separator/>
      </w:r>
    </w:p>
  </w:footnote>
  <w:footnote w:type="continuationSeparator" w:id="0">
    <w:p w14:paraId="4FCF48C9" w14:textId="77777777" w:rsidR="00386D72" w:rsidRDefault="00386D72" w:rsidP="005C2677">
      <w:r>
        <w:continuationSeparator/>
      </w:r>
    </w:p>
  </w:footnote>
  <w:footnote w:id="1">
    <w:p w14:paraId="17A1526E" w14:textId="636F904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Mary R. Lefkowitz, </w:t>
      </w:r>
      <w:r w:rsidRPr="00C475B8">
        <w:rPr>
          <w:i/>
          <w:sz w:val="20"/>
          <w:szCs w:val="20"/>
        </w:rPr>
        <w:t>Heroines and Hysterics</w:t>
      </w:r>
      <w:r w:rsidRPr="00C475B8">
        <w:rPr>
          <w:sz w:val="20"/>
          <w:szCs w:val="20"/>
        </w:rPr>
        <w:t xml:space="preserve"> (Bristol, 1981), vii: ‘No great ancient writer devoted himself or herself to the task of writing a woman’s biography…’</w:t>
      </w:r>
    </w:p>
  </w:footnote>
  <w:footnote w:id="2">
    <w:p w14:paraId="251521AE" w14:textId="113E6973"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Maria Wyke, </w:t>
      </w:r>
      <w:r w:rsidRPr="00C475B8">
        <w:rPr>
          <w:i/>
          <w:sz w:val="20"/>
          <w:szCs w:val="20"/>
        </w:rPr>
        <w:t>The Roman Mistress: Ancient and Modern Representations</w:t>
      </w:r>
      <w:r w:rsidRPr="00C475B8">
        <w:rPr>
          <w:sz w:val="20"/>
          <w:szCs w:val="20"/>
        </w:rPr>
        <w:t xml:space="preserve"> (‘Meretrix regina: Augustan Cleopatras’) (Oxford, 2002), 195–243.</w:t>
      </w:r>
    </w:p>
  </w:footnote>
  <w:footnote w:id="3">
    <w:p w14:paraId="3C546D2F" w14:textId="552DDE8C" w:rsidR="00EA696C" w:rsidRPr="00632403" w:rsidRDefault="00EA696C">
      <w:pPr>
        <w:pStyle w:val="FootnoteText"/>
        <w:rPr>
          <w:sz w:val="20"/>
          <w:szCs w:val="20"/>
        </w:rPr>
      </w:pPr>
      <w:r w:rsidRPr="00632403">
        <w:rPr>
          <w:rStyle w:val="FootnoteReference"/>
          <w:sz w:val="20"/>
          <w:szCs w:val="20"/>
        </w:rPr>
        <w:footnoteRef/>
      </w:r>
      <w:r w:rsidRPr="00632403">
        <w:rPr>
          <w:sz w:val="20"/>
          <w:szCs w:val="20"/>
        </w:rPr>
        <w:t xml:space="preserve"> The subject of Josephus’ treatment of Cleopatra is rarely studied in detail: notable exceptions include Ilse Becher, </w:t>
      </w:r>
      <w:r w:rsidRPr="00632403">
        <w:rPr>
          <w:i/>
          <w:sz w:val="20"/>
          <w:szCs w:val="20"/>
        </w:rPr>
        <w:t>Das Bild der Kleopatra in der griechischen und lateinischen Literatur</w:t>
      </w:r>
      <w:r w:rsidRPr="00632403">
        <w:rPr>
          <w:sz w:val="20"/>
          <w:szCs w:val="20"/>
        </w:rPr>
        <w:t xml:space="preserve"> (Berlin, 1966), 63–8; Jan Willem van Henten, ‘Cleopatra in Josephus: From Herod’s Rival to the Wise Ruler’s Opposite’, in </w:t>
      </w:r>
      <w:r w:rsidRPr="00632403">
        <w:rPr>
          <w:i/>
          <w:sz w:val="20"/>
          <w:szCs w:val="20"/>
        </w:rPr>
        <w:t>The Wisdom of Egypt: Jewish, Early Christian, and Gnostic Essays in Honour of Gerard P. Luttikhuizen</w:t>
      </w:r>
      <w:r w:rsidRPr="00632403">
        <w:rPr>
          <w:sz w:val="20"/>
          <w:szCs w:val="20"/>
        </w:rPr>
        <w:t xml:space="preserve">, ed. Anthony Hillhorst and George H. van Kooten (Leiden, 2006), 115–34; Aryeh Kasher, </w:t>
      </w:r>
      <w:r w:rsidRPr="00632403">
        <w:rPr>
          <w:i/>
          <w:sz w:val="20"/>
          <w:szCs w:val="20"/>
        </w:rPr>
        <w:t>King Herod: A Persecuted Persecutor: A Case Study in Psychohistory and Psychobiography</w:t>
      </w:r>
      <w:r w:rsidRPr="00632403">
        <w:rPr>
          <w:sz w:val="20"/>
          <w:szCs w:val="20"/>
        </w:rPr>
        <w:t xml:space="preserve"> (Berlin, 2007), 126–54.</w:t>
      </w:r>
    </w:p>
  </w:footnote>
  <w:footnote w:id="4">
    <w:p w14:paraId="68FA0E37" w14:textId="66EBA2E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w:t>
      </w:r>
      <w:r>
        <w:rPr>
          <w:sz w:val="20"/>
          <w:szCs w:val="20"/>
        </w:rPr>
        <w:t xml:space="preserve">See, for example, </w:t>
      </w:r>
      <w:r w:rsidRPr="0098332F">
        <w:rPr>
          <w:i/>
          <w:sz w:val="20"/>
          <w:szCs w:val="20"/>
        </w:rPr>
        <w:t>Encyclopaedia Judaica</w:t>
      </w:r>
      <w:r>
        <w:rPr>
          <w:sz w:val="20"/>
          <w:szCs w:val="20"/>
        </w:rPr>
        <w:t xml:space="preserve"> (Jerusalem, 1971), s.v. ‘Cleopatra’; Louis Feldman, ‘Pro-Jewish Intimations in Anti-Jewish Remarks’, in Feldman, </w:t>
      </w:r>
      <w:r w:rsidRPr="0012045B">
        <w:rPr>
          <w:i/>
          <w:sz w:val="20"/>
          <w:szCs w:val="20"/>
        </w:rPr>
        <w:t>Studies</w:t>
      </w:r>
      <w:r>
        <w:rPr>
          <w:i/>
          <w:sz w:val="20"/>
          <w:szCs w:val="20"/>
        </w:rPr>
        <w:t xml:space="preserve"> in Hellenistic Judaism</w:t>
      </w:r>
      <w:r>
        <w:rPr>
          <w:sz w:val="20"/>
          <w:szCs w:val="20"/>
        </w:rPr>
        <w:t>, 177</w:t>
      </w:r>
      <w:r w:rsidRPr="00632403">
        <w:rPr>
          <w:sz w:val="20"/>
          <w:szCs w:val="20"/>
        </w:rPr>
        <w:t>–</w:t>
      </w:r>
      <w:r>
        <w:rPr>
          <w:sz w:val="20"/>
          <w:szCs w:val="20"/>
        </w:rPr>
        <w:t>236 (214</w:t>
      </w:r>
      <w:r w:rsidRPr="00632403">
        <w:rPr>
          <w:sz w:val="20"/>
          <w:szCs w:val="20"/>
        </w:rPr>
        <w:t>–</w:t>
      </w:r>
      <w:r>
        <w:rPr>
          <w:sz w:val="20"/>
          <w:szCs w:val="20"/>
        </w:rPr>
        <w:t xml:space="preserve">216); Werner Huß, </w:t>
      </w:r>
      <w:r w:rsidRPr="00995E09">
        <w:rPr>
          <w:i/>
          <w:sz w:val="20"/>
          <w:szCs w:val="20"/>
        </w:rPr>
        <w:t>Ägypten in hellenistischer Zeit 332–30 v. Chr.</w:t>
      </w:r>
      <w:r>
        <w:rPr>
          <w:sz w:val="20"/>
          <w:szCs w:val="20"/>
        </w:rPr>
        <w:t xml:space="preserve"> (Munich, 2001), 754</w:t>
      </w:r>
      <w:r w:rsidRPr="00632403">
        <w:rPr>
          <w:sz w:val="20"/>
          <w:szCs w:val="20"/>
        </w:rPr>
        <w:t>–</w:t>
      </w:r>
      <w:r>
        <w:rPr>
          <w:sz w:val="20"/>
          <w:szCs w:val="20"/>
        </w:rPr>
        <w:t xml:space="preserve">55; and the more detailed attempt to show Cleopatra’s antipathy towards Jews in Livia Capponi, </w:t>
      </w:r>
      <w:r w:rsidRPr="00C475B8">
        <w:rPr>
          <w:i/>
          <w:sz w:val="20"/>
          <w:szCs w:val="20"/>
        </w:rPr>
        <w:t>Il Tempio di Leontopoli in Egitto: Identità Politica e Religiosa dei Giudei di Onia (c. 150 a.C.-73 d.C.)</w:t>
      </w:r>
      <w:r>
        <w:rPr>
          <w:sz w:val="20"/>
          <w:szCs w:val="20"/>
        </w:rPr>
        <w:t xml:space="preserve"> (Pisa, 2007), 115</w:t>
      </w:r>
      <w:r w:rsidRPr="00632403">
        <w:rPr>
          <w:sz w:val="20"/>
          <w:szCs w:val="20"/>
        </w:rPr>
        <w:t>–</w:t>
      </w:r>
      <w:r>
        <w:rPr>
          <w:sz w:val="20"/>
          <w:szCs w:val="20"/>
        </w:rPr>
        <w:t xml:space="preserve">19. Against the construction of Cleopatra as anti-Jewish, see, for example, brief remarks in Victor Tcherikover, ‘Prolegomena’, in </w:t>
      </w:r>
      <w:r w:rsidRPr="00767414">
        <w:rPr>
          <w:i/>
          <w:sz w:val="20"/>
          <w:szCs w:val="20"/>
        </w:rPr>
        <w:t>Corpus Papyrorum Judaicarum</w:t>
      </w:r>
      <w:r>
        <w:rPr>
          <w:sz w:val="20"/>
          <w:szCs w:val="20"/>
        </w:rPr>
        <w:t xml:space="preserve"> Vol. 1, ed. Victor A. Tcherikover in collaboration with Alexander Fuks (Cambridge, MA, 1957), 55; Joseph Mélèze-Modrzejewski, ‘La dernière chance des Juifs d’Egypte’, in </w:t>
      </w:r>
      <w:r w:rsidRPr="00F607B8">
        <w:rPr>
          <w:i/>
          <w:sz w:val="20"/>
          <w:szCs w:val="20"/>
        </w:rPr>
        <w:t>L’Histoire</w:t>
      </w:r>
      <w:r>
        <w:rPr>
          <w:sz w:val="20"/>
          <w:szCs w:val="20"/>
        </w:rPr>
        <w:t xml:space="preserve"> no. 238 (December 1999), 48</w:t>
      </w:r>
      <w:r w:rsidRPr="00632403">
        <w:rPr>
          <w:sz w:val="20"/>
          <w:szCs w:val="20"/>
        </w:rPr>
        <w:t>–</w:t>
      </w:r>
      <w:r>
        <w:rPr>
          <w:sz w:val="20"/>
          <w:szCs w:val="20"/>
        </w:rPr>
        <w:t xml:space="preserve">49 (49); Sandra Gambetti, </w:t>
      </w:r>
      <w:r w:rsidRPr="00C475B8">
        <w:rPr>
          <w:i/>
          <w:sz w:val="20"/>
          <w:szCs w:val="20"/>
        </w:rPr>
        <w:t>The Alexandrian Riots of 38 C.E. and the Persecution of the Jews: A Historical Reconstruction</w:t>
      </w:r>
      <w:r>
        <w:rPr>
          <w:sz w:val="20"/>
          <w:szCs w:val="20"/>
        </w:rPr>
        <w:t xml:space="preserve"> (Leiden, 2009), 55, n. 121; Duane W. Roller, </w:t>
      </w:r>
      <w:r w:rsidRPr="002E0C50">
        <w:rPr>
          <w:i/>
          <w:sz w:val="20"/>
          <w:szCs w:val="20"/>
        </w:rPr>
        <w:t>Cleopatra: A Biography</w:t>
      </w:r>
      <w:r>
        <w:rPr>
          <w:sz w:val="20"/>
          <w:szCs w:val="20"/>
        </w:rPr>
        <w:t xml:space="preserve"> (Oxford, 2010), 103</w:t>
      </w:r>
      <w:r w:rsidRPr="00632403">
        <w:rPr>
          <w:sz w:val="20"/>
          <w:szCs w:val="20"/>
        </w:rPr>
        <w:t>–</w:t>
      </w:r>
      <w:r>
        <w:rPr>
          <w:sz w:val="20"/>
          <w:szCs w:val="20"/>
        </w:rPr>
        <w:t>04.</w:t>
      </w:r>
    </w:p>
  </w:footnote>
  <w:footnote w:id="5">
    <w:p w14:paraId="1C30CFE3" w14:textId="464B27B4" w:rsidR="00EA696C" w:rsidRPr="001D78F2" w:rsidRDefault="00EA696C">
      <w:pPr>
        <w:pStyle w:val="FootnoteText"/>
        <w:rPr>
          <w:sz w:val="20"/>
          <w:szCs w:val="20"/>
        </w:rPr>
      </w:pPr>
      <w:r w:rsidRPr="005B4160">
        <w:rPr>
          <w:rStyle w:val="FootnoteReference"/>
          <w:sz w:val="20"/>
          <w:szCs w:val="20"/>
        </w:rPr>
        <w:footnoteRef/>
      </w:r>
      <w:r w:rsidRPr="005B4160">
        <w:rPr>
          <w:sz w:val="20"/>
          <w:szCs w:val="20"/>
        </w:rPr>
        <w:t xml:space="preserve"> </w:t>
      </w:r>
      <w:r>
        <w:rPr>
          <w:sz w:val="20"/>
          <w:szCs w:val="20"/>
        </w:rPr>
        <w:t xml:space="preserve">For an authoritative overview, see Joseph </w:t>
      </w:r>
      <w:r w:rsidRPr="00C475B8">
        <w:rPr>
          <w:sz w:val="20"/>
          <w:szCs w:val="20"/>
        </w:rPr>
        <w:t xml:space="preserve">Mélèze-Modrzejewski, </w:t>
      </w:r>
      <w:r w:rsidRPr="00C475B8">
        <w:rPr>
          <w:i/>
          <w:sz w:val="20"/>
          <w:szCs w:val="20"/>
        </w:rPr>
        <w:t>The Jews of Egypt</w:t>
      </w:r>
      <w:r>
        <w:rPr>
          <w:i/>
          <w:sz w:val="20"/>
          <w:szCs w:val="20"/>
        </w:rPr>
        <w:t xml:space="preserve">: From Rameses II to Emperor Hadrian </w:t>
      </w:r>
      <w:r>
        <w:rPr>
          <w:sz w:val="20"/>
          <w:szCs w:val="20"/>
        </w:rPr>
        <w:t>(Princeton</w:t>
      </w:r>
      <w:r w:rsidR="001D78F2">
        <w:rPr>
          <w:sz w:val="20"/>
          <w:szCs w:val="20"/>
        </w:rPr>
        <w:t>, NJ</w:t>
      </w:r>
      <w:r>
        <w:rPr>
          <w:sz w:val="20"/>
          <w:szCs w:val="20"/>
        </w:rPr>
        <w:t>, 1995).</w:t>
      </w:r>
    </w:p>
  </w:footnote>
  <w:footnote w:id="6">
    <w:p w14:paraId="2BE80BEF" w14:textId="5AD83CFB"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Propertius, </w:t>
      </w:r>
      <w:r w:rsidRPr="00C475B8">
        <w:rPr>
          <w:i/>
          <w:sz w:val="20"/>
          <w:szCs w:val="20"/>
        </w:rPr>
        <w:t xml:space="preserve">Elegies </w:t>
      </w:r>
      <w:r w:rsidR="005211D3">
        <w:rPr>
          <w:sz w:val="20"/>
          <w:szCs w:val="20"/>
        </w:rPr>
        <w:t>Book 3</w:t>
      </w:r>
      <w:r w:rsidRPr="00C475B8">
        <w:rPr>
          <w:sz w:val="20"/>
          <w:szCs w:val="20"/>
        </w:rPr>
        <w:t xml:space="preserve">.11, 40: </w:t>
      </w:r>
      <w:r w:rsidRPr="00C475B8">
        <w:rPr>
          <w:i/>
          <w:sz w:val="20"/>
          <w:szCs w:val="20"/>
        </w:rPr>
        <w:t>una Phillipeo sanguine adusta nota</w:t>
      </w:r>
      <w:r w:rsidRPr="00C475B8">
        <w:rPr>
          <w:sz w:val="20"/>
          <w:szCs w:val="20"/>
        </w:rPr>
        <w:t>.</w:t>
      </w:r>
    </w:p>
  </w:footnote>
  <w:footnote w:id="7">
    <w:p w14:paraId="702A4C57" w14:textId="39B0B51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Roller, </w:t>
      </w:r>
      <w:r w:rsidRPr="00AF7236">
        <w:rPr>
          <w:i/>
          <w:sz w:val="20"/>
          <w:szCs w:val="20"/>
        </w:rPr>
        <w:t>Cleopatra</w:t>
      </w:r>
      <w:r>
        <w:rPr>
          <w:sz w:val="20"/>
          <w:szCs w:val="20"/>
        </w:rPr>
        <w:t xml:space="preserve">, </w:t>
      </w:r>
      <w:r w:rsidRPr="00290E22">
        <w:rPr>
          <w:sz w:val="20"/>
          <w:szCs w:val="20"/>
        </w:rPr>
        <w:t>131</w:t>
      </w:r>
      <w:r w:rsidRPr="00C475B8">
        <w:rPr>
          <w:sz w:val="20"/>
          <w:szCs w:val="20"/>
        </w:rPr>
        <w:t>.</w:t>
      </w:r>
    </w:p>
  </w:footnote>
  <w:footnote w:id="8">
    <w:p w14:paraId="5159E1FA" w14:textId="34A85A0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Ap</w:t>
      </w:r>
      <w:r>
        <w:rPr>
          <w:i/>
          <w:sz w:val="20"/>
          <w:szCs w:val="20"/>
        </w:rPr>
        <w:t>ion</w:t>
      </w:r>
      <w:r w:rsidRPr="00C475B8">
        <w:rPr>
          <w:sz w:val="20"/>
          <w:szCs w:val="20"/>
        </w:rPr>
        <w:t xml:space="preserve"> 2.56–61.</w:t>
      </w:r>
    </w:p>
  </w:footnote>
  <w:footnote w:id="9">
    <w:p w14:paraId="1DD37B3E" w14:textId="4C4968F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The </w:t>
      </w:r>
      <w:r w:rsidRPr="00C475B8">
        <w:rPr>
          <w:i/>
          <w:sz w:val="20"/>
          <w:szCs w:val="20"/>
        </w:rPr>
        <w:t>Apion</w:t>
      </w:r>
      <w:r w:rsidRPr="00C475B8">
        <w:rPr>
          <w:sz w:val="20"/>
          <w:szCs w:val="20"/>
        </w:rPr>
        <w:t xml:space="preserve"> must post-date the publication of Josephus’ </w:t>
      </w:r>
      <w:r w:rsidRPr="00C475B8">
        <w:rPr>
          <w:i/>
          <w:sz w:val="20"/>
          <w:szCs w:val="20"/>
        </w:rPr>
        <w:t>Antiquities</w:t>
      </w:r>
      <w:r w:rsidRPr="00C475B8">
        <w:rPr>
          <w:sz w:val="20"/>
          <w:szCs w:val="20"/>
        </w:rPr>
        <w:t xml:space="preserve">, referred to at </w:t>
      </w:r>
      <w:r w:rsidRPr="00C475B8">
        <w:rPr>
          <w:i/>
          <w:sz w:val="20"/>
          <w:szCs w:val="20"/>
        </w:rPr>
        <w:t>Ap</w:t>
      </w:r>
      <w:r w:rsidR="00532973">
        <w:rPr>
          <w:i/>
          <w:sz w:val="20"/>
          <w:szCs w:val="20"/>
        </w:rPr>
        <w:t>ion</w:t>
      </w:r>
      <w:r w:rsidRPr="00C475B8">
        <w:rPr>
          <w:sz w:val="20"/>
          <w:szCs w:val="20"/>
        </w:rPr>
        <w:t xml:space="preserve"> 1.1; 2.287, and known to have been completed in 93/94 CE (Josephus, </w:t>
      </w:r>
      <w:r w:rsidR="00532973" w:rsidRPr="00C475B8">
        <w:rPr>
          <w:i/>
          <w:sz w:val="20"/>
          <w:szCs w:val="20"/>
        </w:rPr>
        <w:t>Antiquities</w:t>
      </w:r>
      <w:r w:rsidRPr="00C475B8">
        <w:rPr>
          <w:sz w:val="20"/>
          <w:szCs w:val="20"/>
        </w:rPr>
        <w:t xml:space="preserve"> 20.267): for detailed discussion, see John M.G. Barclay, </w:t>
      </w:r>
      <w:r w:rsidRPr="00C475B8">
        <w:rPr>
          <w:i/>
          <w:sz w:val="20"/>
          <w:szCs w:val="20"/>
        </w:rPr>
        <w:t>Against Apion: Translation and Commentary</w:t>
      </w:r>
      <w:r w:rsidRPr="00C475B8">
        <w:rPr>
          <w:sz w:val="20"/>
          <w:szCs w:val="20"/>
        </w:rPr>
        <w:t xml:space="preserve"> (</w:t>
      </w:r>
      <w:r w:rsidRPr="00C475B8">
        <w:rPr>
          <w:i/>
          <w:sz w:val="20"/>
          <w:szCs w:val="20"/>
        </w:rPr>
        <w:t>Flavius Josephus: Translation and Commentary</w:t>
      </w:r>
      <w:r w:rsidRPr="00C475B8">
        <w:rPr>
          <w:sz w:val="20"/>
          <w:szCs w:val="20"/>
        </w:rPr>
        <w:t xml:space="preserve"> Vol</w:t>
      </w:r>
      <w:r>
        <w:rPr>
          <w:sz w:val="20"/>
          <w:szCs w:val="20"/>
        </w:rPr>
        <w:t>. 10; Leiden, 2007), xxvi–</w:t>
      </w:r>
      <w:r w:rsidRPr="00C475B8">
        <w:rPr>
          <w:sz w:val="20"/>
          <w:szCs w:val="20"/>
        </w:rPr>
        <w:t>viii.</w:t>
      </w:r>
      <w:r>
        <w:rPr>
          <w:sz w:val="20"/>
          <w:szCs w:val="20"/>
        </w:rPr>
        <w:t xml:space="preserve"> </w:t>
      </w:r>
    </w:p>
  </w:footnote>
  <w:footnote w:id="10">
    <w:p w14:paraId="1D074DA8" w14:textId="2ED86760" w:rsidR="00EA696C" w:rsidRPr="00C475B8" w:rsidRDefault="00EA696C" w:rsidP="004F4A9F">
      <w:pPr>
        <w:pStyle w:val="FootnoteText"/>
        <w:rPr>
          <w:sz w:val="20"/>
          <w:szCs w:val="20"/>
        </w:rPr>
      </w:pPr>
      <w:r w:rsidRPr="00C475B8">
        <w:rPr>
          <w:rStyle w:val="FootnoteReference"/>
          <w:sz w:val="20"/>
          <w:szCs w:val="20"/>
        </w:rPr>
        <w:footnoteRef/>
      </w:r>
      <w:r w:rsidRPr="00C475B8">
        <w:rPr>
          <w:sz w:val="20"/>
          <w:szCs w:val="20"/>
        </w:rPr>
        <w:t xml:space="preserve"> Tessa Rajak, </w:t>
      </w:r>
      <w:r w:rsidRPr="00C475B8">
        <w:rPr>
          <w:i/>
          <w:sz w:val="20"/>
          <w:szCs w:val="20"/>
        </w:rPr>
        <w:t>Josephus: The Historian and His Society</w:t>
      </w:r>
      <w:r w:rsidRPr="00C475B8">
        <w:rPr>
          <w:sz w:val="20"/>
          <w:szCs w:val="20"/>
        </w:rPr>
        <w:t xml:space="preserve"> (</w:t>
      </w:r>
      <w:r>
        <w:rPr>
          <w:sz w:val="20"/>
          <w:szCs w:val="20"/>
        </w:rPr>
        <w:t>2</w:t>
      </w:r>
      <w:r w:rsidRPr="00E31B7A">
        <w:rPr>
          <w:sz w:val="20"/>
          <w:szCs w:val="20"/>
          <w:vertAlign w:val="superscript"/>
        </w:rPr>
        <w:t>nd</w:t>
      </w:r>
      <w:r>
        <w:rPr>
          <w:sz w:val="20"/>
          <w:szCs w:val="20"/>
        </w:rPr>
        <w:t xml:space="preserve"> edn; </w:t>
      </w:r>
      <w:r w:rsidRPr="00C475B8">
        <w:rPr>
          <w:sz w:val="20"/>
          <w:szCs w:val="20"/>
        </w:rPr>
        <w:t xml:space="preserve">Oxford, 2002), 226–29. On the Roman context of Flavian propaganda: Fergus Millar, ‘Last Year in Jerusalem: Monuments of the Jewish War in Rome’, in </w:t>
      </w:r>
      <w:r w:rsidRPr="00C475B8">
        <w:rPr>
          <w:i/>
          <w:sz w:val="20"/>
          <w:szCs w:val="20"/>
        </w:rPr>
        <w:t>Flavius Josephus and Flavian Rome</w:t>
      </w:r>
      <w:r w:rsidRPr="00C475B8">
        <w:rPr>
          <w:sz w:val="20"/>
          <w:szCs w:val="20"/>
        </w:rPr>
        <w:t>, ed. Jonathan Edmondson, Steve Mason, and J</w:t>
      </w:r>
      <w:r>
        <w:rPr>
          <w:sz w:val="20"/>
          <w:szCs w:val="20"/>
        </w:rPr>
        <w:t>ames Rives (Oxford, 2008), 101–</w:t>
      </w:r>
      <w:r w:rsidRPr="00C475B8">
        <w:rPr>
          <w:sz w:val="20"/>
          <w:szCs w:val="20"/>
        </w:rPr>
        <w:t xml:space="preserve">28; and, in relation to the </w:t>
      </w:r>
      <w:r w:rsidRPr="00C475B8">
        <w:rPr>
          <w:i/>
          <w:sz w:val="20"/>
          <w:szCs w:val="20"/>
        </w:rPr>
        <w:t>Apion</w:t>
      </w:r>
      <w:r w:rsidRPr="00C475B8">
        <w:rPr>
          <w:sz w:val="20"/>
          <w:szCs w:val="20"/>
        </w:rPr>
        <w:t xml:space="preserve">, Barclay, </w:t>
      </w:r>
      <w:r w:rsidRPr="00C475B8">
        <w:rPr>
          <w:i/>
          <w:sz w:val="20"/>
          <w:szCs w:val="20"/>
        </w:rPr>
        <w:t>Against Apion</w:t>
      </w:r>
      <w:r w:rsidRPr="00C475B8">
        <w:rPr>
          <w:sz w:val="20"/>
          <w:szCs w:val="20"/>
        </w:rPr>
        <w:t>, xxxvi–xliv.</w:t>
      </w:r>
    </w:p>
  </w:footnote>
  <w:footnote w:id="11">
    <w:p w14:paraId="044815E3" w14:textId="53AA969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On the alignment of the </w:t>
      </w:r>
      <w:r w:rsidRPr="00C475B8">
        <w:rPr>
          <w:i/>
          <w:sz w:val="20"/>
          <w:szCs w:val="20"/>
        </w:rPr>
        <w:t>Against Apion</w:t>
      </w:r>
      <w:r w:rsidRPr="00C475B8">
        <w:rPr>
          <w:sz w:val="20"/>
          <w:szCs w:val="20"/>
        </w:rPr>
        <w:t xml:space="preserve"> with Roman values, political and cultural: Martin Goodman, ‘Josephus’ Treatise </w:t>
      </w:r>
      <w:r w:rsidRPr="00C475B8">
        <w:rPr>
          <w:i/>
          <w:sz w:val="20"/>
          <w:szCs w:val="20"/>
        </w:rPr>
        <w:t>Against Apion</w:t>
      </w:r>
      <w:r w:rsidRPr="00C475B8">
        <w:rPr>
          <w:sz w:val="20"/>
          <w:szCs w:val="20"/>
        </w:rPr>
        <w:t xml:space="preserve">’, in </w:t>
      </w:r>
      <w:r w:rsidRPr="00C475B8">
        <w:rPr>
          <w:i/>
          <w:sz w:val="20"/>
          <w:szCs w:val="20"/>
        </w:rPr>
        <w:t>Apologetics in the Roman Empire: Pagans, Jews, and Christians</w:t>
      </w:r>
      <w:r>
        <w:rPr>
          <w:sz w:val="20"/>
          <w:szCs w:val="20"/>
        </w:rPr>
        <w:t>, ed.</w:t>
      </w:r>
      <w:r w:rsidRPr="00C475B8">
        <w:rPr>
          <w:sz w:val="20"/>
          <w:szCs w:val="20"/>
        </w:rPr>
        <w:t xml:space="preserve"> Mark J. Edwar</w:t>
      </w:r>
      <w:r>
        <w:rPr>
          <w:sz w:val="20"/>
          <w:szCs w:val="20"/>
        </w:rPr>
        <w:t>ds, Martin Goodman, Simon Price</w:t>
      </w:r>
      <w:r w:rsidRPr="00C475B8">
        <w:rPr>
          <w:sz w:val="20"/>
          <w:szCs w:val="20"/>
        </w:rPr>
        <w:t xml:space="preserve"> and Christopher Rowland (Oxford, 1999), 45–58; Barclay, </w:t>
      </w:r>
      <w:r w:rsidRPr="00C475B8">
        <w:rPr>
          <w:i/>
          <w:sz w:val="20"/>
          <w:szCs w:val="20"/>
        </w:rPr>
        <w:t>Against Apion</w:t>
      </w:r>
      <w:r>
        <w:rPr>
          <w:sz w:val="20"/>
          <w:szCs w:val="20"/>
        </w:rPr>
        <w:t>, 167–69, 362–</w:t>
      </w:r>
      <w:r w:rsidRPr="00C475B8">
        <w:rPr>
          <w:sz w:val="20"/>
          <w:szCs w:val="20"/>
        </w:rPr>
        <w:t xml:space="preserve">69. On the apologetic character of the work: Barclay, </w:t>
      </w:r>
      <w:r w:rsidRPr="00C475B8">
        <w:rPr>
          <w:i/>
          <w:sz w:val="20"/>
          <w:szCs w:val="20"/>
        </w:rPr>
        <w:t>Against Apion</w:t>
      </w:r>
      <w:r>
        <w:rPr>
          <w:sz w:val="20"/>
          <w:szCs w:val="20"/>
        </w:rPr>
        <w:t>, xxx–</w:t>
      </w:r>
      <w:r w:rsidRPr="00C475B8">
        <w:rPr>
          <w:sz w:val="20"/>
          <w:szCs w:val="20"/>
        </w:rPr>
        <w:t>vi.</w:t>
      </w:r>
    </w:p>
  </w:footnote>
  <w:footnote w:id="12">
    <w:p w14:paraId="7A785F19" w14:textId="4C3EF39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Ap</w:t>
      </w:r>
      <w:r w:rsidR="003D514E">
        <w:rPr>
          <w:i/>
          <w:sz w:val="20"/>
          <w:szCs w:val="20"/>
        </w:rPr>
        <w:t>ion</w:t>
      </w:r>
      <w:r w:rsidRPr="00C475B8">
        <w:rPr>
          <w:sz w:val="20"/>
          <w:szCs w:val="20"/>
        </w:rPr>
        <w:t xml:space="preserve"> 1.219–2.286; as ‘refutation’, cf. 2.1, </w:t>
      </w:r>
      <w:r w:rsidRPr="00C475B8">
        <w:rPr>
          <w:sz w:val="20"/>
          <w:szCs w:val="20"/>
          <w:lang w:val="el-GR"/>
        </w:rPr>
        <w:t>ἀντίρρησις</w:t>
      </w:r>
      <w:r w:rsidRPr="00C475B8">
        <w:rPr>
          <w:sz w:val="20"/>
          <w:szCs w:val="20"/>
        </w:rPr>
        <w:t>, ‘counter-statement’; on his purpose in writing, cf</w:t>
      </w:r>
      <w:r>
        <w:rPr>
          <w:sz w:val="20"/>
          <w:szCs w:val="20"/>
        </w:rPr>
        <w:t>. especially 1.1–5; 2.1–7, 287-</w:t>
      </w:r>
      <w:r w:rsidRPr="00C475B8">
        <w:rPr>
          <w:sz w:val="20"/>
          <w:szCs w:val="20"/>
        </w:rPr>
        <w:t xml:space="preserve">96. </w:t>
      </w:r>
    </w:p>
  </w:footnote>
  <w:footnote w:id="13">
    <w:p w14:paraId="5EB24438" w14:textId="0452CDF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w:t>
      </w:r>
      <w:r w:rsidR="003D514E">
        <w:rPr>
          <w:sz w:val="20"/>
          <w:szCs w:val="20"/>
        </w:rPr>
        <w:t>ephus</w:t>
      </w:r>
      <w:r w:rsidRPr="00C475B8">
        <w:rPr>
          <w:sz w:val="20"/>
          <w:szCs w:val="20"/>
        </w:rPr>
        <w:t xml:space="preserve">, </w:t>
      </w:r>
      <w:r w:rsidR="003D514E" w:rsidRPr="00C475B8">
        <w:rPr>
          <w:i/>
          <w:sz w:val="20"/>
          <w:szCs w:val="20"/>
        </w:rPr>
        <w:t>Ap</w:t>
      </w:r>
      <w:r w:rsidR="003D514E">
        <w:rPr>
          <w:i/>
          <w:sz w:val="20"/>
          <w:szCs w:val="20"/>
        </w:rPr>
        <w:t>ion</w:t>
      </w:r>
      <w:r w:rsidRPr="00C475B8">
        <w:rPr>
          <w:sz w:val="20"/>
          <w:szCs w:val="20"/>
        </w:rPr>
        <w:t xml:space="preserve"> 2.2–144, cf. 148, 295.</w:t>
      </w:r>
    </w:p>
  </w:footnote>
  <w:footnote w:id="14">
    <w:p w14:paraId="5371365B" w14:textId="54C188E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3D514E" w:rsidRPr="00C475B8">
        <w:rPr>
          <w:i/>
          <w:sz w:val="20"/>
          <w:szCs w:val="20"/>
        </w:rPr>
        <w:t>Ap</w:t>
      </w:r>
      <w:r w:rsidR="003D514E">
        <w:rPr>
          <w:i/>
          <w:sz w:val="20"/>
          <w:szCs w:val="20"/>
        </w:rPr>
        <w:t>ion</w:t>
      </w:r>
      <w:r w:rsidRPr="00C475B8">
        <w:rPr>
          <w:sz w:val="20"/>
          <w:szCs w:val="20"/>
        </w:rPr>
        <w:t xml:space="preserve"> 2.56.</w:t>
      </w:r>
    </w:p>
  </w:footnote>
  <w:footnote w:id="15">
    <w:p w14:paraId="28104067" w14:textId="795D522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3D514E" w:rsidRPr="00C475B8">
        <w:rPr>
          <w:i/>
          <w:sz w:val="20"/>
          <w:szCs w:val="20"/>
        </w:rPr>
        <w:t>Ap</w:t>
      </w:r>
      <w:r w:rsidR="003D514E">
        <w:rPr>
          <w:i/>
          <w:sz w:val="20"/>
          <w:szCs w:val="20"/>
        </w:rPr>
        <w:t>ion</w:t>
      </w:r>
      <w:r w:rsidRPr="00C475B8">
        <w:rPr>
          <w:sz w:val="20"/>
          <w:szCs w:val="20"/>
        </w:rPr>
        <w:t xml:space="preserve"> 2.56: </w:t>
      </w:r>
      <w:r w:rsidRPr="00043524">
        <w:rPr>
          <w:i/>
          <w:sz w:val="20"/>
          <w:szCs w:val="20"/>
        </w:rPr>
        <w:t xml:space="preserve">Is (Apion) autem etiam ultimae Cleopatrae Alexandrinorum reginae meminit, ueluti nobis improperans quoniam circa </w:t>
      </w:r>
      <w:r w:rsidRPr="00043524">
        <w:rPr>
          <w:i/>
          <w:sz w:val="20"/>
          <w:szCs w:val="20"/>
          <w:u w:val="single"/>
        </w:rPr>
        <w:t>nos</w:t>
      </w:r>
      <w:r w:rsidRPr="00043524">
        <w:rPr>
          <w:i/>
          <w:sz w:val="20"/>
          <w:szCs w:val="20"/>
        </w:rPr>
        <w:t xml:space="preserve"> fuit ingrata</w:t>
      </w:r>
      <w:r>
        <w:rPr>
          <w:sz w:val="20"/>
          <w:szCs w:val="20"/>
        </w:rPr>
        <w:t xml:space="preserve">… </w:t>
      </w:r>
      <w:r w:rsidR="00D10F21">
        <w:rPr>
          <w:sz w:val="20"/>
          <w:szCs w:val="20"/>
        </w:rPr>
        <w:t>(my underline)</w:t>
      </w:r>
      <w:r w:rsidRPr="00C475B8">
        <w:rPr>
          <w:sz w:val="20"/>
          <w:szCs w:val="20"/>
        </w:rPr>
        <w:t xml:space="preserve">. </w:t>
      </w:r>
    </w:p>
  </w:footnote>
  <w:footnote w:id="16">
    <w:p w14:paraId="04D89159" w14:textId="27B1140E"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AC3447" w:rsidRPr="00C475B8">
        <w:rPr>
          <w:i/>
          <w:sz w:val="20"/>
          <w:szCs w:val="20"/>
        </w:rPr>
        <w:t>Ap</w:t>
      </w:r>
      <w:r w:rsidR="00AC3447">
        <w:rPr>
          <w:i/>
          <w:sz w:val="20"/>
          <w:szCs w:val="20"/>
        </w:rPr>
        <w:t>ion</w:t>
      </w:r>
      <w:r w:rsidR="00AC3447" w:rsidRPr="00C475B8" w:rsidDel="00AC3447">
        <w:rPr>
          <w:i/>
          <w:sz w:val="20"/>
          <w:szCs w:val="20"/>
        </w:rPr>
        <w:t xml:space="preserve"> </w:t>
      </w:r>
      <w:r w:rsidRPr="00C475B8">
        <w:rPr>
          <w:sz w:val="20"/>
          <w:szCs w:val="20"/>
        </w:rPr>
        <w:t>2.60.</w:t>
      </w:r>
    </w:p>
  </w:footnote>
  <w:footnote w:id="17">
    <w:p w14:paraId="5FF7B644" w14:textId="525F34E8"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Henry St. J. Thackeray, </w:t>
      </w:r>
      <w:r w:rsidRPr="00C475B8">
        <w:rPr>
          <w:i/>
          <w:sz w:val="20"/>
          <w:szCs w:val="20"/>
        </w:rPr>
        <w:t xml:space="preserve">Josephus </w:t>
      </w:r>
      <w:r w:rsidRPr="00C475B8">
        <w:rPr>
          <w:sz w:val="20"/>
          <w:szCs w:val="20"/>
        </w:rPr>
        <w:t xml:space="preserve">Vol. 1. </w:t>
      </w:r>
      <w:r w:rsidRPr="00C475B8">
        <w:rPr>
          <w:i/>
          <w:sz w:val="20"/>
          <w:szCs w:val="20"/>
        </w:rPr>
        <w:t>The Life. Against Apion</w:t>
      </w:r>
      <w:r w:rsidRPr="00C475B8">
        <w:rPr>
          <w:sz w:val="20"/>
          <w:szCs w:val="20"/>
        </w:rPr>
        <w:t xml:space="preserve"> (London and Cambridge, MA, 1926), 315.</w:t>
      </w:r>
    </w:p>
  </w:footnote>
  <w:footnote w:id="18">
    <w:p w14:paraId="06185A36" w14:textId="7777777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A notorious example involves the claim that Apion’s expositions of Homer owed their authority to a tutorial with the spirit of Homer in the underworld (Pliny, </w:t>
      </w:r>
      <w:r w:rsidRPr="00C475B8">
        <w:rPr>
          <w:i/>
          <w:sz w:val="20"/>
          <w:szCs w:val="20"/>
        </w:rPr>
        <w:t>H.N.</w:t>
      </w:r>
      <w:r w:rsidRPr="00C475B8">
        <w:rPr>
          <w:sz w:val="20"/>
          <w:szCs w:val="20"/>
        </w:rPr>
        <w:t xml:space="preserve"> 30.6.18). On the figure of</w:t>
      </w:r>
    </w:p>
    <w:p w14:paraId="2EB572C9" w14:textId="7F60355C" w:rsidR="00EA696C" w:rsidRPr="00C475B8" w:rsidRDefault="00EA696C">
      <w:pPr>
        <w:pStyle w:val="FootnoteText"/>
        <w:rPr>
          <w:i/>
          <w:sz w:val="20"/>
          <w:szCs w:val="20"/>
        </w:rPr>
      </w:pPr>
      <w:r w:rsidRPr="00C475B8">
        <w:rPr>
          <w:sz w:val="20"/>
          <w:szCs w:val="20"/>
        </w:rPr>
        <w:t xml:space="preserve"> Apion: Barclay, </w:t>
      </w:r>
      <w:r w:rsidRPr="00C475B8">
        <w:rPr>
          <w:i/>
          <w:sz w:val="20"/>
          <w:szCs w:val="20"/>
        </w:rPr>
        <w:t>Against Apion</w:t>
      </w:r>
      <w:r>
        <w:rPr>
          <w:sz w:val="20"/>
          <w:szCs w:val="20"/>
        </w:rPr>
        <w:t>, 170–</w:t>
      </w:r>
      <w:r w:rsidRPr="00C475B8">
        <w:rPr>
          <w:sz w:val="20"/>
          <w:szCs w:val="20"/>
        </w:rPr>
        <w:t xml:space="preserve">71, with </w:t>
      </w:r>
      <w:r>
        <w:rPr>
          <w:sz w:val="20"/>
          <w:szCs w:val="20"/>
        </w:rPr>
        <w:t xml:space="preserve">detailed </w:t>
      </w:r>
      <w:r w:rsidRPr="00C475B8">
        <w:rPr>
          <w:sz w:val="20"/>
          <w:szCs w:val="20"/>
        </w:rPr>
        <w:t>bibliography.</w:t>
      </w:r>
    </w:p>
  </w:footnote>
  <w:footnote w:id="19">
    <w:p w14:paraId="12B3B0FC" w14:textId="28EC032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The remains of Apion’s works are collected in </w:t>
      </w:r>
      <w:r w:rsidRPr="00C475B8">
        <w:rPr>
          <w:i/>
          <w:sz w:val="20"/>
          <w:szCs w:val="20"/>
        </w:rPr>
        <w:t>FGrH</w:t>
      </w:r>
      <w:r>
        <w:rPr>
          <w:i/>
          <w:sz w:val="20"/>
          <w:szCs w:val="20"/>
        </w:rPr>
        <w:t>ist.</w:t>
      </w:r>
      <w:r w:rsidRPr="00C475B8">
        <w:rPr>
          <w:sz w:val="20"/>
          <w:szCs w:val="20"/>
        </w:rPr>
        <w:t xml:space="preserve"> 616.</w:t>
      </w:r>
    </w:p>
  </w:footnote>
  <w:footnote w:id="20">
    <w:p w14:paraId="28B913EE" w14:textId="386F7E03"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BF1E5B" w:rsidRPr="00C475B8">
        <w:rPr>
          <w:i/>
          <w:sz w:val="20"/>
          <w:szCs w:val="20"/>
        </w:rPr>
        <w:t>Ap</w:t>
      </w:r>
      <w:r w:rsidR="00BF1E5B">
        <w:rPr>
          <w:i/>
          <w:sz w:val="20"/>
          <w:szCs w:val="20"/>
        </w:rPr>
        <w:t>ion</w:t>
      </w:r>
      <w:r w:rsidR="00BF1E5B" w:rsidRPr="00C475B8" w:rsidDel="00BF1E5B">
        <w:rPr>
          <w:i/>
          <w:sz w:val="20"/>
          <w:szCs w:val="20"/>
        </w:rPr>
        <w:t xml:space="preserve"> </w:t>
      </w:r>
      <w:r w:rsidRPr="00C475B8">
        <w:rPr>
          <w:sz w:val="20"/>
          <w:szCs w:val="20"/>
        </w:rPr>
        <w:t xml:space="preserve">2.9, cites a passage about Moses from the third book of Apion’s </w:t>
      </w:r>
      <w:r w:rsidRPr="00C475B8">
        <w:rPr>
          <w:i/>
          <w:sz w:val="20"/>
          <w:szCs w:val="20"/>
        </w:rPr>
        <w:t>Aigyptiaka</w:t>
      </w:r>
      <w:r w:rsidRPr="00C475B8">
        <w:rPr>
          <w:sz w:val="20"/>
          <w:szCs w:val="20"/>
        </w:rPr>
        <w:t>. Following Aulus Gellius (</w:t>
      </w:r>
      <w:r w:rsidR="00BF1E5B">
        <w:rPr>
          <w:i/>
          <w:sz w:val="20"/>
          <w:szCs w:val="20"/>
        </w:rPr>
        <w:t>Attic Nights</w:t>
      </w:r>
      <w:r w:rsidRPr="00C475B8">
        <w:rPr>
          <w:sz w:val="20"/>
          <w:szCs w:val="20"/>
        </w:rPr>
        <w:t xml:space="preserve"> 5.14.4), Apion’s </w:t>
      </w:r>
      <w:r w:rsidRPr="00C475B8">
        <w:rPr>
          <w:i/>
          <w:sz w:val="20"/>
          <w:szCs w:val="20"/>
        </w:rPr>
        <w:t>Aigyptiaka</w:t>
      </w:r>
      <w:r w:rsidRPr="00C475B8">
        <w:rPr>
          <w:sz w:val="20"/>
          <w:szCs w:val="20"/>
        </w:rPr>
        <w:t xml:space="preserve"> comprised 5 volumes; Tatian (</w:t>
      </w:r>
      <w:r w:rsidR="00D26812">
        <w:rPr>
          <w:i/>
          <w:sz w:val="20"/>
          <w:szCs w:val="20"/>
        </w:rPr>
        <w:t xml:space="preserve">Discourse to the Greeks </w:t>
      </w:r>
      <w:r w:rsidRPr="00C475B8">
        <w:rPr>
          <w:sz w:val="20"/>
          <w:szCs w:val="20"/>
        </w:rPr>
        <w:t>38) refers to Volume 4 of the same work.</w:t>
      </w:r>
    </w:p>
  </w:footnote>
  <w:footnote w:id="21">
    <w:p w14:paraId="4E305B03" w14:textId="08CBF26C" w:rsidR="00EA696C" w:rsidRPr="00C475B8" w:rsidRDefault="00EA696C">
      <w:pPr>
        <w:pStyle w:val="FootnoteText"/>
        <w:rPr>
          <w:b/>
          <w:sz w:val="20"/>
          <w:szCs w:val="20"/>
        </w:rPr>
      </w:pPr>
      <w:r w:rsidRPr="00C475B8">
        <w:rPr>
          <w:rStyle w:val="FootnoteReference"/>
          <w:sz w:val="20"/>
          <w:szCs w:val="20"/>
        </w:rPr>
        <w:footnoteRef/>
      </w:r>
      <w:r w:rsidRPr="00C475B8">
        <w:rPr>
          <w:sz w:val="20"/>
          <w:szCs w:val="20"/>
        </w:rPr>
        <w:t xml:space="preserve"> Josephus, </w:t>
      </w:r>
      <w:r w:rsidR="00BF1E5B" w:rsidRPr="00C475B8">
        <w:rPr>
          <w:i/>
          <w:sz w:val="20"/>
          <w:szCs w:val="20"/>
        </w:rPr>
        <w:t>Ap</w:t>
      </w:r>
      <w:r w:rsidR="00BF1E5B">
        <w:rPr>
          <w:i/>
          <w:sz w:val="20"/>
          <w:szCs w:val="20"/>
        </w:rPr>
        <w:t>ion</w:t>
      </w:r>
      <w:r w:rsidR="00BF1E5B" w:rsidRPr="00C475B8" w:rsidDel="00BF1E5B">
        <w:rPr>
          <w:i/>
          <w:sz w:val="20"/>
          <w:szCs w:val="20"/>
        </w:rPr>
        <w:t xml:space="preserve"> </w:t>
      </w:r>
      <w:r w:rsidRPr="00C475B8">
        <w:rPr>
          <w:sz w:val="20"/>
          <w:szCs w:val="20"/>
        </w:rPr>
        <w:t>2.32–78.</w:t>
      </w:r>
    </w:p>
  </w:footnote>
  <w:footnote w:id="22">
    <w:p w14:paraId="0E3C7BFD" w14:textId="66F1A76E" w:rsidR="00EA696C" w:rsidRPr="00C475B8" w:rsidRDefault="00EA696C" w:rsidP="00CA6D78">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Ant</w:t>
      </w:r>
      <w:r>
        <w:rPr>
          <w:sz w:val="20"/>
          <w:szCs w:val="20"/>
        </w:rPr>
        <w:t>. 18.257–</w:t>
      </w:r>
      <w:r w:rsidRPr="00C475B8">
        <w:rPr>
          <w:sz w:val="20"/>
          <w:szCs w:val="20"/>
        </w:rPr>
        <w:t xml:space="preserve">60. Philo wrote an extended account of his embassy to Gaius, but does not name Apion among the members of the opposing Alexandrian embassy: Philo, </w:t>
      </w:r>
      <w:r w:rsidRPr="00C475B8">
        <w:rPr>
          <w:i/>
          <w:sz w:val="20"/>
          <w:szCs w:val="20"/>
        </w:rPr>
        <w:t>Embassy to Gaius</w:t>
      </w:r>
      <w:r>
        <w:rPr>
          <w:sz w:val="20"/>
          <w:szCs w:val="20"/>
        </w:rPr>
        <w:t>, esp. 178–206, 349–</w:t>
      </w:r>
      <w:r w:rsidRPr="00C475B8">
        <w:rPr>
          <w:sz w:val="20"/>
          <w:szCs w:val="20"/>
        </w:rPr>
        <w:t>73.</w:t>
      </w:r>
    </w:p>
  </w:footnote>
  <w:footnote w:id="23">
    <w:p w14:paraId="4CA44BA0" w14:textId="579BA8C4"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On the crisis of 38 CE</w:t>
      </w:r>
      <w:r>
        <w:rPr>
          <w:sz w:val="20"/>
          <w:szCs w:val="20"/>
        </w:rPr>
        <w:t xml:space="preserve"> and its wider context</w:t>
      </w:r>
      <w:r w:rsidRPr="00C475B8">
        <w:rPr>
          <w:sz w:val="20"/>
          <w:szCs w:val="20"/>
        </w:rPr>
        <w:t xml:space="preserve">, important </w:t>
      </w:r>
      <w:r>
        <w:rPr>
          <w:sz w:val="20"/>
          <w:szCs w:val="20"/>
        </w:rPr>
        <w:t xml:space="preserve">recent </w:t>
      </w:r>
      <w:r w:rsidRPr="00C475B8">
        <w:rPr>
          <w:sz w:val="20"/>
          <w:szCs w:val="20"/>
        </w:rPr>
        <w:t xml:space="preserve">studies include: John M.G. Barclay, </w:t>
      </w:r>
      <w:r w:rsidRPr="00C475B8">
        <w:rPr>
          <w:i/>
          <w:sz w:val="20"/>
          <w:szCs w:val="20"/>
        </w:rPr>
        <w:t>Jews in the Mediterranean Diaspora: From Alexander to Trajan (323 BCE</w:t>
      </w:r>
      <w:r w:rsidRPr="00C475B8">
        <w:rPr>
          <w:sz w:val="20"/>
          <w:szCs w:val="20"/>
        </w:rPr>
        <w:t>–</w:t>
      </w:r>
      <w:r w:rsidRPr="00C475B8">
        <w:rPr>
          <w:i/>
          <w:sz w:val="20"/>
          <w:szCs w:val="20"/>
        </w:rPr>
        <w:t>117 CE)</w:t>
      </w:r>
      <w:r w:rsidRPr="00C475B8">
        <w:rPr>
          <w:sz w:val="20"/>
          <w:szCs w:val="20"/>
        </w:rPr>
        <w:t xml:space="preserve"> (Edinburgh, 1996), 48–71; Erich S. Gruen, </w:t>
      </w:r>
      <w:r w:rsidRPr="00C475B8">
        <w:rPr>
          <w:i/>
          <w:sz w:val="20"/>
          <w:szCs w:val="20"/>
        </w:rPr>
        <w:t xml:space="preserve">Diaspora: Jews Amidst Greeks and Romans </w:t>
      </w:r>
      <w:r w:rsidRPr="00C475B8">
        <w:rPr>
          <w:sz w:val="20"/>
          <w:szCs w:val="20"/>
        </w:rPr>
        <w:t>(Cambridge, MA and London, 2002), 54</w:t>
      </w:r>
      <w:r>
        <w:rPr>
          <w:sz w:val="20"/>
          <w:szCs w:val="20"/>
        </w:rPr>
        <w:t>–</w:t>
      </w:r>
      <w:r w:rsidRPr="00C475B8">
        <w:rPr>
          <w:sz w:val="20"/>
          <w:szCs w:val="20"/>
        </w:rPr>
        <w:t xml:space="preserve">83; Pieter van der Horst, </w:t>
      </w:r>
      <w:r w:rsidRPr="00C475B8">
        <w:rPr>
          <w:i/>
          <w:sz w:val="20"/>
          <w:szCs w:val="20"/>
        </w:rPr>
        <w:t>Philo’s Flaccus: The First Pogrom. Introduction, Translation and Commentary</w:t>
      </w:r>
      <w:r w:rsidRPr="00C475B8">
        <w:rPr>
          <w:sz w:val="20"/>
          <w:szCs w:val="20"/>
        </w:rPr>
        <w:t xml:space="preserve"> (Leiden, 2003); </w:t>
      </w:r>
      <w:r>
        <w:rPr>
          <w:sz w:val="20"/>
          <w:szCs w:val="20"/>
        </w:rPr>
        <w:t xml:space="preserve">Gottfried Schimanowski, </w:t>
      </w:r>
      <w:r w:rsidRPr="00646528">
        <w:rPr>
          <w:i/>
          <w:sz w:val="20"/>
          <w:szCs w:val="20"/>
        </w:rPr>
        <w:t>Juden und Nichtjuden in Alexandrien: Koexistenz und Konflikte bis zum Pogrom unter Trajan (117 n.Chr.)</w:t>
      </w:r>
      <w:r>
        <w:rPr>
          <w:sz w:val="20"/>
          <w:szCs w:val="20"/>
        </w:rPr>
        <w:t xml:space="preserve"> (Berlin, 2006); </w:t>
      </w:r>
      <w:r w:rsidRPr="00C475B8">
        <w:rPr>
          <w:sz w:val="20"/>
          <w:szCs w:val="20"/>
        </w:rPr>
        <w:t xml:space="preserve">Gambetti, </w:t>
      </w:r>
      <w:r w:rsidRPr="00C475B8">
        <w:rPr>
          <w:i/>
          <w:sz w:val="20"/>
          <w:szCs w:val="20"/>
        </w:rPr>
        <w:t>The Alexandrian Riots</w:t>
      </w:r>
      <w:r w:rsidRPr="00C475B8">
        <w:rPr>
          <w:sz w:val="20"/>
          <w:szCs w:val="20"/>
        </w:rPr>
        <w:t>.</w:t>
      </w:r>
    </w:p>
  </w:footnote>
  <w:footnote w:id="24">
    <w:p w14:paraId="0C9FF6D0" w14:textId="76C9DE1F" w:rsidR="00EA696C" w:rsidRPr="004A21E7" w:rsidRDefault="00EA696C">
      <w:pPr>
        <w:pStyle w:val="FootnoteText"/>
        <w:rPr>
          <w:sz w:val="20"/>
          <w:szCs w:val="20"/>
        </w:rPr>
      </w:pPr>
      <w:r w:rsidRPr="004A21E7">
        <w:rPr>
          <w:rStyle w:val="FootnoteReference"/>
          <w:sz w:val="20"/>
          <w:szCs w:val="20"/>
        </w:rPr>
        <w:footnoteRef/>
      </w:r>
      <w:r w:rsidRPr="004A21E7">
        <w:rPr>
          <w:sz w:val="20"/>
          <w:szCs w:val="20"/>
        </w:rPr>
        <w:t xml:space="preserve"> On which, see, for example, Philo, </w:t>
      </w:r>
      <w:r>
        <w:rPr>
          <w:i/>
          <w:sz w:val="20"/>
          <w:szCs w:val="20"/>
        </w:rPr>
        <w:t>On the Decalogue</w:t>
      </w:r>
      <w:r w:rsidRPr="004A21E7">
        <w:rPr>
          <w:sz w:val="20"/>
          <w:szCs w:val="20"/>
        </w:rPr>
        <w:t xml:space="preserve"> 58–81.</w:t>
      </w:r>
    </w:p>
  </w:footnote>
  <w:footnote w:id="25">
    <w:p w14:paraId="12C0C590" w14:textId="07D8DAAE"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Philo, </w:t>
      </w:r>
      <w:r w:rsidRPr="00C475B8">
        <w:rPr>
          <w:i/>
          <w:sz w:val="20"/>
          <w:szCs w:val="20"/>
        </w:rPr>
        <w:t>Embassy to Gaius</w:t>
      </w:r>
      <w:r w:rsidRPr="00C475B8">
        <w:rPr>
          <w:sz w:val="20"/>
          <w:szCs w:val="20"/>
        </w:rPr>
        <w:t xml:space="preserve"> 350.</w:t>
      </w:r>
    </w:p>
  </w:footnote>
  <w:footnote w:id="26">
    <w:p w14:paraId="359EB6CC" w14:textId="543449B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Philo, </w:t>
      </w:r>
      <w:r w:rsidRPr="00C475B8">
        <w:rPr>
          <w:i/>
          <w:sz w:val="20"/>
          <w:szCs w:val="20"/>
        </w:rPr>
        <w:t>Embassy to Gaius</w:t>
      </w:r>
      <w:r>
        <w:rPr>
          <w:sz w:val="20"/>
          <w:szCs w:val="20"/>
        </w:rPr>
        <w:t xml:space="preserve"> 138–</w:t>
      </w:r>
      <w:r w:rsidRPr="00C475B8">
        <w:rPr>
          <w:sz w:val="20"/>
          <w:szCs w:val="20"/>
        </w:rPr>
        <w:t>40.</w:t>
      </w:r>
    </w:p>
  </w:footnote>
  <w:footnote w:id="27">
    <w:p w14:paraId="26059EC7" w14:textId="5B90790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Cf. Barclay, </w:t>
      </w:r>
      <w:r w:rsidRPr="00C475B8">
        <w:rPr>
          <w:i/>
          <w:sz w:val="20"/>
          <w:szCs w:val="20"/>
        </w:rPr>
        <w:t>Against Apion</w:t>
      </w:r>
      <w:r>
        <w:rPr>
          <w:sz w:val="20"/>
          <w:szCs w:val="20"/>
        </w:rPr>
        <w:t>, 188–</w:t>
      </w:r>
      <w:r w:rsidRPr="00C475B8">
        <w:rPr>
          <w:sz w:val="20"/>
          <w:szCs w:val="20"/>
        </w:rPr>
        <w:t>89, 202, n. 214.</w:t>
      </w:r>
    </w:p>
  </w:footnote>
  <w:footnote w:id="28">
    <w:p w14:paraId="19C5CE70" w14:textId="57D4FDD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On the Latin translation of Josephus’ </w:t>
      </w:r>
      <w:r w:rsidRPr="00C475B8">
        <w:rPr>
          <w:i/>
          <w:sz w:val="20"/>
          <w:szCs w:val="20"/>
        </w:rPr>
        <w:t>Apion</w:t>
      </w:r>
      <w:r w:rsidRPr="00C475B8">
        <w:rPr>
          <w:sz w:val="20"/>
          <w:szCs w:val="20"/>
        </w:rPr>
        <w:t xml:space="preserve"> (and </w:t>
      </w:r>
      <w:r w:rsidRPr="00C475B8">
        <w:rPr>
          <w:i/>
          <w:sz w:val="20"/>
          <w:szCs w:val="20"/>
        </w:rPr>
        <w:t>Antiquities</w:t>
      </w:r>
      <w:r w:rsidRPr="00C475B8">
        <w:rPr>
          <w:sz w:val="20"/>
          <w:szCs w:val="20"/>
        </w:rPr>
        <w:t xml:space="preserve">), commissioned by Cassiodorus, see the summary overview, with key bibliography, in Barclay, </w:t>
      </w:r>
      <w:r w:rsidRPr="00C475B8">
        <w:rPr>
          <w:i/>
          <w:sz w:val="20"/>
          <w:szCs w:val="20"/>
        </w:rPr>
        <w:t>Against Apion</w:t>
      </w:r>
      <w:r w:rsidRPr="00C475B8">
        <w:rPr>
          <w:sz w:val="20"/>
          <w:szCs w:val="20"/>
        </w:rPr>
        <w:t xml:space="preserve">, lxii. Critical edition: Karl Boysen, </w:t>
      </w:r>
      <w:r w:rsidRPr="00C475B8">
        <w:rPr>
          <w:i/>
          <w:sz w:val="20"/>
          <w:szCs w:val="20"/>
        </w:rPr>
        <w:t>Flavii Iosephi Opera ex Versione Latina Antiqua. VI: De Iudaeorum Vetustate sive Contra Apionem</w:t>
      </w:r>
      <w:r w:rsidRPr="00C475B8">
        <w:rPr>
          <w:sz w:val="20"/>
          <w:szCs w:val="20"/>
        </w:rPr>
        <w:t xml:space="preserve"> (Vienna, 1898).</w:t>
      </w:r>
    </w:p>
  </w:footnote>
  <w:footnote w:id="29">
    <w:p w14:paraId="1969AF1C" w14:textId="4719C6FC"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311E48" w:rsidRPr="00C475B8">
        <w:rPr>
          <w:i/>
          <w:sz w:val="20"/>
          <w:szCs w:val="20"/>
        </w:rPr>
        <w:t>Ap</w:t>
      </w:r>
      <w:r w:rsidR="00311E48">
        <w:rPr>
          <w:i/>
          <w:sz w:val="20"/>
          <w:szCs w:val="20"/>
        </w:rPr>
        <w:t>ion</w:t>
      </w:r>
      <w:r w:rsidR="00311E48" w:rsidRPr="00C475B8" w:rsidDel="00311E48">
        <w:rPr>
          <w:i/>
          <w:sz w:val="20"/>
          <w:szCs w:val="20"/>
        </w:rPr>
        <w:t xml:space="preserve"> </w:t>
      </w:r>
      <w:r>
        <w:rPr>
          <w:sz w:val="20"/>
          <w:szCs w:val="20"/>
        </w:rPr>
        <w:t>2.56 (tr. Barclay, adapted).</w:t>
      </w:r>
    </w:p>
  </w:footnote>
  <w:footnote w:id="30">
    <w:p w14:paraId="5A3C4415" w14:textId="163F6F3B"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311E48" w:rsidRPr="00C475B8">
        <w:rPr>
          <w:i/>
          <w:sz w:val="20"/>
          <w:szCs w:val="20"/>
        </w:rPr>
        <w:t>Ap</w:t>
      </w:r>
      <w:r w:rsidR="00311E48">
        <w:rPr>
          <w:i/>
          <w:sz w:val="20"/>
          <w:szCs w:val="20"/>
        </w:rPr>
        <w:t>ion</w:t>
      </w:r>
      <w:r w:rsidR="00311E48" w:rsidRPr="00C475B8" w:rsidDel="00311E48">
        <w:rPr>
          <w:i/>
          <w:sz w:val="20"/>
          <w:szCs w:val="20"/>
        </w:rPr>
        <w:t xml:space="preserve"> </w:t>
      </w:r>
      <w:r w:rsidRPr="00C475B8">
        <w:rPr>
          <w:sz w:val="20"/>
          <w:szCs w:val="20"/>
        </w:rPr>
        <w:t>2.57–59.</w:t>
      </w:r>
    </w:p>
  </w:footnote>
  <w:footnote w:id="31">
    <w:p w14:paraId="2B7E947E" w14:textId="4562013C"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311E48" w:rsidRPr="00C475B8">
        <w:rPr>
          <w:i/>
          <w:sz w:val="20"/>
          <w:szCs w:val="20"/>
        </w:rPr>
        <w:t>Ap</w:t>
      </w:r>
      <w:r w:rsidR="00311E48">
        <w:rPr>
          <w:i/>
          <w:sz w:val="20"/>
          <w:szCs w:val="20"/>
        </w:rPr>
        <w:t>ion</w:t>
      </w:r>
      <w:r w:rsidR="00311E48" w:rsidRPr="00C475B8" w:rsidDel="00311E48">
        <w:rPr>
          <w:i/>
          <w:sz w:val="20"/>
          <w:szCs w:val="20"/>
        </w:rPr>
        <w:t xml:space="preserve"> </w:t>
      </w:r>
      <w:r>
        <w:rPr>
          <w:sz w:val="20"/>
          <w:szCs w:val="20"/>
        </w:rPr>
        <w:t>2.60 (tr. Barclay, adapted).</w:t>
      </w:r>
    </w:p>
  </w:footnote>
  <w:footnote w:id="32">
    <w:p w14:paraId="5279841B" w14:textId="5FD7BB16"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Thackeray, </w:t>
      </w:r>
      <w:r w:rsidRPr="00C475B8">
        <w:rPr>
          <w:i/>
          <w:sz w:val="20"/>
          <w:szCs w:val="20"/>
        </w:rPr>
        <w:t>Josephus</w:t>
      </w:r>
      <w:r w:rsidRPr="00C475B8">
        <w:rPr>
          <w:sz w:val="20"/>
          <w:szCs w:val="20"/>
        </w:rPr>
        <w:t>, Vol. 1, 316, n. 2.</w:t>
      </w:r>
    </w:p>
  </w:footnote>
  <w:footnote w:id="33">
    <w:p w14:paraId="04F171D6" w14:textId="43C801B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Thus, the Blum/Reinach rendering of </w:t>
      </w:r>
      <w:r w:rsidR="00E436CC" w:rsidRPr="00C475B8">
        <w:rPr>
          <w:i/>
          <w:sz w:val="20"/>
          <w:szCs w:val="20"/>
        </w:rPr>
        <w:t>Ap</w:t>
      </w:r>
      <w:r w:rsidR="00E436CC">
        <w:rPr>
          <w:i/>
          <w:sz w:val="20"/>
          <w:szCs w:val="20"/>
        </w:rPr>
        <w:t>ion</w:t>
      </w:r>
      <w:r w:rsidR="00E436CC" w:rsidRPr="00C475B8" w:rsidDel="00E436CC">
        <w:rPr>
          <w:i/>
          <w:sz w:val="20"/>
          <w:szCs w:val="20"/>
        </w:rPr>
        <w:t xml:space="preserve"> </w:t>
      </w:r>
      <w:r w:rsidRPr="00C475B8">
        <w:rPr>
          <w:sz w:val="20"/>
          <w:szCs w:val="20"/>
        </w:rPr>
        <w:t xml:space="preserve">2.60: ‘elle ne vit plus d’espoir pour elle que dans le suicide’: </w:t>
      </w:r>
      <w:r w:rsidRPr="00C475B8">
        <w:rPr>
          <w:i/>
          <w:sz w:val="20"/>
          <w:szCs w:val="20"/>
        </w:rPr>
        <w:t>Flavius Josèphe, Contre Apion</w:t>
      </w:r>
      <w:r w:rsidRPr="00C475B8">
        <w:rPr>
          <w:sz w:val="20"/>
          <w:szCs w:val="20"/>
        </w:rPr>
        <w:t>. Texte Établi et Annoté par Théodore Reinach et Traduit par Léon Blum (Paris, 1930), 69</w:t>
      </w:r>
      <w:r>
        <w:rPr>
          <w:sz w:val="20"/>
          <w:szCs w:val="20"/>
        </w:rPr>
        <w:t>; cf.</w:t>
      </w:r>
      <w:r w:rsidRPr="00C475B8">
        <w:rPr>
          <w:sz w:val="20"/>
          <w:szCs w:val="20"/>
        </w:rPr>
        <w:t xml:space="preserve"> Siegert’s rendering of the same lines: ‘Zuletzt aber…ist sie so weit gegangen, ihr Heil Davon zu erwarten, dass sie sich mit eigener Hand selbst […] umbrächte’: Folker Siegert, ed., </w:t>
      </w:r>
      <w:r w:rsidRPr="00C475B8">
        <w:rPr>
          <w:i/>
          <w:sz w:val="20"/>
          <w:szCs w:val="20"/>
        </w:rPr>
        <w:t>Flavius Josephus, Über die Ursprünglichkeit des Judentums: Contra Apionem</w:t>
      </w:r>
      <w:r w:rsidRPr="00C475B8">
        <w:rPr>
          <w:sz w:val="20"/>
          <w:szCs w:val="20"/>
        </w:rPr>
        <w:t xml:space="preserve">, </w:t>
      </w:r>
      <w:r>
        <w:rPr>
          <w:sz w:val="20"/>
          <w:szCs w:val="20"/>
        </w:rPr>
        <w:t>Band 1 (Göttingen, 2008), 169. W</w:t>
      </w:r>
      <w:r w:rsidRPr="00C475B8">
        <w:rPr>
          <w:sz w:val="20"/>
          <w:szCs w:val="20"/>
        </w:rPr>
        <w:t xml:space="preserve">ith regard to the Latin, Siegert </w:t>
      </w:r>
      <w:r>
        <w:rPr>
          <w:sz w:val="20"/>
          <w:szCs w:val="20"/>
        </w:rPr>
        <w:t>justly notes</w:t>
      </w:r>
      <w:r w:rsidRPr="00C475B8">
        <w:rPr>
          <w:sz w:val="20"/>
          <w:szCs w:val="20"/>
        </w:rPr>
        <w:t xml:space="preserve"> (ad loc) that ‘Das wäre für die könig</w:t>
      </w:r>
      <w:r>
        <w:rPr>
          <w:sz w:val="20"/>
          <w:szCs w:val="20"/>
        </w:rPr>
        <w:t>liche Hand viel Arbeit gewesen’!</w:t>
      </w:r>
      <w:r w:rsidRPr="00C475B8">
        <w:rPr>
          <w:sz w:val="20"/>
          <w:szCs w:val="20"/>
        </w:rPr>
        <w:t xml:space="preserve"> </w:t>
      </w:r>
      <w:r>
        <w:rPr>
          <w:sz w:val="20"/>
          <w:szCs w:val="20"/>
        </w:rPr>
        <w:t xml:space="preserve"> </w:t>
      </w:r>
    </w:p>
  </w:footnote>
  <w:footnote w:id="34">
    <w:p w14:paraId="1BF1E095" w14:textId="2D9E7C9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AD5FBE" w:rsidRPr="00C475B8">
        <w:rPr>
          <w:i/>
          <w:sz w:val="20"/>
          <w:szCs w:val="20"/>
        </w:rPr>
        <w:t>Ap</w:t>
      </w:r>
      <w:r w:rsidR="00AD5FBE">
        <w:rPr>
          <w:i/>
          <w:sz w:val="20"/>
          <w:szCs w:val="20"/>
        </w:rPr>
        <w:t>ion</w:t>
      </w:r>
      <w:r w:rsidR="00AD5FBE" w:rsidRPr="00C475B8" w:rsidDel="00AD5FBE">
        <w:rPr>
          <w:i/>
          <w:sz w:val="20"/>
          <w:szCs w:val="20"/>
        </w:rPr>
        <w:t xml:space="preserve"> </w:t>
      </w:r>
      <w:r w:rsidRPr="00C475B8">
        <w:rPr>
          <w:sz w:val="20"/>
          <w:szCs w:val="20"/>
        </w:rPr>
        <w:t>2.61.</w:t>
      </w:r>
    </w:p>
  </w:footnote>
  <w:footnote w:id="35">
    <w:p w14:paraId="04227282" w14:textId="2BBA73CB" w:rsidR="00EA696C" w:rsidRPr="00C475B8" w:rsidRDefault="00EA696C">
      <w:pPr>
        <w:pStyle w:val="FootnoteText"/>
        <w:rPr>
          <w:sz w:val="20"/>
          <w:szCs w:val="20"/>
          <w:lang w:val="en-GB"/>
        </w:rPr>
      </w:pPr>
      <w:r w:rsidRPr="00C475B8">
        <w:rPr>
          <w:rStyle w:val="FootnoteReference"/>
          <w:sz w:val="20"/>
          <w:szCs w:val="20"/>
        </w:rPr>
        <w:footnoteRef/>
      </w:r>
      <w:r w:rsidRPr="00C475B8">
        <w:rPr>
          <w:sz w:val="20"/>
          <w:szCs w:val="20"/>
        </w:rPr>
        <w:t xml:space="preserve"> Contra the attempt by </w:t>
      </w:r>
      <w:r w:rsidRPr="00C475B8">
        <w:rPr>
          <w:sz w:val="20"/>
          <w:szCs w:val="20"/>
          <w:lang w:val="en-GB"/>
        </w:rPr>
        <w:t xml:space="preserve">Volkmann to read Josephus’ paraphrase of Apion as the words of Cleopatra herself, interpreted psychologically: ‘“I would have conquered, if I had been able to destroy all the Jews”. These despairing words of Cleopatra’s show that she felt she was surrounded by difficulties and treachery’; cf. Hans Volkmann, </w:t>
      </w:r>
      <w:r w:rsidRPr="00C475B8">
        <w:rPr>
          <w:i/>
          <w:sz w:val="20"/>
          <w:szCs w:val="20"/>
          <w:lang w:val="en-GB"/>
        </w:rPr>
        <w:t>Cleopatra: A Study in Politics and Propaganda</w:t>
      </w:r>
      <w:r w:rsidRPr="00C475B8">
        <w:rPr>
          <w:sz w:val="20"/>
          <w:szCs w:val="20"/>
          <w:lang w:val="en-GB"/>
        </w:rPr>
        <w:t xml:space="preserve"> (1958), 199.</w:t>
      </w:r>
    </w:p>
  </w:footnote>
  <w:footnote w:id="36">
    <w:p w14:paraId="16505DCA" w14:textId="1D682A7F"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Barclay (</w:t>
      </w:r>
      <w:r w:rsidRPr="00C475B8">
        <w:rPr>
          <w:i/>
          <w:sz w:val="20"/>
          <w:szCs w:val="20"/>
        </w:rPr>
        <w:t>Against Apion</w:t>
      </w:r>
      <w:r w:rsidRPr="00C475B8">
        <w:rPr>
          <w:sz w:val="20"/>
          <w:szCs w:val="20"/>
        </w:rPr>
        <w:t xml:space="preserve">, 202, n. 213; cf. lxiv, the reading </w:t>
      </w:r>
      <w:r w:rsidRPr="00C475B8">
        <w:rPr>
          <w:i/>
          <w:sz w:val="20"/>
          <w:szCs w:val="20"/>
        </w:rPr>
        <w:t>Iudaeos</w:t>
      </w:r>
      <w:r w:rsidRPr="00C475B8">
        <w:rPr>
          <w:sz w:val="20"/>
          <w:szCs w:val="20"/>
        </w:rPr>
        <w:t xml:space="preserve"> is ‘just possible’) offers an interpretation of the text as it stands, suggesting the possibility that some (but certainly not </w:t>
      </w:r>
      <w:r w:rsidRPr="00C475B8">
        <w:rPr>
          <w:i/>
          <w:sz w:val="20"/>
          <w:szCs w:val="20"/>
        </w:rPr>
        <w:t>all</w:t>
      </w:r>
      <w:r w:rsidRPr="00C475B8">
        <w:rPr>
          <w:sz w:val="20"/>
          <w:szCs w:val="20"/>
        </w:rPr>
        <w:t>) Jews may have been killed in the purge (reported in Cassius Dio 51.5.4–5) directed against some leading citizens in Alexandria, after the Battle of Actium and news of the defection of Herod and other client kings to Octavian</w:t>
      </w:r>
      <w:r>
        <w:rPr>
          <w:sz w:val="20"/>
          <w:szCs w:val="20"/>
        </w:rPr>
        <w:t xml:space="preserve">. </w:t>
      </w:r>
      <w:r w:rsidRPr="00C475B8">
        <w:rPr>
          <w:sz w:val="20"/>
          <w:szCs w:val="20"/>
        </w:rPr>
        <w:t xml:space="preserve">Plutarch, </w:t>
      </w:r>
      <w:r>
        <w:rPr>
          <w:sz w:val="20"/>
          <w:szCs w:val="20"/>
        </w:rPr>
        <w:t>on the other hand, observes that the news of defections</w:t>
      </w:r>
      <w:r w:rsidRPr="00C475B8">
        <w:rPr>
          <w:sz w:val="20"/>
          <w:szCs w:val="20"/>
        </w:rPr>
        <w:t xml:space="preserve"> </w:t>
      </w:r>
      <w:r>
        <w:rPr>
          <w:sz w:val="20"/>
          <w:szCs w:val="20"/>
        </w:rPr>
        <w:t>did not much disturb Antony (</w:t>
      </w:r>
      <w:r w:rsidRPr="00C475B8">
        <w:rPr>
          <w:i/>
          <w:sz w:val="20"/>
          <w:szCs w:val="20"/>
        </w:rPr>
        <w:t>Ant</w:t>
      </w:r>
      <w:r w:rsidR="000B7798">
        <w:rPr>
          <w:i/>
          <w:sz w:val="20"/>
          <w:szCs w:val="20"/>
        </w:rPr>
        <w:t>ony</w:t>
      </w:r>
      <w:r w:rsidR="000B7798" w:rsidRPr="00C475B8">
        <w:rPr>
          <w:sz w:val="20"/>
          <w:szCs w:val="20"/>
        </w:rPr>
        <w:t xml:space="preserve"> </w:t>
      </w:r>
      <w:r w:rsidRPr="00C475B8">
        <w:rPr>
          <w:sz w:val="20"/>
          <w:szCs w:val="20"/>
        </w:rPr>
        <w:t>71.1–2</w:t>
      </w:r>
      <w:r>
        <w:rPr>
          <w:sz w:val="20"/>
          <w:szCs w:val="20"/>
        </w:rPr>
        <w:t>)</w:t>
      </w:r>
      <w:r w:rsidRPr="00C475B8">
        <w:rPr>
          <w:sz w:val="20"/>
          <w:szCs w:val="20"/>
        </w:rPr>
        <w:t>. If there was a purge in Alexandria at this time, following Dio, there is no evidence that it specifically targeted Jews, let alone ‘the Jews’ as a collective. No mention is made of such an event in Herod’s post-Actium speech before Octavian (3</w:t>
      </w:r>
      <w:r>
        <w:rPr>
          <w:sz w:val="20"/>
          <w:szCs w:val="20"/>
        </w:rPr>
        <w:t>0 BCE), in which, as king of Jud</w:t>
      </w:r>
      <w:r w:rsidR="007827E0">
        <w:rPr>
          <w:sz w:val="20"/>
          <w:szCs w:val="20"/>
        </w:rPr>
        <w:t>a</w:t>
      </w:r>
      <w:r w:rsidRPr="00C475B8">
        <w:rPr>
          <w:sz w:val="20"/>
          <w:szCs w:val="20"/>
        </w:rPr>
        <w:t>ea, he claims to have proved himself a loyal ally to Antony in advising him to kill Cleopatra (</w:t>
      </w:r>
      <w:r>
        <w:rPr>
          <w:sz w:val="20"/>
          <w:szCs w:val="20"/>
        </w:rPr>
        <w:t xml:space="preserve">Josephus, </w:t>
      </w:r>
      <w:r w:rsidRPr="00C475B8">
        <w:rPr>
          <w:i/>
          <w:sz w:val="20"/>
          <w:szCs w:val="20"/>
        </w:rPr>
        <w:t>War</w:t>
      </w:r>
      <w:r w:rsidRPr="00C475B8">
        <w:rPr>
          <w:sz w:val="20"/>
          <w:szCs w:val="20"/>
        </w:rPr>
        <w:t xml:space="preserve"> 1.389–390; </w:t>
      </w:r>
      <w:r w:rsidRPr="00C475B8">
        <w:rPr>
          <w:i/>
          <w:sz w:val="20"/>
          <w:szCs w:val="20"/>
        </w:rPr>
        <w:t>Ant</w:t>
      </w:r>
      <w:r>
        <w:rPr>
          <w:i/>
          <w:sz w:val="20"/>
          <w:szCs w:val="20"/>
        </w:rPr>
        <w:t xml:space="preserve">. </w:t>
      </w:r>
      <w:r w:rsidRPr="00C475B8">
        <w:rPr>
          <w:sz w:val="20"/>
          <w:szCs w:val="20"/>
        </w:rPr>
        <w:t>15.191–192).</w:t>
      </w:r>
      <w:r>
        <w:rPr>
          <w:sz w:val="20"/>
          <w:szCs w:val="20"/>
        </w:rPr>
        <w:t xml:space="preserve"> Given the various claims attributed to Herod about Cleopatra’s hostility to himself and to Jud</w:t>
      </w:r>
      <w:r w:rsidR="008B6A8D">
        <w:rPr>
          <w:sz w:val="20"/>
          <w:szCs w:val="20"/>
        </w:rPr>
        <w:t>a</w:t>
      </w:r>
      <w:r>
        <w:rPr>
          <w:sz w:val="20"/>
          <w:szCs w:val="20"/>
        </w:rPr>
        <w:t>ea, one would expect that his account of her atrocities would include reference to a massacre of Alexandrian Jews, but it does not.</w:t>
      </w:r>
    </w:p>
  </w:footnote>
  <w:footnote w:id="37">
    <w:p w14:paraId="7191859A" w14:textId="000178A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D2484A" w:rsidRPr="00C475B8">
        <w:rPr>
          <w:i/>
          <w:sz w:val="20"/>
          <w:szCs w:val="20"/>
        </w:rPr>
        <w:t>Ap</w:t>
      </w:r>
      <w:r w:rsidR="00D2484A">
        <w:rPr>
          <w:i/>
          <w:sz w:val="20"/>
          <w:szCs w:val="20"/>
        </w:rPr>
        <w:t>ion</w:t>
      </w:r>
      <w:r w:rsidR="00D2484A" w:rsidRPr="00C475B8" w:rsidDel="00D2484A">
        <w:rPr>
          <w:i/>
          <w:sz w:val="20"/>
          <w:szCs w:val="20"/>
        </w:rPr>
        <w:t xml:space="preserve"> </w:t>
      </w:r>
      <w:r w:rsidRPr="00C475B8">
        <w:rPr>
          <w:sz w:val="20"/>
          <w:szCs w:val="20"/>
        </w:rPr>
        <w:t>2.60.</w:t>
      </w:r>
    </w:p>
  </w:footnote>
  <w:footnote w:id="38">
    <w:p w14:paraId="12012896" w14:textId="4A901EE1"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D2484A" w:rsidRPr="00C475B8">
        <w:rPr>
          <w:i/>
          <w:sz w:val="20"/>
          <w:szCs w:val="20"/>
        </w:rPr>
        <w:t>Ap</w:t>
      </w:r>
      <w:r w:rsidR="00D2484A">
        <w:rPr>
          <w:i/>
          <w:sz w:val="20"/>
          <w:szCs w:val="20"/>
        </w:rPr>
        <w:t>ion</w:t>
      </w:r>
      <w:r w:rsidR="00D2484A" w:rsidRPr="00C475B8" w:rsidDel="00D2484A">
        <w:rPr>
          <w:i/>
          <w:sz w:val="20"/>
          <w:szCs w:val="20"/>
        </w:rPr>
        <w:t xml:space="preserve"> </w:t>
      </w:r>
      <w:r w:rsidRPr="00C475B8">
        <w:rPr>
          <w:sz w:val="20"/>
          <w:szCs w:val="20"/>
        </w:rPr>
        <w:t xml:space="preserve">2.62: </w:t>
      </w:r>
      <w:r w:rsidRPr="00C475B8">
        <w:rPr>
          <w:i/>
          <w:sz w:val="20"/>
          <w:szCs w:val="20"/>
        </w:rPr>
        <w:t>omnibus Ptolomaeis</w:t>
      </w:r>
      <w:r w:rsidRPr="00C475B8">
        <w:rPr>
          <w:sz w:val="20"/>
          <w:szCs w:val="20"/>
        </w:rPr>
        <w:t xml:space="preserve">; cf. </w:t>
      </w:r>
      <w:r w:rsidR="00F323F5" w:rsidRPr="00C475B8">
        <w:rPr>
          <w:i/>
          <w:sz w:val="20"/>
          <w:szCs w:val="20"/>
        </w:rPr>
        <w:t>Ap</w:t>
      </w:r>
      <w:r w:rsidR="00F323F5">
        <w:rPr>
          <w:i/>
          <w:sz w:val="20"/>
          <w:szCs w:val="20"/>
        </w:rPr>
        <w:t>ion</w:t>
      </w:r>
      <w:r w:rsidR="00F323F5" w:rsidRPr="00C475B8" w:rsidDel="00F323F5">
        <w:rPr>
          <w:i/>
          <w:sz w:val="20"/>
          <w:szCs w:val="20"/>
        </w:rPr>
        <w:t xml:space="preserve"> </w:t>
      </w:r>
      <w:r w:rsidRPr="00C475B8">
        <w:rPr>
          <w:sz w:val="20"/>
          <w:szCs w:val="20"/>
        </w:rPr>
        <w:t>2.48, on the exceptional kindness of almost all the Macedonian kings towards the Jews, as a fact ignored by Apion.</w:t>
      </w:r>
    </w:p>
  </w:footnote>
  <w:footnote w:id="39">
    <w:p w14:paraId="12A271E5" w14:textId="76503546"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00D2484A" w:rsidRPr="00C475B8">
        <w:rPr>
          <w:i/>
          <w:sz w:val="20"/>
          <w:szCs w:val="20"/>
        </w:rPr>
        <w:t>Ap</w:t>
      </w:r>
      <w:r w:rsidR="00D2484A">
        <w:rPr>
          <w:i/>
          <w:sz w:val="20"/>
          <w:szCs w:val="20"/>
        </w:rPr>
        <w:t>ion</w:t>
      </w:r>
      <w:r w:rsidR="00D2484A" w:rsidRPr="00C475B8" w:rsidDel="00D2484A">
        <w:rPr>
          <w:i/>
          <w:sz w:val="20"/>
          <w:szCs w:val="20"/>
        </w:rPr>
        <w:t xml:space="preserve"> </w:t>
      </w:r>
      <w:r w:rsidRPr="00C475B8">
        <w:rPr>
          <w:sz w:val="20"/>
          <w:szCs w:val="20"/>
        </w:rPr>
        <w:t>2.63–64</w:t>
      </w:r>
      <w:r>
        <w:rPr>
          <w:sz w:val="20"/>
          <w:szCs w:val="20"/>
        </w:rPr>
        <w:t xml:space="preserve"> (tr. Barclay, adapted)</w:t>
      </w:r>
      <w:r w:rsidRPr="00C475B8">
        <w:rPr>
          <w:sz w:val="20"/>
          <w:szCs w:val="20"/>
        </w:rPr>
        <w:t>. Josephus’ brief treatment of this episode gives no sense of how problematic it in fact was in the context of imperial politics. According to Tacitus (</w:t>
      </w:r>
      <w:r w:rsidRPr="00C475B8">
        <w:rPr>
          <w:i/>
          <w:sz w:val="20"/>
          <w:szCs w:val="20"/>
        </w:rPr>
        <w:t>Ann</w:t>
      </w:r>
      <w:r w:rsidR="00426D92" w:rsidRPr="001530E3">
        <w:rPr>
          <w:i/>
          <w:sz w:val="20"/>
          <w:szCs w:val="20"/>
        </w:rPr>
        <w:t xml:space="preserve">als </w:t>
      </w:r>
      <w:r w:rsidRPr="00C475B8">
        <w:rPr>
          <w:sz w:val="20"/>
          <w:szCs w:val="20"/>
        </w:rPr>
        <w:t>2.59), Germanicus visited Egypt without the permission of the emperor Tiberius, and, while there, lowered the price of corn by opening the state granaries; his entry into Egypt transgressed the strict Augustan prohibition of entry into Egypt, without the emperor’s permission, by senators and equites, and earned Germanicus a severe rebu</w:t>
      </w:r>
      <w:r>
        <w:rPr>
          <w:sz w:val="20"/>
          <w:szCs w:val="20"/>
        </w:rPr>
        <w:t xml:space="preserve">ke from Tiberius. See further Francis </w:t>
      </w:r>
      <w:r w:rsidRPr="00C475B8">
        <w:rPr>
          <w:sz w:val="20"/>
          <w:szCs w:val="20"/>
        </w:rPr>
        <w:t xml:space="preserve">R.D. Goodyear, </w:t>
      </w:r>
      <w:r w:rsidRPr="00C475B8">
        <w:rPr>
          <w:i/>
          <w:sz w:val="20"/>
          <w:szCs w:val="20"/>
        </w:rPr>
        <w:t>The Annals of Tacitus Books 1–6.</w:t>
      </w:r>
      <w:r w:rsidRPr="00C475B8">
        <w:rPr>
          <w:sz w:val="20"/>
          <w:szCs w:val="20"/>
        </w:rPr>
        <w:t xml:space="preserve"> Vol. II: </w:t>
      </w:r>
      <w:r w:rsidRPr="00C475B8">
        <w:rPr>
          <w:i/>
          <w:sz w:val="20"/>
          <w:szCs w:val="20"/>
        </w:rPr>
        <w:t>Annals 1.55–81 and Annals 2</w:t>
      </w:r>
      <w:r>
        <w:rPr>
          <w:sz w:val="20"/>
          <w:szCs w:val="20"/>
        </w:rPr>
        <w:t xml:space="preserve"> (Cambridge, 1981), 372–</w:t>
      </w:r>
      <w:r w:rsidRPr="00C475B8">
        <w:rPr>
          <w:sz w:val="20"/>
          <w:szCs w:val="20"/>
        </w:rPr>
        <w:t>80. Suetonius (</w:t>
      </w:r>
      <w:r w:rsidRPr="00C475B8">
        <w:rPr>
          <w:i/>
          <w:sz w:val="20"/>
          <w:szCs w:val="20"/>
        </w:rPr>
        <w:t>Tiberius</w:t>
      </w:r>
      <w:r w:rsidRPr="00C475B8">
        <w:rPr>
          <w:sz w:val="20"/>
          <w:szCs w:val="20"/>
        </w:rPr>
        <w:t xml:space="preserve"> 52.2) gives a severe famine as the motive for Germanicus’ visit, an explanation that probably derives from the supporters of Germanicus in defence of his reputation, and against Tiberius. In the papyrus record of Germanicus’ speech in Alexandria on the reasons for his visit, no reference is made to a famine (</w:t>
      </w:r>
      <w:r w:rsidRPr="00C475B8">
        <w:rPr>
          <w:i/>
          <w:sz w:val="20"/>
          <w:szCs w:val="20"/>
        </w:rPr>
        <w:t>P. Oxy</w:t>
      </w:r>
      <w:r w:rsidRPr="00C475B8">
        <w:rPr>
          <w:sz w:val="20"/>
          <w:szCs w:val="20"/>
        </w:rPr>
        <w:t xml:space="preserve">. 2435), perhaps because the measures he took in the grain distribution may have benefited only the citizen body, a small part of the population to be addressed. On the other hand, a distribution given only to a small minority is not likely to have lowered the price of grain, and might suggest that a much larger part of the population benefited; cf. Dieter Georg Weingärtner, </w:t>
      </w:r>
      <w:r w:rsidRPr="00C475B8">
        <w:rPr>
          <w:i/>
          <w:sz w:val="20"/>
          <w:szCs w:val="20"/>
        </w:rPr>
        <w:t>Die Ägyptenreise des Germanicus</w:t>
      </w:r>
      <w:r w:rsidRPr="00C475B8">
        <w:rPr>
          <w:sz w:val="20"/>
          <w:szCs w:val="20"/>
        </w:rPr>
        <w:t xml:space="preserve"> (Bonn, 1969), 94. In that case, the exclusion of the Jews would indeed appear as a deliberately hostile act in the time of Germanicus.</w:t>
      </w:r>
    </w:p>
  </w:footnote>
  <w:footnote w:id="40">
    <w:p w14:paraId="44FF729E" w14:textId="12A2D829" w:rsidR="00EA696C" w:rsidRPr="00B671F2" w:rsidRDefault="00EA696C">
      <w:pPr>
        <w:pStyle w:val="FootnoteText"/>
        <w:rPr>
          <w:sz w:val="20"/>
          <w:szCs w:val="20"/>
        </w:rPr>
      </w:pPr>
      <w:r w:rsidRPr="00B671F2">
        <w:rPr>
          <w:rStyle w:val="FootnoteReference"/>
          <w:sz w:val="20"/>
          <w:szCs w:val="20"/>
        </w:rPr>
        <w:footnoteRef/>
      </w:r>
      <w:r w:rsidRPr="00B671F2">
        <w:rPr>
          <w:sz w:val="20"/>
          <w:szCs w:val="20"/>
        </w:rPr>
        <w:t xml:space="preserve"> In the Hellenistic context, cf. the grain law of Samos (</w:t>
      </w:r>
      <w:r w:rsidRPr="00B671F2">
        <w:rPr>
          <w:i/>
          <w:sz w:val="20"/>
          <w:szCs w:val="20"/>
        </w:rPr>
        <w:t>Syll</w:t>
      </w:r>
      <w:r w:rsidRPr="00B671F2">
        <w:rPr>
          <w:sz w:val="20"/>
          <w:szCs w:val="20"/>
        </w:rPr>
        <w:t>.</w:t>
      </w:r>
      <w:r w:rsidRPr="00B671F2">
        <w:rPr>
          <w:sz w:val="20"/>
          <w:szCs w:val="20"/>
          <w:vertAlign w:val="superscript"/>
        </w:rPr>
        <w:t>3</w:t>
      </w:r>
      <w:r w:rsidRPr="00B671F2">
        <w:rPr>
          <w:sz w:val="20"/>
          <w:szCs w:val="20"/>
        </w:rPr>
        <w:t xml:space="preserve"> 976 = Bagnall and Derow no. 75; c. 250 BCE).</w:t>
      </w:r>
    </w:p>
  </w:footnote>
  <w:footnote w:id="41">
    <w:p w14:paraId="19DA2E38" w14:textId="1357B778" w:rsidR="00EA696C" w:rsidRPr="00C475B8" w:rsidRDefault="00EA696C" w:rsidP="00930126">
      <w:pPr>
        <w:pStyle w:val="FootnoteText"/>
        <w:rPr>
          <w:sz w:val="20"/>
          <w:szCs w:val="20"/>
        </w:rPr>
      </w:pPr>
      <w:r w:rsidRPr="00C475B8">
        <w:rPr>
          <w:rStyle w:val="FootnoteReference"/>
          <w:sz w:val="20"/>
          <w:szCs w:val="20"/>
        </w:rPr>
        <w:footnoteRef/>
      </w:r>
      <w:r w:rsidRPr="00C475B8">
        <w:rPr>
          <w:sz w:val="20"/>
          <w:szCs w:val="20"/>
        </w:rPr>
        <w:t xml:space="preserve"> </w:t>
      </w:r>
      <w:r>
        <w:rPr>
          <w:sz w:val="20"/>
          <w:szCs w:val="20"/>
        </w:rPr>
        <w:t xml:space="preserve">Ulrich Wilcken, in Ludwig Mitteis and Ulrich Wilcken, </w:t>
      </w:r>
      <w:r w:rsidRPr="00DF3656">
        <w:rPr>
          <w:i/>
          <w:sz w:val="20"/>
          <w:szCs w:val="20"/>
        </w:rPr>
        <w:t>Grundzüge und Chrestomathie der Papyruskunde</w:t>
      </w:r>
      <w:r>
        <w:rPr>
          <w:i/>
          <w:sz w:val="20"/>
          <w:szCs w:val="20"/>
        </w:rPr>
        <w:t xml:space="preserve"> </w:t>
      </w:r>
      <w:r>
        <w:rPr>
          <w:sz w:val="20"/>
          <w:szCs w:val="20"/>
        </w:rPr>
        <w:t>Band 1 (Leipzig and Berlin, 1912); Ulrich Wilcken, ‘Zum</w:t>
      </w:r>
      <w:r w:rsidRPr="00C475B8">
        <w:rPr>
          <w:sz w:val="20"/>
          <w:szCs w:val="20"/>
        </w:rPr>
        <w:t xml:space="preserve"> Germanicus Papyrus’, </w:t>
      </w:r>
      <w:r w:rsidRPr="00C475B8">
        <w:rPr>
          <w:i/>
          <w:sz w:val="20"/>
          <w:szCs w:val="20"/>
        </w:rPr>
        <w:t>Hermes</w:t>
      </w:r>
      <w:r>
        <w:rPr>
          <w:sz w:val="20"/>
          <w:szCs w:val="20"/>
        </w:rPr>
        <w:t xml:space="preserve"> 63 (1928), 48–65 (52–53); cf. </w:t>
      </w:r>
      <w:r w:rsidRPr="00C475B8">
        <w:rPr>
          <w:sz w:val="20"/>
          <w:szCs w:val="20"/>
        </w:rPr>
        <w:t xml:space="preserve">Reinach, </w:t>
      </w:r>
      <w:r w:rsidRPr="00C475B8">
        <w:rPr>
          <w:i/>
          <w:sz w:val="20"/>
          <w:szCs w:val="20"/>
        </w:rPr>
        <w:t>Contre Apion</w:t>
      </w:r>
      <w:r w:rsidRPr="00C475B8">
        <w:rPr>
          <w:sz w:val="20"/>
          <w:szCs w:val="20"/>
        </w:rPr>
        <w:t xml:space="preserve">, 69, n. 3; </w:t>
      </w:r>
      <w:r>
        <w:rPr>
          <w:sz w:val="20"/>
          <w:szCs w:val="20"/>
        </w:rPr>
        <w:t xml:space="preserve">Aryeh Kasher, </w:t>
      </w:r>
      <w:r w:rsidRPr="00E60B64">
        <w:rPr>
          <w:i/>
          <w:sz w:val="20"/>
          <w:szCs w:val="20"/>
        </w:rPr>
        <w:t>The Jews in Hellenistic and Roman Egypt</w:t>
      </w:r>
      <w:r>
        <w:rPr>
          <w:sz w:val="20"/>
          <w:szCs w:val="20"/>
        </w:rPr>
        <w:t xml:space="preserve"> (Tübingen, 1985), 341; </w:t>
      </w:r>
      <w:r w:rsidRPr="00C475B8">
        <w:rPr>
          <w:sz w:val="20"/>
          <w:szCs w:val="20"/>
        </w:rPr>
        <w:t xml:space="preserve">Barclay, </w:t>
      </w:r>
      <w:r w:rsidRPr="00C475B8">
        <w:rPr>
          <w:i/>
          <w:sz w:val="20"/>
          <w:szCs w:val="20"/>
        </w:rPr>
        <w:t>Against Apion</w:t>
      </w:r>
      <w:r>
        <w:rPr>
          <w:sz w:val="20"/>
          <w:szCs w:val="20"/>
        </w:rPr>
        <w:t xml:space="preserve">, 202, n. 214; Gambetti, </w:t>
      </w:r>
      <w:r w:rsidRPr="00CA075C">
        <w:rPr>
          <w:i/>
          <w:sz w:val="20"/>
          <w:szCs w:val="20"/>
        </w:rPr>
        <w:t>Alexandrian Riots</w:t>
      </w:r>
      <w:r>
        <w:rPr>
          <w:sz w:val="20"/>
          <w:szCs w:val="20"/>
        </w:rPr>
        <w:t xml:space="preserve">, 55. An alternative view speculates that Cleopatra’s grain distribution took place on the Sabbath, thereby excluding observant Jews: Schimanowski, </w:t>
      </w:r>
      <w:r w:rsidRPr="0059199A">
        <w:rPr>
          <w:i/>
          <w:sz w:val="20"/>
          <w:szCs w:val="20"/>
        </w:rPr>
        <w:t>Juden</w:t>
      </w:r>
      <w:r>
        <w:rPr>
          <w:sz w:val="20"/>
          <w:szCs w:val="20"/>
        </w:rPr>
        <w:t>, 155; cf. Philo’s praise for Augustus who ensured that Jews entitled to the monthly corn doles at Rome might receive them on a day other than the Sabbath (</w:t>
      </w:r>
      <w:r w:rsidRPr="0059199A">
        <w:rPr>
          <w:i/>
          <w:sz w:val="20"/>
          <w:szCs w:val="20"/>
        </w:rPr>
        <w:t xml:space="preserve">Embassy to Gaius </w:t>
      </w:r>
      <w:r>
        <w:rPr>
          <w:sz w:val="20"/>
          <w:szCs w:val="20"/>
        </w:rPr>
        <w:t xml:space="preserve">158). We do not know, however, whether a similar right existed at Alexandria: cf. Miriam Pucci ben Zeev, </w:t>
      </w:r>
      <w:r w:rsidRPr="00F45510">
        <w:rPr>
          <w:i/>
          <w:sz w:val="20"/>
          <w:szCs w:val="20"/>
        </w:rPr>
        <w:t>Jewish Rights in the Roman World</w:t>
      </w:r>
      <w:r>
        <w:rPr>
          <w:sz w:val="20"/>
          <w:szCs w:val="20"/>
        </w:rPr>
        <w:t xml:space="preserve"> (Tübingen, 1998), 439.</w:t>
      </w:r>
    </w:p>
  </w:footnote>
  <w:footnote w:id="42">
    <w:p w14:paraId="74E34F44" w14:textId="6CA4E9FD" w:rsidR="00EA696C" w:rsidRPr="00205CD8" w:rsidRDefault="00EA696C">
      <w:pPr>
        <w:pStyle w:val="FootnoteText"/>
        <w:rPr>
          <w:sz w:val="20"/>
          <w:szCs w:val="20"/>
        </w:rPr>
      </w:pPr>
      <w:r w:rsidRPr="00205CD8">
        <w:rPr>
          <w:rStyle w:val="FootnoteReference"/>
          <w:sz w:val="20"/>
          <w:szCs w:val="20"/>
        </w:rPr>
        <w:footnoteRef/>
      </w:r>
      <w:r w:rsidRPr="00205CD8">
        <w:rPr>
          <w:sz w:val="20"/>
          <w:szCs w:val="20"/>
        </w:rPr>
        <w:t xml:space="preserve"> Seneca, </w:t>
      </w:r>
      <w:r w:rsidR="00C70F6F">
        <w:rPr>
          <w:i/>
          <w:sz w:val="20"/>
          <w:szCs w:val="20"/>
        </w:rPr>
        <w:t>Natural Questions</w:t>
      </w:r>
      <w:r w:rsidRPr="00205CD8">
        <w:rPr>
          <w:sz w:val="20"/>
          <w:szCs w:val="20"/>
        </w:rPr>
        <w:t xml:space="preserve"> 4.2.16; Appian, </w:t>
      </w:r>
      <w:r w:rsidR="00B10400">
        <w:rPr>
          <w:i/>
          <w:sz w:val="20"/>
          <w:szCs w:val="20"/>
        </w:rPr>
        <w:t>Civil War</w:t>
      </w:r>
      <w:r w:rsidR="00D706DA">
        <w:rPr>
          <w:i/>
          <w:sz w:val="20"/>
          <w:szCs w:val="20"/>
        </w:rPr>
        <w:t>s</w:t>
      </w:r>
      <w:r w:rsidRPr="00205CD8">
        <w:rPr>
          <w:sz w:val="20"/>
          <w:szCs w:val="20"/>
        </w:rPr>
        <w:t xml:space="preserve"> 4.61; </w:t>
      </w:r>
      <w:r w:rsidRPr="00205CD8">
        <w:rPr>
          <w:i/>
          <w:sz w:val="20"/>
          <w:szCs w:val="20"/>
        </w:rPr>
        <w:t>OGIS</w:t>
      </w:r>
      <w:r w:rsidRPr="00205CD8">
        <w:rPr>
          <w:sz w:val="20"/>
          <w:szCs w:val="20"/>
        </w:rPr>
        <w:t xml:space="preserve"> 194.14</w:t>
      </w:r>
      <w:r>
        <w:rPr>
          <w:sz w:val="20"/>
          <w:szCs w:val="20"/>
        </w:rPr>
        <w:t>–</w:t>
      </w:r>
      <w:r w:rsidRPr="00205CD8">
        <w:rPr>
          <w:sz w:val="20"/>
          <w:szCs w:val="20"/>
        </w:rPr>
        <w:t>20 (39 BCE, Thebes).</w:t>
      </w:r>
    </w:p>
  </w:footnote>
  <w:footnote w:id="43">
    <w:p w14:paraId="6545A54A" w14:textId="248A1D28" w:rsidR="00EA696C" w:rsidRPr="00A319A3" w:rsidRDefault="00EA696C">
      <w:pPr>
        <w:pStyle w:val="FootnoteText"/>
        <w:rPr>
          <w:sz w:val="20"/>
          <w:szCs w:val="20"/>
        </w:rPr>
      </w:pPr>
      <w:r w:rsidRPr="00A319A3">
        <w:rPr>
          <w:rStyle w:val="FootnoteReference"/>
          <w:sz w:val="20"/>
          <w:szCs w:val="20"/>
        </w:rPr>
        <w:footnoteRef/>
      </w:r>
      <w:r w:rsidRPr="00A319A3">
        <w:rPr>
          <w:sz w:val="20"/>
          <w:szCs w:val="20"/>
        </w:rPr>
        <w:t xml:space="preserve"> </w:t>
      </w:r>
      <w:r w:rsidRPr="00A319A3">
        <w:rPr>
          <w:i/>
          <w:sz w:val="20"/>
          <w:szCs w:val="20"/>
        </w:rPr>
        <w:t>C. Ord. Ptol</w:t>
      </w:r>
      <w:r w:rsidRPr="00A319A3">
        <w:rPr>
          <w:sz w:val="20"/>
          <w:szCs w:val="20"/>
        </w:rPr>
        <w:t xml:space="preserve">. 73 </w:t>
      </w:r>
      <w:r>
        <w:rPr>
          <w:sz w:val="20"/>
          <w:szCs w:val="20"/>
        </w:rPr>
        <w:t xml:space="preserve">= </w:t>
      </w:r>
      <w:r w:rsidRPr="008266D9">
        <w:rPr>
          <w:i/>
          <w:sz w:val="20"/>
          <w:szCs w:val="20"/>
        </w:rPr>
        <w:t>BGU</w:t>
      </w:r>
      <w:r>
        <w:rPr>
          <w:sz w:val="20"/>
          <w:szCs w:val="20"/>
        </w:rPr>
        <w:t xml:space="preserve"> 1730 </w:t>
      </w:r>
      <w:r w:rsidRPr="00A319A3">
        <w:rPr>
          <w:sz w:val="20"/>
          <w:szCs w:val="20"/>
        </w:rPr>
        <w:t>(27 October</w:t>
      </w:r>
      <w:r>
        <w:rPr>
          <w:sz w:val="20"/>
          <w:szCs w:val="20"/>
        </w:rPr>
        <w:t>,</w:t>
      </w:r>
      <w:r w:rsidRPr="00A319A3">
        <w:rPr>
          <w:sz w:val="20"/>
          <w:szCs w:val="20"/>
        </w:rPr>
        <w:t xml:space="preserve"> 50 BCE).</w:t>
      </w:r>
    </w:p>
  </w:footnote>
  <w:footnote w:id="44">
    <w:p w14:paraId="36663664" w14:textId="5BC8BB70" w:rsidR="00EA696C" w:rsidRPr="0065388B" w:rsidRDefault="00EA696C">
      <w:pPr>
        <w:pStyle w:val="FootnoteText"/>
        <w:rPr>
          <w:sz w:val="20"/>
          <w:szCs w:val="20"/>
        </w:rPr>
      </w:pPr>
      <w:r w:rsidRPr="0065388B">
        <w:rPr>
          <w:rStyle w:val="FootnoteReference"/>
          <w:sz w:val="20"/>
          <w:szCs w:val="20"/>
        </w:rPr>
        <w:footnoteRef/>
      </w:r>
      <w:r w:rsidRPr="0065388B">
        <w:rPr>
          <w:sz w:val="20"/>
          <w:szCs w:val="20"/>
        </w:rPr>
        <w:t xml:space="preserve"> </w:t>
      </w:r>
      <w:r w:rsidRPr="00C475B8">
        <w:rPr>
          <w:sz w:val="20"/>
          <w:szCs w:val="20"/>
        </w:rPr>
        <w:t xml:space="preserve">Dorothy J. Thompson, ‘Cleopatra VII: The Queen in Egypt’, in </w:t>
      </w:r>
      <w:r w:rsidRPr="00C475B8">
        <w:rPr>
          <w:i/>
          <w:sz w:val="20"/>
          <w:szCs w:val="20"/>
        </w:rPr>
        <w:t>Cleopatra Reassessed</w:t>
      </w:r>
      <w:r w:rsidRPr="00C475B8">
        <w:rPr>
          <w:sz w:val="20"/>
          <w:szCs w:val="20"/>
        </w:rPr>
        <w:t xml:space="preserve">, ed. Susan Walker and Sally-Ann Ashton (London, 2003), 31–34 </w:t>
      </w:r>
      <w:r>
        <w:rPr>
          <w:sz w:val="20"/>
          <w:szCs w:val="20"/>
        </w:rPr>
        <w:t>(32).</w:t>
      </w:r>
    </w:p>
  </w:footnote>
  <w:footnote w:id="45">
    <w:p w14:paraId="50E7577B" w14:textId="53AC88FE"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w:t>
      </w:r>
      <w:r w:rsidRPr="00C475B8">
        <w:rPr>
          <w:i/>
          <w:sz w:val="20"/>
          <w:szCs w:val="20"/>
        </w:rPr>
        <w:t>C. Ord. Ptol</w:t>
      </w:r>
      <w:r w:rsidRPr="00C475B8">
        <w:rPr>
          <w:sz w:val="20"/>
          <w:szCs w:val="20"/>
        </w:rPr>
        <w:t>. 75–76 (</w:t>
      </w:r>
      <w:r>
        <w:rPr>
          <w:sz w:val="20"/>
          <w:szCs w:val="20"/>
        </w:rPr>
        <w:t xml:space="preserve">12 April, </w:t>
      </w:r>
      <w:r w:rsidRPr="00C475B8">
        <w:rPr>
          <w:sz w:val="20"/>
          <w:szCs w:val="20"/>
        </w:rPr>
        <w:t xml:space="preserve">41 BCE), cf. Jean Bingen, ‘Les ordonnances royales </w:t>
      </w:r>
      <w:r w:rsidRPr="00C475B8">
        <w:rPr>
          <w:i/>
          <w:sz w:val="20"/>
          <w:szCs w:val="20"/>
        </w:rPr>
        <w:t>C.Ord.Ptol</w:t>
      </w:r>
      <w:r w:rsidRPr="00C475B8">
        <w:rPr>
          <w:sz w:val="20"/>
          <w:szCs w:val="20"/>
        </w:rPr>
        <w:t xml:space="preserve">. 75–76 (Héracléopolis, 41 avant J.-C.)’, </w:t>
      </w:r>
      <w:r w:rsidRPr="00C475B8">
        <w:rPr>
          <w:i/>
          <w:sz w:val="20"/>
          <w:szCs w:val="20"/>
        </w:rPr>
        <w:t>Chronique d’Égypte</w:t>
      </w:r>
      <w:r>
        <w:rPr>
          <w:sz w:val="20"/>
          <w:szCs w:val="20"/>
        </w:rPr>
        <w:t xml:space="preserve"> 70 (1995), 206–</w:t>
      </w:r>
      <w:r w:rsidRPr="00C475B8">
        <w:rPr>
          <w:sz w:val="20"/>
          <w:szCs w:val="20"/>
        </w:rPr>
        <w:t>18; Thompson, ‘Cleopatra VII’, 32–33.</w:t>
      </w:r>
    </w:p>
  </w:footnote>
  <w:footnote w:id="46">
    <w:p w14:paraId="71C63DEE" w14:textId="0073676F"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Barclay, </w:t>
      </w:r>
      <w:r w:rsidRPr="00C475B8">
        <w:rPr>
          <w:i/>
          <w:sz w:val="20"/>
          <w:szCs w:val="20"/>
        </w:rPr>
        <w:t>Against Apion</w:t>
      </w:r>
      <w:r w:rsidRPr="00C475B8">
        <w:rPr>
          <w:sz w:val="20"/>
          <w:szCs w:val="20"/>
        </w:rPr>
        <w:t>, 200, n. 194.</w:t>
      </w:r>
    </w:p>
  </w:footnote>
  <w:footnote w:id="47">
    <w:p w14:paraId="3AA1841B" w14:textId="772BB43F"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The reign of Herod: Josephus, </w:t>
      </w:r>
      <w:r w:rsidRPr="00C475B8">
        <w:rPr>
          <w:i/>
          <w:sz w:val="20"/>
          <w:szCs w:val="20"/>
        </w:rPr>
        <w:t>War</w:t>
      </w:r>
      <w:r w:rsidRPr="00C475B8">
        <w:rPr>
          <w:sz w:val="20"/>
          <w:szCs w:val="20"/>
        </w:rPr>
        <w:t xml:space="preserve"> 1.203–673;</w:t>
      </w:r>
      <w:r w:rsidRPr="00C475B8">
        <w:rPr>
          <w:i/>
          <w:sz w:val="20"/>
          <w:szCs w:val="20"/>
        </w:rPr>
        <w:t xml:space="preserve"> Ant</w:t>
      </w:r>
      <w:r>
        <w:rPr>
          <w:i/>
          <w:sz w:val="20"/>
          <w:szCs w:val="20"/>
        </w:rPr>
        <w:t>.</w:t>
      </w:r>
      <w:r w:rsidRPr="00C475B8">
        <w:rPr>
          <w:i/>
          <w:sz w:val="20"/>
          <w:szCs w:val="20"/>
        </w:rPr>
        <w:t xml:space="preserve"> </w:t>
      </w:r>
      <w:r w:rsidRPr="00C475B8">
        <w:rPr>
          <w:sz w:val="20"/>
          <w:szCs w:val="20"/>
        </w:rPr>
        <w:t>14.158–17.208.</w:t>
      </w:r>
    </w:p>
  </w:footnote>
  <w:footnote w:id="48">
    <w:p w14:paraId="4C5A3222" w14:textId="75144334" w:rsidR="00EA696C" w:rsidRPr="0037250C" w:rsidRDefault="00EA696C">
      <w:pPr>
        <w:pStyle w:val="FootnoteText"/>
        <w:rPr>
          <w:b/>
          <w:sz w:val="20"/>
          <w:szCs w:val="20"/>
        </w:rPr>
      </w:pPr>
      <w:r w:rsidRPr="00C475B8">
        <w:rPr>
          <w:rStyle w:val="FootnoteReference"/>
          <w:sz w:val="20"/>
          <w:szCs w:val="20"/>
        </w:rPr>
        <w:footnoteRef/>
      </w:r>
      <w:r w:rsidRPr="00C475B8">
        <w:rPr>
          <w:sz w:val="20"/>
          <w:szCs w:val="20"/>
        </w:rPr>
        <w:t xml:space="preserve"> </w:t>
      </w:r>
      <w:r>
        <w:rPr>
          <w:sz w:val="20"/>
          <w:szCs w:val="20"/>
        </w:rPr>
        <w:t xml:space="preserve">Tutor to the children of Antony and Cleopatra: </w:t>
      </w:r>
      <w:r w:rsidRPr="00064C5E">
        <w:rPr>
          <w:i/>
          <w:sz w:val="20"/>
          <w:szCs w:val="20"/>
        </w:rPr>
        <w:t>FGrH</w:t>
      </w:r>
      <w:r>
        <w:rPr>
          <w:i/>
          <w:sz w:val="20"/>
          <w:szCs w:val="20"/>
        </w:rPr>
        <w:t>ist.</w:t>
      </w:r>
      <w:r>
        <w:rPr>
          <w:sz w:val="20"/>
          <w:szCs w:val="20"/>
        </w:rPr>
        <w:t xml:space="preserve"> 90, Fr. T2. </w:t>
      </w:r>
      <w:r w:rsidRPr="00C475B8">
        <w:rPr>
          <w:sz w:val="20"/>
          <w:szCs w:val="20"/>
        </w:rPr>
        <w:t xml:space="preserve">Herod’s Memoirs: Josephus, </w:t>
      </w:r>
      <w:r w:rsidRPr="00C475B8">
        <w:rPr>
          <w:i/>
          <w:sz w:val="20"/>
          <w:szCs w:val="20"/>
        </w:rPr>
        <w:t>Ant</w:t>
      </w:r>
      <w:r w:rsidRPr="00C475B8">
        <w:rPr>
          <w:sz w:val="20"/>
          <w:szCs w:val="20"/>
        </w:rPr>
        <w:t xml:space="preserve">. 15.174; </w:t>
      </w:r>
      <w:r w:rsidRPr="00C475B8">
        <w:rPr>
          <w:i/>
          <w:sz w:val="20"/>
          <w:szCs w:val="20"/>
        </w:rPr>
        <w:t>FGrH</w:t>
      </w:r>
      <w:r>
        <w:rPr>
          <w:i/>
          <w:sz w:val="20"/>
          <w:szCs w:val="20"/>
        </w:rPr>
        <w:t>ist.</w:t>
      </w:r>
      <w:r w:rsidRPr="00C475B8">
        <w:rPr>
          <w:i/>
          <w:sz w:val="20"/>
          <w:szCs w:val="20"/>
        </w:rPr>
        <w:t xml:space="preserve"> </w:t>
      </w:r>
      <w:r>
        <w:rPr>
          <w:sz w:val="20"/>
          <w:szCs w:val="20"/>
        </w:rPr>
        <w:t>90 Fr. 135. On the life and works of Nicolaus of Damascus:</w:t>
      </w:r>
      <w:r w:rsidRPr="00C475B8">
        <w:rPr>
          <w:sz w:val="20"/>
          <w:szCs w:val="20"/>
        </w:rPr>
        <w:t xml:space="preserve"> Emil Schürer (revised by Geza Vermes, Fergus Millar and Matthew Black), </w:t>
      </w:r>
      <w:r w:rsidRPr="00C475B8">
        <w:rPr>
          <w:i/>
          <w:sz w:val="20"/>
          <w:szCs w:val="20"/>
        </w:rPr>
        <w:t xml:space="preserve">The History of the Jewish People in the Age of Jesus Christ </w:t>
      </w:r>
      <w:r w:rsidR="001D78F2">
        <w:rPr>
          <w:sz w:val="20"/>
          <w:szCs w:val="20"/>
        </w:rPr>
        <w:t>[</w:t>
      </w:r>
      <w:r>
        <w:rPr>
          <w:sz w:val="20"/>
          <w:szCs w:val="20"/>
        </w:rPr>
        <w:t xml:space="preserve">henceforth Schürer, </w:t>
      </w:r>
      <w:r w:rsidRPr="005F73C0">
        <w:rPr>
          <w:i/>
          <w:sz w:val="20"/>
          <w:szCs w:val="20"/>
        </w:rPr>
        <w:t>History</w:t>
      </w:r>
      <w:r w:rsidR="001D78F2">
        <w:rPr>
          <w:sz w:val="20"/>
          <w:szCs w:val="20"/>
        </w:rPr>
        <w:t xml:space="preserve">] </w:t>
      </w:r>
      <w:r w:rsidRPr="00C475B8">
        <w:rPr>
          <w:sz w:val="20"/>
          <w:szCs w:val="20"/>
        </w:rPr>
        <w:t xml:space="preserve">Vol. 1 (Edinburgh, 1973), </w:t>
      </w:r>
      <w:r>
        <w:rPr>
          <w:sz w:val="20"/>
          <w:szCs w:val="20"/>
        </w:rPr>
        <w:t>128</w:t>
      </w:r>
      <w:r w:rsidRPr="00C475B8">
        <w:rPr>
          <w:sz w:val="20"/>
          <w:szCs w:val="20"/>
        </w:rPr>
        <w:t>–</w:t>
      </w:r>
      <w:r>
        <w:rPr>
          <w:sz w:val="20"/>
          <w:szCs w:val="20"/>
        </w:rPr>
        <w:t>32; cf. 50</w:t>
      </w:r>
      <w:r w:rsidRPr="00C475B8">
        <w:rPr>
          <w:sz w:val="20"/>
          <w:szCs w:val="20"/>
        </w:rPr>
        <w:t>–</w:t>
      </w:r>
      <w:r>
        <w:rPr>
          <w:sz w:val="20"/>
          <w:szCs w:val="20"/>
        </w:rPr>
        <w:t xml:space="preserve">52 on Josephus’ use of Nicolaus in the </w:t>
      </w:r>
      <w:r w:rsidRPr="00EF329E">
        <w:rPr>
          <w:i/>
          <w:sz w:val="20"/>
          <w:szCs w:val="20"/>
        </w:rPr>
        <w:t>War</w:t>
      </w:r>
      <w:r>
        <w:rPr>
          <w:sz w:val="20"/>
          <w:szCs w:val="20"/>
        </w:rPr>
        <w:t xml:space="preserve"> and the </w:t>
      </w:r>
      <w:r w:rsidRPr="00EF329E">
        <w:rPr>
          <w:i/>
          <w:sz w:val="20"/>
          <w:szCs w:val="20"/>
        </w:rPr>
        <w:t>Antiquities</w:t>
      </w:r>
      <w:r>
        <w:rPr>
          <w:sz w:val="20"/>
          <w:szCs w:val="20"/>
        </w:rPr>
        <w:t xml:space="preserve">. </w:t>
      </w:r>
    </w:p>
  </w:footnote>
  <w:footnote w:id="49">
    <w:p w14:paraId="78A0E3D2" w14:textId="79BAF636" w:rsidR="00EA696C" w:rsidRPr="00CF615E" w:rsidRDefault="00EA696C">
      <w:pPr>
        <w:pStyle w:val="FootnoteText"/>
        <w:rPr>
          <w:sz w:val="20"/>
          <w:szCs w:val="20"/>
        </w:rPr>
      </w:pPr>
      <w:r w:rsidRPr="00CF615E">
        <w:rPr>
          <w:rStyle w:val="FootnoteReference"/>
          <w:sz w:val="20"/>
          <w:szCs w:val="20"/>
        </w:rPr>
        <w:footnoteRef/>
      </w:r>
      <w:r w:rsidRPr="00CF615E">
        <w:rPr>
          <w:sz w:val="20"/>
          <w:szCs w:val="20"/>
        </w:rPr>
        <w:t xml:space="preserve"> Tal Ilan, ‘“Things Unbecoming a Woman” (</w:t>
      </w:r>
      <w:r w:rsidRPr="00CF615E">
        <w:rPr>
          <w:i/>
          <w:sz w:val="20"/>
          <w:szCs w:val="20"/>
        </w:rPr>
        <w:t>Ant</w:t>
      </w:r>
      <w:r w:rsidRPr="00CF615E">
        <w:rPr>
          <w:sz w:val="20"/>
          <w:szCs w:val="20"/>
        </w:rPr>
        <w:t>. 13.431)</w:t>
      </w:r>
      <w:r>
        <w:rPr>
          <w:sz w:val="20"/>
          <w:szCs w:val="20"/>
        </w:rPr>
        <w:t xml:space="preserve">: </w:t>
      </w:r>
      <w:r w:rsidRPr="00CF615E">
        <w:rPr>
          <w:sz w:val="20"/>
          <w:szCs w:val="20"/>
        </w:rPr>
        <w:t xml:space="preserve">Josephus and Nicolaus on Women’, in Tal Ilan, </w:t>
      </w:r>
      <w:r w:rsidRPr="00CF615E">
        <w:rPr>
          <w:i/>
          <w:sz w:val="20"/>
          <w:szCs w:val="20"/>
        </w:rPr>
        <w:t>Integrating Women into Second Temple History</w:t>
      </w:r>
      <w:r w:rsidRPr="00CF615E">
        <w:rPr>
          <w:sz w:val="20"/>
          <w:szCs w:val="20"/>
        </w:rPr>
        <w:t xml:space="preserve"> (Tübingen, 1999), 85</w:t>
      </w:r>
      <w:r w:rsidRPr="00C475B8">
        <w:rPr>
          <w:sz w:val="20"/>
          <w:szCs w:val="20"/>
        </w:rPr>
        <w:t>–</w:t>
      </w:r>
      <w:r w:rsidRPr="00CF615E">
        <w:rPr>
          <w:sz w:val="20"/>
          <w:szCs w:val="20"/>
        </w:rPr>
        <w:t>125 (111, 113).</w:t>
      </w:r>
    </w:p>
  </w:footnote>
  <w:footnote w:id="50">
    <w:p w14:paraId="088A61E6" w14:textId="460265CA" w:rsidR="00EA696C" w:rsidRPr="00EB5672" w:rsidRDefault="00EA696C">
      <w:pPr>
        <w:pStyle w:val="FootnoteText"/>
        <w:rPr>
          <w:sz w:val="20"/>
          <w:szCs w:val="20"/>
        </w:rPr>
      </w:pPr>
      <w:r w:rsidRPr="00EB5672">
        <w:rPr>
          <w:rStyle w:val="FootnoteReference"/>
          <w:sz w:val="20"/>
          <w:szCs w:val="20"/>
        </w:rPr>
        <w:footnoteRef/>
      </w:r>
      <w:r w:rsidRPr="00EB5672">
        <w:rPr>
          <w:sz w:val="20"/>
          <w:szCs w:val="20"/>
        </w:rPr>
        <w:t xml:space="preserve"> </w:t>
      </w:r>
      <w:r>
        <w:rPr>
          <w:sz w:val="20"/>
          <w:szCs w:val="20"/>
        </w:rPr>
        <w:t xml:space="preserve">Hyrcanus II: Schürer, </w:t>
      </w:r>
      <w:r w:rsidRPr="00524F4D">
        <w:rPr>
          <w:i/>
          <w:sz w:val="20"/>
          <w:szCs w:val="20"/>
        </w:rPr>
        <w:t>History</w:t>
      </w:r>
      <w:r>
        <w:rPr>
          <w:sz w:val="20"/>
          <w:szCs w:val="20"/>
        </w:rPr>
        <w:t xml:space="preserve"> </w:t>
      </w:r>
      <w:r w:rsidRPr="00EB5672">
        <w:rPr>
          <w:sz w:val="20"/>
          <w:szCs w:val="20"/>
        </w:rPr>
        <w:t>1, 267</w:t>
      </w:r>
      <w:r w:rsidRPr="00C475B8">
        <w:rPr>
          <w:sz w:val="20"/>
          <w:szCs w:val="20"/>
        </w:rPr>
        <w:t>–</w:t>
      </w:r>
      <w:r w:rsidRPr="00EB5672">
        <w:rPr>
          <w:sz w:val="20"/>
          <w:szCs w:val="20"/>
        </w:rPr>
        <w:t>80.</w:t>
      </w:r>
    </w:p>
  </w:footnote>
  <w:footnote w:id="51">
    <w:p w14:paraId="19960558" w14:textId="342B25B9" w:rsidR="00EA696C" w:rsidRPr="00407A6D" w:rsidRDefault="00EA696C">
      <w:pPr>
        <w:pStyle w:val="FootnoteText"/>
        <w:rPr>
          <w:sz w:val="20"/>
          <w:szCs w:val="20"/>
        </w:rPr>
      </w:pPr>
      <w:r w:rsidRPr="00407A6D">
        <w:rPr>
          <w:rStyle w:val="FootnoteReference"/>
          <w:sz w:val="20"/>
          <w:szCs w:val="20"/>
        </w:rPr>
        <w:footnoteRef/>
      </w:r>
      <w:r w:rsidRPr="00407A6D">
        <w:rPr>
          <w:sz w:val="20"/>
          <w:szCs w:val="20"/>
        </w:rPr>
        <w:t xml:space="preserve"> Josephus, </w:t>
      </w:r>
      <w:r w:rsidRPr="00407A6D">
        <w:rPr>
          <w:i/>
          <w:sz w:val="20"/>
          <w:szCs w:val="20"/>
        </w:rPr>
        <w:t>War</w:t>
      </w:r>
      <w:r w:rsidRPr="00407A6D">
        <w:rPr>
          <w:sz w:val="20"/>
          <w:szCs w:val="20"/>
        </w:rPr>
        <w:t xml:space="preserve"> 1.187</w:t>
      </w:r>
      <w:r w:rsidRPr="00C475B8">
        <w:rPr>
          <w:sz w:val="20"/>
          <w:szCs w:val="20"/>
        </w:rPr>
        <w:t>–</w:t>
      </w:r>
      <w:r>
        <w:rPr>
          <w:sz w:val="20"/>
          <w:szCs w:val="20"/>
        </w:rPr>
        <w:t xml:space="preserve">94; </w:t>
      </w:r>
      <w:r w:rsidRPr="00303E2E">
        <w:rPr>
          <w:i/>
          <w:sz w:val="20"/>
          <w:szCs w:val="20"/>
        </w:rPr>
        <w:t>Ant</w:t>
      </w:r>
      <w:r>
        <w:rPr>
          <w:sz w:val="20"/>
          <w:szCs w:val="20"/>
        </w:rPr>
        <w:t>. 14.127</w:t>
      </w:r>
      <w:r w:rsidRPr="00C475B8">
        <w:rPr>
          <w:sz w:val="20"/>
          <w:szCs w:val="20"/>
        </w:rPr>
        <w:t>–</w:t>
      </w:r>
      <w:r>
        <w:rPr>
          <w:sz w:val="20"/>
          <w:szCs w:val="20"/>
        </w:rPr>
        <w:t>55.</w:t>
      </w:r>
    </w:p>
  </w:footnote>
  <w:footnote w:id="52">
    <w:p w14:paraId="1756B670" w14:textId="2FBF0598" w:rsidR="00EA696C" w:rsidRPr="004A55E2" w:rsidRDefault="00EA696C">
      <w:pPr>
        <w:pStyle w:val="FootnoteText"/>
        <w:rPr>
          <w:sz w:val="20"/>
          <w:szCs w:val="20"/>
        </w:rPr>
      </w:pPr>
      <w:r w:rsidRPr="004A55E2">
        <w:rPr>
          <w:rStyle w:val="FootnoteReference"/>
          <w:sz w:val="20"/>
          <w:szCs w:val="20"/>
        </w:rPr>
        <w:footnoteRef/>
      </w:r>
      <w:r w:rsidRPr="004A55E2">
        <w:rPr>
          <w:sz w:val="20"/>
          <w:szCs w:val="20"/>
        </w:rPr>
        <w:t xml:space="preserve"> Josephus, </w:t>
      </w:r>
      <w:r w:rsidRPr="004A55E2">
        <w:rPr>
          <w:i/>
          <w:sz w:val="20"/>
          <w:szCs w:val="20"/>
        </w:rPr>
        <w:t>War</w:t>
      </w:r>
      <w:r w:rsidRPr="004A55E2">
        <w:rPr>
          <w:sz w:val="20"/>
          <w:szCs w:val="20"/>
        </w:rPr>
        <w:t xml:space="preserve"> 1.242</w:t>
      </w:r>
      <w:r w:rsidRPr="00C475B8">
        <w:rPr>
          <w:sz w:val="20"/>
          <w:szCs w:val="20"/>
        </w:rPr>
        <w:t>–</w:t>
      </w:r>
      <w:r w:rsidRPr="004A55E2">
        <w:rPr>
          <w:sz w:val="20"/>
          <w:szCs w:val="20"/>
        </w:rPr>
        <w:t xml:space="preserve">47; </w:t>
      </w:r>
      <w:r w:rsidRPr="004A55E2">
        <w:rPr>
          <w:i/>
          <w:sz w:val="20"/>
          <w:szCs w:val="20"/>
        </w:rPr>
        <w:t>Ant</w:t>
      </w:r>
      <w:r w:rsidRPr="004A55E2">
        <w:rPr>
          <w:sz w:val="20"/>
          <w:szCs w:val="20"/>
        </w:rPr>
        <w:t>. 14.324</w:t>
      </w:r>
      <w:r w:rsidRPr="00C475B8">
        <w:rPr>
          <w:sz w:val="20"/>
          <w:szCs w:val="20"/>
        </w:rPr>
        <w:t>–</w:t>
      </w:r>
      <w:r w:rsidRPr="004A55E2">
        <w:rPr>
          <w:sz w:val="20"/>
          <w:szCs w:val="20"/>
        </w:rPr>
        <w:t>26.</w:t>
      </w:r>
      <w:r>
        <w:rPr>
          <w:sz w:val="20"/>
          <w:szCs w:val="20"/>
        </w:rPr>
        <w:t xml:space="preserve"> Josephus places the appointment, it should be noted, in the context of the beginning of Antony’s relationship with Cleopatra: at Daphne by Antioch, with Antony ‘already enslaved to love for Cleopatra’ (</w:t>
      </w:r>
      <w:r w:rsidRPr="009847BD">
        <w:rPr>
          <w:i/>
          <w:sz w:val="20"/>
          <w:szCs w:val="20"/>
        </w:rPr>
        <w:t>War</w:t>
      </w:r>
      <w:r>
        <w:rPr>
          <w:sz w:val="20"/>
          <w:szCs w:val="20"/>
        </w:rPr>
        <w:t xml:space="preserve"> 1.243); or at Tarsus, when Antony ‘was taken prisoner through love’ (</w:t>
      </w:r>
      <w:r w:rsidRPr="00814253">
        <w:rPr>
          <w:i/>
          <w:sz w:val="20"/>
          <w:szCs w:val="20"/>
        </w:rPr>
        <w:t>Ant</w:t>
      </w:r>
      <w:r>
        <w:rPr>
          <w:sz w:val="20"/>
          <w:szCs w:val="20"/>
        </w:rPr>
        <w:t xml:space="preserve">. 14.324). On the assassination of Antipater by Malichus, a supporter of Hyrcanus: Josephus, </w:t>
      </w:r>
      <w:r w:rsidRPr="008A49C8">
        <w:rPr>
          <w:i/>
          <w:sz w:val="20"/>
          <w:szCs w:val="20"/>
        </w:rPr>
        <w:t>War</w:t>
      </w:r>
      <w:r>
        <w:rPr>
          <w:sz w:val="20"/>
          <w:szCs w:val="20"/>
        </w:rPr>
        <w:t xml:space="preserve"> 1.226-37; </w:t>
      </w:r>
      <w:r w:rsidRPr="00367F9C">
        <w:rPr>
          <w:i/>
          <w:sz w:val="20"/>
          <w:szCs w:val="20"/>
        </w:rPr>
        <w:t>Ant</w:t>
      </w:r>
      <w:r>
        <w:rPr>
          <w:sz w:val="20"/>
          <w:szCs w:val="20"/>
        </w:rPr>
        <w:t>. 14.277</w:t>
      </w:r>
      <w:r w:rsidRPr="00C475B8">
        <w:rPr>
          <w:sz w:val="20"/>
          <w:szCs w:val="20"/>
        </w:rPr>
        <w:t>–</w:t>
      </w:r>
      <w:r>
        <w:rPr>
          <w:sz w:val="20"/>
          <w:szCs w:val="20"/>
        </w:rPr>
        <w:t>93.</w:t>
      </w:r>
    </w:p>
  </w:footnote>
  <w:footnote w:id="53">
    <w:p w14:paraId="068660FA" w14:textId="74F8EE44" w:rsidR="00EA696C" w:rsidRPr="00167DA2" w:rsidRDefault="00EA696C">
      <w:pPr>
        <w:pStyle w:val="FootnoteText"/>
        <w:rPr>
          <w:sz w:val="20"/>
          <w:szCs w:val="20"/>
        </w:rPr>
      </w:pPr>
      <w:r w:rsidRPr="00167DA2">
        <w:rPr>
          <w:rStyle w:val="FootnoteReference"/>
          <w:sz w:val="20"/>
          <w:szCs w:val="20"/>
        </w:rPr>
        <w:footnoteRef/>
      </w:r>
      <w:r w:rsidRPr="00167DA2">
        <w:rPr>
          <w:sz w:val="20"/>
          <w:szCs w:val="20"/>
        </w:rPr>
        <w:t xml:space="preserve"> Antigonus: </w:t>
      </w:r>
      <w:r w:rsidRPr="00EB5672">
        <w:rPr>
          <w:sz w:val="20"/>
          <w:szCs w:val="20"/>
        </w:rPr>
        <w:t>Schürer</w:t>
      </w:r>
      <w:r>
        <w:rPr>
          <w:sz w:val="20"/>
          <w:szCs w:val="20"/>
        </w:rPr>
        <w:t>,</w:t>
      </w:r>
      <w:r w:rsidRPr="00EB5672">
        <w:rPr>
          <w:sz w:val="20"/>
          <w:szCs w:val="20"/>
        </w:rPr>
        <w:t xml:space="preserve"> </w:t>
      </w:r>
      <w:r w:rsidRPr="005F73C0">
        <w:rPr>
          <w:i/>
          <w:sz w:val="20"/>
          <w:szCs w:val="20"/>
        </w:rPr>
        <w:t>History</w:t>
      </w:r>
      <w:r>
        <w:rPr>
          <w:sz w:val="20"/>
          <w:szCs w:val="20"/>
        </w:rPr>
        <w:t xml:space="preserve"> </w:t>
      </w:r>
      <w:r w:rsidRPr="00EB5672">
        <w:rPr>
          <w:sz w:val="20"/>
          <w:szCs w:val="20"/>
        </w:rPr>
        <w:t>1,</w:t>
      </w:r>
      <w:r>
        <w:rPr>
          <w:sz w:val="20"/>
          <w:szCs w:val="20"/>
        </w:rPr>
        <w:t xml:space="preserve"> 281</w:t>
      </w:r>
      <w:r w:rsidRPr="00C475B8">
        <w:rPr>
          <w:sz w:val="20"/>
          <w:szCs w:val="20"/>
        </w:rPr>
        <w:t>–</w:t>
      </w:r>
      <w:r>
        <w:rPr>
          <w:sz w:val="20"/>
          <w:szCs w:val="20"/>
        </w:rPr>
        <w:t>86. A prisoner of the Parthians, Hyrcanus II’s position as high priest was terminated following his deliberate mutilation, performed by Antigonus in order to disqualify Hyrcanus from resuming the high priesthood (</w:t>
      </w:r>
      <w:r w:rsidRPr="005F6486">
        <w:rPr>
          <w:i/>
          <w:sz w:val="20"/>
          <w:szCs w:val="20"/>
        </w:rPr>
        <w:t xml:space="preserve">War </w:t>
      </w:r>
      <w:r>
        <w:rPr>
          <w:sz w:val="20"/>
          <w:szCs w:val="20"/>
        </w:rPr>
        <w:t xml:space="preserve">1.270; </w:t>
      </w:r>
      <w:r w:rsidRPr="005F6486">
        <w:rPr>
          <w:i/>
          <w:sz w:val="20"/>
          <w:szCs w:val="20"/>
        </w:rPr>
        <w:t>Ant.</w:t>
      </w:r>
      <w:r>
        <w:rPr>
          <w:sz w:val="20"/>
          <w:szCs w:val="20"/>
        </w:rPr>
        <w:t xml:space="preserve"> 14.366).</w:t>
      </w:r>
    </w:p>
  </w:footnote>
  <w:footnote w:id="54">
    <w:p w14:paraId="50DD691A" w14:textId="781F5511" w:rsidR="00EA696C" w:rsidRPr="0068402B" w:rsidRDefault="00EA696C" w:rsidP="004679B6">
      <w:pPr>
        <w:pStyle w:val="FootnoteText"/>
        <w:rPr>
          <w:sz w:val="20"/>
          <w:szCs w:val="20"/>
        </w:rPr>
      </w:pPr>
      <w:r w:rsidRPr="0068402B">
        <w:rPr>
          <w:rStyle w:val="FootnoteReference"/>
          <w:sz w:val="20"/>
          <w:szCs w:val="20"/>
        </w:rPr>
        <w:footnoteRef/>
      </w:r>
      <w:r w:rsidRPr="0068402B">
        <w:rPr>
          <w:sz w:val="20"/>
          <w:szCs w:val="20"/>
        </w:rPr>
        <w:t xml:space="preserve"> Josephus, </w:t>
      </w:r>
      <w:r w:rsidRPr="0068402B">
        <w:rPr>
          <w:i/>
          <w:sz w:val="20"/>
          <w:szCs w:val="20"/>
        </w:rPr>
        <w:t>War</w:t>
      </w:r>
      <w:r w:rsidRPr="0068402B">
        <w:rPr>
          <w:sz w:val="20"/>
          <w:szCs w:val="20"/>
        </w:rPr>
        <w:t xml:space="preserve"> 1.277</w:t>
      </w:r>
      <w:r w:rsidRPr="00C475B8">
        <w:rPr>
          <w:sz w:val="20"/>
          <w:szCs w:val="20"/>
        </w:rPr>
        <w:t>–</w:t>
      </w:r>
      <w:r w:rsidRPr="0068402B">
        <w:rPr>
          <w:sz w:val="20"/>
          <w:szCs w:val="20"/>
        </w:rPr>
        <w:t xml:space="preserve">85; </w:t>
      </w:r>
      <w:r w:rsidRPr="003606C5">
        <w:rPr>
          <w:i/>
          <w:sz w:val="20"/>
          <w:szCs w:val="20"/>
        </w:rPr>
        <w:t>Ant</w:t>
      </w:r>
      <w:r w:rsidRPr="0068402B">
        <w:rPr>
          <w:sz w:val="20"/>
          <w:szCs w:val="20"/>
        </w:rPr>
        <w:t>. 14.370</w:t>
      </w:r>
      <w:r w:rsidRPr="00C475B8">
        <w:rPr>
          <w:sz w:val="20"/>
          <w:szCs w:val="20"/>
        </w:rPr>
        <w:t>–</w:t>
      </w:r>
      <w:r w:rsidRPr="0068402B">
        <w:rPr>
          <w:sz w:val="20"/>
          <w:szCs w:val="20"/>
        </w:rPr>
        <w:t>89</w:t>
      </w:r>
      <w:r>
        <w:rPr>
          <w:sz w:val="20"/>
          <w:szCs w:val="20"/>
        </w:rPr>
        <w:t xml:space="preserve">; Tacitus, </w:t>
      </w:r>
      <w:r w:rsidRPr="009054E1">
        <w:rPr>
          <w:i/>
          <w:sz w:val="20"/>
          <w:szCs w:val="20"/>
        </w:rPr>
        <w:t>History</w:t>
      </w:r>
      <w:r>
        <w:rPr>
          <w:sz w:val="20"/>
          <w:szCs w:val="20"/>
        </w:rPr>
        <w:t xml:space="preserve"> 5.9 (Herod receives his throne from Antony); cf. the confused accounts of Herod’s appointment as king in Strabo, </w:t>
      </w:r>
      <w:r w:rsidRPr="006A4B70">
        <w:rPr>
          <w:i/>
          <w:sz w:val="20"/>
          <w:szCs w:val="20"/>
        </w:rPr>
        <w:t>Geography</w:t>
      </w:r>
      <w:r>
        <w:rPr>
          <w:sz w:val="20"/>
          <w:szCs w:val="20"/>
        </w:rPr>
        <w:t xml:space="preserve"> 16.2.46; Appian, </w:t>
      </w:r>
      <w:r w:rsidRPr="00CF2D61">
        <w:rPr>
          <w:i/>
          <w:sz w:val="20"/>
          <w:szCs w:val="20"/>
        </w:rPr>
        <w:t>Civil War</w:t>
      </w:r>
      <w:r w:rsidR="00FB30C7">
        <w:rPr>
          <w:i/>
          <w:sz w:val="20"/>
          <w:szCs w:val="20"/>
        </w:rPr>
        <w:t>s</w:t>
      </w:r>
      <w:r>
        <w:rPr>
          <w:sz w:val="20"/>
          <w:szCs w:val="20"/>
        </w:rPr>
        <w:t xml:space="preserve"> 5.75</w:t>
      </w:r>
      <w:r w:rsidRPr="0068402B">
        <w:rPr>
          <w:sz w:val="20"/>
          <w:szCs w:val="20"/>
        </w:rPr>
        <w:t xml:space="preserve">. Cleopatra received Herod in Alexandria as he sought refuge from the Parthian invaders: </w:t>
      </w:r>
      <w:r w:rsidRPr="0068402B">
        <w:rPr>
          <w:i/>
          <w:sz w:val="20"/>
          <w:szCs w:val="20"/>
        </w:rPr>
        <w:t xml:space="preserve">War </w:t>
      </w:r>
      <w:r w:rsidRPr="0068402B">
        <w:rPr>
          <w:sz w:val="20"/>
          <w:szCs w:val="20"/>
        </w:rPr>
        <w:t>1. 278</w:t>
      </w:r>
      <w:r w:rsidRPr="00C475B8">
        <w:rPr>
          <w:sz w:val="20"/>
          <w:szCs w:val="20"/>
        </w:rPr>
        <w:t>–</w:t>
      </w:r>
      <w:r w:rsidRPr="0068402B">
        <w:rPr>
          <w:sz w:val="20"/>
          <w:szCs w:val="20"/>
        </w:rPr>
        <w:t xml:space="preserve">79; </w:t>
      </w:r>
      <w:r w:rsidRPr="0068402B">
        <w:rPr>
          <w:i/>
          <w:sz w:val="20"/>
          <w:szCs w:val="20"/>
        </w:rPr>
        <w:t>Ant</w:t>
      </w:r>
      <w:r w:rsidRPr="0068402B">
        <w:rPr>
          <w:sz w:val="20"/>
          <w:szCs w:val="20"/>
        </w:rPr>
        <w:t>. 14.374</w:t>
      </w:r>
      <w:r w:rsidRPr="00C475B8">
        <w:rPr>
          <w:sz w:val="20"/>
          <w:szCs w:val="20"/>
        </w:rPr>
        <w:t>–</w:t>
      </w:r>
      <w:r w:rsidRPr="0068402B">
        <w:rPr>
          <w:sz w:val="20"/>
          <w:szCs w:val="20"/>
        </w:rPr>
        <w:t>76.</w:t>
      </w:r>
      <w:r>
        <w:rPr>
          <w:sz w:val="20"/>
          <w:szCs w:val="20"/>
        </w:rPr>
        <w:t xml:space="preserve"> Her positive reception of Herod reflects loyalty to Antony, but also contrasts with the rebuff given to Herod by Malchus, the Nabatean king, who refused Herod assistance (allegedly for financial motives) at this time: </w:t>
      </w:r>
      <w:r w:rsidRPr="00391F48">
        <w:rPr>
          <w:i/>
          <w:sz w:val="20"/>
          <w:szCs w:val="20"/>
        </w:rPr>
        <w:t>War</w:t>
      </w:r>
      <w:r>
        <w:rPr>
          <w:sz w:val="20"/>
          <w:szCs w:val="20"/>
        </w:rPr>
        <w:t xml:space="preserve"> 1.274</w:t>
      </w:r>
      <w:r w:rsidRPr="00C475B8">
        <w:rPr>
          <w:sz w:val="20"/>
          <w:szCs w:val="20"/>
        </w:rPr>
        <w:t>–</w:t>
      </w:r>
      <w:r>
        <w:rPr>
          <w:sz w:val="20"/>
          <w:szCs w:val="20"/>
        </w:rPr>
        <w:t xml:space="preserve">77; </w:t>
      </w:r>
      <w:r w:rsidRPr="00391F48">
        <w:rPr>
          <w:i/>
          <w:sz w:val="20"/>
          <w:szCs w:val="20"/>
        </w:rPr>
        <w:t>Ant</w:t>
      </w:r>
      <w:r>
        <w:rPr>
          <w:sz w:val="20"/>
          <w:szCs w:val="20"/>
        </w:rPr>
        <w:t>. 14.370</w:t>
      </w:r>
      <w:r w:rsidRPr="00C475B8">
        <w:rPr>
          <w:sz w:val="20"/>
          <w:szCs w:val="20"/>
        </w:rPr>
        <w:t>–</w:t>
      </w:r>
      <w:r>
        <w:rPr>
          <w:sz w:val="20"/>
          <w:szCs w:val="20"/>
        </w:rPr>
        <w:t>73.</w:t>
      </w:r>
    </w:p>
  </w:footnote>
  <w:footnote w:id="55">
    <w:p w14:paraId="3D173674" w14:textId="6B963F37" w:rsidR="00EA696C" w:rsidRPr="00774DEB" w:rsidRDefault="00EA696C">
      <w:pPr>
        <w:pStyle w:val="FootnoteText"/>
        <w:rPr>
          <w:sz w:val="20"/>
          <w:szCs w:val="20"/>
        </w:rPr>
      </w:pPr>
      <w:r w:rsidRPr="00774DEB">
        <w:rPr>
          <w:rStyle w:val="FootnoteReference"/>
          <w:sz w:val="20"/>
          <w:szCs w:val="20"/>
        </w:rPr>
        <w:footnoteRef/>
      </w:r>
      <w:r w:rsidRPr="00774DEB">
        <w:rPr>
          <w:sz w:val="20"/>
          <w:szCs w:val="20"/>
        </w:rPr>
        <w:t xml:space="preserve"> Josephus, </w:t>
      </w:r>
      <w:r w:rsidRPr="00774DEB">
        <w:rPr>
          <w:i/>
          <w:sz w:val="20"/>
          <w:szCs w:val="20"/>
        </w:rPr>
        <w:t>War</w:t>
      </w:r>
      <w:r w:rsidRPr="00774DEB">
        <w:rPr>
          <w:sz w:val="20"/>
          <w:szCs w:val="20"/>
        </w:rPr>
        <w:t xml:space="preserve"> 1.328</w:t>
      </w:r>
      <w:r w:rsidRPr="00C475B8">
        <w:rPr>
          <w:sz w:val="20"/>
          <w:szCs w:val="20"/>
        </w:rPr>
        <w:t>–</w:t>
      </w:r>
      <w:r w:rsidRPr="00774DEB">
        <w:rPr>
          <w:sz w:val="20"/>
          <w:szCs w:val="20"/>
        </w:rPr>
        <w:t xml:space="preserve">57; </w:t>
      </w:r>
      <w:r w:rsidRPr="00774DEB">
        <w:rPr>
          <w:i/>
          <w:sz w:val="20"/>
          <w:szCs w:val="20"/>
        </w:rPr>
        <w:t>Ant</w:t>
      </w:r>
      <w:r w:rsidRPr="00774DEB">
        <w:rPr>
          <w:sz w:val="20"/>
          <w:szCs w:val="20"/>
        </w:rPr>
        <w:t>. 14.394</w:t>
      </w:r>
      <w:r w:rsidRPr="00C475B8">
        <w:rPr>
          <w:sz w:val="20"/>
          <w:szCs w:val="20"/>
        </w:rPr>
        <w:t>–</w:t>
      </w:r>
      <w:r w:rsidRPr="00774DEB">
        <w:rPr>
          <w:sz w:val="20"/>
          <w:szCs w:val="20"/>
        </w:rPr>
        <w:t>491.</w:t>
      </w:r>
    </w:p>
  </w:footnote>
  <w:footnote w:id="56">
    <w:p w14:paraId="62933541" w14:textId="009DA4C7" w:rsidR="00EA696C" w:rsidRPr="00137323" w:rsidRDefault="00EA696C">
      <w:pPr>
        <w:pStyle w:val="FootnoteText"/>
        <w:rPr>
          <w:sz w:val="20"/>
          <w:szCs w:val="20"/>
        </w:rPr>
      </w:pPr>
      <w:r w:rsidRPr="00137323">
        <w:rPr>
          <w:rStyle w:val="FootnoteReference"/>
          <w:sz w:val="20"/>
          <w:szCs w:val="20"/>
        </w:rPr>
        <w:footnoteRef/>
      </w:r>
      <w:r w:rsidRPr="00137323">
        <w:rPr>
          <w:sz w:val="20"/>
          <w:szCs w:val="20"/>
        </w:rPr>
        <w:t xml:space="preserve"> </w:t>
      </w:r>
      <w:r>
        <w:rPr>
          <w:sz w:val="20"/>
          <w:szCs w:val="20"/>
        </w:rPr>
        <w:t xml:space="preserve">Marriage to Mariamme proved a source of terrible division in Herod’s household (so </w:t>
      </w:r>
      <w:r w:rsidRPr="00137323">
        <w:rPr>
          <w:sz w:val="20"/>
          <w:szCs w:val="20"/>
        </w:rPr>
        <w:t xml:space="preserve">Josephus, </w:t>
      </w:r>
      <w:r w:rsidRPr="00137323">
        <w:rPr>
          <w:i/>
          <w:sz w:val="20"/>
          <w:szCs w:val="20"/>
        </w:rPr>
        <w:t>War</w:t>
      </w:r>
      <w:r>
        <w:rPr>
          <w:sz w:val="20"/>
          <w:szCs w:val="20"/>
        </w:rPr>
        <w:t xml:space="preserve"> 1.</w:t>
      </w:r>
      <w:r w:rsidRPr="00137323">
        <w:rPr>
          <w:sz w:val="20"/>
          <w:szCs w:val="20"/>
        </w:rPr>
        <w:t>432–</w:t>
      </w:r>
      <w:r>
        <w:rPr>
          <w:sz w:val="20"/>
          <w:szCs w:val="20"/>
        </w:rPr>
        <w:t>433), and fatal for its Hasmonean members: in addition to the assassination of Aristobulus, Herod ordered the execution of Hyrcanus II (30 BCE), Mariamme (29 BCE), Alexandra (28 BCE?), and his own sons by Mariamme (7 BCE).</w:t>
      </w:r>
      <w:r w:rsidRPr="00137323">
        <w:rPr>
          <w:sz w:val="20"/>
          <w:szCs w:val="20"/>
        </w:rPr>
        <w:t xml:space="preserve"> </w:t>
      </w:r>
      <w:r>
        <w:rPr>
          <w:sz w:val="20"/>
          <w:szCs w:val="20"/>
        </w:rPr>
        <w:t xml:space="preserve">On Herod’s suspicions, encouraged by his mother and sister, of Cleopatra’s involvement in the breakdown of his relations with Mariamme: </w:t>
      </w:r>
      <w:r w:rsidRPr="00E869E3">
        <w:rPr>
          <w:i/>
          <w:sz w:val="20"/>
          <w:szCs w:val="20"/>
        </w:rPr>
        <w:t xml:space="preserve">War </w:t>
      </w:r>
      <w:r>
        <w:rPr>
          <w:sz w:val="20"/>
          <w:szCs w:val="20"/>
        </w:rPr>
        <w:t>1.439. Given that Herod had recently ordered the killing of Mariamme’s brother, she already had good grounds for ‘hatred’ of Herod. Contrary to Herod’s supposed thoughts, Cleopatra is hardly likely to have encouraged Antony’s involvement with the beautiful Mariamme.</w:t>
      </w:r>
    </w:p>
  </w:footnote>
  <w:footnote w:id="57">
    <w:p w14:paraId="03786DE2" w14:textId="3B01272A" w:rsidR="00EA696C" w:rsidRPr="00AA03BC" w:rsidRDefault="00EA696C">
      <w:pPr>
        <w:pStyle w:val="FootnoteText"/>
        <w:rPr>
          <w:sz w:val="20"/>
          <w:szCs w:val="20"/>
        </w:rPr>
      </w:pPr>
      <w:r w:rsidRPr="00AA03BC">
        <w:rPr>
          <w:rStyle w:val="FootnoteReference"/>
          <w:sz w:val="20"/>
          <w:szCs w:val="20"/>
        </w:rPr>
        <w:footnoteRef/>
      </w:r>
      <w:r w:rsidRPr="00AA03BC">
        <w:rPr>
          <w:sz w:val="20"/>
          <w:szCs w:val="20"/>
        </w:rPr>
        <w:t xml:space="preserve"> Josephus, </w:t>
      </w:r>
      <w:r w:rsidRPr="00AA03BC">
        <w:rPr>
          <w:i/>
          <w:sz w:val="20"/>
          <w:szCs w:val="20"/>
        </w:rPr>
        <w:t>Ant</w:t>
      </w:r>
      <w:r w:rsidRPr="00AA03BC">
        <w:rPr>
          <w:sz w:val="20"/>
          <w:szCs w:val="20"/>
        </w:rPr>
        <w:t xml:space="preserve">. 15.23–32. Alexandra’s challenge to the legitimacy of Herod and promotion of the Hasmonean cause through Mariamme, after the killing of Aristobulus: </w:t>
      </w:r>
      <w:r w:rsidRPr="00AA03BC">
        <w:rPr>
          <w:i/>
          <w:sz w:val="20"/>
          <w:szCs w:val="20"/>
        </w:rPr>
        <w:t>Ant</w:t>
      </w:r>
      <w:r w:rsidRPr="00AA03BC">
        <w:rPr>
          <w:sz w:val="20"/>
          <w:szCs w:val="20"/>
        </w:rPr>
        <w:t>. 15.63, 73.</w:t>
      </w:r>
    </w:p>
  </w:footnote>
  <w:footnote w:id="58">
    <w:p w14:paraId="075FFF6F" w14:textId="051F6C6E" w:rsidR="00EA696C" w:rsidRPr="009B3049" w:rsidRDefault="00EA696C">
      <w:pPr>
        <w:pStyle w:val="FootnoteText"/>
        <w:rPr>
          <w:sz w:val="20"/>
          <w:szCs w:val="20"/>
        </w:rPr>
      </w:pPr>
      <w:r w:rsidRPr="009B3049">
        <w:rPr>
          <w:rStyle w:val="FootnoteReference"/>
          <w:sz w:val="20"/>
          <w:szCs w:val="20"/>
        </w:rPr>
        <w:footnoteRef/>
      </w:r>
      <w:r w:rsidRPr="009B3049">
        <w:rPr>
          <w:sz w:val="20"/>
          <w:szCs w:val="20"/>
        </w:rPr>
        <w:t xml:space="preserve"> Josephus, </w:t>
      </w:r>
      <w:r w:rsidRPr="009B3049">
        <w:rPr>
          <w:i/>
          <w:sz w:val="20"/>
          <w:szCs w:val="20"/>
        </w:rPr>
        <w:t>Ant</w:t>
      </w:r>
      <w:r w:rsidRPr="009B3049">
        <w:rPr>
          <w:sz w:val="20"/>
          <w:szCs w:val="20"/>
        </w:rPr>
        <w:t>. 15.45</w:t>
      </w:r>
      <w:r w:rsidRPr="00C475B8">
        <w:rPr>
          <w:sz w:val="20"/>
          <w:szCs w:val="20"/>
        </w:rPr>
        <w:t>–</w:t>
      </w:r>
      <w:r w:rsidRPr="009B3049">
        <w:rPr>
          <w:sz w:val="20"/>
          <w:szCs w:val="20"/>
        </w:rPr>
        <w:t>48.</w:t>
      </w:r>
    </w:p>
  </w:footnote>
  <w:footnote w:id="59">
    <w:p w14:paraId="7183BD10" w14:textId="740EF3B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804C11">
        <w:rPr>
          <w:i/>
          <w:sz w:val="20"/>
          <w:szCs w:val="20"/>
        </w:rPr>
        <w:t>War</w:t>
      </w:r>
      <w:r>
        <w:rPr>
          <w:sz w:val="20"/>
          <w:szCs w:val="20"/>
        </w:rPr>
        <w:t xml:space="preserve"> 1.437; </w:t>
      </w:r>
      <w:r w:rsidRPr="00C475B8">
        <w:rPr>
          <w:i/>
          <w:sz w:val="20"/>
          <w:szCs w:val="20"/>
        </w:rPr>
        <w:t>Ant</w:t>
      </w:r>
      <w:r w:rsidRPr="00C475B8">
        <w:rPr>
          <w:sz w:val="20"/>
          <w:szCs w:val="20"/>
        </w:rPr>
        <w:t>. 15.23–79</w:t>
      </w:r>
      <w:r>
        <w:rPr>
          <w:sz w:val="20"/>
          <w:szCs w:val="20"/>
        </w:rPr>
        <w:t>.</w:t>
      </w:r>
    </w:p>
  </w:footnote>
  <w:footnote w:id="60">
    <w:p w14:paraId="6A8879F0" w14:textId="75861C2A" w:rsidR="00EA696C" w:rsidRPr="00DB05FD" w:rsidRDefault="00EA696C">
      <w:pPr>
        <w:pStyle w:val="FootnoteText"/>
        <w:rPr>
          <w:sz w:val="20"/>
          <w:szCs w:val="20"/>
        </w:rPr>
      </w:pPr>
      <w:r w:rsidRPr="00DB05FD">
        <w:rPr>
          <w:rStyle w:val="FootnoteReference"/>
          <w:sz w:val="20"/>
          <w:szCs w:val="20"/>
        </w:rPr>
        <w:footnoteRef/>
      </w:r>
      <w:r w:rsidRPr="00DB05FD">
        <w:rPr>
          <w:sz w:val="20"/>
          <w:szCs w:val="20"/>
        </w:rPr>
        <w:t xml:space="preserve"> Josephus, </w:t>
      </w:r>
      <w:r w:rsidRPr="00DB05FD">
        <w:rPr>
          <w:i/>
          <w:sz w:val="20"/>
          <w:szCs w:val="20"/>
        </w:rPr>
        <w:t>Ant</w:t>
      </w:r>
      <w:r w:rsidRPr="00DB05FD">
        <w:rPr>
          <w:sz w:val="20"/>
          <w:szCs w:val="20"/>
        </w:rPr>
        <w:t>. 15.62</w:t>
      </w:r>
      <w:r w:rsidRPr="00C475B8">
        <w:rPr>
          <w:sz w:val="20"/>
          <w:szCs w:val="20"/>
        </w:rPr>
        <w:t>–</w:t>
      </w:r>
      <w:r w:rsidRPr="00DB05FD">
        <w:rPr>
          <w:sz w:val="20"/>
          <w:szCs w:val="20"/>
        </w:rPr>
        <w:t>65, 75</w:t>
      </w:r>
      <w:r w:rsidRPr="00C475B8">
        <w:rPr>
          <w:sz w:val="20"/>
          <w:szCs w:val="20"/>
        </w:rPr>
        <w:t>–</w:t>
      </w:r>
      <w:r w:rsidRPr="00DB05FD">
        <w:rPr>
          <w:sz w:val="20"/>
          <w:szCs w:val="20"/>
        </w:rPr>
        <w:t>77, 79.</w:t>
      </w:r>
    </w:p>
  </w:footnote>
  <w:footnote w:id="61">
    <w:p w14:paraId="018729F6" w14:textId="23348B23" w:rsidR="00EA696C" w:rsidRPr="00710954" w:rsidRDefault="00EA696C">
      <w:pPr>
        <w:pStyle w:val="FootnoteText"/>
        <w:rPr>
          <w:sz w:val="20"/>
          <w:szCs w:val="20"/>
        </w:rPr>
      </w:pPr>
      <w:r w:rsidRPr="00710954">
        <w:rPr>
          <w:rStyle w:val="FootnoteReference"/>
          <w:sz w:val="20"/>
          <w:szCs w:val="20"/>
        </w:rPr>
        <w:footnoteRef/>
      </w:r>
      <w:r w:rsidRPr="00710954">
        <w:rPr>
          <w:sz w:val="20"/>
          <w:szCs w:val="20"/>
        </w:rPr>
        <w:t xml:space="preserve"> Josephus, </w:t>
      </w:r>
      <w:r w:rsidRPr="00710954">
        <w:rPr>
          <w:i/>
          <w:sz w:val="20"/>
          <w:szCs w:val="20"/>
        </w:rPr>
        <w:t>Ant</w:t>
      </w:r>
      <w:r w:rsidRPr="00710954">
        <w:rPr>
          <w:sz w:val="20"/>
          <w:szCs w:val="20"/>
        </w:rPr>
        <w:t>. 15.254</w:t>
      </w:r>
      <w:r w:rsidRPr="00710954">
        <w:rPr>
          <w:b/>
          <w:sz w:val="20"/>
          <w:szCs w:val="20"/>
        </w:rPr>
        <w:t>–</w:t>
      </w:r>
      <w:r>
        <w:rPr>
          <w:sz w:val="20"/>
          <w:szCs w:val="20"/>
        </w:rPr>
        <w:t xml:space="preserve">58; cf. Jan Willem van Henten, </w:t>
      </w:r>
      <w:r w:rsidRPr="00BB1B86">
        <w:rPr>
          <w:i/>
          <w:sz w:val="20"/>
          <w:szCs w:val="20"/>
        </w:rPr>
        <w:t>Judean Antiquities</w:t>
      </w:r>
      <w:r>
        <w:rPr>
          <w:i/>
          <w:sz w:val="20"/>
          <w:szCs w:val="20"/>
        </w:rPr>
        <w:t xml:space="preserve"> 15: Translation and Commentary </w:t>
      </w:r>
      <w:r>
        <w:rPr>
          <w:sz w:val="20"/>
          <w:szCs w:val="20"/>
        </w:rPr>
        <w:t>(Flavius Josephus Translation and Commentary Vol. 7b, ed. Steve Mason; Leiden, 2014), 177</w:t>
      </w:r>
      <w:r w:rsidRPr="00710954">
        <w:rPr>
          <w:b/>
          <w:sz w:val="20"/>
          <w:szCs w:val="20"/>
        </w:rPr>
        <w:t>–</w:t>
      </w:r>
      <w:r>
        <w:rPr>
          <w:sz w:val="20"/>
          <w:szCs w:val="20"/>
        </w:rPr>
        <w:t xml:space="preserve">80. The continuation of the narrative, in which Salome denounces Costobarus to Herod for a further act of treason, makes clear Costobarus’ alliance with pro-Hasmonean sympathisers: </w:t>
      </w:r>
      <w:r w:rsidRPr="00075DE1">
        <w:rPr>
          <w:i/>
          <w:sz w:val="20"/>
          <w:szCs w:val="20"/>
        </w:rPr>
        <w:t>Ant</w:t>
      </w:r>
      <w:r>
        <w:rPr>
          <w:sz w:val="20"/>
          <w:szCs w:val="20"/>
        </w:rPr>
        <w:t>. 15.259</w:t>
      </w:r>
      <w:r w:rsidRPr="00710954">
        <w:rPr>
          <w:b/>
          <w:sz w:val="20"/>
          <w:szCs w:val="20"/>
        </w:rPr>
        <w:t>–</w:t>
      </w:r>
      <w:r>
        <w:rPr>
          <w:sz w:val="20"/>
          <w:szCs w:val="20"/>
        </w:rPr>
        <w:t>66.</w:t>
      </w:r>
    </w:p>
  </w:footnote>
  <w:footnote w:id="62">
    <w:p w14:paraId="4AB9CD41" w14:textId="7BF52CC6" w:rsidR="00EA696C" w:rsidRPr="009665C5" w:rsidRDefault="00EA696C">
      <w:pPr>
        <w:pStyle w:val="FootnoteText"/>
        <w:rPr>
          <w:sz w:val="20"/>
          <w:szCs w:val="20"/>
        </w:rPr>
      </w:pPr>
      <w:r w:rsidRPr="009665C5">
        <w:rPr>
          <w:rStyle w:val="FootnoteReference"/>
          <w:sz w:val="20"/>
          <w:szCs w:val="20"/>
        </w:rPr>
        <w:footnoteRef/>
      </w:r>
      <w:r w:rsidRPr="009665C5">
        <w:rPr>
          <w:sz w:val="20"/>
          <w:szCs w:val="20"/>
        </w:rPr>
        <w:t xml:space="preserve"> Josephus, </w:t>
      </w:r>
      <w:r w:rsidRPr="009665C5">
        <w:rPr>
          <w:i/>
          <w:sz w:val="20"/>
          <w:szCs w:val="20"/>
        </w:rPr>
        <w:t xml:space="preserve">War </w:t>
      </w:r>
      <w:r>
        <w:rPr>
          <w:sz w:val="20"/>
          <w:szCs w:val="20"/>
        </w:rPr>
        <w:t>7.300–</w:t>
      </w:r>
      <w:r w:rsidRPr="009665C5">
        <w:rPr>
          <w:sz w:val="20"/>
          <w:szCs w:val="20"/>
        </w:rPr>
        <w:t xml:space="preserve">03. </w:t>
      </w:r>
    </w:p>
  </w:footnote>
  <w:footnote w:id="63">
    <w:p w14:paraId="380D2FAE" w14:textId="4107DCB3" w:rsidR="00EA696C" w:rsidRPr="00AE32A9" w:rsidRDefault="00EA696C">
      <w:pPr>
        <w:pStyle w:val="FootnoteText"/>
        <w:rPr>
          <w:sz w:val="20"/>
          <w:szCs w:val="20"/>
        </w:rPr>
      </w:pPr>
      <w:r w:rsidRPr="00AE32A9">
        <w:rPr>
          <w:rStyle w:val="FootnoteReference"/>
          <w:sz w:val="20"/>
          <w:szCs w:val="20"/>
        </w:rPr>
        <w:footnoteRef/>
      </w:r>
      <w:r w:rsidRPr="00AE32A9">
        <w:rPr>
          <w:sz w:val="20"/>
          <w:szCs w:val="20"/>
        </w:rPr>
        <w:t xml:space="preserve"> Herod blamed his absence from the battle on Cleopatra, who was allegedly behind Antony’s commissioning of Herod with a campaign against Malchus, king of the Nabateans: Josephus, </w:t>
      </w:r>
      <w:r w:rsidRPr="00AE32A9">
        <w:rPr>
          <w:i/>
          <w:sz w:val="20"/>
          <w:szCs w:val="20"/>
        </w:rPr>
        <w:t>War</w:t>
      </w:r>
      <w:r w:rsidRPr="00AE32A9">
        <w:rPr>
          <w:sz w:val="20"/>
          <w:szCs w:val="20"/>
        </w:rPr>
        <w:t xml:space="preserve"> 1.364</w:t>
      </w:r>
      <w:r w:rsidRPr="00C475B8">
        <w:rPr>
          <w:sz w:val="20"/>
          <w:szCs w:val="20"/>
        </w:rPr>
        <w:t>–</w:t>
      </w:r>
      <w:r w:rsidRPr="00AE32A9">
        <w:rPr>
          <w:sz w:val="20"/>
          <w:szCs w:val="20"/>
        </w:rPr>
        <w:t>65, 440;</w:t>
      </w:r>
      <w:r>
        <w:rPr>
          <w:sz w:val="20"/>
          <w:szCs w:val="20"/>
        </w:rPr>
        <w:t xml:space="preserve"> </w:t>
      </w:r>
      <w:r w:rsidRPr="00876408">
        <w:rPr>
          <w:i/>
          <w:sz w:val="20"/>
          <w:szCs w:val="20"/>
        </w:rPr>
        <w:t>Ant</w:t>
      </w:r>
      <w:r>
        <w:rPr>
          <w:sz w:val="20"/>
          <w:szCs w:val="20"/>
        </w:rPr>
        <w:t>. 15.108</w:t>
      </w:r>
      <w:r w:rsidRPr="00C475B8">
        <w:rPr>
          <w:sz w:val="20"/>
          <w:szCs w:val="20"/>
        </w:rPr>
        <w:t>–</w:t>
      </w:r>
      <w:r>
        <w:rPr>
          <w:sz w:val="20"/>
          <w:szCs w:val="20"/>
        </w:rPr>
        <w:t xml:space="preserve">60, esp. 110. Antony’s motive for the campaign was the disloyalty of Malchus, as reported to him by both Herod and Cleopatra: </w:t>
      </w:r>
      <w:r w:rsidRPr="00876408">
        <w:rPr>
          <w:i/>
          <w:sz w:val="20"/>
          <w:szCs w:val="20"/>
        </w:rPr>
        <w:t>Ant</w:t>
      </w:r>
      <w:r>
        <w:rPr>
          <w:sz w:val="20"/>
          <w:szCs w:val="20"/>
        </w:rPr>
        <w:t xml:space="preserve">. 15.110. In the case of Herod, Malchus owed him huge sums in arrears for the tribute owed to Cleopatra for the lease of their lands: </w:t>
      </w:r>
      <w:r w:rsidRPr="00711C64">
        <w:rPr>
          <w:i/>
          <w:sz w:val="20"/>
          <w:szCs w:val="20"/>
        </w:rPr>
        <w:t>Ant</w:t>
      </w:r>
      <w:r>
        <w:rPr>
          <w:sz w:val="20"/>
          <w:szCs w:val="20"/>
        </w:rPr>
        <w:t>. 15.106</w:t>
      </w:r>
      <w:r w:rsidRPr="00C475B8">
        <w:rPr>
          <w:sz w:val="20"/>
          <w:szCs w:val="20"/>
        </w:rPr>
        <w:t>–</w:t>
      </w:r>
      <w:r>
        <w:rPr>
          <w:sz w:val="20"/>
          <w:szCs w:val="20"/>
        </w:rPr>
        <w:t>108 (on Herod’s earlier plans to attack Malchus on this account), 132</w:t>
      </w:r>
      <w:r w:rsidRPr="00C475B8">
        <w:rPr>
          <w:sz w:val="20"/>
          <w:szCs w:val="20"/>
        </w:rPr>
        <w:t>–</w:t>
      </w:r>
      <w:r>
        <w:rPr>
          <w:sz w:val="20"/>
          <w:szCs w:val="20"/>
        </w:rPr>
        <w:t>33. Herod also seems to have considered Cleopatra responsible for the demise of Malchus (</w:t>
      </w:r>
      <w:r w:rsidRPr="00266ABE">
        <w:rPr>
          <w:i/>
          <w:sz w:val="20"/>
          <w:szCs w:val="20"/>
        </w:rPr>
        <w:t>War</w:t>
      </w:r>
      <w:r>
        <w:rPr>
          <w:sz w:val="20"/>
          <w:szCs w:val="20"/>
        </w:rPr>
        <w:t xml:space="preserve"> 1.440), though the latter’s fate after 30 BCE is unknown. The role of Malchus in a plan to give refuge from Herod to the aged Hyrcanus II led to the latter’s execution after the Battle of Actium (</w:t>
      </w:r>
      <w:r w:rsidRPr="00824CB4">
        <w:rPr>
          <w:i/>
          <w:sz w:val="20"/>
          <w:szCs w:val="20"/>
        </w:rPr>
        <w:t>Ant</w:t>
      </w:r>
      <w:r>
        <w:rPr>
          <w:sz w:val="20"/>
          <w:szCs w:val="20"/>
        </w:rPr>
        <w:t>. 15.167</w:t>
      </w:r>
      <w:r w:rsidRPr="00C475B8">
        <w:rPr>
          <w:sz w:val="20"/>
          <w:szCs w:val="20"/>
        </w:rPr>
        <w:t>–</w:t>
      </w:r>
      <w:r>
        <w:rPr>
          <w:sz w:val="20"/>
          <w:szCs w:val="20"/>
        </w:rPr>
        <w:t>78; spring 30 BCE).</w:t>
      </w:r>
    </w:p>
  </w:footnote>
  <w:footnote w:id="64">
    <w:p w14:paraId="1F7E9F61" w14:textId="68C7772B"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War</w:t>
      </w:r>
      <w:r w:rsidRPr="00C475B8">
        <w:rPr>
          <w:sz w:val="20"/>
          <w:szCs w:val="20"/>
        </w:rPr>
        <w:t xml:space="preserve"> 1.</w:t>
      </w:r>
      <w:r>
        <w:rPr>
          <w:sz w:val="20"/>
          <w:szCs w:val="20"/>
        </w:rPr>
        <w:t>388–</w:t>
      </w:r>
      <w:r w:rsidRPr="00C475B8">
        <w:rPr>
          <w:sz w:val="20"/>
          <w:szCs w:val="20"/>
        </w:rPr>
        <w:t>9</w:t>
      </w:r>
      <w:r>
        <w:rPr>
          <w:sz w:val="20"/>
          <w:szCs w:val="20"/>
        </w:rPr>
        <w:t>1</w:t>
      </w:r>
      <w:r w:rsidRPr="00C475B8">
        <w:rPr>
          <w:sz w:val="20"/>
          <w:szCs w:val="20"/>
        </w:rPr>
        <w:t xml:space="preserve">; </w:t>
      </w:r>
      <w:r w:rsidRPr="00C475B8">
        <w:rPr>
          <w:i/>
          <w:sz w:val="20"/>
          <w:szCs w:val="20"/>
        </w:rPr>
        <w:t>Ant</w:t>
      </w:r>
      <w:r>
        <w:rPr>
          <w:i/>
          <w:sz w:val="20"/>
          <w:szCs w:val="20"/>
        </w:rPr>
        <w:t>.</w:t>
      </w:r>
      <w:r w:rsidRPr="00C475B8">
        <w:rPr>
          <w:sz w:val="20"/>
          <w:szCs w:val="20"/>
        </w:rPr>
        <w:t xml:space="preserve"> 15.187–201.</w:t>
      </w:r>
      <w:r>
        <w:rPr>
          <w:sz w:val="20"/>
          <w:szCs w:val="20"/>
        </w:rPr>
        <w:t xml:space="preserve"> </w:t>
      </w:r>
    </w:p>
  </w:footnote>
  <w:footnote w:id="65">
    <w:p w14:paraId="4EB0DAA6" w14:textId="0895F6DC"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On Herod’s acquisitions, resulting from Cleopatra’s fall</w:t>
      </w:r>
      <w:r>
        <w:rPr>
          <w:sz w:val="20"/>
          <w:szCs w:val="20"/>
        </w:rPr>
        <w:t xml:space="preserve"> (territory and men, comprising four hundred Gauls who had served as Cleopatra’s bodyguards)</w:t>
      </w:r>
      <w:r w:rsidRPr="00C475B8">
        <w:rPr>
          <w:sz w:val="20"/>
          <w:szCs w:val="20"/>
        </w:rPr>
        <w:t xml:space="preserve">: Josephus, </w:t>
      </w:r>
      <w:r w:rsidRPr="00C475B8">
        <w:rPr>
          <w:i/>
          <w:sz w:val="20"/>
          <w:szCs w:val="20"/>
        </w:rPr>
        <w:t>War</w:t>
      </w:r>
      <w:r>
        <w:rPr>
          <w:sz w:val="20"/>
          <w:szCs w:val="20"/>
        </w:rPr>
        <w:t xml:space="preserve"> 1.396–</w:t>
      </w:r>
      <w:r w:rsidRPr="00C475B8">
        <w:rPr>
          <w:sz w:val="20"/>
          <w:szCs w:val="20"/>
        </w:rPr>
        <w:t xml:space="preserve">97; </w:t>
      </w:r>
      <w:r w:rsidRPr="00C475B8">
        <w:rPr>
          <w:i/>
          <w:sz w:val="20"/>
          <w:szCs w:val="20"/>
        </w:rPr>
        <w:t>Ant</w:t>
      </w:r>
      <w:r>
        <w:rPr>
          <w:i/>
          <w:sz w:val="20"/>
          <w:szCs w:val="20"/>
        </w:rPr>
        <w:t>.</w:t>
      </w:r>
      <w:r w:rsidRPr="00C475B8">
        <w:rPr>
          <w:sz w:val="20"/>
          <w:szCs w:val="20"/>
        </w:rPr>
        <w:t>15.217</w:t>
      </w:r>
      <w:r>
        <w:rPr>
          <w:sz w:val="20"/>
          <w:szCs w:val="20"/>
        </w:rPr>
        <w:t>; cf. Tacitus’ brief note confirming that, post-Actium, Augustus extended Herod’s territory (</w:t>
      </w:r>
      <w:r w:rsidRPr="009F6DF3">
        <w:rPr>
          <w:i/>
          <w:sz w:val="20"/>
          <w:szCs w:val="20"/>
        </w:rPr>
        <w:t xml:space="preserve">History </w:t>
      </w:r>
      <w:r>
        <w:rPr>
          <w:sz w:val="20"/>
          <w:szCs w:val="20"/>
        </w:rPr>
        <w:t>5.9.2)</w:t>
      </w:r>
      <w:r w:rsidRPr="00C475B8">
        <w:rPr>
          <w:sz w:val="20"/>
          <w:szCs w:val="20"/>
        </w:rPr>
        <w:t>. At the site of Nicopolis, founded by Octavian near Actium to celebrate his victory over Antony and Cleopatra, Herod funded the construction of most of the public buildings (</w:t>
      </w:r>
      <w:r>
        <w:rPr>
          <w:sz w:val="20"/>
          <w:szCs w:val="20"/>
        </w:rPr>
        <w:t xml:space="preserve">Josephus, </w:t>
      </w:r>
      <w:r w:rsidRPr="00C475B8">
        <w:rPr>
          <w:i/>
          <w:sz w:val="20"/>
          <w:szCs w:val="20"/>
        </w:rPr>
        <w:t>Ant</w:t>
      </w:r>
      <w:r>
        <w:rPr>
          <w:i/>
          <w:sz w:val="20"/>
          <w:szCs w:val="20"/>
        </w:rPr>
        <w:t xml:space="preserve">. </w:t>
      </w:r>
      <w:r w:rsidRPr="00C475B8">
        <w:rPr>
          <w:sz w:val="20"/>
          <w:szCs w:val="20"/>
        </w:rPr>
        <w:t xml:space="preserve">16.147). </w:t>
      </w:r>
      <w:r>
        <w:rPr>
          <w:sz w:val="20"/>
          <w:szCs w:val="20"/>
        </w:rPr>
        <w:t>On the site of Strato’s Tower, added to Herod’s kingdom by Octavian (</w:t>
      </w:r>
      <w:r w:rsidRPr="003827FF">
        <w:rPr>
          <w:i/>
          <w:sz w:val="20"/>
          <w:szCs w:val="20"/>
        </w:rPr>
        <w:t>War</w:t>
      </w:r>
      <w:r>
        <w:rPr>
          <w:sz w:val="20"/>
          <w:szCs w:val="20"/>
        </w:rPr>
        <w:t xml:space="preserve"> 1.396; </w:t>
      </w:r>
      <w:r w:rsidRPr="00BD37D7">
        <w:rPr>
          <w:i/>
          <w:sz w:val="20"/>
          <w:szCs w:val="20"/>
        </w:rPr>
        <w:t>Ant</w:t>
      </w:r>
      <w:r>
        <w:rPr>
          <w:sz w:val="20"/>
          <w:szCs w:val="20"/>
        </w:rPr>
        <w:t>. 15.217), Herod founded the city of Caesarea Maritima in honour of his patron (</w:t>
      </w:r>
      <w:r w:rsidRPr="005571FA">
        <w:rPr>
          <w:i/>
          <w:sz w:val="20"/>
          <w:szCs w:val="20"/>
        </w:rPr>
        <w:t>Ant</w:t>
      </w:r>
      <w:r>
        <w:rPr>
          <w:sz w:val="20"/>
          <w:szCs w:val="20"/>
        </w:rPr>
        <w:t>. 16.136-41).</w:t>
      </w:r>
      <w:r w:rsidRPr="0017377A">
        <w:rPr>
          <w:sz w:val="20"/>
          <w:szCs w:val="20"/>
        </w:rPr>
        <w:t xml:space="preserve"> The flattering note on Roman approval of Herod’s generosity in this venture no doubt reflects Herod’s own propaganda and the reality that the extension of his territory resulted</w:t>
      </w:r>
      <w:r>
        <w:rPr>
          <w:sz w:val="20"/>
          <w:szCs w:val="20"/>
        </w:rPr>
        <w:t>, at least in part,</w:t>
      </w:r>
      <w:r w:rsidRPr="0017377A">
        <w:rPr>
          <w:sz w:val="20"/>
          <w:szCs w:val="20"/>
        </w:rPr>
        <w:t xml:space="preserve"> from the loss of Cleopatra’s: ‘And they say that Caesar himself and Agrippa often remarked that the extent of Herod’s realm was not equal to his magnanimity, for he deserved to be king of all Syria and Egypt’ (</w:t>
      </w:r>
      <w:r w:rsidRPr="0017377A">
        <w:rPr>
          <w:i/>
          <w:sz w:val="20"/>
          <w:szCs w:val="20"/>
        </w:rPr>
        <w:t>Ant</w:t>
      </w:r>
      <w:r w:rsidRPr="0017377A">
        <w:rPr>
          <w:sz w:val="20"/>
          <w:szCs w:val="20"/>
        </w:rPr>
        <w:t xml:space="preserve">. 16.141). </w:t>
      </w:r>
    </w:p>
  </w:footnote>
  <w:footnote w:id="66">
    <w:p w14:paraId="5038592C" w14:textId="6D483A40" w:rsidR="00EA696C" w:rsidRPr="00771E22" w:rsidRDefault="00EA696C">
      <w:pPr>
        <w:pStyle w:val="FootnoteText"/>
        <w:rPr>
          <w:sz w:val="20"/>
          <w:szCs w:val="20"/>
        </w:rPr>
      </w:pPr>
      <w:r w:rsidRPr="00771E22">
        <w:rPr>
          <w:rStyle w:val="FootnoteReference"/>
          <w:sz w:val="20"/>
          <w:szCs w:val="20"/>
        </w:rPr>
        <w:footnoteRef/>
      </w:r>
      <w:r w:rsidRPr="00771E22">
        <w:rPr>
          <w:sz w:val="20"/>
          <w:szCs w:val="20"/>
        </w:rPr>
        <w:t xml:space="preserve"> Josephus, </w:t>
      </w:r>
      <w:r w:rsidR="007E2615" w:rsidRPr="00C475B8">
        <w:rPr>
          <w:i/>
          <w:sz w:val="20"/>
          <w:szCs w:val="20"/>
        </w:rPr>
        <w:t>Ap</w:t>
      </w:r>
      <w:r w:rsidR="007E2615">
        <w:rPr>
          <w:i/>
          <w:sz w:val="20"/>
          <w:szCs w:val="20"/>
        </w:rPr>
        <w:t>ion</w:t>
      </w:r>
      <w:r w:rsidR="007E2615" w:rsidRPr="00771E22" w:rsidDel="007E2615">
        <w:rPr>
          <w:i/>
          <w:sz w:val="20"/>
          <w:szCs w:val="20"/>
        </w:rPr>
        <w:t xml:space="preserve"> </w:t>
      </w:r>
      <w:r w:rsidRPr="00771E22">
        <w:rPr>
          <w:sz w:val="20"/>
          <w:szCs w:val="20"/>
        </w:rPr>
        <w:t>2.56.</w:t>
      </w:r>
    </w:p>
  </w:footnote>
  <w:footnote w:id="67">
    <w:p w14:paraId="53DC5073" w14:textId="753667D1"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J.G. Müller, </w:t>
      </w:r>
      <w:r w:rsidRPr="00C475B8">
        <w:rPr>
          <w:i/>
          <w:sz w:val="20"/>
          <w:szCs w:val="20"/>
        </w:rPr>
        <w:t>Des Flavius Josephus Schrift gegen den Apion: Text und Erklärung</w:t>
      </w:r>
      <w:r>
        <w:rPr>
          <w:sz w:val="20"/>
          <w:szCs w:val="20"/>
        </w:rPr>
        <w:t xml:space="preserve"> (Basel, 1877), 251; cf. Thackeray, </w:t>
      </w:r>
      <w:r w:rsidRPr="00D42376">
        <w:rPr>
          <w:i/>
          <w:sz w:val="20"/>
          <w:szCs w:val="20"/>
        </w:rPr>
        <w:t>Josephus</w:t>
      </w:r>
      <w:r>
        <w:rPr>
          <w:sz w:val="20"/>
          <w:szCs w:val="20"/>
        </w:rPr>
        <w:t xml:space="preserve"> 1, 315; Barclay, </w:t>
      </w:r>
      <w:r w:rsidRPr="001F5CD2">
        <w:rPr>
          <w:i/>
          <w:sz w:val="20"/>
          <w:szCs w:val="20"/>
        </w:rPr>
        <w:t>Against Apion</w:t>
      </w:r>
      <w:r>
        <w:rPr>
          <w:sz w:val="20"/>
          <w:szCs w:val="20"/>
        </w:rPr>
        <w:t>, 200 and n. 193.</w:t>
      </w:r>
    </w:p>
  </w:footnote>
  <w:footnote w:id="68">
    <w:p w14:paraId="17CC2740" w14:textId="6A81AAF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w:t>
      </w:r>
      <w:r w:rsidRPr="00C475B8">
        <w:rPr>
          <w:i/>
          <w:sz w:val="20"/>
          <w:szCs w:val="20"/>
        </w:rPr>
        <w:t>Oxford Latin Dictionary</w:t>
      </w:r>
      <w:r>
        <w:rPr>
          <w:sz w:val="20"/>
          <w:szCs w:val="20"/>
        </w:rPr>
        <w:t xml:space="preserve"> I, 997–998, s.v. ‘</w:t>
      </w:r>
      <w:r w:rsidRPr="00F74A53">
        <w:rPr>
          <w:i/>
          <w:sz w:val="20"/>
          <w:szCs w:val="20"/>
        </w:rPr>
        <w:t>ingratus</w:t>
      </w:r>
      <w:r>
        <w:rPr>
          <w:sz w:val="20"/>
          <w:szCs w:val="20"/>
        </w:rPr>
        <w:t xml:space="preserve">’; cf. </w:t>
      </w:r>
      <w:r w:rsidRPr="002434C6">
        <w:rPr>
          <w:i/>
          <w:sz w:val="20"/>
          <w:szCs w:val="20"/>
        </w:rPr>
        <w:t xml:space="preserve">Flavius </w:t>
      </w:r>
      <w:r w:rsidRPr="001D78F2">
        <w:rPr>
          <w:i/>
          <w:sz w:val="20"/>
          <w:szCs w:val="20"/>
        </w:rPr>
        <w:t>Josephus</w:t>
      </w:r>
      <w:r>
        <w:rPr>
          <w:sz w:val="20"/>
          <w:szCs w:val="20"/>
        </w:rPr>
        <w:t xml:space="preserve">, </w:t>
      </w:r>
      <w:r w:rsidRPr="00BB249C">
        <w:rPr>
          <w:sz w:val="20"/>
          <w:szCs w:val="20"/>
        </w:rPr>
        <w:t>ed</w:t>
      </w:r>
      <w:r>
        <w:rPr>
          <w:sz w:val="20"/>
          <w:szCs w:val="20"/>
        </w:rPr>
        <w:t>. Folker Siegert, 169 (‘dass sie undankbar zu uns war’).</w:t>
      </w:r>
    </w:p>
  </w:footnote>
  <w:footnote w:id="69">
    <w:p w14:paraId="7CDFB90C" w14:textId="0DF718F0"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Restoration of Ptolemy XII/assistance to Gabinius and Mark Antony: Josephus, </w:t>
      </w:r>
      <w:r w:rsidRPr="00C475B8">
        <w:rPr>
          <w:i/>
          <w:sz w:val="20"/>
          <w:szCs w:val="20"/>
        </w:rPr>
        <w:t>War</w:t>
      </w:r>
      <w:r w:rsidRPr="00C475B8">
        <w:rPr>
          <w:sz w:val="20"/>
          <w:szCs w:val="20"/>
        </w:rPr>
        <w:t xml:space="preserve"> 1.175; </w:t>
      </w:r>
      <w:r w:rsidRPr="00C475B8">
        <w:rPr>
          <w:i/>
          <w:sz w:val="20"/>
          <w:szCs w:val="20"/>
        </w:rPr>
        <w:t>Ant</w:t>
      </w:r>
      <w:r w:rsidRPr="00C475B8">
        <w:rPr>
          <w:sz w:val="20"/>
          <w:szCs w:val="20"/>
        </w:rPr>
        <w:t>. 14.99. Restoration of Cleopatra VII/</w:t>
      </w:r>
      <w:r w:rsidRPr="00676A5A">
        <w:rPr>
          <w:sz w:val="20"/>
          <w:szCs w:val="20"/>
        </w:rPr>
        <w:t xml:space="preserve">assistance to Mithridates of Pergamum, ally of Julius Caesar: Josephus, </w:t>
      </w:r>
      <w:r w:rsidRPr="00676A5A">
        <w:rPr>
          <w:i/>
          <w:sz w:val="20"/>
          <w:szCs w:val="20"/>
        </w:rPr>
        <w:t>War</w:t>
      </w:r>
      <w:r>
        <w:rPr>
          <w:sz w:val="20"/>
          <w:szCs w:val="20"/>
        </w:rPr>
        <w:t xml:space="preserve"> 1.187–</w:t>
      </w:r>
      <w:r w:rsidRPr="00676A5A">
        <w:rPr>
          <w:sz w:val="20"/>
          <w:szCs w:val="20"/>
        </w:rPr>
        <w:t xml:space="preserve">90; </w:t>
      </w:r>
      <w:r w:rsidRPr="00676A5A">
        <w:rPr>
          <w:i/>
          <w:sz w:val="20"/>
          <w:szCs w:val="20"/>
        </w:rPr>
        <w:t>Ant</w:t>
      </w:r>
      <w:r>
        <w:rPr>
          <w:sz w:val="20"/>
          <w:szCs w:val="20"/>
        </w:rPr>
        <w:t>. 14.127–</w:t>
      </w:r>
      <w:r w:rsidRPr="00676A5A">
        <w:rPr>
          <w:sz w:val="20"/>
          <w:szCs w:val="20"/>
        </w:rPr>
        <w:t>39</w:t>
      </w:r>
      <w:r>
        <w:rPr>
          <w:sz w:val="20"/>
          <w:szCs w:val="20"/>
        </w:rPr>
        <w:t>, cf. 14.139, citing Strabo</w:t>
      </w:r>
      <w:r w:rsidRPr="00C475B8">
        <w:rPr>
          <w:sz w:val="20"/>
          <w:szCs w:val="20"/>
        </w:rPr>
        <w:t>.</w:t>
      </w:r>
    </w:p>
  </w:footnote>
  <w:footnote w:id="70">
    <w:p w14:paraId="353737F2" w14:textId="000C2DF8"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War</w:t>
      </w:r>
      <w:r w:rsidRPr="00C475B8">
        <w:rPr>
          <w:sz w:val="20"/>
          <w:szCs w:val="20"/>
        </w:rPr>
        <w:t xml:space="preserve"> 1.279; cf. </w:t>
      </w:r>
      <w:r w:rsidRPr="00C475B8">
        <w:rPr>
          <w:i/>
          <w:sz w:val="20"/>
          <w:szCs w:val="20"/>
        </w:rPr>
        <w:t>Ant</w:t>
      </w:r>
      <w:r>
        <w:rPr>
          <w:i/>
          <w:sz w:val="20"/>
          <w:szCs w:val="20"/>
        </w:rPr>
        <w:t>.</w:t>
      </w:r>
      <w:r>
        <w:rPr>
          <w:sz w:val="20"/>
          <w:szCs w:val="20"/>
        </w:rPr>
        <w:t xml:space="preserve"> 14.375–</w:t>
      </w:r>
      <w:r w:rsidRPr="00C475B8">
        <w:rPr>
          <w:sz w:val="20"/>
          <w:szCs w:val="20"/>
        </w:rPr>
        <w:t>76.</w:t>
      </w:r>
    </w:p>
  </w:footnote>
  <w:footnote w:id="71">
    <w:p w14:paraId="278822B3" w14:textId="227D2AF6" w:rsidR="00EA696C" w:rsidRPr="00C626F4" w:rsidRDefault="00EA696C">
      <w:pPr>
        <w:pStyle w:val="FootnoteText"/>
        <w:rPr>
          <w:sz w:val="20"/>
          <w:szCs w:val="20"/>
        </w:rPr>
      </w:pPr>
      <w:r w:rsidRPr="00C626F4">
        <w:rPr>
          <w:rStyle w:val="FootnoteReference"/>
          <w:sz w:val="20"/>
          <w:szCs w:val="20"/>
        </w:rPr>
        <w:footnoteRef/>
      </w:r>
      <w:r w:rsidRPr="00C626F4">
        <w:rPr>
          <w:sz w:val="20"/>
          <w:szCs w:val="20"/>
        </w:rPr>
        <w:t xml:space="preserve"> In Josephus’ account of the reception of Herod in Rome in 40 BCE, he reports that Octavian, even more than Antony, was in favour of</w:t>
      </w:r>
      <w:r>
        <w:rPr>
          <w:sz w:val="20"/>
          <w:szCs w:val="20"/>
        </w:rPr>
        <w:t xml:space="preserve"> Herod’s promotion to kingship </w:t>
      </w:r>
      <w:r w:rsidRPr="00C626F4">
        <w:rPr>
          <w:sz w:val="20"/>
          <w:szCs w:val="20"/>
        </w:rPr>
        <w:t>because of the loyalty shown by Herod’s father to Julius Caesar, the ‘father’ of Octavian, in the course of the Egyptian campaign (</w:t>
      </w:r>
      <w:r w:rsidRPr="00C626F4">
        <w:rPr>
          <w:i/>
          <w:sz w:val="20"/>
          <w:szCs w:val="20"/>
        </w:rPr>
        <w:t>War</w:t>
      </w:r>
      <w:r w:rsidRPr="00C626F4">
        <w:rPr>
          <w:sz w:val="20"/>
          <w:szCs w:val="20"/>
        </w:rPr>
        <w:t xml:space="preserve"> 1.283; </w:t>
      </w:r>
      <w:r w:rsidRPr="00C626F4">
        <w:rPr>
          <w:i/>
          <w:sz w:val="20"/>
          <w:szCs w:val="20"/>
        </w:rPr>
        <w:t>Ant</w:t>
      </w:r>
      <w:r w:rsidRPr="00C626F4">
        <w:rPr>
          <w:sz w:val="20"/>
          <w:szCs w:val="20"/>
        </w:rPr>
        <w:t>. 14.383). Antony, too, is said to have supported Herod because (among other things) of the memory of Antipater’s hospitality (</w:t>
      </w:r>
      <w:r w:rsidRPr="00C626F4">
        <w:rPr>
          <w:i/>
          <w:sz w:val="20"/>
          <w:szCs w:val="20"/>
        </w:rPr>
        <w:t>xenia</w:t>
      </w:r>
      <w:r w:rsidRPr="00C626F4">
        <w:rPr>
          <w:sz w:val="20"/>
          <w:szCs w:val="20"/>
        </w:rPr>
        <w:t>) in Jud</w:t>
      </w:r>
      <w:r w:rsidR="00ED6F3A">
        <w:rPr>
          <w:sz w:val="20"/>
          <w:szCs w:val="20"/>
        </w:rPr>
        <w:t>a</w:t>
      </w:r>
      <w:r w:rsidRPr="00C626F4">
        <w:rPr>
          <w:sz w:val="20"/>
          <w:szCs w:val="20"/>
        </w:rPr>
        <w:t>ea in the course of the Jud</w:t>
      </w:r>
      <w:r w:rsidR="00ED6F3A">
        <w:rPr>
          <w:sz w:val="20"/>
          <w:szCs w:val="20"/>
        </w:rPr>
        <w:t>a</w:t>
      </w:r>
      <w:r w:rsidRPr="00C626F4">
        <w:rPr>
          <w:sz w:val="20"/>
          <w:szCs w:val="20"/>
        </w:rPr>
        <w:t>ean campaign led by Gabinius</w:t>
      </w:r>
      <w:r w:rsidRPr="00C626F4">
        <w:rPr>
          <w:b/>
          <w:sz w:val="20"/>
          <w:szCs w:val="20"/>
        </w:rPr>
        <w:t xml:space="preserve"> </w:t>
      </w:r>
      <w:r w:rsidRPr="00C626F4">
        <w:rPr>
          <w:sz w:val="20"/>
          <w:szCs w:val="20"/>
        </w:rPr>
        <w:t>(</w:t>
      </w:r>
      <w:r w:rsidRPr="00C626F4">
        <w:rPr>
          <w:i/>
          <w:sz w:val="20"/>
          <w:szCs w:val="20"/>
        </w:rPr>
        <w:t xml:space="preserve">War </w:t>
      </w:r>
      <w:r w:rsidRPr="00C626F4">
        <w:rPr>
          <w:sz w:val="20"/>
          <w:szCs w:val="20"/>
        </w:rPr>
        <w:t xml:space="preserve">1.244, 282; </w:t>
      </w:r>
      <w:r w:rsidRPr="00C626F4">
        <w:rPr>
          <w:i/>
          <w:sz w:val="20"/>
          <w:szCs w:val="20"/>
        </w:rPr>
        <w:t>Ant</w:t>
      </w:r>
      <w:r w:rsidRPr="00C626F4">
        <w:rPr>
          <w:sz w:val="20"/>
          <w:szCs w:val="20"/>
        </w:rPr>
        <w:t xml:space="preserve">. 14. 381, cf. </w:t>
      </w:r>
      <w:r>
        <w:rPr>
          <w:sz w:val="20"/>
          <w:szCs w:val="20"/>
        </w:rPr>
        <w:t>14.</w:t>
      </w:r>
      <w:r w:rsidRPr="00C626F4">
        <w:rPr>
          <w:sz w:val="20"/>
          <w:szCs w:val="20"/>
        </w:rPr>
        <w:t>84–86</w:t>
      </w:r>
      <w:r>
        <w:rPr>
          <w:sz w:val="20"/>
          <w:szCs w:val="20"/>
        </w:rPr>
        <w:t>, 326</w:t>
      </w:r>
      <w:r w:rsidRPr="00C626F4">
        <w:rPr>
          <w:sz w:val="20"/>
          <w:szCs w:val="20"/>
        </w:rPr>
        <w:t>).</w:t>
      </w:r>
    </w:p>
  </w:footnote>
  <w:footnote w:id="72">
    <w:p w14:paraId="577F202D" w14:textId="7D494B8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Ant</w:t>
      </w:r>
      <w:r w:rsidRPr="00C475B8">
        <w:rPr>
          <w:sz w:val="20"/>
          <w:szCs w:val="20"/>
        </w:rPr>
        <w:t xml:space="preserve">. 15.88–103, expanding </w:t>
      </w:r>
      <w:r w:rsidRPr="00C475B8">
        <w:rPr>
          <w:i/>
          <w:sz w:val="20"/>
          <w:szCs w:val="20"/>
        </w:rPr>
        <w:t xml:space="preserve">War </w:t>
      </w:r>
      <w:r w:rsidRPr="00C475B8">
        <w:rPr>
          <w:sz w:val="20"/>
          <w:szCs w:val="20"/>
        </w:rPr>
        <w:t>1.359–61; cf. van Henten, ‘Cleopatra in Josephus’, 12</w:t>
      </w:r>
      <w:r>
        <w:rPr>
          <w:sz w:val="20"/>
          <w:szCs w:val="20"/>
        </w:rPr>
        <w:t xml:space="preserve">6–30; idem, </w:t>
      </w:r>
      <w:r w:rsidRPr="00FA26B0">
        <w:rPr>
          <w:i/>
          <w:sz w:val="20"/>
          <w:szCs w:val="20"/>
        </w:rPr>
        <w:t>Judean Antiquities</w:t>
      </w:r>
      <w:r>
        <w:rPr>
          <w:sz w:val="20"/>
          <w:szCs w:val="20"/>
        </w:rPr>
        <w:t xml:space="preserve"> 15, 59–103.</w:t>
      </w:r>
    </w:p>
  </w:footnote>
  <w:footnote w:id="73">
    <w:p w14:paraId="2C0E663D" w14:textId="79F9441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Ant</w:t>
      </w:r>
      <w:r w:rsidRPr="00C475B8">
        <w:rPr>
          <w:sz w:val="20"/>
          <w:szCs w:val="20"/>
        </w:rPr>
        <w:t>. 15.93.</w:t>
      </w:r>
    </w:p>
  </w:footnote>
  <w:footnote w:id="74">
    <w:p w14:paraId="78C34993" w14:textId="52D1E10C"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Cassius Dio 50.25.4–5; 50.26.2.</w:t>
      </w:r>
    </w:p>
  </w:footnote>
  <w:footnote w:id="75">
    <w:p w14:paraId="5F286F38" w14:textId="59A961C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War</w:t>
      </w:r>
      <w:r w:rsidRPr="00C475B8">
        <w:rPr>
          <w:sz w:val="20"/>
          <w:szCs w:val="20"/>
        </w:rPr>
        <w:t xml:space="preserve"> 1.360; </w:t>
      </w:r>
      <w:r w:rsidRPr="00C475B8">
        <w:rPr>
          <w:i/>
          <w:sz w:val="20"/>
          <w:szCs w:val="20"/>
        </w:rPr>
        <w:t>Ant</w:t>
      </w:r>
      <w:r w:rsidRPr="00C475B8">
        <w:rPr>
          <w:sz w:val="20"/>
          <w:szCs w:val="20"/>
        </w:rPr>
        <w:t>. 15.97–103</w:t>
      </w:r>
      <w:r>
        <w:rPr>
          <w:sz w:val="20"/>
          <w:szCs w:val="20"/>
        </w:rPr>
        <w:t xml:space="preserve">. The </w:t>
      </w:r>
      <w:r w:rsidRPr="00AD3411">
        <w:rPr>
          <w:i/>
          <w:sz w:val="20"/>
          <w:szCs w:val="20"/>
        </w:rPr>
        <w:t>Antiquities</w:t>
      </w:r>
      <w:r>
        <w:rPr>
          <w:sz w:val="20"/>
          <w:szCs w:val="20"/>
        </w:rPr>
        <w:t xml:space="preserve"> account of Cleopatra’s supposed attempt at seducing Herod, in the context of Cleopatra’s visit to Jud</w:t>
      </w:r>
      <w:r w:rsidR="00A04F6D">
        <w:rPr>
          <w:sz w:val="20"/>
          <w:szCs w:val="20"/>
        </w:rPr>
        <w:t>a</w:t>
      </w:r>
      <w:r>
        <w:rPr>
          <w:sz w:val="20"/>
          <w:szCs w:val="20"/>
        </w:rPr>
        <w:t xml:space="preserve">ea, follows the model of Octavian’s vilification of Cleopatra as arch-seductress; in any case, her dependence on Antony, by whom she was then pregnant with a third son, makes such a scenario implausible: cf. Roller, </w:t>
      </w:r>
      <w:r w:rsidRPr="005323F1">
        <w:rPr>
          <w:i/>
          <w:sz w:val="20"/>
          <w:szCs w:val="20"/>
        </w:rPr>
        <w:t>Cleopatra</w:t>
      </w:r>
      <w:r>
        <w:rPr>
          <w:sz w:val="20"/>
          <w:szCs w:val="20"/>
        </w:rPr>
        <w:t>, 121</w:t>
      </w:r>
      <w:r w:rsidRPr="00C475B8">
        <w:rPr>
          <w:sz w:val="20"/>
          <w:szCs w:val="20"/>
        </w:rPr>
        <w:t>.</w:t>
      </w:r>
    </w:p>
  </w:footnote>
  <w:footnote w:id="76">
    <w:p w14:paraId="5444F7C8" w14:textId="1DF5920A" w:rsidR="00EA696C" w:rsidRPr="00FF5655" w:rsidRDefault="00EA696C" w:rsidP="00AA5728">
      <w:pPr>
        <w:pStyle w:val="FootnoteText"/>
        <w:rPr>
          <w:sz w:val="20"/>
          <w:szCs w:val="20"/>
        </w:rPr>
      </w:pPr>
      <w:r w:rsidRPr="00FF5655">
        <w:rPr>
          <w:rStyle w:val="FootnoteReference"/>
          <w:sz w:val="20"/>
          <w:szCs w:val="20"/>
        </w:rPr>
        <w:footnoteRef/>
      </w:r>
      <w:r w:rsidRPr="00FF5655">
        <w:rPr>
          <w:sz w:val="20"/>
          <w:szCs w:val="20"/>
        </w:rPr>
        <w:t xml:space="preserve"> Josephus, </w:t>
      </w:r>
      <w:r w:rsidRPr="00FF5655">
        <w:rPr>
          <w:i/>
          <w:sz w:val="20"/>
          <w:szCs w:val="20"/>
        </w:rPr>
        <w:t>War</w:t>
      </w:r>
      <w:r w:rsidRPr="00FF5655">
        <w:rPr>
          <w:sz w:val="20"/>
          <w:szCs w:val="20"/>
        </w:rPr>
        <w:t xml:space="preserve"> 1.361; </w:t>
      </w:r>
      <w:r w:rsidRPr="00FF5655">
        <w:rPr>
          <w:i/>
          <w:sz w:val="20"/>
          <w:szCs w:val="20"/>
        </w:rPr>
        <w:t>Ant</w:t>
      </w:r>
      <w:r w:rsidRPr="00FF5655">
        <w:rPr>
          <w:sz w:val="20"/>
          <w:szCs w:val="20"/>
        </w:rPr>
        <w:t>. 15.94</w:t>
      </w:r>
      <w:r w:rsidRPr="00C475B8">
        <w:rPr>
          <w:sz w:val="20"/>
          <w:szCs w:val="20"/>
        </w:rPr>
        <w:t>–</w:t>
      </w:r>
      <w:r w:rsidRPr="00FF5655">
        <w:rPr>
          <w:sz w:val="20"/>
          <w:szCs w:val="20"/>
        </w:rPr>
        <w:t>96</w:t>
      </w:r>
      <w:r>
        <w:rPr>
          <w:sz w:val="20"/>
          <w:szCs w:val="20"/>
        </w:rPr>
        <w:t xml:space="preserve"> (with wrong chronology)</w:t>
      </w:r>
      <w:r w:rsidRPr="00FF5655">
        <w:rPr>
          <w:sz w:val="20"/>
          <w:szCs w:val="20"/>
        </w:rPr>
        <w:t xml:space="preserve">; Plutarch, </w:t>
      </w:r>
      <w:r w:rsidRPr="00FF5655">
        <w:rPr>
          <w:i/>
          <w:sz w:val="20"/>
          <w:szCs w:val="20"/>
        </w:rPr>
        <w:t>Ant</w:t>
      </w:r>
      <w:r w:rsidR="00C06B80">
        <w:rPr>
          <w:i/>
          <w:sz w:val="20"/>
          <w:szCs w:val="20"/>
        </w:rPr>
        <w:t>ony</w:t>
      </w:r>
      <w:r w:rsidR="00C06B80" w:rsidRPr="00FF5655">
        <w:rPr>
          <w:sz w:val="20"/>
          <w:szCs w:val="20"/>
        </w:rPr>
        <w:t xml:space="preserve"> </w:t>
      </w:r>
      <w:r w:rsidRPr="00FF5655">
        <w:rPr>
          <w:sz w:val="20"/>
          <w:szCs w:val="20"/>
        </w:rPr>
        <w:t>36.3</w:t>
      </w:r>
      <w:r w:rsidRPr="00C475B8">
        <w:rPr>
          <w:sz w:val="20"/>
          <w:szCs w:val="20"/>
        </w:rPr>
        <w:t>–</w:t>
      </w:r>
      <w:r w:rsidRPr="00FF5655">
        <w:rPr>
          <w:sz w:val="20"/>
          <w:szCs w:val="20"/>
        </w:rPr>
        <w:t>4; Cassius Dio 49.32.4</w:t>
      </w:r>
      <w:r w:rsidRPr="00C475B8">
        <w:rPr>
          <w:sz w:val="20"/>
          <w:szCs w:val="20"/>
        </w:rPr>
        <w:t>–</w:t>
      </w:r>
      <w:r w:rsidRPr="00FF5655">
        <w:rPr>
          <w:sz w:val="20"/>
          <w:szCs w:val="20"/>
        </w:rPr>
        <w:t>5; Porphyry</w:t>
      </w:r>
      <w:r w:rsidR="00FA5299">
        <w:rPr>
          <w:sz w:val="20"/>
          <w:szCs w:val="20"/>
        </w:rPr>
        <w:t xml:space="preserve"> in</w:t>
      </w:r>
      <w:r w:rsidRPr="00FF5655">
        <w:rPr>
          <w:sz w:val="20"/>
          <w:szCs w:val="20"/>
        </w:rPr>
        <w:t xml:space="preserve"> </w:t>
      </w:r>
      <w:r w:rsidRPr="00FF5655">
        <w:rPr>
          <w:i/>
          <w:sz w:val="20"/>
          <w:szCs w:val="20"/>
        </w:rPr>
        <w:t>FGrHist</w:t>
      </w:r>
      <w:r w:rsidRPr="00FF5655">
        <w:rPr>
          <w:sz w:val="20"/>
          <w:szCs w:val="20"/>
        </w:rPr>
        <w:t xml:space="preserve">. 260, F 2.17; </w:t>
      </w:r>
      <w:r w:rsidRPr="00C475B8">
        <w:rPr>
          <w:sz w:val="20"/>
          <w:szCs w:val="20"/>
        </w:rPr>
        <w:t xml:space="preserve">Günther Hölbl, </w:t>
      </w:r>
      <w:r w:rsidRPr="00C475B8">
        <w:rPr>
          <w:i/>
          <w:sz w:val="20"/>
          <w:szCs w:val="20"/>
        </w:rPr>
        <w:t>A History of the Ptolemaic Empire</w:t>
      </w:r>
      <w:r w:rsidRPr="00C475B8">
        <w:rPr>
          <w:sz w:val="20"/>
          <w:szCs w:val="20"/>
        </w:rPr>
        <w:t xml:space="preserve"> </w:t>
      </w:r>
      <w:r>
        <w:rPr>
          <w:sz w:val="20"/>
          <w:szCs w:val="20"/>
        </w:rPr>
        <w:t>(ET; London and New York, 2001)</w:t>
      </w:r>
      <w:r w:rsidRPr="00FF5655">
        <w:rPr>
          <w:sz w:val="20"/>
          <w:szCs w:val="20"/>
        </w:rPr>
        <w:t>, 241</w:t>
      </w:r>
      <w:r w:rsidRPr="00C475B8">
        <w:rPr>
          <w:sz w:val="20"/>
          <w:szCs w:val="20"/>
        </w:rPr>
        <w:t>–</w:t>
      </w:r>
      <w:r w:rsidRPr="00FF5655">
        <w:rPr>
          <w:sz w:val="20"/>
          <w:szCs w:val="20"/>
        </w:rPr>
        <w:t xml:space="preserve">244; Roller, </w:t>
      </w:r>
      <w:r w:rsidRPr="00FF5655">
        <w:rPr>
          <w:i/>
          <w:sz w:val="20"/>
          <w:szCs w:val="20"/>
        </w:rPr>
        <w:t>Cleopatra</w:t>
      </w:r>
      <w:r w:rsidRPr="00FF5655">
        <w:rPr>
          <w:sz w:val="20"/>
          <w:szCs w:val="20"/>
        </w:rPr>
        <w:t>, 90</w:t>
      </w:r>
      <w:r w:rsidRPr="00C475B8">
        <w:rPr>
          <w:sz w:val="20"/>
          <w:szCs w:val="20"/>
        </w:rPr>
        <w:t>–</w:t>
      </w:r>
      <w:r w:rsidRPr="00FF5655">
        <w:rPr>
          <w:sz w:val="20"/>
          <w:szCs w:val="20"/>
        </w:rPr>
        <w:t>101.</w:t>
      </w:r>
      <w:r>
        <w:rPr>
          <w:sz w:val="20"/>
          <w:szCs w:val="20"/>
        </w:rPr>
        <w:t xml:space="preserve"> </w:t>
      </w:r>
    </w:p>
  </w:footnote>
  <w:footnote w:id="77">
    <w:p w14:paraId="01314874" w14:textId="70F0578E" w:rsidR="00EA696C" w:rsidRPr="001553AA" w:rsidRDefault="00EA696C">
      <w:pPr>
        <w:pStyle w:val="FootnoteText"/>
        <w:rPr>
          <w:sz w:val="20"/>
          <w:szCs w:val="20"/>
        </w:rPr>
      </w:pPr>
      <w:r w:rsidRPr="001553AA">
        <w:rPr>
          <w:rStyle w:val="FootnoteReference"/>
          <w:sz w:val="20"/>
          <w:szCs w:val="20"/>
        </w:rPr>
        <w:footnoteRef/>
      </w:r>
      <w:r w:rsidRPr="001553AA">
        <w:rPr>
          <w:sz w:val="20"/>
          <w:szCs w:val="20"/>
        </w:rPr>
        <w:t xml:space="preserve"> Porphyry</w:t>
      </w:r>
      <w:r w:rsidR="00FA5299">
        <w:rPr>
          <w:sz w:val="20"/>
          <w:szCs w:val="20"/>
        </w:rPr>
        <w:t xml:space="preserve"> in</w:t>
      </w:r>
      <w:r w:rsidRPr="001553AA">
        <w:rPr>
          <w:sz w:val="20"/>
          <w:szCs w:val="20"/>
        </w:rPr>
        <w:t xml:space="preserve"> </w:t>
      </w:r>
      <w:r w:rsidRPr="001553AA">
        <w:rPr>
          <w:i/>
          <w:sz w:val="20"/>
          <w:szCs w:val="20"/>
        </w:rPr>
        <w:t>FGrHist</w:t>
      </w:r>
      <w:r>
        <w:rPr>
          <w:sz w:val="20"/>
          <w:szCs w:val="20"/>
        </w:rPr>
        <w:t xml:space="preserve">. 260 F 2.17; </w:t>
      </w:r>
      <w:r w:rsidRPr="006E0DF9">
        <w:rPr>
          <w:i/>
          <w:sz w:val="20"/>
          <w:szCs w:val="20"/>
        </w:rPr>
        <w:t xml:space="preserve">BGU </w:t>
      </w:r>
      <w:r>
        <w:rPr>
          <w:sz w:val="20"/>
          <w:szCs w:val="20"/>
        </w:rPr>
        <w:t>14.2376 (35 BCE; Year 2).</w:t>
      </w:r>
    </w:p>
  </w:footnote>
  <w:footnote w:id="78">
    <w:p w14:paraId="40F2D313" w14:textId="6CAE4376" w:rsidR="00EA696C" w:rsidRPr="00DC48A1" w:rsidRDefault="00EA696C">
      <w:pPr>
        <w:pStyle w:val="FootnoteText"/>
        <w:rPr>
          <w:sz w:val="20"/>
          <w:szCs w:val="20"/>
        </w:rPr>
      </w:pPr>
      <w:r w:rsidRPr="00DC48A1">
        <w:rPr>
          <w:rStyle w:val="FootnoteReference"/>
          <w:sz w:val="20"/>
          <w:szCs w:val="20"/>
        </w:rPr>
        <w:footnoteRef/>
      </w:r>
      <w:r w:rsidRPr="00DC48A1">
        <w:rPr>
          <w:sz w:val="20"/>
          <w:szCs w:val="20"/>
        </w:rPr>
        <w:t xml:space="preserve"> </w:t>
      </w:r>
      <w:r w:rsidRPr="00DC48A1">
        <w:rPr>
          <w:i/>
          <w:sz w:val="20"/>
          <w:szCs w:val="20"/>
        </w:rPr>
        <w:t>Cleopatra of Egypt: From History to Myth</w:t>
      </w:r>
      <w:r>
        <w:rPr>
          <w:sz w:val="20"/>
          <w:szCs w:val="20"/>
        </w:rPr>
        <w:t xml:space="preserve">, ed. </w:t>
      </w:r>
      <w:r w:rsidRPr="00DC48A1">
        <w:rPr>
          <w:sz w:val="20"/>
          <w:szCs w:val="20"/>
        </w:rPr>
        <w:t>Sus</w:t>
      </w:r>
      <w:r>
        <w:rPr>
          <w:sz w:val="20"/>
          <w:szCs w:val="20"/>
        </w:rPr>
        <w:t>an Walker and Peter Higgs</w:t>
      </w:r>
      <w:r w:rsidRPr="00DC48A1">
        <w:rPr>
          <w:sz w:val="20"/>
          <w:szCs w:val="20"/>
        </w:rPr>
        <w:t xml:space="preserve"> (2001), 233</w:t>
      </w:r>
      <w:r w:rsidRPr="00C475B8">
        <w:rPr>
          <w:sz w:val="20"/>
          <w:szCs w:val="20"/>
        </w:rPr>
        <w:t>–</w:t>
      </w:r>
      <w:r w:rsidRPr="00DC48A1">
        <w:rPr>
          <w:sz w:val="20"/>
          <w:szCs w:val="20"/>
        </w:rPr>
        <w:t>34, nos. 214</w:t>
      </w:r>
      <w:r w:rsidRPr="00C475B8">
        <w:rPr>
          <w:sz w:val="20"/>
          <w:szCs w:val="20"/>
        </w:rPr>
        <w:t>–</w:t>
      </w:r>
      <w:r w:rsidRPr="00DC48A1">
        <w:rPr>
          <w:sz w:val="20"/>
          <w:szCs w:val="20"/>
        </w:rPr>
        <w:t>17 (Chalcis), 221</w:t>
      </w:r>
      <w:r w:rsidRPr="00C475B8">
        <w:rPr>
          <w:sz w:val="20"/>
          <w:szCs w:val="20"/>
        </w:rPr>
        <w:t>–</w:t>
      </w:r>
      <w:r w:rsidRPr="00DC48A1">
        <w:rPr>
          <w:sz w:val="20"/>
          <w:szCs w:val="20"/>
        </w:rPr>
        <w:t>22 (?), 232</w:t>
      </w:r>
      <w:r w:rsidRPr="00C475B8">
        <w:rPr>
          <w:sz w:val="20"/>
          <w:szCs w:val="20"/>
        </w:rPr>
        <w:t>–</w:t>
      </w:r>
      <w:r w:rsidRPr="00DC48A1">
        <w:rPr>
          <w:sz w:val="20"/>
          <w:szCs w:val="20"/>
        </w:rPr>
        <w:t>34 (Cyrene?).</w:t>
      </w:r>
    </w:p>
  </w:footnote>
  <w:footnote w:id="79">
    <w:p w14:paraId="20C7FC59" w14:textId="7FE088AB" w:rsidR="00EA696C" w:rsidRPr="00DC48A1" w:rsidRDefault="00EA696C">
      <w:pPr>
        <w:pStyle w:val="FootnoteText"/>
        <w:rPr>
          <w:sz w:val="20"/>
          <w:szCs w:val="20"/>
        </w:rPr>
      </w:pPr>
      <w:r w:rsidRPr="00DC48A1">
        <w:rPr>
          <w:rStyle w:val="FootnoteReference"/>
          <w:sz w:val="20"/>
          <w:szCs w:val="20"/>
        </w:rPr>
        <w:footnoteRef/>
      </w:r>
      <w:r w:rsidRPr="00DC48A1">
        <w:rPr>
          <w:sz w:val="20"/>
          <w:szCs w:val="20"/>
        </w:rPr>
        <w:t xml:space="preserve"> Thompson, ‘Cleopatra VII’</w:t>
      </w:r>
      <w:r>
        <w:rPr>
          <w:sz w:val="20"/>
          <w:szCs w:val="20"/>
        </w:rPr>
        <w:t xml:space="preserve">, 31. Cleopatra Thea: Whitehorne, </w:t>
      </w:r>
      <w:r w:rsidRPr="002228D2">
        <w:rPr>
          <w:i/>
          <w:sz w:val="20"/>
          <w:szCs w:val="20"/>
        </w:rPr>
        <w:t>Cleopatras</w:t>
      </w:r>
      <w:r>
        <w:rPr>
          <w:sz w:val="20"/>
          <w:szCs w:val="20"/>
        </w:rPr>
        <w:t>, 149</w:t>
      </w:r>
      <w:r w:rsidRPr="00C475B8">
        <w:rPr>
          <w:sz w:val="20"/>
          <w:szCs w:val="20"/>
        </w:rPr>
        <w:t>–</w:t>
      </w:r>
      <w:r>
        <w:rPr>
          <w:sz w:val="20"/>
          <w:szCs w:val="20"/>
        </w:rPr>
        <w:t>63.</w:t>
      </w:r>
    </w:p>
  </w:footnote>
  <w:footnote w:id="80">
    <w:p w14:paraId="66FC8EF8" w14:textId="553B6501" w:rsidR="00EA696C" w:rsidRPr="00AC0050" w:rsidRDefault="00EA696C">
      <w:pPr>
        <w:pStyle w:val="FootnoteText"/>
        <w:rPr>
          <w:sz w:val="20"/>
          <w:szCs w:val="20"/>
        </w:rPr>
      </w:pPr>
      <w:r w:rsidRPr="00AC0050">
        <w:rPr>
          <w:rStyle w:val="FootnoteReference"/>
          <w:sz w:val="20"/>
          <w:szCs w:val="20"/>
        </w:rPr>
        <w:footnoteRef/>
      </w:r>
      <w:r w:rsidRPr="00AC0050">
        <w:rPr>
          <w:sz w:val="20"/>
          <w:szCs w:val="20"/>
        </w:rPr>
        <w:t xml:space="preserve"> Cassius Dio 52.35.5</w:t>
      </w:r>
      <w:r w:rsidRPr="00C475B8">
        <w:rPr>
          <w:sz w:val="20"/>
          <w:szCs w:val="20"/>
        </w:rPr>
        <w:t>–</w:t>
      </w:r>
      <w:r w:rsidRPr="00AC0050">
        <w:rPr>
          <w:sz w:val="20"/>
          <w:szCs w:val="20"/>
        </w:rPr>
        <w:t>6</w:t>
      </w:r>
      <w:r>
        <w:rPr>
          <w:sz w:val="20"/>
          <w:szCs w:val="20"/>
        </w:rPr>
        <w:t xml:space="preserve">; Jean Pouilloux, ‘Deux amis: le stratege Diogenes fils de Noumenios et le gymnasiarque Stasicrates fils de Stasicrates’, in </w:t>
      </w:r>
      <w:r w:rsidRPr="003B1CB2">
        <w:rPr>
          <w:i/>
          <w:sz w:val="20"/>
          <w:szCs w:val="20"/>
        </w:rPr>
        <w:t>Praktika tou Protou Diethnous Kyprologikou Synedriou</w:t>
      </w:r>
      <w:r>
        <w:rPr>
          <w:sz w:val="20"/>
          <w:szCs w:val="20"/>
        </w:rPr>
        <w:t xml:space="preserve"> I (Leukosia, 1972), 141</w:t>
      </w:r>
      <w:r w:rsidRPr="00C475B8">
        <w:rPr>
          <w:sz w:val="20"/>
          <w:szCs w:val="20"/>
        </w:rPr>
        <w:t>–</w:t>
      </w:r>
      <w:r>
        <w:rPr>
          <w:sz w:val="20"/>
          <w:szCs w:val="20"/>
        </w:rPr>
        <w:t xml:space="preserve">50; Edmond Van ‘t Dack, ‘Notices Cypriotes’, in Jan Quaegebeur, ed., </w:t>
      </w:r>
      <w:r w:rsidRPr="001315DB">
        <w:rPr>
          <w:i/>
          <w:sz w:val="20"/>
          <w:szCs w:val="20"/>
        </w:rPr>
        <w:t>Studio Paulo Naster Oblata II: Orientalia Antiqua</w:t>
      </w:r>
      <w:r>
        <w:rPr>
          <w:sz w:val="20"/>
          <w:szCs w:val="20"/>
        </w:rPr>
        <w:t xml:space="preserve"> (Leuven, 1982), 321</w:t>
      </w:r>
      <w:r w:rsidRPr="00C475B8">
        <w:rPr>
          <w:sz w:val="20"/>
          <w:szCs w:val="20"/>
        </w:rPr>
        <w:t>–</w:t>
      </w:r>
      <w:r>
        <w:rPr>
          <w:sz w:val="20"/>
          <w:szCs w:val="20"/>
        </w:rPr>
        <w:t xml:space="preserve">26 (323); Schrapel, </w:t>
      </w:r>
      <w:r w:rsidRPr="001408C9">
        <w:rPr>
          <w:i/>
          <w:sz w:val="20"/>
          <w:szCs w:val="20"/>
        </w:rPr>
        <w:t>Das Reich der Kleopatra</w:t>
      </w:r>
      <w:r>
        <w:rPr>
          <w:sz w:val="20"/>
          <w:szCs w:val="20"/>
        </w:rPr>
        <w:t xml:space="preserve">, 259. </w:t>
      </w:r>
    </w:p>
  </w:footnote>
  <w:footnote w:id="81">
    <w:p w14:paraId="52A664FA" w14:textId="4F5BDF31" w:rsidR="00EA696C" w:rsidRPr="00530AA4" w:rsidRDefault="00EA696C">
      <w:pPr>
        <w:pStyle w:val="FootnoteText"/>
        <w:rPr>
          <w:b/>
          <w:sz w:val="20"/>
          <w:szCs w:val="20"/>
        </w:rPr>
      </w:pPr>
      <w:r w:rsidRPr="00C475B8">
        <w:rPr>
          <w:rStyle w:val="FootnoteReference"/>
          <w:sz w:val="20"/>
          <w:szCs w:val="20"/>
        </w:rPr>
        <w:footnoteRef/>
      </w:r>
      <w:r w:rsidRPr="00C475B8">
        <w:rPr>
          <w:sz w:val="20"/>
          <w:szCs w:val="20"/>
        </w:rPr>
        <w:t xml:space="preserve"> Plutarch, </w:t>
      </w:r>
      <w:r w:rsidRPr="00C475B8">
        <w:rPr>
          <w:i/>
          <w:sz w:val="20"/>
          <w:szCs w:val="20"/>
        </w:rPr>
        <w:t>Ant</w:t>
      </w:r>
      <w:r w:rsidR="000B5335" w:rsidRPr="00637BFD">
        <w:rPr>
          <w:i/>
          <w:sz w:val="20"/>
          <w:szCs w:val="20"/>
        </w:rPr>
        <w:t>ony</w:t>
      </w:r>
      <w:r w:rsidR="000B5335">
        <w:rPr>
          <w:sz w:val="20"/>
          <w:szCs w:val="20"/>
        </w:rPr>
        <w:t xml:space="preserve"> </w:t>
      </w:r>
      <w:r>
        <w:rPr>
          <w:sz w:val="20"/>
          <w:szCs w:val="20"/>
        </w:rPr>
        <w:t>36.3</w:t>
      </w:r>
      <w:r w:rsidRPr="00C475B8">
        <w:rPr>
          <w:sz w:val="20"/>
          <w:szCs w:val="20"/>
        </w:rPr>
        <w:t>–</w:t>
      </w:r>
      <w:r>
        <w:rPr>
          <w:sz w:val="20"/>
          <w:szCs w:val="20"/>
        </w:rPr>
        <w:t>4</w:t>
      </w:r>
      <w:r>
        <w:rPr>
          <w:b/>
          <w:sz w:val="20"/>
          <w:szCs w:val="20"/>
        </w:rPr>
        <w:t xml:space="preserve">; </w:t>
      </w:r>
      <w:r w:rsidRPr="00C10357">
        <w:rPr>
          <w:sz w:val="20"/>
          <w:szCs w:val="20"/>
        </w:rPr>
        <w:t>cf. Cassius Dio 49.32.4</w:t>
      </w:r>
      <w:r w:rsidRPr="00C475B8">
        <w:rPr>
          <w:sz w:val="20"/>
          <w:szCs w:val="20"/>
        </w:rPr>
        <w:t>–</w:t>
      </w:r>
      <w:r w:rsidRPr="00C10357">
        <w:rPr>
          <w:sz w:val="20"/>
          <w:szCs w:val="20"/>
        </w:rPr>
        <w:t xml:space="preserve">5; </w:t>
      </w:r>
      <w:r>
        <w:rPr>
          <w:sz w:val="20"/>
          <w:szCs w:val="20"/>
        </w:rPr>
        <w:t xml:space="preserve">Christopher B.R. Pelling, </w:t>
      </w:r>
      <w:r w:rsidRPr="008767ED">
        <w:rPr>
          <w:i/>
          <w:sz w:val="20"/>
          <w:szCs w:val="20"/>
        </w:rPr>
        <w:t>Plutarch, Life of Antony</w:t>
      </w:r>
      <w:r>
        <w:rPr>
          <w:sz w:val="20"/>
          <w:szCs w:val="20"/>
        </w:rPr>
        <w:t xml:space="preserve"> (Cambridge, 1988), </w:t>
      </w:r>
      <w:r w:rsidRPr="00C10357">
        <w:rPr>
          <w:sz w:val="20"/>
          <w:szCs w:val="20"/>
        </w:rPr>
        <w:t>217</w:t>
      </w:r>
      <w:r w:rsidRPr="00C475B8">
        <w:rPr>
          <w:sz w:val="20"/>
          <w:szCs w:val="20"/>
        </w:rPr>
        <w:t>–</w:t>
      </w:r>
      <w:r w:rsidRPr="00C10357">
        <w:rPr>
          <w:sz w:val="20"/>
          <w:szCs w:val="20"/>
        </w:rPr>
        <w:t xml:space="preserve">18; Meyer Reinhold, </w:t>
      </w:r>
      <w:r w:rsidRPr="00C10357">
        <w:rPr>
          <w:i/>
          <w:sz w:val="20"/>
          <w:szCs w:val="20"/>
        </w:rPr>
        <w:t>From Republic to Principate: An Historical Commentary on Cassius Dio’s Roman History Books 49</w:t>
      </w:r>
      <w:r w:rsidRPr="00C475B8">
        <w:rPr>
          <w:sz w:val="20"/>
          <w:szCs w:val="20"/>
        </w:rPr>
        <w:t>–</w:t>
      </w:r>
      <w:r w:rsidRPr="00C10357">
        <w:rPr>
          <w:i/>
          <w:sz w:val="20"/>
          <w:szCs w:val="20"/>
        </w:rPr>
        <w:t>52 (36</w:t>
      </w:r>
      <w:r w:rsidRPr="00C475B8">
        <w:rPr>
          <w:sz w:val="20"/>
          <w:szCs w:val="20"/>
        </w:rPr>
        <w:t>–</w:t>
      </w:r>
      <w:r w:rsidRPr="00C10357">
        <w:rPr>
          <w:i/>
          <w:sz w:val="20"/>
          <w:szCs w:val="20"/>
        </w:rPr>
        <w:t>29 B.C.)</w:t>
      </w:r>
      <w:r w:rsidRPr="00C10357">
        <w:rPr>
          <w:sz w:val="20"/>
          <w:szCs w:val="20"/>
        </w:rPr>
        <w:t xml:space="preserve"> (Atlanta, GA., 1988), 63</w:t>
      </w:r>
      <w:r w:rsidRPr="00C475B8">
        <w:rPr>
          <w:sz w:val="20"/>
          <w:szCs w:val="20"/>
        </w:rPr>
        <w:t>–</w:t>
      </w:r>
      <w:r w:rsidRPr="00C10357">
        <w:rPr>
          <w:sz w:val="20"/>
          <w:szCs w:val="20"/>
        </w:rPr>
        <w:t>65.</w:t>
      </w:r>
      <w:r>
        <w:rPr>
          <w:sz w:val="20"/>
          <w:szCs w:val="20"/>
        </w:rPr>
        <w:t xml:space="preserve"> </w:t>
      </w:r>
    </w:p>
  </w:footnote>
  <w:footnote w:id="82">
    <w:p w14:paraId="0B9176CA" w14:textId="727E5743" w:rsidR="00EA696C" w:rsidRPr="00C475B8" w:rsidRDefault="00EA696C">
      <w:pPr>
        <w:pStyle w:val="FootnoteText"/>
        <w:rPr>
          <w:sz w:val="20"/>
          <w:szCs w:val="20"/>
        </w:rPr>
      </w:pPr>
      <w:r w:rsidRPr="00C475B8">
        <w:rPr>
          <w:rStyle w:val="FootnoteReference"/>
          <w:sz w:val="20"/>
          <w:szCs w:val="20"/>
        </w:rPr>
        <w:footnoteRef/>
      </w:r>
      <w:r>
        <w:rPr>
          <w:sz w:val="20"/>
          <w:szCs w:val="20"/>
        </w:rPr>
        <w:t xml:space="preserve"> </w:t>
      </w:r>
      <w:r w:rsidRPr="00C475B8">
        <w:rPr>
          <w:sz w:val="20"/>
          <w:szCs w:val="20"/>
        </w:rPr>
        <w:t xml:space="preserve">Hölbl, </w:t>
      </w:r>
      <w:r w:rsidRPr="0098799E">
        <w:rPr>
          <w:i/>
          <w:sz w:val="20"/>
          <w:szCs w:val="20"/>
        </w:rPr>
        <w:t>History</w:t>
      </w:r>
      <w:r>
        <w:rPr>
          <w:sz w:val="20"/>
          <w:szCs w:val="20"/>
        </w:rPr>
        <w:t xml:space="preserve">, </w:t>
      </w:r>
      <w:r w:rsidRPr="00E03B90">
        <w:rPr>
          <w:sz w:val="20"/>
          <w:szCs w:val="20"/>
        </w:rPr>
        <w:t>242</w:t>
      </w:r>
      <w:r w:rsidRPr="00C475B8">
        <w:rPr>
          <w:sz w:val="20"/>
          <w:szCs w:val="20"/>
        </w:rPr>
        <w:t xml:space="preserve">, citing Karl Christ, </w:t>
      </w:r>
      <w:r w:rsidRPr="00C475B8">
        <w:rPr>
          <w:i/>
          <w:sz w:val="20"/>
          <w:szCs w:val="20"/>
        </w:rPr>
        <w:t>Krise und Untergang der römischen Republik</w:t>
      </w:r>
      <w:r w:rsidRPr="00C475B8">
        <w:rPr>
          <w:sz w:val="20"/>
          <w:szCs w:val="20"/>
        </w:rPr>
        <w:t xml:space="preserve"> (2</w:t>
      </w:r>
      <w:r w:rsidRPr="00C475B8">
        <w:rPr>
          <w:sz w:val="20"/>
          <w:szCs w:val="20"/>
          <w:vertAlign w:val="superscript"/>
        </w:rPr>
        <w:t>nd</w:t>
      </w:r>
      <w:r>
        <w:rPr>
          <w:sz w:val="20"/>
          <w:szCs w:val="20"/>
        </w:rPr>
        <w:t xml:space="preserve"> edn; Darmstadt, 1984), 448; cf. Pelling, </w:t>
      </w:r>
      <w:r w:rsidRPr="008767ED">
        <w:rPr>
          <w:i/>
          <w:sz w:val="20"/>
          <w:szCs w:val="20"/>
        </w:rPr>
        <w:t>Life of Antony</w:t>
      </w:r>
      <w:r>
        <w:rPr>
          <w:sz w:val="20"/>
          <w:szCs w:val="20"/>
        </w:rPr>
        <w:t>, 217.</w:t>
      </w:r>
    </w:p>
  </w:footnote>
  <w:footnote w:id="83">
    <w:p w14:paraId="7A6E07E9" w14:textId="784B6264"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 xml:space="preserve">War </w:t>
      </w:r>
      <w:r w:rsidRPr="00C475B8">
        <w:rPr>
          <w:sz w:val="20"/>
          <w:szCs w:val="20"/>
        </w:rPr>
        <w:t>1.36</w:t>
      </w:r>
      <w:r>
        <w:rPr>
          <w:sz w:val="20"/>
          <w:szCs w:val="20"/>
        </w:rPr>
        <w:t>0–</w:t>
      </w:r>
      <w:r w:rsidRPr="00C475B8">
        <w:rPr>
          <w:sz w:val="20"/>
          <w:szCs w:val="20"/>
        </w:rPr>
        <w:t>63</w:t>
      </w:r>
      <w:r>
        <w:rPr>
          <w:sz w:val="20"/>
          <w:szCs w:val="20"/>
        </w:rPr>
        <w:t xml:space="preserve">; </w:t>
      </w:r>
      <w:r w:rsidRPr="00C475B8">
        <w:rPr>
          <w:i/>
          <w:sz w:val="20"/>
          <w:szCs w:val="20"/>
        </w:rPr>
        <w:t>Ant</w:t>
      </w:r>
      <w:r w:rsidRPr="00C475B8">
        <w:rPr>
          <w:sz w:val="20"/>
          <w:szCs w:val="20"/>
        </w:rPr>
        <w:t>. 15.93–96</w:t>
      </w:r>
      <w:r>
        <w:rPr>
          <w:sz w:val="20"/>
          <w:szCs w:val="20"/>
        </w:rPr>
        <w:t xml:space="preserve">; Plutarch, </w:t>
      </w:r>
      <w:r w:rsidR="00103129" w:rsidRPr="00C475B8">
        <w:rPr>
          <w:i/>
          <w:sz w:val="20"/>
          <w:szCs w:val="20"/>
        </w:rPr>
        <w:t>Ant</w:t>
      </w:r>
      <w:r w:rsidR="00103129" w:rsidRPr="00A67232">
        <w:rPr>
          <w:i/>
          <w:sz w:val="20"/>
          <w:szCs w:val="20"/>
        </w:rPr>
        <w:t>ony</w:t>
      </w:r>
      <w:r>
        <w:rPr>
          <w:sz w:val="20"/>
          <w:szCs w:val="20"/>
        </w:rPr>
        <w:t xml:space="preserve"> 36.3</w:t>
      </w:r>
      <w:r w:rsidRPr="00C475B8">
        <w:rPr>
          <w:sz w:val="20"/>
          <w:szCs w:val="20"/>
        </w:rPr>
        <w:t>.</w:t>
      </w:r>
      <w:r w:rsidRPr="00893857">
        <w:rPr>
          <w:sz w:val="20"/>
          <w:szCs w:val="20"/>
        </w:rPr>
        <w:t xml:space="preserve"> </w:t>
      </w:r>
      <w:r w:rsidRPr="0084713A">
        <w:rPr>
          <w:sz w:val="20"/>
          <w:szCs w:val="20"/>
        </w:rPr>
        <w:t xml:space="preserve">On Cleopatra’s alleged ambition for the whole of Herod’s kingdom or for Malchus’ kingdom of Nabatea, by fomenting conflict between the two: </w:t>
      </w:r>
      <w:r w:rsidRPr="0084713A">
        <w:rPr>
          <w:i/>
          <w:sz w:val="20"/>
          <w:szCs w:val="20"/>
        </w:rPr>
        <w:t>War</w:t>
      </w:r>
      <w:r w:rsidRPr="0084713A">
        <w:rPr>
          <w:sz w:val="20"/>
          <w:szCs w:val="20"/>
        </w:rPr>
        <w:t xml:space="preserve"> 1.365, 367; </w:t>
      </w:r>
      <w:r w:rsidRPr="0084713A">
        <w:rPr>
          <w:i/>
          <w:sz w:val="20"/>
          <w:szCs w:val="20"/>
        </w:rPr>
        <w:t>Ant</w:t>
      </w:r>
      <w:r>
        <w:rPr>
          <w:sz w:val="20"/>
          <w:szCs w:val="20"/>
        </w:rPr>
        <w:t>. 15.115–</w:t>
      </w:r>
      <w:r w:rsidRPr="0084713A">
        <w:rPr>
          <w:sz w:val="20"/>
          <w:szCs w:val="20"/>
        </w:rPr>
        <w:t>16.</w:t>
      </w:r>
    </w:p>
  </w:footnote>
  <w:footnote w:id="84">
    <w:p w14:paraId="4EDD2EA5" w14:textId="2E268678"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Josephus, </w:t>
      </w:r>
      <w:r w:rsidRPr="00C475B8">
        <w:rPr>
          <w:i/>
          <w:sz w:val="20"/>
          <w:szCs w:val="20"/>
        </w:rPr>
        <w:t>War</w:t>
      </w:r>
      <w:r>
        <w:rPr>
          <w:sz w:val="20"/>
          <w:szCs w:val="20"/>
        </w:rPr>
        <w:t xml:space="preserve"> 1.362–</w:t>
      </w:r>
      <w:r w:rsidRPr="00C475B8">
        <w:rPr>
          <w:sz w:val="20"/>
          <w:szCs w:val="20"/>
        </w:rPr>
        <w:t xml:space="preserve">63; </w:t>
      </w:r>
      <w:r w:rsidRPr="00C475B8">
        <w:rPr>
          <w:i/>
          <w:sz w:val="20"/>
          <w:szCs w:val="20"/>
        </w:rPr>
        <w:t>Ant</w:t>
      </w:r>
      <w:r>
        <w:rPr>
          <w:i/>
          <w:sz w:val="20"/>
          <w:szCs w:val="20"/>
        </w:rPr>
        <w:t>.</w:t>
      </w:r>
      <w:r w:rsidRPr="00C475B8">
        <w:rPr>
          <w:i/>
          <w:sz w:val="20"/>
          <w:szCs w:val="20"/>
        </w:rPr>
        <w:t xml:space="preserve"> </w:t>
      </w:r>
      <w:r w:rsidRPr="00C475B8">
        <w:rPr>
          <w:sz w:val="20"/>
          <w:szCs w:val="20"/>
        </w:rPr>
        <w:t>15.</w:t>
      </w:r>
      <w:r>
        <w:rPr>
          <w:sz w:val="20"/>
          <w:szCs w:val="20"/>
        </w:rPr>
        <w:t xml:space="preserve">106, </w:t>
      </w:r>
      <w:r w:rsidRPr="00C475B8">
        <w:rPr>
          <w:sz w:val="20"/>
          <w:szCs w:val="20"/>
        </w:rPr>
        <w:t>132</w:t>
      </w:r>
      <w:r>
        <w:rPr>
          <w:sz w:val="20"/>
          <w:szCs w:val="20"/>
        </w:rPr>
        <w:t>.</w:t>
      </w:r>
      <w:r w:rsidRPr="00C475B8">
        <w:rPr>
          <w:sz w:val="20"/>
          <w:szCs w:val="20"/>
        </w:rPr>
        <w:t xml:space="preserve"> </w:t>
      </w:r>
      <w:r>
        <w:rPr>
          <w:sz w:val="20"/>
          <w:szCs w:val="20"/>
        </w:rPr>
        <w:t>Herod’s</w:t>
      </w:r>
      <w:r w:rsidRPr="00C475B8">
        <w:rPr>
          <w:sz w:val="20"/>
          <w:szCs w:val="20"/>
        </w:rPr>
        <w:t xml:space="preserve"> annual income </w:t>
      </w:r>
      <w:r>
        <w:rPr>
          <w:sz w:val="20"/>
          <w:szCs w:val="20"/>
        </w:rPr>
        <w:t xml:space="preserve">is estimated at 1050–2000 talents: </w:t>
      </w:r>
      <w:r w:rsidRPr="00C475B8">
        <w:rPr>
          <w:sz w:val="20"/>
          <w:szCs w:val="20"/>
        </w:rPr>
        <w:t xml:space="preserve">Samuel Rocca, </w:t>
      </w:r>
      <w:r w:rsidRPr="00C475B8">
        <w:rPr>
          <w:i/>
          <w:sz w:val="20"/>
          <w:szCs w:val="20"/>
        </w:rPr>
        <w:t>Herod’s Judaea: A Mediterranean State in the Classical World</w:t>
      </w:r>
      <w:r w:rsidRPr="00C475B8">
        <w:rPr>
          <w:sz w:val="20"/>
          <w:szCs w:val="20"/>
        </w:rPr>
        <w:t xml:space="preserve"> (Tübingen, 2008), 208</w:t>
      </w:r>
      <w:r>
        <w:rPr>
          <w:sz w:val="20"/>
          <w:szCs w:val="20"/>
        </w:rPr>
        <w:t>.</w:t>
      </w:r>
    </w:p>
  </w:footnote>
  <w:footnote w:id="85">
    <w:p w14:paraId="23F4EBF5" w14:textId="5501285C"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Cleopatra’s dowry: Josephus, </w:t>
      </w:r>
      <w:r w:rsidRPr="00C475B8">
        <w:rPr>
          <w:i/>
          <w:sz w:val="20"/>
          <w:szCs w:val="20"/>
        </w:rPr>
        <w:t>Ant</w:t>
      </w:r>
      <w:r w:rsidRPr="00C475B8">
        <w:rPr>
          <w:sz w:val="20"/>
          <w:szCs w:val="20"/>
        </w:rPr>
        <w:t xml:space="preserve">. 12.154; cf. Polybius 28.20.9; Appian, </w:t>
      </w:r>
      <w:r w:rsidRPr="00C475B8">
        <w:rPr>
          <w:i/>
          <w:sz w:val="20"/>
          <w:szCs w:val="20"/>
        </w:rPr>
        <w:t>Syr</w:t>
      </w:r>
      <w:r w:rsidR="00D8444F">
        <w:rPr>
          <w:i/>
          <w:sz w:val="20"/>
          <w:szCs w:val="20"/>
        </w:rPr>
        <w:t>ian Wars</w:t>
      </w:r>
      <w:r w:rsidR="00D8444F" w:rsidRPr="00C475B8">
        <w:rPr>
          <w:sz w:val="20"/>
          <w:szCs w:val="20"/>
        </w:rPr>
        <w:t xml:space="preserve"> </w:t>
      </w:r>
      <w:r w:rsidRPr="00C475B8">
        <w:rPr>
          <w:sz w:val="20"/>
          <w:szCs w:val="20"/>
        </w:rPr>
        <w:t xml:space="preserve">5; see further Daniel R. Schwartz, ‘Josephus’ Tobiads: Back to the Second Century?’, in </w:t>
      </w:r>
      <w:r w:rsidRPr="00C475B8">
        <w:rPr>
          <w:i/>
          <w:sz w:val="20"/>
          <w:szCs w:val="20"/>
        </w:rPr>
        <w:t>Jews in a Graeco-Roman World</w:t>
      </w:r>
      <w:r w:rsidRPr="00C475B8">
        <w:rPr>
          <w:sz w:val="20"/>
          <w:szCs w:val="20"/>
        </w:rPr>
        <w:t xml:space="preserve">, ed. Martin Goodman (Oxford, 1998), 47–61. The Tobiads as tax-collectors for the Ptolemaic monarchy: Josephus, </w:t>
      </w:r>
      <w:r w:rsidRPr="00C475B8">
        <w:rPr>
          <w:i/>
          <w:sz w:val="20"/>
          <w:szCs w:val="20"/>
        </w:rPr>
        <w:t>Ant.</w:t>
      </w:r>
      <w:r w:rsidRPr="00C475B8">
        <w:rPr>
          <w:sz w:val="20"/>
          <w:szCs w:val="20"/>
        </w:rPr>
        <w:t xml:space="preserve"> 12.160–223.</w:t>
      </w:r>
      <w:r>
        <w:rPr>
          <w:sz w:val="20"/>
          <w:szCs w:val="20"/>
        </w:rPr>
        <w:t xml:space="preserve"> </w:t>
      </w:r>
    </w:p>
  </w:footnote>
  <w:footnote w:id="86">
    <w:p w14:paraId="30B45393" w14:textId="6128AD47" w:rsidR="00EA696C" w:rsidRPr="003C6D02" w:rsidRDefault="00EA696C">
      <w:pPr>
        <w:pStyle w:val="FootnoteText"/>
        <w:rPr>
          <w:sz w:val="20"/>
          <w:szCs w:val="20"/>
        </w:rPr>
      </w:pPr>
      <w:r w:rsidRPr="003C6D02">
        <w:rPr>
          <w:rStyle w:val="FootnoteReference"/>
          <w:sz w:val="20"/>
          <w:szCs w:val="20"/>
        </w:rPr>
        <w:footnoteRef/>
      </w:r>
      <w:r w:rsidRPr="003C6D02">
        <w:rPr>
          <w:sz w:val="20"/>
          <w:szCs w:val="20"/>
        </w:rPr>
        <w:t xml:space="preserve"> Some scholars identify evidence for Jewish representation of Cleopatra VII, including Jewish support for the Queen against Rome, in the </w:t>
      </w:r>
      <w:r w:rsidRPr="003C6D02">
        <w:rPr>
          <w:i/>
          <w:sz w:val="20"/>
          <w:szCs w:val="20"/>
        </w:rPr>
        <w:t>Third Sibylline Oracle</w:t>
      </w:r>
      <w:r w:rsidRPr="003C6D02">
        <w:rPr>
          <w:sz w:val="20"/>
          <w:szCs w:val="20"/>
        </w:rPr>
        <w:t>. On this question, I follow Erich Gruen’s analysis of the evidence which finds no reference to Cleopatra here: ‘</w:t>
      </w:r>
      <w:r>
        <w:rPr>
          <w:sz w:val="20"/>
          <w:szCs w:val="20"/>
        </w:rPr>
        <w:t>Jews, Greeks, and Romans in t</w:t>
      </w:r>
      <w:r w:rsidRPr="003C6D02">
        <w:rPr>
          <w:sz w:val="20"/>
          <w:szCs w:val="20"/>
        </w:rPr>
        <w:t xml:space="preserve">he Third Sibylline Oracle’, in </w:t>
      </w:r>
      <w:r w:rsidRPr="003C6D02">
        <w:rPr>
          <w:i/>
          <w:sz w:val="20"/>
          <w:szCs w:val="20"/>
        </w:rPr>
        <w:t>Jews in a Graeco-Roman World</w:t>
      </w:r>
      <w:r w:rsidRPr="003C6D02">
        <w:rPr>
          <w:sz w:val="20"/>
          <w:szCs w:val="20"/>
        </w:rPr>
        <w:t>, ed. Martin Goodman (Oxford), 15–36 (25–27).</w:t>
      </w:r>
      <w:r>
        <w:rPr>
          <w:sz w:val="20"/>
          <w:szCs w:val="20"/>
        </w:rPr>
        <w:t xml:space="preserve"> Relevant to the history of Jewish reception of Cleopatra, but not considered here, are references to the Queen in rabbinic literature; see further, Joseph Geiger, ‘Cleopatra the Physician’, in </w:t>
      </w:r>
      <w:r w:rsidRPr="00BC4EB3">
        <w:rPr>
          <w:i/>
          <w:sz w:val="20"/>
          <w:szCs w:val="20"/>
        </w:rPr>
        <w:t>Zutot</w:t>
      </w:r>
      <w:r>
        <w:rPr>
          <w:i/>
          <w:sz w:val="20"/>
          <w:szCs w:val="20"/>
        </w:rPr>
        <w:t>: Perspectives on Jewish Culture</w:t>
      </w:r>
      <w:r>
        <w:rPr>
          <w:sz w:val="20"/>
          <w:szCs w:val="20"/>
        </w:rPr>
        <w:t>, ed. Shlomo Berger, Michael Brocke and Irene Zwiep (Dodrecht/Boston/London, 2001), 28</w:t>
      </w:r>
      <w:r w:rsidRPr="00C475B8">
        <w:rPr>
          <w:sz w:val="20"/>
          <w:szCs w:val="20"/>
        </w:rPr>
        <w:t>–</w:t>
      </w:r>
      <w:r>
        <w:rPr>
          <w:sz w:val="20"/>
          <w:szCs w:val="20"/>
        </w:rPr>
        <w:t xml:space="preserve">32; Rivka Ulmer, ‘Cleopatra, Isis, and Serapis’, in Rivka Ulmer, </w:t>
      </w:r>
      <w:r w:rsidRPr="00375FFD">
        <w:rPr>
          <w:i/>
          <w:sz w:val="20"/>
          <w:szCs w:val="20"/>
        </w:rPr>
        <w:t>Egyptian Cultural Icons in Midrash</w:t>
      </w:r>
      <w:r>
        <w:rPr>
          <w:sz w:val="20"/>
          <w:szCs w:val="20"/>
        </w:rPr>
        <w:t xml:space="preserve"> (Berlin, 2009), 215</w:t>
      </w:r>
      <w:r w:rsidRPr="00C475B8">
        <w:rPr>
          <w:sz w:val="20"/>
          <w:szCs w:val="20"/>
        </w:rPr>
        <w:t>–</w:t>
      </w:r>
      <w:r>
        <w:rPr>
          <w:sz w:val="20"/>
          <w:szCs w:val="20"/>
        </w:rPr>
        <w:t>43.</w:t>
      </w:r>
    </w:p>
  </w:footnote>
  <w:footnote w:id="87">
    <w:p w14:paraId="602372AB" w14:textId="7E38671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w:t>
      </w:r>
      <w:r w:rsidRPr="00C475B8">
        <w:rPr>
          <w:i/>
          <w:sz w:val="20"/>
          <w:szCs w:val="20"/>
        </w:rPr>
        <w:t>CIL</w:t>
      </w:r>
      <w:r w:rsidRPr="00C475B8">
        <w:rPr>
          <w:sz w:val="20"/>
          <w:szCs w:val="20"/>
        </w:rPr>
        <w:t xml:space="preserve"> III Suppl. no. 6583 = </w:t>
      </w:r>
      <w:r w:rsidRPr="00C475B8">
        <w:rPr>
          <w:i/>
          <w:sz w:val="20"/>
          <w:szCs w:val="20"/>
        </w:rPr>
        <w:t xml:space="preserve">OGIS </w:t>
      </w:r>
      <w:r w:rsidRPr="00C475B8">
        <w:rPr>
          <w:sz w:val="20"/>
          <w:szCs w:val="20"/>
        </w:rPr>
        <w:t xml:space="preserve">no. 129 = </w:t>
      </w:r>
      <w:r w:rsidRPr="00C475B8">
        <w:rPr>
          <w:i/>
          <w:sz w:val="20"/>
          <w:szCs w:val="20"/>
        </w:rPr>
        <w:t>JIGRE</w:t>
      </w:r>
      <w:r w:rsidRPr="00C475B8">
        <w:rPr>
          <w:sz w:val="20"/>
          <w:szCs w:val="20"/>
        </w:rPr>
        <w:t xml:space="preserve"> no. 125 = </w:t>
      </w:r>
      <w:r w:rsidRPr="00C475B8">
        <w:rPr>
          <w:i/>
          <w:sz w:val="20"/>
          <w:szCs w:val="20"/>
        </w:rPr>
        <w:t>Asylia</w:t>
      </w:r>
      <w:r>
        <w:rPr>
          <w:sz w:val="20"/>
          <w:szCs w:val="20"/>
        </w:rPr>
        <w:t xml:space="preserve"> no. 228</w:t>
      </w:r>
      <w:r w:rsidRPr="00C475B8">
        <w:rPr>
          <w:sz w:val="20"/>
          <w:szCs w:val="20"/>
        </w:rPr>
        <w:t>.</w:t>
      </w:r>
    </w:p>
  </w:footnote>
  <w:footnote w:id="88">
    <w:p w14:paraId="493F0644" w14:textId="7A2E6F63"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Kent J. Rigsby, </w:t>
      </w:r>
      <w:r w:rsidRPr="00C475B8">
        <w:rPr>
          <w:i/>
          <w:sz w:val="20"/>
          <w:szCs w:val="20"/>
        </w:rPr>
        <w:t>Asylia: Territorial Inviolability in the Hellenistic World</w:t>
      </w:r>
      <w:r w:rsidRPr="00C475B8">
        <w:rPr>
          <w:sz w:val="20"/>
          <w:szCs w:val="20"/>
        </w:rPr>
        <w:t xml:space="preserve"> (Berkeley, Los Angeles and London, 1996), 540–73.</w:t>
      </w:r>
    </w:p>
  </w:footnote>
  <w:footnote w:id="89">
    <w:p w14:paraId="16516922" w14:textId="6E18F35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Rigsby, </w:t>
      </w:r>
      <w:r w:rsidRPr="00C475B8">
        <w:rPr>
          <w:i/>
          <w:sz w:val="20"/>
          <w:szCs w:val="20"/>
        </w:rPr>
        <w:t>Asylia</w:t>
      </w:r>
      <w:r w:rsidRPr="00C475B8">
        <w:rPr>
          <w:sz w:val="20"/>
          <w:szCs w:val="20"/>
        </w:rPr>
        <w:t>, 540.</w:t>
      </w:r>
    </w:p>
  </w:footnote>
  <w:footnote w:id="90">
    <w:p w14:paraId="30966CC7" w14:textId="2C89F420"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w:t>
      </w:r>
      <w:r w:rsidRPr="00C475B8">
        <w:rPr>
          <w:i/>
          <w:sz w:val="20"/>
          <w:szCs w:val="20"/>
        </w:rPr>
        <w:t>Asylia</w:t>
      </w:r>
      <w:r w:rsidRPr="00C475B8">
        <w:rPr>
          <w:sz w:val="20"/>
          <w:szCs w:val="20"/>
        </w:rPr>
        <w:t xml:space="preserve"> nos 219–228, a corpus of </w:t>
      </w:r>
      <w:r>
        <w:rPr>
          <w:sz w:val="20"/>
          <w:szCs w:val="20"/>
        </w:rPr>
        <w:t>eleven</w:t>
      </w:r>
      <w:r w:rsidRPr="00C475B8">
        <w:rPr>
          <w:sz w:val="20"/>
          <w:szCs w:val="20"/>
        </w:rPr>
        <w:t xml:space="preserve"> grants of </w:t>
      </w:r>
      <w:r w:rsidRPr="00C475B8">
        <w:rPr>
          <w:i/>
          <w:sz w:val="20"/>
          <w:szCs w:val="20"/>
        </w:rPr>
        <w:t>asylia</w:t>
      </w:r>
      <w:r w:rsidRPr="00C475B8">
        <w:rPr>
          <w:sz w:val="20"/>
          <w:szCs w:val="20"/>
        </w:rPr>
        <w:t xml:space="preserve"> from Ptolemaic Egypt; additional evidence for such grants is supplied by references to other temples already in possession of the grant of </w:t>
      </w:r>
      <w:r w:rsidRPr="00C475B8">
        <w:rPr>
          <w:i/>
          <w:sz w:val="20"/>
          <w:szCs w:val="20"/>
        </w:rPr>
        <w:t xml:space="preserve">asylia </w:t>
      </w:r>
      <w:r w:rsidRPr="00C475B8">
        <w:rPr>
          <w:sz w:val="20"/>
          <w:szCs w:val="20"/>
        </w:rPr>
        <w:t xml:space="preserve">(e.g. </w:t>
      </w:r>
      <w:r w:rsidRPr="00C475B8">
        <w:rPr>
          <w:i/>
          <w:sz w:val="20"/>
          <w:szCs w:val="20"/>
        </w:rPr>
        <w:t xml:space="preserve">Asylia </w:t>
      </w:r>
      <w:r w:rsidRPr="00C475B8">
        <w:rPr>
          <w:sz w:val="20"/>
          <w:szCs w:val="20"/>
        </w:rPr>
        <w:t>no. 219).</w:t>
      </w:r>
    </w:p>
  </w:footnote>
  <w:footnote w:id="91">
    <w:p w14:paraId="71B8A98A" w14:textId="5D8CE9D3" w:rsidR="00EA696C" w:rsidRPr="00C475B8" w:rsidRDefault="00EA696C" w:rsidP="004915A3">
      <w:pPr>
        <w:pStyle w:val="FootnoteText"/>
        <w:rPr>
          <w:sz w:val="20"/>
          <w:szCs w:val="20"/>
        </w:rPr>
      </w:pPr>
      <w:r w:rsidRPr="00C475B8">
        <w:rPr>
          <w:rStyle w:val="FootnoteReference"/>
          <w:sz w:val="20"/>
          <w:szCs w:val="20"/>
        </w:rPr>
        <w:footnoteRef/>
      </w:r>
      <w:r w:rsidRPr="00C475B8">
        <w:rPr>
          <w:sz w:val="20"/>
          <w:szCs w:val="20"/>
        </w:rPr>
        <w:t xml:space="preserve"> </w:t>
      </w:r>
      <w:r w:rsidRPr="00C475B8">
        <w:rPr>
          <w:i/>
          <w:sz w:val="20"/>
          <w:szCs w:val="20"/>
        </w:rPr>
        <w:t>Asylia</w:t>
      </w:r>
      <w:r w:rsidRPr="00C475B8">
        <w:rPr>
          <w:sz w:val="20"/>
          <w:szCs w:val="20"/>
        </w:rPr>
        <w:t xml:space="preserve"> no. 19, Temple of Horus (Ptolemy X, 96 BCE).</w:t>
      </w:r>
    </w:p>
  </w:footnote>
  <w:footnote w:id="92">
    <w:p w14:paraId="78011920" w14:textId="58B3A2D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E.g. </w:t>
      </w:r>
      <w:r w:rsidRPr="00C475B8">
        <w:rPr>
          <w:i/>
          <w:sz w:val="20"/>
          <w:szCs w:val="20"/>
        </w:rPr>
        <w:t xml:space="preserve">Asylia </w:t>
      </w:r>
      <w:r w:rsidRPr="00C475B8">
        <w:rPr>
          <w:sz w:val="20"/>
          <w:szCs w:val="20"/>
        </w:rPr>
        <w:t xml:space="preserve">no. 221, Temple of Isis Sachypsis (Theadelphia; Ptolemy X, 93 BCE). In addition to temples of Egyptian gods (Horus, Isis, Ammon and various manifestations of the crocodile god Sobek), grants of </w:t>
      </w:r>
      <w:r w:rsidRPr="00C475B8">
        <w:rPr>
          <w:i/>
          <w:sz w:val="20"/>
          <w:szCs w:val="20"/>
        </w:rPr>
        <w:t>asylia</w:t>
      </w:r>
      <w:r w:rsidRPr="00C475B8">
        <w:rPr>
          <w:sz w:val="20"/>
          <w:szCs w:val="20"/>
        </w:rPr>
        <w:t xml:space="preserve"> are also known for Magdola’s temple of Heron, a Thracian god whose cult was probably founded in Egypt by military settlers under the early Ptolemies (Rigsby, </w:t>
      </w:r>
      <w:r w:rsidRPr="00C475B8">
        <w:rPr>
          <w:i/>
          <w:sz w:val="20"/>
          <w:szCs w:val="20"/>
        </w:rPr>
        <w:t xml:space="preserve">Asylia </w:t>
      </w:r>
      <w:r w:rsidRPr="00C475B8">
        <w:rPr>
          <w:sz w:val="20"/>
          <w:szCs w:val="20"/>
        </w:rPr>
        <w:t>no. 220), and for Theadelphia’s temple of the Greek god Heracles Callinicus (</w:t>
      </w:r>
      <w:r w:rsidRPr="00C475B8">
        <w:rPr>
          <w:i/>
          <w:sz w:val="20"/>
          <w:szCs w:val="20"/>
        </w:rPr>
        <w:t>Asylia</w:t>
      </w:r>
      <w:r w:rsidRPr="00C475B8">
        <w:rPr>
          <w:sz w:val="20"/>
          <w:szCs w:val="20"/>
        </w:rPr>
        <w:t xml:space="preserve"> no. 222). </w:t>
      </w:r>
    </w:p>
  </w:footnote>
  <w:footnote w:id="93">
    <w:p w14:paraId="2490AF0D" w14:textId="64E2911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w:t>
      </w:r>
      <w:r w:rsidRPr="00C475B8">
        <w:rPr>
          <w:i/>
          <w:sz w:val="20"/>
          <w:szCs w:val="20"/>
        </w:rPr>
        <w:t xml:space="preserve">C.Ord.Ptol. </w:t>
      </w:r>
      <w:r w:rsidRPr="00C475B8">
        <w:rPr>
          <w:sz w:val="20"/>
          <w:szCs w:val="20"/>
        </w:rPr>
        <w:t xml:space="preserve">67 = </w:t>
      </w:r>
      <w:r w:rsidRPr="00C475B8">
        <w:rPr>
          <w:i/>
          <w:sz w:val="20"/>
          <w:szCs w:val="20"/>
        </w:rPr>
        <w:t xml:space="preserve">Asylia </w:t>
      </w:r>
      <w:r w:rsidRPr="00C475B8">
        <w:rPr>
          <w:sz w:val="20"/>
          <w:szCs w:val="20"/>
        </w:rPr>
        <w:t>no. 226.</w:t>
      </w:r>
    </w:p>
  </w:footnote>
  <w:footnote w:id="94">
    <w:p w14:paraId="6239D25F" w14:textId="1F0ECA4B"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Thompson, ‘Cleopatra VII</w:t>
      </w:r>
      <w:r>
        <w:rPr>
          <w:sz w:val="20"/>
          <w:szCs w:val="20"/>
        </w:rPr>
        <w:t>’, 33</w:t>
      </w:r>
      <w:r w:rsidRPr="00C475B8">
        <w:rPr>
          <w:sz w:val="20"/>
          <w:szCs w:val="20"/>
        </w:rPr>
        <w:t>.</w:t>
      </w:r>
    </w:p>
  </w:footnote>
  <w:footnote w:id="95">
    <w:p w14:paraId="2341516A" w14:textId="1435AEB7" w:rsidR="00EA696C" w:rsidRPr="00C475B8" w:rsidRDefault="00EA696C">
      <w:pPr>
        <w:pStyle w:val="FootnoteText"/>
        <w:rPr>
          <w:b/>
          <w:sz w:val="20"/>
          <w:szCs w:val="20"/>
        </w:rPr>
      </w:pPr>
      <w:r w:rsidRPr="00C475B8">
        <w:rPr>
          <w:rStyle w:val="FootnoteReference"/>
          <w:sz w:val="20"/>
          <w:szCs w:val="20"/>
        </w:rPr>
        <w:footnoteRef/>
      </w:r>
      <w:r w:rsidRPr="00C475B8">
        <w:rPr>
          <w:sz w:val="20"/>
          <w:szCs w:val="20"/>
        </w:rPr>
        <w:t xml:space="preserve"> </w:t>
      </w:r>
      <w:r w:rsidRPr="00C475B8">
        <w:rPr>
          <w:sz w:val="20"/>
          <w:szCs w:val="20"/>
          <w:lang w:val="el-GR"/>
        </w:rPr>
        <w:t xml:space="preserve">Βασιλίσσης καὶ βασιλέως προσταξάντων ἀντὶ τῆς προανακειμένης περὶ τῆς ἀναθέσεως τῆς προσευχῆς πλακὸς ἡ ὑπογεγραμμένη ἐπιγραφήτω· </w:t>
      </w:r>
      <w:r w:rsidRPr="00C475B8">
        <w:rPr>
          <w:sz w:val="20"/>
          <w:szCs w:val="20"/>
        </w:rPr>
        <w:t>[</w:t>
      </w:r>
      <w:r w:rsidRPr="00C475B8">
        <w:rPr>
          <w:i/>
          <w:sz w:val="20"/>
          <w:szCs w:val="20"/>
        </w:rPr>
        <w:t>vacat</w:t>
      </w:r>
      <w:r w:rsidRPr="00C475B8">
        <w:rPr>
          <w:sz w:val="20"/>
          <w:szCs w:val="20"/>
        </w:rPr>
        <w:t xml:space="preserve">] Βασιλεὺς Πτολεμαῖος Εὐεργέτης τὴν προσευχὴν ἄσυλον. </w:t>
      </w:r>
      <w:r w:rsidRPr="00C475B8">
        <w:rPr>
          <w:i/>
          <w:sz w:val="20"/>
          <w:szCs w:val="20"/>
        </w:rPr>
        <w:t>Regina et rex iusser</w:t>
      </w:r>
      <w:r w:rsidRPr="00C475B8">
        <w:rPr>
          <w:sz w:val="20"/>
          <w:szCs w:val="20"/>
        </w:rPr>
        <w:t>(</w:t>
      </w:r>
      <w:r w:rsidRPr="00C475B8">
        <w:rPr>
          <w:i/>
          <w:sz w:val="20"/>
          <w:szCs w:val="20"/>
        </w:rPr>
        <w:t>un</w:t>
      </w:r>
      <w:r w:rsidRPr="00C475B8">
        <w:rPr>
          <w:sz w:val="20"/>
          <w:szCs w:val="20"/>
        </w:rPr>
        <w:t>)</w:t>
      </w:r>
      <w:r w:rsidRPr="00C475B8">
        <w:rPr>
          <w:i/>
          <w:sz w:val="20"/>
          <w:szCs w:val="20"/>
        </w:rPr>
        <w:t>t</w:t>
      </w:r>
      <w:r w:rsidRPr="00C475B8">
        <w:rPr>
          <w:sz w:val="20"/>
          <w:szCs w:val="20"/>
        </w:rPr>
        <w:t xml:space="preserve"> (text follows </w:t>
      </w:r>
      <w:r w:rsidRPr="00C475B8">
        <w:rPr>
          <w:i/>
          <w:sz w:val="20"/>
          <w:szCs w:val="20"/>
        </w:rPr>
        <w:t>JIGRE</w:t>
      </w:r>
      <w:r w:rsidRPr="00C475B8">
        <w:rPr>
          <w:sz w:val="20"/>
          <w:szCs w:val="20"/>
        </w:rPr>
        <w:t xml:space="preserve"> no. 125, based on </w:t>
      </w:r>
      <w:r w:rsidRPr="00C475B8">
        <w:rPr>
          <w:i/>
          <w:sz w:val="20"/>
          <w:szCs w:val="20"/>
        </w:rPr>
        <w:t>CIJ</w:t>
      </w:r>
      <w:r w:rsidRPr="00C475B8">
        <w:rPr>
          <w:sz w:val="20"/>
          <w:szCs w:val="20"/>
        </w:rPr>
        <w:t xml:space="preserve"> II no. 126). </w:t>
      </w:r>
    </w:p>
  </w:footnote>
  <w:footnote w:id="96">
    <w:p w14:paraId="1C2DA579" w14:textId="2876262B"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On the Jewish significance of </w:t>
      </w:r>
      <w:r w:rsidRPr="00C475B8">
        <w:rPr>
          <w:i/>
          <w:sz w:val="20"/>
          <w:szCs w:val="20"/>
        </w:rPr>
        <w:t>proseuche</w:t>
      </w:r>
      <w:r w:rsidRPr="00C475B8">
        <w:rPr>
          <w:sz w:val="20"/>
          <w:szCs w:val="20"/>
        </w:rPr>
        <w:t xml:space="preserve">: William Horbury and David Noy, </w:t>
      </w:r>
      <w:r w:rsidRPr="00C475B8">
        <w:rPr>
          <w:i/>
          <w:sz w:val="20"/>
          <w:szCs w:val="20"/>
        </w:rPr>
        <w:t xml:space="preserve">Jewish Inscriptions of Graeco-Roman Egypt: With an Index of the Jewish Inscriptions of Egypt and Cyrenaica </w:t>
      </w:r>
      <w:r w:rsidRPr="00C475B8">
        <w:rPr>
          <w:sz w:val="20"/>
          <w:szCs w:val="20"/>
        </w:rPr>
        <w:t xml:space="preserve">(Cambridge, 1992), 14; David Noy, ‘A Jewish Place of Prayer in Roman Egypt’, </w:t>
      </w:r>
      <w:r w:rsidRPr="00C475B8">
        <w:rPr>
          <w:i/>
          <w:sz w:val="20"/>
          <w:szCs w:val="20"/>
        </w:rPr>
        <w:t>Journal of Theological Studies</w:t>
      </w:r>
      <w:r>
        <w:rPr>
          <w:sz w:val="20"/>
          <w:szCs w:val="20"/>
        </w:rPr>
        <w:t xml:space="preserve"> 43 (1992), 118–</w:t>
      </w:r>
      <w:r w:rsidRPr="00C475B8">
        <w:rPr>
          <w:sz w:val="20"/>
          <w:szCs w:val="20"/>
        </w:rPr>
        <w:t xml:space="preserve">22; Irina Levinskaya, </w:t>
      </w:r>
      <w:r w:rsidRPr="00C475B8">
        <w:rPr>
          <w:i/>
          <w:sz w:val="20"/>
          <w:szCs w:val="20"/>
        </w:rPr>
        <w:t>The Book of Acts in its First Century Setting Volume 5, Diaspora Setting</w:t>
      </w:r>
      <w:r w:rsidRPr="00C475B8">
        <w:rPr>
          <w:sz w:val="20"/>
          <w:szCs w:val="20"/>
        </w:rPr>
        <w:t xml:space="preserve"> (Grand Rapid</w:t>
      </w:r>
      <w:r>
        <w:rPr>
          <w:sz w:val="20"/>
          <w:szCs w:val="20"/>
        </w:rPr>
        <w:t>s, MI and Carlisle, 1996), 213–</w:t>
      </w:r>
      <w:r w:rsidRPr="00C475B8">
        <w:rPr>
          <w:sz w:val="20"/>
          <w:szCs w:val="20"/>
        </w:rPr>
        <w:t xml:space="preserve">25, correcting LSJ s.v. προσευχή. </w:t>
      </w:r>
    </w:p>
  </w:footnote>
  <w:footnote w:id="97">
    <w:p w14:paraId="0BE1B2D7" w14:textId="0E0FA6CD"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w:t>
      </w:r>
      <w:r w:rsidRPr="00C475B8">
        <w:rPr>
          <w:i/>
          <w:sz w:val="20"/>
          <w:szCs w:val="20"/>
        </w:rPr>
        <w:t>A Greek-English Lexicon of the New Testament and Other Early Christian Literature</w:t>
      </w:r>
      <w:r w:rsidRPr="00C475B8">
        <w:rPr>
          <w:sz w:val="20"/>
          <w:szCs w:val="20"/>
        </w:rPr>
        <w:t>, revised and edited by Frederick William Danker (3</w:t>
      </w:r>
      <w:r w:rsidRPr="00C475B8">
        <w:rPr>
          <w:sz w:val="20"/>
          <w:szCs w:val="20"/>
          <w:vertAlign w:val="superscript"/>
        </w:rPr>
        <w:t>rd</w:t>
      </w:r>
      <w:r w:rsidRPr="00C475B8">
        <w:rPr>
          <w:sz w:val="20"/>
          <w:szCs w:val="20"/>
        </w:rPr>
        <w:t xml:space="preserve"> edn (BDAG); Chicago and London, 2000), 963 s.v. </w:t>
      </w:r>
      <w:r w:rsidRPr="00C475B8">
        <w:rPr>
          <w:sz w:val="20"/>
          <w:szCs w:val="20"/>
          <w:lang w:val="el-GR"/>
        </w:rPr>
        <w:t>συναγωγή</w:t>
      </w:r>
      <w:r w:rsidRPr="00C475B8">
        <w:rPr>
          <w:sz w:val="20"/>
          <w:szCs w:val="20"/>
        </w:rPr>
        <w:t xml:space="preserve">; cf. Steven Fine, </w:t>
      </w:r>
      <w:r w:rsidRPr="00C475B8">
        <w:rPr>
          <w:i/>
          <w:sz w:val="20"/>
          <w:szCs w:val="20"/>
        </w:rPr>
        <w:t>This Holy Place: On the Sanctity of the Synagogue During the Greco-Roman Period</w:t>
      </w:r>
      <w:r w:rsidRPr="00C475B8">
        <w:rPr>
          <w:sz w:val="20"/>
          <w:szCs w:val="20"/>
        </w:rPr>
        <w:t xml:space="preserve"> (Eugene, Or., 1997), 25–33; Anders Runesson, </w:t>
      </w:r>
      <w:r w:rsidRPr="00C475B8">
        <w:rPr>
          <w:i/>
          <w:sz w:val="20"/>
          <w:szCs w:val="20"/>
        </w:rPr>
        <w:t>The Origins of the Synagogue: A Socio-Historical Study</w:t>
      </w:r>
      <w:r>
        <w:rPr>
          <w:sz w:val="20"/>
          <w:szCs w:val="20"/>
        </w:rPr>
        <w:t xml:space="preserve"> (Stockholm, 2001), 436–</w:t>
      </w:r>
      <w:r w:rsidRPr="00C475B8">
        <w:rPr>
          <w:sz w:val="20"/>
          <w:szCs w:val="20"/>
        </w:rPr>
        <w:t>59.</w:t>
      </w:r>
    </w:p>
  </w:footnote>
  <w:footnote w:id="98">
    <w:p w14:paraId="67FEF2FA" w14:textId="579AAAEA" w:rsidR="00EA696C" w:rsidRPr="00C475B8" w:rsidRDefault="00EA696C">
      <w:pPr>
        <w:pStyle w:val="FootnoteText"/>
        <w:rPr>
          <w:b/>
          <w:sz w:val="20"/>
          <w:szCs w:val="20"/>
        </w:rPr>
      </w:pPr>
      <w:r w:rsidRPr="00C475B8">
        <w:rPr>
          <w:rStyle w:val="FootnoteReference"/>
          <w:sz w:val="20"/>
          <w:szCs w:val="20"/>
        </w:rPr>
        <w:footnoteRef/>
      </w:r>
      <w:r w:rsidRPr="00C475B8">
        <w:rPr>
          <w:sz w:val="20"/>
          <w:szCs w:val="20"/>
        </w:rPr>
        <w:t xml:space="preserve"> See, however, Rigsby’s doubts about the authenticity of the claim that asylum was originally granted to the </w:t>
      </w:r>
      <w:r w:rsidRPr="00C475B8">
        <w:rPr>
          <w:i/>
          <w:sz w:val="20"/>
          <w:szCs w:val="20"/>
        </w:rPr>
        <w:t xml:space="preserve">proseuche </w:t>
      </w:r>
      <w:r w:rsidRPr="00C475B8">
        <w:rPr>
          <w:sz w:val="20"/>
          <w:szCs w:val="20"/>
        </w:rPr>
        <w:t>at the time of its dedication, because (1) this is the only example known from Ptolemaic Egypt in which royal permission is given for the renewal of a grant of asylum (though Rigsby notes the not wholly dissimilar example from Nysa in modern Turkey of the restoration of a temple’s documents to the record office (</w:t>
      </w:r>
      <w:r w:rsidRPr="00C475B8">
        <w:rPr>
          <w:i/>
          <w:sz w:val="20"/>
          <w:szCs w:val="20"/>
        </w:rPr>
        <w:t>Asylia</w:t>
      </w:r>
      <w:r w:rsidRPr="00C475B8">
        <w:rPr>
          <w:sz w:val="20"/>
          <w:szCs w:val="20"/>
        </w:rPr>
        <w:t xml:space="preserve"> no. 186); and (2) based on the fact that a date of 116 BCE or earlier would make this the first known example of an asylum decree in Ptolemaic Egypt (but not necessarily by more than twenty years), with the suggestion that it is unlikely that the first known grant should be for a Jewish institution rather than an Egyptian temple; and (3) on the supposed improbability of a scenario in which any religious institution might be granted asylum from the time of its original dedication: Rigsby: </w:t>
      </w:r>
      <w:r w:rsidRPr="00C475B8">
        <w:rPr>
          <w:i/>
          <w:sz w:val="20"/>
          <w:szCs w:val="20"/>
        </w:rPr>
        <w:t>Asylia</w:t>
      </w:r>
      <w:r w:rsidRPr="00C475B8">
        <w:rPr>
          <w:sz w:val="20"/>
          <w:szCs w:val="20"/>
        </w:rPr>
        <w:t xml:space="preserve">, 572; idem, ‘A Jewish Asylum in Greco-Roman Egypt’, in </w:t>
      </w:r>
      <w:r w:rsidRPr="00C475B8">
        <w:rPr>
          <w:i/>
          <w:sz w:val="20"/>
          <w:szCs w:val="20"/>
        </w:rPr>
        <w:t>Das Antike Asyl: kultische Grundlagen, rechtliche Ausgestaltung und politische Funktion</w:t>
      </w:r>
      <w:r w:rsidRPr="00C475B8">
        <w:rPr>
          <w:sz w:val="20"/>
          <w:szCs w:val="20"/>
        </w:rPr>
        <w:t>, ed. Martin Dreher</w:t>
      </w:r>
      <w:r>
        <w:rPr>
          <w:sz w:val="20"/>
          <w:szCs w:val="20"/>
        </w:rPr>
        <w:t xml:space="preserve"> (</w:t>
      </w:r>
      <w:r w:rsidR="00637BFD">
        <w:rPr>
          <w:sz w:val="20"/>
          <w:szCs w:val="20"/>
        </w:rPr>
        <w:t>Cologne</w:t>
      </w:r>
      <w:r>
        <w:rPr>
          <w:sz w:val="20"/>
          <w:szCs w:val="20"/>
        </w:rPr>
        <w:t>/Weimar/</w:t>
      </w:r>
      <w:r w:rsidR="00637BFD">
        <w:rPr>
          <w:sz w:val="20"/>
          <w:szCs w:val="20"/>
        </w:rPr>
        <w:t>Vienna</w:t>
      </w:r>
      <w:r>
        <w:rPr>
          <w:sz w:val="20"/>
          <w:szCs w:val="20"/>
        </w:rPr>
        <w:t>, 2003), 127–41 (135–</w:t>
      </w:r>
      <w:r w:rsidRPr="00C475B8">
        <w:rPr>
          <w:sz w:val="20"/>
          <w:szCs w:val="20"/>
        </w:rPr>
        <w:t>38). These points do not</w:t>
      </w:r>
      <w:r>
        <w:rPr>
          <w:sz w:val="20"/>
          <w:szCs w:val="20"/>
        </w:rPr>
        <w:t>, in my view,</w:t>
      </w:r>
      <w:r w:rsidRPr="00C475B8">
        <w:rPr>
          <w:sz w:val="20"/>
          <w:szCs w:val="20"/>
        </w:rPr>
        <w:t xml:space="preserve"> prove the inauthenticity of the grant of</w:t>
      </w:r>
      <w:r>
        <w:rPr>
          <w:sz w:val="20"/>
          <w:szCs w:val="20"/>
        </w:rPr>
        <w:t xml:space="preserve"> asylum under Ptolemy Euergetes. On the early date, it is clear from the Amnesty Decree issued by Ptolemy VIII, Cleopatra II and Cleopatra III that certain temples in Egypt already enjoyed the privilege of asylum, which the Decree aims to protect (</w:t>
      </w:r>
      <w:r w:rsidRPr="009F7CC9">
        <w:rPr>
          <w:i/>
          <w:sz w:val="20"/>
          <w:szCs w:val="20"/>
        </w:rPr>
        <w:t>C. Ord. Ptol.</w:t>
      </w:r>
      <w:r>
        <w:rPr>
          <w:sz w:val="20"/>
          <w:szCs w:val="20"/>
        </w:rPr>
        <w:t xml:space="preserve"> 53=</w:t>
      </w:r>
      <w:r w:rsidRPr="00EE6316">
        <w:rPr>
          <w:i/>
          <w:sz w:val="20"/>
          <w:szCs w:val="20"/>
        </w:rPr>
        <w:t>P. Tebt.</w:t>
      </w:r>
      <w:r>
        <w:rPr>
          <w:sz w:val="20"/>
          <w:szCs w:val="20"/>
        </w:rPr>
        <w:t xml:space="preserve"> I 5, ll. 84</w:t>
      </w:r>
      <w:r w:rsidRPr="00C475B8">
        <w:rPr>
          <w:sz w:val="20"/>
          <w:szCs w:val="20"/>
        </w:rPr>
        <w:t>–</w:t>
      </w:r>
      <w:r>
        <w:rPr>
          <w:sz w:val="20"/>
          <w:szCs w:val="20"/>
        </w:rPr>
        <w:t xml:space="preserve">85; 118 BCE). </w:t>
      </w:r>
      <w:r w:rsidRPr="00C475B8">
        <w:rPr>
          <w:sz w:val="20"/>
          <w:szCs w:val="20"/>
        </w:rPr>
        <w:t xml:space="preserve"> </w:t>
      </w:r>
      <w:r>
        <w:rPr>
          <w:sz w:val="20"/>
          <w:szCs w:val="20"/>
        </w:rPr>
        <w:t>The grant of asylum to a new temple is exemplified in the case of</w:t>
      </w:r>
      <w:r w:rsidRPr="00C475B8">
        <w:rPr>
          <w:sz w:val="20"/>
          <w:szCs w:val="20"/>
        </w:rPr>
        <w:t xml:space="preserve"> the temple of Isis near Ptolemais (</w:t>
      </w:r>
      <w:r w:rsidRPr="00C475B8">
        <w:rPr>
          <w:i/>
          <w:sz w:val="20"/>
          <w:szCs w:val="20"/>
        </w:rPr>
        <w:t xml:space="preserve">Asylia </w:t>
      </w:r>
      <w:r w:rsidRPr="00C475B8">
        <w:rPr>
          <w:sz w:val="20"/>
          <w:szCs w:val="20"/>
        </w:rPr>
        <w:t>no. 226, see above)</w:t>
      </w:r>
      <w:r>
        <w:rPr>
          <w:sz w:val="20"/>
          <w:szCs w:val="20"/>
        </w:rPr>
        <w:t>, which</w:t>
      </w:r>
      <w:r w:rsidRPr="00C475B8">
        <w:rPr>
          <w:sz w:val="20"/>
          <w:szCs w:val="20"/>
        </w:rPr>
        <w:t xml:space="preserve"> received from Cleopatra VII the grant of asylum at a time close to its foundation. Rejecting the claim that the </w:t>
      </w:r>
      <w:r w:rsidRPr="00C475B8">
        <w:rPr>
          <w:i/>
          <w:sz w:val="20"/>
          <w:szCs w:val="20"/>
        </w:rPr>
        <w:t xml:space="preserve">proseuche </w:t>
      </w:r>
      <w:r w:rsidRPr="00C475B8">
        <w:rPr>
          <w:sz w:val="20"/>
          <w:szCs w:val="20"/>
        </w:rPr>
        <w:t>received a grant of asylum under Ptolemy VIII, Rigsby argues that ‘the claim of Euergetes’ grant of asylum to the synagogue will be a fabrication of the first century B.C., in imitation of the report about the Temple in 1 Maccabees’ (</w:t>
      </w:r>
      <w:r w:rsidRPr="00C475B8">
        <w:rPr>
          <w:i/>
          <w:sz w:val="20"/>
          <w:szCs w:val="20"/>
        </w:rPr>
        <w:t>Asylia</w:t>
      </w:r>
      <w:r w:rsidRPr="00C475B8">
        <w:rPr>
          <w:sz w:val="20"/>
          <w:szCs w:val="20"/>
        </w:rPr>
        <w:t>, 572</w:t>
      </w:r>
      <w:r w:rsidR="00C67978">
        <w:rPr>
          <w:sz w:val="20"/>
          <w:szCs w:val="20"/>
        </w:rPr>
        <w:t>, referring to 1 Maccabees 10:31</w:t>
      </w:r>
      <w:r w:rsidRPr="00C475B8">
        <w:rPr>
          <w:sz w:val="20"/>
          <w:szCs w:val="20"/>
        </w:rPr>
        <w:t>). This seems an unnecessarily complicated hypothesis.</w:t>
      </w:r>
    </w:p>
  </w:footnote>
  <w:footnote w:id="99">
    <w:p w14:paraId="18F81DE6" w14:textId="15F6EE36"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Gideon Bohak, ‘Ethnic Continuity in the Jewish Diaspora in Antiquity’, in </w:t>
      </w:r>
      <w:r w:rsidRPr="00C475B8">
        <w:rPr>
          <w:i/>
          <w:sz w:val="20"/>
          <w:szCs w:val="20"/>
        </w:rPr>
        <w:t>Jews in the Hellenistic and Roman Cities</w:t>
      </w:r>
      <w:r>
        <w:rPr>
          <w:sz w:val="20"/>
          <w:szCs w:val="20"/>
        </w:rPr>
        <w:t>, ed.</w:t>
      </w:r>
      <w:r w:rsidRPr="00C475B8">
        <w:rPr>
          <w:sz w:val="20"/>
          <w:szCs w:val="20"/>
        </w:rPr>
        <w:t xml:space="preserve"> John R. Bartlett (London and New York, 2002), 175–92 (186).</w:t>
      </w:r>
    </w:p>
  </w:footnote>
  <w:footnote w:id="100">
    <w:p w14:paraId="3F1D4AFD" w14:textId="10E9ECA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Cleopatra III: e.g. </w:t>
      </w:r>
      <w:r w:rsidRPr="00C475B8">
        <w:rPr>
          <w:i/>
          <w:sz w:val="20"/>
          <w:szCs w:val="20"/>
        </w:rPr>
        <w:t xml:space="preserve">I. Alex. Ptol. </w:t>
      </w:r>
      <w:r>
        <w:rPr>
          <w:sz w:val="20"/>
          <w:szCs w:val="20"/>
        </w:rPr>
        <w:t>n</w:t>
      </w:r>
      <w:r w:rsidRPr="00C475B8">
        <w:rPr>
          <w:sz w:val="20"/>
          <w:szCs w:val="20"/>
        </w:rPr>
        <w:t xml:space="preserve">o. 30 (112 BCE). For the brief period of co-rule of Cleopatra II, Cleopatra III and Ptolemy IX, with both queens given precedence in the naming sequence: Hölbl, </w:t>
      </w:r>
      <w:r w:rsidRPr="00C475B8">
        <w:rPr>
          <w:i/>
          <w:sz w:val="20"/>
          <w:szCs w:val="20"/>
        </w:rPr>
        <w:t>History</w:t>
      </w:r>
      <w:r w:rsidRPr="00C475B8">
        <w:rPr>
          <w:sz w:val="20"/>
          <w:szCs w:val="20"/>
        </w:rPr>
        <w:t xml:space="preserve">, 205, with reference to </w:t>
      </w:r>
      <w:r w:rsidRPr="00C475B8">
        <w:rPr>
          <w:i/>
          <w:sz w:val="20"/>
          <w:szCs w:val="20"/>
        </w:rPr>
        <w:t>P. Rylands dem</w:t>
      </w:r>
      <w:r w:rsidRPr="00C475B8">
        <w:rPr>
          <w:sz w:val="20"/>
          <w:szCs w:val="20"/>
        </w:rPr>
        <w:t xml:space="preserve">. </w:t>
      </w:r>
      <w:r>
        <w:rPr>
          <w:sz w:val="20"/>
          <w:szCs w:val="20"/>
        </w:rPr>
        <w:t>III</w:t>
      </w:r>
      <w:r w:rsidRPr="00C475B8">
        <w:rPr>
          <w:sz w:val="20"/>
          <w:szCs w:val="20"/>
        </w:rPr>
        <w:t xml:space="preserve">.20 (116 BCE). Cleopatra I: for evidence of her preeminence, as regent with her son Ptolemy VI, in official documents: John Whitehorne, </w:t>
      </w:r>
      <w:r w:rsidRPr="00C475B8">
        <w:rPr>
          <w:i/>
          <w:sz w:val="20"/>
          <w:szCs w:val="20"/>
        </w:rPr>
        <w:t>Cleopatras</w:t>
      </w:r>
      <w:r w:rsidRPr="00C475B8">
        <w:rPr>
          <w:sz w:val="20"/>
          <w:szCs w:val="20"/>
        </w:rPr>
        <w:t xml:space="preserve"> (London and New York, 1994), 86–87.</w:t>
      </w:r>
    </w:p>
  </w:footnote>
  <w:footnote w:id="101">
    <w:p w14:paraId="3D37F612" w14:textId="71C69E9D"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E.g. </w:t>
      </w:r>
      <w:r w:rsidRPr="002C3FE9">
        <w:rPr>
          <w:i/>
          <w:sz w:val="20"/>
          <w:szCs w:val="20"/>
        </w:rPr>
        <w:t>P. Bon.</w:t>
      </w:r>
      <w:r>
        <w:rPr>
          <w:sz w:val="20"/>
          <w:szCs w:val="20"/>
        </w:rPr>
        <w:t xml:space="preserve"> 10 (46/45 BCE); </w:t>
      </w:r>
      <w:r w:rsidRPr="00441088">
        <w:rPr>
          <w:i/>
          <w:sz w:val="20"/>
          <w:szCs w:val="20"/>
        </w:rPr>
        <w:t>P. Oxy</w:t>
      </w:r>
      <w:r>
        <w:rPr>
          <w:sz w:val="20"/>
          <w:szCs w:val="20"/>
        </w:rPr>
        <w:t xml:space="preserve">. XIV.1629 (45/44 BCE); </w:t>
      </w:r>
      <w:r w:rsidRPr="00D42FB4">
        <w:rPr>
          <w:i/>
          <w:sz w:val="20"/>
          <w:szCs w:val="20"/>
        </w:rPr>
        <w:t>P. Ryl.</w:t>
      </w:r>
      <w:r>
        <w:rPr>
          <w:sz w:val="20"/>
          <w:szCs w:val="20"/>
        </w:rPr>
        <w:t xml:space="preserve"> IV.582 (42 BCE); </w:t>
      </w:r>
      <w:r w:rsidRPr="00AA71F7">
        <w:rPr>
          <w:i/>
          <w:sz w:val="20"/>
          <w:szCs w:val="20"/>
        </w:rPr>
        <w:t xml:space="preserve">C. Ord. Ptol. </w:t>
      </w:r>
      <w:r w:rsidRPr="00AA71F7">
        <w:rPr>
          <w:sz w:val="20"/>
          <w:szCs w:val="20"/>
        </w:rPr>
        <w:t xml:space="preserve">75–76 (41 BCE); </w:t>
      </w:r>
      <w:r w:rsidRPr="00AA71F7">
        <w:rPr>
          <w:i/>
          <w:sz w:val="20"/>
          <w:szCs w:val="20"/>
        </w:rPr>
        <w:t xml:space="preserve">OGIS </w:t>
      </w:r>
      <w:r w:rsidRPr="00AA71F7">
        <w:rPr>
          <w:sz w:val="20"/>
          <w:szCs w:val="20"/>
        </w:rPr>
        <w:t>194 (39 BCE);</w:t>
      </w:r>
      <w:r w:rsidRPr="00C475B8">
        <w:rPr>
          <w:sz w:val="20"/>
          <w:szCs w:val="20"/>
        </w:rPr>
        <w:t xml:space="preserve"> </w:t>
      </w:r>
      <w:r w:rsidRPr="00A02B43">
        <w:rPr>
          <w:i/>
          <w:sz w:val="20"/>
          <w:szCs w:val="20"/>
        </w:rPr>
        <w:t>P. Cair. Dem</w:t>
      </w:r>
      <w:r>
        <w:rPr>
          <w:sz w:val="20"/>
          <w:szCs w:val="20"/>
        </w:rPr>
        <w:t xml:space="preserve">. 31232 (37/36 BCE?); </w:t>
      </w:r>
      <w:r w:rsidRPr="00C475B8">
        <w:rPr>
          <w:i/>
          <w:sz w:val="20"/>
          <w:szCs w:val="20"/>
        </w:rPr>
        <w:t xml:space="preserve">BGU </w:t>
      </w:r>
      <w:r>
        <w:rPr>
          <w:sz w:val="20"/>
          <w:szCs w:val="20"/>
        </w:rPr>
        <w:t>XIV</w:t>
      </w:r>
      <w:r w:rsidRPr="00C475B8">
        <w:rPr>
          <w:sz w:val="20"/>
          <w:szCs w:val="20"/>
        </w:rPr>
        <w:t>.</w:t>
      </w:r>
      <w:r>
        <w:rPr>
          <w:sz w:val="20"/>
          <w:szCs w:val="20"/>
        </w:rPr>
        <w:t xml:space="preserve">2376 (35 BCE). See further </w:t>
      </w:r>
      <w:r w:rsidRPr="00C475B8">
        <w:rPr>
          <w:sz w:val="20"/>
          <w:szCs w:val="20"/>
        </w:rPr>
        <w:t xml:space="preserve">Bingen, </w:t>
      </w:r>
      <w:r w:rsidRPr="00C475B8">
        <w:rPr>
          <w:i/>
          <w:sz w:val="20"/>
          <w:szCs w:val="20"/>
        </w:rPr>
        <w:t>Hellenistic Egypt</w:t>
      </w:r>
      <w:r w:rsidRPr="00C475B8">
        <w:rPr>
          <w:sz w:val="20"/>
          <w:szCs w:val="20"/>
        </w:rPr>
        <w:t xml:space="preserve">, 63–79, esp. 67–71; originally published as ‘La politique dynastique de Cléopâtre VII’, </w:t>
      </w:r>
      <w:r w:rsidRPr="00C475B8">
        <w:rPr>
          <w:i/>
          <w:sz w:val="20"/>
          <w:szCs w:val="20"/>
        </w:rPr>
        <w:t>Comptes Rendus de l’Académie des Inscriptions et Belles-Lettres</w:t>
      </w:r>
      <w:r w:rsidRPr="00C475B8">
        <w:rPr>
          <w:sz w:val="20"/>
          <w:szCs w:val="20"/>
        </w:rPr>
        <w:t xml:space="preserve"> (1999), 49–66; Linda M. Ricketts, ‘A Chronological Problem in the Reign of Cleopatra VII’, </w:t>
      </w:r>
      <w:r w:rsidRPr="00C475B8">
        <w:rPr>
          <w:i/>
          <w:sz w:val="20"/>
          <w:szCs w:val="20"/>
        </w:rPr>
        <w:t>BASP</w:t>
      </w:r>
      <w:r w:rsidRPr="00C475B8">
        <w:rPr>
          <w:sz w:val="20"/>
          <w:szCs w:val="20"/>
        </w:rPr>
        <w:t xml:space="preserve"> 16.3 (1979), 213–17; </w:t>
      </w:r>
      <w:r>
        <w:rPr>
          <w:sz w:val="20"/>
          <w:szCs w:val="20"/>
        </w:rPr>
        <w:t>Linda M. Ricketts</w:t>
      </w:r>
      <w:r w:rsidRPr="00C475B8">
        <w:rPr>
          <w:sz w:val="20"/>
          <w:szCs w:val="20"/>
        </w:rPr>
        <w:t xml:space="preserve">, ‘The Administration of Ptolemaic Egypt under Cleopatra VII’ (PhD Minnesota, 1980), 11–44. </w:t>
      </w:r>
    </w:p>
  </w:footnote>
  <w:footnote w:id="102">
    <w:p w14:paraId="710CD7C1" w14:textId="5926211F"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Identification with Cleopatra VII: Hermann Dessau in </w:t>
      </w:r>
      <w:r w:rsidRPr="00C475B8">
        <w:rPr>
          <w:i/>
          <w:sz w:val="20"/>
          <w:szCs w:val="20"/>
        </w:rPr>
        <w:t xml:space="preserve">Inscriptiones Latinae Selectae </w:t>
      </w:r>
      <w:r w:rsidRPr="00C475B8">
        <w:rPr>
          <w:sz w:val="20"/>
          <w:szCs w:val="20"/>
        </w:rPr>
        <w:t xml:space="preserve">3.2 (1916), clxxi; Jean Bingen, ‘L’asylie pour une synagogue CIL III </w:t>
      </w:r>
      <w:r w:rsidRPr="00C475B8">
        <w:rPr>
          <w:i/>
          <w:sz w:val="20"/>
          <w:szCs w:val="20"/>
        </w:rPr>
        <w:t>Suppl</w:t>
      </w:r>
      <w:r w:rsidRPr="00C475B8">
        <w:rPr>
          <w:sz w:val="20"/>
          <w:szCs w:val="20"/>
        </w:rPr>
        <w:t xml:space="preserve">. 6583-CIJ 1449’, in </w:t>
      </w:r>
      <w:r w:rsidRPr="00C475B8">
        <w:rPr>
          <w:i/>
          <w:sz w:val="20"/>
          <w:szCs w:val="20"/>
        </w:rPr>
        <w:t>Studio Paulo Naster Oblata II: Orientalia Antiqua</w:t>
      </w:r>
      <w:r w:rsidRPr="00C475B8">
        <w:rPr>
          <w:sz w:val="20"/>
          <w:szCs w:val="20"/>
        </w:rPr>
        <w:t xml:space="preserve">, ed. Jan Quaegebeur (Louvain, 1982), 11–16 (with a decisive refutation of Mommsen’s influential argument (1881), predating the publication of most of the relevant documentary evidence for Ptolemaic Egypt, in which he identified the Queen and King with Zenobia and Vallabath of Palmyra during their brief period of control in Egypt (270–272 CE)); Laura Boffo, </w:t>
      </w:r>
      <w:r w:rsidRPr="00C475B8">
        <w:rPr>
          <w:i/>
          <w:sz w:val="20"/>
          <w:szCs w:val="20"/>
        </w:rPr>
        <w:t>Iscrizione Greche e Latine per lo Studio della Bibbia</w:t>
      </w:r>
      <w:r>
        <w:rPr>
          <w:sz w:val="20"/>
          <w:szCs w:val="20"/>
        </w:rPr>
        <w:t xml:space="preserve"> (Brescia, 1994), 113–</w:t>
      </w:r>
      <w:r w:rsidRPr="00C475B8">
        <w:rPr>
          <w:sz w:val="20"/>
          <w:szCs w:val="20"/>
        </w:rPr>
        <w:t xml:space="preserve">20; </w:t>
      </w:r>
      <w:r>
        <w:rPr>
          <w:sz w:val="20"/>
          <w:szCs w:val="20"/>
        </w:rPr>
        <w:t>Rigsby, ‘A Jewish Asylum’, 131-</w:t>
      </w:r>
      <w:r w:rsidRPr="00C475B8">
        <w:rPr>
          <w:sz w:val="20"/>
          <w:szCs w:val="20"/>
        </w:rPr>
        <w:t xml:space="preserve">33. Cf. the attempted revival of Mommsen’s theory by Glen Bowersock (‘The Miracle of Memnon’, </w:t>
      </w:r>
      <w:r w:rsidRPr="00C475B8">
        <w:rPr>
          <w:i/>
          <w:sz w:val="20"/>
          <w:szCs w:val="20"/>
        </w:rPr>
        <w:t xml:space="preserve">Bulletin of the American Society of Papyrologists </w:t>
      </w:r>
      <w:r w:rsidRPr="00C475B8">
        <w:rPr>
          <w:sz w:val="20"/>
          <w:szCs w:val="20"/>
        </w:rPr>
        <w:t xml:space="preserve">21 (1984), 21–32), dismissed in Bingen, </w:t>
      </w:r>
      <w:r w:rsidRPr="00C475B8">
        <w:rPr>
          <w:i/>
          <w:sz w:val="20"/>
          <w:szCs w:val="20"/>
        </w:rPr>
        <w:t>Hellenistic Egypt</w:t>
      </w:r>
      <w:r w:rsidRPr="00C475B8">
        <w:rPr>
          <w:sz w:val="20"/>
          <w:szCs w:val="20"/>
        </w:rPr>
        <w:t xml:space="preserve">, 71 (originally published as ‘Cléopâtre VII Philopatris’, </w:t>
      </w:r>
      <w:r w:rsidRPr="00C475B8">
        <w:rPr>
          <w:i/>
          <w:sz w:val="20"/>
          <w:szCs w:val="20"/>
        </w:rPr>
        <w:t>Chronique d’Égypte</w:t>
      </w:r>
      <w:r w:rsidRPr="00C475B8">
        <w:rPr>
          <w:sz w:val="20"/>
          <w:szCs w:val="20"/>
        </w:rPr>
        <w:t xml:space="preserve"> 74 (</w:t>
      </w:r>
      <w:r>
        <w:rPr>
          <w:sz w:val="20"/>
          <w:szCs w:val="20"/>
        </w:rPr>
        <w:t>1999), 118–</w:t>
      </w:r>
      <w:r w:rsidRPr="00C475B8">
        <w:rPr>
          <w:sz w:val="20"/>
          <w:szCs w:val="20"/>
        </w:rPr>
        <w:t>23).</w:t>
      </w:r>
    </w:p>
  </w:footnote>
  <w:footnote w:id="103">
    <w:p w14:paraId="047D8052" w14:textId="435D5439"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The documentary evidence is listed in Zsuzsanna Szántó, ‘The Jews of Ptolemaic Egypt in the Light of the Papyri’ (PhD, Eötvös Loránd University, Budapest, 2016), 180, which adds </w:t>
      </w:r>
      <w:r w:rsidRPr="00C475B8">
        <w:rPr>
          <w:i/>
          <w:sz w:val="20"/>
          <w:szCs w:val="20"/>
        </w:rPr>
        <w:t>PSI Congr</w:t>
      </w:r>
      <w:r w:rsidRPr="00C475B8">
        <w:rPr>
          <w:sz w:val="20"/>
          <w:szCs w:val="20"/>
        </w:rPr>
        <w:t xml:space="preserve">. XVII 22 (Fayum, 114 or 78 BCE) to Tcherikover’s earlier summary of the documentary evidence for Egyptian </w:t>
      </w:r>
      <w:r w:rsidRPr="00C475B8">
        <w:rPr>
          <w:i/>
          <w:sz w:val="20"/>
          <w:szCs w:val="20"/>
        </w:rPr>
        <w:t xml:space="preserve">proseuchai </w:t>
      </w:r>
      <w:r w:rsidRPr="00C475B8">
        <w:rPr>
          <w:sz w:val="20"/>
          <w:szCs w:val="20"/>
        </w:rPr>
        <w:t xml:space="preserve">(‘Prolegomena’, </w:t>
      </w:r>
      <w:r w:rsidRPr="00C475B8">
        <w:rPr>
          <w:i/>
          <w:sz w:val="20"/>
          <w:szCs w:val="20"/>
        </w:rPr>
        <w:t>Corpus Papyrorum Judaicarum</w:t>
      </w:r>
      <w:r w:rsidRPr="00C475B8">
        <w:rPr>
          <w:sz w:val="20"/>
          <w:szCs w:val="20"/>
        </w:rPr>
        <w:t xml:space="preserve">, 8). </w:t>
      </w:r>
      <w:r w:rsidRPr="00C475B8">
        <w:rPr>
          <w:i/>
          <w:sz w:val="20"/>
          <w:szCs w:val="20"/>
        </w:rPr>
        <w:t>CPJ</w:t>
      </w:r>
      <w:r w:rsidRPr="00C475B8">
        <w:rPr>
          <w:sz w:val="20"/>
          <w:szCs w:val="20"/>
        </w:rPr>
        <w:t xml:space="preserve"> no. 138, a fragmentary papyrus record of unknown provenance, deals with a resolution agreed at ‘a meeting in the </w:t>
      </w:r>
      <w:r w:rsidRPr="00C475B8">
        <w:rPr>
          <w:i/>
          <w:sz w:val="20"/>
          <w:szCs w:val="20"/>
        </w:rPr>
        <w:t>proseuche</w:t>
      </w:r>
      <w:r w:rsidRPr="00C475B8">
        <w:rPr>
          <w:sz w:val="20"/>
          <w:szCs w:val="20"/>
        </w:rPr>
        <w:t xml:space="preserve"> (συναγωγῆς ἐν τῆι προσευχῆι)’, dated on palaeographical grounds to the reign of Cleopatra VII (cf. Noy, ‘A Jewish Place’, 119, n. 9). On the literary evidence, including rabbinic literature: Levine, </w:t>
      </w:r>
      <w:r w:rsidRPr="00C475B8">
        <w:rPr>
          <w:i/>
          <w:sz w:val="20"/>
          <w:szCs w:val="20"/>
        </w:rPr>
        <w:t>The Ancient Synagogue</w:t>
      </w:r>
      <w:r w:rsidRPr="00C475B8">
        <w:rPr>
          <w:sz w:val="20"/>
          <w:szCs w:val="20"/>
        </w:rPr>
        <w:t>, 82–96.</w:t>
      </w:r>
      <w:r w:rsidRPr="00C475B8">
        <w:rPr>
          <w:sz w:val="20"/>
          <w:szCs w:val="20"/>
        </w:rPr>
        <w:tab/>
      </w:r>
    </w:p>
  </w:footnote>
  <w:footnote w:id="104">
    <w:p w14:paraId="78D9ACA8" w14:textId="0FF1031B"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Rigsby, </w:t>
      </w:r>
      <w:r w:rsidRPr="00C475B8">
        <w:rPr>
          <w:i/>
          <w:sz w:val="20"/>
          <w:szCs w:val="20"/>
        </w:rPr>
        <w:t>Asylia</w:t>
      </w:r>
      <w:r w:rsidRPr="00C475B8">
        <w:rPr>
          <w:sz w:val="20"/>
          <w:szCs w:val="20"/>
        </w:rPr>
        <w:t>, 572.</w:t>
      </w:r>
    </w:p>
  </w:footnote>
  <w:footnote w:id="105">
    <w:p w14:paraId="017639D4" w14:textId="639BB802"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Philo, </w:t>
      </w:r>
      <w:r w:rsidR="00D57781">
        <w:rPr>
          <w:i/>
          <w:sz w:val="20"/>
          <w:szCs w:val="20"/>
        </w:rPr>
        <w:t>Embassy to Gaius</w:t>
      </w:r>
      <w:r w:rsidR="00D57781" w:rsidRPr="00C475B8">
        <w:rPr>
          <w:i/>
          <w:sz w:val="20"/>
          <w:szCs w:val="20"/>
        </w:rPr>
        <w:t xml:space="preserve"> </w:t>
      </w:r>
      <w:r>
        <w:rPr>
          <w:sz w:val="20"/>
          <w:szCs w:val="20"/>
        </w:rPr>
        <w:t>134–</w:t>
      </w:r>
      <w:r w:rsidRPr="00C475B8">
        <w:rPr>
          <w:sz w:val="20"/>
          <w:szCs w:val="20"/>
        </w:rPr>
        <w:t xml:space="preserve">35, on the violations perpetrated by Alexandrian enemies of the Jews within the ‘largest and most distinguished (ἐν τῇ μεγίστῃ καὶ περισημοτάτῃ)’ of the Alexandrian prayer-houses (38 CE); on the colossal size of the ‘great synagogue’ of Alexandria, cf. the later rabbinic traditions recorded in </w:t>
      </w:r>
      <w:r w:rsidRPr="00C475B8">
        <w:rPr>
          <w:i/>
          <w:sz w:val="20"/>
          <w:szCs w:val="20"/>
        </w:rPr>
        <w:t>t. Sukkah</w:t>
      </w:r>
      <w:r w:rsidRPr="00C475B8">
        <w:rPr>
          <w:sz w:val="20"/>
          <w:szCs w:val="20"/>
        </w:rPr>
        <w:t xml:space="preserve"> 4.6; </w:t>
      </w:r>
      <w:r w:rsidRPr="00C475B8">
        <w:rPr>
          <w:i/>
          <w:sz w:val="20"/>
          <w:szCs w:val="20"/>
        </w:rPr>
        <w:t>y. Sukkah</w:t>
      </w:r>
      <w:r w:rsidRPr="00C475B8">
        <w:rPr>
          <w:sz w:val="20"/>
          <w:szCs w:val="20"/>
        </w:rPr>
        <w:t xml:space="preserve"> 5,1, 55a–b; </w:t>
      </w:r>
      <w:r w:rsidRPr="00C475B8">
        <w:rPr>
          <w:i/>
          <w:sz w:val="20"/>
          <w:szCs w:val="20"/>
        </w:rPr>
        <w:t xml:space="preserve">b. Sukkah </w:t>
      </w:r>
      <w:r w:rsidRPr="00C475B8">
        <w:rPr>
          <w:sz w:val="20"/>
          <w:szCs w:val="20"/>
        </w:rPr>
        <w:t>51b.</w:t>
      </w:r>
    </w:p>
  </w:footnote>
  <w:footnote w:id="106">
    <w:p w14:paraId="19D1A6DA" w14:textId="6DA1188C"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On the discovery of the inscription: Rigsby, ‘A Jewish Asylum’, 126.</w:t>
      </w:r>
    </w:p>
  </w:footnote>
  <w:footnote w:id="107">
    <w:p w14:paraId="636A749F" w14:textId="6F8BC0CA"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Rigsby, </w:t>
      </w:r>
      <w:r w:rsidRPr="00C475B8">
        <w:rPr>
          <w:i/>
          <w:sz w:val="20"/>
          <w:szCs w:val="20"/>
        </w:rPr>
        <w:t>Aylia</w:t>
      </w:r>
      <w:r w:rsidRPr="00C475B8">
        <w:rPr>
          <w:sz w:val="20"/>
          <w:szCs w:val="20"/>
        </w:rPr>
        <w:t>, 571–73; idem, ‘A Jewish Asylum’.</w:t>
      </w:r>
    </w:p>
  </w:footnote>
  <w:footnote w:id="108">
    <w:p w14:paraId="2600F9DE" w14:textId="301B8DD2" w:rsidR="00EA696C" w:rsidRPr="00C475B8" w:rsidRDefault="00EA696C" w:rsidP="00FC3BAF">
      <w:pPr>
        <w:pStyle w:val="FootnoteText"/>
        <w:rPr>
          <w:sz w:val="20"/>
          <w:szCs w:val="20"/>
        </w:rPr>
      </w:pPr>
      <w:r w:rsidRPr="00C475B8">
        <w:rPr>
          <w:rStyle w:val="FootnoteReference"/>
          <w:sz w:val="20"/>
          <w:szCs w:val="20"/>
        </w:rPr>
        <w:footnoteRef/>
      </w:r>
      <w:r w:rsidRPr="00C475B8">
        <w:rPr>
          <w:sz w:val="20"/>
          <w:szCs w:val="20"/>
        </w:rPr>
        <w:t xml:space="preserve"> Josephus gives conflicting accounts of the appearance of the temple: (1) as modelled on the Jerusalem temple (</w:t>
      </w:r>
      <w:r w:rsidRPr="00C475B8">
        <w:rPr>
          <w:i/>
          <w:sz w:val="20"/>
          <w:szCs w:val="20"/>
        </w:rPr>
        <w:t>War</w:t>
      </w:r>
      <w:r>
        <w:rPr>
          <w:sz w:val="20"/>
          <w:szCs w:val="20"/>
        </w:rPr>
        <w:t xml:space="preserve"> 1.33; 7.428, 431–</w:t>
      </w:r>
      <w:r w:rsidRPr="00C475B8">
        <w:rPr>
          <w:sz w:val="20"/>
          <w:szCs w:val="20"/>
        </w:rPr>
        <w:t xml:space="preserve">32 (intended as a rival to the Jerusalem temple); </w:t>
      </w:r>
      <w:r w:rsidRPr="00C475B8">
        <w:rPr>
          <w:i/>
          <w:sz w:val="20"/>
          <w:szCs w:val="20"/>
        </w:rPr>
        <w:t>Ant</w:t>
      </w:r>
      <w:r w:rsidRPr="00C475B8">
        <w:rPr>
          <w:sz w:val="20"/>
          <w:szCs w:val="20"/>
        </w:rPr>
        <w:t>. 12.388; 13.63, 67 (‘smaller and poorer’ than the Jerusalem temple); 20.236); (2) as ‘not like that in Jerusalem’ (</w:t>
      </w:r>
      <w:r w:rsidRPr="00C475B8">
        <w:rPr>
          <w:i/>
          <w:sz w:val="20"/>
          <w:szCs w:val="20"/>
        </w:rPr>
        <w:t xml:space="preserve">War </w:t>
      </w:r>
      <w:r w:rsidRPr="00C475B8">
        <w:rPr>
          <w:sz w:val="20"/>
          <w:szCs w:val="20"/>
        </w:rPr>
        <w:t>7.427). Other signs of the magnitude of the temple include reference to its similarity to a tower built of massive stones, sixty cubits high (</w:t>
      </w:r>
      <w:r w:rsidRPr="00C475B8">
        <w:rPr>
          <w:i/>
          <w:sz w:val="20"/>
          <w:szCs w:val="20"/>
        </w:rPr>
        <w:t>War</w:t>
      </w:r>
      <w:r w:rsidRPr="00C475B8">
        <w:rPr>
          <w:sz w:val="20"/>
          <w:szCs w:val="20"/>
        </w:rPr>
        <w:t xml:space="preserve"> 7.428); its extensive lands, donated by Ptolemy VI and Cleopatra II (</w:t>
      </w:r>
      <w:r w:rsidRPr="00C475B8">
        <w:rPr>
          <w:i/>
          <w:sz w:val="20"/>
          <w:szCs w:val="20"/>
        </w:rPr>
        <w:t>War</w:t>
      </w:r>
      <w:r w:rsidRPr="00C475B8">
        <w:rPr>
          <w:sz w:val="20"/>
          <w:szCs w:val="20"/>
        </w:rPr>
        <w:t xml:space="preserve"> 7.430); the foundation of a fortress or small town (πολίχνη) associated with the temple (</w:t>
      </w:r>
      <w:r w:rsidRPr="00C475B8">
        <w:rPr>
          <w:i/>
          <w:sz w:val="20"/>
          <w:szCs w:val="20"/>
        </w:rPr>
        <w:t xml:space="preserve">War </w:t>
      </w:r>
      <w:r w:rsidRPr="00C475B8">
        <w:rPr>
          <w:sz w:val="20"/>
          <w:szCs w:val="20"/>
        </w:rPr>
        <w:t xml:space="preserve">1.33). Josephus varies the terminology for the temple, using, apparently without significant distinction in meaning: (1) ναός (e.g. </w:t>
      </w:r>
      <w:r w:rsidRPr="00C475B8">
        <w:rPr>
          <w:i/>
          <w:sz w:val="20"/>
          <w:szCs w:val="20"/>
        </w:rPr>
        <w:t xml:space="preserve">War </w:t>
      </w:r>
      <w:r w:rsidRPr="00C475B8">
        <w:rPr>
          <w:sz w:val="20"/>
          <w:szCs w:val="20"/>
        </w:rPr>
        <w:t xml:space="preserve">7.427; </w:t>
      </w:r>
      <w:r w:rsidRPr="00C475B8">
        <w:rPr>
          <w:i/>
          <w:sz w:val="20"/>
          <w:szCs w:val="20"/>
        </w:rPr>
        <w:t>Ant</w:t>
      </w:r>
      <w:r w:rsidRPr="00C475B8">
        <w:rPr>
          <w:sz w:val="20"/>
          <w:szCs w:val="20"/>
        </w:rPr>
        <w:t xml:space="preserve">. 13.63; 20.236); (2) </w:t>
      </w:r>
      <w:r w:rsidRPr="00C475B8">
        <w:rPr>
          <w:sz w:val="20"/>
          <w:szCs w:val="20"/>
          <w:lang w:val="el-GR"/>
        </w:rPr>
        <w:t xml:space="preserve">ἱερόν, ‘holy place’ (e.g. </w:t>
      </w:r>
      <w:r w:rsidRPr="00C475B8">
        <w:rPr>
          <w:i/>
          <w:sz w:val="20"/>
          <w:szCs w:val="20"/>
          <w:lang w:val="el-GR"/>
        </w:rPr>
        <w:t>War</w:t>
      </w:r>
      <w:r w:rsidRPr="00C475B8">
        <w:rPr>
          <w:sz w:val="20"/>
          <w:szCs w:val="20"/>
          <w:lang w:val="el-GR"/>
        </w:rPr>
        <w:t xml:space="preserve"> 7.431; </w:t>
      </w:r>
      <w:r w:rsidRPr="00C475B8">
        <w:rPr>
          <w:i/>
          <w:sz w:val="20"/>
          <w:szCs w:val="20"/>
          <w:lang w:val="el-GR"/>
        </w:rPr>
        <w:t>Ant.</w:t>
      </w:r>
      <w:r w:rsidRPr="00C475B8">
        <w:rPr>
          <w:sz w:val="20"/>
          <w:szCs w:val="20"/>
          <w:lang w:val="el-GR"/>
        </w:rPr>
        <w:t xml:space="preserve"> 12.388; 13.70</w:t>
      </w:r>
      <w:r w:rsidRPr="00C475B8">
        <w:rPr>
          <w:sz w:val="20"/>
          <w:szCs w:val="20"/>
        </w:rPr>
        <w:t>–</w:t>
      </w:r>
      <w:r w:rsidRPr="00C475B8">
        <w:rPr>
          <w:sz w:val="20"/>
          <w:szCs w:val="20"/>
          <w:lang w:val="el-GR"/>
        </w:rPr>
        <w:t>73)</w:t>
      </w:r>
      <w:r w:rsidRPr="00C475B8">
        <w:rPr>
          <w:sz w:val="20"/>
          <w:szCs w:val="20"/>
        </w:rPr>
        <w:t>. Josephus locates the temple at Leontopolis in the nome of Heliopolis, c. 20 miles from Memphis (</w:t>
      </w:r>
      <w:r w:rsidRPr="00C475B8">
        <w:rPr>
          <w:i/>
          <w:sz w:val="20"/>
          <w:szCs w:val="20"/>
        </w:rPr>
        <w:t>War</w:t>
      </w:r>
      <w:r w:rsidRPr="00C475B8">
        <w:rPr>
          <w:sz w:val="20"/>
          <w:szCs w:val="20"/>
        </w:rPr>
        <w:t xml:space="preserve"> 7.426; </w:t>
      </w:r>
      <w:r w:rsidRPr="00C475B8">
        <w:rPr>
          <w:i/>
          <w:sz w:val="20"/>
          <w:szCs w:val="20"/>
        </w:rPr>
        <w:t>Ant</w:t>
      </w:r>
      <w:r w:rsidRPr="00C475B8">
        <w:rPr>
          <w:sz w:val="20"/>
          <w:szCs w:val="20"/>
        </w:rPr>
        <w:t>. 13.65, 70), known as ‘the temple (νεώς) of the Jews in the so-called district of Onias’ (</w:t>
      </w:r>
      <w:r w:rsidRPr="00C475B8">
        <w:rPr>
          <w:i/>
          <w:sz w:val="20"/>
          <w:szCs w:val="20"/>
        </w:rPr>
        <w:t>War</w:t>
      </w:r>
      <w:r w:rsidRPr="00C475B8">
        <w:rPr>
          <w:sz w:val="20"/>
          <w:szCs w:val="20"/>
        </w:rPr>
        <w:t xml:space="preserve"> 7.421); but the exact site of the temple, following its destruction by Roman forces in the aftermath of the Jewish Revolt (</w:t>
      </w:r>
      <w:r w:rsidRPr="00C475B8">
        <w:rPr>
          <w:i/>
          <w:sz w:val="20"/>
          <w:szCs w:val="20"/>
        </w:rPr>
        <w:t xml:space="preserve">War </w:t>
      </w:r>
      <w:r>
        <w:rPr>
          <w:sz w:val="20"/>
          <w:szCs w:val="20"/>
        </w:rPr>
        <w:t>7.420–421, 433–</w:t>
      </w:r>
      <w:r w:rsidRPr="00C475B8">
        <w:rPr>
          <w:sz w:val="20"/>
          <w:szCs w:val="20"/>
        </w:rPr>
        <w:t>36; 73/74 CE), has not been found. That territory within the Heliopolite nome was identified as ‘the land of Onias’ is known not only from Josephus’ sources, including Strabo (</w:t>
      </w:r>
      <w:r w:rsidRPr="00C475B8">
        <w:rPr>
          <w:i/>
          <w:sz w:val="20"/>
          <w:szCs w:val="20"/>
        </w:rPr>
        <w:t xml:space="preserve">War </w:t>
      </w:r>
      <w:r w:rsidRPr="00C475B8">
        <w:rPr>
          <w:sz w:val="20"/>
          <w:szCs w:val="20"/>
        </w:rPr>
        <w:t xml:space="preserve">1.190; </w:t>
      </w:r>
      <w:r w:rsidRPr="00C475B8">
        <w:rPr>
          <w:i/>
          <w:sz w:val="20"/>
          <w:szCs w:val="20"/>
        </w:rPr>
        <w:t>Ant</w:t>
      </w:r>
      <w:r w:rsidRPr="00C475B8">
        <w:rPr>
          <w:sz w:val="20"/>
          <w:szCs w:val="20"/>
        </w:rPr>
        <w:t>. 13.287, citing Strabo), but also from the epitaph of Arsinoe, associated with the cemeteries at Tell el-Yehoudieh (c. 20 miles north east of Cairo), who names ‘the land of Onias’ as her birth-place (</w:t>
      </w:r>
      <w:r w:rsidRPr="00C475B8">
        <w:rPr>
          <w:i/>
          <w:sz w:val="20"/>
          <w:szCs w:val="20"/>
        </w:rPr>
        <w:t>JIGRE</w:t>
      </w:r>
      <w:r w:rsidRPr="00C475B8">
        <w:rPr>
          <w:sz w:val="20"/>
          <w:szCs w:val="20"/>
        </w:rPr>
        <w:t xml:space="preserve"> 38). The archaeological site of Tell el-Yehoudieh has yielded a large corpus of Greek epitaphs, of which more than 50</w:t>
      </w:r>
      <w:r w:rsidR="00637BFD">
        <w:rPr>
          <w:sz w:val="20"/>
          <w:szCs w:val="20"/>
        </w:rPr>
        <w:t xml:space="preserve"> per cent</w:t>
      </w:r>
      <w:r w:rsidR="00637BFD" w:rsidRPr="00C475B8">
        <w:rPr>
          <w:sz w:val="20"/>
          <w:szCs w:val="20"/>
        </w:rPr>
        <w:t xml:space="preserve"> </w:t>
      </w:r>
      <w:r w:rsidRPr="00C475B8">
        <w:rPr>
          <w:sz w:val="20"/>
          <w:szCs w:val="20"/>
        </w:rPr>
        <w:t xml:space="preserve">may be judged to include distinctively Jewish names; this site of Jewish settlement corresponds to at least part of Onias’ foundation; cf. Horbury and Noy, </w:t>
      </w:r>
      <w:r w:rsidRPr="00C475B8">
        <w:rPr>
          <w:i/>
          <w:sz w:val="20"/>
          <w:szCs w:val="20"/>
        </w:rPr>
        <w:t>Jewish Inscriptions</w:t>
      </w:r>
      <w:r w:rsidRPr="00C475B8">
        <w:rPr>
          <w:sz w:val="20"/>
          <w:szCs w:val="20"/>
        </w:rPr>
        <w:t>, xvi</w:t>
      </w:r>
      <w:r>
        <w:rPr>
          <w:sz w:val="20"/>
          <w:szCs w:val="20"/>
        </w:rPr>
        <w:t>–</w:t>
      </w:r>
      <w:r w:rsidRPr="00C475B8">
        <w:rPr>
          <w:sz w:val="20"/>
          <w:szCs w:val="20"/>
        </w:rPr>
        <w:t xml:space="preserve">xix; Livia Capponi, </w:t>
      </w:r>
      <w:r w:rsidRPr="00C475B8">
        <w:rPr>
          <w:i/>
          <w:sz w:val="20"/>
          <w:szCs w:val="20"/>
        </w:rPr>
        <w:t>Il Tempio di</w:t>
      </w:r>
      <w:r w:rsidRPr="00D67FD7">
        <w:rPr>
          <w:i/>
          <w:sz w:val="20"/>
          <w:szCs w:val="20"/>
        </w:rPr>
        <w:t xml:space="preserve"> Leontopoli</w:t>
      </w:r>
      <w:r>
        <w:rPr>
          <w:sz w:val="20"/>
          <w:szCs w:val="20"/>
        </w:rPr>
        <w:t xml:space="preserve">, </w:t>
      </w:r>
      <w:r w:rsidRPr="00D67FD7">
        <w:rPr>
          <w:sz w:val="20"/>
          <w:szCs w:val="20"/>
        </w:rPr>
        <w:t>207</w:t>
      </w:r>
      <w:r>
        <w:rPr>
          <w:sz w:val="20"/>
          <w:szCs w:val="20"/>
        </w:rPr>
        <w:t>–</w:t>
      </w:r>
      <w:r w:rsidRPr="00C475B8">
        <w:rPr>
          <w:sz w:val="20"/>
          <w:szCs w:val="20"/>
        </w:rPr>
        <w:t>11.</w:t>
      </w:r>
    </w:p>
  </w:footnote>
  <w:footnote w:id="109">
    <w:p w14:paraId="57357880" w14:textId="7586D20C"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On Onias IV as founder of the temple of Leontopolis under Ptolemy VI and Cleopatra II: Josephus, </w:t>
      </w:r>
      <w:r w:rsidRPr="00C475B8">
        <w:rPr>
          <w:i/>
          <w:sz w:val="20"/>
          <w:szCs w:val="20"/>
        </w:rPr>
        <w:t>Ant</w:t>
      </w:r>
      <w:r w:rsidRPr="00C475B8">
        <w:rPr>
          <w:sz w:val="20"/>
          <w:szCs w:val="20"/>
        </w:rPr>
        <w:t xml:space="preserve">. 12.387; 13.62–73 (contra Josephus, </w:t>
      </w:r>
      <w:r w:rsidRPr="00C475B8">
        <w:rPr>
          <w:i/>
          <w:sz w:val="20"/>
          <w:szCs w:val="20"/>
        </w:rPr>
        <w:t xml:space="preserve">War </w:t>
      </w:r>
      <w:r w:rsidRPr="00C475B8">
        <w:rPr>
          <w:sz w:val="20"/>
          <w:szCs w:val="20"/>
        </w:rPr>
        <w:t xml:space="preserve">7.423 which attributes the foundation to Onias III, father of Onias IV); cf. Gideon Bohak, </w:t>
      </w:r>
      <w:r w:rsidRPr="00C475B8">
        <w:rPr>
          <w:i/>
          <w:sz w:val="20"/>
          <w:szCs w:val="20"/>
        </w:rPr>
        <w:t>Joseph and Aseneth and the Jewish Temple in Heliopolis</w:t>
      </w:r>
      <w:r w:rsidRPr="00C475B8">
        <w:rPr>
          <w:sz w:val="20"/>
          <w:szCs w:val="20"/>
        </w:rPr>
        <w:t xml:space="preserve"> (Atlanta, GA, 1996), 19–27; Erich S. Gruen, ‘The Origins and Objectives of Onias’ Temple’, </w:t>
      </w:r>
      <w:r w:rsidRPr="00C475B8">
        <w:rPr>
          <w:i/>
          <w:sz w:val="20"/>
          <w:szCs w:val="20"/>
        </w:rPr>
        <w:t>SCI</w:t>
      </w:r>
      <w:r w:rsidRPr="00C475B8">
        <w:rPr>
          <w:sz w:val="20"/>
          <w:szCs w:val="20"/>
        </w:rPr>
        <w:t xml:space="preserve"> XVI (1997), 47–70 (55); Capponi, </w:t>
      </w:r>
      <w:r w:rsidRPr="00C475B8">
        <w:rPr>
          <w:i/>
          <w:sz w:val="20"/>
          <w:szCs w:val="20"/>
        </w:rPr>
        <w:t>Il Tempio di Leontopoli</w:t>
      </w:r>
      <w:r w:rsidRPr="00C475B8">
        <w:rPr>
          <w:sz w:val="20"/>
          <w:szCs w:val="20"/>
        </w:rPr>
        <w:t>, 39–59. Against the current majority view, Meron M. Piotrkowski argues for Onias III as the founder of Leontopolis, against the background of political crisis in Jud</w:t>
      </w:r>
      <w:r w:rsidR="0019325D">
        <w:rPr>
          <w:sz w:val="20"/>
          <w:szCs w:val="20"/>
        </w:rPr>
        <w:t>a</w:t>
      </w:r>
      <w:r w:rsidRPr="00C475B8">
        <w:rPr>
          <w:sz w:val="20"/>
          <w:szCs w:val="20"/>
        </w:rPr>
        <w:t>ea and the Maccabean Revolt against the Seleucid Antiochus IV, who had deposed Onias III as Jerusalem High Priest (175 BCE; cf. Jos</w:t>
      </w:r>
      <w:r w:rsidR="004A0E3F">
        <w:rPr>
          <w:sz w:val="20"/>
          <w:szCs w:val="20"/>
        </w:rPr>
        <w:t>ephus</w:t>
      </w:r>
      <w:r w:rsidRPr="00C475B8">
        <w:rPr>
          <w:sz w:val="20"/>
          <w:szCs w:val="20"/>
        </w:rPr>
        <w:t xml:space="preserve">, </w:t>
      </w:r>
      <w:r w:rsidRPr="00C475B8">
        <w:rPr>
          <w:i/>
          <w:sz w:val="20"/>
          <w:szCs w:val="20"/>
        </w:rPr>
        <w:t xml:space="preserve">War </w:t>
      </w:r>
      <w:r w:rsidRPr="00C475B8">
        <w:rPr>
          <w:sz w:val="20"/>
          <w:szCs w:val="20"/>
        </w:rPr>
        <w:t>1.33; 7.423): ‘Priests in Exile: The History of the Temple of Onias and Its Community in the Hellenistic Period’ (PhD, Hebrew University, Jerusalem, 2014).</w:t>
      </w:r>
    </w:p>
  </w:footnote>
  <w:footnote w:id="110">
    <w:p w14:paraId="7DCE6C9C" w14:textId="1F6D46F6"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See Whitehorne, </w:t>
      </w:r>
      <w:r w:rsidRPr="00C475B8">
        <w:rPr>
          <w:i/>
          <w:sz w:val="20"/>
          <w:szCs w:val="20"/>
        </w:rPr>
        <w:t>Cleopatras</w:t>
      </w:r>
      <w:r>
        <w:rPr>
          <w:sz w:val="20"/>
          <w:szCs w:val="20"/>
        </w:rPr>
        <w:t>, 101–03 (Onias IV), 106–</w:t>
      </w:r>
      <w:r w:rsidRPr="00C475B8">
        <w:rPr>
          <w:sz w:val="20"/>
          <w:szCs w:val="20"/>
        </w:rPr>
        <w:t>07 (on Jos</w:t>
      </w:r>
      <w:r w:rsidR="00F43437">
        <w:rPr>
          <w:sz w:val="20"/>
          <w:szCs w:val="20"/>
        </w:rPr>
        <w:t>ephus</w:t>
      </w:r>
      <w:r w:rsidRPr="00C475B8">
        <w:rPr>
          <w:sz w:val="20"/>
          <w:szCs w:val="20"/>
        </w:rPr>
        <w:t xml:space="preserve">, </w:t>
      </w:r>
      <w:r w:rsidRPr="00C475B8">
        <w:rPr>
          <w:i/>
          <w:sz w:val="20"/>
          <w:szCs w:val="20"/>
        </w:rPr>
        <w:t>Ap</w:t>
      </w:r>
      <w:r w:rsidR="00F43437">
        <w:rPr>
          <w:i/>
          <w:sz w:val="20"/>
          <w:szCs w:val="20"/>
        </w:rPr>
        <w:t>ion</w:t>
      </w:r>
      <w:r w:rsidRPr="00C475B8">
        <w:rPr>
          <w:sz w:val="20"/>
          <w:szCs w:val="20"/>
        </w:rPr>
        <w:t xml:space="preserve"> 2.53–56); 139–146 (Chelkias and Ananias).</w:t>
      </w:r>
    </w:p>
  </w:footnote>
  <w:footnote w:id="111">
    <w:p w14:paraId="02523FCE" w14:textId="6DABF7BF" w:rsidR="00EA696C" w:rsidRPr="00C475B8" w:rsidRDefault="00EA696C">
      <w:pPr>
        <w:pStyle w:val="FootnoteText"/>
        <w:rPr>
          <w:sz w:val="20"/>
          <w:szCs w:val="20"/>
        </w:rPr>
      </w:pPr>
      <w:r w:rsidRPr="00C475B8">
        <w:rPr>
          <w:rStyle w:val="FootnoteReference"/>
          <w:sz w:val="20"/>
          <w:szCs w:val="20"/>
        </w:rPr>
        <w:footnoteRef/>
      </w:r>
      <w:r>
        <w:rPr>
          <w:sz w:val="20"/>
          <w:szCs w:val="20"/>
        </w:rPr>
        <w:t xml:space="preserve"> Josephus</w:t>
      </w:r>
      <w:r w:rsidRPr="00C475B8">
        <w:rPr>
          <w:sz w:val="20"/>
          <w:szCs w:val="20"/>
        </w:rPr>
        <w:t xml:space="preserve">, </w:t>
      </w:r>
      <w:r w:rsidR="001D3DF5">
        <w:rPr>
          <w:i/>
          <w:sz w:val="20"/>
          <w:szCs w:val="20"/>
        </w:rPr>
        <w:t>Apion</w:t>
      </w:r>
      <w:r w:rsidRPr="00C475B8">
        <w:rPr>
          <w:sz w:val="20"/>
          <w:szCs w:val="20"/>
        </w:rPr>
        <w:t xml:space="preserve"> 2.49. </w:t>
      </w:r>
    </w:p>
  </w:footnote>
  <w:footnote w:id="112">
    <w:p w14:paraId="08B76770" w14:textId="7FC39577" w:rsidR="00EA696C" w:rsidRPr="00C475B8" w:rsidRDefault="00EA696C">
      <w:pPr>
        <w:pStyle w:val="FootnoteText"/>
        <w:rPr>
          <w:sz w:val="20"/>
          <w:szCs w:val="20"/>
        </w:rPr>
      </w:pPr>
      <w:r w:rsidRPr="00C475B8">
        <w:rPr>
          <w:rStyle w:val="FootnoteReference"/>
          <w:sz w:val="20"/>
          <w:szCs w:val="20"/>
        </w:rPr>
        <w:footnoteRef/>
      </w:r>
      <w:r>
        <w:rPr>
          <w:sz w:val="20"/>
          <w:szCs w:val="20"/>
        </w:rPr>
        <w:t xml:space="preserve"> Josephus</w:t>
      </w:r>
      <w:r w:rsidRPr="00C475B8">
        <w:rPr>
          <w:sz w:val="20"/>
          <w:szCs w:val="20"/>
        </w:rPr>
        <w:t xml:space="preserve">, </w:t>
      </w:r>
      <w:r w:rsidR="001D3DF5">
        <w:rPr>
          <w:i/>
          <w:sz w:val="20"/>
          <w:szCs w:val="20"/>
        </w:rPr>
        <w:t>Apion</w:t>
      </w:r>
      <w:r w:rsidRPr="00C475B8">
        <w:rPr>
          <w:sz w:val="20"/>
          <w:szCs w:val="20"/>
        </w:rPr>
        <w:t xml:space="preserve"> 2.50–52.</w:t>
      </w:r>
    </w:p>
  </w:footnote>
  <w:footnote w:id="113">
    <w:p w14:paraId="34921E83" w14:textId="00A46455" w:rsidR="00EA696C" w:rsidRPr="00C475B8" w:rsidRDefault="00EA696C">
      <w:pPr>
        <w:pStyle w:val="FootnoteText"/>
        <w:rPr>
          <w:sz w:val="20"/>
          <w:szCs w:val="20"/>
        </w:rPr>
      </w:pPr>
      <w:r w:rsidRPr="00C475B8">
        <w:rPr>
          <w:rStyle w:val="FootnoteReference"/>
          <w:sz w:val="20"/>
          <w:szCs w:val="20"/>
        </w:rPr>
        <w:footnoteRef/>
      </w:r>
      <w:r>
        <w:rPr>
          <w:sz w:val="20"/>
          <w:szCs w:val="20"/>
        </w:rPr>
        <w:t xml:space="preserve"> Josephus</w:t>
      </w:r>
      <w:r w:rsidRPr="00C475B8">
        <w:rPr>
          <w:sz w:val="20"/>
          <w:szCs w:val="20"/>
        </w:rPr>
        <w:t xml:space="preserve">, </w:t>
      </w:r>
      <w:r w:rsidRPr="00C475B8">
        <w:rPr>
          <w:i/>
          <w:sz w:val="20"/>
          <w:szCs w:val="20"/>
        </w:rPr>
        <w:t>Ant</w:t>
      </w:r>
      <w:r>
        <w:rPr>
          <w:sz w:val="20"/>
          <w:szCs w:val="20"/>
        </w:rPr>
        <w:t>. 13.285–87; cf. 13.351–55</w:t>
      </w:r>
      <w:r w:rsidRPr="00C475B8">
        <w:rPr>
          <w:sz w:val="20"/>
          <w:szCs w:val="20"/>
        </w:rPr>
        <w:t>; E</w:t>
      </w:r>
      <w:r>
        <w:rPr>
          <w:sz w:val="20"/>
          <w:szCs w:val="20"/>
        </w:rPr>
        <w:t>dmond</w:t>
      </w:r>
      <w:r w:rsidRPr="00C475B8">
        <w:rPr>
          <w:sz w:val="20"/>
          <w:szCs w:val="20"/>
        </w:rPr>
        <w:t xml:space="preserve"> Van’t Dack, ‘Les armées en cause’, in </w:t>
      </w:r>
      <w:r w:rsidRPr="00C475B8">
        <w:rPr>
          <w:i/>
          <w:sz w:val="20"/>
          <w:szCs w:val="20"/>
        </w:rPr>
        <w:t>The Judean-Syrian-Egyptian Conflict of 103-101 B.C. A Multilingual Dossier Concerning a “War of Sceptres”</w:t>
      </w:r>
      <w:r w:rsidRPr="00C475B8">
        <w:rPr>
          <w:sz w:val="20"/>
          <w:szCs w:val="20"/>
        </w:rPr>
        <w:t>, ed. E</w:t>
      </w:r>
      <w:r>
        <w:rPr>
          <w:sz w:val="20"/>
          <w:szCs w:val="20"/>
        </w:rPr>
        <w:t>dmond</w:t>
      </w:r>
      <w:r w:rsidRPr="00C475B8">
        <w:rPr>
          <w:sz w:val="20"/>
          <w:szCs w:val="20"/>
        </w:rPr>
        <w:t xml:space="preserve"> Van’t Dack, Willy Clary</w:t>
      </w:r>
      <w:r>
        <w:rPr>
          <w:sz w:val="20"/>
          <w:szCs w:val="20"/>
        </w:rPr>
        <w:t>sse et al (Brussel</w:t>
      </w:r>
      <w:r w:rsidR="005B4160">
        <w:rPr>
          <w:sz w:val="20"/>
          <w:szCs w:val="20"/>
        </w:rPr>
        <w:t>s</w:t>
      </w:r>
      <w:r>
        <w:rPr>
          <w:sz w:val="20"/>
          <w:szCs w:val="20"/>
        </w:rPr>
        <w:t>, 1989), 127–36 (129–</w:t>
      </w:r>
      <w:r w:rsidRPr="00C475B8">
        <w:rPr>
          <w:sz w:val="20"/>
          <w:szCs w:val="20"/>
        </w:rPr>
        <w:t>31).</w:t>
      </w:r>
    </w:p>
  </w:footnote>
  <w:footnote w:id="114">
    <w:p w14:paraId="76950CE1" w14:textId="251A7F21" w:rsidR="00EA696C" w:rsidRPr="00C475B8" w:rsidRDefault="00EA696C">
      <w:pPr>
        <w:pStyle w:val="FootnoteText"/>
        <w:rPr>
          <w:sz w:val="20"/>
          <w:szCs w:val="20"/>
        </w:rPr>
      </w:pPr>
      <w:r w:rsidRPr="00C475B8">
        <w:rPr>
          <w:rStyle w:val="FootnoteReference"/>
          <w:sz w:val="20"/>
          <w:szCs w:val="20"/>
        </w:rPr>
        <w:footnoteRef/>
      </w:r>
      <w:r>
        <w:rPr>
          <w:sz w:val="20"/>
          <w:szCs w:val="20"/>
        </w:rPr>
        <w:t xml:space="preserve"> Josephus</w:t>
      </w:r>
      <w:r w:rsidRPr="00C475B8">
        <w:rPr>
          <w:sz w:val="20"/>
          <w:szCs w:val="20"/>
        </w:rPr>
        <w:t xml:space="preserve">, </w:t>
      </w:r>
      <w:r w:rsidRPr="00C475B8">
        <w:rPr>
          <w:i/>
          <w:sz w:val="20"/>
          <w:szCs w:val="20"/>
        </w:rPr>
        <w:t>Ant</w:t>
      </w:r>
      <w:r>
        <w:rPr>
          <w:sz w:val="20"/>
          <w:szCs w:val="20"/>
        </w:rPr>
        <w:t>. 14.127–</w:t>
      </w:r>
      <w:r w:rsidRPr="00C475B8">
        <w:rPr>
          <w:sz w:val="20"/>
          <w:szCs w:val="20"/>
        </w:rPr>
        <w:t>39</w:t>
      </w:r>
      <w:r>
        <w:rPr>
          <w:sz w:val="20"/>
          <w:szCs w:val="20"/>
        </w:rPr>
        <w:t xml:space="preserve">. According to </w:t>
      </w:r>
      <w:r w:rsidRPr="00566472">
        <w:rPr>
          <w:i/>
          <w:sz w:val="20"/>
          <w:szCs w:val="20"/>
        </w:rPr>
        <w:t>Ant</w:t>
      </w:r>
      <w:r>
        <w:rPr>
          <w:sz w:val="20"/>
          <w:szCs w:val="20"/>
        </w:rPr>
        <w:t xml:space="preserve">. 14.127, </w:t>
      </w:r>
      <w:r w:rsidRPr="00C475B8">
        <w:rPr>
          <w:sz w:val="20"/>
          <w:szCs w:val="20"/>
        </w:rPr>
        <w:t>Antipater act</w:t>
      </w:r>
      <w:r>
        <w:rPr>
          <w:sz w:val="20"/>
          <w:szCs w:val="20"/>
        </w:rPr>
        <w:t>ed</w:t>
      </w:r>
      <w:r w:rsidRPr="00C475B8">
        <w:rPr>
          <w:sz w:val="20"/>
          <w:szCs w:val="20"/>
        </w:rPr>
        <w:t xml:space="preserve"> under orders from the Jerusalem high priest Hyrcanus</w:t>
      </w:r>
      <w:r>
        <w:rPr>
          <w:sz w:val="20"/>
          <w:szCs w:val="20"/>
        </w:rPr>
        <w:t>.</w:t>
      </w:r>
      <w:r w:rsidRPr="00C475B8">
        <w:rPr>
          <w:sz w:val="20"/>
          <w:szCs w:val="20"/>
        </w:rPr>
        <w:t xml:space="preserve"> </w:t>
      </w:r>
      <w:r>
        <w:rPr>
          <w:sz w:val="20"/>
          <w:szCs w:val="20"/>
        </w:rPr>
        <w:t>S</w:t>
      </w:r>
      <w:r w:rsidRPr="00C475B8">
        <w:rPr>
          <w:sz w:val="20"/>
          <w:szCs w:val="20"/>
        </w:rPr>
        <w:t>omewhat different</w:t>
      </w:r>
      <w:r>
        <w:rPr>
          <w:sz w:val="20"/>
          <w:szCs w:val="20"/>
        </w:rPr>
        <w:t xml:space="preserve"> is the account in Josephus’</w:t>
      </w:r>
      <w:r w:rsidRPr="00C475B8">
        <w:rPr>
          <w:i/>
          <w:sz w:val="20"/>
          <w:szCs w:val="20"/>
        </w:rPr>
        <w:t>War</w:t>
      </w:r>
      <w:r w:rsidRPr="00C475B8">
        <w:rPr>
          <w:sz w:val="20"/>
          <w:szCs w:val="20"/>
        </w:rPr>
        <w:t xml:space="preserve"> </w:t>
      </w:r>
      <w:r>
        <w:rPr>
          <w:sz w:val="20"/>
          <w:szCs w:val="20"/>
        </w:rPr>
        <w:t>(</w:t>
      </w:r>
      <w:r w:rsidRPr="00C475B8">
        <w:rPr>
          <w:sz w:val="20"/>
          <w:szCs w:val="20"/>
        </w:rPr>
        <w:t>1.187–194</w:t>
      </w:r>
      <w:r>
        <w:rPr>
          <w:sz w:val="20"/>
          <w:szCs w:val="20"/>
        </w:rPr>
        <w:t>)</w:t>
      </w:r>
      <w:r w:rsidRPr="00C475B8">
        <w:rPr>
          <w:sz w:val="20"/>
          <w:szCs w:val="20"/>
        </w:rPr>
        <w:t xml:space="preserve">, in which Antipater receives the credit for persuading the Egyptian Jews to cooperate in assisting Julius Caesar and his allies. Neither Jewish leader is mentioned in the Caesarian account of the Alexandrian War, though reference is made there to the post-victory rewards made by Caesar to his allies; cf. </w:t>
      </w:r>
      <w:r w:rsidR="00566472">
        <w:rPr>
          <w:i/>
          <w:sz w:val="20"/>
          <w:szCs w:val="20"/>
        </w:rPr>
        <w:t>Alexandrian War</w:t>
      </w:r>
      <w:r w:rsidRPr="00C475B8">
        <w:rPr>
          <w:i/>
          <w:sz w:val="20"/>
          <w:szCs w:val="20"/>
        </w:rPr>
        <w:t xml:space="preserve"> </w:t>
      </w:r>
      <w:r w:rsidRPr="00C475B8">
        <w:rPr>
          <w:sz w:val="20"/>
          <w:szCs w:val="20"/>
        </w:rPr>
        <w:t xml:space="preserve">26–28, 65, 78; Schürer, </w:t>
      </w:r>
      <w:r w:rsidRPr="001337AA">
        <w:rPr>
          <w:i/>
          <w:sz w:val="20"/>
          <w:szCs w:val="20"/>
        </w:rPr>
        <w:t>History</w:t>
      </w:r>
      <w:r>
        <w:rPr>
          <w:sz w:val="20"/>
          <w:szCs w:val="20"/>
        </w:rPr>
        <w:t xml:space="preserve">, </w:t>
      </w:r>
      <w:r w:rsidRPr="00EA377E">
        <w:rPr>
          <w:sz w:val="20"/>
          <w:szCs w:val="20"/>
        </w:rPr>
        <w:t>270</w:t>
      </w:r>
      <w:r>
        <w:rPr>
          <w:sz w:val="20"/>
          <w:szCs w:val="20"/>
        </w:rPr>
        <w:t>–</w:t>
      </w:r>
      <w:r w:rsidRPr="00C475B8">
        <w:rPr>
          <w:sz w:val="20"/>
          <w:szCs w:val="20"/>
        </w:rPr>
        <w:t>71.</w:t>
      </w:r>
    </w:p>
  </w:footnote>
  <w:footnote w:id="115">
    <w:p w14:paraId="39591B50" w14:textId="048BD6C7"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Caesar’s restoration of Cleopatra with her second brother, Ptolemy XIV, in Alexandria: </w:t>
      </w:r>
      <w:r w:rsidR="00361F05">
        <w:rPr>
          <w:i/>
          <w:sz w:val="20"/>
          <w:szCs w:val="20"/>
        </w:rPr>
        <w:t>Alexandrian War</w:t>
      </w:r>
      <w:r w:rsidR="00566472">
        <w:rPr>
          <w:sz w:val="20"/>
          <w:szCs w:val="20"/>
        </w:rPr>
        <w:t>,</w:t>
      </w:r>
      <w:r w:rsidRPr="00C475B8">
        <w:rPr>
          <w:sz w:val="20"/>
          <w:szCs w:val="20"/>
        </w:rPr>
        <w:t xml:space="preserve"> 33.</w:t>
      </w:r>
    </w:p>
  </w:footnote>
  <w:footnote w:id="116">
    <w:p w14:paraId="47B0616A" w14:textId="150C1168" w:rsidR="00EA696C" w:rsidRPr="00C475B8" w:rsidRDefault="00EA696C">
      <w:pPr>
        <w:pStyle w:val="FootnoteText"/>
        <w:rPr>
          <w:sz w:val="20"/>
          <w:szCs w:val="20"/>
        </w:rPr>
      </w:pPr>
      <w:r w:rsidRPr="00C475B8">
        <w:rPr>
          <w:rStyle w:val="FootnoteReference"/>
          <w:sz w:val="20"/>
          <w:szCs w:val="20"/>
        </w:rPr>
        <w:footnoteRef/>
      </w:r>
      <w:r w:rsidRPr="00C475B8">
        <w:rPr>
          <w:sz w:val="20"/>
          <w:szCs w:val="20"/>
        </w:rPr>
        <w:t xml:space="preserve"> Thompson, ‘Cleopatra VII’, 33.</w:t>
      </w:r>
    </w:p>
  </w:footnote>
  <w:footnote w:id="117">
    <w:p w14:paraId="456BE64F" w14:textId="13FB9478" w:rsidR="00EA696C" w:rsidRPr="00C475B8" w:rsidRDefault="00EA696C">
      <w:pPr>
        <w:pStyle w:val="FootnoteText"/>
        <w:rPr>
          <w:sz w:val="20"/>
          <w:szCs w:val="20"/>
          <w:lang w:val="en-GB"/>
        </w:rPr>
      </w:pPr>
      <w:r w:rsidRPr="00C475B8">
        <w:rPr>
          <w:rStyle w:val="FootnoteReference"/>
          <w:sz w:val="20"/>
          <w:szCs w:val="20"/>
        </w:rPr>
        <w:footnoteRef/>
      </w:r>
      <w:r w:rsidRPr="00C475B8">
        <w:rPr>
          <w:sz w:val="20"/>
          <w:szCs w:val="20"/>
        </w:rPr>
        <w:t xml:space="preserve"> The earliest dated examples are from the reign of Ptolemy III Euergetes (r. 246–221 BCE) and his wife Berenike II: e.g. ‘On behalf of king Ptolemy, son of Ptolemy, and queen Berenice his wife and sister and their children, the Jews in Crocodilopolis (dedicated) the proseuche…’ (</w:t>
      </w:r>
      <w:r w:rsidRPr="00C475B8">
        <w:rPr>
          <w:i/>
          <w:sz w:val="20"/>
          <w:szCs w:val="20"/>
        </w:rPr>
        <w:t xml:space="preserve">JIGRE </w:t>
      </w:r>
      <w:r w:rsidRPr="00C475B8">
        <w:rPr>
          <w:sz w:val="20"/>
          <w:szCs w:val="20"/>
        </w:rPr>
        <w:t>no.</w:t>
      </w:r>
      <w:r w:rsidRPr="00C475B8">
        <w:rPr>
          <w:i/>
          <w:sz w:val="20"/>
          <w:szCs w:val="20"/>
        </w:rPr>
        <w:t xml:space="preserve"> </w:t>
      </w:r>
      <w:r w:rsidRPr="00C475B8">
        <w:rPr>
          <w:sz w:val="20"/>
          <w:szCs w:val="20"/>
        </w:rPr>
        <w:t>117; cf. no. 22). A century later, the same formula is used in dedications made ‘on behalf of’ Ptolemy VIII Euergetes II and his co-rulers, Cleopatra II (‘the sister’) and Cleopatra III (‘the wife’) (co-rule, 140–116 BCE) (</w:t>
      </w:r>
      <w:r w:rsidRPr="00C475B8">
        <w:rPr>
          <w:i/>
          <w:sz w:val="20"/>
          <w:szCs w:val="20"/>
        </w:rPr>
        <w:t>JIGRE</w:t>
      </w:r>
      <w:r w:rsidRPr="00C475B8">
        <w:rPr>
          <w:sz w:val="20"/>
          <w:szCs w:val="20"/>
        </w:rPr>
        <w:t xml:space="preserve"> nos 24, 25). In other cases, dedications made ‘on behalf of king Ptolemy and queen Cleopatra’ leave unclear the exact identification of the rulers (</w:t>
      </w:r>
      <w:r w:rsidRPr="00C475B8">
        <w:rPr>
          <w:i/>
          <w:sz w:val="20"/>
          <w:szCs w:val="20"/>
        </w:rPr>
        <w:t>JIGRE</w:t>
      </w:r>
      <w:r w:rsidRPr="00C475B8">
        <w:rPr>
          <w:sz w:val="20"/>
          <w:szCs w:val="20"/>
        </w:rPr>
        <w:t xml:space="preserve"> nos 27, 28; and cf. the fragmentary remains of </w:t>
      </w:r>
      <w:r w:rsidRPr="00C475B8">
        <w:rPr>
          <w:i/>
          <w:sz w:val="20"/>
          <w:szCs w:val="20"/>
        </w:rPr>
        <w:t>JIGRE</w:t>
      </w:r>
      <w:r w:rsidRPr="00C475B8">
        <w:rPr>
          <w:sz w:val="20"/>
          <w:szCs w:val="20"/>
        </w:rPr>
        <w:t xml:space="preserve"> nos 9, 14). </w:t>
      </w:r>
      <w:r w:rsidRPr="00C475B8">
        <w:rPr>
          <w:sz w:val="20"/>
          <w:szCs w:val="20"/>
          <w:lang w:val="en-GB"/>
        </w:rPr>
        <w:t xml:space="preserve">The honorific dedication is a distinctive phenomenon of Egyptian Jewry under Ptolemaic rule, reflected, for example, in the petition presented to Ptolemy VI and Cleopatra II for the building of a Jewish temple at Leontopolis (Josephus, </w:t>
      </w:r>
      <w:r w:rsidRPr="00C475B8">
        <w:rPr>
          <w:i/>
          <w:sz w:val="20"/>
          <w:szCs w:val="20"/>
          <w:lang w:val="en-GB"/>
        </w:rPr>
        <w:t>Ant</w:t>
      </w:r>
      <w:r w:rsidRPr="00C475B8">
        <w:rPr>
          <w:sz w:val="20"/>
          <w:szCs w:val="20"/>
          <w:lang w:val="en-GB"/>
        </w:rPr>
        <w:t xml:space="preserve">. 13.67). On the unusual character, in the context of the practice of the Jews of antiquity, of making dedications on behalf of the ruler: Levine, </w:t>
      </w:r>
      <w:r w:rsidRPr="00C475B8">
        <w:rPr>
          <w:i/>
          <w:sz w:val="20"/>
          <w:szCs w:val="20"/>
          <w:lang w:val="en-GB"/>
        </w:rPr>
        <w:t>The Ancient Synagogue</w:t>
      </w:r>
      <w:r w:rsidRPr="00C475B8">
        <w:rPr>
          <w:sz w:val="20"/>
          <w:szCs w:val="20"/>
          <w:lang w:val="en-GB"/>
        </w:rPr>
        <w:t>, 84.</w:t>
      </w:r>
    </w:p>
  </w:footnote>
  <w:footnote w:id="118">
    <w:p w14:paraId="4795D4F4" w14:textId="7E6AEFB7" w:rsidR="00EA696C" w:rsidRPr="00C475B8" w:rsidRDefault="00EA696C">
      <w:pPr>
        <w:pStyle w:val="FootnoteText"/>
        <w:rPr>
          <w:sz w:val="20"/>
          <w:szCs w:val="20"/>
          <w:lang w:val="en-GB"/>
        </w:rPr>
      </w:pPr>
      <w:r w:rsidRPr="00C475B8">
        <w:rPr>
          <w:rStyle w:val="FootnoteReference"/>
          <w:sz w:val="20"/>
          <w:szCs w:val="20"/>
        </w:rPr>
        <w:footnoteRef/>
      </w:r>
      <w:r w:rsidRPr="00C475B8">
        <w:rPr>
          <w:sz w:val="20"/>
          <w:szCs w:val="20"/>
        </w:rPr>
        <w:t xml:space="preserve"> On the use of the dedicatory formula in dedications to Greek and Egyptian deities: </w:t>
      </w:r>
      <w:r w:rsidRPr="00C475B8">
        <w:rPr>
          <w:sz w:val="20"/>
          <w:szCs w:val="20"/>
          <w:lang w:val="en-GB"/>
        </w:rPr>
        <w:t xml:space="preserve">Peter M. Fraser, </w:t>
      </w:r>
      <w:r w:rsidRPr="00C475B8">
        <w:rPr>
          <w:i/>
          <w:sz w:val="20"/>
          <w:szCs w:val="20"/>
          <w:lang w:val="en-GB"/>
        </w:rPr>
        <w:t>Ptolemaic Alexandria</w:t>
      </w:r>
      <w:r w:rsidRPr="00C475B8">
        <w:rPr>
          <w:sz w:val="20"/>
          <w:szCs w:val="20"/>
          <w:lang w:val="en-GB"/>
        </w:rPr>
        <w:t xml:space="preserve"> Vol. 1 (Oxford, 1972), 226</w:t>
      </w:r>
      <w:r w:rsidRPr="00C475B8">
        <w:rPr>
          <w:sz w:val="20"/>
          <w:szCs w:val="20"/>
        </w:rPr>
        <w:t>–</w:t>
      </w:r>
      <w:r w:rsidRPr="00C475B8">
        <w:rPr>
          <w:sz w:val="20"/>
          <w:szCs w:val="20"/>
          <w:lang w:val="en-GB"/>
        </w:rPr>
        <w:t xml:space="preserve">27. The practice implies recognition that, though the cult of the Ptolemies was introduced under Ptolemy II Philadelphus alongside that of Alexander, the ‘divine’ rulers were not ‘fully gods’: Dorothy J. Thompson, </w:t>
      </w:r>
      <w:r w:rsidRPr="00C475B8">
        <w:rPr>
          <w:i/>
          <w:sz w:val="20"/>
          <w:szCs w:val="20"/>
          <w:lang w:val="en-GB"/>
        </w:rPr>
        <w:t>Memphis under the Ptolemies</w:t>
      </w:r>
      <w:r w:rsidRPr="00C475B8">
        <w:rPr>
          <w:sz w:val="20"/>
          <w:szCs w:val="20"/>
          <w:lang w:val="en-GB"/>
        </w:rPr>
        <w:t xml:space="preserve"> (2</w:t>
      </w:r>
      <w:r w:rsidRPr="00C475B8">
        <w:rPr>
          <w:sz w:val="20"/>
          <w:szCs w:val="20"/>
          <w:vertAlign w:val="superscript"/>
          <w:lang w:val="en-GB"/>
        </w:rPr>
        <w:t>nd</w:t>
      </w:r>
      <w:r w:rsidRPr="00C475B8">
        <w:rPr>
          <w:sz w:val="20"/>
          <w:szCs w:val="20"/>
          <w:lang w:val="en-GB"/>
        </w:rPr>
        <w:t xml:space="preserve"> edn; Princeton and Oxford, 2012), 125</w:t>
      </w:r>
      <w:r w:rsidRPr="00C475B8">
        <w:rPr>
          <w:sz w:val="20"/>
          <w:szCs w:val="20"/>
        </w:rPr>
        <w:t>–</w:t>
      </w:r>
      <w:r w:rsidRPr="00C475B8">
        <w:rPr>
          <w:sz w:val="20"/>
          <w:szCs w:val="20"/>
          <w:lang w:val="en-GB"/>
        </w:rPr>
        <w:t>26..</w:t>
      </w:r>
    </w:p>
  </w:footnote>
  <w:footnote w:id="119">
    <w:p w14:paraId="4355DA35" w14:textId="44E6CE6D" w:rsidR="00EA696C" w:rsidRPr="001223DF" w:rsidRDefault="00EA696C">
      <w:pPr>
        <w:pStyle w:val="FootnoteText"/>
        <w:rPr>
          <w:sz w:val="20"/>
          <w:szCs w:val="20"/>
          <w:lang w:val="el-GR"/>
        </w:rPr>
      </w:pPr>
      <w:r w:rsidRPr="00C475B8">
        <w:rPr>
          <w:rStyle w:val="FootnoteReference"/>
          <w:sz w:val="20"/>
          <w:szCs w:val="20"/>
        </w:rPr>
        <w:footnoteRef/>
      </w:r>
      <w:r w:rsidRPr="00C475B8">
        <w:rPr>
          <w:sz w:val="20"/>
          <w:szCs w:val="20"/>
        </w:rPr>
        <w:t xml:space="preserve"> </w:t>
      </w:r>
      <w:r w:rsidRPr="00C475B8">
        <w:rPr>
          <w:sz w:val="20"/>
          <w:szCs w:val="20"/>
          <w:lang w:val="en-GB"/>
        </w:rPr>
        <w:t xml:space="preserve">Fraser, </w:t>
      </w:r>
      <w:r w:rsidRPr="00C475B8">
        <w:rPr>
          <w:i/>
          <w:sz w:val="20"/>
          <w:szCs w:val="20"/>
          <w:lang w:val="en-GB"/>
        </w:rPr>
        <w:t>Ptolemaic Alexandria</w:t>
      </w:r>
      <w:r w:rsidRPr="00C475B8">
        <w:rPr>
          <w:sz w:val="20"/>
          <w:szCs w:val="20"/>
          <w:lang w:val="en-GB"/>
        </w:rPr>
        <w:t xml:space="preserve">, Vol. 1, 116. In the case of non-Jewish Greek dedications, Fraser notes that the dedicatory formula, known from other Hellenistic kingdoms, was especially prominent in Ptolemaic Egypt, particularly in Alexandria. </w:t>
      </w:r>
      <w:r w:rsidRPr="001223DF">
        <w:rPr>
          <w:sz w:val="20"/>
          <w:szCs w:val="20"/>
          <w:lang w:val="en-GB"/>
        </w:rPr>
        <w:t xml:space="preserve">In the time of Cleopatra, see </w:t>
      </w:r>
      <w:r w:rsidRPr="001223DF">
        <w:rPr>
          <w:i/>
          <w:sz w:val="20"/>
          <w:szCs w:val="20"/>
          <w:lang w:val="en-GB"/>
        </w:rPr>
        <w:t>I. Fay</w:t>
      </w:r>
      <w:r w:rsidRPr="001223DF">
        <w:rPr>
          <w:sz w:val="20"/>
          <w:szCs w:val="20"/>
          <w:lang w:val="en-GB"/>
        </w:rPr>
        <w:t>. 3, 205 = Rowlandson no. 12 (Arsinoite nome, 51 BCE): ‘On behalf of (ὑπέρ) Queen Cleopatra the goddess Philopator, the place of the association of (Isis) Snonaitiake, of whom the president is the chief priest Onnophris. Year 1, Epeiph’</w:t>
      </w:r>
      <w:r>
        <w:rPr>
          <w:sz w:val="20"/>
          <w:szCs w:val="20"/>
          <w:lang w:val="en-GB"/>
        </w:rPr>
        <w:t xml:space="preserve"> (the Greek inscription accompanies traditional, Egyptian religious iconography).</w:t>
      </w:r>
    </w:p>
  </w:footnote>
  <w:footnote w:id="120">
    <w:p w14:paraId="5BCF8F55" w14:textId="5AFE7DFB" w:rsidR="00EA696C" w:rsidRPr="00C475B8" w:rsidRDefault="00EA696C" w:rsidP="00254036">
      <w:pPr>
        <w:pStyle w:val="FootnoteText"/>
        <w:rPr>
          <w:sz w:val="20"/>
          <w:szCs w:val="20"/>
          <w:lang w:val="en-GB"/>
        </w:rPr>
      </w:pPr>
      <w:r w:rsidRPr="00C475B8">
        <w:rPr>
          <w:rStyle w:val="FootnoteReference"/>
          <w:sz w:val="20"/>
          <w:szCs w:val="20"/>
        </w:rPr>
        <w:footnoteRef/>
      </w:r>
      <w:r w:rsidRPr="00C475B8">
        <w:rPr>
          <w:sz w:val="20"/>
          <w:szCs w:val="20"/>
        </w:rPr>
        <w:t xml:space="preserve"> </w:t>
      </w:r>
      <w:r w:rsidRPr="00C475B8">
        <w:rPr>
          <w:sz w:val="20"/>
          <w:szCs w:val="20"/>
          <w:lang w:val="en-GB"/>
        </w:rPr>
        <w:t xml:space="preserve">Fraser, </w:t>
      </w:r>
      <w:r w:rsidRPr="00C475B8">
        <w:rPr>
          <w:i/>
          <w:sz w:val="20"/>
          <w:szCs w:val="20"/>
          <w:lang w:val="en-GB"/>
        </w:rPr>
        <w:t>Ptolemaic Alexandria</w:t>
      </w:r>
      <w:r w:rsidRPr="00C475B8">
        <w:rPr>
          <w:sz w:val="20"/>
          <w:szCs w:val="20"/>
          <w:lang w:val="en-GB"/>
        </w:rPr>
        <w:t xml:space="preserve"> Vol. 1, 282</w:t>
      </w:r>
      <w:r w:rsidRPr="00C475B8">
        <w:rPr>
          <w:sz w:val="20"/>
          <w:szCs w:val="20"/>
        </w:rPr>
        <w:t>–</w:t>
      </w:r>
      <w:r w:rsidRPr="00C475B8">
        <w:rPr>
          <w:sz w:val="20"/>
          <w:szCs w:val="20"/>
          <w:lang w:val="en-GB"/>
        </w:rPr>
        <w:t>83.</w:t>
      </w:r>
    </w:p>
  </w:footnote>
  <w:footnote w:id="121">
    <w:p w14:paraId="053745B8" w14:textId="0C21915A" w:rsidR="00EA696C" w:rsidRPr="00C475B8" w:rsidRDefault="00EA696C">
      <w:pPr>
        <w:pStyle w:val="FootnoteText"/>
        <w:rPr>
          <w:sz w:val="20"/>
          <w:szCs w:val="20"/>
          <w:lang w:val="en-GB"/>
        </w:rPr>
      </w:pPr>
      <w:r w:rsidRPr="00C475B8">
        <w:rPr>
          <w:rStyle w:val="FootnoteReference"/>
          <w:sz w:val="20"/>
          <w:szCs w:val="20"/>
        </w:rPr>
        <w:footnoteRef/>
      </w:r>
      <w:r w:rsidRPr="00C475B8">
        <w:rPr>
          <w:sz w:val="20"/>
          <w:szCs w:val="20"/>
        </w:rPr>
        <w:t xml:space="preserve"> </w:t>
      </w:r>
      <w:r w:rsidRPr="00C475B8">
        <w:rPr>
          <w:sz w:val="20"/>
          <w:szCs w:val="20"/>
          <w:lang w:val="en-GB"/>
        </w:rPr>
        <w:t xml:space="preserve">The absence of a dedication to the Ptolemaic ruler is seen (among other data) as confirming a Roman date for the dedication by Papous of a </w:t>
      </w:r>
      <w:r w:rsidRPr="00C475B8">
        <w:rPr>
          <w:i/>
          <w:sz w:val="20"/>
          <w:szCs w:val="20"/>
          <w:lang w:val="en-GB"/>
        </w:rPr>
        <w:t>proseuche</w:t>
      </w:r>
      <w:r w:rsidRPr="00C475B8">
        <w:rPr>
          <w:sz w:val="20"/>
          <w:szCs w:val="20"/>
          <w:lang w:val="en-GB"/>
        </w:rPr>
        <w:t xml:space="preserve"> ‘on behalf of (ὑπέρ) himself and his wife and children’ (</w:t>
      </w:r>
      <w:r w:rsidRPr="00C475B8">
        <w:rPr>
          <w:i/>
          <w:sz w:val="20"/>
          <w:szCs w:val="20"/>
          <w:lang w:val="en-GB"/>
        </w:rPr>
        <w:t>JIGRE</w:t>
      </w:r>
      <w:r w:rsidRPr="00C475B8">
        <w:rPr>
          <w:sz w:val="20"/>
          <w:szCs w:val="20"/>
          <w:lang w:val="en-GB"/>
        </w:rPr>
        <w:t xml:space="preserve"> 126). </w:t>
      </w:r>
    </w:p>
  </w:footnote>
  <w:footnote w:id="122">
    <w:p w14:paraId="77952023" w14:textId="3470421B" w:rsidR="00EA696C" w:rsidRPr="00C475B8" w:rsidRDefault="00EA696C">
      <w:pPr>
        <w:pStyle w:val="FootnoteText"/>
        <w:rPr>
          <w:sz w:val="20"/>
          <w:szCs w:val="20"/>
          <w:lang w:val="pl-PL"/>
        </w:rPr>
      </w:pPr>
      <w:r w:rsidRPr="00C475B8">
        <w:rPr>
          <w:rStyle w:val="FootnoteReference"/>
          <w:sz w:val="20"/>
          <w:szCs w:val="20"/>
        </w:rPr>
        <w:footnoteRef/>
      </w:r>
      <w:r w:rsidRPr="00C475B8">
        <w:rPr>
          <w:sz w:val="20"/>
          <w:szCs w:val="20"/>
        </w:rPr>
        <w:t xml:space="preserve"> </w:t>
      </w:r>
      <w:r w:rsidRPr="00C475B8">
        <w:rPr>
          <w:i/>
          <w:sz w:val="20"/>
          <w:szCs w:val="20"/>
          <w:lang w:val="en-GB"/>
        </w:rPr>
        <w:t xml:space="preserve">JIGRE </w:t>
      </w:r>
      <w:r w:rsidRPr="00C475B8">
        <w:rPr>
          <w:sz w:val="20"/>
          <w:szCs w:val="20"/>
          <w:lang w:val="en-GB"/>
        </w:rPr>
        <w:t>13, based on the reconstruction by David M. Lewis (</w:t>
      </w:r>
      <w:r w:rsidRPr="00C475B8">
        <w:rPr>
          <w:i/>
          <w:sz w:val="20"/>
          <w:szCs w:val="20"/>
          <w:lang w:val="en-GB"/>
        </w:rPr>
        <w:t xml:space="preserve">CPJ </w:t>
      </w:r>
      <w:r>
        <w:rPr>
          <w:sz w:val="20"/>
          <w:szCs w:val="20"/>
          <w:lang w:val="en-GB"/>
        </w:rPr>
        <w:t xml:space="preserve">Vol. 3, no. 1432), here </w:t>
      </w:r>
      <w:r w:rsidRPr="00C475B8">
        <w:rPr>
          <w:sz w:val="20"/>
          <w:szCs w:val="20"/>
          <w:lang w:val="en-GB"/>
        </w:rPr>
        <w:t xml:space="preserve">adapted, with my underline in the English translation of letters too damaged to read in the Greek </w:t>
      </w:r>
      <w:r>
        <w:rPr>
          <w:sz w:val="20"/>
          <w:szCs w:val="20"/>
          <w:lang w:val="en-GB"/>
        </w:rPr>
        <w:t>equivalent</w:t>
      </w:r>
      <w:r w:rsidR="00DA400B">
        <w:rPr>
          <w:sz w:val="20"/>
          <w:szCs w:val="20"/>
          <w:lang w:val="en-GB"/>
        </w:rPr>
        <w:t xml:space="preserve"> (with damaged letters in square brackets)</w:t>
      </w:r>
      <w:r w:rsidRPr="00C475B8">
        <w:rPr>
          <w:sz w:val="20"/>
          <w:szCs w:val="20"/>
          <w:lang w:val="en-GB"/>
        </w:rPr>
        <w:t xml:space="preserve">. The final letters, designating the Egyptian month, here identified as Mecheir, allow for the alternative reading of the month Mesore (Adam Łajtar, Review of Horbury and Noy, </w:t>
      </w:r>
      <w:r w:rsidRPr="00C475B8">
        <w:rPr>
          <w:i/>
          <w:sz w:val="20"/>
          <w:szCs w:val="20"/>
          <w:lang w:val="en-GB"/>
        </w:rPr>
        <w:t>Jewish Inscriptions</w:t>
      </w:r>
      <w:r w:rsidRPr="00C475B8">
        <w:rPr>
          <w:sz w:val="20"/>
          <w:szCs w:val="20"/>
          <w:lang w:val="en-GB"/>
        </w:rPr>
        <w:t xml:space="preserve">, in </w:t>
      </w:r>
      <w:r w:rsidRPr="00C475B8">
        <w:rPr>
          <w:i/>
          <w:sz w:val="20"/>
          <w:szCs w:val="20"/>
          <w:lang w:val="en-GB"/>
        </w:rPr>
        <w:t>The Journal of Juristic Papyrology</w:t>
      </w:r>
      <w:r w:rsidRPr="00C475B8">
        <w:rPr>
          <w:sz w:val="20"/>
          <w:szCs w:val="20"/>
          <w:lang w:val="en-GB"/>
        </w:rPr>
        <w:t xml:space="preserve"> 24 (1994), 57</w:t>
      </w:r>
      <w:r w:rsidRPr="00C475B8">
        <w:rPr>
          <w:sz w:val="20"/>
          <w:szCs w:val="20"/>
        </w:rPr>
        <w:t>–</w:t>
      </w:r>
      <w:r w:rsidRPr="00C475B8">
        <w:rPr>
          <w:sz w:val="20"/>
          <w:szCs w:val="20"/>
          <w:lang w:val="en-GB"/>
        </w:rPr>
        <w:t>70).</w:t>
      </w:r>
    </w:p>
  </w:footnote>
  <w:footnote w:id="123">
    <w:p w14:paraId="0B12BF29" w14:textId="3629DA4E" w:rsidR="00EA696C" w:rsidRPr="00C475B8" w:rsidRDefault="00EA696C">
      <w:pPr>
        <w:pStyle w:val="FootnoteText"/>
        <w:rPr>
          <w:sz w:val="20"/>
          <w:szCs w:val="20"/>
          <w:lang w:val="en-GB"/>
        </w:rPr>
      </w:pPr>
      <w:r w:rsidRPr="00C475B8">
        <w:rPr>
          <w:rStyle w:val="FootnoteReference"/>
          <w:sz w:val="20"/>
          <w:szCs w:val="20"/>
        </w:rPr>
        <w:footnoteRef/>
      </w:r>
      <w:r w:rsidRPr="00C475B8">
        <w:rPr>
          <w:sz w:val="20"/>
          <w:szCs w:val="20"/>
        </w:rPr>
        <w:t xml:space="preserve"> A</w:t>
      </w:r>
      <w:r>
        <w:rPr>
          <w:sz w:val="20"/>
          <w:szCs w:val="20"/>
        </w:rPr>
        <w:t>n impressively</w:t>
      </w:r>
      <w:r w:rsidRPr="00C475B8">
        <w:rPr>
          <w:sz w:val="20"/>
          <w:szCs w:val="20"/>
        </w:rPr>
        <w:t xml:space="preserve"> strong consensus dates </w:t>
      </w:r>
      <w:r w:rsidRPr="00C475B8">
        <w:rPr>
          <w:i/>
          <w:sz w:val="20"/>
          <w:szCs w:val="20"/>
        </w:rPr>
        <w:t>JIGRE</w:t>
      </w:r>
      <w:r w:rsidRPr="00C475B8">
        <w:rPr>
          <w:sz w:val="20"/>
          <w:szCs w:val="20"/>
        </w:rPr>
        <w:t xml:space="preserve"> 13 to 37 BCE: M.L. Strack, ‘Inschriften aus ptolemäischer Zeit’, </w:t>
      </w:r>
      <w:r w:rsidRPr="00C475B8">
        <w:rPr>
          <w:i/>
          <w:sz w:val="20"/>
          <w:szCs w:val="20"/>
        </w:rPr>
        <w:t>Archiv für Papyrusforschung</w:t>
      </w:r>
      <w:r w:rsidRPr="00C475B8">
        <w:rPr>
          <w:sz w:val="20"/>
          <w:szCs w:val="20"/>
        </w:rPr>
        <w:t xml:space="preserve"> 2 (1903), 559, n. 41; </w:t>
      </w:r>
      <w:r>
        <w:rPr>
          <w:sz w:val="20"/>
          <w:szCs w:val="20"/>
        </w:rPr>
        <w:t xml:space="preserve">Evaristo Breccia, </w:t>
      </w:r>
      <w:r w:rsidRPr="00712CD1">
        <w:rPr>
          <w:i/>
          <w:sz w:val="20"/>
          <w:szCs w:val="20"/>
        </w:rPr>
        <w:t xml:space="preserve">Iscrizioni Greche e Latine </w:t>
      </w:r>
      <w:r>
        <w:rPr>
          <w:sz w:val="20"/>
          <w:szCs w:val="20"/>
        </w:rPr>
        <w:t xml:space="preserve">(Cairo, 1911), no. 41; </w:t>
      </w:r>
      <w:r w:rsidRPr="00C475B8">
        <w:rPr>
          <w:i/>
          <w:sz w:val="20"/>
          <w:szCs w:val="20"/>
        </w:rPr>
        <w:t>CIJ</w:t>
      </w:r>
      <w:r w:rsidRPr="00C475B8">
        <w:rPr>
          <w:sz w:val="20"/>
          <w:szCs w:val="20"/>
        </w:rPr>
        <w:t xml:space="preserve"> 2, no. 1432; </w:t>
      </w:r>
      <w:r w:rsidRPr="00C475B8">
        <w:rPr>
          <w:i/>
          <w:sz w:val="20"/>
          <w:szCs w:val="20"/>
        </w:rPr>
        <w:t xml:space="preserve">CPJ </w:t>
      </w:r>
      <w:r w:rsidRPr="00C475B8">
        <w:rPr>
          <w:sz w:val="20"/>
          <w:szCs w:val="20"/>
        </w:rPr>
        <w:t xml:space="preserve">3, no. 1432; Mélèze-Modrzejewski, </w:t>
      </w:r>
      <w:r w:rsidRPr="00C475B8">
        <w:rPr>
          <w:i/>
          <w:sz w:val="20"/>
          <w:szCs w:val="20"/>
        </w:rPr>
        <w:t>The Jews of Egypt</w:t>
      </w:r>
      <w:r w:rsidRPr="00C475B8">
        <w:rPr>
          <w:sz w:val="20"/>
          <w:szCs w:val="20"/>
        </w:rPr>
        <w:t xml:space="preserve">, 91; Horbury and Noy, </w:t>
      </w:r>
      <w:r w:rsidRPr="00C475B8">
        <w:rPr>
          <w:i/>
          <w:sz w:val="20"/>
          <w:szCs w:val="20"/>
        </w:rPr>
        <w:t>Jewish Inscriptions</w:t>
      </w:r>
      <w:r w:rsidRPr="00C475B8">
        <w:rPr>
          <w:sz w:val="20"/>
          <w:szCs w:val="20"/>
        </w:rPr>
        <w:t xml:space="preserve">, 19 (a ‘tentative date’ of 37 BCE); </w:t>
      </w:r>
      <w:r w:rsidRPr="00C475B8">
        <w:rPr>
          <w:i/>
          <w:sz w:val="20"/>
          <w:szCs w:val="20"/>
        </w:rPr>
        <w:t>I. Alex. Ptol.</w:t>
      </w:r>
      <w:r w:rsidRPr="00C475B8">
        <w:rPr>
          <w:sz w:val="20"/>
          <w:szCs w:val="20"/>
        </w:rPr>
        <w:t xml:space="preserve"> no. 35. Alternatively, 36 BCE: </w:t>
      </w:r>
      <w:r>
        <w:rPr>
          <w:sz w:val="20"/>
          <w:szCs w:val="20"/>
        </w:rPr>
        <w:t xml:space="preserve">Giuseppe Botti, ‘Bulletin Épigraphique’, </w:t>
      </w:r>
      <w:r w:rsidRPr="00D80A3E">
        <w:rPr>
          <w:i/>
          <w:sz w:val="20"/>
          <w:szCs w:val="20"/>
        </w:rPr>
        <w:t>Bulletin de la Société archéologique d’Alexandrie</w:t>
      </w:r>
      <w:r>
        <w:rPr>
          <w:sz w:val="20"/>
          <w:szCs w:val="20"/>
        </w:rPr>
        <w:t xml:space="preserve"> IV (1902), 85</w:t>
      </w:r>
      <w:r w:rsidRPr="00C475B8">
        <w:rPr>
          <w:sz w:val="20"/>
          <w:szCs w:val="20"/>
        </w:rPr>
        <w:t>–</w:t>
      </w:r>
      <w:r>
        <w:rPr>
          <w:sz w:val="20"/>
          <w:szCs w:val="20"/>
        </w:rPr>
        <w:t xml:space="preserve">107 (86); </w:t>
      </w:r>
      <w:r w:rsidRPr="00C475B8">
        <w:rPr>
          <w:sz w:val="20"/>
          <w:szCs w:val="20"/>
        </w:rPr>
        <w:t xml:space="preserve">Fraser, </w:t>
      </w:r>
      <w:r w:rsidRPr="00C475B8">
        <w:rPr>
          <w:i/>
          <w:sz w:val="20"/>
          <w:szCs w:val="20"/>
        </w:rPr>
        <w:t>Ptolemaic Alexandria</w:t>
      </w:r>
      <w:r w:rsidRPr="00C475B8">
        <w:rPr>
          <w:sz w:val="20"/>
          <w:szCs w:val="20"/>
        </w:rPr>
        <w:t xml:space="preserve"> Vol. 1, 282; Vol. 2, 441, n. 766. </w:t>
      </w:r>
      <w:r w:rsidRPr="00C475B8">
        <w:rPr>
          <w:sz w:val="20"/>
          <w:szCs w:val="20"/>
          <w:lang w:val="en-GB"/>
        </w:rPr>
        <w:t>An identification with the fifteenth year of Cleopatra III</w:t>
      </w:r>
      <w:r>
        <w:rPr>
          <w:sz w:val="20"/>
          <w:szCs w:val="20"/>
          <w:lang w:val="en-GB"/>
        </w:rPr>
        <w:t xml:space="preserve"> (as proposed by Ulrich Willamowitz-Möllendorf, ‘Alexandrinische Inschriften’, </w:t>
      </w:r>
      <w:r w:rsidRPr="00B40DA3">
        <w:rPr>
          <w:i/>
          <w:sz w:val="20"/>
          <w:szCs w:val="20"/>
          <w:lang w:val="en-GB"/>
        </w:rPr>
        <w:t>Sitzungberichte der kgl. Preussischen Akademie der Wissenschaft zu Berlin</w:t>
      </w:r>
      <w:r>
        <w:rPr>
          <w:sz w:val="20"/>
          <w:szCs w:val="20"/>
          <w:lang w:val="en-GB"/>
        </w:rPr>
        <w:t xml:space="preserve"> 49 (1902), 1093</w:t>
      </w:r>
      <w:r w:rsidRPr="00C475B8">
        <w:rPr>
          <w:sz w:val="20"/>
          <w:szCs w:val="20"/>
        </w:rPr>
        <w:t>–</w:t>
      </w:r>
      <w:r>
        <w:rPr>
          <w:sz w:val="20"/>
          <w:szCs w:val="20"/>
          <w:lang w:val="en-GB"/>
        </w:rPr>
        <w:t>99 (1094))</w:t>
      </w:r>
      <w:r w:rsidRPr="00C475B8">
        <w:rPr>
          <w:sz w:val="20"/>
          <w:szCs w:val="20"/>
          <w:lang w:val="en-GB"/>
        </w:rPr>
        <w:t xml:space="preserve"> put</w:t>
      </w:r>
      <w:r>
        <w:rPr>
          <w:sz w:val="20"/>
          <w:szCs w:val="20"/>
          <w:lang w:val="en-GB"/>
        </w:rPr>
        <w:t>s</w:t>
      </w:r>
      <w:r w:rsidRPr="00C475B8">
        <w:rPr>
          <w:sz w:val="20"/>
          <w:szCs w:val="20"/>
          <w:lang w:val="en-GB"/>
        </w:rPr>
        <w:t xml:space="preserve"> the dedication just prior to the year of </w:t>
      </w:r>
      <w:r>
        <w:rPr>
          <w:sz w:val="20"/>
          <w:szCs w:val="20"/>
          <w:lang w:val="en-GB"/>
        </w:rPr>
        <w:t>the queen’s</w:t>
      </w:r>
      <w:r w:rsidRPr="00C475B8">
        <w:rPr>
          <w:sz w:val="20"/>
          <w:szCs w:val="20"/>
          <w:lang w:val="en-GB"/>
        </w:rPr>
        <w:t xml:space="preserve"> assassination (101 BCE). The inscription, however, lacks the double date expected for the era</w:t>
      </w:r>
      <w:r>
        <w:rPr>
          <w:sz w:val="20"/>
          <w:szCs w:val="20"/>
          <w:lang w:val="en-GB"/>
        </w:rPr>
        <w:t xml:space="preserve"> of Cleopatra III and Ptolemy X Alexander</w:t>
      </w:r>
      <w:r w:rsidRPr="00C475B8">
        <w:rPr>
          <w:sz w:val="20"/>
          <w:szCs w:val="20"/>
          <w:lang w:val="en-GB"/>
        </w:rPr>
        <w:t>, i.e. ‘the thirteenth year’ of Ptolemy X</w:t>
      </w:r>
      <w:r w:rsidR="00B316F7">
        <w:rPr>
          <w:sz w:val="20"/>
          <w:szCs w:val="20"/>
          <w:lang w:val="en-GB"/>
        </w:rPr>
        <w:t>,</w:t>
      </w:r>
      <w:r w:rsidR="00A32F94">
        <w:rPr>
          <w:sz w:val="20"/>
          <w:szCs w:val="20"/>
          <w:lang w:val="en-GB"/>
        </w:rPr>
        <w:t xml:space="preserve"> </w:t>
      </w:r>
      <w:r>
        <w:rPr>
          <w:sz w:val="20"/>
          <w:szCs w:val="20"/>
          <w:lang w:val="en-GB"/>
        </w:rPr>
        <w:t>as noted by Strack (see above).</w:t>
      </w:r>
    </w:p>
  </w:footnote>
  <w:footnote w:id="124">
    <w:p w14:paraId="04C8DE35" w14:textId="50B0AD1D" w:rsidR="00EA696C" w:rsidRPr="00C475B8" w:rsidRDefault="00EA696C" w:rsidP="00D12E9C">
      <w:pPr>
        <w:pStyle w:val="FootnoteText"/>
        <w:rPr>
          <w:sz w:val="20"/>
          <w:szCs w:val="20"/>
          <w:lang w:val="en-GB"/>
        </w:rPr>
      </w:pPr>
      <w:r w:rsidRPr="00C475B8">
        <w:rPr>
          <w:rStyle w:val="FootnoteReference"/>
          <w:sz w:val="20"/>
          <w:szCs w:val="20"/>
        </w:rPr>
        <w:footnoteRef/>
      </w:r>
      <w:r w:rsidRPr="00C475B8">
        <w:rPr>
          <w:sz w:val="20"/>
          <w:szCs w:val="20"/>
        </w:rPr>
        <w:t xml:space="preserve"> </w:t>
      </w:r>
      <w:r w:rsidRPr="00C475B8">
        <w:rPr>
          <w:sz w:val="20"/>
          <w:szCs w:val="20"/>
          <w:lang w:val="en-GB"/>
        </w:rPr>
        <w:t xml:space="preserve">In terms of the identification of the group behind the </w:t>
      </w:r>
      <w:r w:rsidRPr="00C475B8">
        <w:rPr>
          <w:i/>
          <w:sz w:val="20"/>
          <w:szCs w:val="20"/>
          <w:lang w:val="en-GB"/>
        </w:rPr>
        <w:t>proseuche</w:t>
      </w:r>
      <w:r w:rsidRPr="00C475B8">
        <w:rPr>
          <w:sz w:val="20"/>
          <w:szCs w:val="20"/>
          <w:lang w:val="en-GB"/>
        </w:rPr>
        <w:t xml:space="preserve">, the extant letters of the inscription suggest the name Alypos as the benefactor responsible for the building of the </w:t>
      </w:r>
      <w:r w:rsidRPr="00C475B8">
        <w:rPr>
          <w:i/>
          <w:sz w:val="20"/>
          <w:szCs w:val="20"/>
          <w:lang w:val="en-GB"/>
        </w:rPr>
        <w:t>proseuche</w:t>
      </w:r>
      <w:r w:rsidRPr="00C475B8">
        <w:rPr>
          <w:sz w:val="20"/>
          <w:szCs w:val="20"/>
          <w:lang w:val="en-GB"/>
        </w:rPr>
        <w:t xml:space="preserve">. The name is not otherwise known to have been used by Jews in Egypt, though the Greek epithet </w:t>
      </w:r>
      <w:r w:rsidRPr="00C475B8">
        <w:rPr>
          <w:i/>
          <w:sz w:val="20"/>
          <w:szCs w:val="20"/>
          <w:lang w:val="en-GB"/>
        </w:rPr>
        <w:t>alypos</w:t>
      </w:r>
      <w:r w:rsidRPr="00C475B8">
        <w:rPr>
          <w:sz w:val="20"/>
          <w:szCs w:val="20"/>
          <w:lang w:val="en-GB"/>
        </w:rPr>
        <w:t>, ‘without pain’, ‘one who causes no pain’, is associated with Jews buried in the necropolis at Leontopolis (Tell el-Yehoudieh) (</w:t>
      </w:r>
      <w:r w:rsidRPr="00C475B8">
        <w:rPr>
          <w:i/>
          <w:sz w:val="20"/>
          <w:szCs w:val="20"/>
          <w:lang w:val="en-GB"/>
        </w:rPr>
        <w:t>JIGRE</w:t>
      </w:r>
      <w:r w:rsidRPr="00C475B8">
        <w:rPr>
          <w:sz w:val="20"/>
          <w:szCs w:val="20"/>
          <w:lang w:val="en-GB"/>
        </w:rPr>
        <w:t xml:space="preserve"> nos 74 (Marion) and 98 (Sabbataios); both probably of the Augustan period). Variants of the name (Alypis, Alypius) are known to have been used by Palestinian Jews of a later period (Beth She’arim 196; </w:t>
      </w:r>
      <w:r w:rsidRPr="00C475B8">
        <w:rPr>
          <w:i/>
          <w:sz w:val="20"/>
          <w:szCs w:val="20"/>
          <w:lang w:val="en-GB"/>
        </w:rPr>
        <w:t xml:space="preserve">CIJ </w:t>
      </w:r>
      <w:r w:rsidRPr="00C475B8">
        <w:rPr>
          <w:sz w:val="20"/>
          <w:szCs w:val="20"/>
          <w:lang w:val="en-GB"/>
        </w:rPr>
        <w:t xml:space="preserve">502). Alypios has been proposed as a possible alternative reading for the name in </w:t>
      </w:r>
      <w:r w:rsidRPr="00C475B8">
        <w:rPr>
          <w:i/>
          <w:sz w:val="20"/>
          <w:szCs w:val="20"/>
          <w:lang w:val="en-GB"/>
        </w:rPr>
        <w:t xml:space="preserve">JIGRE </w:t>
      </w:r>
      <w:r w:rsidRPr="00C475B8">
        <w:rPr>
          <w:sz w:val="20"/>
          <w:szCs w:val="20"/>
          <w:lang w:val="en-GB"/>
        </w:rPr>
        <w:t xml:space="preserve">13: see, for example, Greg H.R. Horsley, ‘Towards a New Corpus Inscriptionum Iudaicarum? A propos W. Horbury and D. Noy, </w:t>
      </w:r>
      <w:r w:rsidRPr="00C475B8">
        <w:rPr>
          <w:i/>
          <w:sz w:val="20"/>
          <w:szCs w:val="20"/>
          <w:lang w:val="en-GB"/>
        </w:rPr>
        <w:t>Jewish Inscriptions of Graeco-Roman Egypt</w:t>
      </w:r>
      <w:r w:rsidRPr="00C475B8">
        <w:rPr>
          <w:sz w:val="20"/>
          <w:szCs w:val="20"/>
          <w:lang w:val="en-GB"/>
        </w:rPr>
        <w:t xml:space="preserve">’, </w:t>
      </w:r>
      <w:r w:rsidRPr="00C475B8">
        <w:rPr>
          <w:i/>
          <w:sz w:val="20"/>
          <w:szCs w:val="20"/>
          <w:lang w:val="en-GB"/>
        </w:rPr>
        <w:t>Jewish Studies Quarterly</w:t>
      </w:r>
      <w:r w:rsidRPr="00C475B8">
        <w:rPr>
          <w:sz w:val="20"/>
          <w:szCs w:val="20"/>
          <w:lang w:val="en-GB"/>
        </w:rPr>
        <w:t xml:space="preserve"> 2.1 (1995), 77</w:t>
      </w:r>
      <w:r w:rsidRPr="00C475B8">
        <w:rPr>
          <w:sz w:val="20"/>
          <w:szCs w:val="20"/>
        </w:rPr>
        <w:t>–</w:t>
      </w:r>
      <w:r w:rsidRPr="00C475B8">
        <w:rPr>
          <w:sz w:val="20"/>
          <w:szCs w:val="20"/>
          <w:lang w:val="en-GB"/>
        </w:rPr>
        <w:t xml:space="preserve">101 (89); against, Étienne Bernand, </w:t>
      </w:r>
      <w:r w:rsidRPr="00C475B8">
        <w:rPr>
          <w:i/>
          <w:sz w:val="20"/>
          <w:szCs w:val="20"/>
          <w:lang w:val="en-GB"/>
        </w:rPr>
        <w:t>Inscriptions Grecques d’Alexandrie Ptolémaïque</w:t>
      </w:r>
      <w:r w:rsidRPr="00C475B8">
        <w:rPr>
          <w:sz w:val="20"/>
          <w:szCs w:val="20"/>
          <w:lang w:val="en-GB"/>
        </w:rPr>
        <w:t xml:space="preserve"> (Cairo, 2001), 101, commentary on l. 5. The inscription represents the only example from Ptolemaic Egypt of the patronage of a </w:t>
      </w:r>
      <w:r w:rsidRPr="00C475B8">
        <w:rPr>
          <w:i/>
          <w:sz w:val="20"/>
          <w:szCs w:val="20"/>
          <w:lang w:val="en-GB"/>
        </w:rPr>
        <w:t>proseuche</w:t>
      </w:r>
      <w:r w:rsidRPr="00C475B8">
        <w:rPr>
          <w:sz w:val="20"/>
          <w:szCs w:val="20"/>
          <w:lang w:val="en-GB"/>
        </w:rPr>
        <w:t xml:space="preserve"> by an individual benefactor: Carsten Claussen, </w:t>
      </w:r>
      <w:r w:rsidRPr="00C475B8">
        <w:rPr>
          <w:i/>
          <w:sz w:val="20"/>
          <w:szCs w:val="20"/>
          <w:lang w:val="en-GB"/>
        </w:rPr>
        <w:t>Versammlung, Gemeinde, Synagoge: das hellenistisch-jüdische Umfeld der frühchristlichen Gemeinden</w:t>
      </w:r>
      <w:r w:rsidRPr="00C475B8">
        <w:rPr>
          <w:sz w:val="20"/>
          <w:szCs w:val="20"/>
          <w:lang w:val="en-GB"/>
        </w:rPr>
        <w:t xml:space="preserve"> (Göttingen, 2002), 91.</w:t>
      </w:r>
    </w:p>
  </w:footnote>
  <w:footnote w:id="125">
    <w:p w14:paraId="611CF2CB" w14:textId="20CA8950" w:rsidR="00EA696C" w:rsidRPr="00C475B8" w:rsidRDefault="00EA696C">
      <w:pPr>
        <w:pStyle w:val="FootnoteText"/>
        <w:rPr>
          <w:sz w:val="20"/>
          <w:szCs w:val="20"/>
          <w:lang w:val="en-GB"/>
        </w:rPr>
      </w:pPr>
      <w:r w:rsidRPr="00C475B8">
        <w:rPr>
          <w:rStyle w:val="FootnoteReference"/>
          <w:sz w:val="20"/>
          <w:szCs w:val="20"/>
        </w:rPr>
        <w:footnoteRef/>
      </w:r>
      <w:r w:rsidRPr="00C475B8">
        <w:rPr>
          <w:sz w:val="20"/>
          <w:szCs w:val="20"/>
        </w:rPr>
        <w:t xml:space="preserve"> </w:t>
      </w:r>
      <w:r w:rsidRPr="00C475B8">
        <w:rPr>
          <w:sz w:val="20"/>
          <w:szCs w:val="20"/>
          <w:lang w:val="en-GB"/>
        </w:rPr>
        <w:t xml:space="preserve">Philo, </w:t>
      </w:r>
      <w:r w:rsidRPr="00C475B8">
        <w:rPr>
          <w:i/>
          <w:sz w:val="20"/>
          <w:szCs w:val="20"/>
          <w:lang w:val="en-GB"/>
        </w:rPr>
        <w:t>Embassy to Gaius</w:t>
      </w:r>
      <w:r w:rsidRPr="00C475B8">
        <w:rPr>
          <w:sz w:val="20"/>
          <w:szCs w:val="20"/>
          <w:lang w:val="en-GB"/>
        </w:rPr>
        <w:t>, 132</w:t>
      </w:r>
      <w:r w:rsidR="003C6726">
        <w:rPr>
          <w:sz w:val="20"/>
          <w:szCs w:val="20"/>
          <w:lang w:val="en-GB"/>
        </w:rPr>
        <w:t>.</w:t>
      </w:r>
    </w:p>
  </w:footnote>
  <w:footnote w:id="126">
    <w:p w14:paraId="13CC0971" w14:textId="161D5A02" w:rsidR="00EA696C" w:rsidRPr="00BD043E" w:rsidRDefault="00EA696C">
      <w:pPr>
        <w:pStyle w:val="FootnoteText"/>
        <w:rPr>
          <w:sz w:val="20"/>
          <w:szCs w:val="20"/>
          <w:lang w:val="en-GB"/>
        </w:rPr>
      </w:pPr>
      <w:r w:rsidRPr="00C475B8">
        <w:rPr>
          <w:rStyle w:val="FootnoteReference"/>
          <w:sz w:val="20"/>
          <w:szCs w:val="20"/>
        </w:rPr>
        <w:footnoteRef/>
      </w:r>
      <w:r w:rsidRPr="00C475B8">
        <w:rPr>
          <w:sz w:val="20"/>
          <w:szCs w:val="20"/>
        </w:rPr>
        <w:t xml:space="preserve"> </w:t>
      </w:r>
      <w:r w:rsidRPr="00C475B8">
        <w:rPr>
          <w:sz w:val="20"/>
          <w:szCs w:val="20"/>
          <w:lang w:val="en-GB"/>
        </w:rPr>
        <w:t xml:space="preserve">Philo, </w:t>
      </w:r>
      <w:r w:rsidRPr="00C475B8">
        <w:rPr>
          <w:i/>
          <w:sz w:val="20"/>
          <w:szCs w:val="20"/>
          <w:lang w:val="en-GB"/>
        </w:rPr>
        <w:t>Embassy to Gaius</w:t>
      </w:r>
      <w:r w:rsidRPr="00C475B8">
        <w:rPr>
          <w:sz w:val="20"/>
          <w:szCs w:val="20"/>
          <w:lang w:val="en-GB"/>
        </w:rPr>
        <w:t xml:space="preserve">, 138. </w:t>
      </w:r>
      <w:r w:rsidR="00E24945">
        <w:rPr>
          <w:sz w:val="20"/>
          <w:szCs w:val="20"/>
          <w:lang w:val="en-GB"/>
        </w:rPr>
        <w:t>In</w:t>
      </w:r>
      <w:r w:rsidRPr="00C475B8">
        <w:rPr>
          <w:sz w:val="20"/>
          <w:szCs w:val="20"/>
          <w:lang w:val="en-GB"/>
        </w:rPr>
        <w:t xml:space="preserve"> the </w:t>
      </w:r>
      <w:r w:rsidR="00E24945" w:rsidRPr="00C475B8">
        <w:rPr>
          <w:sz w:val="20"/>
          <w:szCs w:val="20"/>
          <w:lang w:val="en-GB"/>
        </w:rPr>
        <w:t>conf</w:t>
      </w:r>
      <w:r w:rsidR="00E24945">
        <w:rPr>
          <w:sz w:val="20"/>
          <w:szCs w:val="20"/>
          <w:lang w:val="en-GB"/>
        </w:rPr>
        <w:t>rontation</w:t>
      </w:r>
      <w:r w:rsidR="00E24945" w:rsidRPr="00C475B8">
        <w:rPr>
          <w:sz w:val="20"/>
          <w:szCs w:val="20"/>
          <w:lang w:val="en-GB"/>
        </w:rPr>
        <w:t xml:space="preserve"> </w:t>
      </w:r>
      <w:r w:rsidRPr="00C475B8">
        <w:rPr>
          <w:sz w:val="20"/>
          <w:szCs w:val="20"/>
          <w:lang w:val="en-GB"/>
        </w:rPr>
        <w:t>between Gaius and Philo’s embassy over Gaius’ plans to put a statue of himself as a god in the Jerusalem temple</w:t>
      </w:r>
      <w:r w:rsidR="00B513BA">
        <w:rPr>
          <w:sz w:val="20"/>
          <w:szCs w:val="20"/>
          <w:lang w:val="en-GB"/>
        </w:rPr>
        <w:t>,</w:t>
      </w:r>
      <w:r w:rsidRPr="00C475B8">
        <w:rPr>
          <w:sz w:val="20"/>
          <w:szCs w:val="20"/>
          <w:lang w:val="en-GB"/>
        </w:rPr>
        <w:t xml:space="preserve"> Gaius </w:t>
      </w:r>
      <w:r w:rsidR="00B513BA">
        <w:rPr>
          <w:sz w:val="20"/>
          <w:szCs w:val="20"/>
          <w:lang w:val="en-GB"/>
        </w:rPr>
        <w:t xml:space="preserve">(so Philo) </w:t>
      </w:r>
      <w:r w:rsidRPr="00C475B8">
        <w:rPr>
          <w:sz w:val="20"/>
          <w:szCs w:val="20"/>
          <w:lang w:val="en-GB"/>
        </w:rPr>
        <w:t>rejected the value of the Jews’ offerings to God (in the Jerusalem temple) ‘on behalf’ of the emperor, ‘For you have not sacrificed to me (οὐ γὰρ ἐμοὶ τεθύκατε)!’ (</w:t>
      </w:r>
      <w:r w:rsidRPr="00C475B8">
        <w:rPr>
          <w:i/>
          <w:sz w:val="20"/>
          <w:szCs w:val="20"/>
          <w:lang w:val="en-GB"/>
        </w:rPr>
        <w:t>Embassy to Gaius</w:t>
      </w:r>
      <w:r>
        <w:rPr>
          <w:sz w:val="20"/>
          <w:szCs w:val="20"/>
          <w:lang w:val="en-GB"/>
        </w:rPr>
        <w:t>, 356–</w:t>
      </w:r>
      <w:r w:rsidRPr="00C475B8">
        <w:rPr>
          <w:sz w:val="20"/>
          <w:szCs w:val="20"/>
          <w:lang w:val="en-GB"/>
        </w:rPr>
        <w:t>57).</w:t>
      </w:r>
    </w:p>
  </w:footnote>
  <w:footnote w:id="127">
    <w:p w14:paraId="54A02B73" w14:textId="7F12C59B" w:rsidR="00EA696C" w:rsidRPr="00620AD7" w:rsidRDefault="00EA696C">
      <w:pPr>
        <w:pStyle w:val="FootnoteText"/>
        <w:rPr>
          <w:sz w:val="20"/>
          <w:szCs w:val="20"/>
        </w:rPr>
      </w:pPr>
      <w:r w:rsidRPr="00620AD7">
        <w:rPr>
          <w:rStyle w:val="FootnoteReference"/>
          <w:sz w:val="20"/>
          <w:szCs w:val="20"/>
        </w:rPr>
        <w:footnoteRef/>
      </w:r>
      <w:r w:rsidRPr="00620AD7">
        <w:rPr>
          <w:sz w:val="20"/>
          <w:szCs w:val="20"/>
        </w:rPr>
        <w:t xml:space="preserve"> Plutarch, </w:t>
      </w:r>
      <w:r w:rsidRPr="00620AD7">
        <w:rPr>
          <w:i/>
          <w:sz w:val="20"/>
          <w:szCs w:val="20"/>
        </w:rPr>
        <w:t>Ant</w:t>
      </w:r>
      <w:r w:rsidR="00FA1019">
        <w:rPr>
          <w:i/>
          <w:sz w:val="20"/>
          <w:szCs w:val="20"/>
        </w:rPr>
        <w:t>ony</w:t>
      </w:r>
      <w:r w:rsidRPr="00620AD7">
        <w:rPr>
          <w:sz w:val="20"/>
          <w:szCs w:val="20"/>
        </w:rPr>
        <w:t xml:space="preserve"> 10.6.</w:t>
      </w:r>
    </w:p>
  </w:footnote>
  <w:footnote w:id="128">
    <w:p w14:paraId="326C3C1A" w14:textId="0E33C512" w:rsidR="00EA696C" w:rsidRPr="00620AD7" w:rsidRDefault="00EA696C">
      <w:pPr>
        <w:pStyle w:val="FootnoteText"/>
        <w:rPr>
          <w:sz w:val="20"/>
          <w:szCs w:val="20"/>
        </w:rPr>
      </w:pPr>
      <w:r w:rsidRPr="00620AD7">
        <w:rPr>
          <w:rStyle w:val="FootnoteReference"/>
          <w:sz w:val="20"/>
          <w:szCs w:val="20"/>
        </w:rPr>
        <w:footnoteRef/>
      </w:r>
      <w:r w:rsidRPr="00620AD7">
        <w:rPr>
          <w:sz w:val="20"/>
          <w:szCs w:val="20"/>
        </w:rPr>
        <w:t xml:space="preserve"> Plutarch, </w:t>
      </w:r>
      <w:r w:rsidRPr="00620AD7">
        <w:rPr>
          <w:i/>
          <w:sz w:val="20"/>
          <w:szCs w:val="20"/>
        </w:rPr>
        <w:t>Ant</w:t>
      </w:r>
      <w:r w:rsidR="00FA1019">
        <w:rPr>
          <w:i/>
          <w:sz w:val="20"/>
          <w:szCs w:val="20"/>
        </w:rPr>
        <w:t>ony</w:t>
      </w:r>
      <w:r w:rsidRPr="00620AD7">
        <w:rPr>
          <w:sz w:val="20"/>
          <w:szCs w:val="20"/>
        </w:rPr>
        <w:t xml:space="preserve"> 25.1.</w:t>
      </w:r>
    </w:p>
  </w:footnote>
  <w:footnote w:id="129">
    <w:p w14:paraId="437F5557" w14:textId="48D41A74" w:rsidR="00EA696C" w:rsidRPr="00620AD7" w:rsidRDefault="00EA696C">
      <w:pPr>
        <w:pStyle w:val="FootnoteText"/>
        <w:rPr>
          <w:sz w:val="20"/>
          <w:szCs w:val="20"/>
        </w:rPr>
      </w:pPr>
      <w:r w:rsidRPr="00620AD7">
        <w:rPr>
          <w:rStyle w:val="FootnoteReference"/>
          <w:sz w:val="20"/>
          <w:szCs w:val="20"/>
        </w:rPr>
        <w:footnoteRef/>
      </w:r>
      <w:r w:rsidRPr="00620AD7">
        <w:rPr>
          <w:sz w:val="20"/>
          <w:szCs w:val="20"/>
        </w:rPr>
        <w:t xml:space="preserve"> Pelling, </w:t>
      </w:r>
      <w:r w:rsidRPr="00620AD7">
        <w:rPr>
          <w:i/>
          <w:sz w:val="20"/>
          <w:szCs w:val="20"/>
        </w:rPr>
        <w:t>Life of Antony</w:t>
      </w:r>
      <w:r w:rsidRPr="00620AD7">
        <w:rPr>
          <w:sz w:val="20"/>
          <w:szCs w:val="20"/>
        </w:rPr>
        <w:t xml:space="preserve">, 16–18, 26–31; Frederick E. Brenk, ‘Plutarch’s Life “Markos Antonios”: A Literary and Cultural Study’, in </w:t>
      </w:r>
      <w:r w:rsidRPr="00620AD7">
        <w:rPr>
          <w:i/>
          <w:sz w:val="20"/>
          <w:szCs w:val="20"/>
        </w:rPr>
        <w:t>Aufstieg und Niedergang der römischen Welt</w:t>
      </w:r>
      <w:r w:rsidRPr="00620AD7">
        <w:rPr>
          <w:sz w:val="20"/>
          <w:szCs w:val="20"/>
        </w:rPr>
        <w:t xml:space="preserve">. Teil II. </w:t>
      </w:r>
      <w:r w:rsidRPr="00620AD7">
        <w:rPr>
          <w:i/>
          <w:sz w:val="20"/>
          <w:szCs w:val="20"/>
        </w:rPr>
        <w:t>Principat</w:t>
      </w:r>
      <w:r w:rsidRPr="00620AD7">
        <w:rPr>
          <w:sz w:val="20"/>
          <w:szCs w:val="20"/>
        </w:rPr>
        <w:t xml:space="preserve">. Band 33: </w:t>
      </w:r>
      <w:r w:rsidRPr="00620AD7">
        <w:rPr>
          <w:i/>
          <w:sz w:val="20"/>
          <w:szCs w:val="20"/>
        </w:rPr>
        <w:t>Sprache und Literatur</w:t>
      </w:r>
      <w:r>
        <w:rPr>
          <w:sz w:val="20"/>
          <w:szCs w:val="20"/>
        </w:rPr>
        <w:t xml:space="preserve"> 6 (</w:t>
      </w:r>
      <w:r w:rsidRPr="00620AD7">
        <w:rPr>
          <w:sz w:val="20"/>
          <w:szCs w:val="20"/>
        </w:rPr>
        <w:t>Berlin/New York, 1992), 4348–4469, indices 4895–4915.</w:t>
      </w:r>
    </w:p>
  </w:footnote>
  <w:footnote w:id="130">
    <w:p w14:paraId="71E1B792" w14:textId="0413ACF9" w:rsidR="00EA696C" w:rsidRPr="00620AD7" w:rsidRDefault="00EA696C">
      <w:pPr>
        <w:pStyle w:val="FootnoteText"/>
        <w:rPr>
          <w:sz w:val="20"/>
          <w:szCs w:val="20"/>
        </w:rPr>
      </w:pPr>
      <w:r w:rsidRPr="00620AD7">
        <w:rPr>
          <w:rStyle w:val="FootnoteReference"/>
          <w:sz w:val="20"/>
          <w:szCs w:val="20"/>
        </w:rPr>
        <w:footnoteRef/>
      </w:r>
      <w:r w:rsidRPr="00620AD7">
        <w:rPr>
          <w:sz w:val="20"/>
          <w:szCs w:val="20"/>
        </w:rPr>
        <w:t xml:space="preserve"> Roller suggests that the source for this anecdote ‘was presumably someone in regular contact with the queen and her court, perhaps Nikolaos of Damascus or Sokrates of Rhodes’: </w:t>
      </w:r>
      <w:r w:rsidRPr="00620AD7">
        <w:rPr>
          <w:i/>
          <w:sz w:val="20"/>
          <w:szCs w:val="20"/>
        </w:rPr>
        <w:t>Cleopatra</w:t>
      </w:r>
      <w:r w:rsidRPr="00620AD7">
        <w:rPr>
          <w:sz w:val="20"/>
          <w:szCs w:val="20"/>
        </w:rPr>
        <w:t>, 169.</w:t>
      </w:r>
    </w:p>
  </w:footnote>
  <w:footnote w:id="131">
    <w:p w14:paraId="468C4EC6" w14:textId="13D75B02" w:rsidR="00EA696C" w:rsidRPr="00620AD7" w:rsidRDefault="00EA696C">
      <w:pPr>
        <w:pStyle w:val="FootnoteText"/>
        <w:rPr>
          <w:sz w:val="20"/>
          <w:szCs w:val="20"/>
        </w:rPr>
      </w:pPr>
      <w:r w:rsidRPr="00620AD7">
        <w:rPr>
          <w:rStyle w:val="FootnoteReference"/>
          <w:sz w:val="20"/>
          <w:szCs w:val="20"/>
        </w:rPr>
        <w:footnoteRef/>
      </w:r>
      <w:r w:rsidRPr="00620AD7">
        <w:rPr>
          <w:sz w:val="20"/>
          <w:szCs w:val="20"/>
        </w:rPr>
        <w:t xml:space="preserve"> Plutarch, </w:t>
      </w:r>
      <w:r w:rsidRPr="00620AD7">
        <w:rPr>
          <w:i/>
          <w:sz w:val="20"/>
          <w:szCs w:val="20"/>
        </w:rPr>
        <w:t>Ant</w:t>
      </w:r>
      <w:r w:rsidR="00C9799C">
        <w:rPr>
          <w:i/>
          <w:sz w:val="20"/>
          <w:szCs w:val="20"/>
        </w:rPr>
        <w:t>ony</w:t>
      </w:r>
      <w:r w:rsidR="00C9799C" w:rsidRPr="00620AD7">
        <w:rPr>
          <w:sz w:val="20"/>
          <w:szCs w:val="20"/>
        </w:rPr>
        <w:t xml:space="preserve"> </w:t>
      </w:r>
      <w:r w:rsidRPr="00620AD7">
        <w:rPr>
          <w:sz w:val="20"/>
          <w:szCs w:val="20"/>
        </w:rPr>
        <w:t>27.4–5.</w:t>
      </w:r>
    </w:p>
  </w:footnote>
  <w:footnote w:id="132">
    <w:p w14:paraId="21B1223F" w14:textId="52A3201E" w:rsidR="00EA696C" w:rsidRPr="007D42D8" w:rsidRDefault="00EA696C">
      <w:pPr>
        <w:pStyle w:val="FootnoteText"/>
        <w:rPr>
          <w:sz w:val="20"/>
          <w:szCs w:val="20"/>
        </w:rPr>
      </w:pPr>
      <w:r w:rsidRPr="007D42D8">
        <w:rPr>
          <w:rStyle w:val="FootnoteReference"/>
          <w:sz w:val="20"/>
          <w:szCs w:val="20"/>
        </w:rPr>
        <w:footnoteRef/>
      </w:r>
      <w:r w:rsidRPr="007D42D8">
        <w:rPr>
          <w:sz w:val="20"/>
          <w:szCs w:val="20"/>
        </w:rPr>
        <w:t xml:space="preserve"> Plutarch, </w:t>
      </w:r>
      <w:r w:rsidR="00C9799C" w:rsidRPr="00620AD7">
        <w:rPr>
          <w:i/>
          <w:sz w:val="20"/>
          <w:szCs w:val="20"/>
        </w:rPr>
        <w:t>Ant</w:t>
      </w:r>
      <w:r w:rsidR="00C9799C">
        <w:rPr>
          <w:i/>
          <w:sz w:val="20"/>
          <w:szCs w:val="20"/>
        </w:rPr>
        <w:t>ony</w:t>
      </w:r>
      <w:r w:rsidR="00C9799C" w:rsidRPr="00620AD7">
        <w:rPr>
          <w:sz w:val="20"/>
          <w:szCs w:val="20"/>
        </w:rPr>
        <w:t xml:space="preserve"> </w:t>
      </w:r>
      <w:r w:rsidRPr="007D42D8">
        <w:rPr>
          <w:sz w:val="20"/>
          <w:szCs w:val="20"/>
        </w:rPr>
        <w:t>25.2.</w:t>
      </w:r>
    </w:p>
  </w:footnote>
  <w:footnote w:id="133">
    <w:p w14:paraId="614AADA1" w14:textId="32B90DAA" w:rsidR="00EA696C" w:rsidRPr="00E56B54" w:rsidRDefault="00EA696C">
      <w:pPr>
        <w:pStyle w:val="FootnoteText"/>
        <w:rPr>
          <w:sz w:val="20"/>
          <w:szCs w:val="20"/>
        </w:rPr>
      </w:pPr>
      <w:r w:rsidRPr="00E56B54">
        <w:rPr>
          <w:rStyle w:val="FootnoteReference"/>
          <w:sz w:val="20"/>
          <w:szCs w:val="20"/>
        </w:rPr>
        <w:footnoteRef/>
      </w:r>
      <w:r w:rsidRPr="00E56B54">
        <w:rPr>
          <w:sz w:val="20"/>
          <w:szCs w:val="20"/>
        </w:rPr>
        <w:t xml:space="preserve"> Plutarch, </w:t>
      </w:r>
      <w:r w:rsidR="00C9799C" w:rsidRPr="00620AD7">
        <w:rPr>
          <w:i/>
          <w:sz w:val="20"/>
          <w:szCs w:val="20"/>
        </w:rPr>
        <w:t>Ant</w:t>
      </w:r>
      <w:r w:rsidR="00C9799C">
        <w:rPr>
          <w:i/>
          <w:sz w:val="20"/>
          <w:szCs w:val="20"/>
        </w:rPr>
        <w:t>ony</w:t>
      </w:r>
      <w:r w:rsidR="00C9799C" w:rsidRPr="00620AD7">
        <w:rPr>
          <w:sz w:val="20"/>
          <w:szCs w:val="20"/>
        </w:rPr>
        <w:t xml:space="preserve"> </w:t>
      </w:r>
      <w:r w:rsidRPr="00E56B54">
        <w:rPr>
          <w:sz w:val="20"/>
          <w:szCs w:val="20"/>
        </w:rPr>
        <w:t>25.2.</w:t>
      </w:r>
    </w:p>
  </w:footnote>
  <w:footnote w:id="134">
    <w:p w14:paraId="139FD4F1" w14:textId="49B9C41F" w:rsidR="00EA696C" w:rsidRPr="00E56B54" w:rsidRDefault="00EA696C">
      <w:pPr>
        <w:pStyle w:val="FootnoteText"/>
        <w:rPr>
          <w:sz w:val="20"/>
          <w:szCs w:val="20"/>
          <w:lang w:val="el-GR"/>
        </w:rPr>
      </w:pPr>
      <w:r w:rsidRPr="00E56B54">
        <w:rPr>
          <w:rStyle w:val="FootnoteReference"/>
          <w:sz w:val="20"/>
          <w:szCs w:val="20"/>
        </w:rPr>
        <w:footnoteRef/>
      </w:r>
      <w:r w:rsidRPr="00E56B54">
        <w:rPr>
          <w:sz w:val="20"/>
          <w:szCs w:val="20"/>
        </w:rPr>
        <w:t xml:space="preserve"> Plutarch, </w:t>
      </w:r>
      <w:r w:rsidR="00C9799C" w:rsidRPr="00620AD7">
        <w:rPr>
          <w:i/>
          <w:sz w:val="20"/>
          <w:szCs w:val="20"/>
        </w:rPr>
        <w:t>Ant</w:t>
      </w:r>
      <w:r w:rsidR="00C9799C">
        <w:rPr>
          <w:i/>
          <w:sz w:val="20"/>
          <w:szCs w:val="20"/>
        </w:rPr>
        <w:t>ony</w:t>
      </w:r>
      <w:r w:rsidR="00C9799C" w:rsidRPr="00620AD7">
        <w:rPr>
          <w:sz w:val="20"/>
          <w:szCs w:val="20"/>
        </w:rPr>
        <w:t xml:space="preserve"> </w:t>
      </w:r>
      <w:r w:rsidRPr="00E56B54">
        <w:rPr>
          <w:sz w:val="20"/>
          <w:szCs w:val="20"/>
        </w:rPr>
        <w:t>28.1.</w:t>
      </w:r>
    </w:p>
  </w:footnote>
  <w:footnote w:id="135">
    <w:p w14:paraId="4724B2A4" w14:textId="4D7310E6" w:rsidR="00EA696C" w:rsidRPr="00D230CB" w:rsidRDefault="00EA696C">
      <w:pPr>
        <w:pStyle w:val="FootnoteText"/>
        <w:rPr>
          <w:sz w:val="20"/>
          <w:szCs w:val="20"/>
        </w:rPr>
      </w:pPr>
      <w:r w:rsidRPr="00E56B54">
        <w:rPr>
          <w:rStyle w:val="FootnoteReference"/>
          <w:sz w:val="20"/>
          <w:szCs w:val="20"/>
        </w:rPr>
        <w:footnoteRef/>
      </w:r>
      <w:r w:rsidRPr="00E56B54">
        <w:rPr>
          <w:sz w:val="20"/>
          <w:szCs w:val="20"/>
        </w:rPr>
        <w:t xml:space="preserve"> Plutarch, </w:t>
      </w:r>
      <w:r w:rsidR="00C9799C" w:rsidRPr="00620AD7">
        <w:rPr>
          <w:i/>
          <w:sz w:val="20"/>
          <w:szCs w:val="20"/>
        </w:rPr>
        <w:t>Ant</w:t>
      </w:r>
      <w:r w:rsidR="00C9799C">
        <w:rPr>
          <w:i/>
          <w:sz w:val="20"/>
          <w:szCs w:val="20"/>
        </w:rPr>
        <w:t>ony</w:t>
      </w:r>
      <w:r w:rsidR="00C9799C" w:rsidRPr="00620AD7">
        <w:rPr>
          <w:sz w:val="20"/>
          <w:szCs w:val="20"/>
        </w:rPr>
        <w:t xml:space="preserve"> </w:t>
      </w:r>
      <w:r w:rsidRPr="00E56B54">
        <w:rPr>
          <w:sz w:val="20"/>
          <w:szCs w:val="20"/>
        </w:rPr>
        <w:t>27.3. The adjective appears only here in the TLG corpus, perhaps a sign of the</w:t>
      </w:r>
      <w:r>
        <w:rPr>
          <w:sz w:val="20"/>
          <w:szCs w:val="20"/>
        </w:rPr>
        <w:t xml:space="preserve"> influence of an oral tradition? Other sources contradict Plutarch’s testimony in emphasizing Cleopatra’s beauty as part of her fatal attractiveness: cf. Cassius Dio 47.34.5. On Plutarch’s use of </w:t>
      </w:r>
      <w:r>
        <w:rPr>
          <w:sz w:val="20"/>
          <w:szCs w:val="20"/>
          <w:lang w:val="el-GR"/>
        </w:rPr>
        <w:t>λέγεται (‘it is said’), and similar impersonal expressions: Brad L. Cook, ‘Plutarch’s Use of λέγεται</w:t>
      </w:r>
      <w:r>
        <w:rPr>
          <w:sz w:val="20"/>
          <w:szCs w:val="20"/>
        </w:rPr>
        <w:t xml:space="preserve">: Narrative Design and Source in </w:t>
      </w:r>
      <w:r w:rsidRPr="00D230CB">
        <w:rPr>
          <w:i/>
          <w:sz w:val="20"/>
          <w:szCs w:val="20"/>
        </w:rPr>
        <w:t>Alexander</w:t>
      </w:r>
      <w:r>
        <w:rPr>
          <w:sz w:val="20"/>
          <w:szCs w:val="20"/>
        </w:rPr>
        <w:t xml:space="preserve">’, </w:t>
      </w:r>
      <w:r w:rsidRPr="00D230CB">
        <w:rPr>
          <w:i/>
          <w:sz w:val="20"/>
          <w:szCs w:val="20"/>
        </w:rPr>
        <w:t>Greek, Roman, and Byzantine Studies</w:t>
      </w:r>
      <w:r>
        <w:rPr>
          <w:sz w:val="20"/>
          <w:szCs w:val="20"/>
        </w:rPr>
        <w:t xml:space="preserve"> 42 (2001), 329</w:t>
      </w:r>
      <w:r w:rsidRPr="00C475B8">
        <w:rPr>
          <w:sz w:val="20"/>
          <w:szCs w:val="20"/>
        </w:rPr>
        <w:t>–</w:t>
      </w:r>
      <w:r>
        <w:rPr>
          <w:sz w:val="20"/>
          <w:szCs w:val="20"/>
        </w:rPr>
        <w:t>60.</w:t>
      </w:r>
    </w:p>
  </w:footnote>
  <w:footnote w:id="136">
    <w:p w14:paraId="0F766978" w14:textId="3670CF39" w:rsidR="00EA696C" w:rsidRPr="00235CB5" w:rsidRDefault="00EA696C">
      <w:pPr>
        <w:pStyle w:val="FootnoteText"/>
        <w:rPr>
          <w:sz w:val="20"/>
          <w:szCs w:val="20"/>
        </w:rPr>
      </w:pPr>
      <w:r w:rsidRPr="00235CB5">
        <w:rPr>
          <w:rStyle w:val="FootnoteReference"/>
          <w:sz w:val="20"/>
          <w:szCs w:val="20"/>
        </w:rPr>
        <w:footnoteRef/>
      </w:r>
      <w:r w:rsidRPr="00235CB5">
        <w:rPr>
          <w:sz w:val="20"/>
          <w:szCs w:val="20"/>
        </w:rPr>
        <w:t xml:space="preserve"> </w:t>
      </w:r>
      <w:r w:rsidRPr="00E56B54">
        <w:rPr>
          <w:sz w:val="20"/>
          <w:szCs w:val="20"/>
        </w:rPr>
        <w:t xml:space="preserve">Plutarch, </w:t>
      </w:r>
      <w:r w:rsidR="00513ED7" w:rsidRPr="00620AD7">
        <w:rPr>
          <w:i/>
          <w:sz w:val="20"/>
          <w:szCs w:val="20"/>
        </w:rPr>
        <w:t>Ant</w:t>
      </w:r>
      <w:r w:rsidR="00513ED7">
        <w:rPr>
          <w:i/>
          <w:sz w:val="20"/>
          <w:szCs w:val="20"/>
        </w:rPr>
        <w:t>ony</w:t>
      </w:r>
      <w:r w:rsidRPr="00E56B54">
        <w:rPr>
          <w:i/>
          <w:sz w:val="20"/>
          <w:szCs w:val="20"/>
        </w:rPr>
        <w:t>.</w:t>
      </w:r>
      <w:r w:rsidRPr="00E56B54">
        <w:rPr>
          <w:sz w:val="20"/>
          <w:szCs w:val="20"/>
        </w:rPr>
        <w:t>27.5</w:t>
      </w:r>
      <w:r w:rsidRPr="0011324B">
        <w:rPr>
          <w:b/>
          <w:sz w:val="20"/>
          <w:szCs w:val="20"/>
        </w:rPr>
        <w:t>;</w:t>
      </w:r>
      <w:r>
        <w:rPr>
          <w:sz w:val="20"/>
          <w:szCs w:val="20"/>
        </w:rPr>
        <w:t xml:space="preserve"> cf. Plutarch, </w:t>
      </w:r>
      <w:r w:rsidRPr="00376167">
        <w:rPr>
          <w:i/>
          <w:sz w:val="20"/>
          <w:szCs w:val="20"/>
        </w:rPr>
        <w:t>Caesar</w:t>
      </w:r>
      <w:r>
        <w:rPr>
          <w:sz w:val="20"/>
          <w:szCs w:val="20"/>
        </w:rPr>
        <w:t xml:space="preserve"> 49.2 on the supposed power of Cleopatra’s presence over Julius Caesar in Alexandria.</w:t>
      </w:r>
    </w:p>
  </w:footnote>
  <w:footnote w:id="137">
    <w:p w14:paraId="2B9C1341" w14:textId="45230749" w:rsidR="00EA696C" w:rsidRPr="00313549" w:rsidRDefault="00EA696C">
      <w:pPr>
        <w:pStyle w:val="FootnoteText"/>
        <w:rPr>
          <w:sz w:val="20"/>
          <w:szCs w:val="20"/>
        </w:rPr>
      </w:pPr>
      <w:r w:rsidRPr="00313549">
        <w:rPr>
          <w:rStyle w:val="FootnoteReference"/>
          <w:sz w:val="20"/>
          <w:szCs w:val="20"/>
        </w:rPr>
        <w:footnoteRef/>
      </w:r>
      <w:r w:rsidRPr="00313549">
        <w:rPr>
          <w:sz w:val="20"/>
          <w:szCs w:val="20"/>
        </w:rPr>
        <w:t xml:space="preserve"> Wolfgang Schuller,</w:t>
      </w:r>
      <w:r>
        <w:rPr>
          <w:sz w:val="20"/>
          <w:szCs w:val="20"/>
        </w:rPr>
        <w:t xml:space="preserve"> </w:t>
      </w:r>
      <w:r w:rsidRPr="00313549">
        <w:rPr>
          <w:i/>
          <w:sz w:val="20"/>
          <w:szCs w:val="20"/>
        </w:rPr>
        <w:t>Kleopatra: Königin in drei Kulturen. Eine Biographie</w:t>
      </w:r>
      <w:r>
        <w:rPr>
          <w:sz w:val="20"/>
          <w:szCs w:val="20"/>
        </w:rPr>
        <w:t xml:space="preserve"> (Hamburg, 2006), 40</w:t>
      </w:r>
      <w:r w:rsidRPr="00C475B8">
        <w:rPr>
          <w:sz w:val="20"/>
          <w:szCs w:val="20"/>
        </w:rPr>
        <w:t>–</w:t>
      </w:r>
      <w:r>
        <w:rPr>
          <w:sz w:val="20"/>
          <w:szCs w:val="20"/>
        </w:rPr>
        <w:t>41.</w:t>
      </w:r>
    </w:p>
  </w:footnote>
  <w:footnote w:id="138">
    <w:p w14:paraId="6D0C517A" w14:textId="1BF94E92" w:rsidR="00EA696C" w:rsidRPr="00330A73" w:rsidRDefault="00EA696C">
      <w:pPr>
        <w:pStyle w:val="FootnoteText"/>
        <w:rPr>
          <w:sz w:val="20"/>
          <w:szCs w:val="20"/>
        </w:rPr>
      </w:pPr>
      <w:r w:rsidRPr="00330A73">
        <w:rPr>
          <w:rStyle w:val="FootnoteReference"/>
          <w:sz w:val="20"/>
          <w:szCs w:val="20"/>
        </w:rPr>
        <w:footnoteRef/>
      </w:r>
      <w:r w:rsidRPr="00330A73">
        <w:rPr>
          <w:sz w:val="20"/>
          <w:szCs w:val="20"/>
        </w:rPr>
        <w:t xml:space="preserve"> </w:t>
      </w:r>
      <w:r>
        <w:rPr>
          <w:sz w:val="20"/>
          <w:szCs w:val="20"/>
        </w:rPr>
        <w:t xml:space="preserve">See the useful discussion in Roller, </w:t>
      </w:r>
      <w:r w:rsidRPr="003E00AB">
        <w:rPr>
          <w:i/>
          <w:sz w:val="20"/>
          <w:szCs w:val="20"/>
        </w:rPr>
        <w:t>Cleopatra</w:t>
      </w:r>
      <w:r>
        <w:rPr>
          <w:sz w:val="20"/>
          <w:szCs w:val="20"/>
        </w:rPr>
        <w:t>, 46</w:t>
      </w:r>
      <w:r w:rsidRPr="00C475B8">
        <w:rPr>
          <w:sz w:val="20"/>
          <w:szCs w:val="20"/>
        </w:rPr>
        <w:t>–</w:t>
      </w:r>
      <w:r>
        <w:rPr>
          <w:sz w:val="20"/>
          <w:szCs w:val="20"/>
        </w:rPr>
        <w:t xml:space="preserve">50. </w:t>
      </w:r>
      <w:r w:rsidRPr="00330A73">
        <w:rPr>
          <w:sz w:val="20"/>
          <w:szCs w:val="20"/>
        </w:rPr>
        <w:t>Antony’s alliance with the Median king</w:t>
      </w:r>
      <w:r>
        <w:rPr>
          <w:sz w:val="20"/>
          <w:szCs w:val="20"/>
        </w:rPr>
        <w:t>, Artavasdes</w:t>
      </w:r>
      <w:r w:rsidRPr="00330A73">
        <w:rPr>
          <w:sz w:val="20"/>
          <w:szCs w:val="20"/>
        </w:rPr>
        <w:t>, included the betrothal of their children</w:t>
      </w:r>
      <w:r>
        <w:rPr>
          <w:sz w:val="20"/>
          <w:szCs w:val="20"/>
        </w:rPr>
        <w:t xml:space="preserve"> (Plutarch, </w:t>
      </w:r>
      <w:r w:rsidRPr="00C004C7">
        <w:rPr>
          <w:i/>
          <w:sz w:val="20"/>
          <w:szCs w:val="20"/>
        </w:rPr>
        <w:t>Ant</w:t>
      </w:r>
      <w:r w:rsidR="00442EE2">
        <w:rPr>
          <w:i/>
          <w:sz w:val="20"/>
          <w:szCs w:val="20"/>
        </w:rPr>
        <w:t>ony</w:t>
      </w:r>
      <w:r w:rsidR="00442EE2">
        <w:rPr>
          <w:sz w:val="20"/>
          <w:szCs w:val="20"/>
        </w:rPr>
        <w:t xml:space="preserve"> </w:t>
      </w:r>
      <w:r>
        <w:rPr>
          <w:sz w:val="20"/>
          <w:szCs w:val="20"/>
        </w:rPr>
        <w:t xml:space="preserve">53.12; </w:t>
      </w:r>
      <w:r w:rsidRPr="00330A73">
        <w:rPr>
          <w:sz w:val="20"/>
          <w:szCs w:val="20"/>
        </w:rPr>
        <w:t>Cassius Dio 49.40.2</w:t>
      </w:r>
      <w:r>
        <w:rPr>
          <w:sz w:val="20"/>
          <w:szCs w:val="20"/>
        </w:rPr>
        <w:t>)</w:t>
      </w:r>
      <w:r w:rsidRPr="00330A73">
        <w:rPr>
          <w:sz w:val="20"/>
          <w:szCs w:val="20"/>
        </w:rPr>
        <w:t xml:space="preserve">. </w:t>
      </w:r>
    </w:p>
  </w:footnote>
  <w:footnote w:id="139">
    <w:p w14:paraId="182F2426" w14:textId="6D12F791" w:rsidR="00EA696C" w:rsidRPr="00D31009" w:rsidRDefault="00EA696C">
      <w:pPr>
        <w:pStyle w:val="FootnoteText"/>
        <w:rPr>
          <w:b/>
          <w:sz w:val="20"/>
          <w:szCs w:val="20"/>
        </w:rPr>
      </w:pPr>
      <w:r w:rsidRPr="004556E7">
        <w:rPr>
          <w:rStyle w:val="FootnoteReference"/>
          <w:sz w:val="20"/>
          <w:szCs w:val="20"/>
        </w:rPr>
        <w:footnoteRef/>
      </w:r>
      <w:r w:rsidRPr="004556E7">
        <w:rPr>
          <w:sz w:val="20"/>
          <w:szCs w:val="20"/>
        </w:rPr>
        <w:t xml:space="preserve"> Cleopatra’s supposed linguistic skills </w:t>
      </w:r>
      <w:r>
        <w:rPr>
          <w:sz w:val="20"/>
          <w:szCs w:val="20"/>
        </w:rPr>
        <w:t>are comparable (given the ‘many other’ languages she is credited with) to those</w:t>
      </w:r>
      <w:r w:rsidRPr="004556E7">
        <w:rPr>
          <w:sz w:val="20"/>
          <w:szCs w:val="20"/>
        </w:rPr>
        <w:t xml:space="preserve"> attributed to Mithradates VI of Pontus (120</w:t>
      </w:r>
      <w:r w:rsidRPr="00C475B8">
        <w:rPr>
          <w:sz w:val="20"/>
          <w:szCs w:val="20"/>
        </w:rPr>
        <w:t>–</w:t>
      </w:r>
      <w:r w:rsidRPr="004556E7">
        <w:rPr>
          <w:sz w:val="20"/>
          <w:szCs w:val="20"/>
        </w:rPr>
        <w:t xml:space="preserve">63 BCE), whose ability as king of twenty-two tribes to give judgments in as many languages, without an interpreter, earned him the admiration of Pliny </w:t>
      </w:r>
      <w:r w:rsidR="00C01280">
        <w:rPr>
          <w:sz w:val="20"/>
          <w:szCs w:val="20"/>
        </w:rPr>
        <w:t>for such</w:t>
      </w:r>
      <w:r w:rsidRPr="004556E7">
        <w:rPr>
          <w:sz w:val="20"/>
          <w:szCs w:val="20"/>
        </w:rPr>
        <w:t xml:space="preserve"> remarkable powers of memory: Pliny, </w:t>
      </w:r>
      <w:r w:rsidR="007835BC">
        <w:rPr>
          <w:i/>
          <w:sz w:val="20"/>
          <w:szCs w:val="20"/>
        </w:rPr>
        <w:t>Natural</w:t>
      </w:r>
      <w:r w:rsidR="00EA6E0E">
        <w:rPr>
          <w:i/>
          <w:sz w:val="20"/>
          <w:szCs w:val="20"/>
        </w:rPr>
        <w:t xml:space="preserve"> History</w:t>
      </w:r>
      <w:r w:rsidRPr="004556E7">
        <w:rPr>
          <w:i/>
          <w:sz w:val="20"/>
          <w:szCs w:val="20"/>
        </w:rPr>
        <w:t xml:space="preserve">. </w:t>
      </w:r>
      <w:r w:rsidRPr="004556E7">
        <w:rPr>
          <w:sz w:val="20"/>
          <w:szCs w:val="20"/>
        </w:rPr>
        <w:t>7.25; cf. variations on this t</w:t>
      </w:r>
      <w:r>
        <w:rPr>
          <w:sz w:val="20"/>
          <w:szCs w:val="20"/>
        </w:rPr>
        <w:t>radition</w:t>
      </w:r>
      <w:r w:rsidRPr="004556E7">
        <w:rPr>
          <w:sz w:val="20"/>
          <w:szCs w:val="20"/>
        </w:rPr>
        <w:t xml:space="preserve"> in Valerius Maximus</w:t>
      </w:r>
      <w:r w:rsidR="0058764D">
        <w:rPr>
          <w:sz w:val="20"/>
          <w:szCs w:val="20"/>
        </w:rPr>
        <w:t xml:space="preserve">, </w:t>
      </w:r>
      <w:r w:rsidR="0058764D" w:rsidRPr="00566472">
        <w:rPr>
          <w:i/>
          <w:sz w:val="20"/>
          <w:szCs w:val="20"/>
        </w:rPr>
        <w:t>Memorable Deeds and Sayings</w:t>
      </w:r>
      <w:r w:rsidRPr="004556E7">
        <w:rPr>
          <w:sz w:val="20"/>
          <w:szCs w:val="20"/>
        </w:rPr>
        <w:t xml:space="preserve"> 8.7.16; Aulus Gellius</w:t>
      </w:r>
      <w:r w:rsidR="0058764D">
        <w:rPr>
          <w:sz w:val="20"/>
          <w:szCs w:val="20"/>
        </w:rPr>
        <w:t xml:space="preserve">, </w:t>
      </w:r>
      <w:r w:rsidR="0058764D" w:rsidRPr="00566472">
        <w:rPr>
          <w:i/>
          <w:sz w:val="20"/>
          <w:szCs w:val="20"/>
        </w:rPr>
        <w:t>Attic Nights</w:t>
      </w:r>
      <w:r w:rsidRPr="004556E7">
        <w:rPr>
          <w:sz w:val="20"/>
          <w:szCs w:val="20"/>
        </w:rPr>
        <w:t xml:space="preserve"> 17.17.1</w:t>
      </w:r>
      <w:r w:rsidRPr="00C475B8">
        <w:rPr>
          <w:sz w:val="20"/>
          <w:szCs w:val="20"/>
        </w:rPr>
        <w:t>–</w:t>
      </w:r>
      <w:r w:rsidRPr="004556E7">
        <w:rPr>
          <w:sz w:val="20"/>
          <w:szCs w:val="20"/>
        </w:rPr>
        <w:t>2</w:t>
      </w:r>
      <w:r>
        <w:rPr>
          <w:sz w:val="20"/>
          <w:szCs w:val="20"/>
        </w:rPr>
        <w:t xml:space="preserve">; cf. Anika Strobach, </w:t>
      </w:r>
      <w:r w:rsidRPr="001A12E8">
        <w:rPr>
          <w:i/>
          <w:sz w:val="20"/>
          <w:szCs w:val="20"/>
        </w:rPr>
        <w:t>Plutarch und die Sprachen: ein Beitrag zur Fremdsprachenproblematik in der Antike</w:t>
      </w:r>
      <w:r>
        <w:rPr>
          <w:sz w:val="20"/>
          <w:szCs w:val="20"/>
        </w:rPr>
        <w:t xml:space="preserve"> (Stuttgart, 1997), 160 (‘Solche Berichte über Sprachgenies gab es öfter in der antiken Literatur’)</w:t>
      </w:r>
      <w:r w:rsidRPr="004556E7">
        <w:rPr>
          <w:sz w:val="20"/>
          <w:szCs w:val="20"/>
        </w:rPr>
        <w:t>.</w:t>
      </w:r>
      <w:r w:rsidRPr="00665AEA">
        <w:rPr>
          <w:b/>
          <w:sz w:val="20"/>
          <w:szCs w:val="20"/>
        </w:rPr>
        <w:t xml:space="preserve"> </w:t>
      </w:r>
      <w:r w:rsidRPr="00810483">
        <w:rPr>
          <w:sz w:val="20"/>
          <w:szCs w:val="20"/>
        </w:rPr>
        <w:t xml:space="preserve">It is not impossible that Cleopatra and her supporters promoted her linguistic skills in deliberate emulation of Mithradates, cf. Roller, </w:t>
      </w:r>
      <w:r w:rsidRPr="00810483">
        <w:rPr>
          <w:i/>
          <w:sz w:val="20"/>
          <w:szCs w:val="20"/>
        </w:rPr>
        <w:t>Cleopatra</w:t>
      </w:r>
      <w:r w:rsidRPr="00810483">
        <w:rPr>
          <w:sz w:val="20"/>
          <w:szCs w:val="20"/>
        </w:rPr>
        <w:t>, 3, 49</w:t>
      </w:r>
      <w:r w:rsidRPr="00C475B8">
        <w:rPr>
          <w:sz w:val="20"/>
          <w:szCs w:val="20"/>
        </w:rPr>
        <w:t>–</w:t>
      </w:r>
      <w:r w:rsidRPr="00810483">
        <w:rPr>
          <w:sz w:val="20"/>
          <w:szCs w:val="20"/>
        </w:rPr>
        <w:t>50</w:t>
      </w:r>
      <w:r>
        <w:rPr>
          <w:sz w:val="20"/>
          <w:szCs w:val="20"/>
        </w:rPr>
        <w:t xml:space="preserve">; for a more sceptical view, Pelling, </w:t>
      </w:r>
      <w:r w:rsidRPr="00F2635A">
        <w:rPr>
          <w:i/>
          <w:sz w:val="20"/>
          <w:szCs w:val="20"/>
        </w:rPr>
        <w:t>Life of Antony</w:t>
      </w:r>
      <w:r>
        <w:rPr>
          <w:sz w:val="20"/>
          <w:szCs w:val="20"/>
        </w:rPr>
        <w:t>, 191.</w:t>
      </w:r>
    </w:p>
  </w:footnote>
  <w:footnote w:id="140">
    <w:p w14:paraId="1C7B8727" w14:textId="31ADDBAB" w:rsidR="00EA696C" w:rsidRPr="003123CC" w:rsidRDefault="00EA696C">
      <w:pPr>
        <w:pStyle w:val="FootnoteText"/>
        <w:rPr>
          <w:sz w:val="20"/>
          <w:szCs w:val="20"/>
        </w:rPr>
      </w:pPr>
      <w:r w:rsidRPr="003123CC">
        <w:rPr>
          <w:rStyle w:val="FootnoteReference"/>
          <w:sz w:val="20"/>
          <w:szCs w:val="20"/>
        </w:rPr>
        <w:footnoteRef/>
      </w:r>
      <w:r w:rsidRPr="003123CC">
        <w:rPr>
          <w:sz w:val="20"/>
          <w:szCs w:val="20"/>
        </w:rPr>
        <w:t xml:space="preserve"> </w:t>
      </w:r>
      <w:r>
        <w:rPr>
          <w:sz w:val="20"/>
          <w:szCs w:val="20"/>
        </w:rPr>
        <w:t xml:space="preserve">Roller, </w:t>
      </w:r>
      <w:r w:rsidRPr="00E56B54">
        <w:rPr>
          <w:i/>
          <w:sz w:val="20"/>
          <w:szCs w:val="20"/>
        </w:rPr>
        <w:t>Cleopatra</w:t>
      </w:r>
      <w:r>
        <w:rPr>
          <w:sz w:val="20"/>
          <w:szCs w:val="20"/>
        </w:rPr>
        <w:t>, 43</w:t>
      </w:r>
      <w:r w:rsidRPr="00C475B8">
        <w:rPr>
          <w:sz w:val="20"/>
          <w:szCs w:val="20"/>
        </w:rPr>
        <w:t>–</w:t>
      </w:r>
      <w:r>
        <w:rPr>
          <w:sz w:val="20"/>
          <w:szCs w:val="20"/>
        </w:rPr>
        <w:t>51.</w:t>
      </w:r>
    </w:p>
  </w:footnote>
  <w:footnote w:id="141">
    <w:p w14:paraId="58E40BF2" w14:textId="5348774A" w:rsidR="00EA696C" w:rsidRPr="008C532F" w:rsidRDefault="00EA696C">
      <w:pPr>
        <w:pStyle w:val="FootnoteText"/>
        <w:rPr>
          <w:sz w:val="20"/>
          <w:szCs w:val="20"/>
        </w:rPr>
      </w:pPr>
      <w:r w:rsidRPr="008C532F">
        <w:rPr>
          <w:rStyle w:val="FootnoteReference"/>
          <w:sz w:val="20"/>
          <w:szCs w:val="20"/>
        </w:rPr>
        <w:footnoteRef/>
      </w:r>
      <w:r w:rsidRPr="008C532F">
        <w:rPr>
          <w:sz w:val="20"/>
          <w:szCs w:val="20"/>
        </w:rPr>
        <w:t xml:space="preserve"> </w:t>
      </w:r>
      <w:r>
        <w:rPr>
          <w:sz w:val="20"/>
          <w:szCs w:val="20"/>
        </w:rPr>
        <w:t xml:space="preserve">Cleopatra’s ability to speak directly with ‘Hebrews’ is treated as positive evidence of her relationship with Jews in, for example, </w:t>
      </w:r>
      <w:r w:rsidRPr="009E6692">
        <w:rPr>
          <w:sz w:val="20"/>
          <w:szCs w:val="20"/>
        </w:rPr>
        <w:t xml:space="preserve">Heinz Heinen, ‘Onomastisches zu Eiras, Kammerzofe Kleopatras VII’, </w:t>
      </w:r>
      <w:r w:rsidRPr="009E6692">
        <w:rPr>
          <w:i/>
          <w:sz w:val="20"/>
          <w:szCs w:val="20"/>
        </w:rPr>
        <w:t>Zeitshcrift für Papyrologie und Epigraphik</w:t>
      </w:r>
      <w:r>
        <w:rPr>
          <w:sz w:val="20"/>
          <w:szCs w:val="20"/>
        </w:rPr>
        <w:t xml:space="preserve"> 79 (1989), 243</w:t>
      </w:r>
      <w:r w:rsidRPr="00C475B8">
        <w:rPr>
          <w:sz w:val="20"/>
          <w:szCs w:val="20"/>
        </w:rPr>
        <w:t>–</w:t>
      </w:r>
      <w:r>
        <w:rPr>
          <w:sz w:val="20"/>
          <w:szCs w:val="20"/>
        </w:rPr>
        <w:t xml:space="preserve">47; republished in Heinen, </w:t>
      </w:r>
      <w:r w:rsidRPr="009E6692">
        <w:rPr>
          <w:i/>
          <w:sz w:val="20"/>
          <w:szCs w:val="20"/>
        </w:rPr>
        <w:t>Kleopatra-Studien: Gesammelte Schriften zur ausgehenden Ptolemäerzeit</w:t>
      </w:r>
      <w:r>
        <w:rPr>
          <w:sz w:val="20"/>
          <w:szCs w:val="20"/>
        </w:rPr>
        <w:t xml:space="preserve"> (Konstanz, 2009), </w:t>
      </w:r>
      <w:r w:rsidRPr="009E6692">
        <w:rPr>
          <w:sz w:val="20"/>
          <w:szCs w:val="20"/>
        </w:rPr>
        <w:t>176</w:t>
      </w:r>
      <w:r w:rsidRPr="00C475B8">
        <w:rPr>
          <w:sz w:val="20"/>
          <w:szCs w:val="20"/>
        </w:rPr>
        <w:t>–</w:t>
      </w:r>
      <w:r w:rsidRPr="009E6692">
        <w:rPr>
          <w:sz w:val="20"/>
          <w:szCs w:val="20"/>
        </w:rPr>
        <w:t>81</w:t>
      </w:r>
      <w:r>
        <w:rPr>
          <w:sz w:val="20"/>
          <w:szCs w:val="20"/>
        </w:rPr>
        <w:t xml:space="preserve"> (181);</w:t>
      </w:r>
      <w:r w:rsidRPr="008C532F">
        <w:rPr>
          <w:sz w:val="20"/>
          <w:szCs w:val="20"/>
        </w:rPr>
        <w:t xml:space="preserve"> </w:t>
      </w:r>
      <w:r>
        <w:rPr>
          <w:sz w:val="20"/>
          <w:szCs w:val="20"/>
        </w:rPr>
        <w:t xml:space="preserve">note </w:t>
      </w:r>
      <w:r w:rsidRPr="008C532F">
        <w:rPr>
          <w:sz w:val="20"/>
          <w:szCs w:val="20"/>
        </w:rPr>
        <w:t xml:space="preserve">Stern’s comment on </w:t>
      </w:r>
      <w:r>
        <w:rPr>
          <w:sz w:val="20"/>
          <w:szCs w:val="20"/>
        </w:rPr>
        <w:t xml:space="preserve">Plutarch, </w:t>
      </w:r>
      <w:r w:rsidRPr="008C532F">
        <w:rPr>
          <w:i/>
          <w:sz w:val="20"/>
          <w:szCs w:val="20"/>
        </w:rPr>
        <w:t>Ant</w:t>
      </w:r>
      <w:r w:rsidR="004946BE" w:rsidRPr="001530E3">
        <w:rPr>
          <w:i/>
          <w:sz w:val="20"/>
          <w:szCs w:val="20"/>
        </w:rPr>
        <w:t>ony</w:t>
      </w:r>
      <w:r w:rsidR="004946BE" w:rsidRPr="008C532F">
        <w:rPr>
          <w:sz w:val="20"/>
          <w:szCs w:val="20"/>
        </w:rPr>
        <w:t xml:space="preserve"> </w:t>
      </w:r>
      <w:r w:rsidRPr="008C532F">
        <w:rPr>
          <w:sz w:val="20"/>
          <w:szCs w:val="20"/>
        </w:rPr>
        <w:t xml:space="preserve">27 that, despite the testimony of Apion in Josephus, ‘there is no reason to assume that she was consistently anti-semitic’: Stern, </w:t>
      </w:r>
      <w:r w:rsidRPr="008C532F">
        <w:rPr>
          <w:i/>
          <w:sz w:val="20"/>
          <w:szCs w:val="20"/>
        </w:rPr>
        <w:t>Greek and Latin Authors</w:t>
      </w:r>
      <w:r w:rsidRPr="008C532F">
        <w:rPr>
          <w:sz w:val="20"/>
          <w:szCs w:val="20"/>
        </w:rPr>
        <w:t>, 568.</w:t>
      </w:r>
      <w:r>
        <w:rPr>
          <w:sz w:val="20"/>
          <w:szCs w:val="20"/>
        </w:rPr>
        <w:t xml:space="preserve"> </w:t>
      </w:r>
    </w:p>
  </w:footnote>
  <w:footnote w:id="142">
    <w:p w14:paraId="2E0B8E52" w14:textId="762C8D3D" w:rsidR="00EA696C" w:rsidRPr="007B11D7" w:rsidRDefault="00EA696C">
      <w:pPr>
        <w:pStyle w:val="FootnoteText"/>
        <w:rPr>
          <w:sz w:val="20"/>
          <w:szCs w:val="20"/>
        </w:rPr>
      </w:pPr>
      <w:r w:rsidRPr="007B11D7">
        <w:rPr>
          <w:rStyle w:val="FootnoteReference"/>
          <w:sz w:val="20"/>
          <w:szCs w:val="20"/>
        </w:rPr>
        <w:footnoteRef/>
      </w:r>
      <w:r w:rsidRPr="007B11D7">
        <w:rPr>
          <w:sz w:val="20"/>
          <w:szCs w:val="20"/>
        </w:rPr>
        <w:t xml:space="preserve"> Roller, </w:t>
      </w:r>
      <w:r w:rsidRPr="007B11D7">
        <w:rPr>
          <w:i/>
          <w:sz w:val="20"/>
          <w:szCs w:val="20"/>
        </w:rPr>
        <w:t>Cleopatra</w:t>
      </w:r>
      <w:r w:rsidRPr="007B11D7">
        <w:rPr>
          <w:sz w:val="20"/>
          <w:szCs w:val="20"/>
        </w:rPr>
        <w:t xml:space="preserve">, 47. </w:t>
      </w:r>
    </w:p>
  </w:footnote>
  <w:footnote w:id="143">
    <w:p w14:paraId="4A284FD9" w14:textId="3F6D4E7C" w:rsidR="00EA696C" w:rsidRPr="005A7AE6" w:rsidRDefault="00EA696C">
      <w:pPr>
        <w:pStyle w:val="FootnoteText"/>
        <w:rPr>
          <w:sz w:val="20"/>
          <w:szCs w:val="20"/>
        </w:rPr>
      </w:pPr>
      <w:r w:rsidRPr="005A7AE6">
        <w:rPr>
          <w:rStyle w:val="FootnoteReference"/>
          <w:sz w:val="20"/>
          <w:szCs w:val="20"/>
        </w:rPr>
        <w:footnoteRef/>
      </w:r>
      <w:r w:rsidRPr="005A7AE6">
        <w:rPr>
          <w:sz w:val="20"/>
          <w:szCs w:val="20"/>
        </w:rPr>
        <w:t xml:space="preserve"> Plutarch, </w:t>
      </w:r>
      <w:r>
        <w:rPr>
          <w:i/>
          <w:sz w:val="20"/>
          <w:szCs w:val="20"/>
        </w:rPr>
        <w:t>Convivial Questions</w:t>
      </w:r>
      <w:r w:rsidRPr="005A7AE6">
        <w:rPr>
          <w:sz w:val="20"/>
          <w:szCs w:val="20"/>
        </w:rPr>
        <w:t xml:space="preserve"> 671c.</w:t>
      </w:r>
    </w:p>
  </w:footnote>
  <w:footnote w:id="144">
    <w:p w14:paraId="36924E77" w14:textId="5D4677FB" w:rsidR="00EA696C" w:rsidRPr="00806348" w:rsidRDefault="00EA696C">
      <w:pPr>
        <w:pStyle w:val="FootnoteText"/>
        <w:rPr>
          <w:sz w:val="20"/>
          <w:szCs w:val="20"/>
        </w:rPr>
      </w:pPr>
      <w:r w:rsidRPr="00806348">
        <w:rPr>
          <w:rStyle w:val="FootnoteReference"/>
          <w:sz w:val="20"/>
          <w:szCs w:val="20"/>
        </w:rPr>
        <w:footnoteRef/>
      </w:r>
      <w:r w:rsidRPr="00806348">
        <w:rPr>
          <w:sz w:val="20"/>
          <w:szCs w:val="20"/>
        </w:rPr>
        <w:t xml:space="preserve"> On Plutarch’s source for the description of the Jerusalem temple in this context: Stern, </w:t>
      </w:r>
      <w:r w:rsidRPr="00806348">
        <w:rPr>
          <w:i/>
          <w:sz w:val="20"/>
          <w:szCs w:val="20"/>
        </w:rPr>
        <w:t>Greek and Latin Authors</w:t>
      </w:r>
      <w:r>
        <w:rPr>
          <w:sz w:val="20"/>
          <w:szCs w:val="20"/>
        </w:rPr>
        <w:t>,</w:t>
      </w:r>
      <w:r w:rsidRPr="00806348">
        <w:rPr>
          <w:sz w:val="20"/>
          <w:szCs w:val="20"/>
        </w:rPr>
        <w:t xml:space="preserve"> Vol. 1, 546.</w:t>
      </w:r>
    </w:p>
  </w:footnote>
  <w:footnote w:id="145">
    <w:p w14:paraId="54222639" w14:textId="5F68C050" w:rsidR="00EA696C" w:rsidRPr="009C2FF7" w:rsidRDefault="00EA696C">
      <w:pPr>
        <w:pStyle w:val="FootnoteText"/>
        <w:rPr>
          <w:sz w:val="20"/>
          <w:szCs w:val="20"/>
        </w:rPr>
      </w:pPr>
      <w:r w:rsidRPr="00C41422">
        <w:rPr>
          <w:rStyle w:val="FootnoteReference"/>
          <w:sz w:val="20"/>
          <w:szCs w:val="20"/>
        </w:rPr>
        <w:footnoteRef/>
      </w:r>
      <w:r w:rsidRPr="009C2FF7">
        <w:rPr>
          <w:sz w:val="20"/>
          <w:szCs w:val="20"/>
        </w:rPr>
        <w:t xml:space="preserve"> Plutarch, </w:t>
      </w:r>
      <w:r>
        <w:rPr>
          <w:i/>
          <w:sz w:val="20"/>
          <w:szCs w:val="20"/>
        </w:rPr>
        <w:t>Convivial Questions</w:t>
      </w:r>
      <w:r>
        <w:rPr>
          <w:sz w:val="20"/>
          <w:szCs w:val="20"/>
        </w:rPr>
        <w:t xml:space="preserve"> 669d,e; 670d; 671c.</w:t>
      </w:r>
    </w:p>
  </w:footnote>
  <w:footnote w:id="146">
    <w:p w14:paraId="0154F3FB" w14:textId="7703E910" w:rsidR="00EA696C" w:rsidRPr="000C6605" w:rsidRDefault="00EA696C">
      <w:pPr>
        <w:pStyle w:val="FootnoteText"/>
        <w:rPr>
          <w:sz w:val="20"/>
          <w:szCs w:val="20"/>
        </w:rPr>
      </w:pPr>
      <w:r w:rsidRPr="00236444">
        <w:rPr>
          <w:rStyle w:val="FootnoteReference"/>
          <w:sz w:val="20"/>
          <w:szCs w:val="20"/>
        </w:rPr>
        <w:footnoteRef/>
      </w:r>
      <w:r w:rsidRPr="00236444">
        <w:rPr>
          <w:sz w:val="20"/>
          <w:szCs w:val="20"/>
        </w:rPr>
        <w:t xml:space="preserve"> Stern, </w:t>
      </w:r>
      <w:r w:rsidRPr="00236444">
        <w:rPr>
          <w:i/>
          <w:sz w:val="20"/>
          <w:szCs w:val="20"/>
        </w:rPr>
        <w:t>Greek and Latin Authors</w:t>
      </w:r>
      <w:r w:rsidRPr="00236444">
        <w:rPr>
          <w:sz w:val="20"/>
          <w:szCs w:val="20"/>
        </w:rPr>
        <w:t>, Vol. 1, 559: ‘Plutarch belongs to the generation of</w:t>
      </w:r>
      <w:r w:rsidR="00DF166F">
        <w:rPr>
          <w:sz w:val="20"/>
          <w:szCs w:val="20"/>
        </w:rPr>
        <w:t xml:space="preserve"> </w:t>
      </w:r>
      <w:r w:rsidRPr="00236444">
        <w:rPr>
          <w:sz w:val="20"/>
          <w:szCs w:val="20"/>
        </w:rPr>
        <w:t xml:space="preserve">writers who started to use “Hebrews” instead of or together with “Jews”’ (see references ad loc.). From the early hellenistic period on, the term </w:t>
      </w:r>
      <w:r w:rsidRPr="00236444">
        <w:rPr>
          <w:i/>
          <w:sz w:val="20"/>
          <w:szCs w:val="20"/>
        </w:rPr>
        <w:t>Hebraios</w:t>
      </w:r>
      <w:r w:rsidRPr="00236444">
        <w:rPr>
          <w:sz w:val="20"/>
          <w:szCs w:val="20"/>
        </w:rPr>
        <w:t>/</w:t>
      </w:r>
      <w:r w:rsidRPr="00236444">
        <w:rPr>
          <w:i/>
          <w:sz w:val="20"/>
          <w:szCs w:val="20"/>
        </w:rPr>
        <w:t>oi</w:t>
      </w:r>
      <w:r w:rsidRPr="00236444">
        <w:rPr>
          <w:sz w:val="20"/>
          <w:szCs w:val="20"/>
        </w:rPr>
        <w:t xml:space="preserve"> is used by Greek-speaking Jews to designate both themselves and their ancestors, cf. BDAG s.v. </w:t>
      </w:r>
      <w:r w:rsidRPr="00236444">
        <w:rPr>
          <w:sz w:val="20"/>
          <w:szCs w:val="20"/>
          <w:lang w:val="el-GR"/>
        </w:rPr>
        <w:t>Ἑβραῖος</w:t>
      </w:r>
      <w:r>
        <w:rPr>
          <w:sz w:val="20"/>
          <w:szCs w:val="20"/>
          <w:lang w:val="el-GR"/>
        </w:rPr>
        <w:t xml:space="preserve">; Graham Harvey, </w:t>
      </w:r>
      <w:r w:rsidRPr="00706D79">
        <w:rPr>
          <w:i/>
          <w:sz w:val="20"/>
          <w:szCs w:val="20"/>
          <w:lang w:val="el-GR"/>
        </w:rPr>
        <w:t>The True Israel: Uses of the Names Jew, Hebrew, and Israel in Ancient Jewish and Early Christian Literature</w:t>
      </w:r>
      <w:r>
        <w:rPr>
          <w:sz w:val="20"/>
          <w:szCs w:val="20"/>
          <w:lang w:val="el-GR"/>
        </w:rPr>
        <w:t xml:space="preserve"> (Leiden, 1996), 104</w:t>
      </w:r>
      <w:r w:rsidRPr="00C475B8">
        <w:rPr>
          <w:sz w:val="20"/>
          <w:szCs w:val="20"/>
        </w:rPr>
        <w:t>–</w:t>
      </w:r>
      <w:r>
        <w:rPr>
          <w:sz w:val="20"/>
          <w:szCs w:val="20"/>
          <w:lang w:val="el-GR"/>
        </w:rPr>
        <w:t>147</w:t>
      </w:r>
      <w:r w:rsidRPr="00236444">
        <w:rPr>
          <w:sz w:val="20"/>
          <w:szCs w:val="20"/>
        </w:rPr>
        <w:t>.</w:t>
      </w:r>
      <w:r>
        <w:rPr>
          <w:sz w:val="20"/>
          <w:szCs w:val="20"/>
        </w:rPr>
        <w:t xml:space="preserve"> In some contexts, ‘Hebrew/s’ clearly refers to a particular territory (e.g. Tacitus</w:t>
      </w:r>
      <w:r w:rsidR="00AF169A">
        <w:rPr>
          <w:sz w:val="20"/>
          <w:szCs w:val="20"/>
        </w:rPr>
        <w:t xml:space="preserve">, </w:t>
      </w:r>
      <w:r w:rsidR="00AF169A" w:rsidRPr="001530E3">
        <w:rPr>
          <w:i/>
          <w:sz w:val="20"/>
          <w:szCs w:val="20"/>
        </w:rPr>
        <w:t>Histories</w:t>
      </w:r>
      <w:r w:rsidR="00AF169A">
        <w:rPr>
          <w:sz w:val="20"/>
          <w:szCs w:val="20"/>
        </w:rPr>
        <w:t xml:space="preserve"> 5.2.2</w:t>
      </w:r>
      <w:r>
        <w:rPr>
          <w:sz w:val="20"/>
          <w:szCs w:val="20"/>
        </w:rPr>
        <w:t>; Pausanias</w:t>
      </w:r>
      <w:r w:rsidR="00AF169A">
        <w:rPr>
          <w:sz w:val="20"/>
          <w:szCs w:val="20"/>
        </w:rPr>
        <w:t xml:space="preserve">, </w:t>
      </w:r>
      <w:r w:rsidR="00AF169A" w:rsidRPr="001530E3">
        <w:rPr>
          <w:i/>
          <w:sz w:val="20"/>
          <w:szCs w:val="20"/>
        </w:rPr>
        <w:t>Description of Greece</w:t>
      </w:r>
      <w:r>
        <w:rPr>
          <w:sz w:val="20"/>
          <w:szCs w:val="20"/>
        </w:rPr>
        <w:t xml:space="preserve"> 5.7.4); or to the speakers of a specific language (e.g. Philo, </w:t>
      </w:r>
      <w:r w:rsidRPr="00AB2010">
        <w:rPr>
          <w:i/>
          <w:sz w:val="20"/>
          <w:szCs w:val="20"/>
        </w:rPr>
        <w:t>Mos</w:t>
      </w:r>
      <w:r w:rsidRPr="001530E3">
        <w:rPr>
          <w:i/>
          <w:sz w:val="20"/>
          <w:szCs w:val="20"/>
        </w:rPr>
        <w:t>es</w:t>
      </w:r>
      <w:r>
        <w:rPr>
          <w:sz w:val="20"/>
          <w:szCs w:val="20"/>
        </w:rPr>
        <w:t xml:space="preserve"> 2.32; Josephus, </w:t>
      </w:r>
      <w:r w:rsidRPr="003F088A">
        <w:rPr>
          <w:i/>
          <w:sz w:val="20"/>
          <w:szCs w:val="20"/>
        </w:rPr>
        <w:t>War</w:t>
      </w:r>
      <w:r>
        <w:rPr>
          <w:sz w:val="20"/>
          <w:szCs w:val="20"/>
        </w:rPr>
        <w:t xml:space="preserve"> 6.97; Lucian, </w:t>
      </w:r>
      <w:r w:rsidRPr="00773D6A">
        <w:rPr>
          <w:i/>
          <w:sz w:val="20"/>
          <w:szCs w:val="20"/>
        </w:rPr>
        <w:t xml:space="preserve">Alexander </w:t>
      </w:r>
      <w:r w:rsidR="000D77EF">
        <w:rPr>
          <w:i/>
          <w:sz w:val="20"/>
          <w:szCs w:val="20"/>
        </w:rPr>
        <w:t>the False Prophet</w:t>
      </w:r>
      <w:r w:rsidR="000D77EF">
        <w:rPr>
          <w:sz w:val="20"/>
          <w:szCs w:val="20"/>
        </w:rPr>
        <w:t xml:space="preserve"> </w:t>
      </w:r>
      <w:r>
        <w:rPr>
          <w:sz w:val="20"/>
          <w:szCs w:val="20"/>
        </w:rPr>
        <w:t xml:space="preserve">13). </w:t>
      </w:r>
    </w:p>
  </w:footnote>
  <w:footnote w:id="147">
    <w:p w14:paraId="5EA34436" w14:textId="56569448" w:rsidR="00EA696C" w:rsidRPr="0048020E" w:rsidRDefault="00EA696C">
      <w:pPr>
        <w:pStyle w:val="FootnoteText"/>
        <w:rPr>
          <w:sz w:val="20"/>
          <w:szCs w:val="20"/>
        </w:rPr>
      </w:pPr>
      <w:r w:rsidRPr="0048020E">
        <w:rPr>
          <w:rStyle w:val="FootnoteReference"/>
          <w:sz w:val="20"/>
          <w:szCs w:val="20"/>
        </w:rPr>
        <w:footnoteRef/>
      </w:r>
      <w:r w:rsidRPr="0048020E">
        <w:rPr>
          <w:sz w:val="20"/>
          <w:szCs w:val="20"/>
        </w:rPr>
        <w:t xml:space="preserve"> On whether Josephus spoke Hebrew as well as Aramaic: Rajak, </w:t>
      </w:r>
      <w:r w:rsidRPr="0048020E">
        <w:rPr>
          <w:i/>
          <w:sz w:val="20"/>
          <w:szCs w:val="20"/>
        </w:rPr>
        <w:t>Josephus</w:t>
      </w:r>
      <w:r w:rsidRPr="0048020E">
        <w:rPr>
          <w:sz w:val="20"/>
          <w:szCs w:val="20"/>
        </w:rPr>
        <w:t>, 230</w:t>
      </w:r>
      <w:r w:rsidRPr="00C475B8">
        <w:rPr>
          <w:sz w:val="20"/>
          <w:szCs w:val="20"/>
        </w:rPr>
        <w:t>–</w:t>
      </w:r>
      <w:r w:rsidRPr="0048020E">
        <w:rPr>
          <w:sz w:val="20"/>
          <w:szCs w:val="20"/>
        </w:rPr>
        <w:t>32.</w:t>
      </w:r>
    </w:p>
  </w:footnote>
  <w:footnote w:id="148">
    <w:p w14:paraId="33958862" w14:textId="6C110C96" w:rsidR="00EA696C" w:rsidRPr="00BA3029" w:rsidRDefault="00EA696C">
      <w:pPr>
        <w:pStyle w:val="FootnoteText"/>
        <w:rPr>
          <w:sz w:val="20"/>
          <w:szCs w:val="20"/>
        </w:rPr>
      </w:pPr>
      <w:r w:rsidRPr="00BA3029">
        <w:rPr>
          <w:rStyle w:val="FootnoteReference"/>
          <w:sz w:val="20"/>
          <w:szCs w:val="20"/>
        </w:rPr>
        <w:footnoteRef/>
      </w:r>
      <w:r w:rsidRPr="00BA3029">
        <w:rPr>
          <w:sz w:val="20"/>
          <w:szCs w:val="20"/>
        </w:rPr>
        <w:t xml:space="preserve"> Plutarch refers to ‘Herod the Jew’ as part of the alliance that sent forces to Antony at Actium: Plutarch, </w:t>
      </w:r>
      <w:r w:rsidRPr="00BA3029">
        <w:rPr>
          <w:i/>
          <w:sz w:val="20"/>
          <w:szCs w:val="20"/>
        </w:rPr>
        <w:t>Ant</w:t>
      </w:r>
      <w:r w:rsidR="00EE2448">
        <w:rPr>
          <w:i/>
          <w:sz w:val="20"/>
          <w:szCs w:val="20"/>
        </w:rPr>
        <w:t>ony</w:t>
      </w:r>
      <w:r w:rsidRPr="00BA3029">
        <w:rPr>
          <w:sz w:val="20"/>
          <w:szCs w:val="20"/>
        </w:rPr>
        <w:t xml:space="preserve"> 61.3.</w:t>
      </w:r>
    </w:p>
  </w:footnote>
  <w:footnote w:id="149">
    <w:p w14:paraId="71FDE4CF" w14:textId="1AD8F640" w:rsidR="00EA696C" w:rsidRPr="00F946B3" w:rsidRDefault="00EA696C">
      <w:pPr>
        <w:pStyle w:val="FootnoteText"/>
        <w:rPr>
          <w:sz w:val="20"/>
          <w:szCs w:val="20"/>
          <w:lang w:val="el-GR"/>
        </w:rPr>
      </w:pPr>
      <w:r w:rsidRPr="00D6028A">
        <w:rPr>
          <w:rStyle w:val="FootnoteReference"/>
          <w:sz w:val="20"/>
          <w:szCs w:val="20"/>
        </w:rPr>
        <w:footnoteRef/>
      </w:r>
      <w:r w:rsidRPr="00D6028A">
        <w:rPr>
          <w:sz w:val="20"/>
          <w:szCs w:val="20"/>
        </w:rPr>
        <w:t xml:space="preserve"> Eiras: PP 14720</w:t>
      </w:r>
      <w:r>
        <w:rPr>
          <w:sz w:val="20"/>
          <w:szCs w:val="20"/>
        </w:rPr>
        <w:t xml:space="preserve">. Other ancient sources that name Eiras with Charmion as among Cleopatra’s companions: Pseudo-Plutarch, </w:t>
      </w:r>
      <w:r w:rsidR="006618D5">
        <w:rPr>
          <w:i/>
          <w:sz w:val="20"/>
          <w:szCs w:val="20"/>
        </w:rPr>
        <w:t>Proverbs of the Alexandrians</w:t>
      </w:r>
      <w:r w:rsidRPr="00AA1BF3">
        <w:rPr>
          <w:i/>
          <w:sz w:val="20"/>
          <w:szCs w:val="20"/>
        </w:rPr>
        <w:t xml:space="preserve"> </w:t>
      </w:r>
      <w:r>
        <w:rPr>
          <w:sz w:val="20"/>
          <w:szCs w:val="20"/>
        </w:rPr>
        <w:t xml:space="preserve">Fr. 45, l. 1 (Eiras was tasked with the care of Cleopatra’s hair while Charmion dealt with the Queen’s nails; the same in Zenobius, </w:t>
      </w:r>
      <w:r w:rsidRPr="009D22DA">
        <w:rPr>
          <w:i/>
          <w:sz w:val="20"/>
          <w:szCs w:val="20"/>
        </w:rPr>
        <w:t xml:space="preserve">Epitome </w:t>
      </w:r>
      <w:r w:rsidR="00BF0A3D">
        <w:rPr>
          <w:i/>
          <w:sz w:val="20"/>
          <w:szCs w:val="20"/>
        </w:rPr>
        <w:t>of Didymus’ and Lucillus Tarrhaeus’ Collections of Proverbs</w:t>
      </w:r>
      <w:r>
        <w:rPr>
          <w:sz w:val="20"/>
          <w:szCs w:val="20"/>
        </w:rPr>
        <w:t xml:space="preserve"> 5.24 who, however, gives the name Naera instead of Eiras); Zonaras, </w:t>
      </w:r>
      <w:r w:rsidRPr="00AA1BF3">
        <w:rPr>
          <w:i/>
          <w:sz w:val="20"/>
          <w:szCs w:val="20"/>
        </w:rPr>
        <w:t xml:space="preserve">Epitome </w:t>
      </w:r>
      <w:r w:rsidR="00CA5564">
        <w:rPr>
          <w:i/>
          <w:sz w:val="20"/>
          <w:szCs w:val="20"/>
        </w:rPr>
        <w:t>of Histories</w:t>
      </w:r>
      <w:r w:rsidR="00CA5564">
        <w:rPr>
          <w:sz w:val="20"/>
          <w:szCs w:val="20"/>
        </w:rPr>
        <w:t xml:space="preserve"> </w:t>
      </w:r>
      <w:r>
        <w:rPr>
          <w:sz w:val="20"/>
          <w:szCs w:val="20"/>
        </w:rPr>
        <w:t xml:space="preserve">2.432, l. 30 (closely follows Plutarch, </w:t>
      </w:r>
      <w:r w:rsidRPr="00F21FEB">
        <w:rPr>
          <w:i/>
          <w:sz w:val="20"/>
          <w:szCs w:val="20"/>
        </w:rPr>
        <w:t>Ant</w:t>
      </w:r>
      <w:r w:rsidR="00106CF4" w:rsidRPr="001530E3">
        <w:rPr>
          <w:i/>
          <w:sz w:val="20"/>
          <w:szCs w:val="20"/>
        </w:rPr>
        <w:t>ony</w:t>
      </w:r>
      <w:r>
        <w:rPr>
          <w:sz w:val="20"/>
          <w:szCs w:val="20"/>
        </w:rPr>
        <w:t xml:space="preserve"> 85.7). Naera (Νάηρα) and Charmion: Zenobius, </w:t>
      </w:r>
      <w:r w:rsidRPr="00F946B3">
        <w:rPr>
          <w:i/>
          <w:sz w:val="20"/>
          <w:szCs w:val="20"/>
        </w:rPr>
        <w:t>Epitome</w:t>
      </w:r>
      <w:r>
        <w:rPr>
          <w:sz w:val="20"/>
          <w:szCs w:val="20"/>
        </w:rPr>
        <w:t xml:space="preserve"> 5.24. Naeira (Νάειρα) and Charmion: Galen, 14.235</w:t>
      </w:r>
      <w:r w:rsidRPr="00C475B8">
        <w:rPr>
          <w:sz w:val="20"/>
          <w:szCs w:val="20"/>
        </w:rPr>
        <w:t>–</w:t>
      </w:r>
      <w:r>
        <w:rPr>
          <w:sz w:val="20"/>
          <w:szCs w:val="20"/>
        </w:rPr>
        <w:t>36</w:t>
      </w:r>
      <w:r w:rsidRPr="000B632B">
        <w:rPr>
          <w:sz w:val="20"/>
          <w:szCs w:val="20"/>
        </w:rPr>
        <w:t>.</w:t>
      </w:r>
    </w:p>
  </w:footnote>
  <w:footnote w:id="150">
    <w:p w14:paraId="53B6E592" w14:textId="106BC307" w:rsidR="00EA696C" w:rsidRPr="00054481" w:rsidRDefault="00EA696C" w:rsidP="009C0F35">
      <w:pPr>
        <w:pStyle w:val="FootnoteText"/>
        <w:rPr>
          <w:sz w:val="20"/>
          <w:szCs w:val="20"/>
        </w:rPr>
      </w:pPr>
      <w:r w:rsidRPr="00054481">
        <w:rPr>
          <w:rStyle w:val="FootnoteReference"/>
          <w:sz w:val="20"/>
          <w:szCs w:val="20"/>
        </w:rPr>
        <w:footnoteRef/>
      </w:r>
      <w:r w:rsidRPr="00054481">
        <w:rPr>
          <w:sz w:val="20"/>
          <w:szCs w:val="20"/>
        </w:rPr>
        <w:t xml:space="preserve"> Plutarch, </w:t>
      </w:r>
      <w:r w:rsidRPr="00054481">
        <w:rPr>
          <w:i/>
          <w:sz w:val="20"/>
          <w:szCs w:val="20"/>
        </w:rPr>
        <w:t>Ant</w:t>
      </w:r>
      <w:r w:rsidR="00624CC9">
        <w:rPr>
          <w:i/>
          <w:sz w:val="20"/>
          <w:szCs w:val="20"/>
        </w:rPr>
        <w:t>ony</w:t>
      </w:r>
      <w:r w:rsidRPr="00054481">
        <w:rPr>
          <w:sz w:val="20"/>
          <w:szCs w:val="20"/>
        </w:rPr>
        <w:t xml:space="preserve"> 60.1 (tr. </w:t>
      </w:r>
      <w:r>
        <w:rPr>
          <w:sz w:val="20"/>
          <w:szCs w:val="20"/>
        </w:rPr>
        <w:t xml:space="preserve">Bernadotte </w:t>
      </w:r>
      <w:r w:rsidRPr="00054481">
        <w:rPr>
          <w:sz w:val="20"/>
          <w:szCs w:val="20"/>
        </w:rPr>
        <w:t>Perrin</w:t>
      </w:r>
      <w:r>
        <w:rPr>
          <w:sz w:val="20"/>
          <w:szCs w:val="20"/>
        </w:rPr>
        <w:t>, adapted</w:t>
      </w:r>
      <w:r w:rsidRPr="00054481">
        <w:rPr>
          <w:sz w:val="20"/>
          <w:szCs w:val="20"/>
        </w:rPr>
        <w:t>).</w:t>
      </w:r>
    </w:p>
  </w:footnote>
  <w:footnote w:id="151">
    <w:p w14:paraId="0B8F7559" w14:textId="029DC882" w:rsidR="00EA696C" w:rsidRPr="001D3126" w:rsidRDefault="00EA696C" w:rsidP="006B6114">
      <w:pPr>
        <w:pStyle w:val="FootnoteText"/>
        <w:rPr>
          <w:sz w:val="20"/>
          <w:szCs w:val="20"/>
        </w:rPr>
      </w:pPr>
      <w:r w:rsidRPr="001D3126">
        <w:rPr>
          <w:rStyle w:val="FootnoteReference"/>
          <w:sz w:val="20"/>
          <w:szCs w:val="20"/>
        </w:rPr>
        <w:footnoteRef/>
      </w:r>
      <w:r w:rsidRPr="001D3126">
        <w:rPr>
          <w:sz w:val="20"/>
          <w:szCs w:val="20"/>
        </w:rPr>
        <w:t xml:space="preserve"> </w:t>
      </w:r>
      <w:r>
        <w:rPr>
          <w:sz w:val="20"/>
          <w:szCs w:val="20"/>
        </w:rPr>
        <w:t>Cassius Dio 50.24.1</w:t>
      </w:r>
      <w:r w:rsidRPr="00C475B8">
        <w:rPr>
          <w:sz w:val="20"/>
          <w:szCs w:val="20"/>
        </w:rPr>
        <w:t>–</w:t>
      </w:r>
      <w:r>
        <w:rPr>
          <w:sz w:val="20"/>
          <w:szCs w:val="20"/>
        </w:rPr>
        <w:t>30.4; cf. also the articulation of the theme of Antony as ‘slave’ to ‘the Egyptian woman’ (48.24.2), and of Antony’s own effeminacy (</w:t>
      </w:r>
      <w:r w:rsidRPr="00A26D0F">
        <w:rPr>
          <w:sz w:val="20"/>
          <w:szCs w:val="20"/>
          <w:lang w:val="el-GR"/>
        </w:rPr>
        <w:t>γυναικίζει, 50.7.6</w:t>
      </w:r>
      <w:r>
        <w:rPr>
          <w:sz w:val="20"/>
          <w:szCs w:val="20"/>
        </w:rPr>
        <w:t xml:space="preserve">). </w:t>
      </w:r>
    </w:p>
  </w:footnote>
  <w:footnote w:id="152">
    <w:p w14:paraId="7CBCD467" w14:textId="4D945D3B" w:rsidR="00EA696C" w:rsidRPr="00FE10A1" w:rsidRDefault="00EA696C">
      <w:pPr>
        <w:pStyle w:val="FootnoteText"/>
        <w:rPr>
          <w:sz w:val="20"/>
          <w:szCs w:val="20"/>
        </w:rPr>
      </w:pPr>
      <w:r w:rsidRPr="00FE10A1">
        <w:rPr>
          <w:rStyle w:val="FootnoteReference"/>
          <w:sz w:val="20"/>
          <w:szCs w:val="20"/>
        </w:rPr>
        <w:footnoteRef/>
      </w:r>
      <w:r w:rsidRPr="00FE10A1">
        <w:rPr>
          <w:sz w:val="20"/>
          <w:szCs w:val="20"/>
        </w:rPr>
        <w:t xml:space="preserve"> Horace, </w:t>
      </w:r>
      <w:r w:rsidRPr="00FE10A1">
        <w:rPr>
          <w:i/>
          <w:sz w:val="20"/>
          <w:szCs w:val="20"/>
        </w:rPr>
        <w:t>Epode</w:t>
      </w:r>
      <w:r w:rsidRPr="00FE10A1">
        <w:rPr>
          <w:sz w:val="20"/>
          <w:szCs w:val="20"/>
        </w:rPr>
        <w:t xml:space="preserve"> 9, </w:t>
      </w:r>
      <w:r>
        <w:rPr>
          <w:sz w:val="20"/>
          <w:szCs w:val="20"/>
        </w:rPr>
        <w:t>11</w:t>
      </w:r>
      <w:r w:rsidRPr="00C475B8">
        <w:rPr>
          <w:sz w:val="20"/>
          <w:szCs w:val="20"/>
        </w:rPr>
        <w:t>–</w:t>
      </w:r>
      <w:r>
        <w:rPr>
          <w:sz w:val="20"/>
          <w:szCs w:val="20"/>
        </w:rPr>
        <w:t>16 (tr. Niall Rudd).</w:t>
      </w:r>
    </w:p>
  </w:footnote>
  <w:footnote w:id="153">
    <w:p w14:paraId="3522673A" w14:textId="722FA269" w:rsidR="00EA696C" w:rsidRPr="00304D74" w:rsidRDefault="00EA696C">
      <w:pPr>
        <w:pStyle w:val="FootnoteText"/>
        <w:rPr>
          <w:sz w:val="20"/>
          <w:szCs w:val="20"/>
        </w:rPr>
      </w:pPr>
      <w:r w:rsidRPr="00304D74">
        <w:rPr>
          <w:rStyle w:val="FootnoteReference"/>
          <w:sz w:val="20"/>
          <w:szCs w:val="20"/>
        </w:rPr>
        <w:footnoteRef/>
      </w:r>
      <w:r w:rsidRPr="00304D74">
        <w:rPr>
          <w:sz w:val="20"/>
          <w:szCs w:val="20"/>
        </w:rPr>
        <w:t xml:space="preserve"> Strabo 17.1.12.</w:t>
      </w:r>
    </w:p>
  </w:footnote>
  <w:footnote w:id="154">
    <w:p w14:paraId="19DFB20A" w14:textId="4FC98284" w:rsidR="00EA696C" w:rsidRPr="00B41867" w:rsidRDefault="00EA696C" w:rsidP="00654764">
      <w:pPr>
        <w:pStyle w:val="FootnoteText"/>
        <w:rPr>
          <w:sz w:val="20"/>
          <w:szCs w:val="20"/>
        </w:rPr>
      </w:pPr>
      <w:r w:rsidRPr="00B41867">
        <w:rPr>
          <w:rStyle w:val="FootnoteReference"/>
          <w:sz w:val="20"/>
          <w:szCs w:val="20"/>
        </w:rPr>
        <w:footnoteRef/>
      </w:r>
      <w:r w:rsidRPr="00B41867">
        <w:rPr>
          <w:sz w:val="20"/>
          <w:szCs w:val="20"/>
        </w:rPr>
        <w:t xml:space="preserve"> Plutarch, </w:t>
      </w:r>
      <w:r w:rsidRPr="00B41867">
        <w:rPr>
          <w:i/>
          <w:sz w:val="20"/>
          <w:szCs w:val="20"/>
        </w:rPr>
        <w:t>Ant</w:t>
      </w:r>
      <w:r w:rsidR="00E55432">
        <w:rPr>
          <w:i/>
          <w:sz w:val="20"/>
          <w:szCs w:val="20"/>
        </w:rPr>
        <w:t>ony</w:t>
      </w:r>
      <w:r w:rsidRPr="00B41867">
        <w:rPr>
          <w:sz w:val="20"/>
          <w:szCs w:val="20"/>
        </w:rPr>
        <w:t xml:space="preserve"> 60.1.</w:t>
      </w:r>
    </w:p>
  </w:footnote>
  <w:footnote w:id="155">
    <w:p w14:paraId="15907956" w14:textId="12F61CC3" w:rsidR="00EA696C" w:rsidRPr="0016379F" w:rsidRDefault="00EA696C">
      <w:pPr>
        <w:pStyle w:val="FootnoteText"/>
        <w:rPr>
          <w:sz w:val="20"/>
          <w:szCs w:val="20"/>
        </w:rPr>
      </w:pPr>
      <w:r w:rsidRPr="0016379F">
        <w:rPr>
          <w:rStyle w:val="FootnoteReference"/>
          <w:sz w:val="20"/>
          <w:szCs w:val="20"/>
        </w:rPr>
        <w:footnoteRef/>
      </w:r>
      <w:r w:rsidRPr="0016379F">
        <w:rPr>
          <w:sz w:val="20"/>
          <w:szCs w:val="20"/>
        </w:rPr>
        <w:t xml:space="preserve"> </w:t>
      </w:r>
      <w:r>
        <w:rPr>
          <w:sz w:val="20"/>
          <w:szCs w:val="20"/>
        </w:rPr>
        <w:t xml:space="preserve">Pelling, </w:t>
      </w:r>
      <w:r w:rsidRPr="005D31E9">
        <w:rPr>
          <w:i/>
          <w:sz w:val="20"/>
          <w:szCs w:val="20"/>
        </w:rPr>
        <w:t>Life of Antony</w:t>
      </w:r>
      <w:r>
        <w:rPr>
          <w:sz w:val="20"/>
          <w:szCs w:val="20"/>
        </w:rPr>
        <w:t>, 264. Reference</w:t>
      </w:r>
      <w:r w:rsidRPr="0016379F">
        <w:rPr>
          <w:sz w:val="20"/>
          <w:szCs w:val="20"/>
        </w:rPr>
        <w:t xml:space="preserve"> to Potheinos</w:t>
      </w:r>
      <w:r>
        <w:rPr>
          <w:sz w:val="20"/>
          <w:szCs w:val="20"/>
        </w:rPr>
        <w:t xml:space="preserve"> seems to be either an error or a deliberate confusion with the courtier of Ptolemy XIII. The eunuch Potheinos was a figure remembered as hostile to Rome; influential</w:t>
      </w:r>
      <w:r w:rsidRPr="0016379F">
        <w:rPr>
          <w:sz w:val="20"/>
          <w:szCs w:val="20"/>
        </w:rPr>
        <w:t xml:space="preserve"> </w:t>
      </w:r>
      <w:r>
        <w:rPr>
          <w:sz w:val="20"/>
          <w:szCs w:val="20"/>
        </w:rPr>
        <w:t>in</w:t>
      </w:r>
      <w:r w:rsidRPr="0016379F">
        <w:rPr>
          <w:sz w:val="20"/>
          <w:szCs w:val="20"/>
        </w:rPr>
        <w:t xml:space="preserve"> promot</w:t>
      </w:r>
      <w:r>
        <w:rPr>
          <w:sz w:val="20"/>
          <w:szCs w:val="20"/>
        </w:rPr>
        <w:t>ing</w:t>
      </w:r>
      <w:r w:rsidRPr="0016379F">
        <w:rPr>
          <w:sz w:val="20"/>
          <w:szCs w:val="20"/>
        </w:rPr>
        <w:t xml:space="preserve"> the cause of Ptolemy XIII against </w:t>
      </w:r>
      <w:r>
        <w:rPr>
          <w:sz w:val="20"/>
          <w:szCs w:val="20"/>
        </w:rPr>
        <w:t xml:space="preserve">his sister </w:t>
      </w:r>
      <w:r w:rsidRPr="0016379F">
        <w:rPr>
          <w:sz w:val="20"/>
          <w:szCs w:val="20"/>
        </w:rPr>
        <w:t>Cleopatra</w:t>
      </w:r>
      <w:r>
        <w:rPr>
          <w:sz w:val="20"/>
          <w:szCs w:val="20"/>
        </w:rPr>
        <w:t xml:space="preserve">, Potheinos </w:t>
      </w:r>
      <w:r w:rsidRPr="0016379F">
        <w:rPr>
          <w:sz w:val="20"/>
          <w:szCs w:val="20"/>
        </w:rPr>
        <w:t xml:space="preserve">was executed </w:t>
      </w:r>
      <w:r>
        <w:rPr>
          <w:sz w:val="20"/>
          <w:szCs w:val="20"/>
        </w:rPr>
        <w:t>on the orders of Julius Caesar, 48 BCE</w:t>
      </w:r>
      <w:r w:rsidRPr="0016379F">
        <w:rPr>
          <w:sz w:val="20"/>
          <w:szCs w:val="20"/>
        </w:rPr>
        <w:t xml:space="preserve"> </w:t>
      </w:r>
      <w:r>
        <w:rPr>
          <w:sz w:val="20"/>
          <w:szCs w:val="20"/>
        </w:rPr>
        <w:t xml:space="preserve">(Plutarch, </w:t>
      </w:r>
      <w:r w:rsidRPr="00DA31AA">
        <w:rPr>
          <w:i/>
          <w:sz w:val="20"/>
          <w:szCs w:val="20"/>
        </w:rPr>
        <w:t>Caesar</w:t>
      </w:r>
      <w:r>
        <w:rPr>
          <w:sz w:val="20"/>
          <w:szCs w:val="20"/>
        </w:rPr>
        <w:t xml:space="preserve"> 49.2</w:t>
      </w:r>
      <w:r w:rsidRPr="00C475B8">
        <w:rPr>
          <w:sz w:val="20"/>
          <w:szCs w:val="20"/>
        </w:rPr>
        <w:t>–</w:t>
      </w:r>
      <w:r>
        <w:rPr>
          <w:sz w:val="20"/>
          <w:szCs w:val="20"/>
        </w:rPr>
        <w:t>3; Cassius Dio 42.36.1</w:t>
      </w:r>
      <w:r w:rsidRPr="00C475B8">
        <w:rPr>
          <w:sz w:val="20"/>
          <w:szCs w:val="20"/>
        </w:rPr>
        <w:t>–</w:t>
      </w:r>
      <w:r>
        <w:rPr>
          <w:sz w:val="20"/>
          <w:szCs w:val="20"/>
        </w:rPr>
        <w:t>3).</w:t>
      </w:r>
    </w:p>
  </w:footnote>
  <w:footnote w:id="156">
    <w:p w14:paraId="692F65DA" w14:textId="2FEB8BB4" w:rsidR="00EA696C" w:rsidRPr="00C87504" w:rsidRDefault="00EA696C">
      <w:pPr>
        <w:pStyle w:val="FootnoteText"/>
        <w:rPr>
          <w:sz w:val="20"/>
          <w:szCs w:val="20"/>
          <w:lang w:val="el-GR"/>
        </w:rPr>
      </w:pPr>
      <w:r w:rsidRPr="0010167B">
        <w:rPr>
          <w:rStyle w:val="FootnoteReference"/>
          <w:sz w:val="20"/>
          <w:szCs w:val="20"/>
        </w:rPr>
        <w:footnoteRef/>
      </w:r>
      <w:r w:rsidRPr="0010167B">
        <w:rPr>
          <w:sz w:val="20"/>
          <w:szCs w:val="20"/>
        </w:rPr>
        <w:t xml:space="preserve"> Cf. </w:t>
      </w:r>
      <w:r>
        <w:rPr>
          <w:sz w:val="20"/>
          <w:szCs w:val="20"/>
        </w:rPr>
        <w:t xml:space="preserve">Diana E. E. Kleiner, </w:t>
      </w:r>
      <w:r w:rsidRPr="009D31F9">
        <w:rPr>
          <w:i/>
          <w:sz w:val="20"/>
          <w:szCs w:val="20"/>
        </w:rPr>
        <w:t>Cleopatra and Rome</w:t>
      </w:r>
      <w:r>
        <w:rPr>
          <w:sz w:val="20"/>
          <w:szCs w:val="20"/>
        </w:rPr>
        <w:t xml:space="preserve"> (Cambridge, MA and London, 2005), 242</w:t>
      </w:r>
      <w:r w:rsidRPr="00C475B8">
        <w:rPr>
          <w:sz w:val="20"/>
          <w:szCs w:val="20"/>
        </w:rPr>
        <w:t>–</w:t>
      </w:r>
      <w:r>
        <w:rPr>
          <w:sz w:val="20"/>
          <w:szCs w:val="20"/>
        </w:rPr>
        <w:t xml:space="preserve">50. Evidence for female ‘hairdressers’ is relatively rare, cf. LSJ s.v. </w:t>
      </w:r>
      <w:r w:rsidRPr="00E74907">
        <w:rPr>
          <w:sz w:val="20"/>
          <w:szCs w:val="20"/>
        </w:rPr>
        <w:t>κουρεύτρια</w:t>
      </w:r>
      <w:r>
        <w:rPr>
          <w:sz w:val="20"/>
          <w:szCs w:val="20"/>
        </w:rPr>
        <w:t xml:space="preserve">, which lists Plutarch, </w:t>
      </w:r>
      <w:r w:rsidRPr="00811652">
        <w:rPr>
          <w:i/>
          <w:sz w:val="20"/>
          <w:szCs w:val="20"/>
        </w:rPr>
        <w:t>Ant</w:t>
      </w:r>
      <w:r w:rsidR="00624CA4">
        <w:rPr>
          <w:i/>
          <w:sz w:val="20"/>
          <w:szCs w:val="20"/>
        </w:rPr>
        <w:t>ony</w:t>
      </w:r>
      <w:r>
        <w:rPr>
          <w:sz w:val="20"/>
          <w:szCs w:val="20"/>
        </w:rPr>
        <w:t xml:space="preserve"> 60, as the source for this feminine form. In the context of early Ptolemaic Egypt, a tax-register for the Fayum village of Lysimachis includes a woman named Kleopatra, listed as a (masculine) ‘hairdresser (κουρεύς)’ (</w:t>
      </w:r>
      <w:r w:rsidRPr="00C31E20">
        <w:rPr>
          <w:i/>
          <w:sz w:val="20"/>
          <w:szCs w:val="20"/>
        </w:rPr>
        <w:t>P. Count.</w:t>
      </w:r>
      <w:r>
        <w:rPr>
          <w:sz w:val="20"/>
          <w:szCs w:val="20"/>
        </w:rPr>
        <w:t xml:space="preserve"> 26.320 (254</w:t>
      </w:r>
      <w:r w:rsidRPr="00C475B8">
        <w:rPr>
          <w:sz w:val="20"/>
          <w:szCs w:val="20"/>
        </w:rPr>
        <w:t>–</w:t>
      </w:r>
      <w:r>
        <w:rPr>
          <w:sz w:val="20"/>
          <w:szCs w:val="20"/>
        </w:rPr>
        <w:t xml:space="preserve">231 BCE)); cf. Willy Clarysse and Dorothy J. Thompson, </w:t>
      </w:r>
      <w:r w:rsidRPr="00C31E20">
        <w:rPr>
          <w:i/>
          <w:sz w:val="20"/>
          <w:szCs w:val="20"/>
        </w:rPr>
        <w:t>Counting the People in Hellenistic Egypt. Volume 2: Historical Studies</w:t>
      </w:r>
      <w:r>
        <w:rPr>
          <w:sz w:val="20"/>
          <w:szCs w:val="20"/>
        </w:rPr>
        <w:t xml:space="preserve"> (Cambridge, 2006), 203. Plutarch nearly always refers to the (male) hairdresser as a prime example of the purveyor of gossip through their ability to mix with the powerful and the servant class: </w:t>
      </w:r>
      <w:r w:rsidRPr="00F10247">
        <w:rPr>
          <w:i/>
          <w:sz w:val="20"/>
          <w:szCs w:val="20"/>
        </w:rPr>
        <w:t>Nicias</w:t>
      </w:r>
      <w:r>
        <w:rPr>
          <w:sz w:val="20"/>
          <w:szCs w:val="20"/>
        </w:rPr>
        <w:t xml:space="preserve"> 30.2; </w:t>
      </w:r>
      <w:r w:rsidRPr="008E2DAE">
        <w:rPr>
          <w:i/>
          <w:sz w:val="20"/>
          <w:szCs w:val="20"/>
        </w:rPr>
        <w:t xml:space="preserve">On Talkativeness </w:t>
      </w:r>
      <w:r>
        <w:rPr>
          <w:sz w:val="20"/>
          <w:szCs w:val="20"/>
        </w:rPr>
        <w:t>508f</w:t>
      </w:r>
      <w:r w:rsidRPr="00C475B8">
        <w:rPr>
          <w:sz w:val="20"/>
          <w:szCs w:val="20"/>
        </w:rPr>
        <w:t>–</w:t>
      </w:r>
      <w:r>
        <w:rPr>
          <w:sz w:val="20"/>
          <w:szCs w:val="20"/>
        </w:rPr>
        <w:t>509b. In the same context, Plutarch mentions Julius Caesar’s barber (κουρεύς), a slave (οἰκέτης), who served as Caesar’s spy in Ptolemy XIII’s Alexandria (</w:t>
      </w:r>
      <w:r w:rsidRPr="00DA31AA">
        <w:rPr>
          <w:i/>
          <w:sz w:val="20"/>
          <w:szCs w:val="20"/>
        </w:rPr>
        <w:t xml:space="preserve">Caesar </w:t>
      </w:r>
      <w:r>
        <w:rPr>
          <w:sz w:val="20"/>
          <w:szCs w:val="20"/>
        </w:rPr>
        <w:t xml:space="preserve">49.2). The tradition transmitted in Pseudo-Plutarch, </w:t>
      </w:r>
      <w:r w:rsidR="006B1E7A">
        <w:rPr>
          <w:i/>
          <w:sz w:val="20"/>
          <w:szCs w:val="20"/>
        </w:rPr>
        <w:t>Proverbs of the Alexandrians</w:t>
      </w:r>
      <w:r w:rsidR="006B1E7A" w:rsidRPr="00AA1BF3">
        <w:rPr>
          <w:i/>
          <w:sz w:val="20"/>
          <w:szCs w:val="20"/>
        </w:rPr>
        <w:t xml:space="preserve"> </w:t>
      </w:r>
      <w:r>
        <w:rPr>
          <w:sz w:val="20"/>
          <w:szCs w:val="20"/>
        </w:rPr>
        <w:t>45 also makes Charmion the Queen’s manicurist.</w:t>
      </w:r>
    </w:p>
  </w:footnote>
  <w:footnote w:id="157">
    <w:p w14:paraId="49E68B35" w14:textId="1D5468C3" w:rsidR="00EA696C" w:rsidRPr="00CD7F9A" w:rsidRDefault="00EA696C">
      <w:pPr>
        <w:pStyle w:val="FootnoteText"/>
        <w:rPr>
          <w:sz w:val="20"/>
          <w:szCs w:val="20"/>
        </w:rPr>
      </w:pPr>
      <w:r w:rsidRPr="00CD7F9A">
        <w:rPr>
          <w:rStyle w:val="FootnoteReference"/>
          <w:sz w:val="20"/>
          <w:szCs w:val="20"/>
        </w:rPr>
        <w:footnoteRef/>
      </w:r>
      <w:r w:rsidRPr="00CD7F9A">
        <w:rPr>
          <w:sz w:val="20"/>
          <w:szCs w:val="20"/>
        </w:rPr>
        <w:t xml:space="preserve"> Contra </w:t>
      </w:r>
      <w:r>
        <w:rPr>
          <w:sz w:val="20"/>
          <w:szCs w:val="20"/>
        </w:rPr>
        <w:t xml:space="preserve">ancient and modern acceptance of this role for Eiras: Pseudo-Plutarch, </w:t>
      </w:r>
      <w:r w:rsidR="00BB6879">
        <w:rPr>
          <w:i/>
          <w:sz w:val="20"/>
          <w:szCs w:val="20"/>
        </w:rPr>
        <w:t>Proverbs of the Alexandrians</w:t>
      </w:r>
      <w:r>
        <w:rPr>
          <w:sz w:val="20"/>
          <w:szCs w:val="20"/>
        </w:rPr>
        <w:t xml:space="preserve"> Fr. 45, l. 1;</w:t>
      </w:r>
      <w:r w:rsidRPr="00CD7F9A">
        <w:rPr>
          <w:sz w:val="20"/>
          <w:szCs w:val="20"/>
        </w:rPr>
        <w:t xml:space="preserve"> </w:t>
      </w:r>
      <w:r w:rsidRPr="00CD7F9A">
        <w:rPr>
          <w:i/>
          <w:sz w:val="20"/>
          <w:szCs w:val="20"/>
        </w:rPr>
        <w:t>WGE</w:t>
      </w:r>
      <w:r w:rsidRPr="00CD7F9A">
        <w:rPr>
          <w:sz w:val="20"/>
          <w:szCs w:val="20"/>
        </w:rPr>
        <w:t>, 336</w:t>
      </w:r>
      <w:r>
        <w:rPr>
          <w:sz w:val="20"/>
          <w:szCs w:val="20"/>
        </w:rPr>
        <w:t xml:space="preserve">, s.v. </w:t>
      </w:r>
      <w:r>
        <w:rPr>
          <w:sz w:val="20"/>
          <w:szCs w:val="20"/>
          <w:lang w:val="el-GR"/>
        </w:rPr>
        <w:t>Εἰράς</w:t>
      </w:r>
      <w:r>
        <w:rPr>
          <w:sz w:val="20"/>
          <w:szCs w:val="20"/>
        </w:rPr>
        <w:t>, ‘Haarkräuslerin der Kleopatra’.</w:t>
      </w:r>
    </w:p>
  </w:footnote>
  <w:footnote w:id="158">
    <w:p w14:paraId="33E8AE97" w14:textId="1EA84F2B" w:rsidR="00EA696C" w:rsidRPr="001F0A18" w:rsidRDefault="00EA696C">
      <w:pPr>
        <w:pStyle w:val="FootnoteText"/>
        <w:rPr>
          <w:sz w:val="20"/>
          <w:szCs w:val="20"/>
        </w:rPr>
      </w:pPr>
      <w:r w:rsidRPr="001F0A18">
        <w:rPr>
          <w:rStyle w:val="FootnoteReference"/>
          <w:sz w:val="20"/>
          <w:szCs w:val="20"/>
        </w:rPr>
        <w:footnoteRef/>
      </w:r>
      <w:r w:rsidRPr="001F0A18">
        <w:rPr>
          <w:sz w:val="20"/>
          <w:szCs w:val="20"/>
        </w:rPr>
        <w:t xml:space="preserve"> Plutarch, </w:t>
      </w:r>
      <w:r w:rsidRPr="001F0A18">
        <w:rPr>
          <w:i/>
          <w:sz w:val="20"/>
          <w:szCs w:val="20"/>
        </w:rPr>
        <w:t>Ant</w:t>
      </w:r>
      <w:r w:rsidR="00873FFE">
        <w:rPr>
          <w:i/>
          <w:sz w:val="20"/>
          <w:szCs w:val="20"/>
        </w:rPr>
        <w:t>ony</w:t>
      </w:r>
      <w:r w:rsidRPr="001F0A18">
        <w:rPr>
          <w:sz w:val="20"/>
          <w:szCs w:val="20"/>
        </w:rPr>
        <w:t xml:space="preserve"> </w:t>
      </w:r>
      <w:r>
        <w:rPr>
          <w:sz w:val="20"/>
          <w:szCs w:val="20"/>
        </w:rPr>
        <w:t>85.7; cf. Cassius Dio 51.14.3, who does not name the two θεράπαιναι who die with Cleopatra. Plutarch’s narrative of Cleopatra’s death does not make clear until the end that the two women who alone accompanied the Queen in her mausoleum were Charmion and Eiras (</w:t>
      </w:r>
      <w:r w:rsidR="00A971BE" w:rsidRPr="001F0A18">
        <w:rPr>
          <w:i/>
          <w:sz w:val="20"/>
          <w:szCs w:val="20"/>
        </w:rPr>
        <w:t>Ant</w:t>
      </w:r>
      <w:r w:rsidR="00A971BE">
        <w:rPr>
          <w:i/>
          <w:sz w:val="20"/>
          <w:szCs w:val="20"/>
        </w:rPr>
        <w:t>ony</w:t>
      </w:r>
      <w:r w:rsidR="00A971BE" w:rsidRPr="001F0A18">
        <w:rPr>
          <w:sz w:val="20"/>
          <w:szCs w:val="20"/>
        </w:rPr>
        <w:t xml:space="preserve"> </w:t>
      </w:r>
      <w:r>
        <w:rPr>
          <w:sz w:val="20"/>
          <w:szCs w:val="20"/>
        </w:rPr>
        <w:t>77.2; 79.2</w:t>
      </w:r>
      <w:r w:rsidRPr="00C475B8">
        <w:rPr>
          <w:sz w:val="20"/>
          <w:szCs w:val="20"/>
        </w:rPr>
        <w:t>–</w:t>
      </w:r>
      <w:r>
        <w:rPr>
          <w:sz w:val="20"/>
          <w:szCs w:val="20"/>
        </w:rPr>
        <w:t>3; 84.3). Furthermore, Eiras and Charmion are almost certainly to be identified with the unnamed female companions of Cleopatra who accompanied Cleopatra and served to reconcile the Queen with Antony on the voyage home after the Battle of Actium (</w:t>
      </w:r>
      <w:r w:rsidR="00A971BE" w:rsidRPr="001F0A18">
        <w:rPr>
          <w:i/>
          <w:sz w:val="20"/>
          <w:szCs w:val="20"/>
        </w:rPr>
        <w:t>Ant</w:t>
      </w:r>
      <w:r w:rsidR="00A971BE">
        <w:rPr>
          <w:i/>
          <w:sz w:val="20"/>
          <w:szCs w:val="20"/>
        </w:rPr>
        <w:t>ony</w:t>
      </w:r>
      <w:r w:rsidR="00A971BE" w:rsidRPr="001F0A18">
        <w:rPr>
          <w:sz w:val="20"/>
          <w:szCs w:val="20"/>
        </w:rPr>
        <w:t xml:space="preserve"> </w:t>
      </w:r>
      <w:r>
        <w:rPr>
          <w:sz w:val="20"/>
          <w:szCs w:val="20"/>
        </w:rPr>
        <w:t xml:space="preserve">67.6); cf. Pelling, </w:t>
      </w:r>
      <w:r w:rsidRPr="00647B8D">
        <w:rPr>
          <w:i/>
          <w:sz w:val="20"/>
          <w:szCs w:val="20"/>
        </w:rPr>
        <w:t>Life of Antony</w:t>
      </w:r>
      <w:r>
        <w:rPr>
          <w:sz w:val="20"/>
          <w:szCs w:val="20"/>
        </w:rPr>
        <w:t>, 307.</w:t>
      </w:r>
    </w:p>
  </w:footnote>
  <w:footnote w:id="159">
    <w:p w14:paraId="0B721791" w14:textId="3D8F93AA" w:rsidR="00EA696C" w:rsidRPr="00ED22A1" w:rsidRDefault="00EA696C">
      <w:pPr>
        <w:pStyle w:val="FootnoteText"/>
        <w:rPr>
          <w:sz w:val="20"/>
          <w:szCs w:val="20"/>
          <w:lang w:val="el-GR"/>
        </w:rPr>
      </w:pPr>
      <w:r w:rsidRPr="00830499">
        <w:rPr>
          <w:rStyle w:val="FootnoteReference"/>
          <w:sz w:val="20"/>
          <w:szCs w:val="20"/>
        </w:rPr>
        <w:footnoteRef/>
      </w:r>
      <w:r w:rsidRPr="00830499">
        <w:rPr>
          <w:sz w:val="20"/>
          <w:szCs w:val="20"/>
        </w:rPr>
        <w:t xml:space="preserve"> </w:t>
      </w:r>
      <w:r w:rsidR="00C6181D" w:rsidRPr="001F0A18">
        <w:rPr>
          <w:i/>
          <w:sz w:val="20"/>
          <w:szCs w:val="20"/>
        </w:rPr>
        <w:t>Ant</w:t>
      </w:r>
      <w:r w:rsidR="00C6181D">
        <w:rPr>
          <w:i/>
          <w:sz w:val="20"/>
          <w:szCs w:val="20"/>
        </w:rPr>
        <w:t>ony</w:t>
      </w:r>
      <w:r w:rsidR="00C6181D" w:rsidRPr="001F0A18">
        <w:rPr>
          <w:sz w:val="20"/>
          <w:szCs w:val="20"/>
        </w:rPr>
        <w:t xml:space="preserve"> </w:t>
      </w:r>
      <w:r>
        <w:rPr>
          <w:sz w:val="20"/>
          <w:szCs w:val="20"/>
        </w:rPr>
        <w:t xml:space="preserve">86.7: </w:t>
      </w:r>
      <w:r>
        <w:rPr>
          <w:sz w:val="20"/>
          <w:szCs w:val="20"/>
          <w:lang w:val="el-GR"/>
        </w:rPr>
        <w:t xml:space="preserve">ἐντίμου δὲ καὶ τὰ γύναια κηδείας ἔτυχεν αὐτοῦ προστάξαντος. Eiras and Charmion belong among the ‘Dames du Cour’ (otherwise mostly represented by courtesans of the Ptolemaic kings) in the </w:t>
      </w:r>
      <w:r w:rsidRPr="003A14D1">
        <w:rPr>
          <w:i/>
          <w:sz w:val="20"/>
          <w:szCs w:val="20"/>
          <w:lang w:val="el-GR"/>
        </w:rPr>
        <w:t>Prosopographia Ptolemaica</w:t>
      </w:r>
      <w:r>
        <w:rPr>
          <w:sz w:val="20"/>
          <w:szCs w:val="20"/>
          <w:lang w:val="el-GR"/>
        </w:rPr>
        <w:t xml:space="preserve"> (Leuven, 1950</w:t>
      </w:r>
      <w:r w:rsidRPr="00C475B8">
        <w:rPr>
          <w:sz w:val="20"/>
          <w:szCs w:val="20"/>
        </w:rPr>
        <w:t>–</w:t>
      </w:r>
      <w:r>
        <w:rPr>
          <w:sz w:val="20"/>
          <w:szCs w:val="20"/>
          <w:lang w:val="el-GR"/>
        </w:rPr>
        <w:t>81), ed</w:t>
      </w:r>
      <w:r w:rsidR="00D7260D">
        <w:rPr>
          <w:sz w:val="20"/>
          <w:szCs w:val="20"/>
          <w:lang w:val="el-GR"/>
        </w:rPr>
        <w:t>.</w:t>
      </w:r>
      <w:r>
        <w:rPr>
          <w:sz w:val="20"/>
          <w:szCs w:val="20"/>
          <w:lang w:val="el-GR"/>
        </w:rPr>
        <w:t xml:space="preserve"> Willy Peremans, E</w:t>
      </w:r>
      <w:r w:rsidR="00AF62CB">
        <w:rPr>
          <w:sz w:val="20"/>
          <w:szCs w:val="20"/>
          <w:lang w:val="el-GR"/>
        </w:rPr>
        <w:t>dmond</w:t>
      </w:r>
      <w:r>
        <w:rPr>
          <w:sz w:val="20"/>
          <w:szCs w:val="20"/>
          <w:lang w:val="el-GR"/>
        </w:rPr>
        <w:t xml:space="preserve"> Van’t Dack, Willy Clarysse, Loe de Meulemeester-Swinnen and Hans Hauben; cf. Daniel Ogden, </w:t>
      </w:r>
      <w:r w:rsidRPr="008A1FCB">
        <w:rPr>
          <w:i/>
          <w:sz w:val="20"/>
          <w:szCs w:val="20"/>
          <w:lang w:val="el-GR"/>
        </w:rPr>
        <w:t>Polygamy, Prostitutes and Death: The Hellenistic Dynasties</w:t>
      </w:r>
      <w:r>
        <w:rPr>
          <w:sz w:val="20"/>
          <w:szCs w:val="20"/>
          <w:lang w:val="el-GR"/>
        </w:rPr>
        <w:t xml:space="preserve"> (London, 1999), 217 who notes that the trade of hairdresser is also abusively associated by Tlepolemos with the courtesans of Ptolemy IV Philopator (Polybius 15.25).</w:t>
      </w:r>
    </w:p>
  </w:footnote>
  <w:footnote w:id="160">
    <w:p w14:paraId="390C8929" w14:textId="2BF3A220" w:rsidR="00EA696C" w:rsidRPr="001F0A18" w:rsidRDefault="00EA696C">
      <w:pPr>
        <w:pStyle w:val="FootnoteText"/>
        <w:rPr>
          <w:sz w:val="20"/>
          <w:szCs w:val="20"/>
        </w:rPr>
      </w:pPr>
      <w:r w:rsidRPr="001F0A18">
        <w:rPr>
          <w:rStyle w:val="FootnoteReference"/>
          <w:sz w:val="20"/>
          <w:szCs w:val="20"/>
        </w:rPr>
        <w:footnoteRef/>
      </w:r>
      <w:r w:rsidRPr="001F0A18">
        <w:rPr>
          <w:sz w:val="20"/>
          <w:szCs w:val="20"/>
        </w:rPr>
        <w:t xml:space="preserve"> </w:t>
      </w:r>
      <w:r>
        <w:rPr>
          <w:sz w:val="20"/>
          <w:szCs w:val="20"/>
        </w:rPr>
        <w:t xml:space="preserve">Plutarch, </w:t>
      </w:r>
      <w:r w:rsidR="002E0194" w:rsidRPr="001F0A18">
        <w:rPr>
          <w:i/>
          <w:sz w:val="20"/>
          <w:szCs w:val="20"/>
        </w:rPr>
        <w:t>Ant</w:t>
      </w:r>
      <w:r w:rsidR="002E0194">
        <w:rPr>
          <w:i/>
          <w:sz w:val="20"/>
          <w:szCs w:val="20"/>
        </w:rPr>
        <w:t>ony</w:t>
      </w:r>
      <w:r w:rsidR="002E0194" w:rsidRPr="001F0A18">
        <w:rPr>
          <w:sz w:val="20"/>
          <w:szCs w:val="20"/>
        </w:rPr>
        <w:t xml:space="preserve"> </w:t>
      </w:r>
      <w:r>
        <w:rPr>
          <w:sz w:val="20"/>
          <w:szCs w:val="20"/>
        </w:rPr>
        <w:t>85.8.</w:t>
      </w:r>
    </w:p>
  </w:footnote>
  <w:footnote w:id="161">
    <w:p w14:paraId="12129C5E" w14:textId="6C9A6342" w:rsidR="00EA696C" w:rsidRPr="00CD3B0D" w:rsidRDefault="00EA696C">
      <w:pPr>
        <w:pStyle w:val="FootnoteText"/>
        <w:rPr>
          <w:sz w:val="20"/>
          <w:szCs w:val="20"/>
        </w:rPr>
      </w:pPr>
      <w:r w:rsidRPr="00CD3B0D">
        <w:rPr>
          <w:rStyle w:val="FootnoteReference"/>
          <w:sz w:val="20"/>
          <w:szCs w:val="20"/>
        </w:rPr>
        <w:footnoteRef/>
      </w:r>
      <w:r w:rsidRPr="00CD3B0D">
        <w:rPr>
          <w:sz w:val="20"/>
          <w:szCs w:val="20"/>
        </w:rPr>
        <w:t xml:space="preserve"> In some post-Plutarchian versions of Cleopatra’s death,</w:t>
      </w:r>
      <w:r>
        <w:rPr>
          <w:sz w:val="20"/>
          <w:szCs w:val="20"/>
        </w:rPr>
        <w:t xml:space="preserve"> the name Eiras is replaced by other names: </w:t>
      </w:r>
      <w:r w:rsidRPr="00CD3B0D">
        <w:rPr>
          <w:sz w:val="20"/>
          <w:szCs w:val="20"/>
          <w:lang w:val="el-GR"/>
        </w:rPr>
        <w:t>Νάηρα</w:t>
      </w:r>
      <w:r w:rsidRPr="00CD3B0D">
        <w:rPr>
          <w:sz w:val="20"/>
          <w:szCs w:val="20"/>
        </w:rPr>
        <w:t xml:space="preserve">, ‘Naera’ (Zenobius, </w:t>
      </w:r>
      <w:r w:rsidRPr="00CD3B0D">
        <w:rPr>
          <w:i/>
          <w:sz w:val="20"/>
          <w:szCs w:val="20"/>
        </w:rPr>
        <w:t>Epitome collectionum Lucilli Tarrhaei et Didymi</w:t>
      </w:r>
      <w:r w:rsidRPr="00CD3B0D">
        <w:rPr>
          <w:sz w:val="20"/>
          <w:szCs w:val="20"/>
        </w:rPr>
        <w:t xml:space="preserve"> 5,24), or </w:t>
      </w:r>
      <w:r w:rsidRPr="00CD3B0D">
        <w:rPr>
          <w:sz w:val="20"/>
          <w:szCs w:val="20"/>
          <w:lang w:val="el-GR"/>
        </w:rPr>
        <w:t>Νάειρα</w:t>
      </w:r>
      <w:r w:rsidRPr="00CD3B0D">
        <w:rPr>
          <w:sz w:val="20"/>
          <w:szCs w:val="20"/>
        </w:rPr>
        <w:t>, ‘Naeira’ (Galen 14.235). Pseudo-Plutarch (</w:t>
      </w:r>
      <w:r w:rsidR="0046317F">
        <w:rPr>
          <w:i/>
          <w:sz w:val="20"/>
          <w:szCs w:val="20"/>
        </w:rPr>
        <w:t>Proverbs of the Alexandrians</w:t>
      </w:r>
      <w:r w:rsidRPr="00CD3B0D">
        <w:rPr>
          <w:sz w:val="20"/>
          <w:szCs w:val="20"/>
        </w:rPr>
        <w:t xml:space="preserve"> 45) and Zonaras (</w:t>
      </w:r>
      <w:r w:rsidRPr="00CD3B0D">
        <w:rPr>
          <w:i/>
          <w:sz w:val="20"/>
          <w:szCs w:val="20"/>
        </w:rPr>
        <w:t>Epitome</w:t>
      </w:r>
      <w:r w:rsidRPr="00CD3B0D">
        <w:rPr>
          <w:sz w:val="20"/>
          <w:szCs w:val="20"/>
        </w:rPr>
        <w:t xml:space="preserve"> </w:t>
      </w:r>
      <w:r w:rsidR="00EE4A85">
        <w:rPr>
          <w:i/>
          <w:sz w:val="20"/>
          <w:szCs w:val="20"/>
        </w:rPr>
        <w:t>of Histories</w:t>
      </w:r>
      <w:r w:rsidR="00EE4A85" w:rsidRPr="00CD3B0D">
        <w:rPr>
          <w:sz w:val="20"/>
          <w:szCs w:val="20"/>
        </w:rPr>
        <w:t xml:space="preserve"> </w:t>
      </w:r>
      <w:r w:rsidRPr="00CD3B0D">
        <w:rPr>
          <w:sz w:val="20"/>
          <w:szCs w:val="20"/>
        </w:rPr>
        <w:t>10.31), however, follow Plutarch in preserving the name Eiras.</w:t>
      </w:r>
      <w:r>
        <w:rPr>
          <w:sz w:val="20"/>
          <w:szCs w:val="20"/>
        </w:rPr>
        <w:t xml:space="preserve"> The name Charmion, by contrast, remains fairly stable in the tradition (cf. </w:t>
      </w:r>
      <w:r>
        <w:rPr>
          <w:sz w:val="20"/>
          <w:szCs w:val="20"/>
          <w:lang w:val="el-GR"/>
        </w:rPr>
        <w:t xml:space="preserve">Χαρμιόνη </w:t>
      </w:r>
      <w:r>
        <w:rPr>
          <w:sz w:val="20"/>
          <w:szCs w:val="20"/>
        </w:rPr>
        <w:t xml:space="preserve">in Galen etc). Nevertheless, Charmion is another rare female name; cf. </w:t>
      </w:r>
      <w:r w:rsidRPr="00D74B00">
        <w:rPr>
          <w:i/>
          <w:sz w:val="20"/>
          <w:szCs w:val="20"/>
        </w:rPr>
        <w:t>P. Mich</w:t>
      </w:r>
      <w:r>
        <w:rPr>
          <w:sz w:val="20"/>
          <w:szCs w:val="20"/>
        </w:rPr>
        <w:t>. 4.223 (Valeria Charmion; CE 172, Karanis).</w:t>
      </w:r>
    </w:p>
  </w:footnote>
  <w:footnote w:id="162">
    <w:p w14:paraId="683A33E0" w14:textId="51627250" w:rsidR="00EA696C" w:rsidRPr="00C6148A" w:rsidRDefault="00EA696C">
      <w:pPr>
        <w:pStyle w:val="FootnoteText"/>
        <w:rPr>
          <w:sz w:val="20"/>
          <w:szCs w:val="20"/>
        </w:rPr>
      </w:pPr>
      <w:r w:rsidRPr="00512B86">
        <w:rPr>
          <w:rStyle w:val="FootnoteReference"/>
          <w:sz w:val="20"/>
          <w:szCs w:val="20"/>
        </w:rPr>
        <w:footnoteRef/>
      </w:r>
      <w:r w:rsidRPr="00512B86">
        <w:rPr>
          <w:sz w:val="20"/>
          <w:szCs w:val="20"/>
        </w:rPr>
        <w:t xml:space="preserve"> The closest female parallel is </w:t>
      </w:r>
      <w:r w:rsidRPr="00512B86">
        <w:rPr>
          <w:sz w:val="20"/>
          <w:szCs w:val="20"/>
          <w:lang w:val="el-GR"/>
        </w:rPr>
        <w:t>Εἰραΐς</w:t>
      </w:r>
      <w:r w:rsidRPr="00512B86">
        <w:rPr>
          <w:sz w:val="20"/>
          <w:szCs w:val="20"/>
        </w:rPr>
        <w:t xml:space="preserve"> from </w:t>
      </w:r>
      <w:r>
        <w:rPr>
          <w:sz w:val="20"/>
          <w:szCs w:val="20"/>
        </w:rPr>
        <w:t>fourth/third century BCE Anthedon in Boeotia</w:t>
      </w:r>
      <w:r w:rsidRPr="00512B86">
        <w:rPr>
          <w:sz w:val="20"/>
          <w:szCs w:val="20"/>
        </w:rPr>
        <w:t xml:space="preserve"> (IIIb</w:t>
      </w:r>
      <w:r>
        <w:rPr>
          <w:sz w:val="20"/>
          <w:szCs w:val="20"/>
        </w:rPr>
        <w:t xml:space="preserve">, no. </w:t>
      </w:r>
      <w:r w:rsidRPr="00EC49DA">
        <w:rPr>
          <w:sz w:val="20"/>
          <w:szCs w:val="20"/>
        </w:rPr>
        <w:t xml:space="preserve">24690; noted in Hannah M. Cotton et al, </w:t>
      </w:r>
      <w:r w:rsidRPr="00EC49DA">
        <w:rPr>
          <w:i/>
          <w:sz w:val="20"/>
          <w:szCs w:val="20"/>
        </w:rPr>
        <w:t>Corpus Inscriptionum Iudaeae/Palaestinae. Volume 1: Jerusalem. Part 1, 1–704</w:t>
      </w:r>
      <w:r>
        <w:rPr>
          <w:i/>
          <w:sz w:val="20"/>
          <w:szCs w:val="20"/>
        </w:rPr>
        <w:t xml:space="preserve"> </w:t>
      </w:r>
      <w:r>
        <w:rPr>
          <w:sz w:val="20"/>
          <w:szCs w:val="20"/>
        </w:rPr>
        <w:t xml:space="preserve">(henceforth, </w:t>
      </w:r>
      <w:r w:rsidRPr="008A139E">
        <w:rPr>
          <w:i/>
          <w:sz w:val="20"/>
          <w:szCs w:val="20"/>
        </w:rPr>
        <w:t>CIIP</w:t>
      </w:r>
      <w:r>
        <w:rPr>
          <w:sz w:val="20"/>
          <w:szCs w:val="20"/>
        </w:rPr>
        <w:t>)</w:t>
      </w:r>
      <w:r w:rsidRPr="00EC49DA">
        <w:rPr>
          <w:sz w:val="20"/>
          <w:szCs w:val="20"/>
        </w:rPr>
        <w:t xml:space="preserve"> (</w:t>
      </w:r>
      <w:r>
        <w:rPr>
          <w:sz w:val="20"/>
          <w:szCs w:val="20"/>
        </w:rPr>
        <w:t xml:space="preserve">Berlin and </w:t>
      </w:r>
      <w:r w:rsidRPr="00EC49DA">
        <w:rPr>
          <w:sz w:val="20"/>
          <w:szCs w:val="20"/>
        </w:rPr>
        <w:t>New York, 2010)), 314. Two</w:t>
      </w:r>
      <w:r>
        <w:rPr>
          <w:sz w:val="20"/>
          <w:szCs w:val="20"/>
        </w:rPr>
        <w:t xml:space="preserve"> second-</w:t>
      </w:r>
      <w:r w:rsidRPr="00EC49DA">
        <w:rPr>
          <w:sz w:val="20"/>
          <w:szCs w:val="20"/>
        </w:rPr>
        <w:t>century BCE inscriptions from</w:t>
      </w:r>
      <w:r>
        <w:rPr>
          <w:sz w:val="20"/>
          <w:szCs w:val="20"/>
        </w:rPr>
        <w:t xml:space="preserve"> Pamphylia attest </w:t>
      </w:r>
      <w:r>
        <w:rPr>
          <w:sz w:val="20"/>
          <w:szCs w:val="20"/>
          <w:lang w:val="el-GR"/>
        </w:rPr>
        <w:t>Εἴρας (in the genitive Είραυ) as a male name (</w:t>
      </w:r>
      <w:r w:rsidRPr="000D3328">
        <w:rPr>
          <w:i/>
          <w:sz w:val="20"/>
          <w:szCs w:val="20"/>
          <w:lang w:val="el-GR"/>
        </w:rPr>
        <w:t>LGPN</w:t>
      </w:r>
      <w:r>
        <w:rPr>
          <w:sz w:val="20"/>
          <w:szCs w:val="20"/>
          <w:lang w:val="el-GR"/>
        </w:rPr>
        <w:t xml:space="preserve"> Vol. Vb, s.v. Εἴρας).</w:t>
      </w:r>
    </w:p>
  </w:footnote>
  <w:footnote w:id="163">
    <w:p w14:paraId="1F3FE2CC" w14:textId="0A327DCF" w:rsidR="00EA696C" w:rsidRPr="009772E0" w:rsidRDefault="00EA696C">
      <w:pPr>
        <w:pStyle w:val="FootnoteText"/>
        <w:rPr>
          <w:sz w:val="20"/>
          <w:szCs w:val="20"/>
        </w:rPr>
      </w:pPr>
      <w:r w:rsidRPr="009772E0">
        <w:rPr>
          <w:rStyle w:val="FootnoteReference"/>
          <w:sz w:val="20"/>
          <w:szCs w:val="20"/>
        </w:rPr>
        <w:footnoteRef/>
      </w:r>
      <w:r w:rsidRPr="009772E0">
        <w:rPr>
          <w:sz w:val="20"/>
          <w:szCs w:val="20"/>
        </w:rPr>
        <w:t xml:space="preserve"> David Noy, </w:t>
      </w:r>
      <w:r w:rsidRPr="009772E0">
        <w:rPr>
          <w:i/>
          <w:sz w:val="20"/>
          <w:szCs w:val="20"/>
        </w:rPr>
        <w:t>IJO</w:t>
      </w:r>
      <w:r w:rsidRPr="009772E0">
        <w:rPr>
          <w:sz w:val="20"/>
          <w:szCs w:val="20"/>
        </w:rPr>
        <w:t xml:space="preserve"> III, pp. 115</w:t>
      </w:r>
      <w:r>
        <w:rPr>
          <w:sz w:val="20"/>
          <w:szCs w:val="20"/>
          <w:lang w:val="el-GR"/>
        </w:rPr>
        <w:t>–</w:t>
      </w:r>
      <w:r w:rsidRPr="009772E0">
        <w:rPr>
          <w:sz w:val="20"/>
          <w:szCs w:val="20"/>
        </w:rPr>
        <w:t xml:space="preserve">16, commenting on </w:t>
      </w:r>
      <w:r w:rsidRPr="0011262A">
        <w:rPr>
          <w:i/>
          <w:sz w:val="20"/>
          <w:szCs w:val="20"/>
        </w:rPr>
        <w:t>Syr</w:t>
      </w:r>
      <w:r w:rsidRPr="009772E0">
        <w:rPr>
          <w:sz w:val="20"/>
          <w:szCs w:val="20"/>
        </w:rPr>
        <w:t>72</w:t>
      </w:r>
      <w:r w:rsidRPr="0011262A">
        <w:rPr>
          <w:sz w:val="20"/>
          <w:szCs w:val="20"/>
          <w:vertAlign w:val="superscript"/>
        </w:rPr>
        <w:t>n</w:t>
      </w:r>
      <w:r w:rsidRPr="009772E0">
        <w:rPr>
          <w:sz w:val="20"/>
          <w:szCs w:val="20"/>
        </w:rPr>
        <w:t xml:space="preserve"> = </w:t>
      </w:r>
      <w:r w:rsidRPr="0011262A">
        <w:rPr>
          <w:i/>
          <w:sz w:val="20"/>
          <w:szCs w:val="20"/>
        </w:rPr>
        <w:t>CIIP</w:t>
      </w:r>
      <w:r w:rsidRPr="009772E0">
        <w:rPr>
          <w:sz w:val="20"/>
          <w:szCs w:val="20"/>
        </w:rPr>
        <w:t xml:space="preserve"> I,1, no. 291.</w:t>
      </w:r>
    </w:p>
  </w:footnote>
  <w:footnote w:id="164">
    <w:p w14:paraId="5EDD4B2F" w14:textId="6742330A" w:rsidR="00EA696C" w:rsidRPr="00BE3953" w:rsidRDefault="00EA696C">
      <w:pPr>
        <w:pStyle w:val="FootnoteText"/>
        <w:rPr>
          <w:sz w:val="20"/>
          <w:szCs w:val="20"/>
        </w:rPr>
      </w:pPr>
      <w:r w:rsidRPr="007A43BD">
        <w:rPr>
          <w:rStyle w:val="FootnoteReference"/>
          <w:sz w:val="20"/>
          <w:szCs w:val="20"/>
        </w:rPr>
        <w:footnoteRef/>
      </w:r>
      <w:r w:rsidRPr="007A43BD">
        <w:rPr>
          <w:sz w:val="20"/>
          <w:szCs w:val="20"/>
        </w:rPr>
        <w:t xml:space="preserve"> </w:t>
      </w:r>
      <w:r w:rsidRPr="007A43BD">
        <w:rPr>
          <w:i/>
          <w:sz w:val="20"/>
          <w:szCs w:val="20"/>
        </w:rPr>
        <w:t>Stud. Pal.</w:t>
      </w:r>
      <w:r w:rsidRPr="007A43BD">
        <w:rPr>
          <w:sz w:val="20"/>
          <w:szCs w:val="20"/>
        </w:rPr>
        <w:t xml:space="preserve"> 20.26</w:t>
      </w:r>
      <w:r>
        <w:rPr>
          <w:sz w:val="20"/>
          <w:szCs w:val="20"/>
        </w:rPr>
        <w:t xml:space="preserve">, </w:t>
      </w:r>
      <w:r w:rsidRPr="007A43BD">
        <w:rPr>
          <w:sz w:val="20"/>
          <w:szCs w:val="20"/>
        </w:rPr>
        <w:t xml:space="preserve">an example of </w:t>
      </w:r>
      <w:r>
        <w:rPr>
          <w:sz w:val="20"/>
          <w:szCs w:val="20"/>
        </w:rPr>
        <w:t>the name</w:t>
      </w:r>
      <w:r w:rsidRPr="007A43BD">
        <w:rPr>
          <w:sz w:val="20"/>
          <w:szCs w:val="20"/>
        </w:rPr>
        <w:t xml:space="preserve"> Eiras</w:t>
      </w:r>
      <w:r>
        <w:rPr>
          <w:sz w:val="20"/>
          <w:szCs w:val="20"/>
        </w:rPr>
        <w:t xml:space="preserve"> in a non-Jewish context, cf. Horbury and Noy, </w:t>
      </w:r>
      <w:r w:rsidRPr="00511034">
        <w:rPr>
          <w:i/>
          <w:sz w:val="20"/>
          <w:szCs w:val="20"/>
        </w:rPr>
        <w:t>Jewish Inscriptions</w:t>
      </w:r>
      <w:r>
        <w:rPr>
          <w:sz w:val="20"/>
          <w:szCs w:val="20"/>
        </w:rPr>
        <w:t>, 121.</w:t>
      </w:r>
      <w:r w:rsidRPr="007A43BD">
        <w:rPr>
          <w:sz w:val="20"/>
          <w:szCs w:val="20"/>
        </w:rPr>
        <w:t xml:space="preserve"> </w:t>
      </w:r>
      <w:r>
        <w:rPr>
          <w:sz w:val="20"/>
          <w:szCs w:val="20"/>
        </w:rPr>
        <w:t xml:space="preserve">In other evidence, the name Eiras is no longer read in the revised edition of </w:t>
      </w:r>
      <w:r w:rsidRPr="00CD3B0D">
        <w:rPr>
          <w:i/>
          <w:sz w:val="20"/>
          <w:szCs w:val="20"/>
        </w:rPr>
        <w:t>Stud Pal.</w:t>
      </w:r>
      <w:r>
        <w:rPr>
          <w:sz w:val="20"/>
          <w:szCs w:val="20"/>
        </w:rPr>
        <w:t xml:space="preserve"> 22.101 (2</w:t>
      </w:r>
      <w:r w:rsidRPr="00CD3B0D">
        <w:rPr>
          <w:sz w:val="20"/>
          <w:szCs w:val="20"/>
          <w:vertAlign w:val="superscript"/>
        </w:rPr>
        <w:t>nd</w:t>
      </w:r>
      <w:r>
        <w:rPr>
          <w:sz w:val="20"/>
          <w:szCs w:val="20"/>
        </w:rPr>
        <w:t xml:space="preserve"> c CE; Fayum); and from the graffito carved on the Memnonion at Abydos (332 BCE-CE 284?), ‘Eiras and Helene were here!’, Eiras </w:t>
      </w:r>
      <w:r>
        <w:rPr>
          <w:sz w:val="20"/>
          <w:szCs w:val="20"/>
          <w:lang w:val="el-GR"/>
        </w:rPr>
        <w:t>is taken to be male (</w:t>
      </w:r>
      <w:r w:rsidRPr="00B13D9A">
        <w:rPr>
          <w:i/>
          <w:sz w:val="20"/>
          <w:szCs w:val="20"/>
          <w:lang w:val="el-GR"/>
        </w:rPr>
        <w:t>I. Memnonion</w:t>
      </w:r>
      <w:r>
        <w:rPr>
          <w:sz w:val="20"/>
          <w:szCs w:val="20"/>
          <w:lang w:val="el-GR"/>
        </w:rPr>
        <w:t xml:space="preserve"> 1.31).</w:t>
      </w:r>
    </w:p>
  </w:footnote>
  <w:footnote w:id="165">
    <w:p w14:paraId="24C3338C" w14:textId="1DD6EC90" w:rsidR="00EA696C" w:rsidRPr="00BC0072" w:rsidRDefault="00EA696C">
      <w:pPr>
        <w:pStyle w:val="FootnoteText"/>
        <w:rPr>
          <w:sz w:val="20"/>
          <w:szCs w:val="20"/>
        </w:rPr>
      </w:pPr>
      <w:r w:rsidRPr="00BC0072">
        <w:rPr>
          <w:rStyle w:val="FootnoteReference"/>
          <w:sz w:val="20"/>
          <w:szCs w:val="20"/>
        </w:rPr>
        <w:footnoteRef/>
      </w:r>
      <w:r w:rsidRPr="00BC0072">
        <w:rPr>
          <w:sz w:val="20"/>
          <w:szCs w:val="20"/>
        </w:rPr>
        <w:t xml:space="preserve"> </w:t>
      </w:r>
      <w:r w:rsidRPr="00BC0072">
        <w:rPr>
          <w:i/>
          <w:sz w:val="20"/>
          <w:szCs w:val="20"/>
        </w:rPr>
        <w:t>P. Vindob. Sal.</w:t>
      </w:r>
      <w:r w:rsidRPr="00BC0072">
        <w:rPr>
          <w:sz w:val="20"/>
          <w:szCs w:val="20"/>
        </w:rPr>
        <w:t xml:space="preserve"> 19; </w:t>
      </w:r>
      <w:r>
        <w:rPr>
          <w:sz w:val="20"/>
          <w:szCs w:val="20"/>
        </w:rPr>
        <w:t>see Heinen (‘Onomastisches zu Eiras’,</w:t>
      </w:r>
      <w:r w:rsidRPr="009E6692">
        <w:rPr>
          <w:sz w:val="20"/>
          <w:szCs w:val="20"/>
        </w:rPr>
        <w:t xml:space="preserve"> </w:t>
      </w:r>
      <w:r>
        <w:rPr>
          <w:sz w:val="20"/>
          <w:szCs w:val="20"/>
        </w:rPr>
        <w:t>179) on</w:t>
      </w:r>
      <w:r w:rsidRPr="00BC0072">
        <w:rPr>
          <w:sz w:val="20"/>
          <w:szCs w:val="20"/>
        </w:rPr>
        <w:t xml:space="preserve"> the possibility of reading </w:t>
      </w:r>
      <w:r w:rsidRPr="00BC0072">
        <w:rPr>
          <w:sz w:val="20"/>
          <w:szCs w:val="20"/>
          <w:lang w:val="el-GR"/>
        </w:rPr>
        <w:t>Εἰρᾶ as a variant of Εἰρᾶς.</w:t>
      </w:r>
      <w:r>
        <w:rPr>
          <w:sz w:val="20"/>
          <w:szCs w:val="20"/>
          <w:lang w:val="el-GR"/>
        </w:rPr>
        <w:t xml:space="preserve"> </w:t>
      </w:r>
    </w:p>
  </w:footnote>
  <w:footnote w:id="166">
    <w:p w14:paraId="58A70198" w14:textId="559D0DC3" w:rsidR="00EA696C" w:rsidRPr="00B94938" w:rsidRDefault="00EA696C">
      <w:pPr>
        <w:pStyle w:val="FootnoteText"/>
        <w:rPr>
          <w:sz w:val="20"/>
          <w:szCs w:val="20"/>
        </w:rPr>
      </w:pPr>
      <w:r w:rsidRPr="00461A74">
        <w:rPr>
          <w:rStyle w:val="FootnoteReference"/>
          <w:sz w:val="20"/>
          <w:szCs w:val="20"/>
        </w:rPr>
        <w:footnoteRef/>
      </w:r>
      <w:r w:rsidRPr="00461A74">
        <w:rPr>
          <w:sz w:val="20"/>
          <w:szCs w:val="20"/>
        </w:rPr>
        <w:t xml:space="preserve"> </w:t>
      </w:r>
      <w:r w:rsidRPr="00461A74">
        <w:rPr>
          <w:i/>
          <w:sz w:val="20"/>
          <w:szCs w:val="20"/>
        </w:rPr>
        <w:t>JIGRE</w:t>
      </w:r>
      <w:r w:rsidRPr="00461A74">
        <w:rPr>
          <w:sz w:val="20"/>
          <w:szCs w:val="20"/>
        </w:rPr>
        <w:t xml:space="preserve"> 52; cf. Daniele Foraboschi , </w:t>
      </w:r>
      <w:r w:rsidRPr="00461A74">
        <w:rPr>
          <w:i/>
          <w:sz w:val="20"/>
          <w:szCs w:val="20"/>
        </w:rPr>
        <w:t>Onomasticon alterum papyrologicum. Supplemento al Namenbuch di F. Preisigke</w:t>
      </w:r>
      <w:r w:rsidRPr="00461A74">
        <w:rPr>
          <w:sz w:val="20"/>
          <w:szCs w:val="20"/>
        </w:rPr>
        <w:t xml:space="preserve"> (</w:t>
      </w:r>
      <w:r>
        <w:rPr>
          <w:sz w:val="20"/>
          <w:szCs w:val="20"/>
        </w:rPr>
        <w:t xml:space="preserve">Milan, </w:t>
      </w:r>
      <w:r w:rsidRPr="00461A74">
        <w:rPr>
          <w:sz w:val="20"/>
          <w:szCs w:val="20"/>
        </w:rPr>
        <w:t>1967), 107. The epitaph was</w:t>
      </w:r>
      <w:r>
        <w:rPr>
          <w:sz w:val="20"/>
          <w:szCs w:val="20"/>
        </w:rPr>
        <w:t xml:space="preserve"> recorded</w:t>
      </w:r>
      <w:r w:rsidRPr="00461A74">
        <w:rPr>
          <w:sz w:val="20"/>
          <w:szCs w:val="20"/>
        </w:rPr>
        <w:t xml:space="preserve"> in situ in 1887; cf. Edouard Naville, ‘The Mound of the Jew and the city of Onias’, </w:t>
      </w:r>
      <w:r w:rsidRPr="00461A74">
        <w:rPr>
          <w:i/>
          <w:sz w:val="20"/>
          <w:szCs w:val="20"/>
        </w:rPr>
        <w:t>Egypt Exploration Fund</w:t>
      </w:r>
      <w:r w:rsidRPr="00461A74">
        <w:rPr>
          <w:sz w:val="20"/>
          <w:szCs w:val="20"/>
        </w:rPr>
        <w:t>, 7</w:t>
      </w:r>
      <w:r w:rsidRPr="00461A74">
        <w:rPr>
          <w:sz w:val="20"/>
          <w:szCs w:val="20"/>
          <w:vertAlign w:val="superscript"/>
        </w:rPr>
        <w:t>th</w:t>
      </w:r>
      <w:r w:rsidRPr="00461A74">
        <w:rPr>
          <w:sz w:val="20"/>
          <w:szCs w:val="20"/>
        </w:rPr>
        <w:t xml:space="preserve"> Memoir (1890),</w:t>
      </w:r>
      <w:r>
        <w:rPr>
          <w:sz w:val="20"/>
          <w:szCs w:val="20"/>
        </w:rPr>
        <w:t xml:space="preserve"> 14; pl. IV N.</w:t>
      </w:r>
    </w:p>
  </w:footnote>
  <w:footnote w:id="167">
    <w:p w14:paraId="1CB60F8C" w14:textId="195DD4E3" w:rsidR="00EA696C" w:rsidRPr="00626F5C" w:rsidRDefault="00EA696C">
      <w:pPr>
        <w:pStyle w:val="FootnoteText"/>
        <w:rPr>
          <w:sz w:val="20"/>
          <w:szCs w:val="20"/>
        </w:rPr>
      </w:pPr>
      <w:r w:rsidRPr="00626F5C">
        <w:rPr>
          <w:rStyle w:val="FootnoteReference"/>
          <w:sz w:val="20"/>
          <w:szCs w:val="20"/>
        </w:rPr>
        <w:footnoteRef/>
      </w:r>
      <w:r w:rsidRPr="00626F5C">
        <w:rPr>
          <w:sz w:val="20"/>
          <w:szCs w:val="20"/>
        </w:rPr>
        <w:t xml:space="preserve"> On the Jewish context of the burials at Tell el-Yehoudieh, cf. Horbury and Noy, </w:t>
      </w:r>
      <w:r w:rsidRPr="00626F5C">
        <w:rPr>
          <w:i/>
          <w:sz w:val="20"/>
          <w:szCs w:val="20"/>
        </w:rPr>
        <w:t>Jewish Inscriptions</w:t>
      </w:r>
      <w:r w:rsidRPr="00626F5C">
        <w:rPr>
          <w:sz w:val="20"/>
          <w:szCs w:val="20"/>
        </w:rPr>
        <w:t>,</w:t>
      </w:r>
      <w:r>
        <w:rPr>
          <w:sz w:val="20"/>
          <w:szCs w:val="20"/>
        </w:rPr>
        <w:t xml:space="preserve"> xviii: more than 50% of the names given in the epitaphs are ‘distinctively Jewish’; others include many names (including Eirene) known to have been much used by Jews without being distinctively Jewish; the same family can include members with Jewish, Egyptian and Greek names; while ‘the community may not have been exclusively Jewish…there are no reliable grounds for identifying any non-Jewish minority which may have been buried at the site’.</w:t>
      </w:r>
    </w:p>
  </w:footnote>
  <w:footnote w:id="168">
    <w:p w14:paraId="724B2514" w14:textId="593E0044" w:rsidR="00EA696C" w:rsidRPr="005025B3" w:rsidRDefault="00EA696C">
      <w:pPr>
        <w:pStyle w:val="FootnoteText"/>
        <w:rPr>
          <w:sz w:val="20"/>
          <w:szCs w:val="20"/>
        </w:rPr>
      </w:pPr>
      <w:r w:rsidRPr="005025B3">
        <w:rPr>
          <w:rStyle w:val="FootnoteReference"/>
          <w:sz w:val="20"/>
          <w:szCs w:val="20"/>
        </w:rPr>
        <w:footnoteRef/>
      </w:r>
      <w:r w:rsidRPr="005025B3">
        <w:rPr>
          <w:sz w:val="20"/>
          <w:szCs w:val="20"/>
        </w:rPr>
        <w:t xml:space="preserve"> </w:t>
      </w:r>
      <w:r w:rsidRPr="005025B3">
        <w:rPr>
          <w:i/>
          <w:sz w:val="20"/>
          <w:szCs w:val="20"/>
        </w:rPr>
        <w:t>CIIP</w:t>
      </w:r>
      <w:r w:rsidRPr="005025B3">
        <w:rPr>
          <w:sz w:val="20"/>
          <w:szCs w:val="20"/>
        </w:rPr>
        <w:t xml:space="preserve"> I,1, no. 291 = </w:t>
      </w:r>
      <w:r w:rsidRPr="005025B3">
        <w:rPr>
          <w:i/>
          <w:sz w:val="20"/>
          <w:szCs w:val="20"/>
        </w:rPr>
        <w:t>IJO</w:t>
      </w:r>
      <w:r w:rsidRPr="005025B3">
        <w:rPr>
          <w:sz w:val="20"/>
          <w:szCs w:val="20"/>
        </w:rPr>
        <w:t xml:space="preserve"> III, </w:t>
      </w:r>
      <w:r w:rsidRPr="00FC4EB8">
        <w:rPr>
          <w:i/>
          <w:sz w:val="20"/>
          <w:szCs w:val="20"/>
        </w:rPr>
        <w:t>Syr</w:t>
      </w:r>
      <w:r w:rsidRPr="005025B3">
        <w:rPr>
          <w:sz w:val="20"/>
          <w:szCs w:val="20"/>
        </w:rPr>
        <w:t>72</w:t>
      </w:r>
      <w:r w:rsidRPr="00FC4EB8">
        <w:rPr>
          <w:sz w:val="20"/>
          <w:szCs w:val="20"/>
          <w:vertAlign w:val="superscript"/>
        </w:rPr>
        <w:t>n</w:t>
      </w:r>
      <w:r w:rsidRPr="005025B3">
        <w:rPr>
          <w:sz w:val="20"/>
          <w:szCs w:val="20"/>
        </w:rPr>
        <w:t xml:space="preserve">; </w:t>
      </w:r>
      <w:r>
        <w:rPr>
          <w:sz w:val="20"/>
          <w:szCs w:val="20"/>
        </w:rPr>
        <w:t xml:space="preserve">cf. Tal Ilan, ‘The Ossuary and Sarcophagus Inscriptions’, in </w:t>
      </w:r>
      <w:r w:rsidRPr="00D170F5">
        <w:rPr>
          <w:i/>
          <w:sz w:val="20"/>
          <w:szCs w:val="20"/>
        </w:rPr>
        <w:t>The Akeldama Tombs: Three Burial Caves in the Kidron Valley, Jerusalem</w:t>
      </w:r>
      <w:r>
        <w:rPr>
          <w:sz w:val="20"/>
          <w:szCs w:val="20"/>
        </w:rPr>
        <w:t xml:space="preserve"> (Jerusalem, 1996), eds Gideon Avni and Zvi Greenhut, 57</w:t>
      </w:r>
      <w:r>
        <w:rPr>
          <w:sz w:val="20"/>
          <w:szCs w:val="20"/>
          <w:lang w:val="el-GR"/>
        </w:rPr>
        <w:t>–</w:t>
      </w:r>
      <w:r>
        <w:rPr>
          <w:sz w:val="20"/>
          <w:szCs w:val="20"/>
        </w:rPr>
        <w:t>72 (59, no. 3); Tamar Shadmi, ‘The Ossuaries and the Sarcophagus’, ibid, 41</w:t>
      </w:r>
      <w:r>
        <w:rPr>
          <w:sz w:val="20"/>
          <w:szCs w:val="20"/>
          <w:lang w:val="el-GR"/>
        </w:rPr>
        <w:t>–</w:t>
      </w:r>
      <w:r>
        <w:rPr>
          <w:sz w:val="20"/>
          <w:szCs w:val="20"/>
        </w:rPr>
        <w:t xml:space="preserve">55 (43, Fig. 2.7; Ossuary 11; ed. pr.); P.-L. Gatier, in </w:t>
      </w:r>
      <w:r w:rsidRPr="00875A1E">
        <w:rPr>
          <w:i/>
          <w:sz w:val="20"/>
          <w:szCs w:val="20"/>
        </w:rPr>
        <w:t>Bulletin Épigraphique</w:t>
      </w:r>
      <w:r>
        <w:rPr>
          <w:sz w:val="20"/>
          <w:szCs w:val="20"/>
        </w:rPr>
        <w:t xml:space="preserve"> 654 (1997), 596</w:t>
      </w:r>
      <w:r>
        <w:rPr>
          <w:sz w:val="20"/>
          <w:szCs w:val="20"/>
          <w:lang w:val="el-GR"/>
        </w:rPr>
        <w:t>–</w:t>
      </w:r>
      <w:r>
        <w:rPr>
          <w:sz w:val="20"/>
          <w:szCs w:val="20"/>
        </w:rPr>
        <w:t>97, no. 654. My thanks to Meron Piotrkowski for advice on this topic.</w:t>
      </w:r>
    </w:p>
  </w:footnote>
  <w:footnote w:id="169">
    <w:p w14:paraId="0524DFA8" w14:textId="3A9D1422" w:rsidR="00EA696C" w:rsidRPr="0052332F" w:rsidRDefault="00EA696C">
      <w:pPr>
        <w:pStyle w:val="FootnoteText"/>
        <w:rPr>
          <w:sz w:val="20"/>
          <w:szCs w:val="20"/>
        </w:rPr>
      </w:pPr>
      <w:r w:rsidRPr="0052332F">
        <w:rPr>
          <w:rStyle w:val="FootnoteReference"/>
          <w:sz w:val="20"/>
          <w:szCs w:val="20"/>
        </w:rPr>
        <w:footnoteRef/>
      </w:r>
      <w:r>
        <w:rPr>
          <w:sz w:val="20"/>
          <w:szCs w:val="20"/>
        </w:rPr>
        <w:t xml:space="preserve"> </w:t>
      </w:r>
      <w:r w:rsidRPr="00CB1D05">
        <w:rPr>
          <w:sz w:val="20"/>
          <w:szCs w:val="20"/>
        </w:rPr>
        <w:t>Cotton et al,</w:t>
      </w:r>
      <w:r>
        <w:rPr>
          <w:sz w:val="20"/>
          <w:szCs w:val="20"/>
        </w:rPr>
        <w:t xml:space="preserve"> </w:t>
      </w:r>
      <w:r w:rsidRPr="00CB1D05">
        <w:rPr>
          <w:i/>
          <w:sz w:val="20"/>
          <w:szCs w:val="20"/>
        </w:rPr>
        <w:t>CIIP</w:t>
      </w:r>
      <w:r>
        <w:rPr>
          <w:i/>
          <w:sz w:val="20"/>
          <w:szCs w:val="20"/>
        </w:rPr>
        <w:t xml:space="preserve"> </w:t>
      </w:r>
      <w:r>
        <w:rPr>
          <w:sz w:val="20"/>
          <w:szCs w:val="20"/>
        </w:rPr>
        <w:t>I,1, 309</w:t>
      </w:r>
      <w:r>
        <w:rPr>
          <w:sz w:val="20"/>
          <w:szCs w:val="20"/>
          <w:lang w:val="el-GR"/>
        </w:rPr>
        <w:t>–</w:t>
      </w:r>
      <w:r>
        <w:rPr>
          <w:sz w:val="20"/>
          <w:szCs w:val="20"/>
        </w:rPr>
        <w:t>10; cf. their observation that the family buried with Eiras in Cave 2 ‘seems to have had a predilection for names based on Eros’, and that Eiras is similar sounding.</w:t>
      </w:r>
    </w:p>
  </w:footnote>
  <w:footnote w:id="170">
    <w:p w14:paraId="34A20032" w14:textId="1CC42967" w:rsidR="00EA696C" w:rsidRPr="00775139" w:rsidRDefault="00EA696C">
      <w:pPr>
        <w:pStyle w:val="FootnoteText"/>
        <w:rPr>
          <w:sz w:val="20"/>
          <w:szCs w:val="20"/>
        </w:rPr>
      </w:pPr>
      <w:r w:rsidRPr="00775139">
        <w:rPr>
          <w:rStyle w:val="FootnoteReference"/>
          <w:sz w:val="20"/>
          <w:szCs w:val="20"/>
        </w:rPr>
        <w:footnoteRef/>
      </w:r>
      <w:r w:rsidRPr="00775139">
        <w:rPr>
          <w:sz w:val="20"/>
          <w:szCs w:val="20"/>
        </w:rPr>
        <w:t xml:space="preserve"> </w:t>
      </w:r>
      <w:r>
        <w:rPr>
          <w:sz w:val="20"/>
          <w:szCs w:val="20"/>
        </w:rPr>
        <w:t xml:space="preserve">David </w:t>
      </w:r>
      <w:r w:rsidRPr="00775139">
        <w:rPr>
          <w:sz w:val="20"/>
          <w:szCs w:val="20"/>
        </w:rPr>
        <w:t xml:space="preserve">Noy and </w:t>
      </w:r>
      <w:r>
        <w:rPr>
          <w:sz w:val="20"/>
          <w:szCs w:val="20"/>
        </w:rPr>
        <w:t xml:space="preserve">Hanswulf </w:t>
      </w:r>
      <w:r w:rsidRPr="00775139">
        <w:rPr>
          <w:sz w:val="20"/>
          <w:szCs w:val="20"/>
        </w:rPr>
        <w:t xml:space="preserve">Bloedhorn, </w:t>
      </w:r>
      <w:r w:rsidRPr="00775139">
        <w:rPr>
          <w:i/>
          <w:sz w:val="20"/>
          <w:szCs w:val="20"/>
        </w:rPr>
        <w:t>I</w:t>
      </w:r>
      <w:r>
        <w:rPr>
          <w:i/>
          <w:sz w:val="20"/>
          <w:szCs w:val="20"/>
        </w:rPr>
        <w:t>nscriptiones Judaicae Orientis</w:t>
      </w:r>
      <w:r w:rsidRPr="00775139">
        <w:rPr>
          <w:sz w:val="20"/>
          <w:szCs w:val="20"/>
        </w:rPr>
        <w:t xml:space="preserve"> </w:t>
      </w:r>
      <w:r w:rsidRPr="00775139">
        <w:rPr>
          <w:i/>
          <w:sz w:val="20"/>
          <w:szCs w:val="20"/>
        </w:rPr>
        <w:t>III: Syria and Cyprus</w:t>
      </w:r>
      <w:r>
        <w:rPr>
          <w:sz w:val="20"/>
          <w:szCs w:val="20"/>
        </w:rPr>
        <w:t xml:space="preserve"> (Tübingen, 2004), 116; </w:t>
      </w:r>
      <w:r w:rsidRPr="00CB1D05">
        <w:rPr>
          <w:sz w:val="20"/>
          <w:szCs w:val="20"/>
        </w:rPr>
        <w:t>Cotton et al,</w:t>
      </w:r>
      <w:r>
        <w:rPr>
          <w:sz w:val="20"/>
          <w:szCs w:val="20"/>
        </w:rPr>
        <w:t xml:space="preserve"> </w:t>
      </w:r>
      <w:r w:rsidRPr="00CB1D05">
        <w:rPr>
          <w:i/>
          <w:sz w:val="20"/>
          <w:szCs w:val="20"/>
        </w:rPr>
        <w:t>CIIP</w:t>
      </w:r>
      <w:r>
        <w:rPr>
          <w:i/>
          <w:sz w:val="20"/>
          <w:szCs w:val="20"/>
        </w:rPr>
        <w:t xml:space="preserve"> </w:t>
      </w:r>
      <w:r>
        <w:rPr>
          <w:sz w:val="20"/>
          <w:szCs w:val="20"/>
        </w:rPr>
        <w:t>I,1, 314.</w:t>
      </w:r>
    </w:p>
  </w:footnote>
  <w:footnote w:id="171">
    <w:p w14:paraId="23DB40C4" w14:textId="7C3D83F9" w:rsidR="00EA696C" w:rsidRPr="002D6D40" w:rsidRDefault="00EA696C">
      <w:pPr>
        <w:pStyle w:val="FootnoteText"/>
        <w:rPr>
          <w:sz w:val="20"/>
          <w:szCs w:val="20"/>
        </w:rPr>
      </w:pPr>
      <w:r w:rsidRPr="002D6D40">
        <w:rPr>
          <w:rStyle w:val="FootnoteReference"/>
          <w:sz w:val="20"/>
          <w:szCs w:val="20"/>
        </w:rPr>
        <w:footnoteRef/>
      </w:r>
      <w:r w:rsidRPr="002D6D40">
        <w:rPr>
          <w:sz w:val="20"/>
          <w:szCs w:val="20"/>
        </w:rPr>
        <w:t xml:space="preserve"> </w:t>
      </w:r>
      <w:r w:rsidRPr="002D6D40">
        <w:rPr>
          <w:i/>
          <w:sz w:val="20"/>
          <w:szCs w:val="20"/>
        </w:rPr>
        <w:t xml:space="preserve">CIIP </w:t>
      </w:r>
      <w:r w:rsidRPr="002D6D40">
        <w:rPr>
          <w:sz w:val="20"/>
          <w:szCs w:val="20"/>
        </w:rPr>
        <w:t>no. 304, ‘Ariston from Apamea’.</w:t>
      </w:r>
    </w:p>
  </w:footnote>
  <w:footnote w:id="172">
    <w:p w14:paraId="32B8F30E" w14:textId="60B181E2" w:rsidR="00EA696C" w:rsidRPr="00BC7F68" w:rsidRDefault="00EA696C">
      <w:pPr>
        <w:pStyle w:val="FootnoteText"/>
        <w:rPr>
          <w:sz w:val="20"/>
          <w:szCs w:val="20"/>
        </w:rPr>
      </w:pPr>
      <w:r w:rsidRPr="00BC7F68">
        <w:rPr>
          <w:rStyle w:val="FootnoteReference"/>
          <w:sz w:val="20"/>
          <w:szCs w:val="20"/>
        </w:rPr>
        <w:footnoteRef/>
      </w:r>
      <w:r w:rsidRPr="00BC7F68">
        <w:rPr>
          <w:sz w:val="20"/>
          <w:szCs w:val="20"/>
        </w:rPr>
        <w:t xml:space="preserve"> </w:t>
      </w:r>
      <w:r>
        <w:rPr>
          <w:sz w:val="20"/>
          <w:szCs w:val="20"/>
        </w:rPr>
        <w:t>On the basis of new readings,</w:t>
      </w:r>
      <w:r w:rsidRPr="00BC7F68">
        <w:rPr>
          <w:sz w:val="20"/>
          <w:szCs w:val="20"/>
        </w:rPr>
        <w:t xml:space="preserve"> </w:t>
      </w:r>
      <w:r w:rsidRPr="00CB1D05">
        <w:rPr>
          <w:sz w:val="20"/>
          <w:szCs w:val="20"/>
        </w:rPr>
        <w:t>Cotton et al,</w:t>
      </w:r>
      <w:r>
        <w:rPr>
          <w:sz w:val="20"/>
          <w:szCs w:val="20"/>
        </w:rPr>
        <w:t xml:space="preserve"> </w:t>
      </w:r>
      <w:r w:rsidRPr="00CB1D05">
        <w:rPr>
          <w:i/>
          <w:sz w:val="20"/>
          <w:szCs w:val="20"/>
        </w:rPr>
        <w:t>CIIP</w:t>
      </w:r>
      <w:r>
        <w:rPr>
          <w:i/>
          <w:sz w:val="20"/>
          <w:szCs w:val="20"/>
        </w:rPr>
        <w:t xml:space="preserve"> </w:t>
      </w:r>
      <w:r>
        <w:rPr>
          <w:sz w:val="20"/>
          <w:szCs w:val="20"/>
        </w:rPr>
        <w:t xml:space="preserve">I,1, 310, </w:t>
      </w:r>
      <w:r w:rsidRPr="00BC7F68">
        <w:rPr>
          <w:sz w:val="20"/>
          <w:szCs w:val="20"/>
        </w:rPr>
        <w:t>revis</w:t>
      </w:r>
      <w:r>
        <w:rPr>
          <w:sz w:val="20"/>
          <w:szCs w:val="20"/>
        </w:rPr>
        <w:t>e the</w:t>
      </w:r>
      <w:r w:rsidRPr="00BC7F68">
        <w:rPr>
          <w:sz w:val="20"/>
          <w:szCs w:val="20"/>
        </w:rPr>
        <w:t xml:space="preserve"> arguments for </w:t>
      </w:r>
      <w:r>
        <w:rPr>
          <w:sz w:val="20"/>
          <w:szCs w:val="20"/>
        </w:rPr>
        <w:t>the inscriptions’</w:t>
      </w:r>
      <w:r w:rsidRPr="00BC7F68">
        <w:rPr>
          <w:sz w:val="20"/>
          <w:szCs w:val="20"/>
        </w:rPr>
        <w:t xml:space="preserve"> Syrian origin </w:t>
      </w:r>
      <w:r>
        <w:rPr>
          <w:sz w:val="20"/>
          <w:szCs w:val="20"/>
        </w:rPr>
        <w:t xml:space="preserve">as </w:t>
      </w:r>
      <w:r w:rsidRPr="00BC7F68">
        <w:rPr>
          <w:sz w:val="20"/>
          <w:szCs w:val="20"/>
        </w:rPr>
        <w:t xml:space="preserve">given in the </w:t>
      </w:r>
      <w:r w:rsidRPr="00BC7F68">
        <w:rPr>
          <w:i/>
          <w:sz w:val="20"/>
          <w:szCs w:val="20"/>
        </w:rPr>
        <w:t>editio princeps</w:t>
      </w:r>
      <w:r w:rsidRPr="00BC7F68">
        <w:rPr>
          <w:sz w:val="20"/>
          <w:szCs w:val="20"/>
        </w:rPr>
        <w:t xml:space="preserve">, cf. Ilan, </w:t>
      </w:r>
      <w:r>
        <w:rPr>
          <w:sz w:val="20"/>
          <w:szCs w:val="20"/>
        </w:rPr>
        <w:t>‘The Ossuary’</w:t>
      </w:r>
      <w:r w:rsidRPr="00BC7F68">
        <w:rPr>
          <w:sz w:val="20"/>
          <w:szCs w:val="20"/>
        </w:rPr>
        <w:t>.</w:t>
      </w:r>
    </w:p>
  </w:footnote>
  <w:footnote w:id="173">
    <w:p w14:paraId="447AF188" w14:textId="5E546AAF" w:rsidR="00EA696C" w:rsidRPr="00193825" w:rsidRDefault="00EA696C">
      <w:pPr>
        <w:pStyle w:val="FootnoteText"/>
        <w:rPr>
          <w:sz w:val="20"/>
          <w:szCs w:val="20"/>
        </w:rPr>
      </w:pPr>
      <w:r w:rsidRPr="00193825">
        <w:rPr>
          <w:rStyle w:val="FootnoteReference"/>
          <w:sz w:val="20"/>
          <w:szCs w:val="20"/>
        </w:rPr>
        <w:footnoteRef/>
      </w:r>
      <w:r w:rsidRPr="00193825">
        <w:rPr>
          <w:sz w:val="20"/>
          <w:szCs w:val="20"/>
        </w:rPr>
        <w:t xml:space="preserve"> </w:t>
      </w:r>
      <w:r w:rsidRPr="00CB1D05">
        <w:rPr>
          <w:sz w:val="20"/>
          <w:szCs w:val="20"/>
        </w:rPr>
        <w:t>Cotton et al,</w:t>
      </w:r>
      <w:r>
        <w:rPr>
          <w:sz w:val="20"/>
          <w:szCs w:val="20"/>
        </w:rPr>
        <w:t xml:space="preserve"> </w:t>
      </w:r>
      <w:r w:rsidRPr="00CB1D05">
        <w:rPr>
          <w:i/>
          <w:sz w:val="20"/>
          <w:szCs w:val="20"/>
        </w:rPr>
        <w:t>CIIP</w:t>
      </w:r>
      <w:r>
        <w:rPr>
          <w:i/>
          <w:sz w:val="20"/>
          <w:szCs w:val="20"/>
        </w:rPr>
        <w:t xml:space="preserve"> </w:t>
      </w:r>
      <w:r>
        <w:rPr>
          <w:sz w:val="20"/>
          <w:szCs w:val="20"/>
        </w:rPr>
        <w:t>I,1, 3</w:t>
      </w:r>
      <w:r w:rsidRPr="00193825">
        <w:rPr>
          <w:sz w:val="20"/>
          <w:szCs w:val="20"/>
        </w:rPr>
        <w:t>10.</w:t>
      </w:r>
    </w:p>
  </w:footnote>
  <w:footnote w:id="174">
    <w:p w14:paraId="3EFDCCFA" w14:textId="79DEBB1B" w:rsidR="00EA696C" w:rsidRPr="00E82F4D" w:rsidRDefault="00EA696C">
      <w:pPr>
        <w:pStyle w:val="FootnoteText"/>
        <w:rPr>
          <w:sz w:val="20"/>
          <w:szCs w:val="20"/>
        </w:rPr>
      </w:pPr>
      <w:r w:rsidRPr="00E82F4D">
        <w:rPr>
          <w:rStyle w:val="FootnoteReference"/>
          <w:sz w:val="20"/>
          <w:szCs w:val="20"/>
        </w:rPr>
        <w:footnoteRef/>
      </w:r>
      <w:r w:rsidRPr="00E82F4D">
        <w:rPr>
          <w:sz w:val="20"/>
          <w:szCs w:val="20"/>
        </w:rPr>
        <w:t xml:space="preserve"> </w:t>
      </w:r>
      <w:r w:rsidRPr="00E82F4D">
        <w:rPr>
          <w:sz w:val="20"/>
          <w:szCs w:val="20"/>
          <w:lang w:val="el-GR"/>
        </w:rPr>
        <w:t>Εἰρᾶς</w:t>
      </w:r>
      <w:r w:rsidRPr="00E82F4D">
        <w:rPr>
          <w:sz w:val="20"/>
          <w:szCs w:val="20"/>
        </w:rPr>
        <w:t xml:space="preserve"> as hypocoristic form: suggested by David M. Lewis, in </w:t>
      </w:r>
      <w:r w:rsidRPr="00E82F4D">
        <w:rPr>
          <w:i/>
          <w:sz w:val="20"/>
          <w:szCs w:val="20"/>
        </w:rPr>
        <w:t>Corpus Papyrorum Judaicarum</w:t>
      </w:r>
      <w:r w:rsidRPr="00E82F4D">
        <w:rPr>
          <w:sz w:val="20"/>
          <w:szCs w:val="20"/>
        </w:rPr>
        <w:t xml:space="preserve"> Volume III, ed. Victor Tcherikover, Alexander Fuks and Menahem Stern, </w:t>
      </w:r>
      <w:r w:rsidRPr="00E82F4D">
        <w:rPr>
          <w:i/>
          <w:sz w:val="20"/>
          <w:szCs w:val="20"/>
        </w:rPr>
        <w:t>with an Epigraphical Contribution</w:t>
      </w:r>
      <w:r w:rsidRPr="00E82F4D">
        <w:rPr>
          <w:sz w:val="20"/>
          <w:szCs w:val="20"/>
        </w:rPr>
        <w:t xml:space="preserve"> by David M. Lewis (Cambridge, MA, 1964), 148; </w:t>
      </w:r>
      <w:r>
        <w:rPr>
          <w:sz w:val="20"/>
          <w:szCs w:val="20"/>
        </w:rPr>
        <w:t>argued in detail by Heinen, ‘Onomastisches zu Eiras’,</w:t>
      </w:r>
      <w:r w:rsidRPr="009E6692">
        <w:rPr>
          <w:sz w:val="20"/>
          <w:szCs w:val="20"/>
        </w:rPr>
        <w:t xml:space="preserve"> 176</w:t>
      </w:r>
      <w:r>
        <w:rPr>
          <w:sz w:val="20"/>
          <w:szCs w:val="20"/>
          <w:lang w:val="el-GR"/>
        </w:rPr>
        <w:t>–</w:t>
      </w:r>
      <w:r w:rsidRPr="009E6692">
        <w:rPr>
          <w:sz w:val="20"/>
          <w:szCs w:val="20"/>
        </w:rPr>
        <w:t>81</w:t>
      </w:r>
      <w:r>
        <w:rPr>
          <w:sz w:val="20"/>
          <w:szCs w:val="20"/>
        </w:rPr>
        <w:t>. Heinen (178</w:t>
      </w:r>
      <w:r>
        <w:rPr>
          <w:sz w:val="20"/>
          <w:szCs w:val="20"/>
          <w:lang w:val="el-GR"/>
        </w:rPr>
        <w:t>–7</w:t>
      </w:r>
      <w:r>
        <w:rPr>
          <w:sz w:val="20"/>
          <w:szCs w:val="20"/>
        </w:rPr>
        <w:t xml:space="preserve">9) notes the use of hypocoristic name forms of other individuals within Cleopatra’s court or administration (e.g. the Queen’s male servant Saras (Sarapion) mentioned in Cicero, </w:t>
      </w:r>
      <w:r w:rsidRPr="00FB3D4F">
        <w:rPr>
          <w:i/>
          <w:sz w:val="20"/>
          <w:szCs w:val="20"/>
        </w:rPr>
        <w:t>Att</w:t>
      </w:r>
      <w:r w:rsidR="00EE3744">
        <w:rPr>
          <w:i/>
          <w:sz w:val="20"/>
          <w:szCs w:val="20"/>
        </w:rPr>
        <w:t>icus</w:t>
      </w:r>
      <w:r>
        <w:rPr>
          <w:sz w:val="20"/>
          <w:szCs w:val="20"/>
        </w:rPr>
        <w:t xml:space="preserve"> 15.15.2), while rare hypocoristic forms of feminine names ending in -</w:t>
      </w:r>
      <w:r>
        <w:rPr>
          <w:sz w:val="20"/>
          <w:szCs w:val="20"/>
          <w:lang w:val="el-GR"/>
        </w:rPr>
        <w:t>ᾶς</w:t>
      </w:r>
      <w:r>
        <w:rPr>
          <w:sz w:val="20"/>
          <w:szCs w:val="20"/>
        </w:rPr>
        <w:t xml:space="preserve"> appear, for example, in the names </w:t>
      </w:r>
      <w:r>
        <w:rPr>
          <w:sz w:val="20"/>
          <w:szCs w:val="20"/>
          <w:lang w:val="el-GR"/>
        </w:rPr>
        <w:t>Κλεοπᾶς</w:t>
      </w:r>
      <w:r>
        <w:rPr>
          <w:sz w:val="20"/>
          <w:szCs w:val="20"/>
        </w:rPr>
        <w:t xml:space="preserve"> (Kleopas) (</w:t>
      </w:r>
      <w:r w:rsidRPr="003A18F9">
        <w:rPr>
          <w:i/>
          <w:sz w:val="20"/>
          <w:szCs w:val="20"/>
        </w:rPr>
        <w:t>I. Philae</w:t>
      </w:r>
      <w:r>
        <w:rPr>
          <w:sz w:val="20"/>
          <w:szCs w:val="20"/>
        </w:rPr>
        <w:t xml:space="preserve"> 1.29; Philae, 1</w:t>
      </w:r>
      <w:r w:rsidRPr="00550CC2">
        <w:rPr>
          <w:sz w:val="20"/>
          <w:szCs w:val="20"/>
          <w:vertAlign w:val="superscript"/>
        </w:rPr>
        <w:t>st</w:t>
      </w:r>
      <w:r>
        <w:rPr>
          <w:sz w:val="20"/>
          <w:szCs w:val="20"/>
        </w:rPr>
        <w:t xml:space="preserve"> c. BCE) and </w:t>
      </w:r>
      <w:r>
        <w:rPr>
          <w:sz w:val="20"/>
          <w:szCs w:val="20"/>
          <w:lang w:val="el-GR"/>
        </w:rPr>
        <w:t>Κλευπᾶς (Kleupas) (</w:t>
      </w:r>
      <w:r w:rsidRPr="000C28E7">
        <w:rPr>
          <w:i/>
          <w:sz w:val="20"/>
          <w:szCs w:val="20"/>
          <w:lang w:val="el-GR"/>
        </w:rPr>
        <w:t xml:space="preserve">CPJ </w:t>
      </w:r>
      <w:r>
        <w:rPr>
          <w:sz w:val="20"/>
          <w:szCs w:val="20"/>
          <w:lang w:val="el-GR"/>
        </w:rPr>
        <w:t xml:space="preserve">3, no. 1530b = </w:t>
      </w:r>
      <w:r w:rsidRPr="005A6BCB">
        <w:rPr>
          <w:i/>
          <w:sz w:val="20"/>
          <w:szCs w:val="20"/>
          <w:lang w:val="el-GR"/>
        </w:rPr>
        <w:t>JIGRE</w:t>
      </w:r>
      <w:r>
        <w:rPr>
          <w:sz w:val="20"/>
          <w:szCs w:val="20"/>
          <w:lang w:val="el-GR"/>
        </w:rPr>
        <w:t xml:space="preserve"> 99; Tell el-Yehudieh; mid 2nd c BCE-early 2nd c CE; 7 BCE?)</w:t>
      </w:r>
      <w:r>
        <w:rPr>
          <w:sz w:val="20"/>
          <w:szCs w:val="20"/>
        </w:rPr>
        <w:t xml:space="preserve">, both derived from the name </w:t>
      </w:r>
      <w:r>
        <w:rPr>
          <w:sz w:val="20"/>
          <w:szCs w:val="20"/>
          <w:lang w:val="el-GR"/>
        </w:rPr>
        <w:t>Κλεοπάτρα (Kleopatra)</w:t>
      </w:r>
      <w:r>
        <w:rPr>
          <w:sz w:val="20"/>
          <w:szCs w:val="20"/>
        </w:rPr>
        <w:t xml:space="preserve">. In the same context, one should also note Heinen’s decisive refutation of earlier attempts to interpret the significance of the name Eiras, including his critique of the entry in the standard lexicon by W. Pape (G.E. Benseler), </w:t>
      </w:r>
      <w:r w:rsidRPr="00510B7B">
        <w:rPr>
          <w:i/>
          <w:sz w:val="20"/>
          <w:szCs w:val="20"/>
        </w:rPr>
        <w:t>Wörterbuch der grischischen Eigennamen</w:t>
      </w:r>
      <w:r>
        <w:rPr>
          <w:sz w:val="20"/>
          <w:szCs w:val="20"/>
        </w:rPr>
        <w:t xml:space="preserve"> (3</w:t>
      </w:r>
      <w:r w:rsidRPr="00510B7B">
        <w:rPr>
          <w:sz w:val="20"/>
          <w:szCs w:val="20"/>
          <w:vertAlign w:val="superscript"/>
        </w:rPr>
        <w:t>rd</w:t>
      </w:r>
      <w:r>
        <w:rPr>
          <w:sz w:val="20"/>
          <w:szCs w:val="20"/>
        </w:rPr>
        <w:t xml:space="preserve"> edn; Braunschweig, 1911), s.v. Εἰράς = ‘Wollkopf’ (‘Woolhead’, based on </w:t>
      </w:r>
      <w:r>
        <w:rPr>
          <w:sz w:val="20"/>
          <w:szCs w:val="20"/>
          <w:lang w:val="el-GR"/>
        </w:rPr>
        <w:t>τὸ εἶρος</w:t>
      </w:r>
      <w:r>
        <w:rPr>
          <w:sz w:val="20"/>
          <w:szCs w:val="20"/>
        </w:rPr>
        <w:t xml:space="preserve"> = ‘wool’).</w:t>
      </w:r>
    </w:p>
  </w:footnote>
  <w:footnote w:id="175">
    <w:p w14:paraId="2F907E28" w14:textId="1CCA339A" w:rsidR="00EA696C" w:rsidRPr="006A5DFD" w:rsidRDefault="00EA696C">
      <w:pPr>
        <w:pStyle w:val="FootnoteText"/>
        <w:rPr>
          <w:sz w:val="20"/>
          <w:szCs w:val="20"/>
        </w:rPr>
      </w:pPr>
      <w:r w:rsidRPr="006A5DFD">
        <w:rPr>
          <w:rStyle w:val="FootnoteReference"/>
          <w:sz w:val="20"/>
          <w:szCs w:val="20"/>
        </w:rPr>
        <w:footnoteRef/>
      </w:r>
      <w:r w:rsidRPr="006A5DFD">
        <w:rPr>
          <w:sz w:val="20"/>
          <w:szCs w:val="20"/>
        </w:rPr>
        <w:t xml:space="preserve"> Heinen, </w:t>
      </w:r>
      <w:r>
        <w:rPr>
          <w:sz w:val="20"/>
          <w:szCs w:val="20"/>
        </w:rPr>
        <w:t>‘Onomastisches zu Eiras’,</w:t>
      </w:r>
      <w:r w:rsidRPr="009E6692">
        <w:rPr>
          <w:sz w:val="20"/>
          <w:szCs w:val="20"/>
        </w:rPr>
        <w:t xml:space="preserve"> </w:t>
      </w:r>
      <w:r>
        <w:rPr>
          <w:sz w:val="20"/>
          <w:szCs w:val="20"/>
        </w:rPr>
        <w:t>181 (my tr.).</w:t>
      </w:r>
    </w:p>
  </w:footnote>
  <w:footnote w:id="176">
    <w:p w14:paraId="3B9D1C0E" w14:textId="1565DFD2" w:rsidR="00EA696C" w:rsidRPr="00D21A4A" w:rsidRDefault="00EA696C">
      <w:pPr>
        <w:pStyle w:val="FootnoteText"/>
        <w:rPr>
          <w:sz w:val="20"/>
          <w:szCs w:val="20"/>
        </w:rPr>
      </w:pPr>
      <w:r w:rsidRPr="00D21A4A">
        <w:rPr>
          <w:rStyle w:val="FootnoteReference"/>
          <w:sz w:val="20"/>
          <w:szCs w:val="20"/>
        </w:rPr>
        <w:footnoteRef/>
      </w:r>
      <w:r w:rsidRPr="00D21A4A">
        <w:rPr>
          <w:sz w:val="20"/>
          <w:szCs w:val="20"/>
        </w:rPr>
        <w:t xml:space="preserve"> Heinen, </w:t>
      </w:r>
      <w:r>
        <w:rPr>
          <w:sz w:val="20"/>
          <w:szCs w:val="20"/>
        </w:rPr>
        <w:t xml:space="preserve">‘Onomastisches zu Eiras’, 179; Horbury and Noy, </w:t>
      </w:r>
      <w:r w:rsidRPr="00D21A4A">
        <w:rPr>
          <w:i/>
          <w:sz w:val="20"/>
          <w:szCs w:val="20"/>
        </w:rPr>
        <w:t>Jewish Inscriptions</w:t>
      </w:r>
      <w:r>
        <w:rPr>
          <w:sz w:val="20"/>
          <w:szCs w:val="20"/>
        </w:rPr>
        <w:t>, 138 (noting, on the basis of the evidence available before 1992, that Salome is not attested in Greek transliteration in Egypt with the possible exception of treating the name Salamis as a variant form (</w:t>
      </w:r>
      <w:r w:rsidRPr="00626AF4">
        <w:rPr>
          <w:i/>
          <w:sz w:val="20"/>
          <w:szCs w:val="20"/>
        </w:rPr>
        <w:t>JIGRE</w:t>
      </w:r>
      <w:r>
        <w:rPr>
          <w:sz w:val="20"/>
          <w:szCs w:val="20"/>
        </w:rPr>
        <w:t xml:space="preserve"> no. 48, Fayum; 2</w:t>
      </w:r>
      <w:r w:rsidRPr="00626AF4">
        <w:rPr>
          <w:sz w:val="20"/>
          <w:szCs w:val="20"/>
          <w:vertAlign w:val="superscript"/>
        </w:rPr>
        <w:t>nd</w:t>
      </w:r>
      <w:r>
        <w:rPr>
          <w:sz w:val="20"/>
          <w:szCs w:val="20"/>
        </w:rPr>
        <w:t xml:space="preserve"> c. BCE?)). Gerard Mussies treats Eirene as an example of ‘foreign names used by Jews’, and specifically of names translated from the Hebrew: ‘Jewish Personal Names in Some Non-Literary Sources’, in </w:t>
      </w:r>
      <w:r w:rsidRPr="00912BA6">
        <w:rPr>
          <w:i/>
          <w:sz w:val="20"/>
          <w:szCs w:val="20"/>
        </w:rPr>
        <w:t>Studies in Early Jewish Epigraphy</w:t>
      </w:r>
      <w:r>
        <w:rPr>
          <w:sz w:val="20"/>
          <w:szCs w:val="20"/>
        </w:rPr>
        <w:t>, ed. Jan Willem van Henten and Pieter W. van der Horst (Leiden, 1994), 242</w:t>
      </w:r>
      <w:r>
        <w:rPr>
          <w:sz w:val="20"/>
          <w:szCs w:val="20"/>
          <w:lang w:val="el-GR"/>
        </w:rPr>
        <w:t>–</w:t>
      </w:r>
      <w:r>
        <w:rPr>
          <w:sz w:val="20"/>
          <w:szCs w:val="20"/>
        </w:rPr>
        <w:t xml:space="preserve">76 (245). The fact that Eirene is a well-established Greek (non-Jewish) name does not render unlikely the adoption by Jews of the name as equivalent to Salome, despite the doubts expressed by Tal Ilan, </w:t>
      </w:r>
      <w:r w:rsidRPr="00A063FE">
        <w:rPr>
          <w:i/>
          <w:sz w:val="20"/>
          <w:szCs w:val="20"/>
        </w:rPr>
        <w:t>Lexicon of Jewish Names in Late Antiquity. Part III. The Western Diaspora 330 BCE</w:t>
      </w:r>
      <w:r>
        <w:rPr>
          <w:sz w:val="20"/>
          <w:szCs w:val="20"/>
          <w:lang w:val="el-GR"/>
        </w:rPr>
        <w:t>–</w:t>
      </w:r>
      <w:r w:rsidRPr="00A063FE">
        <w:rPr>
          <w:i/>
          <w:sz w:val="20"/>
          <w:szCs w:val="20"/>
        </w:rPr>
        <w:t xml:space="preserve">650 CE </w:t>
      </w:r>
      <w:r>
        <w:rPr>
          <w:sz w:val="20"/>
          <w:szCs w:val="20"/>
        </w:rPr>
        <w:t xml:space="preserve">(Tübingen, 2008), 416. On the extreme popularity of the name Salome, cf. Tal Ilan, ‘Notes on the Distribution of Jewish Women’s Names in Palestine in the Second Temple and Mishnaic Periods’, </w:t>
      </w:r>
      <w:r w:rsidRPr="005175E5">
        <w:rPr>
          <w:i/>
          <w:sz w:val="20"/>
          <w:szCs w:val="20"/>
        </w:rPr>
        <w:t>Journal of Jewish Studies</w:t>
      </w:r>
      <w:r>
        <w:rPr>
          <w:sz w:val="20"/>
          <w:szCs w:val="20"/>
        </w:rPr>
        <w:t xml:space="preserve"> 40 (1989), 186</w:t>
      </w:r>
      <w:r>
        <w:rPr>
          <w:sz w:val="20"/>
          <w:szCs w:val="20"/>
          <w:lang w:val="el-GR"/>
        </w:rPr>
        <w:t>–</w:t>
      </w:r>
      <w:r>
        <w:rPr>
          <w:sz w:val="20"/>
          <w:szCs w:val="20"/>
        </w:rPr>
        <w:t>200.</w:t>
      </w:r>
    </w:p>
  </w:footnote>
  <w:footnote w:id="177">
    <w:p w14:paraId="2ACCF439" w14:textId="6FDC11E0" w:rsidR="00EA696C" w:rsidRPr="001F7470" w:rsidRDefault="00EA696C">
      <w:pPr>
        <w:pStyle w:val="FootnoteText"/>
        <w:rPr>
          <w:sz w:val="20"/>
          <w:szCs w:val="20"/>
        </w:rPr>
      </w:pPr>
      <w:r w:rsidRPr="001F7470">
        <w:rPr>
          <w:rStyle w:val="FootnoteReference"/>
          <w:sz w:val="20"/>
          <w:szCs w:val="20"/>
        </w:rPr>
        <w:footnoteRef/>
      </w:r>
      <w:r w:rsidRPr="001F7470">
        <w:rPr>
          <w:sz w:val="20"/>
          <w:szCs w:val="20"/>
        </w:rPr>
        <w:t xml:space="preserve"> Heinen</w:t>
      </w:r>
      <w:r>
        <w:rPr>
          <w:sz w:val="20"/>
          <w:szCs w:val="20"/>
        </w:rPr>
        <w:t>, ‘Onomastisches zu Eiras’, 181</w:t>
      </w:r>
      <w:r w:rsidRPr="001F7470">
        <w:rPr>
          <w:sz w:val="20"/>
          <w:szCs w:val="20"/>
        </w:rPr>
        <w:t>: ‘Die Frage, ob Eiras, die Zofe Kleopatras, eine Judin gewesen ist, läßt sich anhand der uns zur Verfügung stehenden Quellen nicht entscheiden’.</w:t>
      </w:r>
    </w:p>
  </w:footnote>
  <w:footnote w:id="178">
    <w:p w14:paraId="3851EF98" w14:textId="2C838CCB" w:rsidR="00EA696C" w:rsidRPr="00BD379F" w:rsidRDefault="00EA696C">
      <w:pPr>
        <w:pStyle w:val="FootnoteText"/>
        <w:rPr>
          <w:sz w:val="20"/>
          <w:szCs w:val="20"/>
        </w:rPr>
      </w:pPr>
      <w:r w:rsidRPr="001F7470">
        <w:rPr>
          <w:rStyle w:val="FootnoteReference"/>
          <w:sz w:val="20"/>
          <w:szCs w:val="20"/>
        </w:rPr>
        <w:footnoteRef/>
      </w:r>
      <w:r w:rsidRPr="001F7470">
        <w:rPr>
          <w:sz w:val="20"/>
          <w:szCs w:val="20"/>
        </w:rPr>
        <w:t xml:space="preserve"> The suggestion of Eiras’ Jewish origins is noted, for example, in the authoritative collection </w:t>
      </w:r>
      <w:r w:rsidRPr="001F7470">
        <w:rPr>
          <w:i/>
          <w:sz w:val="20"/>
          <w:szCs w:val="20"/>
        </w:rPr>
        <w:t>Women</w:t>
      </w:r>
      <w:r w:rsidRPr="00BD379F">
        <w:rPr>
          <w:i/>
          <w:sz w:val="20"/>
          <w:szCs w:val="20"/>
        </w:rPr>
        <w:t xml:space="preserve"> and Society in Greek and Roman Egypt: A Sourcebook</w:t>
      </w:r>
      <w:r w:rsidRPr="00BD379F">
        <w:rPr>
          <w:sz w:val="20"/>
          <w:szCs w:val="20"/>
        </w:rPr>
        <w:t>, ed. Jane Rowlandson (</w:t>
      </w:r>
      <w:r>
        <w:rPr>
          <w:sz w:val="20"/>
          <w:szCs w:val="20"/>
        </w:rPr>
        <w:t>Cambridge, 1998</w:t>
      </w:r>
      <w:r w:rsidRPr="00BD379F">
        <w:rPr>
          <w:sz w:val="20"/>
          <w:szCs w:val="20"/>
        </w:rPr>
        <w:t xml:space="preserve">), </w:t>
      </w:r>
      <w:r>
        <w:rPr>
          <w:sz w:val="20"/>
          <w:szCs w:val="20"/>
        </w:rPr>
        <w:t>41, in which Eiras represents the only case study of a (possibly) Jewish woman in the Ptolemaic era.</w:t>
      </w:r>
    </w:p>
  </w:footnote>
  <w:footnote w:id="179">
    <w:p w14:paraId="138F9013" w14:textId="1AA1454B" w:rsidR="00EA696C" w:rsidRPr="005D3B26" w:rsidRDefault="00EA696C" w:rsidP="006E3581">
      <w:pPr>
        <w:rPr>
          <w:sz w:val="20"/>
          <w:szCs w:val="20"/>
          <w:lang w:val="en-GB"/>
        </w:rPr>
      </w:pPr>
      <w:r w:rsidRPr="005D3B26">
        <w:rPr>
          <w:rStyle w:val="FootnoteReference"/>
          <w:sz w:val="20"/>
          <w:szCs w:val="20"/>
        </w:rPr>
        <w:footnoteRef/>
      </w:r>
      <w:r w:rsidRPr="005D3B26">
        <w:rPr>
          <w:sz w:val="20"/>
          <w:szCs w:val="20"/>
        </w:rPr>
        <w:t xml:space="preserve"> </w:t>
      </w:r>
      <w:r w:rsidRPr="006909FC">
        <w:rPr>
          <w:sz w:val="20"/>
          <w:szCs w:val="20"/>
          <w:lang w:val="en-GB"/>
        </w:rPr>
        <w:t>The known names of Cl</w:t>
      </w:r>
      <w:r>
        <w:rPr>
          <w:sz w:val="20"/>
          <w:szCs w:val="20"/>
          <w:lang w:val="en-GB"/>
        </w:rPr>
        <w:t>eopatra’s administrators reveal</w:t>
      </w:r>
      <w:r w:rsidRPr="006909FC">
        <w:rPr>
          <w:sz w:val="20"/>
          <w:szCs w:val="20"/>
          <w:lang w:val="en-GB"/>
        </w:rPr>
        <w:t xml:space="preserve"> little of their identity</w:t>
      </w:r>
      <w:r>
        <w:rPr>
          <w:sz w:val="20"/>
          <w:szCs w:val="20"/>
          <w:lang w:val="en-GB"/>
        </w:rPr>
        <w:t xml:space="preserve"> and may well have included individual Jews</w:t>
      </w:r>
      <w:r w:rsidRPr="006909FC">
        <w:rPr>
          <w:sz w:val="20"/>
          <w:szCs w:val="20"/>
          <w:lang w:val="en-GB"/>
        </w:rPr>
        <w:t xml:space="preserve">: most </w:t>
      </w:r>
      <w:r>
        <w:rPr>
          <w:sz w:val="20"/>
          <w:szCs w:val="20"/>
          <w:lang w:val="en-GB"/>
        </w:rPr>
        <w:t xml:space="preserve">of the administrators </w:t>
      </w:r>
      <w:r w:rsidRPr="006909FC">
        <w:rPr>
          <w:sz w:val="20"/>
          <w:szCs w:val="20"/>
          <w:lang w:val="en-GB"/>
        </w:rPr>
        <w:t xml:space="preserve">have Greek names though a number also have Egyptian theophoric names, cf. Roller, </w:t>
      </w:r>
      <w:r w:rsidRPr="006909FC">
        <w:rPr>
          <w:i/>
          <w:sz w:val="20"/>
          <w:szCs w:val="20"/>
          <w:lang w:val="en-GB"/>
        </w:rPr>
        <w:t>Cleopatra</w:t>
      </w:r>
      <w:r>
        <w:rPr>
          <w:sz w:val="20"/>
          <w:szCs w:val="20"/>
          <w:lang w:val="en-GB"/>
        </w:rPr>
        <w:t>, 107–</w:t>
      </w:r>
      <w:r w:rsidRPr="006909FC">
        <w:rPr>
          <w:sz w:val="20"/>
          <w:szCs w:val="20"/>
          <w:lang w:val="en-GB"/>
        </w:rPr>
        <w:t xml:space="preserve">08; for a list of administrators from the reign of Cleopatra VII, see Ricketts, </w:t>
      </w:r>
      <w:r w:rsidRPr="006909FC">
        <w:rPr>
          <w:i/>
          <w:sz w:val="20"/>
          <w:szCs w:val="20"/>
          <w:lang w:val="en-GB"/>
        </w:rPr>
        <w:t>The Administration</w:t>
      </w:r>
      <w:r>
        <w:rPr>
          <w:sz w:val="20"/>
          <w:szCs w:val="20"/>
          <w:lang w:val="en-GB"/>
        </w:rPr>
        <w:t>, 137–</w:t>
      </w:r>
      <w:r w:rsidRPr="006909FC">
        <w:rPr>
          <w:sz w:val="20"/>
          <w:szCs w:val="20"/>
          <w:lang w:val="en-GB"/>
        </w:rPr>
        <w:t xml:space="preserve">49. </w:t>
      </w:r>
      <w:r>
        <w:rPr>
          <w:sz w:val="20"/>
          <w:szCs w:val="20"/>
          <w:lang w:val="en-GB"/>
        </w:rPr>
        <w:t>The name of the scribe (</w:t>
      </w:r>
      <w:r w:rsidRPr="00964858">
        <w:rPr>
          <w:i/>
          <w:sz w:val="20"/>
          <w:szCs w:val="20"/>
          <w:lang w:val="en-GB"/>
        </w:rPr>
        <w:t>grammateus</w:t>
      </w:r>
      <w:r>
        <w:rPr>
          <w:sz w:val="20"/>
          <w:szCs w:val="20"/>
          <w:lang w:val="en-GB"/>
        </w:rPr>
        <w:t xml:space="preserve">) who posted the royal </w:t>
      </w:r>
      <w:r w:rsidRPr="00964858">
        <w:rPr>
          <w:i/>
          <w:sz w:val="20"/>
          <w:szCs w:val="20"/>
          <w:lang w:val="en-GB"/>
        </w:rPr>
        <w:t>prostagma</w:t>
      </w:r>
      <w:r>
        <w:rPr>
          <w:sz w:val="20"/>
          <w:szCs w:val="20"/>
          <w:lang w:val="en-GB"/>
        </w:rPr>
        <w:t xml:space="preserve"> protecting the shipping of wheat (</w:t>
      </w:r>
      <w:r w:rsidRPr="00964858">
        <w:rPr>
          <w:i/>
          <w:sz w:val="20"/>
          <w:szCs w:val="20"/>
          <w:lang w:val="en-GB"/>
        </w:rPr>
        <w:t>BGU</w:t>
      </w:r>
      <w:r>
        <w:rPr>
          <w:sz w:val="20"/>
          <w:szCs w:val="20"/>
          <w:lang w:val="en-GB"/>
        </w:rPr>
        <w:t xml:space="preserve"> VIII.1730, 27 October 50 BCE; see above xxx), </w:t>
      </w:r>
      <w:r w:rsidRPr="006909FC">
        <w:rPr>
          <w:sz w:val="20"/>
          <w:szCs w:val="20"/>
          <w:lang w:val="en-GB"/>
        </w:rPr>
        <w:t>Onias</w:t>
      </w:r>
      <w:r>
        <w:rPr>
          <w:sz w:val="20"/>
          <w:szCs w:val="20"/>
          <w:lang w:val="en-GB"/>
        </w:rPr>
        <w:t xml:space="preserve"> (</w:t>
      </w:r>
      <w:r>
        <w:rPr>
          <w:sz w:val="20"/>
          <w:szCs w:val="20"/>
          <w:lang w:val="el-GR"/>
        </w:rPr>
        <w:t xml:space="preserve">Ὀνίας) </w:t>
      </w:r>
      <w:r w:rsidRPr="006909FC">
        <w:rPr>
          <w:sz w:val="20"/>
          <w:szCs w:val="20"/>
          <w:lang w:val="en-GB"/>
        </w:rPr>
        <w:t xml:space="preserve">of the Herakleopolite nome, </w:t>
      </w:r>
      <w:r>
        <w:rPr>
          <w:sz w:val="20"/>
          <w:szCs w:val="20"/>
          <w:lang w:val="en-GB"/>
        </w:rPr>
        <w:t xml:space="preserve">points to his Jewish identity; cf. Ilan, </w:t>
      </w:r>
      <w:r w:rsidRPr="00C75381">
        <w:rPr>
          <w:i/>
          <w:sz w:val="20"/>
          <w:szCs w:val="20"/>
          <w:lang w:val="en-GB"/>
        </w:rPr>
        <w:t>Lexicon</w:t>
      </w:r>
      <w:r>
        <w:rPr>
          <w:sz w:val="20"/>
          <w:szCs w:val="20"/>
          <w:lang w:val="en-GB"/>
        </w:rPr>
        <w:t xml:space="preserve"> III, 671</w:t>
      </w:r>
      <w:r w:rsidRPr="006909FC">
        <w:rPr>
          <w:sz w:val="20"/>
          <w:szCs w:val="20"/>
          <w:lang w:val="en-GB"/>
        </w:rPr>
        <w:t>–</w:t>
      </w:r>
      <w:r>
        <w:rPr>
          <w:sz w:val="20"/>
          <w:szCs w:val="20"/>
          <w:lang w:val="en-GB"/>
        </w:rPr>
        <w:t>72, s.v. ‘</w:t>
      </w:r>
      <w:r w:rsidRPr="00C75381">
        <w:rPr>
          <w:i/>
          <w:sz w:val="20"/>
          <w:szCs w:val="20"/>
          <w:lang w:val="en-GB"/>
        </w:rPr>
        <w:t>Honi</w:t>
      </w:r>
      <w:r>
        <w:rPr>
          <w:sz w:val="20"/>
          <w:szCs w:val="20"/>
          <w:lang w:val="en-GB"/>
        </w:rPr>
        <w:t>’ no. 5, ‘Jewishness is indicated by name’ (672).</w:t>
      </w:r>
    </w:p>
  </w:footnote>
  <w:footnote w:id="180">
    <w:p w14:paraId="265A6E4A" w14:textId="077FBD4C" w:rsidR="00EA696C" w:rsidRPr="00CC41DD" w:rsidRDefault="00EA696C">
      <w:pPr>
        <w:pStyle w:val="FootnoteText"/>
        <w:rPr>
          <w:sz w:val="20"/>
          <w:szCs w:val="20"/>
        </w:rPr>
      </w:pPr>
      <w:r w:rsidRPr="00CC41DD">
        <w:rPr>
          <w:rStyle w:val="FootnoteReference"/>
          <w:sz w:val="20"/>
          <w:szCs w:val="20"/>
        </w:rPr>
        <w:footnoteRef/>
      </w:r>
      <w:r w:rsidRPr="00CC41DD">
        <w:rPr>
          <w:sz w:val="20"/>
          <w:szCs w:val="20"/>
        </w:rPr>
        <w:t xml:space="preserve"> Philo, </w:t>
      </w:r>
      <w:r w:rsidRPr="00CC41DD">
        <w:rPr>
          <w:i/>
          <w:sz w:val="20"/>
          <w:szCs w:val="20"/>
        </w:rPr>
        <w:t>Embassy to Gaius</w:t>
      </w:r>
      <w:r w:rsidRPr="00CC41DD">
        <w:rPr>
          <w:sz w:val="20"/>
          <w:szCs w:val="20"/>
        </w:rPr>
        <w:t xml:space="preserve"> 138.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2D"/>
    <w:rsid w:val="00000E52"/>
    <w:rsid w:val="000011CD"/>
    <w:rsid w:val="000016C2"/>
    <w:rsid w:val="000026EC"/>
    <w:rsid w:val="000027DE"/>
    <w:rsid w:val="00002985"/>
    <w:rsid w:val="00002BC6"/>
    <w:rsid w:val="00002DC1"/>
    <w:rsid w:val="00003FD3"/>
    <w:rsid w:val="00004103"/>
    <w:rsid w:val="000043E4"/>
    <w:rsid w:val="00005196"/>
    <w:rsid w:val="000058B7"/>
    <w:rsid w:val="00006152"/>
    <w:rsid w:val="00006243"/>
    <w:rsid w:val="00006A5D"/>
    <w:rsid w:val="0001085A"/>
    <w:rsid w:val="000117D3"/>
    <w:rsid w:val="0001192F"/>
    <w:rsid w:val="00011CEA"/>
    <w:rsid w:val="00013146"/>
    <w:rsid w:val="000135A8"/>
    <w:rsid w:val="00013B10"/>
    <w:rsid w:val="00013B99"/>
    <w:rsid w:val="000149E3"/>
    <w:rsid w:val="000169E9"/>
    <w:rsid w:val="000174B0"/>
    <w:rsid w:val="000179A9"/>
    <w:rsid w:val="00017E27"/>
    <w:rsid w:val="00017F83"/>
    <w:rsid w:val="000207DE"/>
    <w:rsid w:val="00020E90"/>
    <w:rsid w:val="00021634"/>
    <w:rsid w:val="00021C33"/>
    <w:rsid w:val="0002276A"/>
    <w:rsid w:val="00023CCB"/>
    <w:rsid w:val="00024366"/>
    <w:rsid w:val="00024863"/>
    <w:rsid w:val="000250C5"/>
    <w:rsid w:val="000257A9"/>
    <w:rsid w:val="00025C67"/>
    <w:rsid w:val="0002607A"/>
    <w:rsid w:val="00026878"/>
    <w:rsid w:val="00026CEB"/>
    <w:rsid w:val="00026D19"/>
    <w:rsid w:val="0002734C"/>
    <w:rsid w:val="00027673"/>
    <w:rsid w:val="00027868"/>
    <w:rsid w:val="00027A11"/>
    <w:rsid w:val="00027DCC"/>
    <w:rsid w:val="00027F92"/>
    <w:rsid w:val="000306EB"/>
    <w:rsid w:val="000313FB"/>
    <w:rsid w:val="00031E46"/>
    <w:rsid w:val="0003290F"/>
    <w:rsid w:val="0003360E"/>
    <w:rsid w:val="00034828"/>
    <w:rsid w:val="00035767"/>
    <w:rsid w:val="00035AAB"/>
    <w:rsid w:val="00035AF2"/>
    <w:rsid w:val="00035D9C"/>
    <w:rsid w:val="00035E3D"/>
    <w:rsid w:val="000360D2"/>
    <w:rsid w:val="00036A7B"/>
    <w:rsid w:val="00036C5D"/>
    <w:rsid w:val="00037F01"/>
    <w:rsid w:val="00040596"/>
    <w:rsid w:val="000407B9"/>
    <w:rsid w:val="000409E1"/>
    <w:rsid w:val="00041707"/>
    <w:rsid w:val="000429E6"/>
    <w:rsid w:val="00043524"/>
    <w:rsid w:val="00044374"/>
    <w:rsid w:val="00044961"/>
    <w:rsid w:val="00046B00"/>
    <w:rsid w:val="000475F7"/>
    <w:rsid w:val="00047709"/>
    <w:rsid w:val="00047A2D"/>
    <w:rsid w:val="00047B21"/>
    <w:rsid w:val="00047B58"/>
    <w:rsid w:val="000508E4"/>
    <w:rsid w:val="00050F0A"/>
    <w:rsid w:val="0005286D"/>
    <w:rsid w:val="0005362F"/>
    <w:rsid w:val="000536EA"/>
    <w:rsid w:val="00053D6B"/>
    <w:rsid w:val="00054481"/>
    <w:rsid w:val="000548C0"/>
    <w:rsid w:val="00055782"/>
    <w:rsid w:val="000576F5"/>
    <w:rsid w:val="0005778B"/>
    <w:rsid w:val="00057CEC"/>
    <w:rsid w:val="0006042B"/>
    <w:rsid w:val="0006066D"/>
    <w:rsid w:val="00060A48"/>
    <w:rsid w:val="00060A91"/>
    <w:rsid w:val="00060C08"/>
    <w:rsid w:val="00061A9E"/>
    <w:rsid w:val="000620EE"/>
    <w:rsid w:val="00063223"/>
    <w:rsid w:val="00063AF2"/>
    <w:rsid w:val="00064577"/>
    <w:rsid w:val="00064C5E"/>
    <w:rsid w:val="00064FED"/>
    <w:rsid w:val="00065BB2"/>
    <w:rsid w:val="00066C79"/>
    <w:rsid w:val="00066C9C"/>
    <w:rsid w:val="00066EC8"/>
    <w:rsid w:val="0007068E"/>
    <w:rsid w:val="00070D2C"/>
    <w:rsid w:val="00070E49"/>
    <w:rsid w:val="00071D2F"/>
    <w:rsid w:val="00071DFF"/>
    <w:rsid w:val="00071EBC"/>
    <w:rsid w:val="0007394D"/>
    <w:rsid w:val="000746C4"/>
    <w:rsid w:val="00074B18"/>
    <w:rsid w:val="00075572"/>
    <w:rsid w:val="00075581"/>
    <w:rsid w:val="00075DE1"/>
    <w:rsid w:val="00075F86"/>
    <w:rsid w:val="00076D28"/>
    <w:rsid w:val="0007734F"/>
    <w:rsid w:val="00081786"/>
    <w:rsid w:val="000819D5"/>
    <w:rsid w:val="00083507"/>
    <w:rsid w:val="000837D9"/>
    <w:rsid w:val="00083812"/>
    <w:rsid w:val="00083AF8"/>
    <w:rsid w:val="0008471B"/>
    <w:rsid w:val="00085ACD"/>
    <w:rsid w:val="00087482"/>
    <w:rsid w:val="000878AF"/>
    <w:rsid w:val="00087939"/>
    <w:rsid w:val="00090086"/>
    <w:rsid w:val="00091458"/>
    <w:rsid w:val="00091BA1"/>
    <w:rsid w:val="0009275B"/>
    <w:rsid w:val="00093AE9"/>
    <w:rsid w:val="000949B4"/>
    <w:rsid w:val="00094B63"/>
    <w:rsid w:val="000953E6"/>
    <w:rsid w:val="000961FE"/>
    <w:rsid w:val="0009689D"/>
    <w:rsid w:val="00097789"/>
    <w:rsid w:val="000A0D32"/>
    <w:rsid w:val="000A0FD4"/>
    <w:rsid w:val="000A18BF"/>
    <w:rsid w:val="000A2127"/>
    <w:rsid w:val="000A2B6F"/>
    <w:rsid w:val="000A2C15"/>
    <w:rsid w:val="000A4BD9"/>
    <w:rsid w:val="000A4BFF"/>
    <w:rsid w:val="000A4EEC"/>
    <w:rsid w:val="000A51CA"/>
    <w:rsid w:val="000A5866"/>
    <w:rsid w:val="000A61A7"/>
    <w:rsid w:val="000A6E85"/>
    <w:rsid w:val="000A71DD"/>
    <w:rsid w:val="000A7D18"/>
    <w:rsid w:val="000B1799"/>
    <w:rsid w:val="000B1A40"/>
    <w:rsid w:val="000B238A"/>
    <w:rsid w:val="000B2A27"/>
    <w:rsid w:val="000B2B40"/>
    <w:rsid w:val="000B3BA7"/>
    <w:rsid w:val="000B4004"/>
    <w:rsid w:val="000B409B"/>
    <w:rsid w:val="000B4459"/>
    <w:rsid w:val="000B5335"/>
    <w:rsid w:val="000B5BD5"/>
    <w:rsid w:val="000B5CBC"/>
    <w:rsid w:val="000B605A"/>
    <w:rsid w:val="000B632B"/>
    <w:rsid w:val="000B6A54"/>
    <w:rsid w:val="000B6FDA"/>
    <w:rsid w:val="000B7798"/>
    <w:rsid w:val="000B7898"/>
    <w:rsid w:val="000B7B13"/>
    <w:rsid w:val="000C03A2"/>
    <w:rsid w:val="000C155E"/>
    <w:rsid w:val="000C27FD"/>
    <w:rsid w:val="000C28E7"/>
    <w:rsid w:val="000C47E3"/>
    <w:rsid w:val="000C4D84"/>
    <w:rsid w:val="000C4E1E"/>
    <w:rsid w:val="000C6605"/>
    <w:rsid w:val="000C7593"/>
    <w:rsid w:val="000D02E7"/>
    <w:rsid w:val="000D1D4D"/>
    <w:rsid w:val="000D2FB2"/>
    <w:rsid w:val="000D3328"/>
    <w:rsid w:val="000D370E"/>
    <w:rsid w:val="000D38DF"/>
    <w:rsid w:val="000D3968"/>
    <w:rsid w:val="000D4129"/>
    <w:rsid w:val="000D4B12"/>
    <w:rsid w:val="000D504B"/>
    <w:rsid w:val="000D5779"/>
    <w:rsid w:val="000D68E6"/>
    <w:rsid w:val="000D7555"/>
    <w:rsid w:val="000D77EF"/>
    <w:rsid w:val="000E0722"/>
    <w:rsid w:val="000E2592"/>
    <w:rsid w:val="000E4196"/>
    <w:rsid w:val="000E4903"/>
    <w:rsid w:val="000E5BAE"/>
    <w:rsid w:val="000E7865"/>
    <w:rsid w:val="000E797F"/>
    <w:rsid w:val="000F055F"/>
    <w:rsid w:val="000F0B88"/>
    <w:rsid w:val="000F17AC"/>
    <w:rsid w:val="000F1CA9"/>
    <w:rsid w:val="000F29D9"/>
    <w:rsid w:val="000F2BC2"/>
    <w:rsid w:val="000F2FF0"/>
    <w:rsid w:val="000F3976"/>
    <w:rsid w:val="000F432E"/>
    <w:rsid w:val="000F4C58"/>
    <w:rsid w:val="000F50FC"/>
    <w:rsid w:val="000F6212"/>
    <w:rsid w:val="000F6A2C"/>
    <w:rsid w:val="000F6D0C"/>
    <w:rsid w:val="000F6D6C"/>
    <w:rsid w:val="000F7461"/>
    <w:rsid w:val="000F76CF"/>
    <w:rsid w:val="00100A13"/>
    <w:rsid w:val="00100D74"/>
    <w:rsid w:val="0010167B"/>
    <w:rsid w:val="001028D7"/>
    <w:rsid w:val="00102D17"/>
    <w:rsid w:val="00103018"/>
    <w:rsid w:val="001030DD"/>
    <w:rsid w:val="00103129"/>
    <w:rsid w:val="00103913"/>
    <w:rsid w:val="00103F1F"/>
    <w:rsid w:val="00104883"/>
    <w:rsid w:val="001062F4"/>
    <w:rsid w:val="001069BD"/>
    <w:rsid w:val="00106CF4"/>
    <w:rsid w:val="001071AA"/>
    <w:rsid w:val="001103BF"/>
    <w:rsid w:val="001104BD"/>
    <w:rsid w:val="001107E8"/>
    <w:rsid w:val="00110AA1"/>
    <w:rsid w:val="00110ADF"/>
    <w:rsid w:val="001111A2"/>
    <w:rsid w:val="001117CB"/>
    <w:rsid w:val="00111FD5"/>
    <w:rsid w:val="0011262A"/>
    <w:rsid w:val="00112B57"/>
    <w:rsid w:val="00112BC6"/>
    <w:rsid w:val="0011324B"/>
    <w:rsid w:val="0011336E"/>
    <w:rsid w:val="00113D2B"/>
    <w:rsid w:val="00114170"/>
    <w:rsid w:val="00114B91"/>
    <w:rsid w:val="00114D2A"/>
    <w:rsid w:val="00115356"/>
    <w:rsid w:val="001171C7"/>
    <w:rsid w:val="0012045B"/>
    <w:rsid w:val="001212E6"/>
    <w:rsid w:val="00121ED3"/>
    <w:rsid w:val="00122135"/>
    <w:rsid w:val="001223DF"/>
    <w:rsid w:val="001225B1"/>
    <w:rsid w:val="001227C2"/>
    <w:rsid w:val="00122E30"/>
    <w:rsid w:val="0012365B"/>
    <w:rsid w:val="001240AA"/>
    <w:rsid w:val="0012513F"/>
    <w:rsid w:val="0012554B"/>
    <w:rsid w:val="001257E5"/>
    <w:rsid w:val="00125822"/>
    <w:rsid w:val="0012583C"/>
    <w:rsid w:val="00125D61"/>
    <w:rsid w:val="00125E05"/>
    <w:rsid w:val="001268EB"/>
    <w:rsid w:val="00126D07"/>
    <w:rsid w:val="00127000"/>
    <w:rsid w:val="0012767A"/>
    <w:rsid w:val="001279C4"/>
    <w:rsid w:val="00127C47"/>
    <w:rsid w:val="00130596"/>
    <w:rsid w:val="001315DB"/>
    <w:rsid w:val="00131E99"/>
    <w:rsid w:val="00132239"/>
    <w:rsid w:val="001323FF"/>
    <w:rsid w:val="0013273D"/>
    <w:rsid w:val="00133122"/>
    <w:rsid w:val="00133350"/>
    <w:rsid w:val="001336F0"/>
    <w:rsid w:val="001337AA"/>
    <w:rsid w:val="00133975"/>
    <w:rsid w:val="00134E88"/>
    <w:rsid w:val="001359C7"/>
    <w:rsid w:val="00136B2C"/>
    <w:rsid w:val="0013713E"/>
    <w:rsid w:val="00137323"/>
    <w:rsid w:val="00137439"/>
    <w:rsid w:val="001374DB"/>
    <w:rsid w:val="00137ED3"/>
    <w:rsid w:val="00140217"/>
    <w:rsid w:val="00140754"/>
    <w:rsid w:val="001408C9"/>
    <w:rsid w:val="00141CAA"/>
    <w:rsid w:val="001428B9"/>
    <w:rsid w:val="00142C67"/>
    <w:rsid w:val="00143CE3"/>
    <w:rsid w:val="0014437D"/>
    <w:rsid w:val="00145F9A"/>
    <w:rsid w:val="001465AA"/>
    <w:rsid w:val="00146CEF"/>
    <w:rsid w:val="00150728"/>
    <w:rsid w:val="00150E10"/>
    <w:rsid w:val="00151BF8"/>
    <w:rsid w:val="00152819"/>
    <w:rsid w:val="00152F6D"/>
    <w:rsid w:val="001530E3"/>
    <w:rsid w:val="001535D0"/>
    <w:rsid w:val="00154BF7"/>
    <w:rsid w:val="00154DDB"/>
    <w:rsid w:val="001553AA"/>
    <w:rsid w:val="00155C8D"/>
    <w:rsid w:val="00155D87"/>
    <w:rsid w:val="001571BB"/>
    <w:rsid w:val="00157209"/>
    <w:rsid w:val="0015778E"/>
    <w:rsid w:val="001577E5"/>
    <w:rsid w:val="00157ECF"/>
    <w:rsid w:val="0016041D"/>
    <w:rsid w:val="00160D33"/>
    <w:rsid w:val="00161CCC"/>
    <w:rsid w:val="00162276"/>
    <w:rsid w:val="00162F85"/>
    <w:rsid w:val="00162FD2"/>
    <w:rsid w:val="00163654"/>
    <w:rsid w:val="0016379F"/>
    <w:rsid w:val="00163F80"/>
    <w:rsid w:val="001641D8"/>
    <w:rsid w:val="0016440A"/>
    <w:rsid w:val="001648B0"/>
    <w:rsid w:val="00165018"/>
    <w:rsid w:val="00165117"/>
    <w:rsid w:val="00165174"/>
    <w:rsid w:val="00165827"/>
    <w:rsid w:val="001659D3"/>
    <w:rsid w:val="001662B1"/>
    <w:rsid w:val="001664D0"/>
    <w:rsid w:val="00166768"/>
    <w:rsid w:val="00167657"/>
    <w:rsid w:val="00167DA2"/>
    <w:rsid w:val="00170854"/>
    <w:rsid w:val="00170D21"/>
    <w:rsid w:val="00170FA4"/>
    <w:rsid w:val="001716D1"/>
    <w:rsid w:val="0017188C"/>
    <w:rsid w:val="001732C3"/>
    <w:rsid w:val="0017377A"/>
    <w:rsid w:val="001737C5"/>
    <w:rsid w:val="0017434A"/>
    <w:rsid w:val="00174B1C"/>
    <w:rsid w:val="00174B33"/>
    <w:rsid w:val="00174D24"/>
    <w:rsid w:val="00174D6C"/>
    <w:rsid w:val="00175942"/>
    <w:rsid w:val="001761B3"/>
    <w:rsid w:val="00176DC9"/>
    <w:rsid w:val="00177006"/>
    <w:rsid w:val="0018066E"/>
    <w:rsid w:val="00180B7C"/>
    <w:rsid w:val="00180BBD"/>
    <w:rsid w:val="001819E6"/>
    <w:rsid w:val="00182135"/>
    <w:rsid w:val="00182904"/>
    <w:rsid w:val="00182D7D"/>
    <w:rsid w:val="001834F0"/>
    <w:rsid w:val="00183873"/>
    <w:rsid w:val="00184838"/>
    <w:rsid w:val="00185123"/>
    <w:rsid w:val="00185DC2"/>
    <w:rsid w:val="00186C3E"/>
    <w:rsid w:val="00186D99"/>
    <w:rsid w:val="001875D5"/>
    <w:rsid w:val="001879E9"/>
    <w:rsid w:val="001907D1"/>
    <w:rsid w:val="00190D36"/>
    <w:rsid w:val="00192B9D"/>
    <w:rsid w:val="0019325D"/>
    <w:rsid w:val="00193825"/>
    <w:rsid w:val="00193928"/>
    <w:rsid w:val="00193D6C"/>
    <w:rsid w:val="001947DC"/>
    <w:rsid w:val="001959AA"/>
    <w:rsid w:val="00197631"/>
    <w:rsid w:val="00197754"/>
    <w:rsid w:val="00197BA2"/>
    <w:rsid w:val="00197C88"/>
    <w:rsid w:val="001A0205"/>
    <w:rsid w:val="001A08EB"/>
    <w:rsid w:val="001A1107"/>
    <w:rsid w:val="001A123B"/>
    <w:rsid w:val="001A12E8"/>
    <w:rsid w:val="001A14D7"/>
    <w:rsid w:val="001A1D0B"/>
    <w:rsid w:val="001A1D0E"/>
    <w:rsid w:val="001A2340"/>
    <w:rsid w:val="001A25BC"/>
    <w:rsid w:val="001A29C3"/>
    <w:rsid w:val="001A2A5F"/>
    <w:rsid w:val="001A4361"/>
    <w:rsid w:val="001A4F0D"/>
    <w:rsid w:val="001A5DF9"/>
    <w:rsid w:val="001A7653"/>
    <w:rsid w:val="001A76AD"/>
    <w:rsid w:val="001A79ED"/>
    <w:rsid w:val="001B2F34"/>
    <w:rsid w:val="001B4727"/>
    <w:rsid w:val="001B4A78"/>
    <w:rsid w:val="001B4C65"/>
    <w:rsid w:val="001B507A"/>
    <w:rsid w:val="001B521E"/>
    <w:rsid w:val="001B5AAD"/>
    <w:rsid w:val="001B6CE5"/>
    <w:rsid w:val="001B7B31"/>
    <w:rsid w:val="001C023C"/>
    <w:rsid w:val="001C13B7"/>
    <w:rsid w:val="001C1CE2"/>
    <w:rsid w:val="001C2E74"/>
    <w:rsid w:val="001C3223"/>
    <w:rsid w:val="001C3AF4"/>
    <w:rsid w:val="001C4039"/>
    <w:rsid w:val="001C414B"/>
    <w:rsid w:val="001C4394"/>
    <w:rsid w:val="001C466B"/>
    <w:rsid w:val="001C4886"/>
    <w:rsid w:val="001C536A"/>
    <w:rsid w:val="001C595F"/>
    <w:rsid w:val="001C5D2C"/>
    <w:rsid w:val="001C6081"/>
    <w:rsid w:val="001C6F1D"/>
    <w:rsid w:val="001C762C"/>
    <w:rsid w:val="001C78C9"/>
    <w:rsid w:val="001D03A2"/>
    <w:rsid w:val="001D0E53"/>
    <w:rsid w:val="001D1E5E"/>
    <w:rsid w:val="001D2252"/>
    <w:rsid w:val="001D307F"/>
    <w:rsid w:val="001D3126"/>
    <w:rsid w:val="001D31D6"/>
    <w:rsid w:val="001D38FD"/>
    <w:rsid w:val="001D3C1C"/>
    <w:rsid w:val="001D3DF5"/>
    <w:rsid w:val="001D4372"/>
    <w:rsid w:val="001D456E"/>
    <w:rsid w:val="001D46B2"/>
    <w:rsid w:val="001D511C"/>
    <w:rsid w:val="001D5682"/>
    <w:rsid w:val="001D6D12"/>
    <w:rsid w:val="001D78F2"/>
    <w:rsid w:val="001D796B"/>
    <w:rsid w:val="001D79E5"/>
    <w:rsid w:val="001D7AA9"/>
    <w:rsid w:val="001E01EE"/>
    <w:rsid w:val="001E01F8"/>
    <w:rsid w:val="001E09EE"/>
    <w:rsid w:val="001E104E"/>
    <w:rsid w:val="001E1793"/>
    <w:rsid w:val="001E19EC"/>
    <w:rsid w:val="001E203C"/>
    <w:rsid w:val="001E2690"/>
    <w:rsid w:val="001E3539"/>
    <w:rsid w:val="001E3C8F"/>
    <w:rsid w:val="001E50E1"/>
    <w:rsid w:val="001E60C8"/>
    <w:rsid w:val="001E61DE"/>
    <w:rsid w:val="001E6D40"/>
    <w:rsid w:val="001E70BB"/>
    <w:rsid w:val="001E710B"/>
    <w:rsid w:val="001F0258"/>
    <w:rsid w:val="001F0A18"/>
    <w:rsid w:val="001F12C2"/>
    <w:rsid w:val="001F17BB"/>
    <w:rsid w:val="001F1C8D"/>
    <w:rsid w:val="001F2B35"/>
    <w:rsid w:val="001F2F91"/>
    <w:rsid w:val="001F30D6"/>
    <w:rsid w:val="001F315E"/>
    <w:rsid w:val="001F322F"/>
    <w:rsid w:val="001F35C1"/>
    <w:rsid w:val="001F3846"/>
    <w:rsid w:val="001F3959"/>
    <w:rsid w:val="001F3ED4"/>
    <w:rsid w:val="001F4397"/>
    <w:rsid w:val="001F4853"/>
    <w:rsid w:val="001F4F3E"/>
    <w:rsid w:val="001F5B1A"/>
    <w:rsid w:val="001F5CD2"/>
    <w:rsid w:val="001F5F1B"/>
    <w:rsid w:val="001F66E7"/>
    <w:rsid w:val="001F67A5"/>
    <w:rsid w:val="001F7395"/>
    <w:rsid w:val="001F740E"/>
    <w:rsid w:val="001F7470"/>
    <w:rsid w:val="001F7546"/>
    <w:rsid w:val="001F7940"/>
    <w:rsid w:val="00200EDE"/>
    <w:rsid w:val="002021F9"/>
    <w:rsid w:val="00202D8B"/>
    <w:rsid w:val="00203BA2"/>
    <w:rsid w:val="00203F9C"/>
    <w:rsid w:val="0020424F"/>
    <w:rsid w:val="002043F8"/>
    <w:rsid w:val="002044CE"/>
    <w:rsid w:val="00204F1F"/>
    <w:rsid w:val="002055B1"/>
    <w:rsid w:val="00205CD8"/>
    <w:rsid w:val="00205F95"/>
    <w:rsid w:val="0020633B"/>
    <w:rsid w:val="002063C6"/>
    <w:rsid w:val="002064B2"/>
    <w:rsid w:val="002066A9"/>
    <w:rsid w:val="00206A30"/>
    <w:rsid w:val="00207DC8"/>
    <w:rsid w:val="0021007C"/>
    <w:rsid w:val="00211148"/>
    <w:rsid w:val="00211DBC"/>
    <w:rsid w:val="00213542"/>
    <w:rsid w:val="002136CC"/>
    <w:rsid w:val="0021426F"/>
    <w:rsid w:val="00214410"/>
    <w:rsid w:val="002147A1"/>
    <w:rsid w:val="00214A6A"/>
    <w:rsid w:val="00215129"/>
    <w:rsid w:val="00216BE0"/>
    <w:rsid w:val="002178DD"/>
    <w:rsid w:val="00217DDF"/>
    <w:rsid w:val="00220906"/>
    <w:rsid w:val="00220DCC"/>
    <w:rsid w:val="002219E9"/>
    <w:rsid w:val="002228D2"/>
    <w:rsid w:val="0022355B"/>
    <w:rsid w:val="00223CFE"/>
    <w:rsid w:val="0022469A"/>
    <w:rsid w:val="00224A16"/>
    <w:rsid w:val="00226024"/>
    <w:rsid w:val="002262E6"/>
    <w:rsid w:val="002266F7"/>
    <w:rsid w:val="00226CB6"/>
    <w:rsid w:val="00227422"/>
    <w:rsid w:val="00227A8A"/>
    <w:rsid w:val="00230F1A"/>
    <w:rsid w:val="00230FB2"/>
    <w:rsid w:val="00231217"/>
    <w:rsid w:val="00231C38"/>
    <w:rsid w:val="00232B42"/>
    <w:rsid w:val="00232F00"/>
    <w:rsid w:val="00232FB7"/>
    <w:rsid w:val="00233245"/>
    <w:rsid w:val="0023324D"/>
    <w:rsid w:val="00235CB5"/>
    <w:rsid w:val="00236444"/>
    <w:rsid w:val="0023696F"/>
    <w:rsid w:val="00236DE2"/>
    <w:rsid w:val="00237E99"/>
    <w:rsid w:val="0024013A"/>
    <w:rsid w:val="0024029F"/>
    <w:rsid w:val="00240653"/>
    <w:rsid w:val="00240F23"/>
    <w:rsid w:val="0024235A"/>
    <w:rsid w:val="002434C6"/>
    <w:rsid w:val="0024350F"/>
    <w:rsid w:val="00243D18"/>
    <w:rsid w:val="002440E7"/>
    <w:rsid w:val="00244498"/>
    <w:rsid w:val="00244C00"/>
    <w:rsid w:val="00245BFE"/>
    <w:rsid w:val="00246FDC"/>
    <w:rsid w:val="00247A35"/>
    <w:rsid w:val="00247A45"/>
    <w:rsid w:val="00247AAA"/>
    <w:rsid w:val="00247BB2"/>
    <w:rsid w:val="002511C3"/>
    <w:rsid w:val="002518A1"/>
    <w:rsid w:val="00252755"/>
    <w:rsid w:val="00253048"/>
    <w:rsid w:val="00253ED0"/>
    <w:rsid w:val="00254036"/>
    <w:rsid w:val="0025447D"/>
    <w:rsid w:val="00255614"/>
    <w:rsid w:val="00255A2D"/>
    <w:rsid w:val="0025622D"/>
    <w:rsid w:val="00256D78"/>
    <w:rsid w:val="002570EC"/>
    <w:rsid w:val="002610BA"/>
    <w:rsid w:val="0026193E"/>
    <w:rsid w:val="00261D83"/>
    <w:rsid w:val="00262249"/>
    <w:rsid w:val="00262735"/>
    <w:rsid w:val="00262AD3"/>
    <w:rsid w:val="00263C2A"/>
    <w:rsid w:val="002648F5"/>
    <w:rsid w:val="00265447"/>
    <w:rsid w:val="0026620F"/>
    <w:rsid w:val="00266627"/>
    <w:rsid w:val="0026699F"/>
    <w:rsid w:val="00266ABE"/>
    <w:rsid w:val="00266BF6"/>
    <w:rsid w:val="00267448"/>
    <w:rsid w:val="002709F2"/>
    <w:rsid w:val="00271178"/>
    <w:rsid w:val="002715A7"/>
    <w:rsid w:val="00271C9B"/>
    <w:rsid w:val="00271CA0"/>
    <w:rsid w:val="00272052"/>
    <w:rsid w:val="00272057"/>
    <w:rsid w:val="002724D8"/>
    <w:rsid w:val="00272752"/>
    <w:rsid w:val="002729B3"/>
    <w:rsid w:val="00272C72"/>
    <w:rsid w:val="0027300D"/>
    <w:rsid w:val="00276BFD"/>
    <w:rsid w:val="00276C36"/>
    <w:rsid w:val="0027785D"/>
    <w:rsid w:val="00280D77"/>
    <w:rsid w:val="0028193D"/>
    <w:rsid w:val="00282762"/>
    <w:rsid w:val="00282FE4"/>
    <w:rsid w:val="0028361C"/>
    <w:rsid w:val="002847B5"/>
    <w:rsid w:val="00284D7E"/>
    <w:rsid w:val="002855D0"/>
    <w:rsid w:val="0028639C"/>
    <w:rsid w:val="00287AE8"/>
    <w:rsid w:val="00290E22"/>
    <w:rsid w:val="002920B1"/>
    <w:rsid w:val="002925C1"/>
    <w:rsid w:val="00292606"/>
    <w:rsid w:val="00293718"/>
    <w:rsid w:val="00293AF7"/>
    <w:rsid w:val="002954B4"/>
    <w:rsid w:val="002959F6"/>
    <w:rsid w:val="002973CC"/>
    <w:rsid w:val="002A0417"/>
    <w:rsid w:val="002A06FE"/>
    <w:rsid w:val="002A085D"/>
    <w:rsid w:val="002A35B2"/>
    <w:rsid w:val="002A35B3"/>
    <w:rsid w:val="002A48E6"/>
    <w:rsid w:val="002A4A44"/>
    <w:rsid w:val="002A4D98"/>
    <w:rsid w:val="002A5152"/>
    <w:rsid w:val="002A522B"/>
    <w:rsid w:val="002A5491"/>
    <w:rsid w:val="002A5C1D"/>
    <w:rsid w:val="002A629C"/>
    <w:rsid w:val="002A6697"/>
    <w:rsid w:val="002A709C"/>
    <w:rsid w:val="002A7386"/>
    <w:rsid w:val="002A75F8"/>
    <w:rsid w:val="002A77BA"/>
    <w:rsid w:val="002B0FD5"/>
    <w:rsid w:val="002B17AD"/>
    <w:rsid w:val="002B1A41"/>
    <w:rsid w:val="002B276F"/>
    <w:rsid w:val="002B37B1"/>
    <w:rsid w:val="002B6763"/>
    <w:rsid w:val="002B6DE3"/>
    <w:rsid w:val="002B6F30"/>
    <w:rsid w:val="002B7C08"/>
    <w:rsid w:val="002B7D3B"/>
    <w:rsid w:val="002C01C9"/>
    <w:rsid w:val="002C0C8E"/>
    <w:rsid w:val="002C0DFF"/>
    <w:rsid w:val="002C1B34"/>
    <w:rsid w:val="002C1EA4"/>
    <w:rsid w:val="002C23C3"/>
    <w:rsid w:val="002C26B1"/>
    <w:rsid w:val="002C2BCA"/>
    <w:rsid w:val="002C2C49"/>
    <w:rsid w:val="002C32C4"/>
    <w:rsid w:val="002C3943"/>
    <w:rsid w:val="002C3FE9"/>
    <w:rsid w:val="002C59B1"/>
    <w:rsid w:val="002C6EA8"/>
    <w:rsid w:val="002C70DE"/>
    <w:rsid w:val="002C7E49"/>
    <w:rsid w:val="002D0DA9"/>
    <w:rsid w:val="002D1565"/>
    <w:rsid w:val="002D1E61"/>
    <w:rsid w:val="002D230F"/>
    <w:rsid w:val="002D4504"/>
    <w:rsid w:val="002D6D40"/>
    <w:rsid w:val="002E0194"/>
    <w:rsid w:val="002E0BEF"/>
    <w:rsid w:val="002E0C50"/>
    <w:rsid w:val="002E0DD9"/>
    <w:rsid w:val="002E146D"/>
    <w:rsid w:val="002E1D23"/>
    <w:rsid w:val="002E2248"/>
    <w:rsid w:val="002E299D"/>
    <w:rsid w:val="002E2FD5"/>
    <w:rsid w:val="002E38D5"/>
    <w:rsid w:val="002E3AD9"/>
    <w:rsid w:val="002E3BFA"/>
    <w:rsid w:val="002E40C4"/>
    <w:rsid w:val="002E41EB"/>
    <w:rsid w:val="002E4532"/>
    <w:rsid w:val="002E4AA2"/>
    <w:rsid w:val="002E4F3E"/>
    <w:rsid w:val="002E538F"/>
    <w:rsid w:val="002E54C8"/>
    <w:rsid w:val="002E5FE9"/>
    <w:rsid w:val="002E684E"/>
    <w:rsid w:val="002E6E12"/>
    <w:rsid w:val="002E7689"/>
    <w:rsid w:val="002F05EB"/>
    <w:rsid w:val="002F0EA4"/>
    <w:rsid w:val="002F12E2"/>
    <w:rsid w:val="002F19B1"/>
    <w:rsid w:val="002F2775"/>
    <w:rsid w:val="002F318F"/>
    <w:rsid w:val="002F3364"/>
    <w:rsid w:val="002F4120"/>
    <w:rsid w:val="002F4B48"/>
    <w:rsid w:val="002F5666"/>
    <w:rsid w:val="002F663E"/>
    <w:rsid w:val="002F6BA4"/>
    <w:rsid w:val="00300475"/>
    <w:rsid w:val="00301FA7"/>
    <w:rsid w:val="00302F1A"/>
    <w:rsid w:val="00303046"/>
    <w:rsid w:val="0030354C"/>
    <w:rsid w:val="00303E2E"/>
    <w:rsid w:val="00304AFB"/>
    <w:rsid w:val="00304D74"/>
    <w:rsid w:val="00305216"/>
    <w:rsid w:val="003058B2"/>
    <w:rsid w:val="00305967"/>
    <w:rsid w:val="00305BDD"/>
    <w:rsid w:val="00306711"/>
    <w:rsid w:val="00307540"/>
    <w:rsid w:val="00307675"/>
    <w:rsid w:val="003076E5"/>
    <w:rsid w:val="00307716"/>
    <w:rsid w:val="00307B30"/>
    <w:rsid w:val="00307D21"/>
    <w:rsid w:val="00311A8F"/>
    <w:rsid w:val="00311ADB"/>
    <w:rsid w:val="00311E48"/>
    <w:rsid w:val="003123CC"/>
    <w:rsid w:val="00312F59"/>
    <w:rsid w:val="00313549"/>
    <w:rsid w:val="00313864"/>
    <w:rsid w:val="003146DC"/>
    <w:rsid w:val="0031496D"/>
    <w:rsid w:val="00315AED"/>
    <w:rsid w:val="00315B9D"/>
    <w:rsid w:val="00316B60"/>
    <w:rsid w:val="00316E0C"/>
    <w:rsid w:val="0031766C"/>
    <w:rsid w:val="00317AF4"/>
    <w:rsid w:val="00320737"/>
    <w:rsid w:val="00320F1D"/>
    <w:rsid w:val="00321737"/>
    <w:rsid w:val="00321DF1"/>
    <w:rsid w:val="003221E2"/>
    <w:rsid w:val="00322A74"/>
    <w:rsid w:val="00322ABB"/>
    <w:rsid w:val="00322CC0"/>
    <w:rsid w:val="00322EFE"/>
    <w:rsid w:val="00322F83"/>
    <w:rsid w:val="003241FB"/>
    <w:rsid w:val="0032556F"/>
    <w:rsid w:val="00325F0B"/>
    <w:rsid w:val="003260EE"/>
    <w:rsid w:val="0032625F"/>
    <w:rsid w:val="00327083"/>
    <w:rsid w:val="0032709A"/>
    <w:rsid w:val="00330487"/>
    <w:rsid w:val="0033072B"/>
    <w:rsid w:val="00330A73"/>
    <w:rsid w:val="00330C96"/>
    <w:rsid w:val="00331323"/>
    <w:rsid w:val="0033156D"/>
    <w:rsid w:val="00331AB2"/>
    <w:rsid w:val="003322AF"/>
    <w:rsid w:val="00332787"/>
    <w:rsid w:val="00332F90"/>
    <w:rsid w:val="00333162"/>
    <w:rsid w:val="0033345C"/>
    <w:rsid w:val="003335E4"/>
    <w:rsid w:val="0033364E"/>
    <w:rsid w:val="0033381F"/>
    <w:rsid w:val="00333945"/>
    <w:rsid w:val="00333A77"/>
    <w:rsid w:val="00334CB1"/>
    <w:rsid w:val="00334E86"/>
    <w:rsid w:val="003350FA"/>
    <w:rsid w:val="0033565A"/>
    <w:rsid w:val="00335FDC"/>
    <w:rsid w:val="00336FA1"/>
    <w:rsid w:val="00337CD5"/>
    <w:rsid w:val="003401E6"/>
    <w:rsid w:val="003403F4"/>
    <w:rsid w:val="0034045C"/>
    <w:rsid w:val="00342F29"/>
    <w:rsid w:val="0034371C"/>
    <w:rsid w:val="00343FBB"/>
    <w:rsid w:val="00344466"/>
    <w:rsid w:val="00344483"/>
    <w:rsid w:val="003444E6"/>
    <w:rsid w:val="00344ED2"/>
    <w:rsid w:val="003451F9"/>
    <w:rsid w:val="003454C4"/>
    <w:rsid w:val="003464E7"/>
    <w:rsid w:val="003465C7"/>
    <w:rsid w:val="00346F91"/>
    <w:rsid w:val="00347037"/>
    <w:rsid w:val="00347518"/>
    <w:rsid w:val="00347EDB"/>
    <w:rsid w:val="00350AB9"/>
    <w:rsid w:val="0035173D"/>
    <w:rsid w:val="0035201C"/>
    <w:rsid w:val="0035319D"/>
    <w:rsid w:val="00353A6C"/>
    <w:rsid w:val="00353EA4"/>
    <w:rsid w:val="003542AC"/>
    <w:rsid w:val="00354FC2"/>
    <w:rsid w:val="0035559A"/>
    <w:rsid w:val="003563C8"/>
    <w:rsid w:val="0035657A"/>
    <w:rsid w:val="00356F8A"/>
    <w:rsid w:val="00357726"/>
    <w:rsid w:val="003579BC"/>
    <w:rsid w:val="00357BEE"/>
    <w:rsid w:val="0036040E"/>
    <w:rsid w:val="003606C5"/>
    <w:rsid w:val="00360D2A"/>
    <w:rsid w:val="00360F14"/>
    <w:rsid w:val="00361F05"/>
    <w:rsid w:val="00362896"/>
    <w:rsid w:val="00362DA1"/>
    <w:rsid w:val="003644B6"/>
    <w:rsid w:val="00364DF2"/>
    <w:rsid w:val="00366BCD"/>
    <w:rsid w:val="00366F01"/>
    <w:rsid w:val="00366F86"/>
    <w:rsid w:val="00367F9C"/>
    <w:rsid w:val="0037028F"/>
    <w:rsid w:val="00370384"/>
    <w:rsid w:val="0037148F"/>
    <w:rsid w:val="00371B81"/>
    <w:rsid w:val="0037250C"/>
    <w:rsid w:val="00373E2C"/>
    <w:rsid w:val="00374F2A"/>
    <w:rsid w:val="00375707"/>
    <w:rsid w:val="00375FFD"/>
    <w:rsid w:val="00376167"/>
    <w:rsid w:val="00376702"/>
    <w:rsid w:val="00376B01"/>
    <w:rsid w:val="0038032E"/>
    <w:rsid w:val="003816C2"/>
    <w:rsid w:val="00381E5E"/>
    <w:rsid w:val="00382179"/>
    <w:rsid w:val="00382244"/>
    <w:rsid w:val="003823AE"/>
    <w:rsid w:val="0038260D"/>
    <w:rsid w:val="003827FF"/>
    <w:rsid w:val="00382BC6"/>
    <w:rsid w:val="00383835"/>
    <w:rsid w:val="00383B92"/>
    <w:rsid w:val="0038426C"/>
    <w:rsid w:val="00384D38"/>
    <w:rsid w:val="003853B6"/>
    <w:rsid w:val="003855F6"/>
    <w:rsid w:val="00385D4D"/>
    <w:rsid w:val="003866A8"/>
    <w:rsid w:val="00386718"/>
    <w:rsid w:val="0038680B"/>
    <w:rsid w:val="00386D72"/>
    <w:rsid w:val="00387B98"/>
    <w:rsid w:val="00391F48"/>
    <w:rsid w:val="003923F6"/>
    <w:rsid w:val="00392448"/>
    <w:rsid w:val="00393682"/>
    <w:rsid w:val="00393B99"/>
    <w:rsid w:val="00393E7F"/>
    <w:rsid w:val="00394238"/>
    <w:rsid w:val="003942B1"/>
    <w:rsid w:val="003943DA"/>
    <w:rsid w:val="00394613"/>
    <w:rsid w:val="00395359"/>
    <w:rsid w:val="003957E6"/>
    <w:rsid w:val="00395B03"/>
    <w:rsid w:val="003968D6"/>
    <w:rsid w:val="00396ACB"/>
    <w:rsid w:val="00396CE3"/>
    <w:rsid w:val="00397B9D"/>
    <w:rsid w:val="003A05CE"/>
    <w:rsid w:val="003A100A"/>
    <w:rsid w:val="003A1212"/>
    <w:rsid w:val="003A13A6"/>
    <w:rsid w:val="003A14D1"/>
    <w:rsid w:val="003A18F9"/>
    <w:rsid w:val="003A2625"/>
    <w:rsid w:val="003A2AC5"/>
    <w:rsid w:val="003A3A23"/>
    <w:rsid w:val="003A4CB3"/>
    <w:rsid w:val="003A5F06"/>
    <w:rsid w:val="003A6404"/>
    <w:rsid w:val="003A6469"/>
    <w:rsid w:val="003A6557"/>
    <w:rsid w:val="003A7306"/>
    <w:rsid w:val="003B0EC2"/>
    <w:rsid w:val="003B1921"/>
    <w:rsid w:val="003B1AAA"/>
    <w:rsid w:val="003B1CB2"/>
    <w:rsid w:val="003B1E22"/>
    <w:rsid w:val="003B31F4"/>
    <w:rsid w:val="003B3508"/>
    <w:rsid w:val="003B47CB"/>
    <w:rsid w:val="003B5891"/>
    <w:rsid w:val="003B6634"/>
    <w:rsid w:val="003B6943"/>
    <w:rsid w:val="003B69F3"/>
    <w:rsid w:val="003B70E0"/>
    <w:rsid w:val="003B7466"/>
    <w:rsid w:val="003B772F"/>
    <w:rsid w:val="003C0330"/>
    <w:rsid w:val="003C072E"/>
    <w:rsid w:val="003C0767"/>
    <w:rsid w:val="003C0D4C"/>
    <w:rsid w:val="003C13CF"/>
    <w:rsid w:val="003C197E"/>
    <w:rsid w:val="003C2185"/>
    <w:rsid w:val="003C2B64"/>
    <w:rsid w:val="003C2EB6"/>
    <w:rsid w:val="003C3D63"/>
    <w:rsid w:val="003C5BC6"/>
    <w:rsid w:val="003C6726"/>
    <w:rsid w:val="003C6D02"/>
    <w:rsid w:val="003C704F"/>
    <w:rsid w:val="003D0DDB"/>
    <w:rsid w:val="003D1087"/>
    <w:rsid w:val="003D1750"/>
    <w:rsid w:val="003D19D5"/>
    <w:rsid w:val="003D3D03"/>
    <w:rsid w:val="003D3D61"/>
    <w:rsid w:val="003D4006"/>
    <w:rsid w:val="003D4D73"/>
    <w:rsid w:val="003D50DB"/>
    <w:rsid w:val="003D514E"/>
    <w:rsid w:val="003D51E9"/>
    <w:rsid w:val="003D5E26"/>
    <w:rsid w:val="003D66CD"/>
    <w:rsid w:val="003D6A71"/>
    <w:rsid w:val="003D6E10"/>
    <w:rsid w:val="003D7261"/>
    <w:rsid w:val="003D740D"/>
    <w:rsid w:val="003D7C4A"/>
    <w:rsid w:val="003D7C6C"/>
    <w:rsid w:val="003E00AB"/>
    <w:rsid w:val="003E06B1"/>
    <w:rsid w:val="003E15AB"/>
    <w:rsid w:val="003E2008"/>
    <w:rsid w:val="003E2427"/>
    <w:rsid w:val="003E2761"/>
    <w:rsid w:val="003E2D0F"/>
    <w:rsid w:val="003E361B"/>
    <w:rsid w:val="003E39FF"/>
    <w:rsid w:val="003E3A56"/>
    <w:rsid w:val="003E4CED"/>
    <w:rsid w:val="003E4D6A"/>
    <w:rsid w:val="003E514A"/>
    <w:rsid w:val="003E6952"/>
    <w:rsid w:val="003E69DF"/>
    <w:rsid w:val="003E6A4A"/>
    <w:rsid w:val="003E713D"/>
    <w:rsid w:val="003E7C3F"/>
    <w:rsid w:val="003F0588"/>
    <w:rsid w:val="003F088A"/>
    <w:rsid w:val="003F1977"/>
    <w:rsid w:val="003F1ABC"/>
    <w:rsid w:val="003F359C"/>
    <w:rsid w:val="003F391A"/>
    <w:rsid w:val="003F3F18"/>
    <w:rsid w:val="003F4B67"/>
    <w:rsid w:val="003F5A89"/>
    <w:rsid w:val="003F5C3D"/>
    <w:rsid w:val="003F647A"/>
    <w:rsid w:val="003F6E3D"/>
    <w:rsid w:val="004009AF"/>
    <w:rsid w:val="004017CD"/>
    <w:rsid w:val="0040227E"/>
    <w:rsid w:val="0040441D"/>
    <w:rsid w:val="00404E12"/>
    <w:rsid w:val="004052CD"/>
    <w:rsid w:val="0040536E"/>
    <w:rsid w:val="00405897"/>
    <w:rsid w:val="00405A0E"/>
    <w:rsid w:val="00405D5B"/>
    <w:rsid w:val="00407A6D"/>
    <w:rsid w:val="00407A74"/>
    <w:rsid w:val="00407FF0"/>
    <w:rsid w:val="00410170"/>
    <w:rsid w:val="0041018B"/>
    <w:rsid w:val="00410390"/>
    <w:rsid w:val="004115AC"/>
    <w:rsid w:val="0041310A"/>
    <w:rsid w:val="00413B88"/>
    <w:rsid w:val="00413EE7"/>
    <w:rsid w:val="0041422A"/>
    <w:rsid w:val="0041431C"/>
    <w:rsid w:val="00414803"/>
    <w:rsid w:val="00414C29"/>
    <w:rsid w:val="00415364"/>
    <w:rsid w:val="00415B28"/>
    <w:rsid w:val="00415F27"/>
    <w:rsid w:val="004166D2"/>
    <w:rsid w:val="004168BF"/>
    <w:rsid w:val="0041727D"/>
    <w:rsid w:val="0041752F"/>
    <w:rsid w:val="00417670"/>
    <w:rsid w:val="004177B1"/>
    <w:rsid w:val="00420E1A"/>
    <w:rsid w:val="00422509"/>
    <w:rsid w:val="0042347B"/>
    <w:rsid w:val="00423FC1"/>
    <w:rsid w:val="004243F1"/>
    <w:rsid w:val="00425BF2"/>
    <w:rsid w:val="004265E3"/>
    <w:rsid w:val="0042673A"/>
    <w:rsid w:val="00426D92"/>
    <w:rsid w:val="0042700F"/>
    <w:rsid w:val="004274AE"/>
    <w:rsid w:val="004274C0"/>
    <w:rsid w:val="00427CBA"/>
    <w:rsid w:val="00427F41"/>
    <w:rsid w:val="0043538C"/>
    <w:rsid w:val="004353B9"/>
    <w:rsid w:val="00435AF2"/>
    <w:rsid w:val="00435D1E"/>
    <w:rsid w:val="00436815"/>
    <w:rsid w:val="00436940"/>
    <w:rsid w:val="00437ACD"/>
    <w:rsid w:val="0044030F"/>
    <w:rsid w:val="004409E8"/>
    <w:rsid w:val="00440E84"/>
    <w:rsid w:val="00441088"/>
    <w:rsid w:val="004412E9"/>
    <w:rsid w:val="00441502"/>
    <w:rsid w:val="004419F1"/>
    <w:rsid w:val="00442EE2"/>
    <w:rsid w:val="00444FF6"/>
    <w:rsid w:val="00445A1D"/>
    <w:rsid w:val="004467C5"/>
    <w:rsid w:val="00446A5B"/>
    <w:rsid w:val="00447842"/>
    <w:rsid w:val="00450323"/>
    <w:rsid w:val="00452BE6"/>
    <w:rsid w:val="0045331F"/>
    <w:rsid w:val="00453796"/>
    <w:rsid w:val="00453AB1"/>
    <w:rsid w:val="00453C79"/>
    <w:rsid w:val="00454734"/>
    <w:rsid w:val="004556C6"/>
    <w:rsid w:val="004556E7"/>
    <w:rsid w:val="0045691B"/>
    <w:rsid w:val="004571A3"/>
    <w:rsid w:val="00457F04"/>
    <w:rsid w:val="00460246"/>
    <w:rsid w:val="00461129"/>
    <w:rsid w:val="004618AF"/>
    <w:rsid w:val="00461A74"/>
    <w:rsid w:val="00461AC2"/>
    <w:rsid w:val="00461DD2"/>
    <w:rsid w:val="00461F8B"/>
    <w:rsid w:val="0046317F"/>
    <w:rsid w:val="004646EB"/>
    <w:rsid w:val="00464D16"/>
    <w:rsid w:val="0046519D"/>
    <w:rsid w:val="00466283"/>
    <w:rsid w:val="0046659C"/>
    <w:rsid w:val="004679B6"/>
    <w:rsid w:val="00467ED5"/>
    <w:rsid w:val="00470A51"/>
    <w:rsid w:val="00470D72"/>
    <w:rsid w:val="004717F0"/>
    <w:rsid w:val="00472519"/>
    <w:rsid w:val="004731F7"/>
    <w:rsid w:val="00473366"/>
    <w:rsid w:val="0047529F"/>
    <w:rsid w:val="00475764"/>
    <w:rsid w:val="004765EB"/>
    <w:rsid w:val="00476895"/>
    <w:rsid w:val="00477219"/>
    <w:rsid w:val="00477865"/>
    <w:rsid w:val="00477E43"/>
    <w:rsid w:val="0048020E"/>
    <w:rsid w:val="00481805"/>
    <w:rsid w:val="0048419C"/>
    <w:rsid w:val="00484596"/>
    <w:rsid w:val="00484834"/>
    <w:rsid w:val="00485779"/>
    <w:rsid w:val="00485833"/>
    <w:rsid w:val="00485FC1"/>
    <w:rsid w:val="00487015"/>
    <w:rsid w:val="00487ECD"/>
    <w:rsid w:val="004915A3"/>
    <w:rsid w:val="004915E6"/>
    <w:rsid w:val="0049204F"/>
    <w:rsid w:val="004946B1"/>
    <w:rsid w:val="004946BE"/>
    <w:rsid w:val="004959C5"/>
    <w:rsid w:val="00495CE4"/>
    <w:rsid w:val="004960C0"/>
    <w:rsid w:val="00496AEA"/>
    <w:rsid w:val="004A03AB"/>
    <w:rsid w:val="004A040D"/>
    <w:rsid w:val="004A0E3F"/>
    <w:rsid w:val="004A186E"/>
    <w:rsid w:val="004A1A87"/>
    <w:rsid w:val="004A1C82"/>
    <w:rsid w:val="004A21E7"/>
    <w:rsid w:val="004A2FFB"/>
    <w:rsid w:val="004A338C"/>
    <w:rsid w:val="004A396D"/>
    <w:rsid w:val="004A42C9"/>
    <w:rsid w:val="004A4801"/>
    <w:rsid w:val="004A4F21"/>
    <w:rsid w:val="004A55E2"/>
    <w:rsid w:val="004A5725"/>
    <w:rsid w:val="004A5ACC"/>
    <w:rsid w:val="004A5D7A"/>
    <w:rsid w:val="004A5F1A"/>
    <w:rsid w:val="004A6A2E"/>
    <w:rsid w:val="004B02E6"/>
    <w:rsid w:val="004B052D"/>
    <w:rsid w:val="004B1342"/>
    <w:rsid w:val="004B156A"/>
    <w:rsid w:val="004B15A5"/>
    <w:rsid w:val="004B290D"/>
    <w:rsid w:val="004B2935"/>
    <w:rsid w:val="004B3050"/>
    <w:rsid w:val="004B361B"/>
    <w:rsid w:val="004B44C7"/>
    <w:rsid w:val="004B4631"/>
    <w:rsid w:val="004B4873"/>
    <w:rsid w:val="004B4A9D"/>
    <w:rsid w:val="004B4FFB"/>
    <w:rsid w:val="004B572B"/>
    <w:rsid w:val="004B6617"/>
    <w:rsid w:val="004B6FD7"/>
    <w:rsid w:val="004B7250"/>
    <w:rsid w:val="004B76EB"/>
    <w:rsid w:val="004B7959"/>
    <w:rsid w:val="004C1721"/>
    <w:rsid w:val="004C22B2"/>
    <w:rsid w:val="004C296B"/>
    <w:rsid w:val="004C29AA"/>
    <w:rsid w:val="004C2BA4"/>
    <w:rsid w:val="004C39B2"/>
    <w:rsid w:val="004C3DC6"/>
    <w:rsid w:val="004C4339"/>
    <w:rsid w:val="004C53A8"/>
    <w:rsid w:val="004C5C42"/>
    <w:rsid w:val="004C5F5E"/>
    <w:rsid w:val="004C62DE"/>
    <w:rsid w:val="004C6457"/>
    <w:rsid w:val="004C6ABA"/>
    <w:rsid w:val="004C6B0B"/>
    <w:rsid w:val="004D0936"/>
    <w:rsid w:val="004D0DC6"/>
    <w:rsid w:val="004D12B2"/>
    <w:rsid w:val="004D1825"/>
    <w:rsid w:val="004D1C32"/>
    <w:rsid w:val="004D1CC9"/>
    <w:rsid w:val="004D20BB"/>
    <w:rsid w:val="004D2936"/>
    <w:rsid w:val="004D4C95"/>
    <w:rsid w:val="004D6B3F"/>
    <w:rsid w:val="004D6BD1"/>
    <w:rsid w:val="004D7805"/>
    <w:rsid w:val="004E031E"/>
    <w:rsid w:val="004E0880"/>
    <w:rsid w:val="004E18A0"/>
    <w:rsid w:val="004E2365"/>
    <w:rsid w:val="004E2677"/>
    <w:rsid w:val="004E2721"/>
    <w:rsid w:val="004E3DF0"/>
    <w:rsid w:val="004E453B"/>
    <w:rsid w:val="004E5103"/>
    <w:rsid w:val="004E52D2"/>
    <w:rsid w:val="004E5D74"/>
    <w:rsid w:val="004E715B"/>
    <w:rsid w:val="004F01A3"/>
    <w:rsid w:val="004F0283"/>
    <w:rsid w:val="004F03AF"/>
    <w:rsid w:val="004F03E0"/>
    <w:rsid w:val="004F0F2A"/>
    <w:rsid w:val="004F0FD0"/>
    <w:rsid w:val="004F2857"/>
    <w:rsid w:val="004F2B86"/>
    <w:rsid w:val="004F34F5"/>
    <w:rsid w:val="004F3A05"/>
    <w:rsid w:val="004F44AA"/>
    <w:rsid w:val="004F4873"/>
    <w:rsid w:val="004F4A9F"/>
    <w:rsid w:val="004F4FA9"/>
    <w:rsid w:val="004F551C"/>
    <w:rsid w:val="004F5742"/>
    <w:rsid w:val="004F6310"/>
    <w:rsid w:val="004F6F95"/>
    <w:rsid w:val="004F700D"/>
    <w:rsid w:val="004F7527"/>
    <w:rsid w:val="005024A9"/>
    <w:rsid w:val="005025B3"/>
    <w:rsid w:val="00502672"/>
    <w:rsid w:val="00502CF0"/>
    <w:rsid w:val="005032BF"/>
    <w:rsid w:val="005036A5"/>
    <w:rsid w:val="00503B6D"/>
    <w:rsid w:val="00505AD0"/>
    <w:rsid w:val="00507289"/>
    <w:rsid w:val="00507314"/>
    <w:rsid w:val="0050753A"/>
    <w:rsid w:val="00507BD0"/>
    <w:rsid w:val="00510718"/>
    <w:rsid w:val="00510B7B"/>
    <w:rsid w:val="00510F17"/>
    <w:rsid w:val="00511034"/>
    <w:rsid w:val="00511199"/>
    <w:rsid w:val="00512041"/>
    <w:rsid w:val="00512B86"/>
    <w:rsid w:val="00512F66"/>
    <w:rsid w:val="005134BB"/>
    <w:rsid w:val="0051397D"/>
    <w:rsid w:val="00513ED7"/>
    <w:rsid w:val="0051512C"/>
    <w:rsid w:val="00515918"/>
    <w:rsid w:val="00515CFD"/>
    <w:rsid w:val="00515D7E"/>
    <w:rsid w:val="00515FE8"/>
    <w:rsid w:val="00517019"/>
    <w:rsid w:val="005175E5"/>
    <w:rsid w:val="005179D3"/>
    <w:rsid w:val="00517AA2"/>
    <w:rsid w:val="00517B77"/>
    <w:rsid w:val="00517D35"/>
    <w:rsid w:val="00517FC4"/>
    <w:rsid w:val="00520911"/>
    <w:rsid w:val="005211D3"/>
    <w:rsid w:val="0052188C"/>
    <w:rsid w:val="005222FB"/>
    <w:rsid w:val="0052332F"/>
    <w:rsid w:val="005236EB"/>
    <w:rsid w:val="00524F4D"/>
    <w:rsid w:val="00525BCE"/>
    <w:rsid w:val="00526D54"/>
    <w:rsid w:val="00526D95"/>
    <w:rsid w:val="00527A07"/>
    <w:rsid w:val="0053072B"/>
    <w:rsid w:val="00530AA4"/>
    <w:rsid w:val="00530B3A"/>
    <w:rsid w:val="00530E2E"/>
    <w:rsid w:val="005323F1"/>
    <w:rsid w:val="00532808"/>
    <w:rsid w:val="00532973"/>
    <w:rsid w:val="005333DE"/>
    <w:rsid w:val="0053387D"/>
    <w:rsid w:val="00534340"/>
    <w:rsid w:val="00534D47"/>
    <w:rsid w:val="005356B8"/>
    <w:rsid w:val="00535996"/>
    <w:rsid w:val="005361D7"/>
    <w:rsid w:val="0053674E"/>
    <w:rsid w:val="00536EA2"/>
    <w:rsid w:val="00537AE5"/>
    <w:rsid w:val="00537E01"/>
    <w:rsid w:val="00540142"/>
    <w:rsid w:val="00541449"/>
    <w:rsid w:val="00541644"/>
    <w:rsid w:val="00541D06"/>
    <w:rsid w:val="005422EB"/>
    <w:rsid w:val="00542CD4"/>
    <w:rsid w:val="00544149"/>
    <w:rsid w:val="0054535B"/>
    <w:rsid w:val="00545805"/>
    <w:rsid w:val="00545CBE"/>
    <w:rsid w:val="00546515"/>
    <w:rsid w:val="00546D50"/>
    <w:rsid w:val="00547AE8"/>
    <w:rsid w:val="00547B3E"/>
    <w:rsid w:val="00547DD8"/>
    <w:rsid w:val="0055019D"/>
    <w:rsid w:val="00550CC2"/>
    <w:rsid w:val="00551A2F"/>
    <w:rsid w:val="005522A2"/>
    <w:rsid w:val="005557D2"/>
    <w:rsid w:val="00555B5E"/>
    <w:rsid w:val="00555C0B"/>
    <w:rsid w:val="0055670A"/>
    <w:rsid w:val="0055679E"/>
    <w:rsid w:val="00556949"/>
    <w:rsid w:val="005571FA"/>
    <w:rsid w:val="00557FFC"/>
    <w:rsid w:val="0056050E"/>
    <w:rsid w:val="00560602"/>
    <w:rsid w:val="00561AD1"/>
    <w:rsid w:val="00561D0C"/>
    <w:rsid w:val="00563828"/>
    <w:rsid w:val="00565B92"/>
    <w:rsid w:val="0056610D"/>
    <w:rsid w:val="00566281"/>
    <w:rsid w:val="00566472"/>
    <w:rsid w:val="00566DBD"/>
    <w:rsid w:val="005676A0"/>
    <w:rsid w:val="005715A5"/>
    <w:rsid w:val="005728B7"/>
    <w:rsid w:val="00573D11"/>
    <w:rsid w:val="00574624"/>
    <w:rsid w:val="0057462C"/>
    <w:rsid w:val="00574D8A"/>
    <w:rsid w:val="005764A5"/>
    <w:rsid w:val="00576CFE"/>
    <w:rsid w:val="00576F5C"/>
    <w:rsid w:val="00577129"/>
    <w:rsid w:val="00581F07"/>
    <w:rsid w:val="00582604"/>
    <w:rsid w:val="00582777"/>
    <w:rsid w:val="005829FB"/>
    <w:rsid w:val="00583792"/>
    <w:rsid w:val="0058518E"/>
    <w:rsid w:val="005852CD"/>
    <w:rsid w:val="00585C0B"/>
    <w:rsid w:val="00586E6E"/>
    <w:rsid w:val="00586FA8"/>
    <w:rsid w:val="005871C3"/>
    <w:rsid w:val="005872B8"/>
    <w:rsid w:val="0058764D"/>
    <w:rsid w:val="005906FD"/>
    <w:rsid w:val="00590C15"/>
    <w:rsid w:val="0059199A"/>
    <w:rsid w:val="005922C1"/>
    <w:rsid w:val="00593381"/>
    <w:rsid w:val="005947A5"/>
    <w:rsid w:val="005949D3"/>
    <w:rsid w:val="00594F84"/>
    <w:rsid w:val="00595828"/>
    <w:rsid w:val="00595CB7"/>
    <w:rsid w:val="005974BA"/>
    <w:rsid w:val="005A01CE"/>
    <w:rsid w:val="005A027E"/>
    <w:rsid w:val="005A0371"/>
    <w:rsid w:val="005A097D"/>
    <w:rsid w:val="005A09A9"/>
    <w:rsid w:val="005A0E73"/>
    <w:rsid w:val="005A1383"/>
    <w:rsid w:val="005A1F89"/>
    <w:rsid w:val="005A2541"/>
    <w:rsid w:val="005A2DC6"/>
    <w:rsid w:val="005A3178"/>
    <w:rsid w:val="005A385E"/>
    <w:rsid w:val="005A3A6B"/>
    <w:rsid w:val="005A3CC7"/>
    <w:rsid w:val="005A47EA"/>
    <w:rsid w:val="005A53B1"/>
    <w:rsid w:val="005A59C0"/>
    <w:rsid w:val="005A6381"/>
    <w:rsid w:val="005A6BCB"/>
    <w:rsid w:val="005A7061"/>
    <w:rsid w:val="005A7088"/>
    <w:rsid w:val="005A7A70"/>
    <w:rsid w:val="005A7AE6"/>
    <w:rsid w:val="005B0F88"/>
    <w:rsid w:val="005B125F"/>
    <w:rsid w:val="005B126A"/>
    <w:rsid w:val="005B226D"/>
    <w:rsid w:val="005B2B64"/>
    <w:rsid w:val="005B3025"/>
    <w:rsid w:val="005B3179"/>
    <w:rsid w:val="005B34DF"/>
    <w:rsid w:val="005B4160"/>
    <w:rsid w:val="005B4E18"/>
    <w:rsid w:val="005B523C"/>
    <w:rsid w:val="005B5ECA"/>
    <w:rsid w:val="005B707B"/>
    <w:rsid w:val="005C08C9"/>
    <w:rsid w:val="005C10C5"/>
    <w:rsid w:val="005C112C"/>
    <w:rsid w:val="005C17C5"/>
    <w:rsid w:val="005C188D"/>
    <w:rsid w:val="005C2677"/>
    <w:rsid w:val="005C27B2"/>
    <w:rsid w:val="005C3153"/>
    <w:rsid w:val="005C398C"/>
    <w:rsid w:val="005C3AE4"/>
    <w:rsid w:val="005C412E"/>
    <w:rsid w:val="005C5197"/>
    <w:rsid w:val="005C66E3"/>
    <w:rsid w:val="005C740E"/>
    <w:rsid w:val="005D04BE"/>
    <w:rsid w:val="005D0DB2"/>
    <w:rsid w:val="005D1419"/>
    <w:rsid w:val="005D1E24"/>
    <w:rsid w:val="005D2071"/>
    <w:rsid w:val="005D2D44"/>
    <w:rsid w:val="005D2F3C"/>
    <w:rsid w:val="005D318C"/>
    <w:rsid w:val="005D31E9"/>
    <w:rsid w:val="005D3319"/>
    <w:rsid w:val="005D388B"/>
    <w:rsid w:val="005D3ADF"/>
    <w:rsid w:val="005D3B26"/>
    <w:rsid w:val="005D3E50"/>
    <w:rsid w:val="005D5B5F"/>
    <w:rsid w:val="005D63BD"/>
    <w:rsid w:val="005E0201"/>
    <w:rsid w:val="005E1110"/>
    <w:rsid w:val="005E15A8"/>
    <w:rsid w:val="005E1804"/>
    <w:rsid w:val="005E1A94"/>
    <w:rsid w:val="005E23DD"/>
    <w:rsid w:val="005E26CC"/>
    <w:rsid w:val="005E3124"/>
    <w:rsid w:val="005E33E0"/>
    <w:rsid w:val="005E3DBC"/>
    <w:rsid w:val="005E4294"/>
    <w:rsid w:val="005E4590"/>
    <w:rsid w:val="005E4D1C"/>
    <w:rsid w:val="005E4EA1"/>
    <w:rsid w:val="005E4F25"/>
    <w:rsid w:val="005E7AB4"/>
    <w:rsid w:val="005E7FB7"/>
    <w:rsid w:val="005F0ADB"/>
    <w:rsid w:val="005F0C6B"/>
    <w:rsid w:val="005F0D55"/>
    <w:rsid w:val="005F216A"/>
    <w:rsid w:val="005F3B38"/>
    <w:rsid w:val="005F4218"/>
    <w:rsid w:val="005F6486"/>
    <w:rsid w:val="005F73C0"/>
    <w:rsid w:val="005F7423"/>
    <w:rsid w:val="006000A4"/>
    <w:rsid w:val="00600FD1"/>
    <w:rsid w:val="00601788"/>
    <w:rsid w:val="006017CE"/>
    <w:rsid w:val="00601C75"/>
    <w:rsid w:val="00601E7B"/>
    <w:rsid w:val="006022C3"/>
    <w:rsid w:val="0060269A"/>
    <w:rsid w:val="00604C50"/>
    <w:rsid w:val="00605725"/>
    <w:rsid w:val="006067A9"/>
    <w:rsid w:val="0060724A"/>
    <w:rsid w:val="0060763F"/>
    <w:rsid w:val="00607643"/>
    <w:rsid w:val="00610310"/>
    <w:rsid w:val="00610567"/>
    <w:rsid w:val="00610A40"/>
    <w:rsid w:val="0061117F"/>
    <w:rsid w:val="006115E3"/>
    <w:rsid w:val="00611E5D"/>
    <w:rsid w:val="00611F67"/>
    <w:rsid w:val="0061234F"/>
    <w:rsid w:val="00612A28"/>
    <w:rsid w:val="0061342B"/>
    <w:rsid w:val="00613431"/>
    <w:rsid w:val="006138A3"/>
    <w:rsid w:val="006147F8"/>
    <w:rsid w:val="00615FCA"/>
    <w:rsid w:val="006161C1"/>
    <w:rsid w:val="00616672"/>
    <w:rsid w:val="00616705"/>
    <w:rsid w:val="00616DE8"/>
    <w:rsid w:val="0061788E"/>
    <w:rsid w:val="00620303"/>
    <w:rsid w:val="00620AD7"/>
    <w:rsid w:val="006220BE"/>
    <w:rsid w:val="00622789"/>
    <w:rsid w:val="00623A0B"/>
    <w:rsid w:val="00623B23"/>
    <w:rsid w:val="00623BDD"/>
    <w:rsid w:val="00624327"/>
    <w:rsid w:val="00624B80"/>
    <w:rsid w:val="00624CA4"/>
    <w:rsid w:val="00624CC9"/>
    <w:rsid w:val="006252B3"/>
    <w:rsid w:val="006254D9"/>
    <w:rsid w:val="00626A04"/>
    <w:rsid w:val="00626AF4"/>
    <w:rsid w:val="00626F5C"/>
    <w:rsid w:val="0062734A"/>
    <w:rsid w:val="00627847"/>
    <w:rsid w:val="00627A6B"/>
    <w:rsid w:val="00627B6F"/>
    <w:rsid w:val="00631123"/>
    <w:rsid w:val="006316BA"/>
    <w:rsid w:val="00631D7E"/>
    <w:rsid w:val="006321F0"/>
    <w:rsid w:val="00632403"/>
    <w:rsid w:val="00633060"/>
    <w:rsid w:val="0063319D"/>
    <w:rsid w:val="00633224"/>
    <w:rsid w:val="00633293"/>
    <w:rsid w:val="006337D3"/>
    <w:rsid w:val="006339DE"/>
    <w:rsid w:val="00634551"/>
    <w:rsid w:val="00634B9B"/>
    <w:rsid w:val="006372E0"/>
    <w:rsid w:val="00637542"/>
    <w:rsid w:val="00637B21"/>
    <w:rsid w:val="00637BFD"/>
    <w:rsid w:val="006407B3"/>
    <w:rsid w:val="00640C90"/>
    <w:rsid w:val="00641276"/>
    <w:rsid w:val="0064230D"/>
    <w:rsid w:val="00642C28"/>
    <w:rsid w:val="00643381"/>
    <w:rsid w:val="0064361D"/>
    <w:rsid w:val="006451A4"/>
    <w:rsid w:val="00645AD4"/>
    <w:rsid w:val="00645DB3"/>
    <w:rsid w:val="006460E3"/>
    <w:rsid w:val="00646426"/>
    <w:rsid w:val="00646427"/>
    <w:rsid w:val="00646528"/>
    <w:rsid w:val="00646E1C"/>
    <w:rsid w:val="00646F8E"/>
    <w:rsid w:val="0064711F"/>
    <w:rsid w:val="00647B8D"/>
    <w:rsid w:val="00647C94"/>
    <w:rsid w:val="006503B1"/>
    <w:rsid w:val="00650831"/>
    <w:rsid w:val="00650D9B"/>
    <w:rsid w:val="0065101A"/>
    <w:rsid w:val="00651029"/>
    <w:rsid w:val="00651347"/>
    <w:rsid w:val="00651C92"/>
    <w:rsid w:val="00651EB6"/>
    <w:rsid w:val="006527CD"/>
    <w:rsid w:val="00652AB7"/>
    <w:rsid w:val="0065388B"/>
    <w:rsid w:val="00653CDE"/>
    <w:rsid w:val="00653E93"/>
    <w:rsid w:val="006540A4"/>
    <w:rsid w:val="00654764"/>
    <w:rsid w:val="0065576D"/>
    <w:rsid w:val="006566A7"/>
    <w:rsid w:val="0065670B"/>
    <w:rsid w:val="006605DD"/>
    <w:rsid w:val="006618D5"/>
    <w:rsid w:val="00661ABF"/>
    <w:rsid w:val="006621F7"/>
    <w:rsid w:val="0066264A"/>
    <w:rsid w:val="00662FC2"/>
    <w:rsid w:val="00664077"/>
    <w:rsid w:val="006644C0"/>
    <w:rsid w:val="00664904"/>
    <w:rsid w:val="00665AEA"/>
    <w:rsid w:val="00666301"/>
    <w:rsid w:val="006663A1"/>
    <w:rsid w:val="0066685C"/>
    <w:rsid w:val="00667447"/>
    <w:rsid w:val="0066790F"/>
    <w:rsid w:val="00667FEA"/>
    <w:rsid w:val="00671794"/>
    <w:rsid w:val="00671975"/>
    <w:rsid w:val="00673173"/>
    <w:rsid w:val="00673C98"/>
    <w:rsid w:val="00674163"/>
    <w:rsid w:val="00674A3C"/>
    <w:rsid w:val="00675097"/>
    <w:rsid w:val="006751E9"/>
    <w:rsid w:val="00675505"/>
    <w:rsid w:val="006763E3"/>
    <w:rsid w:val="00676A5A"/>
    <w:rsid w:val="00677299"/>
    <w:rsid w:val="00677395"/>
    <w:rsid w:val="006804D1"/>
    <w:rsid w:val="0068090F"/>
    <w:rsid w:val="006813BD"/>
    <w:rsid w:val="006817EE"/>
    <w:rsid w:val="00681C5A"/>
    <w:rsid w:val="006822DE"/>
    <w:rsid w:val="00682C23"/>
    <w:rsid w:val="0068344C"/>
    <w:rsid w:val="0068384B"/>
    <w:rsid w:val="00683B7C"/>
    <w:rsid w:val="00683BF8"/>
    <w:rsid w:val="00683D79"/>
    <w:rsid w:val="0068402B"/>
    <w:rsid w:val="00685971"/>
    <w:rsid w:val="006861B9"/>
    <w:rsid w:val="0068685F"/>
    <w:rsid w:val="00686C59"/>
    <w:rsid w:val="00686D22"/>
    <w:rsid w:val="00687E30"/>
    <w:rsid w:val="00687E33"/>
    <w:rsid w:val="00690461"/>
    <w:rsid w:val="006909FC"/>
    <w:rsid w:val="00690CDC"/>
    <w:rsid w:val="00690FB8"/>
    <w:rsid w:val="00690FD1"/>
    <w:rsid w:val="00691D50"/>
    <w:rsid w:val="006923FE"/>
    <w:rsid w:val="006929FC"/>
    <w:rsid w:val="00694162"/>
    <w:rsid w:val="006944E3"/>
    <w:rsid w:val="006945FF"/>
    <w:rsid w:val="00694737"/>
    <w:rsid w:val="00696058"/>
    <w:rsid w:val="00696187"/>
    <w:rsid w:val="00696898"/>
    <w:rsid w:val="00696A91"/>
    <w:rsid w:val="00696B0F"/>
    <w:rsid w:val="00697367"/>
    <w:rsid w:val="00697521"/>
    <w:rsid w:val="006977E4"/>
    <w:rsid w:val="006A01E5"/>
    <w:rsid w:val="006A01F5"/>
    <w:rsid w:val="006A0F9D"/>
    <w:rsid w:val="006A2799"/>
    <w:rsid w:val="006A2900"/>
    <w:rsid w:val="006A3363"/>
    <w:rsid w:val="006A33C3"/>
    <w:rsid w:val="006A3DDE"/>
    <w:rsid w:val="006A45E2"/>
    <w:rsid w:val="006A4879"/>
    <w:rsid w:val="006A4AB2"/>
    <w:rsid w:val="006A4B70"/>
    <w:rsid w:val="006A558C"/>
    <w:rsid w:val="006A5DFD"/>
    <w:rsid w:val="006A60CD"/>
    <w:rsid w:val="006A791E"/>
    <w:rsid w:val="006A7A4D"/>
    <w:rsid w:val="006A7F16"/>
    <w:rsid w:val="006B022E"/>
    <w:rsid w:val="006B137B"/>
    <w:rsid w:val="006B1E7A"/>
    <w:rsid w:val="006B389A"/>
    <w:rsid w:val="006B3B93"/>
    <w:rsid w:val="006B3C21"/>
    <w:rsid w:val="006B42BD"/>
    <w:rsid w:val="006B480D"/>
    <w:rsid w:val="006B49B9"/>
    <w:rsid w:val="006B54BE"/>
    <w:rsid w:val="006B58CD"/>
    <w:rsid w:val="006B60DE"/>
    <w:rsid w:val="006B6114"/>
    <w:rsid w:val="006B6452"/>
    <w:rsid w:val="006B7B83"/>
    <w:rsid w:val="006C01B1"/>
    <w:rsid w:val="006C0550"/>
    <w:rsid w:val="006C0DAF"/>
    <w:rsid w:val="006C11C7"/>
    <w:rsid w:val="006C25DB"/>
    <w:rsid w:val="006C3C1D"/>
    <w:rsid w:val="006C43F9"/>
    <w:rsid w:val="006C518E"/>
    <w:rsid w:val="006C5E95"/>
    <w:rsid w:val="006C5F60"/>
    <w:rsid w:val="006C6127"/>
    <w:rsid w:val="006C616D"/>
    <w:rsid w:val="006C66B1"/>
    <w:rsid w:val="006C6FC2"/>
    <w:rsid w:val="006C7392"/>
    <w:rsid w:val="006C756F"/>
    <w:rsid w:val="006D06E8"/>
    <w:rsid w:val="006D0836"/>
    <w:rsid w:val="006D0EBD"/>
    <w:rsid w:val="006D230C"/>
    <w:rsid w:val="006D277B"/>
    <w:rsid w:val="006D2CA9"/>
    <w:rsid w:val="006D3F88"/>
    <w:rsid w:val="006D3FC4"/>
    <w:rsid w:val="006D436C"/>
    <w:rsid w:val="006D4407"/>
    <w:rsid w:val="006D4668"/>
    <w:rsid w:val="006D4713"/>
    <w:rsid w:val="006D4E16"/>
    <w:rsid w:val="006D5955"/>
    <w:rsid w:val="006D5E35"/>
    <w:rsid w:val="006D6059"/>
    <w:rsid w:val="006D7F37"/>
    <w:rsid w:val="006E0881"/>
    <w:rsid w:val="006E0B59"/>
    <w:rsid w:val="006E0DF9"/>
    <w:rsid w:val="006E22D2"/>
    <w:rsid w:val="006E2478"/>
    <w:rsid w:val="006E303D"/>
    <w:rsid w:val="006E3581"/>
    <w:rsid w:val="006E3731"/>
    <w:rsid w:val="006E3948"/>
    <w:rsid w:val="006E5535"/>
    <w:rsid w:val="006E5E73"/>
    <w:rsid w:val="006E61D6"/>
    <w:rsid w:val="006E6453"/>
    <w:rsid w:val="006E6965"/>
    <w:rsid w:val="006E721D"/>
    <w:rsid w:val="006E7E0C"/>
    <w:rsid w:val="006F1035"/>
    <w:rsid w:val="006F1161"/>
    <w:rsid w:val="006F13F3"/>
    <w:rsid w:val="006F1D53"/>
    <w:rsid w:val="006F27F9"/>
    <w:rsid w:val="006F2DD6"/>
    <w:rsid w:val="006F2DE7"/>
    <w:rsid w:val="006F30A5"/>
    <w:rsid w:val="006F4382"/>
    <w:rsid w:val="006F5DEE"/>
    <w:rsid w:val="006F657D"/>
    <w:rsid w:val="006F6A19"/>
    <w:rsid w:val="006F6ED4"/>
    <w:rsid w:val="006F71D7"/>
    <w:rsid w:val="006F7F06"/>
    <w:rsid w:val="00701023"/>
    <w:rsid w:val="007010EB"/>
    <w:rsid w:val="007026E4"/>
    <w:rsid w:val="00702711"/>
    <w:rsid w:val="007029E3"/>
    <w:rsid w:val="007031C9"/>
    <w:rsid w:val="007034A3"/>
    <w:rsid w:val="007064C9"/>
    <w:rsid w:val="00706B7B"/>
    <w:rsid w:val="00706D79"/>
    <w:rsid w:val="00707D2D"/>
    <w:rsid w:val="007107C9"/>
    <w:rsid w:val="00710890"/>
    <w:rsid w:val="00710954"/>
    <w:rsid w:val="00710C12"/>
    <w:rsid w:val="00710C1E"/>
    <w:rsid w:val="0071143D"/>
    <w:rsid w:val="0071185F"/>
    <w:rsid w:val="00711A32"/>
    <w:rsid w:val="00711C64"/>
    <w:rsid w:val="00711F9C"/>
    <w:rsid w:val="007120CD"/>
    <w:rsid w:val="007129B1"/>
    <w:rsid w:val="00712A18"/>
    <w:rsid w:val="00712CD1"/>
    <w:rsid w:val="00712E97"/>
    <w:rsid w:val="00714717"/>
    <w:rsid w:val="00714D85"/>
    <w:rsid w:val="0071669B"/>
    <w:rsid w:val="00720C7D"/>
    <w:rsid w:val="00721A92"/>
    <w:rsid w:val="0072269A"/>
    <w:rsid w:val="00722F20"/>
    <w:rsid w:val="007238E8"/>
    <w:rsid w:val="00723E21"/>
    <w:rsid w:val="00724E1B"/>
    <w:rsid w:val="00725DE8"/>
    <w:rsid w:val="00726776"/>
    <w:rsid w:val="0072788E"/>
    <w:rsid w:val="00731B54"/>
    <w:rsid w:val="0073370C"/>
    <w:rsid w:val="007338AB"/>
    <w:rsid w:val="0073411B"/>
    <w:rsid w:val="00734B30"/>
    <w:rsid w:val="00735369"/>
    <w:rsid w:val="00735642"/>
    <w:rsid w:val="00735DA5"/>
    <w:rsid w:val="00736422"/>
    <w:rsid w:val="00737F72"/>
    <w:rsid w:val="00740210"/>
    <w:rsid w:val="00740A17"/>
    <w:rsid w:val="00741178"/>
    <w:rsid w:val="007416A7"/>
    <w:rsid w:val="007420F1"/>
    <w:rsid w:val="00742283"/>
    <w:rsid w:val="00742754"/>
    <w:rsid w:val="007429B1"/>
    <w:rsid w:val="007432A2"/>
    <w:rsid w:val="00743F2A"/>
    <w:rsid w:val="007444CD"/>
    <w:rsid w:val="00744616"/>
    <w:rsid w:val="007449EF"/>
    <w:rsid w:val="00744C22"/>
    <w:rsid w:val="00745695"/>
    <w:rsid w:val="0074591A"/>
    <w:rsid w:val="00746155"/>
    <w:rsid w:val="007461CA"/>
    <w:rsid w:val="00746BEC"/>
    <w:rsid w:val="00746E85"/>
    <w:rsid w:val="00750FEC"/>
    <w:rsid w:val="0075107E"/>
    <w:rsid w:val="0075246C"/>
    <w:rsid w:val="00752871"/>
    <w:rsid w:val="007538ED"/>
    <w:rsid w:val="00753EC1"/>
    <w:rsid w:val="0075439A"/>
    <w:rsid w:val="0075488C"/>
    <w:rsid w:val="00754937"/>
    <w:rsid w:val="00754B39"/>
    <w:rsid w:val="00756056"/>
    <w:rsid w:val="00760C43"/>
    <w:rsid w:val="00760F21"/>
    <w:rsid w:val="00761029"/>
    <w:rsid w:val="0076151A"/>
    <w:rsid w:val="00762A97"/>
    <w:rsid w:val="00763738"/>
    <w:rsid w:val="00763CFF"/>
    <w:rsid w:val="007641D4"/>
    <w:rsid w:val="00764F7F"/>
    <w:rsid w:val="007657AF"/>
    <w:rsid w:val="007657B0"/>
    <w:rsid w:val="0076629A"/>
    <w:rsid w:val="00766D94"/>
    <w:rsid w:val="00767414"/>
    <w:rsid w:val="00767555"/>
    <w:rsid w:val="00771E22"/>
    <w:rsid w:val="00772F12"/>
    <w:rsid w:val="00773124"/>
    <w:rsid w:val="0077378F"/>
    <w:rsid w:val="00773D6A"/>
    <w:rsid w:val="0077412D"/>
    <w:rsid w:val="00774DEB"/>
    <w:rsid w:val="00775139"/>
    <w:rsid w:val="0077522D"/>
    <w:rsid w:val="00775B27"/>
    <w:rsid w:val="007762C7"/>
    <w:rsid w:val="007768E5"/>
    <w:rsid w:val="00777002"/>
    <w:rsid w:val="00777810"/>
    <w:rsid w:val="00777C28"/>
    <w:rsid w:val="007800CA"/>
    <w:rsid w:val="007800F1"/>
    <w:rsid w:val="007816A2"/>
    <w:rsid w:val="00781D67"/>
    <w:rsid w:val="00781F54"/>
    <w:rsid w:val="007827E0"/>
    <w:rsid w:val="007835BC"/>
    <w:rsid w:val="0078383C"/>
    <w:rsid w:val="00784014"/>
    <w:rsid w:val="007841C0"/>
    <w:rsid w:val="00784748"/>
    <w:rsid w:val="00784C60"/>
    <w:rsid w:val="00785E38"/>
    <w:rsid w:val="007869B6"/>
    <w:rsid w:val="00787A93"/>
    <w:rsid w:val="00787C77"/>
    <w:rsid w:val="00790BC6"/>
    <w:rsid w:val="00791274"/>
    <w:rsid w:val="00791CDE"/>
    <w:rsid w:val="00791D0C"/>
    <w:rsid w:val="00791E22"/>
    <w:rsid w:val="007920A7"/>
    <w:rsid w:val="00792341"/>
    <w:rsid w:val="007930C8"/>
    <w:rsid w:val="00794FCB"/>
    <w:rsid w:val="00795232"/>
    <w:rsid w:val="0079650C"/>
    <w:rsid w:val="0079673C"/>
    <w:rsid w:val="007979D6"/>
    <w:rsid w:val="00797DED"/>
    <w:rsid w:val="007A0981"/>
    <w:rsid w:val="007A0A87"/>
    <w:rsid w:val="007A0C8B"/>
    <w:rsid w:val="007A113D"/>
    <w:rsid w:val="007A1EF5"/>
    <w:rsid w:val="007A2C65"/>
    <w:rsid w:val="007A3794"/>
    <w:rsid w:val="007A39C4"/>
    <w:rsid w:val="007A4296"/>
    <w:rsid w:val="007A43BD"/>
    <w:rsid w:val="007A4E30"/>
    <w:rsid w:val="007A569D"/>
    <w:rsid w:val="007A5B3A"/>
    <w:rsid w:val="007A6A64"/>
    <w:rsid w:val="007A7272"/>
    <w:rsid w:val="007B0A71"/>
    <w:rsid w:val="007B11D7"/>
    <w:rsid w:val="007B137C"/>
    <w:rsid w:val="007B3B14"/>
    <w:rsid w:val="007B4359"/>
    <w:rsid w:val="007B4D2E"/>
    <w:rsid w:val="007B565A"/>
    <w:rsid w:val="007B6290"/>
    <w:rsid w:val="007B6353"/>
    <w:rsid w:val="007B65EC"/>
    <w:rsid w:val="007B66E2"/>
    <w:rsid w:val="007B6CD9"/>
    <w:rsid w:val="007B73FD"/>
    <w:rsid w:val="007B7F36"/>
    <w:rsid w:val="007C0664"/>
    <w:rsid w:val="007C1979"/>
    <w:rsid w:val="007C2F2C"/>
    <w:rsid w:val="007C2F57"/>
    <w:rsid w:val="007C5042"/>
    <w:rsid w:val="007C5236"/>
    <w:rsid w:val="007C5D99"/>
    <w:rsid w:val="007C64CE"/>
    <w:rsid w:val="007C67F5"/>
    <w:rsid w:val="007C6B40"/>
    <w:rsid w:val="007C6E6B"/>
    <w:rsid w:val="007C704A"/>
    <w:rsid w:val="007C789F"/>
    <w:rsid w:val="007D007C"/>
    <w:rsid w:val="007D0591"/>
    <w:rsid w:val="007D0649"/>
    <w:rsid w:val="007D0EF1"/>
    <w:rsid w:val="007D113A"/>
    <w:rsid w:val="007D1B77"/>
    <w:rsid w:val="007D1C29"/>
    <w:rsid w:val="007D1DEA"/>
    <w:rsid w:val="007D2255"/>
    <w:rsid w:val="007D2A10"/>
    <w:rsid w:val="007D2B55"/>
    <w:rsid w:val="007D3072"/>
    <w:rsid w:val="007D42D8"/>
    <w:rsid w:val="007D45AD"/>
    <w:rsid w:val="007D4BE1"/>
    <w:rsid w:val="007D521B"/>
    <w:rsid w:val="007D538C"/>
    <w:rsid w:val="007D57EF"/>
    <w:rsid w:val="007D5A5D"/>
    <w:rsid w:val="007D6255"/>
    <w:rsid w:val="007D63E5"/>
    <w:rsid w:val="007D7494"/>
    <w:rsid w:val="007D7BB4"/>
    <w:rsid w:val="007E0B92"/>
    <w:rsid w:val="007E0E93"/>
    <w:rsid w:val="007E1B7E"/>
    <w:rsid w:val="007E21E2"/>
    <w:rsid w:val="007E2615"/>
    <w:rsid w:val="007E2A6D"/>
    <w:rsid w:val="007E2B01"/>
    <w:rsid w:val="007E2E16"/>
    <w:rsid w:val="007E32EB"/>
    <w:rsid w:val="007E33AB"/>
    <w:rsid w:val="007E36DD"/>
    <w:rsid w:val="007E47A0"/>
    <w:rsid w:val="007E48C8"/>
    <w:rsid w:val="007E4DDA"/>
    <w:rsid w:val="007E50C4"/>
    <w:rsid w:val="007E513F"/>
    <w:rsid w:val="007E6847"/>
    <w:rsid w:val="007E6AE6"/>
    <w:rsid w:val="007E6CA7"/>
    <w:rsid w:val="007E6F44"/>
    <w:rsid w:val="007E77B1"/>
    <w:rsid w:val="007E7A79"/>
    <w:rsid w:val="007E7D05"/>
    <w:rsid w:val="007F0E9F"/>
    <w:rsid w:val="007F3204"/>
    <w:rsid w:val="007F3561"/>
    <w:rsid w:val="007F4A5D"/>
    <w:rsid w:val="007F5032"/>
    <w:rsid w:val="007F52AA"/>
    <w:rsid w:val="007F54B8"/>
    <w:rsid w:val="007F6CB3"/>
    <w:rsid w:val="007F725C"/>
    <w:rsid w:val="007F7F97"/>
    <w:rsid w:val="00800B53"/>
    <w:rsid w:val="00800B77"/>
    <w:rsid w:val="00800BE3"/>
    <w:rsid w:val="008034B0"/>
    <w:rsid w:val="00803F1B"/>
    <w:rsid w:val="00804C11"/>
    <w:rsid w:val="00804FEC"/>
    <w:rsid w:val="00806248"/>
    <w:rsid w:val="008062AA"/>
    <w:rsid w:val="00806348"/>
    <w:rsid w:val="008077CE"/>
    <w:rsid w:val="00807A45"/>
    <w:rsid w:val="00807F6E"/>
    <w:rsid w:val="00810483"/>
    <w:rsid w:val="0081048F"/>
    <w:rsid w:val="008108D7"/>
    <w:rsid w:val="00811652"/>
    <w:rsid w:val="008121F0"/>
    <w:rsid w:val="008136BA"/>
    <w:rsid w:val="008139EB"/>
    <w:rsid w:val="00814253"/>
    <w:rsid w:val="008144F0"/>
    <w:rsid w:val="008147E3"/>
    <w:rsid w:val="00815579"/>
    <w:rsid w:val="00815F50"/>
    <w:rsid w:val="0081624C"/>
    <w:rsid w:val="008169D4"/>
    <w:rsid w:val="0082029B"/>
    <w:rsid w:val="008202CC"/>
    <w:rsid w:val="00820A2C"/>
    <w:rsid w:val="008213C8"/>
    <w:rsid w:val="00823A41"/>
    <w:rsid w:val="00823DC4"/>
    <w:rsid w:val="008240B2"/>
    <w:rsid w:val="008242AF"/>
    <w:rsid w:val="0082497A"/>
    <w:rsid w:val="00824A60"/>
    <w:rsid w:val="00824C15"/>
    <w:rsid w:val="00824CB4"/>
    <w:rsid w:val="00825313"/>
    <w:rsid w:val="00825553"/>
    <w:rsid w:val="0082593D"/>
    <w:rsid w:val="00825CAA"/>
    <w:rsid w:val="008266D9"/>
    <w:rsid w:val="008270B8"/>
    <w:rsid w:val="00830437"/>
    <w:rsid w:val="00830499"/>
    <w:rsid w:val="00830C02"/>
    <w:rsid w:val="00830C8A"/>
    <w:rsid w:val="00831EE1"/>
    <w:rsid w:val="00832710"/>
    <w:rsid w:val="00832AA4"/>
    <w:rsid w:val="0083301B"/>
    <w:rsid w:val="00837117"/>
    <w:rsid w:val="008417B0"/>
    <w:rsid w:val="00842E09"/>
    <w:rsid w:val="00843C7E"/>
    <w:rsid w:val="008446BD"/>
    <w:rsid w:val="00844C27"/>
    <w:rsid w:val="00844E17"/>
    <w:rsid w:val="00844E1E"/>
    <w:rsid w:val="008456E7"/>
    <w:rsid w:val="00845889"/>
    <w:rsid w:val="0084609B"/>
    <w:rsid w:val="00846AC4"/>
    <w:rsid w:val="00847008"/>
    <w:rsid w:val="0084713A"/>
    <w:rsid w:val="008471D9"/>
    <w:rsid w:val="00847264"/>
    <w:rsid w:val="00847DE5"/>
    <w:rsid w:val="00850000"/>
    <w:rsid w:val="00850170"/>
    <w:rsid w:val="00850FE8"/>
    <w:rsid w:val="00851530"/>
    <w:rsid w:val="00851CD3"/>
    <w:rsid w:val="00851F0C"/>
    <w:rsid w:val="0085247E"/>
    <w:rsid w:val="008538AF"/>
    <w:rsid w:val="00854F61"/>
    <w:rsid w:val="00855A89"/>
    <w:rsid w:val="00855B17"/>
    <w:rsid w:val="0085618B"/>
    <w:rsid w:val="008565DA"/>
    <w:rsid w:val="00856927"/>
    <w:rsid w:val="00860068"/>
    <w:rsid w:val="0086067A"/>
    <w:rsid w:val="0086140B"/>
    <w:rsid w:val="00861E68"/>
    <w:rsid w:val="00862083"/>
    <w:rsid w:val="00862671"/>
    <w:rsid w:val="008633C8"/>
    <w:rsid w:val="008635E3"/>
    <w:rsid w:val="00863916"/>
    <w:rsid w:val="008646EC"/>
    <w:rsid w:val="00864D98"/>
    <w:rsid w:val="00864E8D"/>
    <w:rsid w:val="00864E96"/>
    <w:rsid w:val="00866745"/>
    <w:rsid w:val="00866C2C"/>
    <w:rsid w:val="00870B95"/>
    <w:rsid w:val="00870DD3"/>
    <w:rsid w:val="00871638"/>
    <w:rsid w:val="00871794"/>
    <w:rsid w:val="0087227D"/>
    <w:rsid w:val="008731B2"/>
    <w:rsid w:val="00873FFE"/>
    <w:rsid w:val="008740AB"/>
    <w:rsid w:val="00875298"/>
    <w:rsid w:val="00875A1E"/>
    <w:rsid w:val="00875DFE"/>
    <w:rsid w:val="00876220"/>
    <w:rsid w:val="008763DA"/>
    <w:rsid w:val="00876408"/>
    <w:rsid w:val="008767ED"/>
    <w:rsid w:val="008769FB"/>
    <w:rsid w:val="00877A08"/>
    <w:rsid w:val="008807B7"/>
    <w:rsid w:val="00881EA9"/>
    <w:rsid w:val="008824C6"/>
    <w:rsid w:val="008835C0"/>
    <w:rsid w:val="00884142"/>
    <w:rsid w:val="00884509"/>
    <w:rsid w:val="00884E78"/>
    <w:rsid w:val="00884F5F"/>
    <w:rsid w:val="0088766C"/>
    <w:rsid w:val="0089127E"/>
    <w:rsid w:val="00891DEE"/>
    <w:rsid w:val="00892C99"/>
    <w:rsid w:val="008933BD"/>
    <w:rsid w:val="008936F3"/>
    <w:rsid w:val="00893857"/>
    <w:rsid w:val="00893D49"/>
    <w:rsid w:val="008942D0"/>
    <w:rsid w:val="00894870"/>
    <w:rsid w:val="00895B9A"/>
    <w:rsid w:val="0089638F"/>
    <w:rsid w:val="00897569"/>
    <w:rsid w:val="008A0024"/>
    <w:rsid w:val="008A0AFF"/>
    <w:rsid w:val="008A139E"/>
    <w:rsid w:val="008A1D84"/>
    <w:rsid w:val="008A1E57"/>
    <w:rsid w:val="008A1FCB"/>
    <w:rsid w:val="008A2693"/>
    <w:rsid w:val="008A26CA"/>
    <w:rsid w:val="008A37E4"/>
    <w:rsid w:val="008A3802"/>
    <w:rsid w:val="008A3E62"/>
    <w:rsid w:val="008A49C8"/>
    <w:rsid w:val="008A66D4"/>
    <w:rsid w:val="008A6EA3"/>
    <w:rsid w:val="008A7CEA"/>
    <w:rsid w:val="008B14C2"/>
    <w:rsid w:val="008B1C9A"/>
    <w:rsid w:val="008B2882"/>
    <w:rsid w:val="008B2A67"/>
    <w:rsid w:val="008B31A0"/>
    <w:rsid w:val="008B36B6"/>
    <w:rsid w:val="008B3B47"/>
    <w:rsid w:val="008B4990"/>
    <w:rsid w:val="008B4F8D"/>
    <w:rsid w:val="008B5AB8"/>
    <w:rsid w:val="008B6A8D"/>
    <w:rsid w:val="008B7A67"/>
    <w:rsid w:val="008B7D37"/>
    <w:rsid w:val="008C0087"/>
    <w:rsid w:val="008C0314"/>
    <w:rsid w:val="008C0767"/>
    <w:rsid w:val="008C14C6"/>
    <w:rsid w:val="008C230C"/>
    <w:rsid w:val="008C2ED1"/>
    <w:rsid w:val="008C3BD4"/>
    <w:rsid w:val="008C3EEA"/>
    <w:rsid w:val="008C4647"/>
    <w:rsid w:val="008C532F"/>
    <w:rsid w:val="008C5CA2"/>
    <w:rsid w:val="008C5DC4"/>
    <w:rsid w:val="008C7017"/>
    <w:rsid w:val="008C7AB4"/>
    <w:rsid w:val="008C7EAE"/>
    <w:rsid w:val="008D04EC"/>
    <w:rsid w:val="008D18D7"/>
    <w:rsid w:val="008D1EA2"/>
    <w:rsid w:val="008D21D0"/>
    <w:rsid w:val="008D23C0"/>
    <w:rsid w:val="008D26EA"/>
    <w:rsid w:val="008D31A1"/>
    <w:rsid w:val="008D3A58"/>
    <w:rsid w:val="008D44AB"/>
    <w:rsid w:val="008D44EE"/>
    <w:rsid w:val="008D58AA"/>
    <w:rsid w:val="008D58BC"/>
    <w:rsid w:val="008D5E61"/>
    <w:rsid w:val="008D6AFB"/>
    <w:rsid w:val="008D6F92"/>
    <w:rsid w:val="008D7166"/>
    <w:rsid w:val="008E00C9"/>
    <w:rsid w:val="008E0A5B"/>
    <w:rsid w:val="008E0CF2"/>
    <w:rsid w:val="008E1E90"/>
    <w:rsid w:val="008E20F1"/>
    <w:rsid w:val="008E2327"/>
    <w:rsid w:val="008E23EA"/>
    <w:rsid w:val="008E24FB"/>
    <w:rsid w:val="008E2696"/>
    <w:rsid w:val="008E2DAE"/>
    <w:rsid w:val="008E3FF8"/>
    <w:rsid w:val="008E51AD"/>
    <w:rsid w:val="008E5EA7"/>
    <w:rsid w:val="008E615A"/>
    <w:rsid w:val="008E6258"/>
    <w:rsid w:val="008E6B99"/>
    <w:rsid w:val="008E6D98"/>
    <w:rsid w:val="008E7EE9"/>
    <w:rsid w:val="008F049D"/>
    <w:rsid w:val="008F0C2B"/>
    <w:rsid w:val="008F0FE6"/>
    <w:rsid w:val="008F281B"/>
    <w:rsid w:val="008F29A5"/>
    <w:rsid w:val="008F32C7"/>
    <w:rsid w:val="008F3AE5"/>
    <w:rsid w:val="008F4D15"/>
    <w:rsid w:val="008F596E"/>
    <w:rsid w:val="008F5F16"/>
    <w:rsid w:val="008F76C7"/>
    <w:rsid w:val="008F7FA3"/>
    <w:rsid w:val="00900416"/>
    <w:rsid w:val="00900436"/>
    <w:rsid w:val="00901420"/>
    <w:rsid w:val="00901601"/>
    <w:rsid w:val="009019C2"/>
    <w:rsid w:val="00901C95"/>
    <w:rsid w:val="00901F4F"/>
    <w:rsid w:val="00902664"/>
    <w:rsid w:val="0090349B"/>
    <w:rsid w:val="00903509"/>
    <w:rsid w:val="00903DE8"/>
    <w:rsid w:val="00904A67"/>
    <w:rsid w:val="00904EF8"/>
    <w:rsid w:val="009051CB"/>
    <w:rsid w:val="009054E1"/>
    <w:rsid w:val="00905556"/>
    <w:rsid w:val="00905830"/>
    <w:rsid w:val="00907286"/>
    <w:rsid w:val="0091096D"/>
    <w:rsid w:val="00910C7A"/>
    <w:rsid w:val="0091270F"/>
    <w:rsid w:val="00912981"/>
    <w:rsid w:val="00912B62"/>
    <w:rsid w:val="00912BA6"/>
    <w:rsid w:val="00912CE8"/>
    <w:rsid w:val="009139FB"/>
    <w:rsid w:val="00913BDB"/>
    <w:rsid w:val="00913E91"/>
    <w:rsid w:val="00914528"/>
    <w:rsid w:val="00915214"/>
    <w:rsid w:val="009158BB"/>
    <w:rsid w:val="00915C47"/>
    <w:rsid w:val="009170F3"/>
    <w:rsid w:val="009172FF"/>
    <w:rsid w:val="00917485"/>
    <w:rsid w:val="0091751F"/>
    <w:rsid w:val="00917E78"/>
    <w:rsid w:val="00917E85"/>
    <w:rsid w:val="009203FE"/>
    <w:rsid w:val="00920907"/>
    <w:rsid w:val="009209AB"/>
    <w:rsid w:val="00921E2D"/>
    <w:rsid w:val="00923A63"/>
    <w:rsid w:val="0092424A"/>
    <w:rsid w:val="009247F2"/>
    <w:rsid w:val="00925135"/>
    <w:rsid w:val="009258D1"/>
    <w:rsid w:val="00925B7F"/>
    <w:rsid w:val="00925CD8"/>
    <w:rsid w:val="0092672A"/>
    <w:rsid w:val="009272F5"/>
    <w:rsid w:val="00927582"/>
    <w:rsid w:val="009275ED"/>
    <w:rsid w:val="00927C1A"/>
    <w:rsid w:val="00927DC3"/>
    <w:rsid w:val="00930126"/>
    <w:rsid w:val="00930560"/>
    <w:rsid w:val="009306DE"/>
    <w:rsid w:val="00931939"/>
    <w:rsid w:val="00931AB1"/>
    <w:rsid w:val="00931EAE"/>
    <w:rsid w:val="009321A8"/>
    <w:rsid w:val="00932752"/>
    <w:rsid w:val="00932E17"/>
    <w:rsid w:val="0093345C"/>
    <w:rsid w:val="009343FD"/>
    <w:rsid w:val="00934C6C"/>
    <w:rsid w:val="009373C9"/>
    <w:rsid w:val="00937640"/>
    <w:rsid w:val="0093775C"/>
    <w:rsid w:val="00937F11"/>
    <w:rsid w:val="00941622"/>
    <w:rsid w:val="00941B20"/>
    <w:rsid w:val="00942BFD"/>
    <w:rsid w:val="00943390"/>
    <w:rsid w:val="009445B2"/>
    <w:rsid w:val="009446B3"/>
    <w:rsid w:val="00944C01"/>
    <w:rsid w:val="009453B0"/>
    <w:rsid w:val="00946D65"/>
    <w:rsid w:val="00947A9F"/>
    <w:rsid w:val="00950764"/>
    <w:rsid w:val="00950F30"/>
    <w:rsid w:val="00951C88"/>
    <w:rsid w:val="00953283"/>
    <w:rsid w:val="00954224"/>
    <w:rsid w:val="00954941"/>
    <w:rsid w:val="00954ABB"/>
    <w:rsid w:val="0095530B"/>
    <w:rsid w:val="00955DC2"/>
    <w:rsid w:val="009562E3"/>
    <w:rsid w:val="0095676B"/>
    <w:rsid w:val="00956B3A"/>
    <w:rsid w:val="00956C3B"/>
    <w:rsid w:val="00957263"/>
    <w:rsid w:val="00960728"/>
    <w:rsid w:val="0096077E"/>
    <w:rsid w:val="0096193E"/>
    <w:rsid w:val="00961C2F"/>
    <w:rsid w:val="00961C35"/>
    <w:rsid w:val="00962575"/>
    <w:rsid w:val="0096300D"/>
    <w:rsid w:val="00963296"/>
    <w:rsid w:val="009636E5"/>
    <w:rsid w:val="00964858"/>
    <w:rsid w:val="00965520"/>
    <w:rsid w:val="00965E9E"/>
    <w:rsid w:val="00966315"/>
    <w:rsid w:val="009665C5"/>
    <w:rsid w:val="00966B33"/>
    <w:rsid w:val="00967286"/>
    <w:rsid w:val="00967C93"/>
    <w:rsid w:val="0097181B"/>
    <w:rsid w:val="00971D54"/>
    <w:rsid w:val="00972D13"/>
    <w:rsid w:val="00973929"/>
    <w:rsid w:val="00973973"/>
    <w:rsid w:val="00974064"/>
    <w:rsid w:val="00974E6A"/>
    <w:rsid w:val="009772E0"/>
    <w:rsid w:val="00977A77"/>
    <w:rsid w:val="00980819"/>
    <w:rsid w:val="00980E49"/>
    <w:rsid w:val="0098332F"/>
    <w:rsid w:val="00983670"/>
    <w:rsid w:val="00983C51"/>
    <w:rsid w:val="00984001"/>
    <w:rsid w:val="009847BD"/>
    <w:rsid w:val="00984983"/>
    <w:rsid w:val="0098569C"/>
    <w:rsid w:val="00985D49"/>
    <w:rsid w:val="00986B0B"/>
    <w:rsid w:val="00987538"/>
    <w:rsid w:val="0098799E"/>
    <w:rsid w:val="00990EC5"/>
    <w:rsid w:val="0099135A"/>
    <w:rsid w:val="00991855"/>
    <w:rsid w:val="00991D00"/>
    <w:rsid w:val="009924A6"/>
    <w:rsid w:val="0099407A"/>
    <w:rsid w:val="0099562E"/>
    <w:rsid w:val="00995E09"/>
    <w:rsid w:val="00996874"/>
    <w:rsid w:val="00996ACA"/>
    <w:rsid w:val="00997F76"/>
    <w:rsid w:val="009A1DE6"/>
    <w:rsid w:val="009A4936"/>
    <w:rsid w:val="009A52BF"/>
    <w:rsid w:val="009A545D"/>
    <w:rsid w:val="009A5A47"/>
    <w:rsid w:val="009A5CA3"/>
    <w:rsid w:val="009B0333"/>
    <w:rsid w:val="009B0446"/>
    <w:rsid w:val="009B086C"/>
    <w:rsid w:val="009B1996"/>
    <w:rsid w:val="009B1FD8"/>
    <w:rsid w:val="009B2EE4"/>
    <w:rsid w:val="009B3049"/>
    <w:rsid w:val="009B3404"/>
    <w:rsid w:val="009B40FC"/>
    <w:rsid w:val="009B4D84"/>
    <w:rsid w:val="009B5991"/>
    <w:rsid w:val="009B5ADA"/>
    <w:rsid w:val="009B63BD"/>
    <w:rsid w:val="009B72E4"/>
    <w:rsid w:val="009B7869"/>
    <w:rsid w:val="009C09D7"/>
    <w:rsid w:val="009C0E2C"/>
    <w:rsid w:val="009C0E98"/>
    <w:rsid w:val="009C0F35"/>
    <w:rsid w:val="009C15B6"/>
    <w:rsid w:val="009C1DA4"/>
    <w:rsid w:val="009C2FF7"/>
    <w:rsid w:val="009C3964"/>
    <w:rsid w:val="009C541D"/>
    <w:rsid w:val="009C657D"/>
    <w:rsid w:val="009C6CA8"/>
    <w:rsid w:val="009C6F35"/>
    <w:rsid w:val="009C7E23"/>
    <w:rsid w:val="009D0644"/>
    <w:rsid w:val="009D0E7E"/>
    <w:rsid w:val="009D0F96"/>
    <w:rsid w:val="009D13BB"/>
    <w:rsid w:val="009D22DA"/>
    <w:rsid w:val="009D2BFD"/>
    <w:rsid w:val="009D31F9"/>
    <w:rsid w:val="009D32FD"/>
    <w:rsid w:val="009D3A3F"/>
    <w:rsid w:val="009D41C3"/>
    <w:rsid w:val="009D4DAC"/>
    <w:rsid w:val="009D5C1F"/>
    <w:rsid w:val="009D6845"/>
    <w:rsid w:val="009D7325"/>
    <w:rsid w:val="009D74B6"/>
    <w:rsid w:val="009D753B"/>
    <w:rsid w:val="009E05B6"/>
    <w:rsid w:val="009E0856"/>
    <w:rsid w:val="009E1CB7"/>
    <w:rsid w:val="009E1EB6"/>
    <w:rsid w:val="009E2216"/>
    <w:rsid w:val="009E287B"/>
    <w:rsid w:val="009E35E1"/>
    <w:rsid w:val="009E3970"/>
    <w:rsid w:val="009E3B00"/>
    <w:rsid w:val="009E415D"/>
    <w:rsid w:val="009E5D02"/>
    <w:rsid w:val="009E5F62"/>
    <w:rsid w:val="009E5FED"/>
    <w:rsid w:val="009E6533"/>
    <w:rsid w:val="009E6692"/>
    <w:rsid w:val="009E6D06"/>
    <w:rsid w:val="009E73BC"/>
    <w:rsid w:val="009E7643"/>
    <w:rsid w:val="009E7A37"/>
    <w:rsid w:val="009E7DDF"/>
    <w:rsid w:val="009F0116"/>
    <w:rsid w:val="009F0B72"/>
    <w:rsid w:val="009F0F55"/>
    <w:rsid w:val="009F126D"/>
    <w:rsid w:val="009F12AB"/>
    <w:rsid w:val="009F2021"/>
    <w:rsid w:val="009F238F"/>
    <w:rsid w:val="009F24B6"/>
    <w:rsid w:val="009F4DD2"/>
    <w:rsid w:val="009F56F2"/>
    <w:rsid w:val="009F5798"/>
    <w:rsid w:val="009F5811"/>
    <w:rsid w:val="009F5B7F"/>
    <w:rsid w:val="009F5F5F"/>
    <w:rsid w:val="009F604B"/>
    <w:rsid w:val="009F6452"/>
    <w:rsid w:val="009F6DF3"/>
    <w:rsid w:val="009F6E32"/>
    <w:rsid w:val="009F751E"/>
    <w:rsid w:val="009F7806"/>
    <w:rsid w:val="009F7849"/>
    <w:rsid w:val="009F7CC9"/>
    <w:rsid w:val="00A000C2"/>
    <w:rsid w:val="00A00555"/>
    <w:rsid w:val="00A005EC"/>
    <w:rsid w:val="00A0069D"/>
    <w:rsid w:val="00A00A48"/>
    <w:rsid w:val="00A00BAA"/>
    <w:rsid w:val="00A016A9"/>
    <w:rsid w:val="00A02B43"/>
    <w:rsid w:val="00A02C06"/>
    <w:rsid w:val="00A035CA"/>
    <w:rsid w:val="00A04937"/>
    <w:rsid w:val="00A04F6D"/>
    <w:rsid w:val="00A05337"/>
    <w:rsid w:val="00A06376"/>
    <w:rsid w:val="00A063FE"/>
    <w:rsid w:val="00A07AC0"/>
    <w:rsid w:val="00A104A3"/>
    <w:rsid w:val="00A12456"/>
    <w:rsid w:val="00A1302D"/>
    <w:rsid w:val="00A136D0"/>
    <w:rsid w:val="00A13952"/>
    <w:rsid w:val="00A13F64"/>
    <w:rsid w:val="00A170C1"/>
    <w:rsid w:val="00A17344"/>
    <w:rsid w:val="00A20267"/>
    <w:rsid w:val="00A203AD"/>
    <w:rsid w:val="00A21547"/>
    <w:rsid w:val="00A2203B"/>
    <w:rsid w:val="00A224E2"/>
    <w:rsid w:val="00A23330"/>
    <w:rsid w:val="00A255BB"/>
    <w:rsid w:val="00A25EED"/>
    <w:rsid w:val="00A26893"/>
    <w:rsid w:val="00A268D0"/>
    <w:rsid w:val="00A26BB4"/>
    <w:rsid w:val="00A26D0F"/>
    <w:rsid w:val="00A2725D"/>
    <w:rsid w:val="00A274F6"/>
    <w:rsid w:val="00A2768B"/>
    <w:rsid w:val="00A30C1E"/>
    <w:rsid w:val="00A3142E"/>
    <w:rsid w:val="00A3176D"/>
    <w:rsid w:val="00A3185E"/>
    <w:rsid w:val="00A319A3"/>
    <w:rsid w:val="00A3215C"/>
    <w:rsid w:val="00A32840"/>
    <w:rsid w:val="00A32F94"/>
    <w:rsid w:val="00A33301"/>
    <w:rsid w:val="00A3469B"/>
    <w:rsid w:val="00A346A1"/>
    <w:rsid w:val="00A3482B"/>
    <w:rsid w:val="00A34DF1"/>
    <w:rsid w:val="00A34E25"/>
    <w:rsid w:val="00A3574D"/>
    <w:rsid w:val="00A35D7F"/>
    <w:rsid w:val="00A35ED4"/>
    <w:rsid w:val="00A360C6"/>
    <w:rsid w:val="00A373B6"/>
    <w:rsid w:val="00A378FA"/>
    <w:rsid w:val="00A40539"/>
    <w:rsid w:val="00A41592"/>
    <w:rsid w:val="00A41970"/>
    <w:rsid w:val="00A41AA9"/>
    <w:rsid w:val="00A42079"/>
    <w:rsid w:val="00A423FD"/>
    <w:rsid w:val="00A42575"/>
    <w:rsid w:val="00A439AB"/>
    <w:rsid w:val="00A43DCC"/>
    <w:rsid w:val="00A44673"/>
    <w:rsid w:val="00A44BAA"/>
    <w:rsid w:val="00A45F69"/>
    <w:rsid w:val="00A46224"/>
    <w:rsid w:val="00A464C2"/>
    <w:rsid w:val="00A4708A"/>
    <w:rsid w:val="00A47301"/>
    <w:rsid w:val="00A47515"/>
    <w:rsid w:val="00A50980"/>
    <w:rsid w:val="00A50DAE"/>
    <w:rsid w:val="00A510F6"/>
    <w:rsid w:val="00A518DB"/>
    <w:rsid w:val="00A51D0D"/>
    <w:rsid w:val="00A534AC"/>
    <w:rsid w:val="00A5399D"/>
    <w:rsid w:val="00A55A28"/>
    <w:rsid w:val="00A55EBA"/>
    <w:rsid w:val="00A55FC1"/>
    <w:rsid w:val="00A5646C"/>
    <w:rsid w:val="00A575CC"/>
    <w:rsid w:val="00A57C55"/>
    <w:rsid w:val="00A6000E"/>
    <w:rsid w:val="00A613CB"/>
    <w:rsid w:val="00A64932"/>
    <w:rsid w:val="00A66134"/>
    <w:rsid w:val="00A66652"/>
    <w:rsid w:val="00A668B9"/>
    <w:rsid w:val="00A66990"/>
    <w:rsid w:val="00A66FF0"/>
    <w:rsid w:val="00A671ED"/>
    <w:rsid w:val="00A67C75"/>
    <w:rsid w:val="00A70011"/>
    <w:rsid w:val="00A7021F"/>
    <w:rsid w:val="00A70A0A"/>
    <w:rsid w:val="00A70BD2"/>
    <w:rsid w:val="00A70C4D"/>
    <w:rsid w:val="00A73A48"/>
    <w:rsid w:val="00A7420D"/>
    <w:rsid w:val="00A7491F"/>
    <w:rsid w:val="00A74EE3"/>
    <w:rsid w:val="00A75298"/>
    <w:rsid w:val="00A758D5"/>
    <w:rsid w:val="00A76672"/>
    <w:rsid w:val="00A77919"/>
    <w:rsid w:val="00A80191"/>
    <w:rsid w:val="00A80DAF"/>
    <w:rsid w:val="00A81956"/>
    <w:rsid w:val="00A82860"/>
    <w:rsid w:val="00A82C0A"/>
    <w:rsid w:val="00A836AF"/>
    <w:rsid w:val="00A838F1"/>
    <w:rsid w:val="00A83B90"/>
    <w:rsid w:val="00A84676"/>
    <w:rsid w:val="00A84F05"/>
    <w:rsid w:val="00A85641"/>
    <w:rsid w:val="00A85939"/>
    <w:rsid w:val="00A86130"/>
    <w:rsid w:val="00A8656D"/>
    <w:rsid w:val="00A86928"/>
    <w:rsid w:val="00A8766A"/>
    <w:rsid w:val="00A87AE3"/>
    <w:rsid w:val="00A87D22"/>
    <w:rsid w:val="00A87DEE"/>
    <w:rsid w:val="00A9012D"/>
    <w:rsid w:val="00A9090E"/>
    <w:rsid w:val="00A916E0"/>
    <w:rsid w:val="00A91F2D"/>
    <w:rsid w:val="00A9217B"/>
    <w:rsid w:val="00A92B24"/>
    <w:rsid w:val="00A92C37"/>
    <w:rsid w:val="00A931CD"/>
    <w:rsid w:val="00A93C9D"/>
    <w:rsid w:val="00A93F63"/>
    <w:rsid w:val="00A93F8B"/>
    <w:rsid w:val="00A94109"/>
    <w:rsid w:val="00A94601"/>
    <w:rsid w:val="00A94CEF"/>
    <w:rsid w:val="00A95582"/>
    <w:rsid w:val="00A959D4"/>
    <w:rsid w:val="00A95E44"/>
    <w:rsid w:val="00A96383"/>
    <w:rsid w:val="00A96474"/>
    <w:rsid w:val="00A96CE0"/>
    <w:rsid w:val="00A96E32"/>
    <w:rsid w:val="00A96FBA"/>
    <w:rsid w:val="00A971BE"/>
    <w:rsid w:val="00A9768D"/>
    <w:rsid w:val="00AA03BC"/>
    <w:rsid w:val="00AA0621"/>
    <w:rsid w:val="00AA0AE0"/>
    <w:rsid w:val="00AA1BF3"/>
    <w:rsid w:val="00AA2B88"/>
    <w:rsid w:val="00AA3364"/>
    <w:rsid w:val="00AA37C7"/>
    <w:rsid w:val="00AA4F30"/>
    <w:rsid w:val="00AA53F6"/>
    <w:rsid w:val="00AA54B7"/>
    <w:rsid w:val="00AA5728"/>
    <w:rsid w:val="00AA5AEF"/>
    <w:rsid w:val="00AA5AF1"/>
    <w:rsid w:val="00AA5B1D"/>
    <w:rsid w:val="00AA63C5"/>
    <w:rsid w:val="00AA65F1"/>
    <w:rsid w:val="00AA6FE4"/>
    <w:rsid w:val="00AA7083"/>
    <w:rsid w:val="00AA71F7"/>
    <w:rsid w:val="00AA7787"/>
    <w:rsid w:val="00AB0542"/>
    <w:rsid w:val="00AB0CA6"/>
    <w:rsid w:val="00AB0F0C"/>
    <w:rsid w:val="00AB1220"/>
    <w:rsid w:val="00AB136D"/>
    <w:rsid w:val="00AB1683"/>
    <w:rsid w:val="00AB2010"/>
    <w:rsid w:val="00AB21A8"/>
    <w:rsid w:val="00AB239B"/>
    <w:rsid w:val="00AB286B"/>
    <w:rsid w:val="00AB2D3C"/>
    <w:rsid w:val="00AB44BE"/>
    <w:rsid w:val="00AB5197"/>
    <w:rsid w:val="00AB58AD"/>
    <w:rsid w:val="00AB61D3"/>
    <w:rsid w:val="00AB6890"/>
    <w:rsid w:val="00AB6C9B"/>
    <w:rsid w:val="00AC0050"/>
    <w:rsid w:val="00AC04CB"/>
    <w:rsid w:val="00AC0B3C"/>
    <w:rsid w:val="00AC0F13"/>
    <w:rsid w:val="00AC119C"/>
    <w:rsid w:val="00AC1564"/>
    <w:rsid w:val="00AC224E"/>
    <w:rsid w:val="00AC25B6"/>
    <w:rsid w:val="00AC3447"/>
    <w:rsid w:val="00AC415C"/>
    <w:rsid w:val="00AC4503"/>
    <w:rsid w:val="00AC4A9D"/>
    <w:rsid w:val="00AC5155"/>
    <w:rsid w:val="00AC54AE"/>
    <w:rsid w:val="00AC6EE8"/>
    <w:rsid w:val="00AC7385"/>
    <w:rsid w:val="00AC75A8"/>
    <w:rsid w:val="00AC7E95"/>
    <w:rsid w:val="00AC7F82"/>
    <w:rsid w:val="00AD05BB"/>
    <w:rsid w:val="00AD05D9"/>
    <w:rsid w:val="00AD0CD0"/>
    <w:rsid w:val="00AD2D9D"/>
    <w:rsid w:val="00AD303B"/>
    <w:rsid w:val="00AD312C"/>
    <w:rsid w:val="00AD3411"/>
    <w:rsid w:val="00AD3441"/>
    <w:rsid w:val="00AD5497"/>
    <w:rsid w:val="00AD5663"/>
    <w:rsid w:val="00AD5FBE"/>
    <w:rsid w:val="00AD7578"/>
    <w:rsid w:val="00AE00E1"/>
    <w:rsid w:val="00AE19B6"/>
    <w:rsid w:val="00AE19E4"/>
    <w:rsid w:val="00AE2390"/>
    <w:rsid w:val="00AE32A9"/>
    <w:rsid w:val="00AE3D15"/>
    <w:rsid w:val="00AE3F4A"/>
    <w:rsid w:val="00AE42F0"/>
    <w:rsid w:val="00AE5140"/>
    <w:rsid w:val="00AE5D8A"/>
    <w:rsid w:val="00AE6469"/>
    <w:rsid w:val="00AE6ED7"/>
    <w:rsid w:val="00AF0DE2"/>
    <w:rsid w:val="00AF1133"/>
    <w:rsid w:val="00AF169A"/>
    <w:rsid w:val="00AF1BD2"/>
    <w:rsid w:val="00AF206E"/>
    <w:rsid w:val="00AF257B"/>
    <w:rsid w:val="00AF2E57"/>
    <w:rsid w:val="00AF3DC6"/>
    <w:rsid w:val="00AF3FBC"/>
    <w:rsid w:val="00AF416F"/>
    <w:rsid w:val="00AF549E"/>
    <w:rsid w:val="00AF5B32"/>
    <w:rsid w:val="00AF62CB"/>
    <w:rsid w:val="00AF7236"/>
    <w:rsid w:val="00AF77B1"/>
    <w:rsid w:val="00AF7BA4"/>
    <w:rsid w:val="00B005EF"/>
    <w:rsid w:val="00B00BCF"/>
    <w:rsid w:val="00B0113B"/>
    <w:rsid w:val="00B0154B"/>
    <w:rsid w:val="00B017E6"/>
    <w:rsid w:val="00B03B27"/>
    <w:rsid w:val="00B03DBB"/>
    <w:rsid w:val="00B04608"/>
    <w:rsid w:val="00B04641"/>
    <w:rsid w:val="00B048BD"/>
    <w:rsid w:val="00B04AB7"/>
    <w:rsid w:val="00B050B3"/>
    <w:rsid w:val="00B05834"/>
    <w:rsid w:val="00B05B35"/>
    <w:rsid w:val="00B05D77"/>
    <w:rsid w:val="00B05F0F"/>
    <w:rsid w:val="00B0627F"/>
    <w:rsid w:val="00B06301"/>
    <w:rsid w:val="00B06306"/>
    <w:rsid w:val="00B07563"/>
    <w:rsid w:val="00B076F6"/>
    <w:rsid w:val="00B0773D"/>
    <w:rsid w:val="00B07DEA"/>
    <w:rsid w:val="00B07E41"/>
    <w:rsid w:val="00B10400"/>
    <w:rsid w:val="00B11974"/>
    <w:rsid w:val="00B119DE"/>
    <w:rsid w:val="00B11C8F"/>
    <w:rsid w:val="00B1207A"/>
    <w:rsid w:val="00B1249E"/>
    <w:rsid w:val="00B13D9A"/>
    <w:rsid w:val="00B14107"/>
    <w:rsid w:val="00B14D13"/>
    <w:rsid w:val="00B15819"/>
    <w:rsid w:val="00B1593C"/>
    <w:rsid w:val="00B15AD7"/>
    <w:rsid w:val="00B161D3"/>
    <w:rsid w:val="00B16818"/>
    <w:rsid w:val="00B168FB"/>
    <w:rsid w:val="00B1769F"/>
    <w:rsid w:val="00B17D3F"/>
    <w:rsid w:val="00B204BD"/>
    <w:rsid w:val="00B215D5"/>
    <w:rsid w:val="00B21BDC"/>
    <w:rsid w:val="00B22A4F"/>
    <w:rsid w:val="00B22D4F"/>
    <w:rsid w:val="00B231CF"/>
    <w:rsid w:val="00B232FF"/>
    <w:rsid w:val="00B2347F"/>
    <w:rsid w:val="00B23766"/>
    <w:rsid w:val="00B23A36"/>
    <w:rsid w:val="00B243DF"/>
    <w:rsid w:val="00B24648"/>
    <w:rsid w:val="00B246F6"/>
    <w:rsid w:val="00B24E1E"/>
    <w:rsid w:val="00B25323"/>
    <w:rsid w:val="00B25DB5"/>
    <w:rsid w:val="00B2683E"/>
    <w:rsid w:val="00B26C74"/>
    <w:rsid w:val="00B30A52"/>
    <w:rsid w:val="00B31122"/>
    <w:rsid w:val="00B316F7"/>
    <w:rsid w:val="00B3179C"/>
    <w:rsid w:val="00B31F26"/>
    <w:rsid w:val="00B338E2"/>
    <w:rsid w:val="00B33C43"/>
    <w:rsid w:val="00B35E88"/>
    <w:rsid w:val="00B36083"/>
    <w:rsid w:val="00B36473"/>
    <w:rsid w:val="00B366B1"/>
    <w:rsid w:val="00B36F20"/>
    <w:rsid w:val="00B37671"/>
    <w:rsid w:val="00B40259"/>
    <w:rsid w:val="00B403E1"/>
    <w:rsid w:val="00B40DA3"/>
    <w:rsid w:val="00B413B8"/>
    <w:rsid w:val="00B4153B"/>
    <w:rsid w:val="00B41817"/>
    <w:rsid w:val="00B41867"/>
    <w:rsid w:val="00B43A3B"/>
    <w:rsid w:val="00B43C78"/>
    <w:rsid w:val="00B44027"/>
    <w:rsid w:val="00B45470"/>
    <w:rsid w:val="00B463D7"/>
    <w:rsid w:val="00B46590"/>
    <w:rsid w:val="00B46B0B"/>
    <w:rsid w:val="00B50194"/>
    <w:rsid w:val="00B50EFC"/>
    <w:rsid w:val="00B513BA"/>
    <w:rsid w:val="00B51716"/>
    <w:rsid w:val="00B5178F"/>
    <w:rsid w:val="00B51989"/>
    <w:rsid w:val="00B51D59"/>
    <w:rsid w:val="00B520F0"/>
    <w:rsid w:val="00B52303"/>
    <w:rsid w:val="00B5327D"/>
    <w:rsid w:val="00B53A55"/>
    <w:rsid w:val="00B54D3C"/>
    <w:rsid w:val="00B55FE7"/>
    <w:rsid w:val="00B56D3E"/>
    <w:rsid w:val="00B57385"/>
    <w:rsid w:val="00B575E9"/>
    <w:rsid w:val="00B57916"/>
    <w:rsid w:val="00B60309"/>
    <w:rsid w:val="00B60570"/>
    <w:rsid w:val="00B61B0C"/>
    <w:rsid w:val="00B61CCD"/>
    <w:rsid w:val="00B63046"/>
    <w:rsid w:val="00B634B1"/>
    <w:rsid w:val="00B63B19"/>
    <w:rsid w:val="00B63E27"/>
    <w:rsid w:val="00B6408D"/>
    <w:rsid w:val="00B640CB"/>
    <w:rsid w:val="00B65473"/>
    <w:rsid w:val="00B65E65"/>
    <w:rsid w:val="00B65EDC"/>
    <w:rsid w:val="00B65F35"/>
    <w:rsid w:val="00B66107"/>
    <w:rsid w:val="00B66604"/>
    <w:rsid w:val="00B667CE"/>
    <w:rsid w:val="00B671F2"/>
    <w:rsid w:val="00B67EC2"/>
    <w:rsid w:val="00B67F31"/>
    <w:rsid w:val="00B7030A"/>
    <w:rsid w:val="00B70402"/>
    <w:rsid w:val="00B712B2"/>
    <w:rsid w:val="00B719B7"/>
    <w:rsid w:val="00B71B2B"/>
    <w:rsid w:val="00B71C50"/>
    <w:rsid w:val="00B71D0E"/>
    <w:rsid w:val="00B71D10"/>
    <w:rsid w:val="00B723F0"/>
    <w:rsid w:val="00B7371B"/>
    <w:rsid w:val="00B744C3"/>
    <w:rsid w:val="00B745C0"/>
    <w:rsid w:val="00B747A1"/>
    <w:rsid w:val="00B7498C"/>
    <w:rsid w:val="00B76608"/>
    <w:rsid w:val="00B76DFF"/>
    <w:rsid w:val="00B76EEF"/>
    <w:rsid w:val="00B77EC4"/>
    <w:rsid w:val="00B806F2"/>
    <w:rsid w:val="00B81386"/>
    <w:rsid w:val="00B815B4"/>
    <w:rsid w:val="00B828F7"/>
    <w:rsid w:val="00B82DF4"/>
    <w:rsid w:val="00B832A2"/>
    <w:rsid w:val="00B83C36"/>
    <w:rsid w:val="00B83D4F"/>
    <w:rsid w:val="00B8606A"/>
    <w:rsid w:val="00B8615E"/>
    <w:rsid w:val="00B8622D"/>
    <w:rsid w:val="00B86DBD"/>
    <w:rsid w:val="00B87455"/>
    <w:rsid w:val="00B87A32"/>
    <w:rsid w:val="00B87B5D"/>
    <w:rsid w:val="00B87B9B"/>
    <w:rsid w:val="00B90A01"/>
    <w:rsid w:val="00B911D3"/>
    <w:rsid w:val="00B91266"/>
    <w:rsid w:val="00B91B4E"/>
    <w:rsid w:val="00B92417"/>
    <w:rsid w:val="00B928A8"/>
    <w:rsid w:val="00B92CA9"/>
    <w:rsid w:val="00B9410B"/>
    <w:rsid w:val="00B941BA"/>
    <w:rsid w:val="00B94938"/>
    <w:rsid w:val="00B95040"/>
    <w:rsid w:val="00B95F4E"/>
    <w:rsid w:val="00B96593"/>
    <w:rsid w:val="00B96FF8"/>
    <w:rsid w:val="00BA0554"/>
    <w:rsid w:val="00BA1245"/>
    <w:rsid w:val="00BA3029"/>
    <w:rsid w:val="00BA30C5"/>
    <w:rsid w:val="00BA38C6"/>
    <w:rsid w:val="00BA402C"/>
    <w:rsid w:val="00BA43C4"/>
    <w:rsid w:val="00BA498D"/>
    <w:rsid w:val="00BA5A70"/>
    <w:rsid w:val="00BA6202"/>
    <w:rsid w:val="00BA64BE"/>
    <w:rsid w:val="00BA6896"/>
    <w:rsid w:val="00BA6A3D"/>
    <w:rsid w:val="00BA6ACF"/>
    <w:rsid w:val="00BB0459"/>
    <w:rsid w:val="00BB06DF"/>
    <w:rsid w:val="00BB0EA0"/>
    <w:rsid w:val="00BB11BA"/>
    <w:rsid w:val="00BB1B86"/>
    <w:rsid w:val="00BB249C"/>
    <w:rsid w:val="00BB3966"/>
    <w:rsid w:val="00BB3CCD"/>
    <w:rsid w:val="00BB5398"/>
    <w:rsid w:val="00BB585B"/>
    <w:rsid w:val="00BB6879"/>
    <w:rsid w:val="00BB6DCA"/>
    <w:rsid w:val="00BB6EB9"/>
    <w:rsid w:val="00BB6EE3"/>
    <w:rsid w:val="00BC0072"/>
    <w:rsid w:val="00BC0650"/>
    <w:rsid w:val="00BC137E"/>
    <w:rsid w:val="00BC1A15"/>
    <w:rsid w:val="00BC279B"/>
    <w:rsid w:val="00BC2D8D"/>
    <w:rsid w:val="00BC31F2"/>
    <w:rsid w:val="00BC394A"/>
    <w:rsid w:val="00BC3FE3"/>
    <w:rsid w:val="00BC443E"/>
    <w:rsid w:val="00BC4522"/>
    <w:rsid w:val="00BC480F"/>
    <w:rsid w:val="00BC4EB3"/>
    <w:rsid w:val="00BC5057"/>
    <w:rsid w:val="00BC5093"/>
    <w:rsid w:val="00BC5970"/>
    <w:rsid w:val="00BC7F68"/>
    <w:rsid w:val="00BD043E"/>
    <w:rsid w:val="00BD0890"/>
    <w:rsid w:val="00BD0917"/>
    <w:rsid w:val="00BD0A9C"/>
    <w:rsid w:val="00BD0EE9"/>
    <w:rsid w:val="00BD18EE"/>
    <w:rsid w:val="00BD1BDB"/>
    <w:rsid w:val="00BD1F98"/>
    <w:rsid w:val="00BD2801"/>
    <w:rsid w:val="00BD2958"/>
    <w:rsid w:val="00BD2FF8"/>
    <w:rsid w:val="00BD3763"/>
    <w:rsid w:val="00BD379F"/>
    <w:rsid w:val="00BD37D7"/>
    <w:rsid w:val="00BD4256"/>
    <w:rsid w:val="00BD48DA"/>
    <w:rsid w:val="00BD4C96"/>
    <w:rsid w:val="00BD56E7"/>
    <w:rsid w:val="00BD580B"/>
    <w:rsid w:val="00BD6ED0"/>
    <w:rsid w:val="00BD7229"/>
    <w:rsid w:val="00BE041B"/>
    <w:rsid w:val="00BE0515"/>
    <w:rsid w:val="00BE09E2"/>
    <w:rsid w:val="00BE138E"/>
    <w:rsid w:val="00BE20EC"/>
    <w:rsid w:val="00BE2505"/>
    <w:rsid w:val="00BE2648"/>
    <w:rsid w:val="00BE3953"/>
    <w:rsid w:val="00BE3ADD"/>
    <w:rsid w:val="00BE51C4"/>
    <w:rsid w:val="00BE56F2"/>
    <w:rsid w:val="00BE5D60"/>
    <w:rsid w:val="00BE6028"/>
    <w:rsid w:val="00BE6340"/>
    <w:rsid w:val="00BE6558"/>
    <w:rsid w:val="00BE716C"/>
    <w:rsid w:val="00BE7CCA"/>
    <w:rsid w:val="00BF0540"/>
    <w:rsid w:val="00BF09CA"/>
    <w:rsid w:val="00BF0A3D"/>
    <w:rsid w:val="00BF0F1A"/>
    <w:rsid w:val="00BF16DB"/>
    <w:rsid w:val="00BF1735"/>
    <w:rsid w:val="00BF1A97"/>
    <w:rsid w:val="00BF1E5B"/>
    <w:rsid w:val="00BF1E73"/>
    <w:rsid w:val="00BF3A9E"/>
    <w:rsid w:val="00BF3AB5"/>
    <w:rsid w:val="00BF55E4"/>
    <w:rsid w:val="00BF7B9A"/>
    <w:rsid w:val="00C004C7"/>
    <w:rsid w:val="00C01154"/>
    <w:rsid w:val="00C01280"/>
    <w:rsid w:val="00C015E6"/>
    <w:rsid w:val="00C016C7"/>
    <w:rsid w:val="00C019B2"/>
    <w:rsid w:val="00C01D08"/>
    <w:rsid w:val="00C02002"/>
    <w:rsid w:val="00C0228D"/>
    <w:rsid w:val="00C02388"/>
    <w:rsid w:val="00C023A3"/>
    <w:rsid w:val="00C0328C"/>
    <w:rsid w:val="00C03DF4"/>
    <w:rsid w:val="00C05C56"/>
    <w:rsid w:val="00C06100"/>
    <w:rsid w:val="00C06B80"/>
    <w:rsid w:val="00C06B9B"/>
    <w:rsid w:val="00C070C3"/>
    <w:rsid w:val="00C07508"/>
    <w:rsid w:val="00C07C35"/>
    <w:rsid w:val="00C102BA"/>
    <w:rsid w:val="00C10357"/>
    <w:rsid w:val="00C10489"/>
    <w:rsid w:val="00C105EB"/>
    <w:rsid w:val="00C10664"/>
    <w:rsid w:val="00C112A2"/>
    <w:rsid w:val="00C12F3B"/>
    <w:rsid w:val="00C134DB"/>
    <w:rsid w:val="00C137EF"/>
    <w:rsid w:val="00C13C17"/>
    <w:rsid w:val="00C141D9"/>
    <w:rsid w:val="00C14523"/>
    <w:rsid w:val="00C1508C"/>
    <w:rsid w:val="00C15307"/>
    <w:rsid w:val="00C1578D"/>
    <w:rsid w:val="00C17399"/>
    <w:rsid w:val="00C175A6"/>
    <w:rsid w:val="00C175AC"/>
    <w:rsid w:val="00C17879"/>
    <w:rsid w:val="00C179E7"/>
    <w:rsid w:val="00C20684"/>
    <w:rsid w:val="00C20B2F"/>
    <w:rsid w:val="00C2200A"/>
    <w:rsid w:val="00C2207D"/>
    <w:rsid w:val="00C221FB"/>
    <w:rsid w:val="00C223B1"/>
    <w:rsid w:val="00C22D8F"/>
    <w:rsid w:val="00C236D8"/>
    <w:rsid w:val="00C237D8"/>
    <w:rsid w:val="00C2468C"/>
    <w:rsid w:val="00C247E5"/>
    <w:rsid w:val="00C24B22"/>
    <w:rsid w:val="00C24BF2"/>
    <w:rsid w:val="00C25767"/>
    <w:rsid w:val="00C25969"/>
    <w:rsid w:val="00C25F90"/>
    <w:rsid w:val="00C26188"/>
    <w:rsid w:val="00C26D18"/>
    <w:rsid w:val="00C26DDE"/>
    <w:rsid w:val="00C30292"/>
    <w:rsid w:val="00C31E20"/>
    <w:rsid w:val="00C32475"/>
    <w:rsid w:val="00C32845"/>
    <w:rsid w:val="00C331FC"/>
    <w:rsid w:val="00C33BBB"/>
    <w:rsid w:val="00C33D7F"/>
    <w:rsid w:val="00C34FA5"/>
    <w:rsid w:val="00C3540D"/>
    <w:rsid w:val="00C3545D"/>
    <w:rsid w:val="00C35AE3"/>
    <w:rsid w:val="00C370A2"/>
    <w:rsid w:val="00C37365"/>
    <w:rsid w:val="00C40649"/>
    <w:rsid w:val="00C40E8F"/>
    <w:rsid w:val="00C41422"/>
    <w:rsid w:val="00C41811"/>
    <w:rsid w:val="00C42177"/>
    <w:rsid w:val="00C42AE0"/>
    <w:rsid w:val="00C445A5"/>
    <w:rsid w:val="00C44C03"/>
    <w:rsid w:val="00C456AF"/>
    <w:rsid w:val="00C4677E"/>
    <w:rsid w:val="00C475B8"/>
    <w:rsid w:val="00C4765E"/>
    <w:rsid w:val="00C476E9"/>
    <w:rsid w:val="00C47C2F"/>
    <w:rsid w:val="00C51E85"/>
    <w:rsid w:val="00C51EE4"/>
    <w:rsid w:val="00C52150"/>
    <w:rsid w:val="00C52238"/>
    <w:rsid w:val="00C5234D"/>
    <w:rsid w:val="00C52DD8"/>
    <w:rsid w:val="00C5315C"/>
    <w:rsid w:val="00C5372D"/>
    <w:rsid w:val="00C55CAE"/>
    <w:rsid w:val="00C57B18"/>
    <w:rsid w:val="00C57F26"/>
    <w:rsid w:val="00C604C6"/>
    <w:rsid w:val="00C60C38"/>
    <w:rsid w:val="00C612B9"/>
    <w:rsid w:val="00C6148A"/>
    <w:rsid w:val="00C616F7"/>
    <w:rsid w:val="00C617F4"/>
    <w:rsid w:val="00C6181D"/>
    <w:rsid w:val="00C625C4"/>
    <w:rsid w:val="00C626F4"/>
    <w:rsid w:val="00C62C9C"/>
    <w:rsid w:val="00C62CE2"/>
    <w:rsid w:val="00C64773"/>
    <w:rsid w:val="00C64962"/>
    <w:rsid w:val="00C64AF0"/>
    <w:rsid w:val="00C65EE7"/>
    <w:rsid w:val="00C666EF"/>
    <w:rsid w:val="00C67978"/>
    <w:rsid w:val="00C67A72"/>
    <w:rsid w:val="00C67CB4"/>
    <w:rsid w:val="00C70495"/>
    <w:rsid w:val="00C705A9"/>
    <w:rsid w:val="00C7061D"/>
    <w:rsid w:val="00C70A9C"/>
    <w:rsid w:val="00C70F6F"/>
    <w:rsid w:val="00C7120A"/>
    <w:rsid w:val="00C716E6"/>
    <w:rsid w:val="00C72D70"/>
    <w:rsid w:val="00C7382B"/>
    <w:rsid w:val="00C73B0A"/>
    <w:rsid w:val="00C741D9"/>
    <w:rsid w:val="00C74674"/>
    <w:rsid w:val="00C75381"/>
    <w:rsid w:val="00C75741"/>
    <w:rsid w:val="00C7598E"/>
    <w:rsid w:val="00C75E95"/>
    <w:rsid w:val="00C76640"/>
    <w:rsid w:val="00C76C35"/>
    <w:rsid w:val="00C76DAD"/>
    <w:rsid w:val="00C774E4"/>
    <w:rsid w:val="00C77890"/>
    <w:rsid w:val="00C77C93"/>
    <w:rsid w:val="00C8014A"/>
    <w:rsid w:val="00C801EF"/>
    <w:rsid w:val="00C80679"/>
    <w:rsid w:val="00C806ED"/>
    <w:rsid w:val="00C814E5"/>
    <w:rsid w:val="00C81A8E"/>
    <w:rsid w:val="00C81DFB"/>
    <w:rsid w:val="00C82BC0"/>
    <w:rsid w:val="00C830F0"/>
    <w:rsid w:val="00C8336A"/>
    <w:rsid w:val="00C83C2A"/>
    <w:rsid w:val="00C8460A"/>
    <w:rsid w:val="00C846E8"/>
    <w:rsid w:val="00C84A8C"/>
    <w:rsid w:val="00C84D43"/>
    <w:rsid w:val="00C86430"/>
    <w:rsid w:val="00C869FF"/>
    <w:rsid w:val="00C87504"/>
    <w:rsid w:val="00C87BB9"/>
    <w:rsid w:val="00C87D31"/>
    <w:rsid w:val="00C87E63"/>
    <w:rsid w:val="00C90B34"/>
    <w:rsid w:val="00C91391"/>
    <w:rsid w:val="00C91C57"/>
    <w:rsid w:val="00C91E08"/>
    <w:rsid w:val="00C92ED2"/>
    <w:rsid w:val="00C93744"/>
    <w:rsid w:val="00C93E17"/>
    <w:rsid w:val="00C94064"/>
    <w:rsid w:val="00C94690"/>
    <w:rsid w:val="00C949E6"/>
    <w:rsid w:val="00C95842"/>
    <w:rsid w:val="00C9799C"/>
    <w:rsid w:val="00CA0077"/>
    <w:rsid w:val="00CA075C"/>
    <w:rsid w:val="00CA23C4"/>
    <w:rsid w:val="00CA3014"/>
    <w:rsid w:val="00CA3B95"/>
    <w:rsid w:val="00CA3D00"/>
    <w:rsid w:val="00CA4645"/>
    <w:rsid w:val="00CA482A"/>
    <w:rsid w:val="00CA491B"/>
    <w:rsid w:val="00CA5336"/>
    <w:rsid w:val="00CA5564"/>
    <w:rsid w:val="00CA57E4"/>
    <w:rsid w:val="00CA5D74"/>
    <w:rsid w:val="00CA61B0"/>
    <w:rsid w:val="00CA6D78"/>
    <w:rsid w:val="00CA6F13"/>
    <w:rsid w:val="00CA739F"/>
    <w:rsid w:val="00CA7E6F"/>
    <w:rsid w:val="00CB0BD9"/>
    <w:rsid w:val="00CB154B"/>
    <w:rsid w:val="00CB1D05"/>
    <w:rsid w:val="00CB1F42"/>
    <w:rsid w:val="00CB28A9"/>
    <w:rsid w:val="00CB2D22"/>
    <w:rsid w:val="00CB37D2"/>
    <w:rsid w:val="00CB3CE4"/>
    <w:rsid w:val="00CB3D17"/>
    <w:rsid w:val="00CB45A0"/>
    <w:rsid w:val="00CB5067"/>
    <w:rsid w:val="00CB62EA"/>
    <w:rsid w:val="00CB6F63"/>
    <w:rsid w:val="00CB7328"/>
    <w:rsid w:val="00CC0842"/>
    <w:rsid w:val="00CC1F9B"/>
    <w:rsid w:val="00CC20A6"/>
    <w:rsid w:val="00CC35F3"/>
    <w:rsid w:val="00CC3672"/>
    <w:rsid w:val="00CC3DF2"/>
    <w:rsid w:val="00CC41DD"/>
    <w:rsid w:val="00CC433C"/>
    <w:rsid w:val="00CC71CA"/>
    <w:rsid w:val="00CD06C5"/>
    <w:rsid w:val="00CD0E61"/>
    <w:rsid w:val="00CD11BF"/>
    <w:rsid w:val="00CD1482"/>
    <w:rsid w:val="00CD14CF"/>
    <w:rsid w:val="00CD1573"/>
    <w:rsid w:val="00CD1DD2"/>
    <w:rsid w:val="00CD1E1E"/>
    <w:rsid w:val="00CD2057"/>
    <w:rsid w:val="00CD215F"/>
    <w:rsid w:val="00CD251F"/>
    <w:rsid w:val="00CD25F9"/>
    <w:rsid w:val="00CD2658"/>
    <w:rsid w:val="00CD32AA"/>
    <w:rsid w:val="00CD38DD"/>
    <w:rsid w:val="00CD3B0D"/>
    <w:rsid w:val="00CD4DA7"/>
    <w:rsid w:val="00CD5285"/>
    <w:rsid w:val="00CD6388"/>
    <w:rsid w:val="00CD7F9A"/>
    <w:rsid w:val="00CE0E44"/>
    <w:rsid w:val="00CE1CD7"/>
    <w:rsid w:val="00CE2E02"/>
    <w:rsid w:val="00CE2FBF"/>
    <w:rsid w:val="00CE3930"/>
    <w:rsid w:val="00CE522F"/>
    <w:rsid w:val="00CE568B"/>
    <w:rsid w:val="00CE584B"/>
    <w:rsid w:val="00CE5C5B"/>
    <w:rsid w:val="00CE64EE"/>
    <w:rsid w:val="00CE6E66"/>
    <w:rsid w:val="00CF0239"/>
    <w:rsid w:val="00CF0689"/>
    <w:rsid w:val="00CF11A8"/>
    <w:rsid w:val="00CF180D"/>
    <w:rsid w:val="00CF1E15"/>
    <w:rsid w:val="00CF2812"/>
    <w:rsid w:val="00CF2D61"/>
    <w:rsid w:val="00CF42C8"/>
    <w:rsid w:val="00CF4BC8"/>
    <w:rsid w:val="00CF501C"/>
    <w:rsid w:val="00CF5463"/>
    <w:rsid w:val="00CF5E7E"/>
    <w:rsid w:val="00CF615E"/>
    <w:rsid w:val="00CF6294"/>
    <w:rsid w:val="00CF7D18"/>
    <w:rsid w:val="00CF7D96"/>
    <w:rsid w:val="00D006E3"/>
    <w:rsid w:val="00D00862"/>
    <w:rsid w:val="00D0152D"/>
    <w:rsid w:val="00D02351"/>
    <w:rsid w:val="00D02406"/>
    <w:rsid w:val="00D02827"/>
    <w:rsid w:val="00D028AC"/>
    <w:rsid w:val="00D02B2E"/>
    <w:rsid w:val="00D02EE8"/>
    <w:rsid w:val="00D03500"/>
    <w:rsid w:val="00D03531"/>
    <w:rsid w:val="00D041A4"/>
    <w:rsid w:val="00D05861"/>
    <w:rsid w:val="00D05CA7"/>
    <w:rsid w:val="00D066C8"/>
    <w:rsid w:val="00D074F5"/>
    <w:rsid w:val="00D07772"/>
    <w:rsid w:val="00D10F21"/>
    <w:rsid w:val="00D10FEF"/>
    <w:rsid w:val="00D11203"/>
    <w:rsid w:val="00D115F1"/>
    <w:rsid w:val="00D11892"/>
    <w:rsid w:val="00D119B3"/>
    <w:rsid w:val="00D11D26"/>
    <w:rsid w:val="00D11E76"/>
    <w:rsid w:val="00D1254B"/>
    <w:rsid w:val="00D12E9C"/>
    <w:rsid w:val="00D138EB"/>
    <w:rsid w:val="00D1478F"/>
    <w:rsid w:val="00D15384"/>
    <w:rsid w:val="00D15B0B"/>
    <w:rsid w:val="00D15BC4"/>
    <w:rsid w:val="00D16681"/>
    <w:rsid w:val="00D16B02"/>
    <w:rsid w:val="00D16EA5"/>
    <w:rsid w:val="00D170F5"/>
    <w:rsid w:val="00D20134"/>
    <w:rsid w:val="00D2191D"/>
    <w:rsid w:val="00D21A4A"/>
    <w:rsid w:val="00D2241C"/>
    <w:rsid w:val="00D230CB"/>
    <w:rsid w:val="00D23F25"/>
    <w:rsid w:val="00D24356"/>
    <w:rsid w:val="00D244A1"/>
    <w:rsid w:val="00D2484A"/>
    <w:rsid w:val="00D262B1"/>
    <w:rsid w:val="00D26812"/>
    <w:rsid w:val="00D26D0F"/>
    <w:rsid w:val="00D27177"/>
    <w:rsid w:val="00D27D7A"/>
    <w:rsid w:val="00D27DE9"/>
    <w:rsid w:val="00D303DD"/>
    <w:rsid w:val="00D30482"/>
    <w:rsid w:val="00D3061B"/>
    <w:rsid w:val="00D30A01"/>
    <w:rsid w:val="00D31009"/>
    <w:rsid w:val="00D31443"/>
    <w:rsid w:val="00D31759"/>
    <w:rsid w:val="00D31B90"/>
    <w:rsid w:val="00D32023"/>
    <w:rsid w:val="00D3235E"/>
    <w:rsid w:val="00D323BE"/>
    <w:rsid w:val="00D32B3A"/>
    <w:rsid w:val="00D32C7D"/>
    <w:rsid w:val="00D330CC"/>
    <w:rsid w:val="00D33931"/>
    <w:rsid w:val="00D33B6C"/>
    <w:rsid w:val="00D33BC8"/>
    <w:rsid w:val="00D346F7"/>
    <w:rsid w:val="00D34C82"/>
    <w:rsid w:val="00D353D0"/>
    <w:rsid w:val="00D35534"/>
    <w:rsid w:val="00D36230"/>
    <w:rsid w:val="00D366F4"/>
    <w:rsid w:val="00D37177"/>
    <w:rsid w:val="00D372A9"/>
    <w:rsid w:val="00D3736B"/>
    <w:rsid w:val="00D37ABB"/>
    <w:rsid w:val="00D42376"/>
    <w:rsid w:val="00D42A99"/>
    <w:rsid w:val="00D42FB4"/>
    <w:rsid w:val="00D438C8"/>
    <w:rsid w:val="00D441F0"/>
    <w:rsid w:val="00D44DAB"/>
    <w:rsid w:val="00D4505A"/>
    <w:rsid w:val="00D451E6"/>
    <w:rsid w:val="00D46433"/>
    <w:rsid w:val="00D46D8C"/>
    <w:rsid w:val="00D4740F"/>
    <w:rsid w:val="00D47674"/>
    <w:rsid w:val="00D479F4"/>
    <w:rsid w:val="00D47DE2"/>
    <w:rsid w:val="00D47FF3"/>
    <w:rsid w:val="00D5009B"/>
    <w:rsid w:val="00D50CEC"/>
    <w:rsid w:val="00D50ED8"/>
    <w:rsid w:val="00D5124A"/>
    <w:rsid w:val="00D51796"/>
    <w:rsid w:val="00D521D8"/>
    <w:rsid w:val="00D53628"/>
    <w:rsid w:val="00D53665"/>
    <w:rsid w:val="00D54798"/>
    <w:rsid w:val="00D565BD"/>
    <w:rsid w:val="00D5726C"/>
    <w:rsid w:val="00D573D6"/>
    <w:rsid w:val="00D57781"/>
    <w:rsid w:val="00D6012D"/>
    <w:rsid w:val="00D6028A"/>
    <w:rsid w:val="00D60971"/>
    <w:rsid w:val="00D6133A"/>
    <w:rsid w:val="00D62377"/>
    <w:rsid w:val="00D63EBF"/>
    <w:rsid w:val="00D6492A"/>
    <w:rsid w:val="00D64A77"/>
    <w:rsid w:val="00D64E91"/>
    <w:rsid w:val="00D651ED"/>
    <w:rsid w:val="00D6550E"/>
    <w:rsid w:val="00D65FCE"/>
    <w:rsid w:val="00D667F1"/>
    <w:rsid w:val="00D67520"/>
    <w:rsid w:val="00D67FD7"/>
    <w:rsid w:val="00D7041D"/>
    <w:rsid w:val="00D706DA"/>
    <w:rsid w:val="00D709C5"/>
    <w:rsid w:val="00D71970"/>
    <w:rsid w:val="00D719CB"/>
    <w:rsid w:val="00D722AB"/>
    <w:rsid w:val="00D7260D"/>
    <w:rsid w:val="00D7308E"/>
    <w:rsid w:val="00D73DBB"/>
    <w:rsid w:val="00D74B00"/>
    <w:rsid w:val="00D75082"/>
    <w:rsid w:val="00D7544B"/>
    <w:rsid w:val="00D759D7"/>
    <w:rsid w:val="00D76231"/>
    <w:rsid w:val="00D76324"/>
    <w:rsid w:val="00D77233"/>
    <w:rsid w:val="00D77B07"/>
    <w:rsid w:val="00D77DEB"/>
    <w:rsid w:val="00D80A3E"/>
    <w:rsid w:val="00D82223"/>
    <w:rsid w:val="00D82AF2"/>
    <w:rsid w:val="00D832A8"/>
    <w:rsid w:val="00D83C95"/>
    <w:rsid w:val="00D83DD9"/>
    <w:rsid w:val="00D84066"/>
    <w:rsid w:val="00D8444F"/>
    <w:rsid w:val="00D84DAE"/>
    <w:rsid w:val="00D84F2E"/>
    <w:rsid w:val="00D85461"/>
    <w:rsid w:val="00D85C5F"/>
    <w:rsid w:val="00D85E59"/>
    <w:rsid w:val="00D8623E"/>
    <w:rsid w:val="00D86F2F"/>
    <w:rsid w:val="00D87D94"/>
    <w:rsid w:val="00D9086D"/>
    <w:rsid w:val="00D91362"/>
    <w:rsid w:val="00D920E2"/>
    <w:rsid w:val="00D92570"/>
    <w:rsid w:val="00D92A0A"/>
    <w:rsid w:val="00D92D91"/>
    <w:rsid w:val="00D92EBC"/>
    <w:rsid w:val="00D938E4"/>
    <w:rsid w:val="00D9390C"/>
    <w:rsid w:val="00D93DE5"/>
    <w:rsid w:val="00D942D2"/>
    <w:rsid w:val="00D94DDB"/>
    <w:rsid w:val="00D95551"/>
    <w:rsid w:val="00D95FF1"/>
    <w:rsid w:val="00D977C8"/>
    <w:rsid w:val="00D97E9E"/>
    <w:rsid w:val="00DA0FBC"/>
    <w:rsid w:val="00DA190F"/>
    <w:rsid w:val="00DA2585"/>
    <w:rsid w:val="00DA31AA"/>
    <w:rsid w:val="00DA400B"/>
    <w:rsid w:val="00DA48C7"/>
    <w:rsid w:val="00DA4A3F"/>
    <w:rsid w:val="00DA4B80"/>
    <w:rsid w:val="00DA4ECD"/>
    <w:rsid w:val="00DA5165"/>
    <w:rsid w:val="00DA562E"/>
    <w:rsid w:val="00DA7134"/>
    <w:rsid w:val="00DB05FD"/>
    <w:rsid w:val="00DB1214"/>
    <w:rsid w:val="00DB14FA"/>
    <w:rsid w:val="00DB1B53"/>
    <w:rsid w:val="00DB1F94"/>
    <w:rsid w:val="00DB2A50"/>
    <w:rsid w:val="00DB2FA7"/>
    <w:rsid w:val="00DB47BB"/>
    <w:rsid w:val="00DB4FA1"/>
    <w:rsid w:val="00DB53B5"/>
    <w:rsid w:val="00DB55FE"/>
    <w:rsid w:val="00DB5E21"/>
    <w:rsid w:val="00DB6127"/>
    <w:rsid w:val="00DB68DE"/>
    <w:rsid w:val="00DB734C"/>
    <w:rsid w:val="00DC00F7"/>
    <w:rsid w:val="00DC0AAB"/>
    <w:rsid w:val="00DC0D29"/>
    <w:rsid w:val="00DC107C"/>
    <w:rsid w:val="00DC25AE"/>
    <w:rsid w:val="00DC2994"/>
    <w:rsid w:val="00DC3D58"/>
    <w:rsid w:val="00DC48A1"/>
    <w:rsid w:val="00DC4B50"/>
    <w:rsid w:val="00DC52E6"/>
    <w:rsid w:val="00DC56A7"/>
    <w:rsid w:val="00DC5A6C"/>
    <w:rsid w:val="00DC6365"/>
    <w:rsid w:val="00DC7CC5"/>
    <w:rsid w:val="00DD1526"/>
    <w:rsid w:val="00DD26CA"/>
    <w:rsid w:val="00DD274D"/>
    <w:rsid w:val="00DD277B"/>
    <w:rsid w:val="00DD30E2"/>
    <w:rsid w:val="00DD3A9F"/>
    <w:rsid w:val="00DD3B96"/>
    <w:rsid w:val="00DD4DE9"/>
    <w:rsid w:val="00DD5A17"/>
    <w:rsid w:val="00DD5A31"/>
    <w:rsid w:val="00DD672E"/>
    <w:rsid w:val="00DD731F"/>
    <w:rsid w:val="00DD7333"/>
    <w:rsid w:val="00DE0DD6"/>
    <w:rsid w:val="00DE0EE4"/>
    <w:rsid w:val="00DE1BFC"/>
    <w:rsid w:val="00DE2A4B"/>
    <w:rsid w:val="00DE344C"/>
    <w:rsid w:val="00DE3A89"/>
    <w:rsid w:val="00DE3E37"/>
    <w:rsid w:val="00DE3EC4"/>
    <w:rsid w:val="00DE5467"/>
    <w:rsid w:val="00DE75BF"/>
    <w:rsid w:val="00DE77E4"/>
    <w:rsid w:val="00DF0BA8"/>
    <w:rsid w:val="00DF110A"/>
    <w:rsid w:val="00DF166F"/>
    <w:rsid w:val="00DF27F7"/>
    <w:rsid w:val="00DF2D26"/>
    <w:rsid w:val="00DF3540"/>
    <w:rsid w:val="00DF3656"/>
    <w:rsid w:val="00DF3758"/>
    <w:rsid w:val="00DF4143"/>
    <w:rsid w:val="00DF4271"/>
    <w:rsid w:val="00DF45CE"/>
    <w:rsid w:val="00DF48F2"/>
    <w:rsid w:val="00DF63A2"/>
    <w:rsid w:val="00DF6D85"/>
    <w:rsid w:val="00DF6ED3"/>
    <w:rsid w:val="00DF6FBB"/>
    <w:rsid w:val="00DF7449"/>
    <w:rsid w:val="00E0024E"/>
    <w:rsid w:val="00E0034A"/>
    <w:rsid w:val="00E00A43"/>
    <w:rsid w:val="00E00D13"/>
    <w:rsid w:val="00E01B3E"/>
    <w:rsid w:val="00E01C5D"/>
    <w:rsid w:val="00E01D14"/>
    <w:rsid w:val="00E0218E"/>
    <w:rsid w:val="00E02BDE"/>
    <w:rsid w:val="00E02C6F"/>
    <w:rsid w:val="00E02CC1"/>
    <w:rsid w:val="00E03B90"/>
    <w:rsid w:val="00E044FD"/>
    <w:rsid w:val="00E04896"/>
    <w:rsid w:val="00E04A8A"/>
    <w:rsid w:val="00E0547F"/>
    <w:rsid w:val="00E055D0"/>
    <w:rsid w:val="00E05B76"/>
    <w:rsid w:val="00E05F15"/>
    <w:rsid w:val="00E06AF4"/>
    <w:rsid w:val="00E071CC"/>
    <w:rsid w:val="00E07B08"/>
    <w:rsid w:val="00E07C4C"/>
    <w:rsid w:val="00E108D7"/>
    <w:rsid w:val="00E10BD6"/>
    <w:rsid w:val="00E11C65"/>
    <w:rsid w:val="00E12460"/>
    <w:rsid w:val="00E129E4"/>
    <w:rsid w:val="00E1327A"/>
    <w:rsid w:val="00E1330D"/>
    <w:rsid w:val="00E137BD"/>
    <w:rsid w:val="00E144E5"/>
    <w:rsid w:val="00E14726"/>
    <w:rsid w:val="00E1502F"/>
    <w:rsid w:val="00E16786"/>
    <w:rsid w:val="00E16DEE"/>
    <w:rsid w:val="00E1730A"/>
    <w:rsid w:val="00E1768A"/>
    <w:rsid w:val="00E1773B"/>
    <w:rsid w:val="00E212CA"/>
    <w:rsid w:val="00E21F1B"/>
    <w:rsid w:val="00E22618"/>
    <w:rsid w:val="00E23483"/>
    <w:rsid w:val="00E24917"/>
    <w:rsid w:val="00E24945"/>
    <w:rsid w:val="00E24BC5"/>
    <w:rsid w:val="00E25350"/>
    <w:rsid w:val="00E254A3"/>
    <w:rsid w:val="00E25750"/>
    <w:rsid w:val="00E25AE7"/>
    <w:rsid w:val="00E26531"/>
    <w:rsid w:val="00E26BC9"/>
    <w:rsid w:val="00E26D15"/>
    <w:rsid w:val="00E27300"/>
    <w:rsid w:val="00E278C3"/>
    <w:rsid w:val="00E30009"/>
    <w:rsid w:val="00E30081"/>
    <w:rsid w:val="00E310DF"/>
    <w:rsid w:val="00E31B7A"/>
    <w:rsid w:val="00E326EC"/>
    <w:rsid w:val="00E341E2"/>
    <w:rsid w:val="00E35251"/>
    <w:rsid w:val="00E35DC7"/>
    <w:rsid w:val="00E368BC"/>
    <w:rsid w:val="00E36F2B"/>
    <w:rsid w:val="00E378C1"/>
    <w:rsid w:val="00E403AF"/>
    <w:rsid w:val="00E409F4"/>
    <w:rsid w:val="00E4103F"/>
    <w:rsid w:val="00E420AC"/>
    <w:rsid w:val="00E424C9"/>
    <w:rsid w:val="00E4279B"/>
    <w:rsid w:val="00E436CC"/>
    <w:rsid w:val="00E440A6"/>
    <w:rsid w:val="00E446B9"/>
    <w:rsid w:val="00E4491A"/>
    <w:rsid w:val="00E457A3"/>
    <w:rsid w:val="00E45C84"/>
    <w:rsid w:val="00E45DAC"/>
    <w:rsid w:val="00E4621C"/>
    <w:rsid w:val="00E46C52"/>
    <w:rsid w:val="00E5083E"/>
    <w:rsid w:val="00E50A39"/>
    <w:rsid w:val="00E50C72"/>
    <w:rsid w:val="00E50ED3"/>
    <w:rsid w:val="00E51247"/>
    <w:rsid w:val="00E51A22"/>
    <w:rsid w:val="00E521C7"/>
    <w:rsid w:val="00E52A7D"/>
    <w:rsid w:val="00E535E1"/>
    <w:rsid w:val="00E53B76"/>
    <w:rsid w:val="00E53DD4"/>
    <w:rsid w:val="00E53E53"/>
    <w:rsid w:val="00E547A3"/>
    <w:rsid w:val="00E54B80"/>
    <w:rsid w:val="00E54C57"/>
    <w:rsid w:val="00E55432"/>
    <w:rsid w:val="00E5626A"/>
    <w:rsid w:val="00E568F2"/>
    <w:rsid w:val="00E56B54"/>
    <w:rsid w:val="00E573EF"/>
    <w:rsid w:val="00E6086B"/>
    <w:rsid w:val="00E60A17"/>
    <w:rsid w:val="00E60B64"/>
    <w:rsid w:val="00E60C89"/>
    <w:rsid w:val="00E6125F"/>
    <w:rsid w:val="00E61551"/>
    <w:rsid w:val="00E62B13"/>
    <w:rsid w:val="00E635AE"/>
    <w:rsid w:val="00E643A0"/>
    <w:rsid w:val="00E64E25"/>
    <w:rsid w:val="00E65897"/>
    <w:rsid w:val="00E66A8B"/>
    <w:rsid w:val="00E66F71"/>
    <w:rsid w:val="00E67774"/>
    <w:rsid w:val="00E67B3A"/>
    <w:rsid w:val="00E67D00"/>
    <w:rsid w:val="00E70003"/>
    <w:rsid w:val="00E70184"/>
    <w:rsid w:val="00E7018A"/>
    <w:rsid w:val="00E70952"/>
    <w:rsid w:val="00E72565"/>
    <w:rsid w:val="00E7260E"/>
    <w:rsid w:val="00E73A03"/>
    <w:rsid w:val="00E73BEE"/>
    <w:rsid w:val="00E74320"/>
    <w:rsid w:val="00E74907"/>
    <w:rsid w:val="00E77044"/>
    <w:rsid w:val="00E7717E"/>
    <w:rsid w:val="00E77DAF"/>
    <w:rsid w:val="00E8108E"/>
    <w:rsid w:val="00E81177"/>
    <w:rsid w:val="00E818C4"/>
    <w:rsid w:val="00E829DE"/>
    <w:rsid w:val="00E82F4D"/>
    <w:rsid w:val="00E8345B"/>
    <w:rsid w:val="00E8349E"/>
    <w:rsid w:val="00E837F3"/>
    <w:rsid w:val="00E83B23"/>
    <w:rsid w:val="00E83C53"/>
    <w:rsid w:val="00E8542A"/>
    <w:rsid w:val="00E856A1"/>
    <w:rsid w:val="00E859CD"/>
    <w:rsid w:val="00E85A9E"/>
    <w:rsid w:val="00E8688E"/>
    <w:rsid w:val="00E869E3"/>
    <w:rsid w:val="00E86B6E"/>
    <w:rsid w:val="00E870F9"/>
    <w:rsid w:val="00E8781E"/>
    <w:rsid w:val="00E87E37"/>
    <w:rsid w:val="00E901F7"/>
    <w:rsid w:val="00E90551"/>
    <w:rsid w:val="00E91549"/>
    <w:rsid w:val="00E91745"/>
    <w:rsid w:val="00E92F21"/>
    <w:rsid w:val="00E95288"/>
    <w:rsid w:val="00E95E66"/>
    <w:rsid w:val="00E9627D"/>
    <w:rsid w:val="00E9653C"/>
    <w:rsid w:val="00E9668F"/>
    <w:rsid w:val="00E968EF"/>
    <w:rsid w:val="00E9786F"/>
    <w:rsid w:val="00E97A74"/>
    <w:rsid w:val="00E97ABF"/>
    <w:rsid w:val="00EA05F6"/>
    <w:rsid w:val="00EA1C71"/>
    <w:rsid w:val="00EA226F"/>
    <w:rsid w:val="00EA236C"/>
    <w:rsid w:val="00EA2AB3"/>
    <w:rsid w:val="00EA33BE"/>
    <w:rsid w:val="00EA377E"/>
    <w:rsid w:val="00EA4B88"/>
    <w:rsid w:val="00EA65D4"/>
    <w:rsid w:val="00EA694E"/>
    <w:rsid w:val="00EA696C"/>
    <w:rsid w:val="00EA6E0E"/>
    <w:rsid w:val="00EA717A"/>
    <w:rsid w:val="00EA72FA"/>
    <w:rsid w:val="00EA755F"/>
    <w:rsid w:val="00EA78D5"/>
    <w:rsid w:val="00EB0006"/>
    <w:rsid w:val="00EB009C"/>
    <w:rsid w:val="00EB0318"/>
    <w:rsid w:val="00EB08FA"/>
    <w:rsid w:val="00EB0A3E"/>
    <w:rsid w:val="00EB0CD6"/>
    <w:rsid w:val="00EB1EFB"/>
    <w:rsid w:val="00EB29EA"/>
    <w:rsid w:val="00EB2AB8"/>
    <w:rsid w:val="00EB2B0F"/>
    <w:rsid w:val="00EB32FF"/>
    <w:rsid w:val="00EB393A"/>
    <w:rsid w:val="00EB3A0D"/>
    <w:rsid w:val="00EB3E71"/>
    <w:rsid w:val="00EB4420"/>
    <w:rsid w:val="00EB4AE8"/>
    <w:rsid w:val="00EB50FB"/>
    <w:rsid w:val="00EB55FB"/>
    <w:rsid w:val="00EB5672"/>
    <w:rsid w:val="00EB5FEE"/>
    <w:rsid w:val="00EB71E6"/>
    <w:rsid w:val="00EB7273"/>
    <w:rsid w:val="00EB74D5"/>
    <w:rsid w:val="00EC085A"/>
    <w:rsid w:val="00EC0AB7"/>
    <w:rsid w:val="00EC1614"/>
    <w:rsid w:val="00EC16AA"/>
    <w:rsid w:val="00EC1AD7"/>
    <w:rsid w:val="00EC1DD9"/>
    <w:rsid w:val="00EC1F6A"/>
    <w:rsid w:val="00EC20E6"/>
    <w:rsid w:val="00EC26DD"/>
    <w:rsid w:val="00EC3343"/>
    <w:rsid w:val="00EC3C9F"/>
    <w:rsid w:val="00EC3DE8"/>
    <w:rsid w:val="00EC47BF"/>
    <w:rsid w:val="00EC49CB"/>
    <w:rsid w:val="00EC49DA"/>
    <w:rsid w:val="00EC4FAD"/>
    <w:rsid w:val="00EC58B1"/>
    <w:rsid w:val="00EC5EEB"/>
    <w:rsid w:val="00EC6184"/>
    <w:rsid w:val="00EC641B"/>
    <w:rsid w:val="00EC6679"/>
    <w:rsid w:val="00EC6AE0"/>
    <w:rsid w:val="00EC786B"/>
    <w:rsid w:val="00ED145B"/>
    <w:rsid w:val="00ED22A1"/>
    <w:rsid w:val="00ED3BFF"/>
    <w:rsid w:val="00ED4A7C"/>
    <w:rsid w:val="00ED4CEE"/>
    <w:rsid w:val="00ED66E5"/>
    <w:rsid w:val="00ED6F3A"/>
    <w:rsid w:val="00ED7E02"/>
    <w:rsid w:val="00EE0346"/>
    <w:rsid w:val="00EE0635"/>
    <w:rsid w:val="00EE0894"/>
    <w:rsid w:val="00EE2448"/>
    <w:rsid w:val="00EE2DCA"/>
    <w:rsid w:val="00EE36FE"/>
    <w:rsid w:val="00EE3744"/>
    <w:rsid w:val="00EE47E3"/>
    <w:rsid w:val="00EE4A85"/>
    <w:rsid w:val="00EE4A9E"/>
    <w:rsid w:val="00EE5507"/>
    <w:rsid w:val="00EE59B0"/>
    <w:rsid w:val="00EE5C90"/>
    <w:rsid w:val="00EE5F58"/>
    <w:rsid w:val="00EE5FDA"/>
    <w:rsid w:val="00EE6316"/>
    <w:rsid w:val="00EE63DC"/>
    <w:rsid w:val="00EE66A3"/>
    <w:rsid w:val="00EE6AB6"/>
    <w:rsid w:val="00EE6BB2"/>
    <w:rsid w:val="00EE71AE"/>
    <w:rsid w:val="00EE75A3"/>
    <w:rsid w:val="00EE78B5"/>
    <w:rsid w:val="00EE7EA0"/>
    <w:rsid w:val="00EF0078"/>
    <w:rsid w:val="00EF0D03"/>
    <w:rsid w:val="00EF1121"/>
    <w:rsid w:val="00EF1614"/>
    <w:rsid w:val="00EF2461"/>
    <w:rsid w:val="00EF2F17"/>
    <w:rsid w:val="00EF329E"/>
    <w:rsid w:val="00EF3A85"/>
    <w:rsid w:val="00EF3B0B"/>
    <w:rsid w:val="00EF43D1"/>
    <w:rsid w:val="00EF457F"/>
    <w:rsid w:val="00EF77AE"/>
    <w:rsid w:val="00EF7BCB"/>
    <w:rsid w:val="00F00550"/>
    <w:rsid w:val="00F02912"/>
    <w:rsid w:val="00F03667"/>
    <w:rsid w:val="00F03B43"/>
    <w:rsid w:val="00F042F5"/>
    <w:rsid w:val="00F050BA"/>
    <w:rsid w:val="00F06760"/>
    <w:rsid w:val="00F06A7C"/>
    <w:rsid w:val="00F06FE6"/>
    <w:rsid w:val="00F07CFC"/>
    <w:rsid w:val="00F07F87"/>
    <w:rsid w:val="00F10027"/>
    <w:rsid w:val="00F10247"/>
    <w:rsid w:val="00F1049B"/>
    <w:rsid w:val="00F10867"/>
    <w:rsid w:val="00F10D2D"/>
    <w:rsid w:val="00F11964"/>
    <w:rsid w:val="00F12108"/>
    <w:rsid w:val="00F1250B"/>
    <w:rsid w:val="00F125CB"/>
    <w:rsid w:val="00F128BE"/>
    <w:rsid w:val="00F13CD2"/>
    <w:rsid w:val="00F13D89"/>
    <w:rsid w:val="00F13F24"/>
    <w:rsid w:val="00F144DC"/>
    <w:rsid w:val="00F14C15"/>
    <w:rsid w:val="00F15274"/>
    <w:rsid w:val="00F168D3"/>
    <w:rsid w:val="00F16A42"/>
    <w:rsid w:val="00F16E88"/>
    <w:rsid w:val="00F1794F"/>
    <w:rsid w:val="00F17B53"/>
    <w:rsid w:val="00F17C3A"/>
    <w:rsid w:val="00F20780"/>
    <w:rsid w:val="00F20FA7"/>
    <w:rsid w:val="00F21623"/>
    <w:rsid w:val="00F21FEB"/>
    <w:rsid w:val="00F220BC"/>
    <w:rsid w:val="00F22A66"/>
    <w:rsid w:val="00F22AC3"/>
    <w:rsid w:val="00F22F19"/>
    <w:rsid w:val="00F231AF"/>
    <w:rsid w:val="00F232BC"/>
    <w:rsid w:val="00F237A4"/>
    <w:rsid w:val="00F23FE0"/>
    <w:rsid w:val="00F24430"/>
    <w:rsid w:val="00F24983"/>
    <w:rsid w:val="00F26143"/>
    <w:rsid w:val="00F261F2"/>
    <w:rsid w:val="00F2635A"/>
    <w:rsid w:val="00F27166"/>
    <w:rsid w:val="00F27D50"/>
    <w:rsid w:val="00F27F75"/>
    <w:rsid w:val="00F30255"/>
    <w:rsid w:val="00F31885"/>
    <w:rsid w:val="00F31D54"/>
    <w:rsid w:val="00F323F5"/>
    <w:rsid w:val="00F32590"/>
    <w:rsid w:val="00F328F8"/>
    <w:rsid w:val="00F32DC5"/>
    <w:rsid w:val="00F32E8A"/>
    <w:rsid w:val="00F333A5"/>
    <w:rsid w:val="00F33403"/>
    <w:rsid w:val="00F336D1"/>
    <w:rsid w:val="00F3384E"/>
    <w:rsid w:val="00F35117"/>
    <w:rsid w:val="00F364AE"/>
    <w:rsid w:val="00F36D8D"/>
    <w:rsid w:val="00F373A9"/>
    <w:rsid w:val="00F41C70"/>
    <w:rsid w:val="00F41F8E"/>
    <w:rsid w:val="00F427AD"/>
    <w:rsid w:val="00F430C1"/>
    <w:rsid w:val="00F432B3"/>
    <w:rsid w:val="00F43437"/>
    <w:rsid w:val="00F436FD"/>
    <w:rsid w:val="00F44725"/>
    <w:rsid w:val="00F44891"/>
    <w:rsid w:val="00F4509B"/>
    <w:rsid w:val="00F45510"/>
    <w:rsid w:val="00F45F11"/>
    <w:rsid w:val="00F463AF"/>
    <w:rsid w:val="00F46966"/>
    <w:rsid w:val="00F47D20"/>
    <w:rsid w:val="00F509A2"/>
    <w:rsid w:val="00F511EC"/>
    <w:rsid w:val="00F524D4"/>
    <w:rsid w:val="00F5279C"/>
    <w:rsid w:val="00F529B1"/>
    <w:rsid w:val="00F52C15"/>
    <w:rsid w:val="00F5351B"/>
    <w:rsid w:val="00F5427A"/>
    <w:rsid w:val="00F5478A"/>
    <w:rsid w:val="00F54942"/>
    <w:rsid w:val="00F55CE8"/>
    <w:rsid w:val="00F55EC6"/>
    <w:rsid w:val="00F5640B"/>
    <w:rsid w:val="00F606C8"/>
    <w:rsid w:val="00F607B8"/>
    <w:rsid w:val="00F60A64"/>
    <w:rsid w:val="00F61A18"/>
    <w:rsid w:val="00F61EA1"/>
    <w:rsid w:val="00F62C95"/>
    <w:rsid w:val="00F62E5F"/>
    <w:rsid w:val="00F638BA"/>
    <w:rsid w:val="00F6434B"/>
    <w:rsid w:val="00F6494F"/>
    <w:rsid w:val="00F65631"/>
    <w:rsid w:val="00F663ED"/>
    <w:rsid w:val="00F66FEB"/>
    <w:rsid w:val="00F6715F"/>
    <w:rsid w:val="00F671B1"/>
    <w:rsid w:val="00F67477"/>
    <w:rsid w:val="00F706CD"/>
    <w:rsid w:val="00F709B5"/>
    <w:rsid w:val="00F70F2F"/>
    <w:rsid w:val="00F71E16"/>
    <w:rsid w:val="00F72222"/>
    <w:rsid w:val="00F72F12"/>
    <w:rsid w:val="00F7368E"/>
    <w:rsid w:val="00F736A6"/>
    <w:rsid w:val="00F738C9"/>
    <w:rsid w:val="00F744C8"/>
    <w:rsid w:val="00F74A53"/>
    <w:rsid w:val="00F74CE2"/>
    <w:rsid w:val="00F74CF0"/>
    <w:rsid w:val="00F757ED"/>
    <w:rsid w:val="00F76347"/>
    <w:rsid w:val="00F77C15"/>
    <w:rsid w:val="00F81F62"/>
    <w:rsid w:val="00F832F1"/>
    <w:rsid w:val="00F839D5"/>
    <w:rsid w:val="00F83A79"/>
    <w:rsid w:val="00F845AC"/>
    <w:rsid w:val="00F84C19"/>
    <w:rsid w:val="00F84D31"/>
    <w:rsid w:val="00F86385"/>
    <w:rsid w:val="00F8707C"/>
    <w:rsid w:val="00F874EC"/>
    <w:rsid w:val="00F904A3"/>
    <w:rsid w:val="00F92679"/>
    <w:rsid w:val="00F92D68"/>
    <w:rsid w:val="00F935C4"/>
    <w:rsid w:val="00F93697"/>
    <w:rsid w:val="00F94416"/>
    <w:rsid w:val="00F9448C"/>
    <w:rsid w:val="00F946B3"/>
    <w:rsid w:val="00F95ABF"/>
    <w:rsid w:val="00F96266"/>
    <w:rsid w:val="00F96AC4"/>
    <w:rsid w:val="00F97E85"/>
    <w:rsid w:val="00FA0D00"/>
    <w:rsid w:val="00FA0F47"/>
    <w:rsid w:val="00FA1019"/>
    <w:rsid w:val="00FA262A"/>
    <w:rsid w:val="00FA26B0"/>
    <w:rsid w:val="00FA46AD"/>
    <w:rsid w:val="00FA5299"/>
    <w:rsid w:val="00FA567B"/>
    <w:rsid w:val="00FA61A5"/>
    <w:rsid w:val="00FA6535"/>
    <w:rsid w:val="00FA7298"/>
    <w:rsid w:val="00FA7CE6"/>
    <w:rsid w:val="00FB0F40"/>
    <w:rsid w:val="00FB144C"/>
    <w:rsid w:val="00FB1DE5"/>
    <w:rsid w:val="00FB30C7"/>
    <w:rsid w:val="00FB3C5A"/>
    <w:rsid w:val="00FB3D4F"/>
    <w:rsid w:val="00FB452A"/>
    <w:rsid w:val="00FB5CAB"/>
    <w:rsid w:val="00FB5F63"/>
    <w:rsid w:val="00FB671F"/>
    <w:rsid w:val="00FB72A9"/>
    <w:rsid w:val="00FB7308"/>
    <w:rsid w:val="00FB7BC7"/>
    <w:rsid w:val="00FB7DB4"/>
    <w:rsid w:val="00FB7DDC"/>
    <w:rsid w:val="00FC0A57"/>
    <w:rsid w:val="00FC18EC"/>
    <w:rsid w:val="00FC1B49"/>
    <w:rsid w:val="00FC2749"/>
    <w:rsid w:val="00FC34AD"/>
    <w:rsid w:val="00FC3BAF"/>
    <w:rsid w:val="00FC3F3E"/>
    <w:rsid w:val="00FC4EB8"/>
    <w:rsid w:val="00FC6004"/>
    <w:rsid w:val="00FC6A7C"/>
    <w:rsid w:val="00FC6E50"/>
    <w:rsid w:val="00FC705D"/>
    <w:rsid w:val="00FC731E"/>
    <w:rsid w:val="00FC7659"/>
    <w:rsid w:val="00FC7D05"/>
    <w:rsid w:val="00FC7D0C"/>
    <w:rsid w:val="00FD0D4C"/>
    <w:rsid w:val="00FD25D4"/>
    <w:rsid w:val="00FD2BB2"/>
    <w:rsid w:val="00FD43F6"/>
    <w:rsid w:val="00FD4697"/>
    <w:rsid w:val="00FD4D93"/>
    <w:rsid w:val="00FD4F74"/>
    <w:rsid w:val="00FD501D"/>
    <w:rsid w:val="00FD56E1"/>
    <w:rsid w:val="00FD575F"/>
    <w:rsid w:val="00FD599A"/>
    <w:rsid w:val="00FD5FCF"/>
    <w:rsid w:val="00FD704E"/>
    <w:rsid w:val="00FE10A1"/>
    <w:rsid w:val="00FE1142"/>
    <w:rsid w:val="00FE1BD2"/>
    <w:rsid w:val="00FE2152"/>
    <w:rsid w:val="00FE356B"/>
    <w:rsid w:val="00FE3CFA"/>
    <w:rsid w:val="00FE3EEA"/>
    <w:rsid w:val="00FE477F"/>
    <w:rsid w:val="00FE506B"/>
    <w:rsid w:val="00FE50A0"/>
    <w:rsid w:val="00FE5434"/>
    <w:rsid w:val="00FE65F1"/>
    <w:rsid w:val="00FE6EE6"/>
    <w:rsid w:val="00FE7150"/>
    <w:rsid w:val="00FF0924"/>
    <w:rsid w:val="00FF0B8D"/>
    <w:rsid w:val="00FF1CDF"/>
    <w:rsid w:val="00FF1F1C"/>
    <w:rsid w:val="00FF211D"/>
    <w:rsid w:val="00FF387E"/>
    <w:rsid w:val="00FF3B99"/>
    <w:rsid w:val="00FF50D8"/>
    <w:rsid w:val="00FF5655"/>
    <w:rsid w:val="00FF5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643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2677"/>
    <w:pPr>
      <w:tabs>
        <w:tab w:val="center" w:pos="4320"/>
        <w:tab w:val="right" w:pos="8640"/>
      </w:tabs>
    </w:pPr>
  </w:style>
  <w:style w:type="character" w:customStyle="1" w:styleId="FooterChar">
    <w:name w:val="Footer Char"/>
    <w:basedOn w:val="DefaultParagraphFont"/>
    <w:link w:val="Footer"/>
    <w:uiPriority w:val="99"/>
    <w:rsid w:val="005C2677"/>
  </w:style>
  <w:style w:type="character" w:styleId="PageNumber">
    <w:name w:val="page number"/>
    <w:basedOn w:val="DefaultParagraphFont"/>
    <w:uiPriority w:val="99"/>
    <w:semiHidden/>
    <w:unhideWhenUsed/>
    <w:rsid w:val="005C2677"/>
  </w:style>
  <w:style w:type="paragraph" w:styleId="FootnoteText">
    <w:name w:val="footnote text"/>
    <w:basedOn w:val="Normal"/>
    <w:link w:val="FootnoteTextChar"/>
    <w:uiPriority w:val="99"/>
    <w:unhideWhenUsed/>
    <w:rsid w:val="00C236D8"/>
  </w:style>
  <w:style w:type="character" w:customStyle="1" w:styleId="FootnoteTextChar">
    <w:name w:val="Footnote Text Char"/>
    <w:basedOn w:val="DefaultParagraphFont"/>
    <w:link w:val="FootnoteText"/>
    <w:uiPriority w:val="99"/>
    <w:rsid w:val="00C236D8"/>
  </w:style>
  <w:style w:type="character" w:styleId="FootnoteReference">
    <w:name w:val="footnote reference"/>
    <w:basedOn w:val="DefaultParagraphFont"/>
    <w:uiPriority w:val="99"/>
    <w:unhideWhenUsed/>
    <w:rsid w:val="00C236D8"/>
    <w:rPr>
      <w:vertAlign w:val="superscript"/>
    </w:rPr>
  </w:style>
  <w:style w:type="paragraph" w:styleId="BalloonText">
    <w:name w:val="Balloon Text"/>
    <w:basedOn w:val="Normal"/>
    <w:link w:val="BalloonTextChar"/>
    <w:uiPriority w:val="99"/>
    <w:semiHidden/>
    <w:unhideWhenUsed/>
    <w:rsid w:val="009924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4A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041D"/>
    <w:rPr>
      <w:sz w:val="18"/>
      <w:szCs w:val="18"/>
    </w:rPr>
  </w:style>
  <w:style w:type="paragraph" w:styleId="CommentText">
    <w:name w:val="annotation text"/>
    <w:basedOn w:val="Normal"/>
    <w:link w:val="CommentTextChar"/>
    <w:uiPriority w:val="99"/>
    <w:semiHidden/>
    <w:unhideWhenUsed/>
    <w:rsid w:val="00D7041D"/>
  </w:style>
  <w:style w:type="character" w:customStyle="1" w:styleId="CommentTextChar">
    <w:name w:val="Comment Text Char"/>
    <w:basedOn w:val="DefaultParagraphFont"/>
    <w:link w:val="CommentText"/>
    <w:uiPriority w:val="99"/>
    <w:semiHidden/>
    <w:rsid w:val="00D7041D"/>
  </w:style>
  <w:style w:type="paragraph" w:styleId="CommentSubject">
    <w:name w:val="annotation subject"/>
    <w:basedOn w:val="CommentText"/>
    <w:next w:val="CommentText"/>
    <w:link w:val="CommentSubjectChar"/>
    <w:uiPriority w:val="99"/>
    <w:semiHidden/>
    <w:unhideWhenUsed/>
    <w:rsid w:val="00D7041D"/>
    <w:rPr>
      <w:b/>
      <w:bCs/>
      <w:sz w:val="20"/>
      <w:szCs w:val="20"/>
    </w:rPr>
  </w:style>
  <w:style w:type="character" w:customStyle="1" w:styleId="CommentSubjectChar">
    <w:name w:val="Comment Subject Char"/>
    <w:basedOn w:val="CommentTextChar"/>
    <w:link w:val="CommentSubject"/>
    <w:uiPriority w:val="99"/>
    <w:semiHidden/>
    <w:rsid w:val="00D7041D"/>
    <w:rPr>
      <w:b/>
      <w:bCs/>
      <w:sz w:val="20"/>
      <w:szCs w:val="20"/>
    </w:rPr>
  </w:style>
  <w:style w:type="character" w:styleId="Hyperlink">
    <w:name w:val="Hyperlink"/>
    <w:basedOn w:val="DefaultParagraphFont"/>
    <w:uiPriority w:val="99"/>
    <w:unhideWhenUsed/>
    <w:rsid w:val="00D602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286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9224</Words>
  <Characters>52578</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 S.J.</dc:creator>
  <cp:lastModifiedBy>Whalley T.</cp:lastModifiedBy>
  <cp:revision>2</cp:revision>
  <cp:lastPrinted>2017-04-17T18:18:00Z</cp:lastPrinted>
  <dcterms:created xsi:type="dcterms:W3CDTF">2017-07-03T09:14:00Z</dcterms:created>
  <dcterms:modified xsi:type="dcterms:W3CDTF">2017-07-03T09:14:00Z</dcterms:modified>
</cp:coreProperties>
</file>