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1BC" w:rsidRDefault="006C31BC" w:rsidP="007A3066">
      <w:pPr>
        <w:autoSpaceDE w:val="0"/>
        <w:autoSpaceDN w:val="0"/>
        <w:adjustRightInd w:val="0"/>
        <w:spacing w:after="0" w:line="240" w:lineRule="auto"/>
        <w:jc w:val="right"/>
        <w:rPr>
          <w:rFonts w:cs="AdvTT59df095f.I"/>
          <w:i/>
          <w:color w:val="131313"/>
          <w:sz w:val="20"/>
          <w:szCs w:val="20"/>
        </w:rPr>
      </w:pPr>
      <w:bookmarkStart w:id="0" w:name="_GoBack"/>
      <w:bookmarkEnd w:id="0"/>
      <w:r w:rsidRPr="006C31BC">
        <w:rPr>
          <w:rFonts w:cs="AdvTT59df095f.I"/>
          <w:i/>
          <w:color w:val="131313"/>
          <w:sz w:val="20"/>
          <w:szCs w:val="20"/>
        </w:rPr>
        <w:t xml:space="preserve">Ukraine </w:t>
      </w:r>
      <w:r w:rsidR="00DE05E9">
        <w:rPr>
          <w:rFonts w:cs="AdvTT59df095f.I"/>
          <w:i/>
          <w:color w:val="131313"/>
          <w:sz w:val="20"/>
          <w:szCs w:val="20"/>
        </w:rPr>
        <w:t>FRAX</w:t>
      </w:r>
      <w:r w:rsidR="00505D2F">
        <w:rPr>
          <w:rFonts w:cs="AdvTT59df095f.I"/>
          <w:i/>
          <w:color w:val="131313"/>
          <w:sz w:val="20"/>
          <w:szCs w:val="20"/>
        </w:rPr>
        <w:t xml:space="preserve"> v</w:t>
      </w:r>
      <w:r w:rsidR="00AE2D9E">
        <w:rPr>
          <w:rFonts w:cs="AdvTT59df095f.I"/>
          <w:i/>
          <w:color w:val="131313"/>
          <w:sz w:val="20"/>
          <w:szCs w:val="20"/>
        </w:rPr>
        <w:t>4</w:t>
      </w:r>
    </w:p>
    <w:p w:rsidR="006C31BC" w:rsidRDefault="006C31BC" w:rsidP="006C31BC">
      <w:pPr>
        <w:autoSpaceDE w:val="0"/>
        <w:autoSpaceDN w:val="0"/>
        <w:adjustRightInd w:val="0"/>
        <w:spacing w:after="0" w:line="240" w:lineRule="auto"/>
        <w:rPr>
          <w:rFonts w:cs="AdvTT59df095f.I"/>
          <w:i/>
          <w:color w:val="131313"/>
          <w:sz w:val="20"/>
          <w:szCs w:val="20"/>
        </w:rPr>
      </w:pPr>
    </w:p>
    <w:p w:rsidR="006C31BC" w:rsidRPr="00DE05E9" w:rsidRDefault="00DE05E9" w:rsidP="006C31BC">
      <w:pPr>
        <w:autoSpaceDE w:val="0"/>
        <w:autoSpaceDN w:val="0"/>
        <w:adjustRightInd w:val="0"/>
        <w:spacing w:after="0" w:line="240" w:lineRule="auto"/>
        <w:rPr>
          <w:rFonts w:cs="AdvTT59df095f.I"/>
          <w:b/>
          <w:color w:val="131313"/>
          <w:sz w:val="28"/>
          <w:szCs w:val="28"/>
        </w:rPr>
      </w:pPr>
      <w:r w:rsidRPr="00DE05E9">
        <w:rPr>
          <w:rFonts w:cs="AdvTT59df095f.I"/>
          <w:b/>
          <w:color w:val="131313"/>
          <w:sz w:val="28"/>
          <w:szCs w:val="28"/>
        </w:rPr>
        <w:t xml:space="preserve">Epidemiology of hip fracture and the development of FRAX in Ukraine </w:t>
      </w:r>
    </w:p>
    <w:p w:rsidR="006C31BC" w:rsidRDefault="006C31BC" w:rsidP="006C31BC">
      <w:pPr>
        <w:autoSpaceDE w:val="0"/>
        <w:autoSpaceDN w:val="0"/>
        <w:adjustRightInd w:val="0"/>
        <w:spacing w:after="0" w:line="240" w:lineRule="auto"/>
        <w:rPr>
          <w:rFonts w:ascii="AdvTT59df095f.I" w:hAnsi="AdvTT59df095f.I" w:cs="AdvTT59df095f.I"/>
          <w:color w:val="131313"/>
          <w:sz w:val="20"/>
          <w:szCs w:val="20"/>
        </w:rPr>
      </w:pPr>
    </w:p>
    <w:p w:rsidR="00DE05E9" w:rsidRDefault="00DE05E9" w:rsidP="00DE05E9">
      <w:pPr>
        <w:autoSpaceDE w:val="0"/>
        <w:autoSpaceDN w:val="0"/>
        <w:adjustRightInd w:val="0"/>
        <w:spacing w:after="0" w:line="360" w:lineRule="auto"/>
        <w:rPr>
          <w:rFonts w:cs="AdvTT59df095f.I"/>
          <w:color w:val="131313"/>
          <w:lang w:val="en-US"/>
        </w:rPr>
      </w:pPr>
    </w:p>
    <w:p w:rsidR="006C31BC" w:rsidRPr="00DE05E9" w:rsidRDefault="006C31BC" w:rsidP="00DE05E9">
      <w:pPr>
        <w:autoSpaceDE w:val="0"/>
        <w:autoSpaceDN w:val="0"/>
        <w:adjustRightInd w:val="0"/>
        <w:spacing w:after="0" w:line="360" w:lineRule="auto"/>
        <w:rPr>
          <w:rFonts w:cs="AdvTT59df095f.I"/>
          <w:color w:val="131313"/>
          <w:lang w:val="en-US"/>
        </w:rPr>
      </w:pPr>
      <w:r w:rsidRPr="00DE05E9">
        <w:rPr>
          <w:rFonts w:cs="AdvTT59df095f.I"/>
          <w:color w:val="131313"/>
          <w:lang w:val="en-US"/>
        </w:rPr>
        <w:t>Povoroznyuk VV</w:t>
      </w:r>
      <w:r w:rsidRPr="00DE05E9">
        <w:rPr>
          <w:rFonts w:cs="AdvTT59df095f.I"/>
          <w:color w:val="131313"/>
          <w:vertAlign w:val="superscript"/>
          <w:lang w:val="en-US"/>
        </w:rPr>
        <w:t>1</w:t>
      </w:r>
      <w:r w:rsidRPr="00DE05E9">
        <w:rPr>
          <w:rFonts w:cs="AdvTT59df095f.I"/>
          <w:color w:val="131313"/>
          <w:lang w:val="en-US"/>
        </w:rPr>
        <w:t>, Grygorieva NV</w:t>
      </w:r>
      <w:r w:rsidRPr="00DE05E9">
        <w:rPr>
          <w:rFonts w:cs="AdvTT59df095f.I"/>
          <w:color w:val="131313"/>
          <w:vertAlign w:val="superscript"/>
          <w:lang w:val="en-US"/>
        </w:rPr>
        <w:t>1</w:t>
      </w:r>
      <w:r w:rsidRPr="00DE05E9">
        <w:rPr>
          <w:rFonts w:cs="AdvTT59df095f.I"/>
          <w:color w:val="131313"/>
          <w:lang w:val="en-US"/>
        </w:rPr>
        <w:t>, Kanis JA</w:t>
      </w:r>
      <w:r w:rsidRPr="00DE05E9">
        <w:rPr>
          <w:rFonts w:cs="AdvTT59df095f.I"/>
          <w:color w:val="131313"/>
          <w:vertAlign w:val="superscript"/>
          <w:lang w:val="en-US"/>
        </w:rPr>
        <w:t>2</w:t>
      </w:r>
      <w:r w:rsidR="008C7810" w:rsidRPr="00DE05E9">
        <w:rPr>
          <w:rFonts w:cs="AdvTT59df095f.I"/>
          <w:color w:val="131313"/>
          <w:vertAlign w:val="superscript"/>
          <w:lang w:val="en-US"/>
        </w:rPr>
        <w:t>,3</w:t>
      </w:r>
      <w:r w:rsidRPr="00DE05E9">
        <w:rPr>
          <w:rFonts w:cs="AdvTT59df095f.I"/>
          <w:color w:val="131313"/>
          <w:lang w:val="en-US"/>
        </w:rPr>
        <w:t>, McCloskey EV</w:t>
      </w:r>
      <w:r w:rsidR="008C7810" w:rsidRPr="00DE05E9">
        <w:rPr>
          <w:rFonts w:cs="AdvTT59df095f.I"/>
          <w:color w:val="131313"/>
          <w:vertAlign w:val="superscript"/>
          <w:lang w:val="en-US"/>
        </w:rPr>
        <w:t>4</w:t>
      </w:r>
      <w:r w:rsidRPr="00DE05E9">
        <w:rPr>
          <w:rFonts w:cs="AdvTT59df095f.I"/>
          <w:color w:val="131313"/>
          <w:lang w:val="en-US"/>
        </w:rPr>
        <w:t>, Johansson H</w:t>
      </w:r>
      <w:r w:rsidR="008C7810" w:rsidRPr="00DE05E9">
        <w:rPr>
          <w:rFonts w:cs="AdvTT59df095f.I"/>
          <w:color w:val="131313"/>
          <w:vertAlign w:val="superscript"/>
          <w:lang w:val="en-US"/>
        </w:rPr>
        <w:t>3</w:t>
      </w:r>
      <w:r w:rsidRPr="00DE05E9">
        <w:rPr>
          <w:rFonts w:cs="AdvTT59df095f.I"/>
          <w:color w:val="131313"/>
          <w:lang w:val="en-US"/>
        </w:rPr>
        <w:t xml:space="preserve">, </w:t>
      </w:r>
      <w:r w:rsidR="008C7810" w:rsidRPr="00DE05E9">
        <w:rPr>
          <w:rFonts w:cs="AdvTT59df095f.I"/>
          <w:color w:val="131313"/>
          <w:lang w:val="en-US"/>
        </w:rPr>
        <w:t>Harvey NC</w:t>
      </w:r>
      <w:r w:rsidR="00DE7CC6">
        <w:rPr>
          <w:rFonts w:cs="AdvTT59df095f.I"/>
          <w:color w:val="131313"/>
          <w:vertAlign w:val="superscript"/>
          <w:lang w:val="en-US"/>
        </w:rPr>
        <w:t>5,6</w:t>
      </w:r>
      <w:r w:rsidR="008C7810" w:rsidRPr="00DE05E9">
        <w:rPr>
          <w:rFonts w:cs="AdvTT59df095f.I"/>
          <w:color w:val="131313"/>
          <w:lang w:val="en-US"/>
        </w:rPr>
        <w:t xml:space="preserve">, </w:t>
      </w:r>
      <w:r w:rsidRPr="00DE05E9">
        <w:rPr>
          <w:rFonts w:cs="AdvTT59df095f.I"/>
          <w:color w:val="131313"/>
          <w:lang w:val="en-US"/>
        </w:rPr>
        <w:t>Korzh</w:t>
      </w:r>
      <w:r w:rsidRPr="00DE05E9">
        <w:rPr>
          <w:rFonts w:cs="AdvTT59df095f.I"/>
          <w:color w:val="131313"/>
          <w:lang w:val="uk-UA"/>
        </w:rPr>
        <w:t xml:space="preserve"> </w:t>
      </w:r>
      <w:r w:rsidRPr="00DE05E9">
        <w:rPr>
          <w:rFonts w:cs="AdvTT59df095f.I"/>
          <w:color w:val="131313"/>
          <w:lang w:val="en-US"/>
        </w:rPr>
        <w:t>MO</w:t>
      </w:r>
      <w:r w:rsidRPr="00DE05E9">
        <w:rPr>
          <w:rFonts w:cs="AdvTT59df095f.I"/>
          <w:color w:val="131313"/>
          <w:vertAlign w:val="superscript"/>
          <w:lang w:val="en-US"/>
        </w:rPr>
        <w:t>1</w:t>
      </w:r>
      <w:r w:rsidRPr="00DE05E9">
        <w:rPr>
          <w:rFonts w:cs="AdvTT59df095f.I"/>
          <w:color w:val="131313"/>
          <w:lang w:val="uk-UA"/>
        </w:rPr>
        <w:t xml:space="preserve">, </w:t>
      </w:r>
      <w:r w:rsidRPr="00DE05E9">
        <w:rPr>
          <w:rFonts w:cs="AdvTT59df095f.I"/>
          <w:color w:val="131313"/>
          <w:lang w:val="en-US"/>
        </w:rPr>
        <w:t>Strafun</w:t>
      </w:r>
      <w:r w:rsidRPr="00DE05E9">
        <w:rPr>
          <w:rFonts w:cs="AdvTT59df095f.I"/>
          <w:color w:val="131313"/>
          <w:lang w:val="uk-UA"/>
        </w:rPr>
        <w:t xml:space="preserve"> </w:t>
      </w:r>
      <w:r w:rsidRPr="00DE05E9">
        <w:rPr>
          <w:rFonts w:cs="AdvTT59df095f.I"/>
          <w:color w:val="131313"/>
          <w:lang w:val="en-US"/>
        </w:rPr>
        <w:t>SS</w:t>
      </w:r>
      <w:r w:rsidRPr="00DE05E9">
        <w:rPr>
          <w:rFonts w:cs="AdvTT59df095f.I"/>
          <w:color w:val="131313"/>
          <w:vertAlign w:val="superscript"/>
          <w:lang w:val="en-US"/>
        </w:rPr>
        <w:t>1</w:t>
      </w:r>
      <w:r w:rsidRPr="00DE05E9">
        <w:rPr>
          <w:rFonts w:cs="AdvTT59df095f.I"/>
          <w:color w:val="131313"/>
          <w:lang w:val="uk-UA"/>
        </w:rPr>
        <w:t xml:space="preserve">, </w:t>
      </w:r>
      <w:r w:rsidRPr="00DE05E9">
        <w:rPr>
          <w:rFonts w:cs="AdvTT59df095f.I"/>
          <w:color w:val="131313"/>
          <w:lang w:val="en-US"/>
        </w:rPr>
        <w:t>Vaida</w:t>
      </w:r>
      <w:r w:rsidRPr="00DE05E9">
        <w:rPr>
          <w:rFonts w:cs="AdvTT59df095f.I"/>
          <w:color w:val="131313"/>
          <w:lang w:val="uk-UA"/>
        </w:rPr>
        <w:t xml:space="preserve"> </w:t>
      </w:r>
      <w:r w:rsidRPr="00DE05E9">
        <w:rPr>
          <w:rFonts w:cs="AdvTT59df095f.I"/>
          <w:color w:val="131313"/>
          <w:lang w:val="en-US"/>
        </w:rPr>
        <w:t>VM</w:t>
      </w:r>
      <w:r w:rsidRPr="00DE05E9">
        <w:rPr>
          <w:rFonts w:cs="AdvTT59df095f.I"/>
          <w:color w:val="131313"/>
          <w:vertAlign w:val="superscript"/>
          <w:lang w:val="en-US"/>
        </w:rPr>
        <w:t>1</w:t>
      </w:r>
      <w:r w:rsidRPr="00DE05E9">
        <w:rPr>
          <w:rFonts w:cs="AdvTT59df095f.I"/>
          <w:color w:val="131313"/>
          <w:lang w:val="uk-UA"/>
        </w:rPr>
        <w:t xml:space="preserve">, </w:t>
      </w:r>
      <w:r w:rsidRPr="00DE05E9">
        <w:rPr>
          <w:rFonts w:cs="AdvTT59df095f.I"/>
          <w:color w:val="131313"/>
          <w:lang w:val="en-US"/>
        </w:rPr>
        <w:t>Klymovytsky</w:t>
      </w:r>
      <w:r w:rsidRPr="00DE05E9">
        <w:rPr>
          <w:rFonts w:cs="AdvTT59df095f.I"/>
          <w:color w:val="131313"/>
          <w:lang w:val="uk-UA"/>
        </w:rPr>
        <w:t xml:space="preserve"> </w:t>
      </w:r>
      <w:r w:rsidRPr="00DE05E9">
        <w:rPr>
          <w:rFonts w:cs="AdvTT59df095f.I"/>
          <w:color w:val="131313"/>
          <w:lang w:val="en-US"/>
        </w:rPr>
        <w:t>FV</w:t>
      </w:r>
      <w:r w:rsidRPr="00DE05E9">
        <w:rPr>
          <w:rFonts w:cs="AdvTT59df095f.I"/>
          <w:color w:val="131313"/>
          <w:vertAlign w:val="superscript"/>
          <w:lang w:val="en-US"/>
        </w:rPr>
        <w:t>1</w:t>
      </w:r>
      <w:r w:rsidRPr="00DE05E9">
        <w:rPr>
          <w:rFonts w:cs="AdvTT59df095f.I"/>
          <w:color w:val="131313"/>
          <w:lang w:val="uk-UA"/>
        </w:rPr>
        <w:t xml:space="preserve">, </w:t>
      </w:r>
      <w:r w:rsidRPr="00DE05E9">
        <w:rPr>
          <w:rFonts w:cs="AdvTT59df095f.I"/>
          <w:color w:val="131313"/>
          <w:lang w:val="en-US"/>
        </w:rPr>
        <w:t>Vlasenko</w:t>
      </w:r>
      <w:r w:rsidRPr="00DE05E9">
        <w:rPr>
          <w:rFonts w:cs="AdvTT59df095f.I"/>
          <w:color w:val="131313"/>
          <w:lang w:val="uk-UA"/>
        </w:rPr>
        <w:t xml:space="preserve"> </w:t>
      </w:r>
      <w:r w:rsidRPr="00DE05E9">
        <w:rPr>
          <w:rFonts w:cs="AdvTT59df095f.I"/>
          <w:color w:val="131313"/>
          <w:lang w:val="en-US"/>
        </w:rPr>
        <w:t>RO</w:t>
      </w:r>
      <w:r w:rsidRPr="00DE05E9">
        <w:rPr>
          <w:rFonts w:cs="AdvTT59df095f.I"/>
          <w:color w:val="131313"/>
          <w:vertAlign w:val="superscript"/>
          <w:lang w:val="en-US"/>
        </w:rPr>
        <w:t>1</w:t>
      </w:r>
      <w:r w:rsidRPr="00DE05E9">
        <w:rPr>
          <w:rFonts w:cs="AdvTT59df095f.I"/>
          <w:color w:val="131313"/>
          <w:lang w:val="en-US"/>
        </w:rPr>
        <w:t>, Forosenko</w:t>
      </w:r>
      <w:r w:rsidRPr="00DE05E9">
        <w:rPr>
          <w:rFonts w:cs="AdvTT59df095f.I"/>
          <w:color w:val="131313"/>
          <w:lang w:val="uk-UA"/>
        </w:rPr>
        <w:t xml:space="preserve"> </w:t>
      </w:r>
      <w:r w:rsidRPr="00DE05E9">
        <w:rPr>
          <w:rFonts w:cs="AdvTT59df095f.I"/>
          <w:color w:val="131313"/>
          <w:lang w:val="en-US"/>
        </w:rPr>
        <w:t>VS</w:t>
      </w:r>
      <w:r w:rsidRPr="00DE05E9">
        <w:rPr>
          <w:rFonts w:cs="AdvTT59df095f.I"/>
          <w:color w:val="131313"/>
          <w:vertAlign w:val="superscript"/>
          <w:lang w:val="en-US"/>
        </w:rPr>
        <w:t>1</w:t>
      </w:r>
    </w:p>
    <w:p w:rsidR="006C31BC" w:rsidRPr="006C31BC" w:rsidRDefault="006C31BC" w:rsidP="006C31BC">
      <w:pPr>
        <w:autoSpaceDE w:val="0"/>
        <w:autoSpaceDN w:val="0"/>
        <w:adjustRightInd w:val="0"/>
        <w:spacing w:after="0" w:line="360" w:lineRule="auto"/>
        <w:jc w:val="center"/>
        <w:rPr>
          <w:rFonts w:cs="AdvTT59df095f.I"/>
          <w:color w:val="131313"/>
          <w:sz w:val="20"/>
          <w:szCs w:val="20"/>
        </w:rPr>
      </w:pPr>
    </w:p>
    <w:p w:rsidR="006C31BC" w:rsidRPr="008C7810" w:rsidRDefault="006C31BC" w:rsidP="006C31BC">
      <w:pPr>
        <w:autoSpaceDE w:val="0"/>
        <w:autoSpaceDN w:val="0"/>
        <w:adjustRightInd w:val="0"/>
        <w:spacing w:line="240" w:lineRule="auto"/>
        <w:rPr>
          <w:rFonts w:cs="AdvTT59df095f.I"/>
          <w:color w:val="131313"/>
        </w:rPr>
      </w:pPr>
      <w:r w:rsidRPr="008C7810">
        <w:rPr>
          <w:rFonts w:cs="Times New Roman"/>
          <w:bCs/>
          <w:vertAlign w:val="superscript"/>
          <w:lang w:val="en-US"/>
        </w:rPr>
        <w:t>1</w:t>
      </w:r>
      <w:r w:rsidRPr="008C7810">
        <w:rPr>
          <w:rFonts w:cs="Times New Roman"/>
          <w:bCs/>
          <w:lang w:val="en-US"/>
        </w:rPr>
        <w:t>State Institution, D. F. Chebotarev Institute of Gerontology NAMS Ukraine, Ukrainian Scientific-Medical Center of Osteoporosis, Kyiv</w:t>
      </w:r>
    </w:p>
    <w:p w:rsidR="008C7810" w:rsidRPr="008C7810" w:rsidRDefault="008C7810" w:rsidP="008C7810">
      <w:pPr>
        <w:autoSpaceDE w:val="0"/>
        <w:autoSpaceDN w:val="0"/>
        <w:adjustRightInd w:val="0"/>
        <w:spacing w:after="120" w:line="360" w:lineRule="auto"/>
        <w:jc w:val="both"/>
        <w:rPr>
          <w:rFonts w:eastAsia="AdvTT46dcae81"/>
          <w:lang w:val="en-US"/>
        </w:rPr>
      </w:pPr>
      <w:r w:rsidRPr="008C7810">
        <w:rPr>
          <w:rFonts w:eastAsia="AdvTT46dcae81"/>
          <w:vertAlign w:val="superscript"/>
          <w:lang w:val="en-US"/>
        </w:rPr>
        <w:t>2</w:t>
      </w:r>
      <w:r w:rsidRPr="008C7810">
        <w:rPr>
          <w:rFonts w:eastAsia="AdvTT46dcae81"/>
          <w:lang w:val="en-US"/>
        </w:rPr>
        <w:t>Centre for Metabolic Bone Diseases, University of Sheffield, Sheffield, UK</w:t>
      </w:r>
    </w:p>
    <w:p w:rsidR="008C7810" w:rsidRPr="008C7810" w:rsidRDefault="008C7810" w:rsidP="008C7810">
      <w:pPr>
        <w:autoSpaceDE w:val="0"/>
        <w:autoSpaceDN w:val="0"/>
        <w:adjustRightInd w:val="0"/>
        <w:spacing w:after="120" w:line="360" w:lineRule="auto"/>
        <w:jc w:val="both"/>
        <w:rPr>
          <w:rFonts w:eastAsia="AdvTT46dcae81"/>
          <w:lang w:val="en-US"/>
        </w:rPr>
      </w:pPr>
      <w:r w:rsidRPr="008C7810">
        <w:rPr>
          <w:rFonts w:eastAsia="AdvTT46dcae81"/>
          <w:vertAlign w:val="superscript"/>
        </w:rPr>
        <w:t>3</w:t>
      </w:r>
      <w:r w:rsidRPr="008C7810">
        <w:rPr>
          <w:rFonts w:eastAsia="AdvTT46dcae81"/>
        </w:rPr>
        <w:t>Institute for Health and Aging, Catholic University of Australia, Melbourne, Australia</w:t>
      </w:r>
    </w:p>
    <w:p w:rsidR="008C7810" w:rsidRPr="008C7810" w:rsidRDefault="008C7810" w:rsidP="008C7810">
      <w:pPr>
        <w:autoSpaceDE w:val="0"/>
        <w:autoSpaceDN w:val="0"/>
        <w:adjustRightInd w:val="0"/>
        <w:spacing w:after="0" w:line="240" w:lineRule="auto"/>
        <w:rPr>
          <w:rFonts w:cs="AdvTT59df095f.I"/>
          <w:color w:val="131313"/>
          <w:lang w:val="en-US"/>
        </w:rPr>
      </w:pPr>
      <w:r w:rsidRPr="008C7810">
        <w:rPr>
          <w:rFonts w:cs="AdvTT59df095f.I"/>
          <w:color w:val="131313"/>
          <w:vertAlign w:val="superscript"/>
          <w:lang w:val="en-US"/>
        </w:rPr>
        <w:t>4</w:t>
      </w:r>
      <w:r w:rsidRPr="008C7810">
        <w:rPr>
          <w:rFonts w:cs="AdvTT59df095f.I"/>
          <w:color w:val="131313"/>
          <w:lang w:val="en-US"/>
        </w:rPr>
        <w:t>Centre for Integrated research in Musculoskeletal Ageing (CIMA), Mellanby Centre for Bone Research, University of Sheffield, Sheffield, UK</w:t>
      </w:r>
    </w:p>
    <w:p w:rsidR="008C7810" w:rsidRPr="008C7810" w:rsidRDefault="008C7810" w:rsidP="008C7810">
      <w:pPr>
        <w:autoSpaceDE w:val="0"/>
        <w:autoSpaceDN w:val="0"/>
        <w:adjustRightInd w:val="0"/>
        <w:spacing w:after="0" w:line="240" w:lineRule="auto"/>
        <w:rPr>
          <w:rFonts w:cs="AdvTT59df095f.I"/>
          <w:color w:val="131313"/>
          <w:lang w:val="en-US"/>
        </w:rPr>
      </w:pPr>
    </w:p>
    <w:p w:rsidR="008C7810" w:rsidRPr="008C7810" w:rsidRDefault="008C7810" w:rsidP="008C7810">
      <w:pPr>
        <w:autoSpaceDE w:val="0"/>
        <w:autoSpaceDN w:val="0"/>
        <w:adjustRightInd w:val="0"/>
        <w:spacing w:line="240" w:lineRule="auto"/>
        <w:rPr>
          <w:rFonts w:cs="AdvTT59df095f.I"/>
          <w:color w:val="131313"/>
          <w:lang w:val="en-US"/>
        </w:rPr>
      </w:pPr>
      <w:r w:rsidRPr="008C7810">
        <w:rPr>
          <w:rFonts w:cs="AdvTT59df095f.I"/>
          <w:color w:val="131313"/>
          <w:vertAlign w:val="superscript"/>
          <w:lang w:val="en-US"/>
        </w:rPr>
        <w:t>5</w:t>
      </w:r>
      <w:r w:rsidRPr="008C7810">
        <w:rPr>
          <w:rFonts w:cs="AdvTT59df095f.I"/>
          <w:color w:val="131313"/>
          <w:lang w:val="en-US"/>
        </w:rPr>
        <w:t>MRC Lifecourse Epidemiology Unit, University of Southampton, Southampton SO16 6YD, UK</w:t>
      </w:r>
    </w:p>
    <w:p w:rsidR="008C7810" w:rsidRDefault="008C7810" w:rsidP="008C7810">
      <w:pPr>
        <w:autoSpaceDE w:val="0"/>
        <w:autoSpaceDN w:val="0"/>
        <w:adjustRightInd w:val="0"/>
        <w:spacing w:line="240" w:lineRule="auto"/>
        <w:rPr>
          <w:rFonts w:cs="AdvTT59df095f.I"/>
          <w:color w:val="131313"/>
          <w:lang w:val="en-US"/>
        </w:rPr>
      </w:pPr>
      <w:r w:rsidRPr="008C7810">
        <w:rPr>
          <w:rFonts w:cs="AdvTT59df095f.I"/>
          <w:color w:val="131313"/>
          <w:vertAlign w:val="superscript"/>
          <w:lang w:val="en-US"/>
        </w:rPr>
        <w:t>6</w:t>
      </w:r>
      <w:r w:rsidRPr="008C7810">
        <w:rPr>
          <w:rFonts w:cs="AdvTT59df095f.I"/>
          <w:color w:val="131313"/>
          <w:lang w:val="en-US"/>
        </w:rPr>
        <w:t>NIHR Southampton Biomedical Research Centre, University of Southampton and University Hospital Southampton NHS Foundation Trust, Tremona Road, Southampton, UK</w:t>
      </w:r>
    </w:p>
    <w:p w:rsidR="008C7810" w:rsidRDefault="008C7810" w:rsidP="008C7810">
      <w:pPr>
        <w:autoSpaceDE w:val="0"/>
        <w:autoSpaceDN w:val="0"/>
        <w:adjustRightInd w:val="0"/>
        <w:spacing w:line="240" w:lineRule="auto"/>
        <w:rPr>
          <w:rFonts w:cs="AdvTT59df095f.I"/>
          <w:color w:val="131313"/>
          <w:lang w:val="en-US"/>
        </w:rPr>
      </w:pPr>
    </w:p>
    <w:p w:rsidR="004D29F7" w:rsidRPr="00DB3E32" w:rsidRDefault="00DB3E32" w:rsidP="004D29F7">
      <w:pPr>
        <w:autoSpaceDE w:val="0"/>
        <w:autoSpaceDN w:val="0"/>
        <w:adjustRightInd w:val="0"/>
        <w:spacing w:after="0" w:line="240" w:lineRule="auto"/>
        <w:rPr>
          <w:rFonts w:cs="AdvTT2acb703b"/>
          <w:color w:val="131313"/>
        </w:rPr>
      </w:pPr>
      <w:r w:rsidRPr="00DB3E32">
        <w:rPr>
          <w:rFonts w:cs="AdvTT2acb703b"/>
          <w:color w:val="131313"/>
        </w:rPr>
        <w:t>Correspondence before publication: JA</w:t>
      </w:r>
      <w:r w:rsidR="004D29F7" w:rsidRPr="00DB3E32">
        <w:rPr>
          <w:rFonts w:cs="AdvTT2acb703b"/>
          <w:color w:val="131313"/>
        </w:rPr>
        <w:t xml:space="preserve"> Kanis </w:t>
      </w:r>
    </w:p>
    <w:p w:rsidR="004D29F7" w:rsidRPr="00DB3E32" w:rsidRDefault="004D29F7" w:rsidP="004D29F7">
      <w:pPr>
        <w:autoSpaceDE w:val="0"/>
        <w:autoSpaceDN w:val="0"/>
        <w:adjustRightInd w:val="0"/>
        <w:spacing w:after="0" w:line="240" w:lineRule="auto"/>
        <w:rPr>
          <w:rFonts w:cs="AdvTT2acb703b"/>
          <w:color w:val="131313"/>
        </w:rPr>
      </w:pPr>
      <w:r w:rsidRPr="00DB3E32">
        <w:rPr>
          <w:rFonts w:cs="AdvTT2acb703b"/>
          <w:color w:val="131313"/>
        </w:rPr>
        <w:t>Centre for Metabolic Bone Diseases,</w:t>
      </w:r>
    </w:p>
    <w:p w:rsidR="004D29F7" w:rsidRPr="00DB3E32" w:rsidRDefault="004D29F7" w:rsidP="004D29F7">
      <w:pPr>
        <w:autoSpaceDE w:val="0"/>
        <w:autoSpaceDN w:val="0"/>
        <w:adjustRightInd w:val="0"/>
        <w:spacing w:after="0" w:line="240" w:lineRule="auto"/>
        <w:rPr>
          <w:rFonts w:cs="AdvTT2acb703b"/>
          <w:color w:val="131313"/>
        </w:rPr>
      </w:pPr>
      <w:r w:rsidRPr="00DB3E32">
        <w:rPr>
          <w:rFonts w:cs="AdvTT2acb703b"/>
          <w:color w:val="131313"/>
        </w:rPr>
        <w:t>University of Sheffield Medical School,</w:t>
      </w:r>
    </w:p>
    <w:p w:rsidR="004D29F7" w:rsidRPr="00DB3E32" w:rsidRDefault="004D29F7" w:rsidP="004D29F7">
      <w:pPr>
        <w:autoSpaceDE w:val="0"/>
        <w:autoSpaceDN w:val="0"/>
        <w:adjustRightInd w:val="0"/>
        <w:spacing w:after="0" w:line="240" w:lineRule="auto"/>
        <w:rPr>
          <w:rFonts w:cs="AdvTT2acb703b"/>
          <w:color w:val="131313"/>
        </w:rPr>
      </w:pPr>
      <w:r w:rsidRPr="00DB3E32">
        <w:rPr>
          <w:rFonts w:cs="AdvTT2acb703b"/>
          <w:color w:val="131313"/>
        </w:rPr>
        <w:t>Beech Hill Road,</w:t>
      </w:r>
    </w:p>
    <w:p w:rsidR="004D29F7" w:rsidRPr="00DB3E32" w:rsidRDefault="004D29F7" w:rsidP="004D29F7">
      <w:pPr>
        <w:autoSpaceDE w:val="0"/>
        <w:autoSpaceDN w:val="0"/>
        <w:adjustRightInd w:val="0"/>
        <w:spacing w:after="0" w:line="240" w:lineRule="auto"/>
        <w:rPr>
          <w:rFonts w:cs="AdvTT2acb703b"/>
          <w:color w:val="131313"/>
        </w:rPr>
      </w:pPr>
      <w:r w:rsidRPr="00DB3E32">
        <w:rPr>
          <w:rFonts w:cs="AdvTT2acb703b"/>
          <w:color w:val="131313"/>
        </w:rPr>
        <w:t>Sheffield S10 2RX, UK</w:t>
      </w:r>
    </w:p>
    <w:p w:rsidR="008C7810" w:rsidRPr="00EE0876" w:rsidRDefault="004D29F7" w:rsidP="004D29F7">
      <w:pPr>
        <w:autoSpaceDE w:val="0"/>
        <w:autoSpaceDN w:val="0"/>
        <w:adjustRightInd w:val="0"/>
        <w:spacing w:line="240" w:lineRule="auto"/>
        <w:rPr>
          <w:rFonts w:cs="AdvTT59df095f.I"/>
          <w:color w:val="131313"/>
          <w:lang w:val="fr-FR"/>
        </w:rPr>
      </w:pPr>
      <w:r w:rsidRPr="00EE0876">
        <w:rPr>
          <w:rFonts w:cs="AdvTT2acb703b"/>
          <w:color w:val="131313"/>
          <w:lang w:val="fr-FR"/>
        </w:rPr>
        <w:t>e-mail: w.j.Pontefract@shef.ac.uk</w:t>
      </w:r>
    </w:p>
    <w:p w:rsidR="008C7810" w:rsidRPr="00DB3E32" w:rsidRDefault="00DB3E32" w:rsidP="008C7810">
      <w:pPr>
        <w:autoSpaceDE w:val="0"/>
        <w:autoSpaceDN w:val="0"/>
        <w:adjustRightInd w:val="0"/>
        <w:spacing w:after="0" w:line="240" w:lineRule="auto"/>
        <w:rPr>
          <w:rFonts w:cs="AdvTT59df095f.I"/>
          <w:color w:val="131313"/>
          <w:lang w:val="en-US"/>
        </w:rPr>
      </w:pPr>
      <w:r w:rsidRPr="00DB3E32">
        <w:rPr>
          <w:rFonts w:cs="AdvTT59df095f.I"/>
          <w:color w:val="131313"/>
        </w:rPr>
        <w:t>Correspondence after publication</w:t>
      </w:r>
      <w:r>
        <w:rPr>
          <w:rFonts w:cs="AdvTT59df095f.I"/>
          <w:color w:val="131313"/>
        </w:rPr>
        <w:t>: VV</w:t>
      </w:r>
      <w:r w:rsidRPr="00DB3E32">
        <w:rPr>
          <w:rFonts w:cs="AdvTT59df095f.I"/>
          <w:color w:val="131313"/>
          <w:lang w:val="en-US"/>
        </w:rPr>
        <w:t xml:space="preserve"> Povoroznyuk</w:t>
      </w:r>
    </w:p>
    <w:p w:rsidR="00DB3E32" w:rsidRDefault="00DB3E32" w:rsidP="008C7810">
      <w:pPr>
        <w:autoSpaceDE w:val="0"/>
        <w:autoSpaceDN w:val="0"/>
        <w:adjustRightInd w:val="0"/>
        <w:spacing w:after="0" w:line="240" w:lineRule="auto"/>
        <w:rPr>
          <w:rFonts w:cs="AdvTT59df095f.I"/>
          <w:bCs/>
          <w:color w:val="131313"/>
          <w:lang w:val="en-US"/>
        </w:rPr>
      </w:pPr>
      <w:r w:rsidRPr="00DB3E32">
        <w:rPr>
          <w:rFonts w:cs="AdvTT59df095f.I"/>
          <w:bCs/>
          <w:color w:val="131313"/>
          <w:lang w:val="en-US"/>
        </w:rPr>
        <w:t>D. F. Chebotarev Institute of Gerontology NAMS</w:t>
      </w:r>
      <w:r>
        <w:rPr>
          <w:rFonts w:cs="AdvTT59df095f.I"/>
          <w:bCs/>
          <w:color w:val="131313"/>
          <w:lang w:val="en-US"/>
        </w:rPr>
        <w:t>,</w:t>
      </w:r>
    </w:p>
    <w:p w:rsidR="00DB3E32" w:rsidRDefault="00DB3E32" w:rsidP="008C7810">
      <w:pPr>
        <w:autoSpaceDE w:val="0"/>
        <w:autoSpaceDN w:val="0"/>
        <w:adjustRightInd w:val="0"/>
        <w:spacing w:after="0" w:line="240" w:lineRule="auto"/>
        <w:rPr>
          <w:rFonts w:cs="AdvTT59df095f.I"/>
          <w:bCs/>
          <w:color w:val="131313"/>
          <w:lang w:val="en-US"/>
        </w:rPr>
      </w:pPr>
      <w:r w:rsidRPr="00DB3E32">
        <w:rPr>
          <w:rFonts w:cs="AdvTT59df095f.I"/>
          <w:bCs/>
          <w:color w:val="131313"/>
          <w:lang w:val="en-US"/>
        </w:rPr>
        <w:t xml:space="preserve">Ukrainian Scientific-Medical Center of Osteoporosis, </w:t>
      </w:r>
    </w:p>
    <w:p w:rsidR="00DB3E32" w:rsidRPr="00DB3E32" w:rsidRDefault="00DB3E32" w:rsidP="008C7810">
      <w:pPr>
        <w:autoSpaceDE w:val="0"/>
        <w:autoSpaceDN w:val="0"/>
        <w:adjustRightInd w:val="0"/>
        <w:spacing w:after="0" w:line="240" w:lineRule="auto"/>
        <w:rPr>
          <w:rFonts w:cs="AdvTT59df095f.I"/>
          <w:bCs/>
          <w:color w:val="131313"/>
          <w:lang w:val="en-US"/>
        </w:rPr>
      </w:pPr>
      <w:r w:rsidRPr="00DB3E32">
        <w:rPr>
          <w:rFonts w:cs="AdvTT59df095f.I"/>
          <w:bCs/>
          <w:color w:val="131313"/>
          <w:lang w:val="en-US"/>
        </w:rPr>
        <w:t>Kyiv Ukraine</w:t>
      </w:r>
    </w:p>
    <w:p w:rsidR="00DB3E32" w:rsidRPr="00DB3E32" w:rsidRDefault="00DB3E32" w:rsidP="008C7810">
      <w:pPr>
        <w:autoSpaceDE w:val="0"/>
        <w:autoSpaceDN w:val="0"/>
        <w:adjustRightInd w:val="0"/>
        <w:spacing w:after="0" w:line="240" w:lineRule="auto"/>
        <w:rPr>
          <w:rFonts w:cs="AdvTT59df095f.I"/>
          <w:color w:val="131313"/>
          <w:sz w:val="20"/>
          <w:szCs w:val="20"/>
          <w:lang w:val="en-US"/>
        </w:rPr>
      </w:pPr>
      <w:r w:rsidRPr="00DB3E32">
        <w:rPr>
          <w:rFonts w:eastAsia="Times New Roman" w:cs="Segoe UI"/>
        </w:rPr>
        <w:t xml:space="preserve">e-mail:  </w:t>
      </w:r>
      <w:hyperlink r:id="rId9" w:history="1">
        <w:r w:rsidRPr="00DB3E32">
          <w:rPr>
            <w:rStyle w:val="Hyperlink"/>
            <w:rFonts w:eastAsia="Times New Roman" w:cs="Segoe UI"/>
          </w:rPr>
          <w:t>okfpodac@ukr.net</w:t>
        </w:r>
      </w:hyperlink>
    </w:p>
    <w:p w:rsidR="006C31BC" w:rsidRDefault="006C31BC" w:rsidP="006C31BC">
      <w:pPr>
        <w:autoSpaceDE w:val="0"/>
        <w:autoSpaceDN w:val="0"/>
        <w:adjustRightInd w:val="0"/>
        <w:spacing w:after="0" w:line="240" w:lineRule="auto"/>
        <w:rPr>
          <w:rFonts w:ascii="AdvTT59df095f.I" w:hAnsi="AdvTT59df095f.I" w:cs="AdvTT59df095f.I"/>
          <w:color w:val="131313"/>
          <w:sz w:val="20"/>
          <w:szCs w:val="20"/>
        </w:rPr>
      </w:pPr>
    </w:p>
    <w:p w:rsidR="00DB3E32" w:rsidRDefault="00DB3E32">
      <w:pPr>
        <w:rPr>
          <w:rFonts w:ascii="AdvTT59df095f.I" w:hAnsi="AdvTT59df095f.I" w:cs="AdvTT59df095f.I"/>
          <w:color w:val="131313"/>
          <w:sz w:val="20"/>
          <w:szCs w:val="20"/>
        </w:rPr>
      </w:pPr>
      <w:r>
        <w:rPr>
          <w:rFonts w:ascii="AdvTT59df095f.I" w:hAnsi="AdvTT59df095f.I" w:cs="AdvTT59df095f.I"/>
          <w:color w:val="131313"/>
          <w:sz w:val="20"/>
          <w:szCs w:val="20"/>
        </w:rPr>
        <w:br w:type="page"/>
      </w:r>
    </w:p>
    <w:p w:rsidR="00DB3E32" w:rsidRDefault="00DB3E32" w:rsidP="006C31BC">
      <w:pPr>
        <w:autoSpaceDE w:val="0"/>
        <w:autoSpaceDN w:val="0"/>
        <w:adjustRightInd w:val="0"/>
        <w:spacing w:after="0" w:line="240" w:lineRule="auto"/>
        <w:rPr>
          <w:rFonts w:ascii="AdvTT59df095f.I" w:hAnsi="AdvTT59df095f.I" w:cs="AdvTT59df095f.I"/>
          <w:color w:val="131313"/>
          <w:sz w:val="20"/>
          <w:szCs w:val="20"/>
        </w:rPr>
      </w:pPr>
    </w:p>
    <w:p w:rsidR="00DB3E32" w:rsidRPr="00217751" w:rsidRDefault="00217751" w:rsidP="006C31BC">
      <w:pPr>
        <w:autoSpaceDE w:val="0"/>
        <w:autoSpaceDN w:val="0"/>
        <w:adjustRightInd w:val="0"/>
        <w:spacing w:after="0" w:line="240" w:lineRule="auto"/>
        <w:ind w:left="567"/>
        <w:rPr>
          <w:rFonts w:cs="AdvTT59df095f.I"/>
          <w:b/>
          <w:color w:val="131313"/>
          <w:sz w:val="20"/>
          <w:szCs w:val="20"/>
        </w:rPr>
      </w:pPr>
      <w:r w:rsidRPr="00217751">
        <w:rPr>
          <w:rFonts w:cs="AdvTT59df095f.I"/>
          <w:b/>
          <w:color w:val="131313"/>
          <w:sz w:val="20"/>
          <w:szCs w:val="20"/>
        </w:rPr>
        <w:t>Abstract</w:t>
      </w:r>
    </w:p>
    <w:p w:rsidR="00217751" w:rsidRDefault="00217751" w:rsidP="006C31BC">
      <w:pPr>
        <w:autoSpaceDE w:val="0"/>
        <w:autoSpaceDN w:val="0"/>
        <w:adjustRightInd w:val="0"/>
        <w:spacing w:after="0" w:line="240" w:lineRule="auto"/>
        <w:ind w:left="567"/>
        <w:rPr>
          <w:rFonts w:cs="AdvTT59df095f.I"/>
          <w:i/>
          <w:color w:val="131313"/>
        </w:rPr>
      </w:pPr>
    </w:p>
    <w:p w:rsidR="007A3066" w:rsidRDefault="006C31BC" w:rsidP="006C31BC">
      <w:pPr>
        <w:autoSpaceDE w:val="0"/>
        <w:autoSpaceDN w:val="0"/>
        <w:adjustRightInd w:val="0"/>
        <w:spacing w:after="0" w:line="240" w:lineRule="auto"/>
        <w:ind w:left="567"/>
        <w:rPr>
          <w:rFonts w:cs="AdvTT2acb703b"/>
          <w:color w:val="131313"/>
        </w:rPr>
      </w:pPr>
      <w:r w:rsidRPr="007A3066">
        <w:rPr>
          <w:rFonts w:cs="AdvTT59df095f.I"/>
          <w:i/>
          <w:color w:val="131313"/>
        </w:rPr>
        <w:t>Summary</w:t>
      </w:r>
      <w:r w:rsidRPr="007A3066">
        <w:rPr>
          <w:rFonts w:cs="AdvTT59df095f.I"/>
          <w:color w:val="131313"/>
        </w:rPr>
        <w:t xml:space="preserve"> </w:t>
      </w:r>
      <w:r w:rsidR="00B52BB8">
        <w:rPr>
          <w:rFonts w:cs="AdvTT2acb703b"/>
          <w:color w:val="131313"/>
        </w:rPr>
        <w:t>A</w:t>
      </w:r>
      <w:r w:rsidR="00B52BB8" w:rsidRPr="00B52BB8">
        <w:rPr>
          <w:rFonts w:cs="AdvTT2acb703b"/>
          <w:color w:val="131313"/>
        </w:rPr>
        <w:t xml:space="preserve"> country-specific FRAX model has been developed for the Ukraine </w:t>
      </w:r>
      <w:r w:rsidR="00B52BB8">
        <w:rPr>
          <w:rFonts w:cs="AdvTT2acb703b"/>
          <w:color w:val="131313"/>
        </w:rPr>
        <w:t>to</w:t>
      </w:r>
      <w:r w:rsidR="00B52BB8" w:rsidRPr="00B52BB8">
        <w:rPr>
          <w:rFonts w:cs="AdvTT2acb703b"/>
          <w:color w:val="131313"/>
        </w:rPr>
        <w:t xml:space="preserve"> replace the Austrian model hitherto used.  Comparison of the Austrian and Ukrainian models indicated</w:t>
      </w:r>
      <w:r w:rsidR="00B52BB8">
        <w:rPr>
          <w:rFonts w:cs="AdvTT2acb703b"/>
          <w:b/>
          <w:color w:val="131313"/>
        </w:rPr>
        <w:t xml:space="preserve"> </w:t>
      </w:r>
      <w:r w:rsidR="00B52BB8" w:rsidRPr="00A83EEA">
        <w:rPr>
          <w:rFonts w:cs="AdvTT2acb703b"/>
          <w:color w:val="131313"/>
        </w:rPr>
        <w:t>that the former</w:t>
      </w:r>
      <w:r w:rsidR="00A83EEA" w:rsidRPr="00A83EEA">
        <w:rPr>
          <w:rFonts w:cs="AdvTT2acb703b"/>
          <w:color w:val="131313"/>
        </w:rPr>
        <w:t xml:space="preserve"> markedly overestimated fracture probability</w:t>
      </w:r>
      <w:r w:rsidR="00B52BB8">
        <w:rPr>
          <w:rFonts w:cs="AdvTT2acb703b"/>
          <w:b/>
          <w:color w:val="131313"/>
        </w:rPr>
        <w:t xml:space="preserve"> </w:t>
      </w:r>
      <w:r w:rsidR="00A83EEA" w:rsidRPr="00A83EEA">
        <w:rPr>
          <w:rFonts w:cs="AdvTT2acb703b"/>
          <w:color w:val="131313"/>
        </w:rPr>
        <w:t>whilst correctly stratifying risk</w:t>
      </w:r>
      <w:r w:rsidR="00A83EEA">
        <w:rPr>
          <w:rFonts w:cs="AdvTT2acb703b"/>
          <w:color w:val="131313"/>
        </w:rPr>
        <w:t>.</w:t>
      </w:r>
    </w:p>
    <w:p w:rsidR="00A83EEA" w:rsidRPr="007A3066" w:rsidRDefault="00A83EEA" w:rsidP="006C31BC">
      <w:pPr>
        <w:autoSpaceDE w:val="0"/>
        <w:autoSpaceDN w:val="0"/>
        <w:adjustRightInd w:val="0"/>
        <w:spacing w:after="0" w:line="240" w:lineRule="auto"/>
        <w:ind w:left="567"/>
        <w:rPr>
          <w:rFonts w:cs="AdvTT2acb703b"/>
          <w:color w:val="131313"/>
        </w:rPr>
      </w:pPr>
    </w:p>
    <w:p w:rsidR="007A3066" w:rsidRDefault="006C31BC" w:rsidP="006C31BC">
      <w:pPr>
        <w:autoSpaceDE w:val="0"/>
        <w:autoSpaceDN w:val="0"/>
        <w:adjustRightInd w:val="0"/>
        <w:spacing w:after="0" w:line="240" w:lineRule="auto"/>
        <w:ind w:left="567"/>
        <w:rPr>
          <w:rFonts w:cs="AdvTT59df095f.I"/>
          <w:bCs/>
          <w:color w:val="131313"/>
          <w:lang w:val="en-US"/>
        </w:rPr>
      </w:pPr>
      <w:r w:rsidRPr="007A3066">
        <w:rPr>
          <w:rFonts w:cs="AdvTT59df095f.I"/>
          <w:i/>
          <w:color w:val="131313"/>
        </w:rPr>
        <w:t>Introduction</w:t>
      </w:r>
      <w:r w:rsidRPr="007A3066">
        <w:rPr>
          <w:rFonts w:cs="AdvTT59df095f.I"/>
          <w:color w:val="131313"/>
        </w:rPr>
        <w:t xml:space="preserve"> </w:t>
      </w:r>
      <w:r w:rsidR="00A83EEA" w:rsidRPr="00A83EEA">
        <w:rPr>
          <w:rFonts w:cs="AdvTT59df095f.I"/>
          <w:bCs/>
          <w:color w:val="131313"/>
          <w:lang w:val="en-US"/>
        </w:rPr>
        <w:t xml:space="preserve">FRAX </w:t>
      </w:r>
      <w:r w:rsidR="00A83EEA">
        <w:rPr>
          <w:rFonts w:cs="AdvTT59df095f.I"/>
          <w:bCs/>
          <w:color w:val="131313"/>
          <w:lang w:val="en-US"/>
        </w:rPr>
        <w:t xml:space="preserve">has been used </w:t>
      </w:r>
      <w:r w:rsidR="00A83EEA" w:rsidRPr="00A83EEA">
        <w:rPr>
          <w:rFonts w:cs="AdvTT59df095f.I"/>
          <w:bCs/>
          <w:color w:val="131313"/>
          <w:lang w:val="en-US"/>
        </w:rPr>
        <w:t>to estimate osteoporotic fracture risk since 2009</w:t>
      </w:r>
      <w:r w:rsidR="00217751">
        <w:rPr>
          <w:rFonts w:cs="AdvTT59df095f.I"/>
          <w:bCs/>
          <w:color w:val="131313"/>
          <w:lang w:val="en-US"/>
        </w:rPr>
        <w:t>.</w:t>
      </w:r>
      <w:r w:rsidR="00A83EEA" w:rsidRPr="00A83EEA">
        <w:rPr>
          <w:rFonts w:cs="AdvTT59df095f.I"/>
          <w:bCs/>
          <w:color w:val="131313"/>
          <w:lang w:val="en-US"/>
        </w:rPr>
        <w:t xml:space="preserve"> Rather than using a surrogate model, the Austrian version of FRAX was adopted for clinical practice.  Since then, data have become available on hip fracture incidence in the Ukraine.</w:t>
      </w:r>
    </w:p>
    <w:p w:rsidR="00217751" w:rsidRPr="007A3066" w:rsidRDefault="00217751" w:rsidP="006C31BC">
      <w:pPr>
        <w:autoSpaceDE w:val="0"/>
        <w:autoSpaceDN w:val="0"/>
        <w:adjustRightInd w:val="0"/>
        <w:spacing w:after="0" w:line="240" w:lineRule="auto"/>
        <w:ind w:left="567"/>
        <w:rPr>
          <w:rFonts w:cs="AdvTT59df095f.I"/>
          <w:color w:val="131313"/>
        </w:rPr>
      </w:pPr>
    </w:p>
    <w:p w:rsidR="007A3066" w:rsidRDefault="006C31BC" w:rsidP="007A3066">
      <w:pPr>
        <w:autoSpaceDE w:val="0"/>
        <w:autoSpaceDN w:val="0"/>
        <w:adjustRightInd w:val="0"/>
        <w:spacing w:after="0" w:line="240" w:lineRule="auto"/>
        <w:ind w:left="567"/>
        <w:rPr>
          <w:rFonts w:cs="AdvTT59df095f.I"/>
          <w:color w:val="131313"/>
        </w:rPr>
      </w:pPr>
      <w:r w:rsidRPr="007A3066">
        <w:rPr>
          <w:rFonts w:cs="AdvTT59df095f.I"/>
          <w:i/>
          <w:color w:val="131313"/>
        </w:rPr>
        <w:t>Methods</w:t>
      </w:r>
      <w:r w:rsidRPr="007A3066">
        <w:rPr>
          <w:rFonts w:cs="AdvTT59df095f.I"/>
          <w:color w:val="131313"/>
        </w:rPr>
        <w:t xml:space="preserve"> </w:t>
      </w:r>
      <w:r w:rsidR="00A83EEA">
        <w:rPr>
          <w:rFonts w:cs="AdvTT59df095f.I"/>
          <w:color w:val="131313"/>
        </w:rPr>
        <w:t xml:space="preserve">The incidence of hip </w:t>
      </w:r>
      <w:r w:rsidR="002612E9">
        <w:rPr>
          <w:rFonts w:cs="AdvTT59df095f.I"/>
          <w:color w:val="131313"/>
        </w:rPr>
        <w:t xml:space="preserve">fracture </w:t>
      </w:r>
      <w:r w:rsidR="00A83EEA">
        <w:rPr>
          <w:rFonts w:cs="AdvTT59df095f.I"/>
          <w:color w:val="131313"/>
        </w:rPr>
        <w:t xml:space="preserve">was computed </w:t>
      </w:r>
      <w:r w:rsidR="00217751">
        <w:rPr>
          <w:rFonts w:cs="AdvTT59df095f.I"/>
          <w:color w:val="131313"/>
        </w:rPr>
        <w:t>f</w:t>
      </w:r>
      <w:r w:rsidR="00A83EEA">
        <w:rPr>
          <w:rFonts w:cs="AdvTT59df095f.I"/>
          <w:color w:val="131313"/>
        </w:rPr>
        <w:t>rom three regional estimates and used to construct a country specific FRAX model for the Ukraine.  The model characteristics were compared with those of the Austrian FRAX model, previously used in Ukraine</w:t>
      </w:r>
      <w:r w:rsidR="00906A16">
        <w:rPr>
          <w:rFonts w:cs="AdvTT59df095f.I"/>
          <w:color w:val="131313"/>
        </w:rPr>
        <w:t xml:space="preserve"> by using</w:t>
      </w:r>
      <w:r w:rsidR="00906A16" w:rsidRPr="00906A16">
        <w:rPr>
          <w:rFonts w:cs="AdvTT59df095f.I"/>
          <w:bCs/>
          <w:color w:val="131313"/>
        </w:rPr>
        <w:t xml:space="preserve"> all combinations of six risk factors and eight values of BMD </w:t>
      </w:r>
      <w:r w:rsidR="00906A16">
        <w:rPr>
          <w:rFonts w:cs="AdvTT59df095f.I"/>
          <w:bCs/>
          <w:color w:val="131313"/>
        </w:rPr>
        <w:t>(</w:t>
      </w:r>
      <w:r w:rsidR="00906A16" w:rsidRPr="00906A16">
        <w:rPr>
          <w:rFonts w:cs="AdvTT59df095f.I"/>
          <w:bCs/>
          <w:color w:val="131313"/>
        </w:rPr>
        <w:t xml:space="preserve">total number of combinations </w:t>
      </w:r>
      <w:r w:rsidR="00906A16">
        <w:rPr>
          <w:rFonts w:cs="AdvTT59df095f.I"/>
          <w:bCs/>
          <w:color w:val="131313"/>
        </w:rPr>
        <w:t>=</w:t>
      </w:r>
      <w:r w:rsidR="00906A16" w:rsidRPr="00906A16">
        <w:rPr>
          <w:rFonts w:cs="AdvTT59df095f.I"/>
          <w:bCs/>
          <w:color w:val="131313"/>
        </w:rPr>
        <w:t xml:space="preserve"> 512</w:t>
      </w:r>
      <w:r w:rsidR="001C3D83">
        <w:rPr>
          <w:rFonts w:cs="AdvTT59df095f.I"/>
          <w:bCs/>
          <w:color w:val="131313"/>
        </w:rPr>
        <w:t>)</w:t>
      </w:r>
      <w:r w:rsidR="00906A16">
        <w:rPr>
          <w:rFonts w:cs="AdvTT59df095f.I"/>
          <w:bCs/>
          <w:color w:val="131313"/>
        </w:rPr>
        <w:t>.</w:t>
      </w:r>
    </w:p>
    <w:p w:rsidR="00217751" w:rsidRPr="007A3066" w:rsidRDefault="00217751" w:rsidP="007A3066">
      <w:pPr>
        <w:autoSpaceDE w:val="0"/>
        <w:autoSpaceDN w:val="0"/>
        <w:adjustRightInd w:val="0"/>
        <w:spacing w:after="0" w:line="240" w:lineRule="auto"/>
        <w:ind w:left="567"/>
        <w:rPr>
          <w:rFonts w:cs="AdvTT2acb703b"/>
          <w:color w:val="131313"/>
        </w:rPr>
      </w:pPr>
    </w:p>
    <w:p w:rsidR="007A3066" w:rsidRDefault="006C31BC" w:rsidP="007A3066">
      <w:pPr>
        <w:autoSpaceDE w:val="0"/>
        <w:autoSpaceDN w:val="0"/>
        <w:adjustRightInd w:val="0"/>
        <w:spacing w:after="0" w:line="240" w:lineRule="auto"/>
        <w:ind w:left="567"/>
        <w:rPr>
          <w:bCs/>
        </w:rPr>
      </w:pPr>
      <w:r w:rsidRPr="00217751">
        <w:rPr>
          <w:rFonts w:cs="AdvTT59df095f.I"/>
          <w:i/>
          <w:color w:val="131313"/>
        </w:rPr>
        <w:t xml:space="preserve">Results </w:t>
      </w:r>
      <w:r w:rsidR="00217751" w:rsidRPr="00E230DC">
        <w:rPr>
          <w:bCs/>
        </w:rPr>
        <w:t xml:space="preserve">The relationship between the probabilities of a major fracture derived from the two versions of FRAX </w:t>
      </w:r>
      <w:r w:rsidR="00217751">
        <w:rPr>
          <w:bCs/>
        </w:rPr>
        <w:t>indicated</w:t>
      </w:r>
      <w:r w:rsidR="00217751" w:rsidRPr="00E230DC">
        <w:rPr>
          <w:bCs/>
        </w:rPr>
        <w:t xml:space="preserve"> a close correlation between the two estimates (r&gt;0.95).  T</w:t>
      </w:r>
      <w:r w:rsidR="00217751" w:rsidRPr="009E1C3F">
        <w:rPr>
          <w:bCs/>
        </w:rPr>
        <w:t xml:space="preserve">he </w:t>
      </w:r>
      <w:r w:rsidR="00217751">
        <w:rPr>
          <w:bCs/>
        </w:rPr>
        <w:t>Ukrainian</w:t>
      </w:r>
      <w:r w:rsidR="00217751" w:rsidRPr="009E1C3F">
        <w:rPr>
          <w:bCs/>
        </w:rPr>
        <w:t xml:space="preserve"> version</w:t>
      </w:r>
      <w:r w:rsidR="00906A16">
        <w:rPr>
          <w:bCs/>
        </w:rPr>
        <w:t>, however,</w:t>
      </w:r>
      <w:r w:rsidR="00217751" w:rsidRPr="009E1C3F">
        <w:rPr>
          <w:bCs/>
        </w:rPr>
        <w:t xml:space="preserve"> gave </w:t>
      </w:r>
      <w:r w:rsidR="00906A16">
        <w:rPr>
          <w:bCs/>
        </w:rPr>
        <w:t xml:space="preserve">markedly </w:t>
      </w:r>
      <w:r w:rsidR="00217751" w:rsidRPr="009E1C3F">
        <w:rPr>
          <w:bCs/>
        </w:rPr>
        <w:t xml:space="preserve">lower probabilities than the </w:t>
      </w:r>
      <w:r w:rsidR="00217751">
        <w:rPr>
          <w:bCs/>
        </w:rPr>
        <w:t>Austrian</w:t>
      </w:r>
      <w:r w:rsidR="00217751" w:rsidRPr="009E1C3F">
        <w:rPr>
          <w:bCs/>
        </w:rPr>
        <w:t xml:space="preserve"> model at </w:t>
      </w:r>
      <w:r w:rsidR="00217751">
        <w:rPr>
          <w:bCs/>
        </w:rPr>
        <w:t>all</w:t>
      </w:r>
      <w:r w:rsidR="00217751" w:rsidRPr="009E1C3F">
        <w:rPr>
          <w:bCs/>
        </w:rPr>
        <w:t xml:space="preserve"> ages. </w:t>
      </w:r>
      <w:r w:rsidR="00906A16">
        <w:rPr>
          <w:bCs/>
        </w:rPr>
        <w:t>For a major osteoporotic fracture, t</w:t>
      </w:r>
      <w:r w:rsidR="00217751" w:rsidRPr="009E1C3F">
        <w:rPr>
          <w:bCs/>
        </w:rPr>
        <w:t xml:space="preserve">he median </w:t>
      </w:r>
      <w:r w:rsidR="00906A16">
        <w:rPr>
          <w:bCs/>
        </w:rPr>
        <w:t>probability</w:t>
      </w:r>
      <w:r w:rsidR="00217751" w:rsidRPr="009E1C3F">
        <w:rPr>
          <w:bCs/>
        </w:rPr>
        <w:t xml:space="preserve"> was lower by </w:t>
      </w:r>
      <w:r w:rsidR="00217751">
        <w:rPr>
          <w:bCs/>
        </w:rPr>
        <w:t>2</w:t>
      </w:r>
      <w:r w:rsidR="00217751" w:rsidRPr="009E1C3F">
        <w:rPr>
          <w:bCs/>
        </w:rPr>
        <w:t xml:space="preserve">5% at </w:t>
      </w:r>
      <w:r w:rsidR="00217751">
        <w:rPr>
          <w:bCs/>
        </w:rPr>
        <w:t>age 50</w:t>
      </w:r>
      <w:r w:rsidR="00217751" w:rsidRPr="009E1C3F">
        <w:rPr>
          <w:bCs/>
        </w:rPr>
        <w:t xml:space="preserve"> </w:t>
      </w:r>
      <w:r w:rsidR="00217751">
        <w:rPr>
          <w:bCs/>
        </w:rPr>
        <w:t>years and the difference increased with age</w:t>
      </w:r>
      <w:r w:rsidR="00217751" w:rsidRPr="009E1C3F">
        <w:rPr>
          <w:bCs/>
        </w:rPr>
        <w:t xml:space="preserve">.  At the age of </w:t>
      </w:r>
      <w:r w:rsidR="00217751">
        <w:rPr>
          <w:bCs/>
        </w:rPr>
        <w:t>6</w:t>
      </w:r>
      <w:r w:rsidR="00217751" w:rsidRPr="009E1C3F">
        <w:rPr>
          <w:bCs/>
        </w:rPr>
        <w:t>0</w:t>
      </w:r>
      <w:r w:rsidR="00217751">
        <w:rPr>
          <w:bCs/>
        </w:rPr>
        <w:t>, 70 and 80</w:t>
      </w:r>
      <w:r w:rsidR="00217751" w:rsidRPr="009E1C3F">
        <w:rPr>
          <w:bCs/>
        </w:rPr>
        <w:t xml:space="preserve"> years, the </w:t>
      </w:r>
      <w:r w:rsidR="00217751" w:rsidRPr="00E230DC">
        <w:rPr>
          <w:bCs/>
        </w:rPr>
        <w:t>median value was lower by</w:t>
      </w:r>
      <w:r w:rsidR="00217751">
        <w:rPr>
          <w:bCs/>
        </w:rPr>
        <w:t xml:space="preserve"> 30, 53 and 65%, respectively</w:t>
      </w:r>
      <w:r w:rsidR="00217751" w:rsidRPr="009E1C3F">
        <w:rPr>
          <w:bCs/>
        </w:rPr>
        <w:t>.</w:t>
      </w:r>
      <w:r w:rsidR="00906A16">
        <w:rPr>
          <w:bCs/>
        </w:rPr>
        <w:t xml:space="preserve"> Similar findings were observed for men and for hip fracture.</w:t>
      </w:r>
    </w:p>
    <w:p w:rsidR="00906A16" w:rsidRPr="00217751" w:rsidRDefault="00906A16" w:rsidP="007A3066">
      <w:pPr>
        <w:autoSpaceDE w:val="0"/>
        <w:autoSpaceDN w:val="0"/>
        <w:adjustRightInd w:val="0"/>
        <w:spacing w:after="0" w:line="240" w:lineRule="auto"/>
        <w:ind w:left="567"/>
        <w:rPr>
          <w:rFonts w:cs="AdvTT2acb703b"/>
          <w:i/>
          <w:color w:val="131313"/>
        </w:rPr>
      </w:pPr>
    </w:p>
    <w:p w:rsidR="00774974" w:rsidRPr="00217751" w:rsidRDefault="00774974" w:rsidP="007A3066">
      <w:pPr>
        <w:autoSpaceDE w:val="0"/>
        <w:autoSpaceDN w:val="0"/>
        <w:adjustRightInd w:val="0"/>
        <w:spacing w:after="0" w:line="240" w:lineRule="auto"/>
        <w:ind w:left="567"/>
        <w:rPr>
          <w:rFonts w:cs="AdvTT2acb703b"/>
          <w:i/>
          <w:color w:val="131313"/>
        </w:rPr>
      </w:pPr>
      <w:r w:rsidRPr="00217751">
        <w:rPr>
          <w:rFonts w:cs="AdvTT2acb703b"/>
          <w:i/>
          <w:color w:val="131313"/>
        </w:rPr>
        <w:t xml:space="preserve">Conclusion </w:t>
      </w:r>
      <w:r w:rsidR="00906A16">
        <w:t>The Ukrainian</w:t>
      </w:r>
      <w:r w:rsidR="00906A16" w:rsidRPr="002344CD">
        <w:t xml:space="preserve"> </w:t>
      </w:r>
      <w:r w:rsidR="00906A16">
        <w:t xml:space="preserve">FRAX </w:t>
      </w:r>
      <w:r w:rsidR="00906A16" w:rsidRPr="002344CD">
        <w:t>model should enhance accuracy of determining fracture probability among the Ukrainian population and help to guide decisions about treatment.</w:t>
      </w:r>
      <w:r w:rsidR="00906A16" w:rsidRPr="001F17D1">
        <w:rPr>
          <w:b/>
        </w:rPr>
        <w:t xml:space="preserve"> </w:t>
      </w:r>
      <w:r w:rsidR="00906A16">
        <w:rPr>
          <w:b/>
        </w:rPr>
        <w:t xml:space="preserve"> </w:t>
      </w:r>
      <w:r w:rsidR="00906A16" w:rsidRPr="00B52BB8">
        <w:t xml:space="preserve">The study also indicates that the use of surrogate FRAX models or models from other </w:t>
      </w:r>
      <w:r w:rsidR="00906A16">
        <w:t>c</w:t>
      </w:r>
      <w:r w:rsidR="00906A16" w:rsidRPr="00B52BB8">
        <w:t>ountries, whil</w:t>
      </w:r>
      <w:r w:rsidR="00906A16">
        <w:t>st</w:t>
      </w:r>
      <w:r w:rsidR="00906A16" w:rsidRPr="00B52BB8">
        <w:t xml:space="preserve"> correctly stratifying risk</w:t>
      </w:r>
      <w:r w:rsidR="00906A16">
        <w:t>, may markedly over or underestimate the absolute fracture probability.</w:t>
      </w:r>
    </w:p>
    <w:p w:rsidR="007A3066" w:rsidRPr="007A3066" w:rsidRDefault="007A3066" w:rsidP="007A3066">
      <w:pPr>
        <w:autoSpaceDE w:val="0"/>
        <w:autoSpaceDN w:val="0"/>
        <w:adjustRightInd w:val="0"/>
        <w:spacing w:after="0" w:line="240" w:lineRule="auto"/>
        <w:ind w:left="567"/>
        <w:rPr>
          <w:rFonts w:cs="AdvTTe5c5f14d.B"/>
          <w:color w:val="131313"/>
        </w:rPr>
      </w:pPr>
    </w:p>
    <w:p w:rsidR="00C358AE" w:rsidRPr="007A3066" w:rsidRDefault="00774974" w:rsidP="00774974">
      <w:pPr>
        <w:ind w:left="567"/>
        <w:rPr>
          <w:rFonts w:cs="AdvTT2acb703b"/>
          <w:color w:val="131313"/>
        </w:rPr>
      </w:pPr>
      <w:r w:rsidRPr="007A3066">
        <w:rPr>
          <w:rFonts w:cs="AdvTT2acb703b"/>
          <w:b/>
          <w:color w:val="131313"/>
        </w:rPr>
        <w:t>Keywords</w:t>
      </w:r>
      <w:r w:rsidR="007A3066" w:rsidRPr="007A3066">
        <w:rPr>
          <w:rFonts w:cs="AdvTT2acb703b"/>
          <w:color w:val="131313"/>
        </w:rPr>
        <w:t>:</w:t>
      </w:r>
      <w:r w:rsidRPr="007A3066">
        <w:rPr>
          <w:rFonts w:cs="AdvTT2acb703b"/>
          <w:color w:val="131313"/>
        </w:rPr>
        <w:t xml:space="preserve"> Epidemiology</w:t>
      </w:r>
      <w:r w:rsidR="00217751" w:rsidRPr="00217751">
        <w:rPr>
          <w:rFonts w:cs="AdvTT2acb703b"/>
          <w:color w:val="131313"/>
        </w:rPr>
        <w:t xml:space="preserve"> · </w:t>
      </w:r>
      <w:r w:rsidRPr="007A3066">
        <w:rPr>
          <w:rFonts w:cs="AdvTT2acb703b"/>
          <w:color w:val="131313"/>
        </w:rPr>
        <w:t>Hip fractures</w:t>
      </w:r>
      <w:r w:rsidR="00217751" w:rsidRPr="00217751">
        <w:rPr>
          <w:rFonts w:cs="AdvTT2acb703b"/>
          <w:color w:val="131313"/>
        </w:rPr>
        <w:t xml:space="preserve"> · </w:t>
      </w:r>
      <w:r w:rsidR="007A3066" w:rsidRPr="007A3066">
        <w:rPr>
          <w:rFonts w:cs="AdvTT2acb703b"/>
          <w:color w:val="131313"/>
        </w:rPr>
        <w:t>Ukraine</w:t>
      </w:r>
      <w:r w:rsidRPr="007A3066">
        <w:rPr>
          <w:rFonts w:cs="AdvTT2acb703b"/>
          <w:color w:val="131313"/>
        </w:rPr>
        <w:t xml:space="preserve"> </w:t>
      </w:r>
      <w:r w:rsidR="00217751">
        <w:rPr>
          <w:rFonts w:cs="AdvTT2acb703b"/>
          <w:color w:val="131313"/>
        </w:rPr>
        <w:t>·</w:t>
      </w:r>
      <w:r w:rsidR="007A3066" w:rsidRPr="007A3066">
        <w:rPr>
          <w:rFonts w:cs="AdvTT2acb703b"/>
          <w:color w:val="131313"/>
        </w:rPr>
        <w:t xml:space="preserve"> FRAX</w:t>
      </w:r>
      <w:r w:rsidR="00217751" w:rsidRPr="00217751">
        <w:rPr>
          <w:rFonts w:cs="AdvTT2acb703b"/>
          <w:color w:val="131313"/>
        </w:rPr>
        <w:t xml:space="preserve"> ·</w:t>
      </w:r>
      <w:r w:rsidR="00217751">
        <w:rPr>
          <w:rFonts w:cs="AdvTT2acb703b"/>
          <w:color w:val="131313"/>
        </w:rPr>
        <w:t xml:space="preserve"> Austria</w:t>
      </w:r>
    </w:p>
    <w:p w:rsidR="00076D6E" w:rsidRDefault="00076D6E">
      <w:pPr>
        <w:rPr>
          <w:b/>
        </w:rPr>
      </w:pPr>
      <w:r>
        <w:rPr>
          <w:b/>
        </w:rPr>
        <w:br w:type="page"/>
      </w:r>
    </w:p>
    <w:p w:rsidR="00774974" w:rsidRDefault="007A3066" w:rsidP="00774974">
      <w:pPr>
        <w:ind w:left="567"/>
        <w:rPr>
          <w:b/>
        </w:rPr>
      </w:pPr>
      <w:r w:rsidRPr="007A3066">
        <w:rPr>
          <w:b/>
        </w:rPr>
        <w:lastRenderedPageBreak/>
        <w:t>Introduction</w:t>
      </w:r>
    </w:p>
    <w:p w:rsidR="00283A1A" w:rsidRPr="00283A1A" w:rsidRDefault="00283A1A" w:rsidP="00283A1A">
      <w:pPr>
        <w:ind w:left="567"/>
        <w:rPr>
          <w:bCs/>
          <w:lang w:val="en-US"/>
        </w:rPr>
      </w:pPr>
      <w:r w:rsidRPr="00283A1A">
        <w:rPr>
          <w:bCs/>
          <w:lang w:val="uk-UA"/>
        </w:rPr>
        <w:t xml:space="preserve">FRAX® is a computer-based algorithm </w:t>
      </w:r>
      <w:r w:rsidRPr="00283A1A">
        <w:rPr>
          <w:bCs/>
          <w:lang w:val="en-US"/>
        </w:rPr>
        <w:t>de</w:t>
      </w:r>
      <w:r w:rsidRPr="00283A1A">
        <w:rPr>
          <w:bCs/>
          <w:lang w:val="uk-UA"/>
        </w:rPr>
        <w:t xml:space="preserve">veloped by the </w:t>
      </w:r>
      <w:r w:rsidR="004E711B">
        <w:rPr>
          <w:bCs/>
        </w:rPr>
        <w:t xml:space="preserve">former </w:t>
      </w:r>
      <w:r w:rsidRPr="00283A1A">
        <w:rPr>
          <w:bCs/>
          <w:lang w:val="uk-UA"/>
        </w:rPr>
        <w:t>World Health Organization Collaborating Centre for Metabolic Bone Diseases and first released in 2008. Th</w:t>
      </w:r>
      <w:r w:rsidRPr="00283A1A">
        <w:rPr>
          <w:bCs/>
          <w:lang w:val="en-US"/>
        </w:rPr>
        <w:t>is</w:t>
      </w:r>
      <w:r w:rsidRPr="00283A1A">
        <w:rPr>
          <w:bCs/>
          <w:lang w:val="uk-UA"/>
        </w:rPr>
        <w:t xml:space="preserve"> algorithm calculates</w:t>
      </w:r>
      <w:r w:rsidRPr="00283A1A">
        <w:rPr>
          <w:bCs/>
          <w:lang w:val="en-US"/>
        </w:rPr>
        <w:t xml:space="preserve"> </w:t>
      </w:r>
      <w:r w:rsidRPr="00283A1A">
        <w:rPr>
          <w:bCs/>
          <w:lang w:val="uk-UA"/>
        </w:rPr>
        <w:t>fracture</w:t>
      </w:r>
      <w:r w:rsidRPr="00283A1A">
        <w:rPr>
          <w:bCs/>
          <w:lang w:val="en-US"/>
        </w:rPr>
        <w:t xml:space="preserve"> </w:t>
      </w:r>
      <w:r w:rsidRPr="00283A1A">
        <w:rPr>
          <w:bCs/>
          <w:lang w:val="uk-UA"/>
        </w:rPr>
        <w:t>probability</w:t>
      </w:r>
      <w:r w:rsidRPr="00283A1A">
        <w:rPr>
          <w:bCs/>
          <w:lang w:val="en-US"/>
        </w:rPr>
        <w:t xml:space="preserve"> </w:t>
      </w:r>
      <w:r w:rsidRPr="00283A1A">
        <w:rPr>
          <w:bCs/>
          <w:lang w:val="uk-UA"/>
        </w:rPr>
        <w:t>from</w:t>
      </w:r>
      <w:r w:rsidRPr="00283A1A">
        <w:rPr>
          <w:bCs/>
          <w:lang w:val="en-US"/>
        </w:rPr>
        <w:t xml:space="preserve"> </w:t>
      </w:r>
      <w:r w:rsidRPr="00283A1A">
        <w:rPr>
          <w:bCs/>
          <w:lang w:val="uk-UA"/>
        </w:rPr>
        <w:t>clinical</w:t>
      </w:r>
      <w:r w:rsidRPr="00283A1A">
        <w:rPr>
          <w:bCs/>
          <w:lang w:val="en-US"/>
        </w:rPr>
        <w:t xml:space="preserve"> </w:t>
      </w:r>
      <w:r w:rsidRPr="00283A1A">
        <w:rPr>
          <w:bCs/>
          <w:lang w:val="uk-UA"/>
        </w:rPr>
        <w:t>risk factors in women and men [</w:t>
      </w:r>
      <w:r w:rsidR="00B27164">
        <w:rPr>
          <w:bCs/>
        </w:rPr>
        <w:t>1,2]</w:t>
      </w:r>
      <w:r w:rsidR="00751C1C">
        <w:rPr>
          <w:bCs/>
        </w:rPr>
        <w:t>.</w:t>
      </w:r>
      <w:r w:rsidRPr="00283A1A">
        <w:rPr>
          <w:bCs/>
          <w:lang w:val="uk-UA"/>
        </w:rPr>
        <w:t xml:space="preserve"> The output of FRAX is the 10-year probability of a major osteoporotic fracture </w:t>
      </w:r>
      <w:r w:rsidRPr="00283A1A">
        <w:rPr>
          <w:bCs/>
          <w:lang w:val="en-US"/>
        </w:rPr>
        <w:t>(</w:t>
      </w:r>
      <w:r w:rsidRPr="00283A1A">
        <w:rPr>
          <w:bCs/>
          <w:lang w:val="uk-UA"/>
        </w:rPr>
        <w:t>hip, clinical spine, humerus or wrist fracture) and the 10-year probability</w:t>
      </w:r>
      <w:r w:rsidRPr="00283A1A">
        <w:rPr>
          <w:bCs/>
          <w:lang w:val="en-US"/>
        </w:rPr>
        <w:t xml:space="preserve"> </w:t>
      </w:r>
      <w:r w:rsidRPr="00283A1A">
        <w:rPr>
          <w:bCs/>
          <w:lang w:val="uk-UA"/>
        </w:rPr>
        <w:t>of</w:t>
      </w:r>
      <w:r w:rsidRPr="00283A1A">
        <w:rPr>
          <w:bCs/>
          <w:lang w:val="en-US"/>
        </w:rPr>
        <w:t xml:space="preserve"> </w:t>
      </w:r>
      <w:r w:rsidRPr="00283A1A">
        <w:rPr>
          <w:bCs/>
          <w:lang w:val="uk-UA"/>
        </w:rPr>
        <w:t>hip</w:t>
      </w:r>
      <w:r w:rsidRPr="00283A1A">
        <w:rPr>
          <w:bCs/>
          <w:lang w:val="en-US"/>
        </w:rPr>
        <w:t xml:space="preserve"> </w:t>
      </w:r>
      <w:r w:rsidRPr="00283A1A">
        <w:rPr>
          <w:bCs/>
          <w:lang w:val="uk-UA"/>
        </w:rPr>
        <w:t>fracture.</w:t>
      </w:r>
      <w:r w:rsidRPr="00283A1A">
        <w:rPr>
          <w:bCs/>
          <w:lang w:val="en-US"/>
        </w:rPr>
        <w:t xml:space="preserve"> </w:t>
      </w:r>
      <w:r w:rsidRPr="00283A1A">
        <w:rPr>
          <w:lang w:val="en-US"/>
        </w:rPr>
        <w:t>Probability is calculated from age, body mass index (BMI) and dichotomized risk factors comprising prior fragility fracture, parental history of hip fracture, current tobacco smoking, long-term oral glucocorticoid use, rheumatoid arthritis, other causes of secondary osteoporosis, and excessive alcohol consumption. Femoral neck BMD can be optionally input to enhance fracture risk prediction [</w:t>
      </w:r>
      <w:r w:rsidR="00B27164">
        <w:rPr>
          <w:lang w:val="en-US"/>
        </w:rPr>
        <w:t>3]</w:t>
      </w:r>
      <w:r w:rsidRPr="00283A1A">
        <w:rPr>
          <w:lang w:val="en-US"/>
        </w:rPr>
        <w:t>.</w:t>
      </w:r>
    </w:p>
    <w:p w:rsidR="004E711B" w:rsidRDefault="004E711B" w:rsidP="004E711B">
      <w:pPr>
        <w:ind w:left="567"/>
        <w:rPr>
          <w:bCs/>
          <w:lang w:val="en-US"/>
        </w:rPr>
      </w:pPr>
      <w:r w:rsidRPr="004E711B">
        <w:rPr>
          <w:bCs/>
          <w:lang w:val="en-US"/>
        </w:rPr>
        <w:t>The risk of hip fracture and probably of other osteoporotic fractures varies significantly around the world [</w:t>
      </w:r>
      <w:r w:rsidR="00B27164">
        <w:rPr>
          <w:bCs/>
          <w:lang w:val="en-US"/>
        </w:rPr>
        <w:t>4]</w:t>
      </w:r>
      <w:r w:rsidRPr="004E711B">
        <w:rPr>
          <w:bCs/>
          <w:lang w:val="en-US"/>
        </w:rPr>
        <w:t>. The difference in incidence between countries is much greater than the difference in incidence between sexes within a country. Indeed, greater than 10-fold difference</w:t>
      </w:r>
      <w:r w:rsidR="00717DB4">
        <w:rPr>
          <w:bCs/>
          <w:lang w:val="en-US"/>
        </w:rPr>
        <w:t>s</w:t>
      </w:r>
      <w:r w:rsidRPr="004E711B">
        <w:rPr>
          <w:bCs/>
          <w:lang w:val="en-US"/>
        </w:rPr>
        <w:t xml:space="preserve"> in hip fracture incidence ha</w:t>
      </w:r>
      <w:r w:rsidR="00717DB4">
        <w:rPr>
          <w:bCs/>
          <w:lang w:val="en-US"/>
        </w:rPr>
        <w:t>ve</w:t>
      </w:r>
      <w:r w:rsidRPr="004E711B">
        <w:rPr>
          <w:bCs/>
          <w:lang w:val="en-US"/>
        </w:rPr>
        <w:t xml:space="preserve"> been reported in different countries</w:t>
      </w:r>
      <w:r w:rsidR="00A019A7">
        <w:rPr>
          <w:bCs/>
          <w:lang w:val="en-US"/>
        </w:rPr>
        <w:t xml:space="preserve">. </w:t>
      </w:r>
      <w:r w:rsidR="00751C1C">
        <w:rPr>
          <w:bCs/>
          <w:lang w:val="en-US"/>
        </w:rPr>
        <w:t xml:space="preserve"> </w:t>
      </w:r>
      <w:r w:rsidR="00A019A7">
        <w:rPr>
          <w:bCs/>
          <w:lang w:val="en-US"/>
        </w:rPr>
        <w:t>For this reason, FRAX models are calibrated for each country dependent on the epidemiology of death and fracture (most usually hip fracture</w:t>
      </w:r>
      <w:r w:rsidR="001C3D83">
        <w:rPr>
          <w:bCs/>
          <w:lang w:val="en-US"/>
        </w:rPr>
        <w:t>)</w:t>
      </w:r>
      <w:r w:rsidR="00A019A7">
        <w:rPr>
          <w:bCs/>
          <w:lang w:val="en-US"/>
        </w:rPr>
        <w:t>.  To date, FRAX models are available for 63 countries (</w:t>
      </w:r>
      <w:hyperlink r:id="rId10" w:history="1">
        <w:r w:rsidR="00A019A7" w:rsidRPr="00E13503">
          <w:rPr>
            <w:rStyle w:val="Hyperlink"/>
            <w:lang w:val="en-US"/>
          </w:rPr>
          <w:t>http://www.shef.ac.uk/FRAX</w:t>
        </w:r>
      </w:hyperlink>
      <w:r w:rsidR="00A019A7" w:rsidRPr="00A019A7">
        <w:rPr>
          <w:bCs/>
          <w:lang w:val="en-US"/>
        </w:rPr>
        <w:t>)</w:t>
      </w:r>
      <w:r w:rsidR="00A019A7">
        <w:rPr>
          <w:bCs/>
          <w:lang w:val="en-US"/>
        </w:rPr>
        <w:t xml:space="preserve"> covering more than 80 % of the world populatio</w:t>
      </w:r>
      <w:r w:rsidR="00A222D6">
        <w:rPr>
          <w:bCs/>
          <w:lang w:val="en-US"/>
        </w:rPr>
        <w:t>n [</w:t>
      </w:r>
      <w:r w:rsidR="00C02EF0">
        <w:rPr>
          <w:bCs/>
          <w:lang w:val="en-US"/>
        </w:rPr>
        <w:t>5]</w:t>
      </w:r>
      <w:r w:rsidR="00AE2B08">
        <w:rPr>
          <w:bCs/>
          <w:lang w:val="en-US"/>
        </w:rPr>
        <w:t xml:space="preserve">.  </w:t>
      </w:r>
    </w:p>
    <w:p w:rsidR="004E711B" w:rsidRDefault="002612E9" w:rsidP="004E711B">
      <w:pPr>
        <w:ind w:left="567"/>
        <w:rPr>
          <w:bCs/>
          <w:lang w:val="en-US"/>
        </w:rPr>
      </w:pPr>
      <w:r>
        <w:rPr>
          <w:bCs/>
          <w:lang w:val="en-US"/>
        </w:rPr>
        <w:t>All t</w:t>
      </w:r>
      <w:r w:rsidR="00EE0876">
        <w:rPr>
          <w:bCs/>
          <w:lang w:val="en-US"/>
        </w:rPr>
        <w:t xml:space="preserve">he required information to build a FRAX model is not available in </w:t>
      </w:r>
      <w:r>
        <w:rPr>
          <w:bCs/>
          <w:lang w:val="en-US"/>
        </w:rPr>
        <w:t>all</w:t>
      </w:r>
      <w:r w:rsidR="00EE0876">
        <w:rPr>
          <w:bCs/>
          <w:lang w:val="en-US"/>
        </w:rPr>
        <w:t xml:space="preserve"> countries.  In such cases, the use of a surrogate model has been propose</w:t>
      </w:r>
      <w:r w:rsidR="00717DB4">
        <w:rPr>
          <w:bCs/>
          <w:lang w:val="en-US"/>
        </w:rPr>
        <w:t>d</w:t>
      </w:r>
      <w:r w:rsidR="00EE0876">
        <w:rPr>
          <w:bCs/>
          <w:lang w:val="en-US"/>
        </w:rPr>
        <w:t xml:space="preserve"> [</w:t>
      </w:r>
      <w:r w:rsidR="00C02EF0">
        <w:rPr>
          <w:bCs/>
          <w:lang w:val="en-US"/>
        </w:rPr>
        <w:t xml:space="preserve">6] </w:t>
      </w:r>
      <w:r w:rsidR="00EE0876">
        <w:rPr>
          <w:bCs/>
          <w:lang w:val="en-US"/>
        </w:rPr>
        <w:t>using the death rate of the index country and the fracture rate of a country thought to be similar to the index c</w:t>
      </w:r>
      <w:r w:rsidR="00717DB4">
        <w:rPr>
          <w:bCs/>
          <w:lang w:val="en-US"/>
        </w:rPr>
        <w:t>ountry in terms of fracture risk.  Examples include Sri Lanka, India</w:t>
      </w:r>
      <w:r w:rsidR="00F32348">
        <w:rPr>
          <w:bCs/>
          <w:lang w:val="en-US"/>
        </w:rPr>
        <w:t xml:space="preserve"> [</w:t>
      </w:r>
      <w:r w:rsidR="00C02EF0">
        <w:rPr>
          <w:bCs/>
          <w:lang w:val="en-US"/>
        </w:rPr>
        <w:t>7, 8]</w:t>
      </w:r>
      <w:r w:rsidR="00F32348">
        <w:rPr>
          <w:bCs/>
          <w:lang w:val="en-US"/>
        </w:rPr>
        <w:t xml:space="preserve"> and</w:t>
      </w:r>
      <w:r w:rsidR="00717DB4">
        <w:rPr>
          <w:bCs/>
          <w:lang w:val="en-US"/>
        </w:rPr>
        <w:t xml:space="preserve"> until recently, Armenia. </w:t>
      </w:r>
      <w:r w:rsidR="00EE0876">
        <w:rPr>
          <w:bCs/>
          <w:lang w:val="en-US"/>
        </w:rPr>
        <w:t xml:space="preserve">  </w:t>
      </w:r>
      <w:r w:rsidR="00C8116E">
        <w:rPr>
          <w:bCs/>
          <w:lang w:val="en-US"/>
        </w:rPr>
        <w:t>T</w:t>
      </w:r>
      <w:r w:rsidR="004E711B" w:rsidRPr="004E711B">
        <w:rPr>
          <w:bCs/>
          <w:lang w:val="en-US"/>
        </w:rPr>
        <w:t xml:space="preserve">he Ukrainian Scientific Medical Centre on Osteoporosis Problems (Kiev) has </w:t>
      </w:r>
      <w:r w:rsidR="00AE2B08">
        <w:rPr>
          <w:bCs/>
          <w:lang w:val="en-US"/>
        </w:rPr>
        <w:t>u</w:t>
      </w:r>
      <w:r w:rsidR="00EE0876">
        <w:rPr>
          <w:bCs/>
          <w:lang w:val="en-US"/>
        </w:rPr>
        <w:t>s</w:t>
      </w:r>
      <w:r w:rsidR="00AE2B08">
        <w:rPr>
          <w:bCs/>
          <w:lang w:val="en-US"/>
        </w:rPr>
        <w:t>ed</w:t>
      </w:r>
      <w:r w:rsidR="004E711B" w:rsidRPr="004E711B">
        <w:rPr>
          <w:bCs/>
          <w:lang w:val="en-US"/>
        </w:rPr>
        <w:t xml:space="preserve"> FRAX to estimate the osteoporotic fracture risk </w:t>
      </w:r>
      <w:r w:rsidR="00C8116E">
        <w:rPr>
          <w:bCs/>
          <w:lang w:val="en-US"/>
        </w:rPr>
        <w:t xml:space="preserve">since 2009 </w:t>
      </w:r>
      <w:r w:rsidR="004E711B" w:rsidRPr="004E711B">
        <w:rPr>
          <w:bCs/>
          <w:lang w:val="en-US"/>
        </w:rPr>
        <w:t>[</w:t>
      </w:r>
      <w:r w:rsidR="00C02EF0">
        <w:rPr>
          <w:bCs/>
          <w:lang w:val="en-US"/>
        </w:rPr>
        <w:t>9]</w:t>
      </w:r>
      <w:r w:rsidR="00C8116E">
        <w:rPr>
          <w:bCs/>
          <w:lang w:val="en-US"/>
        </w:rPr>
        <w:t>.  Rather than using a surrogate model, the Austrian version of FRAX</w:t>
      </w:r>
      <w:r w:rsidR="00AE2B08">
        <w:rPr>
          <w:bCs/>
          <w:lang w:val="en-US"/>
        </w:rPr>
        <w:t xml:space="preserve"> </w:t>
      </w:r>
      <w:r w:rsidR="00C8116E">
        <w:rPr>
          <w:bCs/>
          <w:lang w:val="en-US"/>
        </w:rPr>
        <w:t xml:space="preserve">was </w:t>
      </w:r>
      <w:r w:rsidR="00AE2B08">
        <w:rPr>
          <w:bCs/>
          <w:lang w:val="en-US"/>
        </w:rPr>
        <w:t>adopted</w:t>
      </w:r>
      <w:r w:rsidR="004E711B" w:rsidRPr="004E711B">
        <w:rPr>
          <w:bCs/>
          <w:lang w:val="en-US"/>
        </w:rPr>
        <w:t xml:space="preserve"> </w:t>
      </w:r>
      <w:r w:rsidR="00AE2B08">
        <w:rPr>
          <w:bCs/>
          <w:lang w:val="en-US"/>
        </w:rPr>
        <w:t xml:space="preserve">for </w:t>
      </w:r>
      <w:r w:rsidR="004E711B" w:rsidRPr="004E711B">
        <w:rPr>
          <w:bCs/>
          <w:lang w:val="en-US"/>
        </w:rPr>
        <w:t>clinical practice</w:t>
      </w:r>
      <w:r w:rsidR="00AE2B08">
        <w:rPr>
          <w:bCs/>
          <w:lang w:val="en-US"/>
        </w:rPr>
        <w:t xml:space="preserve"> </w:t>
      </w:r>
      <w:r w:rsidR="00AE2B08" w:rsidRPr="00AE2B08">
        <w:rPr>
          <w:bCs/>
          <w:lang w:val="en-US"/>
        </w:rPr>
        <w:t>[</w:t>
      </w:r>
      <w:r w:rsidR="00C02EF0">
        <w:rPr>
          <w:bCs/>
          <w:lang w:val="en-US"/>
        </w:rPr>
        <w:t>10]</w:t>
      </w:r>
      <w:r w:rsidR="004E711B" w:rsidRPr="004E711B">
        <w:rPr>
          <w:bCs/>
          <w:lang w:val="en-US"/>
        </w:rPr>
        <w:t xml:space="preserve">. </w:t>
      </w:r>
      <w:r w:rsidR="00AE2B08">
        <w:rPr>
          <w:bCs/>
          <w:lang w:val="en-US"/>
        </w:rPr>
        <w:t xml:space="preserve"> Sin</w:t>
      </w:r>
      <w:r w:rsidR="003471A3">
        <w:rPr>
          <w:bCs/>
          <w:lang w:val="en-US"/>
        </w:rPr>
        <w:t>c</w:t>
      </w:r>
      <w:r w:rsidR="00AE2B08">
        <w:rPr>
          <w:bCs/>
          <w:lang w:val="en-US"/>
        </w:rPr>
        <w:t>e the</w:t>
      </w:r>
      <w:r w:rsidR="003471A3">
        <w:rPr>
          <w:bCs/>
          <w:lang w:val="en-US"/>
        </w:rPr>
        <w:t>n,</w:t>
      </w:r>
      <w:r w:rsidR="00AE2B08">
        <w:rPr>
          <w:bCs/>
          <w:lang w:val="en-US"/>
        </w:rPr>
        <w:t xml:space="preserve"> data have become available on hip f</w:t>
      </w:r>
      <w:r w:rsidR="003471A3">
        <w:rPr>
          <w:bCs/>
          <w:lang w:val="en-US"/>
        </w:rPr>
        <w:t>r</w:t>
      </w:r>
      <w:r w:rsidR="00AE2B08">
        <w:rPr>
          <w:bCs/>
          <w:lang w:val="en-US"/>
        </w:rPr>
        <w:t>acture</w:t>
      </w:r>
      <w:r w:rsidR="003471A3">
        <w:rPr>
          <w:bCs/>
          <w:lang w:val="en-US"/>
        </w:rPr>
        <w:t xml:space="preserve"> incidence</w:t>
      </w:r>
      <w:r w:rsidR="00C8116E">
        <w:rPr>
          <w:bCs/>
          <w:lang w:val="en-US"/>
        </w:rPr>
        <w:t xml:space="preserve"> in the Ukraine</w:t>
      </w:r>
      <w:r w:rsidR="003471A3">
        <w:rPr>
          <w:bCs/>
          <w:lang w:val="en-US"/>
        </w:rPr>
        <w:t xml:space="preserve">. </w:t>
      </w:r>
      <w:r w:rsidR="004E711B" w:rsidRPr="004E711B">
        <w:rPr>
          <w:bCs/>
          <w:lang w:val="en-US"/>
        </w:rPr>
        <w:t>The aim</w:t>
      </w:r>
      <w:r w:rsidR="00A54A9D">
        <w:rPr>
          <w:bCs/>
          <w:lang w:val="en-US"/>
        </w:rPr>
        <w:t>s</w:t>
      </w:r>
      <w:r w:rsidR="004E711B" w:rsidRPr="004E711B">
        <w:rPr>
          <w:bCs/>
          <w:lang w:val="en-US"/>
        </w:rPr>
        <w:t xml:space="preserve"> of the present study </w:t>
      </w:r>
      <w:r w:rsidR="00C8116E" w:rsidRPr="004E711B">
        <w:rPr>
          <w:bCs/>
          <w:lang w:val="en-US"/>
        </w:rPr>
        <w:t>were</w:t>
      </w:r>
      <w:r w:rsidR="004E711B" w:rsidRPr="004E711B">
        <w:rPr>
          <w:bCs/>
          <w:lang w:val="en-US"/>
        </w:rPr>
        <w:t xml:space="preserve"> to develop the Ukrainian FRAX model according </w:t>
      </w:r>
      <w:r>
        <w:rPr>
          <w:bCs/>
          <w:lang w:val="en-US"/>
        </w:rPr>
        <w:t xml:space="preserve">to </w:t>
      </w:r>
      <w:r w:rsidR="004E711B" w:rsidRPr="004E711B">
        <w:rPr>
          <w:bCs/>
          <w:lang w:val="en-US"/>
        </w:rPr>
        <w:t>the age- and sex-speciﬁc hip fracture rates in Ukraine</w:t>
      </w:r>
      <w:r w:rsidR="00A54A9D">
        <w:rPr>
          <w:bCs/>
          <w:lang w:val="en-US"/>
        </w:rPr>
        <w:t xml:space="preserve"> and to compare this with the Austrian FRAX model currently recommended for Ukraine</w:t>
      </w:r>
      <w:r w:rsidR="004E711B" w:rsidRPr="004E711B">
        <w:rPr>
          <w:bCs/>
          <w:lang w:val="en-US"/>
        </w:rPr>
        <w:t>.</w:t>
      </w:r>
    </w:p>
    <w:p w:rsidR="003471A3" w:rsidRPr="00E45D9A" w:rsidRDefault="003471A3" w:rsidP="00C8116E">
      <w:pPr>
        <w:ind w:left="567"/>
        <w:rPr>
          <w:b/>
          <w:bCs/>
          <w:lang w:val="en-US"/>
        </w:rPr>
      </w:pPr>
      <w:r w:rsidRPr="00E45D9A">
        <w:rPr>
          <w:b/>
          <w:bCs/>
          <w:lang w:val="en-US"/>
        </w:rPr>
        <w:t>Methods</w:t>
      </w:r>
    </w:p>
    <w:p w:rsidR="00E45D9A" w:rsidRDefault="00E45D9A" w:rsidP="00C8116E">
      <w:pPr>
        <w:ind w:left="567"/>
        <w:rPr>
          <w:bCs/>
          <w:lang w:val="en-US"/>
        </w:rPr>
      </w:pPr>
      <w:r w:rsidRPr="00E45D9A">
        <w:rPr>
          <w:bCs/>
          <w:lang w:val="en-US"/>
        </w:rPr>
        <w:t>The development and validation of FRAX have been extensively described [</w:t>
      </w:r>
      <w:r w:rsidR="00C02EF0">
        <w:rPr>
          <w:bCs/>
          <w:lang w:val="en-US"/>
        </w:rPr>
        <w:t>1, 2]</w:t>
      </w:r>
      <w:r w:rsidRPr="00E45D9A">
        <w:rPr>
          <w:bCs/>
          <w:lang w:val="en-US"/>
        </w:rPr>
        <w:t xml:space="preserve">. The risk factors used were based on a systematic </w:t>
      </w:r>
      <w:r>
        <w:rPr>
          <w:bCs/>
          <w:lang w:val="en-US"/>
        </w:rPr>
        <w:t>series</w:t>
      </w:r>
      <w:r w:rsidRPr="00E45D9A">
        <w:rPr>
          <w:bCs/>
          <w:lang w:val="en-US"/>
        </w:rPr>
        <w:t xml:space="preserve"> of meta-analyses of population based cohorts worldwide and validated in independent cohorts with over 1 million patient-years of follow-up. The construct of the FRAX model for Ukraine required the beta coefficients of risk factors in the original FRAX mode</w:t>
      </w:r>
      <w:r>
        <w:rPr>
          <w:bCs/>
          <w:lang w:val="en-US"/>
        </w:rPr>
        <w:t>l,</w:t>
      </w:r>
      <w:r w:rsidRPr="00E45D9A">
        <w:rPr>
          <w:bCs/>
          <w:lang w:val="en-US"/>
        </w:rPr>
        <w:t xml:space="preserve"> and the incidence </w:t>
      </w:r>
      <w:r>
        <w:rPr>
          <w:bCs/>
          <w:lang w:val="en-US"/>
        </w:rPr>
        <w:t xml:space="preserve">of </w:t>
      </w:r>
      <w:r w:rsidRPr="00E45D9A">
        <w:rPr>
          <w:bCs/>
          <w:lang w:val="en-US"/>
        </w:rPr>
        <w:t xml:space="preserve">hip fracture </w:t>
      </w:r>
      <w:r>
        <w:rPr>
          <w:bCs/>
          <w:lang w:val="en-US"/>
        </w:rPr>
        <w:t>and death</w:t>
      </w:r>
      <w:r w:rsidRPr="00E45D9A">
        <w:rPr>
          <w:bCs/>
          <w:lang w:val="en-US"/>
        </w:rPr>
        <w:t xml:space="preserve"> for Ukraine.</w:t>
      </w:r>
      <w:r>
        <w:rPr>
          <w:bCs/>
          <w:lang w:val="en-US"/>
        </w:rPr>
        <w:t xml:space="preserve"> The death hazard </w:t>
      </w:r>
      <w:r w:rsidR="001C3D83">
        <w:rPr>
          <w:bCs/>
          <w:lang w:val="en-US"/>
        </w:rPr>
        <w:t xml:space="preserve">for 2009 </w:t>
      </w:r>
      <w:r>
        <w:rPr>
          <w:bCs/>
          <w:lang w:val="en-US"/>
        </w:rPr>
        <w:t>was taken from the data base of the United Nations [</w:t>
      </w:r>
      <w:r w:rsidR="00C02EF0">
        <w:rPr>
          <w:bCs/>
          <w:lang w:val="en-US"/>
        </w:rPr>
        <w:t>11]</w:t>
      </w:r>
      <w:r>
        <w:rPr>
          <w:bCs/>
          <w:lang w:val="en-US"/>
        </w:rPr>
        <w:t>.</w:t>
      </w:r>
    </w:p>
    <w:p w:rsidR="00505D2F" w:rsidRDefault="00505D2F" w:rsidP="00C8116E">
      <w:pPr>
        <w:ind w:left="567"/>
        <w:rPr>
          <w:bCs/>
          <w:lang w:val="en-US"/>
        </w:rPr>
      </w:pPr>
      <w:r w:rsidRPr="00505D2F">
        <w:rPr>
          <w:bCs/>
          <w:i/>
          <w:lang w:val="en-US"/>
        </w:rPr>
        <w:t>Cohorts</w:t>
      </w:r>
    </w:p>
    <w:p w:rsidR="005C476F" w:rsidRDefault="00E45D9A" w:rsidP="005055BB">
      <w:pPr>
        <w:ind w:left="567"/>
        <w:rPr>
          <w:bCs/>
          <w:lang w:val="en-US"/>
        </w:rPr>
      </w:pPr>
      <w:r w:rsidRPr="00E45D9A">
        <w:rPr>
          <w:bCs/>
          <w:lang w:val="en-US"/>
        </w:rPr>
        <w:t xml:space="preserve">The </w:t>
      </w:r>
      <w:r w:rsidR="00E54D14">
        <w:rPr>
          <w:bCs/>
          <w:lang w:val="en-US"/>
        </w:rPr>
        <w:t xml:space="preserve">risk of hip fracture was calculated from </w:t>
      </w:r>
      <w:r w:rsidR="002E2824">
        <w:rPr>
          <w:bCs/>
          <w:lang w:val="en-US"/>
        </w:rPr>
        <w:t xml:space="preserve">two studies at </w:t>
      </w:r>
      <w:r w:rsidR="00302807">
        <w:rPr>
          <w:bCs/>
          <w:lang w:val="en-US"/>
        </w:rPr>
        <w:t xml:space="preserve">three </w:t>
      </w:r>
      <w:r w:rsidR="00E54D14">
        <w:rPr>
          <w:bCs/>
          <w:lang w:val="en-US"/>
        </w:rPr>
        <w:t xml:space="preserve">regional </w:t>
      </w:r>
      <w:r w:rsidR="002E2824">
        <w:rPr>
          <w:bCs/>
        </w:rPr>
        <w:t>sites</w:t>
      </w:r>
      <w:r w:rsidRPr="00E45D9A">
        <w:rPr>
          <w:bCs/>
        </w:rPr>
        <w:t xml:space="preserve"> in Ukraine (Vinnitsa</w:t>
      </w:r>
      <w:r w:rsidRPr="00E45D9A">
        <w:rPr>
          <w:bCs/>
          <w:lang w:val="en-US"/>
        </w:rPr>
        <w:t xml:space="preserve"> city (1997-2002)</w:t>
      </w:r>
      <w:r w:rsidRPr="00E45D9A">
        <w:rPr>
          <w:bCs/>
        </w:rPr>
        <w:t>, STOP-Study (Uzhgorod city and Vinnitsa</w:t>
      </w:r>
      <w:r w:rsidRPr="00E45D9A">
        <w:rPr>
          <w:bCs/>
          <w:lang w:val="en-US"/>
        </w:rPr>
        <w:t xml:space="preserve"> area, </w:t>
      </w:r>
      <w:r w:rsidRPr="00E45D9A">
        <w:rPr>
          <w:bCs/>
        </w:rPr>
        <w:t>2011-2012)</w:t>
      </w:r>
      <w:r w:rsidRPr="00E45D9A">
        <w:rPr>
          <w:bCs/>
          <w:lang w:val="en-US"/>
        </w:rPr>
        <w:t>.</w:t>
      </w:r>
      <w:r w:rsidR="00E54D14">
        <w:rPr>
          <w:bCs/>
          <w:lang w:val="en-US"/>
        </w:rPr>
        <w:t xml:space="preserve">  </w:t>
      </w:r>
      <w:r w:rsidR="008848EA">
        <w:rPr>
          <w:bCs/>
          <w:lang w:val="en-US"/>
        </w:rPr>
        <w:t>The results of these studies have been reported elsewhere [</w:t>
      </w:r>
      <w:r w:rsidR="00CD57C3">
        <w:rPr>
          <w:bCs/>
          <w:lang w:val="en-US"/>
        </w:rPr>
        <w:t>12, 13]</w:t>
      </w:r>
      <w:r w:rsidR="008848EA">
        <w:rPr>
          <w:bCs/>
          <w:lang w:val="en-US"/>
        </w:rPr>
        <w:t xml:space="preserve">.  </w:t>
      </w:r>
      <w:r w:rsidR="002612E9" w:rsidRPr="002612E9">
        <w:rPr>
          <w:bCs/>
          <w:lang w:val="en-US"/>
        </w:rPr>
        <w:t xml:space="preserve">In brief, </w:t>
      </w:r>
      <w:r w:rsidR="002612E9" w:rsidRPr="002612E9">
        <w:rPr>
          <w:bCs/>
        </w:rPr>
        <w:t xml:space="preserve">in the </w:t>
      </w:r>
      <w:r w:rsidR="002612E9" w:rsidRPr="002612E9">
        <w:rPr>
          <w:bCs/>
          <w:lang w:val="en-US"/>
        </w:rPr>
        <w:t>Vinnitsa</w:t>
      </w:r>
      <w:r w:rsidR="002612E9" w:rsidRPr="002612E9">
        <w:rPr>
          <w:bCs/>
        </w:rPr>
        <w:t xml:space="preserve"> city study, c</w:t>
      </w:r>
      <w:r w:rsidR="002612E9" w:rsidRPr="002612E9">
        <w:rPr>
          <w:bCs/>
          <w:lang w:val="en-US"/>
        </w:rPr>
        <w:t xml:space="preserve">ases </w:t>
      </w:r>
      <w:r w:rsidR="00E54D14" w:rsidRPr="00E54D14">
        <w:rPr>
          <w:bCs/>
          <w:lang w:val="en-US"/>
        </w:rPr>
        <w:t xml:space="preserve">of hip fracture were identiﬁed retrospectively over </w:t>
      </w:r>
      <w:r w:rsidR="00302807">
        <w:rPr>
          <w:bCs/>
          <w:lang w:val="en-US"/>
        </w:rPr>
        <w:t xml:space="preserve">a </w:t>
      </w:r>
      <w:r w:rsidR="00E54D14" w:rsidRPr="00E54D14">
        <w:rPr>
          <w:bCs/>
          <w:lang w:val="en-US"/>
        </w:rPr>
        <w:t xml:space="preserve">6-year period (from 01.01.1997 to 31.12.2002) in men and women aged </w:t>
      </w:r>
      <w:r w:rsidR="00920C2B">
        <w:rPr>
          <w:bCs/>
          <w:lang w:val="en-US"/>
        </w:rPr>
        <w:t>5</w:t>
      </w:r>
      <w:r w:rsidR="00E54D14" w:rsidRPr="00E54D14">
        <w:rPr>
          <w:bCs/>
          <w:lang w:val="en-US"/>
        </w:rPr>
        <w:t>0 years or more.</w:t>
      </w:r>
      <w:r w:rsidR="00C81F60" w:rsidRPr="00E54D14">
        <w:rPr>
          <w:bCs/>
          <w:lang w:val="en-US"/>
        </w:rPr>
        <w:t xml:space="preserve"> </w:t>
      </w:r>
      <w:r w:rsidR="00E54D14" w:rsidRPr="00E54D14">
        <w:rPr>
          <w:bCs/>
          <w:lang w:val="en-US"/>
        </w:rPr>
        <w:t xml:space="preserve">The second study (Study of </w:t>
      </w:r>
      <w:r w:rsidR="00A54A9D">
        <w:rPr>
          <w:bCs/>
          <w:lang w:val="en-US"/>
        </w:rPr>
        <w:t>t</w:t>
      </w:r>
      <w:r w:rsidR="00E54D14" w:rsidRPr="00E54D14">
        <w:rPr>
          <w:bCs/>
          <w:lang w:val="en-US"/>
        </w:rPr>
        <w:t>he prevalence of Osteoporotic fractures in Ukrainian Population - STOP-Study)</w:t>
      </w:r>
      <w:r w:rsidR="00302807">
        <w:rPr>
          <w:bCs/>
          <w:lang w:val="en-US"/>
        </w:rPr>
        <w:t>,</w:t>
      </w:r>
      <w:r w:rsidR="00E54D14" w:rsidRPr="00E54D14">
        <w:rPr>
          <w:bCs/>
          <w:lang w:val="en-US"/>
        </w:rPr>
        <w:t xml:space="preserve"> </w:t>
      </w:r>
      <w:r w:rsidR="00E54D14" w:rsidRPr="00E54D14">
        <w:rPr>
          <w:bCs/>
        </w:rPr>
        <w:t xml:space="preserve">organized by </w:t>
      </w:r>
      <w:r w:rsidR="00302807">
        <w:rPr>
          <w:bCs/>
        </w:rPr>
        <w:t xml:space="preserve">the </w:t>
      </w:r>
      <w:r w:rsidR="00E54D14" w:rsidRPr="00E54D14">
        <w:rPr>
          <w:bCs/>
        </w:rPr>
        <w:t xml:space="preserve">Ukrainian Association of </w:t>
      </w:r>
      <w:r w:rsidR="00C8116E">
        <w:rPr>
          <w:bCs/>
        </w:rPr>
        <w:t>O</w:t>
      </w:r>
      <w:r w:rsidR="00E54D14" w:rsidRPr="00E54D14">
        <w:rPr>
          <w:bCs/>
        </w:rPr>
        <w:t>steoporosis</w:t>
      </w:r>
      <w:r w:rsidR="00302807">
        <w:rPr>
          <w:bCs/>
        </w:rPr>
        <w:t>,</w:t>
      </w:r>
      <w:r w:rsidR="00302807" w:rsidRPr="00302807">
        <w:rPr>
          <w:bCs/>
          <w:lang w:val="en-US"/>
        </w:rPr>
        <w:t xml:space="preserve"> </w:t>
      </w:r>
      <w:r w:rsidR="00302807">
        <w:rPr>
          <w:bCs/>
          <w:lang w:val="en-US"/>
        </w:rPr>
        <w:t>gathered retrospective information</w:t>
      </w:r>
      <w:r w:rsidR="00302807" w:rsidRPr="00302807">
        <w:rPr>
          <w:bCs/>
          <w:lang w:val="en-US"/>
        </w:rPr>
        <w:t xml:space="preserve"> </w:t>
      </w:r>
      <w:r w:rsidR="00302807" w:rsidRPr="00302807">
        <w:rPr>
          <w:bCs/>
          <w:lang w:val="en-US"/>
        </w:rPr>
        <w:lastRenderedPageBreak/>
        <w:t>over two years (01.01.2011 to 31.12.2012</w:t>
      </w:r>
      <w:r w:rsidR="00564759">
        <w:rPr>
          <w:bCs/>
          <w:lang w:val="en-US"/>
        </w:rPr>
        <w:t xml:space="preserve">) in </w:t>
      </w:r>
      <w:r w:rsidR="00E54D14" w:rsidRPr="00E54D14">
        <w:rPr>
          <w:bCs/>
          <w:lang w:val="en-US"/>
        </w:rPr>
        <w:t>two regions - Uzhhorod city and Vinnitsa area</w:t>
      </w:r>
      <w:r w:rsidR="00C8116E">
        <w:rPr>
          <w:bCs/>
          <w:lang w:val="en-US"/>
        </w:rPr>
        <w:t xml:space="preserve"> excluding Vinnitsa city</w:t>
      </w:r>
      <w:r w:rsidR="00E54D14" w:rsidRPr="00E54D14">
        <w:rPr>
          <w:bCs/>
          <w:lang w:val="en-US"/>
        </w:rPr>
        <w:t xml:space="preserve">. </w:t>
      </w:r>
    </w:p>
    <w:p w:rsidR="00505D2F" w:rsidRDefault="00505D2F" w:rsidP="005055BB">
      <w:pPr>
        <w:ind w:left="567"/>
        <w:rPr>
          <w:bCs/>
          <w:lang w:val="en-US"/>
        </w:rPr>
      </w:pPr>
      <w:r w:rsidRPr="00505D2F">
        <w:rPr>
          <w:bCs/>
          <w:i/>
          <w:lang w:val="en-US"/>
        </w:rPr>
        <w:t>Ascertainment of incident fractures</w:t>
      </w:r>
    </w:p>
    <w:p w:rsidR="00E54D14" w:rsidRPr="00E54D14" w:rsidRDefault="005C476F" w:rsidP="005055BB">
      <w:pPr>
        <w:ind w:left="567"/>
        <w:rPr>
          <w:bCs/>
          <w:lang w:val="en-US"/>
        </w:rPr>
      </w:pPr>
      <w:r w:rsidRPr="005C476F">
        <w:rPr>
          <w:bCs/>
          <w:lang w:val="en-US"/>
        </w:rPr>
        <w:t xml:space="preserve">All data were </w:t>
      </w:r>
      <w:r>
        <w:rPr>
          <w:bCs/>
          <w:lang w:val="en-US"/>
        </w:rPr>
        <w:t>retrieved</w:t>
      </w:r>
      <w:r w:rsidRPr="005C476F">
        <w:rPr>
          <w:bCs/>
          <w:lang w:val="en-US"/>
        </w:rPr>
        <w:t xml:space="preserve"> from multiple sources (</w:t>
      </w:r>
      <w:r>
        <w:rPr>
          <w:bCs/>
          <w:lang w:val="en-US"/>
        </w:rPr>
        <w:t xml:space="preserve">the records of the </w:t>
      </w:r>
      <w:r w:rsidRPr="005C476F">
        <w:rPr>
          <w:bCs/>
          <w:lang w:val="en-US"/>
        </w:rPr>
        <w:t xml:space="preserve">ambulance </w:t>
      </w:r>
      <w:r>
        <w:rPr>
          <w:bCs/>
          <w:lang w:val="en-US"/>
        </w:rPr>
        <w:t>service</w:t>
      </w:r>
      <w:r w:rsidRPr="005C476F">
        <w:rPr>
          <w:bCs/>
          <w:lang w:val="en-US"/>
        </w:rPr>
        <w:t>, city and district hospitals</w:t>
      </w:r>
      <w:r>
        <w:rPr>
          <w:bCs/>
          <w:lang w:val="en-US"/>
        </w:rPr>
        <w:t>,</w:t>
      </w:r>
      <w:r w:rsidRPr="005C476F">
        <w:rPr>
          <w:bCs/>
          <w:lang w:val="en-US"/>
        </w:rPr>
        <w:t xml:space="preserve"> </w:t>
      </w:r>
      <w:r>
        <w:rPr>
          <w:bCs/>
          <w:lang w:val="en-US"/>
        </w:rPr>
        <w:t>and</w:t>
      </w:r>
      <w:r w:rsidRPr="005C476F">
        <w:rPr>
          <w:bCs/>
          <w:lang w:val="en-US"/>
        </w:rPr>
        <w:t xml:space="preserve"> outpatient </w:t>
      </w:r>
      <w:r>
        <w:rPr>
          <w:bCs/>
          <w:lang w:val="en-US"/>
        </w:rPr>
        <w:t>departments</w:t>
      </w:r>
      <w:r w:rsidRPr="005C476F">
        <w:rPr>
          <w:bCs/>
          <w:lang w:val="en-US"/>
        </w:rPr>
        <w:t xml:space="preserve">). </w:t>
      </w:r>
      <w:r w:rsidR="00505D2F" w:rsidRPr="00505D2F">
        <w:rPr>
          <w:bCs/>
          <w:lang w:val="en-US"/>
        </w:rPr>
        <w:t>All instances of double-counting corresponding to multiple admissions for the same fracture were deleted before analysis</w:t>
      </w:r>
      <w:r w:rsidRPr="005C476F">
        <w:rPr>
          <w:bCs/>
          <w:lang w:val="en-US"/>
        </w:rPr>
        <w:t>.</w:t>
      </w:r>
      <w:r>
        <w:rPr>
          <w:bCs/>
          <w:lang w:val="en-US"/>
        </w:rPr>
        <w:t xml:space="preserve"> </w:t>
      </w:r>
      <w:r w:rsidR="00E54D14" w:rsidRPr="00E54D14">
        <w:rPr>
          <w:bCs/>
          <w:lang w:val="en-US"/>
        </w:rPr>
        <w:t>Cases were deﬁned as patients (aged 40 years</w:t>
      </w:r>
      <w:r w:rsidR="00564759">
        <w:rPr>
          <w:bCs/>
          <w:lang w:val="en-US"/>
        </w:rPr>
        <w:t xml:space="preserve"> or more</w:t>
      </w:r>
      <w:r w:rsidR="00E54D14" w:rsidRPr="00E54D14">
        <w:rPr>
          <w:bCs/>
          <w:lang w:val="en-US"/>
        </w:rPr>
        <w:t xml:space="preserve">) who were </w:t>
      </w:r>
      <w:r>
        <w:rPr>
          <w:bCs/>
          <w:lang w:val="en-US"/>
        </w:rPr>
        <w:t>identified</w:t>
      </w:r>
      <w:r w:rsidR="00E54D14" w:rsidRPr="00E54D14">
        <w:rPr>
          <w:bCs/>
          <w:lang w:val="en-US"/>
        </w:rPr>
        <w:t xml:space="preserve"> </w:t>
      </w:r>
      <w:r>
        <w:rPr>
          <w:bCs/>
          <w:lang w:val="en-US"/>
        </w:rPr>
        <w:t>with</w:t>
      </w:r>
      <w:r w:rsidR="00E54D14" w:rsidRPr="00E54D14">
        <w:rPr>
          <w:bCs/>
          <w:lang w:val="en-US"/>
        </w:rPr>
        <w:t xml:space="preserve"> hip fracture (ICD10 code S72.0 [femoral neck], S72.1 [trochanter], S72.2 [subtrochanter])</w:t>
      </w:r>
      <w:r w:rsidR="00564759">
        <w:rPr>
          <w:bCs/>
          <w:lang w:val="en-US"/>
        </w:rPr>
        <w:t xml:space="preserve"> irrespective of the level of trauma</w:t>
      </w:r>
      <w:r w:rsidR="002612E9">
        <w:rPr>
          <w:bCs/>
          <w:lang w:val="en-US"/>
        </w:rPr>
        <w:t>,</w:t>
      </w:r>
      <w:r w:rsidR="002612E9" w:rsidRPr="002612E9">
        <w:rPr>
          <w:bCs/>
          <w:lang w:val="en-US"/>
        </w:rPr>
        <w:t xml:space="preserve"> </w:t>
      </w:r>
      <w:r w:rsidR="002612E9">
        <w:rPr>
          <w:bCs/>
          <w:lang w:val="en-US"/>
        </w:rPr>
        <w:t>but c</w:t>
      </w:r>
      <w:r w:rsidR="002612E9" w:rsidRPr="002612E9">
        <w:rPr>
          <w:bCs/>
          <w:lang w:val="en-US"/>
        </w:rPr>
        <w:t xml:space="preserve">ases associated with neoplasia were excluded. </w:t>
      </w:r>
      <w:r w:rsidR="00564759">
        <w:rPr>
          <w:bCs/>
          <w:lang w:val="en-US"/>
        </w:rPr>
        <w:t xml:space="preserve"> </w:t>
      </w:r>
      <w:r w:rsidR="00E54D14" w:rsidRPr="00E54D14">
        <w:rPr>
          <w:bCs/>
          <w:lang w:val="en-US"/>
        </w:rPr>
        <w:t xml:space="preserve"> </w:t>
      </w:r>
      <w:r w:rsidR="00564759" w:rsidRPr="00564759">
        <w:rPr>
          <w:bCs/>
          <w:lang w:val="en-US"/>
        </w:rPr>
        <w:t>We excluded patients with a code S72.9 (unspeciﬁed site of femoral fracture) except where a surgical procedure indicated surgery on the hip.</w:t>
      </w:r>
      <w:r w:rsidR="00564759">
        <w:rPr>
          <w:bCs/>
          <w:lang w:val="en-US"/>
        </w:rPr>
        <w:t xml:space="preserve"> </w:t>
      </w:r>
      <w:r w:rsidR="00564759" w:rsidRPr="00564759">
        <w:rPr>
          <w:bCs/>
          <w:lang w:val="en-US"/>
        </w:rPr>
        <w:t xml:space="preserve"> </w:t>
      </w:r>
      <w:r w:rsidR="00564759">
        <w:rPr>
          <w:bCs/>
          <w:lang w:val="en-US"/>
        </w:rPr>
        <w:t xml:space="preserve">Patients </w:t>
      </w:r>
      <w:r w:rsidR="00505D2F">
        <w:rPr>
          <w:bCs/>
          <w:lang w:val="en-US"/>
        </w:rPr>
        <w:t>who</w:t>
      </w:r>
      <w:r w:rsidR="00564759">
        <w:rPr>
          <w:bCs/>
          <w:lang w:val="en-US"/>
        </w:rPr>
        <w:t xml:space="preserve"> had sustained </w:t>
      </w:r>
      <w:r w:rsidR="00E54D14" w:rsidRPr="00E54D14">
        <w:rPr>
          <w:bCs/>
          <w:lang w:val="en-US"/>
        </w:rPr>
        <w:t>a hip fracture in the previous year</w:t>
      </w:r>
      <w:r w:rsidR="00564759">
        <w:rPr>
          <w:bCs/>
          <w:lang w:val="en-US"/>
        </w:rPr>
        <w:t xml:space="preserve"> at the same site were excluded</w:t>
      </w:r>
      <w:r>
        <w:rPr>
          <w:bCs/>
          <w:lang w:val="en-US"/>
        </w:rPr>
        <w:t xml:space="preserve"> as were patients with </w:t>
      </w:r>
      <w:r w:rsidRPr="005C476F">
        <w:rPr>
          <w:bCs/>
          <w:lang w:val="en-US"/>
        </w:rPr>
        <w:t>multiple admissions for the same fracture</w:t>
      </w:r>
      <w:r>
        <w:rPr>
          <w:bCs/>
          <w:lang w:val="en-US"/>
        </w:rPr>
        <w:t xml:space="preserve"> in the index year</w:t>
      </w:r>
      <w:r w:rsidR="00E54D14" w:rsidRPr="00E54D14">
        <w:rPr>
          <w:bCs/>
          <w:lang w:val="en-US"/>
        </w:rPr>
        <w:t xml:space="preserve">. </w:t>
      </w:r>
      <w:r w:rsidR="00564759">
        <w:rPr>
          <w:bCs/>
          <w:lang w:val="en-US"/>
        </w:rPr>
        <w:t xml:space="preserve"> </w:t>
      </w:r>
      <w:r w:rsidR="00E54D14" w:rsidRPr="00E54D14">
        <w:rPr>
          <w:bCs/>
        </w:rPr>
        <w:t xml:space="preserve">We included patients with a hip fracture, who </w:t>
      </w:r>
      <w:r w:rsidR="00564759">
        <w:rPr>
          <w:bCs/>
        </w:rPr>
        <w:t>used</w:t>
      </w:r>
      <w:r w:rsidR="00E54D14" w:rsidRPr="00E54D14">
        <w:rPr>
          <w:bCs/>
        </w:rPr>
        <w:t xml:space="preserve"> the ambulance </w:t>
      </w:r>
      <w:r w:rsidR="00564759">
        <w:rPr>
          <w:bCs/>
        </w:rPr>
        <w:t>service</w:t>
      </w:r>
      <w:r w:rsidR="00E54D14" w:rsidRPr="00E54D14">
        <w:rPr>
          <w:bCs/>
        </w:rPr>
        <w:t xml:space="preserve"> but refused hospitalization and treatment later.</w:t>
      </w:r>
      <w:r w:rsidR="00E54D14" w:rsidRPr="00E54D14">
        <w:rPr>
          <w:bCs/>
          <w:lang w:val="en-US"/>
        </w:rPr>
        <w:t xml:space="preserve"> </w:t>
      </w:r>
      <w:r w:rsidR="00564759">
        <w:rPr>
          <w:bCs/>
          <w:lang w:val="en-US"/>
        </w:rPr>
        <w:t xml:space="preserve"> </w:t>
      </w:r>
      <w:r w:rsidR="00E54D14" w:rsidRPr="00E54D14">
        <w:rPr>
          <w:bCs/>
          <w:lang w:val="en-US"/>
        </w:rPr>
        <w:t xml:space="preserve">We included hip fracture cases irrespective of </w:t>
      </w:r>
      <w:r w:rsidR="00564759">
        <w:rPr>
          <w:bCs/>
          <w:lang w:val="en-US"/>
        </w:rPr>
        <w:t xml:space="preserve">region or </w:t>
      </w:r>
      <w:r w:rsidR="00E54D14" w:rsidRPr="00E54D14">
        <w:rPr>
          <w:bCs/>
          <w:lang w:val="en-US"/>
        </w:rPr>
        <w:t>country of origin</w:t>
      </w:r>
      <w:r w:rsidR="002612E9">
        <w:rPr>
          <w:bCs/>
          <w:lang w:val="en-US"/>
        </w:rPr>
        <w:t>.</w:t>
      </w:r>
      <w:r w:rsidR="00E54D14" w:rsidRPr="00E54D14">
        <w:rPr>
          <w:bCs/>
          <w:lang w:val="en-US"/>
        </w:rPr>
        <w:t xml:space="preserve"> </w:t>
      </w:r>
    </w:p>
    <w:p w:rsidR="00E54D14" w:rsidRDefault="00E54D14" w:rsidP="005055BB">
      <w:pPr>
        <w:ind w:left="567"/>
        <w:rPr>
          <w:bCs/>
          <w:lang w:val="en-US"/>
        </w:rPr>
      </w:pPr>
      <w:r w:rsidRPr="00E54D14">
        <w:rPr>
          <w:bCs/>
          <w:lang w:val="en-US"/>
        </w:rPr>
        <w:t xml:space="preserve">Cases were </w:t>
      </w:r>
      <w:r w:rsidR="002612E9" w:rsidRPr="002612E9">
        <w:rPr>
          <w:bCs/>
          <w:lang w:val="en-US"/>
        </w:rPr>
        <w:t>ascertained</w:t>
      </w:r>
      <w:r w:rsidRPr="00E54D14">
        <w:rPr>
          <w:bCs/>
          <w:lang w:val="en-US"/>
        </w:rPr>
        <w:t xml:space="preserve"> from the age of 40 years since this is the lower age limit used in FRAX. Incidence rates were estimated as the number of men and women in 5-year age intervals with one hip fracture in the year divided by the age- and sex-speciﬁc population of </w:t>
      </w:r>
      <w:r w:rsidR="005C476F">
        <w:rPr>
          <w:bCs/>
          <w:lang w:val="en-US"/>
        </w:rPr>
        <w:t>each catchment</w:t>
      </w:r>
      <w:r w:rsidRPr="00E54D14">
        <w:rPr>
          <w:bCs/>
          <w:lang w:val="en-US"/>
        </w:rPr>
        <w:t xml:space="preserve"> using government estimates for the same year.</w:t>
      </w:r>
      <w:r w:rsidR="008848EA">
        <w:rPr>
          <w:bCs/>
          <w:lang w:val="en-US"/>
        </w:rPr>
        <w:t xml:space="preserve"> Data from the three regional studies were amalgamated weighted by catchment population. For the purposes of FRAX, data were smoothed using </w:t>
      </w:r>
      <w:r w:rsidR="005D57C1" w:rsidRPr="005D57C1">
        <w:rPr>
          <w:bCs/>
          <w:lang w:val="en-US"/>
        </w:rPr>
        <w:t xml:space="preserve">piecewise linear </w:t>
      </w:r>
      <w:r w:rsidR="005D57C1">
        <w:rPr>
          <w:bCs/>
          <w:lang w:val="en-US"/>
        </w:rPr>
        <w:t xml:space="preserve">regression on </w:t>
      </w:r>
      <w:r w:rsidR="005D57C1" w:rsidRPr="005D57C1">
        <w:rPr>
          <w:bCs/>
          <w:lang w:val="en-US"/>
        </w:rPr>
        <w:t xml:space="preserve">log-transformed incidence rates </w:t>
      </w:r>
      <w:r w:rsidR="005D57C1">
        <w:rPr>
          <w:bCs/>
          <w:lang w:val="en-US"/>
        </w:rPr>
        <w:t xml:space="preserve">by age </w:t>
      </w:r>
      <w:r w:rsidR="005D57C1" w:rsidRPr="005D57C1">
        <w:rPr>
          <w:bCs/>
          <w:lang w:val="en-US"/>
        </w:rPr>
        <w:t>with</w:t>
      </w:r>
      <w:r w:rsidR="005D57C1">
        <w:rPr>
          <w:bCs/>
          <w:lang w:val="en-US"/>
        </w:rPr>
        <w:t xml:space="preserve"> a</w:t>
      </w:r>
      <w:r w:rsidR="005D57C1" w:rsidRPr="005D57C1">
        <w:rPr>
          <w:bCs/>
          <w:lang w:val="en-US"/>
        </w:rPr>
        <w:t xml:space="preserve"> breakpoint </w:t>
      </w:r>
      <w:r w:rsidR="005D57C1">
        <w:rPr>
          <w:bCs/>
          <w:lang w:val="en-US"/>
        </w:rPr>
        <w:t>at</w:t>
      </w:r>
      <w:r w:rsidR="005D57C1" w:rsidRPr="005D57C1">
        <w:rPr>
          <w:bCs/>
          <w:lang w:val="en-US"/>
        </w:rPr>
        <w:t xml:space="preserve"> 67 years of age. </w:t>
      </w:r>
      <w:r w:rsidR="005D57C1">
        <w:rPr>
          <w:bCs/>
          <w:lang w:val="en-US"/>
        </w:rPr>
        <w:t>Thereafter</w:t>
      </w:r>
      <w:r w:rsidR="00505D2F">
        <w:rPr>
          <w:bCs/>
          <w:lang w:val="en-US"/>
        </w:rPr>
        <w:t>,</w:t>
      </w:r>
      <w:r w:rsidR="005D57C1">
        <w:rPr>
          <w:bCs/>
          <w:lang w:val="en-US"/>
        </w:rPr>
        <w:t xml:space="preserve"> the exponent was included in the FRAX model so that risk could be calculated at any specific age</w:t>
      </w:r>
      <w:r w:rsidR="00505D2F">
        <w:rPr>
          <w:bCs/>
          <w:lang w:val="en-US"/>
        </w:rPr>
        <w:t xml:space="preserve"> rather than in 5-year intervals</w:t>
      </w:r>
      <w:r w:rsidR="005D57C1" w:rsidRPr="005D57C1">
        <w:rPr>
          <w:bCs/>
          <w:lang w:val="en-US"/>
        </w:rPr>
        <w:t>.</w:t>
      </w:r>
    </w:p>
    <w:p w:rsidR="00505D2F" w:rsidRDefault="00505D2F" w:rsidP="005055BB">
      <w:pPr>
        <w:ind w:left="567"/>
        <w:rPr>
          <w:bCs/>
          <w:lang w:val="en-US"/>
        </w:rPr>
      </w:pPr>
      <w:r w:rsidRPr="00505D2F">
        <w:rPr>
          <w:bCs/>
          <w:i/>
        </w:rPr>
        <w:t>Comparison of Ukrainian and Austrian FRAX models</w:t>
      </w:r>
    </w:p>
    <w:p w:rsidR="00E45D9A" w:rsidRDefault="00891DDD" w:rsidP="005055BB">
      <w:pPr>
        <w:ind w:left="567"/>
        <w:rPr>
          <w:bCs/>
          <w:lang w:val="en-US"/>
        </w:rPr>
      </w:pPr>
      <w:r w:rsidRPr="00891DDD">
        <w:rPr>
          <w:bCs/>
        </w:rPr>
        <w:t xml:space="preserve">For the purpose of comparing </w:t>
      </w:r>
      <w:r w:rsidR="00A54A9D">
        <w:rPr>
          <w:bCs/>
        </w:rPr>
        <w:t xml:space="preserve">the Ukrainian </w:t>
      </w:r>
      <w:r w:rsidR="00B068A8">
        <w:rPr>
          <w:bCs/>
        </w:rPr>
        <w:t>and</w:t>
      </w:r>
      <w:r w:rsidR="00A54A9D">
        <w:rPr>
          <w:bCs/>
        </w:rPr>
        <w:t xml:space="preserve"> the Austrian model</w:t>
      </w:r>
      <w:r w:rsidR="00B068A8">
        <w:rPr>
          <w:bCs/>
        </w:rPr>
        <w:t>s</w:t>
      </w:r>
      <w:r w:rsidR="00A54A9D">
        <w:rPr>
          <w:bCs/>
        </w:rPr>
        <w:t>,</w:t>
      </w:r>
      <w:r w:rsidRPr="00891DDD">
        <w:rPr>
          <w:bCs/>
        </w:rPr>
        <w:t xml:space="preserve"> probabilities of a major osteoporotic fracture (hip, clinical</w:t>
      </w:r>
      <w:r>
        <w:rPr>
          <w:bCs/>
        </w:rPr>
        <w:t xml:space="preserve"> </w:t>
      </w:r>
      <w:r w:rsidRPr="00891DDD">
        <w:rPr>
          <w:bCs/>
        </w:rPr>
        <w:t>spine, forearm and humeral fractures) and of hip fracture</w:t>
      </w:r>
      <w:r>
        <w:rPr>
          <w:bCs/>
        </w:rPr>
        <w:t xml:space="preserve"> </w:t>
      </w:r>
      <w:r w:rsidRPr="00891DDD">
        <w:rPr>
          <w:bCs/>
        </w:rPr>
        <w:t>alone, were computed in men and women at</w:t>
      </w:r>
      <w:r w:rsidRPr="00891DDD">
        <w:rPr>
          <w:rFonts w:ascii="AdvTT3713a231" w:hAnsi="AdvTT3713a231" w:cs="AdvTT3713a231"/>
          <w:color w:val="131413"/>
          <w:sz w:val="20"/>
          <w:szCs w:val="20"/>
        </w:rPr>
        <w:t xml:space="preserve"> </w:t>
      </w:r>
      <w:r w:rsidRPr="00891DDD">
        <w:rPr>
          <w:bCs/>
        </w:rPr>
        <w:t>ages 50, 60, 70 and 80 years for all possible combinations</w:t>
      </w:r>
      <w:r>
        <w:rPr>
          <w:bCs/>
        </w:rPr>
        <w:t xml:space="preserve"> </w:t>
      </w:r>
      <w:r w:rsidRPr="00891DDD">
        <w:rPr>
          <w:bCs/>
        </w:rPr>
        <w:t xml:space="preserve">of clinical risk factors at BMD T-scores between 0 and </w:t>
      </w:r>
      <w:r w:rsidRPr="00891DDD">
        <w:rPr>
          <w:rFonts w:hint="eastAsia"/>
          <w:bCs/>
        </w:rPr>
        <w:t>−</w:t>
      </w:r>
      <w:r w:rsidRPr="00891DDD">
        <w:rPr>
          <w:bCs/>
        </w:rPr>
        <w:t>3.5</w:t>
      </w:r>
      <w:r>
        <w:rPr>
          <w:bCs/>
        </w:rPr>
        <w:t xml:space="preserve"> </w:t>
      </w:r>
      <w:r w:rsidRPr="00891DDD">
        <w:rPr>
          <w:bCs/>
        </w:rPr>
        <w:t>SD in 0.5 SD steps with a BMI set to 2</w:t>
      </w:r>
      <w:r w:rsidR="00920C2B">
        <w:rPr>
          <w:bCs/>
        </w:rPr>
        <w:t>5</w:t>
      </w:r>
      <w:r w:rsidRPr="00891DDD">
        <w:rPr>
          <w:bCs/>
        </w:rPr>
        <w:t xml:space="preserve"> kg/m</w:t>
      </w:r>
      <w:r w:rsidRPr="005055BB">
        <w:rPr>
          <w:bCs/>
          <w:vertAlign w:val="superscript"/>
        </w:rPr>
        <w:t>2</w:t>
      </w:r>
      <w:r w:rsidR="005055BB">
        <w:rPr>
          <w:bCs/>
        </w:rPr>
        <w:t xml:space="preserve"> [</w:t>
      </w:r>
      <w:r w:rsidR="00CD57C3">
        <w:rPr>
          <w:bCs/>
        </w:rPr>
        <w:t>14]</w:t>
      </w:r>
      <w:r w:rsidRPr="00891DDD">
        <w:rPr>
          <w:bCs/>
        </w:rPr>
        <w:t>. Thus, we</w:t>
      </w:r>
      <w:r>
        <w:rPr>
          <w:bCs/>
        </w:rPr>
        <w:t xml:space="preserve"> </w:t>
      </w:r>
      <w:r w:rsidRPr="00891DDD">
        <w:rPr>
          <w:bCs/>
        </w:rPr>
        <w:t>considered all combinations of six risk factors and eight</w:t>
      </w:r>
      <w:r>
        <w:rPr>
          <w:bCs/>
        </w:rPr>
        <w:t xml:space="preserve"> </w:t>
      </w:r>
      <w:r w:rsidRPr="00891DDD">
        <w:rPr>
          <w:bCs/>
        </w:rPr>
        <w:t>values of BMD giving a total number of combinations of</w:t>
      </w:r>
      <w:r>
        <w:rPr>
          <w:bCs/>
        </w:rPr>
        <w:t xml:space="preserve"> </w:t>
      </w:r>
      <w:r w:rsidRPr="00891DDD">
        <w:rPr>
          <w:bCs/>
        </w:rPr>
        <w:t>512. Note that this was not a population simulation, but an</w:t>
      </w:r>
      <w:r>
        <w:rPr>
          <w:bCs/>
        </w:rPr>
        <w:t xml:space="preserve"> </w:t>
      </w:r>
      <w:r w:rsidRPr="00891DDD">
        <w:rPr>
          <w:bCs/>
        </w:rPr>
        <w:t>array of all possible combinations. The correlation between</w:t>
      </w:r>
      <w:r w:rsidR="005055BB">
        <w:rPr>
          <w:bCs/>
        </w:rPr>
        <w:t xml:space="preserve"> the</w:t>
      </w:r>
      <w:r>
        <w:rPr>
          <w:bCs/>
        </w:rPr>
        <w:t xml:space="preserve"> </w:t>
      </w:r>
      <w:r w:rsidR="005055BB">
        <w:rPr>
          <w:bCs/>
        </w:rPr>
        <w:t>Austrian</w:t>
      </w:r>
      <w:r w:rsidRPr="00891DDD">
        <w:rPr>
          <w:bCs/>
        </w:rPr>
        <w:t xml:space="preserve"> </w:t>
      </w:r>
      <w:r w:rsidR="005055BB">
        <w:rPr>
          <w:bCs/>
        </w:rPr>
        <w:t xml:space="preserve">and </w:t>
      </w:r>
      <w:r w:rsidR="005055BB" w:rsidRPr="005055BB">
        <w:rPr>
          <w:bCs/>
        </w:rPr>
        <w:t xml:space="preserve">Ukrainian </w:t>
      </w:r>
      <w:r w:rsidRPr="00891DDD">
        <w:rPr>
          <w:bCs/>
        </w:rPr>
        <w:t>fracture probabilities</w:t>
      </w:r>
      <w:r>
        <w:rPr>
          <w:bCs/>
        </w:rPr>
        <w:t xml:space="preserve"> </w:t>
      </w:r>
      <w:r w:rsidRPr="00891DDD">
        <w:rPr>
          <w:bCs/>
        </w:rPr>
        <w:t>was examined by piecewise linear regression with knots at</w:t>
      </w:r>
      <w:r>
        <w:rPr>
          <w:bCs/>
        </w:rPr>
        <w:t xml:space="preserve"> </w:t>
      </w:r>
      <w:r w:rsidRPr="00891DDD">
        <w:rPr>
          <w:bCs/>
        </w:rPr>
        <w:t xml:space="preserve">probabilities of </w:t>
      </w:r>
      <w:r w:rsidR="00616D20">
        <w:rPr>
          <w:bCs/>
        </w:rPr>
        <w:t>5</w:t>
      </w:r>
      <w:r w:rsidR="00300532">
        <w:rPr>
          <w:bCs/>
        </w:rPr>
        <w:t>0</w:t>
      </w:r>
      <w:r w:rsidRPr="00891DDD">
        <w:rPr>
          <w:bCs/>
        </w:rPr>
        <w:t xml:space="preserve">% and </w:t>
      </w:r>
      <w:r w:rsidR="00616D20">
        <w:rPr>
          <w:bCs/>
        </w:rPr>
        <w:t>7</w:t>
      </w:r>
      <w:r w:rsidR="00300532">
        <w:rPr>
          <w:bCs/>
        </w:rPr>
        <w:t>0</w:t>
      </w:r>
      <w:r w:rsidRPr="00891DDD">
        <w:rPr>
          <w:bCs/>
        </w:rPr>
        <w:t xml:space="preserve">% for the </w:t>
      </w:r>
      <w:r w:rsidR="00300532">
        <w:rPr>
          <w:bCs/>
        </w:rPr>
        <w:t>Austrian</w:t>
      </w:r>
      <w:r w:rsidRPr="00891DDD">
        <w:rPr>
          <w:bCs/>
        </w:rPr>
        <w:t xml:space="preserve"> </w:t>
      </w:r>
      <w:r w:rsidR="00300532">
        <w:rPr>
          <w:bCs/>
        </w:rPr>
        <w:t>probabilities of</w:t>
      </w:r>
      <w:r w:rsidRPr="00891DDD">
        <w:rPr>
          <w:bCs/>
        </w:rPr>
        <w:t xml:space="preserve"> a</w:t>
      </w:r>
      <w:r>
        <w:rPr>
          <w:bCs/>
        </w:rPr>
        <w:t xml:space="preserve"> </w:t>
      </w:r>
      <w:r w:rsidRPr="00891DDD">
        <w:rPr>
          <w:bCs/>
        </w:rPr>
        <w:t xml:space="preserve">major osteoporotic fracture and at </w:t>
      </w:r>
      <w:r w:rsidR="00300532">
        <w:rPr>
          <w:bCs/>
        </w:rPr>
        <w:t>5</w:t>
      </w:r>
      <w:r w:rsidRPr="00891DDD">
        <w:rPr>
          <w:bCs/>
        </w:rPr>
        <w:t xml:space="preserve">% and </w:t>
      </w:r>
      <w:r w:rsidR="00300532">
        <w:rPr>
          <w:bCs/>
        </w:rPr>
        <w:t>20</w:t>
      </w:r>
      <w:r w:rsidRPr="00891DDD">
        <w:rPr>
          <w:bCs/>
        </w:rPr>
        <w:t>% for hip</w:t>
      </w:r>
      <w:r>
        <w:rPr>
          <w:bCs/>
        </w:rPr>
        <w:t xml:space="preserve"> </w:t>
      </w:r>
      <w:r w:rsidRPr="00891DDD">
        <w:rPr>
          <w:bCs/>
        </w:rPr>
        <w:t>fracture</w:t>
      </w:r>
      <w:r w:rsidR="00B068A8" w:rsidRPr="00B068A8">
        <w:rPr>
          <w:bCs/>
        </w:rPr>
        <w:t xml:space="preserve"> using the same model</w:t>
      </w:r>
      <w:r w:rsidRPr="00891DDD">
        <w:rPr>
          <w:bCs/>
        </w:rPr>
        <w:t>. The reason for using knots at different probabilities</w:t>
      </w:r>
      <w:r>
        <w:rPr>
          <w:bCs/>
        </w:rPr>
        <w:t xml:space="preserve"> </w:t>
      </w:r>
      <w:r w:rsidRPr="00891DDD">
        <w:rPr>
          <w:bCs/>
        </w:rPr>
        <w:t>for the two outcomes was because of the difference in</w:t>
      </w:r>
      <w:r>
        <w:rPr>
          <w:bCs/>
        </w:rPr>
        <w:t xml:space="preserve"> </w:t>
      </w:r>
      <w:r w:rsidRPr="00891DDD">
        <w:rPr>
          <w:bCs/>
        </w:rPr>
        <w:t>the distribution of probabilities. Tabular data compared</w:t>
      </w:r>
      <w:r>
        <w:rPr>
          <w:bCs/>
        </w:rPr>
        <w:t xml:space="preserve"> </w:t>
      </w:r>
      <w:r w:rsidRPr="00891DDD">
        <w:rPr>
          <w:bCs/>
        </w:rPr>
        <w:t>probabilities with the two versions at the 10th, 50</w:t>
      </w:r>
      <w:r w:rsidRPr="00891DDD">
        <w:rPr>
          <w:bCs/>
          <w:vertAlign w:val="superscript"/>
        </w:rPr>
        <w:t>th</w:t>
      </w:r>
      <w:r>
        <w:rPr>
          <w:bCs/>
        </w:rPr>
        <w:t xml:space="preserve"> </w:t>
      </w:r>
      <w:r w:rsidRPr="00891DDD">
        <w:rPr>
          <w:bCs/>
        </w:rPr>
        <w:t xml:space="preserve">(median) and 90th percentile of the distribution of </w:t>
      </w:r>
      <w:r w:rsidR="00B068A8">
        <w:rPr>
          <w:bCs/>
        </w:rPr>
        <w:t>the Austrian model</w:t>
      </w:r>
      <w:r w:rsidRPr="00891DDD">
        <w:rPr>
          <w:bCs/>
        </w:rPr>
        <w:t>.</w:t>
      </w:r>
      <w:r>
        <w:rPr>
          <w:bCs/>
        </w:rPr>
        <w:t xml:space="preserve"> </w:t>
      </w:r>
      <w:r w:rsidRPr="00891DDD">
        <w:rPr>
          <w:bCs/>
        </w:rPr>
        <w:t xml:space="preserve">Differences in </w:t>
      </w:r>
      <w:r w:rsidR="00B068A8">
        <w:rPr>
          <w:bCs/>
        </w:rPr>
        <w:t xml:space="preserve">the Ukrainian </w:t>
      </w:r>
      <w:r w:rsidRPr="00891DDD">
        <w:rPr>
          <w:bCs/>
        </w:rPr>
        <w:t>version at these percentiles were expressed</w:t>
      </w:r>
      <w:r>
        <w:rPr>
          <w:bCs/>
        </w:rPr>
        <w:t xml:space="preserve"> </w:t>
      </w:r>
      <w:r w:rsidRPr="00891DDD">
        <w:rPr>
          <w:bCs/>
        </w:rPr>
        <w:t>as 95% tolerance intervals (TI).</w:t>
      </w:r>
    </w:p>
    <w:p w:rsidR="00E45D9A" w:rsidRDefault="00E45D9A" w:rsidP="005055BB">
      <w:pPr>
        <w:ind w:left="567"/>
        <w:rPr>
          <w:bCs/>
          <w:lang w:val="en-US"/>
        </w:rPr>
      </w:pPr>
      <w:r w:rsidRPr="00E45D9A">
        <w:rPr>
          <w:bCs/>
          <w:lang w:val="en-US"/>
        </w:rPr>
        <w:t xml:space="preserve">In order to compare Ukrainian hip fracture probabilities with </w:t>
      </w:r>
      <w:r w:rsidR="00C81F60">
        <w:rPr>
          <w:bCs/>
          <w:lang w:val="en-US"/>
        </w:rPr>
        <w:t>adjacent countries with a FRAX model and Austria,</w:t>
      </w:r>
      <w:r w:rsidRPr="00E45D9A">
        <w:rPr>
          <w:bCs/>
          <w:lang w:val="en-US"/>
        </w:rPr>
        <w:t xml:space="preserve"> the remaining lifetime probability of hip fracture </w:t>
      </w:r>
      <w:r w:rsidR="00C81F60">
        <w:rPr>
          <w:bCs/>
          <w:lang w:val="en-US"/>
        </w:rPr>
        <w:t>and major osteoporotic fracture f</w:t>
      </w:r>
      <w:r w:rsidRPr="00E45D9A">
        <w:rPr>
          <w:bCs/>
          <w:lang w:val="en-US"/>
        </w:rPr>
        <w:t xml:space="preserve">rom the age of 50 years was calculated for men and women, as described by Kanis et </w:t>
      </w:r>
      <w:r w:rsidRPr="00380E33">
        <w:rPr>
          <w:bCs/>
          <w:lang w:val="en-US"/>
        </w:rPr>
        <w:t>al. [</w:t>
      </w:r>
      <w:r w:rsidR="00CD57C3">
        <w:rPr>
          <w:bCs/>
          <w:lang w:val="en-US"/>
        </w:rPr>
        <w:t>15, 16]</w:t>
      </w:r>
      <w:r w:rsidRPr="00380E33">
        <w:rPr>
          <w:bCs/>
          <w:lang w:val="en-US"/>
        </w:rPr>
        <w:t xml:space="preserve">. </w:t>
      </w:r>
    </w:p>
    <w:p w:rsidR="00C81F60" w:rsidRPr="00636E5E" w:rsidRDefault="00C81F60" w:rsidP="00636E5E">
      <w:pPr>
        <w:ind w:left="567"/>
        <w:rPr>
          <w:b/>
          <w:bCs/>
          <w:lang w:val="en-US"/>
        </w:rPr>
      </w:pPr>
      <w:r w:rsidRPr="00636E5E">
        <w:rPr>
          <w:b/>
          <w:bCs/>
          <w:lang w:val="en-US"/>
        </w:rPr>
        <w:t>Results</w:t>
      </w:r>
    </w:p>
    <w:p w:rsidR="00636E5E" w:rsidRPr="00636E5E" w:rsidRDefault="00636E5E" w:rsidP="00636E5E">
      <w:pPr>
        <w:ind w:left="567"/>
        <w:rPr>
          <w:bCs/>
        </w:rPr>
      </w:pPr>
      <w:r w:rsidRPr="00636E5E">
        <w:rPr>
          <w:bCs/>
        </w:rPr>
        <w:lastRenderedPageBreak/>
        <w:t>Figure 1 shows 1-year age- and gender-stratified incidence rates of hip fracture for the Ukraine from the three regional studies, as well as the incidence of hip fractures, based on the linear regression. Hip fracture incidence was lowest in patients aged 40–54 years and increased progressively with age. Below the age of 65 years, hip fracture incidence was higher in men than in women but, above this age the incidence increased more markedly in women compared to men.</w:t>
      </w:r>
    </w:p>
    <w:p w:rsidR="00C81F60" w:rsidRPr="00636E5E" w:rsidRDefault="00C81F60" w:rsidP="00E45D9A">
      <w:pPr>
        <w:rPr>
          <w:b/>
          <w:bCs/>
        </w:rPr>
      </w:pPr>
    </w:p>
    <w:p w:rsidR="00E45D9A" w:rsidRPr="00E45D9A" w:rsidRDefault="001210F2" w:rsidP="00636E5E">
      <w:pPr>
        <w:ind w:left="-567"/>
        <w:jc w:val="center"/>
        <w:rPr>
          <w:bCs/>
          <w:lang w:val="en-US"/>
        </w:rPr>
      </w:pPr>
      <w:r w:rsidRPr="001210F2">
        <w:rPr>
          <w:bCs/>
          <w:noProof/>
          <w:lang w:eastAsia="en-GB"/>
        </w:rPr>
        <w:drawing>
          <wp:inline distT="0" distB="0" distL="0" distR="0">
            <wp:extent cx="3246120"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14167" t="18889" r="14833" b="10000"/>
                    <a:stretch/>
                  </pic:blipFill>
                  <pic:spPr bwMode="auto">
                    <a:xfrm>
                      <a:off x="0" y="0"/>
                      <a:ext cx="3246401" cy="2438611"/>
                    </a:xfrm>
                    <a:prstGeom prst="rect">
                      <a:avLst/>
                    </a:prstGeom>
                    <a:ln>
                      <a:noFill/>
                    </a:ln>
                    <a:extLst>
                      <a:ext uri="{53640926-AAD7-44D8-BBD7-CCE9431645EC}">
                        <a14:shadowObscured xmlns:a14="http://schemas.microsoft.com/office/drawing/2010/main"/>
                      </a:ext>
                    </a:extLst>
                  </pic:spPr>
                </pic:pic>
              </a:graphicData>
            </a:graphic>
          </wp:inline>
        </w:drawing>
      </w:r>
      <w:r w:rsidR="00DC6A86" w:rsidRPr="00DC6A86">
        <w:rPr>
          <w:bCs/>
          <w:noProof/>
          <w:lang w:eastAsia="en-GB"/>
        </w:rPr>
        <w:drawing>
          <wp:inline distT="0" distB="0" distL="0" distR="0">
            <wp:extent cx="3253740" cy="23926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l="14166" t="19111" r="14667" b="11111"/>
                    <a:stretch/>
                  </pic:blipFill>
                  <pic:spPr bwMode="auto">
                    <a:xfrm>
                      <a:off x="0" y="0"/>
                      <a:ext cx="3254022" cy="2392887"/>
                    </a:xfrm>
                    <a:prstGeom prst="rect">
                      <a:avLst/>
                    </a:prstGeom>
                    <a:ln>
                      <a:noFill/>
                    </a:ln>
                    <a:extLst>
                      <a:ext uri="{53640926-AAD7-44D8-BBD7-CCE9431645EC}">
                        <a14:shadowObscured xmlns:a14="http://schemas.microsoft.com/office/drawing/2010/main"/>
                      </a:ext>
                    </a:extLst>
                  </pic:spPr>
                </pic:pic>
              </a:graphicData>
            </a:graphic>
          </wp:inline>
        </w:drawing>
      </w:r>
    </w:p>
    <w:p w:rsidR="001005D7" w:rsidRDefault="00DC6A86" w:rsidP="00636E5E">
      <w:pPr>
        <w:ind w:left="1134" w:right="2222"/>
        <w:rPr>
          <w:bCs/>
        </w:rPr>
      </w:pPr>
      <w:r w:rsidRPr="001005D7">
        <w:rPr>
          <w:b/>
          <w:bCs/>
          <w:lang w:val="en-US"/>
        </w:rPr>
        <w:t>Fig. 1</w:t>
      </w:r>
      <w:r>
        <w:rPr>
          <w:bCs/>
          <w:lang w:val="en-US"/>
        </w:rPr>
        <w:t xml:space="preserve">  </w:t>
      </w:r>
      <w:r w:rsidR="001005D7">
        <w:rPr>
          <w:bCs/>
          <w:lang w:val="en-US"/>
        </w:rPr>
        <w:t xml:space="preserve">Observed </w:t>
      </w:r>
      <w:r w:rsidR="001005D7">
        <w:rPr>
          <w:bCs/>
        </w:rPr>
        <w:t>Ukrainian</w:t>
      </w:r>
      <w:r w:rsidR="001005D7" w:rsidRPr="001005D7">
        <w:rPr>
          <w:bCs/>
        </w:rPr>
        <w:t xml:space="preserve"> age- and gender</w:t>
      </w:r>
      <w:r w:rsidR="001005D7">
        <w:rPr>
          <w:bCs/>
        </w:rPr>
        <w:t>-</w:t>
      </w:r>
      <w:r w:rsidR="001005D7" w:rsidRPr="001005D7">
        <w:rPr>
          <w:bCs/>
        </w:rPr>
        <w:t>stratified</w:t>
      </w:r>
      <w:r w:rsidR="001005D7">
        <w:rPr>
          <w:bCs/>
        </w:rPr>
        <w:t xml:space="preserve"> incidence of hip fracture (upper panel) and comparison of observed data (symbols) and </w:t>
      </w:r>
      <w:r w:rsidR="001005D7" w:rsidRPr="001005D7">
        <w:rPr>
          <w:bCs/>
        </w:rPr>
        <w:t>1-year incidence rates</w:t>
      </w:r>
      <w:r w:rsidR="001005D7">
        <w:rPr>
          <w:bCs/>
        </w:rPr>
        <w:t xml:space="preserve"> derived from piecewise linear regression (lower panel)</w:t>
      </w:r>
    </w:p>
    <w:p w:rsidR="005243D8" w:rsidRPr="005243D8" w:rsidRDefault="005243D8" w:rsidP="00E230DC">
      <w:pPr>
        <w:ind w:left="567" w:right="2222"/>
        <w:rPr>
          <w:bCs/>
          <w:i/>
        </w:rPr>
      </w:pPr>
      <w:r w:rsidRPr="005243D8">
        <w:rPr>
          <w:bCs/>
          <w:i/>
          <w:lang w:val="en-US"/>
        </w:rPr>
        <w:t>Fracture probability</w:t>
      </w:r>
    </w:p>
    <w:p w:rsidR="009E1C3F" w:rsidRDefault="009E1C3F" w:rsidP="004539F3">
      <w:pPr>
        <w:ind w:left="567" w:right="95"/>
        <w:rPr>
          <w:bCs/>
        </w:rPr>
      </w:pPr>
      <w:r w:rsidRPr="00E230DC">
        <w:rPr>
          <w:bCs/>
        </w:rPr>
        <w:t xml:space="preserve">The relationship between the probabilities of a major fracture derived from the two versions of FRAX is shown for women aged </w:t>
      </w:r>
      <w:r w:rsidR="00E230DC" w:rsidRPr="00E230DC">
        <w:rPr>
          <w:bCs/>
        </w:rPr>
        <w:t>5</w:t>
      </w:r>
      <w:r w:rsidRPr="00E230DC">
        <w:rPr>
          <w:bCs/>
        </w:rPr>
        <w:t xml:space="preserve">0 to 80 years in Fig. </w:t>
      </w:r>
      <w:r w:rsidR="00CD00F7" w:rsidRPr="00E230DC">
        <w:rPr>
          <w:bCs/>
        </w:rPr>
        <w:t>2</w:t>
      </w:r>
      <w:r w:rsidRPr="00E230DC">
        <w:rPr>
          <w:bCs/>
        </w:rPr>
        <w:t>. At all ages, there was a close correlation between the two estimates (r&gt;0.9</w:t>
      </w:r>
      <w:r w:rsidR="00E230DC" w:rsidRPr="00E230DC">
        <w:rPr>
          <w:bCs/>
        </w:rPr>
        <w:t>5</w:t>
      </w:r>
      <w:r w:rsidRPr="00E230DC">
        <w:rPr>
          <w:bCs/>
        </w:rPr>
        <w:t>).  T</w:t>
      </w:r>
      <w:r w:rsidRPr="009E1C3F">
        <w:rPr>
          <w:bCs/>
        </w:rPr>
        <w:t xml:space="preserve">he </w:t>
      </w:r>
      <w:r w:rsidR="00E230DC">
        <w:rPr>
          <w:bCs/>
        </w:rPr>
        <w:t>Ukrainian</w:t>
      </w:r>
      <w:r w:rsidRPr="009E1C3F">
        <w:rPr>
          <w:bCs/>
        </w:rPr>
        <w:t xml:space="preserve"> version gave lower probabilities than the </w:t>
      </w:r>
      <w:r w:rsidR="00E230DC">
        <w:rPr>
          <w:bCs/>
        </w:rPr>
        <w:t>Austrian</w:t>
      </w:r>
      <w:r w:rsidRPr="009E1C3F">
        <w:rPr>
          <w:bCs/>
        </w:rPr>
        <w:t xml:space="preserve"> model at </w:t>
      </w:r>
      <w:r w:rsidR="00E230DC">
        <w:rPr>
          <w:bCs/>
        </w:rPr>
        <w:t>all</w:t>
      </w:r>
      <w:r w:rsidRPr="009E1C3F">
        <w:rPr>
          <w:bCs/>
        </w:rPr>
        <w:t xml:space="preserve"> ages. The median value was lower by </w:t>
      </w:r>
      <w:r w:rsidR="00E230DC">
        <w:rPr>
          <w:bCs/>
        </w:rPr>
        <w:t>2</w:t>
      </w:r>
      <w:r w:rsidRPr="009E1C3F">
        <w:rPr>
          <w:bCs/>
        </w:rPr>
        <w:t xml:space="preserve">5% at </w:t>
      </w:r>
      <w:r w:rsidR="00E230DC">
        <w:rPr>
          <w:bCs/>
        </w:rPr>
        <w:t>the age 50</w:t>
      </w:r>
      <w:r w:rsidRPr="009E1C3F">
        <w:rPr>
          <w:bCs/>
        </w:rPr>
        <w:t xml:space="preserve"> </w:t>
      </w:r>
      <w:r w:rsidR="00E230DC">
        <w:rPr>
          <w:bCs/>
        </w:rPr>
        <w:t>years and the difference increased with age</w:t>
      </w:r>
      <w:r w:rsidRPr="009E1C3F">
        <w:rPr>
          <w:bCs/>
        </w:rPr>
        <w:t xml:space="preserve">.  At the age of </w:t>
      </w:r>
      <w:r w:rsidR="00E230DC">
        <w:rPr>
          <w:bCs/>
        </w:rPr>
        <w:t>6</w:t>
      </w:r>
      <w:r w:rsidRPr="009E1C3F">
        <w:rPr>
          <w:bCs/>
        </w:rPr>
        <w:t>0</w:t>
      </w:r>
      <w:r w:rsidR="00E230DC">
        <w:rPr>
          <w:bCs/>
        </w:rPr>
        <w:t>, 70 and 80</w:t>
      </w:r>
      <w:r w:rsidRPr="009E1C3F">
        <w:rPr>
          <w:bCs/>
        </w:rPr>
        <w:t xml:space="preserve"> years, the </w:t>
      </w:r>
      <w:r w:rsidR="00E230DC" w:rsidRPr="00E230DC">
        <w:rPr>
          <w:bCs/>
        </w:rPr>
        <w:t>median value was lower by</w:t>
      </w:r>
      <w:r w:rsidR="00E230DC">
        <w:rPr>
          <w:bCs/>
        </w:rPr>
        <w:t xml:space="preserve"> 30, 53 and 65%, respectively</w:t>
      </w:r>
      <w:r w:rsidRPr="009E1C3F">
        <w:rPr>
          <w:bCs/>
        </w:rPr>
        <w:t xml:space="preserve">.  </w:t>
      </w:r>
    </w:p>
    <w:p w:rsidR="00E230DC" w:rsidRDefault="00E230DC" w:rsidP="004539F3">
      <w:pPr>
        <w:ind w:left="567" w:right="95"/>
        <w:rPr>
          <w:bCs/>
        </w:rPr>
      </w:pPr>
      <w:r w:rsidRPr="00E230DC">
        <w:rPr>
          <w:bCs/>
          <w:noProof/>
          <w:lang w:eastAsia="en-GB"/>
        </w:rPr>
        <w:lastRenderedPageBreak/>
        <w:drawing>
          <wp:inline distT="0" distB="0" distL="0" distR="0">
            <wp:extent cx="4572396" cy="34292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572396" cy="3429297"/>
                    </a:xfrm>
                    <a:prstGeom prst="rect">
                      <a:avLst/>
                    </a:prstGeom>
                  </pic:spPr>
                </pic:pic>
              </a:graphicData>
            </a:graphic>
          </wp:inline>
        </w:drawing>
      </w:r>
    </w:p>
    <w:p w:rsidR="009E1C3F" w:rsidRPr="009E1C3F" w:rsidRDefault="009E1C3F" w:rsidP="00E230DC">
      <w:pPr>
        <w:ind w:left="567" w:right="662"/>
        <w:rPr>
          <w:bCs/>
        </w:rPr>
      </w:pPr>
      <w:r w:rsidRPr="00E230DC">
        <w:rPr>
          <w:b/>
          <w:bCs/>
        </w:rPr>
        <w:t xml:space="preserve">Fig. </w:t>
      </w:r>
      <w:r w:rsidR="00E230DC">
        <w:rPr>
          <w:b/>
          <w:bCs/>
        </w:rPr>
        <w:t>2</w:t>
      </w:r>
      <w:r w:rsidRPr="009E1C3F">
        <w:rPr>
          <w:bCs/>
        </w:rPr>
        <w:t xml:space="preserve"> Comparison of 10-year probability of a major osteoporotic fracture using the </w:t>
      </w:r>
      <w:r w:rsidR="00E230DC">
        <w:rPr>
          <w:bCs/>
        </w:rPr>
        <w:t>Austrian</w:t>
      </w:r>
      <w:r w:rsidRPr="009E1C3F">
        <w:rPr>
          <w:bCs/>
        </w:rPr>
        <w:t xml:space="preserve"> FRAX tool </w:t>
      </w:r>
      <w:r w:rsidR="00E230DC">
        <w:rPr>
          <w:bCs/>
        </w:rPr>
        <w:t>applied to</w:t>
      </w:r>
      <w:r w:rsidRPr="009E1C3F">
        <w:rPr>
          <w:bCs/>
        </w:rPr>
        <w:t xml:space="preserve"> the </w:t>
      </w:r>
      <w:r w:rsidR="00E230DC">
        <w:rPr>
          <w:bCs/>
        </w:rPr>
        <w:t>Ukrainian</w:t>
      </w:r>
      <w:r w:rsidRPr="009E1C3F">
        <w:rPr>
          <w:bCs/>
        </w:rPr>
        <w:t xml:space="preserve"> female population and the </w:t>
      </w:r>
      <w:r w:rsidR="00E230DC" w:rsidRPr="00E230DC">
        <w:rPr>
          <w:bCs/>
        </w:rPr>
        <w:t>Ukrainian</w:t>
      </w:r>
      <w:r w:rsidRPr="009E1C3F">
        <w:rPr>
          <w:bCs/>
        </w:rPr>
        <w:t xml:space="preserve"> tool for</w:t>
      </w:r>
      <w:r w:rsidR="00E230DC">
        <w:rPr>
          <w:bCs/>
        </w:rPr>
        <w:t xml:space="preserve"> </w:t>
      </w:r>
      <w:r w:rsidRPr="009E1C3F">
        <w:rPr>
          <w:bCs/>
        </w:rPr>
        <w:t>multiple clinical scenarios. The diagonal dashed line shows the line of identity.</w:t>
      </w:r>
    </w:p>
    <w:p w:rsidR="009E1C3F" w:rsidRPr="009E1C3F" w:rsidRDefault="009E1C3F" w:rsidP="00E230DC">
      <w:pPr>
        <w:ind w:left="567" w:right="662"/>
        <w:rPr>
          <w:bCs/>
        </w:rPr>
      </w:pPr>
    </w:p>
    <w:p w:rsidR="009E1C3F" w:rsidRPr="009E1C3F" w:rsidRDefault="009E1C3F" w:rsidP="00E230DC">
      <w:pPr>
        <w:ind w:left="567" w:right="662"/>
        <w:rPr>
          <w:bCs/>
        </w:rPr>
      </w:pPr>
      <w:r w:rsidRPr="009E1C3F">
        <w:rPr>
          <w:bCs/>
        </w:rPr>
        <w:t>In the case of hip fracture, there was also a close correlation between the two estimates (r&gt;0.9</w:t>
      </w:r>
      <w:r w:rsidR="00E230DC">
        <w:rPr>
          <w:bCs/>
        </w:rPr>
        <w:t>5</w:t>
      </w:r>
      <w:r w:rsidRPr="009E1C3F">
        <w:rPr>
          <w:bCs/>
        </w:rPr>
        <w:t xml:space="preserve">) at all ages. The </w:t>
      </w:r>
      <w:r w:rsidR="00E230DC">
        <w:rPr>
          <w:bCs/>
        </w:rPr>
        <w:t>Ukrainian</w:t>
      </w:r>
      <w:r w:rsidRPr="009E1C3F">
        <w:rPr>
          <w:bCs/>
        </w:rPr>
        <w:t xml:space="preserve"> version gave lower estimates than the </w:t>
      </w:r>
      <w:r w:rsidR="00E230DC">
        <w:rPr>
          <w:bCs/>
        </w:rPr>
        <w:t>Austrian</w:t>
      </w:r>
      <w:r w:rsidRPr="009E1C3F">
        <w:rPr>
          <w:bCs/>
        </w:rPr>
        <w:t xml:space="preserve"> model at </w:t>
      </w:r>
      <w:r w:rsidR="00E230DC">
        <w:rPr>
          <w:bCs/>
        </w:rPr>
        <w:t>all</w:t>
      </w:r>
      <w:r w:rsidRPr="009E1C3F">
        <w:rPr>
          <w:bCs/>
        </w:rPr>
        <w:t xml:space="preserve"> ages and </w:t>
      </w:r>
      <w:r w:rsidR="00E230DC">
        <w:rPr>
          <w:bCs/>
        </w:rPr>
        <w:t>by a proportion that increased with age</w:t>
      </w:r>
      <w:r w:rsidRPr="009E1C3F">
        <w:rPr>
          <w:bCs/>
        </w:rPr>
        <w:t xml:space="preserve"> (Table 3).  In men, the effect of the revision was qualitatively similar to that in women (Table 4).</w:t>
      </w:r>
    </w:p>
    <w:p w:rsidR="009E1C3F" w:rsidRPr="009E1C3F" w:rsidRDefault="009E1C3F" w:rsidP="00E230DC">
      <w:pPr>
        <w:ind w:left="567" w:right="662"/>
        <w:rPr>
          <w:bCs/>
        </w:rPr>
      </w:pPr>
    </w:p>
    <w:p w:rsidR="009E1C3F" w:rsidRPr="009E1C3F" w:rsidRDefault="009E1C3F" w:rsidP="00E230DC">
      <w:pPr>
        <w:ind w:left="567" w:right="662"/>
        <w:rPr>
          <w:bCs/>
        </w:rPr>
      </w:pPr>
    </w:p>
    <w:p w:rsidR="009E1C3F" w:rsidRDefault="009E1C3F" w:rsidP="00E230DC">
      <w:pPr>
        <w:ind w:left="567" w:right="662"/>
        <w:rPr>
          <w:bCs/>
        </w:rPr>
      </w:pPr>
      <w:r w:rsidRPr="005A4134">
        <w:rPr>
          <w:b/>
          <w:bCs/>
        </w:rPr>
        <w:t xml:space="preserve">Table </w:t>
      </w:r>
      <w:r w:rsidR="005A4134" w:rsidRPr="005A4134">
        <w:rPr>
          <w:b/>
          <w:bCs/>
        </w:rPr>
        <w:t>1</w:t>
      </w:r>
      <w:r w:rsidRPr="009E1C3F">
        <w:rPr>
          <w:bCs/>
        </w:rPr>
        <w:t xml:space="preserve"> Probability (%) of a major osteoporotic fracture (MOF) or a hip fracture (with 95% tolerance intervals; TI) in women at the percentiles of the probability distribution (</w:t>
      </w:r>
      <w:r w:rsidR="00E230DC">
        <w:rPr>
          <w:bCs/>
        </w:rPr>
        <w:t xml:space="preserve">Austrian </w:t>
      </w:r>
      <w:r w:rsidRPr="009E1C3F">
        <w:rPr>
          <w:bCs/>
        </w:rPr>
        <w:t>version) by age</w:t>
      </w:r>
    </w:p>
    <w:tbl>
      <w:tblPr>
        <w:tblStyle w:val="TableGrid1"/>
        <w:tblW w:w="9351" w:type="dxa"/>
        <w:tblLayout w:type="fixed"/>
        <w:tblLook w:val="04A0" w:firstRow="1" w:lastRow="0" w:firstColumn="1" w:lastColumn="0" w:noHBand="0" w:noVBand="1"/>
      </w:tblPr>
      <w:tblGrid>
        <w:gridCol w:w="651"/>
        <w:gridCol w:w="1045"/>
        <w:gridCol w:w="1294"/>
        <w:gridCol w:w="1119"/>
        <w:gridCol w:w="1660"/>
        <w:gridCol w:w="1095"/>
        <w:gridCol w:w="1660"/>
        <w:gridCol w:w="827"/>
      </w:tblGrid>
      <w:tr w:rsidR="00BA778B" w:rsidRPr="009E1C3F" w:rsidTr="00B27164">
        <w:tc>
          <w:tcPr>
            <w:tcW w:w="651" w:type="dxa"/>
          </w:tcPr>
          <w:p w:rsidR="00BA778B" w:rsidRPr="009E1C3F" w:rsidRDefault="00BA778B" w:rsidP="00BA778B">
            <w:pPr>
              <w:jc w:val="center"/>
              <w:rPr>
                <w:rFonts w:ascii="Calibri" w:eastAsia="Calibri" w:hAnsi="Calibri" w:cs="Times New Roman"/>
                <w:sz w:val="20"/>
                <w:szCs w:val="20"/>
              </w:rPr>
            </w:pPr>
          </w:p>
        </w:tc>
        <w:tc>
          <w:tcPr>
            <w:tcW w:w="7873" w:type="dxa"/>
            <w:gridSpan w:val="6"/>
          </w:tcPr>
          <w:p w:rsidR="00BA778B" w:rsidRPr="009E1C3F" w:rsidRDefault="00BA778B" w:rsidP="00BA778B">
            <w:pPr>
              <w:jc w:val="center"/>
              <w:rPr>
                <w:rFonts w:ascii="Calibri" w:eastAsia="Calibri" w:hAnsi="Calibri" w:cs="Times New Roman"/>
                <w:sz w:val="20"/>
                <w:szCs w:val="20"/>
              </w:rPr>
            </w:pPr>
            <w:r w:rsidRPr="009E1C3F">
              <w:rPr>
                <w:rFonts w:ascii="Calibri" w:eastAsia="Calibri" w:hAnsi="Calibri" w:cs="Times New Roman"/>
                <w:sz w:val="20"/>
                <w:szCs w:val="20"/>
              </w:rPr>
              <w:t>Percentile</w:t>
            </w:r>
          </w:p>
        </w:tc>
        <w:tc>
          <w:tcPr>
            <w:tcW w:w="827" w:type="dxa"/>
          </w:tcPr>
          <w:p w:rsidR="00BA778B" w:rsidRPr="009E1C3F" w:rsidRDefault="00BA778B" w:rsidP="009E1C3F">
            <w:pPr>
              <w:rPr>
                <w:rFonts w:ascii="Calibri" w:eastAsia="Calibri" w:hAnsi="Calibri" w:cs="Times New Roman"/>
                <w:sz w:val="20"/>
                <w:szCs w:val="20"/>
              </w:rPr>
            </w:pPr>
            <w:r w:rsidRPr="009E1C3F">
              <w:rPr>
                <w:rFonts w:ascii="Calibri" w:eastAsia="Calibri" w:hAnsi="Calibri" w:cs="AdvTT50a2f13e.I"/>
                <w:color w:val="131413"/>
                <w:sz w:val="20"/>
                <w:szCs w:val="20"/>
              </w:rPr>
              <w:t xml:space="preserve">r </w:t>
            </w:r>
            <w:r w:rsidRPr="009E1C3F">
              <w:rPr>
                <w:rFonts w:ascii="Calibri" w:eastAsia="Calibri" w:hAnsi="Calibri" w:cs="AdvTT3713a231"/>
                <w:color w:val="131413"/>
                <w:sz w:val="20"/>
                <w:szCs w:val="20"/>
              </w:rPr>
              <w:t>value</w:t>
            </w:r>
          </w:p>
        </w:tc>
      </w:tr>
      <w:tr w:rsidR="00BA778B" w:rsidRPr="009E1C3F" w:rsidTr="00B27164">
        <w:tc>
          <w:tcPr>
            <w:tcW w:w="651" w:type="dxa"/>
          </w:tcPr>
          <w:p w:rsidR="00BA778B" w:rsidRPr="009E1C3F" w:rsidRDefault="00BA778B" w:rsidP="00BA778B">
            <w:pPr>
              <w:jc w:val="center"/>
              <w:rPr>
                <w:rFonts w:ascii="Calibri" w:eastAsia="Calibri" w:hAnsi="Calibri" w:cs="Times New Roman"/>
                <w:sz w:val="20"/>
                <w:szCs w:val="20"/>
              </w:rPr>
            </w:pPr>
          </w:p>
        </w:tc>
        <w:tc>
          <w:tcPr>
            <w:tcW w:w="2339" w:type="dxa"/>
            <w:gridSpan w:val="2"/>
          </w:tcPr>
          <w:p w:rsidR="00BA778B" w:rsidRPr="009E1C3F" w:rsidRDefault="00BA778B" w:rsidP="00BA778B">
            <w:pPr>
              <w:jc w:val="center"/>
              <w:rPr>
                <w:rFonts w:ascii="Calibri" w:eastAsia="Calibri" w:hAnsi="Calibri" w:cs="Times New Roman"/>
                <w:sz w:val="20"/>
                <w:szCs w:val="20"/>
              </w:rPr>
            </w:pPr>
            <w:r w:rsidRPr="009E1C3F">
              <w:rPr>
                <w:rFonts w:ascii="Calibri" w:eastAsia="Calibri" w:hAnsi="Calibri" w:cs="Times New Roman"/>
                <w:sz w:val="20"/>
                <w:szCs w:val="20"/>
              </w:rPr>
              <w:t>10</w:t>
            </w:r>
          </w:p>
        </w:tc>
        <w:tc>
          <w:tcPr>
            <w:tcW w:w="2779" w:type="dxa"/>
            <w:gridSpan w:val="2"/>
          </w:tcPr>
          <w:p w:rsidR="00BA778B" w:rsidRPr="009E1C3F" w:rsidRDefault="00BA778B" w:rsidP="00BA778B">
            <w:pPr>
              <w:jc w:val="center"/>
              <w:rPr>
                <w:rFonts w:ascii="Calibri" w:eastAsia="Calibri" w:hAnsi="Calibri" w:cs="Times New Roman"/>
                <w:sz w:val="20"/>
                <w:szCs w:val="20"/>
              </w:rPr>
            </w:pPr>
            <w:r w:rsidRPr="009E1C3F">
              <w:rPr>
                <w:rFonts w:ascii="Calibri" w:eastAsia="Calibri" w:hAnsi="Calibri" w:cs="Times New Roman"/>
                <w:sz w:val="20"/>
                <w:szCs w:val="20"/>
              </w:rPr>
              <w:t>50</w:t>
            </w:r>
          </w:p>
        </w:tc>
        <w:tc>
          <w:tcPr>
            <w:tcW w:w="2755" w:type="dxa"/>
            <w:gridSpan w:val="2"/>
          </w:tcPr>
          <w:p w:rsidR="00BA778B" w:rsidRPr="009E1C3F" w:rsidRDefault="00BA778B" w:rsidP="00BA778B">
            <w:pPr>
              <w:jc w:val="center"/>
              <w:rPr>
                <w:rFonts w:ascii="Calibri" w:eastAsia="Calibri" w:hAnsi="Calibri" w:cs="Times New Roman"/>
                <w:sz w:val="20"/>
                <w:szCs w:val="20"/>
              </w:rPr>
            </w:pPr>
            <w:r w:rsidRPr="009E1C3F">
              <w:rPr>
                <w:rFonts w:ascii="Calibri" w:eastAsia="Calibri" w:hAnsi="Calibri" w:cs="Times New Roman"/>
                <w:sz w:val="20"/>
                <w:szCs w:val="20"/>
              </w:rPr>
              <w:t>90</w:t>
            </w:r>
          </w:p>
        </w:tc>
        <w:tc>
          <w:tcPr>
            <w:tcW w:w="827" w:type="dxa"/>
          </w:tcPr>
          <w:p w:rsidR="00BA778B" w:rsidRPr="009E1C3F" w:rsidRDefault="00BA778B" w:rsidP="009E1C3F">
            <w:pPr>
              <w:rPr>
                <w:rFonts w:ascii="Calibri" w:eastAsia="Calibri" w:hAnsi="Calibri" w:cs="Times New Roman"/>
                <w:sz w:val="20"/>
                <w:szCs w:val="20"/>
              </w:rPr>
            </w:pPr>
          </w:p>
        </w:tc>
      </w:tr>
      <w:tr w:rsidR="00CD00F7" w:rsidRPr="009E1C3F" w:rsidTr="00CD00F7">
        <w:tc>
          <w:tcPr>
            <w:tcW w:w="651" w:type="dxa"/>
          </w:tcPr>
          <w:p w:rsidR="00CD00F7" w:rsidRPr="009E1C3F" w:rsidRDefault="00B068A8" w:rsidP="00BA778B">
            <w:pPr>
              <w:jc w:val="center"/>
              <w:rPr>
                <w:rFonts w:ascii="Calibri" w:eastAsia="Calibri" w:hAnsi="Calibri" w:cs="Times New Roman"/>
                <w:sz w:val="20"/>
                <w:szCs w:val="20"/>
              </w:rPr>
            </w:pPr>
            <w:r>
              <w:rPr>
                <w:rFonts w:ascii="Calibri" w:eastAsia="Calibri" w:hAnsi="Calibri" w:cs="Times New Roman"/>
                <w:sz w:val="20"/>
                <w:szCs w:val="20"/>
              </w:rPr>
              <w:t>Age</w:t>
            </w:r>
          </w:p>
        </w:tc>
        <w:tc>
          <w:tcPr>
            <w:tcW w:w="1045" w:type="dxa"/>
          </w:tcPr>
          <w:p w:rsidR="00CD00F7" w:rsidRPr="009E1C3F" w:rsidRDefault="00CD00F7" w:rsidP="00BA778B">
            <w:pPr>
              <w:jc w:val="center"/>
              <w:rPr>
                <w:rFonts w:ascii="Calibri" w:eastAsia="Calibri" w:hAnsi="Calibri" w:cs="Times New Roman"/>
                <w:sz w:val="20"/>
                <w:szCs w:val="20"/>
              </w:rPr>
            </w:pPr>
            <w:r>
              <w:rPr>
                <w:rFonts w:ascii="Calibri" w:eastAsia="Calibri" w:hAnsi="Calibri" w:cs="Times New Roman"/>
                <w:sz w:val="20"/>
                <w:szCs w:val="20"/>
              </w:rPr>
              <w:t>Austria</w:t>
            </w:r>
          </w:p>
        </w:tc>
        <w:tc>
          <w:tcPr>
            <w:tcW w:w="1294" w:type="dxa"/>
          </w:tcPr>
          <w:p w:rsidR="00CD00F7" w:rsidRPr="009E1C3F" w:rsidRDefault="00CD00F7" w:rsidP="00BA778B">
            <w:pPr>
              <w:jc w:val="center"/>
              <w:rPr>
                <w:rFonts w:ascii="Calibri" w:eastAsia="Calibri" w:hAnsi="Calibri" w:cs="Times New Roman"/>
                <w:sz w:val="20"/>
                <w:szCs w:val="20"/>
              </w:rPr>
            </w:pPr>
            <w:r>
              <w:rPr>
                <w:rFonts w:ascii="Calibri" w:eastAsia="Calibri" w:hAnsi="Calibri" w:cs="Times New Roman"/>
                <w:sz w:val="20"/>
                <w:szCs w:val="20"/>
              </w:rPr>
              <w:t>Ukraine</w:t>
            </w:r>
          </w:p>
          <w:p w:rsidR="00CD00F7" w:rsidRPr="009E1C3F" w:rsidRDefault="00CD00F7" w:rsidP="00BA778B">
            <w:pPr>
              <w:jc w:val="center"/>
              <w:rPr>
                <w:rFonts w:ascii="Calibri" w:eastAsia="Calibri" w:hAnsi="Calibri" w:cs="Times New Roman"/>
                <w:sz w:val="20"/>
                <w:szCs w:val="20"/>
              </w:rPr>
            </w:pPr>
            <w:r w:rsidRPr="009E1C3F">
              <w:rPr>
                <w:rFonts w:ascii="Calibri" w:eastAsia="Calibri" w:hAnsi="Calibri" w:cs="Times New Roman"/>
                <w:sz w:val="20"/>
                <w:szCs w:val="20"/>
              </w:rPr>
              <w:t>(95% TI)</w:t>
            </w:r>
          </w:p>
        </w:tc>
        <w:tc>
          <w:tcPr>
            <w:tcW w:w="1119" w:type="dxa"/>
          </w:tcPr>
          <w:p w:rsidR="00CD00F7" w:rsidRPr="009E1C3F" w:rsidRDefault="00CD00F7" w:rsidP="00BA778B">
            <w:pPr>
              <w:jc w:val="center"/>
              <w:rPr>
                <w:rFonts w:ascii="Calibri" w:eastAsia="Calibri" w:hAnsi="Calibri" w:cs="Times New Roman"/>
                <w:sz w:val="20"/>
                <w:szCs w:val="20"/>
              </w:rPr>
            </w:pPr>
            <w:r>
              <w:rPr>
                <w:rFonts w:ascii="Calibri" w:eastAsia="Calibri" w:hAnsi="Calibri" w:cs="Times New Roman"/>
                <w:sz w:val="20"/>
                <w:szCs w:val="20"/>
              </w:rPr>
              <w:t>Austria</w:t>
            </w:r>
          </w:p>
        </w:tc>
        <w:tc>
          <w:tcPr>
            <w:tcW w:w="1660" w:type="dxa"/>
          </w:tcPr>
          <w:p w:rsidR="00CD00F7" w:rsidRPr="009E1C3F" w:rsidRDefault="00CD00F7" w:rsidP="00BA778B">
            <w:pPr>
              <w:jc w:val="center"/>
              <w:rPr>
                <w:rFonts w:ascii="Calibri" w:eastAsia="Calibri" w:hAnsi="Calibri" w:cs="Times New Roman"/>
                <w:sz w:val="20"/>
                <w:szCs w:val="20"/>
              </w:rPr>
            </w:pPr>
            <w:r w:rsidRPr="00CD00F7">
              <w:rPr>
                <w:rFonts w:ascii="Calibri" w:eastAsia="Calibri" w:hAnsi="Calibri" w:cs="Times New Roman"/>
                <w:sz w:val="20"/>
                <w:szCs w:val="20"/>
              </w:rPr>
              <w:t>Ukraine</w:t>
            </w:r>
          </w:p>
          <w:p w:rsidR="00CD00F7" w:rsidRPr="009E1C3F" w:rsidRDefault="00CD00F7" w:rsidP="00BA778B">
            <w:pPr>
              <w:jc w:val="center"/>
              <w:rPr>
                <w:rFonts w:ascii="Calibri" w:eastAsia="Calibri" w:hAnsi="Calibri" w:cs="Times New Roman"/>
                <w:sz w:val="20"/>
                <w:szCs w:val="20"/>
              </w:rPr>
            </w:pPr>
            <w:r w:rsidRPr="009E1C3F">
              <w:rPr>
                <w:rFonts w:ascii="Calibri" w:eastAsia="Calibri" w:hAnsi="Calibri" w:cs="Times New Roman"/>
                <w:sz w:val="20"/>
                <w:szCs w:val="20"/>
              </w:rPr>
              <w:t>(95% TI)</w:t>
            </w:r>
          </w:p>
        </w:tc>
        <w:tc>
          <w:tcPr>
            <w:tcW w:w="1095" w:type="dxa"/>
          </w:tcPr>
          <w:p w:rsidR="00CD00F7" w:rsidRPr="009E1C3F" w:rsidRDefault="00CD00F7" w:rsidP="00BA778B">
            <w:pPr>
              <w:jc w:val="center"/>
              <w:rPr>
                <w:rFonts w:ascii="Calibri" w:eastAsia="Calibri" w:hAnsi="Calibri" w:cs="Times New Roman"/>
                <w:sz w:val="20"/>
                <w:szCs w:val="20"/>
              </w:rPr>
            </w:pPr>
            <w:r>
              <w:rPr>
                <w:rFonts w:ascii="Calibri" w:eastAsia="Calibri" w:hAnsi="Calibri" w:cs="Times New Roman"/>
                <w:sz w:val="20"/>
                <w:szCs w:val="20"/>
              </w:rPr>
              <w:t>Austria</w:t>
            </w:r>
          </w:p>
        </w:tc>
        <w:tc>
          <w:tcPr>
            <w:tcW w:w="1660" w:type="dxa"/>
          </w:tcPr>
          <w:p w:rsidR="00CD00F7" w:rsidRPr="009E1C3F" w:rsidRDefault="00CD00F7" w:rsidP="00BA778B">
            <w:pPr>
              <w:jc w:val="center"/>
              <w:rPr>
                <w:rFonts w:ascii="Calibri" w:eastAsia="Calibri" w:hAnsi="Calibri" w:cs="Times New Roman"/>
                <w:sz w:val="20"/>
                <w:szCs w:val="20"/>
              </w:rPr>
            </w:pPr>
            <w:r>
              <w:rPr>
                <w:rFonts w:ascii="Calibri" w:eastAsia="Calibri" w:hAnsi="Calibri" w:cs="Times New Roman"/>
                <w:sz w:val="20"/>
                <w:szCs w:val="20"/>
              </w:rPr>
              <w:t>Ukraine</w:t>
            </w:r>
          </w:p>
          <w:p w:rsidR="00CD00F7" w:rsidRPr="009E1C3F" w:rsidRDefault="00CD00F7" w:rsidP="00BA778B">
            <w:pPr>
              <w:jc w:val="center"/>
              <w:rPr>
                <w:rFonts w:ascii="Calibri" w:eastAsia="Calibri" w:hAnsi="Calibri" w:cs="Times New Roman"/>
                <w:sz w:val="20"/>
                <w:szCs w:val="20"/>
              </w:rPr>
            </w:pPr>
            <w:r w:rsidRPr="009E1C3F">
              <w:rPr>
                <w:rFonts w:ascii="Calibri" w:eastAsia="Calibri" w:hAnsi="Calibri" w:cs="Times New Roman"/>
                <w:sz w:val="20"/>
                <w:szCs w:val="20"/>
              </w:rPr>
              <w:t>(95% TI)</w:t>
            </w:r>
          </w:p>
        </w:tc>
        <w:tc>
          <w:tcPr>
            <w:tcW w:w="827" w:type="dxa"/>
          </w:tcPr>
          <w:p w:rsidR="00CD00F7" w:rsidRPr="009E1C3F" w:rsidRDefault="00CD00F7" w:rsidP="00CD00F7">
            <w:pPr>
              <w:rPr>
                <w:rFonts w:ascii="Calibri" w:eastAsia="Calibri" w:hAnsi="Calibri" w:cs="Times New Roman"/>
                <w:sz w:val="20"/>
                <w:szCs w:val="20"/>
              </w:rPr>
            </w:pPr>
          </w:p>
        </w:tc>
      </w:tr>
      <w:tr w:rsidR="00CD00F7" w:rsidRPr="009E1C3F" w:rsidTr="00CD00F7">
        <w:tc>
          <w:tcPr>
            <w:tcW w:w="651" w:type="dxa"/>
          </w:tcPr>
          <w:p w:rsidR="00CD00F7" w:rsidRPr="009E1C3F" w:rsidRDefault="00CD00F7" w:rsidP="00CD00F7">
            <w:pPr>
              <w:rPr>
                <w:rFonts w:ascii="Calibri" w:eastAsia="Calibri" w:hAnsi="Calibri" w:cs="Times New Roman"/>
                <w:sz w:val="20"/>
                <w:szCs w:val="20"/>
              </w:rPr>
            </w:pPr>
            <w:r w:rsidRPr="009E1C3F">
              <w:rPr>
                <w:rFonts w:ascii="Calibri" w:eastAsia="Calibri" w:hAnsi="Calibri" w:cs="Times New Roman"/>
                <w:sz w:val="20"/>
                <w:szCs w:val="20"/>
              </w:rPr>
              <w:t>MOF</w:t>
            </w:r>
          </w:p>
        </w:tc>
        <w:tc>
          <w:tcPr>
            <w:tcW w:w="1045" w:type="dxa"/>
          </w:tcPr>
          <w:p w:rsidR="00CD00F7" w:rsidRPr="009E1C3F" w:rsidRDefault="00CD00F7" w:rsidP="00CD00F7">
            <w:pPr>
              <w:rPr>
                <w:rFonts w:ascii="Calibri" w:eastAsia="Calibri" w:hAnsi="Calibri" w:cs="Times New Roman"/>
                <w:sz w:val="20"/>
                <w:szCs w:val="20"/>
              </w:rPr>
            </w:pPr>
          </w:p>
        </w:tc>
        <w:tc>
          <w:tcPr>
            <w:tcW w:w="1294" w:type="dxa"/>
          </w:tcPr>
          <w:p w:rsidR="00CD00F7" w:rsidRPr="009E1C3F" w:rsidRDefault="00CD00F7" w:rsidP="00CD00F7">
            <w:pPr>
              <w:rPr>
                <w:rFonts w:ascii="Calibri" w:eastAsia="Calibri" w:hAnsi="Calibri" w:cs="Times New Roman"/>
                <w:sz w:val="20"/>
                <w:szCs w:val="20"/>
              </w:rPr>
            </w:pPr>
          </w:p>
        </w:tc>
        <w:tc>
          <w:tcPr>
            <w:tcW w:w="1119" w:type="dxa"/>
          </w:tcPr>
          <w:p w:rsidR="00CD00F7" w:rsidRPr="009E1C3F" w:rsidRDefault="00CD00F7" w:rsidP="00CD00F7">
            <w:pPr>
              <w:rPr>
                <w:rFonts w:ascii="Calibri" w:eastAsia="Calibri" w:hAnsi="Calibri" w:cs="Times New Roman"/>
                <w:sz w:val="20"/>
                <w:szCs w:val="20"/>
              </w:rPr>
            </w:pPr>
          </w:p>
        </w:tc>
        <w:tc>
          <w:tcPr>
            <w:tcW w:w="1660" w:type="dxa"/>
          </w:tcPr>
          <w:p w:rsidR="00CD00F7" w:rsidRPr="009E1C3F" w:rsidRDefault="00CD00F7" w:rsidP="00CD00F7">
            <w:pPr>
              <w:rPr>
                <w:rFonts w:ascii="Calibri" w:eastAsia="Calibri" w:hAnsi="Calibri" w:cs="Times New Roman"/>
                <w:sz w:val="20"/>
                <w:szCs w:val="20"/>
              </w:rPr>
            </w:pPr>
          </w:p>
        </w:tc>
        <w:tc>
          <w:tcPr>
            <w:tcW w:w="1095" w:type="dxa"/>
          </w:tcPr>
          <w:p w:rsidR="00CD00F7" w:rsidRPr="009E1C3F" w:rsidRDefault="00CD00F7" w:rsidP="00CD00F7">
            <w:pPr>
              <w:rPr>
                <w:rFonts w:ascii="Calibri" w:eastAsia="Calibri" w:hAnsi="Calibri" w:cs="Times New Roman"/>
                <w:sz w:val="20"/>
                <w:szCs w:val="20"/>
              </w:rPr>
            </w:pPr>
          </w:p>
        </w:tc>
        <w:tc>
          <w:tcPr>
            <w:tcW w:w="1660" w:type="dxa"/>
          </w:tcPr>
          <w:p w:rsidR="00CD00F7" w:rsidRPr="009E1C3F" w:rsidRDefault="00CD00F7" w:rsidP="00CD00F7">
            <w:pPr>
              <w:rPr>
                <w:rFonts w:ascii="Calibri" w:eastAsia="Calibri" w:hAnsi="Calibri" w:cs="Times New Roman"/>
                <w:sz w:val="20"/>
                <w:szCs w:val="20"/>
              </w:rPr>
            </w:pPr>
          </w:p>
        </w:tc>
        <w:tc>
          <w:tcPr>
            <w:tcW w:w="827" w:type="dxa"/>
          </w:tcPr>
          <w:p w:rsidR="00CD00F7" w:rsidRPr="009E1C3F" w:rsidRDefault="00CD00F7" w:rsidP="00CD00F7">
            <w:pPr>
              <w:rPr>
                <w:rFonts w:ascii="Calibri" w:eastAsia="Calibri" w:hAnsi="Calibri" w:cs="Times New Roman"/>
                <w:sz w:val="20"/>
                <w:szCs w:val="20"/>
              </w:rPr>
            </w:pPr>
          </w:p>
        </w:tc>
      </w:tr>
      <w:tr w:rsidR="00BE2DBE" w:rsidRPr="009E1C3F" w:rsidTr="00CD00F7">
        <w:tc>
          <w:tcPr>
            <w:tcW w:w="651" w:type="dxa"/>
          </w:tcPr>
          <w:p w:rsidR="00BE2DBE" w:rsidRPr="009E1C3F" w:rsidRDefault="00BE2DBE" w:rsidP="00BE2DBE">
            <w:pPr>
              <w:rPr>
                <w:rFonts w:ascii="Calibri" w:eastAsia="Calibri" w:hAnsi="Calibri" w:cs="Times New Roman"/>
                <w:sz w:val="20"/>
                <w:szCs w:val="20"/>
              </w:rPr>
            </w:pPr>
            <w:r w:rsidRPr="009E1C3F">
              <w:rPr>
                <w:rFonts w:ascii="Calibri" w:eastAsia="Calibri" w:hAnsi="Calibri" w:cs="Times New Roman"/>
                <w:sz w:val="20"/>
                <w:szCs w:val="20"/>
              </w:rPr>
              <w:t>50</w:t>
            </w:r>
          </w:p>
        </w:tc>
        <w:tc>
          <w:tcPr>
            <w:tcW w:w="1045" w:type="dxa"/>
          </w:tcPr>
          <w:p w:rsidR="00BE2DBE"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8</w:t>
            </w:r>
          </w:p>
        </w:tc>
        <w:tc>
          <w:tcPr>
            <w:tcW w:w="1294" w:type="dxa"/>
          </w:tcPr>
          <w:p w:rsidR="00BE2DBE"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6 (5-6)</w:t>
            </w:r>
          </w:p>
        </w:tc>
        <w:tc>
          <w:tcPr>
            <w:tcW w:w="1119" w:type="dxa"/>
          </w:tcPr>
          <w:p w:rsidR="00BE2DBE"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20</w:t>
            </w:r>
          </w:p>
        </w:tc>
        <w:tc>
          <w:tcPr>
            <w:tcW w:w="1660" w:type="dxa"/>
          </w:tcPr>
          <w:p w:rsidR="00BE2DBE"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15 (15-16)</w:t>
            </w:r>
          </w:p>
        </w:tc>
        <w:tc>
          <w:tcPr>
            <w:tcW w:w="1095" w:type="dxa"/>
          </w:tcPr>
          <w:p w:rsidR="00BE2DBE"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49</w:t>
            </w:r>
          </w:p>
        </w:tc>
        <w:tc>
          <w:tcPr>
            <w:tcW w:w="1660" w:type="dxa"/>
          </w:tcPr>
          <w:p w:rsidR="00BE2DBE"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38 (38-39)</w:t>
            </w:r>
          </w:p>
        </w:tc>
        <w:tc>
          <w:tcPr>
            <w:tcW w:w="827" w:type="dxa"/>
          </w:tcPr>
          <w:p w:rsidR="00BE2DBE" w:rsidRPr="009E1C3F" w:rsidRDefault="00BE2DBE" w:rsidP="00BA778B">
            <w:pPr>
              <w:jc w:val="center"/>
              <w:rPr>
                <w:rFonts w:ascii="Calibri" w:eastAsia="Calibri" w:hAnsi="Calibri" w:cs="Times New Roman"/>
                <w:sz w:val="20"/>
                <w:szCs w:val="20"/>
              </w:rPr>
            </w:pPr>
            <w:r w:rsidRPr="009E1C3F">
              <w:rPr>
                <w:rFonts w:ascii="Calibri" w:eastAsia="Calibri" w:hAnsi="Calibri" w:cs="Times New Roman"/>
                <w:sz w:val="20"/>
                <w:szCs w:val="20"/>
              </w:rPr>
              <w:t>0.998</w:t>
            </w:r>
          </w:p>
        </w:tc>
      </w:tr>
      <w:tr w:rsidR="00CD00F7" w:rsidRPr="009E1C3F" w:rsidTr="00CD00F7">
        <w:tc>
          <w:tcPr>
            <w:tcW w:w="651" w:type="dxa"/>
          </w:tcPr>
          <w:p w:rsidR="00CD00F7" w:rsidRPr="009E1C3F" w:rsidRDefault="00CD00F7" w:rsidP="00CD00F7">
            <w:pPr>
              <w:rPr>
                <w:rFonts w:ascii="Calibri" w:eastAsia="Calibri" w:hAnsi="Calibri" w:cs="Times New Roman"/>
                <w:sz w:val="20"/>
                <w:szCs w:val="20"/>
              </w:rPr>
            </w:pPr>
            <w:r w:rsidRPr="009E1C3F">
              <w:rPr>
                <w:rFonts w:ascii="Calibri" w:eastAsia="Calibri" w:hAnsi="Calibri" w:cs="Times New Roman"/>
                <w:sz w:val="20"/>
                <w:szCs w:val="20"/>
              </w:rPr>
              <w:t>60</w:t>
            </w:r>
          </w:p>
        </w:tc>
        <w:tc>
          <w:tcPr>
            <w:tcW w:w="1045"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10</w:t>
            </w:r>
          </w:p>
        </w:tc>
        <w:tc>
          <w:tcPr>
            <w:tcW w:w="1294"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6 (6-7)</w:t>
            </w:r>
          </w:p>
        </w:tc>
        <w:tc>
          <w:tcPr>
            <w:tcW w:w="1119"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23</w:t>
            </w:r>
          </w:p>
        </w:tc>
        <w:tc>
          <w:tcPr>
            <w:tcW w:w="1660"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16 (15-16)</w:t>
            </w:r>
          </w:p>
        </w:tc>
        <w:tc>
          <w:tcPr>
            <w:tcW w:w="1095"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51</w:t>
            </w:r>
          </w:p>
        </w:tc>
        <w:tc>
          <w:tcPr>
            <w:tcW w:w="1660"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36 (35-36)</w:t>
            </w:r>
          </w:p>
        </w:tc>
        <w:tc>
          <w:tcPr>
            <w:tcW w:w="827" w:type="dxa"/>
          </w:tcPr>
          <w:p w:rsidR="00CD00F7" w:rsidRPr="009E1C3F" w:rsidRDefault="00CD00F7" w:rsidP="00BA778B">
            <w:pPr>
              <w:jc w:val="center"/>
              <w:rPr>
                <w:rFonts w:ascii="Calibri" w:eastAsia="Calibri" w:hAnsi="Calibri" w:cs="Times New Roman"/>
                <w:sz w:val="20"/>
                <w:szCs w:val="20"/>
              </w:rPr>
            </w:pPr>
            <w:r w:rsidRPr="009E1C3F">
              <w:rPr>
                <w:rFonts w:ascii="Calibri" w:eastAsia="Calibri" w:hAnsi="Calibri" w:cs="Times New Roman"/>
                <w:sz w:val="20"/>
                <w:szCs w:val="20"/>
              </w:rPr>
              <w:t>0.99</w:t>
            </w:r>
            <w:r w:rsidR="00BE2DBE">
              <w:rPr>
                <w:rFonts w:ascii="Calibri" w:eastAsia="Calibri" w:hAnsi="Calibri" w:cs="Times New Roman"/>
                <w:sz w:val="20"/>
                <w:szCs w:val="20"/>
              </w:rPr>
              <w:t>7</w:t>
            </w:r>
          </w:p>
        </w:tc>
      </w:tr>
      <w:tr w:rsidR="00CD00F7" w:rsidRPr="009E1C3F" w:rsidTr="00CD00F7">
        <w:tc>
          <w:tcPr>
            <w:tcW w:w="651" w:type="dxa"/>
          </w:tcPr>
          <w:p w:rsidR="00CD00F7" w:rsidRPr="009E1C3F" w:rsidRDefault="00CD00F7" w:rsidP="00CD00F7">
            <w:pPr>
              <w:rPr>
                <w:rFonts w:ascii="Calibri" w:eastAsia="Calibri" w:hAnsi="Calibri" w:cs="Times New Roman"/>
                <w:sz w:val="20"/>
                <w:szCs w:val="20"/>
              </w:rPr>
            </w:pPr>
            <w:r w:rsidRPr="009E1C3F">
              <w:rPr>
                <w:rFonts w:ascii="Calibri" w:eastAsia="Calibri" w:hAnsi="Calibri" w:cs="Times New Roman"/>
                <w:sz w:val="20"/>
                <w:szCs w:val="20"/>
              </w:rPr>
              <w:t>70</w:t>
            </w:r>
          </w:p>
        </w:tc>
        <w:tc>
          <w:tcPr>
            <w:tcW w:w="1045"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13</w:t>
            </w:r>
          </w:p>
        </w:tc>
        <w:tc>
          <w:tcPr>
            <w:tcW w:w="1294"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5 (4-6)</w:t>
            </w:r>
          </w:p>
        </w:tc>
        <w:tc>
          <w:tcPr>
            <w:tcW w:w="1119"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30</w:t>
            </w:r>
          </w:p>
        </w:tc>
        <w:tc>
          <w:tcPr>
            <w:tcW w:w="1660"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14 (13-15)</w:t>
            </w:r>
          </w:p>
        </w:tc>
        <w:tc>
          <w:tcPr>
            <w:tcW w:w="1095"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65</w:t>
            </w:r>
          </w:p>
        </w:tc>
        <w:tc>
          <w:tcPr>
            <w:tcW w:w="1660"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35 (33-36)</w:t>
            </w:r>
          </w:p>
        </w:tc>
        <w:tc>
          <w:tcPr>
            <w:tcW w:w="827"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0.983</w:t>
            </w:r>
          </w:p>
        </w:tc>
      </w:tr>
      <w:tr w:rsidR="00CD00F7" w:rsidRPr="009E1C3F" w:rsidTr="00CD00F7">
        <w:tc>
          <w:tcPr>
            <w:tcW w:w="651" w:type="dxa"/>
          </w:tcPr>
          <w:p w:rsidR="00CD00F7" w:rsidRPr="009E1C3F" w:rsidRDefault="00CD00F7" w:rsidP="00CD00F7">
            <w:pPr>
              <w:rPr>
                <w:rFonts w:ascii="Calibri" w:eastAsia="Calibri" w:hAnsi="Calibri" w:cs="Times New Roman"/>
                <w:sz w:val="20"/>
                <w:szCs w:val="20"/>
              </w:rPr>
            </w:pPr>
            <w:r w:rsidRPr="009E1C3F">
              <w:rPr>
                <w:rFonts w:ascii="Calibri" w:eastAsia="Calibri" w:hAnsi="Calibri" w:cs="Times New Roman"/>
                <w:sz w:val="20"/>
                <w:szCs w:val="20"/>
              </w:rPr>
              <w:t>80</w:t>
            </w:r>
          </w:p>
        </w:tc>
        <w:tc>
          <w:tcPr>
            <w:tcW w:w="1045"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19</w:t>
            </w:r>
          </w:p>
        </w:tc>
        <w:tc>
          <w:tcPr>
            <w:tcW w:w="1294"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5 (4-7)</w:t>
            </w:r>
          </w:p>
        </w:tc>
        <w:tc>
          <w:tcPr>
            <w:tcW w:w="1119"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43</w:t>
            </w:r>
          </w:p>
        </w:tc>
        <w:tc>
          <w:tcPr>
            <w:tcW w:w="1660"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15 (13-16)</w:t>
            </w:r>
          </w:p>
        </w:tc>
        <w:tc>
          <w:tcPr>
            <w:tcW w:w="1095"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76</w:t>
            </w:r>
          </w:p>
        </w:tc>
        <w:tc>
          <w:tcPr>
            <w:tcW w:w="1660" w:type="dxa"/>
          </w:tcPr>
          <w:p w:rsidR="00CD00F7" w:rsidRPr="009E1C3F" w:rsidRDefault="00BE2DBE" w:rsidP="00BA778B">
            <w:pPr>
              <w:jc w:val="center"/>
              <w:rPr>
                <w:rFonts w:ascii="Calibri" w:eastAsia="Calibri" w:hAnsi="Calibri" w:cs="Times New Roman"/>
                <w:sz w:val="20"/>
                <w:szCs w:val="20"/>
              </w:rPr>
            </w:pPr>
            <w:r>
              <w:rPr>
                <w:rFonts w:ascii="Calibri" w:eastAsia="Calibri" w:hAnsi="Calibri" w:cs="Times New Roman"/>
                <w:sz w:val="20"/>
                <w:szCs w:val="20"/>
              </w:rPr>
              <w:t>40 (38-42)</w:t>
            </w:r>
          </w:p>
        </w:tc>
        <w:tc>
          <w:tcPr>
            <w:tcW w:w="827" w:type="dxa"/>
          </w:tcPr>
          <w:p w:rsidR="00CD00F7" w:rsidRPr="009E1C3F" w:rsidRDefault="00CD00F7" w:rsidP="00BA778B">
            <w:pPr>
              <w:jc w:val="center"/>
              <w:rPr>
                <w:rFonts w:ascii="Calibri" w:eastAsia="Calibri" w:hAnsi="Calibri" w:cs="Times New Roman"/>
                <w:sz w:val="20"/>
                <w:szCs w:val="20"/>
              </w:rPr>
            </w:pPr>
            <w:r w:rsidRPr="009E1C3F">
              <w:rPr>
                <w:rFonts w:ascii="Calibri" w:eastAsia="Calibri" w:hAnsi="Calibri" w:cs="Times New Roman"/>
                <w:sz w:val="20"/>
                <w:szCs w:val="20"/>
              </w:rPr>
              <w:t>0.9</w:t>
            </w:r>
            <w:r w:rsidR="00BE2DBE">
              <w:rPr>
                <w:rFonts w:ascii="Calibri" w:eastAsia="Calibri" w:hAnsi="Calibri" w:cs="Times New Roman"/>
                <w:sz w:val="20"/>
                <w:szCs w:val="20"/>
              </w:rPr>
              <w:t>53</w:t>
            </w:r>
          </w:p>
        </w:tc>
      </w:tr>
      <w:tr w:rsidR="00CD00F7" w:rsidRPr="009E1C3F" w:rsidTr="00CD00F7">
        <w:tc>
          <w:tcPr>
            <w:tcW w:w="651" w:type="dxa"/>
          </w:tcPr>
          <w:p w:rsidR="00CD00F7" w:rsidRPr="009E1C3F" w:rsidRDefault="00CD00F7" w:rsidP="00CD00F7">
            <w:pPr>
              <w:rPr>
                <w:rFonts w:ascii="Calibri" w:eastAsia="Calibri" w:hAnsi="Calibri" w:cs="Times New Roman"/>
                <w:sz w:val="20"/>
                <w:szCs w:val="20"/>
              </w:rPr>
            </w:pPr>
            <w:r w:rsidRPr="009E1C3F">
              <w:rPr>
                <w:rFonts w:ascii="Calibri" w:eastAsia="Calibri" w:hAnsi="Calibri" w:cs="Times New Roman"/>
                <w:sz w:val="20"/>
                <w:szCs w:val="20"/>
              </w:rPr>
              <w:t>Hip</w:t>
            </w:r>
          </w:p>
        </w:tc>
        <w:tc>
          <w:tcPr>
            <w:tcW w:w="1045" w:type="dxa"/>
          </w:tcPr>
          <w:p w:rsidR="00CD00F7" w:rsidRPr="009E1C3F" w:rsidRDefault="00CD00F7" w:rsidP="00CD00F7">
            <w:pPr>
              <w:rPr>
                <w:rFonts w:ascii="Calibri" w:eastAsia="Calibri" w:hAnsi="Calibri" w:cs="Times New Roman"/>
                <w:sz w:val="20"/>
                <w:szCs w:val="20"/>
              </w:rPr>
            </w:pPr>
          </w:p>
        </w:tc>
        <w:tc>
          <w:tcPr>
            <w:tcW w:w="1294" w:type="dxa"/>
          </w:tcPr>
          <w:p w:rsidR="00CD00F7" w:rsidRPr="009E1C3F" w:rsidRDefault="00CD00F7" w:rsidP="00CD00F7">
            <w:pPr>
              <w:rPr>
                <w:rFonts w:ascii="Calibri" w:eastAsia="Calibri" w:hAnsi="Calibri" w:cs="Times New Roman"/>
                <w:sz w:val="20"/>
                <w:szCs w:val="20"/>
              </w:rPr>
            </w:pPr>
          </w:p>
        </w:tc>
        <w:tc>
          <w:tcPr>
            <w:tcW w:w="1119" w:type="dxa"/>
          </w:tcPr>
          <w:p w:rsidR="00CD00F7" w:rsidRPr="009E1C3F" w:rsidRDefault="00CD00F7" w:rsidP="00CD00F7">
            <w:pPr>
              <w:rPr>
                <w:rFonts w:ascii="Calibri" w:eastAsia="Calibri" w:hAnsi="Calibri" w:cs="Times New Roman"/>
                <w:sz w:val="20"/>
                <w:szCs w:val="20"/>
              </w:rPr>
            </w:pPr>
          </w:p>
        </w:tc>
        <w:tc>
          <w:tcPr>
            <w:tcW w:w="1660" w:type="dxa"/>
          </w:tcPr>
          <w:p w:rsidR="00CD00F7" w:rsidRPr="009E1C3F" w:rsidRDefault="00CD00F7" w:rsidP="00CD00F7">
            <w:pPr>
              <w:rPr>
                <w:rFonts w:ascii="Calibri" w:eastAsia="Calibri" w:hAnsi="Calibri" w:cs="Times New Roman"/>
                <w:sz w:val="20"/>
                <w:szCs w:val="20"/>
              </w:rPr>
            </w:pPr>
          </w:p>
        </w:tc>
        <w:tc>
          <w:tcPr>
            <w:tcW w:w="1095" w:type="dxa"/>
          </w:tcPr>
          <w:p w:rsidR="00CD00F7" w:rsidRPr="009E1C3F" w:rsidRDefault="00CD00F7" w:rsidP="00CD00F7">
            <w:pPr>
              <w:rPr>
                <w:rFonts w:ascii="Calibri" w:eastAsia="Calibri" w:hAnsi="Calibri" w:cs="Times New Roman"/>
                <w:sz w:val="20"/>
                <w:szCs w:val="20"/>
              </w:rPr>
            </w:pPr>
          </w:p>
        </w:tc>
        <w:tc>
          <w:tcPr>
            <w:tcW w:w="1660" w:type="dxa"/>
          </w:tcPr>
          <w:p w:rsidR="00CD00F7" w:rsidRPr="009E1C3F" w:rsidRDefault="00CD00F7" w:rsidP="00CD00F7">
            <w:pPr>
              <w:rPr>
                <w:rFonts w:ascii="Calibri" w:eastAsia="Calibri" w:hAnsi="Calibri" w:cs="Times New Roman"/>
                <w:sz w:val="20"/>
                <w:szCs w:val="20"/>
              </w:rPr>
            </w:pPr>
          </w:p>
        </w:tc>
        <w:tc>
          <w:tcPr>
            <w:tcW w:w="827" w:type="dxa"/>
          </w:tcPr>
          <w:p w:rsidR="00CD00F7" w:rsidRPr="009E1C3F" w:rsidRDefault="00CD00F7" w:rsidP="00CD00F7">
            <w:pPr>
              <w:rPr>
                <w:rFonts w:ascii="Calibri" w:eastAsia="Calibri" w:hAnsi="Calibri" w:cs="Times New Roman"/>
                <w:sz w:val="20"/>
                <w:szCs w:val="20"/>
              </w:rPr>
            </w:pPr>
          </w:p>
        </w:tc>
      </w:tr>
      <w:tr w:rsidR="00CD00F7" w:rsidRPr="009E1C3F" w:rsidTr="00CD00F7">
        <w:tc>
          <w:tcPr>
            <w:tcW w:w="651" w:type="dxa"/>
          </w:tcPr>
          <w:p w:rsidR="00CD00F7" w:rsidRPr="009E1C3F" w:rsidRDefault="00CD00F7" w:rsidP="00CD00F7">
            <w:pPr>
              <w:rPr>
                <w:rFonts w:ascii="Calibri" w:eastAsia="Calibri" w:hAnsi="Calibri" w:cs="Times New Roman"/>
                <w:sz w:val="20"/>
                <w:szCs w:val="20"/>
              </w:rPr>
            </w:pPr>
            <w:r w:rsidRPr="009E1C3F">
              <w:rPr>
                <w:rFonts w:ascii="Calibri" w:eastAsia="Calibri" w:hAnsi="Calibri" w:cs="Times New Roman"/>
                <w:sz w:val="20"/>
                <w:szCs w:val="20"/>
              </w:rPr>
              <w:t>50</w:t>
            </w:r>
          </w:p>
        </w:tc>
        <w:tc>
          <w:tcPr>
            <w:tcW w:w="1045"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0.4</w:t>
            </w:r>
          </w:p>
        </w:tc>
        <w:tc>
          <w:tcPr>
            <w:tcW w:w="1294"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0.2 (0.0-0.5)</w:t>
            </w:r>
          </w:p>
        </w:tc>
        <w:tc>
          <w:tcPr>
            <w:tcW w:w="1119"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4</w:t>
            </w:r>
          </w:p>
        </w:tc>
        <w:tc>
          <w:tcPr>
            <w:tcW w:w="1660"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3 (3-3)</w:t>
            </w:r>
          </w:p>
        </w:tc>
        <w:tc>
          <w:tcPr>
            <w:tcW w:w="1095"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31</w:t>
            </w:r>
          </w:p>
        </w:tc>
        <w:tc>
          <w:tcPr>
            <w:tcW w:w="1660"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24 (24-25)</w:t>
            </w:r>
          </w:p>
        </w:tc>
        <w:tc>
          <w:tcPr>
            <w:tcW w:w="827"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0.999</w:t>
            </w:r>
          </w:p>
        </w:tc>
      </w:tr>
      <w:tr w:rsidR="00CD00F7" w:rsidRPr="009E1C3F" w:rsidTr="00CD00F7">
        <w:tc>
          <w:tcPr>
            <w:tcW w:w="651" w:type="dxa"/>
          </w:tcPr>
          <w:p w:rsidR="00CD00F7" w:rsidRPr="009E1C3F" w:rsidRDefault="00CD00F7" w:rsidP="00CD00F7">
            <w:pPr>
              <w:rPr>
                <w:rFonts w:ascii="Calibri" w:eastAsia="Calibri" w:hAnsi="Calibri" w:cs="Times New Roman"/>
                <w:sz w:val="20"/>
                <w:szCs w:val="20"/>
              </w:rPr>
            </w:pPr>
            <w:r w:rsidRPr="009E1C3F">
              <w:rPr>
                <w:rFonts w:ascii="Calibri" w:eastAsia="Calibri" w:hAnsi="Calibri" w:cs="Times New Roman"/>
                <w:sz w:val="20"/>
                <w:szCs w:val="20"/>
              </w:rPr>
              <w:t>60</w:t>
            </w:r>
          </w:p>
        </w:tc>
        <w:tc>
          <w:tcPr>
            <w:tcW w:w="1045"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0.7</w:t>
            </w:r>
          </w:p>
        </w:tc>
        <w:tc>
          <w:tcPr>
            <w:tcW w:w="1294"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0.3 (0.0-0.7)</w:t>
            </w:r>
          </w:p>
        </w:tc>
        <w:tc>
          <w:tcPr>
            <w:tcW w:w="1119"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5</w:t>
            </w:r>
          </w:p>
        </w:tc>
        <w:tc>
          <w:tcPr>
            <w:tcW w:w="1660"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3 (3-4)</w:t>
            </w:r>
          </w:p>
        </w:tc>
        <w:tc>
          <w:tcPr>
            <w:tcW w:w="1095"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29</w:t>
            </w:r>
          </w:p>
        </w:tc>
        <w:tc>
          <w:tcPr>
            <w:tcW w:w="1660"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19 (19-20)</w:t>
            </w:r>
          </w:p>
        </w:tc>
        <w:tc>
          <w:tcPr>
            <w:tcW w:w="827" w:type="dxa"/>
          </w:tcPr>
          <w:p w:rsidR="00CD00F7" w:rsidRPr="009E1C3F" w:rsidRDefault="004539F3" w:rsidP="00BA778B">
            <w:pPr>
              <w:jc w:val="center"/>
              <w:rPr>
                <w:rFonts w:ascii="Calibri" w:eastAsia="Calibri" w:hAnsi="Calibri" w:cs="Times New Roman"/>
                <w:sz w:val="20"/>
                <w:szCs w:val="20"/>
              </w:rPr>
            </w:pPr>
            <w:r w:rsidRPr="004539F3">
              <w:rPr>
                <w:rFonts w:ascii="Calibri" w:eastAsia="Calibri" w:hAnsi="Calibri" w:cs="Times New Roman"/>
                <w:sz w:val="20"/>
                <w:szCs w:val="20"/>
              </w:rPr>
              <w:t>0.999</w:t>
            </w:r>
          </w:p>
        </w:tc>
      </w:tr>
      <w:tr w:rsidR="00CD00F7" w:rsidRPr="009E1C3F" w:rsidTr="00CD00F7">
        <w:tc>
          <w:tcPr>
            <w:tcW w:w="651" w:type="dxa"/>
          </w:tcPr>
          <w:p w:rsidR="00CD00F7" w:rsidRPr="009E1C3F" w:rsidRDefault="00CD00F7" w:rsidP="00CD00F7">
            <w:pPr>
              <w:rPr>
                <w:rFonts w:ascii="Calibri" w:eastAsia="Calibri" w:hAnsi="Calibri" w:cs="Times New Roman"/>
                <w:sz w:val="20"/>
                <w:szCs w:val="20"/>
              </w:rPr>
            </w:pPr>
            <w:r w:rsidRPr="009E1C3F">
              <w:rPr>
                <w:rFonts w:ascii="Calibri" w:eastAsia="Calibri" w:hAnsi="Calibri" w:cs="Times New Roman"/>
                <w:sz w:val="20"/>
                <w:szCs w:val="20"/>
              </w:rPr>
              <w:t>70</w:t>
            </w:r>
          </w:p>
        </w:tc>
        <w:tc>
          <w:tcPr>
            <w:tcW w:w="1045"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2.3</w:t>
            </w:r>
          </w:p>
        </w:tc>
        <w:tc>
          <w:tcPr>
            <w:tcW w:w="1294"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0.6 (0.0-1.5)</w:t>
            </w:r>
          </w:p>
        </w:tc>
        <w:tc>
          <w:tcPr>
            <w:tcW w:w="1119"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12</w:t>
            </w:r>
          </w:p>
        </w:tc>
        <w:tc>
          <w:tcPr>
            <w:tcW w:w="1660"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5 (4-6)</w:t>
            </w:r>
          </w:p>
        </w:tc>
        <w:tc>
          <w:tcPr>
            <w:tcW w:w="1095"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51</w:t>
            </w:r>
          </w:p>
        </w:tc>
        <w:tc>
          <w:tcPr>
            <w:tcW w:w="1660"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24 (23-4)</w:t>
            </w:r>
          </w:p>
        </w:tc>
        <w:tc>
          <w:tcPr>
            <w:tcW w:w="827" w:type="dxa"/>
          </w:tcPr>
          <w:p w:rsidR="00CD00F7" w:rsidRPr="009E1C3F" w:rsidRDefault="004539F3" w:rsidP="00BA778B">
            <w:pPr>
              <w:jc w:val="center"/>
              <w:rPr>
                <w:rFonts w:ascii="Calibri" w:eastAsia="Calibri" w:hAnsi="Calibri" w:cs="Times New Roman"/>
                <w:sz w:val="20"/>
                <w:szCs w:val="20"/>
              </w:rPr>
            </w:pPr>
            <w:r w:rsidRPr="004539F3">
              <w:rPr>
                <w:rFonts w:ascii="Calibri" w:eastAsia="Calibri" w:hAnsi="Calibri" w:cs="Times New Roman"/>
                <w:sz w:val="20"/>
                <w:szCs w:val="20"/>
              </w:rPr>
              <w:t>0.98</w:t>
            </w:r>
            <w:r>
              <w:rPr>
                <w:rFonts w:ascii="Calibri" w:eastAsia="Calibri" w:hAnsi="Calibri" w:cs="Times New Roman"/>
                <w:sz w:val="20"/>
                <w:szCs w:val="20"/>
              </w:rPr>
              <w:t>7</w:t>
            </w:r>
          </w:p>
        </w:tc>
      </w:tr>
      <w:tr w:rsidR="00CD00F7" w:rsidRPr="009E1C3F" w:rsidTr="00CD00F7">
        <w:tc>
          <w:tcPr>
            <w:tcW w:w="651" w:type="dxa"/>
          </w:tcPr>
          <w:p w:rsidR="00CD00F7" w:rsidRPr="009E1C3F" w:rsidRDefault="00CD00F7" w:rsidP="00CD00F7">
            <w:pPr>
              <w:rPr>
                <w:rFonts w:ascii="Calibri" w:eastAsia="Calibri" w:hAnsi="Calibri" w:cs="Times New Roman"/>
                <w:sz w:val="20"/>
                <w:szCs w:val="20"/>
              </w:rPr>
            </w:pPr>
            <w:r w:rsidRPr="009E1C3F">
              <w:rPr>
                <w:rFonts w:ascii="Calibri" w:eastAsia="Calibri" w:hAnsi="Calibri" w:cs="Times New Roman"/>
                <w:sz w:val="20"/>
                <w:szCs w:val="20"/>
              </w:rPr>
              <w:t>80</w:t>
            </w:r>
          </w:p>
        </w:tc>
        <w:tc>
          <w:tcPr>
            <w:tcW w:w="1045"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6.3</w:t>
            </w:r>
          </w:p>
        </w:tc>
        <w:tc>
          <w:tcPr>
            <w:tcW w:w="1294"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 xml:space="preserve">1.4 </w:t>
            </w:r>
            <w:r w:rsidR="00E230DC">
              <w:rPr>
                <w:rFonts w:ascii="Calibri" w:eastAsia="Calibri" w:hAnsi="Calibri" w:cs="Times New Roman"/>
                <w:sz w:val="20"/>
                <w:szCs w:val="20"/>
              </w:rPr>
              <w:t>(</w:t>
            </w:r>
            <w:r>
              <w:rPr>
                <w:rFonts w:ascii="Calibri" w:eastAsia="Calibri" w:hAnsi="Calibri" w:cs="Times New Roman"/>
                <w:sz w:val="20"/>
                <w:szCs w:val="20"/>
              </w:rPr>
              <w:t>0.0-2.9)</w:t>
            </w:r>
          </w:p>
        </w:tc>
        <w:tc>
          <w:tcPr>
            <w:tcW w:w="1119"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28</w:t>
            </w:r>
          </w:p>
        </w:tc>
        <w:tc>
          <w:tcPr>
            <w:tcW w:w="1660"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9 (7-11)</w:t>
            </w:r>
          </w:p>
        </w:tc>
        <w:tc>
          <w:tcPr>
            <w:tcW w:w="1095"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71</w:t>
            </w:r>
          </w:p>
        </w:tc>
        <w:tc>
          <w:tcPr>
            <w:tcW w:w="1660"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32 (30-34)</w:t>
            </w:r>
          </w:p>
        </w:tc>
        <w:tc>
          <w:tcPr>
            <w:tcW w:w="827" w:type="dxa"/>
          </w:tcPr>
          <w:p w:rsidR="00CD00F7" w:rsidRPr="009E1C3F" w:rsidRDefault="004539F3" w:rsidP="00BA778B">
            <w:pPr>
              <w:jc w:val="center"/>
              <w:rPr>
                <w:rFonts w:ascii="Calibri" w:eastAsia="Calibri" w:hAnsi="Calibri" w:cs="Times New Roman"/>
                <w:sz w:val="20"/>
                <w:szCs w:val="20"/>
              </w:rPr>
            </w:pPr>
            <w:r>
              <w:rPr>
                <w:rFonts w:ascii="Calibri" w:eastAsia="Calibri" w:hAnsi="Calibri" w:cs="Times New Roman"/>
                <w:sz w:val="20"/>
                <w:szCs w:val="20"/>
              </w:rPr>
              <w:t>0.956</w:t>
            </w:r>
          </w:p>
        </w:tc>
      </w:tr>
    </w:tbl>
    <w:p w:rsidR="009E1C3F" w:rsidRPr="009E1C3F" w:rsidRDefault="009E1C3F" w:rsidP="009E1C3F">
      <w:pPr>
        <w:ind w:left="1134" w:right="2222"/>
        <w:rPr>
          <w:bCs/>
        </w:rPr>
      </w:pPr>
    </w:p>
    <w:p w:rsidR="009E1C3F" w:rsidRDefault="009E1C3F" w:rsidP="00E230DC">
      <w:pPr>
        <w:ind w:left="567" w:right="521"/>
        <w:rPr>
          <w:bCs/>
        </w:rPr>
      </w:pPr>
      <w:r w:rsidRPr="00B068A8">
        <w:rPr>
          <w:b/>
          <w:bCs/>
        </w:rPr>
        <w:t xml:space="preserve">Table </w:t>
      </w:r>
      <w:r w:rsidR="005A4134" w:rsidRPr="00B068A8">
        <w:rPr>
          <w:b/>
          <w:bCs/>
        </w:rPr>
        <w:t>2</w:t>
      </w:r>
      <w:r w:rsidRPr="009E1C3F">
        <w:rPr>
          <w:bCs/>
        </w:rPr>
        <w:t xml:space="preserve"> Probability (%) of a major osteoporotic fracture (MOF) or a hip fracture (with 95% tolerance intervals; TI) in men at the percentiles of the probability distribution (</w:t>
      </w:r>
      <w:r w:rsidR="00E230DC">
        <w:rPr>
          <w:bCs/>
        </w:rPr>
        <w:t>Austrian</w:t>
      </w:r>
      <w:r w:rsidRPr="009E1C3F">
        <w:rPr>
          <w:bCs/>
        </w:rPr>
        <w:t xml:space="preserve"> version) by age.</w:t>
      </w:r>
    </w:p>
    <w:tbl>
      <w:tblPr>
        <w:tblStyle w:val="TableGrid11"/>
        <w:tblW w:w="9351" w:type="dxa"/>
        <w:tblLayout w:type="fixed"/>
        <w:tblLook w:val="04A0" w:firstRow="1" w:lastRow="0" w:firstColumn="1" w:lastColumn="0" w:noHBand="0" w:noVBand="1"/>
      </w:tblPr>
      <w:tblGrid>
        <w:gridCol w:w="652"/>
        <w:gridCol w:w="1095"/>
        <w:gridCol w:w="1521"/>
        <w:gridCol w:w="1119"/>
        <w:gridCol w:w="1420"/>
        <w:gridCol w:w="1134"/>
        <w:gridCol w:w="1583"/>
        <w:gridCol w:w="827"/>
      </w:tblGrid>
      <w:tr w:rsidR="00BA778B" w:rsidRPr="009E1C3F" w:rsidTr="00B27164">
        <w:tc>
          <w:tcPr>
            <w:tcW w:w="652" w:type="dxa"/>
          </w:tcPr>
          <w:p w:rsidR="00BA778B" w:rsidRPr="009E1C3F" w:rsidRDefault="00BA778B" w:rsidP="009E1C3F">
            <w:pPr>
              <w:rPr>
                <w:rFonts w:ascii="Calibri" w:eastAsia="Calibri" w:hAnsi="Calibri" w:cs="Times New Roman"/>
                <w:sz w:val="20"/>
                <w:szCs w:val="20"/>
              </w:rPr>
            </w:pPr>
            <w:r w:rsidRPr="009E1C3F">
              <w:rPr>
                <w:rFonts w:ascii="Calibri" w:eastAsia="Calibri" w:hAnsi="Calibri" w:cs="Times New Roman"/>
                <w:sz w:val="20"/>
                <w:szCs w:val="20"/>
              </w:rPr>
              <w:t>Age</w:t>
            </w:r>
          </w:p>
        </w:tc>
        <w:tc>
          <w:tcPr>
            <w:tcW w:w="7872" w:type="dxa"/>
            <w:gridSpan w:val="6"/>
          </w:tcPr>
          <w:p w:rsidR="00BA778B" w:rsidRPr="009E1C3F" w:rsidRDefault="00BA778B" w:rsidP="00BA778B">
            <w:pPr>
              <w:jc w:val="center"/>
              <w:rPr>
                <w:rFonts w:ascii="Calibri" w:eastAsia="Calibri" w:hAnsi="Calibri" w:cs="Times New Roman"/>
                <w:sz w:val="20"/>
                <w:szCs w:val="20"/>
              </w:rPr>
            </w:pPr>
            <w:r w:rsidRPr="009E1C3F">
              <w:rPr>
                <w:rFonts w:ascii="Calibri" w:eastAsia="Calibri" w:hAnsi="Calibri" w:cs="Times New Roman"/>
                <w:sz w:val="20"/>
                <w:szCs w:val="20"/>
              </w:rPr>
              <w:t>Percentile</w:t>
            </w:r>
          </w:p>
        </w:tc>
        <w:tc>
          <w:tcPr>
            <w:tcW w:w="827" w:type="dxa"/>
          </w:tcPr>
          <w:p w:rsidR="00BA778B" w:rsidRPr="009E1C3F" w:rsidRDefault="00BA778B" w:rsidP="009E1C3F">
            <w:pPr>
              <w:rPr>
                <w:rFonts w:ascii="Calibri" w:eastAsia="Calibri" w:hAnsi="Calibri" w:cs="Times New Roman"/>
                <w:sz w:val="20"/>
                <w:szCs w:val="20"/>
              </w:rPr>
            </w:pPr>
            <w:r w:rsidRPr="009E1C3F">
              <w:rPr>
                <w:rFonts w:ascii="Calibri" w:eastAsia="Calibri" w:hAnsi="Calibri" w:cs="AdvTT50a2f13e.I"/>
                <w:color w:val="131413"/>
                <w:sz w:val="20"/>
                <w:szCs w:val="20"/>
              </w:rPr>
              <w:t xml:space="preserve">r </w:t>
            </w:r>
            <w:r w:rsidRPr="009E1C3F">
              <w:rPr>
                <w:rFonts w:ascii="Calibri" w:eastAsia="Calibri" w:hAnsi="Calibri" w:cs="AdvTT3713a231"/>
                <w:color w:val="131413"/>
                <w:sz w:val="20"/>
                <w:szCs w:val="20"/>
              </w:rPr>
              <w:t>value</w:t>
            </w:r>
          </w:p>
        </w:tc>
      </w:tr>
      <w:tr w:rsidR="00BA778B" w:rsidRPr="009E1C3F" w:rsidTr="00B27164">
        <w:tc>
          <w:tcPr>
            <w:tcW w:w="652" w:type="dxa"/>
          </w:tcPr>
          <w:p w:rsidR="00BA778B" w:rsidRPr="009E1C3F" w:rsidRDefault="00BA778B" w:rsidP="009E1C3F">
            <w:pPr>
              <w:rPr>
                <w:rFonts w:ascii="Calibri" w:eastAsia="Calibri" w:hAnsi="Calibri" w:cs="Times New Roman"/>
                <w:sz w:val="20"/>
                <w:szCs w:val="20"/>
              </w:rPr>
            </w:pPr>
          </w:p>
        </w:tc>
        <w:tc>
          <w:tcPr>
            <w:tcW w:w="2616" w:type="dxa"/>
            <w:gridSpan w:val="2"/>
          </w:tcPr>
          <w:p w:rsidR="00BA778B" w:rsidRPr="009E1C3F" w:rsidRDefault="00BA778B" w:rsidP="00BA778B">
            <w:pPr>
              <w:jc w:val="center"/>
              <w:rPr>
                <w:rFonts w:ascii="Calibri" w:eastAsia="Calibri" w:hAnsi="Calibri" w:cs="Times New Roman"/>
                <w:sz w:val="20"/>
                <w:szCs w:val="20"/>
              </w:rPr>
            </w:pPr>
            <w:r w:rsidRPr="009E1C3F">
              <w:rPr>
                <w:rFonts w:ascii="Calibri" w:eastAsia="Calibri" w:hAnsi="Calibri" w:cs="Times New Roman"/>
                <w:sz w:val="20"/>
                <w:szCs w:val="20"/>
              </w:rPr>
              <w:t>10</w:t>
            </w:r>
          </w:p>
        </w:tc>
        <w:tc>
          <w:tcPr>
            <w:tcW w:w="2539" w:type="dxa"/>
            <w:gridSpan w:val="2"/>
          </w:tcPr>
          <w:p w:rsidR="00BA778B" w:rsidRPr="009E1C3F" w:rsidRDefault="00BA778B" w:rsidP="00BA778B">
            <w:pPr>
              <w:jc w:val="center"/>
              <w:rPr>
                <w:rFonts w:ascii="Calibri" w:eastAsia="Calibri" w:hAnsi="Calibri" w:cs="Times New Roman"/>
                <w:sz w:val="20"/>
                <w:szCs w:val="20"/>
              </w:rPr>
            </w:pPr>
            <w:r w:rsidRPr="009E1C3F">
              <w:rPr>
                <w:rFonts w:ascii="Calibri" w:eastAsia="Calibri" w:hAnsi="Calibri" w:cs="Times New Roman"/>
                <w:sz w:val="20"/>
                <w:szCs w:val="20"/>
              </w:rPr>
              <w:t>50</w:t>
            </w:r>
          </w:p>
        </w:tc>
        <w:tc>
          <w:tcPr>
            <w:tcW w:w="2717" w:type="dxa"/>
            <w:gridSpan w:val="2"/>
          </w:tcPr>
          <w:p w:rsidR="00BA778B" w:rsidRPr="009E1C3F" w:rsidRDefault="00BA778B" w:rsidP="00BA778B">
            <w:pPr>
              <w:jc w:val="center"/>
              <w:rPr>
                <w:rFonts w:ascii="Calibri" w:eastAsia="Calibri" w:hAnsi="Calibri" w:cs="Times New Roman"/>
                <w:sz w:val="20"/>
                <w:szCs w:val="20"/>
              </w:rPr>
            </w:pPr>
            <w:r w:rsidRPr="009E1C3F">
              <w:rPr>
                <w:rFonts w:ascii="Calibri" w:eastAsia="Calibri" w:hAnsi="Calibri" w:cs="Times New Roman"/>
                <w:sz w:val="20"/>
                <w:szCs w:val="20"/>
              </w:rPr>
              <w:t>90</w:t>
            </w:r>
          </w:p>
        </w:tc>
        <w:tc>
          <w:tcPr>
            <w:tcW w:w="827" w:type="dxa"/>
          </w:tcPr>
          <w:p w:rsidR="00BA778B" w:rsidRPr="009E1C3F" w:rsidRDefault="00BA778B" w:rsidP="00BA778B">
            <w:pPr>
              <w:jc w:val="center"/>
              <w:rPr>
                <w:rFonts w:ascii="Calibri" w:eastAsia="Calibri" w:hAnsi="Calibri" w:cs="Times New Roman"/>
                <w:sz w:val="20"/>
                <w:szCs w:val="20"/>
              </w:rPr>
            </w:pPr>
          </w:p>
        </w:tc>
      </w:tr>
      <w:tr w:rsidR="00E230DC" w:rsidRPr="009E1C3F" w:rsidTr="00E230DC">
        <w:tc>
          <w:tcPr>
            <w:tcW w:w="652" w:type="dxa"/>
          </w:tcPr>
          <w:p w:rsidR="00E230DC" w:rsidRPr="009E1C3F" w:rsidRDefault="00E230DC" w:rsidP="00E230DC">
            <w:pPr>
              <w:rPr>
                <w:rFonts w:ascii="Calibri" w:eastAsia="Calibri" w:hAnsi="Calibri" w:cs="Times New Roman"/>
                <w:sz w:val="20"/>
                <w:szCs w:val="20"/>
              </w:rPr>
            </w:pPr>
          </w:p>
        </w:tc>
        <w:tc>
          <w:tcPr>
            <w:tcW w:w="1095"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Austria</w:t>
            </w:r>
          </w:p>
        </w:tc>
        <w:tc>
          <w:tcPr>
            <w:tcW w:w="1521"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Ukraine</w:t>
            </w:r>
          </w:p>
          <w:p w:rsidR="00E230DC" w:rsidRPr="009E1C3F" w:rsidRDefault="00E230DC" w:rsidP="00BA778B">
            <w:pPr>
              <w:jc w:val="center"/>
              <w:rPr>
                <w:rFonts w:ascii="Calibri" w:eastAsia="Calibri" w:hAnsi="Calibri" w:cs="Times New Roman"/>
                <w:sz w:val="20"/>
                <w:szCs w:val="20"/>
              </w:rPr>
            </w:pPr>
            <w:r w:rsidRPr="009E1C3F">
              <w:rPr>
                <w:rFonts w:ascii="Calibri" w:eastAsia="Calibri" w:hAnsi="Calibri" w:cs="Times New Roman"/>
                <w:sz w:val="20"/>
                <w:szCs w:val="20"/>
              </w:rPr>
              <w:t>(95% TI)</w:t>
            </w:r>
          </w:p>
        </w:tc>
        <w:tc>
          <w:tcPr>
            <w:tcW w:w="1119"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Austria</w:t>
            </w:r>
          </w:p>
        </w:tc>
        <w:tc>
          <w:tcPr>
            <w:tcW w:w="1420" w:type="dxa"/>
          </w:tcPr>
          <w:p w:rsidR="00E230DC" w:rsidRPr="009E1C3F" w:rsidRDefault="00E230DC" w:rsidP="00BA778B">
            <w:pPr>
              <w:jc w:val="center"/>
              <w:rPr>
                <w:rFonts w:ascii="Calibri" w:eastAsia="Calibri" w:hAnsi="Calibri" w:cs="Times New Roman"/>
                <w:sz w:val="20"/>
                <w:szCs w:val="20"/>
              </w:rPr>
            </w:pPr>
            <w:r w:rsidRPr="00CD00F7">
              <w:rPr>
                <w:rFonts w:ascii="Calibri" w:eastAsia="Calibri" w:hAnsi="Calibri" w:cs="Times New Roman"/>
                <w:sz w:val="20"/>
                <w:szCs w:val="20"/>
              </w:rPr>
              <w:t>Ukraine</w:t>
            </w:r>
          </w:p>
          <w:p w:rsidR="00E230DC" w:rsidRPr="009E1C3F" w:rsidRDefault="00E230DC" w:rsidP="00BA778B">
            <w:pPr>
              <w:jc w:val="center"/>
              <w:rPr>
                <w:rFonts w:ascii="Calibri" w:eastAsia="Calibri" w:hAnsi="Calibri" w:cs="Times New Roman"/>
                <w:sz w:val="20"/>
                <w:szCs w:val="20"/>
              </w:rPr>
            </w:pPr>
            <w:r w:rsidRPr="009E1C3F">
              <w:rPr>
                <w:rFonts w:ascii="Calibri" w:eastAsia="Calibri" w:hAnsi="Calibri" w:cs="Times New Roman"/>
                <w:sz w:val="20"/>
                <w:szCs w:val="20"/>
              </w:rPr>
              <w:t>(95% TI)</w:t>
            </w:r>
          </w:p>
        </w:tc>
        <w:tc>
          <w:tcPr>
            <w:tcW w:w="1134"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Austria</w:t>
            </w:r>
          </w:p>
        </w:tc>
        <w:tc>
          <w:tcPr>
            <w:tcW w:w="1583"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Ukraine</w:t>
            </w:r>
          </w:p>
          <w:p w:rsidR="00E230DC" w:rsidRPr="009E1C3F" w:rsidRDefault="00E230DC" w:rsidP="00BA778B">
            <w:pPr>
              <w:jc w:val="center"/>
              <w:rPr>
                <w:rFonts w:ascii="Calibri" w:eastAsia="Calibri" w:hAnsi="Calibri" w:cs="Times New Roman"/>
                <w:sz w:val="20"/>
                <w:szCs w:val="20"/>
              </w:rPr>
            </w:pPr>
            <w:r w:rsidRPr="009E1C3F">
              <w:rPr>
                <w:rFonts w:ascii="Calibri" w:eastAsia="Calibri" w:hAnsi="Calibri" w:cs="Times New Roman"/>
                <w:sz w:val="20"/>
                <w:szCs w:val="20"/>
              </w:rPr>
              <w:t>(95% TI)</w:t>
            </w:r>
          </w:p>
        </w:tc>
        <w:tc>
          <w:tcPr>
            <w:tcW w:w="827" w:type="dxa"/>
          </w:tcPr>
          <w:p w:rsidR="00E230DC" w:rsidRPr="009E1C3F" w:rsidRDefault="00E230DC" w:rsidP="00BA778B">
            <w:pPr>
              <w:jc w:val="center"/>
              <w:rPr>
                <w:rFonts w:ascii="Calibri" w:eastAsia="Calibri" w:hAnsi="Calibri" w:cs="Times New Roman"/>
                <w:sz w:val="20"/>
                <w:szCs w:val="20"/>
              </w:rPr>
            </w:pPr>
          </w:p>
        </w:tc>
      </w:tr>
      <w:tr w:rsidR="00E230DC" w:rsidRPr="009E1C3F" w:rsidTr="00E230DC">
        <w:tc>
          <w:tcPr>
            <w:tcW w:w="652" w:type="dxa"/>
          </w:tcPr>
          <w:p w:rsidR="00E230DC" w:rsidRPr="009E1C3F" w:rsidRDefault="00E230DC" w:rsidP="00E230DC">
            <w:pPr>
              <w:rPr>
                <w:rFonts w:ascii="Calibri" w:eastAsia="Calibri" w:hAnsi="Calibri" w:cs="Times New Roman"/>
                <w:sz w:val="20"/>
                <w:szCs w:val="20"/>
              </w:rPr>
            </w:pPr>
            <w:r w:rsidRPr="009E1C3F">
              <w:rPr>
                <w:rFonts w:ascii="Calibri" w:eastAsia="Calibri" w:hAnsi="Calibri" w:cs="Times New Roman"/>
                <w:sz w:val="20"/>
                <w:szCs w:val="20"/>
              </w:rPr>
              <w:t>MOF</w:t>
            </w:r>
          </w:p>
        </w:tc>
        <w:tc>
          <w:tcPr>
            <w:tcW w:w="1095" w:type="dxa"/>
          </w:tcPr>
          <w:p w:rsidR="00E230DC" w:rsidRPr="009E1C3F" w:rsidRDefault="00E230DC" w:rsidP="00BA778B">
            <w:pPr>
              <w:jc w:val="center"/>
              <w:rPr>
                <w:rFonts w:ascii="Calibri" w:eastAsia="Calibri" w:hAnsi="Calibri" w:cs="Times New Roman"/>
                <w:sz w:val="20"/>
                <w:szCs w:val="20"/>
              </w:rPr>
            </w:pPr>
          </w:p>
        </w:tc>
        <w:tc>
          <w:tcPr>
            <w:tcW w:w="1521" w:type="dxa"/>
          </w:tcPr>
          <w:p w:rsidR="00E230DC" w:rsidRPr="009E1C3F" w:rsidRDefault="00E230DC" w:rsidP="00BA778B">
            <w:pPr>
              <w:jc w:val="center"/>
              <w:rPr>
                <w:rFonts w:ascii="Calibri" w:eastAsia="Calibri" w:hAnsi="Calibri" w:cs="Times New Roman"/>
                <w:sz w:val="20"/>
                <w:szCs w:val="20"/>
              </w:rPr>
            </w:pPr>
          </w:p>
        </w:tc>
        <w:tc>
          <w:tcPr>
            <w:tcW w:w="1119" w:type="dxa"/>
          </w:tcPr>
          <w:p w:rsidR="00E230DC" w:rsidRPr="009E1C3F" w:rsidRDefault="00E230DC" w:rsidP="00BA778B">
            <w:pPr>
              <w:jc w:val="center"/>
              <w:rPr>
                <w:rFonts w:ascii="Calibri" w:eastAsia="Calibri" w:hAnsi="Calibri" w:cs="Times New Roman"/>
                <w:sz w:val="20"/>
                <w:szCs w:val="20"/>
              </w:rPr>
            </w:pPr>
          </w:p>
        </w:tc>
        <w:tc>
          <w:tcPr>
            <w:tcW w:w="1420" w:type="dxa"/>
          </w:tcPr>
          <w:p w:rsidR="00E230DC" w:rsidRPr="009E1C3F" w:rsidRDefault="00E230DC" w:rsidP="00BA778B">
            <w:pPr>
              <w:jc w:val="center"/>
              <w:rPr>
                <w:rFonts w:ascii="Calibri" w:eastAsia="Calibri" w:hAnsi="Calibri" w:cs="Times New Roman"/>
                <w:sz w:val="20"/>
                <w:szCs w:val="20"/>
              </w:rPr>
            </w:pPr>
          </w:p>
        </w:tc>
        <w:tc>
          <w:tcPr>
            <w:tcW w:w="1134" w:type="dxa"/>
          </w:tcPr>
          <w:p w:rsidR="00E230DC" w:rsidRPr="009E1C3F" w:rsidRDefault="00E230DC" w:rsidP="00BA778B">
            <w:pPr>
              <w:jc w:val="center"/>
              <w:rPr>
                <w:rFonts w:ascii="Calibri" w:eastAsia="Calibri" w:hAnsi="Calibri" w:cs="Times New Roman"/>
                <w:sz w:val="20"/>
                <w:szCs w:val="20"/>
              </w:rPr>
            </w:pPr>
          </w:p>
        </w:tc>
        <w:tc>
          <w:tcPr>
            <w:tcW w:w="1583" w:type="dxa"/>
          </w:tcPr>
          <w:p w:rsidR="00E230DC" w:rsidRPr="009E1C3F" w:rsidRDefault="00E230DC" w:rsidP="00BA778B">
            <w:pPr>
              <w:jc w:val="center"/>
              <w:rPr>
                <w:rFonts w:ascii="Calibri" w:eastAsia="Calibri" w:hAnsi="Calibri" w:cs="Times New Roman"/>
                <w:sz w:val="20"/>
                <w:szCs w:val="20"/>
              </w:rPr>
            </w:pPr>
          </w:p>
        </w:tc>
        <w:tc>
          <w:tcPr>
            <w:tcW w:w="827" w:type="dxa"/>
          </w:tcPr>
          <w:p w:rsidR="00E230DC" w:rsidRPr="009E1C3F" w:rsidRDefault="00E230DC" w:rsidP="00BA778B">
            <w:pPr>
              <w:jc w:val="center"/>
              <w:rPr>
                <w:rFonts w:ascii="Calibri" w:eastAsia="Calibri" w:hAnsi="Calibri" w:cs="Times New Roman"/>
                <w:sz w:val="20"/>
                <w:szCs w:val="20"/>
              </w:rPr>
            </w:pPr>
          </w:p>
        </w:tc>
      </w:tr>
      <w:tr w:rsidR="00E230DC" w:rsidRPr="009E1C3F" w:rsidTr="00E230DC">
        <w:tc>
          <w:tcPr>
            <w:tcW w:w="652" w:type="dxa"/>
          </w:tcPr>
          <w:p w:rsidR="00E230DC" w:rsidRPr="009E1C3F" w:rsidRDefault="00E230DC" w:rsidP="00E230DC">
            <w:pPr>
              <w:rPr>
                <w:rFonts w:ascii="Calibri" w:eastAsia="Calibri" w:hAnsi="Calibri" w:cs="Times New Roman"/>
                <w:sz w:val="20"/>
                <w:szCs w:val="20"/>
              </w:rPr>
            </w:pPr>
            <w:r w:rsidRPr="009E1C3F">
              <w:rPr>
                <w:rFonts w:ascii="Calibri" w:eastAsia="Calibri" w:hAnsi="Calibri" w:cs="Times New Roman"/>
                <w:sz w:val="20"/>
                <w:szCs w:val="20"/>
              </w:rPr>
              <w:t>50</w:t>
            </w:r>
          </w:p>
        </w:tc>
        <w:tc>
          <w:tcPr>
            <w:tcW w:w="1095" w:type="dxa"/>
          </w:tcPr>
          <w:p w:rsidR="00E230DC" w:rsidRPr="009E1C3F" w:rsidRDefault="00E230DC" w:rsidP="00BA778B">
            <w:pPr>
              <w:jc w:val="center"/>
              <w:rPr>
                <w:rFonts w:ascii="Calibri" w:eastAsia="Times New Roman" w:hAnsi="Calibri" w:cs="Times New Roman"/>
                <w:sz w:val="20"/>
                <w:szCs w:val="20"/>
              </w:rPr>
            </w:pPr>
            <w:r>
              <w:rPr>
                <w:rFonts w:ascii="Calibri" w:eastAsia="Times New Roman" w:hAnsi="Calibri" w:cs="Times New Roman"/>
                <w:sz w:val="20"/>
                <w:szCs w:val="20"/>
              </w:rPr>
              <w:t>7</w:t>
            </w:r>
          </w:p>
        </w:tc>
        <w:tc>
          <w:tcPr>
            <w:tcW w:w="1521"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4 (3-6)</w:t>
            </w:r>
          </w:p>
        </w:tc>
        <w:tc>
          <w:tcPr>
            <w:tcW w:w="1119"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19</w:t>
            </w:r>
          </w:p>
        </w:tc>
        <w:tc>
          <w:tcPr>
            <w:tcW w:w="1420"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12 (11-14)</w:t>
            </w:r>
          </w:p>
        </w:tc>
        <w:tc>
          <w:tcPr>
            <w:tcW w:w="1134"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53</w:t>
            </w:r>
          </w:p>
        </w:tc>
        <w:tc>
          <w:tcPr>
            <w:tcW w:w="1583"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36 (34-37)</w:t>
            </w:r>
          </w:p>
        </w:tc>
        <w:tc>
          <w:tcPr>
            <w:tcW w:w="827" w:type="dxa"/>
          </w:tcPr>
          <w:p w:rsidR="00E230DC" w:rsidRPr="009E1C3F" w:rsidRDefault="00E230DC" w:rsidP="00BA778B">
            <w:pPr>
              <w:jc w:val="center"/>
              <w:rPr>
                <w:rFonts w:ascii="Calibri" w:eastAsia="Calibri" w:hAnsi="Calibri" w:cs="Times New Roman"/>
                <w:sz w:val="20"/>
                <w:szCs w:val="20"/>
              </w:rPr>
            </w:pPr>
            <w:r w:rsidRPr="009E1C3F">
              <w:rPr>
                <w:rFonts w:ascii="Calibri" w:eastAsia="Calibri" w:hAnsi="Calibri" w:cs="Times New Roman"/>
                <w:sz w:val="20"/>
                <w:szCs w:val="20"/>
              </w:rPr>
              <w:t>0.99</w:t>
            </w:r>
            <w:r>
              <w:rPr>
                <w:rFonts w:ascii="Calibri" w:eastAsia="Calibri" w:hAnsi="Calibri" w:cs="Times New Roman"/>
                <w:sz w:val="20"/>
                <w:szCs w:val="20"/>
              </w:rPr>
              <w:t>7</w:t>
            </w:r>
          </w:p>
        </w:tc>
      </w:tr>
      <w:tr w:rsidR="00E230DC" w:rsidRPr="009E1C3F" w:rsidTr="00E230DC">
        <w:tc>
          <w:tcPr>
            <w:tcW w:w="652" w:type="dxa"/>
          </w:tcPr>
          <w:p w:rsidR="00E230DC" w:rsidRPr="009E1C3F" w:rsidRDefault="00E230DC" w:rsidP="00E230DC">
            <w:pPr>
              <w:rPr>
                <w:rFonts w:ascii="Calibri" w:eastAsia="Calibri" w:hAnsi="Calibri" w:cs="Times New Roman"/>
                <w:sz w:val="20"/>
                <w:szCs w:val="20"/>
              </w:rPr>
            </w:pPr>
            <w:r w:rsidRPr="009E1C3F">
              <w:rPr>
                <w:rFonts w:ascii="Calibri" w:eastAsia="Calibri" w:hAnsi="Calibri" w:cs="Times New Roman"/>
                <w:sz w:val="20"/>
                <w:szCs w:val="20"/>
              </w:rPr>
              <w:t>60</w:t>
            </w:r>
          </w:p>
        </w:tc>
        <w:tc>
          <w:tcPr>
            <w:tcW w:w="1095"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8</w:t>
            </w:r>
          </w:p>
        </w:tc>
        <w:tc>
          <w:tcPr>
            <w:tcW w:w="1521" w:type="dxa"/>
          </w:tcPr>
          <w:p w:rsidR="00E230DC" w:rsidRPr="009E1C3F" w:rsidRDefault="00E230DC" w:rsidP="00BA778B">
            <w:pPr>
              <w:jc w:val="center"/>
              <w:rPr>
                <w:rFonts w:ascii="Calibri" w:eastAsia="Calibri" w:hAnsi="Calibri" w:cs="Times New Roman"/>
                <w:sz w:val="20"/>
                <w:szCs w:val="20"/>
              </w:rPr>
            </w:pPr>
            <w:r w:rsidRPr="00E230DC">
              <w:rPr>
                <w:rFonts w:ascii="Calibri" w:eastAsia="Calibri" w:hAnsi="Calibri" w:cs="Times New Roman"/>
                <w:sz w:val="20"/>
                <w:szCs w:val="20"/>
              </w:rPr>
              <w:t>4 (3-</w:t>
            </w:r>
            <w:r>
              <w:rPr>
                <w:rFonts w:ascii="Calibri" w:eastAsia="Calibri" w:hAnsi="Calibri" w:cs="Times New Roman"/>
                <w:sz w:val="20"/>
                <w:szCs w:val="20"/>
              </w:rPr>
              <w:t>5</w:t>
            </w:r>
            <w:r w:rsidRPr="00E230DC">
              <w:rPr>
                <w:rFonts w:ascii="Calibri" w:eastAsia="Calibri" w:hAnsi="Calibri" w:cs="Times New Roman"/>
                <w:sz w:val="20"/>
                <w:szCs w:val="20"/>
              </w:rPr>
              <w:t>)</w:t>
            </w:r>
          </w:p>
        </w:tc>
        <w:tc>
          <w:tcPr>
            <w:tcW w:w="1119"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19</w:t>
            </w:r>
          </w:p>
        </w:tc>
        <w:tc>
          <w:tcPr>
            <w:tcW w:w="1420"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11 (10-12)</w:t>
            </w:r>
          </w:p>
        </w:tc>
        <w:tc>
          <w:tcPr>
            <w:tcW w:w="1134"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46</w:t>
            </w:r>
          </w:p>
        </w:tc>
        <w:tc>
          <w:tcPr>
            <w:tcW w:w="1583"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26 (25-27)</w:t>
            </w:r>
          </w:p>
        </w:tc>
        <w:tc>
          <w:tcPr>
            <w:tcW w:w="827" w:type="dxa"/>
          </w:tcPr>
          <w:p w:rsidR="00E230DC" w:rsidRPr="009E1C3F" w:rsidRDefault="00E230DC" w:rsidP="00BA778B">
            <w:pPr>
              <w:jc w:val="center"/>
              <w:rPr>
                <w:rFonts w:ascii="Calibri" w:eastAsia="Calibri" w:hAnsi="Calibri" w:cs="Times New Roman"/>
                <w:sz w:val="20"/>
                <w:szCs w:val="20"/>
              </w:rPr>
            </w:pPr>
            <w:r w:rsidRPr="009E1C3F">
              <w:rPr>
                <w:rFonts w:ascii="Calibri" w:eastAsia="Calibri" w:hAnsi="Calibri" w:cs="Times New Roman"/>
                <w:sz w:val="20"/>
                <w:szCs w:val="20"/>
              </w:rPr>
              <w:t>0.99</w:t>
            </w:r>
            <w:r>
              <w:rPr>
                <w:rFonts w:ascii="Calibri" w:eastAsia="Calibri" w:hAnsi="Calibri" w:cs="Times New Roman"/>
                <w:sz w:val="20"/>
                <w:szCs w:val="20"/>
              </w:rPr>
              <w:t>6</w:t>
            </w:r>
          </w:p>
        </w:tc>
      </w:tr>
      <w:tr w:rsidR="00E230DC" w:rsidRPr="009E1C3F" w:rsidTr="00E230DC">
        <w:tc>
          <w:tcPr>
            <w:tcW w:w="652" w:type="dxa"/>
          </w:tcPr>
          <w:p w:rsidR="00E230DC" w:rsidRPr="009E1C3F" w:rsidRDefault="00E230DC" w:rsidP="00E230DC">
            <w:pPr>
              <w:rPr>
                <w:rFonts w:ascii="Calibri" w:eastAsia="Calibri" w:hAnsi="Calibri" w:cs="Times New Roman"/>
                <w:sz w:val="20"/>
                <w:szCs w:val="20"/>
              </w:rPr>
            </w:pPr>
            <w:r w:rsidRPr="009E1C3F">
              <w:rPr>
                <w:rFonts w:ascii="Calibri" w:eastAsia="Calibri" w:hAnsi="Calibri" w:cs="Times New Roman"/>
                <w:sz w:val="20"/>
                <w:szCs w:val="20"/>
              </w:rPr>
              <w:t>70</w:t>
            </w:r>
          </w:p>
        </w:tc>
        <w:tc>
          <w:tcPr>
            <w:tcW w:w="1095"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9</w:t>
            </w:r>
          </w:p>
        </w:tc>
        <w:tc>
          <w:tcPr>
            <w:tcW w:w="1521"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3 (2-4)</w:t>
            </w:r>
          </w:p>
        </w:tc>
        <w:tc>
          <w:tcPr>
            <w:tcW w:w="1119"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22</w:t>
            </w:r>
          </w:p>
        </w:tc>
        <w:tc>
          <w:tcPr>
            <w:tcW w:w="1420"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9 (8-9)</w:t>
            </w:r>
          </w:p>
        </w:tc>
        <w:tc>
          <w:tcPr>
            <w:tcW w:w="1134"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49</w:t>
            </w:r>
          </w:p>
        </w:tc>
        <w:tc>
          <w:tcPr>
            <w:tcW w:w="1583"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22 (21-22)</w:t>
            </w:r>
          </w:p>
        </w:tc>
        <w:tc>
          <w:tcPr>
            <w:tcW w:w="827"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0</w:t>
            </w:r>
            <w:r w:rsidRPr="009E1C3F">
              <w:rPr>
                <w:rFonts w:ascii="Calibri" w:eastAsia="Calibri" w:hAnsi="Calibri" w:cs="Times New Roman"/>
                <w:sz w:val="20"/>
                <w:szCs w:val="20"/>
              </w:rPr>
              <w:t>.</w:t>
            </w:r>
            <w:r>
              <w:rPr>
                <w:rFonts w:ascii="Calibri" w:eastAsia="Calibri" w:hAnsi="Calibri" w:cs="Times New Roman"/>
                <w:sz w:val="20"/>
                <w:szCs w:val="20"/>
              </w:rPr>
              <w:t>988</w:t>
            </w:r>
          </w:p>
        </w:tc>
      </w:tr>
      <w:tr w:rsidR="00E230DC" w:rsidRPr="009E1C3F" w:rsidTr="00E230DC">
        <w:tc>
          <w:tcPr>
            <w:tcW w:w="652" w:type="dxa"/>
          </w:tcPr>
          <w:p w:rsidR="00E230DC" w:rsidRPr="009E1C3F" w:rsidRDefault="00E230DC" w:rsidP="00E230DC">
            <w:pPr>
              <w:rPr>
                <w:rFonts w:ascii="Calibri" w:eastAsia="Calibri" w:hAnsi="Calibri" w:cs="Times New Roman"/>
                <w:sz w:val="20"/>
                <w:szCs w:val="20"/>
              </w:rPr>
            </w:pPr>
            <w:r w:rsidRPr="009E1C3F">
              <w:rPr>
                <w:rFonts w:ascii="Calibri" w:eastAsia="Calibri" w:hAnsi="Calibri" w:cs="Times New Roman"/>
                <w:sz w:val="20"/>
                <w:szCs w:val="20"/>
              </w:rPr>
              <w:t>80</w:t>
            </w:r>
          </w:p>
        </w:tc>
        <w:tc>
          <w:tcPr>
            <w:tcW w:w="1095"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12</w:t>
            </w:r>
          </w:p>
        </w:tc>
        <w:tc>
          <w:tcPr>
            <w:tcW w:w="1521"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3 (2-4)</w:t>
            </w:r>
          </w:p>
        </w:tc>
        <w:tc>
          <w:tcPr>
            <w:tcW w:w="1119"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28</w:t>
            </w:r>
          </w:p>
        </w:tc>
        <w:tc>
          <w:tcPr>
            <w:tcW w:w="1420"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9 (8-10)</w:t>
            </w:r>
          </w:p>
        </w:tc>
        <w:tc>
          <w:tcPr>
            <w:tcW w:w="1134"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57</w:t>
            </w:r>
          </w:p>
        </w:tc>
        <w:tc>
          <w:tcPr>
            <w:tcW w:w="1583"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24 (23-25)</w:t>
            </w:r>
          </w:p>
        </w:tc>
        <w:tc>
          <w:tcPr>
            <w:tcW w:w="827" w:type="dxa"/>
          </w:tcPr>
          <w:p w:rsidR="00E230DC" w:rsidRPr="009E1C3F" w:rsidRDefault="00E230DC" w:rsidP="00BA778B">
            <w:pPr>
              <w:jc w:val="center"/>
              <w:rPr>
                <w:rFonts w:ascii="Calibri" w:eastAsia="Calibri" w:hAnsi="Calibri" w:cs="Times New Roman"/>
                <w:sz w:val="20"/>
                <w:szCs w:val="20"/>
              </w:rPr>
            </w:pPr>
            <w:r w:rsidRPr="009E1C3F">
              <w:rPr>
                <w:rFonts w:ascii="Calibri" w:eastAsia="Calibri" w:hAnsi="Calibri" w:cs="Times New Roman"/>
                <w:sz w:val="20"/>
                <w:szCs w:val="20"/>
              </w:rPr>
              <w:t>0.9</w:t>
            </w:r>
            <w:r>
              <w:rPr>
                <w:rFonts w:ascii="Calibri" w:eastAsia="Calibri" w:hAnsi="Calibri" w:cs="Times New Roman"/>
                <w:sz w:val="20"/>
                <w:szCs w:val="20"/>
              </w:rPr>
              <w:t>75</w:t>
            </w:r>
          </w:p>
        </w:tc>
      </w:tr>
      <w:tr w:rsidR="00E230DC" w:rsidRPr="009E1C3F" w:rsidTr="00E230DC">
        <w:tc>
          <w:tcPr>
            <w:tcW w:w="652" w:type="dxa"/>
          </w:tcPr>
          <w:p w:rsidR="00E230DC" w:rsidRPr="009E1C3F" w:rsidRDefault="00E230DC" w:rsidP="00E230DC">
            <w:pPr>
              <w:rPr>
                <w:rFonts w:ascii="Calibri" w:eastAsia="Calibri" w:hAnsi="Calibri" w:cs="Times New Roman"/>
                <w:sz w:val="20"/>
                <w:szCs w:val="20"/>
              </w:rPr>
            </w:pPr>
            <w:r w:rsidRPr="009E1C3F">
              <w:rPr>
                <w:rFonts w:ascii="Calibri" w:eastAsia="Calibri" w:hAnsi="Calibri" w:cs="Times New Roman"/>
                <w:sz w:val="20"/>
                <w:szCs w:val="20"/>
              </w:rPr>
              <w:t>Hip</w:t>
            </w:r>
          </w:p>
        </w:tc>
        <w:tc>
          <w:tcPr>
            <w:tcW w:w="1095" w:type="dxa"/>
          </w:tcPr>
          <w:p w:rsidR="00E230DC" w:rsidRPr="009E1C3F" w:rsidRDefault="00E230DC" w:rsidP="00BA778B">
            <w:pPr>
              <w:jc w:val="center"/>
              <w:rPr>
                <w:rFonts w:ascii="Calibri" w:eastAsia="Calibri" w:hAnsi="Calibri" w:cs="Times New Roman"/>
                <w:sz w:val="20"/>
                <w:szCs w:val="20"/>
              </w:rPr>
            </w:pPr>
          </w:p>
        </w:tc>
        <w:tc>
          <w:tcPr>
            <w:tcW w:w="1521" w:type="dxa"/>
          </w:tcPr>
          <w:p w:rsidR="00E230DC" w:rsidRPr="009E1C3F" w:rsidRDefault="00E230DC" w:rsidP="00BA778B">
            <w:pPr>
              <w:jc w:val="center"/>
              <w:rPr>
                <w:rFonts w:ascii="Calibri" w:eastAsia="Calibri" w:hAnsi="Calibri" w:cs="Times New Roman"/>
                <w:sz w:val="20"/>
                <w:szCs w:val="20"/>
              </w:rPr>
            </w:pPr>
          </w:p>
        </w:tc>
        <w:tc>
          <w:tcPr>
            <w:tcW w:w="1119" w:type="dxa"/>
          </w:tcPr>
          <w:p w:rsidR="00E230DC" w:rsidRPr="009E1C3F" w:rsidRDefault="00E230DC" w:rsidP="00BA778B">
            <w:pPr>
              <w:jc w:val="center"/>
              <w:rPr>
                <w:rFonts w:ascii="Calibri" w:eastAsia="Calibri" w:hAnsi="Calibri" w:cs="Times New Roman"/>
                <w:sz w:val="20"/>
                <w:szCs w:val="20"/>
              </w:rPr>
            </w:pPr>
          </w:p>
        </w:tc>
        <w:tc>
          <w:tcPr>
            <w:tcW w:w="1420" w:type="dxa"/>
          </w:tcPr>
          <w:p w:rsidR="00E230DC" w:rsidRPr="009E1C3F" w:rsidRDefault="00E230DC" w:rsidP="00BA778B">
            <w:pPr>
              <w:jc w:val="center"/>
              <w:rPr>
                <w:rFonts w:ascii="Calibri" w:eastAsia="Calibri" w:hAnsi="Calibri" w:cs="Times New Roman"/>
                <w:sz w:val="20"/>
                <w:szCs w:val="20"/>
              </w:rPr>
            </w:pPr>
          </w:p>
        </w:tc>
        <w:tc>
          <w:tcPr>
            <w:tcW w:w="1134" w:type="dxa"/>
          </w:tcPr>
          <w:p w:rsidR="00E230DC" w:rsidRPr="009E1C3F" w:rsidRDefault="00E230DC" w:rsidP="00BA778B">
            <w:pPr>
              <w:jc w:val="center"/>
              <w:rPr>
                <w:rFonts w:ascii="Calibri" w:eastAsia="Calibri" w:hAnsi="Calibri" w:cs="Times New Roman"/>
                <w:sz w:val="20"/>
                <w:szCs w:val="20"/>
              </w:rPr>
            </w:pPr>
          </w:p>
        </w:tc>
        <w:tc>
          <w:tcPr>
            <w:tcW w:w="1583" w:type="dxa"/>
          </w:tcPr>
          <w:p w:rsidR="00E230DC" w:rsidRPr="009E1C3F" w:rsidRDefault="00E230DC" w:rsidP="00BA778B">
            <w:pPr>
              <w:jc w:val="center"/>
              <w:rPr>
                <w:rFonts w:ascii="Calibri" w:eastAsia="Calibri" w:hAnsi="Calibri" w:cs="Times New Roman"/>
                <w:sz w:val="20"/>
                <w:szCs w:val="20"/>
              </w:rPr>
            </w:pPr>
          </w:p>
        </w:tc>
        <w:tc>
          <w:tcPr>
            <w:tcW w:w="827" w:type="dxa"/>
          </w:tcPr>
          <w:p w:rsidR="00E230DC" w:rsidRPr="009E1C3F" w:rsidRDefault="00E230DC" w:rsidP="00BA778B">
            <w:pPr>
              <w:jc w:val="center"/>
              <w:rPr>
                <w:rFonts w:ascii="Calibri" w:eastAsia="Calibri" w:hAnsi="Calibri" w:cs="Times New Roman"/>
                <w:sz w:val="20"/>
                <w:szCs w:val="20"/>
              </w:rPr>
            </w:pPr>
          </w:p>
        </w:tc>
      </w:tr>
      <w:tr w:rsidR="00E230DC" w:rsidRPr="009E1C3F" w:rsidTr="00E230DC">
        <w:tc>
          <w:tcPr>
            <w:tcW w:w="652" w:type="dxa"/>
          </w:tcPr>
          <w:p w:rsidR="00E230DC" w:rsidRPr="009E1C3F" w:rsidRDefault="00E230DC" w:rsidP="00E230DC">
            <w:pPr>
              <w:rPr>
                <w:rFonts w:ascii="Calibri" w:eastAsia="Calibri" w:hAnsi="Calibri" w:cs="Times New Roman"/>
                <w:sz w:val="20"/>
                <w:szCs w:val="20"/>
              </w:rPr>
            </w:pPr>
            <w:r w:rsidRPr="009E1C3F">
              <w:rPr>
                <w:rFonts w:ascii="Calibri" w:eastAsia="Calibri" w:hAnsi="Calibri" w:cs="Times New Roman"/>
                <w:sz w:val="20"/>
                <w:szCs w:val="20"/>
              </w:rPr>
              <w:t>50</w:t>
            </w:r>
          </w:p>
        </w:tc>
        <w:tc>
          <w:tcPr>
            <w:tcW w:w="1095"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0.7</w:t>
            </w:r>
          </w:p>
        </w:tc>
        <w:tc>
          <w:tcPr>
            <w:tcW w:w="1521"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0.3 (0.0-1.2)</w:t>
            </w:r>
          </w:p>
        </w:tc>
        <w:tc>
          <w:tcPr>
            <w:tcW w:w="1119"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6</w:t>
            </w:r>
          </w:p>
        </w:tc>
        <w:tc>
          <w:tcPr>
            <w:tcW w:w="1420"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4 (3-5)</w:t>
            </w:r>
          </w:p>
        </w:tc>
        <w:tc>
          <w:tcPr>
            <w:tcW w:w="1134"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40</w:t>
            </w:r>
          </w:p>
        </w:tc>
        <w:tc>
          <w:tcPr>
            <w:tcW w:w="1583"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26 (25-27)</w:t>
            </w:r>
          </w:p>
        </w:tc>
        <w:tc>
          <w:tcPr>
            <w:tcW w:w="827" w:type="dxa"/>
          </w:tcPr>
          <w:p w:rsidR="00E230DC" w:rsidRPr="009E1C3F" w:rsidRDefault="00E230DC" w:rsidP="00BA778B">
            <w:pPr>
              <w:jc w:val="center"/>
              <w:rPr>
                <w:rFonts w:ascii="Calibri" w:eastAsia="Calibri" w:hAnsi="Calibri" w:cs="Times New Roman"/>
                <w:sz w:val="20"/>
                <w:szCs w:val="20"/>
              </w:rPr>
            </w:pPr>
            <w:r w:rsidRPr="00E230DC">
              <w:rPr>
                <w:rFonts w:ascii="Calibri" w:eastAsia="Calibri" w:hAnsi="Calibri" w:cs="Times New Roman"/>
                <w:sz w:val="20"/>
                <w:szCs w:val="20"/>
              </w:rPr>
              <w:t>0.99</w:t>
            </w:r>
            <w:r>
              <w:rPr>
                <w:rFonts w:ascii="Calibri" w:eastAsia="Calibri" w:hAnsi="Calibri" w:cs="Times New Roman"/>
                <w:sz w:val="20"/>
                <w:szCs w:val="20"/>
              </w:rPr>
              <w:t>8</w:t>
            </w:r>
          </w:p>
        </w:tc>
      </w:tr>
      <w:tr w:rsidR="00E230DC" w:rsidRPr="009E1C3F" w:rsidTr="00E230DC">
        <w:tc>
          <w:tcPr>
            <w:tcW w:w="652" w:type="dxa"/>
          </w:tcPr>
          <w:p w:rsidR="00E230DC" w:rsidRPr="009E1C3F" w:rsidRDefault="00E230DC" w:rsidP="00E230DC">
            <w:pPr>
              <w:rPr>
                <w:rFonts w:ascii="Calibri" w:eastAsia="Calibri" w:hAnsi="Calibri" w:cs="Times New Roman"/>
                <w:sz w:val="20"/>
                <w:szCs w:val="20"/>
              </w:rPr>
            </w:pPr>
            <w:r w:rsidRPr="009E1C3F">
              <w:rPr>
                <w:rFonts w:ascii="Calibri" w:eastAsia="Calibri" w:hAnsi="Calibri" w:cs="Times New Roman"/>
                <w:sz w:val="20"/>
                <w:szCs w:val="20"/>
              </w:rPr>
              <w:t>60</w:t>
            </w:r>
          </w:p>
        </w:tc>
        <w:tc>
          <w:tcPr>
            <w:tcW w:w="1095"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1.1</w:t>
            </w:r>
          </w:p>
        </w:tc>
        <w:tc>
          <w:tcPr>
            <w:tcW w:w="1521"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0.5 (0.0-1.1)</w:t>
            </w:r>
          </w:p>
        </w:tc>
        <w:tc>
          <w:tcPr>
            <w:tcW w:w="1119"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6</w:t>
            </w:r>
          </w:p>
        </w:tc>
        <w:tc>
          <w:tcPr>
            <w:tcW w:w="1420"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3 (2-4)</w:t>
            </w:r>
          </w:p>
        </w:tc>
        <w:tc>
          <w:tcPr>
            <w:tcW w:w="1134"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31</w:t>
            </w:r>
          </w:p>
        </w:tc>
        <w:tc>
          <w:tcPr>
            <w:tcW w:w="1583"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17 (16-17)</w:t>
            </w:r>
          </w:p>
        </w:tc>
        <w:tc>
          <w:tcPr>
            <w:tcW w:w="827" w:type="dxa"/>
          </w:tcPr>
          <w:p w:rsidR="00E230DC" w:rsidRPr="009E1C3F" w:rsidRDefault="00E230DC" w:rsidP="00BA778B">
            <w:pPr>
              <w:jc w:val="center"/>
              <w:rPr>
                <w:rFonts w:ascii="Calibri" w:eastAsia="Calibri" w:hAnsi="Calibri" w:cs="Times New Roman"/>
                <w:sz w:val="20"/>
                <w:szCs w:val="20"/>
              </w:rPr>
            </w:pPr>
            <w:r w:rsidRPr="00E230DC">
              <w:rPr>
                <w:rFonts w:ascii="Calibri" w:eastAsia="Calibri" w:hAnsi="Calibri" w:cs="Times New Roman"/>
                <w:sz w:val="20"/>
                <w:szCs w:val="20"/>
              </w:rPr>
              <w:t>0.997</w:t>
            </w:r>
          </w:p>
        </w:tc>
      </w:tr>
      <w:tr w:rsidR="00E230DC" w:rsidRPr="009E1C3F" w:rsidTr="00E230DC">
        <w:tc>
          <w:tcPr>
            <w:tcW w:w="652" w:type="dxa"/>
          </w:tcPr>
          <w:p w:rsidR="00E230DC" w:rsidRPr="009E1C3F" w:rsidRDefault="00E230DC" w:rsidP="00E230DC">
            <w:pPr>
              <w:rPr>
                <w:rFonts w:ascii="Calibri" w:eastAsia="Calibri" w:hAnsi="Calibri" w:cs="Times New Roman"/>
                <w:sz w:val="20"/>
                <w:szCs w:val="20"/>
              </w:rPr>
            </w:pPr>
            <w:r w:rsidRPr="009E1C3F">
              <w:rPr>
                <w:rFonts w:ascii="Calibri" w:eastAsia="Calibri" w:hAnsi="Calibri" w:cs="Times New Roman"/>
                <w:sz w:val="20"/>
                <w:szCs w:val="20"/>
              </w:rPr>
              <w:t>70</w:t>
            </w:r>
          </w:p>
        </w:tc>
        <w:tc>
          <w:tcPr>
            <w:tcW w:w="1095"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2.6</w:t>
            </w:r>
          </w:p>
        </w:tc>
        <w:tc>
          <w:tcPr>
            <w:tcW w:w="1521"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0.6 (0.0-1.5)</w:t>
            </w:r>
          </w:p>
        </w:tc>
        <w:tc>
          <w:tcPr>
            <w:tcW w:w="1119"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12</w:t>
            </w:r>
          </w:p>
        </w:tc>
        <w:tc>
          <w:tcPr>
            <w:tcW w:w="1420"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5 (4-6)</w:t>
            </w:r>
          </w:p>
        </w:tc>
        <w:tc>
          <w:tcPr>
            <w:tcW w:w="1134"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42</w:t>
            </w:r>
          </w:p>
        </w:tc>
        <w:tc>
          <w:tcPr>
            <w:tcW w:w="1583"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18 (17-19)</w:t>
            </w:r>
          </w:p>
        </w:tc>
        <w:tc>
          <w:tcPr>
            <w:tcW w:w="827"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0.989</w:t>
            </w:r>
          </w:p>
        </w:tc>
      </w:tr>
      <w:tr w:rsidR="00E230DC" w:rsidRPr="009E1C3F" w:rsidTr="00E230DC">
        <w:tc>
          <w:tcPr>
            <w:tcW w:w="652" w:type="dxa"/>
          </w:tcPr>
          <w:p w:rsidR="00E230DC" w:rsidRPr="009E1C3F" w:rsidRDefault="00E230DC" w:rsidP="00E230DC">
            <w:pPr>
              <w:rPr>
                <w:rFonts w:ascii="Calibri" w:eastAsia="Calibri" w:hAnsi="Calibri" w:cs="Times New Roman"/>
                <w:sz w:val="20"/>
                <w:szCs w:val="20"/>
              </w:rPr>
            </w:pPr>
            <w:r w:rsidRPr="009E1C3F">
              <w:rPr>
                <w:rFonts w:ascii="Calibri" w:eastAsia="Calibri" w:hAnsi="Calibri" w:cs="Times New Roman"/>
                <w:sz w:val="20"/>
                <w:szCs w:val="20"/>
              </w:rPr>
              <w:t>80</w:t>
            </w:r>
          </w:p>
        </w:tc>
        <w:tc>
          <w:tcPr>
            <w:tcW w:w="1095"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5.7</w:t>
            </w:r>
          </w:p>
        </w:tc>
        <w:tc>
          <w:tcPr>
            <w:tcW w:w="1521"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0.9 (0.0-2.1)</w:t>
            </w:r>
          </w:p>
        </w:tc>
        <w:tc>
          <w:tcPr>
            <w:tcW w:w="1119"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21</w:t>
            </w:r>
          </w:p>
        </w:tc>
        <w:tc>
          <w:tcPr>
            <w:tcW w:w="1420"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7 (5-8)</w:t>
            </w:r>
          </w:p>
        </w:tc>
        <w:tc>
          <w:tcPr>
            <w:tcW w:w="1134"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54</w:t>
            </w:r>
          </w:p>
        </w:tc>
        <w:tc>
          <w:tcPr>
            <w:tcW w:w="1583"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21 (20-22)</w:t>
            </w:r>
          </w:p>
        </w:tc>
        <w:tc>
          <w:tcPr>
            <w:tcW w:w="827" w:type="dxa"/>
          </w:tcPr>
          <w:p w:rsidR="00E230DC" w:rsidRPr="009E1C3F" w:rsidRDefault="00E230DC" w:rsidP="00BA778B">
            <w:pPr>
              <w:jc w:val="center"/>
              <w:rPr>
                <w:rFonts w:ascii="Calibri" w:eastAsia="Calibri" w:hAnsi="Calibri" w:cs="Times New Roman"/>
                <w:sz w:val="20"/>
                <w:szCs w:val="20"/>
              </w:rPr>
            </w:pPr>
            <w:r>
              <w:rPr>
                <w:rFonts w:ascii="Calibri" w:eastAsia="Calibri" w:hAnsi="Calibri" w:cs="Times New Roman"/>
                <w:sz w:val="20"/>
                <w:szCs w:val="20"/>
              </w:rPr>
              <w:t>0..975</w:t>
            </w:r>
          </w:p>
        </w:tc>
      </w:tr>
    </w:tbl>
    <w:p w:rsidR="009E1C3F" w:rsidRPr="009E1C3F" w:rsidRDefault="009E1C3F" w:rsidP="009E1C3F">
      <w:pPr>
        <w:ind w:left="1134" w:right="2222"/>
        <w:rPr>
          <w:bCs/>
        </w:rPr>
      </w:pPr>
    </w:p>
    <w:p w:rsidR="009E1C3F" w:rsidRPr="009E1C3F" w:rsidRDefault="00A27321" w:rsidP="00A27321">
      <w:pPr>
        <w:ind w:left="567" w:right="-330"/>
        <w:rPr>
          <w:bCs/>
        </w:rPr>
      </w:pPr>
      <w:r>
        <w:rPr>
          <w:bCs/>
        </w:rPr>
        <w:t>The large disparit</w:t>
      </w:r>
      <w:r w:rsidR="007431C5">
        <w:rPr>
          <w:bCs/>
        </w:rPr>
        <w:t>ies</w:t>
      </w:r>
      <w:r>
        <w:rPr>
          <w:bCs/>
        </w:rPr>
        <w:t xml:space="preserve"> between Austrian and Ukrainian models w</w:t>
      </w:r>
      <w:r w:rsidR="00B35067">
        <w:rPr>
          <w:bCs/>
        </w:rPr>
        <w:t>ere</w:t>
      </w:r>
      <w:r>
        <w:rPr>
          <w:bCs/>
        </w:rPr>
        <w:t xml:space="preserve"> reflected in differences in the lifetime probabilities of a </w:t>
      </w:r>
      <w:r w:rsidR="002D7E5A">
        <w:rPr>
          <w:bCs/>
        </w:rPr>
        <w:t>hip</w:t>
      </w:r>
      <w:r>
        <w:rPr>
          <w:bCs/>
        </w:rPr>
        <w:t xml:space="preserve"> fracture from the age of 50 years.  In Austria, </w:t>
      </w:r>
      <w:r w:rsidR="002D7E5A">
        <w:rPr>
          <w:bCs/>
        </w:rPr>
        <w:t>this was</w:t>
      </w:r>
      <w:r>
        <w:rPr>
          <w:bCs/>
        </w:rPr>
        <w:t xml:space="preserve"> 19.6 % in women and 8.2 % in men.  The equivalent probabilities </w:t>
      </w:r>
      <w:r w:rsidR="002D7E5A">
        <w:rPr>
          <w:bCs/>
        </w:rPr>
        <w:t xml:space="preserve">in Ukraine </w:t>
      </w:r>
      <w:r>
        <w:rPr>
          <w:bCs/>
        </w:rPr>
        <w:t>were 5.4% and 2.8 %, respectively.</w:t>
      </w:r>
    </w:p>
    <w:p w:rsidR="009E1C3F" w:rsidRPr="009E1C3F" w:rsidRDefault="009E1C3F" w:rsidP="009E1C3F">
      <w:pPr>
        <w:ind w:left="1134" w:right="2222"/>
        <w:rPr>
          <w:bCs/>
        </w:rPr>
      </w:pPr>
    </w:p>
    <w:p w:rsidR="004E711B" w:rsidRDefault="002E2824" w:rsidP="00751C1C">
      <w:pPr>
        <w:ind w:left="567"/>
        <w:rPr>
          <w:b/>
        </w:rPr>
      </w:pPr>
      <w:r>
        <w:rPr>
          <w:b/>
        </w:rPr>
        <w:t>Discussion</w:t>
      </w:r>
    </w:p>
    <w:p w:rsidR="001F17D1" w:rsidRPr="001F17D1" w:rsidRDefault="001F17D1" w:rsidP="00751C1C">
      <w:pPr>
        <w:ind w:left="567"/>
        <w:rPr>
          <w:b/>
        </w:rPr>
      </w:pPr>
      <w:r w:rsidRPr="00332B3C">
        <w:t xml:space="preserve">In this study, we </w:t>
      </w:r>
      <w:r w:rsidR="00332B3C" w:rsidRPr="00332B3C">
        <w:t>documented</w:t>
      </w:r>
      <w:r w:rsidRPr="00332B3C">
        <w:t xml:space="preserve"> the incidence of hip fracture in </w:t>
      </w:r>
      <w:r w:rsidR="00332B3C" w:rsidRPr="00332B3C">
        <w:t>the Ukraine</w:t>
      </w:r>
      <w:r w:rsidRPr="00332B3C">
        <w:t xml:space="preserve">. The incidence of hip fracture was used to populate a </w:t>
      </w:r>
      <w:r w:rsidR="00B35067">
        <w:t>country-specific</w:t>
      </w:r>
      <w:r w:rsidRPr="00332B3C">
        <w:t xml:space="preserve"> FRAX tool to compute the 10-year probabilities of hip and major osteoporotic fracture. The new model can now replace the </w:t>
      </w:r>
      <w:r w:rsidR="00332B3C" w:rsidRPr="00332B3C">
        <w:t>Austrian</w:t>
      </w:r>
      <w:r w:rsidRPr="00332B3C">
        <w:t xml:space="preserve"> model </w:t>
      </w:r>
      <w:r w:rsidR="00332B3C" w:rsidRPr="00332B3C">
        <w:t>used since 2009</w:t>
      </w:r>
      <w:r w:rsidRPr="00332B3C">
        <w:t xml:space="preserve">.  In brief, the </w:t>
      </w:r>
      <w:r w:rsidR="00332B3C" w:rsidRPr="00332B3C">
        <w:t>Ukrainian model</w:t>
      </w:r>
      <w:r w:rsidRPr="00332B3C">
        <w:t xml:space="preserve"> provided </w:t>
      </w:r>
      <w:r w:rsidR="00332B3C" w:rsidRPr="00332B3C">
        <w:t xml:space="preserve">substantially </w:t>
      </w:r>
      <w:r w:rsidRPr="00332B3C">
        <w:t xml:space="preserve">lower estimates of fracture probability at </w:t>
      </w:r>
      <w:r w:rsidR="00332B3C" w:rsidRPr="00332B3C">
        <w:t>all</w:t>
      </w:r>
      <w:r w:rsidRPr="00332B3C">
        <w:t xml:space="preserve"> ages. Importantly, the </w:t>
      </w:r>
      <w:r w:rsidR="00332B3C" w:rsidRPr="00332B3C">
        <w:t>country-specific model</w:t>
      </w:r>
      <w:r w:rsidRPr="00332B3C">
        <w:t xml:space="preserve"> had little impact on the categorization of risk, since the revisions did not change the rank order of fracture probability.</w:t>
      </w:r>
      <w:r w:rsidRPr="001F17D1">
        <w:rPr>
          <w:b/>
        </w:rPr>
        <w:t xml:space="preserve">  </w:t>
      </w:r>
      <w:r w:rsidRPr="002D7E5A">
        <w:t xml:space="preserve">In </w:t>
      </w:r>
      <w:r w:rsidRPr="00536E34">
        <w:t xml:space="preserve">the clinical scenarios presented in this paper, the correlation coefficients between </w:t>
      </w:r>
      <w:r w:rsidR="00332B3C" w:rsidRPr="00536E34">
        <w:t>the Austrian</w:t>
      </w:r>
      <w:r w:rsidRPr="00536E34">
        <w:t xml:space="preserve"> and authentic versions for fracture probability exceeded 0.9</w:t>
      </w:r>
      <w:r w:rsidR="00332B3C" w:rsidRPr="00536E34">
        <w:t>5</w:t>
      </w:r>
      <w:r w:rsidR="002D7E5A">
        <w:t xml:space="preserve"> at all ages and in men as well as women</w:t>
      </w:r>
      <w:r w:rsidRPr="00536E34">
        <w:t xml:space="preserve">. </w:t>
      </w:r>
      <w:r w:rsidR="00332B3C" w:rsidRPr="00536E34">
        <w:t>Thus</w:t>
      </w:r>
      <w:r w:rsidRPr="00536E34">
        <w:t xml:space="preserve">, an individual at the 90th percentile of risk </w:t>
      </w:r>
      <w:r w:rsidR="00332B3C" w:rsidRPr="00536E34">
        <w:t xml:space="preserve">with the Austrian tool </w:t>
      </w:r>
      <w:r w:rsidRPr="00536E34">
        <w:t xml:space="preserve">would still be </w:t>
      </w:r>
      <w:r w:rsidR="00332B3C" w:rsidRPr="00536E34">
        <w:t>very close to</w:t>
      </w:r>
      <w:r w:rsidRPr="00536E34">
        <w:t xml:space="preserve"> the 90th percentile of risk using the </w:t>
      </w:r>
      <w:r w:rsidR="00536E34" w:rsidRPr="00536E34">
        <w:t>Ukrainian</w:t>
      </w:r>
      <w:r w:rsidRPr="00536E34">
        <w:t xml:space="preserve"> FRAX tool. </w:t>
      </w:r>
      <w:r w:rsidR="002D7E5A">
        <w:t>For this reason</w:t>
      </w:r>
      <w:r w:rsidRPr="00536E34">
        <w:t xml:space="preserve">, the consequences of </w:t>
      </w:r>
      <w:r w:rsidR="00536E34" w:rsidRPr="00536E34">
        <w:t>using</w:t>
      </w:r>
      <w:r w:rsidRPr="00536E34">
        <w:t xml:space="preserve"> </w:t>
      </w:r>
      <w:r w:rsidR="00536E34" w:rsidRPr="00536E34">
        <w:t xml:space="preserve">country-specific tools </w:t>
      </w:r>
      <w:r w:rsidRPr="00536E34">
        <w:t xml:space="preserve">reside in the absolute number generated and not in the rank order of risk. </w:t>
      </w:r>
      <w:r w:rsidR="00536E34" w:rsidRPr="00536E34">
        <w:t xml:space="preserve"> The same phenomenon has been observed in FRAX revisions [</w:t>
      </w:r>
      <w:r w:rsidR="00CD57C3">
        <w:t>14]</w:t>
      </w:r>
      <w:r w:rsidR="00536E34" w:rsidRPr="00536E34">
        <w:t xml:space="preserve">. </w:t>
      </w:r>
      <w:r w:rsidRPr="00536E34">
        <w:t xml:space="preserve">This is of little consequence to the management of patients or the interpretation of clinical studies. There is a useful analogy with the different DXA devices available, where a substantial difference in femoral neck BMD is seen between Hologic and Lunar machines, but the T-score derived from these is more or less identical </w:t>
      </w:r>
      <w:r w:rsidRPr="00E04545">
        <w:t>[</w:t>
      </w:r>
      <w:r w:rsidR="005C5B20">
        <w:t>17]</w:t>
      </w:r>
      <w:r w:rsidR="00536E34" w:rsidRPr="00E04545">
        <w:t>.</w:t>
      </w:r>
      <w:r w:rsidRPr="001F17D1">
        <w:rPr>
          <w:b/>
        </w:rPr>
        <w:t xml:space="preserve"> </w:t>
      </w:r>
      <w:r w:rsidR="00536E34">
        <w:rPr>
          <w:b/>
        </w:rPr>
        <w:t xml:space="preserve"> </w:t>
      </w:r>
      <w:r w:rsidRPr="00536E34">
        <w:t>However, difficulties arise when fracture probabilities are used in health economic analysis to inform practice guidelines or devise intervention thresholds.</w:t>
      </w:r>
    </w:p>
    <w:p w:rsidR="005A4134" w:rsidRPr="005A4134" w:rsidRDefault="00133ED1" w:rsidP="00751C1C">
      <w:pPr>
        <w:ind w:left="567"/>
        <w:rPr>
          <w:b/>
          <w:bCs/>
        </w:rPr>
      </w:pPr>
      <w:r>
        <w:t xml:space="preserve">It is evident that the use of the Austrian model grossly overestimated FRAX probabilities in Ukraine. Where FRAX models are not available for a specific country, the International Society for Clinical Densitometry </w:t>
      </w:r>
      <w:r w:rsidR="00E04545">
        <w:t xml:space="preserve">and International Osteoporosis Foundation </w:t>
      </w:r>
      <w:r>
        <w:t xml:space="preserve">recommend the use of </w:t>
      </w:r>
      <w:r>
        <w:lastRenderedPageBreak/>
        <w:t>surrogate FRAX models using the fracture risk of a neighbouring country together with the death risk of the index country [</w:t>
      </w:r>
      <w:r w:rsidR="005C5B20">
        <w:t>6]</w:t>
      </w:r>
      <w:r>
        <w:t xml:space="preserve">.  </w:t>
      </w:r>
      <w:r w:rsidR="005A4134" w:rsidRPr="005A4134">
        <w:rPr>
          <w:bCs/>
          <w:lang w:val="sv-SE"/>
        </w:rPr>
        <w:t xml:space="preserve">Ukraine, situated </w:t>
      </w:r>
      <w:r w:rsidR="00B35067">
        <w:rPr>
          <w:bCs/>
          <w:lang w:val="sv-SE"/>
        </w:rPr>
        <w:t xml:space="preserve">in </w:t>
      </w:r>
      <w:r w:rsidR="005A4134" w:rsidRPr="005A4134">
        <w:rPr>
          <w:bCs/>
          <w:lang w:val="sv-SE"/>
        </w:rPr>
        <w:t xml:space="preserve">Eastern Europe, shares borders with the Russian Federation to the east and north-east, and with Belarus towards the north-west border. Hungary, </w:t>
      </w:r>
      <w:hyperlink r:id="rId14" w:history="1">
        <w:r w:rsidR="005A4134" w:rsidRPr="005A4134">
          <w:rPr>
            <w:rStyle w:val="Hyperlink"/>
            <w:color w:val="auto"/>
            <w:u w:val="none"/>
            <w:lang w:val="sv-SE"/>
          </w:rPr>
          <w:t xml:space="preserve">Slovakia </w:t>
        </w:r>
      </w:hyperlink>
      <w:r w:rsidR="005A4134" w:rsidRPr="005A4134">
        <w:rPr>
          <w:bCs/>
          <w:lang w:val="sv-SE"/>
        </w:rPr>
        <w:t xml:space="preserve">and </w:t>
      </w:r>
      <w:hyperlink r:id="rId15" w:history="1">
        <w:r w:rsidR="005A4134" w:rsidRPr="005A4134">
          <w:rPr>
            <w:rStyle w:val="Hyperlink"/>
            <w:color w:val="auto"/>
            <w:u w:val="none"/>
            <w:lang w:val="sv-SE"/>
          </w:rPr>
          <w:t xml:space="preserve">Poland </w:t>
        </w:r>
      </w:hyperlink>
      <w:r w:rsidR="005A4134" w:rsidRPr="005A4134">
        <w:rPr>
          <w:bCs/>
          <w:lang w:val="sv-SE"/>
        </w:rPr>
        <w:t xml:space="preserve">are to its west; </w:t>
      </w:r>
      <w:hyperlink r:id="rId16" w:history="1">
        <w:r w:rsidR="005A4134" w:rsidRPr="005A4134">
          <w:rPr>
            <w:rStyle w:val="Hyperlink"/>
            <w:color w:val="auto"/>
            <w:u w:val="none"/>
            <w:lang w:val="sv-SE"/>
          </w:rPr>
          <w:t xml:space="preserve">Romania </w:t>
        </w:r>
      </w:hyperlink>
      <w:r w:rsidR="005A4134" w:rsidRPr="005A4134">
        <w:rPr>
          <w:bCs/>
          <w:lang w:val="sv-SE"/>
        </w:rPr>
        <w:t xml:space="preserve">and </w:t>
      </w:r>
      <w:hyperlink r:id="rId17" w:history="1">
        <w:r w:rsidR="005A4134" w:rsidRPr="005A4134">
          <w:rPr>
            <w:rStyle w:val="Hyperlink"/>
            <w:color w:val="auto"/>
            <w:u w:val="none"/>
            <w:lang w:val="sv-SE"/>
          </w:rPr>
          <w:t xml:space="preserve">Moldova </w:t>
        </w:r>
      </w:hyperlink>
      <w:r w:rsidR="005A4134" w:rsidRPr="005A4134">
        <w:rPr>
          <w:bCs/>
          <w:lang w:val="sv-SE"/>
        </w:rPr>
        <w:t>share its south-west border.</w:t>
      </w:r>
      <w:r w:rsidR="005A4134" w:rsidRPr="005A4134">
        <w:rPr>
          <w:b/>
        </w:rPr>
        <w:t xml:space="preserve"> </w:t>
      </w:r>
      <w:r w:rsidR="005A4134" w:rsidRPr="005A4134">
        <w:rPr>
          <w:bCs/>
        </w:rPr>
        <w:t xml:space="preserve">A comparison of probabilities of the Ukrainian model with the Austrian model is given in </w:t>
      </w:r>
      <w:r w:rsidR="00B35067">
        <w:rPr>
          <w:bCs/>
        </w:rPr>
        <w:t>T</w:t>
      </w:r>
      <w:r w:rsidR="005A4134" w:rsidRPr="005A4134">
        <w:rPr>
          <w:bCs/>
        </w:rPr>
        <w:t>able 3 together with neighbouring counties.  The probabilities were lower than in neighbouring countries with Poland being the closest</w:t>
      </w:r>
      <w:r w:rsidR="005A4134" w:rsidRPr="008E676F">
        <w:rPr>
          <w:bCs/>
        </w:rPr>
        <w:t xml:space="preserve">. In view of the </w:t>
      </w:r>
      <w:r w:rsidR="008E676F" w:rsidRPr="008E676F">
        <w:rPr>
          <w:bCs/>
        </w:rPr>
        <w:t xml:space="preserve">disparate results, the adoption of a surrogate country (rather than the entire Austrian model) might have </w:t>
      </w:r>
      <w:r w:rsidR="002D7E5A">
        <w:rPr>
          <w:bCs/>
        </w:rPr>
        <w:t>given</w:t>
      </w:r>
      <w:r w:rsidR="008E676F" w:rsidRPr="008E676F">
        <w:rPr>
          <w:bCs/>
        </w:rPr>
        <w:t xml:space="preserve"> equally misleading</w:t>
      </w:r>
      <w:r w:rsidR="002D7E5A">
        <w:rPr>
          <w:bCs/>
        </w:rPr>
        <w:t xml:space="preserve"> results</w:t>
      </w:r>
      <w:r w:rsidR="008E676F" w:rsidRPr="008E676F">
        <w:rPr>
          <w:bCs/>
        </w:rPr>
        <w:t>.</w:t>
      </w:r>
      <w:r w:rsidR="005A4134" w:rsidRPr="005A4134">
        <w:rPr>
          <w:b/>
          <w:bCs/>
        </w:rPr>
        <w:t xml:space="preserve"> </w:t>
      </w:r>
    </w:p>
    <w:p w:rsidR="005A4134" w:rsidRPr="005A4134" w:rsidRDefault="005A4134" w:rsidP="00751C1C">
      <w:pPr>
        <w:ind w:left="567"/>
      </w:pPr>
    </w:p>
    <w:p w:rsidR="005A4134" w:rsidRPr="005A4134" w:rsidRDefault="005A4134" w:rsidP="00751C1C">
      <w:pPr>
        <w:ind w:left="567"/>
        <w:rPr>
          <w:b/>
        </w:rPr>
      </w:pPr>
      <w:r w:rsidRPr="005A4134">
        <w:rPr>
          <w:b/>
        </w:rPr>
        <w:t xml:space="preserve">Table </w:t>
      </w:r>
      <w:r>
        <w:rPr>
          <w:b/>
        </w:rPr>
        <w:t>3</w:t>
      </w:r>
      <w:r w:rsidRPr="005A4134">
        <w:rPr>
          <w:b/>
        </w:rPr>
        <w:t xml:space="preserve"> </w:t>
      </w:r>
      <w:r w:rsidRPr="005A4134">
        <w:t>Ten-year probability of major osteoporotic fracture (MOF) and hip fracture in men and women aged 65 years with a prior fragility fracture.  (Body mass index set to 25g/m</w:t>
      </w:r>
      <w:r w:rsidRPr="005A4134">
        <w:rPr>
          <w:vertAlign w:val="superscript"/>
        </w:rPr>
        <w:t>2</w:t>
      </w:r>
      <w:r w:rsidRPr="005A4134">
        <w:t>)</w:t>
      </w:r>
    </w:p>
    <w:tbl>
      <w:tblPr>
        <w:tblStyle w:val="TableGrid"/>
        <w:tblW w:w="0" w:type="auto"/>
        <w:tblInd w:w="5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607"/>
        <w:gridCol w:w="1477"/>
        <w:gridCol w:w="236"/>
        <w:gridCol w:w="2112"/>
        <w:gridCol w:w="1893"/>
      </w:tblGrid>
      <w:tr w:rsidR="005A4134" w:rsidRPr="005A4134" w:rsidTr="00B52BB8">
        <w:trPr>
          <w:trHeight w:val="397"/>
        </w:trPr>
        <w:tc>
          <w:tcPr>
            <w:tcW w:w="1134" w:type="dxa"/>
            <w:tcBorders>
              <w:bottom w:val="nil"/>
            </w:tcBorders>
          </w:tcPr>
          <w:p w:rsidR="005A4134" w:rsidRPr="005A4134" w:rsidRDefault="005A4134" w:rsidP="005A4134">
            <w:pPr>
              <w:spacing w:after="160" w:line="259" w:lineRule="auto"/>
              <w:rPr>
                <w:lang w:val="en-US"/>
              </w:rPr>
            </w:pPr>
            <w:r w:rsidRPr="005A4134">
              <w:rPr>
                <w:lang w:val="en-US"/>
              </w:rPr>
              <w:t>Country</w:t>
            </w:r>
          </w:p>
        </w:tc>
        <w:tc>
          <w:tcPr>
            <w:tcW w:w="1607" w:type="dxa"/>
            <w:tcBorders>
              <w:bottom w:val="nil"/>
            </w:tcBorders>
          </w:tcPr>
          <w:p w:rsidR="005A4134" w:rsidRPr="005A4134" w:rsidRDefault="005A4134" w:rsidP="005A4134">
            <w:pPr>
              <w:spacing w:after="160" w:line="259" w:lineRule="auto"/>
              <w:rPr>
                <w:lang w:val="en-US"/>
              </w:rPr>
            </w:pPr>
            <w:r w:rsidRPr="005A4134">
              <w:rPr>
                <w:lang w:val="en-US"/>
              </w:rPr>
              <w:t>Men</w:t>
            </w:r>
          </w:p>
        </w:tc>
        <w:tc>
          <w:tcPr>
            <w:tcW w:w="1477" w:type="dxa"/>
            <w:tcBorders>
              <w:bottom w:val="nil"/>
            </w:tcBorders>
          </w:tcPr>
          <w:p w:rsidR="005A4134" w:rsidRPr="005A4134" w:rsidRDefault="005A4134" w:rsidP="005A4134">
            <w:pPr>
              <w:spacing w:after="160" w:line="259" w:lineRule="auto"/>
              <w:rPr>
                <w:lang w:val="en-US"/>
              </w:rPr>
            </w:pPr>
          </w:p>
        </w:tc>
        <w:tc>
          <w:tcPr>
            <w:tcW w:w="236" w:type="dxa"/>
          </w:tcPr>
          <w:p w:rsidR="005A4134" w:rsidRPr="005A4134" w:rsidRDefault="005A4134" w:rsidP="005A4134">
            <w:pPr>
              <w:spacing w:after="160" w:line="259" w:lineRule="auto"/>
              <w:rPr>
                <w:lang w:val="en-US"/>
              </w:rPr>
            </w:pPr>
          </w:p>
        </w:tc>
        <w:tc>
          <w:tcPr>
            <w:tcW w:w="2112" w:type="dxa"/>
            <w:tcBorders>
              <w:bottom w:val="nil"/>
            </w:tcBorders>
          </w:tcPr>
          <w:p w:rsidR="005A4134" w:rsidRPr="005A4134" w:rsidRDefault="005A4134" w:rsidP="005A4134">
            <w:pPr>
              <w:spacing w:after="160" w:line="259" w:lineRule="auto"/>
              <w:rPr>
                <w:lang w:val="en-US"/>
              </w:rPr>
            </w:pPr>
            <w:r w:rsidRPr="005A4134">
              <w:rPr>
                <w:lang w:val="en-US"/>
              </w:rPr>
              <w:t>Women</w:t>
            </w:r>
          </w:p>
        </w:tc>
        <w:tc>
          <w:tcPr>
            <w:tcW w:w="1893" w:type="dxa"/>
            <w:tcBorders>
              <w:bottom w:val="nil"/>
            </w:tcBorders>
          </w:tcPr>
          <w:p w:rsidR="005A4134" w:rsidRPr="005A4134" w:rsidRDefault="005A4134" w:rsidP="005A4134">
            <w:pPr>
              <w:spacing w:after="160" w:line="259" w:lineRule="auto"/>
              <w:rPr>
                <w:lang w:val="en-US"/>
              </w:rPr>
            </w:pPr>
          </w:p>
        </w:tc>
      </w:tr>
      <w:tr w:rsidR="005A4134" w:rsidRPr="005A4134" w:rsidTr="00B52BB8">
        <w:trPr>
          <w:trHeight w:val="397"/>
        </w:trPr>
        <w:tc>
          <w:tcPr>
            <w:tcW w:w="1134" w:type="dxa"/>
            <w:tcBorders>
              <w:top w:val="nil"/>
              <w:bottom w:val="single" w:sz="4" w:space="0" w:color="auto"/>
            </w:tcBorders>
          </w:tcPr>
          <w:p w:rsidR="005A4134" w:rsidRPr="005A4134" w:rsidRDefault="005A4134" w:rsidP="005A4134">
            <w:pPr>
              <w:spacing w:after="160" w:line="259" w:lineRule="auto"/>
              <w:rPr>
                <w:lang w:val="en-US"/>
              </w:rPr>
            </w:pPr>
          </w:p>
        </w:tc>
        <w:tc>
          <w:tcPr>
            <w:tcW w:w="1607" w:type="dxa"/>
            <w:tcBorders>
              <w:top w:val="nil"/>
              <w:bottom w:val="single" w:sz="4" w:space="0" w:color="auto"/>
            </w:tcBorders>
          </w:tcPr>
          <w:p w:rsidR="005A4134" w:rsidRPr="005A4134" w:rsidRDefault="005A4134" w:rsidP="005A4134">
            <w:pPr>
              <w:spacing w:after="160" w:line="259" w:lineRule="auto"/>
              <w:rPr>
                <w:lang w:val="en-US"/>
              </w:rPr>
            </w:pPr>
            <w:r w:rsidRPr="005A4134">
              <w:rPr>
                <w:lang w:val="en-US"/>
              </w:rPr>
              <w:t>MOF</w:t>
            </w:r>
          </w:p>
        </w:tc>
        <w:tc>
          <w:tcPr>
            <w:tcW w:w="1477" w:type="dxa"/>
            <w:tcBorders>
              <w:top w:val="nil"/>
              <w:bottom w:val="single" w:sz="4" w:space="0" w:color="auto"/>
            </w:tcBorders>
          </w:tcPr>
          <w:p w:rsidR="005A4134" w:rsidRPr="005A4134" w:rsidRDefault="005A4134" w:rsidP="005A4134">
            <w:pPr>
              <w:spacing w:after="160" w:line="259" w:lineRule="auto"/>
              <w:rPr>
                <w:lang w:val="en-US"/>
              </w:rPr>
            </w:pPr>
            <w:r w:rsidRPr="005A4134">
              <w:rPr>
                <w:lang w:val="en-US"/>
              </w:rPr>
              <w:t>Hip fracture</w:t>
            </w:r>
          </w:p>
        </w:tc>
        <w:tc>
          <w:tcPr>
            <w:tcW w:w="236" w:type="dxa"/>
          </w:tcPr>
          <w:p w:rsidR="005A4134" w:rsidRPr="005A4134" w:rsidRDefault="005A4134" w:rsidP="005A4134">
            <w:pPr>
              <w:spacing w:after="160" w:line="259" w:lineRule="auto"/>
              <w:rPr>
                <w:lang w:val="en-US"/>
              </w:rPr>
            </w:pPr>
          </w:p>
        </w:tc>
        <w:tc>
          <w:tcPr>
            <w:tcW w:w="2112" w:type="dxa"/>
            <w:tcBorders>
              <w:top w:val="nil"/>
              <w:bottom w:val="single" w:sz="4" w:space="0" w:color="auto"/>
            </w:tcBorders>
          </w:tcPr>
          <w:p w:rsidR="005A4134" w:rsidRPr="005A4134" w:rsidRDefault="005A4134" w:rsidP="005A4134">
            <w:pPr>
              <w:spacing w:after="160" w:line="259" w:lineRule="auto"/>
              <w:rPr>
                <w:lang w:val="en-US"/>
              </w:rPr>
            </w:pPr>
            <w:r w:rsidRPr="005A4134">
              <w:rPr>
                <w:lang w:val="en-US"/>
              </w:rPr>
              <w:t>MOF</w:t>
            </w:r>
          </w:p>
        </w:tc>
        <w:tc>
          <w:tcPr>
            <w:tcW w:w="1893" w:type="dxa"/>
            <w:tcBorders>
              <w:top w:val="nil"/>
              <w:bottom w:val="single" w:sz="4" w:space="0" w:color="auto"/>
            </w:tcBorders>
          </w:tcPr>
          <w:p w:rsidR="005A4134" w:rsidRPr="005A4134" w:rsidRDefault="005A4134" w:rsidP="005A4134">
            <w:pPr>
              <w:spacing w:after="160" w:line="259" w:lineRule="auto"/>
              <w:rPr>
                <w:lang w:val="en-US"/>
              </w:rPr>
            </w:pPr>
            <w:r w:rsidRPr="005A4134">
              <w:rPr>
                <w:lang w:val="en-US"/>
              </w:rPr>
              <w:t>Hip fracture</w:t>
            </w:r>
          </w:p>
        </w:tc>
      </w:tr>
      <w:tr w:rsidR="005A4134" w:rsidRPr="005A4134" w:rsidTr="00B52BB8">
        <w:trPr>
          <w:trHeight w:val="397"/>
        </w:trPr>
        <w:tc>
          <w:tcPr>
            <w:tcW w:w="1134" w:type="dxa"/>
            <w:tcBorders>
              <w:top w:val="single" w:sz="4" w:space="0" w:color="auto"/>
            </w:tcBorders>
          </w:tcPr>
          <w:p w:rsidR="005A4134" w:rsidRPr="005A4134" w:rsidRDefault="005A4134" w:rsidP="005A4134">
            <w:pPr>
              <w:spacing w:after="160" w:line="259" w:lineRule="auto"/>
              <w:rPr>
                <w:lang w:val="en-US"/>
              </w:rPr>
            </w:pPr>
            <w:r w:rsidRPr="005A4134">
              <w:rPr>
                <w:lang w:val="en-US"/>
              </w:rPr>
              <w:t>Austria</w:t>
            </w:r>
          </w:p>
        </w:tc>
        <w:tc>
          <w:tcPr>
            <w:tcW w:w="1607" w:type="dxa"/>
            <w:tcBorders>
              <w:top w:val="single" w:sz="4" w:space="0" w:color="auto"/>
            </w:tcBorders>
          </w:tcPr>
          <w:p w:rsidR="005A4134" w:rsidRPr="005A4134" w:rsidRDefault="005A4134" w:rsidP="005A4134">
            <w:pPr>
              <w:spacing w:after="160" w:line="259" w:lineRule="auto"/>
              <w:rPr>
                <w:lang w:val="en-US"/>
              </w:rPr>
            </w:pPr>
            <w:r w:rsidRPr="005A4134">
              <w:rPr>
                <w:lang w:val="en-US"/>
              </w:rPr>
              <w:t>9.7</w:t>
            </w:r>
          </w:p>
        </w:tc>
        <w:tc>
          <w:tcPr>
            <w:tcW w:w="1477" w:type="dxa"/>
            <w:tcBorders>
              <w:top w:val="single" w:sz="4" w:space="0" w:color="auto"/>
            </w:tcBorders>
          </w:tcPr>
          <w:p w:rsidR="005A4134" w:rsidRPr="005A4134" w:rsidRDefault="005A4134" w:rsidP="005A4134">
            <w:pPr>
              <w:spacing w:after="160" w:line="259" w:lineRule="auto"/>
              <w:rPr>
                <w:lang w:val="en-US"/>
              </w:rPr>
            </w:pPr>
            <w:r w:rsidRPr="005A4134">
              <w:rPr>
                <w:lang w:val="en-US"/>
              </w:rPr>
              <w:t>2.5</w:t>
            </w:r>
          </w:p>
        </w:tc>
        <w:tc>
          <w:tcPr>
            <w:tcW w:w="236" w:type="dxa"/>
          </w:tcPr>
          <w:p w:rsidR="005A4134" w:rsidRPr="005A4134" w:rsidRDefault="005A4134" w:rsidP="005A4134">
            <w:pPr>
              <w:spacing w:after="160" w:line="259" w:lineRule="auto"/>
              <w:rPr>
                <w:lang w:val="en-US"/>
              </w:rPr>
            </w:pPr>
          </w:p>
        </w:tc>
        <w:tc>
          <w:tcPr>
            <w:tcW w:w="2112" w:type="dxa"/>
            <w:tcBorders>
              <w:top w:val="single" w:sz="4" w:space="0" w:color="auto"/>
            </w:tcBorders>
          </w:tcPr>
          <w:p w:rsidR="005A4134" w:rsidRPr="005A4134" w:rsidRDefault="005A4134" w:rsidP="005A4134">
            <w:pPr>
              <w:spacing w:after="160" w:line="259" w:lineRule="auto"/>
              <w:rPr>
                <w:lang w:val="en-US"/>
              </w:rPr>
            </w:pPr>
            <w:r w:rsidRPr="005A4134">
              <w:rPr>
                <w:lang w:val="en-US"/>
              </w:rPr>
              <w:t>17</w:t>
            </w:r>
          </w:p>
        </w:tc>
        <w:tc>
          <w:tcPr>
            <w:tcW w:w="1893" w:type="dxa"/>
            <w:tcBorders>
              <w:top w:val="single" w:sz="4" w:space="0" w:color="auto"/>
            </w:tcBorders>
          </w:tcPr>
          <w:p w:rsidR="005A4134" w:rsidRPr="005A4134" w:rsidRDefault="005A4134" w:rsidP="005A4134">
            <w:pPr>
              <w:spacing w:after="160" w:line="259" w:lineRule="auto"/>
              <w:rPr>
                <w:lang w:val="en-US"/>
              </w:rPr>
            </w:pPr>
            <w:r w:rsidRPr="005A4134">
              <w:rPr>
                <w:lang w:val="en-US"/>
              </w:rPr>
              <w:t>4.3</w:t>
            </w:r>
          </w:p>
        </w:tc>
      </w:tr>
      <w:tr w:rsidR="005A4134" w:rsidRPr="005A4134" w:rsidTr="00B52BB8">
        <w:trPr>
          <w:trHeight w:val="397"/>
        </w:trPr>
        <w:tc>
          <w:tcPr>
            <w:tcW w:w="1134" w:type="dxa"/>
          </w:tcPr>
          <w:p w:rsidR="005A4134" w:rsidRPr="005A4134" w:rsidRDefault="005A4134" w:rsidP="005A4134">
            <w:pPr>
              <w:spacing w:after="160" w:line="259" w:lineRule="auto"/>
              <w:rPr>
                <w:lang w:val="en-US"/>
              </w:rPr>
            </w:pPr>
            <w:r w:rsidRPr="005A4134">
              <w:rPr>
                <w:lang w:val="en-US"/>
              </w:rPr>
              <w:t>Belarus</w:t>
            </w:r>
          </w:p>
        </w:tc>
        <w:tc>
          <w:tcPr>
            <w:tcW w:w="1607" w:type="dxa"/>
          </w:tcPr>
          <w:p w:rsidR="005A4134" w:rsidRPr="005A4134" w:rsidRDefault="005A4134" w:rsidP="005A4134">
            <w:pPr>
              <w:spacing w:after="160" w:line="259" w:lineRule="auto"/>
              <w:rPr>
                <w:lang w:val="en-US"/>
              </w:rPr>
            </w:pPr>
            <w:r w:rsidRPr="005A4134">
              <w:rPr>
                <w:lang w:val="en-US"/>
              </w:rPr>
              <w:t>3.1</w:t>
            </w:r>
          </w:p>
        </w:tc>
        <w:tc>
          <w:tcPr>
            <w:tcW w:w="1477" w:type="dxa"/>
          </w:tcPr>
          <w:p w:rsidR="005A4134" w:rsidRPr="005A4134" w:rsidRDefault="005A4134" w:rsidP="005A4134">
            <w:pPr>
              <w:spacing w:after="160" w:line="259" w:lineRule="auto"/>
              <w:rPr>
                <w:lang w:val="en-US"/>
              </w:rPr>
            </w:pPr>
            <w:r w:rsidRPr="005A4134">
              <w:rPr>
                <w:lang w:val="en-US"/>
              </w:rPr>
              <w:t>0.9</w:t>
            </w:r>
          </w:p>
        </w:tc>
        <w:tc>
          <w:tcPr>
            <w:tcW w:w="236" w:type="dxa"/>
          </w:tcPr>
          <w:p w:rsidR="005A4134" w:rsidRPr="005A4134" w:rsidRDefault="005A4134" w:rsidP="005A4134">
            <w:pPr>
              <w:spacing w:after="160" w:line="259" w:lineRule="auto"/>
              <w:rPr>
                <w:lang w:val="en-US"/>
              </w:rPr>
            </w:pPr>
          </w:p>
        </w:tc>
        <w:tc>
          <w:tcPr>
            <w:tcW w:w="2112" w:type="dxa"/>
          </w:tcPr>
          <w:p w:rsidR="005A4134" w:rsidRPr="005A4134" w:rsidRDefault="005A4134" w:rsidP="005A4134">
            <w:pPr>
              <w:spacing w:after="160" w:line="259" w:lineRule="auto"/>
              <w:rPr>
                <w:lang w:val="en-US"/>
              </w:rPr>
            </w:pPr>
            <w:r w:rsidRPr="005A4134">
              <w:rPr>
                <w:lang w:val="en-US"/>
              </w:rPr>
              <w:t>6.2</w:t>
            </w:r>
          </w:p>
        </w:tc>
        <w:tc>
          <w:tcPr>
            <w:tcW w:w="1893" w:type="dxa"/>
          </w:tcPr>
          <w:p w:rsidR="005A4134" w:rsidRPr="005A4134" w:rsidRDefault="005A4134" w:rsidP="005A4134">
            <w:pPr>
              <w:spacing w:after="160" w:line="259" w:lineRule="auto"/>
              <w:rPr>
                <w:lang w:val="en-US"/>
              </w:rPr>
            </w:pPr>
            <w:r w:rsidRPr="005A4134">
              <w:rPr>
                <w:lang w:val="en-US"/>
              </w:rPr>
              <w:t>1.8</w:t>
            </w:r>
          </w:p>
        </w:tc>
      </w:tr>
      <w:tr w:rsidR="005A4134" w:rsidRPr="005A4134" w:rsidTr="00B52BB8">
        <w:trPr>
          <w:trHeight w:val="397"/>
        </w:trPr>
        <w:tc>
          <w:tcPr>
            <w:tcW w:w="1134" w:type="dxa"/>
          </w:tcPr>
          <w:p w:rsidR="005A4134" w:rsidRPr="005A4134" w:rsidRDefault="005A4134" w:rsidP="005A4134">
            <w:pPr>
              <w:spacing w:after="160" w:line="259" w:lineRule="auto"/>
              <w:rPr>
                <w:lang w:val="en-US"/>
              </w:rPr>
            </w:pPr>
            <w:r w:rsidRPr="005A4134">
              <w:rPr>
                <w:lang w:val="en-US"/>
              </w:rPr>
              <w:t>Hungary</w:t>
            </w:r>
          </w:p>
        </w:tc>
        <w:tc>
          <w:tcPr>
            <w:tcW w:w="1607" w:type="dxa"/>
          </w:tcPr>
          <w:p w:rsidR="005A4134" w:rsidRPr="005A4134" w:rsidRDefault="005A4134" w:rsidP="005A4134">
            <w:pPr>
              <w:spacing w:after="160" w:line="259" w:lineRule="auto"/>
              <w:rPr>
                <w:lang w:val="en-US"/>
              </w:rPr>
            </w:pPr>
            <w:r w:rsidRPr="005A4134">
              <w:rPr>
                <w:lang w:val="en-US"/>
              </w:rPr>
              <w:t>6.2</w:t>
            </w:r>
          </w:p>
        </w:tc>
        <w:tc>
          <w:tcPr>
            <w:tcW w:w="1477" w:type="dxa"/>
          </w:tcPr>
          <w:p w:rsidR="005A4134" w:rsidRPr="005A4134" w:rsidRDefault="005A4134" w:rsidP="005A4134">
            <w:pPr>
              <w:spacing w:after="160" w:line="259" w:lineRule="auto"/>
              <w:rPr>
                <w:lang w:val="en-US"/>
              </w:rPr>
            </w:pPr>
            <w:r w:rsidRPr="005A4134">
              <w:rPr>
                <w:lang w:val="en-US"/>
              </w:rPr>
              <w:t>1.6</w:t>
            </w:r>
          </w:p>
        </w:tc>
        <w:tc>
          <w:tcPr>
            <w:tcW w:w="236" w:type="dxa"/>
          </w:tcPr>
          <w:p w:rsidR="005A4134" w:rsidRPr="005A4134" w:rsidRDefault="005A4134" w:rsidP="005A4134">
            <w:pPr>
              <w:spacing w:after="160" w:line="259" w:lineRule="auto"/>
              <w:rPr>
                <w:lang w:val="en-US"/>
              </w:rPr>
            </w:pPr>
          </w:p>
        </w:tc>
        <w:tc>
          <w:tcPr>
            <w:tcW w:w="2112" w:type="dxa"/>
          </w:tcPr>
          <w:p w:rsidR="005A4134" w:rsidRPr="005A4134" w:rsidRDefault="005A4134" w:rsidP="005A4134">
            <w:pPr>
              <w:spacing w:after="160" w:line="259" w:lineRule="auto"/>
              <w:rPr>
                <w:lang w:val="en-US"/>
              </w:rPr>
            </w:pPr>
            <w:r w:rsidRPr="005A4134">
              <w:rPr>
                <w:lang w:val="en-US"/>
              </w:rPr>
              <w:t>12</w:t>
            </w:r>
          </w:p>
        </w:tc>
        <w:tc>
          <w:tcPr>
            <w:tcW w:w="1893" w:type="dxa"/>
          </w:tcPr>
          <w:p w:rsidR="005A4134" w:rsidRPr="005A4134" w:rsidRDefault="005A4134" w:rsidP="005A4134">
            <w:pPr>
              <w:spacing w:after="160" w:line="259" w:lineRule="auto"/>
              <w:rPr>
                <w:lang w:val="en-US"/>
              </w:rPr>
            </w:pPr>
            <w:r w:rsidRPr="005A4134">
              <w:rPr>
                <w:lang w:val="en-US"/>
              </w:rPr>
              <w:t>3.1</w:t>
            </w:r>
          </w:p>
        </w:tc>
      </w:tr>
      <w:tr w:rsidR="005A4134" w:rsidRPr="005A4134" w:rsidTr="00B52BB8">
        <w:trPr>
          <w:trHeight w:val="397"/>
        </w:trPr>
        <w:tc>
          <w:tcPr>
            <w:tcW w:w="1134" w:type="dxa"/>
          </w:tcPr>
          <w:p w:rsidR="005A4134" w:rsidRPr="005A4134" w:rsidRDefault="005A4134" w:rsidP="005A4134">
            <w:pPr>
              <w:spacing w:after="160" w:line="259" w:lineRule="auto"/>
              <w:rPr>
                <w:lang w:val="en-US"/>
              </w:rPr>
            </w:pPr>
            <w:r w:rsidRPr="005A4134">
              <w:rPr>
                <w:lang w:val="en-US"/>
              </w:rPr>
              <w:t>Moldova</w:t>
            </w:r>
          </w:p>
        </w:tc>
        <w:tc>
          <w:tcPr>
            <w:tcW w:w="1607" w:type="dxa"/>
          </w:tcPr>
          <w:p w:rsidR="005A4134" w:rsidRPr="005A4134" w:rsidRDefault="005A4134" w:rsidP="005A4134">
            <w:pPr>
              <w:spacing w:after="160" w:line="259" w:lineRule="auto"/>
              <w:rPr>
                <w:lang w:val="en-US"/>
              </w:rPr>
            </w:pPr>
            <w:r w:rsidRPr="005A4134">
              <w:rPr>
                <w:lang w:val="en-US"/>
              </w:rPr>
              <w:t>9.3</w:t>
            </w:r>
          </w:p>
        </w:tc>
        <w:tc>
          <w:tcPr>
            <w:tcW w:w="1477" w:type="dxa"/>
          </w:tcPr>
          <w:p w:rsidR="005A4134" w:rsidRPr="005A4134" w:rsidRDefault="005A4134" w:rsidP="005A4134">
            <w:pPr>
              <w:spacing w:after="160" w:line="259" w:lineRule="auto"/>
              <w:rPr>
                <w:lang w:val="en-US"/>
              </w:rPr>
            </w:pPr>
            <w:r w:rsidRPr="005A4134">
              <w:rPr>
                <w:lang w:val="en-US"/>
              </w:rPr>
              <w:t>2.5</w:t>
            </w:r>
          </w:p>
        </w:tc>
        <w:tc>
          <w:tcPr>
            <w:tcW w:w="236" w:type="dxa"/>
          </w:tcPr>
          <w:p w:rsidR="005A4134" w:rsidRPr="005A4134" w:rsidRDefault="005A4134" w:rsidP="005A4134">
            <w:pPr>
              <w:spacing w:after="160" w:line="259" w:lineRule="auto"/>
              <w:rPr>
                <w:lang w:val="en-US"/>
              </w:rPr>
            </w:pPr>
          </w:p>
        </w:tc>
        <w:tc>
          <w:tcPr>
            <w:tcW w:w="2112" w:type="dxa"/>
          </w:tcPr>
          <w:p w:rsidR="005A4134" w:rsidRPr="005A4134" w:rsidRDefault="005A4134" w:rsidP="005A4134">
            <w:pPr>
              <w:spacing w:after="160" w:line="259" w:lineRule="auto"/>
              <w:rPr>
                <w:lang w:val="en-US"/>
              </w:rPr>
            </w:pPr>
            <w:r w:rsidRPr="005A4134">
              <w:rPr>
                <w:lang w:val="en-US"/>
              </w:rPr>
              <w:t>17</w:t>
            </w:r>
          </w:p>
        </w:tc>
        <w:tc>
          <w:tcPr>
            <w:tcW w:w="1893" w:type="dxa"/>
          </w:tcPr>
          <w:p w:rsidR="005A4134" w:rsidRPr="005A4134" w:rsidRDefault="005A4134" w:rsidP="005A4134">
            <w:pPr>
              <w:spacing w:after="160" w:line="259" w:lineRule="auto"/>
              <w:rPr>
                <w:lang w:val="en-US"/>
              </w:rPr>
            </w:pPr>
            <w:r w:rsidRPr="005A4134">
              <w:rPr>
                <w:lang w:val="en-US"/>
              </w:rPr>
              <w:t>4.7</w:t>
            </w:r>
          </w:p>
        </w:tc>
      </w:tr>
      <w:tr w:rsidR="005A4134" w:rsidRPr="005A4134" w:rsidTr="00B52BB8">
        <w:trPr>
          <w:trHeight w:val="397"/>
        </w:trPr>
        <w:tc>
          <w:tcPr>
            <w:tcW w:w="1134" w:type="dxa"/>
          </w:tcPr>
          <w:p w:rsidR="005A4134" w:rsidRPr="005A4134" w:rsidRDefault="005A4134" w:rsidP="005A4134">
            <w:pPr>
              <w:spacing w:after="160" w:line="259" w:lineRule="auto"/>
              <w:rPr>
                <w:lang w:val="en-US"/>
              </w:rPr>
            </w:pPr>
            <w:r w:rsidRPr="005A4134">
              <w:rPr>
                <w:lang w:val="en-US"/>
              </w:rPr>
              <w:t>Poland</w:t>
            </w:r>
          </w:p>
        </w:tc>
        <w:tc>
          <w:tcPr>
            <w:tcW w:w="1607" w:type="dxa"/>
          </w:tcPr>
          <w:p w:rsidR="005A4134" w:rsidRPr="005A4134" w:rsidRDefault="005A4134" w:rsidP="005A4134">
            <w:pPr>
              <w:spacing w:after="160" w:line="259" w:lineRule="auto"/>
              <w:rPr>
                <w:lang w:val="en-US"/>
              </w:rPr>
            </w:pPr>
            <w:r w:rsidRPr="005A4134">
              <w:rPr>
                <w:lang w:val="en-US"/>
              </w:rPr>
              <w:t>4.5</w:t>
            </w:r>
          </w:p>
        </w:tc>
        <w:tc>
          <w:tcPr>
            <w:tcW w:w="1477" w:type="dxa"/>
          </w:tcPr>
          <w:p w:rsidR="005A4134" w:rsidRPr="005A4134" w:rsidRDefault="005A4134" w:rsidP="005A4134">
            <w:pPr>
              <w:spacing w:after="160" w:line="259" w:lineRule="auto"/>
              <w:rPr>
                <w:lang w:val="en-US"/>
              </w:rPr>
            </w:pPr>
            <w:r w:rsidRPr="005A4134">
              <w:rPr>
                <w:lang w:val="en-US"/>
              </w:rPr>
              <w:t>1.2</w:t>
            </w:r>
          </w:p>
        </w:tc>
        <w:tc>
          <w:tcPr>
            <w:tcW w:w="236" w:type="dxa"/>
          </w:tcPr>
          <w:p w:rsidR="005A4134" w:rsidRPr="005A4134" w:rsidRDefault="005A4134" w:rsidP="005A4134">
            <w:pPr>
              <w:spacing w:after="160" w:line="259" w:lineRule="auto"/>
              <w:rPr>
                <w:lang w:val="en-US"/>
              </w:rPr>
            </w:pPr>
          </w:p>
        </w:tc>
        <w:tc>
          <w:tcPr>
            <w:tcW w:w="2112" w:type="dxa"/>
          </w:tcPr>
          <w:p w:rsidR="005A4134" w:rsidRPr="005A4134" w:rsidRDefault="005A4134" w:rsidP="005A4134">
            <w:pPr>
              <w:spacing w:after="160" w:line="259" w:lineRule="auto"/>
              <w:rPr>
                <w:lang w:val="en-US"/>
              </w:rPr>
            </w:pPr>
            <w:r w:rsidRPr="005A4134">
              <w:rPr>
                <w:lang w:val="en-US"/>
              </w:rPr>
              <w:t>8.3</w:t>
            </w:r>
          </w:p>
        </w:tc>
        <w:tc>
          <w:tcPr>
            <w:tcW w:w="1893" w:type="dxa"/>
          </w:tcPr>
          <w:p w:rsidR="005A4134" w:rsidRPr="005A4134" w:rsidRDefault="005A4134" w:rsidP="005A4134">
            <w:pPr>
              <w:spacing w:after="160" w:line="259" w:lineRule="auto"/>
              <w:rPr>
                <w:lang w:val="en-US"/>
              </w:rPr>
            </w:pPr>
            <w:r w:rsidRPr="005A4134">
              <w:rPr>
                <w:lang w:val="en-US"/>
              </w:rPr>
              <w:t>2.2</w:t>
            </w:r>
          </w:p>
        </w:tc>
      </w:tr>
      <w:tr w:rsidR="005A4134" w:rsidRPr="005A4134" w:rsidTr="00B52BB8">
        <w:trPr>
          <w:trHeight w:val="397"/>
        </w:trPr>
        <w:tc>
          <w:tcPr>
            <w:tcW w:w="1134" w:type="dxa"/>
          </w:tcPr>
          <w:p w:rsidR="005A4134" w:rsidRPr="005A4134" w:rsidRDefault="005A4134" w:rsidP="005A4134">
            <w:pPr>
              <w:spacing w:after="160" w:line="259" w:lineRule="auto"/>
              <w:rPr>
                <w:lang w:val="en-US"/>
              </w:rPr>
            </w:pPr>
            <w:r w:rsidRPr="005A4134">
              <w:rPr>
                <w:lang w:val="en-US"/>
              </w:rPr>
              <w:t>Romania</w:t>
            </w:r>
          </w:p>
        </w:tc>
        <w:tc>
          <w:tcPr>
            <w:tcW w:w="1607" w:type="dxa"/>
          </w:tcPr>
          <w:p w:rsidR="005A4134" w:rsidRPr="005A4134" w:rsidRDefault="005A4134" w:rsidP="005A4134">
            <w:pPr>
              <w:spacing w:after="160" w:line="259" w:lineRule="auto"/>
              <w:rPr>
                <w:lang w:val="en-US"/>
              </w:rPr>
            </w:pPr>
            <w:r w:rsidRPr="005A4134">
              <w:rPr>
                <w:lang w:val="en-US"/>
              </w:rPr>
              <w:t>5.2</w:t>
            </w:r>
          </w:p>
        </w:tc>
        <w:tc>
          <w:tcPr>
            <w:tcW w:w="1477" w:type="dxa"/>
          </w:tcPr>
          <w:p w:rsidR="005A4134" w:rsidRPr="005A4134" w:rsidRDefault="005A4134" w:rsidP="005A4134">
            <w:pPr>
              <w:spacing w:after="160" w:line="259" w:lineRule="auto"/>
              <w:rPr>
                <w:lang w:val="en-US"/>
              </w:rPr>
            </w:pPr>
            <w:r w:rsidRPr="005A4134">
              <w:rPr>
                <w:lang w:val="en-US"/>
              </w:rPr>
              <w:t>1.5</w:t>
            </w:r>
          </w:p>
        </w:tc>
        <w:tc>
          <w:tcPr>
            <w:tcW w:w="236" w:type="dxa"/>
          </w:tcPr>
          <w:p w:rsidR="005A4134" w:rsidRPr="005A4134" w:rsidRDefault="005A4134" w:rsidP="005A4134">
            <w:pPr>
              <w:spacing w:after="160" w:line="259" w:lineRule="auto"/>
              <w:rPr>
                <w:lang w:val="en-US"/>
              </w:rPr>
            </w:pPr>
          </w:p>
        </w:tc>
        <w:tc>
          <w:tcPr>
            <w:tcW w:w="2112" w:type="dxa"/>
          </w:tcPr>
          <w:p w:rsidR="005A4134" w:rsidRPr="005A4134" w:rsidRDefault="005A4134" w:rsidP="005A4134">
            <w:pPr>
              <w:spacing w:after="160" w:line="259" w:lineRule="auto"/>
              <w:rPr>
                <w:lang w:val="en-US"/>
              </w:rPr>
            </w:pPr>
            <w:r w:rsidRPr="005A4134">
              <w:rPr>
                <w:lang w:val="en-US"/>
              </w:rPr>
              <w:t>9.5</w:t>
            </w:r>
          </w:p>
        </w:tc>
        <w:tc>
          <w:tcPr>
            <w:tcW w:w="1893" w:type="dxa"/>
          </w:tcPr>
          <w:p w:rsidR="005A4134" w:rsidRPr="005A4134" w:rsidRDefault="005A4134" w:rsidP="005A4134">
            <w:pPr>
              <w:spacing w:after="160" w:line="259" w:lineRule="auto"/>
              <w:rPr>
                <w:lang w:val="en-US"/>
              </w:rPr>
            </w:pPr>
            <w:r w:rsidRPr="005A4134">
              <w:rPr>
                <w:lang w:val="en-US"/>
              </w:rPr>
              <w:t>2.6</w:t>
            </w:r>
          </w:p>
        </w:tc>
      </w:tr>
      <w:tr w:rsidR="005A4134" w:rsidRPr="005A4134" w:rsidTr="00B52BB8">
        <w:trPr>
          <w:trHeight w:val="397"/>
        </w:trPr>
        <w:tc>
          <w:tcPr>
            <w:tcW w:w="1134" w:type="dxa"/>
          </w:tcPr>
          <w:p w:rsidR="005A4134" w:rsidRPr="005A4134" w:rsidRDefault="005A4134" w:rsidP="005A4134">
            <w:pPr>
              <w:spacing w:after="160" w:line="259" w:lineRule="auto"/>
              <w:rPr>
                <w:lang w:val="en-US"/>
              </w:rPr>
            </w:pPr>
            <w:r w:rsidRPr="005A4134">
              <w:rPr>
                <w:lang w:val="en-US"/>
              </w:rPr>
              <w:t>Russia</w:t>
            </w:r>
          </w:p>
        </w:tc>
        <w:tc>
          <w:tcPr>
            <w:tcW w:w="1607" w:type="dxa"/>
          </w:tcPr>
          <w:p w:rsidR="005A4134" w:rsidRPr="005A4134" w:rsidRDefault="005A4134" w:rsidP="005A4134">
            <w:pPr>
              <w:spacing w:after="160" w:line="259" w:lineRule="auto"/>
              <w:rPr>
                <w:lang w:val="en-US"/>
              </w:rPr>
            </w:pPr>
            <w:r w:rsidRPr="005A4134">
              <w:rPr>
                <w:lang w:val="en-US"/>
              </w:rPr>
              <w:t>9.2</w:t>
            </w:r>
          </w:p>
        </w:tc>
        <w:tc>
          <w:tcPr>
            <w:tcW w:w="1477" w:type="dxa"/>
          </w:tcPr>
          <w:p w:rsidR="005A4134" w:rsidRPr="005A4134" w:rsidRDefault="005A4134" w:rsidP="005A4134">
            <w:pPr>
              <w:spacing w:after="160" w:line="259" w:lineRule="auto"/>
              <w:rPr>
                <w:lang w:val="en-US"/>
              </w:rPr>
            </w:pPr>
            <w:r w:rsidRPr="005A4134">
              <w:rPr>
                <w:lang w:val="en-US"/>
              </w:rPr>
              <w:t>1.3</w:t>
            </w:r>
          </w:p>
        </w:tc>
        <w:tc>
          <w:tcPr>
            <w:tcW w:w="236" w:type="dxa"/>
          </w:tcPr>
          <w:p w:rsidR="005A4134" w:rsidRPr="005A4134" w:rsidRDefault="005A4134" w:rsidP="005A4134">
            <w:pPr>
              <w:spacing w:after="160" w:line="259" w:lineRule="auto"/>
              <w:rPr>
                <w:lang w:val="en-US"/>
              </w:rPr>
            </w:pPr>
          </w:p>
        </w:tc>
        <w:tc>
          <w:tcPr>
            <w:tcW w:w="2112" w:type="dxa"/>
          </w:tcPr>
          <w:p w:rsidR="005A4134" w:rsidRPr="005A4134" w:rsidRDefault="005A4134" w:rsidP="005A4134">
            <w:pPr>
              <w:spacing w:after="160" w:line="259" w:lineRule="auto"/>
              <w:rPr>
                <w:lang w:val="en-US"/>
              </w:rPr>
            </w:pPr>
            <w:r w:rsidRPr="005A4134">
              <w:rPr>
                <w:lang w:val="en-US"/>
              </w:rPr>
              <w:t>18</w:t>
            </w:r>
          </w:p>
        </w:tc>
        <w:tc>
          <w:tcPr>
            <w:tcW w:w="1893" w:type="dxa"/>
          </w:tcPr>
          <w:p w:rsidR="005A4134" w:rsidRPr="005A4134" w:rsidRDefault="005A4134" w:rsidP="005A4134">
            <w:pPr>
              <w:spacing w:after="160" w:line="259" w:lineRule="auto"/>
              <w:rPr>
                <w:lang w:val="en-US"/>
              </w:rPr>
            </w:pPr>
            <w:r w:rsidRPr="005A4134">
              <w:rPr>
                <w:lang w:val="en-US"/>
              </w:rPr>
              <w:t>2.6</w:t>
            </w:r>
          </w:p>
        </w:tc>
      </w:tr>
      <w:tr w:rsidR="005A4134" w:rsidRPr="005A4134" w:rsidTr="00B52BB8">
        <w:trPr>
          <w:trHeight w:val="397"/>
        </w:trPr>
        <w:tc>
          <w:tcPr>
            <w:tcW w:w="1134" w:type="dxa"/>
          </w:tcPr>
          <w:p w:rsidR="005A4134" w:rsidRPr="005A4134" w:rsidRDefault="005A4134" w:rsidP="005A4134">
            <w:pPr>
              <w:spacing w:after="160" w:line="259" w:lineRule="auto"/>
              <w:rPr>
                <w:lang w:val="en-US"/>
              </w:rPr>
            </w:pPr>
            <w:r w:rsidRPr="005A4134">
              <w:rPr>
                <w:lang w:val="en-US"/>
              </w:rPr>
              <w:t>Slovakia</w:t>
            </w:r>
          </w:p>
        </w:tc>
        <w:tc>
          <w:tcPr>
            <w:tcW w:w="1607" w:type="dxa"/>
          </w:tcPr>
          <w:p w:rsidR="005A4134" w:rsidRPr="005A4134" w:rsidRDefault="005A4134" w:rsidP="005A4134">
            <w:pPr>
              <w:spacing w:after="160" w:line="259" w:lineRule="auto"/>
              <w:rPr>
                <w:lang w:val="en-US"/>
              </w:rPr>
            </w:pPr>
            <w:r w:rsidRPr="005A4134">
              <w:rPr>
                <w:lang w:val="en-US"/>
              </w:rPr>
              <w:t>9.1</w:t>
            </w:r>
          </w:p>
        </w:tc>
        <w:tc>
          <w:tcPr>
            <w:tcW w:w="1477" w:type="dxa"/>
          </w:tcPr>
          <w:p w:rsidR="005A4134" w:rsidRPr="005A4134" w:rsidRDefault="005A4134" w:rsidP="005A4134">
            <w:pPr>
              <w:spacing w:after="160" w:line="259" w:lineRule="auto"/>
              <w:rPr>
                <w:lang w:val="en-US"/>
              </w:rPr>
            </w:pPr>
            <w:r w:rsidRPr="005A4134">
              <w:rPr>
                <w:lang w:val="en-US"/>
              </w:rPr>
              <w:t>2.4</w:t>
            </w:r>
          </w:p>
        </w:tc>
        <w:tc>
          <w:tcPr>
            <w:tcW w:w="236" w:type="dxa"/>
          </w:tcPr>
          <w:p w:rsidR="005A4134" w:rsidRPr="005A4134" w:rsidRDefault="005A4134" w:rsidP="005A4134">
            <w:pPr>
              <w:spacing w:after="160" w:line="259" w:lineRule="auto"/>
              <w:rPr>
                <w:lang w:val="en-US"/>
              </w:rPr>
            </w:pPr>
          </w:p>
        </w:tc>
        <w:tc>
          <w:tcPr>
            <w:tcW w:w="2112" w:type="dxa"/>
          </w:tcPr>
          <w:p w:rsidR="005A4134" w:rsidRPr="005A4134" w:rsidRDefault="005A4134" w:rsidP="005A4134">
            <w:pPr>
              <w:spacing w:after="160" w:line="259" w:lineRule="auto"/>
              <w:rPr>
                <w:lang w:val="en-US"/>
              </w:rPr>
            </w:pPr>
            <w:r w:rsidRPr="005A4134">
              <w:rPr>
                <w:lang w:val="en-US"/>
              </w:rPr>
              <w:t>17</w:t>
            </w:r>
          </w:p>
        </w:tc>
        <w:tc>
          <w:tcPr>
            <w:tcW w:w="1893" w:type="dxa"/>
          </w:tcPr>
          <w:p w:rsidR="005A4134" w:rsidRPr="005A4134" w:rsidRDefault="005A4134" w:rsidP="005A4134">
            <w:pPr>
              <w:spacing w:after="160" w:line="259" w:lineRule="auto"/>
              <w:rPr>
                <w:lang w:val="en-US"/>
              </w:rPr>
            </w:pPr>
            <w:r w:rsidRPr="005A4134">
              <w:rPr>
                <w:lang w:val="en-US"/>
              </w:rPr>
              <w:t>4.3</w:t>
            </w:r>
          </w:p>
        </w:tc>
      </w:tr>
      <w:tr w:rsidR="005A4134" w:rsidRPr="005A4134" w:rsidTr="00B52BB8">
        <w:trPr>
          <w:trHeight w:val="397"/>
        </w:trPr>
        <w:tc>
          <w:tcPr>
            <w:tcW w:w="1134" w:type="dxa"/>
          </w:tcPr>
          <w:p w:rsidR="005A4134" w:rsidRPr="005A4134" w:rsidRDefault="005A4134" w:rsidP="005A4134">
            <w:pPr>
              <w:spacing w:after="160" w:line="259" w:lineRule="auto"/>
              <w:rPr>
                <w:lang w:val="en-US"/>
              </w:rPr>
            </w:pPr>
            <w:r w:rsidRPr="005A4134">
              <w:rPr>
                <w:lang w:val="en-US"/>
              </w:rPr>
              <w:t>Ukraine</w:t>
            </w:r>
          </w:p>
        </w:tc>
        <w:tc>
          <w:tcPr>
            <w:tcW w:w="1607" w:type="dxa"/>
          </w:tcPr>
          <w:p w:rsidR="005A4134" w:rsidRPr="005A4134" w:rsidRDefault="005A4134" w:rsidP="005A4134">
            <w:pPr>
              <w:spacing w:after="160" w:line="259" w:lineRule="auto"/>
              <w:rPr>
                <w:lang w:val="en-US"/>
              </w:rPr>
            </w:pPr>
            <w:r w:rsidRPr="005A4134">
              <w:rPr>
                <w:lang w:val="en-US"/>
              </w:rPr>
              <w:t>4.6</w:t>
            </w:r>
          </w:p>
        </w:tc>
        <w:tc>
          <w:tcPr>
            <w:tcW w:w="1477" w:type="dxa"/>
          </w:tcPr>
          <w:p w:rsidR="005A4134" w:rsidRPr="005A4134" w:rsidRDefault="005A4134" w:rsidP="005A4134">
            <w:pPr>
              <w:spacing w:after="160" w:line="259" w:lineRule="auto"/>
              <w:rPr>
                <w:lang w:val="en-US"/>
              </w:rPr>
            </w:pPr>
            <w:r w:rsidRPr="005A4134">
              <w:rPr>
                <w:lang w:val="en-US"/>
              </w:rPr>
              <w:t>1.2</w:t>
            </w:r>
          </w:p>
        </w:tc>
        <w:tc>
          <w:tcPr>
            <w:tcW w:w="236" w:type="dxa"/>
          </w:tcPr>
          <w:p w:rsidR="005A4134" w:rsidRPr="005A4134" w:rsidRDefault="005A4134" w:rsidP="005A4134">
            <w:pPr>
              <w:spacing w:after="160" w:line="259" w:lineRule="auto"/>
              <w:rPr>
                <w:lang w:val="en-US"/>
              </w:rPr>
            </w:pPr>
          </w:p>
        </w:tc>
        <w:tc>
          <w:tcPr>
            <w:tcW w:w="2112" w:type="dxa"/>
          </w:tcPr>
          <w:p w:rsidR="005A4134" w:rsidRPr="005A4134" w:rsidRDefault="005A4134" w:rsidP="005A4134">
            <w:pPr>
              <w:spacing w:after="160" w:line="259" w:lineRule="auto"/>
              <w:rPr>
                <w:lang w:val="en-US"/>
              </w:rPr>
            </w:pPr>
            <w:r w:rsidRPr="005A4134">
              <w:rPr>
                <w:lang w:val="en-US"/>
              </w:rPr>
              <w:t>8.8</w:t>
            </w:r>
          </w:p>
        </w:tc>
        <w:tc>
          <w:tcPr>
            <w:tcW w:w="1893" w:type="dxa"/>
          </w:tcPr>
          <w:p w:rsidR="005A4134" w:rsidRPr="005A4134" w:rsidRDefault="005A4134" w:rsidP="005A4134">
            <w:pPr>
              <w:spacing w:after="160" w:line="259" w:lineRule="auto"/>
              <w:rPr>
                <w:lang w:val="en-US"/>
              </w:rPr>
            </w:pPr>
            <w:r w:rsidRPr="005A4134">
              <w:rPr>
                <w:lang w:val="en-US"/>
              </w:rPr>
              <w:t>2.3</w:t>
            </w:r>
          </w:p>
        </w:tc>
      </w:tr>
    </w:tbl>
    <w:p w:rsidR="005A4134" w:rsidRPr="005A4134" w:rsidRDefault="005A4134" w:rsidP="005A4134">
      <w:pPr>
        <w:rPr>
          <w:b/>
        </w:rPr>
      </w:pPr>
    </w:p>
    <w:p w:rsidR="001F17D1" w:rsidRPr="00133ED1" w:rsidRDefault="00A43FEB" w:rsidP="008E676F">
      <w:pPr>
        <w:ind w:left="567"/>
      </w:pPr>
      <w:r w:rsidRPr="00133ED1">
        <w:t>Ideally, FRAX models should use fracture rates for the whole country [</w:t>
      </w:r>
      <w:r w:rsidR="005C5B20">
        <w:t>4]</w:t>
      </w:r>
      <w:r w:rsidRPr="00133ED1">
        <w:t xml:space="preserve">, whereas the present study sampled fracture rates from </w:t>
      </w:r>
      <w:r w:rsidR="007328A8" w:rsidRPr="00133ED1">
        <w:t>three</w:t>
      </w:r>
      <w:r w:rsidRPr="00133ED1">
        <w:t xml:space="preserve"> regions </w:t>
      </w:r>
      <w:r w:rsidR="002344CD">
        <w:t xml:space="preserve">(two of 24 provinces) </w:t>
      </w:r>
      <w:r w:rsidRPr="00133ED1">
        <w:t xml:space="preserve">representing </w:t>
      </w:r>
      <w:r w:rsidRPr="000B1808">
        <w:t xml:space="preserve">only </w:t>
      </w:r>
      <w:r w:rsidR="000B1808" w:rsidRPr="000B1808">
        <w:t>about 1</w:t>
      </w:r>
      <w:r w:rsidRPr="000B1808">
        <w:t xml:space="preserve"> % of</w:t>
      </w:r>
      <w:r w:rsidRPr="00133ED1">
        <w:t xml:space="preserve"> the total population</w:t>
      </w:r>
      <w:r w:rsidR="002D7E5A">
        <w:t xml:space="preserve"> aged 40 years or more</w:t>
      </w:r>
      <w:r w:rsidRPr="00133ED1">
        <w:t>.  It is well established that there are regional variations in hip fracture rates within countries</w:t>
      </w:r>
      <w:r w:rsidR="00CD2226" w:rsidRPr="00133ED1">
        <w:t xml:space="preserve"> [</w:t>
      </w:r>
      <w:r w:rsidR="005C5B20">
        <w:t>19</w:t>
      </w:r>
      <w:r w:rsidR="00AE2D9E">
        <w:t>-</w:t>
      </w:r>
      <w:r w:rsidR="00CE7665">
        <w:t>22]</w:t>
      </w:r>
      <w:r w:rsidR="006E2155">
        <w:t>. Indeed,</w:t>
      </w:r>
      <w:r w:rsidRPr="00133ED1">
        <w:t xml:space="preserve"> </w:t>
      </w:r>
      <w:r w:rsidR="006E2155">
        <w:t xml:space="preserve">regional </w:t>
      </w:r>
      <w:r w:rsidR="006E2155" w:rsidRPr="00753FAC">
        <w:t xml:space="preserve">differences in hip fracture incidence have been reported using common methodology with the higher rates in urban communities in </w:t>
      </w:r>
      <w:r w:rsidR="00753FAC">
        <w:t>several countries</w:t>
      </w:r>
      <w:r w:rsidR="006E2155" w:rsidRPr="00753FAC">
        <w:t xml:space="preserve"> [</w:t>
      </w:r>
      <w:r w:rsidR="00AE2D9E">
        <w:t xml:space="preserve">21–25] </w:t>
      </w:r>
      <w:r w:rsidRPr="00470BE6">
        <w:t>but</w:t>
      </w:r>
      <w:r w:rsidRPr="00133ED1">
        <w:t>, given the absence of national registers</w:t>
      </w:r>
      <w:r w:rsidR="00AE2D9E">
        <w:t>,</w:t>
      </w:r>
      <w:r w:rsidRPr="00133ED1">
        <w:t xml:space="preserve"> we had to rely on the regional estimates. The situation is not unique and regional estimates have also been used   to create FRAX models for Brazil [</w:t>
      </w:r>
      <w:r w:rsidR="00CE7665">
        <w:t>26</w:t>
      </w:r>
      <w:r w:rsidR="00AE2D9E">
        <w:t>-31]</w:t>
      </w:r>
      <w:r w:rsidRPr="00133ED1">
        <w:t>.</w:t>
      </w:r>
      <w:r w:rsidR="006E2155">
        <w:t xml:space="preserve">  </w:t>
      </w:r>
    </w:p>
    <w:p w:rsidR="001F17D1" w:rsidRPr="001F17D1" w:rsidRDefault="00505D2F" w:rsidP="002D7E5A">
      <w:pPr>
        <w:ind w:left="567"/>
        <w:rPr>
          <w:b/>
        </w:rPr>
      </w:pPr>
      <w:r w:rsidRPr="00505D2F">
        <w:t xml:space="preserve">A limitation of the present study is that we </w:t>
      </w:r>
      <w:r w:rsidR="00B35067" w:rsidRPr="00505D2F">
        <w:t>were not</w:t>
      </w:r>
      <w:r w:rsidRPr="00505D2F">
        <w:t xml:space="preserve"> able to collect data on fracture at sites other than the hip.</w:t>
      </w:r>
      <w:r>
        <w:t xml:space="preserve"> </w:t>
      </w:r>
      <w:r w:rsidR="001F17D1" w:rsidRPr="00C11648">
        <w:t>For this reason, the FRAX model relied on hip fracture rates to estimate the incidence</w:t>
      </w:r>
      <w:r w:rsidR="00276343" w:rsidRPr="00C11648">
        <w:t xml:space="preserve"> </w:t>
      </w:r>
      <w:r w:rsidR="001F17D1" w:rsidRPr="00C11648">
        <w:t>of a major osteoporotic fracture. For this purpose, it is assumed that the ratio of hip fracture incidence to other FRAX outcomes (clinical spine, distal forearm, and proximal humerus) is the same in the index country as that documented in Sweden. The ratios for Sweden were derived using national hip fracture data for Sweden and data from Malmo for the other fracture outcomes [</w:t>
      </w:r>
      <w:r w:rsidR="00CE7665">
        <w:t>32]</w:t>
      </w:r>
      <w:r w:rsidR="001F17D1" w:rsidRPr="00C11648">
        <w:t xml:space="preserve">.  Despite </w:t>
      </w:r>
      <w:r w:rsidR="00C11648" w:rsidRPr="00C11648">
        <w:t>many</w:t>
      </w:r>
      <w:r w:rsidR="001F17D1" w:rsidRPr="00C11648">
        <w:t xml:space="preserve"> studies that have examined the incidence of </w:t>
      </w:r>
      <w:r w:rsidR="001F17D1" w:rsidRPr="00C11648">
        <w:lastRenderedPageBreak/>
        <w:t>fractures by age and sex, there are problems in</w:t>
      </w:r>
      <w:r w:rsidR="00276343" w:rsidRPr="00C11648">
        <w:t xml:space="preserve"> </w:t>
      </w:r>
      <w:r w:rsidR="001F17D1" w:rsidRPr="00C11648">
        <w:t>defining the pattern of fractures in different countries. The available evidence indicates that the incidence of major fractures can be reasonably predicted from</w:t>
      </w:r>
      <w:r w:rsidR="00C11648">
        <w:t xml:space="preserve"> </w:t>
      </w:r>
      <w:r w:rsidR="001F17D1" w:rsidRPr="00C11648">
        <w:t>the incidence of hip fracture [</w:t>
      </w:r>
      <w:r w:rsidR="00CE7665">
        <w:t>32</w:t>
      </w:r>
      <w:r w:rsidR="00474744">
        <w:t>-34]</w:t>
      </w:r>
      <w:r w:rsidR="00AE2D9E">
        <w:t>.</w:t>
      </w:r>
      <w:r w:rsidR="001F17D1" w:rsidRPr="001F17D1">
        <w:rPr>
          <w:b/>
        </w:rPr>
        <w:t xml:space="preserve">  </w:t>
      </w:r>
    </w:p>
    <w:p w:rsidR="001F17D1" w:rsidRPr="00B52BB8" w:rsidRDefault="00331935" w:rsidP="002D7E5A">
      <w:pPr>
        <w:ind w:left="567"/>
      </w:pPr>
      <w:r w:rsidRPr="00331935">
        <w:t>With these caveats</w:t>
      </w:r>
      <w:r w:rsidRPr="002344CD">
        <w:t>, a</w:t>
      </w:r>
      <w:r w:rsidR="001F17D1" w:rsidRPr="002344CD">
        <w:t xml:space="preserve"> country-specific FRAX model has been developed for the </w:t>
      </w:r>
      <w:r w:rsidRPr="002344CD">
        <w:t>Ukraine</w:t>
      </w:r>
      <w:r w:rsidR="002344CD">
        <w:t xml:space="preserve"> which can now replace the Austrian model hitherto used</w:t>
      </w:r>
      <w:r w:rsidR="001F17D1" w:rsidRPr="002344CD">
        <w:t>.</w:t>
      </w:r>
      <w:r>
        <w:rPr>
          <w:b/>
        </w:rPr>
        <w:t xml:space="preserve"> </w:t>
      </w:r>
      <w:r w:rsidR="001F17D1" w:rsidRPr="001F17D1">
        <w:rPr>
          <w:b/>
        </w:rPr>
        <w:t xml:space="preserve"> </w:t>
      </w:r>
      <w:r w:rsidR="002344CD" w:rsidRPr="002344CD">
        <w:t>This model should enhance accuracy of determining fracture probability among the Ukrainian population and help to guide decisions about treatment.</w:t>
      </w:r>
      <w:r w:rsidR="001F17D1" w:rsidRPr="001F17D1">
        <w:rPr>
          <w:b/>
        </w:rPr>
        <w:t xml:space="preserve"> </w:t>
      </w:r>
      <w:r w:rsidR="002344CD">
        <w:rPr>
          <w:b/>
        </w:rPr>
        <w:t xml:space="preserve"> </w:t>
      </w:r>
      <w:r w:rsidR="002344CD" w:rsidRPr="00B52BB8">
        <w:t>The study also</w:t>
      </w:r>
      <w:r w:rsidR="00B52BB8" w:rsidRPr="00B52BB8">
        <w:t xml:space="preserve"> indicates that the use of surrogate FRAX models or models from other </w:t>
      </w:r>
      <w:r w:rsidR="00B52BB8">
        <w:t>c</w:t>
      </w:r>
      <w:r w:rsidR="00B52BB8" w:rsidRPr="00B52BB8">
        <w:t>ountries, whil</w:t>
      </w:r>
      <w:r w:rsidR="00B52BB8">
        <w:t>st</w:t>
      </w:r>
      <w:r w:rsidR="00B52BB8" w:rsidRPr="00B52BB8">
        <w:t xml:space="preserve"> correctly stratifying risk</w:t>
      </w:r>
      <w:r w:rsidR="00B52BB8">
        <w:t>, may markedly over or underestimate the absolute fracture probability.</w:t>
      </w:r>
    </w:p>
    <w:p w:rsidR="00E04545" w:rsidRPr="00E04545" w:rsidRDefault="00E04545" w:rsidP="00E04545">
      <w:pPr>
        <w:ind w:left="567"/>
        <w:rPr>
          <w:b/>
          <w:lang w:val="en-US"/>
        </w:rPr>
      </w:pPr>
      <w:r w:rsidRPr="00E04545">
        <w:rPr>
          <w:b/>
          <w:lang w:val="en-US"/>
        </w:rPr>
        <w:t xml:space="preserve">Acknowledgments </w:t>
      </w:r>
    </w:p>
    <w:p w:rsidR="00E04545" w:rsidRPr="00E04545" w:rsidRDefault="00E04545" w:rsidP="00E04545">
      <w:pPr>
        <w:ind w:left="567"/>
        <w:rPr>
          <w:b/>
        </w:rPr>
      </w:pPr>
      <w:r w:rsidRPr="00E04545">
        <w:rPr>
          <w:lang w:val="en-US"/>
        </w:rPr>
        <w:t>We are grateful for the collaboration of the group of hospitals that provided the data for this study.</w:t>
      </w:r>
    </w:p>
    <w:p w:rsidR="00E04545" w:rsidRPr="00E04545" w:rsidRDefault="00E04545" w:rsidP="00E04545">
      <w:pPr>
        <w:ind w:left="567"/>
        <w:rPr>
          <w:b/>
        </w:rPr>
      </w:pPr>
    </w:p>
    <w:p w:rsidR="00E04545" w:rsidRPr="00E04545" w:rsidRDefault="00E04545" w:rsidP="00E04545">
      <w:pPr>
        <w:ind w:left="567"/>
        <w:rPr>
          <w:b/>
          <w:lang w:val="en-US"/>
        </w:rPr>
      </w:pPr>
      <w:r w:rsidRPr="00E04545">
        <w:rPr>
          <w:b/>
          <w:lang w:val="en-US"/>
        </w:rPr>
        <w:t xml:space="preserve">Competing interests </w:t>
      </w:r>
    </w:p>
    <w:p w:rsidR="00E04545" w:rsidRDefault="00E04545" w:rsidP="00E04545">
      <w:pPr>
        <w:ind w:left="567"/>
      </w:pPr>
      <w:r w:rsidRPr="00E04545">
        <w:t xml:space="preserve">Professor Kanis led the team that developed FRAX as director of the </w:t>
      </w:r>
      <w:r w:rsidR="00B35067">
        <w:t xml:space="preserve">former </w:t>
      </w:r>
      <w:r w:rsidRPr="00E04545">
        <w:t>WHO Collaborating Centre for Metabolic Bone Diseases; he has no financial interest in FRAX. Professors McCloskey, Oden, Harvey and Dr Johansson are members of the FRAX team. Professors Harvey, Kanis and McCloskey are members of the Expert Advisory Group of the National Osteoporosis Guideline Group, UK.</w:t>
      </w:r>
      <w:r w:rsidR="00934CD0" w:rsidRPr="00934CD0">
        <w:t xml:space="preserve"> </w:t>
      </w:r>
      <w:r w:rsidR="00934CD0">
        <w:t xml:space="preserve"> The other authors have disclosed no conflicts of interest.</w:t>
      </w:r>
    </w:p>
    <w:p w:rsidR="001F17D1" w:rsidRPr="00B52BB8" w:rsidRDefault="001F17D1" w:rsidP="002D7E5A">
      <w:pPr>
        <w:ind w:left="567"/>
      </w:pPr>
    </w:p>
    <w:p w:rsidR="002E2824" w:rsidRPr="002344CD" w:rsidRDefault="002344CD" w:rsidP="002D7E5A">
      <w:pPr>
        <w:ind w:left="567"/>
        <w:rPr>
          <w:b/>
        </w:rPr>
      </w:pPr>
      <w:r w:rsidRPr="002344CD">
        <w:rPr>
          <w:b/>
        </w:rPr>
        <w:t>References</w:t>
      </w:r>
    </w:p>
    <w:p w:rsidR="00474744" w:rsidRDefault="00474744" w:rsidP="00E04545">
      <w:pPr>
        <w:ind w:left="1134" w:hanging="567"/>
        <w:rPr>
          <w:lang w:val="en-US"/>
        </w:rPr>
      </w:pPr>
      <w:r>
        <w:rPr>
          <w:lang w:val="en-US"/>
        </w:rPr>
        <w:t>1.</w:t>
      </w:r>
      <w:r>
        <w:rPr>
          <w:lang w:val="en-US"/>
        </w:rPr>
        <w:tab/>
      </w:r>
      <w:r w:rsidRPr="00E04545">
        <w:rPr>
          <w:lang w:val="en-US"/>
        </w:rPr>
        <w:t>Kanis JA, on behalf of the World Health Organization Scientific Group (2008a) Assessment of osteoporosis at the primary healthcare level. Technical report. WHO Collaborating Centre, University of Sheffield, UK</w:t>
      </w:r>
    </w:p>
    <w:p w:rsidR="00474744" w:rsidRDefault="00474744" w:rsidP="00E04545">
      <w:pPr>
        <w:ind w:left="1134" w:hanging="567"/>
        <w:rPr>
          <w:lang w:val="en-US"/>
        </w:rPr>
      </w:pPr>
      <w:r w:rsidRPr="00474744">
        <w:rPr>
          <w:lang w:val="en-US"/>
        </w:rPr>
        <w:t>2.</w:t>
      </w:r>
      <w:r w:rsidRPr="00474744">
        <w:rPr>
          <w:lang w:val="en-US"/>
        </w:rPr>
        <w:tab/>
        <w:t>Kanis JA, Johnell O, Oden A, Johansson H, McCloskey E. (2008b) FRAX™ and the assessment of fracture probability in men and women from the UK. Osteoporos Int 19: 385-397.</w:t>
      </w:r>
    </w:p>
    <w:p w:rsidR="00474744" w:rsidRDefault="00474744" w:rsidP="00E04545">
      <w:pPr>
        <w:ind w:left="1134" w:hanging="567"/>
        <w:rPr>
          <w:lang w:val="en-US"/>
        </w:rPr>
      </w:pPr>
      <w:r w:rsidRPr="00474744">
        <w:rPr>
          <w:lang w:val="en-US"/>
        </w:rPr>
        <w:t>3.</w:t>
      </w:r>
      <w:r w:rsidRPr="00474744">
        <w:rPr>
          <w:lang w:val="en-US"/>
        </w:rPr>
        <w:tab/>
        <w:t>Kanis JA, Oden A, Johnell O, et al (2007) The use of clinical risk factors enhances the performance of BMD in the prediction of hip and osteoporotic fractures in men and women. Osteoporos Int 18: 1033-46.</w:t>
      </w:r>
    </w:p>
    <w:p w:rsidR="00474744" w:rsidRPr="00474744" w:rsidRDefault="00474744" w:rsidP="00474744">
      <w:pPr>
        <w:ind w:left="1134" w:hanging="567"/>
        <w:rPr>
          <w:lang w:val="en-US"/>
        </w:rPr>
      </w:pPr>
      <w:r w:rsidRPr="00474744">
        <w:rPr>
          <w:lang w:val="en-US"/>
        </w:rPr>
        <w:t>4.</w:t>
      </w:r>
      <w:r w:rsidRPr="00474744">
        <w:rPr>
          <w:lang w:val="en-US"/>
        </w:rPr>
        <w:tab/>
        <w:t>Kanis JA., Oden A, McCloskey EV, Johansson HD, Wahl A, Cooper C (2012) A systematic review of hip fracture incidence and probability of fracture worldwide Osteoporos Int: Sep;23(9):2239-56.</w:t>
      </w:r>
    </w:p>
    <w:p w:rsidR="00474744" w:rsidRPr="00474744" w:rsidRDefault="00474744" w:rsidP="00474744">
      <w:pPr>
        <w:ind w:left="1134" w:hanging="567"/>
        <w:rPr>
          <w:lang w:val="en-US"/>
        </w:rPr>
      </w:pPr>
      <w:r w:rsidRPr="00474744">
        <w:rPr>
          <w:lang w:val="en-US"/>
        </w:rPr>
        <w:t>5.</w:t>
      </w:r>
      <w:r w:rsidRPr="00474744">
        <w:rPr>
          <w:lang w:val="en-US"/>
        </w:rPr>
        <w:tab/>
        <w:t>Kanis JA, Harvey NC, Cooper C, Johansson H, Odén A, McCloskey EV and the Advisory Board of the National Osteoporosis Guideline Group (2016) A systematic review of intervention thresholds based on FRAX. Arch Osteoporos 11(1):25</w:t>
      </w:r>
    </w:p>
    <w:p w:rsidR="00474744" w:rsidRPr="00474744" w:rsidRDefault="00474744" w:rsidP="00474744">
      <w:pPr>
        <w:ind w:left="1134" w:hanging="567"/>
        <w:rPr>
          <w:lang w:val="en-US"/>
        </w:rPr>
      </w:pPr>
      <w:r w:rsidRPr="00474744">
        <w:rPr>
          <w:lang w:val="en-US"/>
        </w:rPr>
        <w:t>6.</w:t>
      </w:r>
      <w:r w:rsidRPr="00474744">
        <w:rPr>
          <w:lang w:val="en-US"/>
        </w:rPr>
        <w:tab/>
        <w:t xml:space="preserve">Kanis JA, Hans D, Cooper C, Baim S, Bilezikian JP, Binkley N, Compston J, Dawson-Hughes B, El-Hajj Fuleihan G, Johansson H, Leslie WD, Lewiecki EM, Luckey MM, Oden A, Papapoulos SE, Poiana C, Wahl DA, McCloskey E, and the Task Force of the FRAX </w:t>
      </w:r>
      <w:r w:rsidRPr="00474744">
        <w:rPr>
          <w:lang w:val="en-US"/>
        </w:rPr>
        <w:lastRenderedPageBreak/>
        <w:t>Initiative (2011) Interpretation and use of FRAX in clinical practice. Osteoporosis International 22: 395-411.</w:t>
      </w:r>
    </w:p>
    <w:p w:rsidR="00474744" w:rsidRPr="00474744" w:rsidRDefault="00474744" w:rsidP="00474744">
      <w:pPr>
        <w:ind w:left="1134" w:hanging="567"/>
        <w:rPr>
          <w:lang w:val="en-US"/>
        </w:rPr>
      </w:pPr>
      <w:r w:rsidRPr="00474744">
        <w:rPr>
          <w:lang w:val="en-US"/>
        </w:rPr>
        <w:t>7.</w:t>
      </w:r>
      <w:r w:rsidRPr="00474744">
        <w:rPr>
          <w:lang w:val="en-US"/>
        </w:rPr>
        <w:tab/>
        <w:t>Kanis JA (2013) Commentary on guidelines on postmenopausal osteoporosis—Indian Menopause Society. J Midlife Health 4: 129–131,</w:t>
      </w:r>
    </w:p>
    <w:p w:rsidR="00474744" w:rsidRPr="00474744" w:rsidRDefault="00474744" w:rsidP="00474744">
      <w:pPr>
        <w:ind w:left="1134" w:hanging="567"/>
        <w:rPr>
          <w:lang w:val="en-US"/>
        </w:rPr>
      </w:pPr>
      <w:r w:rsidRPr="00474744">
        <w:rPr>
          <w:lang w:val="en-US"/>
        </w:rPr>
        <w:t>8.</w:t>
      </w:r>
      <w:r w:rsidRPr="00474744">
        <w:rPr>
          <w:lang w:val="en-US"/>
        </w:rPr>
        <w:tab/>
        <w:t>Lekamwasam S (2013) Sri Lankan FRAX model and country-specific intervention thresholds. Arch Osteoporos 8:148</w:t>
      </w:r>
    </w:p>
    <w:p w:rsidR="00474744" w:rsidRPr="00E04545" w:rsidRDefault="00474744" w:rsidP="00474744">
      <w:pPr>
        <w:ind w:left="1134" w:hanging="567"/>
        <w:rPr>
          <w:lang w:val="en-US"/>
        </w:rPr>
      </w:pPr>
      <w:r w:rsidRPr="00474744">
        <w:rPr>
          <w:lang w:val="en-US"/>
        </w:rPr>
        <w:t>9.</w:t>
      </w:r>
      <w:r w:rsidRPr="00474744">
        <w:rPr>
          <w:lang w:val="en-US"/>
        </w:rPr>
        <w:tab/>
        <w:t>Povoroznyuk VV, Grygorieva NV (2011) Role of FRAX in predicting the risk of fracture. Medicine and Pharmacy News 16: 379 [Article in Russian] http://www.mif-ua.com/archive/article/21687 Accessed 4th December 2016</w:t>
      </w:r>
    </w:p>
    <w:p w:rsidR="00474744" w:rsidRPr="00283A1A" w:rsidRDefault="00474744" w:rsidP="00B87919">
      <w:pPr>
        <w:ind w:left="1134" w:hanging="567"/>
      </w:pPr>
      <w:r>
        <w:t>10.</w:t>
      </w:r>
      <w:r>
        <w:tab/>
      </w:r>
      <w:r w:rsidRPr="00AE7A7A">
        <w:t xml:space="preserve"> Povoroznyuk VV, Grygorieva NV (2013) Evaluation of the possibilities of using the Austrian model of FRAX in predicting the risk of osteoporotic fractures among Ukrainian women. Pain Joints Spine 3: 11</w:t>
      </w:r>
      <w:r>
        <w:t xml:space="preserve"> [</w:t>
      </w:r>
      <w:r w:rsidRPr="00AE7A7A">
        <w:t>Article in Russian</w:t>
      </w:r>
      <w:r>
        <w:t>]</w:t>
      </w:r>
      <w:r w:rsidRPr="00AE7A7A">
        <w:t xml:space="preserve"> </w:t>
      </w:r>
      <w:hyperlink r:id="rId18" w:history="1">
        <w:r w:rsidRPr="00514147">
          <w:rPr>
            <w:rStyle w:val="Hyperlink"/>
          </w:rPr>
          <w:t>http://www.mif-ua.com/archive/article/37586</w:t>
        </w:r>
      </w:hyperlink>
      <w:r>
        <w:t xml:space="preserve">  </w:t>
      </w:r>
      <w:r w:rsidRPr="00AE7A7A">
        <w:t>Accessed 4th Dec 2016</w:t>
      </w:r>
    </w:p>
    <w:p w:rsidR="00474744" w:rsidRPr="00E04545" w:rsidRDefault="00474744" w:rsidP="00E04545">
      <w:pPr>
        <w:ind w:left="1134" w:hanging="567"/>
      </w:pPr>
      <w:r>
        <w:rPr>
          <w:lang w:val="en-US"/>
        </w:rPr>
        <w:t>11.</w:t>
      </w:r>
      <w:r>
        <w:rPr>
          <w:lang w:val="en-US"/>
        </w:rPr>
        <w:tab/>
      </w:r>
      <w:r w:rsidRPr="00E04545">
        <w:rPr>
          <w:lang w:val="en-US"/>
        </w:rPr>
        <w:t>United Nations (2015) W</w:t>
      </w:r>
      <w:r w:rsidRPr="00E04545">
        <w:t xml:space="preserve">orld Population Prospects 2015. Available at </w:t>
      </w:r>
      <w:hyperlink r:id="rId19" w:history="1">
        <w:r w:rsidRPr="00E04545">
          <w:rPr>
            <w:rStyle w:val="Hyperlink"/>
          </w:rPr>
          <w:t>https://esa.un.org/unpd/wpp/</w:t>
        </w:r>
      </w:hyperlink>
      <w:r w:rsidRPr="00E04545">
        <w:t xml:space="preserve"> Accessed 17 Jan 2017</w:t>
      </w:r>
    </w:p>
    <w:p w:rsidR="00474744" w:rsidRPr="00B27164" w:rsidRDefault="00474744" w:rsidP="00B04A6F">
      <w:pPr>
        <w:ind w:left="1134" w:hanging="567"/>
        <w:rPr>
          <w:bCs/>
          <w:iCs/>
          <w:lang w:val="uk-UA"/>
        </w:rPr>
      </w:pPr>
      <w:r>
        <w:rPr>
          <w:bCs/>
          <w:iCs/>
          <w:lang w:val="en-US"/>
        </w:rPr>
        <w:t>12.</w:t>
      </w:r>
      <w:r>
        <w:rPr>
          <w:bCs/>
          <w:iCs/>
          <w:lang w:val="en-US"/>
        </w:rPr>
        <w:tab/>
      </w:r>
      <w:r w:rsidRPr="00B04A6F">
        <w:rPr>
          <w:bCs/>
          <w:iCs/>
          <w:lang w:val="en-US"/>
        </w:rPr>
        <w:t>Povoroznyuk VV, Grygorieva NV, Korzh MO</w:t>
      </w:r>
      <w:r w:rsidRPr="00B04A6F">
        <w:rPr>
          <w:bCs/>
          <w:iCs/>
          <w:lang w:val="uk-UA"/>
        </w:rPr>
        <w:t xml:space="preserve">, </w:t>
      </w:r>
      <w:r w:rsidRPr="00B04A6F">
        <w:rPr>
          <w:bCs/>
          <w:iCs/>
          <w:lang w:val="en-US"/>
        </w:rPr>
        <w:t>Strafun SS</w:t>
      </w:r>
      <w:r w:rsidRPr="00B04A6F">
        <w:rPr>
          <w:bCs/>
          <w:iCs/>
          <w:lang w:val="uk-UA"/>
        </w:rPr>
        <w:t xml:space="preserve">, </w:t>
      </w:r>
      <w:r w:rsidRPr="00B04A6F">
        <w:rPr>
          <w:bCs/>
          <w:iCs/>
          <w:lang w:val="en-US"/>
        </w:rPr>
        <w:t>Vaida VM</w:t>
      </w:r>
      <w:r w:rsidRPr="00B04A6F">
        <w:rPr>
          <w:bCs/>
          <w:iCs/>
          <w:lang w:val="uk-UA"/>
        </w:rPr>
        <w:t xml:space="preserve">, </w:t>
      </w:r>
      <w:r w:rsidRPr="00B04A6F">
        <w:rPr>
          <w:bCs/>
          <w:iCs/>
          <w:lang w:val="en-US"/>
        </w:rPr>
        <w:t>Klymovytsky FV</w:t>
      </w:r>
      <w:r w:rsidRPr="00B04A6F">
        <w:rPr>
          <w:bCs/>
          <w:iCs/>
          <w:lang w:val="uk-UA"/>
        </w:rPr>
        <w:t xml:space="preserve">, </w:t>
      </w:r>
      <w:r w:rsidRPr="00B04A6F">
        <w:rPr>
          <w:bCs/>
          <w:iCs/>
          <w:lang w:val="en-US"/>
        </w:rPr>
        <w:t xml:space="preserve">Vlasenko RO., Forosenko VS, Kanis JA, Johansson H, McCloskey EV (2016) </w:t>
      </w:r>
      <w:r w:rsidRPr="00B04A6F">
        <w:rPr>
          <w:bCs/>
          <w:iCs/>
        </w:rPr>
        <w:t>Epidemiology of</w:t>
      </w:r>
      <w:r w:rsidRPr="00B04A6F">
        <w:rPr>
          <w:b/>
          <w:bCs/>
          <w:iCs/>
        </w:rPr>
        <w:t xml:space="preserve"> </w:t>
      </w:r>
      <w:r w:rsidRPr="00B04A6F">
        <w:rPr>
          <w:bCs/>
          <w:iCs/>
        </w:rPr>
        <w:t>the proximal femur fractures in Ukraine: results of stop-study (</w:t>
      </w:r>
      <w:r w:rsidRPr="00B04A6F">
        <w:rPr>
          <w:bCs/>
          <w:iCs/>
          <w:lang w:val="en-US"/>
        </w:rPr>
        <w:t>System of registration of osteoporotic fractures in Ukrainian population</w:t>
      </w:r>
      <w:r w:rsidRPr="00B04A6F">
        <w:rPr>
          <w:bCs/>
          <w:iCs/>
        </w:rPr>
        <w:t xml:space="preserve">) </w:t>
      </w:r>
      <w:r w:rsidRPr="00B04A6F">
        <w:rPr>
          <w:bCs/>
          <w:iCs/>
          <w:lang w:val="en-US"/>
        </w:rPr>
        <w:t xml:space="preserve">Trauma </w:t>
      </w:r>
      <w:r w:rsidRPr="00B04A6F">
        <w:rPr>
          <w:bCs/>
          <w:iCs/>
          <w:lang w:val="uk-UA"/>
        </w:rPr>
        <w:t>[</w:t>
      </w:r>
      <w:r w:rsidRPr="00B04A6F">
        <w:rPr>
          <w:bCs/>
          <w:iCs/>
          <w:lang w:val="en-US"/>
        </w:rPr>
        <w:t>Ukrainian</w:t>
      </w:r>
      <w:r w:rsidRPr="00B04A6F">
        <w:rPr>
          <w:bCs/>
          <w:iCs/>
          <w:lang w:val="uk-UA"/>
        </w:rPr>
        <w:t xml:space="preserve">]. 3: </w:t>
      </w:r>
      <w:r w:rsidRPr="00B27164">
        <w:rPr>
          <w:bCs/>
          <w:iCs/>
          <w:lang w:val="uk-UA"/>
        </w:rPr>
        <w:t>14-20</w:t>
      </w:r>
    </w:p>
    <w:p w:rsidR="00474744" w:rsidRPr="00B27164" w:rsidRDefault="00474744" w:rsidP="00B04A6F">
      <w:pPr>
        <w:ind w:left="1134" w:hanging="567"/>
        <w:rPr>
          <w:bCs/>
          <w:iCs/>
          <w:lang w:val="uk-UA"/>
        </w:rPr>
      </w:pPr>
      <w:r w:rsidRPr="00CD57C3">
        <w:rPr>
          <w:bCs/>
          <w:iCs/>
          <w:lang w:val="uk-UA"/>
        </w:rPr>
        <w:t>13.</w:t>
      </w:r>
      <w:r w:rsidRPr="00CD57C3">
        <w:rPr>
          <w:bCs/>
          <w:iCs/>
          <w:lang w:val="uk-UA"/>
        </w:rPr>
        <w:tab/>
      </w:r>
      <w:r w:rsidRPr="00B04A6F">
        <w:rPr>
          <w:bCs/>
          <w:iCs/>
          <w:lang w:val="en-US"/>
        </w:rPr>
        <w:t>Povoroznyuk</w:t>
      </w:r>
      <w:r w:rsidRPr="00B27164">
        <w:rPr>
          <w:bCs/>
          <w:iCs/>
          <w:lang w:val="uk-UA"/>
        </w:rPr>
        <w:t xml:space="preserve"> </w:t>
      </w:r>
      <w:r w:rsidRPr="00B04A6F">
        <w:rPr>
          <w:bCs/>
          <w:iCs/>
          <w:lang w:val="en-US"/>
        </w:rPr>
        <w:t>VV</w:t>
      </w:r>
      <w:r w:rsidRPr="00B27164">
        <w:rPr>
          <w:bCs/>
          <w:iCs/>
          <w:lang w:val="uk-UA"/>
        </w:rPr>
        <w:t xml:space="preserve">, </w:t>
      </w:r>
      <w:r w:rsidRPr="00B04A6F">
        <w:rPr>
          <w:bCs/>
          <w:iCs/>
          <w:lang w:val="en-US"/>
        </w:rPr>
        <w:t>Grygorieva</w:t>
      </w:r>
      <w:r w:rsidRPr="00B27164">
        <w:rPr>
          <w:bCs/>
          <w:iCs/>
          <w:lang w:val="uk-UA"/>
        </w:rPr>
        <w:t xml:space="preserve"> </w:t>
      </w:r>
      <w:r w:rsidRPr="00B04A6F">
        <w:rPr>
          <w:bCs/>
          <w:iCs/>
          <w:lang w:val="en-US"/>
        </w:rPr>
        <w:t>NV</w:t>
      </w:r>
      <w:r w:rsidRPr="00B27164">
        <w:rPr>
          <w:bCs/>
          <w:iCs/>
          <w:lang w:val="uk-UA"/>
        </w:rPr>
        <w:t xml:space="preserve">, </w:t>
      </w:r>
      <w:r w:rsidRPr="00B04A6F">
        <w:rPr>
          <w:bCs/>
          <w:iCs/>
          <w:lang w:val="en-US"/>
        </w:rPr>
        <w:t>Korzh</w:t>
      </w:r>
      <w:r w:rsidRPr="00B27164">
        <w:rPr>
          <w:bCs/>
          <w:iCs/>
          <w:lang w:val="uk-UA"/>
        </w:rPr>
        <w:t xml:space="preserve"> </w:t>
      </w:r>
      <w:r w:rsidRPr="00B04A6F">
        <w:rPr>
          <w:bCs/>
          <w:iCs/>
          <w:lang w:val="en-US"/>
        </w:rPr>
        <w:t>MO</w:t>
      </w:r>
      <w:r w:rsidRPr="00B27164">
        <w:rPr>
          <w:bCs/>
          <w:iCs/>
          <w:lang w:val="uk-UA"/>
        </w:rPr>
        <w:t xml:space="preserve">, </w:t>
      </w:r>
      <w:r w:rsidRPr="00B04A6F">
        <w:rPr>
          <w:bCs/>
          <w:iCs/>
          <w:lang w:val="en-US"/>
        </w:rPr>
        <w:t>Strafun</w:t>
      </w:r>
      <w:r w:rsidRPr="00B27164">
        <w:rPr>
          <w:bCs/>
          <w:iCs/>
          <w:lang w:val="uk-UA"/>
        </w:rPr>
        <w:t xml:space="preserve"> </w:t>
      </w:r>
      <w:r w:rsidRPr="00B04A6F">
        <w:rPr>
          <w:bCs/>
          <w:iCs/>
          <w:lang w:val="en-US"/>
        </w:rPr>
        <w:t>SS</w:t>
      </w:r>
      <w:r w:rsidRPr="00B27164">
        <w:rPr>
          <w:bCs/>
          <w:iCs/>
          <w:lang w:val="uk-UA"/>
        </w:rPr>
        <w:t xml:space="preserve">, </w:t>
      </w:r>
      <w:r w:rsidRPr="00B04A6F">
        <w:rPr>
          <w:bCs/>
          <w:iCs/>
          <w:lang w:val="en-US"/>
        </w:rPr>
        <w:t>Kanis</w:t>
      </w:r>
      <w:r w:rsidRPr="00B27164">
        <w:rPr>
          <w:bCs/>
          <w:iCs/>
          <w:lang w:val="uk-UA"/>
        </w:rPr>
        <w:t xml:space="preserve"> </w:t>
      </w:r>
      <w:r w:rsidRPr="00B04A6F">
        <w:rPr>
          <w:bCs/>
          <w:iCs/>
          <w:lang w:val="en-US"/>
        </w:rPr>
        <w:t>JA</w:t>
      </w:r>
      <w:r w:rsidRPr="00B27164">
        <w:rPr>
          <w:bCs/>
          <w:iCs/>
          <w:lang w:val="uk-UA"/>
        </w:rPr>
        <w:t xml:space="preserve">, </w:t>
      </w:r>
      <w:r w:rsidRPr="00B04A6F">
        <w:rPr>
          <w:bCs/>
          <w:iCs/>
          <w:lang w:val="en-US"/>
        </w:rPr>
        <w:t>Johansson</w:t>
      </w:r>
      <w:r w:rsidRPr="00B27164">
        <w:rPr>
          <w:bCs/>
          <w:iCs/>
          <w:lang w:val="uk-UA"/>
        </w:rPr>
        <w:t xml:space="preserve"> </w:t>
      </w:r>
      <w:r w:rsidRPr="00B04A6F">
        <w:rPr>
          <w:bCs/>
          <w:iCs/>
          <w:lang w:val="en-US"/>
        </w:rPr>
        <w:t>H</w:t>
      </w:r>
      <w:r w:rsidRPr="00B27164">
        <w:rPr>
          <w:bCs/>
          <w:iCs/>
          <w:lang w:val="uk-UA"/>
        </w:rPr>
        <w:t xml:space="preserve">, </w:t>
      </w:r>
      <w:r w:rsidRPr="00B04A6F">
        <w:rPr>
          <w:bCs/>
          <w:iCs/>
          <w:lang w:val="en-US"/>
        </w:rPr>
        <w:t>McCloskey</w:t>
      </w:r>
      <w:r w:rsidRPr="00B27164">
        <w:rPr>
          <w:bCs/>
          <w:iCs/>
          <w:lang w:val="uk-UA"/>
        </w:rPr>
        <w:t xml:space="preserve"> </w:t>
      </w:r>
      <w:r w:rsidRPr="00B04A6F">
        <w:rPr>
          <w:bCs/>
          <w:iCs/>
          <w:lang w:val="en-US"/>
        </w:rPr>
        <w:t>EV</w:t>
      </w:r>
      <w:r w:rsidRPr="00B27164">
        <w:rPr>
          <w:bCs/>
          <w:iCs/>
          <w:lang w:val="uk-UA"/>
        </w:rPr>
        <w:t xml:space="preserve">, </w:t>
      </w:r>
      <w:r w:rsidRPr="00B04A6F">
        <w:rPr>
          <w:bCs/>
          <w:iCs/>
          <w:lang w:val="en-US"/>
        </w:rPr>
        <w:t>Vaida</w:t>
      </w:r>
      <w:r w:rsidRPr="00B27164">
        <w:rPr>
          <w:bCs/>
          <w:iCs/>
          <w:lang w:val="uk-UA"/>
        </w:rPr>
        <w:t xml:space="preserve"> </w:t>
      </w:r>
      <w:r w:rsidRPr="00B04A6F">
        <w:rPr>
          <w:bCs/>
          <w:iCs/>
          <w:lang w:val="en-US"/>
        </w:rPr>
        <w:t>VM</w:t>
      </w:r>
      <w:r w:rsidRPr="00B27164">
        <w:rPr>
          <w:bCs/>
          <w:iCs/>
          <w:lang w:val="uk-UA"/>
        </w:rPr>
        <w:t xml:space="preserve">, </w:t>
      </w:r>
      <w:r w:rsidRPr="00B04A6F">
        <w:rPr>
          <w:bCs/>
          <w:iCs/>
          <w:lang w:val="en-US"/>
        </w:rPr>
        <w:t>Klymovytsky</w:t>
      </w:r>
      <w:r w:rsidRPr="00B27164">
        <w:rPr>
          <w:bCs/>
          <w:iCs/>
          <w:lang w:val="uk-UA"/>
        </w:rPr>
        <w:t xml:space="preserve"> </w:t>
      </w:r>
      <w:r w:rsidRPr="00B04A6F">
        <w:rPr>
          <w:bCs/>
          <w:iCs/>
          <w:lang w:val="en-US"/>
        </w:rPr>
        <w:t>FV</w:t>
      </w:r>
      <w:r w:rsidRPr="00B27164">
        <w:rPr>
          <w:bCs/>
          <w:iCs/>
          <w:lang w:val="uk-UA"/>
        </w:rPr>
        <w:t xml:space="preserve">, </w:t>
      </w:r>
      <w:r w:rsidRPr="00B04A6F">
        <w:rPr>
          <w:bCs/>
          <w:iCs/>
          <w:lang w:val="en-US"/>
        </w:rPr>
        <w:t>Vlasenko</w:t>
      </w:r>
      <w:r w:rsidRPr="00B27164">
        <w:rPr>
          <w:bCs/>
          <w:iCs/>
          <w:lang w:val="uk-UA"/>
        </w:rPr>
        <w:t xml:space="preserve"> </w:t>
      </w:r>
      <w:r w:rsidRPr="00B04A6F">
        <w:rPr>
          <w:bCs/>
          <w:iCs/>
          <w:lang w:val="en-US"/>
        </w:rPr>
        <w:t>RO</w:t>
      </w:r>
      <w:r w:rsidRPr="00B27164">
        <w:rPr>
          <w:bCs/>
          <w:iCs/>
          <w:lang w:val="uk-UA"/>
        </w:rPr>
        <w:t xml:space="preserve">, </w:t>
      </w:r>
      <w:r w:rsidRPr="00B04A6F">
        <w:rPr>
          <w:bCs/>
          <w:iCs/>
          <w:lang w:val="en-US"/>
        </w:rPr>
        <w:t>Forosenko</w:t>
      </w:r>
      <w:r w:rsidRPr="00B27164">
        <w:rPr>
          <w:bCs/>
          <w:iCs/>
          <w:lang w:val="uk-UA"/>
        </w:rPr>
        <w:t xml:space="preserve"> </w:t>
      </w:r>
      <w:r w:rsidRPr="00B04A6F">
        <w:rPr>
          <w:bCs/>
          <w:iCs/>
          <w:lang w:val="en-US"/>
        </w:rPr>
        <w:t>VS</w:t>
      </w:r>
      <w:r w:rsidRPr="00B27164">
        <w:rPr>
          <w:bCs/>
          <w:iCs/>
          <w:lang w:val="uk-UA"/>
        </w:rPr>
        <w:t xml:space="preserve"> (2016) </w:t>
      </w:r>
      <w:r w:rsidRPr="00B04A6F">
        <w:rPr>
          <w:bCs/>
          <w:iCs/>
          <w:lang w:val="en-US"/>
        </w:rPr>
        <w:t>Epidemiology</w:t>
      </w:r>
      <w:r w:rsidRPr="00B27164">
        <w:rPr>
          <w:bCs/>
          <w:iCs/>
          <w:lang w:val="uk-UA"/>
        </w:rPr>
        <w:t xml:space="preserve"> </w:t>
      </w:r>
      <w:r w:rsidRPr="00B04A6F">
        <w:rPr>
          <w:bCs/>
          <w:iCs/>
          <w:lang w:val="en-US"/>
        </w:rPr>
        <w:t>of</w:t>
      </w:r>
      <w:r w:rsidRPr="00B27164">
        <w:rPr>
          <w:bCs/>
          <w:iCs/>
          <w:lang w:val="uk-UA"/>
        </w:rPr>
        <w:t xml:space="preserve"> </w:t>
      </w:r>
      <w:r w:rsidRPr="00B04A6F">
        <w:rPr>
          <w:bCs/>
          <w:iCs/>
          <w:lang w:val="en-US"/>
        </w:rPr>
        <w:t>proximal</w:t>
      </w:r>
      <w:r w:rsidRPr="00B27164">
        <w:rPr>
          <w:bCs/>
          <w:iCs/>
          <w:lang w:val="uk-UA"/>
        </w:rPr>
        <w:t xml:space="preserve"> </w:t>
      </w:r>
      <w:r w:rsidRPr="00B04A6F">
        <w:rPr>
          <w:bCs/>
          <w:iCs/>
          <w:lang w:val="en-US"/>
        </w:rPr>
        <w:t>femur</w:t>
      </w:r>
      <w:r w:rsidRPr="00B27164">
        <w:rPr>
          <w:bCs/>
          <w:iCs/>
          <w:lang w:val="uk-UA"/>
        </w:rPr>
        <w:t xml:space="preserve"> </w:t>
      </w:r>
      <w:r w:rsidRPr="00B04A6F">
        <w:rPr>
          <w:bCs/>
          <w:iCs/>
          <w:lang w:val="en-US"/>
        </w:rPr>
        <w:t>fractures</w:t>
      </w:r>
      <w:r w:rsidRPr="00B27164">
        <w:rPr>
          <w:bCs/>
          <w:iCs/>
          <w:lang w:val="uk-UA"/>
        </w:rPr>
        <w:t xml:space="preserve"> </w:t>
      </w:r>
      <w:r w:rsidRPr="00B04A6F">
        <w:rPr>
          <w:bCs/>
          <w:iCs/>
          <w:lang w:val="en-US"/>
        </w:rPr>
        <w:t>in</w:t>
      </w:r>
      <w:r w:rsidRPr="00B27164">
        <w:rPr>
          <w:bCs/>
          <w:iCs/>
          <w:lang w:val="uk-UA"/>
        </w:rPr>
        <w:t xml:space="preserve"> </w:t>
      </w:r>
      <w:r w:rsidRPr="00B04A6F">
        <w:rPr>
          <w:bCs/>
          <w:iCs/>
          <w:lang w:val="en-US"/>
        </w:rPr>
        <w:t>Ukraine</w:t>
      </w:r>
      <w:r w:rsidRPr="00B27164">
        <w:rPr>
          <w:bCs/>
          <w:iCs/>
          <w:lang w:val="uk-UA"/>
        </w:rPr>
        <w:t xml:space="preserve">: </w:t>
      </w:r>
      <w:r w:rsidRPr="00B04A6F">
        <w:rPr>
          <w:bCs/>
          <w:iCs/>
          <w:lang w:val="en-US"/>
        </w:rPr>
        <w:t>results</w:t>
      </w:r>
      <w:r w:rsidRPr="00B27164">
        <w:rPr>
          <w:bCs/>
          <w:iCs/>
          <w:lang w:val="uk-UA"/>
        </w:rPr>
        <w:t xml:space="preserve"> </w:t>
      </w:r>
      <w:r w:rsidRPr="00B04A6F">
        <w:rPr>
          <w:bCs/>
          <w:iCs/>
          <w:lang w:val="en-US"/>
        </w:rPr>
        <w:t>of</w:t>
      </w:r>
      <w:r w:rsidRPr="00B27164">
        <w:rPr>
          <w:bCs/>
          <w:iCs/>
          <w:lang w:val="uk-UA"/>
        </w:rPr>
        <w:t xml:space="preserve"> </w:t>
      </w:r>
      <w:r w:rsidRPr="00B04A6F">
        <w:rPr>
          <w:bCs/>
          <w:iCs/>
          <w:lang w:val="en-US"/>
        </w:rPr>
        <w:t>two</w:t>
      </w:r>
      <w:r w:rsidRPr="00B27164">
        <w:rPr>
          <w:bCs/>
          <w:iCs/>
          <w:lang w:val="uk-UA"/>
        </w:rPr>
        <w:t xml:space="preserve"> </w:t>
      </w:r>
      <w:r w:rsidRPr="00B04A6F">
        <w:rPr>
          <w:bCs/>
          <w:iCs/>
          <w:lang w:val="en-US"/>
        </w:rPr>
        <w:t>retrospective</w:t>
      </w:r>
      <w:r w:rsidRPr="00B27164">
        <w:rPr>
          <w:bCs/>
          <w:iCs/>
          <w:lang w:val="uk-UA"/>
        </w:rPr>
        <w:t xml:space="preserve"> </w:t>
      </w:r>
      <w:r w:rsidRPr="00B04A6F">
        <w:rPr>
          <w:bCs/>
          <w:iCs/>
          <w:lang w:val="en-US"/>
        </w:rPr>
        <w:t>studies</w:t>
      </w:r>
      <w:r w:rsidRPr="00B27164">
        <w:rPr>
          <w:bCs/>
          <w:iCs/>
          <w:lang w:val="uk-UA"/>
        </w:rPr>
        <w:t xml:space="preserve"> </w:t>
      </w:r>
      <w:r w:rsidRPr="00B04A6F">
        <w:rPr>
          <w:bCs/>
          <w:iCs/>
        </w:rPr>
        <w:t>Orthopedics</w:t>
      </w:r>
      <w:r w:rsidRPr="00B27164">
        <w:rPr>
          <w:bCs/>
          <w:iCs/>
          <w:lang w:val="uk-UA"/>
        </w:rPr>
        <w:t xml:space="preserve">, </w:t>
      </w:r>
      <w:r w:rsidRPr="00B04A6F">
        <w:rPr>
          <w:bCs/>
          <w:iCs/>
        </w:rPr>
        <w:t>traumatology</w:t>
      </w:r>
      <w:r w:rsidRPr="00B27164">
        <w:rPr>
          <w:bCs/>
          <w:iCs/>
          <w:lang w:val="uk-UA"/>
        </w:rPr>
        <w:t xml:space="preserve"> </w:t>
      </w:r>
      <w:r w:rsidRPr="00B04A6F">
        <w:rPr>
          <w:bCs/>
          <w:iCs/>
        </w:rPr>
        <w:t>and</w:t>
      </w:r>
      <w:r w:rsidRPr="00B27164">
        <w:rPr>
          <w:bCs/>
          <w:iCs/>
          <w:lang w:val="uk-UA"/>
        </w:rPr>
        <w:t xml:space="preserve"> </w:t>
      </w:r>
      <w:r w:rsidRPr="00B04A6F">
        <w:rPr>
          <w:bCs/>
          <w:iCs/>
        </w:rPr>
        <w:t>prosthetics</w:t>
      </w:r>
      <w:r w:rsidRPr="00B27164">
        <w:rPr>
          <w:bCs/>
          <w:iCs/>
          <w:lang w:val="uk-UA"/>
        </w:rPr>
        <w:t xml:space="preserve"> [</w:t>
      </w:r>
      <w:r w:rsidRPr="00B04A6F">
        <w:rPr>
          <w:bCs/>
          <w:iCs/>
          <w:lang w:val="en-US"/>
        </w:rPr>
        <w:t>Ukrainian</w:t>
      </w:r>
      <w:r w:rsidRPr="00B27164">
        <w:rPr>
          <w:bCs/>
          <w:iCs/>
          <w:lang w:val="uk-UA"/>
        </w:rPr>
        <w:t>]. 4</w:t>
      </w:r>
      <w:r w:rsidRPr="00B04A6F">
        <w:rPr>
          <w:bCs/>
          <w:iCs/>
          <w:lang w:val="uk-UA"/>
        </w:rPr>
        <w:t>:</w:t>
      </w:r>
      <w:r w:rsidRPr="00B27164">
        <w:rPr>
          <w:bCs/>
          <w:iCs/>
          <w:lang w:val="uk-UA"/>
        </w:rPr>
        <w:t xml:space="preserve"> 68-74</w:t>
      </w:r>
    </w:p>
    <w:p w:rsidR="00474744" w:rsidRPr="00E04545" w:rsidRDefault="00474744" w:rsidP="00E04545">
      <w:pPr>
        <w:ind w:left="1134" w:hanging="567"/>
      </w:pPr>
      <w:r>
        <w:t>14.</w:t>
      </w:r>
      <w:r>
        <w:tab/>
      </w:r>
      <w:r w:rsidRPr="00E04545">
        <w:t>Kanis JA, Johansson H, Oden A, Dawson-Hughes B, Melton LJ 3rd, McCloskey EV (2010) The effects of a FRAX((R)) revision for the USA. Osteoporosis International 21: 35-40</w:t>
      </w:r>
    </w:p>
    <w:p w:rsidR="00474744" w:rsidRPr="00E04545" w:rsidRDefault="00474744" w:rsidP="00E04545">
      <w:pPr>
        <w:ind w:left="1134" w:hanging="567"/>
        <w:rPr>
          <w:lang w:val="en-US"/>
        </w:rPr>
      </w:pPr>
      <w:r>
        <w:rPr>
          <w:lang w:val="en-US"/>
        </w:rPr>
        <w:t>15.</w:t>
      </w:r>
      <w:r>
        <w:rPr>
          <w:lang w:val="en-US"/>
        </w:rPr>
        <w:tab/>
      </w:r>
      <w:r w:rsidRPr="00E04545">
        <w:rPr>
          <w:lang w:val="en-US"/>
        </w:rPr>
        <w:t>Kanis JA, Johnell O, Oden A, Sembo I, Redlund-Johnell I, Dawson A, De Laet C, Jonsson B (2000) Long-term risk of osteoporotic fracture in Malmö. Osteoporos Int.: 11(8):669-74.</w:t>
      </w:r>
    </w:p>
    <w:p w:rsidR="00474744" w:rsidRDefault="00474744" w:rsidP="00B87919">
      <w:pPr>
        <w:ind w:left="1134" w:hanging="567"/>
      </w:pPr>
      <w:r>
        <w:t>16.</w:t>
      </w:r>
      <w:r>
        <w:tab/>
      </w:r>
      <w:r w:rsidRPr="004E711B">
        <w:t xml:space="preserve">Kanis JA, Odén A, McCloskey EV, Johansson H, Wahl DA, Cooper C, and on behalf of the IOF Working Group on Epidemiology and Quality </w:t>
      </w:r>
      <w:r w:rsidRPr="00AE2D9E">
        <w:t>of Life (2012) A systematic</w:t>
      </w:r>
      <w:r w:rsidRPr="004E711B">
        <w:t xml:space="preserve"> review of hip fracture incidence and probability of fracture worldwide Osteoporos Int. Sep; 23(9): 2239–2256. . doi:  10.1007/s00198-012-1964-3</w:t>
      </w:r>
    </w:p>
    <w:p w:rsidR="00474744" w:rsidRPr="00E04545" w:rsidRDefault="00474744" w:rsidP="00E04545">
      <w:pPr>
        <w:ind w:left="1134" w:hanging="567"/>
        <w:rPr>
          <w:lang w:val="en-US"/>
        </w:rPr>
      </w:pPr>
      <w:r>
        <w:rPr>
          <w:lang w:val="en-US"/>
        </w:rPr>
        <w:t>17.</w:t>
      </w:r>
      <w:r>
        <w:rPr>
          <w:lang w:val="en-US"/>
        </w:rPr>
        <w:tab/>
      </w:r>
      <w:r w:rsidRPr="00E04545">
        <w:rPr>
          <w:lang w:val="en-US"/>
        </w:rPr>
        <w:t>Binkley N, Kiebzak GM, Lewiecki EM, Krueger D, Gangnon RE, Miller PD, Shepherd JA, Drezner MK. Recalculation of the NHANES database SD improves T-score agreement and reduces osteoporosis prevalence. J Bone Miner Res. 2005 Feb;20(2):195-201.</w:t>
      </w:r>
    </w:p>
    <w:p w:rsidR="00474744" w:rsidRPr="00E04545" w:rsidRDefault="00474744" w:rsidP="00E04545">
      <w:pPr>
        <w:ind w:left="1134" w:hanging="567"/>
        <w:rPr>
          <w:lang w:val="en-US"/>
        </w:rPr>
      </w:pPr>
      <w:r>
        <w:t>19.</w:t>
      </w:r>
      <w:r>
        <w:tab/>
      </w:r>
      <w:r w:rsidRPr="00E04545">
        <w:t>Johnell O, Gullberg B, Allender A, Kanis JA, and the MEDOS Study Group (1992)</w:t>
      </w:r>
      <w:r w:rsidRPr="00E04545">
        <w:br/>
        <w:t>The apparent incidence of hip fracture in Europe. Osteoporosis International 2: 298-302</w:t>
      </w:r>
    </w:p>
    <w:p w:rsidR="00474744" w:rsidRPr="00E04545" w:rsidRDefault="00474744" w:rsidP="00E04545">
      <w:pPr>
        <w:ind w:left="1134" w:hanging="567"/>
        <w:rPr>
          <w:lang w:val="en-US"/>
        </w:rPr>
      </w:pPr>
      <w:r>
        <w:rPr>
          <w:lang w:val="en-US"/>
        </w:rPr>
        <w:t>20.</w:t>
      </w:r>
      <w:r>
        <w:rPr>
          <w:lang w:val="en-US"/>
        </w:rPr>
        <w:tab/>
      </w:r>
      <w:r w:rsidRPr="00E04545">
        <w:rPr>
          <w:lang w:val="en-US"/>
        </w:rPr>
        <w:t>Benetou V, Orfanos P, Feskanich D, Michaëlsson K, Pettersson-Kymmer U, Ahmed LA (2015) Education, marital status, and risk of hip fractures in older men and women: the CHANCES project Osteoporos Int. Jun;26(6):1733-46</w:t>
      </w:r>
    </w:p>
    <w:p w:rsidR="00474744" w:rsidRPr="00E04545" w:rsidRDefault="00474744" w:rsidP="00E04545">
      <w:pPr>
        <w:ind w:left="1134" w:hanging="567"/>
        <w:rPr>
          <w:lang w:val="en-US"/>
        </w:rPr>
      </w:pPr>
      <w:r w:rsidRPr="005C5B20">
        <w:rPr>
          <w:lang w:val="fr-FR"/>
        </w:rPr>
        <w:lastRenderedPageBreak/>
        <w:t>21.</w:t>
      </w:r>
      <w:r w:rsidRPr="005C5B20">
        <w:rPr>
          <w:lang w:val="fr-FR"/>
        </w:rPr>
        <w:tab/>
        <w:t xml:space="preserve">Emaus N, Olsen LR, Ahmed LA et al. </w:t>
      </w:r>
      <w:r w:rsidRPr="00E04545">
        <w:rPr>
          <w:lang w:val="en-US"/>
        </w:rPr>
        <w:t>(2011) Hip fractures in a city in Northern Norway over 15 years: time trends, seasonal variation and mortality: the Harstad Injury Prevention Study. Osteoporos Int (2011) 22: 2603–2610</w:t>
      </w:r>
    </w:p>
    <w:p w:rsidR="00474744" w:rsidRPr="00E04545" w:rsidRDefault="00474744" w:rsidP="00E04545">
      <w:pPr>
        <w:ind w:left="1134" w:hanging="567"/>
        <w:rPr>
          <w:lang w:val="en-US"/>
        </w:rPr>
      </w:pPr>
      <w:r>
        <w:rPr>
          <w:lang w:val="en-US"/>
        </w:rPr>
        <w:t>22.</w:t>
      </w:r>
      <w:r>
        <w:rPr>
          <w:lang w:val="en-US"/>
        </w:rPr>
        <w:tab/>
      </w:r>
      <w:r w:rsidRPr="00E04545">
        <w:rPr>
          <w:lang w:val="en-US"/>
        </w:rPr>
        <w:t>Elffors L, Allander E, Kanis JA, Gullberg B, Johnell O, Dequeker J, Dilzen G, Gennari C, Lopez-Vaz AA, Lyritis G, Mazzuoli GF, Miravet L, Passeri M, Perez Cano R, Rapado A, Ribot C (1994) The variable incidence of hip fracture in Southern Europe.  The MEDOS Study. Osteoporosis International 4: 253-263.</w:t>
      </w:r>
    </w:p>
    <w:p w:rsidR="00474744" w:rsidRPr="00E04545" w:rsidRDefault="00474744" w:rsidP="00E04545">
      <w:pPr>
        <w:ind w:left="1134" w:hanging="567"/>
        <w:rPr>
          <w:lang w:val="en-US"/>
        </w:rPr>
      </w:pPr>
      <w:r>
        <w:rPr>
          <w:lang w:val="en-US"/>
        </w:rPr>
        <w:t>23.</w:t>
      </w:r>
      <w:r>
        <w:rPr>
          <w:lang w:val="en-US"/>
        </w:rPr>
        <w:tab/>
      </w:r>
      <w:r w:rsidRPr="00E04545">
        <w:rPr>
          <w:lang w:val="en-US"/>
        </w:rPr>
        <w:t>Morosano M, Masoni A, Sánchez A (2005) Incidence of hip fractures in the city of Rosario, Argentina: Osteoporos Int 16: 1339–1344</w:t>
      </w:r>
    </w:p>
    <w:p w:rsidR="00474744" w:rsidRPr="00E04545" w:rsidRDefault="00474744" w:rsidP="00E04545">
      <w:pPr>
        <w:ind w:left="1134" w:hanging="567"/>
        <w:rPr>
          <w:lang w:val="en-US"/>
        </w:rPr>
      </w:pPr>
      <w:r>
        <w:t>24.</w:t>
      </w:r>
      <w:r>
        <w:tab/>
      </w:r>
      <w:r w:rsidRPr="00E04545">
        <w:t xml:space="preserve">Odén A, </w:t>
      </w:r>
      <w:r w:rsidRPr="00E04545">
        <w:rPr>
          <w:bCs/>
        </w:rPr>
        <w:t>Kanis JA</w:t>
      </w:r>
      <w:r w:rsidRPr="00E04545">
        <w:t xml:space="preserve">, McCloskey EV, Johansson H (2014) The effect of latitude on the risk and seasonal variation in hip fracture in Sweden.  </w:t>
      </w:r>
      <w:r w:rsidRPr="00E04545">
        <w:rPr>
          <w:bCs/>
        </w:rPr>
        <w:t>Journal of Bone and Mineral Research 29:2217-2223.</w:t>
      </w:r>
    </w:p>
    <w:p w:rsidR="00474744" w:rsidRPr="00E04545" w:rsidRDefault="00474744" w:rsidP="00E04545">
      <w:pPr>
        <w:ind w:left="1134" w:hanging="567"/>
        <w:rPr>
          <w:lang w:val="en-US"/>
        </w:rPr>
      </w:pPr>
      <w:r>
        <w:rPr>
          <w:lang w:val="en-US"/>
        </w:rPr>
        <w:t>25.</w:t>
      </w:r>
      <w:r>
        <w:rPr>
          <w:lang w:val="en-US"/>
        </w:rPr>
        <w:tab/>
      </w:r>
      <w:r w:rsidRPr="00E04545">
        <w:rPr>
          <w:lang w:val="en-US"/>
        </w:rPr>
        <w:t>Matković V, Kostial K, Simonović I, Buzina R, Brodarec A, Nordin BE (1979) Bone status and fracture rates in two regions of Yugoslavia. Am J Clin Nutr. 32: 540–549</w:t>
      </w:r>
    </w:p>
    <w:p w:rsidR="00474744" w:rsidRPr="00E04545" w:rsidRDefault="00474744" w:rsidP="00E04545">
      <w:pPr>
        <w:ind w:left="1134" w:hanging="567"/>
      </w:pPr>
      <w:r w:rsidRPr="00CE7665">
        <w:rPr>
          <w:lang w:val="uk-UA"/>
        </w:rPr>
        <w:t>26.</w:t>
      </w:r>
      <w:r w:rsidRPr="00CE7665">
        <w:rPr>
          <w:lang w:val="uk-UA"/>
        </w:rPr>
        <w:tab/>
      </w:r>
      <w:r w:rsidRPr="00E04545">
        <w:t>Zerbini</w:t>
      </w:r>
      <w:r w:rsidRPr="00B27164">
        <w:rPr>
          <w:lang w:val="uk-UA"/>
        </w:rPr>
        <w:t xml:space="preserve"> </w:t>
      </w:r>
      <w:r w:rsidRPr="00E04545">
        <w:t>CA</w:t>
      </w:r>
      <w:r w:rsidRPr="00B27164">
        <w:rPr>
          <w:lang w:val="uk-UA"/>
        </w:rPr>
        <w:t xml:space="preserve">, </w:t>
      </w:r>
      <w:r w:rsidRPr="00E04545">
        <w:t>Szejnfeld</w:t>
      </w:r>
      <w:r w:rsidRPr="00B27164">
        <w:rPr>
          <w:lang w:val="uk-UA"/>
        </w:rPr>
        <w:t xml:space="preserve"> </w:t>
      </w:r>
      <w:r w:rsidRPr="00E04545">
        <w:t>VL</w:t>
      </w:r>
      <w:r w:rsidRPr="00B27164">
        <w:rPr>
          <w:lang w:val="uk-UA"/>
        </w:rPr>
        <w:t xml:space="preserve">, </w:t>
      </w:r>
      <w:r w:rsidRPr="00E04545">
        <w:t>Abergaria</w:t>
      </w:r>
      <w:r w:rsidRPr="00B27164">
        <w:rPr>
          <w:lang w:val="uk-UA"/>
        </w:rPr>
        <w:t xml:space="preserve"> </w:t>
      </w:r>
      <w:r w:rsidRPr="00E04545">
        <w:t>BH</w:t>
      </w:r>
      <w:r w:rsidRPr="00B27164">
        <w:rPr>
          <w:lang w:val="uk-UA"/>
        </w:rPr>
        <w:t xml:space="preserve">, </w:t>
      </w:r>
      <w:r w:rsidRPr="00E04545">
        <w:t>McCloskey</w:t>
      </w:r>
      <w:r w:rsidRPr="00B27164">
        <w:rPr>
          <w:lang w:val="uk-UA"/>
        </w:rPr>
        <w:t xml:space="preserve"> </w:t>
      </w:r>
      <w:r w:rsidRPr="00E04545">
        <w:t>EV</w:t>
      </w:r>
      <w:r w:rsidRPr="00B27164">
        <w:rPr>
          <w:lang w:val="uk-UA"/>
        </w:rPr>
        <w:t xml:space="preserve">, </w:t>
      </w:r>
      <w:r w:rsidRPr="00E04545">
        <w:t>Johansson</w:t>
      </w:r>
      <w:r w:rsidRPr="00B27164">
        <w:rPr>
          <w:lang w:val="uk-UA"/>
        </w:rPr>
        <w:t xml:space="preserve"> </w:t>
      </w:r>
      <w:r w:rsidRPr="00E04545">
        <w:t>H</w:t>
      </w:r>
      <w:r w:rsidRPr="00B27164">
        <w:rPr>
          <w:lang w:val="uk-UA"/>
        </w:rPr>
        <w:t xml:space="preserve">, </w:t>
      </w:r>
      <w:r w:rsidRPr="00E04545">
        <w:t>Kanis</w:t>
      </w:r>
      <w:r w:rsidRPr="00B27164">
        <w:rPr>
          <w:lang w:val="uk-UA"/>
        </w:rPr>
        <w:t xml:space="preserve"> </w:t>
      </w:r>
      <w:r w:rsidRPr="00E04545">
        <w:t>JA</w:t>
      </w:r>
      <w:r w:rsidRPr="00B27164">
        <w:rPr>
          <w:lang w:val="uk-UA"/>
        </w:rPr>
        <w:t xml:space="preserve">. </w:t>
      </w:r>
      <w:r w:rsidRPr="00E04545">
        <w:t>(2015) Incidence of hip fracture in Brazil and the development of a FRAX model. Arch Osteoporos</w:t>
      </w:r>
      <w:r>
        <w:t xml:space="preserve"> </w:t>
      </w:r>
      <w:r w:rsidRPr="00E04545">
        <w:t>10:224.</w:t>
      </w:r>
    </w:p>
    <w:p w:rsidR="00474744" w:rsidRPr="00E04545" w:rsidRDefault="00474744" w:rsidP="00E04545">
      <w:pPr>
        <w:ind w:left="1134" w:hanging="567"/>
        <w:rPr>
          <w:lang w:val="en-US"/>
        </w:rPr>
      </w:pPr>
      <w:r>
        <w:rPr>
          <w:lang w:val="en-US"/>
        </w:rPr>
        <w:t>27</w:t>
      </w:r>
      <w:r>
        <w:rPr>
          <w:lang w:val="en-US"/>
        </w:rPr>
        <w:tab/>
      </w:r>
      <w:r w:rsidRPr="00E04545">
        <w:rPr>
          <w:lang w:val="en-US"/>
        </w:rPr>
        <w:t xml:space="preserve">Karacić TP, Kopjar B (2009). </w:t>
      </w:r>
      <w:r w:rsidRPr="00E04545">
        <w:rPr>
          <w:bCs/>
          <w:lang w:val="en-US"/>
        </w:rPr>
        <w:t>Hip fracture</w:t>
      </w:r>
      <w:r w:rsidRPr="00E04545">
        <w:rPr>
          <w:u w:val="single"/>
          <w:lang w:val="en-US"/>
        </w:rPr>
        <w:t xml:space="preserve"> </w:t>
      </w:r>
      <w:r w:rsidRPr="00E04545">
        <w:rPr>
          <w:bCs/>
          <w:lang w:val="en-US"/>
        </w:rPr>
        <w:t>incidence</w:t>
      </w:r>
      <w:r w:rsidRPr="00E04545">
        <w:rPr>
          <w:u w:val="single"/>
          <w:lang w:val="en-US"/>
        </w:rPr>
        <w:t xml:space="preserve"> </w:t>
      </w:r>
      <w:r w:rsidRPr="00E04545">
        <w:rPr>
          <w:lang w:val="en-US"/>
        </w:rPr>
        <w:t>in</w:t>
      </w:r>
      <w:r w:rsidRPr="00E04545">
        <w:rPr>
          <w:u w:val="single"/>
          <w:lang w:val="en-US"/>
        </w:rPr>
        <w:t> </w:t>
      </w:r>
      <w:r w:rsidRPr="00E04545">
        <w:rPr>
          <w:bCs/>
          <w:lang w:val="en-US"/>
        </w:rPr>
        <w:t>Croatia</w:t>
      </w:r>
      <w:r w:rsidRPr="00E04545">
        <w:rPr>
          <w:u w:val="single"/>
          <w:lang w:val="en-US"/>
        </w:rPr>
        <w:t> </w:t>
      </w:r>
      <w:r w:rsidRPr="00E04545">
        <w:rPr>
          <w:lang w:val="en-US"/>
        </w:rPr>
        <w:t>in patients aged 65 years and more. Lijec Vjesn. Jan-Feb;131(1-2):9-13</w:t>
      </w:r>
    </w:p>
    <w:p w:rsidR="00474744" w:rsidRPr="00E04545" w:rsidRDefault="00474744" w:rsidP="00E04545">
      <w:pPr>
        <w:ind w:left="1134" w:hanging="567"/>
      </w:pPr>
      <w:r>
        <w:t>28.</w:t>
      </w:r>
      <w:r>
        <w:tab/>
      </w:r>
      <w:r w:rsidRPr="00E04545">
        <w:t>Lyritis GP, Rizou S, Galanos A, Makras P (2013) Incidence of hip fractures in Greece during a 30-year period: 1977-2007. Osteoporos Int: May;24(5):1579-85.</w:t>
      </w:r>
    </w:p>
    <w:p w:rsidR="00474744" w:rsidRPr="00E04545" w:rsidRDefault="00474744" w:rsidP="00E04545">
      <w:pPr>
        <w:ind w:left="1134" w:hanging="567"/>
        <w:rPr>
          <w:lang w:val="en-US"/>
        </w:rPr>
      </w:pPr>
      <w:r>
        <w:rPr>
          <w:lang w:val="en-US"/>
        </w:rPr>
        <w:t>29.</w:t>
      </w:r>
      <w:r>
        <w:rPr>
          <w:lang w:val="en-US"/>
        </w:rPr>
        <w:tab/>
      </w:r>
      <w:r w:rsidRPr="00E04545">
        <w:rPr>
          <w:lang w:val="en-US"/>
        </w:rPr>
        <w:t>Azagra R, Zwart M, Encabo G, Aguyé A, Martin-Sánchez JC, Puchol-Ruiz N, Gabriel-Escoda P, Ortiz-Alinque S, Gené E, Iglesias M, Moriña D, Diaz-Herrera MA, Utzet M, Manresa JM. GROIMAP study group (2016). Rationale of the Spanish FRAX model in decision-making for predicting osteoporotic</w:t>
      </w:r>
      <w:r w:rsidRPr="00E04545">
        <w:rPr>
          <w:u w:val="single"/>
          <w:lang w:val="en-US"/>
        </w:rPr>
        <w:t> </w:t>
      </w:r>
      <w:r w:rsidRPr="00E04545">
        <w:rPr>
          <w:bCs/>
          <w:lang w:val="en-US"/>
        </w:rPr>
        <w:t>fractures</w:t>
      </w:r>
      <w:r w:rsidRPr="00E04545">
        <w:rPr>
          <w:lang w:val="en-US"/>
        </w:rPr>
        <w:t>: an update of FRIDEX cohort of Spanish women. BMC Musculoskelet Disord. 17:262</w:t>
      </w:r>
    </w:p>
    <w:p w:rsidR="00474744" w:rsidRPr="00E04545" w:rsidRDefault="00474744" w:rsidP="00E04545">
      <w:pPr>
        <w:ind w:left="1134" w:hanging="567"/>
      </w:pPr>
      <w:r>
        <w:t>30.</w:t>
      </w:r>
      <w:r>
        <w:tab/>
      </w:r>
      <w:r w:rsidRPr="00E04545">
        <w:t>Lesnyak O, Ershova O, Belova K, Gladkova E, Sinitsina E, Ganert O, Romanova M, Khodirev V, McCloskey J E, Kanis J (2012) Epidemiology of fracture in the Russian Federation and the development of a FRAX model. Arch Osteoporos 7:67-73</w:t>
      </w:r>
    </w:p>
    <w:p w:rsidR="00474744" w:rsidRPr="00E04545" w:rsidRDefault="00474744" w:rsidP="00B87919">
      <w:pPr>
        <w:ind w:left="1134" w:hanging="567"/>
      </w:pPr>
      <w:r>
        <w:rPr>
          <w:bCs/>
          <w:lang w:val="en-US"/>
        </w:rPr>
        <w:t>31.</w:t>
      </w:r>
      <w:r>
        <w:rPr>
          <w:bCs/>
          <w:lang w:val="en-US"/>
        </w:rPr>
        <w:tab/>
      </w:r>
      <w:r w:rsidRPr="00E04545">
        <w:rPr>
          <w:bCs/>
          <w:lang w:val="en-US"/>
        </w:rPr>
        <w:t>Czerwinski</w:t>
      </w:r>
      <w:r w:rsidRPr="00E04545">
        <w:rPr>
          <w:lang w:val="en-US"/>
        </w:rPr>
        <w:t> E, Kanis JA, Osieleniec J, Kumorek A, Milert A, Johansson H, McCloskey EV, Gorkiewicz M (2011) Evaluation of FRAX to characterise</w:t>
      </w:r>
      <w:r w:rsidRPr="00E04545">
        <w:rPr>
          <w:u w:val="single"/>
          <w:lang w:val="en-US"/>
        </w:rPr>
        <w:t> </w:t>
      </w:r>
      <w:r w:rsidRPr="00E04545">
        <w:rPr>
          <w:bCs/>
          <w:lang w:val="en-US"/>
        </w:rPr>
        <w:t>fracture</w:t>
      </w:r>
      <w:r w:rsidRPr="00E04545">
        <w:rPr>
          <w:u w:val="single"/>
          <w:lang w:val="en-US"/>
        </w:rPr>
        <w:t> </w:t>
      </w:r>
      <w:r w:rsidRPr="00E04545">
        <w:rPr>
          <w:lang w:val="en-US"/>
        </w:rPr>
        <w:t>risk in</w:t>
      </w:r>
      <w:r w:rsidRPr="00E04545">
        <w:rPr>
          <w:u w:val="single"/>
          <w:lang w:val="en-US"/>
        </w:rPr>
        <w:t> </w:t>
      </w:r>
      <w:r w:rsidRPr="00E04545">
        <w:rPr>
          <w:bCs/>
          <w:lang w:val="en-US"/>
        </w:rPr>
        <w:t>Poland</w:t>
      </w:r>
      <w:r w:rsidRPr="00E04545">
        <w:rPr>
          <w:lang w:val="en-US"/>
        </w:rPr>
        <w:t>. Osteoporos Int. 22</w:t>
      </w:r>
      <w:r>
        <w:rPr>
          <w:lang w:val="en-US"/>
        </w:rPr>
        <w:t xml:space="preserve">: </w:t>
      </w:r>
      <w:r w:rsidRPr="00E04545">
        <w:rPr>
          <w:lang w:val="en-US"/>
        </w:rPr>
        <w:t xml:space="preserve">2507-12. </w:t>
      </w:r>
    </w:p>
    <w:p w:rsidR="00474744" w:rsidRPr="00E04545" w:rsidRDefault="00474744" w:rsidP="00E04545">
      <w:pPr>
        <w:ind w:left="1134" w:hanging="567"/>
        <w:rPr>
          <w:lang w:val="en-US"/>
        </w:rPr>
      </w:pPr>
      <w:r>
        <w:rPr>
          <w:lang w:val="en-US"/>
        </w:rPr>
        <w:t>32.</w:t>
      </w:r>
      <w:r>
        <w:rPr>
          <w:lang w:val="en-US"/>
        </w:rPr>
        <w:tab/>
      </w:r>
      <w:r w:rsidRPr="00E04545">
        <w:rPr>
          <w:lang w:val="en-US"/>
        </w:rPr>
        <w:t>Kanis JA, Oden A, Johnell O, Jonsson B, de Laet C, Dawson A (2001) The burden of osteoporotic fractures: a method for setting intervention thresholds. Osteoporos Int 12:417–427</w:t>
      </w:r>
    </w:p>
    <w:p w:rsidR="00474744" w:rsidRPr="00E04545" w:rsidRDefault="00474744" w:rsidP="00E04545">
      <w:pPr>
        <w:ind w:left="1134" w:hanging="567"/>
        <w:rPr>
          <w:lang w:val="en-US"/>
        </w:rPr>
      </w:pPr>
      <w:r>
        <w:rPr>
          <w:lang w:val="en-US"/>
        </w:rPr>
        <w:t>33.</w:t>
      </w:r>
      <w:r>
        <w:rPr>
          <w:lang w:val="en-US"/>
        </w:rPr>
        <w:tab/>
      </w:r>
      <w:r w:rsidRPr="00E04545">
        <w:rPr>
          <w:lang w:val="en-US"/>
        </w:rPr>
        <w:t>Lam A, Leslie WD, Lix LM, Yogendran M, Morin SN, Majumdar SR. Major osteoporotic to hip fracture ratios in canadian men and women with Swedish comparisons: a population-based analysis. J Bone Miner Res. 2014;29(5):1067-73.</w:t>
      </w:r>
    </w:p>
    <w:p w:rsidR="00474744" w:rsidRPr="00E04545" w:rsidRDefault="00474744" w:rsidP="00E04545">
      <w:pPr>
        <w:ind w:left="1134" w:hanging="567"/>
        <w:rPr>
          <w:lang w:val="en-US"/>
        </w:rPr>
      </w:pPr>
      <w:r>
        <w:t>34.</w:t>
      </w:r>
      <w:r>
        <w:tab/>
      </w:r>
      <w:r w:rsidRPr="00E04545">
        <w:t xml:space="preserve">Siggeirsdottir K, Aspelund T, Johansson H, Gudmundsson EF, Mogensen B, Jonsson BY, Gudnason V, McCloskey E, Oden A, Sigurdsson G, Kanis JA (2014) The incidence of a first </w:t>
      </w:r>
      <w:r w:rsidRPr="00E04545">
        <w:lastRenderedPageBreak/>
        <w:t>major osteoporotic fracture in Iceland and implications for FRAX.   Osteoporosis International 25: 2445-2451.</w:t>
      </w:r>
    </w:p>
    <w:sectPr w:rsidR="00474744" w:rsidRPr="00E04545" w:rsidSect="00B16A9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7E0" w:rsidRDefault="000F37E0" w:rsidP="00717DB4">
      <w:pPr>
        <w:spacing w:after="0" w:line="240" w:lineRule="auto"/>
      </w:pPr>
      <w:r>
        <w:separator/>
      </w:r>
    </w:p>
  </w:endnote>
  <w:endnote w:type="continuationSeparator" w:id="0">
    <w:p w:rsidR="000F37E0" w:rsidRDefault="000F37E0" w:rsidP="0071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dvTT59df095f.I">
    <w:altName w:val="Cambria"/>
    <w:panose1 w:val="00000000000000000000"/>
    <w:charset w:val="00"/>
    <w:family w:val="roman"/>
    <w:notTrueType/>
    <w:pitch w:val="default"/>
    <w:sig w:usb0="00000003" w:usb1="00000000" w:usb2="00000000" w:usb3="00000000" w:csb0="00000001" w:csb1="00000000"/>
  </w:font>
  <w:font w:name="AdvTT46dcae81">
    <w:altName w:val="Arial Unicode MS"/>
    <w:panose1 w:val="00000000000000000000"/>
    <w:charset w:val="00"/>
    <w:family w:val="auto"/>
    <w:notTrueType/>
    <w:pitch w:val="default"/>
    <w:sig w:usb0="00000003" w:usb1="00000000" w:usb2="00000000" w:usb3="00000000" w:csb0="00000001" w:csb1="00000000"/>
  </w:font>
  <w:font w:name="AdvTT2acb703b">
    <w:altName w:val="Cambria"/>
    <w:panose1 w:val="00000000000000000000"/>
    <w:charset w:val="00"/>
    <w:family w:val="roman"/>
    <w:notTrueType/>
    <w:pitch w:val="default"/>
    <w:sig w:usb0="00000003" w:usb1="00000000" w:usb2="00000000" w:usb3="00000000" w:csb0="00000001" w:csb1="00000000"/>
  </w:font>
  <w:font w:name="AdvTTe5c5f14d.B">
    <w:altName w:val="Cambria"/>
    <w:panose1 w:val="00000000000000000000"/>
    <w:charset w:val="00"/>
    <w:family w:val="roman"/>
    <w:notTrueType/>
    <w:pitch w:val="default"/>
    <w:sig w:usb0="00000003" w:usb1="00000000" w:usb2="00000000" w:usb3="00000000" w:csb0="00000001" w:csb1="00000000"/>
  </w:font>
  <w:font w:name="AdvTT3713a231">
    <w:altName w:val="Times New Roman"/>
    <w:panose1 w:val="00000000000000000000"/>
    <w:charset w:val="00"/>
    <w:family w:val="roman"/>
    <w:notTrueType/>
    <w:pitch w:val="default"/>
    <w:sig w:usb0="00000003" w:usb1="00000000" w:usb2="00000000" w:usb3="00000000" w:csb0="00000001" w:csb1="00000000"/>
  </w:font>
  <w:font w:name="AdvTT50a2f13e.I">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305546"/>
      <w:docPartObj>
        <w:docPartGallery w:val="Page Numbers (Bottom of Page)"/>
        <w:docPartUnique/>
      </w:docPartObj>
    </w:sdtPr>
    <w:sdtEndPr>
      <w:rPr>
        <w:noProof/>
      </w:rPr>
    </w:sdtEndPr>
    <w:sdtContent>
      <w:p w:rsidR="00B27164" w:rsidRDefault="00B16A99">
        <w:pPr>
          <w:pStyle w:val="Footer"/>
          <w:jc w:val="right"/>
        </w:pPr>
        <w:r>
          <w:fldChar w:fldCharType="begin"/>
        </w:r>
        <w:r w:rsidR="00B27164">
          <w:instrText xml:space="preserve"> PAGE   \* MERGEFORMAT </w:instrText>
        </w:r>
        <w:r>
          <w:fldChar w:fldCharType="separate"/>
        </w:r>
        <w:r w:rsidR="00B91E0B">
          <w:rPr>
            <w:noProof/>
          </w:rPr>
          <w:t>1</w:t>
        </w:r>
        <w:r>
          <w:rPr>
            <w:noProof/>
          </w:rPr>
          <w:fldChar w:fldCharType="end"/>
        </w:r>
      </w:p>
    </w:sdtContent>
  </w:sdt>
  <w:p w:rsidR="00B27164" w:rsidRDefault="00B27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7E0" w:rsidRDefault="000F37E0" w:rsidP="00717DB4">
      <w:pPr>
        <w:spacing w:after="0" w:line="240" w:lineRule="auto"/>
      </w:pPr>
      <w:r>
        <w:separator/>
      </w:r>
    </w:p>
  </w:footnote>
  <w:footnote w:type="continuationSeparator" w:id="0">
    <w:p w:rsidR="000F37E0" w:rsidRDefault="000F37E0" w:rsidP="00717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2711C"/>
    <w:multiLevelType w:val="hybridMultilevel"/>
    <w:tmpl w:val="5D24A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7811F2"/>
    <w:multiLevelType w:val="hybridMultilevel"/>
    <w:tmpl w:val="5D24A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1C0D9D"/>
    <w:multiLevelType w:val="hybridMultilevel"/>
    <w:tmpl w:val="E1D2D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EB6BB3"/>
    <w:multiLevelType w:val="hybridMultilevel"/>
    <w:tmpl w:val="5D24A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2E71B1"/>
    <w:multiLevelType w:val="hybridMultilevel"/>
    <w:tmpl w:val="5D24A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BC"/>
    <w:rsid w:val="00074A0A"/>
    <w:rsid w:val="00076D6E"/>
    <w:rsid w:val="000B1808"/>
    <w:rsid w:val="000F37E0"/>
    <w:rsid w:val="001005D7"/>
    <w:rsid w:val="001210F2"/>
    <w:rsid w:val="00133ED1"/>
    <w:rsid w:val="001B255E"/>
    <w:rsid w:val="001C3D83"/>
    <w:rsid w:val="001D29D7"/>
    <w:rsid w:val="001F17D1"/>
    <w:rsid w:val="00217751"/>
    <w:rsid w:val="002344CD"/>
    <w:rsid w:val="002612E9"/>
    <w:rsid w:val="00276343"/>
    <w:rsid w:val="00283A1A"/>
    <w:rsid w:val="002D7D45"/>
    <w:rsid w:val="002D7E5A"/>
    <w:rsid w:val="002E2824"/>
    <w:rsid w:val="00300532"/>
    <w:rsid w:val="00302807"/>
    <w:rsid w:val="00331935"/>
    <w:rsid w:val="00332B3C"/>
    <w:rsid w:val="00342B4D"/>
    <w:rsid w:val="003471A3"/>
    <w:rsid w:val="00364131"/>
    <w:rsid w:val="00380E33"/>
    <w:rsid w:val="003A65E0"/>
    <w:rsid w:val="003F724E"/>
    <w:rsid w:val="00403BAA"/>
    <w:rsid w:val="004539F3"/>
    <w:rsid w:val="00470BE6"/>
    <w:rsid w:val="00474744"/>
    <w:rsid w:val="00493ADB"/>
    <w:rsid w:val="004D29F7"/>
    <w:rsid w:val="004E711B"/>
    <w:rsid w:val="005055BB"/>
    <w:rsid w:val="00505D2F"/>
    <w:rsid w:val="005243D8"/>
    <w:rsid w:val="00536E34"/>
    <w:rsid w:val="00564759"/>
    <w:rsid w:val="00566834"/>
    <w:rsid w:val="005A4134"/>
    <w:rsid w:val="005C476F"/>
    <w:rsid w:val="005C5B20"/>
    <w:rsid w:val="005D57C1"/>
    <w:rsid w:val="00616D20"/>
    <w:rsid w:val="00636E5E"/>
    <w:rsid w:val="00656929"/>
    <w:rsid w:val="006B5B08"/>
    <w:rsid w:val="006B7234"/>
    <w:rsid w:val="006C31BC"/>
    <w:rsid w:val="006E2155"/>
    <w:rsid w:val="00717DB4"/>
    <w:rsid w:val="007328A8"/>
    <w:rsid w:val="007431C5"/>
    <w:rsid w:val="00751C1C"/>
    <w:rsid w:val="00753FAC"/>
    <w:rsid w:val="00774974"/>
    <w:rsid w:val="007A3066"/>
    <w:rsid w:val="0085034F"/>
    <w:rsid w:val="00863871"/>
    <w:rsid w:val="00864948"/>
    <w:rsid w:val="008659B6"/>
    <w:rsid w:val="008848EA"/>
    <w:rsid w:val="00891DDD"/>
    <w:rsid w:val="008C47B8"/>
    <w:rsid w:val="008C7810"/>
    <w:rsid w:val="008E676F"/>
    <w:rsid w:val="00906A16"/>
    <w:rsid w:val="00915CC9"/>
    <w:rsid w:val="00920C2B"/>
    <w:rsid w:val="00934CD0"/>
    <w:rsid w:val="009E1C3F"/>
    <w:rsid w:val="00A019A7"/>
    <w:rsid w:val="00A222D6"/>
    <w:rsid w:val="00A24FB2"/>
    <w:rsid w:val="00A27321"/>
    <w:rsid w:val="00A43FEB"/>
    <w:rsid w:val="00A54A9D"/>
    <w:rsid w:val="00A751D3"/>
    <w:rsid w:val="00A83EEA"/>
    <w:rsid w:val="00AA377C"/>
    <w:rsid w:val="00AB24CA"/>
    <w:rsid w:val="00AE2B08"/>
    <w:rsid w:val="00AE2D9E"/>
    <w:rsid w:val="00AE7A7A"/>
    <w:rsid w:val="00B04A6F"/>
    <w:rsid w:val="00B068A8"/>
    <w:rsid w:val="00B16A99"/>
    <w:rsid w:val="00B254E5"/>
    <w:rsid w:val="00B26889"/>
    <w:rsid w:val="00B27164"/>
    <w:rsid w:val="00B35067"/>
    <w:rsid w:val="00B52BB8"/>
    <w:rsid w:val="00B87919"/>
    <w:rsid w:val="00B91E0B"/>
    <w:rsid w:val="00BA778B"/>
    <w:rsid w:val="00BE2DBE"/>
    <w:rsid w:val="00C02EF0"/>
    <w:rsid w:val="00C11648"/>
    <w:rsid w:val="00C35836"/>
    <w:rsid w:val="00C358AE"/>
    <w:rsid w:val="00C42E0C"/>
    <w:rsid w:val="00C725B3"/>
    <w:rsid w:val="00C8116E"/>
    <w:rsid w:val="00C81F60"/>
    <w:rsid w:val="00CD00F7"/>
    <w:rsid w:val="00CD14A8"/>
    <w:rsid w:val="00CD2226"/>
    <w:rsid w:val="00CD57C3"/>
    <w:rsid w:val="00CE7665"/>
    <w:rsid w:val="00D647B9"/>
    <w:rsid w:val="00DB3E32"/>
    <w:rsid w:val="00DC6A86"/>
    <w:rsid w:val="00DE05E9"/>
    <w:rsid w:val="00DE7CC6"/>
    <w:rsid w:val="00E04545"/>
    <w:rsid w:val="00E230DC"/>
    <w:rsid w:val="00E45D9A"/>
    <w:rsid w:val="00E54D14"/>
    <w:rsid w:val="00EE0876"/>
    <w:rsid w:val="00F32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E32"/>
    <w:rPr>
      <w:color w:val="0000FF"/>
      <w:u w:val="single"/>
    </w:rPr>
  </w:style>
  <w:style w:type="character" w:styleId="CommentReference">
    <w:name w:val="annotation reference"/>
    <w:basedOn w:val="DefaultParagraphFont"/>
    <w:uiPriority w:val="99"/>
    <w:semiHidden/>
    <w:unhideWhenUsed/>
    <w:rsid w:val="00283A1A"/>
    <w:rPr>
      <w:sz w:val="16"/>
      <w:szCs w:val="16"/>
    </w:rPr>
  </w:style>
  <w:style w:type="paragraph" w:styleId="CommentText">
    <w:name w:val="annotation text"/>
    <w:basedOn w:val="Normal"/>
    <w:link w:val="CommentTextChar"/>
    <w:uiPriority w:val="99"/>
    <w:semiHidden/>
    <w:unhideWhenUsed/>
    <w:rsid w:val="00283A1A"/>
    <w:pPr>
      <w:spacing w:line="240" w:lineRule="auto"/>
    </w:pPr>
    <w:rPr>
      <w:sz w:val="20"/>
      <w:szCs w:val="20"/>
    </w:rPr>
  </w:style>
  <w:style w:type="character" w:customStyle="1" w:styleId="CommentTextChar">
    <w:name w:val="Comment Text Char"/>
    <w:basedOn w:val="DefaultParagraphFont"/>
    <w:link w:val="CommentText"/>
    <w:uiPriority w:val="99"/>
    <w:semiHidden/>
    <w:rsid w:val="00283A1A"/>
    <w:rPr>
      <w:sz w:val="20"/>
      <w:szCs w:val="20"/>
    </w:rPr>
  </w:style>
  <w:style w:type="paragraph" w:styleId="CommentSubject">
    <w:name w:val="annotation subject"/>
    <w:basedOn w:val="CommentText"/>
    <w:next w:val="CommentText"/>
    <w:link w:val="CommentSubjectChar"/>
    <w:uiPriority w:val="99"/>
    <w:semiHidden/>
    <w:unhideWhenUsed/>
    <w:rsid w:val="00283A1A"/>
    <w:rPr>
      <w:b/>
      <w:bCs/>
    </w:rPr>
  </w:style>
  <w:style w:type="character" w:customStyle="1" w:styleId="CommentSubjectChar">
    <w:name w:val="Comment Subject Char"/>
    <w:basedOn w:val="CommentTextChar"/>
    <w:link w:val="CommentSubject"/>
    <w:uiPriority w:val="99"/>
    <w:semiHidden/>
    <w:rsid w:val="00283A1A"/>
    <w:rPr>
      <w:b/>
      <w:bCs/>
      <w:sz w:val="20"/>
      <w:szCs w:val="20"/>
    </w:rPr>
  </w:style>
  <w:style w:type="paragraph" w:styleId="BalloonText">
    <w:name w:val="Balloon Text"/>
    <w:basedOn w:val="Normal"/>
    <w:link w:val="BalloonTextChar"/>
    <w:uiPriority w:val="99"/>
    <w:semiHidden/>
    <w:unhideWhenUsed/>
    <w:rsid w:val="00283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A1A"/>
    <w:rPr>
      <w:rFonts w:ascii="Segoe UI" w:hAnsi="Segoe UI" w:cs="Segoe UI"/>
      <w:sz w:val="18"/>
      <w:szCs w:val="18"/>
    </w:rPr>
  </w:style>
  <w:style w:type="character" w:customStyle="1" w:styleId="highlight">
    <w:name w:val="highlight"/>
    <w:basedOn w:val="DefaultParagraphFont"/>
    <w:rsid w:val="00283A1A"/>
  </w:style>
  <w:style w:type="paragraph" w:customStyle="1" w:styleId="desc">
    <w:name w:val="desc"/>
    <w:basedOn w:val="Normal"/>
    <w:rsid w:val="00283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jrnl">
    <w:name w:val="jrnl"/>
    <w:basedOn w:val="DefaultParagraphFont"/>
    <w:rsid w:val="00283A1A"/>
  </w:style>
  <w:style w:type="paragraph" w:styleId="ListParagraph">
    <w:name w:val="List Paragraph"/>
    <w:basedOn w:val="Normal"/>
    <w:uiPriority w:val="34"/>
    <w:qFormat/>
    <w:rsid w:val="00283A1A"/>
    <w:pPr>
      <w:ind w:left="720"/>
      <w:contextualSpacing/>
    </w:pPr>
    <w:rPr>
      <w:lang w:val="ru-RU"/>
    </w:rPr>
  </w:style>
  <w:style w:type="character" w:customStyle="1" w:styleId="cit">
    <w:name w:val="cit"/>
    <w:basedOn w:val="DefaultParagraphFont"/>
    <w:rsid w:val="00283A1A"/>
  </w:style>
  <w:style w:type="character" w:customStyle="1" w:styleId="fm-vol-iss-date">
    <w:name w:val="fm-vol-iss-date"/>
    <w:basedOn w:val="DefaultParagraphFont"/>
    <w:rsid w:val="00283A1A"/>
  </w:style>
  <w:style w:type="character" w:customStyle="1" w:styleId="doi">
    <w:name w:val="doi"/>
    <w:basedOn w:val="DefaultParagraphFont"/>
    <w:rsid w:val="00283A1A"/>
  </w:style>
  <w:style w:type="paragraph" w:styleId="NormalWeb">
    <w:name w:val="Normal (Web)"/>
    <w:basedOn w:val="Normal"/>
    <w:uiPriority w:val="99"/>
    <w:semiHidden/>
    <w:unhideWhenUsed/>
    <w:rsid w:val="00E54D14"/>
    <w:rPr>
      <w:rFonts w:ascii="Times New Roman" w:hAnsi="Times New Roman" w:cs="Times New Roman"/>
      <w:sz w:val="24"/>
      <w:szCs w:val="24"/>
    </w:rPr>
  </w:style>
  <w:style w:type="paragraph" w:styleId="Header">
    <w:name w:val="header"/>
    <w:basedOn w:val="Normal"/>
    <w:link w:val="HeaderChar"/>
    <w:uiPriority w:val="99"/>
    <w:unhideWhenUsed/>
    <w:rsid w:val="00717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DB4"/>
  </w:style>
  <w:style w:type="paragraph" w:styleId="Footer">
    <w:name w:val="footer"/>
    <w:basedOn w:val="Normal"/>
    <w:link w:val="FooterChar"/>
    <w:uiPriority w:val="99"/>
    <w:unhideWhenUsed/>
    <w:rsid w:val="00717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DB4"/>
  </w:style>
  <w:style w:type="table" w:customStyle="1" w:styleId="TableGrid1">
    <w:name w:val="Table Grid1"/>
    <w:basedOn w:val="TableNormal"/>
    <w:next w:val="TableGrid"/>
    <w:uiPriority w:val="39"/>
    <w:rsid w:val="009E1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1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E1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E32"/>
    <w:rPr>
      <w:color w:val="0000FF"/>
      <w:u w:val="single"/>
    </w:rPr>
  </w:style>
  <w:style w:type="character" w:styleId="CommentReference">
    <w:name w:val="annotation reference"/>
    <w:basedOn w:val="DefaultParagraphFont"/>
    <w:uiPriority w:val="99"/>
    <w:semiHidden/>
    <w:unhideWhenUsed/>
    <w:rsid w:val="00283A1A"/>
    <w:rPr>
      <w:sz w:val="16"/>
      <w:szCs w:val="16"/>
    </w:rPr>
  </w:style>
  <w:style w:type="paragraph" w:styleId="CommentText">
    <w:name w:val="annotation text"/>
    <w:basedOn w:val="Normal"/>
    <w:link w:val="CommentTextChar"/>
    <w:uiPriority w:val="99"/>
    <w:semiHidden/>
    <w:unhideWhenUsed/>
    <w:rsid w:val="00283A1A"/>
    <w:pPr>
      <w:spacing w:line="240" w:lineRule="auto"/>
    </w:pPr>
    <w:rPr>
      <w:sz w:val="20"/>
      <w:szCs w:val="20"/>
    </w:rPr>
  </w:style>
  <w:style w:type="character" w:customStyle="1" w:styleId="CommentTextChar">
    <w:name w:val="Comment Text Char"/>
    <w:basedOn w:val="DefaultParagraphFont"/>
    <w:link w:val="CommentText"/>
    <w:uiPriority w:val="99"/>
    <w:semiHidden/>
    <w:rsid w:val="00283A1A"/>
    <w:rPr>
      <w:sz w:val="20"/>
      <w:szCs w:val="20"/>
    </w:rPr>
  </w:style>
  <w:style w:type="paragraph" w:styleId="CommentSubject">
    <w:name w:val="annotation subject"/>
    <w:basedOn w:val="CommentText"/>
    <w:next w:val="CommentText"/>
    <w:link w:val="CommentSubjectChar"/>
    <w:uiPriority w:val="99"/>
    <w:semiHidden/>
    <w:unhideWhenUsed/>
    <w:rsid w:val="00283A1A"/>
    <w:rPr>
      <w:b/>
      <w:bCs/>
    </w:rPr>
  </w:style>
  <w:style w:type="character" w:customStyle="1" w:styleId="CommentSubjectChar">
    <w:name w:val="Comment Subject Char"/>
    <w:basedOn w:val="CommentTextChar"/>
    <w:link w:val="CommentSubject"/>
    <w:uiPriority w:val="99"/>
    <w:semiHidden/>
    <w:rsid w:val="00283A1A"/>
    <w:rPr>
      <w:b/>
      <w:bCs/>
      <w:sz w:val="20"/>
      <w:szCs w:val="20"/>
    </w:rPr>
  </w:style>
  <w:style w:type="paragraph" w:styleId="BalloonText">
    <w:name w:val="Balloon Text"/>
    <w:basedOn w:val="Normal"/>
    <w:link w:val="BalloonTextChar"/>
    <w:uiPriority w:val="99"/>
    <w:semiHidden/>
    <w:unhideWhenUsed/>
    <w:rsid w:val="00283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A1A"/>
    <w:rPr>
      <w:rFonts w:ascii="Segoe UI" w:hAnsi="Segoe UI" w:cs="Segoe UI"/>
      <w:sz w:val="18"/>
      <w:szCs w:val="18"/>
    </w:rPr>
  </w:style>
  <w:style w:type="character" w:customStyle="1" w:styleId="highlight">
    <w:name w:val="highlight"/>
    <w:basedOn w:val="DefaultParagraphFont"/>
    <w:rsid w:val="00283A1A"/>
  </w:style>
  <w:style w:type="paragraph" w:customStyle="1" w:styleId="desc">
    <w:name w:val="desc"/>
    <w:basedOn w:val="Normal"/>
    <w:rsid w:val="00283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jrnl">
    <w:name w:val="jrnl"/>
    <w:basedOn w:val="DefaultParagraphFont"/>
    <w:rsid w:val="00283A1A"/>
  </w:style>
  <w:style w:type="paragraph" w:styleId="ListParagraph">
    <w:name w:val="List Paragraph"/>
    <w:basedOn w:val="Normal"/>
    <w:uiPriority w:val="34"/>
    <w:qFormat/>
    <w:rsid w:val="00283A1A"/>
    <w:pPr>
      <w:ind w:left="720"/>
      <w:contextualSpacing/>
    </w:pPr>
    <w:rPr>
      <w:lang w:val="ru-RU"/>
    </w:rPr>
  </w:style>
  <w:style w:type="character" w:customStyle="1" w:styleId="cit">
    <w:name w:val="cit"/>
    <w:basedOn w:val="DefaultParagraphFont"/>
    <w:rsid w:val="00283A1A"/>
  </w:style>
  <w:style w:type="character" w:customStyle="1" w:styleId="fm-vol-iss-date">
    <w:name w:val="fm-vol-iss-date"/>
    <w:basedOn w:val="DefaultParagraphFont"/>
    <w:rsid w:val="00283A1A"/>
  </w:style>
  <w:style w:type="character" w:customStyle="1" w:styleId="doi">
    <w:name w:val="doi"/>
    <w:basedOn w:val="DefaultParagraphFont"/>
    <w:rsid w:val="00283A1A"/>
  </w:style>
  <w:style w:type="paragraph" w:styleId="NormalWeb">
    <w:name w:val="Normal (Web)"/>
    <w:basedOn w:val="Normal"/>
    <w:uiPriority w:val="99"/>
    <w:semiHidden/>
    <w:unhideWhenUsed/>
    <w:rsid w:val="00E54D14"/>
    <w:rPr>
      <w:rFonts w:ascii="Times New Roman" w:hAnsi="Times New Roman" w:cs="Times New Roman"/>
      <w:sz w:val="24"/>
      <w:szCs w:val="24"/>
    </w:rPr>
  </w:style>
  <w:style w:type="paragraph" w:styleId="Header">
    <w:name w:val="header"/>
    <w:basedOn w:val="Normal"/>
    <w:link w:val="HeaderChar"/>
    <w:uiPriority w:val="99"/>
    <w:unhideWhenUsed/>
    <w:rsid w:val="00717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DB4"/>
  </w:style>
  <w:style w:type="paragraph" w:styleId="Footer">
    <w:name w:val="footer"/>
    <w:basedOn w:val="Normal"/>
    <w:link w:val="FooterChar"/>
    <w:uiPriority w:val="99"/>
    <w:unhideWhenUsed/>
    <w:rsid w:val="00717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DB4"/>
  </w:style>
  <w:style w:type="table" w:customStyle="1" w:styleId="TableGrid1">
    <w:name w:val="Table Grid1"/>
    <w:basedOn w:val="TableNormal"/>
    <w:next w:val="TableGrid"/>
    <w:uiPriority w:val="39"/>
    <w:rsid w:val="009E1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1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E1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965033">
      <w:bodyDiv w:val="1"/>
      <w:marLeft w:val="0"/>
      <w:marRight w:val="0"/>
      <w:marTop w:val="0"/>
      <w:marBottom w:val="0"/>
      <w:divBdr>
        <w:top w:val="none" w:sz="0" w:space="0" w:color="auto"/>
        <w:left w:val="none" w:sz="0" w:space="0" w:color="auto"/>
        <w:bottom w:val="none" w:sz="0" w:space="0" w:color="auto"/>
        <w:right w:val="none" w:sz="0" w:space="0" w:color="auto"/>
      </w:divBdr>
    </w:div>
    <w:div w:id="1683236642">
      <w:bodyDiv w:val="1"/>
      <w:marLeft w:val="0"/>
      <w:marRight w:val="0"/>
      <w:marTop w:val="0"/>
      <w:marBottom w:val="0"/>
      <w:divBdr>
        <w:top w:val="none" w:sz="0" w:space="0" w:color="auto"/>
        <w:left w:val="none" w:sz="0" w:space="0" w:color="auto"/>
        <w:bottom w:val="none" w:sz="0" w:space="0" w:color="auto"/>
        <w:right w:val="none" w:sz="0" w:space="0" w:color="auto"/>
      </w:divBdr>
    </w:div>
    <w:div w:id="202500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mif-ua.com/archive/article/3758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orldpopulationreview.com/countries/moldova-population" TargetMode="External"/><Relationship Id="rId2" Type="http://schemas.openxmlformats.org/officeDocument/2006/relationships/numbering" Target="numbering.xml"/><Relationship Id="rId16" Type="http://schemas.openxmlformats.org/officeDocument/2006/relationships/hyperlink" Target="http://worldpopulationreview.com/countries/romania-popul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orldpopulationreview.com/countries/poland-population" TargetMode="External"/><Relationship Id="rId10" Type="http://schemas.openxmlformats.org/officeDocument/2006/relationships/hyperlink" Target="http://www.shef.ac.uk/FRAX" TargetMode="External"/><Relationship Id="rId19" Type="http://schemas.openxmlformats.org/officeDocument/2006/relationships/hyperlink" Target="https://esa.un.org/unpd/wpp/" TargetMode="External"/><Relationship Id="rId4" Type="http://schemas.microsoft.com/office/2007/relationships/stylesWithEffects" Target="stylesWithEffects.xml"/><Relationship Id="rId9" Type="http://schemas.openxmlformats.org/officeDocument/2006/relationships/hyperlink" Target="mailto:okfpodac@ukr.net" TargetMode="External"/><Relationship Id="rId14" Type="http://schemas.openxmlformats.org/officeDocument/2006/relationships/hyperlink" Target="http://worldpopulationreview.com/countries/slovakia-popul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8B22E-D6F9-4774-863B-6D1C7BC0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4113</Words>
  <Characters>23446</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Kanis</dc:creator>
  <cp:lastModifiedBy>Karen Drake</cp:lastModifiedBy>
  <cp:revision>2</cp:revision>
  <dcterms:created xsi:type="dcterms:W3CDTF">2017-06-19T10:15:00Z</dcterms:created>
  <dcterms:modified xsi:type="dcterms:W3CDTF">2017-06-19T10:15:00Z</dcterms:modified>
</cp:coreProperties>
</file>