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46" w:rsidRPr="00E53169" w:rsidRDefault="00DB3646" w:rsidP="00032B4E">
      <w:pPr>
        <w:spacing w:line="480" w:lineRule="auto"/>
        <w:rPr>
          <w:rFonts w:ascii="Times New Roman" w:hAnsi="Times New Roman" w:cs="Times New Roman"/>
          <w:b/>
          <w:lang w:val="en-GB"/>
        </w:rPr>
      </w:pPr>
      <w:bookmarkStart w:id="0" w:name="_GoBack"/>
      <w:bookmarkEnd w:id="0"/>
      <w:r w:rsidRPr="00E53169">
        <w:rPr>
          <w:rFonts w:ascii="Times New Roman" w:hAnsi="Times New Roman" w:cs="Times New Roman"/>
          <w:b/>
          <w:lang w:val="en-GB"/>
        </w:rPr>
        <w:t xml:space="preserve">Title: </w:t>
      </w:r>
      <w:r>
        <w:rPr>
          <w:rFonts w:ascii="Times New Roman" w:hAnsi="Times New Roman" w:cs="Times New Roman"/>
          <w:b/>
          <w:lang w:val="en-GB"/>
        </w:rPr>
        <w:t>Quantitative m</w:t>
      </w:r>
      <w:r w:rsidRPr="00E53169">
        <w:rPr>
          <w:rFonts w:ascii="Times New Roman" w:hAnsi="Times New Roman" w:cs="Times New Roman"/>
          <w:b/>
          <w:lang w:val="en-GB"/>
        </w:rPr>
        <w:t xml:space="preserve">odelling </w:t>
      </w:r>
      <w:r>
        <w:rPr>
          <w:rFonts w:ascii="Times New Roman" w:hAnsi="Times New Roman" w:cs="Times New Roman"/>
          <w:b/>
          <w:lang w:val="en-GB"/>
        </w:rPr>
        <w:t xml:space="preserve">of hip fracture </w:t>
      </w:r>
      <w:r w:rsidRPr="00E53169">
        <w:rPr>
          <w:rFonts w:ascii="Times New Roman" w:hAnsi="Times New Roman" w:cs="Times New Roman"/>
          <w:b/>
          <w:lang w:val="en-GB"/>
        </w:rPr>
        <w:t xml:space="preserve">trends in 14 </w:t>
      </w:r>
      <w:r>
        <w:rPr>
          <w:rFonts w:ascii="Times New Roman" w:hAnsi="Times New Roman" w:cs="Times New Roman"/>
          <w:b/>
          <w:lang w:val="en-GB"/>
        </w:rPr>
        <w:t xml:space="preserve">European </w:t>
      </w:r>
      <w:r w:rsidRPr="00E53169">
        <w:rPr>
          <w:rFonts w:ascii="Times New Roman" w:hAnsi="Times New Roman" w:cs="Times New Roman"/>
          <w:b/>
          <w:lang w:val="en-GB"/>
        </w:rPr>
        <w:t>countries</w:t>
      </w:r>
      <w:r>
        <w:rPr>
          <w:rFonts w:ascii="Times New Roman" w:hAnsi="Times New Roman" w:cs="Times New Roman"/>
          <w:b/>
          <w:lang w:val="en-GB"/>
        </w:rPr>
        <w:t xml:space="preserve">: testing </w:t>
      </w:r>
      <w:r w:rsidRPr="005F6BAE">
        <w:rPr>
          <w:rFonts w:ascii="Times New Roman" w:hAnsi="Times New Roman" w:cs="Times New Roman"/>
          <w:b/>
          <w:lang w:val="en-GB"/>
        </w:rPr>
        <w:t xml:space="preserve">variations of a shared </w:t>
      </w:r>
      <w:r>
        <w:rPr>
          <w:rFonts w:ascii="Times New Roman" w:hAnsi="Times New Roman" w:cs="Times New Roman"/>
          <w:b/>
          <w:lang w:val="en-GB"/>
        </w:rPr>
        <w:t>reversal over time</w:t>
      </w:r>
    </w:p>
    <w:p w:rsidR="00DB3646" w:rsidRPr="00E53169" w:rsidRDefault="00DB3646" w:rsidP="00032B4E">
      <w:pPr>
        <w:spacing w:line="480" w:lineRule="auto"/>
        <w:rPr>
          <w:rFonts w:ascii="Times New Roman" w:hAnsi="Times New Roman" w:cs="Times New Roman"/>
          <w:b/>
          <w:lang w:val="en-GB"/>
        </w:rPr>
      </w:pPr>
    </w:p>
    <w:p w:rsidR="00DB3646" w:rsidRPr="000F3A7A" w:rsidRDefault="00DB3646" w:rsidP="00032B4E">
      <w:pPr>
        <w:spacing w:line="480" w:lineRule="auto"/>
        <w:rPr>
          <w:rFonts w:ascii="Times New Roman" w:hAnsi="Times New Roman" w:cs="Times New Roman"/>
          <w:b/>
          <w:lang w:val="pt-PT"/>
        </w:rPr>
      </w:pPr>
      <w:r w:rsidRPr="000F3A7A">
        <w:rPr>
          <w:rFonts w:ascii="Times New Roman" w:hAnsi="Times New Roman" w:cs="Times New Roman"/>
          <w:b/>
          <w:lang w:val="pt-PT"/>
        </w:rPr>
        <w:t>Authors: Raquel Lucas</w:t>
      </w:r>
      <w:r w:rsidRPr="000F3A7A">
        <w:rPr>
          <w:rFonts w:ascii="Times New Roman" w:hAnsi="Times New Roman" w:cs="Times New Roman"/>
          <w:b/>
          <w:vertAlign w:val="superscript"/>
          <w:lang w:val="pt-PT"/>
        </w:rPr>
        <w:t>1,2</w:t>
      </w:r>
      <w:r w:rsidRPr="000F3A7A">
        <w:rPr>
          <w:rFonts w:ascii="Times New Roman" w:hAnsi="Times New Roman" w:cs="Times New Roman"/>
          <w:b/>
          <w:lang w:val="pt-PT"/>
        </w:rPr>
        <w:t>, PhD; Ana Martins</w:t>
      </w:r>
      <w:r w:rsidRPr="000F3A7A">
        <w:rPr>
          <w:rFonts w:ascii="Times New Roman" w:hAnsi="Times New Roman" w:cs="Times New Roman"/>
          <w:b/>
          <w:vertAlign w:val="superscript"/>
          <w:lang w:val="pt-PT"/>
        </w:rPr>
        <w:t>1,2</w:t>
      </w:r>
      <w:r w:rsidRPr="000F3A7A">
        <w:rPr>
          <w:rFonts w:ascii="Times New Roman" w:hAnsi="Times New Roman" w:cs="Times New Roman"/>
          <w:b/>
          <w:lang w:val="pt-PT"/>
        </w:rPr>
        <w:t>, MSc; Milton Severo</w:t>
      </w:r>
      <w:r w:rsidRPr="000F3A7A">
        <w:rPr>
          <w:rFonts w:ascii="Times New Roman" w:hAnsi="Times New Roman" w:cs="Times New Roman"/>
          <w:b/>
          <w:vertAlign w:val="superscript"/>
          <w:lang w:val="pt-PT"/>
        </w:rPr>
        <w:t>1,2</w:t>
      </w:r>
      <w:r w:rsidRPr="000F3A7A">
        <w:rPr>
          <w:rFonts w:ascii="Times New Roman" w:hAnsi="Times New Roman" w:cs="Times New Roman"/>
          <w:b/>
          <w:lang w:val="pt-PT"/>
        </w:rPr>
        <w:t>, PhD; Poliana Silva</w:t>
      </w:r>
      <w:r w:rsidRPr="000F3A7A">
        <w:rPr>
          <w:rFonts w:ascii="Times New Roman" w:hAnsi="Times New Roman" w:cs="Times New Roman"/>
          <w:b/>
          <w:vertAlign w:val="superscript"/>
          <w:lang w:val="pt-PT"/>
        </w:rPr>
        <w:t>1</w:t>
      </w:r>
      <w:r w:rsidRPr="000F3A7A">
        <w:rPr>
          <w:rFonts w:ascii="Times New Roman" w:hAnsi="Times New Roman" w:cs="Times New Roman"/>
          <w:b/>
          <w:lang w:val="pt-PT"/>
        </w:rPr>
        <w:t>, MSc; Teresa Monjardino</w:t>
      </w:r>
      <w:r w:rsidRPr="000F3A7A">
        <w:rPr>
          <w:rFonts w:ascii="Times New Roman" w:hAnsi="Times New Roman" w:cs="Times New Roman"/>
          <w:b/>
          <w:vertAlign w:val="superscript"/>
          <w:lang w:val="pt-PT"/>
        </w:rPr>
        <w:t>1,2</w:t>
      </w:r>
      <w:r>
        <w:rPr>
          <w:rFonts w:ascii="Times New Roman" w:hAnsi="Times New Roman" w:cs="Times New Roman"/>
          <w:b/>
          <w:lang w:val="pt-PT"/>
        </w:rPr>
        <w:t>;</w:t>
      </w:r>
      <w:r w:rsidRPr="000F3A7A">
        <w:rPr>
          <w:rFonts w:ascii="Times New Roman" w:hAnsi="Times New Roman" w:cs="Times New Roman"/>
          <w:b/>
          <w:lang w:val="pt-PT"/>
        </w:rPr>
        <w:t xml:space="preserve"> MSc, Ana Rita Gaio</w:t>
      </w:r>
      <w:r w:rsidRPr="000F3A7A">
        <w:rPr>
          <w:rFonts w:ascii="Times New Roman" w:hAnsi="Times New Roman" w:cs="Times New Roman"/>
          <w:b/>
          <w:vertAlign w:val="superscript"/>
          <w:lang w:val="pt-PT"/>
        </w:rPr>
        <w:t>3</w:t>
      </w:r>
      <w:r w:rsidRPr="000F3A7A">
        <w:rPr>
          <w:rFonts w:ascii="Times New Roman" w:hAnsi="Times New Roman" w:cs="Times New Roman"/>
          <w:b/>
          <w:lang w:val="pt-PT"/>
        </w:rPr>
        <w:t>, PhD</w:t>
      </w:r>
      <w:r>
        <w:rPr>
          <w:rFonts w:ascii="Times New Roman" w:hAnsi="Times New Roman" w:cs="Times New Roman"/>
          <w:b/>
          <w:lang w:val="pt-PT"/>
        </w:rPr>
        <w:t>;</w:t>
      </w:r>
      <w:r w:rsidRPr="000F3A7A">
        <w:rPr>
          <w:rFonts w:ascii="Times New Roman" w:hAnsi="Times New Roman" w:cs="Times New Roman"/>
          <w:b/>
          <w:lang w:val="pt-PT"/>
        </w:rPr>
        <w:t xml:space="preserve"> Cyrus Cooper</w:t>
      </w:r>
      <w:r w:rsidR="00C11237">
        <w:rPr>
          <w:rFonts w:ascii="Times New Roman" w:hAnsi="Times New Roman" w:cs="Times New Roman"/>
          <w:b/>
          <w:vertAlign w:val="superscript"/>
          <w:lang w:val="pt-PT"/>
        </w:rPr>
        <w:t>4</w:t>
      </w:r>
      <w:r w:rsidRPr="000F3A7A">
        <w:rPr>
          <w:rFonts w:ascii="Times New Roman" w:hAnsi="Times New Roman" w:cs="Times New Roman"/>
          <w:b/>
          <w:lang w:val="pt-PT"/>
        </w:rPr>
        <w:t>, PhD, FMedSci; Henrique Barros</w:t>
      </w:r>
      <w:r w:rsidRPr="000F3A7A">
        <w:rPr>
          <w:rFonts w:ascii="Times New Roman" w:hAnsi="Times New Roman" w:cs="Times New Roman"/>
          <w:b/>
          <w:vertAlign w:val="superscript"/>
          <w:lang w:val="pt-PT"/>
        </w:rPr>
        <w:t>1,2</w:t>
      </w:r>
      <w:r w:rsidRPr="000F3A7A">
        <w:rPr>
          <w:rFonts w:ascii="Times New Roman" w:hAnsi="Times New Roman" w:cs="Times New Roman"/>
          <w:b/>
          <w:lang w:val="pt-PT"/>
        </w:rPr>
        <w:t>, MD PhD</w:t>
      </w:r>
    </w:p>
    <w:p w:rsidR="00DB3646" w:rsidRPr="0091450C" w:rsidRDefault="00DB3646" w:rsidP="00032B4E">
      <w:pPr>
        <w:spacing w:line="480" w:lineRule="auto"/>
        <w:rPr>
          <w:rFonts w:ascii="Times New Roman" w:hAnsi="Times New Roman" w:cs="Times New Roman"/>
          <w:lang w:val="pt-PT"/>
        </w:rPr>
      </w:pPr>
    </w:p>
    <w:p w:rsidR="00DB3646" w:rsidRPr="0091450C" w:rsidRDefault="00DB3646" w:rsidP="00032B4E">
      <w:pPr>
        <w:spacing w:line="480" w:lineRule="auto"/>
        <w:rPr>
          <w:rFonts w:ascii="Times New Roman" w:hAnsi="Times New Roman" w:cs="Times New Roman"/>
          <w:b/>
          <w:lang w:val="en-GB"/>
        </w:rPr>
      </w:pPr>
      <w:r w:rsidRPr="0091450C">
        <w:rPr>
          <w:rFonts w:ascii="Times New Roman" w:hAnsi="Times New Roman" w:cs="Times New Roman"/>
          <w:b/>
          <w:lang w:val="en-GB"/>
        </w:rPr>
        <w:t xml:space="preserve">Affiliations: </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1. EPIUnit – Institute of Public Health, University of Porto, Porto, Portugal</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2. Department of Clinical Epidemiology, Predictive Medicine and Public Health, University of Porto Medical School, Porto, Portugal</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3. Department of Mathematics, Faculty of Sciences, University of Porto</w:t>
      </w:r>
      <w:r>
        <w:rPr>
          <w:rFonts w:ascii="Times New Roman" w:hAnsi="Times New Roman" w:cs="Times New Roman"/>
          <w:lang w:val="en-GB"/>
        </w:rPr>
        <w:t xml:space="preserve"> and Centre of Mathematics of the</w:t>
      </w:r>
      <w:r w:rsidRPr="00E53169">
        <w:rPr>
          <w:rFonts w:ascii="Times New Roman" w:hAnsi="Times New Roman" w:cs="Times New Roman"/>
          <w:lang w:val="en-GB"/>
        </w:rPr>
        <w:t xml:space="preserve"> University of Porto, Porto, Portugal</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4. MRC Lifecourse Epidemiology Unit, University of Southampton, Southampton General Hospital, Southampton, UK</w:t>
      </w:r>
    </w:p>
    <w:p w:rsidR="00DB3646" w:rsidRPr="00E53169" w:rsidRDefault="00DB3646" w:rsidP="00032B4E">
      <w:pPr>
        <w:spacing w:line="480" w:lineRule="auto"/>
        <w:rPr>
          <w:rFonts w:ascii="Times New Roman" w:hAnsi="Times New Roman" w:cs="Times New Roman"/>
          <w:lang w:val="en-GB"/>
        </w:rPr>
      </w:pPr>
    </w:p>
    <w:p w:rsidR="00DB3646" w:rsidRPr="00E53169" w:rsidRDefault="00DB3646" w:rsidP="00032B4E">
      <w:pPr>
        <w:spacing w:line="360" w:lineRule="auto"/>
        <w:rPr>
          <w:rFonts w:ascii="Times New Roman" w:hAnsi="Times New Roman" w:cs="Times New Roman"/>
          <w:b/>
          <w:lang w:val="en-GB"/>
        </w:rPr>
      </w:pPr>
      <w:r w:rsidRPr="00E53169">
        <w:rPr>
          <w:rFonts w:ascii="Times New Roman" w:hAnsi="Times New Roman" w:cs="Times New Roman"/>
          <w:b/>
          <w:lang w:val="en-GB"/>
        </w:rPr>
        <w:t>Corresponding author:</w:t>
      </w:r>
    </w:p>
    <w:p w:rsidR="00DB3646" w:rsidRPr="00E53169" w:rsidRDefault="00DB3646" w:rsidP="00032B4E">
      <w:pPr>
        <w:spacing w:after="0" w:line="360" w:lineRule="auto"/>
        <w:rPr>
          <w:rFonts w:ascii="Times New Roman" w:hAnsi="Times New Roman" w:cs="Times New Roman"/>
          <w:lang w:val="en-GB"/>
        </w:rPr>
      </w:pPr>
      <w:r w:rsidRPr="00E53169">
        <w:rPr>
          <w:rFonts w:ascii="Times New Roman" w:hAnsi="Times New Roman" w:cs="Times New Roman"/>
          <w:lang w:val="en-GB"/>
        </w:rPr>
        <w:t>Raquel Lucas</w:t>
      </w:r>
    </w:p>
    <w:p w:rsidR="00DB3646" w:rsidRPr="00E53169" w:rsidRDefault="00DB3646" w:rsidP="00032B4E">
      <w:pPr>
        <w:spacing w:after="0" w:line="360" w:lineRule="auto"/>
        <w:rPr>
          <w:rFonts w:ascii="Times New Roman" w:hAnsi="Times New Roman" w:cs="Times New Roman"/>
          <w:lang w:val="en-GB"/>
        </w:rPr>
      </w:pPr>
      <w:r w:rsidRPr="00E53169">
        <w:rPr>
          <w:rFonts w:ascii="Times New Roman" w:hAnsi="Times New Roman" w:cs="Times New Roman"/>
          <w:lang w:val="en-GB"/>
        </w:rPr>
        <w:t>Institute of Public Health, University of Porto</w:t>
      </w:r>
    </w:p>
    <w:p w:rsidR="00DB3646" w:rsidRPr="00314E84" w:rsidRDefault="00DB3646" w:rsidP="00032B4E">
      <w:pPr>
        <w:spacing w:after="0" w:line="360" w:lineRule="auto"/>
        <w:rPr>
          <w:rFonts w:ascii="Times New Roman" w:hAnsi="Times New Roman" w:cs="Times New Roman"/>
          <w:lang w:val="pt-PT"/>
        </w:rPr>
      </w:pPr>
      <w:r w:rsidRPr="00314E84">
        <w:rPr>
          <w:rFonts w:ascii="Times New Roman" w:hAnsi="Times New Roman" w:cs="Times New Roman"/>
          <w:lang w:val="pt-PT"/>
        </w:rPr>
        <w:t>Rua das Taipas, 135</w:t>
      </w:r>
    </w:p>
    <w:p w:rsidR="00DB3646" w:rsidRPr="00314E84" w:rsidRDefault="00DB3646" w:rsidP="00032B4E">
      <w:pPr>
        <w:spacing w:after="0" w:line="360" w:lineRule="auto"/>
        <w:rPr>
          <w:rFonts w:ascii="Times New Roman" w:hAnsi="Times New Roman" w:cs="Times New Roman"/>
          <w:lang w:val="pt-PT"/>
        </w:rPr>
      </w:pPr>
      <w:r w:rsidRPr="00314E84">
        <w:rPr>
          <w:rFonts w:ascii="Times New Roman" w:hAnsi="Times New Roman" w:cs="Times New Roman"/>
          <w:lang w:val="pt-PT"/>
        </w:rPr>
        <w:t>4050 600 Porto, Portugal</w:t>
      </w:r>
    </w:p>
    <w:p w:rsidR="00DB3646" w:rsidRPr="00DB3646" w:rsidRDefault="00DB3646" w:rsidP="00032B4E">
      <w:pPr>
        <w:spacing w:after="0" w:line="360" w:lineRule="auto"/>
        <w:rPr>
          <w:rFonts w:ascii="Times New Roman" w:hAnsi="Times New Roman" w:cs="Times New Roman"/>
          <w:lang w:val="pt-PT"/>
        </w:rPr>
      </w:pPr>
      <w:r w:rsidRPr="00DB3646">
        <w:rPr>
          <w:rFonts w:ascii="Times New Roman" w:hAnsi="Times New Roman" w:cs="Times New Roman"/>
          <w:lang w:val="pt-PT"/>
        </w:rPr>
        <w:t>Email: rlucas@med.up.pt</w:t>
      </w:r>
    </w:p>
    <w:p w:rsidR="00DB3646" w:rsidRPr="00C11237" w:rsidRDefault="00DB3646" w:rsidP="00032B4E">
      <w:pPr>
        <w:spacing w:after="0" w:line="360" w:lineRule="auto"/>
        <w:rPr>
          <w:rFonts w:ascii="Times New Roman" w:hAnsi="Times New Roman" w:cs="Times New Roman"/>
          <w:lang w:val="pt-PT"/>
        </w:rPr>
      </w:pPr>
      <w:r w:rsidRPr="00C11237">
        <w:rPr>
          <w:rFonts w:ascii="Times New Roman" w:hAnsi="Times New Roman" w:cs="Times New Roman"/>
          <w:lang w:val="pt-PT"/>
        </w:rPr>
        <w:t>Office phone: +351222061820; Mobile: +351962860846</w:t>
      </w:r>
    </w:p>
    <w:p w:rsidR="00DB3646" w:rsidRPr="00C11237" w:rsidRDefault="00DB3646" w:rsidP="00032B4E">
      <w:pPr>
        <w:spacing w:line="480" w:lineRule="auto"/>
        <w:rPr>
          <w:rFonts w:ascii="Times New Roman" w:hAnsi="Times New Roman" w:cs="Times New Roman"/>
          <w:b/>
          <w:lang w:val="pt-PT"/>
        </w:rPr>
      </w:pPr>
    </w:p>
    <w:p w:rsidR="00DB3646" w:rsidRPr="00C11237" w:rsidRDefault="00DB3646" w:rsidP="00032B4E">
      <w:pPr>
        <w:spacing w:line="480" w:lineRule="auto"/>
        <w:rPr>
          <w:rFonts w:ascii="Times New Roman" w:hAnsi="Times New Roman" w:cs="Times New Roman"/>
          <w:b/>
          <w:lang w:val="pt-PT"/>
        </w:rPr>
      </w:pP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 xml:space="preserve">Qualitative similarities between hip fracture </w:t>
      </w:r>
      <w:r w:rsidRPr="00CE0B0B">
        <w:rPr>
          <w:rFonts w:ascii="Times New Roman" w:hAnsi="Times New Roman" w:cs="Times New Roman"/>
          <w:lang w:val="en-GB"/>
        </w:rPr>
        <w:t xml:space="preserve">trends </w:t>
      </w:r>
      <w:r>
        <w:rPr>
          <w:rFonts w:ascii="Times New Roman" w:hAnsi="Times New Roman" w:cs="Times New Roman"/>
          <w:lang w:val="en-GB"/>
        </w:rPr>
        <w:t xml:space="preserve">in </w:t>
      </w:r>
      <w:r w:rsidRPr="00CE0B0B">
        <w:rPr>
          <w:rFonts w:ascii="Times New Roman" w:hAnsi="Times New Roman" w:cs="Times New Roman"/>
          <w:lang w:val="en-GB"/>
        </w:rPr>
        <w:t xml:space="preserve">different countries </w:t>
      </w:r>
      <w:r>
        <w:rPr>
          <w:rFonts w:ascii="Times New Roman" w:hAnsi="Times New Roman" w:cs="Times New Roman"/>
          <w:lang w:val="en-GB"/>
        </w:rPr>
        <w:t>suggests</w:t>
      </w:r>
      <w:r w:rsidRPr="00CE0B0B">
        <w:rPr>
          <w:rFonts w:ascii="Times New Roman" w:hAnsi="Times New Roman" w:cs="Times New Roman"/>
          <w:lang w:val="en-GB"/>
        </w:rPr>
        <w:t xml:space="preserve"> variations of the same epidemic</w:t>
      </w:r>
      <w:r>
        <w:rPr>
          <w:rFonts w:ascii="Times New Roman" w:hAnsi="Times New Roman" w:cs="Times New Roman"/>
          <w:lang w:val="en-GB"/>
        </w:rPr>
        <w:t>.</w:t>
      </w:r>
      <w:r w:rsidRPr="00CE0B0B">
        <w:rPr>
          <w:rFonts w:ascii="Times New Roman" w:hAnsi="Times New Roman" w:cs="Times New Roman"/>
          <w:lang w:val="en-GB"/>
        </w:rPr>
        <w:t xml:space="preserve"> </w:t>
      </w:r>
      <w:r>
        <w:rPr>
          <w:rFonts w:ascii="Times New Roman" w:hAnsi="Times New Roman" w:cs="Times New Roman"/>
          <w:lang w:val="en-GB"/>
        </w:rPr>
        <w:t>W</w:t>
      </w:r>
      <w:r w:rsidRPr="00EA363F">
        <w:rPr>
          <w:rFonts w:ascii="Times New Roman" w:hAnsi="Times New Roman" w:cs="Times New Roman"/>
          <w:lang w:val="en-GB"/>
        </w:rPr>
        <w:t>e test</w:t>
      </w:r>
      <w:r>
        <w:rPr>
          <w:rFonts w:ascii="Times New Roman" w:hAnsi="Times New Roman" w:cs="Times New Roman"/>
          <w:lang w:val="en-GB"/>
        </w:rPr>
        <w:t>ed</w:t>
      </w:r>
      <w:r w:rsidRPr="00EA363F">
        <w:rPr>
          <w:rFonts w:ascii="Times New Roman" w:hAnsi="Times New Roman" w:cs="Times New Roman"/>
          <w:lang w:val="en-GB"/>
        </w:rPr>
        <w:t xml:space="preserve"> a single </w:t>
      </w:r>
      <w:r>
        <w:rPr>
          <w:rFonts w:ascii="Times New Roman" w:hAnsi="Times New Roman" w:cs="Times New Roman"/>
          <w:lang w:val="en-GB"/>
        </w:rPr>
        <w:t>statistical shape</w:t>
      </w:r>
      <w:r w:rsidRPr="00EA363F">
        <w:rPr>
          <w:rFonts w:ascii="Times New Roman" w:hAnsi="Times New Roman" w:cs="Times New Roman"/>
          <w:lang w:val="en-GB"/>
        </w:rPr>
        <w:t xml:space="preserve"> to describe </w:t>
      </w:r>
      <w:r>
        <w:rPr>
          <w:rFonts w:ascii="Times New Roman" w:hAnsi="Times New Roman" w:cs="Times New Roman"/>
          <w:lang w:val="en-GB"/>
        </w:rPr>
        <w:t>time</w:t>
      </w:r>
      <w:r w:rsidRPr="00EA363F">
        <w:rPr>
          <w:rFonts w:ascii="Times New Roman" w:hAnsi="Times New Roman" w:cs="Times New Roman"/>
          <w:lang w:val="en-GB"/>
        </w:rPr>
        <w:t xml:space="preserve"> trends in Europe</w:t>
      </w:r>
      <w:r>
        <w:rPr>
          <w:rFonts w:ascii="Times New Roman" w:hAnsi="Times New Roman" w:cs="Times New Roman"/>
          <w:lang w:val="en-GB"/>
        </w:rPr>
        <w:t>, while allowing for country-level variability</w:t>
      </w:r>
      <w:r w:rsidRPr="00EA363F">
        <w:rPr>
          <w:rFonts w:ascii="Times New Roman" w:hAnsi="Times New Roman" w:cs="Times New Roman"/>
          <w:lang w:val="en-GB"/>
        </w:rPr>
        <w:t>.</w:t>
      </w:r>
      <w:r>
        <w:rPr>
          <w:rFonts w:ascii="Times New Roman" w:hAnsi="Times New Roman" w:cs="Times New Roman"/>
          <w:lang w:val="en-GB"/>
        </w:rPr>
        <w:t xml:space="preserve"> Using data from 14 countries, we modelled incidence rates over time using linear mixed-effects models, including the fixed effects of calendar year and age. Random effects were tested to quantify country-level variability in background rates, timing of trend reversal and tempo of reversal. Mixture models were applied to identify clusters of countries defined by common behavioural features.</w:t>
      </w: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A quadratic function of time, with random effects for background rates and timing of trend reversal, adjusted well to the observed data. P</w:t>
      </w:r>
      <w:r w:rsidRPr="0073288C">
        <w:rPr>
          <w:rFonts w:ascii="Times New Roman" w:hAnsi="Times New Roman" w:cs="Times New Roman"/>
          <w:lang w:val="en-GB"/>
        </w:rPr>
        <w:t xml:space="preserve">redicted trend reversal </w:t>
      </w:r>
      <w:r>
        <w:rPr>
          <w:rFonts w:ascii="Times New Roman" w:hAnsi="Times New Roman" w:cs="Times New Roman"/>
          <w:lang w:val="en-GB"/>
        </w:rPr>
        <w:t>occurred</w:t>
      </w:r>
      <w:r w:rsidRPr="0073288C">
        <w:rPr>
          <w:rFonts w:ascii="Times New Roman" w:hAnsi="Times New Roman" w:cs="Times New Roman"/>
          <w:lang w:val="en-GB"/>
        </w:rPr>
        <w:t xml:space="preserve"> on average in 1999 in women (peak incidence about 600 per 100</w:t>
      </w:r>
      <w:r>
        <w:rPr>
          <w:rFonts w:ascii="Times New Roman" w:hAnsi="Times New Roman" w:cs="Times New Roman"/>
          <w:lang w:val="en-GB"/>
        </w:rPr>
        <w:t xml:space="preserve"> </w:t>
      </w:r>
      <w:r w:rsidRPr="0073288C">
        <w:rPr>
          <w:rFonts w:ascii="Times New Roman" w:hAnsi="Times New Roman" w:cs="Times New Roman"/>
          <w:lang w:val="en-GB"/>
        </w:rPr>
        <w:t>000) and 2000 in men (about 300 per 100</w:t>
      </w:r>
      <w:r>
        <w:rPr>
          <w:rFonts w:ascii="Times New Roman" w:hAnsi="Times New Roman" w:cs="Times New Roman"/>
          <w:lang w:val="en-GB"/>
        </w:rPr>
        <w:t xml:space="preserve"> </w:t>
      </w:r>
      <w:r w:rsidRPr="0073288C">
        <w:rPr>
          <w:rFonts w:ascii="Times New Roman" w:hAnsi="Times New Roman" w:cs="Times New Roman"/>
          <w:lang w:val="en-GB"/>
        </w:rPr>
        <w:t>000)</w:t>
      </w:r>
      <w:r>
        <w:rPr>
          <w:rFonts w:ascii="Times New Roman" w:hAnsi="Times New Roman" w:cs="Times New Roman"/>
          <w:lang w:val="en-GB"/>
        </w:rPr>
        <w:t xml:space="preserve">. </w:t>
      </w:r>
      <w:r w:rsidRPr="00D30B39">
        <w:rPr>
          <w:rFonts w:ascii="Times New Roman" w:hAnsi="Times New Roman" w:cs="Times New Roman"/>
          <w:lang w:val="en-GB"/>
        </w:rPr>
        <w:t xml:space="preserve">Mixture modelling of country-level </w:t>
      </w:r>
      <w:r>
        <w:rPr>
          <w:rFonts w:ascii="Times New Roman" w:hAnsi="Times New Roman" w:cs="Times New Roman"/>
          <w:lang w:val="en-GB"/>
        </w:rPr>
        <w:t>effects suggested</w:t>
      </w:r>
      <w:r w:rsidRPr="0073288C">
        <w:rPr>
          <w:rFonts w:ascii="Times New Roman" w:hAnsi="Times New Roman" w:cs="Times New Roman"/>
          <w:lang w:val="en-GB"/>
        </w:rPr>
        <w:t xml:space="preserve"> </w:t>
      </w:r>
      <w:r>
        <w:rPr>
          <w:rFonts w:ascii="Times New Roman" w:hAnsi="Times New Roman" w:cs="Times New Roman"/>
          <w:lang w:val="en-GB"/>
        </w:rPr>
        <w:t xml:space="preserve">three clusters </w:t>
      </w:r>
      <w:r w:rsidRPr="0073288C">
        <w:rPr>
          <w:rFonts w:ascii="Times New Roman" w:hAnsi="Times New Roman" w:cs="Times New Roman"/>
          <w:lang w:val="en-GB"/>
        </w:rPr>
        <w:t xml:space="preserve">for women and </w:t>
      </w:r>
      <w:r>
        <w:rPr>
          <w:rFonts w:ascii="Times New Roman" w:hAnsi="Times New Roman" w:cs="Times New Roman"/>
          <w:lang w:val="en-GB"/>
        </w:rPr>
        <w:t xml:space="preserve">two </w:t>
      </w:r>
      <w:r w:rsidRPr="0073288C">
        <w:rPr>
          <w:rFonts w:ascii="Times New Roman" w:hAnsi="Times New Roman" w:cs="Times New Roman"/>
          <w:lang w:val="en-GB"/>
        </w:rPr>
        <w:t>for men.</w:t>
      </w:r>
      <w:r>
        <w:rPr>
          <w:rFonts w:ascii="Times New Roman" w:hAnsi="Times New Roman" w:cs="Times New Roman"/>
          <w:lang w:val="en-GB"/>
        </w:rPr>
        <w:t xml:space="preserve"> In both sexes, </w:t>
      </w:r>
      <w:r w:rsidRPr="0073288C">
        <w:rPr>
          <w:rFonts w:ascii="Times New Roman" w:hAnsi="Times New Roman" w:cs="Times New Roman"/>
          <w:lang w:val="en-GB"/>
        </w:rPr>
        <w:t xml:space="preserve">Scandinavia </w:t>
      </w:r>
      <w:r>
        <w:rPr>
          <w:rFonts w:ascii="Times New Roman" w:hAnsi="Times New Roman" w:cs="Times New Roman"/>
          <w:lang w:val="en-GB"/>
        </w:rPr>
        <w:t xml:space="preserve">showed </w:t>
      </w:r>
      <w:r w:rsidRPr="0073288C">
        <w:rPr>
          <w:rFonts w:ascii="Times New Roman" w:hAnsi="Times New Roman" w:cs="Times New Roman"/>
          <w:lang w:val="en-GB"/>
        </w:rPr>
        <w:t>higher rates but earlier trend reversal</w:t>
      </w:r>
      <w:r>
        <w:rPr>
          <w:rFonts w:ascii="Times New Roman" w:hAnsi="Times New Roman" w:cs="Times New Roman"/>
          <w:lang w:val="en-GB"/>
        </w:rPr>
        <w:t>s, whereas</w:t>
      </w:r>
      <w:r w:rsidRPr="0073288C">
        <w:rPr>
          <w:rFonts w:ascii="Times New Roman" w:hAnsi="Times New Roman" w:cs="Times New Roman"/>
          <w:lang w:val="en-GB"/>
        </w:rPr>
        <w:t xml:space="preserve"> </w:t>
      </w:r>
      <w:r>
        <w:rPr>
          <w:rFonts w:ascii="Times New Roman" w:hAnsi="Times New Roman" w:cs="Times New Roman"/>
          <w:lang w:val="en-GB"/>
        </w:rPr>
        <w:t>l</w:t>
      </w:r>
      <w:r w:rsidRPr="0073288C">
        <w:rPr>
          <w:rFonts w:ascii="Times New Roman" w:hAnsi="Times New Roman" w:cs="Times New Roman"/>
          <w:lang w:val="en-GB"/>
        </w:rPr>
        <w:t>ater trend reversals but lower peak incidence</w:t>
      </w:r>
      <w:r>
        <w:rPr>
          <w:rFonts w:ascii="Times New Roman" w:hAnsi="Times New Roman" w:cs="Times New Roman"/>
          <w:lang w:val="en-GB"/>
        </w:rPr>
        <w:t>s</w:t>
      </w:r>
      <w:r w:rsidRPr="0073288C">
        <w:rPr>
          <w:rFonts w:ascii="Times New Roman" w:hAnsi="Times New Roman" w:cs="Times New Roman"/>
          <w:lang w:val="en-GB"/>
        </w:rPr>
        <w:t xml:space="preserve"> were found in Southern Europe and most </w:t>
      </w:r>
      <w:r>
        <w:rPr>
          <w:rFonts w:ascii="Times New Roman" w:hAnsi="Times New Roman" w:cs="Times New Roman"/>
          <w:lang w:val="en-GB"/>
        </w:rPr>
        <w:t xml:space="preserve">of </w:t>
      </w:r>
      <w:r w:rsidRPr="0073288C">
        <w:rPr>
          <w:rFonts w:ascii="Times New Roman" w:hAnsi="Times New Roman" w:cs="Times New Roman"/>
          <w:lang w:val="en-GB"/>
        </w:rPr>
        <w:t>Central E</w:t>
      </w:r>
      <w:r>
        <w:rPr>
          <w:rFonts w:ascii="Times New Roman" w:hAnsi="Times New Roman" w:cs="Times New Roman"/>
          <w:lang w:val="en-GB"/>
        </w:rPr>
        <w:t>urope.</w:t>
      </w:r>
    </w:p>
    <w:p w:rsidR="00DB3646" w:rsidRPr="00290427" w:rsidRDefault="00DB3646" w:rsidP="00032B4E">
      <w:pPr>
        <w:spacing w:line="480" w:lineRule="auto"/>
        <w:rPr>
          <w:rFonts w:ascii="Times New Roman" w:hAnsi="Times New Roman" w:cs="Times New Roman"/>
          <w:lang w:val="en-GB"/>
        </w:rPr>
      </w:pPr>
      <w:r>
        <w:rPr>
          <w:rFonts w:ascii="Times New Roman" w:hAnsi="Times New Roman" w:cs="Times New Roman"/>
          <w:lang w:val="en-GB"/>
        </w:rPr>
        <w:t xml:space="preserve">Our finding of a similar overall reversal </w:t>
      </w:r>
      <w:r w:rsidRPr="0073288C">
        <w:rPr>
          <w:rFonts w:ascii="Times New Roman" w:hAnsi="Times New Roman" w:cs="Times New Roman"/>
          <w:lang w:val="en-GB"/>
        </w:rPr>
        <w:t>pattern</w:t>
      </w:r>
      <w:r>
        <w:rPr>
          <w:rFonts w:ascii="Times New Roman" w:hAnsi="Times New Roman" w:cs="Times New Roman"/>
          <w:lang w:val="en-GB"/>
        </w:rPr>
        <w:t xml:space="preserve"> suggests that different countries show variations of a shared hip fracture epidemic.</w:t>
      </w:r>
    </w:p>
    <w:p w:rsidR="00DB3646" w:rsidRDefault="00DB3646" w:rsidP="00032B4E">
      <w:pPr>
        <w:spacing w:line="480" w:lineRule="auto"/>
        <w:rPr>
          <w:rFonts w:ascii="Times New Roman" w:hAnsi="Times New Roman" w:cs="Times New Roman"/>
          <w:b/>
          <w:lang w:val="en-GB"/>
        </w:rPr>
      </w:pPr>
    </w:p>
    <w:p w:rsidR="00DB3646" w:rsidRDefault="00DB3646" w:rsidP="00032B4E">
      <w:pPr>
        <w:spacing w:line="480" w:lineRule="auto"/>
        <w:rPr>
          <w:rFonts w:ascii="Times New Roman" w:hAnsi="Times New Roman" w:cs="Times New Roman"/>
          <w:b/>
          <w:lang w:val="en-GB"/>
        </w:rPr>
      </w:pP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b/>
          <w:lang w:val="en-GB"/>
        </w:rPr>
        <w:t>KEYWORDS:</w:t>
      </w:r>
      <w:r w:rsidRPr="00E53169">
        <w:rPr>
          <w:rFonts w:ascii="Times New Roman" w:hAnsi="Times New Roman" w:cs="Times New Roman"/>
          <w:lang w:val="en-GB"/>
        </w:rPr>
        <w:t xml:space="preserve"> Fragility fractures; Secular trends; European countries; Trend modelling; </w:t>
      </w:r>
      <w:r>
        <w:rPr>
          <w:rFonts w:ascii="Times New Roman" w:hAnsi="Times New Roman" w:cs="Times New Roman"/>
          <w:lang w:val="en-GB"/>
        </w:rPr>
        <w:t>M</w:t>
      </w:r>
      <w:r w:rsidRPr="00E53169">
        <w:rPr>
          <w:rFonts w:ascii="Times New Roman" w:hAnsi="Times New Roman" w:cs="Times New Roman"/>
          <w:lang w:val="en-GB"/>
        </w:rPr>
        <w:t>odel-based clustering.</w:t>
      </w:r>
    </w:p>
    <w:p w:rsidR="00DB3646" w:rsidRDefault="00DB3646" w:rsidP="00032B4E">
      <w:pPr>
        <w:spacing w:line="480" w:lineRule="auto"/>
        <w:rPr>
          <w:rFonts w:ascii="Times New Roman" w:hAnsi="Times New Roman" w:cs="Times New Roman"/>
          <w:b/>
          <w:lang w:val="en-GB"/>
        </w:rPr>
      </w:pPr>
    </w:p>
    <w:p w:rsidR="00DB3646" w:rsidRDefault="00DB3646" w:rsidP="00032B4E">
      <w:pPr>
        <w:spacing w:line="480" w:lineRule="auto"/>
        <w:rPr>
          <w:rFonts w:ascii="Times New Roman" w:hAnsi="Times New Roman" w:cs="Times New Roman"/>
          <w:b/>
          <w:lang w:val="en-GB"/>
        </w:rPr>
      </w:pPr>
    </w:p>
    <w:p w:rsidR="00DB3646" w:rsidRDefault="00DB3646" w:rsidP="00032B4E">
      <w:pPr>
        <w:spacing w:line="480" w:lineRule="auto"/>
        <w:rPr>
          <w:rFonts w:ascii="Times New Roman" w:hAnsi="Times New Roman" w:cs="Times New Roman"/>
          <w:b/>
          <w:lang w:val="en-GB"/>
        </w:rPr>
      </w:pPr>
    </w:p>
    <w:p w:rsidR="00DB3646" w:rsidRPr="00E53169" w:rsidRDefault="00DB3646" w:rsidP="00032B4E">
      <w:pPr>
        <w:spacing w:line="480" w:lineRule="auto"/>
        <w:rPr>
          <w:rFonts w:ascii="Times New Roman" w:hAnsi="Times New Roman" w:cs="Times New Roman"/>
          <w:b/>
          <w:lang w:val="en-GB"/>
        </w:rPr>
      </w:pPr>
      <w:r w:rsidRPr="00E53169">
        <w:rPr>
          <w:rFonts w:ascii="Times New Roman" w:hAnsi="Times New Roman" w:cs="Times New Roman"/>
          <w:b/>
          <w:lang w:val="en-GB"/>
        </w:rPr>
        <w:lastRenderedPageBreak/>
        <w:t>INTRODUCTION</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Due to pathophysiology, prognosis and healthcare implications, age-related hip fractures are socially the most relevant outcome of bone fragility. In Belgium, a</w:t>
      </w:r>
      <w:r>
        <w:rPr>
          <w:rFonts w:ascii="Times New Roman" w:hAnsi="Times New Roman" w:cs="Times New Roman"/>
          <w:lang w:val="en-GB"/>
        </w:rPr>
        <w:t xml:space="preserve"> country with</w:t>
      </w:r>
      <w:r w:rsidRPr="00E53169">
        <w:rPr>
          <w:rFonts w:ascii="Times New Roman" w:hAnsi="Times New Roman" w:cs="Times New Roman"/>
          <w:lang w:val="en-GB"/>
        </w:rPr>
        <w:t xml:space="preserve"> intermediate incidence, the remaining risk of hip fracture was about 20% in women aged 60 </w:t>
      </w:r>
      <w:r w:rsidRPr="00393FB6">
        <w:rPr>
          <w:rFonts w:ascii="Times New Roman" w:hAnsi="Times New Roman" w:cs="Times New Roman"/>
          <w:noProof/>
          <w:vertAlign w:val="superscript"/>
          <w:lang w:val="en-GB"/>
        </w:rPr>
        <w:t>1</w:t>
      </w:r>
      <w:r w:rsidRPr="00E53169">
        <w:rPr>
          <w:rFonts w:ascii="Times New Roman" w:hAnsi="Times New Roman" w:cs="Times New Roman"/>
          <w:lang w:val="en-GB"/>
        </w:rPr>
        <w:t xml:space="preserve"> and a 24% functional decline in the year after fracture was estimated</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2</w:t>
      </w:r>
      <w:r w:rsidRPr="00E53169">
        <w:rPr>
          <w:rFonts w:ascii="Times New Roman" w:hAnsi="Times New Roman" w:cs="Times New Roman"/>
          <w:lang w:val="en-GB"/>
        </w:rPr>
        <w:t xml:space="preserve"> Mortality is also a major concern: in the </w:t>
      </w:r>
      <w:r>
        <w:rPr>
          <w:rFonts w:ascii="Times New Roman" w:hAnsi="Times New Roman" w:cs="Times New Roman"/>
          <w:lang w:val="en-GB"/>
        </w:rPr>
        <w:t>UK</w:t>
      </w:r>
      <w:r w:rsidRPr="00E53169">
        <w:rPr>
          <w:rFonts w:ascii="Times New Roman" w:hAnsi="Times New Roman" w:cs="Times New Roman"/>
          <w:lang w:val="en-GB"/>
        </w:rPr>
        <w:t>, for instance, one-year case-fatality remained over 20% from 2000 to 2010</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3</w:t>
      </w:r>
      <w:r w:rsidRPr="00E53169">
        <w:rPr>
          <w:rFonts w:ascii="Times New Roman" w:hAnsi="Times New Roman" w:cs="Times New Roman"/>
          <w:lang w:val="en-GB"/>
        </w:rPr>
        <w:t xml:space="preserve"> In </w:t>
      </w:r>
      <w:r>
        <w:rPr>
          <w:rFonts w:ascii="Times New Roman" w:hAnsi="Times New Roman" w:cs="Times New Roman"/>
          <w:lang w:val="en-GB"/>
        </w:rPr>
        <w:t xml:space="preserve">comparative </w:t>
      </w:r>
      <w:r w:rsidRPr="00E53169">
        <w:rPr>
          <w:rFonts w:ascii="Times New Roman" w:hAnsi="Times New Roman" w:cs="Times New Roman"/>
          <w:lang w:val="en-GB"/>
        </w:rPr>
        <w:t>terms, fragility fractures account for more disability-adjusted life years than most common cancers in Europe</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4</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Since hip fractures almost inevitably involve hospital admission, incidence estimated from healthcare is particularly valid to compare the burden of bone fragility between populations and within the same population over time. Some European countries have a long tradition of describing secular trends of hip fractures, and evidence of increasing rates during the 1970s was found in the </w:t>
      </w:r>
      <w:r>
        <w:rPr>
          <w:rFonts w:ascii="Times New Roman" w:hAnsi="Times New Roman" w:cs="Times New Roman"/>
          <w:lang w:val="en-GB"/>
        </w:rPr>
        <w:t>UK,</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5</w:t>
      </w:r>
      <w:r w:rsidRPr="00E53169">
        <w:rPr>
          <w:rFonts w:ascii="Times New Roman" w:hAnsi="Times New Roman" w:cs="Times New Roman"/>
          <w:lang w:val="en-GB"/>
        </w:rPr>
        <w:t xml:space="preserve"> Sweden</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6</w:t>
      </w:r>
      <w:r w:rsidRPr="00E53169">
        <w:rPr>
          <w:rFonts w:ascii="Times New Roman" w:hAnsi="Times New Roman" w:cs="Times New Roman"/>
          <w:lang w:val="en-GB"/>
        </w:rPr>
        <w:t xml:space="preserve"> Finland </w:t>
      </w:r>
      <w:r w:rsidRPr="00393FB6">
        <w:rPr>
          <w:rFonts w:ascii="Times New Roman" w:hAnsi="Times New Roman" w:cs="Times New Roman"/>
          <w:noProof/>
          <w:vertAlign w:val="superscript"/>
          <w:lang w:val="en-GB"/>
        </w:rPr>
        <w:t>7</w:t>
      </w:r>
      <w:r w:rsidRPr="00E53169">
        <w:rPr>
          <w:rFonts w:ascii="Times New Roman" w:hAnsi="Times New Roman" w:cs="Times New Roman"/>
          <w:lang w:val="en-GB"/>
        </w:rPr>
        <w:t xml:space="preserve"> and </w:t>
      </w:r>
      <w:r>
        <w:rPr>
          <w:rFonts w:ascii="Times New Roman" w:hAnsi="Times New Roman" w:cs="Times New Roman"/>
          <w:lang w:val="en-GB"/>
        </w:rPr>
        <w:t xml:space="preserve">the </w:t>
      </w:r>
      <w:r w:rsidRPr="00E53169">
        <w:rPr>
          <w:rFonts w:ascii="Times New Roman" w:hAnsi="Times New Roman" w:cs="Times New Roman"/>
          <w:lang w:val="en-GB"/>
        </w:rPr>
        <w:t>Netherlands</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8</w:t>
      </w:r>
      <w:r w:rsidRPr="00E53169">
        <w:rPr>
          <w:rFonts w:ascii="Times New Roman" w:hAnsi="Times New Roman" w:cs="Times New Roman"/>
          <w:lang w:val="en-GB"/>
        </w:rPr>
        <w:t xml:space="preserve"> Subsequent increases were seen </w:t>
      </w:r>
      <w:r>
        <w:rPr>
          <w:rFonts w:ascii="Times New Roman" w:hAnsi="Times New Roman" w:cs="Times New Roman"/>
          <w:lang w:val="en-GB"/>
        </w:rPr>
        <w:t>up to the</w:t>
      </w:r>
      <w:r w:rsidRPr="00E53169">
        <w:rPr>
          <w:rFonts w:ascii="Times New Roman" w:hAnsi="Times New Roman" w:cs="Times New Roman"/>
          <w:lang w:val="en-GB"/>
        </w:rPr>
        <w:t xml:space="preserve"> 1990s in other countries, namely Austria</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9</w:t>
      </w:r>
      <w:r w:rsidRPr="00E53169">
        <w:rPr>
          <w:rFonts w:ascii="Times New Roman" w:hAnsi="Times New Roman" w:cs="Times New Roman"/>
          <w:lang w:val="en-GB"/>
        </w:rPr>
        <w:t xml:space="preserve"> Denmark</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10</w:t>
      </w:r>
      <w:r w:rsidRPr="00E53169">
        <w:rPr>
          <w:rFonts w:ascii="Times New Roman" w:hAnsi="Times New Roman" w:cs="Times New Roman"/>
          <w:lang w:val="en-GB"/>
        </w:rPr>
        <w:t xml:space="preserve"> Germany</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11,12</w:t>
      </w:r>
      <w:r w:rsidRPr="00E53169">
        <w:rPr>
          <w:rFonts w:ascii="Times New Roman" w:hAnsi="Times New Roman" w:cs="Times New Roman"/>
          <w:lang w:val="en-GB"/>
        </w:rPr>
        <w:t xml:space="preserve"> Iceland</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13</w:t>
      </w:r>
      <w:r w:rsidRPr="00E53169">
        <w:rPr>
          <w:rFonts w:ascii="Times New Roman" w:hAnsi="Times New Roman" w:cs="Times New Roman"/>
          <w:lang w:val="en-GB"/>
        </w:rPr>
        <w:t xml:space="preserve"> Norway</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14</w:t>
      </w:r>
      <w:r w:rsidRPr="00E53169">
        <w:rPr>
          <w:rFonts w:ascii="Times New Roman" w:hAnsi="Times New Roman" w:cs="Times New Roman"/>
          <w:lang w:val="en-GB"/>
        </w:rPr>
        <w:t xml:space="preserve"> and Spain</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15</w:t>
      </w:r>
      <w:r>
        <w:rPr>
          <w:rFonts w:ascii="Times New Roman" w:hAnsi="Times New Roman" w:cs="Times New Roman"/>
          <w:lang w:val="en-GB"/>
        </w:rPr>
        <w:t xml:space="preserve"> </w:t>
      </w:r>
      <w:r w:rsidRPr="00E53169">
        <w:rPr>
          <w:rFonts w:ascii="Times New Roman" w:hAnsi="Times New Roman" w:cs="Times New Roman"/>
          <w:lang w:val="en-GB"/>
        </w:rPr>
        <w:t xml:space="preserve">More recently, however, a reversal of age-specific trends was detected, first in the UK </w:t>
      </w:r>
      <w:r w:rsidRPr="00AD708A">
        <w:rPr>
          <w:rFonts w:ascii="Times New Roman" w:hAnsi="Times New Roman" w:cs="Times New Roman"/>
          <w:noProof/>
          <w:vertAlign w:val="superscript"/>
          <w:lang w:val="en-GB"/>
        </w:rPr>
        <w:t>5</w:t>
      </w:r>
      <w:r>
        <w:rPr>
          <w:rFonts w:ascii="Times New Roman" w:hAnsi="Times New Roman" w:cs="Times New Roman"/>
          <w:lang w:val="en-GB"/>
        </w:rPr>
        <w:t xml:space="preserve"> </w:t>
      </w:r>
      <w:r w:rsidRPr="00E53169">
        <w:rPr>
          <w:rFonts w:ascii="Times New Roman" w:hAnsi="Times New Roman" w:cs="Times New Roman"/>
          <w:lang w:val="en-GB"/>
        </w:rPr>
        <w:t>and Scandinavia</w:t>
      </w:r>
      <w:r>
        <w:rPr>
          <w:rFonts w:ascii="Times New Roman" w:hAnsi="Times New Roman" w:cs="Times New Roman"/>
          <w:lang w:val="en-GB"/>
        </w:rPr>
        <w:t xml:space="preserve"> </w:t>
      </w:r>
      <w:r w:rsidRPr="001B71E9">
        <w:rPr>
          <w:rFonts w:ascii="Times New Roman" w:hAnsi="Times New Roman" w:cs="Times New Roman"/>
          <w:noProof/>
          <w:vertAlign w:val="superscript"/>
          <w:lang w:val="en-GB"/>
        </w:rPr>
        <w:t>7,14,16,17</w:t>
      </w:r>
      <w:r>
        <w:rPr>
          <w:rFonts w:ascii="Times New Roman" w:hAnsi="Times New Roman" w:cs="Times New Roman"/>
          <w:lang w:val="en-GB"/>
        </w:rPr>
        <w:t>,</w:t>
      </w:r>
      <w:r w:rsidRPr="00E53169">
        <w:rPr>
          <w:rFonts w:ascii="Times New Roman" w:hAnsi="Times New Roman" w:cs="Times New Roman"/>
          <w:lang w:val="en-GB"/>
        </w:rPr>
        <w:t xml:space="preserve"> and </w:t>
      </w:r>
      <w:r>
        <w:rPr>
          <w:rFonts w:ascii="Times New Roman" w:hAnsi="Times New Roman" w:cs="Times New Roman"/>
          <w:lang w:val="en-GB"/>
        </w:rPr>
        <w:t>subsequently</w:t>
      </w:r>
      <w:r w:rsidRPr="00E53169">
        <w:rPr>
          <w:rFonts w:ascii="Times New Roman" w:hAnsi="Times New Roman" w:cs="Times New Roman"/>
          <w:lang w:val="en-GB"/>
        </w:rPr>
        <w:t xml:space="preserve"> in many </w:t>
      </w:r>
      <w:r>
        <w:rPr>
          <w:rFonts w:ascii="Times New Roman" w:hAnsi="Times New Roman" w:cs="Times New Roman"/>
          <w:lang w:val="en-GB"/>
        </w:rPr>
        <w:t>other</w:t>
      </w:r>
      <w:r w:rsidRPr="00E53169">
        <w:rPr>
          <w:rFonts w:ascii="Times New Roman" w:hAnsi="Times New Roman" w:cs="Times New Roman"/>
          <w:lang w:val="en-GB"/>
        </w:rPr>
        <w:t xml:space="preserve"> settings</w:t>
      </w:r>
      <w:r>
        <w:rPr>
          <w:rFonts w:ascii="Times New Roman" w:hAnsi="Times New Roman" w:cs="Times New Roman"/>
          <w:lang w:val="en-GB"/>
        </w:rPr>
        <w:t xml:space="preserve"> </w:t>
      </w:r>
      <w:r w:rsidRPr="00CF4E33">
        <w:rPr>
          <w:rFonts w:ascii="Times New Roman" w:hAnsi="Times New Roman" w:cs="Times New Roman"/>
          <w:noProof/>
          <w:vertAlign w:val="superscript"/>
          <w:lang w:val="en-GB"/>
        </w:rPr>
        <w:t>9,18-20</w:t>
      </w:r>
      <w:r w:rsidRPr="00E53169">
        <w:rPr>
          <w:rFonts w:ascii="Times New Roman" w:hAnsi="Times New Roman" w:cs="Times New Roman"/>
          <w:lang w:val="en-GB"/>
        </w:rPr>
        <w:t>. As countries gained improved access to hospital records, publications on the subject grew substantially</w:t>
      </w:r>
      <w:r>
        <w:rPr>
          <w:rFonts w:ascii="Times New Roman" w:hAnsi="Times New Roman" w:cs="Times New Roman"/>
          <w:lang w:val="en-GB"/>
        </w:rPr>
        <w:t>. Two comprehensive reviews</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21,22</w:t>
      </w:r>
      <w:r w:rsidRPr="00E53169">
        <w:rPr>
          <w:rFonts w:ascii="Times New Roman" w:hAnsi="Times New Roman" w:cs="Times New Roman"/>
          <w:lang w:val="en-GB"/>
        </w:rPr>
        <w:t xml:space="preserve"> show that trend reversals in hip fracture incidence are common in European countries, even though </w:t>
      </w:r>
      <w:r>
        <w:rPr>
          <w:rFonts w:ascii="Times New Roman" w:hAnsi="Times New Roman" w:cs="Times New Roman"/>
          <w:lang w:val="en-GB"/>
        </w:rPr>
        <w:t xml:space="preserve">the </w:t>
      </w:r>
      <w:r w:rsidRPr="00E53169">
        <w:rPr>
          <w:rFonts w:ascii="Times New Roman" w:hAnsi="Times New Roman" w:cs="Times New Roman"/>
          <w:lang w:val="en-GB"/>
        </w:rPr>
        <w:t xml:space="preserve">timing </w:t>
      </w:r>
      <w:r>
        <w:rPr>
          <w:rFonts w:ascii="Times New Roman" w:hAnsi="Times New Roman" w:cs="Times New Roman"/>
          <w:lang w:val="en-GB"/>
        </w:rPr>
        <w:t>has varied</w:t>
      </w:r>
      <w:r w:rsidRPr="00E53169">
        <w:rPr>
          <w:rFonts w:ascii="Times New Roman" w:hAnsi="Times New Roman" w:cs="Times New Roman"/>
          <w:lang w:val="en-GB"/>
        </w:rPr>
        <w:t xml:space="preserve"> between settings</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21</w:t>
      </w:r>
      <w:r w:rsidRPr="00E53169">
        <w:rPr>
          <w:rFonts w:ascii="Times New Roman" w:hAnsi="Times New Roman" w:cs="Times New Roman"/>
          <w:lang w:val="en-GB"/>
        </w:rPr>
        <w:t xml:space="preserve"> Candidate explanations for trend reversals </w:t>
      </w:r>
      <w:r>
        <w:rPr>
          <w:rFonts w:ascii="Times New Roman" w:hAnsi="Times New Roman" w:cs="Times New Roman"/>
          <w:lang w:val="en-GB"/>
        </w:rPr>
        <w:t>are multiple</w:t>
      </w:r>
      <w:r w:rsidRPr="00E53169">
        <w:rPr>
          <w:rFonts w:ascii="Times New Roman" w:hAnsi="Times New Roman" w:cs="Times New Roman"/>
          <w:lang w:val="en-GB"/>
        </w:rPr>
        <w:t xml:space="preserve">, and include planned efforts targeting bone fragility as well as macro-level changes that </w:t>
      </w:r>
      <w:r>
        <w:rPr>
          <w:rFonts w:ascii="Times New Roman" w:hAnsi="Times New Roman" w:cs="Times New Roman"/>
          <w:lang w:val="en-GB"/>
        </w:rPr>
        <w:t>may</w:t>
      </w:r>
      <w:r w:rsidRPr="00E53169">
        <w:rPr>
          <w:rFonts w:ascii="Times New Roman" w:hAnsi="Times New Roman" w:cs="Times New Roman"/>
          <w:lang w:val="en-GB"/>
        </w:rPr>
        <w:t xml:space="preserve"> have caused decreasing fracture trends as an unpredicted effect</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22</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Qualitative similarities between countries led us to hypothesize that a single shape could describe the hip fracture epidemic in Europe. Specifically, there seems to be considerable country-level evidence that secular trends can be modelled as a quadratic function of time, i.e. a first period of increasing rates but decreasing acceleration followed by a short stagnation with null acceleration </w:t>
      </w:r>
      <w:r w:rsidRPr="00E53169">
        <w:rPr>
          <w:rFonts w:ascii="Times New Roman" w:hAnsi="Times New Roman" w:cs="Times New Roman"/>
          <w:lang w:val="en-GB"/>
        </w:rPr>
        <w:lastRenderedPageBreak/>
        <w:t xml:space="preserve">and finally a later period of decreasing rates with increasingly negative acceleration. Nevertheless, within a </w:t>
      </w:r>
      <w:r>
        <w:rPr>
          <w:rFonts w:ascii="Times New Roman" w:hAnsi="Times New Roman" w:cs="Times New Roman"/>
          <w:lang w:val="en-GB"/>
        </w:rPr>
        <w:t>common</w:t>
      </w:r>
      <w:r w:rsidRPr="00E53169">
        <w:rPr>
          <w:rFonts w:ascii="Times New Roman" w:hAnsi="Times New Roman" w:cs="Times New Roman"/>
          <w:lang w:val="en-GB"/>
        </w:rPr>
        <w:t xml:space="preserve"> overall pattern, </w:t>
      </w:r>
      <w:r>
        <w:rPr>
          <w:rFonts w:ascii="Times New Roman" w:hAnsi="Times New Roman" w:cs="Times New Roman"/>
          <w:lang w:val="en-GB"/>
        </w:rPr>
        <w:t>specific</w:t>
      </w:r>
      <w:r w:rsidRPr="00E53169">
        <w:rPr>
          <w:rFonts w:ascii="Times New Roman" w:hAnsi="Times New Roman" w:cs="Times New Roman"/>
          <w:lang w:val="en-GB"/>
        </w:rPr>
        <w:t xml:space="preserve"> features of trend reversals </w:t>
      </w:r>
      <w:r>
        <w:rPr>
          <w:rFonts w:ascii="Times New Roman" w:hAnsi="Times New Roman" w:cs="Times New Roman"/>
          <w:lang w:val="en-GB"/>
        </w:rPr>
        <w:t xml:space="preserve">may </w:t>
      </w:r>
      <w:r w:rsidRPr="00E53169">
        <w:rPr>
          <w:rFonts w:ascii="Times New Roman" w:hAnsi="Times New Roman" w:cs="Times New Roman"/>
          <w:lang w:val="en-GB"/>
        </w:rPr>
        <w:t>differ between countries</w:t>
      </w:r>
      <w:r>
        <w:rPr>
          <w:rFonts w:ascii="Times New Roman" w:hAnsi="Times New Roman" w:cs="Times New Roman"/>
          <w:lang w:val="en-GB"/>
        </w:rPr>
        <w:t>, namely</w:t>
      </w:r>
      <w:r w:rsidRPr="00E53169">
        <w:rPr>
          <w:rFonts w:ascii="Times New Roman" w:hAnsi="Times New Roman" w:cs="Times New Roman"/>
          <w:lang w:val="en-GB"/>
        </w:rPr>
        <w:t xml:space="preserve"> background fracture rates, timing and tempo of reversal. The hypothesis that different countries have followed different variations of the same hip fracture epidemic is a starting point for testing mechanistic explanations and, </w:t>
      </w:r>
      <w:r>
        <w:rPr>
          <w:rFonts w:ascii="Times New Roman" w:hAnsi="Times New Roman" w:cs="Times New Roman"/>
          <w:lang w:val="en-GB"/>
        </w:rPr>
        <w:t>ultimately</w:t>
      </w:r>
      <w:r w:rsidRPr="00E53169">
        <w:rPr>
          <w:rFonts w:ascii="Times New Roman" w:hAnsi="Times New Roman" w:cs="Times New Roman"/>
          <w:lang w:val="en-GB"/>
        </w:rPr>
        <w:t xml:space="preserve"> for future policy modelling, as shown by previous successful approaches to </w:t>
      </w:r>
      <w:r>
        <w:rPr>
          <w:rFonts w:ascii="Times New Roman" w:hAnsi="Times New Roman" w:cs="Times New Roman"/>
          <w:lang w:val="en-GB"/>
        </w:rPr>
        <w:t>other conditions.</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23</w:t>
      </w:r>
    </w:p>
    <w:p w:rsidR="00DB3646" w:rsidRPr="00E53169" w:rsidRDefault="00DB3646" w:rsidP="00032B4E">
      <w:pPr>
        <w:spacing w:line="480" w:lineRule="auto"/>
        <w:rPr>
          <w:rFonts w:ascii="Times New Roman" w:hAnsi="Times New Roman" w:cs="Times New Roman"/>
          <w:lang w:val="en-GB"/>
        </w:rPr>
      </w:pP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In the present work, we aimed to </w:t>
      </w:r>
      <w:r>
        <w:rPr>
          <w:rFonts w:ascii="Times New Roman" w:hAnsi="Times New Roman" w:cs="Times New Roman"/>
          <w:lang w:val="en-GB"/>
        </w:rPr>
        <w:t xml:space="preserve">model </w:t>
      </w:r>
      <w:r w:rsidRPr="00E53169">
        <w:rPr>
          <w:rFonts w:ascii="Times New Roman" w:hAnsi="Times New Roman" w:cs="Times New Roman"/>
          <w:lang w:val="en-GB"/>
        </w:rPr>
        <w:t>recent hip fracture secular trends in different European countries and to identify clusters of countries with similar behavioural features over time.</w:t>
      </w:r>
    </w:p>
    <w:p w:rsidR="00DB3646" w:rsidRPr="00E53169" w:rsidRDefault="00DB3646" w:rsidP="00032B4E">
      <w:pPr>
        <w:spacing w:line="480" w:lineRule="auto"/>
        <w:rPr>
          <w:rFonts w:ascii="Times New Roman" w:hAnsi="Times New Roman" w:cs="Times New Roman"/>
          <w:b/>
          <w:lang w:val="en-GB"/>
        </w:rPr>
      </w:pPr>
      <w:r w:rsidRPr="00E53169">
        <w:rPr>
          <w:rFonts w:ascii="Times New Roman" w:hAnsi="Times New Roman" w:cs="Times New Roman"/>
          <w:b/>
          <w:lang w:val="en-GB"/>
        </w:rPr>
        <w:br w:type="page"/>
      </w:r>
      <w:r w:rsidRPr="00E53169">
        <w:rPr>
          <w:rFonts w:ascii="Times New Roman" w:hAnsi="Times New Roman" w:cs="Times New Roman"/>
          <w:b/>
          <w:lang w:val="en-GB"/>
        </w:rPr>
        <w:lastRenderedPageBreak/>
        <w:t>METHODS</w:t>
      </w:r>
    </w:p>
    <w:p w:rsidR="00DB3646" w:rsidRPr="00A44BAF" w:rsidRDefault="00DB3646" w:rsidP="00032B4E">
      <w:pPr>
        <w:spacing w:line="480" w:lineRule="auto"/>
        <w:rPr>
          <w:rFonts w:ascii="Times New Roman" w:hAnsi="Times New Roman" w:cs="Times New Roman"/>
          <w:b/>
          <w:lang w:val="en-GB"/>
        </w:rPr>
      </w:pPr>
      <w:r>
        <w:rPr>
          <w:rFonts w:ascii="Times New Roman" w:hAnsi="Times New Roman" w:cs="Times New Roman"/>
          <w:b/>
          <w:lang w:val="en-GB"/>
        </w:rPr>
        <w:t>Selection of time series and data extraction</w:t>
      </w: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 xml:space="preserve">Studies were identified by searching </w:t>
      </w:r>
      <w:r w:rsidRPr="00E53169">
        <w:rPr>
          <w:rFonts w:ascii="Times New Roman" w:hAnsi="Times New Roman" w:cs="Times New Roman"/>
          <w:lang w:val="en-GB"/>
        </w:rPr>
        <w:t xml:space="preserve">Medline from inception to December 2015 </w:t>
      </w:r>
      <w:r>
        <w:rPr>
          <w:rFonts w:ascii="Times New Roman" w:hAnsi="Times New Roman" w:cs="Times New Roman"/>
          <w:lang w:val="en-GB"/>
        </w:rPr>
        <w:t>for</w:t>
      </w:r>
      <w:r w:rsidRPr="00E53169">
        <w:rPr>
          <w:rFonts w:ascii="Times New Roman" w:hAnsi="Times New Roman" w:cs="Times New Roman"/>
          <w:lang w:val="en-GB"/>
        </w:rPr>
        <w:t xml:space="preserve"> </w:t>
      </w:r>
      <w:r>
        <w:rPr>
          <w:rFonts w:ascii="Times New Roman" w:hAnsi="Times New Roman" w:cs="Times New Roman"/>
          <w:lang w:val="en-GB"/>
        </w:rPr>
        <w:t>articles</w:t>
      </w:r>
      <w:r w:rsidRPr="00E53169">
        <w:rPr>
          <w:rFonts w:ascii="Times New Roman" w:hAnsi="Times New Roman" w:cs="Times New Roman"/>
          <w:lang w:val="en-GB"/>
        </w:rPr>
        <w:t xml:space="preserve"> </w:t>
      </w:r>
      <w:r>
        <w:rPr>
          <w:rFonts w:ascii="Times New Roman" w:hAnsi="Times New Roman" w:cs="Times New Roman"/>
          <w:lang w:val="en-GB"/>
        </w:rPr>
        <w:t xml:space="preserve">reporting </w:t>
      </w:r>
      <w:r w:rsidRPr="00E53169">
        <w:rPr>
          <w:rFonts w:ascii="Times New Roman" w:hAnsi="Times New Roman" w:cs="Times New Roman"/>
          <w:lang w:val="en-GB"/>
        </w:rPr>
        <w:t>trends of hip fracture incidence rates in European countries</w:t>
      </w:r>
      <w:r>
        <w:rPr>
          <w:rFonts w:ascii="Times New Roman" w:hAnsi="Times New Roman" w:cs="Times New Roman"/>
          <w:lang w:val="en-GB"/>
        </w:rPr>
        <w:t xml:space="preserve"> (</w:t>
      </w:r>
      <w:r w:rsidRPr="00E53169">
        <w:rPr>
          <w:rFonts w:ascii="Times New Roman" w:hAnsi="Times New Roman" w:cs="Times New Roman"/>
          <w:lang w:val="en-GB"/>
        </w:rPr>
        <w:t>Figure 1</w:t>
      </w:r>
      <w:r>
        <w:rPr>
          <w:rFonts w:ascii="Times New Roman" w:hAnsi="Times New Roman" w:cs="Times New Roman"/>
          <w:lang w:val="en-GB"/>
        </w:rPr>
        <w:t>)</w:t>
      </w:r>
      <w:r w:rsidRPr="00E53169">
        <w:rPr>
          <w:rFonts w:ascii="Times New Roman" w:hAnsi="Times New Roman" w:cs="Times New Roman"/>
          <w:lang w:val="en-GB"/>
        </w:rPr>
        <w:t>. References we</w:t>
      </w:r>
      <w:r>
        <w:rPr>
          <w:rFonts w:ascii="Times New Roman" w:hAnsi="Times New Roman" w:cs="Times New Roman"/>
          <w:lang w:val="en-GB"/>
        </w:rPr>
        <w:t>re screened by two reviewers (A</w:t>
      </w:r>
      <w:r w:rsidRPr="00E53169">
        <w:rPr>
          <w:rFonts w:ascii="Times New Roman" w:hAnsi="Times New Roman" w:cs="Times New Roman"/>
          <w:lang w:val="en-GB"/>
        </w:rPr>
        <w:t>M, RL).</w:t>
      </w:r>
      <w:r>
        <w:rPr>
          <w:rFonts w:ascii="Times New Roman" w:hAnsi="Times New Roman" w:cs="Times New Roman"/>
          <w:lang w:val="en-GB"/>
        </w:rPr>
        <w:t xml:space="preserve"> In addition to the subject-matter filters detailed below, we applied the following formal exclusion criteria: i</w:t>
      </w:r>
      <w:r w:rsidRPr="00E53169">
        <w:rPr>
          <w:rFonts w:ascii="Times New Roman" w:hAnsi="Times New Roman" w:cs="Times New Roman"/>
          <w:lang w:val="en-GB"/>
        </w:rPr>
        <w:t xml:space="preserve">) articles not written in English, Portuguese, Spanish, French or Italian, </w:t>
      </w:r>
      <w:r>
        <w:rPr>
          <w:rFonts w:ascii="Times New Roman" w:hAnsi="Times New Roman" w:cs="Times New Roman"/>
          <w:lang w:val="en-GB"/>
        </w:rPr>
        <w:t>ii</w:t>
      </w:r>
      <w:r w:rsidRPr="00E53169">
        <w:rPr>
          <w:rFonts w:ascii="Times New Roman" w:hAnsi="Times New Roman" w:cs="Times New Roman"/>
          <w:lang w:val="en-GB"/>
        </w:rPr>
        <w:t xml:space="preserve">) articles </w:t>
      </w:r>
      <w:r>
        <w:rPr>
          <w:rFonts w:ascii="Times New Roman" w:hAnsi="Times New Roman" w:cs="Times New Roman"/>
          <w:lang w:val="en-GB"/>
        </w:rPr>
        <w:t>from</w:t>
      </w:r>
      <w:r w:rsidRPr="00E53169">
        <w:rPr>
          <w:rFonts w:ascii="Times New Roman" w:hAnsi="Times New Roman" w:cs="Times New Roman"/>
          <w:lang w:val="en-GB"/>
        </w:rPr>
        <w:t xml:space="preserve"> populations outside the World Health Organization European Region, </w:t>
      </w:r>
      <w:r>
        <w:rPr>
          <w:rFonts w:ascii="Times New Roman" w:hAnsi="Times New Roman" w:cs="Times New Roman"/>
          <w:lang w:val="en-GB"/>
        </w:rPr>
        <w:t>iii</w:t>
      </w:r>
      <w:r w:rsidRPr="00E53169">
        <w:rPr>
          <w:rFonts w:ascii="Times New Roman" w:hAnsi="Times New Roman" w:cs="Times New Roman"/>
          <w:lang w:val="en-GB"/>
        </w:rPr>
        <w:t>) non-eligible publication types (editorials, comments, guidelines, case rep</w:t>
      </w:r>
      <w:r>
        <w:rPr>
          <w:rFonts w:ascii="Times New Roman" w:hAnsi="Times New Roman" w:cs="Times New Roman"/>
          <w:lang w:val="en-GB"/>
        </w:rPr>
        <w:t>orts and reviews), iv</w:t>
      </w:r>
      <w:r w:rsidRPr="00E53169">
        <w:rPr>
          <w:rFonts w:ascii="Times New Roman" w:hAnsi="Times New Roman" w:cs="Times New Roman"/>
          <w:lang w:val="en-GB"/>
        </w:rPr>
        <w:t>) studies that did not report incidence</w:t>
      </w:r>
      <w:r>
        <w:rPr>
          <w:rFonts w:ascii="Times New Roman" w:hAnsi="Times New Roman" w:cs="Times New Roman"/>
          <w:lang w:val="en-GB"/>
        </w:rPr>
        <w:t xml:space="preserve"> estimates, and v</w:t>
      </w:r>
      <w:r w:rsidRPr="00E53169">
        <w:rPr>
          <w:rFonts w:ascii="Times New Roman" w:hAnsi="Times New Roman" w:cs="Times New Roman"/>
          <w:lang w:val="en-GB"/>
        </w:rPr>
        <w:t>) studies that presented data for only one time point.</w:t>
      </w:r>
      <w:r>
        <w:rPr>
          <w:rFonts w:ascii="Times New Roman" w:hAnsi="Times New Roman" w:cs="Times New Roman"/>
          <w:lang w:val="en-GB"/>
        </w:rPr>
        <w:t xml:space="preserve"> Since we aimed to extract and model recent age- and sex-specific hip fracture incidence trends for different European countries, we defined methodological strategies to address the following specific issues:</w:t>
      </w:r>
    </w:p>
    <w:p w:rsidR="00DB3646" w:rsidRDefault="00DB3646" w:rsidP="00032B4E">
      <w:pPr>
        <w:pStyle w:val="ListParagraph"/>
        <w:numPr>
          <w:ilvl w:val="0"/>
          <w:numId w:val="7"/>
        </w:numPr>
        <w:spacing w:line="480" w:lineRule="auto"/>
        <w:rPr>
          <w:rFonts w:ascii="Times New Roman" w:hAnsi="Times New Roman" w:cs="Times New Roman"/>
          <w:lang w:val="en-GB"/>
        </w:rPr>
      </w:pPr>
      <w:r>
        <w:rPr>
          <w:rFonts w:ascii="Times New Roman" w:hAnsi="Times New Roman" w:cs="Times New Roman"/>
          <w:lang w:val="en-GB"/>
        </w:rPr>
        <w:t xml:space="preserve">Validity of estimates: we selected only </w:t>
      </w:r>
      <w:r w:rsidRPr="00E53169">
        <w:rPr>
          <w:rFonts w:ascii="Times New Roman" w:hAnsi="Times New Roman" w:cs="Times New Roman"/>
          <w:lang w:val="en-GB"/>
        </w:rPr>
        <w:t>studies</w:t>
      </w:r>
      <w:r>
        <w:rPr>
          <w:rFonts w:ascii="Times New Roman" w:hAnsi="Times New Roman" w:cs="Times New Roman"/>
          <w:lang w:val="en-GB"/>
        </w:rPr>
        <w:t xml:space="preserve"> that</w:t>
      </w:r>
      <w:r w:rsidRPr="00E53169">
        <w:rPr>
          <w:rFonts w:ascii="Times New Roman" w:hAnsi="Times New Roman" w:cs="Times New Roman"/>
          <w:lang w:val="en-GB"/>
        </w:rPr>
        <w:t xml:space="preserve"> calculated incidence rate</w:t>
      </w:r>
      <w:r>
        <w:rPr>
          <w:rFonts w:ascii="Times New Roman" w:hAnsi="Times New Roman" w:cs="Times New Roman"/>
          <w:lang w:val="en-GB"/>
        </w:rPr>
        <w:t>s</w:t>
      </w:r>
      <w:r w:rsidRPr="00E53169">
        <w:rPr>
          <w:rFonts w:ascii="Times New Roman" w:hAnsi="Times New Roman" w:cs="Times New Roman"/>
          <w:lang w:val="en-GB"/>
        </w:rPr>
        <w:t xml:space="preserve"> by using as numerator the number of cases ascertained through hospital records </w:t>
      </w:r>
      <w:r>
        <w:rPr>
          <w:rFonts w:ascii="Times New Roman" w:hAnsi="Times New Roman" w:cs="Times New Roman"/>
          <w:lang w:val="en-GB"/>
        </w:rPr>
        <w:t>in a defined time frame</w:t>
      </w:r>
      <w:r w:rsidRPr="00E53169">
        <w:rPr>
          <w:rFonts w:ascii="Times New Roman" w:hAnsi="Times New Roman" w:cs="Times New Roman"/>
          <w:lang w:val="en-GB"/>
        </w:rPr>
        <w:t xml:space="preserve"> and as denominator the whole population in the catchment area</w:t>
      </w:r>
      <w:r>
        <w:rPr>
          <w:rFonts w:ascii="Times New Roman" w:hAnsi="Times New Roman" w:cs="Times New Roman"/>
          <w:lang w:val="en-GB"/>
        </w:rPr>
        <w:t xml:space="preserve">, i.e. we excluded studies that presented </w:t>
      </w:r>
      <w:r w:rsidRPr="00E53169">
        <w:rPr>
          <w:rFonts w:ascii="Times New Roman" w:hAnsi="Times New Roman" w:cs="Times New Roman"/>
          <w:lang w:val="en-GB"/>
        </w:rPr>
        <w:t xml:space="preserve">incidence </w:t>
      </w:r>
      <w:r>
        <w:rPr>
          <w:rFonts w:ascii="Times New Roman" w:hAnsi="Times New Roman" w:cs="Times New Roman"/>
          <w:lang w:val="en-GB"/>
        </w:rPr>
        <w:t xml:space="preserve">estimates obtained </w:t>
      </w:r>
      <w:r w:rsidRPr="00E53169">
        <w:rPr>
          <w:rFonts w:ascii="Times New Roman" w:hAnsi="Times New Roman" w:cs="Times New Roman"/>
          <w:lang w:val="en-GB"/>
        </w:rPr>
        <w:t>by following closed cohorts or through repeated surveys of hospitals</w:t>
      </w:r>
      <w:r>
        <w:rPr>
          <w:rFonts w:ascii="Times New Roman" w:hAnsi="Times New Roman" w:cs="Times New Roman"/>
          <w:lang w:val="en-GB"/>
        </w:rPr>
        <w:t>;</w:t>
      </w:r>
    </w:p>
    <w:p w:rsidR="00DB3646" w:rsidRPr="006F1FFD" w:rsidRDefault="00DB3646" w:rsidP="00032B4E">
      <w:pPr>
        <w:pStyle w:val="ListParagraph"/>
        <w:numPr>
          <w:ilvl w:val="0"/>
          <w:numId w:val="7"/>
        </w:numPr>
        <w:spacing w:line="480" w:lineRule="auto"/>
        <w:rPr>
          <w:rFonts w:ascii="Times New Roman" w:hAnsi="Times New Roman" w:cs="Times New Roman"/>
          <w:lang w:val="en-GB"/>
        </w:rPr>
      </w:pPr>
      <w:r>
        <w:rPr>
          <w:rFonts w:ascii="Times New Roman" w:hAnsi="Times New Roman" w:cs="Times New Roman"/>
          <w:lang w:val="en-GB"/>
        </w:rPr>
        <w:t>Replicability: w</w:t>
      </w:r>
      <w:r w:rsidRPr="0062666F">
        <w:rPr>
          <w:rFonts w:ascii="Times New Roman" w:hAnsi="Times New Roman" w:cs="Times New Roman"/>
          <w:lang w:val="en-GB"/>
        </w:rPr>
        <w:t xml:space="preserve">e chose papers that provided sex- and age-specific incidence rates as part of their results or supplementary materials. </w:t>
      </w:r>
      <w:r>
        <w:rPr>
          <w:rFonts w:ascii="Times New Roman" w:hAnsi="Times New Roman" w:cs="Times New Roman"/>
          <w:lang w:val="en-GB"/>
        </w:rPr>
        <w:t>In the case where estimates were provided in the graphical form, authors were contacted and asked to provide the raw incidence rates. A</w:t>
      </w:r>
      <w:r w:rsidRPr="0062666F">
        <w:rPr>
          <w:rFonts w:ascii="Times New Roman" w:hAnsi="Times New Roman" w:cs="Times New Roman"/>
          <w:lang w:val="en-GB"/>
        </w:rPr>
        <w:t>ll papers that did not present estimates that could be directly used as inputs for the model</w:t>
      </w:r>
      <w:r>
        <w:rPr>
          <w:rFonts w:ascii="Times New Roman" w:hAnsi="Times New Roman" w:cs="Times New Roman"/>
          <w:lang w:val="en-GB"/>
        </w:rPr>
        <w:t xml:space="preserve"> were excluded</w:t>
      </w:r>
      <w:r w:rsidRPr="0062666F">
        <w:rPr>
          <w:rFonts w:ascii="Times New Roman" w:hAnsi="Times New Roman" w:cs="Times New Roman"/>
          <w:lang w:val="en-GB"/>
        </w:rPr>
        <w:t>, even if they examined incidence trends</w:t>
      </w:r>
      <w:r>
        <w:rPr>
          <w:rFonts w:ascii="Times New Roman" w:hAnsi="Times New Roman" w:cs="Times New Roman"/>
          <w:lang w:val="en-GB"/>
        </w:rPr>
        <w:t>. This included</w:t>
      </w:r>
      <w:r w:rsidRPr="00A6329C">
        <w:rPr>
          <w:rFonts w:ascii="Times New Roman" w:hAnsi="Times New Roman" w:cs="Times New Roman"/>
          <w:lang w:val="en-GB"/>
        </w:rPr>
        <w:t xml:space="preserve">, for instance, papers </w:t>
      </w:r>
      <w:r>
        <w:rPr>
          <w:rFonts w:ascii="Times New Roman" w:hAnsi="Times New Roman" w:cs="Times New Roman"/>
          <w:lang w:val="en-GB"/>
        </w:rPr>
        <w:t xml:space="preserve">that </w:t>
      </w:r>
      <w:r w:rsidRPr="00A6329C">
        <w:rPr>
          <w:rFonts w:ascii="Times New Roman" w:hAnsi="Times New Roman" w:cs="Times New Roman"/>
          <w:lang w:val="en-GB"/>
        </w:rPr>
        <w:t xml:space="preserve">presented </w:t>
      </w:r>
      <w:r>
        <w:rPr>
          <w:rFonts w:ascii="Times New Roman" w:hAnsi="Times New Roman" w:cs="Times New Roman"/>
          <w:lang w:val="en-GB"/>
        </w:rPr>
        <w:t>only age-standardized or</w:t>
      </w:r>
      <w:r w:rsidRPr="00A6329C">
        <w:rPr>
          <w:rFonts w:ascii="Times New Roman" w:hAnsi="Times New Roman" w:cs="Times New Roman"/>
          <w:lang w:val="en-GB"/>
        </w:rPr>
        <w:t xml:space="preserve"> model-predicted estimates</w:t>
      </w:r>
      <w:r>
        <w:rPr>
          <w:rFonts w:ascii="Times New Roman" w:hAnsi="Times New Roman" w:cs="Times New Roman"/>
          <w:lang w:val="en-GB"/>
        </w:rPr>
        <w:t>;</w:t>
      </w:r>
    </w:p>
    <w:p w:rsidR="00DB3646" w:rsidRDefault="00DB3646" w:rsidP="00032B4E">
      <w:pPr>
        <w:pStyle w:val="ListParagraph"/>
        <w:numPr>
          <w:ilvl w:val="0"/>
          <w:numId w:val="7"/>
        </w:numPr>
        <w:spacing w:line="480" w:lineRule="auto"/>
        <w:rPr>
          <w:rFonts w:ascii="Times New Roman" w:hAnsi="Times New Roman" w:cs="Times New Roman"/>
          <w:lang w:val="en-GB"/>
        </w:rPr>
      </w:pPr>
      <w:r>
        <w:rPr>
          <w:rFonts w:ascii="Times New Roman" w:hAnsi="Times New Roman" w:cs="Times New Roman"/>
          <w:lang w:val="en-GB"/>
        </w:rPr>
        <w:lastRenderedPageBreak/>
        <w:t>Geographic coverage: to improve comparability of target populations between countries, studies were eligible only if they covered the whole population of each country; those with regional coverage were excluded;</w:t>
      </w:r>
    </w:p>
    <w:p w:rsidR="00DB3646" w:rsidRDefault="00DB3646" w:rsidP="00032B4E">
      <w:pPr>
        <w:pStyle w:val="ListParagraph"/>
        <w:numPr>
          <w:ilvl w:val="0"/>
          <w:numId w:val="7"/>
        </w:numPr>
        <w:spacing w:line="480" w:lineRule="auto"/>
        <w:rPr>
          <w:rFonts w:ascii="Times New Roman" w:hAnsi="Times New Roman" w:cs="Times New Roman"/>
          <w:lang w:val="en-GB"/>
        </w:rPr>
      </w:pPr>
      <w:r w:rsidRPr="00E80F35">
        <w:rPr>
          <w:rFonts w:ascii="Times New Roman" w:hAnsi="Times New Roman" w:cs="Times New Roman"/>
          <w:lang w:val="en-GB"/>
        </w:rPr>
        <w:t xml:space="preserve">Homogeneity: </w:t>
      </w:r>
      <w:r>
        <w:rPr>
          <w:rFonts w:ascii="Times New Roman" w:hAnsi="Times New Roman" w:cs="Times New Roman"/>
          <w:lang w:val="en-GB"/>
        </w:rPr>
        <w:t>eligible papers</w:t>
      </w:r>
      <w:r w:rsidRPr="00E80F35">
        <w:rPr>
          <w:rFonts w:ascii="Times New Roman" w:hAnsi="Times New Roman" w:cs="Times New Roman"/>
          <w:lang w:val="en-GB"/>
        </w:rPr>
        <w:t xml:space="preserve"> used official hospital </w:t>
      </w:r>
      <w:r>
        <w:rPr>
          <w:rFonts w:ascii="Times New Roman" w:hAnsi="Times New Roman" w:cs="Times New Roman"/>
          <w:lang w:val="en-GB"/>
        </w:rPr>
        <w:t xml:space="preserve">and demographic </w:t>
      </w:r>
      <w:r w:rsidRPr="00E80F35">
        <w:rPr>
          <w:rFonts w:ascii="Times New Roman" w:hAnsi="Times New Roman" w:cs="Times New Roman"/>
          <w:lang w:val="en-GB"/>
        </w:rPr>
        <w:t xml:space="preserve">statistics </w:t>
      </w:r>
      <w:r>
        <w:rPr>
          <w:rFonts w:ascii="Times New Roman" w:hAnsi="Times New Roman" w:cs="Times New Roman"/>
          <w:lang w:val="en-GB"/>
        </w:rPr>
        <w:t xml:space="preserve">to compute rates and that had national coverage. As such, it is very probable, and indeed desirable, that </w:t>
      </w:r>
      <w:r w:rsidRPr="00E80F35">
        <w:rPr>
          <w:rFonts w:ascii="Times New Roman" w:hAnsi="Times New Roman" w:cs="Times New Roman"/>
          <w:lang w:val="en-GB"/>
        </w:rPr>
        <w:t xml:space="preserve">publications regarding the same country </w:t>
      </w:r>
      <w:r>
        <w:rPr>
          <w:rFonts w:ascii="Times New Roman" w:hAnsi="Times New Roman" w:cs="Times New Roman"/>
          <w:lang w:val="en-GB"/>
        </w:rPr>
        <w:t>during</w:t>
      </w:r>
      <w:r w:rsidRPr="00E80F35">
        <w:rPr>
          <w:rFonts w:ascii="Times New Roman" w:hAnsi="Times New Roman" w:cs="Times New Roman"/>
          <w:lang w:val="en-GB"/>
        </w:rPr>
        <w:t xml:space="preserve"> the same time period</w:t>
      </w:r>
      <w:r>
        <w:rPr>
          <w:rFonts w:ascii="Times New Roman" w:hAnsi="Times New Roman" w:cs="Times New Roman"/>
          <w:lang w:val="en-GB"/>
        </w:rPr>
        <w:t xml:space="preserve"> have worked on the same raw data or its subsets. Further d</w:t>
      </w:r>
      <w:r w:rsidRPr="00E80F35">
        <w:rPr>
          <w:rFonts w:ascii="Times New Roman" w:hAnsi="Times New Roman" w:cs="Times New Roman"/>
          <w:lang w:val="en-GB"/>
        </w:rPr>
        <w:t xml:space="preserve">ifferences </w:t>
      </w:r>
      <w:r>
        <w:rPr>
          <w:rFonts w:ascii="Times New Roman" w:hAnsi="Times New Roman" w:cs="Times New Roman"/>
          <w:lang w:val="en-GB"/>
        </w:rPr>
        <w:t>are likely due to specific methodological options such as diagnosis codes considered eligible, correction for readmissions or age-groups considered. Therefore, to avoid repetitions that would cause an artefactual increase in statistical power without adding information, we opted to use a single time series per country.</w:t>
      </w:r>
      <w:r w:rsidRPr="00510B0E">
        <w:rPr>
          <w:rFonts w:ascii="Times New Roman" w:hAnsi="Times New Roman" w:cs="Times New Roman"/>
          <w:lang w:val="en-GB"/>
        </w:rPr>
        <w:t xml:space="preserve"> </w:t>
      </w:r>
      <w:r>
        <w:rPr>
          <w:rFonts w:ascii="Times New Roman" w:hAnsi="Times New Roman" w:cs="Times New Roman"/>
          <w:lang w:val="en-GB"/>
        </w:rPr>
        <w:t xml:space="preserve">The selection of the </w:t>
      </w:r>
      <w:r w:rsidRPr="00510B0E">
        <w:rPr>
          <w:rFonts w:ascii="Times New Roman" w:hAnsi="Times New Roman" w:cs="Times New Roman"/>
          <w:lang w:val="en-GB"/>
        </w:rPr>
        <w:t xml:space="preserve">study </w:t>
      </w:r>
      <w:r>
        <w:rPr>
          <w:rFonts w:ascii="Times New Roman" w:hAnsi="Times New Roman" w:cs="Times New Roman"/>
          <w:lang w:val="en-GB"/>
        </w:rPr>
        <w:t xml:space="preserve">to </w:t>
      </w:r>
      <w:r w:rsidRPr="00510B0E">
        <w:rPr>
          <w:rFonts w:ascii="Times New Roman" w:hAnsi="Times New Roman" w:cs="Times New Roman"/>
          <w:lang w:val="en-GB"/>
        </w:rPr>
        <w:t>inclu</w:t>
      </w:r>
      <w:r w:rsidRPr="00A6329C">
        <w:rPr>
          <w:rFonts w:ascii="Times New Roman" w:hAnsi="Times New Roman" w:cs="Times New Roman"/>
          <w:lang w:val="en-GB"/>
        </w:rPr>
        <w:t>de</w:t>
      </w:r>
      <w:r w:rsidRPr="00510B0E">
        <w:rPr>
          <w:rFonts w:ascii="Times New Roman" w:hAnsi="Times New Roman" w:cs="Times New Roman"/>
          <w:lang w:val="en-GB"/>
        </w:rPr>
        <w:t xml:space="preserve"> was independent of the conclusion of </w:t>
      </w:r>
      <w:r>
        <w:rPr>
          <w:rFonts w:ascii="Times New Roman" w:hAnsi="Times New Roman" w:cs="Times New Roman"/>
          <w:lang w:val="en-GB"/>
        </w:rPr>
        <w:t xml:space="preserve">that </w:t>
      </w:r>
      <w:r w:rsidRPr="00510B0E">
        <w:rPr>
          <w:rFonts w:ascii="Times New Roman" w:hAnsi="Times New Roman" w:cs="Times New Roman"/>
          <w:lang w:val="en-GB"/>
        </w:rPr>
        <w:t>individual study</w:t>
      </w:r>
      <w:r>
        <w:rPr>
          <w:rFonts w:ascii="Times New Roman" w:hAnsi="Times New Roman" w:cs="Times New Roman"/>
          <w:lang w:val="en-GB"/>
        </w:rPr>
        <w:t xml:space="preserve"> with regard to the trend examined</w:t>
      </w:r>
      <w:r w:rsidR="00E47CB6">
        <w:rPr>
          <w:rFonts w:ascii="Times New Roman" w:hAnsi="Times New Roman" w:cs="Times New Roman"/>
          <w:lang w:val="en-GB"/>
        </w:rPr>
        <w:t xml:space="preserve"> and was guided by model quality criteria defined </w:t>
      </w:r>
      <w:r w:rsidR="009A645B">
        <w:rPr>
          <w:rFonts w:ascii="Times New Roman" w:hAnsi="Times New Roman" w:cs="Times New Roman"/>
          <w:lang w:val="en-GB"/>
        </w:rPr>
        <w:t>on item e)</w:t>
      </w:r>
      <w:r w:rsidRPr="004F24B4">
        <w:rPr>
          <w:rFonts w:ascii="Times New Roman" w:hAnsi="Times New Roman" w:cs="Times New Roman"/>
          <w:lang w:val="en-GB"/>
        </w:rPr>
        <w:t>;</w:t>
      </w:r>
    </w:p>
    <w:p w:rsidR="00DB3646" w:rsidRPr="00D617A8" w:rsidRDefault="00DB3646" w:rsidP="00032B4E">
      <w:pPr>
        <w:pStyle w:val="ListParagraph"/>
        <w:numPr>
          <w:ilvl w:val="0"/>
          <w:numId w:val="7"/>
        </w:numPr>
        <w:spacing w:line="480" w:lineRule="auto"/>
        <w:rPr>
          <w:rFonts w:ascii="Times New Roman" w:hAnsi="Times New Roman" w:cs="Times New Roman"/>
          <w:lang w:val="en-GB"/>
        </w:rPr>
      </w:pPr>
      <w:r>
        <w:rPr>
          <w:rFonts w:ascii="Times New Roman" w:hAnsi="Times New Roman" w:cs="Times New Roman"/>
          <w:lang w:val="en-GB"/>
        </w:rPr>
        <w:t xml:space="preserve">Modelling quality: to improve model fit, </w:t>
      </w:r>
      <w:r w:rsidRPr="00E53169">
        <w:rPr>
          <w:rFonts w:ascii="Times New Roman" w:hAnsi="Times New Roman" w:cs="Times New Roman"/>
          <w:lang w:val="en-GB"/>
        </w:rPr>
        <w:t>when time series overlapped within the same country and year</w:t>
      </w:r>
      <w:r>
        <w:rPr>
          <w:rFonts w:ascii="Times New Roman" w:hAnsi="Times New Roman" w:cs="Times New Roman"/>
          <w:lang w:val="en-GB"/>
        </w:rPr>
        <w:t>,</w:t>
      </w:r>
      <w:r w:rsidRPr="002C76D5">
        <w:rPr>
          <w:rFonts w:ascii="Times New Roman" w:hAnsi="Times New Roman" w:cs="Times New Roman"/>
          <w:lang w:val="en-GB"/>
        </w:rPr>
        <w:t xml:space="preserve"> </w:t>
      </w:r>
      <w:r>
        <w:rPr>
          <w:rFonts w:ascii="Times New Roman" w:hAnsi="Times New Roman" w:cs="Times New Roman"/>
          <w:lang w:val="en-GB"/>
        </w:rPr>
        <w:t xml:space="preserve">we </w:t>
      </w:r>
      <w:r w:rsidR="00F80976">
        <w:rPr>
          <w:rFonts w:ascii="Times New Roman" w:hAnsi="Times New Roman" w:cs="Times New Roman"/>
          <w:lang w:val="en-GB"/>
        </w:rPr>
        <w:t>defined the following selection criteria</w:t>
      </w:r>
      <w:r w:rsidRPr="00E53169">
        <w:rPr>
          <w:rFonts w:ascii="Times New Roman" w:hAnsi="Times New Roman" w:cs="Times New Roman"/>
          <w:lang w:val="en-GB"/>
        </w:rPr>
        <w:t>, in order of preference:</w:t>
      </w:r>
      <w:r>
        <w:rPr>
          <w:rFonts w:ascii="Times New Roman" w:hAnsi="Times New Roman" w:cs="Times New Roman"/>
          <w:lang w:val="en-GB"/>
        </w:rPr>
        <w:t xml:space="preserve"> 1) wide</w:t>
      </w:r>
      <w:r w:rsidR="00115661">
        <w:rPr>
          <w:rFonts w:ascii="Times New Roman" w:hAnsi="Times New Roman" w:cs="Times New Roman"/>
          <w:lang w:val="en-GB"/>
        </w:rPr>
        <w:t>r</w:t>
      </w:r>
      <w:r>
        <w:rPr>
          <w:rFonts w:ascii="Times New Roman" w:hAnsi="Times New Roman" w:cs="Times New Roman"/>
          <w:lang w:val="en-GB"/>
        </w:rPr>
        <w:t xml:space="preserve"> time span, 2) mo</w:t>
      </w:r>
      <w:r w:rsidR="00115661">
        <w:rPr>
          <w:rFonts w:ascii="Times New Roman" w:hAnsi="Times New Roman" w:cs="Times New Roman"/>
          <w:lang w:val="en-GB"/>
        </w:rPr>
        <w:t>re</w:t>
      </w:r>
      <w:r>
        <w:rPr>
          <w:rFonts w:ascii="Times New Roman" w:hAnsi="Times New Roman" w:cs="Times New Roman"/>
          <w:lang w:val="en-GB"/>
        </w:rPr>
        <w:t xml:space="preserve"> recent estimates and</w:t>
      </w:r>
      <w:r w:rsidRPr="002C76D5">
        <w:rPr>
          <w:rFonts w:ascii="Times New Roman" w:hAnsi="Times New Roman" w:cs="Times New Roman"/>
          <w:lang w:val="en-GB"/>
        </w:rPr>
        <w:t xml:space="preserve"> </w:t>
      </w:r>
      <w:r>
        <w:rPr>
          <w:rFonts w:ascii="Times New Roman" w:hAnsi="Times New Roman" w:cs="Times New Roman"/>
          <w:lang w:val="en-GB"/>
        </w:rPr>
        <w:t>3) shorter</w:t>
      </w:r>
      <w:r w:rsidRPr="002C76D5">
        <w:rPr>
          <w:rFonts w:ascii="Times New Roman" w:hAnsi="Times New Roman" w:cs="Times New Roman"/>
          <w:lang w:val="en-GB"/>
        </w:rPr>
        <w:t xml:space="preserve"> intervals between estimates</w:t>
      </w:r>
      <w:r>
        <w:rPr>
          <w:rFonts w:ascii="Times New Roman" w:hAnsi="Times New Roman" w:cs="Times New Roman"/>
          <w:lang w:val="en-GB"/>
        </w:rPr>
        <w:t>.</w:t>
      </w:r>
      <w:r w:rsidR="00F76D24">
        <w:rPr>
          <w:rFonts w:ascii="Times New Roman" w:hAnsi="Times New Roman" w:cs="Times New Roman"/>
          <w:lang w:val="en-GB"/>
        </w:rPr>
        <w:t xml:space="preserve"> </w:t>
      </w:r>
      <w:r w:rsidR="007240C5">
        <w:rPr>
          <w:rFonts w:ascii="Times New Roman" w:hAnsi="Times New Roman" w:cs="Times New Roman"/>
          <w:lang w:val="en-GB"/>
        </w:rPr>
        <w:t>This implied that whenever there was more than one time series per country we</w:t>
      </w:r>
      <w:r w:rsidR="00115661">
        <w:rPr>
          <w:rFonts w:ascii="Times New Roman" w:hAnsi="Times New Roman" w:cs="Times New Roman"/>
          <w:lang w:val="en-GB"/>
        </w:rPr>
        <w:t xml:space="preserve"> started by excluding</w:t>
      </w:r>
      <w:r w:rsidR="007240C5">
        <w:rPr>
          <w:rFonts w:ascii="Times New Roman" w:hAnsi="Times New Roman" w:cs="Times New Roman"/>
          <w:lang w:val="en-GB"/>
        </w:rPr>
        <w:t xml:space="preserve"> </w:t>
      </w:r>
      <w:r w:rsidR="00115661">
        <w:rPr>
          <w:rFonts w:ascii="Times New Roman" w:hAnsi="Times New Roman" w:cs="Times New Roman"/>
          <w:lang w:val="en-GB"/>
        </w:rPr>
        <w:t xml:space="preserve">the series </w:t>
      </w:r>
      <w:r w:rsidR="00032B4E">
        <w:rPr>
          <w:rFonts w:ascii="Times New Roman" w:hAnsi="Times New Roman" w:cs="Times New Roman"/>
          <w:lang w:val="en-GB"/>
        </w:rPr>
        <w:t>with the shortest time span. If time spans</w:t>
      </w:r>
      <w:r w:rsidR="007240C5">
        <w:rPr>
          <w:rFonts w:ascii="Times New Roman" w:hAnsi="Times New Roman" w:cs="Times New Roman"/>
          <w:lang w:val="en-GB"/>
        </w:rPr>
        <w:t xml:space="preserve"> </w:t>
      </w:r>
      <w:r w:rsidR="00F80976">
        <w:rPr>
          <w:rFonts w:ascii="Times New Roman" w:hAnsi="Times New Roman" w:cs="Times New Roman"/>
          <w:lang w:val="en-GB"/>
        </w:rPr>
        <w:t xml:space="preserve">had the same width, we excluded the </w:t>
      </w:r>
      <w:r w:rsidR="007240C5">
        <w:rPr>
          <w:rFonts w:ascii="Times New Roman" w:hAnsi="Times New Roman" w:cs="Times New Roman"/>
          <w:lang w:val="en-GB"/>
        </w:rPr>
        <w:t xml:space="preserve">oldest </w:t>
      </w:r>
      <w:r w:rsidR="00F80976">
        <w:rPr>
          <w:rFonts w:ascii="Times New Roman" w:hAnsi="Times New Roman" w:cs="Times New Roman"/>
          <w:lang w:val="en-GB"/>
        </w:rPr>
        <w:t>series. In case calendar periods also overlapped, we excluded</w:t>
      </w:r>
      <w:r w:rsidR="007240C5">
        <w:rPr>
          <w:rFonts w:ascii="Times New Roman" w:hAnsi="Times New Roman" w:cs="Times New Roman"/>
          <w:lang w:val="en-GB"/>
        </w:rPr>
        <w:t xml:space="preserve"> </w:t>
      </w:r>
      <w:r w:rsidR="00F80976">
        <w:rPr>
          <w:rFonts w:ascii="Times New Roman" w:hAnsi="Times New Roman" w:cs="Times New Roman"/>
          <w:lang w:val="en-GB"/>
        </w:rPr>
        <w:t xml:space="preserve">the one </w:t>
      </w:r>
      <w:r w:rsidR="007240C5">
        <w:rPr>
          <w:rFonts w:ascii="Times New Roman" w:hAnsi="Times New Roman" w:cs="Times New Roman"/>
          <w:lang w:val="en-GB"/>
        </w:rPr>
        <w:t xml:space="preserve">with the </w:t>
      </w:r>
      <w:r w:rsidR="00F80976">
        <w:rPr>
          <w:rFonts w:ascii="Times New Roman" w:hAnsi="Times New Roman" w:cs="Times New Roman"/>
          <w:lang w:val="en-GB"/>
        </w:rPr>
        <w:t xml:space="preserve">largest </w:t>
      </w:r>
      <w:r w:rsidR="007240C5">
        <w:rPr>
          <w:rFonts w:ascii="Times New Roman" w:hAnsi="Times New Roman" w:cs="Times New Roman"/>
          <w:lang w:val="en-GB"/>
        </w:rPr>
        <w:t xml:space="preserve">intervals between </w:t>
      </w:r>
      <w:r w:rsidR="00F80976">
        <w:rPr>
          <w:rFonts w:ascii="Times New Roman" w:hAnsi="Times New Roman" w:cs="Times New Roman"/>
          <w:lang w:val="en-GB"/>
        </w:rPr>
        <w:t>time points</w:t>
      </w:r>
      <w:r w:rsidR="007240C5">
        <w:rPr>
          <w:rFonts w:ascii="Times New Roman" w:hAnsi="Times New Roman" w:cs="Times New Roman"/>
          <w:lang w:val="en-GB"/>
        </w:rPr>
        <w:t>.</w:t>
      </w: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W</w:t>
      </w:r>
      <w:r w:rsidRPr="00E53169">
        <w:rPr>
          <w:rFonts w:ascii="Times New Roman" w:hAnsi="Times New Roman" w:cs="Times New Roman"/>
          <w:lang w:val="en-GB"/>
        </w:rPr>
        <w:t xml:space="preserve">e </w:t>
      </w:r>
      <w:r>
        <w:rPr>
          <w:rFonts w:ascii="Times New Roman" w:hAnsi="Times New Roman" w:cs="Times New Roman"/>
          <w:lang w:val="en-GB"/>
        </w:rPr>
        <w:t>identified eligible papers</w:t>
      </w:r>
      <w:r w:rsidRPr="00E53169">
        <w:rPr>
          <w:rFonts w:ascii="Times New Roman" w:hAnsi="Times New Roman" w:cs="Times New Roman"/>
          <w:lang w:val="en-GB"/>
        </w:rPr>
        <w:t xml:space="preserve"> for the following 14 countries: Austria</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9</w:t>
      </w:r>
      <w:r w:rsidRPr="00E53169">
        <w:rPr>
          <w:rFonts w:ascii="Times New Roman" w:hAnsi="Times New Roman" w:cs="Times New Roman"/>
          <w:lang w:val="en-GB"/>
        </w:rPr>
        <w:t xml:space="preserve"> Denmark</w:t>
      </w:r>
      <w:r>
        <w:rPr>
          <w:rFonts w:ascii="Times New Roman" w:hAnsi="Times New Roman" w:cs="Times New Roman"/>
          <w:lang w:val="en-GB"/>
        </w:rPr>
        <w:t>,</w:t>
      </w:r>
      <w:r w:rsidRPr="00E53169">
        <w:rPr>
          <w:rFonts w:ascii="Times New Roman" w:hAnsi="Times New Roman" w:cs="Times New Roman"/>
          <w:lang w:val="en-GB"/>
        </w:rPr>
        <w:t xml:space="preserve"> </w:t>
      </w:r>
      <w:r w:rsidRPr="001B71E9">
        <w:rPr>
          <w:rFonts w:ascii="Times New Roman" w:hAnsi="Times New Roman" w:cs="Times New Roman"/>
          <w:noProof/>
          <w:vertAlign w:val="superscript"/>
          <w:lang w:val="en-GB"/>
        </w:rPr>
        <w:t>17</w:t>
      </w:r>
      <w:r w:rsidRPr="00E53169">
        <w:rPr>
          <w:rFonts w:ascii="Times New Roman" w:hAnsi="Times New Roman" w:cs="Times New Roman"/>
          <w:lang w:val="en-GB"/>
        </w:rPr>
        <w:t xml:space="preserve"> Estonia</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24</w:t>
      </w:r>
      <w:r w:rsidRPr="00E53169">
        <w:rPr>
          <w:rFonts w:ascii="Times New Roman" w:hAnsi="Times New Roman" w:cs="Times New Roman"/>
          <w:lang w:val="en-GB"/>
        </w:rPr>
        <w:t xml:space="preserve"> Finland</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7</w:t>
      </w:r>
      <w:r w:rsidRPr="00E53169">
        <w:rPr>
          <w:rFonts w:ascii="Times New Roman" w:hAnsi="Times New Roman" w:cs="Times New Roman"/>
          <w:lang w:val="en-GB"/>
        </w:rPr>
        <w:t xml:space="preserve"> France</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25</w:t>
      </w:r>
      <w:r w:rsidRPr="00E53169">
        <w:rPr>
          <w:rFonts w:ascii="Times New Roman" w:hAnsi="Times New Roman" w:cs="Times New Roman"/>
          <w:lang w:val="en-GB"/>
        </w:rPr>
        <w:t xml:space="preserve"> Germany</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12</w:t>
      </w:r>
      <w:r w:rsidRPr="00E53169">
        <w:rPr>
          <w:rFonts w:ascii="Times New Roman" w:hAnsi="Times New Roman" w:cs="Times New Roman"/>
          <w:lang w:val="en-GB"/>
        </w:rPr>
        <w:t xml:space="preserve"> Italy</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26</w:t>
      </w:r>
      <w:r w:rsidRPr="00E53169">
        <w:rPr>
          <w:rFonts w:ascii="Times New Roman" w:hAnsi="Times New Roman" w:cs="Times New Roman"/>
          <w:lang w:val="en-GB"/>
        </w:rPr>
        <w:t xml:space="preserve"> the Netherlands</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27</w:t>
      </w:r>
      <w:r w:rsidRPr="00E53169">
        <w:rPr>
          <w:rFonts w:ascii="Times New Roman" w:hAnsi="Times New Roman" w:cs="Times New Roman"/>
          <w:lang w:val="en-GB"/>
        </w:rPr>
        <w:t xml:space="preserve"> Norway</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28</w:t>
      </w:r>
      <w:r w:rsidRPr="00E53169">
        <w:rPr>
          <w:rFonts w:ascii="Times New Roman" w:hAnsi="Times New Roman" w:cs="Times New Roman"/>
          <w:lang w:val="en-GB"/>
        </w:rPr>
        <w:t xml:space="preserve"> Portugal</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29</w:t>
      </w:r>
      <w:r w:rsidRPr="00E53169">
        <w:rPr>
          <w:rFonts w:ascii="Times New Roman" w:hAnsi="Times New Roman" w:cs="Times New Roman"/>
          <w:lang w:val="en-GB"/>
        </w:rPr>
        <w:t xml:space="preserve"> Spain</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30</w:t>
      </w:r>
      <w:r w:rsidRPr="00E53169">
        <w:rPr>
          <w:rFonts w:ascii="Times New Roman" w:hAnsi="Times New Roman" w:cs="Times New Roman"/>
          <w:lang w:val="en-GB"/>
        </w:rPr>
        <w:t xml:space="preserve"> Sweden</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31</w:t>
      </w:r>
      <w:r w:rsidRPr="00E53169">
        <w:rPr>
          <w:rFonts w:ascii="Times New Roman" w:hAnsi="Times New Roman" w:cs="Times New Roman"/>
          <w:lang w:val="en-GB"/>
        </w:rPr>
        <w:t xml:space="preserve"> Switzerland</w:t>
      </w:r>
      <w:r>
        <w:rPr>
          <w:rFonts w:ascii="Times New Roman" w:hAnsi="Times New Roman" w:cs="Times New Roman"/>
          <w:lang w:val="en-GB"/>
        </w:rPr>
        <w:t>,</w:t>
      </w:r>
      <w:r w:rsidRPr="00E53169">
        <w:rPr>
          <w:rFonts w:ascii="Times New Roman" w:hAnsi="Times New Roman" w:cs="Times New Roman"/>
          <w:lang w:val="en-GB"/>
        </w:rPr>
        <w:t xml:space="preserve"> </w:t>
      </w:r>
      <w:r w:rsidRPr="001B71E9">
        <w:rPr>
          <w:rFonts w:ascii="Times New Roman" w:hAnsi="Times New Roman" w:cs="Times New Roman"/>
          <w:noProof/>
          <w:vertAlign w:val="superscript"/>
          <w:lang w:val="en-GB"/>
        </w:rPr>
        <w:t>18</w:t>
      </w:r>
      <w:r w:rsidRPr="00E53169">
        <w:rPr>
          <w:rFonts w:ascii="Times New Roman" w:hAnsi="Times New Roman" w:cs="Times New Roman"/>
          <w:lang w:val="en-GB"/>
        </w:rPr>
        <w:t xml:space="preserve"> and the U</w:t>
      </w:r>
      <w:r>
        <w:rPr>
          <w:rFonts w:ascii="Times New Roman" w:hAnsi="Times New Roman" w:cs="Times New Roman"/>
          <w:lang w:val="en-GB"/>
        </w:rPr>
        <w:t>K</w:t>
      </w:r>
      <w:r w:rsidRPr="00E53169">
        <w:rPr>
          <w:rFonts w:ascii="Times New Roman" w:hAnsi="Times New Roman" w:cs="Times New Roman"/>
          <w:lang w:val="en-GB"/>
        </w:rPr>
        <w:t xml:space="preserve"> – England</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32</w:t>
      </w:r>
      <w:r w:rsidRPr="00E53169">
        <w:rPr>
          <w:rFonts w:ascii="Times New Roman" w:hAnsi="Times New Roman" w:cs="Times New Roman"/>
          <w:lang w:val="en-GB"/>
        </w:rPr>
        <w:t xml:space="preserve"> </w:t>
      </w:r>
      <w:r>
        <w:rPr>
          <w:rFonts w:ascii="Times New Roman" w:hAnsi="Times New Roman" w:cs="Times New Roman"/>
          <w:lang w:val="en-GB"/>
        </w:rPr>
        <w:t>S</w:t>
      </w:r>
      <w:r w:rsidRPr="00E53169">
        <w:rPr>
          <w:rFonts w:ascii="Times New Roman" w:hAnsi="Times New Roman" w:cs="Times New Roman"/>
          <w:lang w:val="en-GB"/>
        </w:rPr>
        <w:t>eries differed between countries in time span, periodicity and age groups considered, but no</w:t>
      </w:r>
      <w:r>
        <w:rPr>
          <w:rFonts w:ascii="Times New Roman" w:hAnsi="Times New Roman" w:cs="Times New Roman"/>
          <w:lang w:val="en-GB"/>
        </w:rPr>
        <w:t xml:space="preserve"> data</w:t>
      </w:r>
      <w:r w:rsidRPr="00E53169">
        <w:rPr>
          <w:rFonts w:ascii="Times New Roman" w:hAnsi="Times New Roman" w:cs="Times New Roman"/>
          <w:lang w:val="en-GB"/>
        </w:rPr>
        <w:t xml:space="preserve"> imputation was conducted</w:t>
      </w:r>
      <w:r>
        <w:rPr>
          <w:rFonts w:ascii="Times New Roman" w:hAnsi="Times New Roman" w:cs="Times New Roman"/>
          <w:lang w:val="en-GB"/>
        </w:rPr>
        <w:t xml:space="preserve"> (Table 1)</w:t>
      </w:r>
      <w:r w:rsidRPr="00E53169">
        <w:rPr>
          <w:rFonts w:ascii="Times New Roman" w:hAnsi="Times New Roman" w:cs="Times New Roman"/>
          <w:lang w:val="en-GB"/>
        </w:rPr>
        <w:t>.</w:t>
      </w:r>
      <w:r>
        <w:rPr>
          <w:rFonts w:ascii="Times New Roman" w:hAnsi="Times New Roman" w:cs="Times New Roman"/>
          <w:lang w:val="en-GB"/>
        </w:rPr>
        <w:t xml:space="preserve"> </w:t>
      </w:r>
      <w:r w:rsidRPr="00E53169">
        <w:rPr>
          <w:rFonts w:ascii="Times New Roman" w:hAnsi="Times New Roman" w:cs="Times New Roman"/>
          <w:lang w:val="en-GB"/>
        </w:rPr>
        <w:t xml:space="preserve">From each paper, we extracted sex- and age-specific incidence rates of hip fracture for that country in each </w:t>
      </w:r>
      <w:r w:rsidRPr="00E53169">
        <w:rPr>
          <w:rFonts w:ascii="Times New Roman" w:hAnsi="Times New Roman" w:cs="Times New Roman"/>
          <w:lang w:val="en-GB"/>
        </w:rPr>
        <w:lastRenderedPageBreak/>
        <w:t xml:space="preserve">year. Estimates </w:t>
      </w:r>
      <w:r>
        <w:rPr>
          <w:rFonts w:ascii="Times New Roman" w:hAnsi="Times New Roman" w:cs="Times New Roman"/>
          <w:lang w:val="en-GB"/>
        </w:rPr>
        <w:t>referred to</w:t>
      </w:r>
      <w:r w:rsidRPr="00E53169">
        <w:rPr>
          <w:rFonts w:ascii="Times New Roman" w:hAnsi="Times New Roman" w:cs="Times New Roman"/>
          <w:lang w:val="en-GB"/>
        </w:rPr>
        <w:t xml:space="preserve"> the age groups defined in each paper and we indexed each </w:t>
      </w:r>
      <w:r>
        <w:rPr>
          <w:rFonts w:ascii="Times New Roman" w:hAnsi="Times New Roman" w:cs="Times New Roman"/>
          <w:lang w:val="en-GB"/>
        </w:rPr>
        <w:t>rate</w:t>
      </w:r>
      <w:r w:rsidRPr="00E53169">
        <w:rPr>
          <w:rFonts w:ascii="Times New Roman" w:hAnsi="Times New Roman" w:cs="Times New Roman"/>
          <w:lang w:val="en-GB"/>
        </w:rPr>
        <w:t xml:space="preserve"> to the midpoint of the corresponding age category.</w:t>
      </w:r>
    </w:p>
    <w:p w:rsidR="00DB3646" w:rsidRDefault="00DB3646" w:rsidP="00032B4E">
      <w:pPr>
        <w:spacing w:line="480" w:lineRule="auto"/>
        <w:rPr>
          <w:rFonts w:ascii="Times New Roman" w:hAnsi="Times New Roman" w:cs="Times New Roman"/>
          <w:lang w:val="en-GB"/>
        </w:rPr>
        <w:sectPr w:rsidR="00DB3646" w:rsidSect="00DB3646">
          <w:footerReference w:type="default" r:id="rId8"/>
          <w:pgSz w:w="12240" w:h="15840"/>
          <w:pgMar w:top="1417" w:right="1701" w:bottom="1417" w:left="1701" w:header="708" w:footer="708" w:gutter="0"/>
          <w:cols w:space="708"/>
          <w:docGrid w:linePitch="360"/>
        </w:sectPr>
      </w:pPr>
    </w:p>
    <w:p w:rsidR="00DB3646" w:rsidRDefault="00DB3646" w:rsidP="00032B4E">
      <w:pPr>
        <w:spacing w:line="480" w:lineRule="auto"/>
        <w:rPr>
          <w:rFonts w:ascii="Times New Roman" w:hAnsi="Times New Roman" w:cs="Times New Roman"/>
          <w:lang w:val="en-GB"/>
        </w:rPr>
      </w:pPr>
    </w:p>
    <w:p w:rsidR="00DB3646" w:rsidRPr="003B1E8C" w:rsidRDefault="00DB3646" w:rsidP="00032B4E">
      <w:pPr>
        <w:spacing w:line="360" w:lineRule="auto"/>
        <w:jc w:val="both"/>
        <w:rPr>
          <w:rFonts w:ascii="Times New Roman" w:hAnsi="Times New Roman" w:cs="Times New Roman"/>
          <w:lang w:val="en-GB"/>
        </w:rPr>
      </w:pPr>
      <w:r w:rsidRPr="003B1E8C">
        <w:rPr>
          <w:rFonts w:ascii="Times New Roman" w:hAnsi="Times New Roman" w:cs="Times New Roman"/>
          <w:lang w:val="en-GB"/>
        </w:rPr>
        <w:t>Table 1. Characteristics of studies included</w:t>
      </w:r>
    </w:p>
    <w:tbl>
      <w:tblPr>
        <w:tblStyle w:val="TableGrid"/>
        <w:tblW w:w="1318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52"/>
        <w:gridCol w:w="1812"/>
        <w:gridCol w:w="1325"/>
        <w:gridCol w:w="4629"/>
        <w:gridCol w:w="2361"/>
        <w:gridCol w:w="1707"/>
      </w:tblGrid>
      <w:tr w:rsidR="00DB3646" w:rsidRPr="003B1E8C" w:rsidTr="00032B4E">
        <w:trPr>
          <w:trHeight w:val="617"/>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Country</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Author,</w:t>
            </w:r>
          </w:p>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publication year</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Calendar period</w:t>
            </w:r>
          </w:p>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 xml:space="preserve">(no. </w:t>
            </w:r>
            <w:r>
              <w:rPr>
                <w:rFonts w:ascii="Times New Roman" w:hAnsi="Times New Roman" w:cs="Times New Roman"/>
                <w:sz w:val="16"/>
                <w:lang w:val="en-GB"/>
              </w:rPr>
              <w:t xml:space="preserve">of </w:t>
            </w:r>
            <w:r w:rsidRPr="003B1E8C">
              <w:rPr>
                <w:rFonts w:ascii="Times New Roman" w:hAnsi="Times New Roman" w:cs="Times New Roman"/>
                <w:sz w:val="16"/>
                <w:lang w:val="en-GB"/>
              </w:rPr>
              <w:t>time points)</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Age groups considered (years)</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ICD revision and codes</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Correction for multiple admissions</w:t>
            </w:r>
          </w:p>
        </w:tc>
      </w:tr>
      <w:tr w:rsidR="00DB3646" w:rsidRPr="003B1E8C" w:rsidTr="00032B4E">
        <w:trPr>
          <w:trHeight w:val="302"/>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Austria</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Dimai, 2011</w:t>
            </w:r>
            <w:r>
              <w:rPr>
                <w:rFonts w:ascii="Times New Roman" w:hAnsi="Times New Roman" w:cs="Times New Roman"/>
                <w:sz w:val="16"/>
                <w:lang w:val="en-GB"/>
              </w:rPr>
              <w:t xml:space="preserve"> </w:t>
            </w:r>
            <w:r w:rsidRPr="0091450C">
              <w:rPr>
                <w:rFonts w:ascii="Times New Roman" w:hAnsi="Times New Roman" w:cs="Times New Roman"/>
                <w:noProof/>
                <w:sz w:val="16"/>
                <w:vertAlign w:val="superscript"/>
                <w:lang w:val="en-GB"/>
              </w:rPr>
              <w:t>9</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1989-2008 (20)</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50-54, 55-59, 60-64, 65-69, 70-74, 75-79, 80-84, 85-89, 90-94, 95+</w:t>
            </w:r>
          </w:p>
        </w:tc>
        <w:tc>
          <w:tcPr>
            <w:tcW w:w="2361" w:type="dxa"/>
          </w:tcPr>
          <w:p w:rsidR="00DB3646"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w:t>
            </w:r>
          </w:p>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 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Denmark</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Abrahamsen, 2010</w:t>
            </w:r>
            <w:r>
              <w:rPr>
                <w:rFonts w:ascii="Times New Roman" w:hAnsi="Times New Roman" w:cs="Times New Roman"/>
                <w:sz w:val="16"/>
                <w:lang w:val="en-GB"/>
              </w:rPr>
              <w:t xml:space="preserve"> </w:t>
            </w:r>
            <w:r w:rsidRPr="001B71E9">
              <w:rPr>
                <w:rFonts w:ascii="Times New Roman" w:hAnsi="Times New Roman" w:cs="Times New Roman"/>
                <w:noProof/>
                <w:sz w:val="16"/>
                <w:vertAlign w:val="superscript"/>
                <w:lang w:val="en-GB"/>
              </w:rPr>
              <w:t>17</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1997-2006 (10)</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60-64, 65-69, 70-74, 75-79, 80-84, 85+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02"/>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Estonia</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Jürisson, 2014</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24</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2005-2012 (8)</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50-59, 60-69, 70-79, 80+</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 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Finland</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Korhonen, 2013</w:t>
            </w:r>
            <w:r>
              <w:rPr>
                <w:rFonts w:ascii="Times New Roman" w:hAnsi="Times New Roman" w:cs="Times New Roman"/>
                <w:sz w:val="16"/>
                <w:lang w:val="en-GB"/>
              </w:rPr>
              <w:t xml:space="preserve"> </w:t>
            </w:r>
            <w:r w:rsidRPr="0091450C">
              <w:rPr>
                <w:rFonts w:ascii="Times New Roman" w:hAnsi="Times New Roman" w:cs="Times New Roman"/>
                <w:noProof/>
                <w:sz w:val="16"/>
                <w:vertAlign w:val="superscript"/>
                <w:lang w:val="en-GB"/>
              </w:rPr>
              <w:t>7</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1970-2010 (41)</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50-64, 65-74, 75-84, 85+</w:t>
            </w:r>
          </w:p>
        </w:tc>
        <w:tc>
          <w:tcPr>
            <w:tcW w:w="2361" w:type="dxa"/>
          </w:tcPr>
          <w:p w:rsidR="00DB3646"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ICD-8 and ICD-9: 820</w:t>
            </w:r>
          </w:p>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02"/>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France</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Maravic, 2011</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25</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2002-2008 (7)</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40-59, 60-74, 75-84, 85+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No</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Germany</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Icks, 2008</w:t>
            </w:r>
            <w:r>
              <w:rPr>
                <w:rFonts w:ascii="Times New Roman" w:hAnsi="Times New Roman" w:cs="Times New Roman"/>
                <w:sz w:val="16"/>
                <w:lang w:val="en-GB"/>
              </w:rPr>
              <w:t xml:space="preserve"> </w:t>
            </w:r>
            <w:r w:rsidRPr="0091450C">
              <w:rPr>
                <w:rFonts w:ascii="Times New Roman" w:hAnsi="Times New Roman" w:cs="Times New Roman"/>
                <w:noProof/>
                <w:sz w:val="16"/>
                <w:vertAlign w:val="superscript"/>
                <w:lang w:val="en-GB"/>
              </w:rPr>
              <w:t>12</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1995-2004 (10)</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40-49, 50-59, 60-64, 65-69, 70-74, 75-79, 80-84, 85-89, 90+</w:t>
            </w:r>
          </w:p>
        </w:tc>
        <w:tc>
          <w:tcPr>
            <w:tcW w:w="2361" w:type="dxa"/>
          </w:tcPr>
          <w:p w:rsidR="00DB3646"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w:t>
            </w:r>
          </w:p>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 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Italy</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Piscitelli, 2011</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26</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2002-2008 (7)</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40-44, 45-49, 50-54, 55-59, 60-64, 65-69, 70-74, 75-79, 80-84, 85-89, 90-94, 95+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820.0-820.3, 820.9, 820.9, 821.1</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27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Netherlands</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Hartholt, 2011</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27</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1991-2008 (5)</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65-69, 70-74, 75-79, 80-84, 85-89, 90-94, 95+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02"/>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Norway</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Omsland, 2012</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28</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1999-2008 (10)</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50-69, 70-74, 75-79, 80-84, 85-89, 90+</w:t>
            </w:r>
          </w:p>
        </w:tc>
        <w:tc>
          <w:tcPr>
            <w:tcW w:w="2361" w:type="dxa"/>
          </w:tcPr>
          <w:p w:rsidR="00DB3646"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w:t>
            </w:r>
          </w:p>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 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Portugal</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Alves, 2013</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29</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2000-2008 (9)</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50-54, 55-59, 60-64, 65-69, 70-74, 75-79, 80-84, 85+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 and admission cause low to moderate trauma</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No</w:t>
            </w:r>
          </w:p>
        </w:tc>
      </w:tr>
      <w:tr w:rsidR="00DB3646" w:rsidRPr="003B1E8C" w:rsidTr="00032B4E">
        <w:trPr>
          <w:trHeight w:val="302"/>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Spain</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Azagra, 2014</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30</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1997-2010 (14)</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65-69, 70-74, 75-79, 80-84, 85+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No</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Sweden</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Nilson, 2013</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31</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1987-2009 (23)</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65-79, 80+</w:t>
            </w:r>
          </w:p>
        </w:tc>
        <w:tc>
          <w:tcPr>
            <w:tcW w:w="2361" w:type="dxa"/>
          </w:tcPr>
          <w:p w:rsidR="00DB3646"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ICD-9: 820</w:t>
            </w:r>
          </w:p>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r w:rsidR="00DB3646" w:rsidRPr="003B1E8C" w:rsidTr="00032B4E">
        <w:trPr>
          <w:trHeight w:val="302"/>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Switzerland</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Lippuner, 2011</w:t>
            </w:r>
            <w:r>
              <w:rPr>
                <w:rFonts w:ascii="Times New Roman" w:hAnsi="Times New Roman" w:cs="Times New Roman"/>
                <w:sz w:val="16"/>
                <w:lang w:val="en-GB"/>
              </w:rPr>
              <w:t xml:space="preserve"> </w:t>
            </w:r>
            <w:r w:rsidRPr="001B71E9">
              <w:rPr>
                <w:rFonts w:ascii="Times New Roman" w:hAnsi="Times New Roman" w:cs="Times New Roman"/>
                <w:noProof/>
                <w:sz w:val="16"/>
                <w:vertAlign w:val="superscript"/>
                <w:lang w:val="en-GB"/>
              </w:rPr>
              <w:t>18</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2000-2007 (8)</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45-49, 50-54, 55-59, 60-64, 65-69, 70-74, 75-79, 80-84, 85+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 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No</w:t>
            </w:r>
          </w:p>
        </w:tc>
      </w:tr>
      <w:tr w:rsidR="00DB3646" w:rsidRPr="003B1E8C" w:rsidTr="00032B4E">
        <w:trPr>
          <w:trHeight w:val="315"/>
          <w:jc w:val="center"/>
        </w:trPr>
        <w:tc>
          <w:tcPr>
            <w:tcW w:w="135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United Kingdom (England)</w:t>
            </w:r>
          </w:p>
        </w:tc>
        <w:tc>
          <w:tcPr>
            <w:tcW w:w="1812"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Wu, 2011</w:t>
            </w:r>
            <w:r>
              <w:rPr>
                <w:rFonts w:ascii="Times New Roman" w:hAnsi="Times New Roman" w:cs="Times New Roman"/>
                <w:sz w:val="16"/>
                <w:lang w:val="en-GB"/>
              </w:rPr>
              <w:t xml:space="preserve"> </w:t>
            </w:r>
            <w:r w:rsidRPr="00CF4E33">
              <w:rPr>
                <w:rFonts w:ascii="Times New Roman" w:hAnsi="Times New Roman" w:cs="Times New Roman"/>
                <w:noProof/>
                <w:sz w:val="16"/>
                <w:vertAlign w:val="superscript"/>
                <w:lang w:val="en-GB"/>
              </w:rPr>
              <w:t>32</w:t>
            </w:r>
          </w:p>
        </w:tc>
        <w:tc>
          <w:tcPr>
            <w:tcW w:w="1325"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1998-2008 (11)</w:t>
            </w:r>
          </w:p>
        </w:tc>
        <w:tc>
          <w:tcPr>
            <w:tcW w:w="4629" w:type="dxa"/>
          </w:tcPr>
          <w:p w:rsidR="00DB3646" w:rsidRPr="003B1E8C" w:rsidRDefault="00DB3646" w:rsidP="00032B4E">
            <w:pPr>
              <w:spacing w:line="360" w:lineRule="auto"/>
              <w:jc w:val="both"/>
              <w:rPr>
                <w:rFonts w:ascii="Times New Roman" w:hAnsi="Times New Roman" w:cs="Times New Roman"/>
                <w:sz w:val="16"/>
                <w:lang w:val="en-GB"/>
              </w:rPr>
            </w:pPr>
            <w:r w:rsidRPr="003B1E8C">
              <w:rPr>
                <w:rFonts w:ascii="Times New Roman" w:hAnsi="Times New Roman" w:cs="Times New Roman"/>
                <w:sz w:val="16"/>
                <w:lang w:val="en-GB"/>
              </w:rPr>
              <w:t>45-54, 55-64, 65-74, 75-84, 85+</w:t>
            </w:r>
          </w:p>
        </w:tc>
        <w:tc>
          <w:tcPr>
            <w:tcW w:w="2361"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ICD-10: S72.0, S72.1, S72.2</w:t>
            </w:r>
          </w:p>
        </w:tc>
        <w:tc>
          <w:tcPr>
            <w:tcW w:w="1707" w:type="dxa"/>
          </w:tcPr>
          <w:p w:rsidR="00DB3646" w:rsidRPr="003B1E8C" w:rsidRDefault="00DB3646" w:rsidP="00032B4E">
            <w:pPr>
              <w:spacing w:line="360" w:lineRule="auto"/>
              <w:jc w:val="both"/>
              <w:rPr>
                <w:rFonts w:ascii="Times New Roman" w:hAnsi="Times New Roman" w:cs="Times New Roman"/>
                <w:sz w:val="16"/>
                <w:lang w:val="en-GB"/>
              </w:rPr>
            </w:pPr>
            <w:r>
              <w:rPr>
                <w:rFonts w:ascii="Times New Roman" w:hAnsi="Times New Roman" w:cs="Times New Roman"/>
                <w:sz w:val="16"/>
                <w:lang w:val="en-GB"/>
              </w:rPr>
              <w:t>Yes</w:t>
            </w:r>
          </w:p>
        </w:tc>
      </w:tr>
    </w:tbl>
    <w:p w:rsidR="00DB3646" w:rsidRDefault="00DB3646" w:rsidP="00032B4E">
      <w:pPr>
        <w:spacing w:line="480" w:lineRule="auto"/>
        <w:rPr>
          <w:rFonts w:ascii="Times New Roman" w:hAnsi="Times New Roman" w:cs="Times New Roman"/>
          <w:lang w:val="en-GB"/>
        </w:rPr>
        <w:sectPr w:rsidR="00DB3646" w:rsidSect="00032B4E">
          <w:pgSz w:w="15840" w:h="12240" w:orient="landscape"/>
          <w:pgMar w:top="1701" w:right="1418" w:bottom="1701" w:left="1418" w:header="709" w:footer="709" w:gutter="0"/>
          <w:cols w:space="708"/>
          <w:docGrid w:linePitch="360"/>
        </w:sectPr>
      </w:pPr>
    </w:p>
    <w:p w:rsidR="00DB3646" w:rsidRPr="00A44BAF" w:rsidRDefault="00DB3646" w:rsidP="00032B4E">
      <w:pPr>
        <w:spacing w:line="480" w:lineRule="auto"/>
        <w:rPr>
          <w:rFonts w:ascii="Times New Roman" w:hAnsi="Times New Roman" w:cs="Times New Roman"/>
          <w:b/>
          <w:lang w:val="en-GB"/>
        </w:rPr>
      </w:pPr>
      <w:r w:rsidRPr="00A44BAF">
        <w:rPr>
          <w:rFonts w:ascii="Times New Roman" w:hAnsi="Times New Roman" w:cs="Times New Roman"/>
          <w:b/>
          <w:lang w:val="en-GB"/>
        </w:rPr>
        <w:lastRenderedPageBreak/>
        <w:t>Modelling of the effects of age and calendar year</w:t>
      </w:r>
    </w:p>
    <w:p w:rsidR="00DB3646" w:rsidRDefault="00DB3646" w:rsidP="00032B4E">
      <w:pPr>
        <w:spacing w:line="480" w:lineRule="auto"/>
        <w:rPr>
          <w:rFonts w:ascii="Times New Roman" w:hAnsi="Times New Roman" w:cs="Times New Roman"/>
          <w:lang w:val="en-GB"/>
        </w:rPr>
      </w:pPr>
      <w:r w:rsidRPr="00960B4A">
        <w:rPr>
          <w:rFonts w:ascii="Times New Roman" w:hAnsi="Times New Roman" w:cs="Times New Roman"/>
          <w:lang w:val="en-GB"/>
        </w:rPr>
        <w:t xml:space="preserve">We started by building a model to describe the overall effects of calendar year and age using pooled data from all countries. Following our </w:t>
      </w:r>
      <w:r w:rsidRPr="00960B4A">
        <w:rPr>
          <w:rFonts w:ascii="Times New Roman" w:hAnsi="Times New Roman" w:cs="Times New Roman"/>
          <w:i/>
          <w:lang w:val="en-GB"/>
        </w:rPr>
        <w:t>a priori</w:t>
      </w:r>
      <w:r w:rsidRPr="00960B4A">
        <w:rPr>
          <w:rFonts w:ascii="Times New Roman" w:hAnsi="Times New Roman" w:cs="Times New Roman"/>
          <w:lang w:val="en-GB"/>
        </w:rPr>
        <w:t xml:space="preserve"> hypothesis, the natural logarithms (log) of sex-specific fracture rates were modelled as a quadratic function of the calendar year. The well-known (fixed) effect of age was included as the fractional polynomial that best predicted the observed curvature. Both age and calendar year were standardized to zero mean and unit variance. The fixed-effects component of the models were of the form</w:t>
      </w:r>
      <w:r>
        <w:rPr>
          <w:rFonts w:ascii="Times New Roman" w:hAnsi="Times New Roman" w:cs="Times New Roman"/>
          <w:lang w:val="en-GB"/>
        </w:rPr>
        <w:t>:</w:t>
      </w:r>
    </w:p>
    <w:p w:rsidR="00DB3646" w:rsidRPr="00E53169" w:rsidRDefault="00DB3646" w:rsidP="00032B4E">
      <w:pPr>
        <w:spacing w:line="480" w:lineRule="auto"/>
        <w:rPr>
          <w:rFonts w:ascii="Times New Roman" w:hAnsi="Times New Roman" w:cs="Times New Roman"/>
          <w:sz w:val="20"/>
          <w:lang w:val="en-GB"/>
        </w:rPr>
      </w:pPr>
      <w:r w:rsidRPr="00E53169">
        <w:rPr>
          <w:rFonts w:ascii="Times New Roman" w:hAnsi="Times New Roman" w:cs="Times New Roman"/>
          <w:sz w:val="20"/>
          <w:lang w:val="en-GB"/>
        </w:rPr>
        <w:t>Women: log(rate) ~ β</w:t>
      </w:r>
      <w:r w:rsidRPr="00E53169">
        <w:rPr>
          <w:rFonts w:ascii="Times New Roman" w:hAnsi="Times New Roman" w:cs="Times New Roman"/>
          <w:sz w:val="20"/>
          <w:vertAlign w:val="subscript"/>
          <w:lang w:val="en-GB"/>
        </w:rPr>
        <w:t>0</w:t>
      </w:r>
      <w:r w:rsidRPr="00E53169">
        <w:rPr>
          <w:rFonts w:ascii="Times New Roman" w:hAnsi="Times New Roman" w:cs="Times New Roman"/>
          <w:sz w:val="20"/>
          <w:lang w:val="en-GB"/>
        </w:rPr>
        <w:t xml:space="preserve"> + β</w:t>
      </w:r>
      <w:r w:rsidRPr="00E53169">
        <w:rPr>
          <w:rFonts w:ascii="Times New Roman" w:hAnsi="Times New Roman" w:cs="Times New Roman"/>
          <w:sz w:val="20"/>
          <w:vertAlign w:val="subscript"/>
          <w:lang w:val="en-GB"/>
        </w:rPr>
        <w:t>1</w:t>
      </w:r>
      <w:r w:rsidRPr="00E53169">
        <w:rPr>
          <w:rFonts w:ascii="Times New Roman" w:hAnsi="Times New Roman" w:cs="Times New Roman"/>
          <w:sz w:val="20"/>
          <w:lang w:val="en-GB"/>
        </w:rPr>
        <w:t>(year*) + β</w:t>
      </w:r>
      <w:r w:rsidRPr="00E53169">
        <w:rPr>
          <w:rFonts w:ascii="Times New Roman" w:hAnsi="Times New Roman" w:cs="Times New Roman"/>
          <w:sz w:val="20"/>
          <w:vertAlign w:val="subscript"/>
          <w:lang w:val="en-GB"/>
        </w:rPr>
        <w:t>2</w:t>
      </w:r>
      <w:r w:rsidRPr="00E53169">
        <w:rPr>
          <w:rFonts w:ascii="Times New Roman" w:hAnsi="Times New Roman" w:cs="Times New Roman"/>
          <w:sz w:val="20"/>
          <w:lang w:val="en-GB"/>
        </w:rPr>
        <w:t>(year*)</w:t>
      </w:r>
      <w:r w:rsidRPr="00E53169">
        <w:rPr>
          <w:rFonts w:ascii="Times New Roman" w:hAnsi="Times New Roman" w:cs="Times New Roman"/>
          <w:sz w:val="20"/>
          <w:vertAlign w:val="superscript"/>
          <w:lang w:val="en-GB"/>
        </w:rPr>
        <w:t>2</w:t>
      </w:r>
      <w:r w:rsidRPr="00E53169">
        <w:rPr>
          <w:rFonts w:ascii="Times New Roman" w:hAnsi="Times New Roman" w:cs="Times New Roman"/>
          <w:sz w:val="20"/>
          <w:lang w:val="en-GB"/>
        </w:rPr>
        <w:t xml:space="preserve"> + β</w:t>
      </w:r>
      <w:r w:rsidRPr="00E53169">
        <w:rPr>
          <w:rFonts w:ascii="Times New Roman" w:hAnsi="Times New Roman" w:cs="Times New Roman"/>
          <w:sz w:val="20"/>
          <w:vertAlign w:val="subscript"/>
          <w:lang w:val="en-GB"/>
        </w:rPr>
        <w:t>3</w:t>
      </w:r>
      <w:r w:rsidRPr="00E53169">
        <w:rPr>
          <w:rFonts w:ascii="Times New Roman" w:hAnsi="Times New Roman" w:cs="Times New Roman"/>
          <w:sz w:val="20"/>
          <w:lang w:val="en-GB"/>
        </w:rPr>
        <w:t>(age*/100)</w:t>
      </w:r>
      <w:r w:rsidRPr="00E53169">
        <w:rPr>
          <w:rFonts w:ascii="Times New Roman" w:hAnsi="Times New Roman" w:cs="Times New Roman"/>
          <w:sz w:val="20"/>
          <w:vertAlign w:val="superscript"/>
          <w:lang w:val="en-GB"/>
        </w:rPr>
        <w:t>3</w:t>
      </w:r>
      <w:r w:rsidRPr="00E53169">
        <w:rPr>
          <w:rFonts w:ascii="Times New Roman" w:hAnsi="Times New Roman" w:cs="Times New Roman"/>
          <w:sz w:val="20"/>
          <w:lang w:val="en-GB"/>
        </w:rPr>
        <w:t xml:space="preserve"> + β</w:t>
      </w:r>
      <w:r w:rsidRPr="00E53169">
        <w:rPr>
          <w:rFonts w:ascii="Times New Roman" w:hAnsi="Times New Roman" w:cs="Times New Roman"/>
          <w:sz w:val="20"/>
          <w:vertAlign w:val="subscript"/>
          <w:lang w:val="en-GB"/>
        </w:rPr>
        <w:t>4</w:t>
      </w:r>
      <w:r w:rsidRPr="00E53169">
        <w:rPr>
          <w:rFonts w:ascii="Times New Roman" w:hAnsi="Times New Roman" w:cs="Times New Roman"/>
          <w:sz w:val="20"/>
          <w:lang w:val="en-GB"/>
        </w:rPr>
        <w:t>(age*/100)</w:t>
      </w:r>
      <w:r w:rsidRPr="00E53169">
        <w:rPr>
          <w:rFonts w:ascii="Times New Roman" w:hAnsi="Times New Roman" w:cs="Times New Roman"/>
          <w:sz w:val="20"/>
          <w:vertAlign w:val="superscript"/>
          <w:lang w:val="en-GB"/>
        </w:rPr>
        <w:t>3</w:t>
      </w:r>
      <w:r w:rsidRPr="00E53169">
        <w:rPr>
          <w:rFonts w:ascii="Times New Roman" w:hAnsi="Times New Roman" w:cs="Times New Roman"/>
          <w:sz w:val="20"/>
          <w:lang w:val="en-GB"/>
        </w:rPr>
        <w:t xml:space="preserve"> log(age*/100) + ε</w:t>
      </w:r>
      <w:r w:rsidRPr="00E53169">
        <w:rPr>
          <w:rFonts w:ascii="Times New Roman" w:hAnsi="Times New Roman" w:cs="Times New Roman"/>
          <w:sz w:val="20"/>
          <w:vertAlign w:val="subscript"/>
          <w:lang w:val="en-GB"/>
        </w:rPr>
        <w:t>women</w:t>
      </w:r>
    </w:p>
    <w:p w:rsidR="00DB3646" w:rsidRPr="00E53169" w:rsidRDefault="00DB3646" w:rsidP="00032B4E">
      <w:pPr>
        <w:spacing w:line="480" w:lineRule="auto"/>
        <w:rPr>
          <w:rFonts w:ascii="Times New Roman" w:hAnsi="Times New Roman" w:cs="Times New Roman"/>
          <w:sz w:val="20"/>
          <w:lang w:val="en-GB"/>
        </w:rPr>
      </w:pPr>
      <w:r w:rsidRPr="00E53169">
        <w:rPr>
          <w:rFonts w:ascii="Times New Roman" w:hAnsi="Times New Roman" w:cs="Times New Roman"/>
          <w:sz w:val="20"/>
          <w:lang w:val="en-GB"/>
        </w:rPr>
        <w:t>Men: log(rate) ~ β</w:t>
      </w:r>
      <w:r w:rsidRPr="00E53169">
        <w:rPr>
          <w:rFonts w:ascii="Times New Roman" w:hAnsi="Times New Roman" w:cs="Times New Roman"/>
          <w:sz w:val="20"/>
          <w:vertAlign w:val="subscript"/>
          <w:lang w:val="en-GB"/>
        </w:rPr>
        <w:t>0</w:t>
      </w:r>
      <w:r w:rsidRPr="00E53169">
        <w:rPr>
          <w:rFonts w:ascii="Times New Roman" w:hAnsi="Times New Roman" w:cs="Times New Roman"/>
          <w:sz w:val="20"/>
          <w:lang w:val="en-GB"/>
        </w:rPr>
        <w:t xml:space="preserve"> + β</w:t>
      </w:r>
      <w:r w:rsidRPr="00E53169">
        <w:rPr>
          <w:rFonts w:ascii="Times New Roman" w:hAnsi="Times New Roman" w:cs="Times New Roman"/>
          <w:sz w:val="20"/>
          <w:vertAlign w:val="subscript"/>
          <w:lang w:val="en-GB"/>
        </w:rPr>
        <w:t>1</w:t>
      </w:r>
      <w:r w:rsidRPr="00E53169">
        <w:rPr>
          <w:rFonts w:ascii="Times New Roman" w:hAnsi="Times New Roman" w:cs="Times New Roman"/>
          <w:sz w:val="20"/>
          <w:lang w:val="en-GB"/>
        </w:rPr>
        <w:t>(year*) + β</w:t>
      </w:r>
      <w:r w:rsidRPr="00E53169">
        <w:rPr>
          <w:rFonts w:ascii="Times New Roman" w:hAnsi="Times New Roman" w:cs="Times New Roman"/>
          <w:sz w:val="20"/>
          <w:vertAlign w:val="subscript"/>
          <w:lang w:val="en-GB"/>
        </w:rPr>
        <w:t>2</w:t>
      </w:r>
      <w:r w:rsidRPr="00E53169">
        <w:rPr>
          <w:rFonts w:ascii="Times New Roman" w:hAnsi="Times New Roman" w:cs="Times New Roman"/>
          <w:sz w:val="20"/>
          <w:lang w:val="en-GB"/>
        </w:rPr>
        <w:t>(year*)</w:t>
      </w:r>
      <w:r w:rsidRPr="00E53169">
        <w:rPr>
          <w:rFonts w:ascii="Times New Roman" w:hAnsi="Times New Roman" w:cs="Times New Roman"/>
          <w:sz w:val="20"/>
          <w:vertAlign w:val="superscript"/>
          <w:lang w:val="en-GB"/>
        </w:rPr>
        <w:t>2</w:t>
      </w:r>
      <w:r w:rsidRPr="00E53169">
        <w:rPr>
          <w:rFonts w:ascii="Times New Roman" w:hAnsi="Times New Roman" w:cs="Times New Roman"/>
          <w:sz w:val="20"/>
          <w:lang w:val="en-GB"/>
        </w:rPr>
        <w:t xml:space="preserve"> + β</w:t>
      </w:r>
      <w:r w:rsidRPr="00E53169">
        <w:rPr>
          <w:rFonts w:ascii="Times New Roman" w:hAnsi="Times New Roman" w:cs="Times New Roman"/>
          <w:sz w:val="20"/>
          <w:vertAlign w:val="subscript"/>
          <w:lang w:val="en-GB"/>
        </w:rPr>
        <w:t>3</w:t>
      </w:r>
      <w:r w:rsidRPr="00E53169">
        <w:rPr>
          <w:rFonts w:ascii="Times New Roman" w:hAnsi="Times New Roman" w:cs="Times New Roman"/>
          <w:sz w:val="20"/>
          <w:lang w:val="en-GB"/>
        </w:rPr>
        <w:t>(age*/100)</w:t>
      </w:r>
      <w:r w:rsidRPr="00E53169">
        <w:rPr>
          <w:rFonts w:ascii="Times New Roman" w:hAnsi="Times New Roman" w:cs="Times New Roman"/>
          <w:sz w:val="20"/>
          <w:vertAlign w:val="superscript"/>
          <w:lang w:val="en-GB"/>
        </w:rPr>
        <w:t>-2</w:t>
      </w:r>
      <w:r w:rsidRPr="00E53169">
        <w:rPr>
          <w:rFonts w:ascii="Times New Roman" w:hAnsi="Times New Roman" w:cs="Times New Roman"/>
          <w:sz w:val="20"/>
          <w:lang w:val="en-GB"/>
        </w:rPr>
        <w:t xml:space="preserve"> + β</w:t>
      </w:r>
      <w:r w:rsidRPr="00E53169">
        <w:rPr>
          <w:rFonts w:ascii="Times New Roman" w:hAnsi="Times New Roman" w:cs="Times New Roman"/>
          <w:sz w:val="20"/>
          <w:vertAlign w:val="subscript"/>
          <w:lang w:val="en-GB"/>
        </w:rPr>
        <w:t>4</w:t>
      </w:r>
      <w:r w:rsidRPr="00E53169">
        <w:rPr>
          <w:rFonts w:ascii="Times New Roman" w:hAnsi="Times New Roman" w:cs="Times New Roman"/>
          <w:sz w:val="20"/>
          <w:lang w:val="en-GB"/>
        </w:rPr>
        <w:t>(age*/100)</w:t>
      </w:r>
      <w:r w:rsidRPr="00E53169">
        <w:rPr>
          <w:rFonts w:ascii="Times New Roman" w:hAnsi="Times New Roman" w:cs="Times New Roman"/>
          <w:sz w:val="20"/>
          <w:vertAlign w:val="superscript"/>
          <w:lang w:val="en-GB"/>
        </w:rPr>
        <w:t>-2</w:t>
      </w:r>
      <w:r w:rsidRPr="00E53169">
        <w:rPr>
          <w:rFonts w:ascii="Times New Roman" w:hAnsi="Times New Roman" w:cs="Times New Roman"/>
          <w:sz w:val="20"/>
          <w:lang w:val="en-GB"/>
        </w:rPr>
        <w:t xml:space="preserve"> log(age*/100) + ε</w:t>
      </w:r>
      <w:r w:rsidRPr="00E53169">
        <w:rPr>
          <w:rFonts w:ascii="Times New Roman" w:hAnsi="Times New Roman" w:cs="Times New Roman"/>
          <w:sz w:val="20"/>
          <w:vertAlign w:val="subscript"/>
          <w:lang w:val="en-GB"/>
        </w:rPr>
        <w:t>men</w:t>
      </w:r>
    </w:p>
    <w:p w:rsidR="00DB3646" w:rsidRPr="00756EB4" w:rsidRDefault="00DB3646" w:rsidP="00032B4E">
      <w:pPr>
        <w:spacing w:line="480" w:lineRule="auto"/>
        <w:rPr>
          <w:rFonts w:ascii="Times New Roman" w:hAnsi="Times New Roman" w:cs="Times New Roman"/>
          <w:lang w:val="en-GB"/>
        </w:rPr>
      </w:pPr>
      <w:r w:rsidRPr="00756EB4">
        <w:rPr>
          <w:rFonts w:ascii="Times New Roman" w:hAnsi="Times New Roman" w:cs="Times New Roman"/>
          <w:lang w:val="en-GB"/>
        </w:rPr>
        <w:t>with residuals ε following a standard normal distribution. The existence of a significant variability at the country level among the rates was tested through the inclusion of random effects, fitted by restricted maximum likelihood</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33</w:t>
      </w:r>
      <w:r w:rsidRPr="00E53169">
        <w:rPr>
          <w:rFonts w:ascii="Times New Roman" w:hAnsi="Times New Roman" w:cs="Times New Roman"/>
          <w:lang w:val="en-GB"/>
        </w:rPr>
        <w:t xml:space="preserve">. </w:t>
      </w:r>
    </w:p>
    <w:p w:rsidR="00DB3646" w:rsidRPr="00E53169" w:rsidRDefault="00DB3646" w:rsidP="00032B4E">
      <w:pPr>
        <w:spacing w:line="480" w:lineRule="auto"/>
        <w:rPr>
          <w:rFonts w:ascii="Times New Roman" w:hAnsi="Times New Roman" w:cs="Times New Roman"/>
          <w:lang w:val="en-GB"/>
        </w:rPr>
      </w:pPr>
      <w:r w:rsidRPr="00756EB4">
        <w:rPr>
          <w:rFonts w:ascii="Times New Roman" w:hAnsi="Times New Roman" w:cs="Times New Roman"/>
          <w:lang w:val="en-GB"/>
        </w:rPr>
        <w:t>Random effects were considered: at the intercept level, to represent background fracture rates; on the linear effect of calendar year, to represent timing of trend reversal; and on the quadratic effect of calendar year, to represent tempo of trend reversal.</w:t>
      </w:r>
      <w:r>
        <w:rPr>
          <w:rFonts w:ascii="Times New Roman" w:hAnsi="Times New Roman" w:cs="Times New Roman"/>
          <w:lang w:val="en-GB"/>
        </w:rPr>
        <w:t xml:space="preserve"> </w:t>
      </w:r>
      <w:r w:rsidRPr="00756EB4">
        <w:rPr>
          <w:rFonts w:ascii="Times New Roman" w:hAnsi="Times New Roman" w:cs="Times New Roman"/>
          <w:lang w:val="en-GB"/>
        </w:rPr>
        <w:t>For the evaluation of the goodness-of-fit and comparisons between models four indices were used: the Bayesian Information Criterion (BIC), the correlation coefficient between predicted and observed values, the Relative Squared Error (RSE) and the Relative Absolute Error (RAE). The RSE (resp. RAE) is defined as the ratio between the total squared (resp. absolute) error associated with the model prediction and the total squared (resp. absolute) error of the simple predictor of the average of the observed values.</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34</w:t>
      </w:r>
      <w:r w:rsidRPr="00E53169">
        <w:rPr>
          <w:rFonts w:ascii="Times New Roman" w:hAnsi="Times New Roman" w:cs="Times New Roman"/>
          <w:lang w:val="en-GB"/>
        </w:rPr>
        <w:t xml:space="preserve"> </w:t>
      </w:r>
      <w:r w:rsidRPr="00756EB4">
        <w:rPr>
          <w:rFonts w:ascii="Times New Roman" w:hAnsi="Times New Roman" w:cs="Times New Roman"/>
          <w:lang w:val="en-GB"/>
        </w:rPr>
        <w:t>The predicted values for the calendar year of trend reversal (h) and the maximum incidence rate (k), for the sample mean age, were computed as the coordinates of the vertex of</w:t>
      </w:r>
      <w:r>
        <w:rPr>
          <w:rFonts w:ascii="Times New Roman" w:hAnsi="Times New Roman" w:cs="Times New Roman"/>
          <w:lang w:val="en-GB"/>
        </w:rPr>
        <w:t xml:space="preserve"> each country-specific parabola</w:t>
      </w:r>
      <w:r w:rsidRPr="00E53169">
        <w:rPr>
          <w:rFonts w:ascii="Times New Roman" w:hAnsi="Times New Roman" w:cs="Times New Roman"/>
          <w:lang w:val="en-GB"/>
        </w:rPr>
        <w:t>:</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h= -β</w:t>
      </w:r>
      <w:r w:rsidRPr="00E53169">
        <w:rPr>
          <w:rFonts w:ascii="Times New Roman" w:hAnsi="Times New Roman" w:cs="Times New Roman"/>
          <w:vertAlign w:val="subscript"/>
          <w:lang w:val="en-GB"/>
        </w:rPr>
        <w:t>1</w:t>
      </w:r>
      <w:r w:rsidRPr="00E53169">
        <w:rPr>
          <w:rFonts w:ascii="Times New Roman" w:hAnsi="Times New Roman" w:cs="Times New Roman"/>
          <w:lang w:val="en-GB"/>
        </w:rPr>
        <w:t>/(2∙β</w:t>
      </w:r>
      <w:r w:rsidRPr="00E53169">
        <w:rPr>
          <w:rFonts w:ascii="Times New Roman" w:hAnsi="Times New Roman" w:cs="Times New Roman"/>
          <w:vertAlign w:val="subscript"/>
          <w:lang w:val="en-GB"/>
        </w:rPr>
        <w:t>2</w:t>
      </w:r>
      <w:r w:rsidRPr="00E53169">
        <w:rPr>
          <w:rFonts w:ascii="Times New Roman" w:hAnsi="Times New Roman" w:cs="Times New Roman"/>
          <w:lang w:val="en-GB"/>
        </w:rPr>
        <w:t>),</w:t>
      </w:r>
      <w:r>
        <w:rPr>
          <w:rFonts w:ascii="Times New Roman" w:hAnsi="Times New Roman" w:cs="Times New Roman"/>
          <w:lang w:val="en-GB"/>
        </w:rPr>
        <w:tab/>
      </w:r>
      <w:r w:rsidRPr="00E53169">
        <w:rPr>
          <w:rFonts w:ascii="Times New Roman" w:hAnsi="Times New Roman" w:cs="Times New Roman"/>
          <w:lang w:val="en-GB"/>
        </w:rPr>
        <w:t>k=</w:t>
      </w:r>
      <w:r>
        <w:rPr>
          <w:rFonts w:ascii="Times New Roman" w:hAnsi="Times New Roman" w:cs="Times New Roman"/>
          <w:lang w:val="en-GB"/>
        </w:rPr>
        <w:t xml:space="preserve"> </w:t>
      </w:r>
      <w:r w:rsidRPr="00E53169">
        <w:rPr>
          <w:rFonts w:ascii="Times New Roman" w:hAnsi="Times New Roman" w:cs="Times New Roman"/>
          <w:lang w:val="en-GB"/>
        </w:rPr>
        <w:t>exp[(4∙β</w:t>
      </w:r>
      <w:r w:rsidRPr="00E53169">
        <w:rPr>
          <w:rFonts w:ascii="Times New Roman" w:hAnsi="Times New Roman" w:cs="Times New Roman"/>
          <w:vertAlign w:val="subscript"/>
          <w:lang w:val="en-GB"/>
        </w:rPr>
        <w:t>2</w:t>
      </w:r>
      <w:r w:rsidRPr="00E53169">
        <w:rPr>
          <w:rFonts w:ascii="Times New Roman" w:hAnsi="Times New Roman" w:cs="Times New Roman"/>
          <w:lang w:val="en-GB"/>
        </w:rPr>
        <w:t>∙β</w:t>
      </w:r>
      <w:r w:rsidRPr="00E53169">
        <w:rPr>
          <w:rFonts w:ascii="Times New Roman" w:hAnsi="Times New Roman" w:cs="Times New Roman"/>
          <w:vertAlign w:val="subscript"/>
          <w:lang w:val="en-GB"/>
        </w:rPr>
        <w:t>0</w:t>
      </w:r>
      <w:r w:rsidRPr="00E53169">
        <w:rPr>
          <w:rFonts w:ascii="Times New Roman" w:hAnsi="Times New Roman" w:cs="Times New Roman"/>
          <w:lang w:val="en-GB"/>
        </w:rPr>
        <w:t xml:space="preserve"> - β</w:t>
      </w:r>
      <w:r w:rsidRPr="00E53169">
        <w:rPr>
          <w:rFonts w:ascii="Times New Roman" w:hAnsi="Times New Roman" w:cs="Times New Roman"/>
          <w:vertAlign w:val="subscript"/>
          <w:lang w:val="en-GB"/>
        </w:rPr>
        <w:t>1</w:t>
      </w:r>
      <w:r w:rsidRPr="00E53169">
        <w:rPr>
          <w:rFonts w:ascii="Times New Roman" w:hAnsi="Times New Roman" w:cs="Times New Roman"/>
          <w:vertAlign w:val="superscript"/>
          <w:lang w:val="en-GB"/>
        </w:rPr>
        <w:t>2</w:t>
      </w:r>
      <w:r>
        <w:rPr>
          <w:rFonts w:ascii="Times New Roman" w:hAnsi="Times New Roman" w:cs="Times New Roman"/>
          <w:lang w:val="en-GB"/>
        </w:rPr>
        <w:t>)</w:t>
      </w:r>
      <w:r w:rsidRPr="00E53169">
        <w:rPr>
          <w:rFonts w:ascii="Times New Roman" w:hAnsi="Times New Roman" w:cs="Times New Roman"/>
          <w:lang w:val="en-GB"/>
        </w:rPr>
        <w:t>/(4∙β</w:t>
      </w:r>
      <w:r w:rsidRPr="00E53169">
        <w:rPr>
          <w:rFonts w:ascii="Times New Roman" w:hAnsi="Times New Roman" w:cs="Times New Roman"/>
          <w:vertAlign w:val="subscript"/>
          <w:lang w:val="en-GB"/>
        </w:rPr>
        <w:t>2</w:t>
      </w:r>
      <w:r w:rsidRPr="00E53169">
        <w:rPr>
          <w:rFonts w:ascii="Times New Roman" w:hAnsi="Times New Roman" w:cs="Times New Roman"/>
          <w:lang w:val="en-GB"/>
        </w:rPr>
        <w:t>)]</w:t>
      </w:r>
    </w:p>
    <w:p w:rsidR="00DB3646" w:rsidRDefault="00DB3646" w:rsidP="00032B4E">
      <w:pPr>
        <w:spacing w:line="480" w:lineRule="auto"/>
        <w:rPr>
          <w:rFonts w:ascii="Times New Roman" w:hAnsi="Times New Roman" w:cs="Times New Roman"/>
          <w:b/>
          <w:lang w:val="en-GB"/>
        </w:rPr>
      </w:pPr>
    </w:p>
    <w:p w:rsidR="00DB3646" w:rsidRPr="00A44BAF" w:rsidRDefault="00DB3646" w:rsidP="00032B4E">
      <w:pPr>
        <w:spacing w:line="480" w:lineRule="auto"/>
        <w:rPr>
          <w:rFonts w:ascii="Times New Roman" w:hAnsi="Times New Roman" w:cs="Times New Roman"/>
          <w:b/>
          <w:lang w:val="en-GB"/>
        </w:rPr>
      </w:pPr>
      <w:r w:rsidRPr="00A44BAF">
        <w:rPr>
          <w:rFonts w:ascii="Times New Roman" w:hAnsi="Times New Roman" w:cs="Times New Roman"/>
          <w:b/>
          <w:lang w:val="en-GB"/>
        </w:rPr>
        <w:lastRenderedPageBreak/>
        <w:t xml:space="preserve">Model-based </w:t>
      </w:r>
      <w:r>
        <w:rPr>
          <w:rFonts w:ascii="Times New Roman" w:hAnsi="Times New Roman" w:cs="Times New Roman"/>
          <w:b/>
          <w:lang w:val="en-GB"/>
        </w:rPr>
        <w:t xml:space="preserve">country </w:t>
      </w:r>
      <w:r w:rsidRPr="00A44BAF">
        <w:rPr>
          <w:rFonts w:ascii="Times New Roman" w:hAnsi="Times New Roman" w:cs="Times New Roman"/>
          <w:b/>
          <w:lang w:val="en-GB"/>
        </w:rPr>
        <w:t>clustering</w:t>
      </w:r>
    </w:p>
    <w:p w:rsidR="00DB3646" w:rsidRPr="00E53169" w:rsidRDefault="00DB3646" w:rsidP="00032B4E">
      <w:pPr>
        <w:spacing w:line="480" w:lineRule="auto"/>
        <w:rPr>
          <w:rFonts w:ascii="Times New Roman" w:hAnsi="Times New Roman" w:cs="Times New Roman"/>
          <w:lang w:val="en-GB"/>
        </w:rPr>
      </w:pPr>
      <w:r w:rsidRPr="00756EB4">
        <w:rPr>
          <w:rFonts w:ascii="Times New Roman" w:hAnsi="Times New Roman" w:cs="Times New Roman"/>
          <w:lang w:val="en-GB"/>
        </w:rPr>
        <w:t>Once the models were obtained, the country specific features exhibited by the models random coefficients were clustered by Gaussian mixture models</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35</w:t>
      </w:r>
      <w:r w:rsidRPr="00E53169">
        <w:rPr>
          <w:rFonts w:ascii="Times New Roman" w:hAnsi="Times New Roman" w:cs="Times New Roman"/>
          <w:lang w:val="en-GB"/>
        </w:rPr>
        <w:t xml:space="preserve"> </w:t>
      </w:r>
      <w:r w:rsidRPr="00756EB4">
        <w:rPr>
          <w:rFonts w:ascii="Times New Roman" w:hAnsi="Times New Roman" w:cs="Times New Roman"/>
          <w:lang w:val="en-GB"/>
        </w:rPr>
        <w:t xml:space="preserve">The aim was to group countries according to their fitted features over time. Gaussian mixture modelling is a probabilistic method to identify homogeneous subgroups within a population assuming that the observed data come from a mixture of a finite number of Gaussian distributions. The characteristics (orientation, volume and shape) of the distributions are estimated from the data and can be allowed to vary between clusters or constrained to be the same for all clusters. </w:t>
      </w:r>
      <w:r w:rsidRPr="00CF4E33">
        <w:rPr>
          <w:rFonts w:ascii="Times New Roman" w:hAnsi="Times New Roman" w:cs="Times New Roman"/>
          <w:noProof/>
          <w:vertAlign w:val="superscript"/>
          <w:lang w:val="en-GB"/>
        </w:rPr>
        <w:t>36</w:t>
      </w:r>
      <w:r w:rsidRPr="00E53169">
        <w:rPr>
          <w:rFonts w:ascii="Times New Roman" w:hAnsi="Times New Roman" w:cs="Times New Roman"/>
          <w:lang w:val="en-GB"/>
        </w:rPr>
        <w:t xml:space="preserve"> For each sex</w:t>
      </w:r>
      <w:r>
        <w:rPr>
          <w:rFonts w:ascii="Times New Roman" w:hAnsi="Times New Roman" w:cs="Times New Roman"/>
          <w:lang w:val="en-GB"/>
        </w:rPr>
        <w:t>,</w:t>
      </w:r>
      <w:r w:rsidRPr="00E53169">
        <w:rPr>
          <w:rFonts w:ascii="Times New Roman" w:hAnsi="Times New Roman" w:cs="Times New Roman"/>
          <w:lang w:val="en-GB"/>
        </w:rPr>
        <w:t xml:space="preserve"> we selected a cluster solution </w:t>
      </w:r>
      <w:r>
        <w:rPr>
          <w:rFonts w:ascii="Times New Roman" w:hAnsi="Times New Roman" w:cs="Times New Roman"/>
          <w:lang w:val="en-GB"/>
        </w:rPr>
        <w:t xml:space="preserve">from </w:t>
      </w:r>
      <w:r w:rsidRPr="00E53169">
        <w:rPr>
          <w:rFonts w:ascii="Times New Roman" w:hAnsi="Times New Roman" w:cs="Times New Roman"/>
          <w:lang w:val="en-GB"/>
        </w:rPr>
        <w:t>among the three with the lowest B</w:t>
      </w:r>
      <w:r>
        <w:rPr>
          <w:rFonts w:ascii="Times New Roman" w:hAnsi="Times New Roman" w:cs="Times New Roman"/>
          <w:lang w:val="en-GB"/>
        </w:rPr>
        <w:t>IC (</w:t>
      </w:r>
      <w:r w:rsidRPr="00E53169">
        <w:rPr>
          <w:rFonts w:ascii="Times New Roman" w:hAnsi="Times New Roman" w:cs="Times New Roman"/>
          <w:lang w:val="en-GB"/>
        </w:rPr>
        <w:t xml:space="preserve">Supplementary </w:t>
      </w:r>
      <w:r>
        <w:rPr>
          <w:rFonts w:ascii="Times New Roman" w:hAnsi="Times New Roman" w:cs="Times New Roman"/>
          <w:lang w:val="en-GB"/>
        </w:rPr>
        <w:t>material).</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37</w:t>
      </w:r>
      <w:r w:rsidRPr="00E53169">
        <w:rPr>
          <w:rFonts w:ascii="Times New Roman" w:hAnsi="Times New Roman" w:cs="Times New Roman"/>
          <w:lang w:val="en-GB"/>
        </w:rPr>
        <w:t xml:space="preserve"> </w:t>
      </w:r>
      <w:r w:rsidRPr="00756EB4">
        <w:rPr>
          <w:rFonts w:ascii="Times New Roman" w:hAnsi="Times New Roman" w:cs="Times New Roman"/>
          <w:lang w:val="en-GB"/>
        </w:rPr>
        <w:t>The interpretation of the clusters was based on the values of the peak incidence rates and timing of trend reversal.</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Data analysis was carried out with the software R 2.14.1 </w:t>
      </w:r>
      <w:r w:rsidRPr="007F1FDF">
        <w:rPr>
          <w:rFonts w:ascii="Times New Roman" w:hAnsi="Times New Roman" w:cs="Times New Roman"/>
          <w:noProof/>
          <w:vertAlign w:val="superscript"/>
          <w:lang w:val="en-GB"/>
        </w:rPr>
        <w:t>38</w:t>
      </w:r>
      <w:r>
        <w:rPr>
          <w:rFonts w:ascii="Times New Roman" w:hAnsi="Times New Roman" w:cs="Times New Roman"/>
          <w:lang w:val="en-GB"/>
        </w:rPr>
        <w:t xml:space="preserve"> </w:t>
      </w:r>
      <w:r w:rsidRPr="00E53169">
        <w:rPr>
          <w:rFonts w:ascii="Times New Roman" w:hAnsi="Times New Roman" w:cs="Times New Roman"/>
          <w:lang w:val="en-GB"/>
        </w:rPr>
        <w:t>using the packages mfp</w:t>
      </w:r>
      <w:r>
        <w:rPr>
          <w:rFonts w:ascii="Times New Roman" w:hAnsi="Times New Roman" w:cs="Times New Roman"/>
          <w:lang w:val="en-GB"/>
        </w:rPr>
        <w:t>,</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39</w:t>
      </w:r>
      <w:r w:rsidRPr="00E53169">
        <w:rPr>
          <w:rFonts w:ascii="Times New Roman" w:hAnsi="Times New Roman" w:cs="Times New Roman"/>
          <w:lang w:val="en-GB"/>
        </w:rPr>
        <w:t xml:space="preserve"> nlme</w:t>
      </w:r>
      <w:r>
        <w:rPr>
          <w:rFonts w:ascii="Times New Roman" w:hAnsi="Times New Roman" w:cs="Times New Roman"/>
          <w:lang w:val="en-GB"/>
        </w:rPr>
        <w:t>,</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40</w:t>
      </w:r>
      <w:r w:rsidRPr="00E53169">
        <w:rPr>
          <w:rFonts w:ascii="Times New Roman" w:hAnsi="Times New Roman" w:cs="Times New Roman"/>
          <w:lang w:val="en-GB"/>
        </w:rPr>
        <w:t xml:space="preserve"> and mclust </w:t>
      </w:r>
      <w:r w:rsidRPr="007F1FDF">
        <w:rPr>
          <w:rFonts w:ascii="Times New Roman" w:hAnsi="Times New Roman" w:cs="Times New Roman"/>
          <w:noProof/>
          <w:vertAlign w:val="superscript"/>
          <w:lang w:val="en-GB"/>
        </w:rPr>
        <w:t>41</w:t>
      </w:r>
      <w:r w:rsidRPr="00E53169">
        <w:rPr>
          <w:rFonts w:ascii="Times New Roman" w:hAnsi="Times New Roman" w:cs="Times New Roman"/>
          <w:lang w:val="en-GB"/>
        </w:rPr>
        <w:t xml:space="preserve"> for </w:t>
      </w:r>
      <w:r w:rsidRPr="00756EB4">
        <w:rPr>
          <w:rFonts w:ascii="Times New Roman" w:hAnsi="Times New Roman" w:cs="Times New Roman"/>
          <w:lang w:val="en-GB"/>
        </w:rPr>
        <w:t xml:space="preserve">model fitting by </w:t>
      </w:r>
      <w:r w:rsidRPr="00E53169">
        <w:rPr>
          <w:rFonts w:ascii="Times New Roman" w:hAnsi="Times New Roman" w:cs="Times New Roman"/>
          <w:lang w:val="en-GB"/>
        </w:rPr>
        <w:t>fractional polynomials, mixed-model</w:t>
      </w:r>
      <w:r>
        <w:rPr>
          <w:rFonts w:ascii="Times New Roman" w:hAnsi="Times New Roman" w:cs="Times New Roman"/>
          <w:lang w:val="en-GB"/>
        </w:rPr>
        <w:t>ling</w:t>
      </w:r>
      <w:r w:rsidRPr="00E53169">
        <w:rPr>
          <w:rFonts w:ascii="Times New Roman" w:hAnsi="Times New Roman" w:cs="Times New Roman"/>
          <w:lang w:val="en-GB"/>
        </w:rPr>
        <w:t xml:space="preserve"> and model-based clustering, respectively.</w:t>
      </w:r>
    </w:p>
    <w:p w:rsidR="00DB3646" w:rsidRDefault="00DB3646">
      <w:pPr>
        <w:rPr>
          <w:rFonts w:ascii="Times New Roman" w:hAnsi="Times New Roman" w:cs="Times New Roman"/>
          <w:b/>
          <w:lang w:val="en-GB"/>
        </w:rPr>
      </w:pPr>
      <w:r>
        <w:rPr>
          <w:rFonts w:ascii="Times New Roman" w:hAnsi="Times New Roman" w:cs="Times New Roman"/>
          <w:b/>
          <w:lang w:val="en-GB"/>
        </w:rPr>
        <w:br w:type="page"/>
      </w:r>
    </w:p>
    <w:p w:rsidR="00DB3646" w:rsidRDefault="00DB3646" w:rsidP="00032B4E">
      <w:pPr>
        <w:spacing w:line="480" w:lineRule="auto"/>
        <w:rPr>
          <w:rFonts w:ascii="Times New Roman" w:hAnsi="Times New Roman" w:cs="Times New Roman"/>
          <w:b/>
          <w:lang w:val="en-GB"/>
        </w:rPr>
      </w:pPr>
    </w:p>
    <w:p w:rsidR="00DB3646" w:rsidRDefault="00DB3646" w:rsidP="00032B4E">
      <w:pPr>
        <w:spacing w:line="480" w:lineRule="auto"/>
        <w:rPr>
          <w:rFonts w:ascii="Times New Roman" w:hAnsi="Times New Roman" w:cs="Times New Roman"/>
          <w:b/>
          <w:lang w:val="en-GB"/>
        </w:rPr>
      </w:pPr>
    </w:p>
    <w:p w:rsidR="00DB3646" w:rsidRPr="00E53169" w:rsidRDefault="00DB3646" w:rsidP="00032B4E">
      <w:pPr>
        <w:spacing w:line="480" w:lineRule="auto"/>
        <w:rPr>
          <w:rFonts w:ascii="Times New Roman" w:hAnsi="Times New Roman" w:cs="Times New Roman"/>
          <w:b/>
          <w:lang w:val="en-GB"/>
        </w:rPr>
      </w:pPr>
      <w:r w:rsidRPr="00E53169">
        <w:rPr>
          <w:rFonts w:ascii="Times New Roman" w:hAnsi="Times New Roman" w:cs="Times New Roman"/>
          <w:b/>
          <w:lang w:val="en-GB"/>
        </w:rPr>
        <w:t>RESULTS</w:t>
      </w:r>
    </w:p>
    <w:p w:rsidR="00DB3646"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Figure 2</w:t>
      </w:r>
      <w:r>
        <w:rPr>
          <w:rFonts w:ascii="Times New Roman" w:hAnsi="Times New Roman" w:cs="Times New Roman"/>
          <w:lang w:val="en-GB"/>
        </w:rPr>
        <w:t xml:space="preserve"> shows the p</w:t>
      </w:r>
      <w:r w:rsidRPr="00E53169">
        <w:rPr>
          <w:rFonts w:ascii="Times New Roman" w:hAnsi="Times New Roman" w:cs="Times New Roman"/>
          <w:lang w:val="en-GB"/>
        </w:rPr>
        <w:t xml:space="preserve">redicted average trajectories of hip fracture incidence rates over calendar year and age. From the fixed effects </w:t>
      </w:r>
      <w:r>
        <w:rPr>
          <w:rFonts w:ascii="Times New Roman" w:hAnsi="Times New Roman" w:cs="Times New Roman"/>
          <w:lang w:val="en-GB"/>
        </w:rPr>
        <w:t xml:space="preserve">model </w:t>
      </w:r>
      <w:r w:rsidRPr="00E53169">
        <w:rPr>
          <w:rFonts w:ascii="Times New Roman" w:hAnsi="Times New Roman" w:cs="Times New Roman"/>
          <w:lang w:val="en-GB"/>
        </w:rPr>
        <w:t xml:space="preserve">component, the predicted year of trend reversal was on average 1999 in women (at a peak incidence rate </w:t>
      </w:r>
      <w:r>
        <w:rPr>
          <w:rFonts w:ascii="Times New Roman" w:hAnsi="Times New Roman" w:cs="Times New Roman"/>
          <w:lang w:val="en-GB"/>
        </w:rPr>
        <w:t xml:space="preserve">of </w:t>
      </w:r>
      <w:r w:rsidRPr="00E53169">
        <w:rPr>
          <w:rFonts w:ascii="Times New Roman" w:hAnsi="Times New Roman" w:cs="Times New Roman"/>
          <w:lang w:val="en-GB"/>
        </w:rPr>
        <w:t xml:space="preserve">about 600 per 100 000) and 2000 in men (about 300 per 100 000 men). Plots of age effects </w:t>
      </w:r>
      <w:r>
        <w:rPr>
          <w:rFonts w:ascii="Times New Roman" w:hAnsi="Times New Roman" w:cs="Times New Roman"/>
          <w:lang w:val="en-GB"/>
        </w:rPr>
        <w:t>(</w:t>
      </w:r>
      <w:r w:rsidRPr="00E53169">
        <w:rPr>
          <w:rFonts w:ascii="Times New Roman" w:hAnsi="Times New Roman" w:cs="Times New Roman"/>
          <w:lang w:val="en-GB"/>
        </w:rPr>
        <w:t>Figure 2</w:t>
      </w:r>
      <w:r>
        <w:rPr>
          <w:rFonts w:ascii="Times New Roman" w:hAnsi="Times New Roman" w:cs="Times New Roman"/>
          <w:lang w:val="en-GB"/>
        </w:rPr>
        <w:t>)</w:t>
      </w:r>
      <w:r w:rsidRPr="00E53169">
        <w:rPr>
          <w:rFonts w:ascii="Times New Roman" w:hAnsi="Times New Roman" w:cs="Times New Roman"/>
          <w:lang w:val="en-GB"/>
        </w:rPr>
        <w:t xml:space="preserve"> </w:t>
      </w:r>
      <w:r>
        <w:rPr>
          <w:rFonts w:ascii="Times New Roman" w:hAnsi="Times New Roman" w:cs="Times New Roman"/>
          <w:lang w:val="en-GB"/>
        </w:rPr>
        <w:t>confirmed the</w:t>
      </w:r>
      <w:r w:rsidRPr="00E53169">
        <w:rPr>
          <w:rFonts w:ascii="Times New Roman" w:hAnsi="Times New Roman" w:cs="Times New Roman"/>
          <w:lang w:val="en-GB"/>
        </w:rPr>
        <w:t xml:space="preserve"> dramatic increase in incidence rates with ageing, </w:t>
      </w:r>
      <w:r>
        <w:rPr>
          <w:rFonts w:ascii="Times New Roman" w:hAnsi="Times New Roman" w:cs="Times New Roman"/>
          <w:lang w:val="en-GB"/>
        </w:rPr>
        <w:t xml:space="preserve">occurring </w:t>
      </w:r>
      <w:r w:rsidRPr="00E53169">
        <w:rPr>
          <w:rFonts w:ascii="Times New Roman" w:hAnsi="Times New Roman" w:cs="Times New Roman"/>
          <w:lang w:val="en-GB"/>
        </w:rPr>
        <w:t xml:space="preserve">at a faster rate in women. </w:t>
      </w:r>
      <w:r>
        <w:rPr>
          <w:rFonts w:ascii="Times New Roman" w:hAnsi="Times New Roman" w:cs="Times New Roman"/>
          <w:lang w:val="en-GB"/>
        </w:rPr>
        <w:t>O</w:t>
      </w:r>
      <w:r w:rsidRPr="00E53169">
        <w:rPr>
          <w:rFonts w:ascii="Times New Roman" w:hAnsi="Times New Roman" w:cs="Times New Roman"/>
          <w:lang w:val="en-GB"/>
        </w:rPr>
        <w:t xml:space="preserve">bserved and predicted fracture rates in each country are shown </w:t>
      </w:r>
      <w:r>
        <w:rPr>
          <w:rFonts w:ascii="Times New Roman" w:hAnsi="Times New Roman" w:cs="Times New Roman"/>
          <w:lang w:val="en-GB"/>
        </w:rPr>
        <w:t xml:space="preserve">as </w:t>
      </w:r>
      <w:r w:rsidRPr="00E53169">
        <w:rPr>
          <w:rFonts w:ascii="Times New Roman" w:hAnsi="Times New Roman" w:cs="Times New Roman"/>
          <w:lang w:val="en-GB"/>
        </w:rPr>
        <w:t xml:space="preserve">Supplementary </w:t>
      </w:r>
      <w:r>
        <w:rPr>
          <w:rFonts w:ascii="Times New Roman" w:hAnsi="Times New Roman" w:cs="Times New Roman"/>
          <w:lang w:val="en-GB"/>
        </w:rPr>
        <w:t>material</w:t>
      </w:r>
      <w:r w:rsidRPr="00E53169">
        <w:rPr>
          <w:rFonts w:ascii="Times New Roman" w:hAnsi="Times New Roman" w:cs="Times New Roman"/>
          <w:lang w:val="en-GB"/>
        </w:rPr>
        <w:t>.</w:t>
      </w:r>
    </w:p>
    <w:p w:rsidR="00DB3646" w:rsidRDefault="00DB3646" w:rsidP="00032B4E">
      <w:pPr>
        <w:spacing w:line="480" w:lineRule="auto"/>
        <w:rPr>
          <w:rFonts w:ascii="Times New Roman" w:hAnsi="Times New Roman" w:cs="Times New Roman"/>
          <w:lang w:val="en-GB"/>
        </w:rPr>
      </w:pPr>
    </w:p>
    <w:p w:rsidR="00DB3646"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When </w:t>
      </w:r>
      <w:r>
        <w:rPr>
          <w:rFonts w:ascii="Times New Roman" w:hAnsi="Times New Roman" w:cs="Times New Roman"/>
          <w:lang w:val="en-GB"/>
        </w:rPr>
        <w:t xml:space="preserve">modelling </w:t>
      </w:r>
      <w:r w:rsidRPr="00E53169">
        <w:rPr>
          <w:rFonts w:ascii="Times New Roman" w:hAnsi="Times New Roman" w:cs="Times New Roman"/>
          <w:lang w:val="en-GB"/>
        </w:rPr>
        <w:t xml:space="preserve">country-level random effects (Table 2), we found that including random terms for </w:t>
      </w:r>
      <w:r>
        <w:rPr>
          <w:rFonts w:ascii="Times New Roman" w:hAnsi="Times New Roman" w:cs="Times New Roman"/>
          <w:lang w:val="en-GB"/>
        </w:rPr>
        <w:t xml:space="preserve">the </w:t>
      </w:r>
      <w:r w:rsidRPr="00E53169">
        <w:rPr>
          <w:rFonts w:ascii="Times New Roman" w:hAnsi="Times New Roman" w:cs="Times New Roman"/>
          <w:lang w:val="en-GB"/>
        </w:rPr>
        <w:t>intercept and year slope improved the variability explained: compared to a model with fixed effects only, Model 1 (random intercept) explained 47.6% of</w:t>
      </w:r>
      <w:r>
        <w:rPr>
          <w:rFonts w:ascii="Times New Roman" w:hAnsi="Times New Roman" w:cs="Times New Roman"/>
          <w:lang w:val="en-GB"/>
        </w:rPr>
        <w:t xml:space="preserve"> the</w:t>
      </w:r>
      <w:r w:rsidRPr="00E53169">
        <w:rPr>
          <w:rFonts w:ascii="Times New Roman" w:hAnsi="Times New Roman" w:cs="Times New Roman"/>
          <w:lang w:val="en-GB"/>
        </w:rPr>
        <w:t xml:space="preserve"> residual variability in women and 56.6% in men, whereas in Model 2 (random intercept and year slope)</w:t>
      </w:r>
      <w:r>
        <w:rPr>
          <w:rFonts w:ascii="Times New Roman" w:hAnsi="Times New Roman" w:cs="Times New Roman"/>
          <w:lang w:val="en-GB"/>
        </w:rPr>
        <w:t>,</w:t>
      </w:r>
      <w:r w:rsidRPr="00E53169">
        <w:rPr>
          <w:rFonts w:ascii="Times New Roman" w:hAnsi="Times New Roman" w:cs="Times New Roman"/>
          <w:lang w:val="en-GB"/>
        </w:rPr>
        <w:t xml:space="preserve"> these proportions were 48.6% and 57.4%, respectively. </w:t>
      </w:r>
      <w:r>
        <w:rPr>
          <w:rFonts w:ascii="Times New Roman" w:hAnsi="Times New Roman" w:cs="Times New Roman"/>
          <w:lang w:val="en-GB"/>
        </w:rPr>
        <w:t>I</w:t>
      </w:r>
      <w:r w:rsidRPr="00E53169">
        <w:rPr>
          <w:rFonts w:ascii="Times New Roman" w:hAnsi="Times New Roman" w:cs="Times New Roman"/>
          <w:lang w:val="en-GB"/>
        </w:rPr>
        <w:t>mprovement</w:t>
      </w:r>
      <w:r>
        <w:rPr>
          <w:rFonts w:ascii="Times New Roman" w:hAnsi="Times New Roman" w:cs="Times New Roman"/>
          <w:lang w:val="en-GB"/>
        </w:rPr>
        <w:t>s</w:t>
      </w:r>
      <w:r w:rsidRPr="00E53169">
        <w:rPr>
          <w:rFonts w:ascii="Times New Roman" w:hAnsi="Times New Roman" w:cs="Times New Roman"/>
          <w:lang w:val="en-GB"/>
        </w:rPr>
        <w:t xml:space="preserve"> from Model 1 to 2 </w:t>
      </w:r>
      <w:r>
        <w:rPr>
          <w:rFonts w:ascii="Times New Roman" w:hAnsi="Times New Roman" w:cs="Times New Roman"/>
          <w:lang w:val="en-GB"/>
        </w:rPr>
        <w:t>were</w:t>
      </w:r>
      <w:r w:rsidRPr="00E53169">
        <w:rPr>
          <w:rFonts w:ascii="Times New Roman" w:hAnsi="Times New Roman" w:cs="Times New Roman"/>
          <w:lang w:val="en-GB"/>
        </w:rPr>
        <w:t xml:space="preserve"> significant, as assessed through the likelihood ratio test. Adding a random quadratic effect of year did not </w:t>
      </w:r>
      <w:r>
        <w:rPr>
          <w:rFonts w:ascii="Times New Roman" w:hAnsi="Times New Roman" w:cs="Times New Roman"/>
          <w:lang w:val="en-GB"/>
        </w:rPr>
        <w:t xml:space="preserve">improve </w:t>
      </w:r>
      <w:r w:rsidRPr="00E53169">
        <w:rPr>
          <w:rFonts w:ascii="Times New Roman" w:hAnsi="Times New Roman" w:cs="Times New Roman"/>
          <w:lang w:val="en-GB"/>
        </w:rPr>
        <w:t xml:space="preserve">the </w:t>
      </w:r>
      <w:r>
        <w:rPr>
          <w:rFonts w:ascii="Times New Roman" w:hAnsi="Times New Roman" w:cs="Times New Roman"/>
          <w:lang w:val="en-GB"/>
        </w:rPr>
        <w:t xml:space="preserve">model’s </w:t>
      </w:r>
      <w:r w:rsidRPr="00E53169">
        <w:rPr>
          <w:rFonts w:ascii="Times New Roman" w:hAnsi="Times New Roman" w:cs="Times New Roman"/>
          <w:lang w:val="en-GB"/>
        </w:rPr>
        <w:t xml:space="preserve">predictive ability. Goodness-of-fit indices </w:t>
      </w:r>
      <w:r>
        <w:rPr>
          <w:rFonts w:ascii="Times New Roman" w:hAnsi="Times New Roman" w:cs="Times New Roman"/>
          <w:lang w:val="en-GB"/>
        </w:rPr>
        <w:t xml:space="preserve">also </w:t>
      </w:r>
      <w:r w:rsidRPr="00E53169">
        <w:rPr>
          <w:rFonts w:ascii="Times New Roman" w:hAnsi="Times New Roman" w:cs="Times New Roman"/>
          <w:lang w:val="en-GB"/>
        </w:rPr>
        <w:t xml:space="preserve">suggested good adjustment of Model 2 to </w:t>
      </w:r>
      <w:r>
        <w:rPr>
          <w:rFonts w:ascii="Times New Roman" w:hAnsi="Times New Roman" w:cs="Times New Roman"/>
          <w:lang w:val="en-GB"/>
        </w:rPr>
        <w:t xml:space="preserve">the </w:t>
      </w:r>
      <w:r w:rsidRPr="00E53169">
        <w:rPr>
          <w:rFonts w:ascii="Times New Roman" w:hAnsi="Times New Roman" w:cs="Times New Roman"/>
          <w:lang w:val="en-GB"/>
        </w:rPr>
        <w:t xml:space="preserve">observed data, with no substantial improvement in Model 3. In practical </w:t>
      </w:r>
      <w:r>
        <w:rPr>
          <w:rFonts w:ascii="Times New Roman" w:hAnsi="Times New Roman" w:cs="Times New Roman"/>
          <w:lang w:val="en-GB"/>
        </w:rPr>
        <w:t>terms</w:t>
      </w:r>
      <w:r w:rsidRPr="00E53169">
        <w:rPr>
          <w:rFonts w:ascii="Times New Roman" w:hAnsi="Times New Roman" w:cs="Times New Roman"/>
          <w:lang w:val="en-GB"/>
        </w:rPr>
        <w:t>, this indicates that countries differed regarding background fracture rates and timing of trend reversal, whereas the tempo of trend reversal did not show significant intercountry variability.</w:t>
      </w:r>
    </w:p>
    <w:p w:rsidR="00DB3646" w:rsidRDefault="00DB3646" w:rsidP="00032B4E">
      <w:pPr>
        <w:spacing w:line="480" w:lineRule="auto"/>
        <w:rPr>
          <w:rFonts w:ascii="Times New Roman" w:hAnsi="Times New Roman" w:cs="Times New Roman"/>
          <w:lang w:val="en-GB"/>
        </w:rPr>
      </w:pPr>
    </w:p>
    <w:p w:rsidR="00DB3646" w:rsidRDefault="00DB3646" w:rsidP="00032B4E">
      <w:pPr>
        <w:spacing w:line="480" w:lineRule="auto"/>
        <w:rPr>
          <w:rFonts w:ascii="Times New Roman" w:hAnsi="Times New Roman" w:cs="Times New Roman"/>
          <w:lang w:val="en-GB"/>
        </w:rPr>
      </w:pPr>
    </w:p>
    <w:p w:rsidR="00DB3646" w:rsidRDefault="00DB3646" w:rsidP="00032B4E">
      <w:pPr>
        <w:spacing w:line="480" w:lineRule="auto"/>
        <w:rPr>
          <w:rFonts w:ascii="Times New Roman" w:hAnsi="Times New Roman" w:cs="Times New Roman"/>
          <w:lang w:val="en-GB"/>
        </w:rPr>
      </w:pPr>
    </w:p>
    <w:p w:rsidR="00DB3646" w:rsidRDefault="00DB3646" w:rsidP="00032B4E">
      <w:pPr>
        <w:spacing w:line="480" w:lineRule="auto"/>
        <w:rPr>
          <w:rFonts w:ascii="Times New Roman" w:hAnsi="Times New Roman" w:cs="Times New Roman"/>
          <w:lang w:val="en-GB"/>
        </w:rPr>
      </w:pPr>
    </w:p>
    <w:p w:rsidR="00DB3646" w:rsidRPr="003B1E8C" w:rsidRDefault="00DB3646" w:rsidP="00032B4E">
      <w:pPr>
        <w:spacing w:line="360" w:lineRule="auto"/>
        <w:jc w:val="both"/>
        <w:rPr>
          <w:rFonts w:ascii="Times New Roman" w:hAnsi="Times New Roman" w:cs="Times New Roman"/>
          <w:lang w:val="en-GB"/>
        </w:rPr>
      </w:pPr>
      <w:r w:rsidRPr="003B1E8C">
        <w:rPr>
          <w:rFonts w:ascii="Times New Roman" w:hAnsi="Times New Roman" w:cs="Times New Roman"/>
          <w:lang w:val="en-GB"/>
        </w:rPr>
        <w:t xml:space="preserve">Table 2. Summary of </w:t>
      </w:r>
      <w:r>
        <w:rPr>
          <w:rFonts w:ascii="Times New Roman" w:hAnsi="Times New Roman" w:cs="Times New Roman"/>
          <w:lang w:val="en-GB"/>
        </w:rPr>
        <w:t xml:space="preserve">the adjustment of </w:t>
      </w:r>
      <w:r w:rsidRPr="003B1E8C">
        <w:rPr>
          <w:rFonts w:ascii="Times New Roman" w:hAnsi="Times New Roman" w:cs="Times New Roman"/>
          <w:lang w:val="en-GB"/>
        </w:rPr>
        <w:t>mixed effects models</w:t>
      </w:r>
      <w:r>
        <w:rPr>
          <w:rFonts w:ascii="Times New Roman" w:hAnsi="Times New Roman" w:cs="Times New Roman"/>
          <w:lang w:val="en-GB"/>
        </w:rPr>
        <w:t>,</w:t>
      </w:r>
      <w:r w:rsidRPr="003B1E8C">
        <w:rPr>
          <w:rFonts w:ascii="Times New Roman" w:hAnsi="Times New Roman" w:cs="Times New Roman"/>
          <w:lang w:val="en-GB"/>
        </w:rPr>
        <w:t xml:space="preserve"> including random effects for country</w:t>
      </w:r>
      <w:r>
        <w:rPr>
          <w:rFonts w:ascii="Times New Roman" w:hAnsi="Times New Roman" w:cs="Times New Roman"/>
          <w:lang w:val="en-GB"/>
        </w:rPr>
        <w:t>, to observed hip fracture incidence rates</w:t>
      </w:r>
      <w:r w:rsidRPr="003B1E8C">
        <w:rPr>
          <w:rFonts w:ascii="Times New Roman" w:hAnsi="Times New Roman" w:cs="Times New Roman"/>
          <w:lang w:val="en-GB"/>
        </w:rPr>
        <w:t>.</w:t>
      </w:r>
    </w:p>
    <w:tbl>
      <w:tblPr>
        <w:tblStyle w:val="TableGrid"/>
        <w:tblW w:w="1012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328"/>
        <w:gridCol w:w="1133"/>
        <w:gridCol w:w="1133"/>
        <w:gridCol w:w="1133"/>
        <w:gridCol w:w="1133"/>
        <w:gridCol w:w="1133"/>
        <w:gridCol w:w="1133"/>
      </w:tblGrid>
      <w:tr w:rsidR="00DB3646" w:rsidRPr="003B1E8C" w:rsidTr="00032B4E">
        <w:trPr>
          <w:trHeight w:val="372"/>
          <w:jc w:val="center"/>
        </w:trPr>
        <w:tc>
          <w:tcPr>
            <w:tcW w:w="3328" w:type="dxa"/>
          </w:tcPr>
          <w:p w:rsidR="00DB3646" w:rsidRPr="003B1E8C" w:rsidRDefault="00DB3646" w:rsidP="00032B4E">
            <w:pPr>
              <w:spacing w:line="360" w:lineRule="auto"/>
              <w:jc w:val="both"/>
              <w:rPr>
                <w:rFonts w:ascii="Times New Roman" w:hAnsi="Times New Roman" w:cs="Times New Roman"/>
                <w:sz w:val="20"/>
                <w:lang w:val="en-GB"/>
              </w:rPr>
            </w:pPr>
          </w:p>
        </w:tc>
        <w:tc>
          <w:tcPr>
            <w:tcW w:w="2266" w:type="dxa"/>
            <w:gridSpan w:val="2"/>
          </w:tcPr>
          <w:p w:rsidR="00DB3646" w:rsidRPr="000B20EB" w:rsidRDefault="00DB3646" w:rsidP="00032B4E">
            <w:pPr>
              <w:spacing w:line="360" w:lineRule="auto"/>
              <w:jc w:val="center"/>
              <w:rPr>
                <w:rFonts w:ascii="Times New Roman" w:hAnsi="Times New Roman" w:cs="Times New Roman"/>
                <w:b/>
                <w:sz w:val="20"/>
                <w:lang w:val="en-GB"/>
              </w:rPr>
            </w:pPr>
            <w:r w:rsidRPr="000B20EB">
              <w:rPr>
                <w:rFonts w:ascii="Times New Roman" w:hAnsi="Times New Roman" w:cs="Times New Roman"/>
                <w:b/>
                <w:sz w:val="20"/>
                <w:lang w:val="en-GB"/>
              </w:rPr>
              <w:t>Model 1</w:t>
            </w:r>
          </w:p>
        </w:tc>
        <w:tc>
          <w:tcPr>
            <w:tcW w:w="2266" w:type="dxa"/>
            <w:gridSpan w:val="2"/>
          </w:tcPr>
          <w:p w:rsidR="00DB3646" w:rsidRPr="000B20EB" w:rsidRDefault="00DB3646" w:rsidP="00032B4E">
            <w:pPr>
              <w:spacing w:line="360" w:lineRule="auto"/>
              <w:jc w:val="center"/>
              <w:rPr>
                <w:rFonts w:ascii="Times New Roman" w:hAnsi="Times New Roman" w:cs="Times New Roman"/>
                <w:b/>
                <w:sz w:val="20"/>
                <w:lang w:val="en-GB"/>
              </w:rPr>
            </w:pPr>
            <w:r w:rsidRPr="000B20EB">
              <w:rPr>
                <w:rFonts w:ascii="Times New Roman" w:hAnsi="Times New Roman" w:cs="Times New Roman"/>
                <w:b/>
                <w:sz w:val="20"/>
                <w:lang w:val="en-GB"/>
              </w:rPr>
              <w:t>Model 2</w:t>
            </w:r>
          </w:p>
        </w:tc>
        <w:tc>
          <w:tcPr>
            <w:tcW w:w="2266" w:type="dxa"/>
            <w:gridSpan w:val="2"/>
          </w:tcPr>
          <w:p w:rsidR="00DB3646" w:rsidRPr="000B20EB" w:rsidRDefault="00DB3646" w:rsidP="00032B4E">
            <w:pPr>
              <w:spacing w:line="360" w:lineRule="auto"/>
              <w:jc w:val="center"/>
              <w:rPr>
                <w:rFonts w:ascii="Times New Roman" w:hAnsi="Times New Roman" w:cs="Times New Roman"/>
                <w:b/>
                <w:sz w:val="20"/>
                <w:lang w:val="en-GB"/>
              </w:rPr>
            </w:pPr>
            <w:r w:rsidRPr="000B20EB">
              <w:rPr>
                <w:rFonts w:ascii="Times New Roman" w:hAnsi="Times New Roman" w:cs="Times New Roman"/>
                <w:b/>
                <w:sz w:val="20"/>
                <w:lang w:val="en-GB"/>
              </w:rPr>
              <w:t>Model 3</w:t>
            </w:r>
          </w:p>
        </w:tc>
      </w:tr>
      <w:tr w:rsidR="00DB3646" w:rsidRPr="003B1E8C" w:rsidTr="00032B4E">
        <w:trPr>
          <w:trHeight w:val="372"/>
          <w:jc w:val="center"/>
        </w:trPr>
        <w:tc>
          <w:tcPr>
            <w:tcW w:w="3328" w:type="dxa"/>
          </w:tcPr>
          <w:p w:rsidR="00DB3646" w:rsidRPr="003B1E8C" w:rsidRDefault="00DB3646" w:rsidP="00032B4E">
            <w:pPr>
              <w:spacing w:line="360" w:lineRule="auto"/>
              <w:jc w:val="both"/>
              <w:rPr>
                <w:rFonts w:ascii="Times New Roman" w:hAnsi="Times New Roman" w:cs="Times New Roman"/>
                <w:sz w:val="20"/>
                <w:lang w:val="en-GB"/>
              </w:rPr>
            </w:pPr>
            <w:r w:rsidRPr="003B1E8C">
              <w:rPr>
                <w:rFonts w:ascii="Times New Roman" w:hAnsi="Times New Roman" w:cs="Times New Roman"/>
                <w:sz w:val="20"/>
                <w:lang w:val="en-GB"/>
              </w:rPr>
              <w:t>Random effects</w:t>
            </w:r>
          </w:p>
        </w:tc>
        <w:tc>
          <w:tcPr>
            <w:tcW w:w="1133" w:type="dxa"/>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Women</w:t>
            </w:r>
          </w:p>
        </w:tc>
        <w:tc>
          <w:tcPr>
            <w:tcW w:w="1133" w:type="dxa"/>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Men</w:t>
            </w:r>
          </w:p>
        </w:tc>
        <w:tc>
          <w:tcPr>
            <w:tcW w:w="1133" w:type="dxa"/>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Women</w:t>
            </w:r>
          </w:p>
        </w:tc>
        <w:tc>
          <w:tcPr>
            <w:tcW w:w="1133" w:type="dxa"/>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Men</w:t>
            </w:r>
          </w:p>
        </w:tc>
        <w:tc>
          <w:tcPr>
            <w:tcW w:w="1133" w:type="dxa"/>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Women</w:t>
            </w:r>
          </w:p>
        </w:tc>
        <w:tc>
          <w:tcPr>
            <w:tcW w:w="1133" w:type="dxa"/>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Men</w:t>
            </w:r>
          </w:p>
        </w:tc>
      </w:tr>
      <w:tr w:rsidR="00DB3646" w:rsidRPr="003B1E8C" w:rsidTr="00032B4E">
        <w:trPr>
          <w:trHeight w:val="372"/>
          <w:jc w:val="center"/>
        </w:trPr>
        <w:tc>
          <w:tcPr>
            <w:tcW w:w="3328" w:type="dxa"/>
          </w:tcPr>
          <w:p w:rsidR="00DB3646" w:rsidRPr="003B1E8C" w:rsidRDefault="00DB3646" w:rsidP="00032B4E">
            <w:pPr>
              <w:spacing w:line="360" w:lineRule="auto"/>
              <w:jc w:val="right"/>
              <w:rPr>
                <w:rFonts w:ascii="Times New Roman" w:hAnsi="Times New Roman" w:cs="Times New Roman"/>
                <w:sz w:val="20"/>
                <w:lang w:val="en-GB"/>
              </w:rPr>
            </w:pPr>
            <w:r w:rsidRPr="003B1E8C">
              <w:rPr>
                <w:rFonts w:ascii="Times New Roman" w:hAnsi="Times New Roman" w:cs="Times New Roman"/>
                <w:sz w:val="20"/>
                <w:lang w:val="en-GB"/>
              </w:rPr>
              <w:t>SD</w:t>
            </w:r>
            <w:r w:rsidRPr="003B1E8C">
              <w:rPr>
                <w:rFonts w:ascii="Times New Roman" w:hAnsi="Times New Roman" w:cs="Times New Roman"/>
                <w:sz w:val="20"/>
                <w:vertAlign w:val="subscript"/>
                <w:lang w:val="en-GB"/>
              </w:rPr>
              <w:t>intercept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0.348</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0.454</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0.348</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0.457</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0.346</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0.457</w:t>
            </w:r>
          </w:p>
        </w:tc>
      </w:tr>
      <w:tr w:rsidR="00DB3646" w:rsidRPr="003B1E8C" w:rsidTr="00032B4E">
        <w:trPr>
          <w:trHeight w:val="372"/>
          <w:jc w:val="center"/>
        </w:trPr>
        <w:tc>
          <w:tcPr>
            <w:tcW w:w="3328" w:type="dxa"/>
          </w:tcPr>
          <w:p w:rsidR="00DB3646" w:rsidRPr="003B1E8C" w:rsidRDefault="00DB3646" w:rsidP="00032B4E">
            <w:pPr>
              <w:spacing w:line="360" w:lineRule="auto"/>
              <w:jc w:val="right"/>
              <w:rPr>
                <w:rFonts w:ascii="Times New Roman" w:hAnsi="Times New Roman" w:cs="Times New Roman"/>
                <w:sz w:val="20"/>
                <w:lang w:val="en-GB"/>
              </w:rPr>
            </w:pPr>
            <w:r w:rsidRPr="003B1E8C">
              <w:rPr>
                <w:rFonts w:ascii="Times New Roman" w:hAnsi="Times New Roman" w:cs="Times New Roman"/>
                <w:sz w:val="20"/>
                <w:lang w:val="en-GB"/>
              </w:rPr>
              <w:t>SD</w:t>
            </w:r>
            <w:r w:rsidRPr="003B1E8C">
              <w:rPr>
                <w:rFonts w:ascii="Times New Roman" w:hAnsi="Times New Roman" w:cs="Times New Roman"/>
                <w:sz w:val="20"/>
                <w:vertAlign w:val="subscript"/>
                <w:lang w:val="en-GB"/>
              </w:rPr>
              <w:t>year(linear)</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0.060</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0.077</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0.060</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0.077</w:t>
            </w:r>
          </w:p>
        </w:tc>
      </w:tr>
      <w:tr w:rsidR="00DB3646" w:rsidRPr="003B1E8C" w:rsidTr="00032B4E">
        <w:trPr>
          <w:trHeight w:val="383"/>
          <w:jc w:val="center"/>
        </w:trPr>
        <w:tc>
          <w:tcPr>
            <w:tcW w:w="3328" w:type="dxa"/>
          </w:tcPr>
          <w:p w:rsidR="00DB3646" w:rsidRPr="003B1E8C" w:rsidRDefault="00DB3646" w:rsidP="00032B4E">
            <w:pPr>
              <w:spacing w:line="360" w:lineRule="auto"/>
              <w:jc w:val="right"/>
              <w:rPr>
                <w:rFonts w:ascii="Times New Roman" w:hAnsi="Times New Roman" w:cs="Times New Roman"/>
                <w:sz w:val="20"/>
                <w:lang w:val="en-GB"/>
              </w:rPr>
            </w:pPr>
            <w:r w:rsidRPr="003B1E8C">
              <w:rPr>
                <w:rFonts w:ascii="Times New Roman" w:hAnsi="Times New Roman" w:cs="Times New Roman"/>
                <w:sz w:val="20"/>
                <w:lang w:val="en-GB"/>
              </w:rPr>
              <w:t>SD</w:t>
            </w:r>
            <w:r w:rsidRPr="003B1E8C">
              <w:rPr>
                <w:rFonts w:ascii="Times New Roman" w:hAnsi="Times New Roman" w:cs="Times New Roman"/>
                <w:sz w:val="20"/>
                <w:vertAlign w:val="subscript"/>
                <w:lang w:val="en-GB"/>
              </w:rPr>
              <w:t>year(quadratic)</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0.014</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0.000</w:t>
            </w:r>
          </w:p>
        </w:tc>
      </w:tr>
      <w:tr w:rsidR="00DB3646" w:rsidRPr="003B1E8C" w:rsidTr="00032B4E">
        <w:trPr>
          <w:trHeight w:val="192"/>
          <w:jc w:val="center"/>
        </w:trPr>
        <w:tc>
          <w:tcPr>
            <w:tcW w:w="3328" w:type="dxa"/>
          </w:tcPr>
          <w:p w:rsidR="00DB3646" w:rsidRPr="003B1E8C" w:rsidRDefault="00DB3646" w:rsidP="00032B4E">
            <w:pPr>
              <w:spacing w:line="360" w:lineRule="auto"/>
              <w:jc w:val="right"/>
              <w:rPr>
                <w:rFonts w:ascii="Times New Roman" w:hAnsi="Times New Roman" w:cs="Times New Roman"/>
                <w:sz w:val="20"/>
                <w:lang w:val="en-GB"/>
              </w:rPr>
            </w:pPr>
            <w:r>
              <w:rPr>
                <w:rFonts w:ascii="Times New Roman" w:hAnsi="Times New Roman" w:cs="Times New Roman"/>
                <w:sz w:val="20"/>
                <w:lang w:val="en-GB"/>
              </w:rPr>
              <w:t>SD</w:t>
            </w:r>
            <w:r w:rsidRPr="00C7365D">
              <w:rPr>
                <w:rFonts w:ascii="Times New Roman" w:hAnsi="Times New Roman" w:cs="Times New Roman"/>
                <w:sz w:val="20"/>
                <w:vertAlign w:val="subscript"/>
                <w:lang w:val="en-GB"/>
              </w:rPr>
              <w:t>residual</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0.176</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0.189</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0.173</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0.185</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0.173</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0.185</w:t>
            </w:r>
          </w:p>
        </w:tc>
      </w:tr>
      <w:tr w:rsidR="00DB3646" w:rsidRPr="003B1E8C" w:rsidTr="00032B4E">
        <w:trPr>
          <w:trHeight w:val="192"/>
          <w:jc w:val="center"/>
        </w:trPr>
        <w:tc>
          <w:tcPr>
            <w:tcW w:w="3328" w:type="dxa"/>
          </w:tcPr>
          <w:p w:rsidR="00DB3646" w:rsidRPr="003B1E8C" w:rsidRDefault="00DB3646" w:rsidP="00032B4E">
            <w:pPr>
              <w:spacing w:line="360" w:lineRule="auto"/>
              <w:jc w:val="right"/>
              <w:rPr>
                <w:rFonts w:ascii="Times New Roman" w:hAnsi="Times New Roman" w:cs="Times New Roman"/>
                <w:sz w:val="20"/>
                <w:lang w:val="en-GB"/>
              </w:rPr>
            </w:pPr>
            <w:r w:rsidRPr="003B1E8C">
              <w:rPr>
                <w:rFonts w:ascii="Times New Roman" w:hAnsi="Times New Roman" w:cs="Times New Roman"/>
                <w:sz w:val="20"/>
                <w:lang w:val="en-GB"/>
              </w:rPr>
              <w:t>p</w:t>
            </w:r>
            <w:r>
              <w:rPr>
                <w:rFonts w:ascii="Times New Roman" w:hAnsi="Times New Roman" w:cs="Times New Roman"/>
                <w:sz w:val="20"/>
                <w:lang w:val="en-GB"/>
              </w:rPr>
              <w:t>-value</w:t>
            </w:r>
            <w:r w:rsidRPr="003B1E8C">
              <w:rPr>
                <w:rFonts w:ascii="Times New Roman" w:hAnsi="Times New Roman" w:cs="Times New Roman"/>
                <w:sz w:val="20"/>
                <w:lang w:val="en-GB"/>
              </w:rPr>
              <w:t xml:space="preserve"> (LR test, each model vs. the previous)</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&lt;0.001</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&lt;0.001</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0.860</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sidRPr="003B1E8C">
              <w:rPr>
                <w:rFonts w:ascii="Times New Roman" w:hAnsi="Times New Roman" w:cs="Times New Roman"/>
                <w:sz w:val="20"/>
                <w:lang w:val="en-GB"/>
              </w:rPr>
              <w:t>&gt;0.999</w:t>
            </w:r>
          </w:p>
        </w:tc>
      </w:tr>
      <w:tr w:rsidR="00DB3646" w:rsidRPr="003B1E8C" w:rsidTr="00032B4E">
        <w:trPr>
          <w:trHeight w:val="192"/>
          <w:jc w:val="center"/>
        </w:trPr>
        <w:tc>
          <w:tcPr>
            <w:tcW w:w="3328" w:type="dxa"/>
          </w:tcPr>
          <w:p w:rsidR="00DB3646" w:rsidRPr="003B1E8C" w:rsidRDefault="00DB3646" w:rsidP="00032B4E">
            <w:pPr>
              <w:spacing w:line="360" w:lineRule="auto"/>
              <w:jc w:val="right"/>
              <w:rPr>
                <w:rFonts w:ascii="Times New Roman" w:hAnsi="Times New Roman" w:cs="Times New Roman"/>
                <w:sz w:val="20"/>
                <w:lang w:val="en-GB"/>
              </w:rPr>
            </w:pPr>
            <w:r>
              <w:rPr>
                <w:rFonts w:ascii="Times New Roman" w:hAnsi="Times New Roman" w:cs="Times New Roman"/>
                <w:sz w:val="20"/>
                <w:lang w:val="en-GB"/>
              </w:rPr>
              <w:t>Proportion (%) of variability explained compared to the fixed effects only model</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47.6</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56.6</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48.6</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57.4</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48.5</w:t>
            </w:r>
          </w:p>
        </w:tc>
        <w:tc>
          <w:tcPr>
            <w:tcW w:w="1133" w:type="dxa"/>
            <w:vAlign w:val="center"/>
          </w:tcPr>
          <w:p w:rsidR="00DB3646" w:rsidRPr="003B1E8C"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57.4</w:t>
            </w:r>
          </w:p>
        </w:tc>
      </w:tr>
      <w:tr w:rsidR="00DB3646" w:rsidRPr="003B1E8C" w:rsidTr="00032B4E">
        <w:trPr>
          <w:trHeight w:val="192"/>
          <w:jc w:val="center"/>
        </w:trPr>
        <w:tc>
          <w:tcPr>
            <w:tcW w:w="3328" w:type="dxa"/>
          </w:tcPr>
          <w:p w:rsidR="00DB3646" w:rsidRDefault="00DB3646" w:rsidP="00032B4E">
            <w:pPr>
              <w:spacing w:line="360" w:lineRule="auto"/>
              <w:jc w:val="right"/>
              <w:rPr>
                <w:rFonts w:ascii="Times New Roman" w:hAnsi="Times New Roman" w:cs="Times New Roman"/>
                <w:sz w:val="20"/>
                <w:lang w:val="en-GB"/>
              </w:rPr>
            </w:pPr>
            <w:r>
              <w:rPr>
                <w:rFonts w:ascii="Times New Roman" w:hAnsi="Times New Roman" w:cs="Times New Roman"/>
                <w:sz w:val="20"/>
                <w:lang w:val="en-GB"/>
              </w:rPr>
              <w:t>Bayesian Information Criterion (BIC)</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-506.3618</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-352.0886</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-517.2905</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-364.5618</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-497.2848</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-343.7998</w:t>
            </w:r>
          </w:p>
        </w:tc>
      </w:tr>
      <w:tr w:rsidR="00DB3646" w:rsidRPr="003B1E8C" w:rsidTr="00032B4E">
        <w:trPr>
          <w:trHeight w:val="192"/>
          <w:jc w:val="center"/>
        </w:trPr>
        <w:tc>
          <w:tcPr>
            <w:tcW w:w="3328" w:type="dxa"/>
          </w:tcPr>
          <w:p w:rsidR="00DB3646" w:rsidRPr="004B3C9E" w:rsidRDefault="00DB3646" w:rsidP="00032B4E">
            <w:pPr>
              <w:spacing w:line="360" w:lineRule="auto"/>
              <w:jc w:val="right"/>
              <w:rPr>
                <w:rFonts w:ascii="Times New Roman" w:hAnsi="Times New Roman" w:cs="Times New Roman"/>
                <w:sz w:val="20"/>
                <w:lang w:val="en-GB"/>
              </w:rPr>
            </w:pPr>
            <w:r>
              <w:rPr>
                <w:rFonts w:ascii="Times New Roman" w:hAnsi="Times New Roman" w:cs="Times New Roman"/>
                <w:sz w:val="20"/>
                <w:lang w:val="en-GB"/>
              </w:rPr>
              <w:t>Correlation between predicted and observed values</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0.9935</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0.9906</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0.993</w:t>
            </w:r>
            <w:r>
              <w:rPr>
                <w:rFonts w:ascii="Times New Roman" w:hAnsi="Times New Roman" w:cs="Times New Roman"/>
                <w:sz w:val="20"/>
                <w:lang w:val="en-GB"/>
              </w:rPr>
              <w:t>8</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0.9910</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0.993</w:t>
            </w:r>
            <w:r>
              <w:rPr>
                <w:rFonts w:ascii="Times New Roman" w:hAnsi="Times New Roman" w:cs="Times New Roman"/>
                <w:sz w:val="20"/>
                <w:lang w:val="en-GB"/>
              </w:rPr>
              <w:t>8</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0.9910</w:t>
            </w:r>
          </w:p>
        </w:tc>
      </w:tr>
      <w:tr w:rsidR="00DB3646" w:rsidRPr="003B1E8C" w:rsidTr="00032B4E">
        <w:trPr>
          <w:trHeight w:val="192"/>
          <w:jc w:val="center"/>
        </w:trPr>
        <w:tc>
          <w:tcPr>
            <w:tcW w:w="3328" w:type="dxa"/>
          </w:tcPr>
          <w:p w:rsidR="00DB3646" w:rsidRPr="004B3C9E" w:rsidRDefault="00DB3646" w:rsidP="00032B4E">
            <w:pPr>
              <w:spacing w:line="360" w:lineRule="auto"/>
              <w:jc w:val="right"/>
              <w:rPr>
                <w:rFonts w:ascii="Times New Roman" w:hAnsi="Times New Roman" w:cs="Times New Roman"/>
                <w:sz w:val="20"/>
              </w:rPr>
            </w:pPr>
            <w:r w:rsidRPr="004B3C9E">
              <w:rPr>
                <w:rFonts w:ascii="Times New Roman" w:hAnsi="Times New Roman" w:cs="Times New Roman"/>
                <w:sz w:val="20"/>
                <w:lang w:val="en-GB"/>
              </w:rPr>
              <w:t>Relative Squared Error (RSE)</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1.281</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1.86</w:t>
            </w:r>
            <w:r>
              <w:rPr>
                <w:rFonts w:ascii="Times New Roman" w:hAnsi="Times New Roman" w:cs="Times New Roman"/>
                <w:sz w:val="20"/>
                <w:lang w:val="en-GB"/>
              </w:rPr>
              <w:t>4</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1.2</w:t>
            </w:r>
            <w:r>
              <w:rPr>
                <w:rFonts w:ascii="Times New Roman" w:hAnsi="Times New Roman" w:cs="Times New Roman"/>
                <w:sz w:val="20"/>
                <w:lang w:val="en-GB"/>
              </w:rPr>
              <w:t>30</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1.77</w:t>
            </w:r>
            <w:r>
              <w:rPr>
                <w:rFonts w:ascii="Times New Roman" w:hAnsi="Times New Roman" w:cs="Times New Roman"/>
                <w:sz w:val="20"/>
                <w:lang w:val="en-GB"/>
              </w:rPr>
              <w:t>8</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1.23</w:t>
            </w:r>
            <w:r>
              <w:rPr>
                <w:rFonts w:ascii="Times New Roman" w:hAnsi="Times New Roman" w:cs="Times New Roman"/>
                <w:sz w:val="20"/>
                <w:lang w:val="en-GB"/>
              </w:rPr>
              <w:t>2</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1.77</w:t>
            </w:r>
            <w:r>
              <w:rPr>
                <w:rFonts w:ascii="Times New Roman" w:hAnsi="Times New Roman" w:cs="Times New Roman"/>
                <w:sz w:val="20"/>
                <w:lang w:val="en-GB"/>
              </w:rPr>
              <w:t>8</w:t>
            </w:r>
          </w:p>
        </w:tc>
      </w:tr>
      <w:tr w:rsidR="00DB3646" w:rsidRPr="003B1E8C" w:rsidTr="00032B4E">
        <w:trPr>
          <w:trHeight w:val="192"/>
          <w:jc w:val="center"/>
        </w:trPr>
        <w:tc>
          <w:tcPr>
            <w:tcW w:w="3328" w:type="dxa"/>
          </w:tcPr>
          <w:p w:rsidR="00DB3646" w:rsidRDefault="00DB3646" w:rsidP="00032B4E">
            <w:pPr>
              <w:spacing w:line="360" w:lineRule="auto"/>
              <w:jc w:val="right"/>
              <w:rPr>
                <w:rFonts w:ascii="Times New Roman" w:hAnsi="Times New Roman" w:cs="Times New Roman"/>
                <w:sz w:val="20"/>
                <w:lang w:val="en-GB"/>
              </w:rPr>
            </w:pPr>
            <w:r w:rsidRPr="004B3C9E">
              <w:rPr>
                <w:rFonts w:ascii="Times New Roman" w:hAnsi="Times New Roman" w:cs="Times New Roman"/>
                <w:sz w:val="20"/>
                <w:lang w:val="en-GB"/>
              </w:rPr>
              <w:t>Relative Absolute Error (RAE)</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9.997</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12.193</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Pr>
                <w:rFonts w:ascii="Times New Roman" w:hAnsi="Times New Roman" w:cs="Times New Roman"/>
                <w:sz w:val="20"/>
                <w:lang w:val="en-GB"/>
              </w:rPr>
              <w:t>9.784</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11.93</w:t>
            </w:r>
            <w:r>
              <w:rPr>
                <w:rFonts w:ascii="Times New Roman" w:hAnsi="Times New Roman" w:cs="Times New Roman"/>
                <w:sz w:val="20"/>
                <w:lang w:val="en-GB"/>
              </w:rPr>
              <w:t>5</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9.781</w:t>
            </w:r>
          </w:p>
        </w:tc>
        <w:tc>
          <w:tcPr>
            <w:tcW w:w="1133" w:type="dxa"/>
            <w:vAlign w:val="center"/>
          </w:tcPr>
          <w:p w:rsidR="00DB3646" w:rsidRDefault="00DB3646" w:rsidP="00032B4E">
            <w:pPr>
              <w:spacing w:line="360" w:lineRule="auto"/>
              <w:jc w:val="center"/>
              <w:rPr>
                <w:rFonts w:ascii="Times New Roman" w:hAnsi="Times New Roman" w:cs="Times New Roman"/>
                <w:sz w:val="20"/>
                <w:lang w:val="en-GB"/>
              </w:rPr>
            </w:pPr>
            <w:r w:rsidRPr="004A44FB">
              <w:rPr>
                <w:rFonts w:ascii="Times New Roman" w:hAnsi="Times New Roman" w:cs="Times New Roman"/>
                <w:sz w:val="20"/>
                <w:lang w:val="en-GB"/>
              </w:rPr>
              <w:t>11.93</w:t>
            </w:r>
            <w:r>
              <w:rPr>
                <w:rFonts w:ascii="Times New Roman" w:hAnsi="Times New Roman" w:cs="Times New Roman"/>
                <w:sz w:val="20"/>
                <w:lang w:val="en-GB"/>
              </w:rPr>
              <w:t>5</w:t>
            </w:r>
          </w:p>
        </w:tc>
      </w:tr>
    </w:tbl>
    <w:p w:rsidR="00DB3646" w:rsidRPr="00C7365D" w:rsidRDefault="00DB3646" w:rsidP="00032B4E">
      <w:pPr>
        <w:spacing w:line="240" w:lineRule="auto"/>
        <w:jc w:val="both"/>
        <w:rPr>
          <w:rFonts w:ascii="Times New Roman" w:hAnsi="Times New Roman" w:cs="Times New Roman"/>
          <w:sz w:val="20"/>
          <w:lang w:val="en-GB"/>
        </w:rPr>
      </w:pPr>
      <w:r w:rsidRPr="00C7365D">
        <w:rPr>
          <w:rFonts w:ascii="Times New Roman" w:hAnsi="Times New Roman" w:cs="Times New Roman"/>
          <w:sz w:val="20"/>
          <w:lang w:val="en-GB"/>
        </w:rPr>
        <w:t>SD - standard deviation; LR - likelihood ratio</w:t>
      </w:r>
    </w:p>
    <w:p w:rsidR="00DB3646" w:rsidRPr="00C7365D" w:rsidRDefault="00DB3646" w:rsidP="00032B4E">
      <w:pPr>
        <w:spacing w:line="240" w:lineRule="auto"/>
        <w:jc w:val="both"/>
        <w:rPr>
          <w:rFonts w:ascii="Times New Roman" w:hAnsi="Times New Roman" w:cs="Times New Roman"/>
          <w:sz w:val="20"/>
          <w:lang w:val="en-GB"/>
        </w:rPr>
      </w:pPr>
      <w:r w:rsidRPr="00C7365D">
        <w:rPr>
          <w:rFonts w:ascii="Times New Roman" w:hAnsi="Times New Roman" w:cs="Times New Roman"/>
          <w:sz w:val="20"/>
          <w:lang w:val="en-GB"/>
        </w:rPr>
        <w:t>Model 1: random intercept</w:t>
      </w:r>
    </w:p>
    <w:p w:rsidR="00DB3646" w:rsidRPr="00C7365D" w:rsidRDefault="00DB3646" w:rsidP="00032B4E">
      <w:pPr>
        <w:spacing w:line="240" w:lineRule="auto"/>
        <w:jc w:val="both"/>
        <w:rPr>
          <w:rFonts w:ascii="Times New Roman" w:hAnsi="Times New Roman" w:cs="Times New Roman"/>
          <w:sz w:val="20"/>
          <w:lang w:val="en-GB"/>
        </w:rPr>
      </w:pPr>
      <w:r w:rsidRPr="00C7365D">
        <w:rPr>
          <w:rFonts w:ascii="Times New Roman" w:hAnsi="Times New Roman" w:cs="Times New Roman"/>
          <w:sz w:val="20"/>
          <w:lang w:val="en-GB"/>
        </w:rPr>
        <w:t>Model 2: Model 1 + random linear term for calendar year</w:t>
      </w:r>
    </w:p>
    <w:p w:rsidR="00DB3646" w:rsidRPr="00C7365D" w:rsidRDefault="00DB3646" w:rsidP="00032B4E">
      <w:pPr>
        <w:spacing w:line="240" w:lineRule="auto"/>
        <w:jc w:val="both"/>
        <w:rPr>
          <w:rFonts w:ascii="Times New Roman" w:hAnsi="Times New Roman" w:cs="Times New Roman"/>
          <w:sz w:val="20"/>
          <w:lang w:val="en-GB"/>
        </w:rPr>
      </w:pPr>
      <w:r w:rsidRPr="00C7365D">
        <w:rPr>
          <w:rFonts w:ascii="Times New Roman" w:hAnsi="Times New Roman" w:cs="Times New Roman"/>
          <w:sz w:val="20"/>
          <w:lang w:val="en-GB"/>
        </w:rPr>
        <w:t>Model 3: Model 2 + random quadratic term for calendar year</w:t>
      </w:r>
    </w:p>
    <w:p w:rsidR="00DB3646" w:rsidRDefault="00DB3646" w:rsidP="00032B4E">
      <w:pPr>
        <w:spacing w:line="480" w:lineRule="auto"/>
        <w:rPr>
          <w:rFonts w:ascii="Times New Roman" w:hAnsi="Times New Roman" w:cs="Times New Roman"/>
          <w:lang w:val="en-GB"/>
        </w:rPr>
      </w:pPr>
    </w:p>
    <w:p w:rsidR="00DB3646"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Table 3 presents</w:t>
      </w:r>
      <w:r>
        <w:rPr>
          <w:rFonts w:ascii="Times New Roman" w:hAnsi="Times New Roman" w:cs="Times New Roman"/>
          <w:lang w:val="en-GB"/>
        </w:rPr>
        <w:t xml:space="preserve"> the</w:t>
      </w:r>
      <w:r w:rsidRPr="00E53169">
        <w:rPr>
          <w:rFonts w:ascii="Times New Roman" w:hAnsi="Times New Roman" w:cs="Times New Roman"/>
          <w:lang w:val="en-GB"/>
        </w:rPr>
        <w:t xml:space="preserve"> predicted </w:t>
      </w:r>
      <w:r>
        <w:rPr>
          <w:rFonts w:ascii="Times New Roman" w:hAnsi="Times New Roman" w:cs="Times New Roman"/>
          <w:lang w:val="en-GB"/>
        </w:rPr>
        <w:t>peak</w:t>
      </w:r>
      <w:r w:rsidRPr="00E53169">
        <w:rPr>
          <w:rFonts w:ascii="Times New Roman" w:hAnsi="Times New Roman" w:cs="Times New Roman"/>
          <w:lang w:val="en-GB"/>
        </w:rPr>
        <w:t xml:space="preserve"> hip fracture incidence rate</w:t>
      </w:r>
      <w:r>
        <w:rPr>
          <w:rFonts w:ascii="Times New Roman" w:hAnsi="Times New Roman" w:cs="Times New Roman"/>
          <w:lang w:val="en-GB"/>
        </w:rPr>
        <w:t>s</w:t>
      </w:r>
      <w:r w:rsidRPr="00E53169">
        <w:rPr>
          <w:rFonts w:ascii="Times New Roman" w:hAnsi="Times New Roman" w:cs="Times New Roman"/>
          <w:lang w:val="en-GB"/>
        </w:rPr>
        <w:t xml:space="preserve"> and calendar year</w:t>
      </w:r>
      <w:r>
        <w:rPr>
          <w:rFonts w:ascii="Times New Roman" w:hAnsi="Times New Roman" w:cs="Times New Roman"/>
          <w:lang w:val="en-GB"/>
        </w:rPr>
        <w:t>s</w:t>
      </w:r>
      <w:r w:rsidRPr="00E53169">
        <w:rPr>
          <w:rFonts w:ascii="Times New Roman" w:hAnsi="Times New Roman" w:cs="Times New Roman"/>
          <w:lang w:val="en-GB"/>
        </w:rPr>
        <w:t xml:space="preserve"> of trend reversal </w:t>
      </w:r>
      <w:r>
        <w:rPr>
          <w:rFonts w:ascii="Times New Roman" w:hAnsi="Times New Roman" w:cs="Times New Roman"/>
          <w:lang w:val="en-GB"/>
        </w:rPr>
        <w:t>by country, including extrapolated estimates for countries where the reversal was predicted outside of the time span covered by empirical data</w:t>
      </w:r>
      <w:r w:rsidRPr="00E53169">
        <w:rPr>
          <w:rFonts w:ascii="Times New Roman" w:hAnsi="Times New Roman" w:cs="Times New Roman"/>
          <w:lang w:val="en-GB"/>
        </w:rPr>
        <w:t xml:space="preserve">. </w:t>
      </w:r>
      <w:r>
        <w:rPr>
          <w:rFonts w:ascii="Times New Roman" w:hAnsi="Times New Roman" w:cs="Times New Roman"/>
          <w:lang w:val="en-GB"/>
        </w:rPr>
        <w:t>Predicted peak f</w:t>
      </w:r>
      <w:r w:rsidRPr="00E53169">
        <w:rPr>
          <w:rFonts w:ascii="Times New Roman" w:hAnsi="Times New Roman" w:cs="Times New Roman"/>
          <w:lang w:val="en-GB"/>
        </w:rPr>
        <w:t xml:space="preserve">racture rates were lowest in Portugal (376.0 per 100 000 women and 156.9 per 100 000 men) and highest in Sweden (1389.8 per 100 000 women and 742.4 per 100 000 men). In terms of </w:t>
      </w:r>
      <w:r>
        <w:rPr>
          <w:rFonts w:ascii="Times New Roman" w:hAnsi="Times New Roman" w:cs="Times New Roman"/>
          <w:lang w:val="en-GB"/>
        </w:rPr>
        <w:t>timing</w:t>
      </w:r>
      <w:r w:rsidRPr="00E53169">
        <w:rPr>
          <w:rFonts w:ascii="Times New Roman" w:hAnsi="Times New Roman" w:cs="Times New Roman"/>
          <w:lang w:val="en-GB"/>
        </w:rPr>
        <w:t xml:space="preserve">, the earliest trend reversals were predicted between 1986 and 1987 </w:t>
      </w:r>
      <w:r>
        <w:rPr>
          <w:rFonts w:ascii="Times New Roman" w:hAnsi="Times New Roman" w:cs="Times New Roman"/>
          <w:lang w:val="en-GB"/>
        </w:rPr>
        <w:t>among</w:t>
      </w:r>
      <w:r w:rsidRPr="00E53169">
        <w:rPr>
          <w:rFonts w:ascii="Times New Roman" w:hAnsi="Times New Roman" w:cs="Times New Roman"/>
          <w:lang w:val="en-GB"/>
        </w:rPr>
        <w:t xml:space="preserve"> women </w:t>
      </w:r>
      <w:r>
        <w:rPr>
          <w:rFonts w:ascii="Times New Roman" w:hAnsi="Times New Roman" w:cs="Times New Roman"/>
          <w:lang w:val="en-GB"/>
        </w:rPr>
        <w:t>in</w:t>
      </w:r>
      <w:r w:rsidRPr="00E53169">
        <w:rPr>
          <w:rFonts w:ascii="Times New Roman" w:hAnsi="Times New Roman" w:cs="Times New Roman"/>
          <w:lang w:val="en-GB"/>
        </w:rPr>
        <w:t xml:space="preserve"> Sweden and Denmark</w:t>
      </w:r>
      <w:r>
        <w:rPr>
          <w:rFonts w:ascii="Times New Roman" w:hAnsi="Times New Roman" w:cs="Times New Roman"/>
          <w:lang w:val="en-GB"/>
        </w:rPr>
        <w:t>, whereas</w:t>
      </w:r>
      <w:r w:rsidRPr="00E53169">
        <w:rPr>
          <w:rFonts w:ascii="Times New Roman" w:hAnsi="Times New Roman" w:cs="Times New Roman"/>
          <w:lang w:val="en-GB"/>
        </w:rPr>
        <w:t xml:space="preserve"> in men the earliest reversals were predicted between 1990 and 1992 in Switzerland, Denmark and Sweden.</w:t>
      </w:r>
    </w:p>
    <w:p w:rsidR="00DB3646" w:rsidRDefault="00DB3646" w:rsidP="00032B4E">
      <w:pPr>
        <w:spacing w:line="480" w:lineRule="auto"/>
        <w:rPr>
          <w:rFonts w:ascii="Times New Roman" w:hAnsi="Times New Roman" w:cs="Times New Roman"/>
          <w:lang w:val="en-GB"/>
        </w:rPr>
      </w:pPr>
    </w:p>
    <w:p w:rsidR="00DB3646" w:rsidRPr="003B1E8C" w:rsidRDefault="00DB3646" w:rsidP="00032B4E">
      <w:pPr>
        <w:spacing w:line="360" w:lineRule="auto"/>
        <w:jc w:val="both"/>
        <w:rPr>
          <w:rFonts w:ascii="Times New Roman" w:hAnsi="Times New Roman" w:cs="Times New Roman"/>
          <w:lang w:val="en-GB"/>
        </w:rPr>
      </w:pPr>
      <w:r w:rsidRPr="003B1E8C">
        <w:rPr>
          <w:rFonts w:ascii="Times New Roman" w:hAnsi="Times New Roman" w:cs="Times New Roman"/>
          <w:lang w:val="en-GB"/>
        </w:rPr>
        <w:t>Table 3. Predicted values for maximum hip fracture incidence rate and calendar year of trend reversal using a mixed effects model.</w:t>
      </w:r>
    </w:p>
    <w:tbl>
      <w:tblPr>
        <w:tblStyle w:val="TableGrid"/>
        <w:tblW w:w="921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516"/>
        <w:gridCol w:w="1027"/>
        <w:gridCol w:w="1179"/>
        <w:gridCol w:w="910"/>
        <w:gridCol w:w="879"/>
        <w:gridCol w:w="1457"/>
        <w:gridCol w:w="1251"/>
      </w:tblGrid>
      <w:tr w:rsidR="00DB3646" w:rsidRPr="002E0390" w:rsidTr="00032B4E">
        <w:trPr>
          <w:trHeight w:val="234"/>
          <w:jc w:val="center"/>
        </w:trPr>
        <w:tc>
          <w:tcPr>
            <w:tcW w:w="2516" w:type="dxa"/>
            <w:vMerge w:val="restart"/>
            <w:vAlign w:val="bottom"/>
          </w:tcPr>
          <w:p w:rsidR="00DB3646" w:rsidRPr="002E0390" w:rsidRDefault="00DB3646" w:rsidP="00032B4E">
            <w:pPr>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Country</w:t>
            </w:r>
          </w:p>
        </w:tc>
        <w:tc>
          <w:tcPr>
            <w:tcW w:w="2206" w:type="dxa"/>
            <w:gridSpan w:val="2"/>
          </w:tcPr>
          <w:p w:rsidR="00DB3646" w:rsidRPr="002E0390" w:rsidRDefault="00DB3646" w:rsidP="00032B4E">
            <w:pPr>
              <w:spacing w:line="360" w:lineRule="auto"/>
              <w:jc w:val="center"/>
              <w:rPr>
                <w:rFonts w:ascii="Times New Roman" w:hAnsi="Times New Roman" w:cs="Times New Roman"/>
                <w:sz w:val="20"/>
                <w:szCs w:val="20"/>
                <w:lang w:val="en-GB"/>
              </w:rPr>
            </w:pPr>
            <w:r w:rsidRPr="003B1E8C">
              <w:rPr>
                <w:rFonts w:ascii="Times New Roman" w:hAnsi="Times New Roman" w:cs="Times New Roman"/>
                <w:sz w:val="20"/>
                <w:szCs w:val="20"/>
                <w:lang w:val="en-GB"/>
              </w:rPr>
              <w:t>Predicted maximum hip fracture incidence rate (per 100</w:t>
            </w:r>
            <w:r>
              <w:rPr>
                <w:rFonts w:ascii="Times New Roman" w:hAnsi="Times New Roman" w:cs="Times New Roman"/>
                <w:sz w:val="20"/>
                <w:szCs w:val="20"/>
                <w:lang w:val="en-GB"/>
              </w:rPr>
              <w:t> </w:t>
            </w:r>
            <w:r w:rsidRPr="003B1E8C">
              <w:rPr>
                <w:rFonts w:ascii="Times New Roman" w:hAnsi="Times New Roman" w:cs="Times New Roman"/>
                <w:sz w:val="20"/>
                <w:szCs w:val="20"/>
                <w:lang w:val="en-GB"/>
              </w:rPr>
              <w:t>000)</w:t>
            </w:r>
          </w:p>
        </w:tc>
        <w:tc>
          <w:tcPr>
            <w:tcW w:w="1789" w:type="dxa"/>
            <w:gridSpan w:val="2"/>
          </w:tcPr>
          <w:p w:rsidR="00DB3646" w:rsidRPr="002E0390" w:rsidRDefault="00DB3646" w:rsidP="00032B4E">
            <w:pPr>
              <w:spacing w:line="360" w:lineRule="auto"/>
              <w:jc w:val="center"/>
              <w:rPr>
                <w:rFonts w:ascii="Times New Roman" w:hAnsi="Times New Roman" w:cs="Times New Roman"/>
                <w:sz w:val="20"/>
                <w:szCs w:val="20"/>
                <w:lang w:val="en-GB"/>
              </w:rPr>
            </w:pPr>
            <w:r w:rsidRPr="003B1E8C">
              <w:rPr>
                <w:rFonts w:ascii="Times New Roman" w:hAnsi="Times New Roman" w:cs="Times New Roman"/>
                <w:sz w:val="20"/>
                <w:szCs w:val="20"/>
                <w:lang w:val="en-GB"/>
              </w:rPr>
              <w:t>Predicted calendar year of trend reversal</w:t>
            </w:r>
          </w:p>
        </w:tc>
        <w:tc>
          <w:tcPr>
            <w:tcW w:w="1457" w:type="dxa"/>
            <w:vMerge w:val="restart"/>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Time span of empirical data</w:t>
            </w:r>
          </w:p>
        </w:tc>
        <w:tc>
          <w:tcPr>
            <w:tcW w:w="1251" w:type="dxa"/>
            <w:vMerge w:val="restart"/>
            <w:vAlign w:val="center"/>
          </w:tcPr>
          <w:p w:rsidR="00DB3646"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Age range (years)</w:t>
            </w:r>
          </w:p>
        </w:tc>
      </w:tr>
      <w:tr w:rsidR="00DB3646" w:rsidRPr="002E0390" w:rsidTr="00032B4E">
        <w:trPr>
          <w:trHeight w:val="234"/>
          <w:jc w:val="center"/>
        </w:trPr>
        <w:tc>
          <w:tcPr>
            <w:tcW w:w="2516" w:type="dxa"/>
            <w:vMerge/>
          </w:tcPr>
          <w:p w:rsidR="00DB3646" w:rsidRPr="002E0390" w:rsidRDefault="00DB3646" w:rsidP="00032B4E">
            <w:pPr>
              <w:spacing w:line="360" w:lineRule="auto"/>
              <w:jc w:val="right"/>
              <w:rPr>
                <w:rFonts w:ascii="Times New Roman" w:hAnsi="Times New Roman" w:cs="Times New Roman"/>
                <w:sz w:val="20"/>
                <w:szCs w:val="20"/>
                <w:lang w:val="en-GB"/>
              </w:rPr>
            </w:pPr>
          </w:p>
        </w:tc>
        <w:tc>
          <w:tcPr>
            <w:tcW w:w="1027" w:type="dxa"/>
          </w:tcPr>
          <w:p w:rsidR="00DB3646" w:rsidRPr="003B1E8C" w:rsidRDefault="00DB3646" w:rsidP="00032B4E">
            <w:pPr>
              <w:spacing w:line="360" w:lineRule="auto"/>
              <w:jc w:val="center"/>
              <w:rPr>
                <w:rFonts w:ascii="Times New Roman" w:hAnsi="Times New Roman" w:cs="Times New Roman"/>
                <w:sz w:val="20"/>
                <w:szCs w:val="20"/>
                <w:lang w:val="en-GB"/>
              </w:rPr>
            </w:pPr>
            <w:r w:rsidRPr="003B1E8C">
              <w:rPr>
                <w:rFonts w:ascii="Times New Roman" w:hAnsi="Times New Roman" w:cs="Times New Roman"/>
                <w:sz w:val="20"/>
                <w:szCs w:val="20"/>
                <w:lang w:val="en-GB"/>
              </w:rPr>
              <w:t>Women</w:t>
            </w:r>
          </w:p>
        </w:tc>
        <w:tc>
          <w:tcPr>
            <w:tcW w:w="1179" w:type="dxa"/>
          </w:tcPr>
          <w:p w:rsidR="00DB3646" w:rsidRPr="003B1E8C" w:rsidRDefault="00DB3646" w:rsidP="00032B4E">
            <w:pPr>
              <w:spacing w:line="360" w:lineRule="auto"/>
              <w:jc w:val="center"/>
              <w:rPr>
                <w:rFonts w:ascii="Times New Roman" w:hAnsi="Times New Roman" w:cs="Times New Roman"/>
                <w:sz w:val="20"/>
                <w:szCs w:val="20"/>
                <w:lang w:val="en-GB"/>
              </w:rPr>
            </w:pPr>
            <w:r w:rsidRPr="003B1E8C">
              <w:rPr>
                <w:rFonts w:ascii="Times New Roman" w:hAnsi="Times New Roman" w:cs="Times New Roman"/>
                <w:sz w:val="20"/>
                <w:szCs w:val="20"/>
                <w:lang w:val="en-GB"/>
              </w:rPr>
              <w:t>Men</w:t>
            </w:r>
          </w:p>
        </w:tc>
        <w:tc>
          <w:tcPr>
            <w:tcW w:w="910" w:type="dxa"/>
          </w:tcPr>
          <w:p w:rsidR="00DB3646" w:rsidRPr="003B1E8C" w:rsidRDefault="00DB3646" w:rsidP="00032B4E">
            <w:pPr>
              <w:spacing w:line="360" w:lineRule="auto"/>
              <w:jc w:val="center"/>
              <w:rPr>
                <w:rFonts w:ascii="Times New Roman" w:hAnsi="Times New Roman" w:cs="Times New Roman"/>
                <w:sz w:val="20"/>
                <w:szCs w:val="20"/>
                <w:lang w:val="en-GB"/>
              </w:rPr>
            </w:pPr>
            <w:r w:rsidRPr="003B1E8C">
              <w:rPr>
                <w:rFonts w:ascii="Times New Roman" w:hAnsi="Times New Roman" w:cs="Times New Roman"/>
                <w:sz w:val="20"/>
                <w:szCs w:val="20"/>
                <w:lang w:val="en-GB"/>
              </w:rPr>
              <w:t>Women</w:t>
            </w:r>
          </w:p>
        </w:tc>
        <w:tc>
          <w:tcPr>
            <w:tcW w:w="879" w:type="dxa"/>
          </w:tcPr>
          <w:p w:rsidR="00DB3646" w:rsidRPr="003B1E8C" w:rsidRDefault="00DB3646" w:rsidP="00032B4E">
            <w:pPr>
              <w:spacing w:line="360" w:lineRule="auto"/>
              <w:jc w:val="center"/>
              <w:rPr>
                <w:rFonts w:ascii="Times New Roman" w:hAnsi="Times New Roman" w:cs="Times New Roman"/>
                <w:sz w:val="20"/>
                <w:szCs w:val="20"/>
                <w:lang w:val="en-GB"/>
              </w:rPr>
            </w:pPr>
            <w:r w:rsidRPr="003B1E8C">
              <w:rPr>
                <w:rFonts w:ascii="Times New Roman" w:hAnsi="Times New Roman" w:cs="Times New Roman"/>
                <w:sz w:val="20"/>
                <w:szCs w:val="20"/>
                <w:lang w:val="en-GB"/>
              </w:rPr>
              <w:t>Men</w:t>
            </w:r>
          </w:p>
        </w:tc>
        <w:tc>
          <w:tcPr>
            <w:tcW w:w="1457" w:type="dxa"/>
            <w:vMerge/>
            <w:vAlign w:val="center"/>
          </w:tcPr>
          <w:p w:rsidR="00DB3646" w:rsidRPr="002E0390" w:rsidRDefault="00DB3646" w:rsidP="00032B4E">
            <w:pPr>
              <w:spacing w:line="360" w:lineRule="auto"/>
              <w:jc w:val="center"/>
              <w:rPr>
                <w:rFonts w:ascii="Times New Roman" w:hAnsi="Times New Roman" w:cs="Times New Roman"/>
                <w:sz w:val="20"/>
                <w:szCs w:val="20"/>
                <w:lang w:val="en-GB"/>
              </w:rPr>
            </w:pPr>
          </w:p>
        </w:tc>
        <w:tc>
          <w:tcPr>
            <w:tcW w:w="1251" w:type="dxa"/>
            <w:vMerge/>
          </w:tcPr>
          <w:p w:rsidR="00DB3646" w:rsidRPr="002E0390" w:rsidRDefault="00DB3646" w:rsidP="00032B4E">
            <w:pPr>
              <w:spacing w:line="360" w:lineRule="auto"/>
              <w:jc w:val="center"/>
              <w:rPr>
                <w:rFonts w:ascii="Times New Roman" w:hAnsi="Times New Roman" w:cs="Times New Roman"/>
                <w:sz w:val="20"/>
                <w:szCs w:val="20"/>
                <w:lang w:val="en-GB"/>
              </w:rPr>
            </w:pPr>
          </w:p>
        </w:tc>
      </w:tr>
      <w:tr w:rsidR="00DB3646" w:rsidRPr="002E0390" w:rsidTr="00032B4E">
        <w:trPr>
          <w:trHeight w:val="234"/>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Austria</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677.8</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389.3</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2001.0</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2008.4</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1989-2008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50-95+</w:t>
            </w:r>
          </w:p>
        </w:tc>
      </w:tr>
      <w:tr w:rsidR="00DB3646" w:rsidRPr="002E0390" w:rsidTr="00032B4E">
        <w:trPr>
          <w:trHeight w:val="234"/>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Denmark*</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1089.7</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551.1</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1987.1</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1991.9</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1997-2006</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60-85+</w:t>
            </w:r>
          </w:p>
        </w:tc>
      </w:tr>
      <w:tr w:rsidR="00DB3646" w:rsidRPr="002E0390" w:rsidTr="00032B4E">
        <w:trPr>
          <w:trHeight w:val="240"/>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Estonia*</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531.0</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468.7</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1995.1</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1999.2</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2005-2012</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50-80+</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Finland</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649.5</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429.8</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1995.2</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2002.6</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1970-2010</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50-85+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France*</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461.9</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217.6</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1994.9</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2000.5</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2002-2008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40-85+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Germany</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527.4</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279.5</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1997.0</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2004.8</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1995-2004</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40-90+</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Italy*</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526.5</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237.5</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1997.7</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2002.2</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2002-2008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40-95+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Netherlands</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516.1</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283.5</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1994.8</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1999.8</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1991-2008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65-95+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Norway*</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969.1</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554.4</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1993.0</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1998.2</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1999-2008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50-90+</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Portugal*</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376.0</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156.9</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1993.9</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2000.6</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2000-2008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50-85+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Spain</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420.0</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195.0</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1996.8</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2004.0</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1997-2010</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65-85+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Sweden</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1389.8</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742.4</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1986.8</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1992.4</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1987-2009</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65-80+</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Switzerland*</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647.0</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335.4</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1991.6</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1990.1</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2000-2007</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45-85+</w:t>
            </w:r>
          </w:p>
        </w:tc>
      </w:tr>
      <w:tr w:rsidR="00DB3646" w:rsidRPr="002E0390" w:rsidTr="00032B4E">
        <w:trPr>
          <w:trHeight w:val="391"/>
          <w:jc w:val="center"/>
        </w:trPr>
        <w:tc>
          <w:tcPr>
            <w:tcW w:w="2516" w:type="dxa"/>
          </w:tcPr>
          <w:p w:rsidR="00DB3646" w:rsidRPr="002E0390" w:rsidRDefault="00DB3646" w:rsidP="00032B4E">
            <w:pPr>
              <w:spacing w:line="360" w:lineRule="auto"/>
              <w:jc w:val="right"/>
              <w:rPr>
                <w:rFonts w:ascii="Times New Roman" w:hAnsi="Times New Roman" w:cs="Times New Roman"/>
                <w:sz w:val="20"/>
                <w:szCs w:val="20"/>
                <w:lang w:val="en-GB"/>
              </w:rPr>
            </w:pPr>
            <w:r w:rsidRPr="002E0390">
              <w:rPr>
                <w:rFonts w:ascii="Times New Roman" w:hAnsi="Times New Roman" w:cs="Times New Roman"/>
                <w:sz w:val="20"/>
                <w:szCs w:val="20"/>
                <w:lang w:val="en-GB"/>
              </w:rPr>
              <w:t>United Kingdom (England)</w:t>
            </w:r>
          </w:p>
        </w:tc>
        <w:tc>
          <w:tcPr>
            <w:tcW w:w="1027"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472.1</w:t>
            </w:r>
          </w:p>
        </w:tc>
        <w:tc>
          <w:tcPr>
            <w:tcW w:w="11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214.9</w:t>
            </w:r>
          </w:p>
        </w:tc>
        <w:tc>
          <w:tcPr>
            <w:tcW w:w="910"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1998.9</w:t>
            </w:r>
          </w:p>
        </w:tc>
        <w:tc>
          <w:tcPr>
            <w:tcW w:w="879" w:type="dxa"/>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2007.8</w:t>
            </w:r>
          </w:p>
        </w:tc>
        <w:tc>
          <w:tcPr>
            <w:tcW w:w="1457"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sidRPr="002E0390">
              <w:rPr>
                <w:rFonts w:ascii="Times New Roman" w:hAnsi="Times New Roman" w:cs="Times New Roman"/>
                <w:sz w:val="20"/>
                <w:szCs w:val="20"/>
                <w:lang w:val="en-GB"/>
              </w:rPr>
              <w:t>1998-2008</w:t>
            </w:r>
          </w:p>
        </w:tc>
        <w:tc>
          <w:tcPr>
            <w:tcW w:w="1251" w:type="dxa"/>
            <w:vAlign w:val="center"/>
          </w:tcPr>
          <w:p w:rsidR="00DB3646" w:rsidRPr="002E0390" w:rsidRDefault="00DB3646" w:rsidP="00032B4E">
            <w:pPr>
              <w:spacing w:line="36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45-85+</w:t>
            </w:r>
          </w:p>
        </w:tc>
      </w:tr>
    </w:tbl>
    <w:p w:rsidR="00DB3646" w:rsidRPr="002E0390" w:rsidRDefault="00DB3646" w:rsidP="00032B4E">
      <w:pPr>
        <w:rPr>
          <w:rFonts w:ascii="Times New Roman" w:hAnsi="Times New Roman" w:cs="Times New Roman"/>
          <w:sz w:val="20"/>
        </w:rPr>
      </w:pPr>
      <w:r w:rsidRPr="002E0390">
        <w:rPr>
          <w:rFonts w:ascii="Times New Roman" w:hAnsi="Times New Roman" w:cs="Times New Roman"/>
          <w:sz w:val="20"/>
        </w:rPr>
        <w:t xml:space="preserve">* </w:t>
      </w:r>
      <w:r>
        <w:rPr>
          <w:rFonts w:ascii="Times New Roman" w:hAnsi="Times New Roman" w:cs="Times New Roman"/>
          <w:sz w:val="20"/>
        </w:rPr>
        <w:t xml:space="preserve">countries where model-predicted </w:t>
      </w:r>
      <w:r w:rsidRPr="002E0390">
        <w:rPr>
          <w:rFonts w:ascii="Times New Roman" w:hAnsi="Times New Roman" w:cs="Times New Roman"/>
          <w:sz w:val="20"/>
        </w:rPr>
        <w:t xml:space="preserve">estimates </w:t>
      </w:r>
      <w:r>
        <w:rPr>
          <w:rFonts w:ascii="Times New Roman" w:hAnsi="Times New Roman" w:cs="Times New Roman"/>
          <w:sz w:val="20"/>
        </w:rPr>
        <w:t>of reversal year and peak rates were extrapolated (outside the time span covered by empirical data)</w:t>
      </w:r>
    </w:p>
    <w:p w:rsidR="00DB3646"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After extracting country-level random coefficients and applying mixture models, we found appropriate cluster solutions with three country groups for women and two groups for men. The distributions of coefficients for background rates (k) and timing of reversal (h) are presented in Figure </w:t>
      </w:r>
      <w:r>
        <w:rPr>
          <w:rFonts w:ascii="Times New Roman" w:hAnsi="Times New Roman" w:cs="Times New Roman"/>
          <w:lang w:val="en-GB"/>
        </w:rPr>
        <w:t>3</w:t>
      </w:r>
      <w:r w:rsidRPr="00E53169">
        <w:rPr>
          <w:rFonts w:ascii="Times New Roman" w:hAnsi="Times New Roman" w:cs="Times New Roman"/>
          <w:lang w:val="en-GB"/>
        </w:rPr>
        <w:t>, together with maps showing the geographical distribution of country clusters.</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In women, clusters were characterized by:</w:t>
      </w:r>
    </w:p>
    <w:p w:rsidR="00DB3646" w:rsidRPr="00E53169" w:rsidRDefault="00DB3646" w:rsidP="00032B4E">
      <w:pPr>
        <w:pStyle w:val="ListParagraph"/>
        <w:numPr>
          <w:ilvl w:val="0"/>
          <w:numId w:val="3"/>
        </w:numPr>
        <w:spacing w:line="480" w:lineRule="auto"/>
        <w:rPr>
          <w:rFonts w:ascii="Times New Roman" w:hAnsi="Times New Roman" w:cs="Times New Roman"/>
          <w:lang w:val="en-GB"/>
        </w:rPr>
      </w:pPr>
      <w:r>
        <w:rPr>
          <w:rFonts w:ascii="Times New Roman" w:hAnsi="Times New Roman" w:cs="Times New Roman"/>
          <w:lang w:val="en-GB"/>
        </w:rPr>
        <w:lastRenderedPageBreak/>
        <w:t>A l</w:t>
      </w:r>
      <w:r w:rsidRPr="00E53169">
        <w:rPr>
          <w:rFonts w:ascii="Times New Roman" w:hAnsi="Times New Roman" w:cs="Times New Roman"/>
          <w:lang w:val="en-GB"/>
        </w:rPr>
        <w:t xml:space="preserve">ater trend reversal and </w:t>
      </w:r>
      <w:r>
        <w:rPr>
          <w:rFonts w:ascii="Times New Roman" w:hAnsi="Times New Roman" w:cs="Times New Roman"/>
          <w:lang w:val="en-GB"/>
        </w:rPr>
        <w:t xml:space="preserve">an </w:t>
      </w:r>
      <w:r w:rsidRPr="00E53169">
        <w:rPr>
          <w:rFonts w:ascii="Times New Roman" w:hAnsi="Times New Roman" w:cs="Times New Roman"/>
          <w:lang w:val="en-GB"/>
        </w:rPr>
        <w:t>intermediate peak incidence</w:t>
      </w:r>
      <w:r>
        <w:rPr>
          <w:rFonts w:ascii="Times New Roman" w:hAnsi="Times New Roman" w:cs="Times New Roman"/>
          <w:lang w:val="en-GB"/>
        </w:rPr>
        <w:t>:</w:t>
      </w:r>
      <w:r w:rsidRPr="00E53169">
        <w:rPr>
          <w:rFonts w:ascii="Times New Roman" w:hAnsi="Times New Roman" w:cs="Times New Roman"/>
          <w:lang w:val="en-GB"/>
        </w:rPr>
        <w:t xml:space="preserve"> Austria, Finland, and Switzerland, where fractures peaked on average in the mid-1990s </w:t>
      </w:r>
      <w:r>
        <w:rPr>
          <w:rFonts w:ascii="Times New Roman" w:hAnsi="Times New Roman" w:cs="Times New Roman"/>
          <w:lang w:val="en-GB"/>
        </w:rPr>
        <w:t>with</w:t>
      </w:r>
      <w:r w:rsidRPr="00E53169">
        <w:rPr>
          <w:rFonts w:ascii="Times New Roman" w:hAnsi="Times New Roman" w:cs="Times New Roman"/>
          <w:lang w:val="en-GB"/>
        </w:rPr>
        <w:t xml:space="preserve"> incidence rates between 600 and 700 per 100 000 women.</w:t>
      </w:r>
    </w:p>
    <w:p w:rsidR="00DB3646" w:rsidRPr="00E53169" w:rsidRDefault="00DB3646" w:rsidP="00032B4E">
      <w:pPr>
        <w:pStyle w:val="ListParagraph"/>
        <w:numPr>
          <w:ilvl w:val="0"/>
          <w:numId w:val="3"/>
        </w:numPr>
        <w:spacing w:line="480" w:lineRule="auto"/>
        <w:rPr>
          <w:rFonts w:ascii="Times New Roman" w:hAnsi="Times New Roman" w:cs="Times New Roman"/>
          <w:lang w:val="en-GB"/>
        </w:rPr>
      </w:pPr>
      <w:r>
        <w:rPr>
          <w:rFonts w:ascii="Times New Roman" w:hAnsi="Times New Roman" w:cs="Times New Roman"/>
          <w:lang w:val="en-GB"/>
        </w:rPr>
        <w:t>An e</w:t>
      </w:r>
      <w:r w:rsidRPr="00E53169">
        <w:rPr>
          <w:rFonts w:ascii="Times New Roman" w:hAnsi="Times New Roman" w:cs="Times New Roman"/>
          <w:lang w:val="en-GB"/>
        </w:rPr>
        <w:t>arlier trend reversal and</w:t>
      </w:r>
      <w:r>
        <w:rPr>
          <w:rFonts w:ascii="Times New Roman" w:hAnsi="Times New Roman" w:cs="Times New Roman"/>
          <w:lang w:val="en-GB"/>
        </w:rPr>
        <w:t xml:space="preserve"> a</w:t>
      </w:r>
      <w:r w:rsidRPr="00E53169">
        <w:rPr>
          <w:rFonts w:ascii="Times New Roman" w:hAnsi="Times New Roman" w:cs="Times New Roman"/>
          <w:lang w:val="en-GB"/>
        </w:rPr>
        <w:t xml:space="preserve"> higher peak incidence</w:t>
      </w:r>
      <w:r>
        <w:rPr>
          <w:rFonts w:ascii="Times New Roman" w:hAnsi="Times New Roman" w:cs="Times New Roman"/>
          <w:lang w:val="en-GB"/>
        </w:rPr>
        <w:t xml:space="preserve">: </w:t>
      </w:r>
      <w:r w:rsidRPr="00E53169">
        <w:rPr>
          <w:rFonts w:ascii="Times New Roman" w:hAnsi="Times New Roman" w:cs="Times New Roman"/>
          <w:lang w:val="en-GB"/>
        </w:rPr>
        <w:t xml:space="preserve">Denmark, Norway and Sweden, where fracture rates peaked on average in the late 1980s </w:t>
      </w:r>
      <w:r>
        <w:rPr>
          <w:rFonts w:ascii="Times New Roman" w:hAnsi="Times New Roman" w:cs="Times New Roman"/>
          <w:lang w:val="en-GB"/>
        </w:rPr>
        <w:t>with</w:t>
      </w:r>
      <w:r w:rsidRPr="00E53169">
        <w:rPr>
          <w:rFonts w:ascii="Times New Roman" w:hAnsi="Times New Roman" w:cs="Times New Roman"/>
          <w:lang w:val="en-GB"/>
        </w:rPr>
        <w:t xml:space="preserve"> average incidence rate</w:t>
      </w:r>
      <w:r>
        <w:rPr>
          <w:rFonts w:ascii="Times New Roman" w:hAnsi="Times New Roman" w:cs="Times New Roman"/>
          <w:lang w:val="en-GB"/>
        </w:rPr>
        <w:t>s</w:t>
      </w:r>
      <w:r w:rsidRPr="00E53169">
        <w:rPr>
          <w:rFonts w:ascii="Times New Roman" w:hAnsi="Times New Roman" w:cs="Times New Roman"/>
          <w:lang w:val="en-GB"/>
        </w:rPr>
        <w:t xml:space="preserve"> above 1000 per 100 000 women.</w:t>
      </w:r>
    </w:p>
    <w:p w:rsidR="00DB3646" w:rsidRPr="00E53169" w:rsidRDefault="00DB3646" w:rsidP="00032B4E">
      <w:pPr>
        <w:pStyle w:val="ListParagraph"/>
        <w:numPr>
          <w:ilvl w:val="0"/>
          <w:numId w:val="3"/>
        </w:numPr>
        <w:spacing w:line="480" w:lineRule="auto"/>
        <w:rPr>
          <w:rFonts w:ascii="Times New Roman" w:hAnsi="Times New Roman" w:cs="Times New Roman"/>
          <w:lang w:val="en-GB"/>
        </w:rPr>
      </w:pPr>
      <w:r>
        <w:rPr>
          <w:rFonts w:ascii="Times New Roman" w:hAnsi="Times New Roman" w:cs="Times New Roman"/>
          <w:lang w:val="en-GB"/>
        </w:rPr>
        <w:t>A l</w:t>
      </w:r>
      <w:r w:rsidRPr="00E53169">
        <w:rPr>
          <w:rFonts w:ascii="Times New Roman" w:hAnsi="Times New Roman" w:cs="Times New Roman"/>
          <w:lang w:val="en-GB"/>
        </w:rPr>
        <w:t xml:space="preserve">ater trend reversal and </w:t>
      </w:r>
      <w:r>
        <w:rPr>
          <w:rFonts w:ascii="Times New Roman" w:hAnsi="Times New Roman" w:cs="Times New Roman"/>
          <w:lang w:val="en-GB"/>
        </w:rPr>
        <w:t xml:space="preserve">a </w:t>
      </w:r>
      <w:r w:rsidRPr="00E53169">
        <w:rPr>
          <w:rFonts w:ascii="Times New Roman" w:hAnsi="Times New Roman" w:cs="Times New Roman"/>
          <w:lang w:val="en-GB"/>
        </w:rPr>
        <w:t>lower peak incidence</w:t>
      </w:r>
      <w:r>
        <w:rPr>
          <w:rFonts w:ascii="Times New Roman" w:hAnsi="Times New Roman" w:cs="Times New Roman"/>
          <w:lang w:val="en-GB"/>
        </w:rPr>
        <w:t xml:space="preserve">: </w:t>
      </w:r>
      <w:r w:rsidRPr="00E53169">
        <w:rPr>
          <w:rFonts w:ascii="Times New Roman" w:hAnsi="Times New Roman" w:cs="Times New Roman"/>
          <w:lang w:val="en-GB"/>
        </w:rPr>
        <w:t xml:space="preserve">Estonia, France, Germany, Italy, </w:t>
      </w:r>
      <w:r>
        <w:rPr>
          <w:rFonts w:ascii="Times New Roman" w:hAnsi="Times New Roman" w:cs="Times New Roman"/>
          <w:lang w:val="en-GB"/>
        </w:rPr>
        <w:t xml:space="preserve">the </w:t>
      </w:r>
      <w:r w:rsidRPr="00E53169">
        <w:rPr>
          <w:rFonts w:ascii="Times New Roman" w:hAnsi="Times New Roman" w:cs="Times New Roman"/>
          <w:lang w:val="en-GB"/>
        </w:rPr>
        <w:t xml:space="preserve">Netherlands, Portugal, Spain, and </w:t>
      </w:r>
      <w:r>
        <w:rPr>
          <w:rFonts w:ascii="Times New Roman" w:hAnsi="Times New Roman" w:cs="Times New Roman"/>
          <w:lang w:val="en-GB"/>
        </w:rPr>
        <w:t xml:space="preserve">the </w:t>
      </w:r>
      <w:r w:rsidRPr="00E53169">
        <w:rPr>
          <w:rFonts w:ascii="Times New Roman" w:hAnsi="Times New Roman" w:cs="Times New Roman"/>
          <w:lang w:val="en-GB"/>
        </w:rPr>
        <w:t>UK (England)</w:t>
      </w:r>
      <w:r>
        <w:rPr>
          <w:rFonts w:ascii="Times New Roman" w:hAnsi="Times New Roman" w:cs="Times New Roman"/>
          <w:lang w:val="en-GB"/>
        </w:rPr>
        <w:t>, where</w:t>
      </w:r>
      <w:r w:rsidRPr="00E53169">
        <w:rPr>
          <w:rFonts w:ascii="Times New Roman" w:hAnsi="Times New Roman" w:cs="Times New Roman"/>
          <w:lang w:val="en-GB"/>
        </w:rPr>
        <w:t xml:space="preserve"> rates peaked on average in the mid-1990s </w:t>
      </w:r>
      <w:r>
        <w:rPr>
          <w:rFonts w:ascii="Times New Roman" w:hAnsi="Times New Roman" w:cs="Times New Roman"/>
          <w:lang w:val="en-GB"/>
        </w:rPr>
        <w:t>with</w:t>
      </w:r>
      <w:r w:rsidRPr="00E53169">
        <w:rPr>
          <w:rFonts w:ascii="Times New Roman" w:hAnsi="Times New Roman" w:cs="Times New Roman"/>
          <w:lang w:val="en-GB"/>
        </w:rPr>
        <w:t xml:space="preserve"> </w:t>
      </w:r>
      <w:r>
        <w:rPr>
          <w:rFonts w:ascii="Times New Roman" w:hAnsi="Times New Roman" w:cs="Times New Roman"/>
          <w:lang w:val="en-GB"/>
        </w:rPr>
        <w:t>levels</w:t>
      </w:r>
      <w:r w:rsidRPr="00E53169">
        <w:rPr>
          <w:rFonts w:ascii="Times New Roman" w:hAnsi="Times New Roman" w:cs="Times New Roman"/>
          <w:lang w:val="en-GB"/>
        </w:rPr>
        <w:t xml:space="preserve"> below 600 per 100 000 women.</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Among men, clusters were:</w:t>
      </w:r>
    </w:p>
    <w:p w:rsidR="00DB3646" w:rsidRPr="00E53169" w:rsidRDefault="00DB3646" w:rsidP="00032B4E">
      <w:pPr>
        <w:pStyle w:val="ListParagraph"/>
        <w:numPr>
          <w:ilvl w:val="0"/>
          <w:numId w:val="6"/>
        </w:numPr>
        <w:spacing w:line="480" w:lineRule="auto"/>
        <w:rPr>
          <w:rFonts w:ascii="Times New Roman" w:hAnsi="Times New Roman" w:cs="Times New Roman"/>
          <w:lang w:val="en-GB"/>
        </w:rPr>
      </w:pPr>
      <w:r>
        <w:rPr>
          <w:rFonts w:ascii="Times New Roman" w:hAnsi="Times New Roman" w:cs="Times New Roman"/>
          <w:lang w:val="en-GB"/>
        </w:rPr>
        <w:t>A l</w:t>
      </w:r>
      <w:r w:rsidRPr="00E53169">
        <w:rPr>
          <w:rFonts w:ascii="Times New Roman" w:hAnsi="Times New Roman" w:cs="Times New Roman"/>
          <w:lang w:val="en-GB"/>
        </w:rPr>
        <w:t xml:space="preserve">ater trend reversal and </w:t>
      </w:r>
      <w:r>
        <w:rPr>
          <w:rFonts w:ascii="Times New Roman" w:hAnsi="Times New Roman" w:cs="Times New Roman"/>
          <w:lang w:val="en-GB"/>
        </w:rPr>
        <w:t xml:space="preserve">a </w:t>
      </w:r>
      <w:r w:rsidRPr="00E53169">
        <w:rPr>
          <w:rFonts w:ascii="Times New Roman" w:hAnsi="Times New Roman" w:cs="Times New Roman"/>
          <w:lang w:val="en-GB"/>
        </w:rPr>
        <w:t>lower peak incidence</w:t>
      </w:r>
      <w:r>
        <w:rPr>
          <w:rFonts w:ascii="Times New Roman" w:hAnsi="Times New Roman" w:cs="Times New Roman"/>
          <w:lang w:val="en-GB"/>
        </w:rPr>
        <w:t xml:space="preserve">: </w:t>
      </w:r>
      <w:r w:rsidRPr="00E53169">
        <w:rPr>
          <w:rFonts w:ascii="Times New Roman" w:hAnsi="Times New Roman" w:cs="Times New Roman"/>
          <w:lang w:val="en-GB"/>
        </w:rPr>
        <w:t xml:space="preserve">Austria, Finland, France, Germany, Italy, </w:t>
      </w:r>
      <w:r>
        <w:rPr>
          <w:rFonts w:ascii="Times New Roman" w:hAnsi="Times New Roman" w:cs="Times New Roman"/>
          <w:lang w:val="en-GB"/>
        </w:rPr>
        <w:t xml:space="preserve">the </w:t>
      </w:r>
      <w:r w:rsidRPr="00E53169">
        <w:rPr>
          <w:rFonts w:ascii="Times New Roman" w:hAnsi="Times New Roman" w:cs="Times New Roman"/>
          <w:lang w:val="en-GB"/>
        </w:rPr>
        <w:t>Netherlands, Po</w:t>
      </w:r>
      <w:r>
        <w:rPr>
          <w:rFonts w:ascii="Times New Roman" w:hAnsi="Times New Roman" w:cs="Times New Roman"/>
          <w:lang w:val="en-GB"/>
        </w:rPr>
        <w:t>rtugal, Spain, and the UK (England), where</w:t>
      </w:r>
      <w:r w:rsidRPr="00E53169">
        <w:rPr>
          <w:rFonts w:ascii="Times New Roman" w:hAnsi="Times New Roman" w:cs="Times New Roman"/>
          <w:lang w:val="en-GB"/>
        </w:rPr>
        <w:t xml:space="preserve"> fracture</w:t>
      </w:r>
      <w:r>
        <w:rPr>
          <w:rFonts w:ascii="Times New Roman" w:hAnsi="Times New Roman" w:cs="Times New Roman"/>
          <w:lang w:val="en-GB"/>
        </w:rPr>
        <w:t>s</w:t>
      </w:r>
      <w:r w:rsidRPr="00E53169">
        <w:rPr>
          <w:rFonts w:ascii="Times New Roman" w:hAnsi="Times New Roman" w:cs="Times New Roman"/>
          <w:lang w:val="en-GB"/>
        </w:rPr>
        <w:t xml:space="preserve"> peaked on average in the early 2000s </w:t>
      </w:r>
      <w:r>
        <w:rPr>
          <w:rFonts w:ascii="Times New Roman" w:hAnsi="Times New Roman" w:cs="Times New Roman"/>
          <w:lang w:val="en-GB"/>
        </w:rPr>
        <w:t>with an</w:t>
      </w:r>
      <w:r w:rsidRPr="00E53169">
        <w:rPr>
          <w:rFonts w:ascii="Times New Roman" w:hAnsi="Times New Roman" w:cs="Times New Roman"/>
          <w:lang w:val="en-GB"/>
        </w:rPr>
        <w:t xml:space="preserve"> average incidence below 300 per 100 000 men.</w:t>
      </w:r>
    </w:p>
    <w:p w:rsidR="00DB3646" w:rsidRPr="00E53169" w:rsidRDefault="00DB3646" w:rsidP="00032B4E">
      <w:pPr>
        <w:pStyle w:val="ListParagraph"/>
        <w:numPr>
          <w:ilvl w:val="0"/>
          <w:numId w:val="6"/>
        </w:numPr>
        <w:spacing w:line="480" w:lineRule="auto"/>
        <w:rPr>
          <w:rFonts w:ascii="Times New Roman" w:hAnsi="Times New Roman" w:cs="Times New Roman"/>
          <w:lang w:val="en-GB"/>
        </w:rPr>
      </w:pPr>
      <w:r>
        <w:rPr>
          <w:rFonts w:ascii="Times New Roman" w:hAnsi="Times New Roman" w:cs="Times New Roman"/>
          <w:lang w:val="en-GB"/>
        </w:rPr>
        <w:t>An e</w:t>
      </w:r>
      <w:r w:rsidRPr="00E53169">
        <w:rPr>
          <w:rFonts w:ascii="Times New Roman" w:hAnsi="Times New Roman" w:cs="Times New Roman"/>
          <w:lang w:val="en-GB"/>
        </w:rPr>
        <w:t xml:space="preserve">arlier trend reversal and </w:t>
      </w:r>
      <w:r>
        <w:rPr>
          <w:rFonts w:ascii="Times New Roman" w:hAnsi="Times New Roman" w:cs="Times New Roman"/>
          <w:lang w:val="en-GB"/>
        </w:rPr>
        <w:t xml:space="preserve">a </w:t>
      </w:r>
      <w:r w:rsidRPr="00E53169">
        <w:rPr>
          <w:rFonts w:ascii="Times New Roman" w:hAnsi="Times New Roman" w:cs="Times New Roman"/>
          <w:lang w:val="en-GB"/>
        </w:rPr>
        <w:t>higher peak incidence</w:t>
      </w:r>
      <w:r>
        <w:rPr>
          <w:rFonts w:ascii="Times New Roman" w:hAnsi="Times New Roman" w:cs="Times New Roman"/>
          <w:lang w:val="en-GB"/>
        </w:rPr>
        <w:t>:</w:t>
      </w:r>
      <w:r w:rsidRPr="00E53169">
        <w:rPr>
          <w:rFonts w:ascii="Times New Roman" w:hAnsi="Times New Roman" w:cs="Times New Roman"/>
          <w:lang w:val="en-GB"/>
        </w:rPr>
        <w:t xml:space="preserve"> Denmark, Estonia, Norway, Sweden, and Switzerland, where fracture rates peaked on average in the mid-1990s </w:t>
      </w:r>
      <w:r>
        <w:rPr>
          <w:rFonts w:ascii="Times New Roman" w:hAnsi="Times New Roman" w:cs="Times New Roman"/>
          <w:lang w:val="en-GB"/>
        </w:rPr>
        <w:t>with an</w:t>
      </w:r>
      <w:r w:rsidRPr="00E53169">
        <w:rPr>
          <w:rFonts w:ascii="Times New Roman" w:hAnsi="Times New Roman" w:cs="Times New Roman"/>
          <w:lang w:val="en-GB"/>
        </w:rPr>
        <w:t xml:space="preserve"> average incidence above 500 per 100 000 men.</w:t>
      </w:r>
    </w:p>
    <w:p w:rsidR="00DB3646" w:rsidRDefault="00DB3646" w:rsidP="00032B4E">
      <w:pPr>
        <w:spacing w:line="480" w:lineRule="auto"/>
        <w:rPr>
          <w:rFonts w:ascii="Times New Roman" w:hAnsi="Times New Roman" w:cs="Times New Roman"/>
          <w:b/>
          <w:lang w:val="en-GB"/>
        </w:rPr>
      </w:pPr>
      <w:r w:rsidRPr="00E53169">
        <w:rPr>
          <w:rFonts w:ascii="Times New Roman" w:hAnsi="Times New Roman" w:cs="Times New Roman"/>
          <w:b/>
          <w:lang w:val="en-GB"/>
        </w:rPr>
        <w:br w:type="page"/>
      </w:r>
    </w:p>
    <w:p w:rsidR="00DB3646" w:rsidRPr="00E53169" w:rsidRDefault="00DB3646" w:rsidP="00032B4E">
      <w:pPr>
        <w:spacing w:line="480" w:lineRule="auto"/>
        <w:rPr>
          <w:rFonts w:ascii="Times New Roman" w:hAnsi="Times New Roman" w:cs="Times New Roman"/>
          <w:b/>
          <w:lang w:val="en-GB"/>
        </w:rPr>
      </w:pPr>
      <w:r w:rsidRPr="00E53169">
        <w:rPr>
          <w:rFonts w:ascii="Times New Roman" w:hAnsi="Times New Roman" w:cs="Times New Roman"/>
          <w:b/>
          <w:lang w:val="en-GB"/>
        </w:rPr>
        <w:lastRenderedPageBreak/>
        <w:t>DISCUSSION</w:t>
      </w:r>
    </w:p>
    <w:p w:rsidR="00DB3646" w:rsidRPr="00E53169" w:rsidRDefault="00DB3646" w:rsidP="00032B4E">
      <w:pPr>
        <w:spacing w:line="480" w:lineRule="auto"/>
        <w:rPr>
          <w:rFonts w:ascii="Times New Roman" w:hAnsi="Times New Roman" w:cs="Times New Roman"/>
          <w:lang w:val="en-GB"/>
        </w:rPr>
      </w:pPr>
      <w:r>
        <w:rPr>
          <w:rFonts w:ascii="Times New Roman" w:hAnsi="Times New Roman" w:cs="Times New Roman"/>
          <w:lang w:val="en-GB"/>
        </w:rPr>
        <w:t>W</w:t>
      </w:r>
      <w:r w:rsidRPr="00E53169">
        <w:rPr>
          <w:rFonts w:ascii="Times New Roman" w:hAnsi="Times New Roman" w:cs="Times New Roman"/>
          <w:lang w:val="en-GB"/>
        </w:rPr>
        <w:t>e found that recent time trends of hip fracture incidence in 14 European countries can be described within the same overall pattern of secular trend reversal</w:t>
      </w:r>
      <w:r>
        <w:rPr>
          <w:rFonts w:ascii="Times New Roman" w:hAnsi="Times New Roman" w:cs="Times New Roman"/>
          <w:lang w:val="en-GB"/>
        </w:rPr>
        <w:t>:</w:t>
      </w:r>
      <w:r w:rsidRPr="00E53169">
        <w:rPr>
          <w:rFonts w:ascii="Times New Roman" w:hAnsi="Times New Roman" w:cs="Times New Roman"/>
          <w:lang w:val="en-GB"/>
        </w:rPr>
        <w:t xml:space="preserve"> rates have evolved approximately as a quadratic function of time with significant intercountry variability in </w:t>
      </w:r>
      <w:r>
        <w:rPr>
          <w:rFonts w:ascii="Times New Roman" w:hAnsi="Times New Roman" w:cs="Times New Roman"/>
          <w:lang w:val="en-GB"/>
        </w:rPr>
        <w:t xml:space="preserve">the </w:t>
      </w:r>
      <w:r w:rsidRPr="00E53169">
        <w:rPr>
          <w:rFonts w:ascii="Times New Roman" w:hAnsi="Times New Roman" w:cs="Times New Roman"/>
          <w:lang w:val="en-GB"/>
        </w:rPr>
        <w:t>timing of reversal and peak fracture rates.</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Previous evidence syntheses </w:t>
      </w:r>
      <w:r>
        <w:rPr>
          <w:rFonts w:ascii="Times New Roman" w:hAnsi="Times New Roman" w:cs="Times New Roman"/>
          <w:lang w:val="en-GB"/>
        </w:rPr>
        <w:t>involving</w:t>
      </w:r>
      <w:r w:rsidRPr="00E53169">
        <w:rPr>
          <w:rFonts w:ascii="Times New Roman" w:hAnsi="Times New Roman" w:cs="Times New Roman"/>
          <w:lang w:val="en-GB"/>
        </w:rPr>
        <w:t xml:space="preserve"> different countries examined </w:t>
      </w:r>
      <w:r>
        <w:rPr>
          <w:rFonts w:ascii="Times New Roman" w:hAnsi="Times New Roman" w:cs="Times New Roman"/>
          <w:lang w:val="en-GB"/>
        </w:rPr>
        <w:t>specific</w:t>
      </w:r>
      <w:r w:rsidRPr="00E53169">
        <w:rPr>
          <w:rFonts w:ascii="Times New Roman" w:hAnsi="Times New Roman" w:cs="Times New Roman"/>
          <w:lang w:val="en-GB"/>
        </w:rPr>
        <w:t xml:space="preserve"> aspects of the hip fr</w:t>
      </w:r>
      <w:r>
        <w:rPr>
          <w:rFonts w:ascii="Times New Roman" w:hAnsi="Times New Roman" w:cs="Times New Roman"/>
          <w:lang w:val="en-GB"/>
        </w:rPr>
        <w:t>acture epidemic within each country</w:t>
      </w:r>
      <w:r w:rsidRPr="00E53169">
        <w:rPr>
          <w:rFonts w:ascii="Times New Roman" w:hAnsi="Times New Roman" w:cs="Times New Roman"/>
          <w:lang w:val="en-GB"/>
        </w:rPr>
        <w:t xml:space="preserve"> using aggregate measures such as annual percent change</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21,22</w:t>
      </w:r>
      <w:r w:rsidRPr="00E53169">
        <w:rPr>
          <w:rFonts w:ascii="Times New Roman" w:hAnsi="Times New Roman" w:cs="Times New Roman"/>
          <w:lang w:val="en-GB"/>
        </w:rPr>
        <w:t xml:space="preserve"> These approaches are quite useful to examine break points, but are mostly interpretable at the country level and do not allow for </w:t>
      </w:r>
      <w:r>
        <w:rPr>
          <w:rFonts w:ascii="Times New Roman" w:hAnsi="Times New Roman" w:cs="Times New Roman"/>
          <w:lang w:val="en-GB"/>
        </w:rPr>
        <w:t xml:space="preserve">quantitatively </w:t>
      </w:r>
      <w:r w:rsidRPr="00E53169">
        <w:rPr>
          <w:rFonts w:ascii="Times New Roman" w:hAnsi="Times New Roman" w:cs="Times New Roman"/>
          <w:lang w:val="en-GB"/>
        </w:rPr>
        <w:t xml:space="preserve">assessing whether </w:t>
      </w:r>
      <w:r>
        <w:rPr>
          <w:rFonts w:ascii="Times New Roman" w:hAnsi="Times New Roman" w:cs="Times New Roman"/>
          <w:lang w:val="en-GB"/>
        </w:rPr>
        <w:t>the trend</w:t>
      </w:r>
      <w:r w:rsidRPr="00E53169">
        <w:rPr>
          <w:rFonts w:ascii="Times New Roman" w:hAnsi="Times New Roman" w:cs="Times New Roman"/>
          <w:lang w:val="en-GB"/>
        </w:rPr>
        <w:t xml:space="preserve"> is generalizable to different settings. In the present work, we extracted sex- and age-specific rates for each country, and test</w:t>
      </w:r>
      <w:r>
        <w:rPr>
          <w:rFonts w:ascii="Times New Roman" w:hAnsi="Times New Roman" w:cs="Times New Roman"/>
          <w:lang w:val="en-GB"/>
        </w:rPr>
        <w:t>ed</w:t>
      </w:r>
      <w:r w:rsidRPr="00E53169">
        <w:rPr>
          <w:rFonts w:ascii="Times New Roman" w:hAnsi="Times New Roman" w:cs="Times New Roman"/>
          <w:lang w:val="en-GB"/>
        </w:rPr>
        <w:t xml:space="preserve"> an overall </w:t>
      </w:r>
      <w:r>
        <w:rPr>
          <w:rFonts w:ascii="Times New Roman" w:hAnsi="Times New Roman" w:cs="Times New Roman"/>
          <w:lang w:val="en-GB"/>
        </w:rPr>
        <w:t xml:space="preserve">quantitative </w:t>
      </w:r>
      <w:r w:rsidRPr="00E53169">
        <w:rPr>
          <w:rFonts w:ascii="Times New Roman" w:hAnsi="Times New Roman" w:cs="Times New Roman"/>
          <w:lang w:val="en-GB"/>
        </w:rPr>
        <w:t>behaviour, while allowing for country-level variability. To the best of our knowledge</w:t>
      </w:r>
      <w:r>
        <w:rPr>
          <w:rFonts w:ascii="Times New Roman" w:hAnsi="Times New Roman" w:cs="Times New Roman"/>
          <w:lang w:val="en-GB"/>
        </w:rPr>
        <w:t>,</w:t>
      </w:r>
      <w:r w:rsidRPr="00E53169">
        <w:rPr>
          <w:rFonts w:ascii="Times New Roman" w:hAnsi="Times New Roman" w:cs="Times New Roman"/>
          <w:lang w:val="en-GB"/>
        </w:rPr>
        <w:t xml:space="preserve"> this is the first study to bring together two key features of</w:t>
      </w:r>
      <w:r>
        <w:rPr>
          <w:rFonts w:ascii="Times New Roman" w:hAnsi="Times New Roman" w:cs="Times New Roman"/>
          <w:lang w:val="en-GB"/>
        </w:rPr>
        <w:t xml:space="preserve"> hip</w:t>
      </w:r>
      <w:r w:rsidRPr="00E53169">
        <w:rPr>
          <w:rFonts w:ascii="Times New Roman" w:hAnsi="Times New Roman" w:cs="Times New Roman"/>
          <w:lang w:val="en-GB"/>
        </w:rPr>
        <w:t xml:space="preserve"> fracture epidemi</w:t>
      </w:r>
      <w:r>
        <w:rPr>
          <w:rFonts w:ascii="Times New Roman" w:hAnsi="Times New Roman" w:cs="Times New Roman"/>
          <w:lang w:val="en-GB"/>
        </w:rPr>
        <w:t>ology</w:t>
      </w:r>
      <w:r w:rsidRPr="00E53169">
        <w:rPr>
          <w:rFonts w:ascii="Times New Roman" w:hAnsi="Times New Roman" w:cs="Times New Roman"/>
          <w:lang w:val="en-GB"/>
        </w:rPr>
        <w:t xml:space="preserve">: background fracture rates and timing of trend reversal. Another important </w:t>
      </w:r>
      <w:r>
        <w:rPr>
          <w:rFonts w:ascii="Times New Roman" w:hAnsi="Times New Roman" w:cs="Times New Roman"/>
          <w:lang w:val="en-GB"/>
        </w:rPr>
        <w:t>contribution</w:t>
      </w:r>
      <w:r w:rsidRPr="00E53169">
        <w:rPr>
          <w:rFonts w:ascii="Times New Roman" w:hAnsi="Times New Roman" w:cs="Times New Roman"/>
          <w:lang w:val="en-GB"/>
        </w:rPr>
        <w:t xml:space="preserve"> was </w:t>
      </w:r>
      <w:r>
        <w:rPr>
          <w:rFonts w:ascii="Times New Roman" w:hAnsi="Times New Roman" w:cs="Times New Roman"/>
          <w:lang w:val="en-GB"/>
        </w:rPr>
        <w:t>the identification of</w:t>
      </w:r>
      <w:r w:rsidRPr="00E53169">
        <w:rPr>
          <w:rFonts w:ascii="Times New Roman" w:hAnsi="Times New Roman" w:cs="Times New Roman"/>
          <w:lang w:val="en-GB"/>
        </w:rPr>
        <w:t xml:space="preserve"> clusters from model-based statistical similarities rather than by imposing geographical proximity.</w:t>
      </w:r>
    </w:p>
    <w:p w:rsidR="00DB3646"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 xml:space="preserve">Our main </w:t>
      </w:r>
      <w:r>
        <w:rPr>
          <w:rFonts w:ascii="Times New Roman" w:hAnsi="Times New Roman" w:cs="Times New Roman"/>
          <w:lang w:val="en-GB"/>
        </w:rPr>
        <w:t xml:space="preserve">modelling </w:t>
      </w:r>
      <w:r w:rsidRPr="00E53169">
        <w:rPr>
          <w:rFonts w:ascii="Times New Roman" w:hAnsi="Times New Roman" w:cs="Times New Roman"/>
          <w:lang w:val="en-GB"/>
        </w:rPr>
        <w:t>assumption was that trends could be described as a quadratic function of time in all countries</w:t>
      </w:r>
      <w:r>
        <w:rPr>
          <w:rFonts w:ascii="Times New Roman" w:hAnsi="Times New Roman" w:cs="Times New Roman"/>
          <w:lang w:val="en-GB"/>
        </w:rPr>
        <w:t>. This option allowed to estimate a reversal timing for each country</w:t>
      </w:r>
      <w:r w:rsidRPr="00A205E9">
        <w:rPr>
          <w:rFonts w:ascii="Times New Roman" w:hAnsi="Times New Roman" w:cs="Times New Roman"/>
          <w:lang w:val="en-GB"/>
        </w:rPr>
        <w:t xml:space="preserve"> </w:t>
      </w:r>
      <w:r>
        <w:rPr>
          <w:rFonts w:ascii="Times New Roman" w:hAnsi="Times New Roman" w:cs="Times New Roman"/>
          <w:lang w:val="en-GB"/>
        </w:rPr>
        <w:t>even when</w:t>
      </w:r>
      <w:r w:rsidRPr="00E53169">
        <w:rPr>
          <w:rFonts w:ascii="Times New Roman" w:hAnsi="Times New Roman" w:cs="Times New Roman"/>
          <w:lang w:val="en-GB"/>
        </w:rPr>
        <w:t xml:space="preserve"> </w:t>
      </w:r>
      <w:r>
        <w:rPr>
          <w:rFonts w:ascii="Times New Roman" w:hAnsi="Times New Roman" w:cs="Times New Roman"/>
          <w:lang w:val="en-GB"/>
        </w:rPr>
        <w:t xml:space="preserve">country-specific empirical data did not </w:t>
      </w:r>
      <w:r w:rsidRPr="00E53169">
        <w:rPr>
          <w:rFonts w:ascii="Times New Roman" w:hAnsi="Times New Roman" w:cs="Times New Roman"/>
          <w:lang w:val="en-GB"/>
        </w:rPr>
        <w:t>capture an equivalent time fra</w:t>
      </w:r>
      <w:r>
        <w:rPr>
          <w:rFonts w:ascii="Times New Roman" w:hAnsi="Times New Roman" w:cs="Times New Roman"/>
          <w:lang w:val="en-GB"/>
        </w:rPr>
        <w:t>me,</w:t>
      </w:r>
      <w:r w:rsidRPr="00E53169">
        <w:rPr>
          <w:rFonts w:ascii="Times New Roman" w:hAnsi="Times New Roman" w:cs="Times New Roman"/>
          <w:lang w:val="en-GB"/>
        </w:rPr>
        <w:t xml:space="preserve"> in terms of epidemiological meaning, in all </w:t>
      </w:r>
      <w:r>
        <w:rPr>
          <w:rFonts w:ascii="Times New Roman" w:hAnsi="Times New Roman" w:cs="Times New Roman"/>
          <w:lang w:val="en-GB"/>
        </w:rPr>
        <w:t>settings</w:t>
      </w:r>
      <w:r w:rsidRPr="00E53169">
        <w:rPr>
          <w:rFonts w:ascii="Times New Roman" w:hAnsi="Times New Roman" w:cs="Times New Roman"/>
          <w:lang w:val="en-GB"/>
        </w:rPr>
        <w:t>.</w:t>
      </w:r>
      <w:r>
        <w:rPr>
          <w:rFonts w:ascii="Times New Roman" w:hAnsi="Times New Roman" w:cs="Times New Roman"/>
          <w:lang w:val="en-GB"/>
        </w:rPr>
        <w:t xml:space="preserve"> However, </w:t>
      </w:r>
      <w:r w:rsidRPr="00E53169">
        <w:rPr>
          <w:rFonts w:ascii="Times New Roman" w:hAnsi="Times New Roman" w:cs="Times New Roman"/>
          <w:lang w:val="en-GB"/>
        </w:rPr>
        <w:t xml:space="preserve">oscillations that would produce the same or different adjustment to the model </w:t>
      </w:r>
      <w:r>
        <w:rPr>
          <w:rFonts w:ascii="Times New Roman" w:hAnsi="Times New Roman" w:cs="Times New Roman"/>
          <w:lang w:val="en-GB"/>
        </w:rPr>
        <w:t xml:space="preserve">may </w:t>
      </w:r>
      <w:r w:rsidRPr="00E53169">
        <w:rPr>
          <w:rFonts w:ascii="Times New Roman" w:hAnsi="Times New Roman" w:cs="Times New Roman"/>
          <w:lang w:val="en-GB"/>
        </w:rPr>
        <w:t>have occurred outside of the time span considered or between two time points</w:t>
      </w:r>
      <w:r>
        <w:rPr>
          <w:rFonts w:ascii="Times New Roman" w:hAnsi="Times New Roman" w:cs="Times New Roman"/>
          <w:lang w:val="en-GB"/>
        </w:rPr>
        <w:t xml:space="preserve"> modelled</w:t>
      </w:r>
      <w:r w:rsidRPr="00E53169">
        <w:rPr>
          <w:rFonts w:ascii="Times New Roman" w:hAnsi="Times New Roman" w:cs="Times New Roman"/>
          <w:lang w:val="en-GB"/>
        </w:rPr>
        <w:t>.</w:t>
      </w:r>
      <w:r>
        <w:rPr>
          <w:rFonts w:ascii="Times New Roman" w:hAnsi="Times New Roman" w:cs="Times New Roman"/>
          <w:lang w:val="en-GB"/>
        </w:rPr>
        <w:t xml:space="preserve"> As such, reversal timing predicted at the country-level – which, as described in Table 3, was extrapolated beyond the time span covered by observed data</w:t>
      </w:r>
      <w:r w:rsidRPr="002E55BF">
        <w:rPr>
          <w:rFonts w:ascii="Times New Roman" w:hAnsi="Times New Roman" w:cs="Times New Roman"/>
          <w:lang w:val="en-GB"/>
        </w:rPr>
        <w:t xml:space="preserve"> </w:t>
      </w:r>
      <w:r>
        <w:rPr>
          <w:rFonts w:ascii="Times New Roman" w:hAnsi="Times New Roman" w:cs="Times New Roman"/>
          <w:lang w:val="en-GB"/>
        </w:rPr>
        <w:t xml:space="preserve">for a number of countries – should be interpreted with caution and bearing in mind the </w:t>
      </w:r>
      <w:r w:rsidRPr="00D617A8">
        <w:rPr>
          <w:rFonts w:ascii="Times New Roman" w:hAnsi="Times New Roman" w:cs="Times New Roman"/>
          <w:i/>
          <w:lang w:val="en-GB"/>
        </w:rPr>
        <w:t>a priori</w:t>
      </w:r>
      <w:r>
        <w:rPr>
          <w:rFonts w:ascii="Times New Roman" w:hAnsi="Times New Roman" w:cs="Times New Roman"/>
          <w:lang w:val="en-GB"/>
        </w:rPr>
        <w:t xml:space="preserve"> assumption of a single shape for all countries. Nevertheless, the option for a quadratic function </w:t>
      </w:r>
      <w:r w:rsidRPr="00E53169">
        <w:rPr>
          <w:rFonts w:ascii="Times New Roman" w:hAnsi="Times New Roman" w:cs="Times New Roman"/>
          <w:lang w:val="en-GB"/>
        </w:rPr>
        <w:t xml:space="preserve">seems plausible both mechanistically and empirically. As a multifactorial outcome </w:t>
      </w:r>
      <w:r>
        <w:rPr>
          <w:rFonts w:ascii="Times New Roman" w:hAnsi="Times New Roman" w:cs="Times New Roman"/>
          <w:lang w:val="en-GB"/>
        </w:rPr>
        <w:t>resulting</w:t>
      </w:r>
      <w:r w:rsidRPr="00E53169">
        <w:rPr>
          <w:rFonts w:ascii="Times New Roman" w:hAnsi="Times New Roman" w:cs="Times New Roman"/>
          <w:lang w:val="en-GB"/>
        </w:rPr>
        <w:t xml:space="preserve"> from </w:t>
      </w:r>
      <w:r w:rsidRPr="00E53169">
        <w:rPr>
          <w:rFonts w:ascii="Times New Roman" w:hAnsi="Times New Roman" w:cs="Times New Roman"/>
          <w:lang w:val="en-GB"/>
        </w:rPr>
        <w:lastRenderedPageBreak/>
        <w:t>multiple influences throughout life</w:t>
      </w:r>
      <w:r>
        <w:rPr>
          <w:rFonts w:ascii="Times New Roman" w:hAnsi="Times New Roman" w:cs="Times New Roman"/>
          <w:lang w:val="en-GB"/>
        </w:rPr>
        <w:t>,</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42</w:t>
      </w:r>
      <w:r w:rsidRPr="00E53169">
        <w:rPr>
          <w:rFonts w:ascii="Times New Roman" w:hAnsi="Times New Roman" w:cs="Times New Roman"/>
          <w:lang w:val="en-GB"/>
        </w:rPr>
        <w:t xml:space="preserve"> we expect the risk of fragility fracture to show smooth rather than abrupt changes over time. Empirically, our </w:t>
      </w:r>
      <w:r>
        <w:rPr>
          <w:rFonts w:ascii="Times New Roman" w:hAnsi="Times New Roman" w:cs="Times New Roman"/>
          <w:lang w:val="en-GB"/>
        </w:rPr>
        <w:t>assumption</w:t>
      </w:r>
      <w:r w:rsidRPr="00E53169">
        <w:rPr>
          <w:rFonts w:ascii="Times New Roman" w:hAnsi="Times New Roman" w:cs="Times New Roman"/>
          <w:lang w:val="en-GB"/>
        </w:rPr>
        <w:t xml:space="preserve"> is supported </w:t>
      </w:r>
      <w:r>
        <w:rPr>
          <w:rFonts w:ascii="Times New Roman" w:hAnsi="Times New Roman" w:cs="Times New Roman"/>
          <w:lang w:val="en-GB"/>
        </w:rPr>
        <w:t xml:space="preserve">both by the </w:t>
      </w:r>
      <w:r w:rsidRPr="00E53169">
        <w:rPr>
          <w:rFonts w:ascii="Times New Roman" w:hAnsi="Times New Roman" w:cs="Times New Roman"/>
          <w:lang w:val="en-GB"/>
        </w:rPr>
        <w:t xml:space="preserve">fit </w:t>
      </w:r>
      <w:r>
        <w:rPr>
          <w:rFonts w:ascii="Times New Roman" w:hAnsi="Times New Roman" w:cs="Times New Roman"/>
          <w:lang w:val="en-GB"/>
        </w:rPr>
        <w:t xml:space="preserve">indices </w:t>
      </w:r>
      <w:r w:rsidRPr="00E53169">
        <w:rPr>
          <w:rFonts w:ascii="Times New Roman" w:hAnsi="Times New Roman" w:cs="Times New Roman"/>
          <w:lang w:val="en-GB"/>
        </w:rPr>
        <w:t>of our mixed-effects model</w:t>
      </w:r>
      <w:r>
        <w:rPr>
          <w:rFonts w:ascii="Times New Roman" w:hAnsi="Times New Roman" w:cs="Times New Roman"/>
          <w:lang w:val="en-GB"/>
        </w:rPr>
        <w:t xml:space="preserve"> and</w:t>
      </w:r>
      <w:r w:rsidRPr="00E53169">
        <w:rPr>
          <w:rFonts w:ascii="Times New Roman" w:hAnsi="Times New Roman" w:cs="Times New Roman"/>
          <w:lang w:val="en-GB"/>
        </w:rPr>
        <w:t xml:space="preserve"> by the fact that </w:t>
      </w:r>
      <w:r>
        <w:rPr>
          <w:rFonts w:ascii="Times New Roman" w:hAnsi="Times New Roman" w:cs="Times New Roman"/>
          <w:lang w:val="en-GB"/>
        </w:rPr>
        <w:t xml:space="preserve">most </w:t>
      </w:r>
      <w:r w:rsidRPr="00E53169">
        <w:rPr>
          <w:rFonts w:ascii="Times New Roman" w:hAnsi="Times New Roman" w:cs="Times New Roman"/>
          <w:lang w:val="en-GB"/>
        </w:rPr>
        <w:t xml:space="preserve">papers included in our analysis either focus on describing trend reversals or show data where a </w:t>
      </w:r>
      <w:r>
        <w:rPr>
          <w:rFonts w:ascii="Times New Roman" w:hAnsi="Times New Roman" w:cs="Times New Roman"/>
          <w:lang w:val="en-GB"/>
        </w:rPr>
        <w:t xml:space="preserve">previous or concurrent </w:t>
      </w:r>
      <w:r w:rsidRPr="00E53169">
        <w:rPr>
          <w:rFonts w:ascii="Times New Roman" w:hAnsi="Times New Roman" w:cs="Times New Roman"/>
          <w:lang w:val="en-GB"/>
        </w:rPr>
        <w:t xml:space="preserve">reversal is plausible even if not specifically tested. A further validation is the external replication of reversals in </w:t>
      </w:r>
      <w:r>
        <w:rPr>
          <w:rFonts w:ascii="Times New Roman" w:hAnsi="Times New Roman" w:cs="Times New Roman"/>
          <w:lang w:val="en-GB"/>
        </w:rPr>
        <w:t>studies</w:t>
      </w:r>
      <w:r w:rsidRPr="00E53169">
        <w:rPr>
          <w:rFonts w:ascii="Times New Roman" w:hAnsi="Times New Roman" w:cs="Times New Roman"/>
          <w:lang w:val="en-GB"/>
        </w:rPr>
        <w:t xml:space="preserve"> not included, e.g. outside of the European region </w:t>
      </w:r>
      <w:r w:rsidRPr="007F1FDF">
        <w:rPr>
          <w:rFonts w:ascii="Times New Roman" w:hAnsi="Times New Roman" w:cs="Times New Roman"/>
          <w:noProof/>
          <w:vertAlign w:val="superscript"/>
          <w:lang w:val="en-GB"/>
        </w:rPr>
        <w:t>43,44</w:t>
      </w:r>
      <w:r w:rsidRPr="00E53169">
        <w:rPr>
          <w:rFonts w:ascii="Times New Roman" w:hAnsi="Times New Roman" w:cs="Times New Roman"/>
          <w:lang w:val="en-GB"/>
        </w:rPr>
        <w:t xml:space="preserve"> or using </w:t>
      </w:r>
      <w:r>
        <w:rPr>
          <w:rFonts w:ascii="Times New Roman" w:hAnsi="Times New Roman" w:cs="Times New Roman"/>
          <w:lang w:val="en-GB"/>
        </w:rPr>
        <w:t xml:space="preserve">alternative </w:t>
      </w:r>
      <w:r w:rsidRPr="00E53169">
        <w:rPr>
          <w:rFonts w:ascii="Times New Roman" w:hAnsi="Times New Roman" w:cs="Times New Roman"/>
          <w:lang w:val="en-GB"/>
        </w:rPr>
        <w:t>methodological approaches</w:t>
      </w:r>
      <w:r>
        <w:rPr>
          <w:rFonts w:ascii="Times New Roman" w:hAnsi="Times New Roman" w:cs="Times New Roman"/>
          <w:lang w:val="en-GB"/>
        </w:rPr>
        <w:t>.</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45</w:t>
      </w:r>
      <w:r>
        <w:rPr>
          <w:rFonts w:ascii="Times New Roman" w:hAnsi="Times New Roman" w:cs="Times New Roman"/>
          <w:lang w:val="en-GB"/>
        </w:rPr>
        <w:t xml:space="preserve"> Regarding the effect of age, w</w:t>
      </w:r>
      <w:r w:rsidRPr="00E53169">
        <w:rPr>
          <w:rFonts w:ascii="Times New Roman" w:hAnsi="Times New Roman" w:cs="Times New Roman"/>
          <w:lang w:val="en-GB"/>
        </w:rPr>
        <w:t xml:space="preserve">e opted to use </w:t>
      </w:r>
      <w:r>
        <w:rPr>
          <w:rFonts w:ascii="Times New Roman" w:hAnsi="Times New Roman" w:cs="Times New Roman"/>
          <w:lang w:val="en-GB"/>
        </w:rPr>
        <w:t>categories as</w:t>
      </w:r>
      <w:r w:rsidRPr="00E53169">
        <w:rPr>
          <w:rFonts w:ascii="Times New Roman" w:hAnsi="Times New Roman" w:cs="Times New Roman"/>
          <w:lang w:val="en-GB"/>
        </w:rPr>
        <w:t xml:space="preserve"> defined in each publication and the</w:t>
      </w:r>
      <w:r>
        <w:rPr>
          <w:rFonts w:ascii="Times New Roman" w:hAnsi="Times New Roman" w:cs="Times New Roman"/>
          <w:lang w:val="en-GB"/>
        </w:rPr>
        <w:t>ir</w:t>
      </w:r>
      <w:r w:rsidRPr="00E53169">
        <w:rPr>
          <w:rFonts w:ascii="Times New Roman" w:hAnsi="Times New Roman" w:cs="Times New Roman"/>
          <w:lang w:val="en-GB"/>
        </w:rPr>
        <w:t xml:space="preserve"> midpoint as</w:t>
      </w:r>
      <w:r>
        <w:rPr>
          <w:rFonts w:ascii="Times New Roman" w:hAnsi="Times New Roman" w:cs="Times New Roman"/>
          <w:lang w:val="en-GB"/>
        </w:rPr>
        <w:t xml:space="preserve"> the</w:t>
      </w:r>
      <w:r w:rsidRPr="00E53169">
        <w:rPr>
          <w:rFonts w:ascii="Times New Roman" w:hAnsi="Times New Roman" w:cs="Times New Roman"/>
          <w:lang w:val="en-GB"/>
        </w:rPr>
        <w:t xml:space="preserve"> index age. This </w:t>
      </w:r>
      <w:r>
        <w:rPr>
          <w:rFonts w:ascii="Times New Roman" w:hAnsi="Times New Roman" w:cs="Times New Roman"/>
          <w:lang w:val="en-GB"/>
        </w:rPr>
        <w:t>wa</w:t>
      </w:r>
      <w:r w:rsidRPr="00E53169">
        <w:rPr>
          <w:rFonts w:ascii="Times New Roman" w:hAnsi="Times New Roman" w:cs="Times New Roman"/>
          <w:lang w:val="en-GB"/>
        </w:rPr>
        <w:t xml:space="preserve">s based on an assumption of constant risk within each age group, which might be unrealistic, especially when classes are wide. However, most countries used 5-year age groups, where such </w:t>
      </w:r>
      <w:r>
        <w:rPr>
          <w:rFonts w:ascii="Times New Roman" w:hAnsi="Times New Roman" w:cs="Times New Roman"/>
          <w:lang w:val="en-GB"/>
        </w:rPr>
        <w:t xml:space="preserve">an </w:t>
      </w:r>
      <w:r w:rsidRPr="00E53169">
        <w:rPr>
          <w:rFonts w:ascii="Times New Roman" w:hAnsi="Times New Roman" w:cs="Times New Roman"/>
          <w:lang w:val="en-GB"/>
        </w:rPr>
        <w:t>assumption is more likely to hold. In addition, our estimates of age effect on fracture incidence</w:t>
      </w:r>
      <w:r>
        <w:rPr>
          <w:rFonts w:ascii="Times New Roman" w:hAnsi="Times New Roman" w:cs="Times New Roman"/>
          <w:lang w:val="en-GB"/>
        </w:rPr>
        <w:t xml:space="preserve"> </w:t>
      </w:r>
      <w:r w:rsidRPr="00E53169">
        <w:rPr>
          <w:rFonts w:ascii="Times New Roman" w:hAnsi="Times New Roman" w:cs="Times New Roman"/>
          <w:lang w:val="en-GB"/>
        </w:rPr>
        <w:t>seem consistent with a wealth of previous knowledge</w:t>
      </w:r>
      <w:r>
        <w:rPr>
          <w:rFonts w:ascii="Times New Roman" w:hAnsi="Times New Roman" w:cs="Times New Roman"/>
          <w:lang w:val="en-GB"/>
        </w:rPr>
        <w:t>.</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21,46</w:t>
      </w: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W</w:t>
      </w:r>
      <w:r w:rsidRPr="00E53169">
        <w:rPr>
          <w:rFonts w:ascii="Times New Roman" w:hAnsi="Times New Roman" w:cs="Times New Roman"/>
          <w:lang w:val="en-GB"/>
        </w:rPr>
        <w:t xml:space="preserve">e </w:t>
      </w:r>
      <w:r>
        <w:rPr>
          <w:rFonts w:ascii="Times New Roman" w:hAnsi="Times New Roman" w:cs="Times New Roman"/>
          <w:lang w:val="en-GB"/>
        </w:rPr>
        <w:t>found that</w:t>
      </w:r>
      <w:r w:rsidRPr="00E53169">
        <w:rPr>
          <w:rFonts w:ascii="Times New Roman" w:hAnsi="Times New Roman" w:cs="Times New Roman"/>
          <w:lang w:val="en-GB"/>
        </w:rPr>
        <w:t xml:space="preserve"> the behaviour of hip fracture incidence over time </w:t>
      </w:r>
      <w:r>
        <w:rPr>
          <w:rFonts w:ascii="Times New Roman" w:hAnsi="Times New Roman" w:cs="Times New Roman"/>
          <w:lang w:val="en-GB"/>
        </w:rPr>
        <w:t xml:space="preserve">could </w:t>
      </w:r>
      <w:r w:rsidRPr="00E53169">
        <w:rPr>
          <w:rFonts w:ascii="Times New Roman" w:hAnsi="Times New Roman" w:cs="Times New Roman"/>
          <w:lang w:val="en-GB"/>
        </w:rPr>
        <w:t xml:space="preserve">be explained as a function of timing and background rates and that the tempo of reversal was not a key source of variability. </w:t>
      </w:r>
      <w:r>
        <w:rPr>
          <w:rFonts w:ascii="Times New Roman" w:hAnsi="Times New Roman" w:cs="Times New Roman"/>
          <w:lang w:val="en-GB"/>
        </w:rPr>
        <w:t xml:space="preserve">It should be noted that country-level effects represent variability </w:t>
      </w:r>
      <w:r w:rsidRPr="009D5808">
        <w:rPr>
          <w:rFonts w:ascii="Times New Roman" w:hAnsi="Times New Roman" w:cs="Times New Roman"/>
          <w:lang w:val="en-GB"/>
        </w:rPr>
        <w:t xml:space="preserve">not only of background fracture rates and timing of trend reversal – which were our main focus </w:t>
      </w:r>
      <w:r>
        <w:rPr>
          <w:rFonts w:ascii="Times New Roman" w:hAnsi="Times New Roman" w:cs="Times New Roman"/>
          <w:lang w:val="en-GB"/>
        </w:rPr>
        <w:t>–</w:t>
      </w:r>
      <w:r w:rsidRPr="009D5808">
        <w:rPr>
          <w:rFonts w:ascii="Times New Roman" w:hAnsi="Times New Roman" w:cs="Times New Roman"/>
          <w:lang w:val="en-GB"/>
        </w:rPr>
        <w:t xml:space="preserve"> but also of methodological options in each paper whose data we used</w:t>
      </w:r>
      <w:r>
        <w:rPr>
          <w:rFonts w:ascii="Times New Roman" w:hAnsi="Times New Roman" w:cs="Times New Roman"/>
          <w:lang w:val="en-GB"/>
        </w:rPr>
        <w:t>, since</w:t>
      </w:r>
      <w:r w:rsidRPr="00E53169">
        <w:rPr>
          <w:rFonts w:ascii="Times New Roman" w:hAnsi="Times New Roman" w:cs="Times New Roman"/>
          <w:lang w:val="en-GB"/>
        </w:rPr>
        <w:t xml:space="preserve"> </w:t>
      </w:r>
      <w:r>
        <w:rPr>
          <w:rFonts w:ascii="Times New Roman" w:hAnsi="Times New Roman" w:cs="Times New Roman"/>
          <w:lang w:val="en-GB"/>
        </w:rPr>
        <w:t>e</w:t>
      </w:r>
      <w:r w:rsidRPr="00E53169">
        <w:rPr>
          <w:rFonts w:ascii="Times New Roman" w:hAnsi="Times New Roman" w:cs="Times New Roman"/>
          <w:lang w:val="en-GB"/>
        </w:rPr>
        <w:t>stimates may not be homogeneous between countries rega</w:t>
      </w:r>
      <w:r>
        <w:rPr>
          <w:rFonts w:ascii="Times New Roman" w:hAnsi="Times New Roman" w:cs="Times New Roman"/>
          <w:lang w:val="en-GB"/>
        </w:rPr>
        <w:t>rding coverage, case definition</w:t>
      </w:r>
      <w:r w:rsidRPr="00E53169">
        <w:rPr>
          <w:rFonts w:ascii="Times New Roman" w:hAnsi="Times New Roman" w:cs="Times New Roman"/>
          <w:lang w:val="en-GB"/>
        </w:rPr>
        <w:t xml:space="preserve"> or additional eligibility criteria. However, hip fractures in high-income countries are rarely managed without hospital admission, which is in favour of comparable coverage between countries. </w:t>
      </w:r>
      <w:r>
        <w:rPr>
          <w:rFonts w:ascii="Times New Roman" w:hAnsi="Times New Roman" w:cs="Times New Roman"/>
          <w:lang w:val="en-GB"/>
        </w:rPr>
        <w:t>Regarding case definition, all papers</w:t>
      </w:r>
      <w:r w:rsidRPr="00E53169">
        <w:rPr>
          <w:rFonts w:ascii="Times New Roman" w:hAnsi="Times New Roman" w:cs="Times New Roman"/>
          <w:lang w:val="en-GB"/>
        </w:rPr>
        <w:t xml:space="preserve"> adopted ICD</w:t>
      </w:r>
      <w:r>
        <w:rPr>
          <w:rFonts w:ascii="Times New Roman" w:hAnsi="Times New Roman" w:cs="Times New Roman"/>
          <w:lang w:val="en-GB"/>
        </w:rPr>
        <w:t xml:space="preserve"> coding</w:t>
      </w:r>
      <w:r w:rsidRPr="00E53169">
        <w:rPr>
          <w:rFonts w:ascii="Times New Roman" w:hAnsi="Times New Roman" w:cs="Times New Roman"/>
          <w:lang w:val="en-GB"/>
        </w:rPr>
        <w:t xml:space="preserve">, but both </w:t>
      </w:r>
      <w:r>
        <w:rPr>
          <w:rFonts w:ascii="Times New Roman" w:hAnsi="Times New Roman" w:cs="Times New Roman"/>
          <w:lang w:val="en-GB"/>
        </w:rPr>
        <w:t xml:space="preserve">the </w:t>
      </w:r>
      <w:r w:rsidRPr="00E53169">
        <w:rPr>
          <w:rFonts w:ascii="Times New Roman" w:hAnsi="Times New Roman" w:cs="Times New Roman"/>
          <w:lang w:val="en-GB"/>
        </w:rPr>
        <w:t>9th and 10th revisions were used and not all eligible codes overlapped between studies. In addition, some estimates were corrected for multiple admissions</w:t>
      </w:r>
      <w:r>
        <w:rPr>
          <w:rFonts w:ascii="Times New Roman" w:hAnsi="Times New Roman" w:cs="Times New Roman"/>
          <w:lang w:val="en-GB"/>
        </w:rPr>
        <w:t>,</w:t>
      </w:r>
      <w:r w:rsidRPr="00E53169">
        <w:rPr>
          <w:rFonts w:ascii="Times New Roman" w:hAnsi="Times New Roman" w:cs="Times New Roman"/>
          <w:lang w:val="en-GB"/>
        </w:rPr>
        <w:t xml:space="preserve"> while others were not. Despite that, we have no reason to suspect substantial variations in the validity of estimates over time within each country. Since our main goal was to capture the overall shape of the trend in each country, rather than to produce country comparisons at each time point, we do not believe</w:t>
      </w:r>
      <w:r>
        <w:rPr>
          <w:rFonts w:ascii="Times New Roman" w:hAnsi="Times New Roman" w:cs="Times New Roman"/>
          <w:lang w:val="en-GB"/>
        </w:rPr>
        <w:t xml:space="preserve"> that</w:t>
      </w:r>
      <w:r w:rsidRPr="00E53169">
        <w:rPr>
          <w:rFonts w:ascii="Times New Roman" w:hAnsi="Times New Roman" w:cs="Times New Roman"/>
          <w:lang w:val="en-GB"/>
        </w:rPr>
        <w:t xml:space="preserve"> these issues have seriously affected our main findings. Indeed, </w:t>
      </w:r>
      <w:r>
        <w:rPr>
          <w:rFonts w:ascii="Times New Roman" w:hAnsi="Times New Roman" w:cs="Times New Roman"/>
          <w:lang w:val="en-GB"/>
        </w:rPr>
        <w:t>our cluster grouping of countries</w:t>
      </w:r>
      <w:r w:rsidRPr="00E53169">
        <w:rPr>
          <w:rFonts w:ascii="Times New Roman" w:hAnsi="Times New Roman" w:cs="Times New Roman"/>
          <w:lang w:val="en-GB"/>
        </w:rPr>
        <w:t xml:space="preserve"> </w:t>
      </w:r>
      <w:r>
        <w:rPr>
          <w:rFonts w:ascii="Times New Roman" w:hAnsi="Times New Roman" w:cs="Times New Roman"/>
          <w:lang w:val="en-GB"/>
        </w:rPr>
        <w:t xml:space="preserve">is largely compatible </w:t>
      </w:r>
      <w:r>
        <w:rPr>
          <w:rFonts w:ascii="Times New Roman" w:hAnsi="Times New Roman" w:cs="Times New Roman"/>
          <w:lang w:val="en-GB"/>
        </w:rPr>
        <w:lastRenderedPageBreak/>
        <w:t>with previous stratification on the basis of background rates,</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47</w:t>
      </w:r>
      <w:r>
        <w:rPr>
          <w:rFonts w:ascii="Times New Roman" w:hAnsi="Times New Roman" w:cs="Times New Roman"/>
          <w:lang w:val="en-GB"/>
        </w:rPr>
        <w:t xml:space="preserve"> </w:t>
      </w:r>
      <w:r w:rsidRPr="00E53169">
        <w:rPr>
          <w:rFonts w:ascii="Times New Roman" w:hAnsi="Times New Roman" w:cs="Times New Roman"/>
          <w:lang w:val="en-GB"/>
        </w:rPr>
        <w:t xml:space="preserve">especially regarding </w:t>
      </w:r>
      <w:r>
        <w:rPr>
          <w:rFonts w:ascii="Times New Roman" w:hAnsi="Times New Roman" w:cs="Times New Roman"/>
          <w:lang w:val="en-GB"/>
        </w:rPr>
        <w:t>Scandinavia and Southern Europe</w:t>
      </w:r>
      <w:r w:rsidRPr="00E53169">
        <w:rPr>
          <w:rFonts w:ascii="Times New Roman" w:hAnsi="Times New Roman" w:cs="Times New Roman"/>
          <w:lang w:val="en-GB"/>
        </w:rPr>
        <w:t xml:space="preserve">, which </w:t>
      </w:r>
      <w:r>
        <w:rPr>
          <w:rFonts w:ascii="Times New Roman" w:hAnsi="Times New Roman" w:cs="Times New Roman"/>
          <w:lang w:val="en-GB"/>
        </w:rPr>
        <w:t xml:space="preserve">supports that </w:t>
      </w:r>
      <w:r w:rsidRPr="00E53169">
        <w:rPr>
          <w:rFonts w:ascii="Times New Roman" w:hAnsi="Times New Roman" w:cs="Times New Roman"/>
          <w:lang w:val="en-GB"/>
        </w:rPr>
        <w:t xml:space="preserve">our model </w:t>
      </w:r>
      <w:r>
        <w:rPr>
          <w:rFonts w:ascii="Times New Roman" w:hAnsi="Times New Roman" w:cs="Times New Roman"/>
          <w:lang w:val="en-GB"/>
        </w:rPr>
        <w:t>does</w:t>
      </w:r>
      <w:r w:rsidRPr="00E53169">
        <w:rPr>
          <w:rFonts w:ascii="Times New Roman" w:hAnsi="Times New Roman" w:cs="Times New Roman"/>
          <w:lang w:val="en-GB"/>
        </w:rPr>
        <w:t xml:space="preserve"> </w:t>
      </w:r>
      <w:r>
        <w:rPr>
          <w:rFonts w:ascii="Times New Roman" w:hAnsi="Times New Roman" w:cs="Times New Roman"/>
          <w:lang w:val="en-GB"/>
        </w:rPr>
        <w:t>distinguish</w:t>
      </w:r>
      <w:r w:rsidRPr="00E53169">
        <w:rPr>
          <w:rFonts w:ascii="Times New Roman" w:hAnsi="Times New Roman" w:cs="Times New Roman"/>
          <w:lang w:val="en-GB"/>
        </w:rPr>
        <w:t xml:space="preserve"> the relative burden between settings. A particularly clear example reflected in our cluster solution is that of Estonia, where men have incidence rate</w:t>
      </w:r>
      <w:r>
        <w:rPr>
          <w:rFonts w:ascii="Times New Roman" w:hAnsi="Times New Roman" w:cs="Times New Roman"/>
          <w:lang w:val="en-GB"/>
        </w:rPr>
        <w:t>s close to those of Scandinavia,</w:t>
      </w:r>
      <w:r w:rsidRPr="00E53169">
        <w:rPr>
          <w:rFonts w:ascii="Times New Roman" w:hAnsi="Times New Roman" w:cs="Times New Roman"/>
          <w:lang w:val="en-GB"/>
        </w:rPr>
        <w:t xml:space="preserve"> while women show rates similar to those observed in Southern Europe</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24</w:t>
      </w:r>
      <w:r w:rsidRPr="00E53169">
        <w:rPr>
          <w:rFonts w:ascii="Times New Roman" w:hAnsi="Times New Roman" w:cs="Times New Roman"/>
          <w:lang w:val="en-GB"/>
        </w:rPr>
        <w:t xml:space="preserve"> A specific case where the present model was not consistent with </w:t>
      </w:r>
      <w:r>
        <w:rPr>
          <w:rFonts w:ascii="Times New Roman" w:hAnsi="Times New Roman" w:cs="Times New Roman"/>
          <w:lang w:val="en-GB"/>
        </w:rPr>
        <w:t xml:space="preserve">long-term </w:t>
      </w:r>
      <w:r w:rsidRPr="00E53169">
        <w:rPr>
          <w:rFonts w:ascii="Times New Roman" w:hAnsi="Times New Roman" w:cs="Times New Roman"/>
          <w:lang w:val="en-GB"/>
        </w:rPr>
        <w:t>historical data was the UK. Indeed, fracture rates were reported to have levelled off before 1985, with a breakpoint in 1978</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5</w:t>
      </w:r>
      <w:r w:rsidRPr="00E53169">
        <w:rPr>
          <w:rFonts w:ascii="Times New Roman" w:hAnsi="Times New Roman" w:cs="Times New Roman"/>
          <w:lang w:val="en-GB"/>
        </w:rPr>
        <w:t xml:space="preserve"> We obtained a predicted peak rate at a much later date, which results from our choice of a</w:t>
      </w:r>
      <w:r>
        <w:rPr>
          <w:rFonts w:ascii="Times New Roman" w:hAnsi="Times New Roman" w:cs="Times New Roman"/>
          <w:lang w:val="en-GB"/>
        </w:rPr>
        <w:t xml:space="preserve"> later</w:t>
      </w:r>
      <w:r w:rsidRPr="00E53169">
        <w:rPr>
          <w:rFonts w:ascii="Times New Roman" w:hAnsi="Times New Roman" w:cs="Times New Roman"/>
          <w:lang w:val="en-GB"/>
        </w:rPr>
        <w:t xml:space="preserve"> time series where such a breakpoint would, by definition, not be captured</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32</w:t>
      </w:r>
      <w:r w:rsidRPr="00E53169">
        <w:rPr>
          <w:rFonts w:ascii="Times New Roman" w:hAnsi="Times New Roman" w:cs="Times New Roman"/>
          <w:lang w:val="en-GB"/>
        </w:rPr>
        <w:t xml:space="preserve"> </w:t>
      </w:r>
      <w:r>
        <w:rPr>
          <w:rFonts w:ascii="Times New Roman" w:hAnsi="Times New Roman" w:cs="Times New Roman"/>
          <w:lang w:val="en-GB"/>
        </w:rPr>
        <w:t>An</w:t>
      </w:r>
      <w:r w:rsidRPr="00E53169">
        <w:rPr>
          <w:rFonts w:ascii="Times New Roman" w:hAnsi="Times New Roman" w:cs="Times New Roman"/>
          <w:lang w:val="en-GB"/>
        </w:rPr>
        <w:t xml:space="preserve"> interpretation </w:t>
      </w:r>
      <w:r>
        <w:rPr>
          <w:rFonts w:ascii="Times New Roman" w:hAnsi="Times New Roman" w:cs="Times New Roman"/>
          <w:lang w:val="en-GB"/>
        </w:rPr>
        <w:t xml:space="preserve">may be </w:t>
      </w:r>
      <w:r w:rsidRPr="00E53169">
        <w:rPr>
          <w:rFonts w:ascii="Times New Roman" w:hAnsi="Times New Roman" w:cs="Times New Roman"/>
          <w:lang w:val="en-GB"/>
        </w:rPr>
        <w:t>that</w:t>
      </w:r>
      <w:r>
        <w:rPr>
          <w:rFonts w:ascii="Times New Roman" w:hAnsi="Times New Roman" w:cs="Times New Roman"/>
          <w:lang w:val="en-GB"/>
        </w:rPr>
        <w:t>,</w:t>
      </w:r>
      <w:r w:rsidRPr="00E53169">
        <w:rPr>
          <w:rFonts w:ascii="Times New Roman" w:hAnsi="Times New Roman" w:cs="Times New Roman"/>
          <w:lang w:val="en-GB"/>
        </w:rPr>
        <w:t xml:space="preserve"> </w:t>
      </w:r>
      <w:r>
        <w:rPr>
          <w:rFonts w:ascii="Times New Roman" w:hAnsi="Times New Roman" w:cs="Times New Roman"/>
          <w:lang w:val="en-GB"/>
        </w:rPr>
        <w:t xml:space="preserve">up to the </w:t>
      </w:r>
      <w:r w:rsidRPr="00E53169">
        <w:rPr>
          <w:rFonts w:ascii="Times New Roman" w:hAnsi="Times New Roman" w:cs="Times New Roman"/>
          <w:lang w:val="en-GB"/>
        </w:rPr>
        <w:t>1980s</w:t>
      </w:r>
      <w:r>
        <w:rPr>
          <w:rFonts w:ascii="Times New Roman" w:hAnsi="Times New Roman" w:cs="Times New Roman"/>
          <w:lang w:val="en-GB"/>
        </w:rPr>
        <w:t>,</w:t>
      </w:r>
      <w:r w:rsidRPr="00E53169">
        <w:rPr>
          <w:rFonts w:ascii="Times New Roman" w:hAnsi="Times New Roman" w:cs="Times New Roman"/>
          <w:lang w:val="en-GB"/>
        </w:rPr>
        <w:t xml:space="preserve"> the UK had a</w:t>
      </w:r>
      <w:r>
        <w:rPr>
          <w:rFonts w:ascii="Times New Roman" w:hAnsi="Times New Roman" w:cs="Times New Roman"/>
          <w:lang w:val="en-GB"/>
        </w:rPr>
        <w:t>n</w:t>
      </w:r>
      <w:r w:rsidRPr="00E53169">
        <w:rPr>
          <w:rFonts w:ascii="Times New Roman" w:hAnsi="Times New Roman" w:cs="Times New Roman"/>
          <w:lang w:val="en-GB"/>
        </w:rPr>
        <w:t xml:space="preserve"> epidemic closer to that observed in Scandinavia</w:t>
      </w:r>
      <w:r>
        <w:rPr>
          <w:rFonts w:ascii="Times New Roman" w:hAnsi="Times New Roman" w:cs="Times New Roman"/>
          <w:lang w:val="en-GB"/>
        </w:rPr>
        <w:t xml:space="preserve">, </w:t>
      </w:r>
      <w:r w:rsidRPr="00E53169">
        <w:rPr>
          <w:rFonts w:ascii="Times New Roman" w:hAnsi="Times New Roman" w:cs="Times New Roman"/>
          <w:lang w:val="en-GB"/>
        </w:rPr>
        <w:t xml:space="preserve">which </w:t>
      </w:r>
      <w:r>
        <w:rPr>
          <w:rFonts w:ascii="Times New Roman" w:hAnsi="Times New Roman" w:cs="Times New Roman"/>
          <w:lang w:val="en-GB"/>
        </w:rPr>
        <w:t>later</w:t>
      </w:r>
      <w:r w:rsidRPr="00E53169">
        <w:rPr>
          <w:rFonts w:ascii="Times New Roman" w:hAnsi="Times New Roman" w:cs="Times New Roman"/>
          <w:lang w:val="en-GB"/>
        </w:rPr>
        <w:t xml:space="preserve"> stabilized at lower levels</w:t>
      </w:r>
      <w:r>
        <w:rPr>
          <w:rFonts w:ascii="Times New Roman" w:hAnsi="Times New Roman" w:cs="Times New Roman"/>
          <w:lang w:val="en-GB"/>
        </w:rPr>
        <w:t>,</w:t>
      </w:r>
      <w:r w:rsidRPr="00E53169">
        <w:rPr>
          <w:rFonts w:ascii="Times New Roman" w:hAnsi="Times New Roman" w:cs="Times New Roman"/>
          <w:lang w:val="en-GB"/>
        </w:rPr>
        <w:t xml:space="preserve"> producing a recent behaviour more similar to that observed </w:t>
      </w:r>
      <w:r>
        <w:rPr>
          <w:rFonts w:ascii="Times New Roman" w:hAnsi="Times New Roman" w:cs="Times New Roman"/>
          <w:lang w:val="en-GB"/>
        </w:rPr>
        <w:t>in Central and Southern Europe</w:t>
      </w:r>
      <w:r w:rsidRPr="00E53169">
        <w:rPr>
          <w:rFonts w:ascii="Times New Roman" w:hAnsi="Times New Roman" w:cs="Times New Roman"/>
          <w:lang w:val="en-GB"/>
        </w:rPr>
        <w:t xml:space="preserve">, </w:t>
      </w:r>
      <w:r>
        <w:rPr>
          <w:rFonts w:ascii="Times New Roman" w:hAnsi="Times New Roman" w:cs="Times New Roman"/>
          <w:lang w:val="en-GB"/>
        </w:rPr>
        <w:t>with</w:t>
      </w:r>
      <w:r w:rsidRPr="00E53169">
        <w:rPr>
          <w:rFonts w:ascii="Times New Roman" w:hAnsi="Times New Roman" w:cs="Times New Roman"/>
          <w:lang w:val="en-GB"/>
        </w:rPr>
        <w:t xml:space="preserve"> a second, smoother breakpoint captured by our cluster </w:t>
      </w:r>
      <w:r>
        <w:rPr>
          <w:rFonts w:ascii="Times New Roman" w:hAnsi="Times New Roman" w:cs="Times New Roman"/>
          <w:lang w:val="en-GB"/>
        </w:rPr>
        <w:t>assignment</w:t>
      </w:r>
      <w:r w:rsidRPr="00E53169">
        <w:rPr>
          <w:rFonts w:ascii="Times New Roman" w:hAnsi="Times New Roman" w:cs="Times New Roman"/>
          <w:lang w:val="en-GB"/>
        </w:rPr>
        <w:t>.</w:t>
      </w:r>
      <w:r w:rsidRPr="0052241C">
        <w:rPr>
          <w:rFonts w:ascii="Times New Roman" w:hAnsi="Times New Roman" w:cs="Times New Roman"/>
          <w:lang w:val="en-GB"/>
        </w:rPr>
        <w:t xml:space="preserve"> </w:t>
      </w:r>
      <w:r w:rsidRPr="00E53169">
        <w:rPr>
          <w:rFonts w:ascii="Times New Roman" w:hAnsi="Times New Roman" w:cs="Times New Roman"/>
          <w:lang w:val="en-GB"/>
        </w:rPr>
        <w:t xml:space="preserve">An interesting explanation for </w:t>
      </w:r>
      <w:r>
        <w:rPr>
          <w:rFonts w:ascii="Times New Roman" w:hAnsi="Times New Roman" w:cs="Times New Roman"/>
          <w:lang w:val="en-GB"/>
        </w:rPr>
        <w:t>the</w:t>
      </w:r>
      <w:r w:rsidRPr="00E53169">
        <w:rPr>
          <w:rFonts w:ascii="Times New Roman" w:hAnsi="Times New Roman" w:cs="Times New Roman"/>
          <w:lang w:val="en-GB"/>
        </w:rPr>
        <w:t xml:space="preserve"> cluster structure </w:t>
      </w:r>
      <w:r>
        <w:rPr>
          <w:rFonts w:ascii="Times New Roman" w:hAnsi="Times New Roman" w:cs="Times New Roman"/>
          <w:lang w:val="en-GB"/>
        </w:rPr>
        <w:t xml:space="preserve">we propose </w:t>
      </w:r>
      <w:r w:rsidRPr="00E53169">
        <w:rPr>
          <w:rFonts w:ascii="Times New Roman" w:hAnsi="Times New Roman" w:cs="Times New Roman"/>
          <w:lang w:val="en-GB"/>
        </w:rPr>
        <w:t xml:space="preserve">(where there is statistical dependence between peak rates and timing of reversal) might be a lower threshold for trend reversal in countries with higher incidence. It seems indeed plausible that the fraction of the population in whom a fracture event was prevented was probably at </w:t>
      </w:r>
      <w:r>
        <w:rPr>
          <w:rFonts w:ascii="Times New Roman" w:hAnsi="Times New Roman" w:cs="Times New Roman"/>
          <w:lang w:val="en-GB"/>
        </w:rPr>
        <w:t xml:space="preserve">a </w:t>
      </w:r>
      <w:r w:rsidRPr="00E53169">
        <w:rPr>
          <w:rFonts w:ascii="Times New Roman" w:hAnsi="Times New Roman" w:cs="Times New Roman"/>
          <w:lang w:val="en-GB"/>
        </w:rPr>
        <w:t>lower risk to begin with and was therefore more likely to have benefited from an overall decreasing trend.</w:t>
      </w:r>
    </w:p>
    <w:p w:rsidR="00DB3646" w:rsidRPr="00E53169" w:rsidRDefault="00DB3646" w:rsidP="00032B4E">
      <w:pPr>
        <w:spacing w:line="480" w:lineRule="auto"/>
        <w:rPr>
          <w:rFonts w:ascii="Times New Roman" w:hAnsi="Times New Roman" w:cs="Times New Roman"/>
          <w:lang w:val="en-GB"/>
        </w:rPr>
      </w:pPr>
      <w:r w:rsidRPr="00E53169">
        <w:rPr>
          <w:rFonts w:ascii="Times New Roman" w:hAnsi="Times New Roman" w:cs="Times New Roman"/>
          <w:lang w:val="en-GB"/>
        </w:rPr>
        <w:t>Several mechanisms have been proposed to explain the widespread improvement in fracture rates</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22</w:t>
      </w:r>
      <w:r w:rsidRPr="00E53169">
        <w:rPr>
          <w:rFonts w:ascii="Times New Roman" w:hAnsi="Times New Roman" w:cs="Times New Roman"/>
          <w:lang w:val="en-GB"/>
        </w:rPr>
        <w:t xml:space="preserve"> A set of hypotheses relates to planned efforts targeting bone fragility, such as increasing availability of bone density testing,</w:t>
      </w:r>
      <w:r>
        <w:rPr>
          <w:rFonts w:ascii="Times New Roman" w:hAnsi="Times New Roman" w:cs="Times New Roman"/>
          <w:lang w:val="en-GB"/>
        </w:rPr>
        <w:t xml:space="preserve"> a</w:t>
      </w:r>
      <w:r w:rsidRPr="00E53169">
        <w:rPr>
          <w:rFonts w:ascii="Times New Roman" w:hAnsi="Times New Roman" w:cs="Times New Roman"/>
          <w:lang w:val="en-GB"/>
        </w:rPr>
        <w:t xml:space="preserve"> growing uptake of pharmacological treatment of osteoporosis and menopausal hormone therapy, or better clinical management after a first fracture. However, trend reversals in many countries began before these strategies were widespread</w:t>
      </w:r>
      <w:r>
        <w:rPr>
          <w:rFonts w:ascii="Times New Roman" w:hAnsi="Times New Roman" w:cs="Times New Roman"/>
          <w:lang w:val="en-GB"/>
        </w:rPr>
        <w:t>.</w:t>
      </w:r>
      <w:r w:rsidRPr="00E53169">
        <w:rPr>
          <w:rFonts w:ascii="Times New Roman" w:hAnsi="Times New Roman" w:cs="Times New Roman"/>
          <w:lang w:val="en-GB"/>
        </w:rPr>
        <w:t xml:space="preserve"> </w:t>
      </w:r>
      <w:r w:rsidRPr="00393FB6">
        <w:rPr>
          <w:rFonts w:ascii="Times New Roman" w:hAnsi="Times New Roman" w:cs="Times New Roman"/>
          <w:noProof/>
          <w:vertAlign w:val="superscript"/>
          <w:lang w:val="en-GB"/>
        </w:rPr>
        <w:t>5</w:t>
      </w:r>
      <w:r w:rsidRPr="00E53169">
        <w:rPr>
          <w:rFonts w:ascii="Times New Roman" w:hAnsi="Times New Roman" w:cs="Times New Roman"/>
          <w:lang w:val="en-GB"/>
        </w:rPr>
        <w:t xml:space="preserve"> Additionally, reversals have been described in both </w:t>
      </w:r>
      <w:r>
        <w:rPr>
          <w:rFonts w:ascii="Times New Roman" w:hAnsi="Times New Roman" w:cs="Times New Roman"/>
          <w:lang w:val="en-GB"/>
        </w:rPr>
        <w:t>sexes</w:t>
      </w:r>
      <w:r w:rsidRPr="00E53169">
        <w:rPr>
          <w:rFonts w:ascii="Times New Roman" w:hAnsi="Times New Roman" w:cs="Times New Roman"/>
          <w:lang w:val="en-GB"/>
        </w:rPr>
        <w:t xml:space="preserve"> whereas osteoporosis management </w:t>
      </w:r>
      <w:r>
        <w:rPr>
          <w:rFonts w:ascii="Times New Roman" w:hAnsi="Times New Roman" w:cs="Times New Roman"/>
          <w:lang w:val="en-GB"/>
        </w:rPr>
        <w:t xml:space="preserve">has </w:t>
      </w:r>
      <w:r w:rsidRPr="00E53169">
        <w:rPr>
          <w:rFonts w:ascii="Times New Roman" w:hAnsi="Times New Roman" w:cs="Times New Roman"/>
          <w:lang w:val="en-GB"/>
        </w:rPr>
        <w:t xml:space="preserve">much higher coverage </w:t>
      </w:r>
      <w:r>
        <w:rPr>
          <w:rFonts w:ascii="Times New Roman" w:hAnsi="Times New Roman" w:cs="Times New Roman"/>
          <w:lang w:val="en-GB"/>
        </w:rPr>
        <w:t xml:space="preserve">(even though with a low population impact) </w:t>
      </w:r>
      <w:r w:rsidRPr="00E53169">
        <w:rPr>
          <w:rFonts w:ascii="Times New Roman" w:hAnsi="Times New Roman" w:cs="Times New Roman"/>
          <w:lang w:val="en-GB"/>
        </w:rPr>
        <w:t>in women</w:t>
      </w:r>
      <w:r>
        <w:rPr>
          <w:rFonts w:ascii="Times New Roman" w:hAnsi="Times New Roman" w:cs="Times New Roman"/>
          <w:lang w:val="en-GB"/>
        </w:rPr>
        <w:t>.</w:t>
      </w:r>
      <w:r w:rsidRPr="00E53169">
        <w:rPr>
          <w:rFonts w:ascii="Times New Roman" w:hAnsi="Times New Roman" w:cs="Times New Roman"/>
          <w:lang w:val="en-GB"/>
        </w:rPr>
        <w:t xml:space="preserve"> </w:t>
      </w:r>
      <w:r w:rsidRPr="001B71E9">
        <w:rPr>
          <w:rFonts w:ascii="Times New Roman" w:hAnsi="Times New Roman" w:cs="Times New Roman"/>
          <w:noProof/>
          <w:vertAlign w:val="superscript"/>
          <w:lang w:val="en-GB"/>
        </w:rPr>
        <w:t>17</w:t>
      </w:r>
      <w:r>
        <w:rPr>
          <w:rFonts w:ascii="Times New Roman" w:hAnsi="Times New Roman" w:cs="Times New Roman"/>
          <w:lang w:val="en-GB"/>
        </w:rPr>
        <w:t xml:space="preserve"> </w:t>
      </w:r>
      <w:r w:rsidRPr="00E53169">
        <w:rPr>
          <w:rFonts w:ascii="Times New Roman" w:hAnsi="Times New Roman" w:cs="Times New Roman"/>
          <w:lang w:val="en-GB"/>
        </w:rPr>
        <w:t xml:space="preserve">Another set of hypotheses relates to macro-level changes that </w:t>
      </w:r>
      <w:r>
        <w:rPr>
          <w:rFonts w:ascii="Times New Roman" w:hAnsi="Times New Roman" w:cs="Times New Roman"/>
          <w:lang w:val="en-GB"/>
        </w:rPr>
        <w:t>may</w:t>
      </w:r>
      <w:r w:rsidRPr="00E53169">
        <w:rPr>
          <w:rFonts w:ascii="Times New Roman" w:hAnsi="Times New Roman" w:cs="Times New Roman"/>
          <w:lang w:val="en-GB"/>
        </w:rPr>
        <w:t xml:space="preserve"> have caused decreasing fracture trends as an unpredicted effect. Improvements in health and nutrition throughout the 20th century likely increased adult peak bone </w:t>
      </w:r>
      <w:r w:rsidRPr="00E53169">
        <w:rPr>
          <w:rFonts w:ascii="Times New Roman" w:hAnsi="Times New Roman" w:cs="Times New Roman"/>
          <w:lang w:val="en-GB"/>
        </w:rPr>
        <w:lastRenderedPageBreak/>
        <w:t>mass in younger cohorts, which is an early determinant of fracture</w:t>
      </w:r>
      <w:r>
        <w:rPr>
          <w:rFonts w:ascii="Times New Roman" w:hAnsi="Times New Roman" w:cs="Times New Roman"/>
          <w:lang w:val="en-GB"/>
        </w:rPr>
        <w:t>.</w:t>
      </w:r>
      <w:r w:rsidRPr="00E53169">
        <w:rPr>
          <w:rFonts w:ascii="Times New Roman" w:hAnsi="Times New Roman" w:cs="Times New Roman"/>
          <w:lang w:val="en-GB"/>
        </w:rPr>
        <w:t xml:space="preserve"> </w:t>
      </w:r>
      <w:r w:rsidRPr="007F1FDF">
        <w:rPr>
          <w:rFonts w:ascii="Times New Roman" w:hAnsi="Times New Roman" w:cs="Times New Roman"/>
          <w:noProof/>
          <w:vertAlign w:val="superscript"/>
          <w:lang w:val="en-GB"/>
        </w:rPr>
        <w:t>48</w:t>
      </w:r>
      <w:r w:rsidRPr="00E53169">
        <w:rPr>
          <w:rFonts w:ascii="Times New Roman" w:hAnsi="Times New Roman" w:cs="Times New Roman"/>
          <w:lang w:val="en-GB"/>
        </w:rPr>
        <w:t xml:space="preserve"> As for shorter term risk factors, prosperity also brought about</w:t>
      </w:r>
      <w:r>
        <w:rPr>
          <w:rFonts w:ascii="Times New Roman" w:hAnsi="Times New Roman" w:cs="Times New Roman"/>
          <w:lang w:val="en-GB"/>
        </w:rPr>
        <w:t xml:space="preserve"> an</w:t>
      </w:r>
      <w:r w:rsidRPr="00E53169">
        <w:rPr>
          <w:rFonts w:ascii="Times New Roman" w:hAnsi="Times New Roman" w:cs="Times New Roman"/>
          <w:lang w:val="en-GB"/>
        </w:rPr>
        <w:t xml:space="preserve"> increased frequency of overweight which, despite its deleterious effects, </w:t>
      </w:r>
      <w:r>
        <w:rPr>
          <w:rFonts w:ascii="Times New Roman" w:hAnsi="Times New Roman" w:cs="Times New Roman"/>
          <w:lang w:val="en-GB"/>
        </w:rPr>
        <w:t>is</w:t>
      </w:r>
      <w:r w:rsidRPr="00E53169">
        <w:rPr>
          <w:rFonts w:ascii="Times New Roman" w:hAnsi="Times New Roman" w:cs="Times New Roman"/>
          <w:lang w:val="en-GB"/>
        </w:rPr>
        <w:t xml:space="preserve"> protective </w:t>
      </w:r>
      <w:r>
        <w:rPr>
          <w:rFonts w:ascii="Times New Roman" w:hAnsi="Times New Roman" w:cs="Times New Roman"/>
          <w:lang w:val="en-GB"/>
        </w:rPr>
        <w:t xml:space="preserve">of </w:t>
      </w:r>
      <w:r w:rsidRPr="00E53169">
        <w:rPr>
          <w:rFonts w:ascii="Times New Roman" w:hAnsi="Times New Roman" w:cs="Times New Roman"/>
          <w:lang w:val="en-GB"/>
        </w:rPr>
        <w:t xml:space="preserve">fragility fractures in adults. Additional important changes may </w:t>
      </w:r>
      <w:r>
        <w:rPr>
          <w:rFonts w:ascii="Times New Roman" w:hAnsi="Times New Roman" w:cs="Times New Roman"/>
          <w:lang w:val="en-GB"/>
        </w:rPr>
        <w:t>include</w:t>
      </w:r>
      <w:r w:rsidRPr="00E53169">
        <w:rPr>
          <w:rFonts w:ascii="Times New Roman" w:hAnsi="Times New Roman" w:cs="Times New Roman"/>
          <w:lang w:val="en-GB"/>
        </w:rPr>
        <w:t xml:space="preserve"> increased physical activity</w:t>
      </w:r>
      <w:r>
        <w:rPr>
          <w:rFonts w:ascii="Times New Roman" w:hAnsi="Times New Roman" w:cs="Times New Roman"/>
          <w:lang w:val="en-GB"/>
        </w:rPr>
        <w:t>,</w:t>
      </w:r>
      <w:r w:rsidRPr="00E53169">
        <w:rPr>
          <w:rFonts w:ascii="Times New Roman" w:hAnsi="Times New Roman" w:cs="Times New Roman"/>
          <w:lang w:val="en-GB"/>
        </w:rPr>
        <w:t xml:space="preserve"> and less frequent smoking and drinking habits</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28</w:t>
      </w:r>
      <w:r w:rsidRPr="00E53169">
        <w:rPr>
          <w:rFonts w:ascii="Times New Roman" w:hAnsi="Times New Roman" w:cs="Times New Roman"/>
          <w:lang w:val="en-GB"/>
        </w:rPr>
        <w:t xml:space="preserve"> There is also some empirical evidence that upstream factors that may influence trauma severity, such as urbanization, have followed similar time trends as hip fractures</w:t>
      </w:r>
      <w:r>
        <w:rPr>
          <w:rFonts w:ascii="Times New Roman" w:hAnsi="Times New Roman" w:cs="Times New Roman"/>
          <w:lang w:val="en-GB"/>
        </w:rPr>
        <w:t>.</w:t>
      </w:r>
      <w:r w:rsidRPr="00E53169">
        <w:rPr>
          <w:rFonts w:ascii="Times New Roman" w:hAnsi="Times New Roman" w:cs="Times New Roman"/>
          <w:lang w:val="en-GB"/>
        </w:rPr>
        <w:t xml:space="preserve"> </w:t>
      </w:r>
      <w:r w:rsidRPr="00CF4E33">
        <w:rPr>
          <w:rFonts w:ascii="Times New Roman" w:hAnsi="Times New Roman" w:cs="Times New Roman"/>
          <w:noProof/>
          <w:vertAlign w:val="superscript"/>
          <w:lang w:val="en-GB"/>
        </w:rPr>
        <w:t>22</w:t>
      </w:r>
      <w:r>
        <w:rPr>
          <w:rFonts w:ascii="Times New Roman" w:hAnsi="Times New Roman" w:cs="Times New Roman"/>
          <w:lang w:val="en-GB"/>
        </w:rPr>
        <w:t xml:space="preserve"> It should be noted, however, that our study did not aim to disentangle short- from long-term effects on trends, such as those that would be obtained from a formal age-period-cohort analysis. Thus, o</w:t>
      </w:r>
      <w:r w:rsidRPr="00963F67">
        <w:rPr>
          <w:rFonts w:ascii="Times New Roman" w:hAnsi="Times New Roman" w:cs="Times New Roman"/>
          <w:lang w:val="en-GB"/>
        </w:rPr>
        <w:t xml:space="preserve">ur </w:t>
      </w:r>
      <w:r>
        <w:rPr>
          <w:rFonts w:ascii="Times New Roman" w:hAnsi="Times New Roman" w:cs="Times New Roman"/>
          <w:lang w:val="en-GB"/>
        </w:rPr>
        <w:t>findings</w:t>
      </w:r>
      <w:r w:rsidRPr="00963F67">
        <w:rPr>
          <w:rFonts w:ascii="Times New Roman" w:hAnsi="Times New Roman" w:cs="Times New Roman"/>
          <w:lang w:val="en-GB"/>
        </w:rPr>
        <w:t xml:space="preserve"> regarding the effects of </w:t>
      </w:r>
      <w:r>
        <w:rPr>
          <w:rFonts w:ascii="Times New Roman" w:hAnsi="Times New Roman" w:cs="Times New Roman"/>
          <w:lang w:val="en-GB"/>
        </w:rPr>
        <w:t>calendar period and age describe the hip fracture epidemic at the turn of the century but partly reflect earlier birth cohort influences, which amount to periods long before the fracture event itself and result from accumulated exposures throughout the life course.</w:t>
      </w:r>
    </w:p>
    <w:p w:rsidR="00DB3646" w:rsidRPr="00E53169" w:rsidRDefault="00DB3646" w:rsidP="00032B4E">
      <w:pPr>
        <w:spacing w:line="480" w:lineRule="auto"/>
        <w:rPr>
          <w:rFonts w:ascii="Times New Roman" w:hAnsi="Times New Roman" w:cs="Times New Roman"/>
          <w:lang w:val="en-GB"/>
        </w:rPr>
      </w:pPr>
      <w:r w:rsidRPr="0052241C">
        <w:rPr>
          <w:rFonts w:ascii="Times New Roman" w:hAnsi="Times New Roman" w:cs="Times New Roman"/>
          <w:lang w:val="en-GB"/>
        </w:rPr>
        <w:t xml:space="preserve">Even though several explanations for trend reversals have been put forward, assessing their plausibility is challenging. Specifically, our findings suggest that the determinants of hip fracture trends may have evolved in different ways between high- and low-risk countries. Our proposal of a single shape to model secular trends in different countries provides a basis for examining candidate explanations in several settings simultaneously. </w:t>
      </w:r>
    </w:p>
    <w:p w:rsidR="00DB3646" w:rsidRPr="00E53169" w:rsidRDefault="00DB3646" w:rsidP="00032B4E">
      <w:pPr>
        <w:spacing w:line="480" w:lineRule="auto"/>
        <w:rPr>
          <w:rFonts w:ascii="Times New Roman" w:hAnsi="Times New Roman" w:cs="Times New Roman"/>
          <w:lang w:val="en-GB"/>
        </w:rPr>
      </w:pPr>
    </w:p>
    <w:p w:rsidR="00DB3646" w:rsidRDefault="00DB3646" w:rsidP="00032B4E">
      <w:pPr>
        <w:spacing w:line="480" w:lineRule="auto"/>
        <w:rPr>
          <w:rFonts w:ascii="Times New Roman" w:hAnsi="Times New Roman" w:cs="Times New Roman"/>
          <w:b/>
          <w:lang w:val="en-GB"/>
        </w:rPr>
      </w:pPr>
      <w:r>
        <w:rPr>
          <w:rFonts w:ascii="Times New Roman" w:hAnsi="Times New Roman" w:cs="Times New Roman"/>
          <w:lang w:val="en-GB"/>
        </w:rPr>
        <w:t>This study shows that</w:t>
      </w:r>
      <w:r w:rsidRPr="00E53169">
        <w:rPr>
          <w:rFonts w:ascii="Times New Roman" w:hAnsi="Times New Roman" w:cs="Times New Roman"/>
          <w:lang w:val="en-GB"/>
        </w:rPr>
        <w:t xml:space="preserve"> it is plausible that recent hip fracture incidence rates in European countries can be described within the same overall pattern of secular trend revers</w:t>
      </w:r>
      <w:r>
        <w:rPr>
          <w:rFonts w:ascii="Times New Roman" w:hAnsi="Times New Roman" w:cs="Times New Roman"/>
          <w:lang w:val="en-GB"/>
        </w:rPr>
        <w:t>al, with</w:t>
      </w:r>
      <w:r w:rsidRPr="00E53169">
        <w:rPr>
          <w:rFonts w:ascii="Times New Roman" w:hAnsi="Times New Roman" w:cs="Times New Roman"/>
          <w:lang w:val="en-GB"/>
        </w:rPr>
        <w:t xml:space="preserve"> significant intercountry variability in the timing of reversal and peak fracture rates.</w:t>
      </w:r>
      <w:r>
        <w:rPr>
          <w:rFonts w:ascii="Times New Roman" w:hAnsi="Times New Roman" w:cs="Times New Roman"/>
          <w:lang w:val="en-GB"/>
        </w:rPr>
        <w:t xml:space="preserve"> This </w:t>
      </w:r>
      <w:r w:rsidRPr="00E53169">
        <w:rPr>
          <w:rFonts w:ascii="Times New Roman" w:hAnsi="Times New Roman" w:cs="Times New Roman"/>
          <w:lang w:val="en-GB"/>
        </w:rPr>
        <w:t>provides a quantitative basis for mechanistic explanations and may ultimately contribute to policy modelling.</w:t>
      </w:r>
      <w:r w:rsidRPr="00E53169">
        <w:rPr>
          <w:rFonts w:ascii="Times New Roman" w:hAnsi="Times New Roman" w:cs="Times New Roman"/>
          <w:lang w:val="en-GB"/>
        </w:rPr>
        <w:br w:type="page"/>
      </w:r>
      <w:r w:rsidRPr="00A44BAF">
        <w:rPr>
          <w:rFonts w:ascii="Times New Roman" w:hAnsi="Times New Roman" w:cs="Times New Roman"/>
          <w:b/>
          <w:lang w:val="en-GB"/>
        </w:rPr>
        <w:lastRenderedPageBreak/>
        <w:t>REFERENCES</w:t>
      </w:r>
    </w:p>
    <w:p w:rsidR="00DB3646" w:rsidRPr="007F1FDF" w:rsidRDefault="00DB3646" w:rsidP="00032B4E">
      <w:pPr>
        <w:pStyle w:val="EndNoteBibliography"/>
        <w:spacing w:after="0"/>
        <w:ind w:left="720" w:hanging="720"/>
      </w:pPr>
      <w:bookmarkStart w:id="1" w:name="_ENREF_1"/>
      <w:r w:rsidRPr="007F1FDF">
        <w:t>1</w:t>
      </w:r>
      <w:r w:rsidRPr="007F1FDF">
        <w:tab/>
        <w:t xml:space="preserve">Hiligsmann, M., Bruyere, O., Ethgen, O., Gathon, H. J. &amp; Reginster, J. Y. Lifetime absolute risk of hip and other osteoporotic fracture in Belgian women. </w:t>
      </w:r>
      <w:r w:rsidRPr="007F1FDF">
        <w:rPr>
          <w:i/>
        </w:rPr>
        <w:t>Bone</w:t>
      </w:r>
      <w:r w:rsidRPr="007F1FDF">
        <w:t xml:space="preserve"> </w:t>
      </w:r>
      <w:r w:rsidRPr="007F1FDF">
        <w:rPr>
          <w:b/>
        </w:rPr>
        <w:t>43</w:t>
      </w:r>
      <w:r w:rsidRPr="007F1FDF">
        <w:t>, 991-994, doi:10.1016/j.bone.2008.08.119 (2008).</w:t>
      </w:r>
      <w:bookmarkEnd w:id="1"/>
    </w:p>
    <w:p w:rsidR="00DB3646" w:rsidRPr="007F1FDF" w:rsidRDefault="00DB3646" w:rsidP="00032B4E">
      <w:pPr>
        <w:pStyle w:val="EndNoteBibliography"/>
        <w:spacing w:after="0"/>
        <w:ind w:left="720" w:hanging="720"/>
      </w:pPr>
      <w:bookmarkStart w:id="2" w:name="_ENREF_2"/>
      <w:r w:rsidRPr="007F1FDF">
        <w:t>2</w:t>
      </w:r>
      <w:r w:rsidRPr="007F1FDF">
        <w:tab/>
        <w:t>Boonen, S.</w:t>
      </w:r>
      <w:r w:rsidRPr="007F1FDF">
        <w:rPr>
          <w:i/>
        </w:rPr>
        <w:t xml:space="preserve"> et al.</w:t>
      </w:r>
      <w:r w:rsidRPr="007F1FDF">
        <w:t xml:space="preserve"> Functional outcome and quality of life following hip fracture in elderly women: a prospective controlled study. </w:t>
      </w:r>
      <w:r w:rsidRPr="007F1FDF">
        <w:rPr>
          <w:i/>
        </w:rPr>
        <w:t>Osteoporos Int.</w:t>
      </w:r>
      <w:r w:rsidRPr="007F1FDF">
        <w:t xml:space="preserve"> </w:t>
      </w:r>
      <w:r w:rsidRPr="007F1FDF">
        <w:rPr>
          <w:b/>
        </w:rPr>
        <w:t>15</w:t>
      </w:r>
      <w:r w:rsidRPr="007F1FDF">
        <w:t>, 87-94, doi:10.1007/s00198-003-1515-z (2004).</w:t>
      </w:r>
      <w:bookmarkEnd w:id="2"/>
    </w:p>
    <w:p w:rsidR="00DB3646" w:rsidRPr="007F1FDF" w:rsidRDefault="00DB3646" w:rsidP="00032B4E">
      <w:pPr>
        <w:pStyle w:val="EndNoteBibliography"/>
        <w:spacing w:after="0"/>
        <w:ind w:left="720" w:hanging="720"/>
      </w:pPr>
      <w:bookmarkStart w:id="3" w:name="_ENREF_3"/>
      <w:r w:rsidRPr="007F1FDF">
        <w:t>3</w:t>
      </w:r>
      <w:r w:rsidRPr="007F1FDF">
        <w:tab/>
        <w:t>Klop, C.</w:t>
      </w:r>
      <w:r w:rsidRPr="007F1FDF">
        <w:rPr>
          <w:i/>
        </w:rPr>
        <w:t xml:space="preserve"> et al.</w:t>
      </w:r>
      <w:r w:rsidRPr="007F1FDF">
        <w:t xml:space="preserve"> Mortality in British hip fracture patients, 2000-2010: a population-based retrospective cohort study. </w:t>
      </w:r>
      <w:r w:rsidRPr="007F1FDF">
        <w:rPr>
          <w:i/>
        </w:rPr>
        <w:t>Bone</w:t>
      </w:r>
      <w:r w:rsidRPr="007F1FDF">
        <w:t xml:space="preserve"> </w:t>
      </w:r>
      <w:r w:rsidRPr="007F1FDF">
        <w:rPr>
          <w:b/>
        </w:rPr>
        <w:t>66</w:t>
      </w:r>
      <w:r w:rsidRPr="007F1FDF">
        <w:t>, 171-177, doi:10.1016/j.bone.2014.06.011 (2014).</w:t>
      </w:r>
      <w:bookmarkEnd w:id="3"/>
    </w:p>
    <w:p w:rsidR="00DB3646" w:rsidRPr="007F1FDF" w:rsidRDefault="00DB3646" w:rsidP="00032B4E">
      <w:pPr>
        <w:pStyle w:val="EndNoteBibliography"/>
        <w:spacing w:after="0"/>
        <w:ind w:left="720" w:hanging="720"/>
      </w:pPr>
      <w:bookmarkStart w:id="4" w:name="_ENREF_4"/>
      <w:r w:rsidRPr="007F1FDF">
        <w:t>4</w:t>
      </w:r>
      <w:r w:rsidRPr="007F1FDF">
        <w:tab/>
        <w:t xml:space="preserve">Johnell, O. &amp; Kanis, J. A. An estimate of the worldwide prevalence and disability associated with osteoporotic fractures. </w:t>
      </w:r>
      <w:r w:rsidRPr="007F1FDF">
        <w:rPr>
          <w:i/>
        </w:rPr>
        <w:t>Osteoporos Int.</w:t>
      </w:r>
      <w:r w:rsidRPr="007F1FDF">
        <w:t xml:space="preserve"> </w:t>
      </w:r>
      <w:r w:rsidRPr="007F1FDF">
        <w:rPr>
          <w:b/>
        </w:rPr>
        <w:t>17</w:t>
      </w:r>
      <w:r w:rsidRPr="007F1FDF">
        <w:t>, 1726-1733, doi:10.1007/s00198-006-0172-4 (2006).</w:t>
      </w:r>
      <w:bookmarkEnd w:id="4"/>
    </w:p>
    <w:p w:rsidR="00DB3646" w:rsidRPr="007F1FDF" w:rsidRDefault="00DB3646" w:rsidP="00032B4E">
      <w:pPr>
        <w:pStyle w:val="EndNoteBibliography"/>
        <w:spacing w:after="0"/>
        <w:ind w:left="720" w:hanging="720"/>
      </w:pPr>
      <w:bookmarkStart w:id="5" w:name="_ENREF_5"/>
      <w:r w:rsidRPr="007F1FDF">
        <w:t>5</w:t>
      </w:r>
      <w:r w:rsidRPr="007F1FDF">
        <w:tab/>
        <w:t xml:space="preserve">Spector, T. D., Cooper, C. &amp; Lewis, A. F. Trends in admissions for hip fracture in England and Wales, 1968-85. </w:t>
      </w:r>
      <w:r w:rsidRPr="007F1FDF">
        <w:rPr>
          <w:i/>
        </w:rPr>
        <w:t>BMJ (Clinical research ed.)</w:t>
      </w:r>
      <w:r w:rsidRPr="007F1FDF">
        <w:t xml:space="preserve"> </w:t>
      </w:r>
      <w:r w:rsidRPr="007F1FDF">
        <w:rPr>
          <w:b/>
        </w:rPr>
        <w:t>300</w:t>
      </w:r>
      <w:r w:rsidRPr="007F1FDF">
        <w:t>, 1173-1174 (1990).</w:t>
      </w:r>
      <w:bookmarkEnd w:id="5"/>
    </w:p>
    <w:p w:rsidR="00DB3646" w:rsidRPr="007F1FDF" w:rsidRDefault="00DB3646" w:rsidP="00032B4E">
      <w:pPr>
        <w:pStyle w:val="EndNoteBibliography"/>
        <w:spacing w:after="0"/>
        <w:ind w:left="720" w:hanging="720"/>
      </w:pPr>
      <w:bookmarkStart w:id="6" w:name="_ENREF_6"/>
      <w:r w:rsidRPr="007F1FDF">
        <w:t>6</w:t>
      </w:r>
      <w:r w:rsidRPr="007F1FDF">
        <w:tab/>
        <w:t>Gullberg, B.</w:t>
      </w:r>
      <w:r w:rsidRPr="007F1FDF">
        <w:rPr>
          <w:i/>
        </w:rPr>
        <w:t xml:space="preserve"> et al.</w:t>
      </w:r>
      <w:r w:rsidRPr="007F1FDF">
        <w:t xml:space="preserve"> Incidence of hip fractures in Malmo, Sweden (1950-1991). </w:t>
      </w:r>
      <w:r w:rsidRPr="007F1FDF">
        <w:rPr>
          <w:i/>
        </w:rPr>
        <w:t>Bone</w:t>
      </w:r>
      <w:r w:rsidRPr="007F1FDF">
        <w:t xml:space="preserve"> </w:t>
      </w:r>
      <w:r w:rsidRPr="007F1FDF">
        <w:rPr>
          <w:b/>
        </w:rPr>
        <w:t>14 Suppl 1</w:t>
      </w:r>
      <w:r w:rsidRPr="007F1FDF">
        <w:t>, S23-29 (1993).</w:t>
      </w:r>
      <w:bookmarkEnd w:id="6"/>
    </w:p>
    <w:p w:rsidR="00DB3646" w:rsidRPr="007F1FDF" w:rsidRDefault="00DB3646" w:rsidP="00032B4E">
      <w:pPr>
        <w:pStyle w:val="EndNoteBibliography"/>
        <w:spacing w:after="0"/>
        <w:ind w:left="720" w:hanging="720"/>
      </w:pPr>
      <w:bookmarkStart w:id="7" w:name="_ENREF_7"/>
      <w:r w:rsidRPr="007F1FDF">
        <w:t>7</w:t>
      </w:r>
      <w:r w:rsidRPr="007F1FDF">
        <w:tab/>
        <w:t>Korhonen, N.</w:t>
      </w:r>
      <w:r w:rsidRPr="007F1FDF">
        <w:rPr>
          <w:i/>
        </w:rPr>
        <w:t xml:space="preserve"> et al.</w:t>
      </w:r>
      <w:r w:rsidRPr="007F1FDF">
        <w:t xml:space="preserve"> Continuous decline in incidence of hip fracture: nationwide statistics from Finland between 1970 and 2010. </w:t>
      </w:r>
      <w:r w:rsidRPr="007F1FDF">
        <w:rPr>
          <w:i/>
        </w:rPr>
        <w:t>Osteoporos Int.</w:t>
      </w:r>
      <w:r w:rsidRPr="007F1FDF">
        <w:t xml:space="preserve"> </w:t>
      </w:r>
      <w:r w:rsidRPr="007F1FDF">
        <w:rPr>
          <w:b/>
        </w:rPr>
        <w:t>24</w:t>
      </w:r>
      <w:r w:rsidRPr="007F1FDF">
        <w:t>, 1599-1603, doi:10.1007/s00198-012-2190-8 (2013).</w:t>
      </w:r>
      <w:bookmarkEnd w:id="7"/>
    </w:p>
    <w:p w:rsidR="00DB3646" w:rsidRPr="007F1FDF" w:rsidRDefault="00DB3646" w:rsidP="00032B4E">
      <w:pPr>
        <w:pStyle w:val="EndNoteBibliography"/>
        <w:spacing w:after="0"/>
        <w:ind w:left="720" w:hanging="720"/>
      </w:pPr>
      <w:bookmarkStart w:id="8" w:name="_ENREF_8"/>
      <w:r w:rsidRPr="007F1FDF">
        <w:t>8</w:t>
      </w:r>
      <w:r w:rsidRPr="007F1FDF">
        <w:tab/>
        <w:t xml:space="preserve">Boereboom, F. T., Raymakers, J. A., de Groot, R. R. &amp; Duursma, S. A. Epidemiology of hip fractures in The Netherlands: women compared with men. </w:t>
      </w:r>
      <w:r w:rsidRPr="007F1FDF">
        <w:rPr>
          <w:i/>
        </w:rPr>
        <w:t>Osteoporos Int.</w:t>
      </w:r>
      <w:r w:rsidRPr="007F1FDF">
        <w:t xml:space="preserve"> </w:t>
      </w:r>
      <w:r w:rsidRPr="007F1FDF">
        <w:rPr>
          <w:b/>
        </w:rPr>
        <w:t>2</w:t>
      </w:r>
      <w:r w:rsidRPr="007F1FDF">
        <w:t>, 279-284 (1992).</w:t>
      </w:r>
      <w:bookmarkEnd w:id="8"/>
    </w:p>
    <w:p w:rsidR="00DB3646" w:rsidRPr="007F1FDF" w:rsidRDefault="00DB3646" w:rsidP="00032B4E">
      <w:pPr>
        <w:pStyle w:val="EndNoteBibliography"/>
        <w:spacing w:after="0"/>
        <w:ind w:left="720" w:hanging="720"/>
      </w:pPr>
      <w:bookmarkStart w:id="9" w:name="_ENREF_9"/>
      <w:r w:rsidRPr="007F1FDF">
        <w:t>9</w:t>
      </w:r>
      <w:r w:rsidRPr="007F1FDF">
        <w:tab/>
        <w:t>Dimai, H. P.</w:t>
      </w:r>
      <w:r w:rsidRPr="007F1FDF">
        <w:rPr>
          <w:i/>
        </w:rPr>
        <w:t xml:space="preserve"> et al.</w:t>
      </w:r>
      <w:r w:rsidRPr="007F1FDF">
        <w:t xml:space="preserve"> Epidemiology of hip fractures in Austria: evidence for a change in the secular trend. </w:t>
      </w:r>
      <w:r w:rsidRPr="007F1FDF">
        <w:rPr>
          <w:i/>
        </w:rPr>
        <w:t>Osteoporos Int.</w:t>
      </w:r>
      <w:r w:rsidRPr="007F1FDF">
        <w:t xml:space="preserve"> </w:t>
      </w:r>
      <w:r w:rsidRPr="007F1FDF">
        <w:rPr>
          <w:b/>
        </w:rPr>
        <w:t>22</w:t>
      </w:r>
      <w:r w:rsidRPr="007F1FDF">
        <w:t>, 685-692, doi:10.1007/s00198-010-1271-9 (2011).</w:t>
      </w:r>
      <w:bookmarkEnd w:id="9"/>
    </w:p>
    <w:p w:rsidR="00DB3646" w:rsidRPr="007F1FDF" w:rsidRDefault="00DB3646" w:rsidP="00032B4E">
      <w:pPr>
        <w:pStyle w:val="EndNoteBibliography"/>
        <w:spacing w:after="0"/>
        <w:ind w:left="720" w:hanging="720"/>
      </w:pPr>
      <w:bookmarkStart w:id="10" w:name="_ENREF_10"/>
      <w:r w:rsidRPr="007F1FDF">
        <w:t>10</w:t>
      </w:r>
      <w:r w:rsidRPr="007F1FDF">
        <w:tab/>
        <w:t xml:space="preserve">Giversen, I. M. Time trends of age-adjusted incidence rates of first hip fractures: a register-based study among older people in Viborg County, Denmark, 1987-1997. </w:t>
      </w:r>
      <w:r w:rsidRPr="007F1FDF">
        <w:rPr>
          <w:i/>
        </w:rPr>
        <w:t>Osteoporos Int.</w:t>
      </w:r>
      <w:r w:rsidRPr="007F1FDF">
        <w:t xml:space="preserve"> </w:t>
      </w:r>
      <w:r w:rsidRPr="007F1FDF">
        <w:rPr>
          <w:b/>
        </w:rPr>
        <w:t>17</w:t>
      </w:r>
      <w:r w:rsidRPr="007F1FDF">
        <w:t>, 552-564, doi:10.1007/s00198-005-0012-y (2006).</w:t>
      </w:r>
      <w:bookmarkEnd w:id="10"/>
    </w:p>
    <w:p w:rsidR="00DB3646" w:rsidRPr="007F1FDF" w:rsidRDefault="00DB3646" w:rsidP="00032B4E">
      <w:pPr>
        <w:pStyle w:val="EndNoteBibliography"/>
        <w:spacing w:after="0"/>
        <w:ind w:left="720" w:hanging="720"/>
      </w:pPr>
      <w:bookmarkStart w:id="11" w:name="_ENREF_11"/>
      <w:r w:rsidRPr="007F1FDF">
        <w:t>11</w:t>
      </w:r>
      <w:r w:rsidRPr="007F1FDF">
        <w:tab/>
        <w:t xml:space="preserve">Wildner, M., Casper, W. &amp; Bergmann, K. E. A secular trend in hip fracture incidence in East Germany. </w:t>
      </w:r>
      <w:r w:rsidRPr="007F1FDF">
        <w:rPr>
          <w:i/>
        </w:rPr>
        <w:t>Osteoporos Int.</w:t>
      </w:r>
      <w:r w:rsidRPr="007F1FDF">
        <w:t xml:space="preserve"> </w:t>
      </w:r>
      <w:r w:rsidRPr="007F1FDF">
        <w:rPr>
          <w:b/>
        </w:rPr>
        <w:t>9</w:t>
      </w:r>
      <w:r w:rsidRPr="007F1FDF">
        <w:t>, 144-150, doi:10.1007/s001980050128 (1999).</w:t>
      </w:r>
      <w:bookmarkEnd w:id="11"/>
    </w:p>
    <w:p w:rsidR="00DB3646" w:rsidRPr="007F1FDF" w:rsidRDefault="00DB3646" w:rsidP="00032B4E">
      <w:pPr>
        <w:pStyle w:val="EndNoteBibliography"/>
        <w:spacing w:after="0"/>
        <w:ind w:left="720" w:hanging="720"/>
      </w:pPr>
      <w:bookmarkStart w:id="12" w:name="_ENREF_12"/>
      <w:r w:rsidRPr="007F1FDF">
        <w:t>12</w:t>
      </w:r>
      <w:r w:rsidRPr="007F1FDF">
        <w:tab/>
        <w:t xml:space="preserve">Icks, A., Haastert, B., Wildner, M., Becker, C. &amp; Meyer, G. Trend of hip fracture incidence in Germany 1995-2004: a population-based study. </w:t>
      </w:r>
      <w:r w:rsidRPr="007F1FDF">
        <w:rPr>
          <w:i/>
        </w:rPr>
        <w:t>Osteoporos Int.</w:t>
      </w:r>
      <w:r w:rsidRPr="007F1FDF">
        <w:t xml:space="preserve"> </w:t>
      </w:r>
      <w:r w:rsidRPr="007F1FDF">
        <w:rPr>
          <w:b/>
        </w:rPr>
        <w:t>19</w:t>
      </w:r>
      <w:r w:rsidRPr="007F1FDF">
        <w:t>, 1139-1145, doi:10.1007/s00198-007-0534-6 (2008).</w:t>
      </w:r>
      <w:bookmarkEnd w:id="12"/>
    </w:p>
    <w:p w:rsidR="00DB3646" w:rsidRPr="007F1FDF" w:rsidRDefault="00DB3646" w:rsidP="00032B4E">
      <w:pPr>
        <w:pStyle w:val="EndNoteBibliography"/>
        <w:spacing w:after="0"/>
        <w:ind w:left="720" w:hanging="720"/>
      </w:pPr>
      <w:bookmarkStart w:id="13" w:name="_ENREF_13"/>
      <w:r w:rsidRPr="007F1FDF">
        <w:t>13</w:t>
      </w:r>
      <w:r w:rsidRPr="007F1FDF">
        <w:tab/>
        <w:t>Siggeirsdottir, K.</w:t>
      </w:r>
      <w:r w:rsidRPr="007F1FDF">
        <w:rPr>
          <w:i/>
        </w:rPr>
        <w:t xml:space="preserve"> et al.</w:t>
      </w:r>
      <w:r w:rsidRPr="007F1FDF">
        <w:t xml:space="preserve"> Epidemiology of fractures in Iceland and secular trends in major osteoporotic fractures 1989-2008. </w:t>
      </w:r>
      <w:r w:rsidRPr="007F1FDF">
        <w:rPr>
          <w:i/>
        </w:rPr>
        <w:t>Osteoporos Int.</w:t>
      </w:r>
      <w:r w:rsidRPr="007F1FDF">
        <w:t xml:space="preserve"> </w:t>
      </w:r>
      <w:r w:rsidRPr="007F1FDF">
        <w:rPr>
          <w:b/>
        </w:rPr>
        <w:t>25</w:t>
      </w:r>
      <w:r w:rsidRPr="007F1FDF">
        <w:t>, 211-219, doi:10.1007/s00198-013-2422-6 (2014).</w:t>
      </w:r>
      <w:bookmarkEnd w:id="13"/>
    </w:p>
    <w:p w:rsidR="00DB3646" w:rsidRPr="007F1FDF" w:rsidRDefault="00DB3646" w:rsidP="00032B4E">
      <w:pPr>
        <w:pStyle w:val="EndNoteBibliography"/>
        <w:spacing w:after="0"/>
        <w:ind w:left="720" w:hanging="720"/>
      </w:pPr>
      <w:bookmarkStart w:id="14" w:name="_ENREF_14"/>
      <w:r w:rsidRPr="007F1FDF">
        <w:t>14</w:t>
      </w:r>
      <w:r w:rsidRPr="007F1FDF">
        <w:tab/>
        <w:t>Lofthus, C. M.</w:t>
      </w:r>
      <w:r w:rsidRPr="007F1FDF">
        <w:rPr>
          <w:i/>
        </w:rPr>
        <w:t xml:space="preserve"> et al.</w:t>
      </w:r>
      <w:r w:rsidRPr="007F1FDF">
        <w:t xml:space="preserve"> Epidemiology of hip fractures in Oslo, Norway. </w:t>
      </w:r>
      <w:r w:rsidRPr="007F1FDF">
        <w:rPr>
          <w:i/>
        </w:rPr>
        <w:t>Bone</w:t>
      </w:r>
      <w:r w:rsidRPr="007F1FDF">
        <w:t xml:space="preserve"> </w:t>
      </w:r>
      <w:r w:rsidRPr="007F1FDF">
        <w:rPr>
          <w:b/>
        </w:rPr>
        <w:t>29</w:t>
      </w:r>
      <w:r w:rsidRPr="007F1FDF">
        <w:t>, 413-418 (2001).</w:t>
      </w:r>
      <w:bookmarkEnd w:id="14"/>
    </w:p>
    <w:p w:rsidR="00DB3646" w:rsidRPr="007F1FDF" w:rsidRDefault="00DB3646" w:rsidP="00032B4E">
      <w:pPr>
        <w:pStyle w:val="EndNoteBibliography"/>
        <w:spacing w:after="0"/>
        <w:ind w:left="720" w:hanging="720"/>
      </w:pPr>
      <w:bookmarkStart w:id="15" w:name="_ENREF_15"/>
      <w:r w:rsidRPr="00F76D24">
        <w:t>15</w:t>
      </w:r>
      <w:r w:rsidRPr="00F76D24">
        <w:tab/>
        <w:t>Hernandez, J. L.</w:t>
      </w:r>
      <w:r w:rsidRPr="00F76D24">
        <w:rPr>
          <w:i/>
        </w:rPr>
        <w:t xml:space="preserve"> et al.</w:t>
      </w:r>
      <w:r w:rsidRPr="00F76D24">
        <w:t xml:space="preserve"> </w:t>
      </w:r>
      <w:r w:rsidRPr="007F1FDF">
        <w:t xml:space="preserve">Trend in hip fracture epidemiology over a 14-year period in a Spanish population. </w:t>
      </w:r>
      <w:r w:rsidRPr="007F1FDF">
        <w:rPr>
          <w:i/>
        </w:rPr>
        <w:t>Osteoporos Int.</w:t>
      </w:r>
      <w:r w:rsidRPr="007F1FDF">
        <w:t xml:space="preserve"> </w:t>
      </w:r>
      <w:r w:rsidRPr="007F1FDF">
        <w:rPr>
          <w:b/>
        </w:rPr>
        <w:t>17</w:t>
      </w:r>
      <w:r w:rsidRPr="007F1FDF">
        <w:t>, 464-470, doi:10.1007/s00198-005-0008-7 (2006).</w:t>
      </w:r>
      <w:bookmarkEnd w:id="15"/>
    </w:p>
    <w:p w:rsidR="00DB3646" w:rsidRPr="007F1FDF" w:rsidRDefault="00DB3646" w:rsidP="00032B4E">
      <w:pPr>
        <w:pStyle w:val="EndNoteBibliography"/>
        <w:spacing w:after="0"/>
        <w:ind w:left="720" w:hanging="720"/>
      </w:pPr>
      <w:bookmarkStart w:id="16" w:name="_ENREF_16"/>
      <w:r w:rsidRPr="007F1FDF">
        <w:t>16</w:t>
      </w:r>
      <w:r w:rsidRPr="007F1FDF">
        <w:tab/>
        <w:t>Rosengren, B. E.</w:t>
      </w:r>
      <w:r w:rsidRPr="007F1FDF">
        <w:rPr>
          <w:i/>
        </w:rPr>
        <w:t xml:space="preserve"> et al.</w:t>
      </w:r>
      <w:r w:rsidRPr="007F1FDF">
        <w:t xml:space="preserve"> Forearm bone mineral density and incidence of hip fractures in Swedish urban and rural men 1987-2002. </w:t>
      </w:r>
      <w:r w:rsidRPr="007F1FDF">
        <w:rPr>
          <w:i/>
        </w:rPr>
        <w:t>Scand J Public Healt</w:t>
      </w:r>
      <w:r w:rsidRPr="007F1FDF">
        <w:t xml:space="preserve"> </w:t>
      </w:r>
      <w:r w:rsidRPr="007F1FDF">
        <w:rPr>
          <w:b/>
        </w:rPr>
        <w:t>40</w:t>
      </w:r>
      <w:r w:rsidRPr="007F1FDF">
        <w:t>, 102-108, doi:10.1177/1403494811425604 (2012).</w:t>
      </w:r>
      <w:bookmarkEnd w:id="16"/>
    </w:p>
    <w:p w:rsidR="00DB3646" w:rsidRPr="007F1FDF" w:rsidRDefault="00DB3646" w:rsidP="00032B4E">
      <w:pPr>
        <w:pStyle w:val="EndNoteBibliography"/>
        <w:spacing w:after="0"/>
        <w:ind w:left="720" w:hanging="720"/>
      </w:pPr>
      <w:bookmarkStart w:id="17" w:name="_ENREF_17"/>
      <w:r w:rsidRPr="007F1FDF">
        <w:t>17</w:t>
      </w:r>
      <w:r w:rsidRPr="007F1FDF">
        <w:tab/>
        <w:t xml:space="preserve">Abrahamsen, B. &amp; Vestergaard, P. Declining incidence of hip fractures and the extent of use of anti-osteoporotic therapy in Denmark 1997-2006. </w:t>
      </w:r>
      <w:r w:rsidRPr="007F1FDF">
        <w:rPr>
          <w:i/>
        </w:rPr>
        <w:t>Osteoporos Int.</w:t>
      </w:r>
      <w:r w:rsidRPr="007F1FDF">
        <w:t xml:space="preserve"> </w:t>
      </w:r>
      <w:r w:rsidRPr="007F1FDF">
        <w:rPr>
          <w:b/>
        </w:rPr>
        <w:t>21</w:t>
      </w:r>
      <w:r w:rsidRPr="007F1FDF">
        <w:t>, 373-380, doi:10.1007/s00198-009-0957-3 (2010).</w:t>
      </w:r>
      <w:bookmarkEnd w:id="17"/>
    </w:p>
    <w:p w:rsidR="00DB3646" w:rsidRPr="007F1FDF" w:rsidRDefault="00DB3646" w:rsidP="00032B4E">
      <w:pPr>
        <w:pStyle w:val="EndNoteBibliography"/>
        <w:spacing w:after="0"/>
        <w:ind w:left="720" w:hanging="720"/>
      </w:pPr>
      <w:bookmarkStart w:id="18" w:name="_ENREF_18"/>
      <w:r w:rsidRPr="007F1FDF">
        <w:t>18</w:t>
      </w:r>
      <w:r w:rsidRPr="007F1FDF">
        <w:tab/>
        <w:t>Lippuner, K.</w:t>
      </w:r>
      <w:r w:rsidRPr="007F1FDF">
        <w:rPr>
          <w:i/>
        </w:rPr>
        <w:t xml:space="preserve"> et al.</w:t>
      </w:r>
      <w:r w:rsidRPr="007F1FDF">
        <w:t xml:space="preserve"> Fracture hospitalizations between years 2000 and 2007 in Switzerland: a trend analysis. </w:t>
      </w:r>
      <w:r w:rsidRPr="007F1FDF">
        <w:rPr>
          <w:i/>
        </w:rPr>
        <w:t>Osteoporos Int.</w:t>
      </w:r>
      <w:r w:rsidRPr="007F1FDF">
        <w:t xml:space="preserve"> </w:t>
      </w:r>
      <w:r w:rsidRPr="007F1FDF">
        <w:rPr>
          <w:b/>
        </w:rPr>
        <w:t>22</w:t>
      </w:r>
      <w:r w:rsidRPr="007F1FDF">
        <w:t>, 2487-2497, doi:10.1007/s00198-010-1487-8 (2011).</w:t>
      </w:r>
      <w:bookmarkEnd w:id="18"/>
    </w:p>
    <w:p w:rsidR="00DB3646" w:rsidRPr="007F1FDF" w:rsidRDefault="00DB3646" w:rsidP="00032B4E">
      <w:pPr>
        <w:pStyle w:val="EndNoteBibliography"/>
        <w:spacing w:after="0"/>
        <w:ind w:left="720" w:hanging="720"/>
      </w:pPr>
      <w:bookmarkStart w:id="19" w:name="_ENREF_19"/>
      <w:r w:rsidRPr="007F1FDF">
        <w:lastRenderedPageBreak/>
        <w:t>19</w:t>
      </w:r>
      <w:r w:rsidRPr="007F1FDF">
        <w:tab/>
        <w:t xml:space="preserve">Goettsch, W. G., de Jong, R. B., Kramarz, P. &amp; Herings, R. M. C. Developments of the incidence of osteoporosis in The Netherlands: a PHARMO study. </w:t>
      </w:r>
      <w:r w:rsidRPr="007F1FDF">
        <w:rPr>
          <w:i/>
        </w:rPr>
        <w:t>Pharmacoepidem Dr S</w:t>
      </w:r>
      <w:r w:rsidRPr="007F1FDF">
        <w:t xml:space="preserve"> </w:t>
      </w:r>
      <w:r w:rsidRPr="007F1FDF">
        <w:rPr>
          <w:b/>
        </w:rPr>
        <w:t>16</w:t>
      </w:r>
      <w:r w:rsidRPr="007F1FDF">
        <w:t>, 166-172, doi:10.1002/pds.1245 (2007).</w:t>
      </w:r>
      <w:bookmarkEnd w:id="19"/>
    </w:p>
    <w:p w:rsidR="00DB3646" w:rsidRPr="007F1FDF" w:rsidRDefault="00DB3646" w:rsidP="00032B4E">
      <w:pPr>
        <w:pStyle w:val="EndNoteBibliography"/>
        <w:spacing w:after="0"/>
        <w:ind w:left="720" w:hanging="720"/>
      </w:pPr>
      <w:bookmarkStart w:id="20" w:name="_ENREF_20"/>
      <w:r w:rsidRPr="007F1FDF">
        <w:t>20</w:t>
      </w:r>
      <w:r w:rsidRPr="007F1FDF">
        <w:tab/>
        <w:t xml:space="preserve">Briot, K., Maravic, M. &amp; Roux, C. Changes in number and incidence of hip fractures over 12 years in France. </w:t>
      </w:r>
      <w:r w:rsidRPr="007F1FDF">
        <w:rPr>
          <w:i/>
        </w:rPr>
        <w:t>Bone</w:t>
      </w:r>
      <w:r w:rsidRPr="007F1FDF">
        <w:t xml:space="preserve"> </w:t>
      </w:r>
      <w:r w:rsidRPr="007F1FDF">
        <w:rPr>
          <w:b/>
        </w:rPr>
        <w:t>81</w:t>
      </w:r>
      <w:r w:rsidRPr="007F1FDF">
        <w:t>, 131-137, doi:10.1016/j.bone.2015.07.009 (2015).</w:t>
      </w:r>
      <w:bookmarkEnd w:id="20"/>
    </w:p>
    <w:p w:rsidR="00DB3646" w:rsidRPr="007F1FDF" w:rsidRDefault="00DB3646" w:rsidP="00032B4E">
      <w:pPr>
        <w:pStyle w:val="EndNoteBibliography"/>
        <w:spacing w:after="0"/>
        <w:ind w:left="720" w:hanging="720"/>
      </w:pPr>
      <w:bookmarkStart w:id="21" w:name="_ENREF_21"/>
      <w:r w:rsidRPr="007F1FDF">
        <w:t>21</w:t>
      </w:r>
      <w:r w:rsidRPr="007F1FDF">
        <w:tab/>
        <w:t>Cooper, C.</w:t>
      </w:r>
      <w:r w:rsidRPr="007F1FDF">
        <w:rPr>
          <w:i/>
        </w:rPr>
        <w:t xml:space="preserve"> et al.</w:t>
      </w:r>
      <w:r w:rsidRPr="007F1FDF">
        <w:t xml:space="preserve"> Secular trends in the incidence of hip and other osteoporotic fractures. </w:t>
      </w:r>
      <w:r w:rsidRPr="007F1FDF">
        <w:rPr>
          <w:i/>
        </w:rPr>
        <w:t>Osteoporos Int.</w:t>
      </w:r>
      <w:r w:rsidRPr="007F1FDF">
        <w:t xml:space="preserve"> </w:t>
      </w:r>
      <w:r w:rsidRPr="007F1FDF">
        <w:rPr>
          <w:b/>
        </w:rPr>
        <w:t>22</w:t>
      </w:r>
      <w:r w:rsidRPr="007F1FDF">
        <w:t>, 1277-1288, doi:10.1007/s00198-011-1601-6 (2011).</w:t>
      </w:r>
      <w:bookmarkEnd w:id="21"/>
    </w:p>
    <w:p w:rsidR="00DB3646" w:rsidRPr="007F1FDF" w:rsidRDefault="00DB3646" w:rsidP="00032B4E">
      <w:pPr>
        <w:pStyle w:val="EndNoteBibliography"/>
        <w:spacing w:after="0"/>
        <w:ind w:left="720" w:hanging="720"/>
      </w:pPr>
      <w:bookmarkStart w:id="22" w:name="_ENREF_22"/>
      <w:r w:rsidRPr="007F1FDF">
        <w:t>22</w:t>
      </w:r>
      <w:r w:rsidRPr="007F1FDF">
        <w:tab/>
        <w:t xml:space="preserve">Ballane, G., Cauley, J. A., Luckey, M. M. &amp; Fuleihan Gel, H. Secular trends in hip fractures worldwide: opposing trends East versus West. </w:t>
      </w:r>
      <w:r w:rsidRPr="007F1FDF">
        <w:rPr>
          <w:i/>
        </w:rPr>
        <w:t>Journal of bone and mineral research : the official journal of the American Society for Bone and Mineral Research</w:t>
      </w:r>
      <w:r w:rsidRPr="007F1FDF">
        <w:t xml:space="preserve"> </w:t>
      </w:r>
      <w:r w:rsidRPr="007F1FDF">
        <w:rPr>
          <w:b/>
        </w:rPr>
        <w:t>29</w:t>
      </w:r>
      <w:r w:rsidRPr="007F1FDF">
        <w:t>, 1745-1755, doi:10.1002/jbmr.2218 (2014).</w:t>
      </w:r>
      <w:bookmarkEnd w:id="22"/>
    </w:p>
    <w:p w:rsidR="00DB3646" w:rsidRPr="007F1FDF" w:rsidRDefault="00DB3646" w:rsidP="00032B4E">
      <w:pPr>
        <w:pStyle w:val="EndNoteBibliography"/>
        <w:spacing w:after="0"/>
        <w:ind w:left="720" w:hanging="720"/>
      </w:pPr>
      <w:bookmarkStart w:id="23" w:name="_ENREF_23"/>
      <w:r w:rsidRPr="007F1FDF">
        <w:t>23</w:t>
      </w:r>
      <w:r w:rsidRPr="007F1FDF">
        <w:tab/>
        <w:t xml:space="preserve">Unal, B., Critchley, J. A. &amp; Capewell, S. Explaining the decline in coronary heart disease mortality in England and Wales between 1981 and 2000. </w:t>
      </w:r>
      <w:r w:rsidRPr="007F1FDF">
        <w:rPr>
          <w:i/>
        </w:rPr>
        <w:t>Circulation</w:t>
      </w:r>
      <w:r w:rsidRPr="007F1FDF">
        <w:t xml:space="preserve"> </w:t>
      </w:r>
      <w:r w:rsidRPr="007F1FDF">
        <w:rPr>
          <w:b/>
        </w:rPr>
        <w:t>109</w:t>
      </w:r>
      <w:r w:rsidRPr="007F1FDF">
        <w:t>, 1101-1107, doi:10.1161/01.cir.0000118498.35499.b2 (2004).</w:t>
      </w:r>
      <w:bookmarkEnd w:id="23"/>
    </w:p>
    <w:p w:rsidR="00DB3646" w:rsidRPr="007F1FDF" w:rsidRDefault="00DB3646" w:rsidP="00032B4E">
      <w:pPr>
        <w:pStyle w:val="EndNoteBibliography"/>
        <w:spacing w:after="0"/>
        <w:ind w:left="720" w:hanging="720"/>
      </w:pPr>
      <w:bookmarkStart w:id="24" w:name="_ENREF_24"/>
      <w:r w:rsidRPr="007F1FDF">
        <w:t>24</w:t>
      </w:r>
      <w:r w:rsidRPr="007F1FDF">
        <w:tab/>
        <w:t xml:space="preserve">Jurisson, M., Vorobjov, S., Kallikorm, R., Lember, M. &amp; Uuskula, A. The incidence of hip fractures in Estonia, 2005-2012. </w:t>
      </w:r>
      <w:r w:rsidRPr="007F1FDF">
        <w:rPr>
          <w:i/>
        </w:rPr>
        <w:t>Osteoporos Int.</w:t>
      </w:r>
      <w:r w:rsidRPr="007F1FDF">
        <w:t xml:space="preserve"> </w:t>
      </w:r>
      <w:r w:rsidRPr="007F1FDF">
        <w:rPr>
          <w:b/>
        </w:rPr>
        <w:t>26</w:t>
      </w:r>
      <w:r w:rsidRPr="007F1FDF">
        <w:t>, 77-84, doi:10.1007/s00198-014-2820-4 (2015).</w:t>
      </w:r>
      <w:bookmarkEnd w:id="24"/>
    </w:p>
    <w:p w:rsidR="00DB3646" w:rsidRPr="007F1FDF" w:rsidRDefault="00DB3646" w:rsidP="00032B4E">
      <w:pPr>
        <w:pStyle w:val="EndNoteBibliography"/>
        <w:spacing w:after="0"/>
        <w:ind w:left="720" w:hanging="720"/>
      </w:pPr>
      <w:bookmarkStart w:id="25" w:name="_ENREF_25"/>
      <w:r w:rsidRPr="007F1FDF">
        <w:t>25</w:t>
      </w:r>
      <w:r w:rsidRPr="007F1FDF">
        <w:tab/>
        <w:t xml:space="preserve">Maravic, M., Taupin, P., Landais, P. &amp; Roux, C. Change in hip fracture incidence over the last 6 years in France. </w:t>
      </w:r>
      <w:r w:rsidRPr="007F1FDF">
        <w:rPr>
          <w:i/>
        </w:rPr>
        <w:t>Osteoporos Int.</w:t>
      </w:r>
      <w:r w:rsidRPr="007F1FDF">
        <w:t xml:space="preserve"> </w:t>
      </w:r>
      <w:r w:rsidRPr="007F1FDF">
        <w:rPr>
          <w:b/>
        </w:rPr>
        <w:t>22</w:t>
      </w:r>
      <w:r w:rsidRPr="007F1FDF">
        <w:t>, 797-801, doi:10.1007/s00198-010-1255-9 (2011).</w:t>
      </w:r>
      <w:bookmarkEnd w:id="25"/>
    </w:p>
    <w:p w:rsidR="00DB3646" w:rsidRPr="007F1FDF" w:rsidRDefault="00DB3646" w:rsidP="00032B4E">
      <w:pPr>
        <w:pStyle w:val="EndNoteBibliography"/>
        <w:spacing w:after="0"/>
        <w:ind w:left="720" w:hanging="720"/>
      </w:pPr>
      <w:bookmarkStart w:id="26" w:name="_ENREF_26"/>
      <w:r w:rsidRPr="007F1FDF">
        <w:t>26</w:t>
      </w:r>
      <w:r w:rsidRPr="007F1FDF">
        <w:tab/>
        <w:t>Piscitelli, P.</w:t>
      </w:r>
      <w:r w:rsidRPr="007F1FDF">
        <w:rPr>
          <w:i/>
        </w:rPr>
        <w:t xml:space="preserve"> et al.</w:t>
      </w:r>
      <w:r w:rsidRPr="007F1FDF">
        <w:t xml:space="preserve"> Updated incidence rates of fragility fractures in Italy: extension study 2002-2008. </w:t>
      </w:r>
      <w:r w:rsidRPr="007F1FDF">
        <w:rPr>
          <w:i/>
        </w:rPr>
        <w:t>Clinical cases in mineral and bone metabolism : the official journal of the Italian Society of Osteoporosis, Mineral Metabolism, and Skeletal Diseases</w:t>
      </w:r>
      <w:r w:rsidRPr="007F1FDF">
        <w:t xml:space="preserve"> </w:t>
      </w:r>
      <w:r w:rsidRPr="007F1FDF">
        <w:rPr>
          <w:b/>
        </w:rPr>
        <w:t>8</w:t>
      </w:r>
      <w:r w:rsidRPr="007F1FDF">
        <w:t>, 54-61 (2011).</w:t>
      </w:r>
      <w:bookmarkEnd w:id="26"/>
    </w:p>
    <w:p w:rsidR="00DB3646" w:rsidRPr="007F1FDF" w:rsidRDefault="00DB3646" w:rsidP="00032B4E">
      <w:pPr>
        <w:pStyle w:val="EndNoteBibliography"/>
        <w:spacing w:after="0"/>
        <w:ind w:left="720" w:hanging="720"/>
      </w:pPr>
      <w:bookmarkStart w:id="27" w:name="_ENREF_27"/>
      <w:r w:rsidRPr="007F1FDF">
        <w:t>27</w:t>
      </w:r>
      <w:r w:rsidRPr="007F1FDF">
        <w:tab/>
        <w:t>Hartholt, K. A.</w:t>
      </w:r>
      <w:r w:rsidRPr="007F1FDF">
        <w:rPr>
          <w:i/>
        </w:rPr>
        <w:t xml:space="preserve"> et al.</w:t>
      </w:r>
      <w:r w:rsidRPr="007F1FDF">
        <w:t xml:space="preserve"> The epidemic of hip fractures: are we on the right track? </w:t>
      </w:r>
      <w:r w:rsidRPr="007F1FDF">
        <w:rPr>
          <w:i/>
        </w:rPr>
        <w:t>PloS one</w:t>
      </w:r>
      <w:r w:rsidRPr="007F1FDF">
        <w:t xml:space="preserve"> </w:t>
      </w:r>
      <w:r w:rsidRPr="007F1FDF">
        <w:rPr>
          <w:b/>
        </w:rPr>
        <w:t>6</w:t>
      </w:r>
      <w:r w:rsidRPr="007F1FDF">
        <w:t>, e22227, doi:10.1371/journal.pone.0022227 (2011).</w:t>
      </w:r>
      <w:bookmarkEnd w:id="27"/>
    </w:p>
    <w:p w:rsidR="00DB3646" w:rsidRPr="007F1FDF" w:rsidRDefault="00DB3646" w:rsidP="00032B4E">
      <w:pPr>
        <w:pStyle w:val="EndNoteBibliography"/>
        <w:spacing w:after="0"/>
        <w:ind w:left="720" w:hanging="720"/>
      </w:pPr>
      <w:bookmarkStart w:id="28" w:name="_ENREF_28"/>
      <w:r w:rsidRPr="007F1FDF">
        <w:t>28</w:t>
      </w:r>
      <w:r w:rsidRPr="007F1FDF">
        <w:tab/>
        <w:t>Omsland, T. K.</w:t>
      </w:r>
      <w:r w:rsidRPr="007F1FDF">
        <w:rPr>
          <w:i/>
        </w:rPr>
        <w:t xml:space="preserve"> et al.</w:t>
      </w:r>
      <w:r w:rsidRPr="007F1FDF">
        <w:t xml:space="preserve"> Hip fractures in Norway 1999-2008: time trends in total incidence and second hip fracture rates: a NOREPOS study. </w:t>
      </w:r>
      <w:r w:rsidRPr="007F1FDF">
        <w:rPr>
          <w:i/>
        </w:rPr>
        <w:t>European journal of epidemiology</w:t>
      </w:r>
      <w:r w:rsidRPr="007F1FDF">
        <w:t xml:space="preserve"> </w:t>
      </w:r>
      <w:r w:rsidRPr="007F1FDF">
        <w:rPr>
          <w:b/>
        </w:rPr>
        <w:t>27</w:t>
      </w:r>
      <w:r w:rsidRPr="007F1FDF">
        <w:t>, 807-814, doi:10.1007/s10654-012-9711-9 (2012).</w:t>
      </w:r>
      <w:bookmarkEnd w:id="28"/>
    </w:p>
    <w:p w:rsidR="00DB3646" w:rsidRPr="007F1FDF" w:rsidRDefault="00DB3646" w:rsidP="00032B4E">
      <w:pPr>
        <w:pStyle w:val="EndNoteBibliography"/>
        <w:spacing w:after="0"/>
        <w:ind w:left="720" w:hanging="720"/>
      </w:pPr>
      <w:bookmarkStart w:id="29" w:name="_ENREF_29"/>
      <w:r w:rsidRPr="007F1FDF">
        <w:t>29</w:t>
      </w:r>
      <w:r w:rsidRPr="007F1FDF">
        <w:tab/>
        <w:t>Alves, S. M.</w:t>
      </w:r>
      <w:r w:rsidRPr="007F1FDF">
        <w:rPr>
          <w:i/>
        </w:rPr>
        <w:t xml:space="preserve"> et al.</w:t>
      </w:r>
      <w:r w:rsidRPr="007F1FDF">
        <w:t xml:space="preserve"> Osteoporotic hip fractures: bisphosphonates sales and observed turning point in trend. A population-based retrospective study. </w:t>
      </w:r>
      <w:r w:rsidRPr="007F1FDF">
        <w:rPr>
          <w:i/>
        </w:rPr>
        <w:t>Bone</w:t>
      </w:r>
      <w:r w:rsidRPr="007F1FDF">
        <w:t xml:space="preserve"> </w:t>
      </w:r>
      <w:r w:rsidRPr="007F1FDF">
        <w:rPr>
          <w:b/>
        </w:rPr>
        <w:t>53</w:t>
      </w:r>
      <w:r w:rsidRPr="007F1FDF">
        <w:t>, 430-436, doi:10.1016/j.bone.2012.12.014 (2013).</w:t>
      </w:r>
      <w:bookmarkEnd w:id="29"/>
    </w:p>
    <w:p w:rsidR="00DB3646" w:rsidRPr="007F1FDF" w:rsidRDefault="00DB3646" w:rsidP="00032B4E">
      <w:pPr>
        <w:pStyle w:val="EndNoteBibliography"/>
        <w:spacing w:after="0"/>
        <w:ind w:left="720" w:hanging="720"/>
      </w:pPr>
      <w:bookmarkStart w:id="30" w:name="_ENREF_30"/>
      <w:r w:rsidRPr="007F1FDF">
        <w:t>30</w:t>
      </w:r>
      <w:r w:rsidRPr="007F1FDF">
        <w:tab/>
        <w:t>Azagra, R.</w:t>
      </w:r>
      <w:r w:rsidRPr="007F1FDF">
        <w:rPr>
          <w:i/>
        </w:rPr>
        <w:t xml:space="preserve"> et al.</w:t>
      </w:r>
      <w:r w:rsidRPr="007F1FDF">
        <w:t xml:space="preserve"> Changing trends in the epidemiology of hip fracture in Spain. </w:t>
      </w:r>
      <w:r w:rsidRPr="007F1FDF">
        <w:rPr>
          <w:i/>
        </w:rPr>
        <w:t>Osteoporos Int.</w:t>
      </w:r>
      <w:r w:rsidRPr="007F1FDF">
        <w:t xml:space="preserve"> </w:t>
      </w:r>
      <w:r w:rsidRPr="007F1FDF">
        <w:rPr>
          <w:b/>
        </w:rPr>
        <w:t>25</w:t>
      </w:r>
      <w:r w:rsidRPr="007F1FDF">
        <w:t>, 1267-1274, doi:10.1007/s00198-013-2586-0 (2014).</w:t>
      </w:r>
      <w:bookmarkEnd w:id="30"/>
    </w:p>
    <w:p w:rsidR="00DB3646" w:rsidRPr="007F1FDF" w:rsidRDefault="00DB3646" w:rsidP="00032B4E">
      <w:pPr>
        <w:pStyle w:val="EndNoteBibliography"/>
        <w:spacing w:after="0"/>
        <w:ind w:left="720" w:hanging="720"/>
      </w:pPr>
      <w:bookmarkStart w:id="31" w:name="_ENREF_31"/>
      <w:r w:rsidRPr="007F1FDF">
        <w:t>31</w:t>
      </w:r>
      <w:r w:rsidRPr="007F1FDF">
        <w:tab/>
        <w:t xml:space="preserve">Nilson, F., Moniruzzaman, S., Gustavsson, J. &amp; Andersson, R. Trends in hip fracture incidence rates among the elderly in Sweden 1987-2009. </w:t>
      </w:r>
      <w:r w:rsidRPr="007F1FDF">
        <w:rPr>
          <w:i/>
        </w:rPr>
        <w:t>Journal of public health (Oxford, England)</w:t>
      </w:r>
      <w:r w:rsidRPr="007F1FDF">
        <w:t xml:space="preserve"> </w:t>
      </w:r>
      <w:r w:rsidRPr="007F1FDF">
        <w:rPr>
          <w:b/>
        </w:rPr>
        <w:t>35</w:t>
      </w:r>
      <w:r w:rsidRPr="007F1FDF">
        <w:t>, 125-131, doi:10.1093/pubmed/fds053 (2013).</w:t>
      </w:r>
      <w:bookmarkEnd w:id="31"/>
    </w:p>
    <w:p w:rsidR="00DB3646" w:rsidRPr="007F1FDF" w:rsidRDefault="00DB3646" w:rsidP="00032B4E">
      <w:pPr>
        <w:pStyle w:val="EndNoteBibliography"/>
        <w:spacing w:after="0"/>
        <w:ind w:left="720" w:hanging="720"/>
      </w:pPr>
      <w:bookmarkStart w:id="32" w:name="_ENREF_32"/>
      <w:r w:rsidRPr="007F1FDF">
        <w:t>32</w:t>
      </w:r>
      <w:r w:rsidRPr="007F1FDF">
        <w:tab/>
        <w:t>Wu, T. Y.</w:t>
      </w:r>
      <w:r w:rsidRPr="007F1FDF">
        <w:rPr>
          <w:i/>
        </w:rPr>
        <w:t xml:space="preserve"> et al.</w:t>
      </w:r>
      <w:r w:rsidRPr="007F1FDF">
        <w:t xml:space="preserve"> Admission rates and in-hospital mortality for hip fractures in England 1998 to 2009: time trends study. </w:t>
      </w:r>
      <w:r w:rsidRPr="007F1FDF">
        <w:rPr>
          <w:i/>
        </w:rPr>
        <w:t>Journal of public health (Oxford, England)</w:t>
      </w:r>
      <w:r w:rsidRPr="007F1FDF">
        <w:t xml:space="preserve"> </w:t>
      </w:r>
      <w:r w:rsidRPr="007F1FDF">
        <w:rPr>
          <w:b/>
        </w:rPr>
        <w:t>33</w:t>
      </w:r>
      <w:r w:rsidRPr="007F1FDF">
        <w:t>, 284-291, doi:10.1093/pubmed/fdq074 (2011).</w:t>
      </w:r>
      <w:bookmarkEnd w:id="32"/>
    </w:p>
    <w:p w:rsidR="00DB3646" w:rsidRPr="007F1FDF" w:rsidRDefault="00DB3646" w:rsidP="00032B4E">
      <w:pPr>
        <w:pStyle w:val="EndNoteBibliography"/>
        <w:spacing w:after="0"/>
        <w:ind w:left="720" w:hanging="720"/>
      </w:pPr>
      <w:bookmarkStart w:id="33" w:name="_ENREF_33"/>
      <w:r w:rsidRPr="007F1FDF">
        <w:t>33</w:t>
      </w:r>
      <w:r w:rsidRPr="007F1FDF">
        <w:tab/>
        <w:t xml:space="preserve">Pinheiro, J. C. &amp; Bates, D. M. </w:t>
      </w:r>
      <w:r w:rsidRPr="007F1FDF">
        <w:rPr>
          <w:i/>
        </w:rPr>
        <w:t>Mixed-effects models in S and S-PLUS</w:t>
      </w:r>
      <w:r w:rsidRPr="007F1FDF">
        <w:t>.  (Springer, 2000).</w:t>
      </w:r>
      <w:bookmarkEnd w:id="33"/>
    </w:p>
    <w:p w:rsidR="00DB3646" w:rsidRPr="007F1FDF" w:rsidRDefault="00DB3646" w:rsidP="00032B4E">
      <w:pPr>
        <w:pStyle w:val="EndNoteBibliography"/>
        <w:spacing w:after="0"/>
        <w:ind w:left="720" w:hanging="720"/>
      </w:pPr>
      <w:bookmarkStart w:id="34" w:name="_ENREF_34"/>
      <w:r w:rsidRPr="007F1FDF">
        <w:t>34</w:t>
      </w:r>
      <w:r w:rsidRPr="007F1FDF">
        <w:tab/>
        <w:t xml:space="preserve">Witten, I. &amp; Frank, E. </w:t>
      </w:r>
      <w:r w:rsidRPr="007F1FDF">
        <w:rPr>
          <w:i/>
        </w:rPr>
        <w:t xml:space="preserve">Data Mining: Practical machine learning tools and techniques. </w:t>
      </w:r>
      <w:r w:rsidRPr="007F1FDF">
        <w:t>.  (2005).</w:t>
      </w:r>
      <w:bookmarkEnd w:id="34"/>
    </w:p>
    <w:p w:rsidR="00DB3646" w:rsidRPr="007F1FDF" w:rsidRDefault="00DB3646" w:rsidP="00032B4E">
      <w:pPr>
        <w:pStyle w:val="EndNoteBibliography"/>
        <w:spacing w:after="0"/>
        <w:ind w:left="720" w:hanging="720"/>
      </w:pPr>
      <w:bookmarkStart w:id="35" w:name="_ENREF_35"/>
      <w:r w:rsidRPr="007F1FDF">
        <w:t>35</w:t>
      </w:r>
      <w:r w:rsidRPr="007F1FDF">
        <w:tab/>
        <w:t xml:space="preserve">Fraley, C. &amp; Raftery, A. E. Model-based clustering, discriminant analysis, and density estimation. </w:t>
      </w:r>
      <w:r w:rsidRPr="007F1FDF">
        <w:rPr>
          <w:i/>
        </w:rPr>
        <w:t>J Am Stat Assoc</w:t>
      </w:r>
      <w:r w:rsidRPr="007F1FDF">
        <w:t xml:space="preserve"> </w:t>
      </w:r>
      <w:r w:rsidRPr="007F1FDF">
        <w:rPr>
          <w:b/>
        </w:rPr>
        <w:t>97</w:t>
      </w:r>
      <w:r w:rsidRPr="007F1FDF">
        <w:t>, 611-631, doi:Doi 10.1198/016214502760047131 (2002).</w:t>
      </w:r>
      <w:bookmarkEnd w:id="35"/>
    </w:p>
    <w:p w:rsidR="00DB3646" w:rsidRPr="007F1FDF" w:rsidRDefault="00DB3646" w:rsidP="00032B4E">
      <w:pPr>
        <w:pStyle w:val="EndNoteBibliography"/>
        <w:spacing w:after="0"/>
        <w:ind w:left="720" w:hanging="720"/>
      </w:pPr>
      <w:bookmarkStart w:id="36" w:name="_ENREF_36"/>
      <w:r w:rsidRPr="007F1FDF">
        <w:t>36</w:t>
      </w:r>
      <w:r w:rsidRPr="007F1FDF">
        <w:tab/>
        <w:t xml:space="preserve">Fraley, C. &amp; Raftery, A. E. Bayesian regularization for normal mixture estimation and model-based clustering. </w:t>
      </w:r>
      <w:r w:rsidRPr="007F1FDF">
        <w:rPr>
          <w:i/>
        </w:rPr>
        <w:t>J Classif</w:t>
      </w:r>
      <w:r w:rsidRPr="007F1FDF">
        <w:t xml:space="preserve"> </w:t>
      </w:r>
      <w:r w:rsidRPr="007F1FDF">
        <w:rPr>
          <w:b/>
        </w:rPr>
        <w:t>24</w:t>
      </w:r>
      <w:r w:rsidRPr="007F1FDF">
        <w:t>, 155-181, doi:10.1007/s00357-007-0004-5 (2007).</w:t>
      </w:r>
      <w:bookmarkEnd w:id="36"/>
    </w:p>
    <w:p w:rsidR="00DB3646" w:rsidRPr="00DB3646" w:rsidRDefault="00DB3646" w:rsidP="00032B4E">
      <w:pPr>
        <w:pStyle w:val="EndNoteBibliography"/>
        <w:spacing w:after="0"/>
        <w:ind w:left="720" w:hanging="720"/>
        <w:rPr>
          <w:lang w:val="pt-PT"/>
        </w:rPr>
      </w:pPr>
      <w:bookmarkStart w:id="37" w:name="_ENREF_37"/>
      <w:r w:rsidRPr="007F1FDF">
        <w:t>37</w:t>
      </w:r>
      <w:r w:rsidRPr="007F1FDF">
        <w:tab/>
        <w:t xml:space="preserve">Schwarz, G. Estimating Dimension of a Model. </w:t>
      </w:r>
      <w:r w:rsidRPr="00DB3646">
        <w:rPr>
          <w:i/>
          <w:lang w:val="pt-PT"/>
        </w:rPr>
        <w:t>Ann Stat</w:t>
      </w:r>
      <w:r w:rsidRPr="00DB3646">
        <w:rPr>
          <w:lang w:val="pt-PT"/>
        </w:rPr>
        <w:t xml:space="preserve"> </w:t>
      </w:r>
      <w:r w:rsidRPr="00DB3646">
        <w:rPr>
          <w:b/>
          <w:lang w:val="pt-PT"/>
        </w:rPr>
        <w:t>6</w:t>
      </w:r>
      <w:r w:rsidRPr="00DB3646">
        <w:rPr>
          <w:lang w:val="pt-PT"/>
        </w:rPr>
        <w:t>, 461-464, doi:DOI 10.1214/aos/1176344136 (1978).</w:t>
      </w:r>
      <w:bookmarkEnd w:id="37"/>
    </w:p>
    <w:p w:rsidR="00DB3646" w:rsidRPr="007F1FDF" w:rsidRDefault="00DB3646" w:rsidP="00032B4E">
      <w:pPr>
        <w:pStyle w:val="EndNoteBibliography"/>
        <w:spacing w:after="0"/>
        <w:ind w:left="720" w:hanging="720"/>
      </w:pPr>
      <w:bookmarkStart w:id="38" w:name="_ENREF_38"/>
      <w:r w:rsidRPr="00DB3646">
        <w:rPr>
          <w:lang w:val="pt-PT"/>
        </w:rPr>
        <w:t>38</w:t>
      </w:r>
      <w:r w:rsidRPr="00DB3646">
        <w:rPr>
          <w:lang w:val="pt-PT"/>
        </w:rPr>
        <w:tab/>
        <w:t xml:space="preserve">R Core Team (2013). </w:t>
      </w:r>
      <w:r w:rsidRPr="007F1FDF">
        <w:t xml:space="preserve">R: A language and environment for statistical computing. R Foundation for Statistical Computing, Vienna, Austria. URL </w:t>
      </w:r>
      <w:r w:rsidRPr="00DB3646">
        <w:t>http://www.R-project.org/</w:t>
      </w:r>
      <w:r w:rsidRPr="007F1FDF">
        <w:t>.</w:t>
      </w:r>
      <w:bookmarkEnd w:id="38"/>
    </w:p>
    <w:p w:rsidR="00DB3646" w:rsidRPr="007F1FDF" w:rsidRDefault="00DB3646" w:rsidP="00032B4E">
      <w:pPr>
        <w:pStyle w:val="EndNoteBibliography"/>
        <w:spacing w:after="0"/>
        <w:ind w:left="720" w:hanging="720"/>
      </w:pPr>
      <w:bookmarkStart w:id="39" w:name="_ENREF_39"/>
      <w:r w:rsidRPr="007F1FDF">
        <w:lastRenderedPageBreak/>
        <w:t>39</w:t>
      </w:r>
      <w:r w:rsidRPr="007F1FDF">
        <w:tab/>
        <w:t>Ambler, G. &amp; Benner, A</w:t>
      </w:r>
      <w:r>
        <w:t xml:space="preserve"> (2015)</w:t>
      </w:r>
      <w:r w:rsidRPr="007F1FDF">
        <w:t>. Multivariable Fracti</w:t>
      </w:r>
      <w:r>
        <w:t>onal Polynomials Version 1.5.2.</w:t>
      </w:r>
      <w:bookmarkEnd w:id="39"/>
    </w:p>
    <w:p w:rsidR="00DB3646" w:rsidRPr="007F1FDF" w:rsidRDefault="00DB3646" w:rsidP="00032B4E">
      <w:pPr>
        <w:pStyle w:val="EndNoteBibliography"/>
        <w:spacing w:after="0"/>
        <w:ind w:left="720" w:hanging="720"/>
      </w:pPr>
      <w:bookmarkStart w:id="40" w:name="_ENREF_40"/>
      <w:r w:rsidRPr="0004308F">
        <w:rPr>
          <w:lang w:val="pt-PT"/>
        </w:rPr>
        <w:t>40</w:t>
      </w:r>
      <w:r w:rsidRPr="0004308F">
        <w:rPr>
          <w:lang w:val="pt-PT"/>
        </w:rPr>
        <w:tab/>
        <w:t xml:space="preserve">Pinheiro, J. C. &amp; Bates, D. M (2016). </w:t>
      </w:r>
      <w:r w:rsidRPr="007F1FDF">
        <w:t xml:space="preserve">Linear and Nonlinear Mixed Effects Models. </w:t>
      </w:r>
      <w:r w:rsidRPr="007F1FDF">
        <w:rPr>
          <w:i/>
        </w:rPr>
        <w:t>R Package Version 3.1-124</w:t>
      </w:r>
      <w:r w:rsidRPr="007F1FDF">
        <w:t>.</w:t>
      </w:r>
      <w:bookmarkEnd w:id="40"/>
    </w:p>
    <w:p w:rsidR="00DB3646" w:rsidRPr="007F1FDF" w:rsidRDefault="00DB3646" w:rsidP="00032B4E">
      <w:pPr>
        <w:pStyle w:val="EndNoteBibliography"/>
        <w:spacing w:after="0"/>
        <w:ind w:left="720" w:hanging="720"/>
      </w:pPr>
      <w:bookmarkStart w:id="41" w:name="_ENREF_41"/>
      <w:r w:rsidRPr="007F1FDF">
        <w:t>41</w:t>
      </w:r>
      <w:r w:rsidRPr="007F1FDF">
        <w:tab/>
        <w:t xml:space="preserve">Fraley, C., Raftery, A. E., Murphy, B. &amp; Scrucca, L. </w:t>
      </w:r>
      <w:r w:rsidRPr="007F1FDF">
        <w:rPr>
          <w:i/>
        </w:rPr>
        <w:t>Mclust version 4 for R: normal mixture modeling and model-based clustering, classification, and density estima</w:t>
      </w:r>
      <w:r>
        <w:rPr>
          <w:i/>
        </w:rPr>
        <w:t>tion. Technical report no. 597.</w:t>
      </w:r>
      <w:r w:rsidRPr="007F1FDF">
        <w:t xml:space="preserve"> Department of Statistics, </w:t>
      </w:r>
      <w:r>
        <w:t>University of Washington., 2012</w:t>
      </w:r>
      <w:r w:rsidRPr="007F1FDF">
        <w:t>.</w:t>
      </w:r>
      <w:bookmarkEnd w:id="41"/>
    </w:p>
    <w:p w:rsidR="00DB3646" w:rsidRPr="007F1FDF" w:rsidRDefault="00DB3646" w:rsidP="00032B4E">
      <w:pPr>
        <w:pStyle w:val="EndNoteBibliography"/>
        <w:spacing w:after="0"/>
        <w:ind w:left="720" w:hanging="720"/>
      </w:pPr>
      <w:bookmarkStart w:id="42" w:name="_ENREF_42"/>
      <w:r w:rsidRPr="007F1FDF">
        <w:t>42</w:t>
      </w:r>
      <w:r w:rsidRPr="007F1FDF">
        <w:tab/>
        <w:t xml:space="preserve">Bouxsein, M. L. Determinants of skeletal fragility. </w:t>
      </w:r>
      <w:r w:rsidRPr="007F1FDF">
        <w:rPr>
          <w:i/>
        </w:rPr>
        <w:t>Best practice &amp; research. Clinical rheumatology</w:t>
      </w:r>
      <w:r w:rsidRPr="007F1FDF">
        <w:t xml:space="preserve"> </w:t>
      </w:r>
      <w:r w:rsidRPr="007F1FDF">
        <w:rPr>
          <w:b/>
        </w:rPr>
        <w:t>19</w:t>
      </w:r>
      <w:r w:rsidRPr="007F1FDF">
        <w:t>, 897-911, doi:10.1016/j.berh.2005.07.004 (2005).</w:t>
      </w:r>
      <w:bookmarkEnd w:id="42"/>
    </w:p>
    <w:p w:rsidR="00DB3646" w:rsidRPr="007F1FDF" w:rsidRDefault="00DB3646" w:rsidP="00032B4E">
      <w:pPr>
        <w:pStyle w:val="EndNoteBibliography"/>
        <w:spacing w:after="0"/>
        <w:ind w:left="720" w:hanging="720"/>
      </w:pPr>
      <w:bookmarkStart w:id="43" w:name="_ENREF_43"/>
      <w:r w:rsidRPr="007F1FDF">
        <w:t>43</w:t>
      </w:r>
      <w:r w:rsidRPr="007F1FDF">
        <w:tab/>
        <w:t xml:space="preserve">Brauer, C. A., Coca-Perraillon, M., Cutler, D. M. &amp; Rosen, A. B. Incidence and mortality of hip fractures in the United States. </w:t>
      </w:r>
      <w:r w:rsidRPr="007F1FDF">
        <w:rPr>
          <w:i/>
        </w:rPr>
        <w:t>Jama</w:t>
      </w:r>
      <w:r w:rsidRPr="007F1FDF">
        <w:t xml:space="preserve"> </w:t>
      </w:r>
      <w:r w:rsidRPr="007F1FDF">
        <w:rPr>
          <w:b/>
        </w:rPr>
        <w:t>302</w:t>
      </w:r>
      <w:r w:rsidRPr="007F1FDF">
        <w:t>, 1573-1579, doi:10.1001/jama.2009.1462 (2009).</w:t>
      </w:r>
      <w:bookmarkEnd w:id="43"/>
    </w:p>
    <w:p w:rsidR="00DB3646" w:rsidRPr="007F1FDF" w:rsidRDefault="00DB3646" w:rsidP="00032B4E">
      <w:pPr>
        <w:pStyle w:val="EndNoteBibliography"/>
        <w:spacing w:after="0"/>
        <w:ind w:left="720" w:hanging="720"/>
      </w:pPr>
      <w:bookmarkStart w:id="44" w:name="_ENREF_44"/>
      <w:r w:rsidRPr="007F1FDF">
        <w:t>44</w:t>
      </w:r>
      <w:r w:rsidRPr="007F1FDF">
        <w:tab/>
        <w:t>Leslie, W. D.</w:t>
      </w:r>
      <w:r w:rsidRPr="007F1FDF">
        <w:rPr>
          <w:i/>
        </w:rPr>
        <w:t xml:space="preserve"> et al.</w:t>
      </w:r>
      <w:r w:rsidRPr="007F1FDF">
        <w:t xml:space="preserve"> Trends in hip fracture rates in Canada. </w:t>
      </w:r>
      <w:r w:rsidRPr="007F1FDF">
        <w:rPr>
          <w:i/>
        </w:rPr>
        <w:t>Jama</w:t>
      </w:r>
      <w:r w:rsidRPr="007F1FDF">
        <w:t xml:space="preserve"> </w:t>
      </w:r>
      <w:r w:rsidRPr="007F1FDF">
        <w:rPr>
          <w:b/>
        </w:rPr>
        <w:t>302</w:t>
      </w:r>
      <w:r w:rsidRPr="007F1FDF">
        <w:t>, 883-889, doi:10.1001/jama.2009.1231 (2009).</w:t>
      </w:r>
      <w:bookmarkEnd w:id="44"/>
    </w:p>
    <w:p w:rsidR="00DB3646" w:rsidRPr="007F1FDF" w:rsidRDefault="00DB3646" w:rsidP="00032B4E">
      <w:pPr>
        <w:pStyle w:val="EndNoteBibliography"/>
        <w:spacing w:after="0"/>
        <w:ind w:left="720" w:hanging="720"/>
      </w:pPr>
      <w:bookmarkStart w:id="45" w:name="_ENREF_45"/>
      <w:r w:rsidRPr="007F1FDF">
        <w:t>45</w:t>
      </w:r>
      <w:r w:rsidRPr="007F1FDF">
        <w:tab/>
        <w:t xml:space="preserve">Lyritis, G. P., Rizou, S., Galanos, A. &amp; Makras, P. Incidence of hip fractures in Greece during a 30-year period: 1977-2007. </w:t>
      </w:r>
      <w:r w:rsidRPr="007F1FDF">
        <w:rPr>
          <w:i/>
        </w:rPr>
        <w:t>Osteoporos Int.</w:t>
      </w:r>
      <w:r w:rsidRPr="007F1FDF">
        <w:t xml:space="preserve"> </w:t>
      </w:r>
      <w:r w:rsidRPr="007F1FDF">
        <w:rPr>
          <w:b/>
        </w:rPr>
        <w:t>24</w:t>
      </w:r>
      <w:r w:rsidRPr="007F1FDF">
        <w:t>, 1579-1585, doi:10.1007/s00198-012-2154-z (2013).</w:t>
      </w:r>
      <w:bookmarkEnd w:id="45"/>
    </w:p>
    <w:p w:rsidR="00DB3646" w:rsidRPr="007F1FDF" w:rsidRDefault="00DB3646" w:rsidP="00032B4E">
      <w:pPr>
        <w:pStyle w:val="EndNoteBibliography"/>
        <w:spacing w:after="0"/>
        <w:ind w:left="720" w:hanging="720"/>
      </w:pPr>
      <w:bookmarkStart w:id="46" w:name="_ENREF_46"/>
      <w:r w:rsidRPr="007F1FDF">
        <w:t>46</w:t>
      </w:r>
      <w:r w:rsidRPr="007F1FDF">
        <w:tab/>
        <w:t xml:space="preserve">Kanis, J. A., Johnell, O., Oden, A., Johansson, H. &amp; McCloskey, E. FRAX and the assessment of fracture probability in men and women from the UK. </w:t>
      </w:r>
      <w:r w:rsidRPr="007F1FDF">
        <w:rPr>
          <w:i/>
        </w:rPr>
        <w:t>Osteoporos Int.</w:t>
      </w:r>
      <w:r w:rsidRPr="007F1FDF">
        <w:t xml:space="preserve"> </w:t>
      </w:r>
      <w:r w:rsidRPr="007F1FDF">
        <w:rPr>
          <w:b/>
        </w:rPr>
        <w:t>19</w:t>
      </w:r>
      <w:r w:rsidRPr="007F1FDF">
        <w:t>, 385-397, doi:10.1007/s00198-007-0543-5 (2008).</w:t>
      </w:r>
      <w:bookmarkEnd w:id="46"/>
    </w:p>
    <w:p w:rsidR="00DB3646" w:rsidRPr="007F1FDF" w:rsidRDefault="00DB3646" w:rsidP="00032B4E">
      <w:pPr>
        <w:pStyle w:val="EndNoteBibliography"/>
        <w:spacing w:after="0"/>
        <w:ind w:left="720" w:hanging="720"/>
      </w:pPr>
      <w:bookmarkStart w:id="47" w:name="_ENREF_47"/>
      <w:r w:rsidRPr="007F1FDF">
        <w:t>47</w:t>
      </w:r>
      <w:r w:rsidRPr="007F1FDF">
        <w:tab/>
        <w:t>Kanis, J. A.</w:t>
      </w:r>
      <w:r w:rsidRPr="007F1FDF">
        <w:rPr>
          <w:i/>
        </w:rPr>
        <w:t xml:space="preserve"> et al.</w:t>
      </w:r>
      <w:r w:rsidRPr="007F1FDF">
        <w:t xml:space="preserve"> A systematic review of hip fracture incidence and probability of fracture worldwide. </w:t>
      </w:r>
      <w:r w:rsidRPr="007F1FDF">
        <w:rPr>
          <w:i/>
        </w:rPr>
        <w:t>Osteoporos Int.</w:t>
      </w:r>
      <w:r w:rsidRPr="007F1FDF">
        <w:t xml:space="preserve"> </w:t>
      </w:r>
      <w:r w:rsidRPr="007F1FDF">
        <w:rPr>
          <w:b/>
        </w:rPr>
        <w:t>23</w:t>
      </w:r>
      <w:r w:rsidRPr="007F1FDF">
        <w:t>, 2239-2256, doi:10.1007/s00198-012-1964-3 (2012).</w:t>
      </w:r>
      <w:bookmarkEnd w:id="47"/>
    </w:p>
    <w:p w:rsidR="00DB3646" w:rsidRPr="007F1FDF" w:rsidRDefault="00DB3646" w:rsidP="00032B4E">
      <w:pPr>
        <w:pStyle w:val="EndNoteBibliography"/>
        <w:ind w:left="720" w:hanging="720"/>
      </w:pPr>
      <w:bookmarkStart w:id="48" w:name="_ENREF_48"/>
      <w:r w:rsidRPr="007F1FDF">
        <w:t>48</w:t>
      </w:r>
      <w:r w:rsidRPr="007F1FDF">
        <w:tab/>
        <w:t xml:space="preserve">Alves, S. M., Castiglione, D., Oliveira, C. M., de Sousa, B. &amp; Pina, M. F. Age-period-cohort effects in the incidence of hip fractures: political and economic events are coincident with changes in risk. </w:t>
      </w:r>
      <w:r w:rsidRPr="007F1FDF">
        <w:rPr>
          <w:i/>
        </w:rPr>
        <w:t>Osteoporos Int.</w:t>
      </w:r>
      <w:r w:rsidRPr="007F1FDF">
        <w:t xml:space="preserve"> </w:t>
      </w:r>
      <w:r w:rsidRPr="007F1FDF">
        <w:rPr>
          <w:b/>
        </w:rPr>
        <w:t>25</w:t>
      </w:r>
      <w:r w:rsidRPr="007F1FDF">
        <w:t>, 711-720, doi:10.1007/s00198-013-2483-6 (2014).</w:t>
      </w:r>
      <w:bookmarkEnd w:id="48"/>
    </w:p>
    <w:p w:rsidR="00DB3646" w:rsidRDefault="00DB3646" w:rsidP="00032B4E">
      <w:pPr>
        <w:spacing w:line="360" w:lineRule="auto"/>
        <w:rPr>
          <w:rFonts w:ascii="Times New Roman" w:hAnsi="Times New Roman" w:cs="Times New Roman"/>
          <w:sz w:val="20"/>
          <w:lang w:val="en-GB"/>
        </w:rPr>
      </w:pPr>
    </w:p>
    <w:p w:rsidR="00DB3646" w:rsidRDefault="00DB3646">
      <w:pPr>
        <w:rPr>
          <w:rFonts w:ascii="Times New Roman" w:hAnsi="Times New Roman" w:cs="Times New Roman"/>
          <w:sz w:val="20"/>
          <w:lang w:val="en-GB"/>
        </w:rPr>
      </w:pPr>
      <w:r>
        <w:rPr>
          <w:rFonts w:ascii="Times New Roman" w:hAnsi="Times New Roman" w:cs="Times New Roman"/>
          <w:sz w:val="20"/>
          <w:lang w:val="en-GB"/>
        </w:rPr>
        <w:br w:type="page"/>
      </w:r>
    </w:p>
    <w:p w:rsidR="00DB3646" w:rsidRDefault="00DB3646">
      <w:pPr>
        <w:rPr>
          <w:rFonts w:ascii="Times New Roman" w:hAnsi="Times New Roman" w:cs="Times New Roman"/>
          <w:sz w:val="20"/>
          <w:lang w:val="en-GB"/>
        </w:rPr>
      </w:pPr>
    </w:p>
    <w:p w:rsidR="00DB3646" w:rsidRPr="000F10E9" w:rsidRDefault="00DB3646" w:rsidP="00032B4E">
      <w:pPr>
        <w:spacing w:line="480" w:lineRule="auto"/>
        <w:rPr>
          <w:rFonts w:ascii="Times New Roman" w:hAnsi="Times New Roman" w:cs="Times New Roman"/>
          <w:lang w:val="en-GB"/>
        </w:rPr>
      </w:pPr>
      <w:r w:rsidRPr="000F10E9">
        <w:rPr>
          <w:rFonts w:ascii="Times New Roman" w:hAnsi="Times New Roman" w:cs="Times New Roman"/>
          <w:lang w:val="en-GB"/>
        </w:rPr>
        <w:t>Figure 1. Flowchart of articles for data extraction.</w:t>
      </w:r>
    </w:p>
    <w:p w:rsidR="00DB3646" w:rsidRPr="000F10E9" w:rsidRDefault="00DB3646" w:rsidP="00032B4E">
      <w:pPr>
        <w:spacing w:line="480" w:lineRule="auto"/>
        <w:rPr>
          <w:rFonts w:ascii="Times New Roman" w:hAnsi="Times New Roman" w:cs="Times New Roman"/>
          <w:lang w:val="en-GB"/>
        </w:rPr>
      </w:pPr>
      <w:r w:rsidRPr="000F10E9">
        <w:rPr>
          <w:rFonts w:ascii="Times New Roman" w:hAnsi="Times New Roman" w:cs="Times New Roman"/>
          <w:lang w:val="en-GB"/>
        </w:rPr>
        <w:t>Abbreviations: WHO: World Health Organization, AUT: Austria, DNK: Denmark, EST: Estonia, FIN: Finland, FRA: France, DEU: Germany, ITA: Italy, NLD: the Netherlands, NOR: Norway, PRT: Portugal, ESP: Spain, SWE: Sweden, CHE:  Switzerland, GBR: UK-England.</w:t>
      </w:r>
    </w:p>
    <w:p w:rsidR="00DB3646" w:rsidRPr="000F10E9" w:rsidRDefault="00DB3646" w:rsidP="00032B4E">
      <w:pPr>
        <w:spacing w:line="480" w:lineRule="auto"/>
        <w:rPr>
          <w:rFonts w:ascii="Times New Roman" w:hAnsi="Times New Roman" w:cs="Times New Roman"/>
          <w:lang w:val="en-GB"/>
        </w:rPr>
      </w:pPr>
    </w:p>
    <w:p w:rsidR="00DB3646" w:rsidRPr="000F10E9" w:rsidRDefault="00DB3646" w:rsidP="00032B4E">
      <w:pPr>
        <w:spacing w:line="480" w:lineRule="auto"/>
        <w:rPr>
          <w:rFonts w:ascii="Times New Roman" w:hAnsi="Times New Roman" w:cs="Times New Roman"/>
          <w:lang w:val="en-GB"/>
        </w:rPr>
      </w:pPr>
    </w:p>
    <w:p w:rsidR="00DB3646" w:rsidRPr="000F10E9" w:rsidRDefault="00DB3646" w:rsidP="00032B4E">
      <w:pPr>
        <w:spacing w:line="480" w:lineRule="auto"/>
        <w:rPr>
          <w:rFonts w:ascii="Times New Roman" w:hAnsi="Times New Roman" w:cs="Times New Roman"/>
          <w:lang w:val="en-GB"/>
        </w:rPr>
      </w:pPr>
      <w:r w:rsidRPr="000F10E9">
        <w:rPr>
          <w:rFonts w:ascii="Times New Roman" w:hAnsi="Times New Roman" w:cs="Times New Roman"/>
          <w:lang w:val="en-GB"/>
        </w:rPr>
        <w:t>Figure 2. Predicted fixed effects of calendar year and age on hip fracture incidence in women (dashed line) and men (solid line). To plot predicted values, the effect of calendar year was modelled for the average age in the sample (74 years) and the effect of age modelled for the average calendar year (2000).</w:t>
      </w:r>
    </w:p>
    <w:p w:rsidR="00DB3646" w:rsidRDefault="00DB3646" w:rsidP="00032B4E">
      <w:pPr>
        <w:spacing w:line="480" w:lineRule="auto"/>
        <w:rPr>
          <w:rFonts w:ascii="Times New Roman" w:hAnsi="Times New Roman" w:cs="Times New Roman"/>
          <w:sz w:val="18"/>
          <w:lang w:val="en-GB"/>
        </w:rPr>
      </w:pPr>
    </w:p>
    <w:p w:rsidR="00DB3646" w:rsidRDefault="00DB3646" w:rsidP="00032B4E">
      <w:pPr>
        <w:spacing w:line="480" w:lineRule="auto"/>
        <w:rPr>
          <w:rFonts w:ascii="Times New Roman" w:hAnsi="Times New Roman" w:cs="Times New Roman"/>
          <w:sz w:val="18"/>
          <w:lang w:val="en-GB"/>
        </w:rPr>
      </w:pPr>
    </w:p>
    <w:p w:rsidR="00DB3646" w:rsidRPr="00E53169" w:rsidRDefault="00DB3646" w:rsidP="00032B4E">
      <w:pPr>
        <w:spacing w:line="480" w:lineRule="auto"/>
        <w:rPr>
          <w:rFonts w:ascii="Times New Roman" w:hAnsi="Times New Roman" w:cs="Times New Roman"/>
          <w:lang w:val="en-GB"/>
        </w:rPr>
      </w:pPr>
      <w:r w:rsidRPr="006D4399">
        <w:rPr>
          <w:rFonts w:ascii="Times New Roman" w:hAnsi="Times New Roman" w:cs="Times New Roman"/>
          <w:lang w:val="en-GB"/>
        </w:rPr>
        <w:t xml:space="preserve">Figure 3. Distribution of calendar year of trend reversal </w:t>
      </w:r>
      <w:r>
        <w:rPr>
          <w:rFonts w:ascii="Times New Roman" w:hAnsi="Times New Roman" w:cs="Times New Roman"/>
          <w:lang w:val="en-GB"/>
        </w:rPr>
        <w:t xml:space="preserve">(boxplots on the left) </w:t>
      </w:r>
      <w:r w:rsidRPr="006D4399">
        <w:rPr>
          <w:rFonts w:ascii="Times New Roman" w:hAnsi="Times New Roman" w:cs="Times New Roman"/>
          <w:lang w:val="en-GB"/>
        </w:rPr>
        <w:t xml:space="preserve">and peak incidence rates </w:t>
      </w:r>
      <w:r>
        <w:rPr>
          <w:rFonts w:ascii="Times New Roman" w:hAnsi="Times New Roman" w:cs="Times New Roman"/>
          <w:lang w:val="en-GB"/>
        </w:rPr>
        <w:t xml:space="preserve">(boxplots on the right) </w:t>
      </w:r>
      <w:r w:rsidRPr="006D4399">
        <w:rPr>
          <w:rFonts w:ascii="Times New Roman" w:hAnsi="Times New Roman" w:cs="Times New Roman"/>
          <w:lang w:val="en-GB"/>
        </w:rPr>
        <w:t>in country clusters and</w:t>
      </w:r>
      <w:r>
        <w:rPr>
          <w:rFonts w:ascii="Times New Roman" w:hAnsi="Times New Roman" w:cs="Times New Roman"/>
          <w:lang w:val="en-GB"/>
        </w:rPr>
        <w:t xml:space="preserve"> the</w:t>
      </w:r>
      <w:r w:rsidRPr="006D4399">
        <w:rPr>
          <w:rFonts w:ascii="Times New Roman" w:hAnsi="Times New Roman" w:cs="Times New Roman"/>
          <w:lang w:val="en-GB"/>
        </w:rPr>
        <w:t xml:space="preserve"> geographical distribution of countries in each cluster (</w:t>
      </w:r>
      <w:r>
        <w:rPr>
          <w:rFonts w:ascii="Times New Roman" w:hAnsi="Times New Roman" w:cs="Times New Roman"/>
          <w:lang w:val="en-GB"/>
        </w:rPr>
        <w:t>panel a:</w:t>
      </w:r>
      <w:r w:rsidRPr="006D4399">
        <w:rPr>
          <w:rFonts w:ascii="Times New Roman" w:hAnsi="Times New Roman" w:cs="Times New Roman"/>
          <w:lang w:val="en-GB"/>
        </w:rPr>
        <w:t xml:space="preserve"> women; </w:t>
      </w:r>
      <w:r>
        <w:rPr>
          <w:rFonts w:ascii="Times New Roman" w:hAnsi="Times New Roman" w:cs="Times New Roman"/>
          <w:lang w:val="en-GB"/>
        </w:rPr>
        <w:t>p</w:t>
      </w:r>
      <w:r w:rsidRPr="006D4399">
        <w:rPr>
          <w:rFonts w:ascii="Times New Roman" w:hAnsi="Times New Roman" w:cs="Times New Roman"/>
          <w:lang w:val="en-GB"/>
        </w:rPr>
        <w:t xml:space="preserve">anel </w:t>
      </w:r>
      <w:r>
        <w:rPr>
          <w:rFonts w:ascii="Times New Roman" w:hAnsi="Times New Roman" w:cs="Times New Roman"/>
          <w:lang w:val="en-GB"/>
        </w:rPr>
        <w:t>b:</w:t>
      </w:r>
      <w:r w:rsidRPr="006D4399">
        <w:rPr>
          <w:rFonts w:ascii="Times New Roman" w:hAnsi="Times New Roman" w:cs="Times New Roman"/>
          <w:lang w:val="en-GB"/>
        </w:rPr>
        <w:t xml:space="preserve"> men)</w:t>
      </w:r>
      <w:r>
        <w:rPr>
          <w:rFonts w:ascii="Times New Roman" w:hAnsi="Times New Roman" w:cs="Times New Roman"/>
          <w:lang w:val="en-GB"/>
        </w:rPr>
        <w:t xml:space="preserve">. Maps generated with ArcGIS version 10.3, by the </w:t>
      </w:r>
      <w:r w:rsidRPr="005529EC">
        <w:rPr>
          <w:rFonts w:ascii="Times New Roman" w:hAnsi="Times New Roman" w:cs="Times New Roman"/>
          <w:lang w:val="en-GB"/>
        </w:rPr>
        <w:t>Environmental Systems Research Institute</w:t>
      </w:r>
      <w:r>
        <w:rPr>
          <w:rFonts w:ascii="Times New Roman" w:hAnsi="Times New Roman" w:cs="Times New Roman"/>
          <w:lang w:val="en-GB"/>
        </w:rPr>
        <w:t xml:space="preserve"> (ESRI).</w:t>
      </w:r>
    </w:p>
    <w:p w:rsidR="00DB3646" w:rsidRDefault="00DB3646" w:rsidP="00032B4E">
      <w:pPr>
        <w:spacing w:line="276" w:lineRule="auto"/>
        <w:rPr>
          <w:rFonts w:ascii="Times New Roman" w:hAnsi="Times New Roman" w:cs="Times New Roman"/>
          <w:sz w:val="18"/>
          <w:lang w:val="en-GB"/>
        </w:rPr>
      </w:pPr>
    </w:p>
    <w:p w:rsidR="00DB3646" w:rsidRDefault="00DB3646" w:rsidP="00032B4E">
      <w:pPr>
        <w:spacing w:line="276" w:lineRule="auto"/>
        <w:rPr>
          <w:rFonts w:ascii="Times New Roman" w:hAnsi="Times New Roman" w:cs="Times New Roman"/>
          <w:sz w:val="18"/>
          <w:lang w:val="en-GB"/>
        </w:rPr>
      </w:pPr>
    </w:p>
    <w:p w:rsidR="00DB3646" w:rsidRPr="007E55FD" w:rsidRDefault="00DB3646" w:rsidP="00032B4E">
      <w:pPr>
        <w:spacing w:line="276" w:lineRule="auto"/>
        <w:rPr>
          <w:rFonts w:ascii="Times New Roman" w:hAnsi="Times New Roman" w:cs="Times New Roman"/>
          <w:sz w:val="18"/>
          <w:lang w:val="en-GB"/>
        </w:rPr>
        <w:sectPr w:rsidR="00DB3646" w:rsidRPr="007E55FD" w:rsidSect="00032B4E">
          <w:footerReference w:type="default" r:id="rId9"/>
          <w:pgSz w:w="12240" w:h="15840"/>
          <w:pgMar w:top="1418" w:right="1701" w:bottom="1418" w:left="1701" w:header="709" w:footer="709" w:gutter="0"/>
          <w:cols w:space="708"/>
          <w:docGrid w:linePitch="360"/>
        </w:sectPr>
      </w:pPr>
    </w:p>
    <w:p w:rsidR="00DB3646" w:rsidRDefault="00DB3646" w:rsidP="00032B4E">
      <w:pPr>
        <w:spacing w:line="360" w:lineRule="auto"/>
        <w:rPr>
          <w:rFonts w:ascii="Times New Roman" w:hAnsi="Times New Roman" w:cs="Times New Roman"/>
          <w:b/>
          <w:lang w:val="en-GB"/>
        </w:rPr>
      </w:pPr>
    </w:p>
    <w:p w:rsidR="00DB3646" w:rsidRPr="0023424D" w:rsidRDefault="00DB3646" w:rsidP="00032B4E">
      <w:pPr>
        <w:spacing w:line="360" w:lineRule="auto"/>
        <w:rPr>
          <w:rFonts w:ascii="Times New Roman" w:hAnsi="Times New Roman" w:cs="Times New Roman"/>
          <w:b/>
          <w:lang w:val="en-GB"/>
        </w:rPr>
      </w:pPr>
      <w:r w:rsidRPr="0023424D">
        <w:rPr>
          <w:rFonts w:ascii="Times New Roman" w:hAnsi="Times New Roman" w:cs="Times New Roman"/>
          <w:b/>
          <w:lang w:val="en-GB"/>
        </w:rPr>
        <w:t>ACKNOWLEDGMENTS</w:t>
      </w: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 xml:space="preserve">We gratefully acknowledge Dr Thierry Chevalley (Switzerland), Dr </w:t>
      </w:r>
      <w:r w:rsidRPr="00FB6BC8">
        <w:rPr>
          <w:rFonts w:ascii="Times New Roman" w:hAnsi="Times New Roman" w:cs="Times New Roman"/>
          <w:lang w:val="en-GB"/>
        </w:rPr>
        <w:t>Niina Korhonen</w:t>
      </w:r>
      <w:r>
        <w:rPr>
          <w:rFonts w:ascii="Times New Roman" w:hAnsi="Times New Roman" w:cs="Times New Roman"/>
          <w:lang w:val="en-GB"/>
        </w:rPr>
        <w:t xml:space="preserve"> (Finland), Dr Finn Nilson (Sweden), Dr </w:t>
      </w:r>
      <w:r w:rsidRPr="00FB6BC8">
        <w:rPr>
          <w:rFonts w:ascii="Times New Roman" w:hAnsi="Times New Roman" w:cs="Times New Roman"/>
          <w:lang w:val="en-GB"/>
        </w:rPr>
        <w:t>Tone</w:t>
      </w:r>
      <w:r>
        <w:rPr>
          <w:rFonts w:ascii="Times New Roman" w:hAnsi="Times New Roman" w:cs="Times New Roman"/>
          <w:lang w:val="en-GB"/>
        </w:rPr>
        <w:t xml:space="preserve"> </w:t>
      </w:r>
      <w:r w:rsidRPr="00FB6BC8">
        <w:rPr>
          <w:rFonts w:ascii="Times New Roman" w:hAnsi="Times New Roman" w:cs="Times New Roman"/>
          <w:lang w:val="en-GB"/>
        </w:rPr>
        <w:t>Kristin</w:t>
      </w:r>
      <w:r>
        <w:rPr>
          <w:rFonts w:ascii="Times New Roman" w:hAnsi="Times New Roman" w:cs="Times New Roman"/>
          <w:lang w:val="en-GB"/>
        </w:rPr>
        <w:t xml:space="preserve"> </w:t>
      </w:r>
      <w:r w:rsidRPr="00FB6BC8">
        <w:rPr>
          <w:rFonts w:ascii="Times New Roman" w:hAnsi="Times New Roman" w:cs="Times New Roman"/>
          <w:lang w:val="en-GB"/>
        </w:rPr>
        <w:t>Omsland</w:t>
      </w:r>
      <w:r>
        <w:rPr>
          <w:rFonts w:ascii="Times New Roman" w:hAnsi="Times New Roman" w:cs="Times New Roman"/>
          <w:lang w:val="en-GB"/>
        </w:rPr>
        <w:t xml:space="preserve"> (Norway) and Dr </w:t>
      </w:r>
      <w:r w:rsidRPr="00FB6BC8">
        <w:rPr>
          <w:rFonts w:ascii="Times New Roman" w:hAnsi="Times New Roman" w:cs="Times New Roman"/>
          <w:lang w:val="en-GB"/>
        </w:rPr>
        <w:t>Manfred</w:t>
      </w:r>
      <w:r>
        <w:rPr>
          <w:rFonts w:ascii="Times New Roman" w:hAnsi="Times New Roman" w:cs="Times New Roman"/>
          <w:lang w:val="en-GB"/>
        </w:rPr>
        <w:t xml:space="preserve"> Wildner (Germany) for kindly providing age- and sex-specific rates for the present paper.</w:t>
      </w:r>
    </w:p>
    <w:p w:rsidR="00DB3646" w:rsidRDefault="00DB3646" w:rsidP="00032B4E">
      <w:pPr>
        <w:spacing w:line="480" w:lineRule="auto"/>
        <w:rPr>
          <w:rFonts w:ascii="Times New Roman" w:hAnsi="Times New Roman" w:cs="Times New Roman"/>
          <w:lang w:val="en-GB"/>
        </w:rPr>
      </w:pPr>
    </w:p>
    <w:p w:rsidR="00DB3646" w:rsidRPr="005D2286" w:rsidRDefault="00DB3646" w:rsidP="00032B4E">
      <w:pPr>
        <w:spacing w:line="480" w:lineRule="auto"/>
        <w:rPr>
          <w:rFonts w:ascii="Times New Roman" w:hAnsi="Times New Roman" w:cs="Times New Roman"/>
          <w:b/>
          <w:lang w:val="en-GB"/>
        </w:rPr>
      </w:pPr>
      <w:r w:rsidRPr="005D2286">
        <w:rPr>
          <w:rFonts w:ascii="Times New Roman" w:hAnsi="Times New Roman" w:cs="Times New Roman"/>
          <w:b/>
          <w:lang w:val="en-GB"/>
        </w:rPr>
        <w:t>AUTHOR CONTRIBUTIONS</w:t>
      </w:r>
    </w:p>
    <w:p w:rsidR="00DB3646" w:rsidRDefault="00DB3646" w:rsidP="00032B4E">
      <w:pPr>
        <w:spacing w:line="480" w:lineRule="auto"/>
        <w:rPr>
          <w:rFonts w:ascii="Times New Roman" w:hAnsi="Times New Roman" w:cs="Times New Roman"/>
          <w:lang w:val="en-GB"/>
        </w:rPr>
      </w:pPr>
      <w:r w:rsidRPr="005D2286">
        <w:rPr>
          <w:rFonts w:ascii="Times New Roman" w:hAnsi="Times New Roman" w:cs="Times New Roman"/>
          <w:lang w:val="en-GB"/>
        </w:rPr>
        <w:t>RL</w:t>
      </w:r>
      <w:r>
        <w:rPr>
          <w:rFonts w:ascii="Times New Roman" w:hAnsi="Times New Roman" w:cs="Times New Roman"/>
          <w:lang w:val="en-GB"/>
        </w:rPr>
        <w:t xml:space="preserve"> defined the systematic review strategy, supported reference screening, extracted data, analysed part of the information and drafted the paper, AM and PS screened references and extracted data for analysis, MS and ARG conducted and supervised, respectively, the statistical analysis of the time series, including the mixed-effects regression modelling and mixture models, TM validated data with external sources and assisted in drafting the paper, ARG, CC and HB supervised the conceptual aspects of the model and the intellectual content of the manuscript in general. </w:t>
      </w:r>
      <w:r w:rsidRPr="0091450C">
        <w:rPr>
          <w:rFonts w:ascii="Times New Roman" w:hAnsi="Times New Roman" w:cs="Times New Roman"/>
          <w:lang w:val="en-GB"/>
        </w:rPr>
        <w:t>All authors reviewed the manuscript</w:t>
      </w:r>
      <w:r>
        <w:rPr>
          <w:rFonts w:ascii="Times New Roman" w:hAnsi="Times New Roman" w:cs="Times New Roman"/>
          <w:lang w:val="en-GB"/>
        </w:rPr>
        <w:t>.</w:t>
      </w:r>
    </w:p>
    <w:p w:rsidR="00DB3646" w:rsidRPr="005D2286" w:rsidRDefault="00DB3646" w:rsidP="00032B4E">
      <w:pPr>
        <w:spacing w:line="480" w:lineRule="auto"/>
        <w:rPr>
          <w:rFonts w:ascii="Times New Roman" w:hAnsi="Times New Roman" w:cs="Times New Roman"/>
          <w:lang w:val="en-GB"/>
        </w:rPr>
      </w:pPr>
    </w:p>
    <w:p w:rsidR="00DB3646" w:rsidRPr="0023424D" w:rsidRDefault="00DB3646" w:rsidP="00032B4E">
      <w:pPr>
        <w:spacing w:line="480" w:lineRule="auto"/>
        <w:rPr>
          <w:rFonts w:ascii="Times New Roman" w:hAnsi="Times New Roman" w:cs="Times New Roman"/>
          <w:b/>
          <w:lang w:val="en-GB"/>
        </w:rPr>
      </w:pPr>
      <w:r>
        <w:rPr>
          <w:rFonts w:ascii="Times New Roman" w:hAnsi="Times New Roman" w:cs="Times New Roman"/>
          <w:b/>
          <w:lang w:val="en-GB"/>
        </w:rPr>
        <w:t>ADDITIONAL INFORMATION</w:t>
      </w:r>
    </w:p>
    <w:p w:rsidR="00DB3646" w:rsidRDefault="00DB3646" w:rsidP="00032B4E">
      <w:pPr>
        <w:spacing w:line="480" w:lineRule="auto"/>
        <w:rPr>
          <w:rFonts w:ascii="Times New Roman" w:hAnsi="Times New Roman" w:cs="Times New Roman"/>
          <w:lang w:val="en-GB"/>
        </w:rPr>
      </w:pPr>
      <w:r>
        <w:rPr>
          <w:rFonts w:ascii="Times New Roman" w:hAnsi="Times New Roman" w:cs="Times New Roman"/>
          <w:lang w:val="en-GB"/>
        </w:rPr>
        <w:t>All authors declare no competing financial interests.</w:t>
      </w:r>
    </w:p>
    <w:p w:rsidR="00DB3646" w:rsidRDefault="00DB3646" w:rsidP="00032B4E">
      <w:pPr>
        <w:spacing w:line="480" w:lineRule="auto"/>
        <w:rPr>
          <w:rFonts w:ascii="Times New Roman" w:hAnsi="Times New Roman" w:cs="Times New Roman"/>
          <w:lang w:val="en-GB"/>
        </w:rPr>
      </w:pPr>
    </w:p>
    <w:p w:rsidR="00DB3646" w:rsidRPr="0023424D" w:rsidRDefault="00DB3646" w:rsidP="00032B4E">
      <w:pPr>
        <w:spacing w:line="480" w:lineRule="auto"/>
        <w:rPr>
          <w:rFonts w:ascii="Times New Roman" w:hAnsi="Times New Roman" w:cs="Times New Roman"/>
          <w:b/>
          <w:lang w:val="en-GB"/>
        </w:rPr>
      </w:pPr>
      <w:r w:rsidRPr="0023424D">
        <w:rPr>
          <w:rFonts w:ascii="Times New Roman" w:hAnsi="Times New Roman" w:cs="Times New Roman"/>
          <w:b/>
          <w:lang w:val="en-GB"/>
        </w:rPr>
        <w:t>FUNDING</w:t>
      </w:r>
    </w:p>
    <w:p w:rsidR="00DB3646" w:rsidRPr="000C6789" w:rsidRDefault="00DB3646" w:rsidP="00032B4E">
      <w:pPr>
        <w:spacing w:line="480" w:lineRule="auto"/>
        <w:rPr>
          <w:rFonts w:ascii="Times New Roman" w:hAnsi="Times New Roman" w:cs="Times New Roman"/>
          <w:lang w:val="en-GB"/>
        </w:rPr>
      </w:pPr>
      <w:r>
        <w:rPr>
          <w:rFonts w:ascii="Times New Roman" w:hAnsi="Times New Roman" w:cs="Times New Roman"/>
          <w:lang w:val="en-GB"/>
        </w:rPr>
        <w:t>The work received funding through grants to RL and TM from the Portuguese Foundation for Science and Technology (refs SFRH/BPD/88729/2012 and SFRH/</w:t>
      </w:r>
      <w:r w:rsidRPr="00270645">
        <w:rPr>
          <w:rFonts w:ascii="Times New Roman" w:hAnsi="Times New Roman" w:cs="Times New Roman"/>
          <w:lang w:val="en-GB"/>
        </w:rPr>
        <w:t>BD/92370/2013</w:t>
      </w:r>
      <w:r>
        <w:rPr>
          <w:rFonts w:ascii="Times New Roman" w:hAnsi="Times New Roman" w:cs="Times New Roman"/>
          <w:lang w:val="en-GB"/>
        </w:rPr>
        <w:t>).</w:t>
      </w:r>
    </w:p>
    <w:p w:rsidR="007F3F1F" w:rsidRDefault="007F3F1F"/>
    <w:sectPr w:rsidR="007F3F1F" w:rsidSect="00032B4E">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6F6" w:rsidRDefault="004906F6">
      <w:pPr>
        <w:spacing w:after="0" w:line="240" w:lineRule="auto"/>
      </w:pPr>
      <w:r>
        <w:separator/>
      </w:r>
    </w:p>
  </w:endnote>
  <w:endnote w:type="continuationSeparator" w:id="0">
    <w:p w:rsidR="004906F6" w:rsidRDefault="0049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66706885"/>
      <w:docPartObj>
        <w:docPartGallery w:val="Page Numbers (Bottom of Page)"/>
        <w:docPartUnique/>
      </w:docPartObj>
    </w:sdtPr>
    <w:sdtEndPr/>
    <w:sdtContent>
      <w:p w:rsidR="00032B4E" w:rsidRPr="00A8061D" w:rsidRDefault="00032B4E">
        <w:pPr>
          <w:pStyle w:val="Footer"/>
          <w:jc w:val="right"/>
          <w:rPr>
            <w:rFonts w:ascii="Times New Roman" w:hAnsi="Times New Roman" w:cs="Times New Roman"/>
          </w:rPr>
        </w:pPr>
        <w:r w:rsidRPr="00A8061D">
          <w:rPr>
            <w:rFonts w:ascii="Times New Roman" w:hAnsi="Times New Roman" w:cs="Times New Roman"/>
          </w:rPr>
          <w:fldChar w:fldCharType="begin"/>
        </w:r>
        <w:r w:rsidRPr="00A8061D">
          <w:rPr>
            <w:rFonts w:ascii="Times New Roman" w:hAnsi="Times New Roman" w:cs="Times New Roman"/>
          </w:rPr>
          <w:instrText>PAGE   \* MERGEFORMAT</w:instrText>
        </w:r>
        <w:r w:rsidRPr="00A8061D">
          <w:rPr>
            <w:rFonts w:ascii="Times New Roman" w:hAnsi="Times New Roman" w:cs="Times New Roman"/>
          </w:rPr>
          <w:fldChar w:fldCharType="separate"/>
        </w:r>
        <w:r w:rsidR="007A1D32" w:rsidRPr="007A1D32">
          <w:rPr>
            <w:rFonts w:ascii="Times New Roman" w:hAnsi="Times New Roman" w:cs="Times New Roman"/>
            <w:noProof/>
            <w:lang w:val="pt-PT"/>
          </w:rPr>
          <w:t>1</w:t>
        </w:r>
        <w:r w:rsidRPr="00A8061D">
          <w:rPr>
            <w:rFonts w:ascii="Times New Roman" w:hAnsi="Times New Roman" w:cs="Times New Roman"/>
          </w:rPr>
          <w:fldChar w:fldCharType="end"/>
        </w:r>
      </w:p>
    </w:sdtContent>
  </w:sdt>
  <w:p w:rsidR="00032B4E" w:rsidRDefault="00032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596464"/>
      <w:docPartObj>
        <w:docPartGallery w:val="Page Numbers (Bottom of Page)"/>
        <w:docPartUnique/>
      </w:docPartObj>
    </w:sdtPr>
    <w:sdtEndPr/>
    <w:sdtContent>
      <w:p w:rsidR="00032B4E" w:rsidRPr="00A8061D" w:rsidRDefault="00032B4E">
        <w:pPr>
          <w:pStyle w:val="Footer"/>
          <w:jc w:val="right"/>
          <w:rPr>
            <w:rFonts w:ascii="Times New Roman" w:hAnsi="Times New Roman" w:cs="Times New Roman"/>
          </w:rPr>
        </w:pPr>
        <w:r w:rsidRPr="00A8061D">
          <w:rPr>
            <w:rFonts w:ascii="Times New Roman" w:hAnsi="Times New Roman" w:cs="Times New Roman"/>
          </w:rPr>
          <w:fldChar w:fldCharType="begin"/>
        </w:r>
        <w:r w:rsidRPr="00A8061D">
          <w:rPr>
            <w:rFonts w:ascii="Times New Roman" w:hAnsi="Times New Roman" w:cs="Times New Roman"/>
          </w:rPr>
          <w:instrText>PAGE   \* MERGEFORMAT</w:instrText>
        </w:r>
        <w:r w:rsidRPr="00A8061D">
          <w:rPr>
            <w:rFonts w:ascii="Times New Roman" w:hAnsi="Times New Roman" w:cs="Times New Roman"/>
          </w:rPr>
          <w:fldChar w:fldCharType="separate"/>
        </w:r>
        <w:r w:rsidR="007A1D32" w:rsidRPr="007A1D32">
          <w:rPr>
            <w:rFonts w:ascii="Times New Roman" w:hAnsi="Times New Roman" w:cs="Times New Roman"/>
            <w:noProof/>
            <w:lang w:val="pt-PT"/>
          </w:rPr>
          <w:t>22</w:t>
        </w:r>
        <w:r w:rsidRPr="00A8061D">
          <w:rPr>
            <w:rFonts w:ascii="Times New Roman" w:hAnsi="Times New Roman" w:cs="Times New Roman"/>
          </w:rPr>
          <w:fldChar w:fldCharType="end"/>
        </w:r>
      </w:p>
    </w:sdtContent>
  </w:sdt>
  <w:p w:rsidR="00032B4E" w:rsidRDefault="00032B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677551"/>
      <w:docPartObj>
        <w:docPartGallery w:val="Page Numbers (Bottom of Page)"/>
        <w:docPartUnique/>
      </w:docPartObj>
    </w:sdtPr>
    <w:sdtEndPr>
      <w:rPr>
        <w:rFonts w:ascii="Times New Roman" w:hAnsi="Times New Roman" w:cs="Times New Roman"/>
        <w:sz w:val="20"/>
      </w:rPr>
    </w:sdtEndPr>
    <w:sdtContent>
      <w:p w:rsidR="00032B4E" w:rsidRPr="00FD10EB" w:rsidRDefault="00032B4E">
        <w:pPr>
          <w:pStyle w:val="Footer"/>
          <w:jc w:val="right"/>
          <w:rPr>
            <w:rFonts w:ascii="Times New Roman" w:hAnsi="Times New Roman" w:cs="Times New Roman"/>
            <w:sz w:val="20"/>
          </w:rPr>
        </w:pPr>
        <w:r w:rsidRPr="00FD10EB">
          <w:rPr>
            <w:rFonts w:ascii="Times New Roman" w:hAnsi="Times New Roman" w:cs="Times New Roman"/>
            <w:sz w:val="20"/>
          </w:rPr>
          <w:fldChar w:fldCharType="begin"/>
        </w:r>
        <w:r w:rsidRPr="00FD10EB">
          <w:rPr>
            <w:rFonts w:ascii="Times New Roman" w:hAnsi="Times New Roman" w:cs="Times New Roman"/>
            <w:sz w:val="20"/>
          </w:rPr>
          <w:instrText>PAGE   \* MERGEFORMAT</w:instrText>
        </w:r>
        <w:r w:rsidRPr="00FD10EB">
          <w:rPr>
            <w:rFonts w:ascii="Times New Roman" w:hAnsi="Times New Roman" w:cs="Times New Roman"/>
            <w:sz w:val="20"/>
          </w:rPr>
          <w:fldChar w:fldCharType="separate"/>
        </w:r>
        <w:r w:rsidR="007A1D32" w:rsidRPr="007A1D32">
          <w:rPr>
            <w:rFonts w:ascii="Times New Roman" w:hAnsi="Times New Roman" w:cs="Times New Roman"/>
            <w:noProof/>
            <w:sz w:val="20"/>
            <w:lang w:val="pt-PT"/>
          </w:rPr>
          <w:t>23</w:t>
        </w:r>
        <w:r w:rsidRPr="00FD10EB">
          <w:rPr>
            <w:rFonts w:ascii="Times New Roman" w:hAnsi="Times New Roman" w:cs="Times New Roman"/>
            <w:noProof/>
            <w:sz w:val="20"/>
            <w:lang w:val="pt-PT"/>
          </w:rPr>
          <w:fldChar w:fldCharType="end"/>
        </w:r>
      </w:p>
    </w:sdtContent>
  </w:sdt>
  <w:p w:rsidR="00032B4E" w:rsidRDefault="00032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6F6" w:rsidRDefault="004906F6">
      <w:pPr>
        <w:spacing w:after="0" w:line="240" w:lineRule="auto"/>
      </w:pPr>
      <w:r>
        <w:separator/>
      </w:r>
    </w:p>
  </w:footnote>
  <w:footnote w:type="continuationSeparator" w:id="0">
    <w:p w:rsidR="004906F6" w:rsidRDefault="00490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DAA"/>
    <w:multiLevelType w:val="hybridMultilevel"/>
    <w:tmpl w:val="463CE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85622"/>
    <w:multiLevelType w:val="hybridMultilevel"/>
    <w:tmpl w:val="AE601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75C56"/>
    <w:multiLevelType w:val="hybridMultilevel"/>
    <w:tmpl w:val="830AA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A1430"/>
    <w:multiLevelType w:val="hybridMultilevel"/>
    <w:tmpl w:val="4A20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C187A"/>
    <w:multiLevelType w:val="hybridMultilevel"/>
    <w:tmpl w:val="F25078A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500F1457"/>
    <w:multiLevelType w:val="hybridMultilevel"/>
    <w:tmpl w:val="D4DC9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734F8A"/>
    <w:multiLevelType w:val="hybridMultilevel"/>
    <w:tmpl w:val="830AA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B3646"/>
    <w:rsid w:val="00032B4E"/>
    <w:rsid w:val="0004308F"/>
    <w:rsid w:val="00115661"/>
    <w:rsid w:val="004906F6"/>
    <w:rsid w:val="006A299A"/>
    <w:rsid w:val="007240C5"/>
    <w:rsid w:val="007A1D32"/>
    <w:rsid w:val="007D2149"/>
    <w:rsid w:val="007F3F1F"/>
    <w:rsid w:val="00843882"/>
    <w:rsid w:val="00892B45"/>
    <w:rsid w:val="009A645B"/>
    <w:rsid w:val="00BA1C84"/>
    <w:rsid w:val="00C11237"/>
    <w:rsid w:val="00DB3646"/>
    <w:rsid w:val="00DD6416"/>
    <w:rsid w:val="00E10503"/>
    <w:rsid w:val="00E47CB6"/>
    <w:rsid w:val="00F76D24"/>
    <w:rsid w:val="00F8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46"/>
    <w:pPr>
      <w:ind w:left="720"/>
      <w:contextualSpacing/>
    </w:pPr>
  </w:style>
  <w:style w:type="table" w:styleId="TableGrid">
    <w:name w:val="Table Grid"/>
    <w:basedOn w:val="TableNormal"/>
    <w:uiPriority w:val="39"/>
    <w:rsid w:val="00DB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646"/>
    <w:rPr>
      <w:sz w:val="16"/>
      <w:szCs w:val="16"/>
    </w:rPr>
  </w:style>
  <w:style w:type="paragraph" w:styleId="CommentText">
    <w:name w:val="annotation text"/>
    <w:basedOn w:val="Normal"/>
    <w:link w:val="CommentTextChar"/>
    <w:uiPriority w:val="99"/>
    <w:semiHidden/>
    <w:unhideWhenUsed/>
    <w:rsid w:val="00DB3646"/>
    <w:pPr>
      <w:spacing w:line="240" w:lineRule="auto"/>
    </w:pPr>
    <w:rPr>
      <w:sz w:val="20"/>
      <w:szCs w:val="20"/>
    </w:rPr>
  </w:style>
  <w:style w:type="character" w:customStyle="1" w:styleId="CommentTextChar">
    <w:name w:val="Comment Text Char"/>
    <w:basedOn w:val="DefaultParagraphFont"/>
    <w:link w:val="CommentText"/>
    <w:uiPriority w:val="99"/>
    <w:semiHidden/>
    <w:rsid w:val="00DB3646"/>
    <w:rPr>
      <w:sz w:val="20"/>
      <w:szCs w:val="20"/>
    </w:rPr>
  </w:style>
  <w:style w:type="paragraph" w:styleId="CommentSubject">
    <w:name w:val="annotation subject"/>
    <w:basedOn w:val="CommentText"/>
    <w:next w:val="CommentText"/>
    <w:link w:val="CommentSubjectChar"/>
    <w:uiPriority w:val="99"/>
    <w:semiHidden/>
    <w:unhideWhenUsed/>
    <w:rsid w:val="00DB3646"/>
    <w:rPr>
      <w:b/>
      <w:bCs/>
    </w:rPr>
  </w:style>
  <w:style w:type="character" w:customStyle="1" w:styleId="CommentSubjectChar">
    <w:name w:val="Comment Subject Char"/>
    <w:basedOn w:val="CommentTextChar"/>
    <w:link w:val="CommentSubject"/>
    <w:uiPriority w:val="99"/>
    <w:semiHidden/>
    <w:rsid w:val="00DB3646"/>
    <w:rPr>
      <w:b/>
      <w:bCs/>
      <w:sz w:val="20"/>
      <w:szCs w:val="20"/>
    </w:rPr>
  </w:style>
  <w:style w:type="paragraph" w:styleId="BalloonText">
    <w:name w:val="Balloon Text"/>
    <w:basedOn w:val="Normal"/>
    <w:link w:val="BalloonTextChar"/>
    <w:uiPriority w:val="99"/>
    <w:semiHidden/>
    <w:unhideWhenUsed/>
    <w:rsid w:val="00DB3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646"/>
    <w:rPr>
      <w:rFonts w:ascii="Segoe UI" w:hAnsi="Segoe UI" w:cs="Segoe UI"/>
      <w:sz w:val="18"/>
      <w:szCs w:val="18"/>
    </w:rPr>
  </w:style>
  <w:style w:type="paragraph" w:styleId="Header">
    <w:name w:val="header"/>
    <w:basedOn w:val="Normal"/>
    <w:link w:val="HeaderChar"/>
    <w:uiPriority w:val="99"/>
    <w:unhideWhenUsed/>
    <w:rsid w:val="00DB36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DB3646"/>
  </w:style>
  <w:style w:type="paragraph" w:styleId="Footer">
    <w:name w:val="footer"/>
    <w:basedOn w:val="Normal"/>
    <w:link w:val="FooterChar"/>
    <w:uiPriority w:val="99"/>
    <w:unhideWhenUsed/>
    <w:rsid w:val="00DB36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DB3646"/>
  </w:style>
  <w:style w:type="paragraph" w:customStyle="1" w:styleId="EndNoteBibliographyTitle">
    <w:name w:val="EndNote Bibliography Title"/>
    <w:basedOn w:val="Normal"/>
    <w:link w:val="EndNoteBibliographyTitleCarter"/>
    <w:rsid w:val="00DB3646"/>
    <w:pPr>
      <w:spacing w:after="0"/>
      <w:jc w:val="center"/>
    </w:pPr>
    <w:rPr>
      <w:rFonts w:ascii="Times New Roman" w:hAnsi="Times New Roman" w:cs="Times New Roman"/>
      <w:noProof/>
    </w:rPr>
  </w:style>
  <w:style w:type="character" w:customStyle="1" w:styleId="EndNoteBibliographyTitleCarter">
    <w:name w:val="EndNote Bibliography Title Caráter"/>
    <w:basedOn w:val="DefaultParagraphFont"/>
    <w:link w:val="EndNoteBibliographyTitle"/>
    <w:rsid w:val="00DB3646"/>
    <w:rPr>
      <w:rFonts w:ascii="Times New Roman" w:hAnsi="Times New Roman" w:cs="Times New Roman"/>
      <w:noProof/>
    </w:rPr>
  </w:style>
  <w:style w:type="paragraph" w:customStyle="1" w:styleId="EndNoteBibliography">
    <w:name w:val="EndNote Bibliography"/>
    <w:basedOn w:val="Normal"/>
    <w:link w:val="EndNoteBibliographyCarter"/>
    <w:rsid w:val="00DB3646"/>
    <w:pPr>
      <w:spacing w:line="240" w:lineRule="auto"/>
      <w:jc w:val="both"/>
    </w:pPr>
    <w:rPr>
      <w:rFonts w:ascii="Times New Roman" w:hAnsi="Times New Roman" w:cs="Times New Roman"/>
      <w:noProof/>
    </w:rPr>
  </w:style>
  <w:style w:type="character" w:customStyle="1" w:styleId="EndNoteBibliographyCarter">
    <w:name w:val="EndNote Bibliography Caráter"/>
    <w:basedOn w:val="DefaultParagraphFont"/>
    <w:link w:val="EndNoteBibliography"/>
    <w:rsid w:val="00DB3646"/>
    <w:rPr>
      <w:rFonts w:ascii="Times New Roman" w:hAnsi="Times New Roman" w:cs="Times New Roman"/>
      <w:noProof/>
    </w:rPr>
  </w:style>
  <w:style w:type="character" w:styleId="Hyperlink">
    <w:name w:val="Hyperlink"/>
    <w:basedOn w:val="DefaultParagraphFont"/>
    <w:uiPriority w:val="99"/>
    <w:unhideWhenUsed/>
    <w:rsid w:val="00DB3646"/>
    <w:rPr>
      <w:color w:val="0563C1" w:themeColor="hyperlink"/>
      <w:u w:val="single"/>
    </w:rPr>
  </w:style>
  <w:style w:type="paragraph" w:styleId="Revision">
    <w:name w:val="Revision"/>
    <w:hidden/>
    <w:uiPriority w:val="99"/>
    <w:semiHidden/>
    <w:rsid w:val="00DB36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46"/>
    <w:pPr>
      <w:ind w:left="720"/>
      <w:contextualSpacing/>
    </w:pPr>
  </w:style>
  <w:style w:type="table" w:styleId="TableGrid">
    <w:name w:val="Table Grid"/>
    <w:basedOn w:val="TableNormal"/>
    <w:uiPriority w:val="39"/>
    <w:rsid w:val="00DB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3646"/>
    <w:rPr>
      <w:sz w:val="16"/>
      <w:szCs w:val="16"/>
    </w:rPr>
  </w:style>
  <w:style w:type="paragraph" w:styleId="CommentText">
    <w:name w:val="annotation text"/>
    <w:basedOn w:val="Normal"/>
    <w:link w:val="CommentTextChar"/>
    <w:uiPriority w:val="99"/>
    <w:semiHidden/>
    <w:unhideWhenUsed/>
    <w:rsid w:val="00DB3646"/>
    <w:pPr>
      <w:spacing w:line="240" w:lineRule="auto"/>
    </w:pPr>
    <w:rPr>
      <w:sz w:val="20"/>
      <w:szCs w:val="20"/>
    </w:rPr>
  </w:style>
  <w:style w:type="character" w:customStyle="1" w:styleId="CommentTextChar">
    <w:name w:val="Comment Text Char"/>
    <w:basedOn w:val="DefaultParagraphFont"/>
    <w:link w:val="CommentText"/>
    <w:uiPriority w:val="99"/>
    <w:semiHidden/>
    <w:rsid w:val="00DB3646"/>
    <w:rPr>
      <w:sz w:val="20"/>
      <w:szCs w:val="20"/>
    </w:rPr>
  </w:style>
  <w:style w:type="paragraph" w:styleId="CommentSubject">
    <w:name w:val="annotation subject"/>
    <w:basedOn w:val="CommentText"/>
    <w:next w:val="CommentText"/>
    <w:link w:val="CommentSubjectChar"/>
    <w:uiPriority w:val="99"/>
    <w:semiHidden/>
    <w:unhideWhenUsed/>
    <w:rsid w:val="00DB3646"/>
    <w:rPr>
      <w:b/>
      <w:bCs/>
    </w:rPr>
  </w:style>
  <w:style w:type="character" w:customStyle="1" w:styleId="CommentSubjectChar">
    <w:name w:val="Comment Subject Char"/>
    <w:basedOn w:val="CommentTextChar"/>
    <w:link w:val="CommentSubject"/>
    <w:uiPriority w:val="99"/>
    <w:semiHidden/>
    <w:rsid w:val="00DB3646"/>
    <w:rPr>
      <w:b/>
      <w:bCs/>
      <w:sz w:val="20"/>
      <w:szCs w:val="20"/>
    </w:rPr>
  </w:style>
  <w:style w:type="paragraph" w:styleId="BalloonText">
    <w:name w:val="Balloon Text"/>
    <w:basedOn w:val="Normal"/>
    <w:link w:val="BalloonTextChar"/>
    <w:uiPriority w:val="99"/>
    <w:semiHidden/>
    <w:unhideWhenUsed/>
    <w:rsid w:val="00DB3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646"/>
    <w:rPr>
      <w:rFonts w:ascii="Segoe UI" w:hAnsi="Segoe UI" w:cs="Segoe UI"/>
      <w:sz w:val="18"/>
      <w:szCs w:val="18"/>
    </w:rPr>
  </w:style>
  <w:style w:type="paragraph" w:styleId="Header">
    <w:name w:val="header"/>
    <w:basedOn w:val="Normal"/>
    <w:link w:val="HeaderChar"/>
    <w:uiPriority w:val="99"/>
    <w:unhideWhenUsed/>
    <w:rsid w:val="00DB36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DB3646"/>
  </w:style>
  <w:style w:type="paragraph" w:styleId="Footer">
    <w:name w:val="footer"/>
    <w:basedOn w:val="Normal"/>
    <w:link w:val="FooterChar"/>
    <w:uiPriority w:val="99"/>
    <w:unhideWhenUsed/>
    <w:rsid w:val="00DB36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DB3646"/>
  </w:style>
  <w:style w:type="paragraph" w:customStyle="1" w:styleId="EndNoteBibliographyTitle">
    <w:name w:val="EndNote Bibliography Title"/>
    <w:basedOn w:val="Normal"/>
    <w:link w:val="EndNoteBibliographyTitleCarter"/>
    <w:rsid w:val="00DB3646"/>
    <w:pPr>
      <w:spacing w:after="0"/>
      <w:jc w:val="center"/>
    </w:pPr>
    <w:rPr>
      <w:rFonts w:ascii="Times New Roman" w:hAnsi="Times New Roman" w:cs="Times New Roman"/>
      <w:noProof/>
    </w:rPr>
  </w:style>
  <w:style w:type="character" w:customStyle="1" w:styleId="EndNoteBibliographyTitleCarter">
    <w:name w:val="EndNote Bibliography Title Caráter"/>
    <w:basedOn w:val="DefaultParagraphFont"/>
    <w:link w:val="EndNoteBibliographyTitle"/>
    <w:rsid w:val="00DB3646"/>
    <w:rPr>
      <w:rFonts w:ascii="Times New Roman" w:hAnsi="Times New Roman" w:cs="Times New Roman"/>
      <w:noProof/>
    </w:rPr>
  </w:style>
  <w:style w:type="paragraph" w:customStyle="1" w:styleId="EndNoteBibliography">
    <w:name w:val="EndNote Bibliography"/>
    <w:basedOn w:val="Normal"/>
    <w:link w:val="EndNoteBibliographyCarter"/>
    <w:rsid w:val="00DB3646"/>
    <w:pPr>
      <w:spacing w:line="240" w:lineRule="auto"/>
      <w:jc w:val="both"/>
    </w:pPr>
    <w:rPr>
      <w:rFonts w:ascii="Times New Roman" w:hAnsi="Times New Roman" w:cs="Times New Roman"/>
      <w:noProof/>
    </w:rPr>
  </w:style>
  <w:style w:type="character" w:customStyle="1" w:styleId="EndNoteBibliographyCarter">
    <w:name w:val="EndNote Bibliography Caráter"/>
    <w:basedOn w:val="DefaultParagraphFont"/>
    <w:link w:val="EndNoteBibliography"/>
    <w:rsid w:val="00DB3646"/>
    <w:rPr>
      <w:rFonts w:ascii="Times New Roman" w:hAnsi="Times New Roman" w:cs="Times New Roman"/>
      <w:noProof/>
    </w:rPr>
  </w:style>
  <w:style w:type="character" w:styleId="Hyperlink">
    <w:name w:val="Hyperlink"/>
    <w:basedOn w:val="DefaultParagraphFont"/>
    <w:uiPriority w:val="99"/>
    <w:unhideWhenUsed/>
    <w:rsid w:val="00DB3646"/>
    <w:rPr>
      <w:color w:val="0563C1" w:themeColor="hyperlink"/>
      <w:u w:val="single"/>
    </w:rPr>
  </w:style>
  <w:style w:type="paragraph" w:styleId="Revision">
    <w:name w:val="Revision"/>
    <w:hidden/>
    <w:uiPriority w:val="99"/>
    <w:semiHidden/>
    <w:rsid w:val="00DB3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6040</Words>
  <Characters>34428</Characters>
  <Application>Microsoft Office Word</Application>
  <DocSecurity>4</DocSecurity>
  <Lines>286</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Lucas</dc:creator>
  <cp:lastModifiedBy>Karen Drake</cp:lastModifiedBy>
  <cp:revision>2</cp:revision>
  <dcterms:created xsi:type="dcterms:W3CDTF">2017-06-19T12:29:00Z</dcterms:created>
  <dcterms:modified xsi:type="dcterms:W3CDTF">2017-06-19T12:29:00Z</dcterms:modified>
</cp:coreProperties>
</file>