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EFD4E" w14:textId="54918825" w:rsidR="000E4BD0" w:rsidRPr="001E6340" w:rsidRDefault="00FB5738" w:rsidP="001025E0">
      <w:pPr>
        <w:pStyle w:val="NoSpacing"/>
        <w:spacing w:line="360" w:lineRule="auto"/>
        <w:rPr>
          <w:b/>
        </w:rPr>
      </w:pPr>
      <w:r w:rsidRPr="001E6340">
        <w:rPr>
          <w:b/>
        </w:rPr>
        <w:t>Making</w:t>
      </w:r>
      <w:bookmarkStart w:id="0" w:name="_GoBack"/>
      <w:bookmarkEnd w:id="0"/>
      <w:r w:rsidRPr="001E6340">
        <w:rPr>
          <w:b/>
        </w:rPr>
        <w:t xml:space="preserve"> Sense of the Colonial Encounter </w:t>
      </w:r>
      <w:r w:rsidR="00A925FC" w:rsidRPr="001E6340">
        <w:rPr>
          <w:b/>
        </w:rPr>
        <w:t xml:space="preserve">in Conrad’s </w:t>
      </w:r>
      <w:r w:rsidR="00202570" w:rsidRPr="001E6340">
        <w:rPr>
          <w:b/>
        </w:rPr>
        <w:t>S</w:t>
      </w:r>
      <w:r w:rsidR="00EF0540" w:rsidRPr="001E6340">
        <w:rPr>
          <w:b/>
        </w:rPr>
        <w:t>horter Indian Ocean</w:t>
      </w:r>
      <w:r w:rsidR="00F360E9" w:rsidRPr="001E6340">
        <w:rPr>
          <w:b/>
        </w:rPr>
        <w:t xml:space="preserve"> F</w:t>
      </w:r>
      <w:r w:rsidR="00A925FC" w:rsidRPr="001E6340">
        <w:rPr>
          <w:b/>
        </w:rPr>
        <w:t>iction</w:t>
      </w:r>
      <w:r w:rsidRPr="001E6340">
        <w:rPr>
          <w:b/>
        </w:rPr>
        <w:t xml:space="preserve">: Narrative Technique, Meaning and Epistemology in </w:t>
      </w:r>
      <w:r w:rsidR="009B2FF7" w:rsidRPr="001E6340">
        <w:rPr>
          <w:b/>
        </w:rPr>
        <w:t>‘</w:t>
      </w:r>
      <w:r w:rsidR="000E4BD0" w:rsidRPr="001E6340">
        <w:rPr>
          <w:b/>
        </w:rPr>
        <w:t>Karain</w:t>
      </w:r>
      <w:r w:rsidR="00AA0F98" w:rsidRPr="001E6340">
        <w:rPr>
          <w:b/>
        </w:rPr>
        <w:t>: A Memory</w:t>
      </w:r>
      <w:r w:rsidR="009B2FF7" w:rsidRPr="001E6340">
        <w:rPr>
          <w:b/>
        </w:rPr>
        <w:t>’</w:t>
      </w:r>
      <w:r w:rsidR="000E4BD0" w:rsidRPr="001E6340">
        <w:rPr>
          <w:b/>
          <w:i/>
        </w:rPr>
        <w:t xml:space="preserve">, </w:t>
      </w:r>
      <w:r w:rsidR="009B2FF7" w:rsidRPr="001E6340">
        <w:rPr>
          <w:b/>
        </w:rPr>
        <w:t>‘</w:t>
      </w:r>
      <w:r w:rsidR="000E4BD0" w:rsidRPr="001E6340">
        <w:rPr>
          <w:b/>
        </w:rPr>
        <w:t>A Smile of Fortune</w:t>
      </w:r>
      <w:r w:rsidR="009B2FF7" w:rsidRPr="001E6340">
        <w:rPr>
          <w:b/>
        </w:rPr>
        <w:t>’</w:t>
      </w:r>
      <w:r w:rsidR="000E4BD0" w:rsidRPr="001E6340">
        <w:rPr>
          <w:b/>
        </w:rPr>
        <w:t xml:space="preserve"> and </w:t>
      </w:r>
      <w:r w:rsidR="000E4BD0" w:rsidRPr="001E6340">
        <w:rPr>
          <w:b/>
          <w:i/>
        </w:rPr>
        <w:t>The Shadow-Line</w:t>
      </w:r>
      <w:r w:rsidR="000E4BD0" w:rsidRPr="001E6340">
        <w:rPr>
          <w:b/>
        </w:rPr>
        <w:t xml:space="preserve">.  </w:t>
      </w:r>
    </w:p>
    <w:p w14:paraId="18C36CFB" w14:textId="77777777" w:rsidR="004846CC" w:rsidRPr="001E6340" w:rsidRDefault="004846CC" w:rsidP="00AD3EF1">
      <w:pPr>
        <w:pStyle w:val="NoSpacing"/>
        <w:rPr>
          <w:b/>
        </w:rPr>
      </w:pPr>
    </w:p>
    <w:p w14:paraId="560E5021" w14:textId="77777777" w:rsidR="0016659D" w:rsidRPr="001E6340" w:rsidRDefault="0016659D" w:rsidP="00AD3EF1">
      <w:pPr>
        <w:pStyle w:val="NoSpacing"/>
      </w:pPr>
    </w:p>
    <w:p w14:paraId="5BA0D146" w14:textId="776513FE" w:rsidR="003365D8" w:rsidRPr="001E6340" w:rsidRDefault="0030335F" w:rsidP="00374142">
      <w:pPr>
        <w:pStyle w:val="NoSpacing"/>
        <w:spacing w:line="480" w:lineRule="auto"/>
      </w:pPr>
      <w:r w:rsidRPr="001E6340">
        <w:t>C</w:t>
      </w:r>
      <w:r w:rsidR="00B87886" w:rsidRPr="001E6340">
        <w:t>ritical</w:t>
      </w:r>
      <w:r w:rsidR="000E4BD0" w:rsidRPr="001E6340">
        <w:t xml:space="preserve"> </w:t>
      </w:r>
      <w:r w:rsidR="007E67F7" w:rsidRPr="001E6340">
        <w:t>interpretation</w:t>
      </w:r>
      <w:r w:rsidR="00B87886" w:rsidRPr="001E6340">
        <w:t>s</w:t>
      </w:r>
      <w:r w:rsidR="000E4BD0" w:rsidRPr="001E6340">
        <w:t xml:space="preserve"> of Conrad’s representation of imperialism and colonialism </w:t>
      </w:r>
      <w:r w:rsidRPr="001E6340">
        <w:t>reveal differing emphases</w:t>
      </w:r>
      <w:r w:rsidR="00227836" w:rsidRPr="001E6340">
        <w:t>,</w:t>
      </w:r>
      <w:r w:rsidR="00BC0F10" w:rsidRPr="001E6340">
        <w:t xml:space="preserve"> ones that if they sometimes verge on the contradictory</w:t>
      </w:r>
      <w:r w:rsidR="000424D1" w:rsidRPr="001E6340">
        <w:t>,</w:t>
      </w:r>
      <w:r w:rsidRPr="001E6340">
        <w:t xml:space="preserve"> are </w:t>
      </w:r>
      <w:r w:rsidR="00227836" w:rsidRPr="001E6340">
        <w:t xml:space="preserve">perhaps </w:t>
      </w:r>
      <w:r w:rsidRPr="001E6340">
        <w:t xml:space="preserve">not </w:t>
      </w:r>
      <w:r w:rsidR="00BC0F10" w:rsidRPr="001E6340">
        <w:t>intrinsically</w:t>
      </w:r>
      <w:r w:rsidRPr="001E6340">
        <w:t xml:space="preserve"> </w:t>
      </w:r>
      <w:r w:rsidR="00AA0D7C" w:rsidRPr="001E6340">
        <w:t>uncompli</w:t>
      </w:r>
      <w:r w:rsidRPr="001E6340">
        <w:t>mentary</w:t>
      </w:r>
      <w:r w:rsidR="000E4BD0" w:rsidRPr="001E6340">
        <w:t>. Andrea White</w:t>
      </w:r>
      <w:r w:rsidR="008944AC" w:rsidRPr="001E6340">
        <w:t>, for example,</w:t>
      </w:r>
      <w:r w:rsidR="000E4BD0" w:rsidRPr="001E6340">
        <w:t xml:space="preserve"> </w:t>
      </w:r>
      <w:r w:rsidR="007E67F7" w:rsidRPr="001E6340">
        <w:t>identifies</w:t>
      </w:r>
      <w:r w:rsidR="000E4BD0" w:rsidRPr="001E6340">
        <w:t xml:space="preserve"> </w:t>
      </w:r>
      <w:r w:rsidR="00A32812" w:rsidRPr="001E6340">
        <w:t xml:space="preserve">Conrad’s </w:t>
      </w:r>
      <w:r w:rsidR="000E4BD0" w:rsidRPr="001E6340">
        <w:t xml:space="preserve">‘desire to expose imperialism’s fraudulent pretensions of benevolence’ and, </w:t>
      </w:r>
      <w:r w:rsidR="007E67F7" w:rsidRPr="001E6340">
        <w:t xml:space="preserve">while </w:t>
      </w:r>
      <w:r w:rsidR="008C0F05" w:rsidRPr="001E6340">
        <w:t>recognizing</w:t>
      </w:r>
      <w:r w:rsidR="000E4BD0" w:rsidRPr="001E6340">
        <w:t xml:space="preserve"> </w:t>
      </w:r>
      <w:r w:rsidR="00A32812" w:rsidRPr="001E6340">
        <w:t>his ambivalence</w:t>
      </w:r>
      <w:r w:rsidR="007E67F7" w:rsidRPr="001E6340">
        <w:t xml:space="preserve"> and </w:t>
      </w:r>
      <w:r w:rsidR="000E4BD0" w:rsidRPr="001E6340">
        <w:t xml:space="preserve">conservatism, </w:t>
      </w:r>
      <w:r w:rsidR="00A32812" w:rsidRPr="001E6340">
        <w:t>praises Conrad’s crucial contributions to an eventually liberating</w:t>
      </w:r>
      <w:r w:rsidR="000E4BD0" w:rsidRPr="001E6340">
        <w:t xml:space="preserve"> </w:t>
      </w:r>
      <w:r w:rsidR="0002704D" w:rsidRPr="001E6340">
        <w:t>‘revaluation of imperialism’</w:t>
      </w:r>
      <w:r w:rsidR="00CF10CE" w:rsidRPr="001E6340">
        <w:t>.</w:t>
      </w:r>
      <w:r w:rsidR="00B25828" w:rsidRPr="001E6340">
        <w:rPr>
          <w:rStyle w:val="FootnoteReference"/>
        </w:rPr>
        <w:footnoteReference w:id="1"/>
      </w:r>
      <w:r w:rsidR="002818D9" w:rsidRPr="001E6340">
        <w:t xml:space="preserve"> </w:t>
      </w:r>
      <w:r w:rsidR="00E33F27" w:rsidRPr="001E6340">
        <w:t>A strong case can indeed be ma</w:t>
      </w:r>
      <w:r w:rsidR="005D2E6F" w:rsidRPr="001E6340">
        <w:t>de for these elements</w:t>
      </w:r>
      <w:r w:rsidR="00E33F27" w:rsidRPr="001E6340">
        <w:t xml:space="preserve"> in Conrad’s fiction generally, and in his</w:t>
      </w:r>
      <w:r w:rsidR="00EF0540" w:rsidRPr="001E6340">
        <w:t xml:space="preserve"> Malay stories</w:t>
      </w:r>
      <w:r w:rsidR="00E33F27" w:rsidRPr="001E6340">
        <w:t xml:space="preserve"> in particular. However, i</w:t>
      </w:r>
      <w:r w:rsidR="00227836" w:rsidRPr="001E6340">
        <w:t>n contrast,</w:t>
      </w:r>
      <w:r w:rsidR="00BF38E9" w:rsidRPr="001E6340">
        <w:t xml:space="preserve"> </w:t>
      </w:r>
      <w:r w:rsidR="000E4BD0" w:rsidRPr="001E6340">
        <w:t xml:space="preserve">Kenneth Graham notes </w:t>
      </w:r>
      <w:r w:rsidR="00007374" w:rsidRPr="001E6340">
        <w:t>the novelist’s</w:t>
      </w:r>
      <w:r w:rsidR="000E4BD0" w:rsidRPr="001E6340">
        <w:t xml:space="preserve"> </w:t>
      </w:r>
      <w:r w:rsidR="00BE78B7" w:rsidRPr="001E6340">
        <w:t xml:space="preserve">‘searing </w:t>
      </w:r>
      <w:r w:rsidR="00397822" w:rsidRPr="001E6340">
        <w:t>sc</w:t>
      </w:r>
      <w:r w:rsidR="00AE3103" w:rsidRPr="001E6340">
        <w:t>epticism</w:t>
      </w:r>
      <w:r w:rsidR="00BE78B7" w:rsidRPr="001E6340">
        <w:t xml:space="preserve">’ manifested in a </w:t>
      </w:r>
      <w:r w:rsidR="009908B3" w:rsidRPr="001E6340">
        <w:t>‘</w:t>
      </w:r>
      <w:r w:rsidR="000E4BD0" w:rsidRPr="001E6340">
        <w:t>multiplicity of viewpoints that will conceal the artist yet express his view</w:t>
      </w:r>
      <w:r w:rsidR="00CD20F7" w:rsidRPr="001E6340">
        <w:t xml:space="preserve"> [</w:t>
      </w:r>
      <w:r w:rsidR="00BE78B7" w:rsidRPr="001E6340">
        <w:t>…</w:t>
      </w:r>
      <w:r w:rsidR="00CD20F7" w:rsidRPr="001E6340">
        <w:t xml:space="preserve">] </w:t>
      </w:r>
      <w:r w:rsidR="000E4BD0" w:rsidRPr="001E6340">
        <w:t>of th</w:t>
      </w:r>
      <w:r w:rsidR="009908B3" w:rsidRPr="001E6340">
        <w:t>e world’s lack of fixed meaning’</w:t>
      </w:r>
      <w:r w:rsidR="007607C1" w:rsidRPr="001E6340">
        <w:t>.</w:t>
      </w:r>
      <w:r w:rsidR="009908B3" w:rsidRPr="001E6340">
        <w:rPr>
          <w:rStyle w:val="FootnoteReference"/>
        </w:rPr>
        <w:footnoteReference w:id="2"/>
      </w:r>
      <w:r w:rsidR="007607C1" w:rsidRPr="001E6340">
        <w:t xml:space="preserve"> </w:t>
      </w:r>
      <w:r w:rsidR="001E7AA2" w:rsidRPr="001E6340">
        <w:t xml:space="preserve">Indeed, </w:t>
      </w:r>
      <w:r w:rsidR="00D20AFD" w:rsidRPr="001E6340">
        <w:t xml:space="preserve">the possibility of </w:t>
      </w:r>
      <w:r w:rsidR="001E7AA2" w:rsidRPr="001E6340">
        <w:t xml:space="preserve">any </w:t>
      </w:r>
      <w:r w:rsidR="00D20AFD" w:rsidRPr="001E6340">
        <w:t xml:space="preserve">firm </w:t>
      </w:r>
      <w:r w:rsidR="001E7AA2" w:rsidRPr="001E6340">
        <w:t>ethical</w:t>
      </w:r>
      <w:r w:rsidR="00D20AFD" w:rsidRPr="001E6340">
        <w:t xml:space="preserve"> stance </w:t>
      </w:r>
      <w:r w:rsidR="0051307F" w:rsidRPr="001E6340">
        <w:t>seems</w:t>
      </w:r>
      <w:r w:rsidR="00BE78B7" w:rsidRPr="001E6340">
        <w:t xml:space="preserve"> </w:t>
      </w:r>
      <w:r w:rsidR="0051307F" w:rsidRPr="001E6340">
        <w:t xml:space="preserve">to be questioned in one of </w:t>
      </w:r>
      <w:r w:rsidR="00BE78B7" w:rsidRPr="001E6340">
        <w:t>Conrad</w:t>
      </w:r>
      <w:r w:rsidR="00DE3CE7" w:rsidRPr="001E6340">
        <w:t>’s</w:t>
      </w:r>
      <w:r w:rsidR="0051307F" w:rsidRPr="001E6340">
        <w:t xml:space="preserve"> letters to </w:t>
      </w:r>
      <w:r w:rsidR="00903543" w:rsidRPr="001E6340">
        <w:t xml:space="preserve">R.B. </w:t>
      </w:r>
      <w:r w:rsidR="0051307F" w:rsidRPr="001E6340">
        <w:t>Cunninghame Graham</w:t>
      </w:r>
      <w:r w:rsidR="00BE78B7" w:rsidRPr="001E6340">
        <w:t>:</w:t>
      </w:r>
      <w:r w:rsidR="009908B3" w:rsidRPr="001E6340">
        <w:t xml:space="preserve"> ‘</w:t>
      </w:r>
      <w:r w:rsidR="00BE78B7" w:rsidRPr="001E6340">
        <w:t>And suppose Truth is just around the corner like the elusive and useless loafer it is? I can’t tell. No one can tell. It is impossible to know anything</w:t>
      </w:r>
      <w:r w:rsidR="009908B3" w:rsidRPr="001E6340">
        <w:t>’</w:t>
      </w:r>
      <w:r w:rsidR="003C4D5C" w:rsidRPr="001E6340">
        <w:rPr>
          <w:i/>
        </w:rPr>
        <w:t>.</w:t>
      </w:r>
      <w:r w:rsidR="00120C30" w:rsidRPr="001E6340">
        <w:rPr>
          <w:rStyle w:val="FootnoteReference"/>
        </w:rPr>
        <w:footnoteReference w:id="3"/>
      </w:r>
      <w:r w:rsidR="002818D9" w:rsidRPr="001E6340">
        <w:rPr>
          <w:i/>
        </w:rPr>
        <w:t xml:space="preserve"> </w:t>
      </w:r>
      <w:r w:rsidR="00E33F27" w:rsidRPr="001E6340">
        <w:t xml:space="preserve">Of course, any attempt to tie down the point of view of </w:t>
      </w:r>
      <w:r w:rsidR="00D9042D" w:rsidRPr="001E6340">
        <w:t>an author whose work</w:t>
      </w:r>
      <w:r w:rsidR="00E33F27" w:rsidRPr="001E6340">
        <w:t xml:space="preserve"> is so</w:t>
      </w:r>
      <w:r w:rsidR="00D9042D" w:rsidRPr="001E6340">
        <w:t xml:space="preserve"> multi-faceted, subtle and protean by any one reference to his stated opinions elsewhere is fraught with danger.</w:t>
      </w:r>
      <w:r w:rsidR="00E33F27" w:rsidRPr="001E6340">
        <w:t xml:space="preserve"> </w:t>
      </w:r>
      <w:r w:rsidR="00D9042D" w:rsidRPr="001E6340">
        <w:t>Yet, s</w:t>
      </w:r>
      <w:r w:rsidR="00DE3CE7" w:rsidRPr="001E6340">
        <w:t xml:space="preserve">uch a statement </w:t>
      </w:r>
      <w:r w:rsidR="00D9042D" w:rsidRPr="001E6340">
        <w:t xml:space="preserve">does </w:t>
      </w:r>
      <w:r w:rsidR="00DE3CE7" w:rsidRPr="001E6340">
        <w:t>raise</w:t>
      </w:r>
      <w:r w:rsidR="00E13216" w:rsidRPr="001E6340">
        <w:t xml:space="preserve"> the </w:t>
      </w:r>
      <w:r w:rsidR="007E67F7" w:rsidRPr="001E6340">
        <w:t>question</w:t>
      </w:r>
      <w:r w:rsidR="00E13216" w:rsidRPr="001E6340">
        <w:t xml:space="preserve"> of how </w:t>
      </w:r>
      <w:r w:rsidR="007E67F7" w:rsidRPr="001E6340">
        <w:t xml:space="preserve">far </w:t>
      </w:r>
      <w:r w:rsidR="00E13216" w:rsidRPr="001E6340">
        <w:t>epistemological uncertainty</w:t>
      </w:r>
      <w:r w:rsidR="00DE3CE7" w:rsidRPr="001E6340">
        <w:t xml:space="preserve"> </w:t>
      </w:r>
      <w:r w:rsidR="007E67F7" w:rsidRPr="001E6340">
        <w:t>may inhibit meaning and hinder clear interpretation</w:t>
      </w:r>
      <w:r w:rsidR="00DE3CE7" w:rsidRPr="001E6340">
        <w:t xml:space="preserve"> </w:t>
      </w:r>
      <w:r w:rsidR="00E13216" w:rsidRPr="001E6340">
        <w:t xml:space="preserve">of </w:t>
      </w:r>
      <w:r w:rsidR="00CE562B" w:rsidRPr="001E6340">
        <w:t>hi</w:t>
      </w:r>
      <w:r w:rsidR="0051307F" w:rsidRPr="001E6340">
        <w:t xml:space="preserve">s </w:t>
      </w:r>
      <w:r w:rsidR="00E13216" w:rsidRPr="001E6340">
        <w:t>depiction of</w:t>
      </w:r>
      <w:r w:rsidR="00B806F6" w:rsidRPr="001E6340">
        <w:t xml:space="preserve"> late nineteenth century ‘new imperialism’</w:t>
      </w:r>
      <w:r w:rsidR="00DE3CE7" w:rsidRPr="001E6340">
        <w:t xml:space="preserve">. </w:t>
      </w:r>
      <w:r w:rsidR="008E1F2E" w:rsidRPr="001E6340">
        <w:t>John Peters is in no doubt</w:t>
      </w:r>
      <w:r w:rsidR="00DE3CE7" w:rsidRPr="001E6340">
        <w:t xml:space="preserve"> </w:t>
      </w:r>
      <w:r w:rsidR="007E67F7" w:rsidRPr="001E6340">
        <w:t>that</w:t>
      </w:r>
      <w:r w:rsidR="00120C30" w:rsidRPr="001E6340">
        <w:t xml:space="preserve"> ‘</w:t>
      </w:r>
      <w:r w:rsidR="008E1F2E" w:rsidRPr="001E6340">
        <w:t xml:space="preserve">his emphasis on the </w:t>
      </w:r>
      <w:r w:rsidR="00D20AFD" w:rsidRPr="001E6340">
        <w:t>individuality</w:t>
      </w:r>
      <w:r w:rsidR="003011E4" w:rsidRPr="001E6340">
        <w:t xml:space="preserve"> </w:t>
      </w:r>
      <w:r w:rsidR="00D20AFD" w:rsidRPr="001E6340">
        <w:t>of the epistemological process brings into question all attempts t</w:t>
      </w:r>
      <w:r w:rsidR="002E4566" w:rsidRPr="001E6340">
        <w:t xml:space="preserve">o </w:t>
      </w:r>
      <w:r w:rsidR="008C0F05" w:rsidRPr="001E6340">
        <w:t>universalize</w:t>
      </w:r>
      <w:r w:rsidR="00120C30" w:rsidRPr="001E6340">
        <w:t xml:space="preserve"> human experience’ posing ‘</w:t>
      </w:r>
      <w:r w:rsidR="00D20AFD" w:rsidRPr="001E6340">
        <w:t xml:space="preserve">two unpleasant logical </w:t>
      </w:r>
      <w:r w:rsidR="00D20AFD" w:rsidRPr="001E6340">
        <w:lastRenderedPageBreak/>
        <w:t>possibilities</w:t>
      </w:r>
      <w:r w:rsidR="00903543" w:rsidRPr="001E6340">
        <w:t xml:space="preserve"> for Conrad: </w:t>
      </w:r>
      <w:r w:rsidR="00D20AFD" w:rsidRPr="001E6340">
        <w:t>epistemological solipsism</w:t>
      </w:r>
      <w:r w:rsidR="00120C30" w:rsidRPr="001E6340">
        <w:t xml:space="preserve"> and ethical anarchy’</w:t>
      </w:r>
      <w:r w:rsidR="008150F9" w:rsidRPr="001E6340">
        <w:t>.</w:t>
      </w:r>
      <w:r w:rsidR="00120C30" w:rsidRPr="001E6340">
        <w:rPr>
          <w:rStyle w:val="FootnoteReference"/>
        </w:rPr>
        <w:footnoteReference w:id="4"/>
      </w:r>
      <w:r w:rsidR="007461B4" w:rsidRPr="001E6340">
        <w:t xml:space="preserve"> </w:t>
      </w:r>
      <w:r w:rsidR="00037E94" w:rsidRPr="001E6340">
        <w:t xml:space="preserve">Although Peters then </w:t>
      </w:r>
      <w:r w:rsidR="006567EC" w:rsidRPr="001E6340">
        <w:t>understandably</w:t>
      </w:r>
      <w:r w:rsidR="00037E94" w:rsidRPr="001E6340">
        <w:t xml:space="preserve"> absolve</w:t>
      </w:r>
      <w:r w:rsidR="006567EC" w:rsidRPr="001E6340">
        <w:t>s</w:t>
      </w:r>
      <w:r w:rsidR="00037E94" w:rsidRPr="001E6340">
        <w:t xml:space="preserve"> Conrad’s narrative techniques from contributing to either extreme, </w:t>
      </w:r>
      <w:r w:rsidR="00E13216" w:rsidRPr="001E6340">
        <w:t>troubling questions remain</w:t>
      </w:r>
      <w:r w:rsidR="00D35050" w:rsidRPr="001E6340">
        <w:t>.</w:t>
      </w:r>
      <w:r w:rsidR="00541346" w:rsidRPr="001E6340">
        <w:t xml:space="preserve"> </w:t>
      </w:r>
      <w:r w:rsidR="00D9042D" w:rsidRPr="001E6340">
        <w:t xml:space="preserve">These revolve around the </w:t>
      </w:r>
      <w:r w:rsidR="00434B43" w:rsidRPr="001E6340">
        <w:t xml:space="preserve">effect of those techniques on readers’ perceptions and how far ethical issues are explored in a way that opens up interpretative possibilities. </w:t>
      </w:r>
      <w:r w:rsidR="00541346" w:rsidRPr="001E6340">
        <w:t xml:space="preserve">Daniel Just tries to </w:t>
      </w:r>
      <w:r w:rsidR="00903543" w:rsidRPr="001E6340">
        <w:t>disentangle</w:t>
      </w:r>
      <w:r w:rsidR="00E13216" w:rsidRPr="001E6340">
        <w:t xml:space="preserve"> issues of ethical ambiguity </w:t>
      </w:r>
      <w:r w:rsidR="00541346" w:rsidRPr="001E6340">
        <w:t xml:space="preserve">or nihilism </w:t>
      </w:r>
      <w:r w:rsidR="00E13216" w:rsidRPr="001E6340">
        <w:t xml:space="preserve">by </w:t>
      </w:r>
      <w:r w:rsidR="00903543" w:rsidRPr="001E6340">
        <w:t>arguing that</w:t>
      </w:r>
      <w:r w:rsidR="00E13216" w:rsidRPr="001E6340">
        <w:t xml:space="preserve"> the language and narrative structures of his novellas </w:t>
      </w:r>
      <w:r w:rsidR="00120C30" w:rsidRPr="001E6340">
        <w:t>embody a ‘</w:t>
      </w:r>
      <w:r w:rsidR="003365D8" w:rsidRPr="001E6340">
        <w:t xml:space="preserve">mechanism of the </w:t>
      </w:r>
      <w:r w:rsidR="00120C30" w:rsidRPr="001E6340">
        <w:t>disintegration of meaning’</w:t>
      </w:r>
      <w:r w:rsidR="003365D8" w:rsidRPr="001E6340">
        <w:t xml:space="preserve"> and </w:t>
      </w:r>
      <w:r w:rsidR="00903543" w:rsidRPr="001E6340">
        <w:t>that</w:t>
      </w:r>
      <w:r w:rsidR="00541346" w:rsidRPr="001E6340">
        <w:t xml:space="preserve"> the undermining of denotative language</w:t>
      </w:r>
      <w:r w:rsidR="003365D8" w:rsidRPr="001E6340">
        <w:t xml:space="preserve"> </w:t>
      </w:r>
      <w:r w:rsidR="00541346" w:rsidRPr="001E6340">
        <w:t xml:space="preserve">is </w:t>
      </w:r>
      <w:r w:rsidR="00120C30" w:rsidRPr="001E6340">
        <w:t>‘</w:t>
      </w:r>
      <w:r w:rsidR="003365D8" w:rsidRPr="001E6340">
        <w:t xml:space="preserve">the </w:t>
      </w:r>
      <w:r w:rsidR="00541346" w:rsidRPr="001E6340">
        <w:t xml:space="preserve">only </w:t>
      </w:r>
      <w:r w:rsidR="003365D8" w:rsidRPr="001E6340">
        <w:t xml:space="preserve">ethically </w:t>
      </w:r>
      <w:r w:rsidR="00541346" w:rsidRPr="001E6340">
        <w:t>acceptable response to</w:t>
      </w:r>
      <w:r w:rsidR="003365D8" w:rsidRPr="001E6340">
        <w:t xml:space="preserve"> </w:t>
      </w:r>
      <w:r w:rsidR="00541346" w:rsidRPr="001E6340">
        <w:t>the histo</w:t>
      </w:r>
      <w:r w:rsidR="00120C30" w:rsidRPr="001E6340">
        <w:t>rical experience of colonialism’.</w:t>
      </w:r>
      <w:r w:rsidR="00120C30" w:rsidRPr="001E6340">
        <w:rPr>
          <w:rStyle w:val="FootnoteReference"/>
        </w:rPr>
        <w:footnoteReference w:id="5"/>
      </w:r>
      <w:r w:rsidR="00120C30" w:rsidRPr="001E6340">
        <w:t xml:space="preserve"> </w:t>
      </w:r>
      <w:r w:rsidR="008B6662" w:rsidRPr="001E6340">
        <w:t xml:space="preserve">Whether </w:t>
      </w:r>
      <w:r w:rsidR="00007374" w:rsidRPr="001E6340">
        <w:t xml:space="preserve">Conrad’s </w:t>
      </w:r>
      <w:r w:rsidR="00385135" w:rsidRPr="001E6340">
        <w:t xml:space="preserve">necessarily uncertain </w:t>
      </w:r>
      <w:r w:rsidR="008B6662" w:rsidRPr="001E6340">
        <w:t xml:space="preserve">epistemology, then, </w:t>
      </w:r>
      <w:r w:rsidR="009B7FB2" w:rsidRPr="001E6340">
        <w:t xml:space="preserve">leads to </w:t>
      </w:r>
      <w:r w:rsidR="00385135" w:rsidRPr="001E6340">
        <w:t>obscurity or</w:t>
      </w:r>
      <w:r w:rsidR="008B6662" w:rsidRPr="001E6340">
        <w:t xml:space="preserve"> meaning</w:t>
      </w:r>
      <w:r w:rsidR="00385135" w:rsidRPr="001E6340">
        <w:t>ful illumination</w:t>
      </w:r>
      <w:r w:rsidR="008B6662" w:rsidRPr="001E6340">
        <w:t xml:space="preserve"> </w:t>
      </w:r>
      <w:r w:rsidR="00DE614C" w:rsidRPr="001E6340">
        <w:t xml:space="preserve">is at </w:t>
      </w:r>
      <w:r w:rsidR="00385135" w:rsidRPr="001E6340">
        <w:t>stake</w:t>
      </w:r>
      <w:r w:rsidR="00DE614C" w:rsidRPr="001E6340">
        <w:t>.</w:t>
      </w:r>
    </w:p>
    <w:p w14:paraId="08276CCB" w14:textId="203A8DAE" w:rsidR="006B4553" w:rsidRPr="001E6340" w:rsidRDefault="00B22713" w:rsidP="004846CC">
      <w:pPr>
        <w:pStyle w:val="NoSpacing"/>
        <w:spacing w:line="480" w:lineRule="auto"/>
        <w:ind w:firstLine="720"/>
      </w:pPr>
      <w:r w:rsidRPr="001E6340">
        <w:t xml:space="preserve">This </w:t>
      </w:r>
      <w:r w:rsidR="005D2E6F" w:rsidRPr="001E6340">
        <w:t>paper</w:t>
      </w:r>
      <w:r w:rsidRPr="001E6340">
        <w:t xml:space="preserve"> will </w:t>
      </w:r>
      <w:r w:rsidR="00434B43" w:rsidRPr="001E6340">
        <w:t xml:space="preserve">therefore </w:t>
      </w:r>
      <w:r w:rsidR="00541346" w:rsidRPr="001E6340">
        <w:t xml:space="preserve">consider </w:t>
      </w:r>
      <w:r w:rsidR="00AA2845" w:rsidRPr="001E6340">
        <w:t xml:space="preserve">the representation of colonialism and imperialism in Conrad’s shorter Malay </w:t>
      </w:r>
      <w:r w:rsidR="00EF0540" w:rsidRPr="001E6340">
        <w:t xml:space="preserve">and Indian Ocean </w:t>
      </w:r>
      <w:r w:rsidR="00AA2845" w:rsidRPr="001E6340">
        <w:t>fiction</w:t>
      </w:r>
      <w:r w:rsidR="0047571F" w:rsidRPr="001E6340">
        <w:t>,</w:t>
      </w:r>
      <w:r w:rsidR="00385135" w:rsidRPr="001E6340">
        <w:t xml:space="preserve"> </w:t>
      </w:r>
      <w:r w:rsidR="00AA2845" w:rsidRPr="001E6340">
        <w:t xml:space="preserve">in relation to </w:t>
      </w:r>
      <w:r w:rsidR="00541346" w:rsidRPr="001E6340">
        <w:t xml:space="preserve">the </w:t>
      </w:r>
      <w:r w:rsidR="006567EC" w:rsidRPr="001E6340">
        <w:t xml:space="preserve">intriguing </w:t>
      </w:r>
      <w:r w:rsidR="00541346" w:rsidRPr="001E6340">
        <w:t xml:space="preserve">questions that </w:t>
      </w:r>
      <w:r w:rsidR="00CF7732" w:rsidRPr="001E6340">
        <w:t xml:space="preserve">John </w:t>
      </w:r>
      <w:r w:rsidR="00541346" w:rsidRPr="001E6340">
        <w:t>Pete</w:t>
      </w:r>
      <w:r w:rsidR="00CD20F7" w:rsidRPr="001E6340">
        <w:t xml:space="preserve">rs and </w:t>
      </w:r>
      <w:r w:rsidR="00CF7732" w:rsidRPr="001E6340">
        <w:t xml:space="preserve">Daniel </w:t>
      </w:r>
      <w:r w:rsidR="00AA2845" w:rsidRPr="001E6340">
        <w:t>Just raise</w:t>
      </w:r>
      <w:r w:rsidR="00CE562B" w:rsidRPr="001E6340">
        <w:t xml:space="preserve">. </w:t>
      </w:r>
      <w:r w:rsidR="005D2E6F" w:rsidRPr="001E6340">
        <w:t xml:space="preserve">In particular, it will explore how far Conrad finds it possible to </w:t>
      </w:r>
      <w:r w:rsidR="008C0F05" w:rsidRPr="001E6340">
        <w:t>conceptualize</w:t>
      </w:r>
      <w:r w:rsidR="005D2E6F" w:rsidRPr="001E6340">
        <w:t xml:space="preserve"> the ‘Other’ in a colonial context. Therefore, the issue</w:t>
      </w:r>
      <w:r w:rsidR="00BE6FCF" w:rsidRPr="001E6340">
        <w:t>s of</w:t>
      </w:r>
      <w:r w:rsidR="00CE562B" w:rsidRPr="001E6340">
        <w:t xml:space="preserve"> how far narrative techniques </w:t>
      </w:r>
      <w:r w:rsidR="00D07FDD" w:rsidRPr="001E6340">
        <w:t xml:space="preserve">do indeed </w:t>
      </w:r>
      <w:r w:rsidR="00227836" w:rsidRPr="001E6340">
        <w:t xml:space="preserve">manifest </w:t>
      </w:r>
      <w:r w:rsidR="00D07FDD" w:rsidRPr="001E6340">
        <w:t xml:space="preserve">disintegration of meaning </w:t>
      </w:r>
      <w:r w:rsidR="008B407A" w:rsidRPr="001E6340">
        <w:t xml:space="preserve">or </w:t>
      </w:r>
      <w:r w:rsidR="008805F0" w:rsidRPr="001E6340">
        <w:t xml:space="preserve">alternatively clarify ethical questions </w:t>
      </w:r>
      <w:r w:rsidR="00AA2845" w:rsidRPr="001E6340">
        <w:t>of being and acting</w:t>
      </w:r>
      <w:r w:rsidR="00120C30" w:rsidRPr="001E6340">
        <w:t xml:space="preserve"> will need to be elucidated</w:t>
      </w:r>
      <w:r w:rsidR="00AA2845" w:rsidRPr="001E6340">
        <w:t xml:space="preserve">. </w:t>
      </w:r>
      <w:r w:rsidR="00903543" w:rsidRPr="001E6340">
        <w:t>In addition</w:t>
      </w:r>
      <w:r w:rsidR="00DE614C" w:rsidRPr="001E6340">
        <w:t>, th</w:t>
      </w:r>
      <w:r w:rsidR="008B407A" w:rsidRPr="001E6340">
        <w:t xml:space="preserve">e balance between </w:t>
      </w:r>
      <w:r w:rsidR="00CE562B" w:rsidRPr="001E6340">
        <w:t xml:space="preserve">epistemological uncertainties </w:t>
      </w:r>
      <w:r w:rsidR="008B407A" w:rsidRPr="001E6340">
        <w:t>and ontological imperatives in Conrad’s work</w:t>
      </w:r>
      <w:r w:rsidR="008805F0" w:rsidRPr="001E6340">
        <w:t xml:space="preserve"> </w:t>
      </w:r>
      <w:r w:rsidR="0047571F" w:rsidRPr="001E6340">
        <w:t>is a</w:t>
      </w:r>
      <w:r w:rsidR="00903543" w:rsidRPr="001E6340">
        <w:t>nother</w:t>
      </w:r>
      <w:r w:rsidR="0047571F" w:rsidRPr="001E6340">
        <w:t xml:space="preserve"> key consideration</w:t>
      </w:r>
      <w:r w:rsidR="00385135" w:rsidRPr="001E6340">
        <w:t>.</w:t>
      </w:r>
      <w:r w:rsidR="00DE614C" w:rsidRPr="001E6340">
        <w:t xml:space="preserve"> </w:t>
      </w:r>
      <w:r w:rsidR="005D2E6F" w:rsidRPr="001E6340">
        <w:t>For example</w:t>
      </w:r>
      <w:r w:rsidR="0047571F" w:rsidRPr="001E6340">
        <w:t>, it will be argued that t</w:t>
      </w:r>
      <w:r w:rsidR="008805F0" w:rsidRPr="001E6340">
        <w:t xml:space="preserve">he </w:t>
      </w:r>
      <w:r w:rsidR="00397822" w:rsidRPr="001E6340">
        <w:t>extent to which that balance</w:t>
      </w:r>
      <w:r w:rsidR="0073722C" w:rsidRPr="001E6340">
        <w:t xml:space="preserve"> in</w:t>
      </w:r>
      <w:r w:rsidR="006979E3" w:rsidRPr="001E6340">
        <w:t xml:space="preserve">hibits or illuminates </w:t>
      </w:r>
      <w:r w:rsidR="0073722C" w:rsidRPr="001E6340">
        <w:t>our understanding</w:t>
      </w:r>
      <w:r w:rsidR="008944AC" w:rsidRPr="001E6340">
        <w:t xml:space="preserve"> is fundamental to </w:t>
      </w:r>
      <w:r w:rsidR="0047571F" w:rsidRPr="001E6340">
        <w:t xml:space="preserve">our appreciation and </w:t>
      </w:r>
      <w:r w:rsidR="001E6340" w:rsidRPr="001E6340">
        <w:t xml:space="preserve">to </w:t>
      </w:r>
      <w:r w:rsidR="0047571F" w:rsidRPr="001E6340">
        <w:t xml:space="preserve">any move toward </w:t>
      </w:r>
      <w:r w:rsidR="00506BA2" w:rsidRPr="001E6340">
        <w:t xml:space="preserve">a </w:t>
      </w:r>
      <w:r w:rsidR="0047571F" w:rsidRPr="001E6340">
        <w:t xml:space="preserve">critical </w:t>
      </w:r>
      <w:r w:rsidR="00506BA2" w:rsidRPr="001E6340">
        <w:t>reading</w:t>
      </w:r>
      <w:r w:rsidR="008B407A" w:rsidRPr="001E6340">
        <w:t xml:space="preserve">. </w:t>
      </w:r>
      <w:r w:rsidR="0047571F" w:rsidRPr="001E6340">
        <w:t xml:space="preserve">As part of that </w:t>
      </w:r>
      <w:r w:rsidR="00B21899" w:rsidRPr="001E6340">
        <w:t>impulse</w:t>
      </w:r>
      <w:r w:rsidR="0047571F" w:rsidRPr="001E6340">
        <w:t xml:space="preserve">, </w:t>
      </w:r>
      <w:r w:rsidR="00B21899" w:rsidRPr="001E6340">
        <w:t>t</w:t>
      </w:r>
      <w:r w:rsidR="008944AC" w:rsidRPr="001E6340">
        <w:t xml:space="preserve">his </w:t>
      </w:r>
      <w:r w:rsidR="00B21899" w:rsidRPr="001E6340">
        <w:t>article</w:t>
      </w:r>
      <w:r w:rsidR="008944AC" w:rsidRPr="001E6340">
        <w:t xml:space="preserve"> will seek to show that the narrative </w:t>
      </w:r>
      <w:r w:rsidR="00D07FDD" w:rsidRPr="001E6340">
        <w:t xml:space="preserve">techniques </w:t>
      </w:r>
      <w:r w:rsidR="008944AC" w:rsidRPr="001E6340">
        <w:t>of</w:t>
      </w:r>
      <w:r w:rsidR="00D07FDD" w:rsidRPr="001E6340">
        <w:t xml:space="preserve"> </w:t>
      </w:r>
      <w:r w:rsidR="00227836" w:rsidRPr="001E6340">
        <w:t xml:space="preserve">multiple narrators, limited point of view, </w:t>
      </w:r>
      <w:r w:rsidR="00120C30" w:rsidRPr="001E6340">
        <w:t>‘</w:t>
      </w:r>
      <w:r w:rsidR="00D07FDD" w:rsidRPr="001E6340">
        <w:t>achronology</w:t>
      </w:r>
      <w:r w:rsidR="00120C30" w:rsidRPr="001E6340">
        <w:t>’</w:t>
      </w:r>
      <w:r w:rsidR="00227836" w:rsidRPr="001E6340">
        <w:t xml:space="preserve"> and</w:t>
      </w:r>
      <w:r w:rsidR="00D07FDD" w:rsidRPr="001E6340">
        <w:t xml:space="preserve"> </w:t>
      </w:r>
      <w:r w:rsidR="00D07FDD" w:rsidRPr="001E6340">
        <w:rPr>
          <w:i/>
        </w:rPr>
        <w:t>in medias res</w:t>
      </w:r>
      <w:r w:rsidR="003154D1" w:rsidRPr="001E6340">
        <w:t>,</w:t>
      </w:r>
      <w:r w:rsidR="008944AC" w:rsidRPr="001E6340">
        <w:t xml:space="preserve"> which </w:t>
      </w:r>
      <w:r w:rsidR="00FF515C" w:rsidRPr="001E6340">
        <w:t xml:space="preserve">John </w:t>
      </w:r>
      <w:r w:rsidR="008944AC" w:rsidRPr="001E6340">
        <w:t>Peters treats</w:t>
      </w:r>
      <w:r w:rsidR="003154D1" w:rsidRPr="001E6340">
        <w:t xml:space="preserve"> as uniformly </w:t>
      </w:r>
      <w:r w:rsidR="008C0F05" w:rsidRPr="001E6340">
        <w:t>destabilizing</w:t>
      </w:r>
      <w:r w:rsidR="00D07FDD" w:rsidRPr="001E6340">
        <w:t>,</w:t>
      </w:r>
      <w:r w:rsidR="001E52F3" w:rsidRPr="001E6340">
        <w:t xml:space="preserve"> </w:t>
      </w:r>
      <w:r w:rsidR="00D07FDD" w:rsidRPr="001E6340">
        <w:t>have very different effects in the balance of the episte</w:t>
      </w:r>
      <w:r w:rsidR="008805F0" w:rsidRPr="001E6340">
        <w:t xml:space="preserve">mological and the ontological at different stages </w:t>
      </w:r>
      <w:r w:rsidR="00485F7A" w:rsidRPr="001E6340">
        <w:t xml:space="preserve">of </w:t>
      </w:r>
      <w:r w:rsidR="008805F0" w:rsidRPr="001E6340">
        <w:t>Conrad’s writing career</w:t>
      </w:r>
      <w:r w:rsidR="00D07FDD" w:rsidRPr="001E6340">
        <w:t>.</w:t>
      </w:r>
      <w:r w:rsidR="00120C30" w:rsidRPr="001E6340">
        <w:rPr>
          <w:rStyle w:val="FootnoteReference"/>
        </w:rPr>
        <w:footnoteReference w:id="6"/>
      </w:r>
      <w:r w:rsidR="00D07FDD" w:rsidRPr="001E6340">
        <w:t xml:space="preserve"> </w:t>
      </w:r>
      <w:r w:rsidR="006B4553" w:rsidRPr="001E6340">
        <w:t>Ultimately, the question is how far ambivalence, a</w:t>
      </w:r>
      <w:r w:rsidR="005A4A46" w:rsidRPr="001E6340">
        <w:t xml:space="preserve">mbiguity and uncertainty form an illuminating </w:t>
      </w:r>
      <w:r w:rsidR="006B4553" w:rsidRPr="001E6340">
        <w:t xml:space="preserve">response </w:t>
      </w:r>
      <w:r w:rsidR="00485F7A" w:rsidRPr="001E6340">
        <w:t xml:space="preserve">to European identity and questionable </w:t>
      </w:r>
      <w:r w:rsidR="00D326D3" w:rsidRPr="001E6340">
        <w:t>moral purpose</w:t>
      </w:r>
      <w:r w:rsidR="00BA6E36" w:rsidRPr="001E6340">
        <w:t xml:space="preserve"> in an Eastern setting, </w:t>
      </w:r>
      <w:r w:rsidR="003154D1" w:rsidRPr="001E6340">
        <w:t>and</w:t>
      </w:r>
      <w:r w:rsidR="006B4553" w:rsidRPr="001E6340">
        <w:t xml:space="preserve"> </w:t>
      </w:r>
      <w:r w:rsidR="00BA6E36" w:rsidRPr="001E6340">
        <w:t xml:space="preserve">how far </w:t>
      </w:r>
      <w:r w:rsidR="003154D1" w:rsidRPr="001E6340">
        <w:t>they also</w:t>
      </w:r>
      <w:r w:rsidR="006B4553" w:rsidRPr="001E6340">
        <w:t xml:space="preserve"> de</w:t>
      </w:r>
      <w:r w:rsidR="003154D1" w:rsidRPr="001E6340">
        <w:t>epen</w:t>
      </w:r>
      <w:r w:rsidR="00BA6E36" w:rsidRPr="001E6340">
        <w:t xml:space="preserve"> the mystery and murkiness of the movement from commercial colonialism to </w:t>
      </w:r>
      <w:r w:rsidR="00D326D3" w:rsidRPr="001E6340">
        <w:t xml:space="preserve">state </w:t>
      </w:r>
      <w:r w:rsidR="00CD20F7" w:rsidRPr="001E6340">
        <w:t>disseminated</w:t>
      </w:r>
      <w:r w:rsidR="00D326D3" w:rsidRPr="001E6340">
        <w:t xml:space="preserve"> imperial ideology</w:t>
      </w:r>
      <w:r w:rsidR="00BA6E36" w:rsidRPr="001E6340">
        <w:t>.</w:t>
      </w:r>
      <w:r w:rsidR="00B21899" w:rsidRPr="001E6340">
        <w:t xml:space="preserve"> To some extent, </w:t>
      </w:r>
      <w:r w:rsidR="00EF0540" w:rsidRPr="001E6340">
        <w:t>this question relates to ways in which Conrad can</w:t>
      </w:r>
      <w:r w:rsidR="00B21899" w:rsidRPr="001E6340">
        <w:t xml:space="preserve"> be considered as a twenti</w:t>
      </w:r>
      <w:r w:rsidR="00EF0540" w:rsidRPr="001E6340">
        <w:t>eth-century modernist as well as a writer</w:t>
      </w:r>
      <w:r w:rsidR="00B21899" w:rsidRPr="001E6340">
        <w:t xml:space="preserve"> </w:t>
      </w:r>
      <w:r w:rsidR="00EF0540" w:rsidRPr="001E6340">
        <w:t xml:space="preserve">whose </w:t>
      </w:r>
      <w:r w:rsidR="00B21899" w:rsidRPr="001E6340">
        <w:t xml:space="preserve">creative impulses </w:t>
      </w:r>
      <w:r w:rsidR="00960312" w:rsidRPr="001E6340">
        <w:t xml:space="preserve">also </w:t>
      </w:r>
      <w:r w:rsidR="00B21899" w:rsidRPr="001E6340">
        <w:t xml:space="preserve">look back to the nineteenth century.  </w:t>
      </w:r>
    </w:p>
    <w:p w14:paraId="5D88D8B2" w14:textId="786E5C04" w:rsidR="00CD20F7" w:rsidRPr="001E6340" w:rsidRDefault="007266BA" w:rsidP="004846CC">
      <w:pPr>
        <w:pStyle w:val="NoSpacing"/>
        <w:spacing w:line="480" w:lineRule="auto"/>
        <w:ind w:firstLine="720"/>
      </w:pPr>
      <w:r w:rsidRPr="001E6340">
        <w:t xml:space="preserve">The subtleties and problems involved in the depiction of the </w:t>
      </w:r>
      <w:r w:rsidR="000424D1" w:rsidRPr="001E6340">
        <w:t xml:space="preserve">nineteenth-century </w:t>
      </w:r>
      <w:r w:rsidRPr="001E6340">
        <w:t xml:space="preserve">colonial encounter </w:t>
      </w:r>
      <w:r w:rsidR="00D27FA4" w:rsidRPr="001E6340">
        <w:t>are</w:t>
      </w:r>
      <w:r w:rsidRPr="001E6340">
        <w:t xml:space="preserve"> exemplified in the</w:t>
      </w:r>
      <w:r w:rsidR="00120C30" w:rsidRPr="001E6340">
        <w:t xml:space="preserve"> early story, ‘Karain: A Memory’</w:t>
      </w:r>
      <w:r w:rsidR="00960312" w:rsidRPr="001E6340">
        <w:t xml:space="preserve">, published in </w:t>
      </w:r>
      <w:r w:rsidR="00960312" w:rsidRPr="001E6340">
        <w:rPr>
          <w:i/>
        </w:rPr>
        <w:t xml:space="preserve">Blackwood’s Magazine </w:t>
      </w:r>
      <w:r w:rsidR="00960312" w:rsidRPr="001E6340">
        <w:t>in November 1897</w:t>
      </w:r>
      <w:r w:rsidR="00485F7A" w:rsidRPr="001E6340">
        <w:t xml:space="preserve">. Linda Dryden </w:t>
      </w:r>
      <w:r w:rsidR="008C0F05" w:rsidRPr="001E6340">
        <w:t>characterizes</w:t>
      </w:r>
      <w:r w:rsidR="00AA0F98" w:rsidRPr="001E6340">
        <w:t xml:space="preserve"> it as a wo</w:t>
      </w:r>
      <w:r w:rsidR="00120C30" w:rsidRPr="001E6340">
        <w:t>rk of popular romance in which ‘</w:t>
      </w:r>
      <w:r w:rsidR="00AA0F98" w:rsidRPr="001E6340">
        <w:t>there is no hint of subtle irony or suggestions of sordid reality beneath the exotic surface</w:t>
      </w:r>
      <w:r w:rsidR="006F05DE" w:rsidRPr="001E6340">
        <w:t>’ and which ‘</w:t>
      </w:r>
      <w:r w:rsidR="00681515" w:rsidRPr="001E6340">
        <w:t>seems to have little to do with Western moral values</w:t>
      </w:r>
      <w:r w:rsidR="00120C30" w:rsidRPr="001E6340">
        <w:t>’</w:t>
      </w:r>
      <w:r w:rsidR="006C4A71" w:rsidRPr="001E6340">
        <w:t>.</w:t>
      </w:r>
      <w:r w:rsidR="00120C30" w:rsidRPr="001E6340">
        <w:rPr>
          <w:rStyle w:val="FootnoteReference"/>
        </w:rPr>
        <w:footnoteReference w:id="7"/>
      </w:r>
      <w:r w:rsidR="006C4A71" w:rsidRPr="001E6340">
        <w:t xml:space="preserve"> </w:t>
      </w:r>
      <w:r w:rsidR="006F05DE" w:rsidRPr="001E6340">
        <w:t>Yet, thi</w:t>
      </w:r>
      <w:r w:rsidR="009A1A16" w:rsidRPr="001E6340">
        <w:t>s rather overlooks</w:t>
      </w:r>
      <w:r w:rsidR="006F05DE" w:rsidRPr="001E6340">
        <w:t xml:space="preserve"> </w:t>
      </w:r>
      <w:r w:rsidR="009A1A16" w:rsidRPr="001E6340">
        <w:t>the way the</w:t>
      </w:r>
      <w:r w:rsidR="006F05DE" w:rsidRPr="001E6340">
        <w:t xml:space="preserve"> act of narration itself moves centre stage at this early stage of Conrad’s career — and in fully achieved complexity</w:t>
      </w:r>
      <w:r w:rsidR="009A1A16" w:rsidRPr="001E6340">
        <w:t>.</w:t>
      </w:r>
      <w:r w:rsidR="006F05DE" w:rsidRPr="001E6340">
        <w:t xml:space="preserve"> </w:t>
      </w:r>
      <w:r w:rsidR="00977F2D" w:rsidRPr="001E6340">
        <w:t>For example</w:t>
      </w:r>
      <w:r w:rsidR="006C4A71" w:rsidRPr="001E6340">
        <w:t xml:space="preserve">, the </w:t>
      </w:r>
      <w:r w:rsidR="00855DF0" w:rsidRPr="001E6340">
        <w:t xml:space="preserve">unreliable </w:t>
      </w:r>
      <w:r w:rsidR="006C4A71" w:rsidRPr="001E6340">
        <w:t>narrator</w:t>
      </w:r>
      <w:r w:rsidR="00846271" w:rsidRPr="001E6340">
        <w:t>’s</w:t>
      </w:r>
      <w:r w:rsidR="006C4A71" w:rsidRPr="001E6340">
        <w:t xml:space="preserve"> distancing </w:t>
      </w:r>
      <w:r w:rsidR="00485F7A" w:rsidRPr="001E6340">
        <w:t>memories are very ambivalent</w:t>
      </w:r>
      <w:r w:rsidR="006C4A71" w:rsidRPr="001E6340">
        <w:t xml:space="preserve"> </w:t>
      </w:r>
      <w:r w:rsidR="00612DA1" w:rsidRPr="001E6340">
        <w:t>about</w:t>
      </w:r>
      <w:r w:rsidR="00E94160" w:rsidRPr="001E6340">
        <w:t xml:space="preserve"> how</w:t>
      </w:r>
      <w:r w:rsidR="00846271" w:rsidRPr="001E6340">
        <w:t xml:space="preserve"> irreduc</w:t>
      </w:r>
      <w:r w:rsidR="00E94160" w:rsidRPr="001E6340">
        <w:t>ibly Other Malay reality may be</w:t>
      </w:r>
      <w:r w:rsidR="00681515" w:rsidRPr="001E6340">
        <w:t xml:space="preserve"> and about how universally applicab</w:t>
      </w:r>
      <w:r w:rsidR="00D339F2" w:rsidRPr="001E6340">
        <w:t>le Western moral values are</w:t>
      </w:r>
      <w:r w:rsidR="00846271" w:rsidRPr="001E6340">
        <w:t>.</w:t>
      </w:r>
      <w:r w:rsidR="001E52F3" w:rsidRPr="001E6340">
        <w:t xml:space="preserve"> </w:t>
      </w:r>
      <w:r w:rsidR="006979E3" w:rsidRPr="001E6340">
        <w:t>Therefore</w:t>
      </w:r>
      <w:r w:rsidR="00AE2978" w:rsidRPr="001E6340">
        <w:t>, he alternates</w:t>
      </w:r>
      <w:r w:rsidR="00AF4130" w:rsidRPr="001E6340">
        <w:t xml:space="preserve"> </w:t>
      </w:r>
      <w:r w:rsidR="00AE2978" w:rsidRPr="001E6340">
        <w:t xml:space="preserve">between </w:t>
      </w:r>
      <w:r w:rsidR="00661870" w:rsidRPr="001E6340">
        <w:t>seeing</w:t>
      </w:r>
      <w:r w:rsidR="009666D4" w:rsidRPr="001E6340">
        <w:t xml:space="preserve"> Karain as a fellow human being </w:t>
      </w:r>
      <w:r w:rsidR="009A1A16" w:rsidRPr="001E6340">
        <w:t>—</w:t>
      </w:r>
      <w:r w:rsidR="005B2101" w:rsidRPr="001E6340">
        <w:t xml:space="preserve"> ‘</w:t>
      </w:r>
      <w:r w:rsidR="00661870" w:rsidRPr="001E6340">
        <w:t>an</w:t>
      </w:r>
      <w:r w:rsidR="00E124E2" w:rsidRPr="001E6340">
        <w:t xml:space="preserve"> </w:t>
      </w:r>
      <w:r w:rsidR="00661870" w:rsidRPr="001E6340">
        <w:t xml:space="preserve">adventurer of the sea, an outcast, a </w:t>
      </w:r>
      <w:r w:rsidR="005B2101" w:rsidRPr="001E6340">
        <w:t>ruler – and my very good friend’</w:t>
      </w:r>
      <w:r w:rsidR="005F1DB4" w:rsidRPr="001E6340">
        <w:t xml:space="preserve"> </w:t>
      </w:r>
      <w:r w:rsidR="009A1A16" w:rsidRPr="001E6340">
        <w:t>—</w:t>
      </w:r>
      <w:r w:rsidR="00661870" w:rsidRPr="001E6340">
        <w:t xml:space="preserve"> and </w:t>
      </w:r>
      <w:r w:rsidR="00CA25C2" w:rsidRPr="001E6340">
        <w:t xml:space="preserve">abstract </w:t>
      </w:r>
      <w:r w:rsidR="00397822" w:rsidRPr="001E6340">
        <w:t>exoticization</w:t>
      </w:r>
      <w:r w:rsidR="00612DA1" w:rsidRPr="001E6340">
        <w:t>:</w:t>
      </w:r>
      <w:r w:rsidR="00CD20F7" w:rsidRPr="001E6340">
        <w:t xml:space="preserve"> </w:t>
      </w:r>
    </w:p>
    <w:p w14:paraId="7EDA6DBB" w14:textId="01EBCF02" w:rsidR="00327A5C" w:rsidRPr="001E6340" w:rsidRDefault="00CA25C2" w:rsidP="00171E59">
      <w:pPr>
        <w:pStyle w:val="Quote"/>
        <w:rPr>
          <w:i/>
          <w:lang w:val="en-GB"/>
        </w:rPr>
      </w:pPr>
      <w:r w:rsidRPr="001E6340">
        <w:rPr>
          <w:lang w:val="en-GB"/>
        </w:rPr>
        <w:t xml:space="preserve">All that had the crude and blended colouring, the appropriateness almost excessive, the suspicious immobility of a painted scene; and it enclosed so perfectly the accomplished acting of his amazing pretences that the rest of the world seemed shut out forever from the gorgeous spectacle. […] </w:t>
      </w:r>
      <w:r w:rsidR="00F73763" w:rsidRPr="001E6340">
        <w:rPr>
          <w:lang w:val="en-GB"/>
        </w:rPr>
        <w:t xml:space="preserve">He appeared utterly cut off from everything but the sunshine, and that even </w:t>
      </w:r>
      <w:r w:rsidR="00CD20F7" w:rsidRPr="001E6340">
        <w:rPr>
          <w:lang w:val="en-GB"/>
        </w:rPr>
        <w:t>seemed to be made for him alone</w:t>
      </w:r>
      <w:r w:rsidR="00A668F3" w:rsidRPr="001E6340">
        <w:rPr>
          <w:i/>
          <w:lang w:val="en-GB"/>
        </w:rPr>
        <w:t>.</w:t>
      </w:r>
      <w:r w:rsidR="005B2101" w:rsidRPr="001E6340">
        <w:rPr>
          <w:rStyle w:val="FootnoteReference"/>
          <w:iCs w:val="0"/>
          <w:lang w:val="en-GB"/>
        </w:rPr>
        <w:footnoteReference w:id="8"/>
      </w:r>
      <w:r w:rsidR="00DE2AE9" w:rsidRPr="001E6340">
        <w:rPr>
          <w:i/>
          <w:lang w:val="en-GB"/>
        </w:rPr>
        <w:t xml:space="preserve"> </w:t>
      </w:r>
    </w:p>
    <w:p w14:paraId="58798530" w14:textId="77777777" w:rsidR="00A91564" w:rsidRPr="001E6340" w:rsidRDefault="00A91564" w:rsidP="00A91564">
      <w:pPr>
        <w:pStyle w:val="NoSpacing"/>
        <w:ind w:left="720"/>
      </w:pPr>
    </w:p>
    <w:p w14:paraId="241F11DF" w14:textId="23C95DFC" w:rsidR="00F80A86" w:rsidRPr="001E6340" w:rsidRDefault="00A91564" w:rsidP="00F80A86">
      <w:pPr>
        <w:pStyle w:val="NoSpacing"/>
        <w:spacing w:line="480" w:lineRule="auto"/>
      </w:pPr>
      <w:r w:rsidRPr="001E6340">
        <w:t>Although the stress on ‘gorgeous spectacle’ descends at times into hyperbole</w:t>
      </w:r>
      <w:r w:rsidR="00D339F2" w:rsidRPr="001E6340">
        <w:t xml:space="preserve"> as Karain is seen as the source of the sun</w:t>
      </w:r>
      <w:r w:rsidRPr="001E6340">
        <w:t>, elsewhere</w:t>
      </w:r>
      <w:r w:rsidR="00327A5C" w:rsidRPr="001E6340">
        <w:t xml:space="preserve"> the Othering descends into racism, as in the </w:t>
      </w:r>
      <w:r w:rsidR="008C0F05" w:rsidRPr="001E6340">
        <w:t>judgment</w:t>
      </w:r>
      <w:r w:rsidR="00DE2AE9" w:rsidRPr="001E6340">
        <w:t xml:space="preserve"> ‘</w:t>
      </w:r>
      <w:r w:rsidR="00327A5C" w:rsidRPr="001E6340">
        <w:t xml:space="preserve">little more pressing was needed to make him swerve over into the form </w:t>
      </w:r>
      <w:r w:rsidR="00DE2AE9" w:rsidRPr="001E6340">
        <w:t>of madness peculiar to his race’</w:t>
      </w:r>
      <w:r w:rsidR="00327A5C" w:rsidRPr="001E6340">
        <w:t>.</w:t>
      </w:r>
      <w:r w:rsidR="00303268" w:rsidRPr="001E6340">
        <w:rPr>
          <w:rStyle w:val="FootnoteReference"/>
        </w:rPr>
        <w:footnoteReference w:id="9"/>
      </w:r>
      <w:r w:rsidR="00327A5C" w:rsidRPr="001E6340">
        <w:t xml:space="preserve"> Often, the two tendencies are combin</w:t>
      </w:r>
      <w:r w:rsidR="00D339F2" w:rsidRPr="001E6340">
        <w:t>ed incongruously</w:t>
      </w:r>
      <w:r w:rsidR="00DE2AE9" w:rsidRPr="001E6340">
        <w:t>, so we hear that ‘</w:t>
      </w:r>
      <w:r w:rsidR="00327A5C" w:rsidRPr="001E6340">
        <w:t>his plans displayed a sagacity that was only limited by his profound ign</w:t>
      </w:r>
      <w:r w:rsidR="00DE2AE9" w:rsidRPr="001E6340">
        <w:t>orance of the rest of the world’</w:t>
      </w:r>
      <w:r w:rsidR="00327A5C" w:rsidRPr="001E6340">
        <w:t>.</w:t>
      </w:r>
      <w:r w:rsidR="00303268" w:rsidRPr="001E6340">
        <w:rPr>
          <w:rStyle w:val="FootnoteReference"/>
        </w:rPr>
        <w:footnoteReference w:id="10"/>
      </w:r>
      <w:r w:rsidR="00327A5C" w:rsidRPr="001E6340">
        <w:t xml:space="preserve"> Andrew Roberts draws out the full significance of this ambivalent and aestheticized male bonding, which is attempting to transcend the rac</w:t>
      </w:r>
      <w:r w:rsidR="00DE2AE9" w:rsidRPr="001E6340">
        <w:t>ial divide</w:t>
      </w:r>
      <w:r w:rsidR="00503958" w:rsidRPr="001E6340">
        <w:t xml:space="preserve"> and convey both admiration and disdain</w:t>
      </w:r>
      <w:r w:rsidR="00DE2AE9" w:rsidRPr="001E6340">
        <w:t>. He points out that ‘</w:t>
      </w:r>
      <w:r w:rsidR="00327A5C" w:rsidRPr="001E6340">
        <w:t>the dual nature of the symbolic representation of Karain (as pure untrammelled masculinity and void masquerade) is no more than a projection […] of the dilemmas and uncert</w:t>
      </w:r>
      <w:r w:rsidR="00DE2AE9" w:rsidRPr="001E6340">
        <w:t>ainties of the imperial subject’</w:t>
      </w:r>
      <w:r w:rsidR="00327A5C" w:rsidRPr="001E6340">
        <w:t>.</w:t>
      </w:r>
      <w:r w:rsidR="00086EE7" w:rsidRPr="001E6340">
        <w:rPr>
          <w:rStyle w:val="FootnoteReference"/>
        </w:rPr>
        <w:footnoteReference w:id="11"/>
      </w:r>
    </w:p>
    <w:p w14:paraId="4E9010DF" w14:textId="0BA728E1" w:rsidR="00327A5C" w:rsidRPr="001E6340" w:rsidRDefault="00327A5C" w:rsidP="00F80A86">
      <w:pPr>
        <w:pStyle w:val="NoSpacing"/>
        <w:spacing w:line="480" w:lineRule="auto"/>
        <w:ind w:firstLine="720"/>
      </w:pPr>
      <w:r w:rsidRPr="001E6340">
        <w:t>To this can be added the implications of the symbolic use of the Jubilee sixpence as the charm to cure Karai</w:t>
      </w:r>
      <w:r w:rsidR="00B516B4" w:rsidRPr="001E6340">
        <w:t>n’s haunting by his dead friend</w:t>
      </w:r>
      <w:r w:rsidRPr="001E6340">
        <w:t xml:space="preserve">’s spirit. This can be read as undermining, perhaps even parodying, the imperial desire to exercise control through </w:t>
      </w:r>
      <w:r w:rsidR="008C0F05" w:rsidRPr="001E6340">
        <w:t>civilizing</w:t>
      </w:r>
      <w:r w:rsidR="009A1A16" w:rsidRPr="001E6340">
        <w:t xml:space="preserve"> influence. T</w:t>
      </w:r>
      <w:r w:rsidRPr="001E6340">
        <w:t xml:space="preserve">he narrator’s view of Karain’s power over his people has </w:t>
      </w:r>
      <w:r w:rsidR="009A1A16" w:rsidRPr="001E6340">
        <w:t xml:space="preserve">already </w:t>
      </w:r>
      <w:r w:rsidRPr="001E6340">
        <w:t>been undercut by excessive theatri</w:t>
      </w:r>
      <w:r w:rsidR="009A1A16" w:rsidRPr="001E6340">
        <w:t>cal metaphor —</w:t>
      </w:r>
      <w:r w:rsidR="00F80A86" w:rsidRPr="001E6340">
        <w:t xml:space="preserve"> </w:t>
      </w:r>
      <w:r w:rsidR="009A1A16" w:rsidRPr="001E6340">
        <w:t xml:space="preserve">for example, the comment that </w:t>
      </w:r>
      <w:r w:rsidR="00F80A86" w:rsidRPr="001E6340">
        <w:t>‘</w:t>
      </w:r>
      <w:r w:rsidR="009A1A16" w:rsidRPr="001E6340">
        <w:t>h</w:t>
      </w:r>
      <w:r w:rsidRPr="001E6340">
        <w:t>e was treated with a solemn respect accorded in the irreverent Wes</w:t>
      </w:r>
      <w:r w:rsidR="00F80A86" w:rsidRPr="001E6340">
        <w:t>t only to monarchs of the stage’</w:t>
      </w:r>
      <w:r w:rsidR="009A1A16" w:rsidRPr="001E6340">
        <w:t xml:space="preserve"> perhaps betrays some irony about the </w:t>
      </w:r>
      <w:r w:rsidR="004D3D4D" w:rsidRPr="001E6340">
        <w:t xml:space="preserve">‘solemn’ </w:t>
      </w:r>
      <w:r w:rsidR="009A1A16" w:rsidRPr="001E6340">
        <w:t>nature of his own ‘respect’.</w:t>
      </w:r>
      <w:r w:rsidR="00303268" w:rsidRPr="001E6340">
        <w:rPr>
          <w:rStyle w:val="FootnoteReference"/>
        </w:rPr>
        <w:footnoteReference w:id="12"/>
      </w:r>
      <w:r w:rsidRPr="001E6340">
        <w:t xml:space="preserve"> </w:t>
      </w:r>
      <w:r w:rsidR="009A1A16" w:rsidRPr="001E6340">
        <w:t xml:space="preserve"> Similarly, his reflection on the power of the British monarch also plays with the confusion between illusion and reality and between respect and contempt. </w:t>
      </w:r>
      <w:r w:rsidRPr="001E6340">
        <w:t xml:space="preserve">Firstly, gunrunners, ironically mistaken for government representatives, proffer the coin. Moreover, this coin, </w:t>
      </w:r>
      <w:r w:rsidR="00F80A86" w:rsidRPr="001E6340">
        <w:t>despite being adorned with the ‘</w:t>
      </w:r>
      <w:r w:rsidRPr="001E6340">
        <w:t>image of the Great Queen and the most po</w:t>
      </w:r>
      <w:r w:rsidR="00F80A86" w:rsidRPr="001E6340">
        <w:t>werful thing the white men know’</w:t>
      </w:r>
      <w:r w:rsidRPr="001E6340">
        <w:t>, has unfortunate connotations.</w:t>
      </w:r>
      <w:r w:rsidR="00974363" w:rsidRPr="001E6340">
        <w:rPr>
          <w:rStyle w:val="FootnoteReference"/>
        </w:rPr>
        <w:footnoteReference w:id="13"/>
      </w:r>
      <w:r w:rsidRPr="001E6340">
        <w:t xml:space="preserve"> Since the gilded 1887 Jubilee sixpence resembled a half-sovereign, and its fraudulent use led to its withdrawal from circulation, we have a bogus coin being used in a bogus ritual. In addition, as</w:t>
      </w:r>
      <w:r w:rsidR="00F80A86" w:rsidRPr="001E6340">
        <w:t xml:space="preserve"> David Adams further observes, ‘</w:t>
      </w:r>
      <w:r w:rsidRPr="001E6340">
        <w:t>in emphasizing Victoria’s symbolic status, her subjects often seemed to be registering their perception of the incongruity betw</w:t>
      </w:r>
      <w:r w:rsidR="00F80A86" w:rsidRPr="001E6340">
        <w:t>een the person and the prestige’</w:t>
      </w:r>
      <w:r w:rsidRPr="001E6340">
        <w:t>.</w:t>
      </w:r>
      <w:r w:rsidR="00F80A86" w:rsidRPr="001E6340">
        <w:rPr>
          <w:rStyle w:val="FootnoteReference"/>
        </w:rPr>
        <w:footnoteReference w:id="14"/>
      </w:r>
      <w:r w:rsidRPr="001E6340">
        <w:t xml:space="preserve"> A creatively undermining ambiguity and irony therefore su</w:t>
      </w:r>
      <w:r w:rsidR="00503958" w:rsidRPr="001E6340">
        <w:t>rrounds the imperial symbolism. A grieving Queen</w:t>
      </w:r>
      <w:r w:rsidRPr="001E6340">
        <w:t xml:space="preserve">’s image, wrapped in trinkets associated with Hollis’s failed romantic attachment, cures a man whose desire for his friend’s sister has brought about his downfall.  </w:t>
      </w:r>
    </w:p>
    <w:p w14:paraId="2D2F76A0" w14:textId="78EBA9EA" w:rsidR="00374142" w:rsidRPr="001E6340" w:rsidRDefault="00327A5C" w:rsidP="004846CC">
      <w:pPr>
        <w:pStyle w:val="NoSpacing"/>
        <w:spacing w:line="480" w:lineRule="auto"/>
        <w:ind w:firstLine="720"/>
      </w:pPr>
      <w:r w:rsidRPr="001E6340">
        <w:t>Furthermore, the fact that the Malay chief himself is given a</w:t>
      </w:r>
      <w:r w:rsidR="00A91564" w:rsidRPr="001E6340">
        <w:t xml:space="preserve"> narrative voice illuminates to a certain extent </w:t>
      </w:r>
      <w:r w:rsidRPr="001E6340">
        <w:t>the</w:t>
      </w:r>
      <w:r w:rsidR="00A91564" w:rsidRPr="001E6340">
        <w:t xml:space="preserve"> nature of the</w:t>
      </w:r>
      <w:r w:rsidRPr="001E6340">
        <w:t xml:space="preserve"> irony toward the English narrator’s imperialist outlook.  For Crystal O’Neal the ontological importa</w:t>
      </w:r>
      <w:r w:rsidR="009B2FF7" w:rsidRPr="001E6340">
        <w:t>nce of this is clear. For her, ‘Karain’s ability to speak’ allows us to see him as ‘</w:t>
      </w:r>
      <w:r w:rsidRPr="001E6340">
        <w:t xml:space="preserve">more than just another </w:t>
      </w:r>
      <w:r w:rsidR="008C0F05" w:rsidRPr="001E6340">
        <w:t>marginalized</w:t>
      </w:r>
      <w:r w:rsidRPr="001E6340">
        <w:t xml:space="preserve">, </w:t>
      </w:r>
      <w:r w:rsidR="008C0F05" w:rsidRPr="001E6340">
        <w:t>colonized</w:t>
      </w:r>
      <w:r w:rsidR="009B2FF7" w:rsidRPr="001E6340">
        <w:t xml:space="preserve"> Other’</w:t>
      </w:r>
      <w:r w:rsidRPr="001E6340">
        <w:t>.</w:t>
      </w:r>
      <w:r w:rsidR="00AF6447" w:rsidRPr="001E6340">
        <w:rPr>
          <w:rStyle w:val="FootnoteReference"/>
        </w:rPr>
        <w:footnoteReference w:id="15"/>
      </w:r>
      <w:r w:rsidRPr="001E6340">
        <w:t xml:space="preserve"> Indeed, Karain does exhibit the very different values of Malay codes of honour in his story of revenge against the Dutch trader and he does fill in some of the historical and political gaps left by the European narrator. In this way, his point of view subverts and illuminates the Western lack of perspective and ironizes its </w:t>
      </w:r>
      <w:r w:rsidR="009B2FF7" w:rsidRPr="001E6340">
        <w:t>very lack of foundation: ‘</w:t>
      </w:r>
      <w:r w:rsidRPr="001E6340">
        <w:t>Oh!</w:t>
      </w:r>
      <w:r w:rsidR="00974363" w:rsidRPr="001E6340">
        <w:t xml:space="preserve"> The strength of unbelievers!</w:t>
      </w:r>
      <w:r w:rsidR="009B2FF7" w:rsidRPr="001E6340">
        <w:t>’</w:t>
      </w:r>
      <w:r w:rsidR="00974363" w:rsidRPr="001E6340">
        <w:rPr>
          <w:rStyle w:val="FootnoteReference"/>
        </w:rPr>
        <w:footnoteReference w:id="16"/>
      </w:r>
      <w:r w:rsidRPr="001E6340">
        <w:t xml:space="preserve"> Yet at the point where the narrative technique of multiple narrators seems to be most illuminating and compelling, complications arise. David Adams suggests that Karain’s story mirrors the European myth of Odysseus’s descent into Hades</w:t>
      </w:r>
      <w:r w:rsidR="00E17960" w:rsidRPr="001E6340">
        <w:t xml:space="preserve"> to converse with the dead</w:t>
      </w:r>
      <w:r w:rsidRPr="001E6340">
        <w:t>, as indicated by his</w:t>
      </w:r>
      <w:r w:rsidR="00AF6447" w:rsidRPr="001E6340">
        <w:t xml:space="preserve"> wanderings being described as ‘that obscure Odyssey of revenge’</w:t>
      </w:r>
      <w:r w:rsidRPr="001E6340">
        <w:t>.</w:t>
      </w:r>
      <w:r w:rsidR="00AF6447" w:rsidRPr="001E6340">
        <w:rPr>
          <w:rStyle w:val="FootnoteReference"/>
        </w:rPr>
        <w:footnoteReference w:id="17"/>
      </w:r>
      <w:r w:rsidRPr="001E6340">
        <w:t xml:space="preserve"> Moreover, alternative parallels with Polish ballad have been suggested and one could add that the story of erotic obsession shares similarities with</w:t>
      </w:r>
      <w:r w:rsidR="00F62F3A" w:rsidRPr="001E6340">
        <w:t xml:space="preserve"> </w:t>
      </w:r>
      <w:r w:rsidR="009B2FF7" w:rsidRPr="001E6340">
        <w:t>‘A Smile of Fortune’</w:t>
      </w:r>
      <w:r w:rsidRPr="001E6340">
        <w:t>.</w:t>
      </w:r>
      <w:r w:rsidR="00AF6447" w:rsidRPr="001E6340">
        <w:rPr>
          <w:rStyle w:val="FootnoteReference"/>
        </w:rPr>
        <w:footnoteReference w:id="18"/>
      </w:r>
      <w:r w:rsidRPr="001E6340">
        <w:t xml:space="preserve"> Whatever the case, we seem to have Western problems</w:t>
      </w:r>
      <w:r w:rsidR="00EF0540" w:rsidRPr="001E6340">
        <w:t>, or at least problems expressed in Western terms,</w:t>
      </w:r>
      <w:r w:rsidRPr="001E6340">
        <w:t xml:space="preserve"> embodied by a supposed Eastern character, as imperial romance becomes imperial gothic. Robert</w:t>
      </w:r>
      <w:r w:rsidR="00F62F3A" w:rsidRPr="001E6340">
        <w:t xml:space="preserve"> Hampson concludes that Karain ‘</w:t>
      </w:r>
      <w:r w:rsidRPr="001E6340">
        <w:t>has merely moved from one O</w:t>
      </w:r>
      <w:r w:rsidR="00F62F3A" w:rsidRPr="001E6340">
        <w:t>rientalist discourse to another’</w:t>
      </w:r>
      <w:r w:rsidR="00FE2AF1" w:rsidRPr="001E6340">
        <w:t>,</w:t>
      </w:r>
      <w:r w:rsidRPr="001E6340">
        <w:t xml:space="preserve"> while Christopher GoGwilt sees it as symptomatic of fiction that uses the East to interrogate the construction of Western values.</w:t>
      </w:r>
      <w:r w:rsidR="00FA7723" w:rsidRPr="001E6340">
        <w:rPr>
          <w:rStyle w:val="FootnoteReference"/>
        </w:rPr>
        <w:footnoteReference w:id="19"/>
      </w:r>
      <w:r w:rsidRPr="001E6340">
        <w:t xml:space="preserve"> For him, this leads to an epistemological and interpretat</w:t>
      </w:r>
      <w:r w:rsidR="00FA7723" w:rsidRPr="001E6340">
        <w:t>ive crisis. So, Karain’s fable ‘</w:t>
      </w:r>
      <w:r w:rsidRPr="001E6340">
        <w:t>does not offer a dilemma that in its immediacy or power unsettles the complacent consumption of exotic adventure. It constitutes rather, a historical as well as an existential riddle that no point of view can adeq</w:t>
      </w:r>
      <w:r w:rsidR="00FA7723" w:rsidRPr="001E6340">
        <w:t>uately explain’</w:t>
      </w:r>
      <w:r w:rsidRPr="001E6340">
        <w:t>.</w:t>
      </w:r>
      <w:r w:rsidR="00FA7723" w:rsidRPr="001E6340">
        <w:rPr>
          <w:rStyle w:val="FootnoteReference"/>
        </w:rPr>
        <w:footnoteReference w:id="20"/>
      </w:r>
      <w:r w:rsidRPr="001E6340">
        <w:t xml:space="preserve"> </w:t>
      </w:r>
    </w:p>
    <w:p w14:paraId="1CEC80ED" w14:textId="53A5CBEC" w:rsidR="00327A5C" w:rsidRPr="001E6340" w:rsidRDefault="00327A5C" w:rsidP="004846CC">
      <w:pPr>
        <w:pStyle w:val="NoSpacing"/>
        <w:spacing w:line="480" w:lineRule="auto"/>
        <w:ind w:firstLine="720"/>
      </w:pPr>
      <w:r w:rsidRPr="001E6340">
        <w:t xml:space="preserve">The story’s characters share these difficulties of interpretation as they try to establish what is illusory and what is not. Jackson, whom the narrator meets in The Strand </w:t>
      </w:r>
      <w:r w:rsidR="00FA7723" w:rsidRPr="001E6340">
        <w:t>some years afterwards, wonders ‘</w:t>
      </w:r>
      <w:r w:rsidRPr="001E6340">
        <w:t>whether the</w:t>
      </w:r>
      <w:r w:rsidR="00FA7723" w:rsidRPr="001E6340">
        <w:t xml:space="preserve"> charm worked’ and ‘</w:t>
      </w:r>
      <w:r w:rsidRPr="001E6340">
        <w:t>wh</w:t>
      </w:r>
      <w:r w:rsidR="00FA7723" w:rsidRPr="001E6340">
        <w:t>ether it really happened to him’</w:t>
      </w:r>
      <w:r w:rsidRPr="001E6340">
        <w:t>.</w:t>
      </w:r>
      <w:r w:rsidR="00441409" w:rsidRPr="001E6340">
        <w:rPr>
          <w:rStyle w:val="FootnoteReference"/>
        </w:rPr>
        <w:footnoteReference w:id="21"/>
      </w:r>
      <w:r w:rsidRPr="001E6340">
        <w:t xml:space="preserve"> Even the London scene has less solidit</w:t>
      </w:r>
      <w:r w:rsidR="00FA7723" w:rsidRPr="001E6340">
        <w:t>y than his memories of Karain: ‘</w:t>
      </w:r>
      <w:r w:rsidRPr="001E6340">
        <w:t xml:space="preserve">It is there; it pants, it runs, it rolls; it is strong and alive; it would smash you if didn’t look out; but I’ll be hanged if it is yet as real to me as…as the </w:t>
      </w:r>
      <w:r w:rsidR="00FA7723" w:rsidRPr="001E6340">
        <w:t>other thing…say, Karain’s story’</w:t>
      </w:r>
      <w:r w:rsidRPr="001E6340">
        <w:t>.</w:t>
      </w:r>
      <w:r w:rsidR="00441409" w:rsidRPr="001E6340">
        <w:rPr>
          <w:rStyle w:val="FootnoteReference"/>
        </w:rPr>
        <w:footnoteReference w:id="22"/>
      </w:r>
      <w:r w:rsidR="004D3D4D" w:rsidRPr="001E6340">
        <w:t xml:space="preserve"> Moreover, t</w:t>
      </w:r>
      <w:r w:rsidRPr="001E6340">
        <w:t>he narrato</w:t>
      </w:r>
      <w:r w:rsidR="004D3D4D" w:rsidRPr="001E6340">
        <w:t>r’s attempted hold over time —</w:t>
      </w:r>
      <w:r w:rsidR="00FA7723" w:rsidRPr="001E6340">
        <w:t xml:space="preserve"> ‘</w:t>
      </w:r>
      <w:r w:rsidRPr="001E6340">
        <w:t>the two ship’s chronometers ticking off steadily the seconds of Greenwich Time seemed to me a protection and</w:t>
      </w:r>
      <w:r w:rsidR="00FA7723" w:rsidRPr="001E6340">
        <w:t xml:space="preserve"> a relief’</w:t>
      </w:r>
      <w:r w:rsidR="004D3D4D" w:rsidRPr="001E6340">
        <w:t xml:space="preserve"> —</w:t>
      </w:r>
      <w:r w:rsidRPr="001E6340">
        <w:t xml:space="preserve"> is now dissolved by the fluid inter-penetration of past and present that is memory.</w:t>
      </w:r>
      <w:r w:rsidR="004D3D4D" w:rsidRPr="001E6340">
        <w:rPr>
          <w:rStyle w:val="FootnoteReference"/>
        </w:rPr>
        <w:footnoteReference w:id="23"/>
      </w:r>
      <w:r w:rsidRPr="001E6340">
        <w:t xml:space="preserve"> </w:t>
      </w:r>
      <w:r w:rsidR="00242BB2" w:rsidRPr="001E6340">
        <w:t>The achronological</w:t>
      </w:r>
      <w:r w:rsidR="00FA7723" w:rsidRPr="001E6340">
        <w:t xml:space="preserve"> technique means that e</w:t>
      </w:r>
      <w:r w:rsidRPr="001E6340">
        <w:t>pistemological uncertainty predominates</w:t>
      </w:r>
      <w:r w:rsidR="00FA7723" w:rsidRPr="001E6340">
        <w:t>. W</w:t>
      </w:r>
      <w:r w:rsidRPr="001E6340">
        <w:t xml:space="preserve">e are </w:t>
      </w:r>
      <w:r w:rsidR="00FA7723" w:rsidRPr="001E6340">
        <w:t xml:space="preserve">therefore </w:t>
      </w:r>
      <w:r w:rsidRPr="001E6340">
        <w:t xml:space="preserve">not certain what to make of Karain himself, despite the resonating powerful critique of the empty, superstitious imperial ideology he has unmasked. The solidity of the narrator’s fictional world breaks apart when Karain </w:t>
      </w:r>
      <w:r w:rsidR="00242BB2" w:rsidRPr="001E6340">
        <w:t>finally returns to his people: ‘</w:t>
      </w:r>
      <w:r w:rsidRPr="001E6340">
        <w:t>I wondered what they thought, what he t</w:t>
      </w:r>
      <w:r w:rsidR="00242BB2" w:rsidRPr="001E6340">
        <w:t>hought; …what the reader thinks’</w:t>
      </w:r>
      <w:r w:rsidRPr="001E6340">
        <w:t>.</w:t>
      </w:r>
      <w:r w:rsidR="004D3D4D" w:rsidRPr="001E6340">
        <w:rPr>
          <w:rStyle w:val="FootnoteReference"/>
        </w:rPr>
        <w:footnoteReference w:id="24"/>
      </w:r>
      <w:r w:rsidRPr="001E6340">
        <w:t xml:space="preserve"> The shattering of the hermeneutical circle is signified not just by the irruption of the readers’ perceptions, but al</w:t>
      </w:r>
      <w:r w:rsidR="00242BB2" w:rsidRPr="001E6340">
        <w:t>so by the change of tense from ‘thought’ to ‘thinks’</w:t>
      </w:r>
      <w:r w:rsidRPr="001E6340">
        <w:t>. A</w:t>
      </w:r>
      <w:r w:rsidR="00242BB2" w:rsidRPr="001E6340">
        <w:t>s Robert Hampson remarks, this ‘</w:t>
      </w:r>
      <w:r w:rsidRPr="001E6340">
        <w:t xml:space="preserve">problematizes the boundary between reader and text in the same way as the narrative has problematized </w:t>
      </w:r>
      <w:r w:rsidR="00242BB2" w:rsidRPr="001E6340">
        <w:t>the boundaries between cultures’</w:t>
      </w:r>
      <w:r w:rsidRPr="001E6340">
        <w:t>.</w:t>
      </w:r>
      <w:r w:rsidR="00242BB2" w:rsidRPr="001E6340">
        <w:rPr>
          <w:rStyle w:val="FootnoteReference"/>
        </w:rPr>
        <w:footnoteReference w:id="25"/>
      </w:r>
      <w:r w:rsidRPr="001E6340">
        <w:t xml:space="preserve"> Meaning, however, does not so much disintegrate as multiply. The light shed by the technique of two mutually undercutting narrative voices has partly been diffused by the difficulty of achieving true engagement with another culture. Yet, the intractable and insurmountable problems surrounding the articulation of the voice of the Other in non-ideological terms</w:t>
      </w:r>
      <w:r w:rsidR="001E6340" w:rsidRPr="001E6340">
        <w:t>,</w:t>
      </w:r>
      <w:r w:rsidRPr="001E6340">
        <w:t xml:space="preserve"> in themselves embody a thought-provoking challenge to our interpretative strategies. No single, straightforward reading can do justice to the layers of troubling associations and contradictions that are involved.    </w:t>
      </w:r>
    </w:p>
    <w:p w14:paraId="7E7B907B" w14:textId="318669D7" w:rsidR="00327A5C" w:rsidRPr="001E6340" w:rsidRDefault="00327A5C" w:rsidP="004846CC">
      <w:pPr>
        <w:pStyle w:val="NoSpacing"/>
        <w:spacing w:line="480" w:lineRule="auto"/>
        <w:ind w:firstLine="720"/>
      </w:pPr>
      <w:r w:rsidRPr="001E6340">
        <w:t>At this point, it would seem worthwhile to consider how far Conrad thought it possible to achieve the articulation of the voice of the Other and to examine why the indigenous point of view la</w:t>
      </w:r>
      <w:r w:rsidR="00EF0540" w:rsidRPr="001E6340">
        <w:t>rgely recedes in his later Indian Ocean</w:t>
      </w:r>
      <w:r w:rsidRPr="001E6340">
        <w:t xml:space="preserve"> fiction. One must first consider the importance of setting. The lack of geographical specificity in Conrad’s fictional Indian Ocean, stretching from the Gulf of Siam to the north, to Mauritius in the west, but </w:t>
      </w:r>
      <w:r w:rsidR="00397822" w:rsidRPr="001E6340">
        <w:t>centring</w:t>
      </w:r>
      <w:r w:rsidRPr="001E6340">
        <w:t xml:space="preserve"> round the Malay Archipelago, is notable. Singapore, for inst</w:t>
      </w:r>
      <w:r w:rsidR="00242BB2" w:rsidRPr="001E6340">
        <w:t>ance, is always referred to as ‘an Eastern port’</w:t>
      </w:r>
      <w:r w:rsidRPr="001E6340">
        <w:t>.  Although Marialuisa Bignami declares his use</w:t>
      </w:r>
      <w:r w:rsidR="00242BB2" w:rsidRPr="001E6340">
        <w:t>s of these locations ‘</w:t>
      </w:r>
      <w:r w:rsidRPr="001E6340">
        <w:t xml:space="preserve">give vent to his disgust and suffering at the sight of cruel </w:t>
      </w:r>
      <w:r w:rsidR="00242BB2" w:rsidRPr="001E6340">
        <w:t>and crude colonial exploitation’</w:t>
      </w:r>
      <w:r w:rsidRPr="001E6340">
        <w:t>, the anonymity of such set</w:t>
      </w:r>
      <w:r w:rsidR="00242BB2" w:rsidRPr="001E6340">
        <w:t>tings is not unproblematic</w:t>
      </w:r>
      <w:r w:rsidRPr="001E6340">
        <w:t>.</w:t>
      </w:r>
      <w:r w:rsidR="00242BB2" w:rsidRPr="001E6340">
        <w:rPr>
          <w:rStyle w:val="FootnoteReference"/>
        </w:rPr>
        <w:footnoteReference w:id="26"/>
      </w:r>
      <w:r w:rsidRPr="001E6340">
        <w:t xml:space="preserve"> The lack of place-names may give the fiction emblematic power, but the lack of specificity does leave it open to Achebe’s critique of arrogance, of using ethnic backdrops as props for the disintegr</w:t>
      </w:r>
      <w:r w:rsidR="00997875" w:rsidRPr="001E6340">
        <w:t>ation of the European mind</w:t>
      </w:r>
      <w:r w:rsidRPr="001E6340">
        <w:t>.</w:t>
      </w:r>
      <w:r w:rsidR="00242BB2" w:rsidRPr="001E6340">
        <w:rPr>
          <w:rStyle w:val="FootnoteReference"/>
        </w:rPr>
        <w:footnoteReference w:id="27"/>
      </w:r>
      <w:r w:rsidRPr="001E6340">
        <w:t xml:space="preserve"> However, Conrad, despite his personal knowledge of the region through working as mate on the </w:t>
      </w:r>
      <w:r w:rsidRPr="001E6340">
        <w:rPr>
          <w:i/>
        </w:rPr>
        <w:t>Vidar</w:t>
      </w:r>
      <w:r w:rsidRPr="001E6340">
        <w:t xml:space="preserve"> in 1887-8 and later as captain on the </w:t>
      </w:r>
      <w:r w:rsidRPr="001E6340">
        <w:rPr>
          <w:i/>
        </w:rPr>
        <w:t>Otago</w:t>
      </w:r>
      <w:r w:rsidRPr="001E6340">
        <w:t xml:space="preserve">, and despite his extensive reading, did not claim intimate knowledge of </w:t>
      </w:r>
      <w:r w:rsidR="008C0F05" w:rsidRPr="001E6340">
        <w:t>colonized</w:t>
      </w:r>
      <w:r w:rsidRPr="001E6340">
        <w:t xml:space="preserve"> societies. Indeed, when recalling a meeting with the colonial administrator Hugh Clifford, who had been moved to </w:t>
      </w:r>
      <w:r w:rsidR="008C0F05" w:rsidRPr="001E6340">
        <w:t>criticize</w:t>
      </w:r>
      <w:r w:rsidRPr="001E6340">
        <w:t xml:space="preserve"> Conrad’s failure to capture the ‘real’ Malay in </w:t>
      </w:r>
      <w:r w:rsidRPr="001E6340">
        <w:rPr>
          <w:i/>
        </w:rPr>
        <w:t>Almayer’s Folly</w:t>
      </w:r>
      <w:r w:rsidRPr="001E6340">
        <w:t xml:space="preserve"> (1895), he records with some irony:</w:t>
      </w:r>
    </w:p>
    <w:p w14:paraId="74A4A99F" w14:textId="46D4F0D9" w:rsidR="00327A5C" w:rsidRPr="001E6340" w:rsidRDefault="008C0F05" w:rsidP="00171E59">
      <w:pPr>
        <w:pStyle w:val="Quote"/>
        <w:rPr>
          <w:lang w:val="en-GB"/>
        </w:rPr>
      </w:pPr>
      <w:r w:rsidRPr="001E6340">
        <w:rPr>
          <w:lang w:val="en-GB"/>
        </w:rPr>
        <w:t>He</w:t>
      </w:r>
      <w:r w:rsidR="00327A5C" w:rsidRPr="001E6340">
        <w:rPr>
          <w:lang w:val="en-GB"/>
        </w:rPr>
        <w:t xml:space="preserve"> ended by telling me with the uncompromising yet kindly firmness of a man accustomed to speak unpalatable truths even to Oriental potentates […] that as a matter of fact I didn’t know anything about Malays. I was perfectly aware of this. I have never pretended to any such knowledge</w:t>
      </w:r>
      <w:r w:rsidR="0045469C" w:rsidRPr="001E6340">
        <w:rPr>
          <w:lang w:val="en-GB"/>
        </w:rPr>
        <w:t>.</w:t>
      </w:r>
      <w:r w:rsidR="00171E59" w:rsidRPr="001E6340">
        <w:rPr>
          <w:rStyle w:val="FootnoteReference"/>
          <w:lang w:val="en-GB"/>
        </w:rPr>
        <w:footnoteReference w:id="28"/>
      </w:r>
    </w:p>
    <w:p w14:paraId="7E9511FF" w14:textId="77777777" w:rsidR="00374142" w:rsidRPr="001E6340" w:rsidRDefault="00374142" w:rsidP="00374142">
      <w:pPr>
        <w:pStyle w:val="NoSpacing"/>
        <w:ind w:left="720"/>
      </w:pPr>
    </w:p>
    <w:p w14:paraId="2EF06C54" w14:textId="528DFE05" w:rsidR="001B5C47" w:rsidRPr="001E6340" w:rsidRDefault="00327A5C" w:rsidP="001B5C47">
      <w:pPr>
        <w:pStyle w:val="NoSpacing"/>
        <w:spacing w:line="480" w:lineRule="auto"/>
      </w:pPr>
      <w:r w:rsidRPr="001E6340">
        <w:t>More importantly, however, Conrad would not have been completely unaware through hi</w:t>
      </w:r>
      <w:r w:rsidR="003A1537" w:rsidRPr="001E6340">
        <w:t>s reading of  ‘writing Malaysia’</w:t>
      </w:r>
      <w:r w:rsidRPr="001E6340">
        <w:t xml:space="preserve"> literature, with all its underlying uncertainty, that Clifford’s concept of the ‘real’ Malay was</w:t>
      </w:r>
      <w:r w:rsidR="00657125" w:rsidRPr="001E6340">
        <w:t>, as Robert Hampson argues,</w:t>
      </w:r>
      <w:r w:rsidRPr="001E6340">
        <w:t xml:space="preserve"> a fiction produced</w:t>
      </w:r>
      <w:r w:rsidR="003A1537" w:rsidRPr="001E6340">
        <w:t xml:space="preserve"> by colonial discourse</w:t>
      </w:r>
      <w:r w:rsidRPr="001E6340">
        <w:t>.</w:t>
      </w:r>
      <w:r w:rsidR="00657125" w:rsidRPr="001E6340">
        <w:rPr>
          <w:rStyle w:val="FootnoteReference"/>
        </w:rPr>
        <w:footnoteReference w:id="29"/>
      </w:r>
      <w:r w:rsidRPr="001E6340">
        <w:t xml:space="preserve">  Consequently, he often examines the self-destructive nature of colonial values by </w:t>
      </w:r>
      <w:r w:rsidR="008C0F05" w:rsidRPr="001E6340">
        <w:t>focusing</w:t>
      </w:r>
      <w:r w:rsidR="004C7A25" w:rsidRPr="001E6340">
        <w:t xml:space="preserve"> on the colonial periphery, on ‘</w:t>
      </w:r>
      <w:r w:rsidRPr="001E6340">
        <w:t>the conjuncture of volatile and antagon</w:t>
      </w:r>
      <w:r w:rsidR="004C7A25" w:rsidRPr="001E6340">
        <w:t>ist perspectives’</w:t>
      </w:r>
      <w:r w:rsidRPr="001E6340">
        <w:t xml:space="preserve"> and their complex dislocations of the historical</w:t>
      </w:r>
      <w:r w:rsidR="00BE6FCF" w:rsidRPr="001E6340">
        <w:t xml:space="preserve"> and geographical record, as GoG</w:t>
      </w:r>
      <w:r w:rsidRPr="001E6340">
        <w:t>wilt convinc</w:t>
      </w:r>
      <w:r w:rsidR="003A1537" w:rsidRPr="001E6340">
        <w:t>ingly maintains</w:t>
      </w:r>
      <w:r w:rsidRPr="001E6340">
        <w:t>.</w:t>
      </w:r>
      <w:r w:rsidR="004C7A25" w:rsidRPr="001E6340">
        <w:rPr>
          <w:rStyle w:val="FootnoteReference"/>
        </w:rPr>
        <w:footnoteReference w:id="30"/>
      </w:r>
      <w:r w:rsidRPr="001E6340">
        <w:t xml:space="preserve"> Such a complex focus requires the colonial Other to be increasingly dealt with more indirectly. Certainly, </w:t>
      </w:r>
      <w:r w:rsidRPr="001E6340">
        <w:rPr>
          <w:i/>
        </w:rPr>
        <w:t>The End of the Tether</w:t>
      </w:r>
      <w:r w:rsidRPr="001E6340">
        <w:t xml:space="preserve"> (19</w:t>
      </w:r>
      <w:r w:rsidR="009B2FF7" w:rsidRPr="001E6340">
        <w:t>02) is very different from ‘Karain’</w:t>
      </w:r>
      <w:r w:rsidRPr="001E6340">
        <w:t>. Here, although the Malay Serang occasionally speaks, and the third person narrator is allowed limited access to his consciousness, the effect is to stress the mutual incomprehension of Malay and European:</w:t>
      </w:r>
    </w:p>
    <w:p w14:paraId="26F403D6" w14:textId="5878ADA1" w:rsidR="00327A5C" w:rsidRPr="001E6340" w:rsidRDefault="008C0F05" w:rsidP="00615AE7">
      <w:pPr>
        <w:pStyle w:val="Quote"/>
        <w:rPr>
          <w:lang w:val="en-GB"/>
        </w:rPr>
      </w:pPr>
      <w:r w:rsidRPr="001E6340">
        <w:rPr>
          <w:lang w:val="en-GB"/>
        </w:rPr>
        <w:t>His</w:t>
      </w:r>
      <w:r w:rsidR="00327A5C" w:rsidRPr="001E6340">
        <w:rPr>
          <w:lang w:val="en-GB"/>
        </w:rPr>
        <w:t xml:space="preserve"> placid mind had remained as incapable of penetrating the simplest motives of those he served as they themselves were incapable of detecting through the crust of the earth the secret nature of its heart which may be fire or may be stone</w:t>
      </w:r>
      <w:r w:rsidR="0045469C" w:rsidRPr="001E6340">
        <w:rPr>
          <w:lang w:val="en-GB"/>
        </w:rPr>
        <w:t>.</w:t>
      </w:r>
      <w:r w:rsidR="004C7A25" w:rsidRPr="001E6340">
        <w:rPr>
          <w:rStyle w:val="FootnoteReference"/>
          <w:lang w:val="en-GB"/>
        </w:rPr>
        <w:footnoteReference w:id="31"/>
      </w:r>
      <w:r w:rsidR="00327A5C" w:rsidRPr="001E6340">
        <w:rPr>
          <w:lang w:val="en-GB"/>
        </w:rPr>
        <w:t xml:space="preserve"> </w:t>
      </w:r>
    </w:p>
    <w:p w14:paraId="6D0422CB" w14:textId="77777777" w:rsidR="00374142" w:rsidRPr="001E6340" w:rsidRDefault="00374142" w:rsidP="00374142">
      <w:pPr>
        <w:pStyle w:val="NoSpacing"/>
      </w:pPr>
    </w:p>
    <w:p w14:paraId="20CCD28D" w14:textId="558D61F4" w:rsidR="00327A5C" w:rsidRPr="001E6340" w:rsidRDefault="00327A5C" w:rsidP="004846CC">
      <w:pPr>
        <w:pStyle w:val="NoSpacing"/>
        <w:spacing w:line="480" w:lineRule="auto"/>
      </w:pPr>
      <w:r w:rsidRPr="001E6340">
        <w:t>It is possible to discern changing attitudes towards the conceptualisation of the colonial encounter in operation here, with greater focus on the fallibility of European perceptions of the East. Indeed, looking at the Malay fiction as a whole, Chris</w:t>
      </w:r>
      <w:r w:rsidR="00BE6FCF" w:rsidRPr="001E6340">
        <w:t>topher GoG</w:t>
      </w:r>
      <w:r w:rsidR="004C7A25" w:rsidRPr="001E6340">
        <w:t>wilt espies a ‘</w:t>
      </w:r>
      <w:r w:rsidRPr="001E6340">
        <w:t>turn away from the mixed racial family roma</w:t>
      </w:r>
      <w:r w:rsidR="004C7A25" w:rsidRPr="001E6340">
        <w:t>nces of the early Malay fiction’</w:t>
      </w:r>
      <w:r w:rsidRPr="001E6340">
        <w:t xml:space="preserve"> such as </w:t>
      </w:r>
      <w:r w:rsidRPr="001E6340">
        <w:rPr>
          <w:i/>
        </w:rPr>
        <w:t>Almayer’s Folly</w:t>
      </w:r>
      <w:r w:rsidR="004C7A25" w:rsidRPr="001E6340">
        <w:t xml:space="preserve"> to the ‘</w:t>
      </w:r>
      <w:r w:rsidRPr="001E6340">
        <w:t>white racial roma</w:t>
      </w:r>
      <w:r w:rsidR="004C7A25" w:rsidRPr="001E6340">
        <w:t>nces of the later Malay fiction’</w:t>
      </w:r>
      <w:r w:rsidRPr="001E6340">
        <w:t xml:space="preserve">, such as </w:t>
      </w:r>
      <w:r w:rsidRPr="001E6340">
        <w:rPr>
          <w:i/>
        </w:rPr>
        <w:t>Victory</w:t>
      </w:r>
      <w:r w:rsidR="004C7A25" w:rsidRPr="001E6340">
        <w:t>.</w:t>
      </w:r>
      <w:r w:rsidR="004C7A25" w:rsidRPr="001E6340">
        <w:rPr>
          <w:rStyle w:val="FootnoteReference"/>
        </w:rPr>
        <w:footnoteReference w:id="32"/>
      </w:r>
      <w:r w:rsidR="004C7A25" w:rsidRPr="001E6340">
        <w:t xml:space="preserve"> </w:t>
      </w:r>
      <w:r w:rsidR="00202DFD" w:rsidRPr="001E6340">
        <w:t xml:space="preserve">Therefore, </w:t>
      </w:r>
      <w:r w:rsidR="004C7A25" w:rsidRPr="001E6340">
        <w:t>Conrad’s</w:t>
      </w:r>
      <w:r w:rsidRPr="001E6340">
        <w:t xml:space="preserve"> thought-provoking </w:t>
      </w:r>
      <w:r w:rsidR="008C0F05" w:rsidRPr="001E6340">
        <w:t>characterization</w:t>
      </w:r>
      <w:r w:rsidR="00202DFD" w:rsidRPr="001E6340">
        <w:t>, and</w:t>
      </w:r>
      <w:r w:rsidRPr="001E6340">
        <w:t xml:space="preserve"> the ambiguous portrayal of m</w:t>
      </w:r>
      <w:r w:rsidR="009B2FF7" w:rsidRPr="001E6340">
        <w:t>ixed-race Mauritian society in ‘A Smile of Fortune’</w:t>
      </w:r>
      <w:r w:rsidRPr="001E6340">
        <w:t xml:space="preserve"> (1911)</w:t>
      </w:r>
      <w:r w:rsidR="00202DFD" w:rsidRPr="001E6340">
        <w:t>,</w:t>
      </w:r>
      <w:r w:rsidRPr="001E6340">
        <w:t xml:space="preserve"> </w:t>
      </w:r>
      <w:r w:rsidR="00202DFD" w:rsidRPr="001E6340">
        <w:t xml:space="preserve">is worthy of further investigation </w:t>
      </w:r>
      <w:r w:rsidRPr="001E6340">
        <w:t xml:space="preserve">as </w:t>
      </w:r>
      <w:r w:rsidR="00202DFD" w:rsidRPr="001E6340">
        <w:t>some kind of transition between the different stages of Conrad’s writing</w:t>
      </w:r>
      <w:r w:rsidRPr="001E6340">
        <w:rPr>
          <w:i/>
        </w:rPr>
        <w:t>.</w:t>
      </w:r>
      <w:r w:rsidR="00202DFD" w:rsidRPr="001E6340">
        <w:rPr>
          <w:i/>
        </w:rPr>
        <w:t xml:space="preserve"> </w:t>
      </w:r>
      <w:r w:rsidR="00202DFD" w:rsidRPr="001E6340">
        <w:t>Here, the attitude toward, and voicing of, the colonial encounter is very different to the early writing.</w:t>
      </w:r>
    </w:p>
    <w:p w14:paraId="0919DF20" w14:textId="5A65EE7B" w:rsidR="00327A5C" w:rsidRPr="001E6340" w:rsidRDefault="00202DFD" w:rsidP="004846CC">
      <w:pPr>
        <w:pStyle w:val="NoSpacing"/>
        <w:spacing w:line="480" w:lineRule="auto"/>
        <w:ind w:firstLine="720"/>
      </w:pPr>
      <w:r w:rsidRPr="001E6340">
        <w:t>Certainly</w:t>
      </w:r>
      <w:r w:rsidR="00503958" w:rsidRPr="001E6340">
        <w:t>, the way ‘A Smile of Fortune’ explores</w:t>
      </w:r>
      <w:r w:rsidR="00327A5C" w:rsidRPr="001E6340">
        <w:t xml:space="preserve"> colonial racial prejudic</w:t>
      </w:r>
      <w:r w:rsidR="00503958" w:rsidRPr="001E6340">
        <w:t xml:space="preserve">e and commercial values </w:t>
      </w:r>
      <w:r w:rsidR="009E6213" w:rsidRPr="001E6340">
        <w:t>in a</w:t>
      </w:r>
      <w:r w:rsidR="00EF0540" w:rsidRPr="001E6340">
        <w:t>n Eastern but</w:t>
      </w:r>
      <w:r w:rsidR="009E6213" w:rsidRPr="001E6340">
        <w:t xml:space="preserve"> non-Malay setting </w:t>
      </w:r>
      <w:r w:rsidR="00327A5C" w:rsidRPr="001E6340">
        <w:t>is crucial to how this transition can be understood. Here, understanding of local society and culture is filtered through the limited self-awareness of a single, very fallible European narrator</w:t>
      </w:r>
      <w:r w:rsidRPr="001E6340">
        <w:t>, alone</w:t>
      </w:r>
      <w:r w:rsidR="00327A5C" w:rsidRPr="001E6340">
        <w:t>.  Prejudice is evident both in the local society, which o</w:t>
      </w:r>
      <w:r w:rsidR="00ED19AD" w:rsidRPr="001E6340">
        <w:t>stracizes Jacobus and his mixed-</w:t>
      </w:r>
      <w:r w:rsidR="00327A5C" w:rsidRPr="001E6340">
        <w:t>race illegitimate daughter, and in the first person narrator’s own descript</w:t>
      </w:r>
      <w:r w:rsidRPr="001E6340">
        <w:t>ions of Alice. Although she is ‘not a mulatto’, she has the thick, black ‘</w:t>
      </w:r>
      <w:r w:rsidR="008C0F05" w:rsidRPr="001E6340">
        <w:t>dishevel</w:t>
      </w:r>
      <w:r w:rsidR="00397822" w:rsidRPr="001E6340">
        <w:t>l</w:t>
      </w:r>
      <w:r w:rsidR="008C0F05" w:rsidRPr="001E6340">
        <w:t>ed</w:t>
      </w:r>
      <w:r w:rsidR="00327A5C" w:rsidRPr="001E6340">
        <w:t xml:space="preserve"> ma</w:t>
      </w:r>
      <w:r w:rsidRPr="001E6340">
        <w:t>gnificent hair of a gypsy tramp’ and ‘</w:t>
      </w:r>
      <w:r w:rsidR="00327A5C" w:rsidRPr="001E6340">
        <w:t xml:space="preserve">those long, Egyptian </w:t>
      </w:r>
      <w:r w:rsidRPr="001E6340">
        <w:t>eyes’</w:t>
      </w:r>
      <w:r w:rsidR="00327A5C" w:rsidRPr="001E6340">
        <w:t>.</w:t>
      </w:r>
      <w:r w:rsidRPr="001E6340">
        <w:rPr>
          <w:rStyle w:val="FootnoteReference"/>
        </w:rPr>
        <w:footnoteReference w:id="33"/>
      </w:r>
      <w:r w:rsidR="00327A5C" w:rsidRPr="001E6340">
        <w:t xml:space="preserve"> Alice is therefore stranded somewhere between European respectability and the uncertain status of </w:t>
      </w:r>
      <w:r w:rsidR="00397822" w:rsidRPr="001E6340">
        <w:t>untameable</w:t>
      </w:r>
      <w:r w:rsidR="00327A5C" w:rsidRPr="001E6340">
        <w:t>, if erotic, mul</w:t>
      </w:r>
      <w:r w:rsidR="00541736" w:rsidRPr="001E6340">
        <w:t xml:space="preserve">ti-racial Other. </w:t>
      </w:r>
      <w:r w:rsidR="002B7FA0" w:rsidRPr="001E6340">
        <w:t xml:space="preserve">As daughter of a European trader and a mother of dubious respectability and racial origin, kept in hiding away from polite society, she takes on the descriptive language and status of an almost sub-human native. </w:t>
      </w:r>
      <w:r w:rsidR="00541736" w:rsidRPr="001E6340">
        <w:t>It is to this ‘startled wild animal’</w:t>
      </w:r>
      <w:r w:rsidR="00405F1A" w:rsidRPr="001E6340">
        <w:t>,</w:t>
      </w:r>
      <w:r w:rsidR="00327A5C" w:rsidRPr="001E6340">
        <w:t xml:space="preserve"> alternately languid and aggressive, trapped in an ironically symbolic colonial Garden of Eden, that the captain is alternately attracted and repulsed.</w:t>
      </w:r>
      <w:r w:rsidR="002B7FA0" w:rsidRPr="001E6340">
        <w:rPr>
          <w:rStyle w:val="FootnoteReference"/>
        </w:rPr>
        <w:footnoteReference w:id="34"/>
      </w:r>
      <w:r w:rsidR="00327A5C" w:rsidRPr="001E6340">
        <w:t xml:space="preserve"> His contradictory reactions mirror his attitude toward colonial commerce. Initially, he naively harks back to the days of adventure: </w:t>
      </w:r>
    </w:p>
    <w:p w14:paraId="0886E54B" w14:textId="2C747AFF" w:rsidR="00327A5C" w:rsidRPr="001E6340" w:rsidRDefault="00327A5C" w:rsidP="00171E59">
      <w:pPr>
        <w:pStyle w:val="Quote"/>
        <w:rPr>
          <w:lang w:val="en-GB"/>
        </w:rPr>
      </w:pPr>
      <w:r w:rsidRPr="001E6340">
        <w:rPr>
          <w:lang w:val="en-GB"/>
        </w:rPr>
        <w:t>Why must the sea be used for trade – and for war as well? Why kill and traffic on it, pursuing selfish aims of no great importance after all? It would have been so much nicer just to sail about with here and there a port and a bit of lan</w:t>
      </w:r>
      <w:r w:rsidR="002B7FA0" w:rsidRPr="001E6340">
        <w:rPr>
          <w:lang w:val="en-GB"/>
        </w:rPr>
        <w:t>d to stretch one’s legs on</w:t>
      </w:r>
      <w:r w:rsidR="00171E59" w:rsidRPr="001E6340">
        <w:rPr>
          <w:lang w:val="en-GB"/>
        </w:rPr>
        <w:t>.</w:t>
      </w:r>
      <w:r w:rsidR="002B7FA0" w:rsidRPr="001E6340">
        <w:rPr>
          <w:rStyle w:val="FootnoteReference"/>
          <w:lang w:val="en-GB"/>
        </w:rPr>
        <w:footnoteReference w:id="35"/>
      </w:r>
      <w:r w:rsidR="002B7FA0" w:rsidRPr="001E6340">
        <w:rPr>
          <w:lang w:val="en-GB"/>
        </w:rPr>
        <w:t xml:space="preserve"> </w:t>
      </w:r>
    </w:p>
    <w:p w14:paraId="3E1EC958" w14:textId="77777777" w:rsidR="00374142" w:rsidRPr="001E6340" w:rsidRDefault="00374142" w:rsidP="00374142">
      <w:pPr>
        <w:pStyle w:val="NoSpacing"/>
        <w:ind w:left="720"/>
      </w:pPr>
    </w:p>
    <w:p w14:paraId="405D4ED7" w14:textId="5EFA3105" w:rsidR="00327A5C" w:rsidRPr="001E6340" w:rsidRDefault="00541736" w:rsidP="004846CC">
      <w:pPr>
        <w:pStyle w:val="NoSpacing"/>
        <w:spacing w:line="480" w:lineRule="auto"/>
      </w:pPr>
      <w:r w:rsidRPr="001E6340">
        <w:t>Yet he is forced to violate ‘his commercial innocence’ since he lives ‘</w:t>
      </w:r>
      <w:r w:rsidR="00327A5C" w:rsidRPr="001E6340">
        <w:t>in a world more or less homic</w:t>
      </w:r>
      <w:r w:rsidRPr="001E6340">
        <w:t>idal and desperately mercantile’</w:t>
      </w:r>
      <w:r w:rsidR="00327A5C" w:rsidRPr="001E6340">
        <w:t>.</w:t>
      </w:r>
      <w:r w:rsidR="002B7FA0" w:rsidRPr="001E6340">
        <w:rPr>
          <w:rStyle w:val="FootnoteReference"/>
        </w:rPr>
        <w:footnoteReference w:id="36"/>
      </w:r>
      <w:r w:rsidR="00327A5C" w:rsidRPr="001E6340">
        <w:t xml:space="preserve"> In unwillingly acting for his Western shipping company, his failed idealism partly reflects the contemporary transition towards the finance capitalism of imperialism and also leads him to becoming a victim of his own corrupt instincts towards violation and power over others. The mistreatment of Alice sig</w:t>
      </w:r>
      <w:r w:rsidRPr="001E6340">
        <w:t>nificantly leads to nightmare: ‘</w:t>
      </w:r>
      <w:r w:rsidR="00327A5C" w:rsidRPr="001E6340">
        <w:t>That night I dreamt of a pile of gold in the form of a grave in which a girl was buried, and woke up callou</w:t>
      </w:r>
      <w:r w:rsidRPr="001E6340">
        <w:t>s with greed’</w:t>
      </w:r>
      <w:r w:rsidR="00327A5C" w:rsidRPr="001E6340">
        <w:t>.</w:t>
      </w:r>
      <w:r w:rsidR="002B7FA0" w:rsidRPr="001E6340">
        <w:rPr>
          <w:rStyle w:val="FootnoteReference"/>
        </w:rPr>
        <w:footnoteReference w:id="37"/>
      </w:r>
      <w:r w:rsidR="00327A5C" w:rsidRPr="001E6340">
        <w:t xml:space="preserve"> Indeed, the connection betw</w:t>
      </w:r>
      <w:r w:rsidR="00AF27E4" w:rsidRPr="001E6340">
        <w:t xml:space="preserve">een </w:t>
      </w:r>
      <w:r w:rsidR="006C1FAD" w:rsidRPr="001E6340">
        <w:t xml:space="preserve">commerce and ‘greed’ and between </w:t>
      </w:r>
      <w:r w:rsidR="00AF27E4" w:rsidRPr="001E6340">
        <w:t xml:space="preserve">Alice and imperial trade is </w:t>
      </w:r>
      <w:r w:rsidR="00327A5C" w:rsidRPr="001E6340">
        <w:t xml:space="preserve">fundamental to the story. When the captain is caught </w:t>
      </w:r>
      <w:r w:rsidR="00327A5C" w:rsidRPr="001E6340">
        <w:rPr>
          <w:i/>
        </w:rPr>
        <w:t>in flagrante delicto</w:t>
      </w:r>
      <w:r w:rsidR="002B7FA0" w:rsidRPr="001E6340">
        <w:t xml:space="preserve"> —</w:t>
      </w:r>
      <w:r w:rsidR="00AF27E4" w:rsidRPr="001E6340">
        <w:t xml:space="preserve"> and </w:t>
      </w:r>
      <w:r w:rsidRPr="001E6340">
        <w:t>disturbingly, he describes ‘</w:t>
      </w:r>
      <w:r w:rsidR="00327A5C" w:rsidRPr="001E6340">
        <w:t>the first kiss I planted on her closed lips was vicious</w:t>
      </w:r>
      <w:r w:rsidRPr="001E6340">
        <w:t xml:space="preserve"> enough to have been a bite’</w:t>
      </w:r>
      <w:r w:rsidR="002B7FA0" w:rsidRPr="001E6340">
        <w:t xml:space="preserve"> —</w:t>
      </w:r>
      <w:r w:rsidR="00327A5C" w:rsidRPr="001E6340">
        <w:t xml:space="preserve"> he feels forced to buy Jacobus’s potatoes.</w:t>
      </w:r>
      <w:r w:rsidR="002B7FA0" w:rsidRPr="001E6340">
        <w:rPr>
          <w:rStyle w:val="FootnoteReference"/>
        </w:rPr>
        <w:footnoteReference w:id="38"/>
      </w:r>
      <w:r w:rsidR="00327A5C" w:rsidRPr="001E6340">
        <w:t xml:space="preserve"> The astonishing</w:t>
      </w:r>
      <w:r w:rsidRPr="001E6340">
        <w:t>, indeed breathtaking,</w:t>
      </w:r>
      <w:r w:rsidR="00327A5C" w:rsidRPr="001E6340">
        <w:t xml:space="preserve"> genre switch here, from romance </w:t>
      </w:r>
      <w:r w:rsidR="00853202" w:rsidRPr="001E6340">
        <w:t xml:space="preserve">parody </w:t>
      </w:r>
      <w:r w:rsidR="00327A5C" w:rsidRPr="001E6340">
        <w:t>and anti-Cinderella fairy story to one of financial speculation, which in the past critics have judged as</w:t>
      </w:r>
      <w:r w:rsidRPr="001E6340">
        <w:t xml:space="preserve"> an</w:t>
      </w:r>
      <w:r w:rsidR="00327A5C" w:rsidRPr="001E6340">
        <w:t xml:space="preserve"> artistic failur</w:t>
      </w:r>
      <w:r w:rsidR="00156DA4" w:rsidRPr="001E6340">
        <w:t>e</w:t>
      </w:r>
      <w:r w:rsidR="00BE6FCF" w:rsidRPr="001E6340">
        <w:t>,</w:t>
      </w:r>
      <w:r w:rsidR="00327A5C" w:rsidRPr="001E6340">
        <w:t xml:space="preserve"> is in fact a technical tour de force.</w:t>
      </w:r>
      <w:r w:rsidRPr="001E6340">
        <w:rPr>
          <w:rStyle w:val="FootnoteReference"/>
        </w:rPr>
        <w:footnoteReference w:id="39"/>
      </w:r>
      <w:r w:rsidR="00327A5C" w:rsidRPr="001E6340">
        <w:t xml:space="preserve"> In some sense</w:t>
      </w:r>
      <w:r w:rsidR="00327A5C" w:rsidRPr="001E6340">
        <w:rPr>
          <w:i/>
        </w:rPr>
        <w:t xml:space="preserve">, </w:t>
      </w:r>
      <w:r w:rsidR="00327A5C" w:rsidRPr="001E6340">
        <w:t>Alice has been a tradable object all along, with the text hinting at the possibility that the prospect of getting rid of the family scandal is what brings the estranged Jacobus brothers back together again, thereby making the deal on the missing bags possible. Certainly, the use of Alice as commercial bait becomes clear when the narrator’s refusal to trade is thwarted by Jacobus’s flourishing of the girl’s fallen slipper, symbol of the narrator’s sexual transgressions, which Jacobus has presumably witnessed:</w:t>
      </w:r>
    </w:p>
    <w:p w14:paraId="5EC69171" w14:textId="4E4E629E" w:rsidR="00327A5C" w:rsidRPr="001E6340" w:rsidRDefault="00327A5C" w:rsidP="00615AE7">
      <w:pPr>
        <w:pStyle w:val="Quote"/>
        <w:rPr>
          <w:lang w:val="en-GB"/>
        </w:rPr>
      </w:pPr>
      <w:r w:rsidRPr="001E6340">
        <w:rPr>
          <w:lang w:val="en-GB"/>
        </w:rPr>
        <w:t>Jacobus raised his e</w:t>
      </w:r>
      <w:r w:rsidR="008767D7" w:rsidRPr="001E6340">
        <w:rPr>
          <w:lang w:val="en-GB"/>
        </w:rPr>
        <w:t>yes from the shoes</w:t>
      </w:r>
      <w:r w:rsidRPr="001E6340">
        <w:rPr>
          <w:lang w:val="en-GB"/>
        </w:rPr>
        <w:t xml:space="preserve"> to look at me. </w:t>
      </w:r>
    </w:p>
    <w:p w14:paraId="11AA7440" w14:textId="5CA391C3" w:rsidR="00327A5C" w:rsidRPr="001E6340" w:rsidRDefault="00374142" w:rsidP="00615AE7">
      <w:pPr>
        <w:pStyle w:val="Quote"/>
        <w:rPr>
          <w:lang w:val="en-GB"/>
        </w:rPr>
      </w:pPr>
      <w:r w:rsidRPr="001E6340">
        <w:rPr>
          <w:lang w:val="en-GB"/>
        </w:rPr>
        <w:t>‘Sit down, Captain,’</w:t>
      </w:r>
      <w:r w:rsidR="00327A5C" w:rsidRPr="001E6340">
        <w:rPr>
          <w:lang w:val="en-GB"/>
        </w:rPr>
        <w:t xml:space="preserve"> he said at last, in his subdued tone.</w:t>
      </w:r>
    </w:p>
    <w:p w14:paraId="1551ABDB" w14:textId="3666F6B3" w:rsidR="00327A5C" w:rsidRPr="001E6340" w:rsidRDefault="00327A5C" w:rsidP="00615AE7">
      <w:pPr>
        <w:pStyle w:val="Quote"/>
        <w:rPr>
          <w:lang w:val="en-GB"/>
        </w:rPr>
      </w:pPr>
      <w:r w:rsidRPr="001E6340">
        <w:rPr>
          <w:lang w:val="en-GB"/>
        </w:rPr>
        <w:t>As if the sight of that shoe had renewed the spell, I gave up suddenly the idea of leaving the house there and then. It had become impossible. I sat down, keeping my eyes on the fascinating object […]</w:t>
      </w:r>
      <w:r w:rsidR="00853202" w:rsidRPr="001E6340">
        <w:rPr>
          <w:lang w:val="en-GB"/>
        </w:rPr>
        <w:t>.</w:t>
      </w:r>
      <w:r w:rsidRPr="001E6340">
        <w:rPr>
          <w:lang w:val="en-GB"/>
        </w:rPr>
        <w:t xml:space="preserve"> He checked my movement to rise by an austere, commanding gesture of the hand holding that fatal shoe. I rema</w:t>
      </w:r>
      <w:r w:rsidR="00374142" w:rsidRPr="001E6340">
        <w:rPr>
          <w:lang w:val="en-GB"/>
        </w:rPr>
        <w:t>ined seated and glared at him. ‘You know I don’t trade.’</w:t>
      </w:r>
    </w:p>
    <w:p w14:paraId="64D1EC9D" w14:textId="21D9D01E" w:rsidR="00327A5C" w:rsidRPr="001E6340" w:rsidRDefault="00374142" w:rsidP="00615AE7">
      <w:pPr>
        <w:pStyle w:val="Quote"/>
        <w:rPr>
          <w:lang w:val="en-GB"/>
        </w:rPr>
      </w:pPr>
      <w:r w:rsidRPr="001E6340">
        <w:rPr>
          <w:lang w:val="en-GB"/>
        </w:rPr>
        <w:t>‘</w:t>
      </w:r>
      <w:r w:rsidR="00327A5C" w:rsidRPr="001E6340">
        <w:rPr>
          <w:lang w:val="en-GB"/>
        </w:rPr>
        <w:t>You ought to, Captain. You ought to</w:t>
      </w:r>
      <w:r w:rsidRPr="001E6340">
        <w:rPr>
          <w:lang w:val="en-GB"/>
        </w:rPr>
        <w:t>.’</w:t>
      </w:r>
      <w:r w:rsidR="00853202" w:rsidRPr="001E6340">
        <w:rPr>
          <w:rStyle w:val="FootnoteReference"/>
          <w:lang w:val="en-GB"/>
        </w:rPr>
        <w:footnoteReference w:id="40"/>
      </w:r>
      <w:r w:rsidR="00853202" w:rsidRPr="001E6340">
        <w:rPr>
          <w:lang w:val="en-GB"/>
        </w:rPr>
        <w:t xml:space="preserve"> </w:t>
      </w:r>
    </w:p>
    <w:p w14:paraId="4889AD02" w14:textId="77777777" w:rsidR="00615AE7" w:rsidRPr="001E6340" w:rsidRDefault="00615AE7" w:rsidP="009B62F0">
      <w:pPr>
        <w:spacing w:line="240" w:lineRule="auto"/>
      </w:pPr>
    </w:p>
    <w:p w14:paraId="3CB361AC" w14:textId="43C25632" w:rsidR="00327A5C" w:rsidRPr="001E6340" w:rsidRDefault="00862CB6" w:rsidP="00615AE7">
      <w:pPr>
        <w:pStyle w:val="NoSpacing"/>
        <w:spacing w:line="480" w:lineRule="auto"/>
      </w:pPr>
      <w:r w:rsidRPr="001E6340">
        <w:t>The repeated references to ‘</w:t>
      </w:r>
      <w:r w:rsidR="00327A5C" w:rsidRPr="001E6340">
        <w:t>shoe</w:t>
      </w:r>
      <w:r w:rsidRPr="001E6340">
        <w:t>s’ and the girl’s ‘shoe’</w:t>
      </w:r>
      <w:r w:rsidR="006C1FAD" w:rsidRPr="001E6340">
        <w:t>,</w:t>
      </w:r>
      <w:r w:rsidRPr="001E6340">
        <w:t xml:space="preserve"> which has become ‘a f</w:t>
      </w:r>
      <w:r w:rsidR="005A15FD" w:rsidRPr="001E6340">
        <w:t>ascinating object’</w:t>
      </w:r>
      <w:r w:rsidR="006C1FAD" w:rsidRPr="001E6340">
        <w:t>,</w:t>
      </w:r>
      <w:r w:rsidR="005A15FD" w:rsidRPr="001E6340">
        <w:t xml:space="preserve"> carry associations of</w:t>
      </w:r>
      <w:r w:rsidRPr="001E6340">
        <w:t xml:space="preserve"> embarrassment</w:t>
      </w:r>
      <w:r w:rsidR="007A6780" w:rsidRPr="001E6340">
        <w:t>, fetishiz</w:t>
      </w:r>
      <w:r w:rsidR="005A15FD" w:rsidRPr="001E6340">
        <w:t xml:space="preserve">ation and some kind of objectification of the shoe’s wearer. </w:t>
      </w:r>
      <w:r w:rsidR="00374142" w:rsidRPr="001E6340">
        <w:t>Indeed, t</w:t>
      </w:r>
      <w:r w:rsidR="005A15FD" w:rsidRPr="001E6340">
        <w:t>he juxtaposition of ‘shoe’ with ‘trade’ is crucial here. This</w:t>
      </w:r>
      <w:r w:rsidR="00327A5C" w:rsidRPr="001E6340">
        <w:t xml:space="preserve"> u</w:t>
      </w:r>
      <w:r w:rsidR="00541736" w:rsidRPr="001E6340">
        <w:t>nderlines what David Mulry observes, that the ‘</w:t>
      </w:r>
      <w:r w:rsidR="00327A5C" w:rsidRPr="001E6340">
        <w:t xml:space="preserve">orient is </w:t>
      </w:r>
      <w:r w:rsidR="008C0F05" w:rsidRPr="001E6340">
        <w:t>eroticized</w:t>
      </w:r>
      <w:r w:rsidR="00327A5C" w:rsidRPr="001E6340">
        <w:t xml:space="preserve"> and </w:t>
      </w:r>
      <w:r w:rsidR="008C0F05" w:rsidRPr="001E6340">
        <w:t>feminized</w:t>
      </w:r>
      <w:r w:rsidR="00541736" w:rsidRPr="001E6340">
        <w:t xml:space="preserve"> by the male observer’ such</w:t>
      </w:r>
      <w:r w:rsidR="00327A5C" w:rsidRPr="001E6340">
        <w:t xml:space="preserve"> that colonial trade is seen through the l</w:t>
      </w:r>
      <w:r w:rsidR="00CF3D81" w:rsidRPr="001E6340">
        <w:t>ens of illicit sexuality</w:t>
      </w:r>
      <w:r w:rsidR="00327A5C" w:rsidRPr="001E6340">
        <w:t>.</w:t>
      </w:r>
      <w:r w:rsidR="00541736" w:rsidRPr="001E6340">
        <w:rPr>
          <w:rStyle w:val="FootnoteReference"/>
        </w:rPr>
        <w:footnoteReference w:id="41"/>
      </w:r>
      <w:r w:rsidR="00327A5C" w:rsidRPr="001E6340">
        <w:t xml:space="preserve"> Indeed, for another example of this, one could point to the telling description of Jacobus by the captain of the </w:t>
      </w:r>
      <w:r w:rsidR="00327A5C" w:rsidRPr="001E6340">
        <w:rPr>
          <w:i/>
        </w:rPr>
        <w:t>Hilda</w:t>
      </w:r>
      <w:r w:rsidR="00CF3D81" w:rsidRPr="001E6340">
        <w:t xml:space="preserve"> as ‘</w:t>
      </w:r>
      <w:r w:rsidR="00327A5C" w:rsidRPr="001E6340">
        <w:t>the sort of chap to procure yo</w:t>
      </w:r>
      <w:r w:rsidR="00CF3D81" w:rsidRPr="001E6340">
        <w:t>u anything you like for a price’</w:t>
      </w:r>
      <w:r w:rsidR="00327A5C" w:rsidRPr="001E6340">
        <w:t xml:space="preserve"> where associations of prostitution nestle beneath the commercial term used.</w:t>
      </w:r>
      <w:r w:rsidR="00853202" w:rsidRPr="001E6340">
        <w:rPr>
          <w:rStyle w:val="FootnoteReference"/>
        </w:rPr>
        <w:footnoteReference w:id="42"/>
      </w:r>
    </w:p>
    <w:p w14:paraId="1156FAE2" w14:textId="24B3F79C" w:rsidR="00327A5C" w:rsidRPr="001E6340" w:rsidRDefault="00327A5C" w:rsidP="004846CC">
      <w:pPr>
        <w:pStyle w:val="NoSpacing"/>
        <w:spacing w:line="480" w:lineRule="auto"/>
        <w:ind w:firstLine="720"/>
      </w:pPr>
      <w:r w:rsidRPr="001E6340">
        <w:t>Yet, despite this dazzling critique of the colonial encounter, where the temptation for violation is almost irresistible</w:t>
      </w:r>
      <w:r w:rsidR="008767D7" w:rsidRPr="001E6340">
        <w:t>, and where a woman in a symbolic natural state</w:t>
      </w:r>
      <w:r w:rsidRPr="001E6340">
        <w:t xml:space="preserve"> </w:t>
      </w:r>
      <w:r w:rsidR="008C0F05" w:rsidRPr="001E6340">
        <w:t>symbolizes</w:t>
      </w:r>
      <w:r w:rsidRPr="001E6340">
        <w:t xml:space="preserve"> the temptation of commercial exploitation, the story’s narrative techniques complicate our response. We cannot overlook how firm significance and secure knowledge are somewhat undermined by the use of a single, confused and confusing narrator. For example, while the narrator remains suspicious of Jacobus, Captain H-, who describes Jacobus’s kindness following the death of his child, is recorded as giving </w:t>
      </w:r>
      <w:r w:rsidR="00CF3D81" w:rsidRPr="001E6340">
        <w:t>a quite different view of him: ‘</w:t>
      </w:r>
      <w:r w:rsidRPr="001E6340">
        <w:t>That’s a good</w:t>
      </w:r>
      <w:r w:rsidR="00853202" w:rsidRPr="001E6340">
        <w:t xml:space="preserve"> fellow – a really good fellow’</w:t>
      </w:r>
      <w:r w:rsidRPr="001E6340">
        <w:t>.</w:t>
      </w:r>
      <w:r w:rsidR="00853202" w:rsidRPr="001E6340">
        <w:rPr>
          <w:rStyle w:val="FootnoteReference"/>
        </w:rPr>
        <w:footnoteReference w:id="43"/>
      </w:r>
      <w:r w:rsidRPr="001E6340">
        <w:t xml:space="preserve"> In part, the uncertainty over which brother to trust on commercial matters exhibits Conrad’s familiar, rich and mysterious psychological pattern of doubles and doubling</w:t>
      </w:r>
      <w:r w:rsidR="00CF3D81" w:rsidRPr="001E6340">
        <w:t>, that we find so memorably, for example, in ‘The Secret Sharer’</w:t>
      </w:r>
      <w:r w:rsidRPr="001E6340">
        <w:t xml:space="preserve">. However, </w:t>
      </w:r>
      <w:r w:rsidR="00CF3D81" w:rsidRPr="001E6340">
        <w:t xml:space="preserve">this does mean that </w:t>
      </w:r>
      <w:r w:rsidRPr="001E6340">
        <w:t>everything is left for us to interpret, as the narrator is unable to throw much light on the precise motivations of any of the characters involved.  For example, at the moment when Jacobus could have forcibly married off his daughter, he starts to talk about potatoes, the intentional bathos and frightening comedy undercutting the respectability of trading, but at the cost of our understanding of what his aim has been all along. Have the brothers been plotting to offload Jacobus’s illegitimate daughter onto him, thereby eliminating the social stigma that Alice’s very presence creates, or has this been a figment of the Captain’s imagination? We are also left to imagine why the narrator’s emotions toward Alice suddenly turn from desire to indifference since the narrator does not know and cannot expl</w:t>
      </w:r>
      <w:r w:rsidR="00CF3D81" w:rsidRPr="001E6340">
        <w:t>ain it. Nor can he explain her ‘</w:t>
      </w:r>
      <w:r w:rsidRPr="001E6340">
        <w:t>hasty, awkward haph</w:t>
      </w:r>
      <w:r w:rsidR="00CF3D81" w:rsidRPr="001E6340">
        <w:t>azard kiss which missed my lips’</w:t>
      </w:r>
      <w:r w:rsidRPr="001E6340">
        <w:t xml:space="preserve"> as they part.</w:t>
      </w:r>
      <w:r w:rsidR="00853202" w:rsidRPr="001E6340">
        <w:rPr>
          <w:rStyle w:val="FootnoteReference"/>
        </w:rPr>
        <w:footnoteReference w:id="44"/>
      </w:r>
      <w:r w:rsidR="008767D7" w:rsidRPr="001E6340">
        <w:t xml:space="preserve"> The </w:t>
      </w:r>
      <w:r w:rsidRPr="001E6340">
        <w:t xml:space="preserve">technique of </w:t>
      </w:r>
      <w:r w:rsidR="008767D7" w:rsidRPr="001E6340">
        <w:t xml:space="preserve">first person </w:t>
      </w:r>
      <w:r w:rsidRPr="001E6340">
        <w:t>narration brings immediacy but also the full sense of the narrator’s confusion at the mixed messages surrounding him. Of course, it can easily be argued that Conrad is not interested in r</w:t>
      </w:r>
      <w:r w:rsidR="00853202" w:rsidRPr="001E6340">
        <w:t>ealism or psychological clarity</w:t>
      </w:r>
      <w:r w:rsidRPr="001E6340">
        <w:t xml:space="preserve"> here and that the </w:t>
      </w:r>
      <w:r w:rsidR="008C0F05" w:rsidRPr="001E6340">
        <w:t>destabilization</w:t>
      </w:r>
      <w:r w:rsidRPr="001E6340">
        <w:t xml:space="preserve"> of our epistemological footing is creatively ambiguous, reflecting the </w:t>
      </w:r>
      <w:r w:rsidR="008C0F05" w:rsidRPr="001E6340">
        <w:t>destabilizing</w:t>
      </w:r>
      <w:r w:rsidR="00853202" w:rsidRPr="001E6340">
        <w:t xml:space="preserve"> nature of a symbolically captured</w:t>
      </w:r>
      <w:r w:rsidRPr="001E6340">
        <w:t xml:space="preserve"> colonial encounter. However, if we are to follow Daniel Just in seeing any arguable disintegration of meaning to be an ethical reaction, we still have to come to terms with the way the first person narrator traps us in a world with few answers. It is certainly one in which our enforced observation of the transgressive nature of Alice’s portrayal, makes this particular reader deeply uncomfortable. </w:t>
      </w:r>
    </w:p>
    <w:p w14:paraId="12228A03" w14:textId="55B6D74C" w:rsidR="00327A5C" w:rsidRPr="001E6340" w:rsidRDefault="00327A5C" w:rsidP="004846CC">
      <w:pPr>
        <w:pStyle w:val="NoSpacing"/>
        <w:spacing w:line="480" w:lineRule="auto"/>
        <w:ind w:firstLine="720"/>
      </w:pPr>
      <w:r w:rsidRPr="001E6340">
        <w:t>Therefore, we need to examine clos</w:t>
      </w:r>
      <w:r w:rsidR="00853202" w:rsidRPr="001E6340">
        <w:t>ely the symbolism at work here. I</w:t>
      </w:r>
      <w:r w:rsidRPr="001E6340">
        <w:t>t may be nuanced but it remains challenging and deeply disturbing. Although David Mulry helpfully remarks that the hints of miscegenation s</w:t>
      </w:r>
      <w:r w:rsidR="00CF3D81" w:rsidRPr="001E6340">
        <w:t>urrounding Alice express ‘</w:t>
      </w:r>
      <w:r w:rsidRPr="001E6340">
        <w:t>the underlying fear for the European narrator of degeneracy, atavistic pre</w:t>
      </w:r>
      <w:r w:rsidR="00CF3D81" w:rsidRPr="001E6340">
        <w:t>cocity, madness and instability’</w:t>
      </w:r>
      <w:r w:rsidRPr="001E6340">
        <w:t>, this still overlooks the terrifying reality</w:t>
      </w:r>
      <w:r w:rsidR="00CF3D81" w:rsidRPr="001E6340">
        <w:t xml:space="preserve"> of the narrator’s misogyny</w:t>
      </w:r>
      <w:r w:rsidRPr="001E6340">
        <w:t>.</w:t>
      </w:r>
      <w:r w:rsidR="00CF3D81" w:rsidRPr="001E6340">
        <w:rPr>
          <w:rStyle w:val="FootnoteReference"/>
        </w:rPr>
        <w:footnoteReference w:id="45"/>
      </w:r>
      <w:r w:rsidRPr="001E6340">
        <w:t xml:space="preserve"> Whether this is also the story’s misogyny is a matter of dispute. Susan Jones considers the narrator’s depiction of a passive victim wholly ironic since Conrad: </w:t>
      </w:r>
    </w:p>
    <w:p w14:paraId="695DA293" w14:textId="3CD2B61E" w:rsidR="00327A5C" w:rsidRPr="001E6340" w:rsidRDefault="00327A5C" w:rsidP="009F7A01">
      <w:pPr>
        <w:pStyle w:val="Quote"/>
        <w:rPr>
          <w:lang w:val="en-GB"/>
        </w:rPr>
      </w:pPr>
      <w:r w:rsidRPr="001E6340">
        <w:rPr>
          <w:lang w:val="en-GB"/>
        </w:rPr>
        <w:t xml:space="preserve">emphasizes the illusory nature of this framing device when the narrator discovers that Alice’s actual </w:t>
      </w:r>
      <w:r w:rsidR="007A6780" w:rsidRPr="001E6340">
        <w:rPr>
          <w:lang w:val="en-GB"/>
        </w:rPr>
        <w:t>demeanour</w:t>
      </w:r>
      <w:r w:rsidRPr="001E6340">
        <w:rPr>
          <w:lang w:val="en-GB"/>
        </w:rPr>
        <w:t xml:space="preserve">, ‘snarling and superb’, is closer to a very different iconography – that of the African woman in </w:t>
      </w:r>
      <w:r w:rsidRPr="001E6340">
        <w:rPr>
          <w:i/>
          <w:lang w:val="en-GB"/>
        </w:rPr>
        <w:t>Heart of Darkness</w:t>
      </w:r>
      <w:r w:rsidR="00831ADC" w:rsidRPr="001E6340">
        <w:rPr>
          <w:i/>
          <w:lang w:val="en-GB"/>
        </w:rPr>
        <w:t>.</w:t>
      </w:r>
      <w:r w:rsidR="00CF3D81" w:rsidRPr="001E6340">
        <w:rPr>
          <w:rStyle w:val="FootnoteReference"/>
          <w:lang w:val="en-GB"/>
        </w:rPr>
        <w:footnoteReference w:id="46"/>
      </w:r>
      <w:r w:rsidRPr="001E6340">
        <w:rPr>
          <w:i/>
          <w:lang w:val="en-GB"/>
        </w:rPr>
        <w:t xml:space="preserve"> </w:t>
      </w:r>
      <w:r w:rsidRPr="001E6340">
        <w:rPr>
          <w:lang w:val="en-GB"/>
        </w:rPr>
        <w:t xml:space="preserve"> </w:t>
      </w:r>
    </w:p>
    <w:p w14:paraId="155486AD" w14:textId="77777777" w:rsidR="00FF06F9" w:rsidRPr="001E6340" w:rsidRDefault="00FF06F9" w:rsidP="00FF06F9">
      <w:pPr>
        <w:pStyle w:val="NoSpacing"/>
        <w:ind w:left="720"/>
      </w:pPr>
    </w:p>
    <w:p w14:paraId="0E657983" w14:textId="7EDF5BA1" w:rsidR="00327A5C" w:rsidRPr="001E6340" w:rsidRDefault="00327A5C" w:rsidP="004846CC">
      <w:pPr>
        <w:pStyle w:val="NoSpacing"/>
        <w:spacing w:line="480" w:lineRule="auto"/>
      </w:pPr>
      <w:r w:rsidRPr="001E6340">
        <w:t xml:space="preserve">Perhaps this </w:t>
      </w:r>
      <w:r w:rsidR="008C0F05" w:rsidRPr="001E6340">
        <w:t>judgment</w:t>
      </w:r>
      <w:r w:rsidR="00AE475A" w:rsidRPr="001E6340">
        <w:t xml:space="preserve"> conceals a certain level of </w:t>
      </w:r>
      <w:r w:rsidRPr="001E6340">
        <w:t xml:space="preserve">wish </w:t>
      </w:r>
      <w:r w:rsidR="007A6780" w:rsidRPr="001E6340">
        <w:t>fulfilment</w:t>
      </w:r>
      <w:r w:rsidRPr="001E6340">
        <w:t>, however, since</w:t>
      </w:r>
      <w:r w:rsidR="00AE475A" w:rsidRPr="001E6340">
        <w:t xml:space="preserve"> the forcefulness of the African tribeswoman left behind in </w:t>
      </w:r>
      <w:r w:rsidR="00AE475A" w:rsidRPr="001E6340">
        <w:rPr>
          <w:i/>
        </w:rPr>
        <w:t xml:space="preserve">Heart of Darkness </w:t>
      </w:r>
      <w:r w:rsidR="00AE475A" w:rsidRPr="001E6340">
        <w:t>is arguably highly ambivalent and</w:t>
      </w:r>
      <w:r w:rsidRPr="001E6340">
        <w:t xml:space="preserve"> our last sight of Alice is scarcely </w:t>
      </w:r>
      <w:r w:rsidR="00AE475A" w:rsidRPr="001E6340">
        <w:t>more unambiguous</w:t>
      </w:r>
      <w:r w:rsidRPr="001E6340">
        <w:t xml:space="preserve">: </w:t>
      </w:r>
    </w:p>
    <w:p w14:paraId="70315D7B" w14:textId="7CFFDE17" w:rsidR="00FF06F9" w:rsidRPr="001E6340" w:rsidRDefault="00327A5C" w:rsidP="009F7A01">
      <w:pPr>
        <w:pStyle w:val="Quote"/>
        <w:rPr>
          <w:lang w:val="en-GB"/>
        </w:rPr>
      </w:pPr>
      <w:r w:rsidRPr="001E6340">
        <w:rPr>
          <w:lang w:val="en-GB"/>
        </w:rPr>
        <w:t>I experienced the last touch of emotion in that house, at the thought of the girl I had left sitting there in the obscurity with her heavy hair and empty eyes as black as the night itself, staring into the walled garden, silent, warm, odorous with the perfume of imprisoned flowers, which, like herself, were lost to sight in a world buried in darkness</w:t>
      </w:r>
      <w:r w:rsidR="006D3F1B" w:rsidRPr="001E6340">
        <w:rPr>
          <w:lang w:val="en-GB"/>
        </w:rPr>
        <w:t>.</w:t>
      </w:r>
      <w:r w:rsidR="006D3F1B" w:rsidRPr="001E6340">
        <w:rPr>
          <w:rStyle w:val="FootnoteReference"/>
          <w:lang w:val="en-GB"/>
        </w:rPr>
        <w:footnoteReference w:id="47"/>
      </w:r>
      <w:r w:rsidRPr="001E6340">
        <w:rPr>
          <w:lang w:val="en-GB"/>
        </w:rPr>
        <w:t xml:space="preserve"> </w:t>
      </w:r>
    </w:p>
    <w:p w14:paraId="7EF8157B" w14:textId="77777777" w:rsidR="009F7A01" w:rsidRPr="001E6340" w:rsidRDefault="009F7A01" w:rsidP="009F7A01">
      <w:pPr>
        <w:pStyle w:val="NoSpacing"/>
      </w:pPr>
    </w:p>
    <w:p w14:paraId="3EB38EE6" w14:textId="7B328281" w:rsidR="00327A5C" w:rsidRPr="001E6340" w:rsidRDefault="00CF3D81" w:rsidP="004846CC">
      <w:pPr>
        <w:pStyle w:val="NoSpacing"/>
        <w:spacing w:line="480" w:lineRule="auto"/>
      </w:pPr>
      <w:r w:rsidRPr="001E6340">
        <w:t xml:space="preserve">Surely </w:t>
      </w:r>
      <w:r w:rsidR="00327A5C" w:rsidRPr="001E6340">
        <w:t xml:space="preserve">we are enveloped </w:t>
      </w:r>
      <w:r w:rsidRPr="001E6340">
        <w:t xml:space="preserve">here </w:t>
      </w:r>
      <w:r w:rsidR="00327A5C" w:rsidRPr="001E6340">
        <w:t xml:space="preserve">in the narrator’s world where </w:t>
      </w:r>
      <w:r w:rsidRPr="001E6340">
        <w:t>female (and male) emotions are conflated with images of darkness and imprisonment and supposed femi</w:t>
      </w:r>
      <w:r w:rsidR="00AE475A" w:rsidRPr="001E6340">
        <w:t xml:space="preserve">nine values are viewed </w:t>
      </w:r>
      <w:r w:rsidRPr="001E6340">
        <w:t>negatively</w:t>
      </w:r>
      <w:r w:rsidR="006D3F1B" w:rsidRPr="001E6340">
        <w:t xml:space="preserve"> in figurative language of absence, blackness and the night</w:t>
      </w:r>
      <w:r w:rsidRPr="001E6340">
        <w:t xml:space="preserve">. </w:t>
      </w:r>
      <w:r w:rsidR="006D3F1B" w:rsidRPr="001E6340">
        <w:t xml:space="preserve">If there might just be a — highly questionable — level of regret </w:t>
      </w:r>
      <w:r w:rsidR="00AE475A" w:rsidRPr="001E6340">
        <w:t>at what is being abandoned, t</w:t>
      </w:r>
      <w:r w:rsidRPr="001E6340">
        <w:t xml:space="preserve">here are no </w:t>
      </w:r>
      <w:r w:rsidR="00327A5C" w:rsidRPr="001E6340">
        <w:t>positive images of women</w:t>
      </w:r>
      <w:r w:rsidR="00AE475A" w:rsidRPr="001E6340">
        <w:t xml:space="preserve"> on offer</w:t>
      </w:r>
      <w:r w:rsidR="006D3F1B" w:rsidRPr="001E6340">
        <w:t>, either here or</w:t>
      </w:r>
      <w:r w:rsidR="00AE475A" w:rsidRPr="001E6340">
        <w:t xml:space="preserve"> elsewhere</w:t>
      </w:r>
      <w:r w:rsidR="00327A5C" w:rsidRPr="001E6340">
        <w:t>. Captain H- deems marriage and sea-f</w:t>
      </w:r>
      <w:r w:rsidRPr="001E6340">
        <w:t>aring incompatible and advises ‘</w:t>
      </w:r>
      <w:r w:rsidR="00327A5C" w:rsidRPr="001E6340">
        <w:t>Don’t you ever marry unles</w:t>
      </w:r>
      <w:r w:rsidRPr="001E6340">
        <w:t>s you can chuck the sea first’</w:t>
      </w:r>
      <w:r w:rsidR="00ED19AD" w:rsidRPr="001E6340">
        <w:t>.</w:t>
      </w:r>
      <w:r w:rsidR="00AF27E4" w:rsidRPr="001E6340">
        <w:t xml:space="preserve"> </w:t>
      </w:r>
      <w:r w:rsidR="00ED19AD" w:rsidRPr="001E6340">
        <w:t xml:space="preserve">In addition, </w:t>
      </w:r>
      <w:r w:rsidR="00327A5C" w:rsidRPr="001E6340">
        <w:t xml:space="preserve">Jacobus’s infatuation with </w:t>
      </w:r>
      <w:r w:rsidRPr="001E6340">
        <w:t>Alice’s mother is described as ‘perfectly scandalous’,</w:t>
      </w:r>
      <w:r w:rsidR="00327A5C" w:rsidRPr="001E6340">
        <w:t xml:space="preserve"> his pursuit of her to the Cape and other parts</w:t>
      </w:r>
      <w:r w:rsidRPr="001E6340">
        <w:t xml:space="preserve"> of the world placing him in a ‘most degrading position’</w:t>
      </w:r>
      <w:r w:rsidR="00327A5C" w:rsidRPr="001E6340">
        <w:t>.</w:t>
      </w:r>
      <w:r w:rsidR="006D3F1B" w:rsidRPr="001E6340">
        <w:rPr>
          <w:rStyle w:val="FootnoteReference"/>
        </w:rPr>
        <w:footnoteReference w:id="48"/>
      </w:r>
      <w:r w:rsidR="00327A5C" w:rsidRPr="001E6340">
        <w:t xml:space="preserve"> The narrator is similarly dismissive and despising of the daughters of the local old French families:</w:t>
      </w:r>
    </w:p>
    <w:p w14:paraId="31D49119" w14:textId="0E5D1D14" w:rsidR="00327A5C" w:rsidRPr="001E6340" w:rsidRDefault="00327A5C" w:rsidP="009F7A01">
      <w:pPr>
        <w:pStyle w:val="Quote"/>
        <w:rPr>
          <w:lang w:val="en-GB"/>
        </w:rPr>
      </w:pPr>
      <w:r w:rsidRPr="001E6340">
        <w:rPr>
          <w:lang w:val="en-GB"/>
        </w:rPr>
        <w:t>The girls are almost always pretty, ignorant of the world, kind and agreeable and generally bilingual; they prattle innocently both in French and English. The emptiness of their existence passes belief</w:t>
      </w:r>
      <w:r w:rsidR="00CF3D81" w:rsidRPr="001E6340">
        <w:rPr>
          <w:lang w:val="en-GB"/>
        </w:rPr>
        <w:t>.</w:t>
      </w:r>
      <w:r w:rsidR="006D3F1B" w:rsidRPr="001E6340">
        <w:rPr>
          <w:rStyle w:val="FootnoteReference"/>
          <w:lang w:val="en-GB"/>
        </w:rPr>
        <w:footnoteReference w:id="49"/>
      </w:r>
      <w:r w:rsidR="006D3F1B" w:rsidRPr="001E6340">
        <w:rPr>
          <w:lang w:val="en-GB"/>
        </w:rPr>
        <w:t xml:space="preserve"> </w:t>
      </w:r>
    </w:p>
    <w:p w14:paraId="050837D9" w14:textId="77777777" w:rsidR="006D3F1B" w:rsidRPr="001E6340" w:rsidRDefault="006D3F1B" w:rsidP="00FF06F9">
      <w:pPr>
        <w:pStyle w:val="NoSpacing"/>
        <w:ind w:left="720"/>
      </w:pPr>
    </w:p>
    <w:p w14:paraId="5DAC9B5B" w14:textId="20989875" w:rsidR="00327A5C" w:rsidRPr="001E6340" w:rsidRDefault="00ED19AD" w:rsidP="004846CC">
      <w:pPr>
        <w:pStyle w:val="NoSpacing"/>
        <w:spacing w:line="480" w:lineRule="auto"/>
      </w:pPr>
      <w:r w:rsidRPr="001E6340">
        <w:t xml:space="preserve">On one level, this may represent a not inaccurate picture of an isolated society, but on another, it also suggests prejudice in the equation of beauty with stupidity. </w:t>
      </w:r>
      <w:r w:rsidR="00327A5C" w:rsidRPr="001E6340">
        <w:t>If sexist attitudes are being used ironically to undermine sexism,</w:t>
      </w:r>
      <w:r w:rsidR="00862CB6" w:rsidRPr="001E6340">
        <w:t xml:space="preserve"> and racism is being equated with misogyny,</w:t>
      </w:r>
      <w:r w:rsidR="00327A5C" w:rsidRPr="001E6340">
        <w:t xml:space="preserve"> there are, however, no external voices beyond that of the narrator to establish any ontological alternatives supported by the text itself. Appealing to </w:t>
      </w:r>
      <w:r w:rsidR="00862CB6" w:rsidRPr="001E6340">
        <w:t>other texts’</w:t>
      </w:r>
      <w:r w:rsidR="00327A5C" w:rsidRPr="001E6340">
        <w:t xml:space="preserve"> </w:t>
      </w:r>
      <w:r w:rsidR="00862CB6" w:rsidRPr="001E6340">
        <w:t>seemingly more liberal views as Susan Jones does</w:t>
      </w:r>
      <w:r w:rsidR="00327A5C" w:rsidRPr="001E6340">
        <w:t xml:space="preserve">, </w:t>
      </w:r>
      <w:r w:rsidR="00862CB6" w:rsidRPr="001E6340">
        <w:t xml:space="preserve">pointing to </w:t>
      </w:r>
      <w:r w:rsidR="00327A5C" w:rsidRPr="001E6340">
        <w:rPr>
          <w:i/>
        </w:rPr>
        <w:t>Chance</w:t>
      </w:r>
      <w:r w:rsidR="00862CB6" w:rsidRPr="001E6340">
        <w:rPr>
          <w:i/>
        </w:rPr>
        <w:t xml:space="preserve"> </w:t>
      </w:r>
      <w:r w:rsidR="00862CB6" w:rsidRPr="001E6340">
        <w:t>for example</w:t>
      </w:r>
      <w:r w:rsidR="00327A5C" w:rsidRPr="001E6340">
        <w:t>, is problematic since</w:t>
      </w:r>
      <w:r w:rsidR="00862CB6" w:rsidRPr="001E6340">
        <w:t xml:space="preserve"> </w:t>
      </w:r>
      <w:r w:rsidR="00327A5C" w:rsidRPr="001E6340">
        <w:t>w</w:t>
      </w:r>
      <w:r w:rsidR="00862CB6" w:rsidRPr="001E6340">
        <w:t>e, as readers, have to come to terms with each</w:t>
      </w:r>
      <w:r w:rsidR="00327A5C" w:rsidRPr="001E6340">
        <w:t xml:space="preserve"> story as it stands, honest to our readin</w:t>
      </w:r>
      <w:r w:rsidR="005A15FD" w:rsidRPr="001E6340">
        <w:t>g experience. Unlike in ‘Karain’</w:t>
      </w:r>
      <w:r w:rsidR="006D3F1B" w:rsidRPr="001E6340">
        <w:t xml:space="preserve">, Conrad may </w:t>
      </w:r>
      <w:r w:rsidR="00327A5C" w:rsidRPr="001E6340">
        <w:t>understandably feel unable to attempt to give</w:t>
      </w:r>
      <w:r w:rsidR="006D3F1B" w:rsidRPr="001E6340">
        <w:t xml:space="preserve"> a voice to</w:t>
      </w:r>
      <w:r w:rsidR="00327A5C" w:rsidRPr="001E6340">
        <w:t xml:space="preserve"> the </w:t>
      </w:r>
      <w:r w:rsidR="006D3F1B" w:rsidRPr="001E6340">
        <w:t xml:space="preserve">figure who stands here as a type for the </w:t>
      </w:r>
      <w:r w:rsidR="00327A5C" w:rsidRPr="001E6340">
        <w:t xml:space="preserve">colonial Other, but since this thwarted potential voice is a female one, this leaves the narrator’s misogyny to undermine itself alone. Although it could be argued that, by itself, the emphasis on the isolated island nature of the setting implies other ontological possibilities, none can be acknowledged by the narrator and therefore their absence requires the reader’s intervention.  It could be maintained that the apparent absence of authorial point of view is strength rather than weakness, the effect of being trapped within the narrator’s mind and, being thereby isolated, making us responsible for supplying alternative meanings and alternative ethical options. However, the danger of ambiguity, as well as the corresponding advantage of narrative power, in the uncertainty created by the technique of a single, fallible narrator, must be </w:t>
      </w:r>
      <w:r w:rsidR="005A15FD" w:rsidRPr="001E6340">
        <w:t>acknowledged. His misogyny or colonial bigotry</w:t>
      </w:r>
      <w:r w:rsidR="00DE40FC" w:rsidRPr="001E6340">
        <w:t xml:space="preserve"> could be read</w:t>
      </w:r>
      <w:r w:rsidR="00327A5C" w:rsidRPr="001E6340">
        <w:t xml:space="preserve"> at face value and the epistemological uncertainty could be experienced as </w:t>
      </w:r>
      <w:r w:rsidR="008C0F05" w:rsidRPr="001E6340">
        <w:t>destabilizing</w:t>
      </w:r>
      <w:r w:rsidR="00327A5C" w:rsidRPr="001E6340">
        <w:t xml:space="preserve"> rather than bracing. Perhaps the intermingling of both potentialities helps to explain the story’s ability to perplex and, for some, even infuriate, at the same time as its power continues to challenge and refuses to be dismissed.    </w:t>
      </w:r>
    </w:p>
    <w:p w14:paraId="3D5B7E9A" w14:textId="6205B5A7" w:rsidR="00327A5C" w:rsidRPr="001E6340" w:rsidRDefault="00327A5C" w:rsidP="004846CC">
      <w:pPr>
        <w:pStyle w:val="NoSpacing"/>
        <w:spacing w:line="480" w:lineRule="auto"/>
        <w:ind w:firstLine="720"/>
      </w:pPr>
      <w:r w:rsidRPr="001E6340">
        <w:t xml:space="preserve">If meaning </w:t>
      </w:r>
      <w:r w:rsidR="00DE40FC" w:rsidRPr="001E6340">
        <w:t xml:space="preserve">and the one sided voicing of the colonial encounter </w:t>
      </w:r>
      <w:r w:rsidRPr="001E6340">
        <w:t xml:space="preserve">is </w:t>
      </w:r>
      <w:r w:rsidR="00DE40FC" w:rsidRPr="001E6340">
        <w:t xml:space="preserve">both controlled and </w:t>
      </w:r>
      <w:r w:rsidRPr="001E6340">
        <w:t>constricted</w:t>
      </w:r>
      <w:r w:rsidR="00DE40FC" w:rsidRPr="001E6340">
        <w:t xml:space="preserve"> </w:t>
      </w:r>
      <w:r w:rsidRPr="001E6340">
        <w:t>by the first person narrative t</w:t>
      </w:r>
      <w:r w:rsidR="00DE40FC" w:rsidRPr="001E6340">
        <w:t>echnique of ‘A Smile of Fortune’</w:t>
      </w:r>
      <w:r w:rsidRPr="001E6340">
        <w:t xml:space="preserve">, the opposite seems to be happening in the late work, </w:t>
      </w:r>
      <w:r w:rsidRPr="001E6340">
        <w:rPr>
          <w:i/>
        </w:rPr>
        <w:t xml:space="preserve">The Shadow-Line </w:t>
      </w:r>
      <w:r w:rsidRPr="001E6340">
        <w:t>(1917). Here a single narrator seems to be trustworthy, and capable of interpreting for us what has happened to him, many critics taking at face value his initial remarks on the passage from youth to maturity. F.R. Leavis, for</w:t>
      </w:r>
      <w:r w:rsidR="00DE40FC" w:rsidRPr="001E6340">
        <w:t xml:space="preserve"> example, sees the narrator as ‘</w:t>
      </w:r>
      <w:r w:rsidRPr="001E6340">
        <w:t>representative of ‘man’s’ life in the world […] in the way onl</w:t>
      </w:r>
      <w:r w:rsidR="00DE40FC" w:rsidRPr="001E6340">
        <w:t>y a very exceptional man can be’</w:t>
      </w:r>
      <w:r w:rsidRPr="001E6340">
        <w:t xml:space="preserve"> when grappling </w:t>
      </w:r>
      <w:r w:rsidR="00C30D4B" w:rsidRPr="001E6340">
        <w:t>with existential questions</w:t>
      </w:r>
      <w:r w:rsidR="00DE40FC" w:rsidRPr="001E6340">
        <w:t>, while Ian Watt talks of ‘</w:t>
      </w:r>
      <w:r w:rsidRPr="001E6340">
        <w:t xml:space="preserve">the whole complex of conflicting emotions which </w:t>
      </w:r>
      <w:r w:rsidR="008C0F05" w:rsidRPr="001E6340">
        <w:t>characterize</w:t>
      </w:r>
      <w:r w:rsidRPr="001E6340">
        <w:t xml:space="preserve"> the onset of that penumbral transition from la</w:t>
      </w:r>
      <w:r w:rsidR="00DE40FC" w:rsidRPr="001E6340">
        <w:t>te youth to committed adulthood’</w:t>
      </w:r>
      <w:r w:rsidRPr="001E6340">
        <w:t>.</w:t>
      </w:r>
      <w:r w:rsidR="00DE40FC" w:rsidRPr="001E6340">
        <w:rPr>
          <w:rStyle w:val="FootnoteReference"/>
        </w:rPr>
        <w:footnoteReference w:id="50"/>
      </w:r>
      <w:r w:rsidRPr="001E6340">
        <w:t xml:space="preserve"> </w:t>
      </w:r>
      <w:r w:rsidR="003143B9" w:rsidRPr="001E6340">
        <w:t>The novella has therefore often been read as one where the colonial</w:t>
      </w:r>
      <w:r w:rsidR="001D1BD1" w:rsidRPr="001E6340">
        <w:t xml:space="preserve"> encounter is of minor importance</w:t>
      </w:r>
      <w:r w:rsidR="003143B9" w:rsidRPr="001E6340">
        <w:t xml:space="preserve">. Yet, this </w:t>
      </w:r>
      <w:r w:rsidR="0085398A" w:rsidRPr="001E6340">
        <w:t xml:space="preserve">is </w:t>
      </w:r>
      <w:r w:rsidR="003143B9" w:rsidRPr="001E6340">
        <w:t>arguably not the case, as will shortly be argued. In addition, i</w:t>
      </w:r>
      <w:r w:rsidRPr="001E6340">
        <w:t xml:space="preserve">f the balance seems to have completely swung from the epistemological to the ontological, then we need to look at the way the narrative techniques complicate and deepen what John Peters </w:t>
      </w:r>
      <w:r w:rsidR="008C0F05" w:rsidRPr="001E6340">
        <w:t>characterizes</w:t>
      </w:r>
      <w:r w:rsidR="006567EC" w:rsidRPr="001E6340">
        <w:t xml:space="preserve"> as</w:t>
      </w:r>
      <w:r w:rsidRPr="001E6340">
        <w:t xml:space="preserve"> the story’s affirmat</w:t>
      </w:r>
      <w:r w:rsidR="00C60485" w:rsidRPr="001E6340">
        <w:t>ion of work and community, the ‘</w:t>
      </w:r>
      <w:r w:rsidRPr="001E6340">
        <w:t>relationship between self an</w:t>
      </w:r>
      <w:r w:rsidR="00C60485" w:rsidRPr="001E6340">
        <w:t>d other through mutual reliance’</w:t>
      </w:r>
      <w:r w:rsidRPr="001E6340">
        <w:t xml:space="preserve"> which prevents any slide into so</w:t>
      </w:r>
      <w:r w:rsidR="00C60485" w:rsidRPr="001E6340">
        <w:t>lipsism or ethical anarchy.</w:t>
      </w:r>
      <w:r w:rsidR="00C60485" w:rsidRPr="001E6340">
        <w:rPr>
          <w:rStyle w:val="FootnoteReference"/>
        </w:rPr>
        <w:footnoteReference w:id="51"/>
      </w:r>
      <w:r w:rsidRPr="001E6340">
        <w:t xml:space="preserve"> </w:t>
      </w:r>
      <w:r w:rsidR="003143B9" w:rsidRPr="001E6340">
        <w:t>In the process</w:t>
      </w:r>
      <w:r w:rsidR="00C60485" w:rsidRPr="001E6340">
        <w:t>,</w:t>
      </w:r>
      <w:r w:rsidR="003143B9" w:rsidRPr="001E6340">
        <w:t xml:space="preserve"> our understanding of</w:t>
      </w:r>
      <w:r w:rsidR="00C60485" w:rsidRPr="001E6340">
        <w:t xml:space="preserve"> these techniques deepen and complicate our appreciation of the encounter with alternative values and cultures, even though the voice of the Other appears, at first, to be totally absent. Cer</w:t>
      </w:r>
      <w:r w:rsidR="001D1BD1" w:rsidRPr="001E6340">
        <w:t>tainly, the values of the colonizer are</w:t>
      </w:r>
      <w:r w:rsidR="003143B9" w:rsidRPr="001E6340">
        <w:t xml:space="preserve"> </w:t>
      </w:r>
      <w:r w:rsidR="00C60485" w:rsidRPr="001E6340">
        <w:t xml:space="preserve">put under the microscope. </w:t>
      </w:r>
      <w:r w:rsidRPr="001E6340">
        <w:t xml:space="preserve">While Terry Collits perhaps over-exaggerates by suggesting the existence </w:t>
      </w:r>
      <w:r w:rsidR="00C60485" w:rsidRPr="001E6340">
        <w:t>of a concealed darker subtext, ‘</w:t>
      </w:r>
      <w:r w:rsidRPr="001E6340">
        <w:t>a repressed alternative na</w:t>
      </w:r>
      <w:r w:rsidR="00C60485" w:rsidRPr="001E6340">
        <w:t>rrative’</w:t>
      </w:r>
      <w:r w:rsidRPr="001E6340">
        <w:t xml:space="preserve">, which studies the individual in isolation, there is an unresolved tension in the text between human vulnerability and </w:t>
      </w:r>
      <w:r w:rsidR="00C60485" w:rsidRPr="001E6340">
        <w:t>confident sea-faring values</w:t>
      </w:r>
      <w:r w:rsidRPr="001E6340">
        <w:t>.</w:t>
      </w:r>
      <w:r w:rsidR="00C60485" w:rsidRPr="001E6340">
        <w:rPr>
          <w:rStyle w:val="FootnoteReference"/>
        </w:rPr>
        <w:footnoteReference w:id="52"/>
      </w:r>
      <w:r w:rsidRPr="001E6340">
        <w:t xml:space="preserve"> The new captain initially praises imperial creeds when he first sits in the cabin, staring at his own face in the </w:t>
      </w:r>
      <w:r w:rsidR="007A6780" w:rsidRPr="001E6340">
        <w:t>looking glass</w:t>
      </w:r>
      <w:r w:rsidRPr="001E6340">
        <w:t xml:space="preserve"> and feeling:</w:t>
      </w:r>
    </w:p>
    <w:p w14:paraId="3680D844" w14:textId="38ABAD8F" w:rsidR="005E0576" w:rsidRPr="001E6340" w:rsidRDefault="00327A5C" w:rsidP="009F7A01">
      <w:pPr>
        <w:pStyle w:val="Quote"/>
        <w:rPr>
          <w:lang w:val="en-GB"/>
        </w:rPr>
      </w:pPr>
      <w:r w:rsidRPr="001E6340">
        <w:rPr>
          <w:lang w:val="en-GB"/>
        </w:rPr>
        <w:t>some sympathy for this latest representative of what for all intents and purposes                                    was a dynasty; continuous not in blood, indeed, but in its experience, in its training, in its conception of duty, and in the blessed simplicity of its traditional point of view on life</w:t>
      </w:r>
      <w:r w:rsidR="00831ADC" w:rsidRPr="001E6340">
        <w:rPr>
          <w:lang w:val="en-GB"/>
        </w:rPr>
        <w:t>.</w:t>
      </w:r>
      <w:r w:rsidR="00C60485" w:rsidRPr="001E6340">
        <w:rPr>
          <w:rStyle w:val="FootnoteReference"/>
          <w:lang w:val="en-GB"/>
        </w:rPr>
        <w:footnoteReference w:id="53"/>
      </w:r>
      <w:r w:rsidR="000911C4" w:rsidRPr="001E6340">
        <w:rPr>
          <w:lang w:val="en-GB"/>
        </w:rPr>
        <w:t xml:space="preserve"> </w:t>
      </w:r>
      <w:r w:rsidRPr="001E6340">
        <w:rPr>
          <w:lang w:val="en-GB"/>
        </w:rPr>
        <w:t xml:space="preserve"> </w:t>
      </w:r>
    </w:p>
    <w:p w14:paraId="6BEECB74" w14:textId="77777777" w:rsidR="00FF06F9" w:rsidRPr="001E6340" w:rsidRDefault="00FF06F9" w:rsidP="00FF06F9">
      <w:pPr>
        <w:pStyle w:val="NoSpacing"/>
        <w:ind w:left="720"/>
      </w:pPr>
    </w:p>
    <w:p w14:paraId="54783592" w14:textId="362036D9" w:rsidR="001538DE" w:rsidRPr="001E6340" w:rsidRDefault="00150B3A" w:rsidP="004846CC">
      <w:pPr>
        <w:pStyle w:val="NoSpacing"/>
        <w:spacing w:line="480" w:lineRule="auto"/>
      </w:pPr>
      <w:r w:rsidRPr="001E6340">
        <w:t xml:space="preserve">This </w:t>
      </w:r>
      <w:r w:rsidR="00C60485" w:rsidRPr="001E6340">
        <w:t xml:space="preserve">emphasis on ‘blood’, ‘duty’ and ‘training’ smacks of imperialism but its seeming self-assurance and confidence in the ‘simplicity’ of western ways that are ironically seen, not as modern constructs, but as ‘traditional’ </w:t>
      </w:r>
      <w:r w:rsidRPr="001E6340">
        <w:t>is</w:t>
      </w:r>
      <w:r w:rsidR="00C60485" w:rsidRPr="001E6340">
        <w:t xml:space="preserve"> but temporary.</w:t>
      </w:r>
      <w:r w:rsidRPr="001E6340">
        <w:t xml:space="preserve"> </w:t>
      </w:r>
      <w:r w:rsidR="00C60485" w:rsidRPr="001E6340">
        <w:t>They are soon</w:t>
      </w:r>
      <w:r w:rsidRPr="001E6340">
        <w:t xml:space="preserve"> undercut by </w:t>
      </w:r>
      <w:r w:rsidR="007A6780" w:rsidRPr="001E6340">
        <w:t>Mr</w:t>
      </w:r>
      <w:r w:rsidRPr="001E6340">
        <w:t xml:space="preserve"> Burns’ </w:t>
      </w:r>
      <w:r w:rsidR="00F16708" w:rsidRPr="001E6340">
        <w:t xml:space="preserve">revelation </w:t>
      </w:r>
      <w:r w:rsidRPr="001E6340">
        <w:t>of th</w:t>
      </w:r>
      <w:r w:rsidR="00F16708" w:rsidRPr="001E6340">
        <w:t>e madness of his predecessor</w:t>
      </w:r>
      <w:r w:rsidR="00C60485" w:rsidRPr="001E6340">
        <w:t xml:space="preserve"> that</w:t>
      </w:r>
      <w:r w:rsidR="00F16708" w:rsidRPr="001E6340">
        <w:t xml:space="preserve"> had endangered </w:t>
      </w:r>
      <w:r w:rsidRPr="001E6340">
        <w:t>ship and crew</w:t>
      </w:r>
      <w:r w:rsidR="00C60485" w:rsidRPr="001E6340">
        <w:t>. I</w:t>
      </w:r>
      <w:r w:rsidRPr="001E6340">
        <w:t>ndeed</w:t>
      </w:r>
      <w:r w:rsidR="00C60485" w:rsidRPr="001E6340">
        <w:t>,</w:t>
      </w:r>
      <w:r w:rsidRPr="001E6340">
        <w:t xml:space="preserve"> </w:t>
      </w:r>
      <w:r w:rsidR="007A6780" w:rsidRPr="001E6340">
        <w:t>Mar.</w:t>
      </w:r>
      <w:r w:rsidRPr="001E6340">
        <w:t xml:space="preserve"> Burns’ </w:t>
      </w:r>
      <w:r w:rsidR="00D10170" w:rsidRPr="001E6340">
        <w:t xml:space="preserve">supernatural </w:t>
      </w:r>
      <w:r w:rsidR="00F16708" w:rsidRPr="001E6340">
        <w:t xml:space="preserve">narrative begins to infect the narrator’s text. When the ship is becalmed, </w:t>
      </w:r>
      <w:r w:rsidR="002D4609" w:rsidRPr="001E6340">
        <w:t>th</w:t>
      </w:r>
      <w:r w:rsidR="00F16708" w:rsidRPr="001E6340">
        <w:t>e</w:t>
      </w:r>
      <w:r w:rsidR="002D4609" w:rsidRPr="001E6340">
        <w:t xml:space="preserve"> captain</w:t>
      </w:r>
      <w:r w:rsidR="00F16708" w:rsidRPr="001E6340">
        <w:t xml:space="preserve"> remarks</w:t>
      </w:r>
      <w:r w:rsidR="001538DE" w:rsidRPr="001E6340">
        <w:t>:</w:t>
      </w:r>
    </w:p>
    <w:p w14:paraId="2CB9E22E" w14:textId="2A4FCD99" w:rsidR="001538DE" w:rsidRPr="001E6340" w:rsidRDefault="001538DE" w:rsidP="009F7A01">
      <w:pPr>
        <w:pStyle w:val="Quote"/>
        <w:rPr>
          <w:lang w:val="en-GB"/>
        </w:rPr>
      </w:pPr>
      <w:r w:rsidRPr="001E6340">
        <w:rPr>
          <w:lang w:val="en-GB"/>
        </w:rPr>
        <w:t>There was no sense in it. It fitted with neither the season of the year nor with the secular experience of sea-men as recorded in books, nor with the aspect of the sky. O</w:t>
      </w:r>
      <w:r w:rsidR="00F16708" w:rsidRPr="001E6340">
        <w:rPr>
          <w:lang w:val="en-GB"/>
        </w:rPr>
        <w:t>nly purposeful m</w:t>
      </w:r>
      <w:r w:rsidRPr="001E6340">
        <w:rPr>
          <w:lang w:val="en-GB"/>
        </w:rPr>
        <w:t>alev</w:t>
      </w:r>
      <w:r w:rsidR="00CA70FD" w:rsidRPr="001E6340">
        <w:rPr>
          <w:lang w:val="en-GB"/>
        </w:rPr>
        <w:t>olence could account for it.</w:t>
      </w:r>
      <w:r w:rsidR="0085398A" w:rsidRPr="001E6340">
        <w:rPr>
          <w:rStyle w:val="FootnoteReference"/>
          <w:lang w:val="en-GB"/>
        </w:rPr>
        <w:footnoteReference w:id="54"/>
      </w:r>
      <w:r w:rsidR="0085398A" w:rsidRPr="001E6340">
        <w:rPr>
          <w:lang w:val="en-GB"/>
        </w:rPr>
        <w:t xml:space="preserve"> </w:t>
      </w:r>
    </w:p>
    <w:p w14:paraId="3032BA70" w14:textId="77777777" w:rsidR="00FF06F9" w:rsidRPr="001E6340" w:rsidRDefault="00FF06F9" w:rsidP="00FF06F9">
      <w:pPr>
        <w:pStyle w:val="NoSpacing"/>
        <w:ind w:left="720"/>
      </w:pPr>
    </w:p>
    <w:p w14:paraId="53468D81" w14:textId="462E9622" w:rsidR="009D2DDB" w:rsidRPr="001E6340" w:rsidRDefault="000911C4" w:rsidP="004846CC">
      <w:pPr>
        <w:pStyle w:val="NoSpacing"/>
        <w:spacing w:line="480" w:lineRule="auto"/>
      </w:pPr>
      <w:r w:rsidRPr="001E6340">
        <w:t xml:space="preserve">Now ‘secular experience’ has become puzzling and reveals only active antagonism to sea-faring values. </w:t>
      </w:r>
      <w:r w:rsidR="007D0B4C" w:rsidRPr="001E6340">
        <w:t xml:space="preserve">The personification of </w:t>
      </w:r>
      <w:r w:rsidR="001538DE" w:rsidRPr="001E6340">
        <w:t xml:space="preserve">his fear of the unfaltering hostility of the universe around him has </w:t>
      </w:r>
      <w:r w:rsidR="007D0B4C" w:rsidRPr="001E6340">
        <w:t xml:space="preserve">already </w:t>
      </w:r>
      <w:r w:rsidR="001538DE" w:rsidRPr="001E6340">
        <w:t xml:space="preserve">been foreshadowed by the </w:t>
      </w:r>
      <w:r w:rsidR="00ED05B4" w:rsidRPr="001E6340">
        <w:t xml:space="preserve">earlier </w:t>
      </w:r>
      <w:r w:rsidR="001538DE" w:rsidRPr="001E6340">
        <w:t>remark</w:t>
      </w:r>
      <w:r w:rsidRPr="001E6340">
        <w:t xml:space="preserve"> ‘</w:t>
      </w:r>
      <w:r w:rsidR="00F16708" w:rsidRPr="001E6340">
        <w:t>not that the evil spirit hel</w:t>
      </w:r>
      <w:r w:rsidRPr="001E6340">
        <w:t>d us always motionless’</w:t>
      </w:r>
      <w:r w:rsidR="00F16708" w:rsidRPr="001E6340">
        <w:t>.</w:t>
      </w:r>
      <w:r w:rsidR="0085398A" w:rsidRPr="001E6340">
        <w:rPr>
          <w:rStyle w:val="FootnoteReference"/>
        </w:rPr>
        <w:footnoteReference w:id="55"/>
      </w:r>
      <w:r w:rsidR="00F16708" w:rsidRPr="001E6340">
        <w:t xml:space="preserve"> </w:t>
      </w:r>
      <w:r w:rsidRPr="001E6340">
        <w:t>It is therefore significant that later</w:t>
      </w:r>
      <w:r w:rsidR="00A81511" w:rsidRPr="001E6340">
        <w:t xml:space="preserve"> </w:t>
      </w:r>
      <w:r w:rsidR="007A6780" w:rsidRPr="001E6340">
        <w:t>Mr</w:t>
      </w:r>
      <w:r w:rsidRPr="001E6340">
        <w:t xml:space="preserve"> Burns himself should issue</w:t>
      </w:r>
      <w:r w:rsidR="009D2DDB" w:rsidRPr="001E6340">
        <w:t xml:space="preserve"> </w:t>
      </w:r>
      <w:r w:rsidRPr="001E6340">
        <w:t>‘</w:t>
      </w:r>
      <w:r w:rsidR="009D2DDB" w:rsidRPr="001E6340">
        <w:t>ou</w:t>
      </w:r>
      <w:r w:rsidRPr="001E6340">
        <w:t>t of the companion on all fours’</w:t>
      </w:r>
      <w:r w:rsidR="00ED05B4" w:rsidRPr="001E6340">
        <w:t>,</w:t>
      </w:r>
      <w:r w:rsidRPr="001E6340">
        <w:t xml:space="preserve"> and take</w:t>
      </w:r>
      <w:r w:rsidR="009D2DDB" w:rsidRPr="001E6340">
        <w:t xml:space="preserve"> on inhuman dimensions:</w:t>
      </w:r>
    </w:p>
    <w:p w14:paraId="699185E5" w14:textId="21EB476C" w:rsidR="009D2DDB" w:rsidRPr="001E6340" w:rsidRDefault="009D2DDB" w:rsidP="009F7A01">
      <w:pPr>
        <w:pStyle w:val="Quote"/>
        <w:rPr>
          <w:lang w:val="en-GB"/>
        </w:rPr>
      </w:pPr>
      <w:r w:rsidRPr="001E6340">
        <w:rPr>
          <w:lang w:val="en-GB"/>
        </w:rPr>
        <w:t>It was something big and alive. Not a dog – more like a sheep, rather. But there were no animals in</w:t>
      </w:r>
      <w:r w:rsidR="007A6780" w:rsidRPr="001E6340">
        <w:rPr>
          <w:lang w:val="en-GB"/>
        </w:rPr>
        <w:t xml:space="preserve"> the ship. How could an animal…. </w:t>
      </w:r>
      <w:r w:rsidRPr="001E6340">
        <w:rPr>
          <w:lang w:val="en-GB"/>
        </w:rPr>
        <w:t>It was an added and fantastic horror which I could not resist</w:t>
      </w:r>
      <w:r w:rsidR="0076571A" w:rsidRPr="001E6340">
        <w:rPr>
          <w:lang w:val="en-GB"/>
        </w:rPr>
        <w:t>. The hair of my head stirred even as I picked myself up, awfully scared; not as a man is scared while his judgment, his reason still try to resist, but completely, boundlessly, and, as it were, innocently scared –</w:t>
      </w:r>
      <w:r w:rsidR="00CA70FD" w:rsidRPr="001E6340">
        <w:rPr>
          <w:lang w:val="en-GB"/>
        </w:rPr>
        <w:t xml:space="preserve"> like a little child</w:t>
      </w:r>
      <w:r w:rsidR="00831ADC" w:rsidRPr="001E6340">
        <w:rPr>
          <w:lang w:val="en-GB"/>
        </w:rPr>
        <w:t>.</w:t>
      </w:r>
      <w:r w:rsidR="0085398A" w:rsidRPr="001E6340">
        <w:rPr>
          <w:rStyle w:val="FootnoteReference"/>
          <w:lang w:val="en-GB"/>
        </w:rPr>
        <w:footnoteReference w:id="56"/>
      </w:r>
      <w:r w:rsidR="0085398A" w:rsidRPr="001E6340">
        <w:rPr>
          <w:lang w:val="en-GB"/>
        </w:rPr>
        <w:t xml:space="preserve"> </w:t>
      </w:r>
    </w:p>
    <w:p w14:paraId="2F2A866D" w14:textId="77777777" w:rsidR="00FF06F9" w:rsidRPr="001E6340" w:rsidRDefault="00FF06F9" w:rsidP="00FF06F9">
      <w:pPr>
        <w:pStyle w:val="NoSpacing"/>
        <w:ind w:left="720"/>
      </w:pPr>
    </w:p>
    <w:p w14:paraId="29B33733" w14:textId="4FA24964" w:rsidR="009B2FF7" w:rsidRPr="001E6340" w:rsidRDefault="000911C4" w:rsidP="004846CC">
      <w:pPr>
        <w:pStyle w:val="NoSpacing"/>
        <w:spacing w:line="480" w:lineRule="auto"/>
      </w:pPr>
      <w:r w:rsidRPr="001E6340">
        <w:t xml:space="preserve">The adult world of reason and endurance threatens to collapse here as </w:t>
      </w:r>
      <w:r w:rsidR="00FF06F9" w:rsidRPr="001E6340">
        <w:t>evil</w:t>
      </w:r>
      <w:r w:rsidRPr="001E6340">
        <w:t xml:space="preserve"> assumes a </w:t>
      </w:r>
      <w:r w:rsidR="00FF06F9" w:rsidRPr="001E6340">
        <w:t xml:space="preserve">corporeal, </w:t>
      </w:r>
      <w:r w:rsidRPr="001E6340">
        <w:t>bestial form and childish powerlessness and confusion threaten to overwhelm him.</w:t>
      </w:r>
      <w:r w:rsidR="0085398A" w:rsidRPr="001E6340">
        <w:t xml:space="preserve"> His </w:t>
      </w:r>
      <w:r w:rsidR="007D0B4C" w:rsidRPr="001E6340">
        <w:t>attempt to hold on to the seaman’s stoic ethic</w:t>
      </w:r>
      <w:r w:rsidR="0085398A" w:rsidRPr="001E6340">
        <w:t xml:space="preserve"> is matched </w:t>
      </w:r>
      <w:r w:rsidR="001D1BD1" w:rsidRPr="001E6340">
        <w:t>by an undermining sense of</w:t>
      </w:r>
      <w:r w:rsidR="0085398A" w:rsidRPr="001E6340">
        <w:t xml:space="preserve"> ‘fantastic horror’ that creates irresolute panic</w:t>
      </w:r>
      <w:r w:rsidR="001D1BD1" w:rsidRPr="001E6340">
        <w:t>.  He is scared like a</w:t>
      </w:r>
      <w:r w:rsidR="0085398A" w:rsidRPr="001E6340">
        <w:t xml:space="preserve"> ‘little child’ </w:t>
      </w:r>
      <w:r w:rsidR="001D1BD1" w:rsidRPr="001E6340">
        <w:t>unable to act or use reason</w:t>
      </w:r>
      <w:r w:rsidR="0085398A" w:rsidRPr="001E6340">
        <w:t xml:space="preserve">. Since the captain’s point of view </w:t>
      </w:r>
      <w:r w:rsidR="00F16708" w:rsidRPr="001E6340">
        <w:t xml:space="preserve">is also counter-pointed </w:t>
      </w:r>
      <w:r w:rsidR="007D0B4C" w:rsidRPr="001E6340">
        <w:t>with the attitudes</w:t>
      </w:r>
      <w:r w:rsidR="007A1609" w:rsidRPr="001E6340">
        <w:t xml:space="preserve"> of the </w:t>
      </w:r>
      <w:r w:rsidR="00C31A0E" w:rsidRPr="001E6340">
        <w:t xml:space="preserve">pragmatic but inefficient </w:t>
      </w:r>
      <w:r w:rsidR="007A1609" w:rsidRPr="001E6340">
        <w:t>d</w:t>
      </w:r>
      <w:r w:rsidR="002D4609" w:rsidRPr="001E6340">
        <w:t>octor a</w:t>
      </w:r>
      <w:r w:rsidR="00695942" w:rsidRPr="001E6340">
        <w:t>nd Captain Giles</w:t>
      </w:r>
      <w:r w:rsidR="007A1609" w:rsidRPr="001E6340">
        <w:t xml:space="preserve">, </w:t>
      </w:r>
      <w:r w:rsidR="00A146B1" w:rsidRPr="001E6340">
        <w:t xml:space="preserve">the </w:t>
      </w:r>
      <w:r w:rsidR="007D0B4C" w:rsidRPr="001E6340">
        <w:t xml:space="preserve">effect of the </w:t>
      </w:r>
      <w:r w:rsidR="001D188E" w:rsidRPr="001E6340">
        <w:t xml:space="preserve">novella’s </w:t>
      </w:r>
      <w:r w:rsidR="004F5952" w:rsidRPr="001E6340">
        <w:t xml:space="preserve">complex </w:t>
      </w:r>
      <w:r w:rsidR="00A146B1" w:rsidRPr="001E6340">
        <w:t>interplay of voices</w:t>
      </w:r>
      <w:r w:rsidR="007D0B4C" w:rsidRPr="001E6340">
        <w:t xml:space="preserve"> is to</w:t>
      </w:r>
      <w:r w:rsidR="00A146B1" w:rsidRPr="001E6340">
        <w:t xml:space="preserve"> </w:t>
      </w:r>
      <w:r w:rsidR="007D0B4C" w:rsidRPr="001E6340">
        <w:t>question</w:t>
      </w:r>
      <w:r w:rsidR="00A146B1" w:rsidRPr="001E6340">
        <w:t xml:space="preserve"> the </w:t>
      </w:r>
      <w:r w:rsidR="007D0B4C" w:rsidRPr="001E6340">
        <w:t xml:space="preserve">self-sufficiency of </w:t>
      </w:r>
      <w:r w:rsidR="001D1BD1" w:rsidRPr="001E6340">
        <w:t xml:space="preserve">sea-faring values, and by implication, </w:t>
      </w:r>
      <w:r w:rsidR="007D0B4C" w:rsidRPr="001E6340">
        <w:t xml:space="preserve">the </w:t>
      </w:r>
      <w:r w:rsidR="001D1BD1" w:rsidRPr="001E6340">
        <w:t>culture</w:t>
      </w:r>
      <w:r w:rsidR="00982839" w:rsidRPr="001E6340">
        <w:t xml:space="preserve"> and society</w:t>
      </w:r>
      <w:r w:rsidR="001D1BD1" w:rsidRPr="001E6340">
        <w:t xml:space="preserve"> they serve</w:t>
      </w:r>
      <w:r w:rsidR="00A146B1" w:rsidRPr="001E6340">
        <w:t>.</w:t>
      </w:r>
      <w:r w:rsidR="007A1609" w:rsidRPr="001E6340">
        <w:t xml:space="preserve"> </w:t>
      </w:r>
      <w:r w:rsidR="007D0B4C" w:rsidRPr="001E6340">
        <w:t xml:space="preserve">Nothing seems as certain as it should and others can only be regarded </w:t>
      </w:r>
      <w:r w:rsidR="002D32C5" w:rsidRPr="001E6340">
        <w:t>with</w:t>
      </w:r>
      <w:r w:rsidR="007D0B4C" w:rsidRPr="001E6340">
        <w:t xml:space="preserve"> ambivalence. </w:t>
      </w:r>
      <w:r w:rsidR="00695942" w:rsidRPr="001E6340">
        <w:t>For example, Captain Giles is seen alternately</w:t>
      </w:r>
      <w:r w:rsidR="00D10170" w:rsidRPr="001E6340">
        <w:t xml:space="preserve"> as</w:t>
      </w:r>
      <w:r w:rsidR="001D188E" w:rsidRPr="001E6340">
        <w:t xml:space="preserve"> ‘</w:t>
      </w:r>
      <w:r w:rsidR="00695942" w:rsidRPr="001E6340">
        <w:t>the most dull, unima</w:t>
      </w:r>
      <w:r w:rsidR="001D188E" w:rsidRPr="001E6340">
        <w:t>ginative man I had ever met’</w:t>
      </w:r>
      <w:r w:rsidR="00AF27E4" w:rsidRPr="001E6340">
        <w:t xml:space="preserve"> </w:t>
      </w:r>
      <w:r w:rsidR="00695942" w:rsidRPr="001E6340">
        <w:t xml:space="preserve">and as sage who wisely </w:t>
      </w:r>
      <w:r w:rsidR="00645FD1" w:rsidRPr="001E6340">
        <w:t>remarks</w:t>
      </w:r>
      <w:r w:rsidR="00D35ABC" w:rsidRPr="001E6340">
        <w:t>,</w:t>
      </w:r>
      <w:r w:rsidR="001D188E" w:rsidRPr="001E6340">
        <w:t xml:space="preserve"> ‘</w:t>
      </w:r>
      <w:r w:rsidR="00645FD1" w:rsidRPr="001E6340">
        <w:t>I believe everybo</w:t>
      </w:r>
      <w:r w:rsidR="001D188E" w:rsidRPr="001E6340">
        <w:t>dy in the world is a little mad’</w:t>
      </w:r>
      <w:r w:rsidR="00645FD1" w:rsidRPr="001E6340">
        <w:t>.</w:t>
      </w:r>
      <w:r w:rsidR="0085398A" w:rsidRPr="001E6340">
        <w:rPr>
          <w:rStyle w:val="FootnoteReference"/>
        </w:rPr>
        <w:footnoteReference w:id="57"/>
      </w:r>
      <w:r w:rsidR="00645FD1" w:rsidRPr="001E6340">
        <w:t xml:space="preserve"> </w:t>
      </w:r>
      <w:r w:rsidR="0076571A" w:rsidRPr="001E6340">
        <w:t>At the end of the nightmare voyage, it is Captain Giles who attempts to set the moral of</w:t>
      </w:r>
      <w:r w:rsidR="001D188E" w:rsidRPr="001E6340">
        <w:t xml:space="preserve"> the tale by calmly asserting: ‘</w:t>
      </w:r>
      <w:r w:rsidR="0076571A" w:rsidRPr="001E6340">
        <w:t>You will learn soon how not to be faint-hearted. A man has got to learn everything –</w:t>
      </w:r>
      <w:r w:rsidR="002D32C5" w:rsidRPr="001E6340">
        <w:t xml:space="preserve"> and that’s what so many of those</w:t>
      </w:r>
      <w:r w:rsidR="00CA70FD" w:rsidRPr="001E6340">
        <w:t xml:space="preserve"> youngsters don’t understand</w:t>
      </w:r>
      <w:r w:rsidR="001D188E" w:rsidRPr="001E6340">
        <w:t>’</w:t>
      </w:r>
      <w:r w:rsidR="00CA70FD" w:rsidRPr="001E6340">
        <w:t>.</w:t>
      </w:r>
      <w:r w:rsidR="001D1655" w:rsidRPr="001E6340">
        <w:rPr>
          <w:rStyle w:val="FootnoteReference"/>
        </w:rPr>
        <w:footnoteReference w:id="58"/>
      </w:r>
      <w:r w:rsidR="00054686" w:rsidRPr="001E6340">
        <w:t xml:space="preserve"> </w:t>
      </w:r>
      <w:r w:rsidR="0076571A" w:rsidRPr="001E6340">
        <w:t>Yet,</w:t>
      </w:r>
      <w:r w:rsidR="001D188E" w:rsidRPr="001E6340">
        <w:t xml:space="preserve"> despite, or perhaps because of, the return to the vulnerabilities of youth,</w:t>
      </w:r>
      <w:r w:rsidR="0076571A" w:rsidRPr="001E6340">
        <w:t xml:space="preserve"> </w:t>
      </w:r>
      <w:r w:rsidR="000B13C4" w:rsidRPr="001E6340">
        <w:t>it is unclear how far the</w:t>
      </w:r>
      <w:r w:rsidR="00AC5692" w:rsidRPr="001E6340">
        <w:t xml:space="preserve"> narrator</w:t>
      </w:r>
      <w:r w:rsidR="001D1655" w:rsidRPr="001E6340">
        <w:t xml:space="preserve"> accept</w:t>
      </w:r>
      <w:r w:rsidR="00AC5692" w:rsidRPr="001E6340">
        <w:t>s</w:t>
      </w:r>
      <w:r w:rsidR="000B13C4" w:rsidRPr="001E6340">
        <w:t xml:space="preserve"> this </w:t>
      </w:r>
      <w:r w:rsidR="008C0F05" w:rsidRPr="001E6340">
        <w:t>judgment</w:t>
      </w:r>
      <w:r w:rsidR="001D188E" w:rsidRPr="001E6340">
        <w:t>. He admits that he is ‘no longer a youngster’</w:t>
      </w:r>
      <w:r w:rsidR="000B13C4" w:rsidRPr="001E6340">
        <w:t xml:space="preserve"> but there is no assertion of manhood having been reached, just the </w:t>
      </w:r>
      <w:r w:rsidR="00AC5692" w:rsidRPr="001E6340">
        <w:t xml:space="preserve">assertion of an </w:t>
      </w:r>
      <w:r w:rsidR="000B13C4" w:rsidRPr="001E6340">
        <w:t>obstinate determination to go back t</w:t>
      </w:r>
      <w:r w:rsidR="00AC758E" w:rsidRPr="001E6340">
        <w:t>o sea directly.</w:t>
      </w:r>
      <w:r w:rsidR="00AC5692" w:rsidRPr="001E6340">
        <w:t xml:space="preserve"> How purposeful this might be, however, is not clear</w:t>
      </w:r>
      <w:r w:rsidR="000B13C4" w:rsidRPr="001E6340">
        <w:t>:</w:t>
      </w:r>
      <w:r w:rsidR="001D188E" w:rsidRPr="001E6340">
        <w:t xml:space="preserve"> </w:t>
      </w:r>
    </w:p>
    <w:p w14:paraId="5481A1A7" w14:textId="7D602BD0" w:rsidR="009B2FF7" w:rsidRPr="001E6340" w:rsidRDefault="000B13C4" w:rsidP="009B62F0">
      <w:pPr>
        <w:pStyle w:val="Quote"/>
        <w:rPr>
          <w:lang w:val="en-GB"/>
        </w:rPr>
      </w:pPr>
      <w:r w:rsidRPr="001E6340">
        <w:rPr>
          <w:lang w:val="en-GB"/>
        </w:rPr>
        <w:t>It was as if a ponderous curtain had rolled up disclosing an unexpected Captain Giles. But it was only for a moment,</w:t>
      </w:r>
      <w:r w:rsidR="009B2FF7" w:rsidRPr="001E6340">
        <w:rPr>
          <w:lang w:val="en-GB"/>
        </w:rPr>
        <w:t xml:space="preserve"> just the time to let him add, ‘</w:t>
      </w:r>
      <w:r w:rsidRPr="001E6340">
        <w:rPr>
          <w:lang w:val="en-GB"/>
        </w:rPr>
        <w:t>Precious little rest in life for anybo</w:t>
      </w:r>
      <w:r w:rsidR="00831ADC" w:rsidRPr="001E6340">
        <w:rPr>
          <w:lang w:val="en-GB"/>
        </w:rPr>
        <w:t>dy. Better not think of it’</w:t>
      </w:r>
      <w:r w:rsidR="00CA70FD" w:rsidRPr="001E6340">
        <w:rPr>
          <w:lang w:val="en-GB"/>
        </w:rPr>
        <w:t>.</w:t>
      </w:r>
      <w:r w:rsidR="001D1655" w:rsidRPr="001E6340">
        <w:rPr>
          <w:rStyle w:val="FootnoteReference"/>
          <w:lang w:val="en-GB"/>
        </w:rPr>
        <w:footnoteReference w:id="59"/>
      </w:r>
      <w:r w:rsidR="00A81511" w:rsidRPr="001E6340">
        <w:rPr>
          <w:lang w:val="en-GB"/>
        </w:rPr>
        <w:t xml:space="preserve"> </w:t>
      </w:r>
    </w:p>
    <w:p w14:paraId="35AC729A" w14:textId="77777777" w:rsidR="006F05DE" w:rsidRPr="001E6340" w:rsidRDefault="006F05DE" w:rsidP="009B62F0">
      <w:pPr>
        <w:pStyle w:val="Quote"/>
        <w:rPr>
          <w:lang w:val="en-GB"/>
        </w:rPr>
      </w:pPr>
    </w:p>
    <w:p w14:paraId="3C110FE6" w14:textId="1C420472" w:rsidR="00036BB1" w:rsidRPr="001E6340" w:rsidRDefault="00AC5692" w:rsidP="004846CC">
      <w:pPr>
        <w:pStyle w:val="NoSpacing"/>
        <w:spacing w:line="480" w:lineRule="auto"/>
      </w:pPr>
      <w:r w:rsidRPr="001E6340">
        <w:t xml:space="preserve">The </w:t>
      </w:r>
      <w:r w:rsidR="001D1655" w:rsidRPr="001E6340">
        <w:t>ambiguously ‘transformed’</w:t>
      </w:r>
      <w:r w:rsidRPr="001E6340">
        <w:t xml:space="preserve"> Captain Giles </w:t>
      </w:r>
      <w:r w:rsidR="001D1655" w:rsidRPr="001E6340">
        <w:t>respond</w:t>
      </w:r>
      <w:r w:rsidRPr="001E6340">
        <w:t>s here</w:t>
      </w:r>
      <w:r w:rsidR="001D1655" w:rsidRPr="001E6340">
        <w:t xml:space="preserve"> with a downbeat comment t</w:t>
      </w:r>
      <w:r w:rsidRPr="001E6340">
        <w:t>o the effect t</w:t>
      </w:r>
      <w:r w:rsidR="001D1655" w:rsidRPr="001E6340">
        <w:t>hat doing is better than thinking</w:t>
      </w:r>
      <w:r w:rsidRPr="001E6340">
        <w:t>.</w:t>
      </w:r>
      <w:r w:rsidR="001D1655" w:rsidRPr="001E6340">
        <w:t xml:space="preserve"> </w:t>
      </w:r>
      <w:r w:rsidR="007A1609" w:rsidRPr="001E6340">
        <w:t xml:space="preserve">Any </w:t>
      </w:r>
      <w:r w:rsidR="000B13C4" w:rsidRPr="001E6340">
        <w:t xml:space="preserve">positive </w:t>
      </w:r>
      <w:r w:rsidR="007A1609" w:rsidRPr="001E6340">
        <w:t xml:space="preserve">idea of the sea as an escape from the commercial pressures of the land is </w:t>
      </w:r>
      <w:r w:rsidR="00036BB1" w:rsidRPr="001E6340">
        <w:t xml:space="preserve">undermined by the </w:t>
      </w:r>
      <w:r w:rsidRPr="001E6340">
        <w:t>unthinkable — that</w:t>
      </w:r>
      <w:r w:rsidR="00AC758E" w:rsidRPr="001E6340">
        <w:t xml:space="preserve"> the </w:t>
      </w:r>
      <w:r w:rsidRPr="001E6340">
        <w:t xml:space="preserve">very </w:t>
      </w:r>
      <w:r w:rsidR="00036BB1" w:rsidRPr="001E6340">
        <w:t xml:space="preserve">concepts of masculinity </w:t>
      </w:r>
      <w:r w:rsidR="00C31A0E" w:rsidRPr="001E6340">
        <w:t xml:space="preserve">and sanity </w:t>
      </w:r>
      <w:r w:rsidR="00036BB1" w:rsidRPr="001E6340">
        <w:t>that underpin the sea-faring</w:t>
      </w:r>
      <w:r w:rsidR="001D188E" w:rsidRPr="001E6340">
        <w:t>, trading, and implicitly colonial,</w:t>
      </w:r>
      <w:r w:rsidR="00036BB1" w:rsidRPr="001E6340">
        <w:t xml:space="preserve"> ethos</w:t>
      </w:r>
      <w:r w:rsidRPr="001E6340">
        <w:t xml:space="preserve"> may be unsustainable</w:t>
      </w:r>
      <w:r w:rsidR="00036BB1" w:rsidRPr="001E6340">
        <w:t xml:space="preserve">. </w:t>
      </w:r>
    </w:p>
    <w:p w14:paraId="2E183C70" w14:textId="1BD29DF1" w:rsidR="00937F4D" w:rsidRPr="001E6340" w:rsidRDefault="00036BB1" w:rsidP="004846CC">
      <w:pPr>
        <w:pStyle w:val="NoSpacing"/>
        <w:spacing w:line="480" w:lineRule="auto"/>
        <w:ind w:firstLine="720"/>
      </w:pPr>
      <w:r w:rsidRPr="001E6340">
        <w:t xml:space="preserve">This is best exemplified by the narrator’s two contemporary journal entries, which add another narrative tone, and almost another narrative voice, to undermine the </w:t>
      </w:r>
      <w:r w:rsidR="002200D0" w:rsidRPr="001E6340">
        <w:t>intermittent</w:t>
      </w:r>
      <w:r w:rsidR="00AC758E" w:rsidRPr="001E6340">
        <w:t xml:space="preserve"> </w:t>
      </w:r>
      <w:r w:rsidRPr="001E6340">
        <w:t>epistemological conf</w:t>
      </w:r>
      <w:r w:rsidR="00C31A0E" w:rsidRPr="001E6340">
        <w:t>idence of the main text</w:t>
      </w:r>
      <w:r w:rsidRPr="001E6340">
        <w:t xml:space="preserve">. </w:t>
      </w:r>
      <w:r w:rsidR="007C6ECE" w:rsidRPr="001E6340">
        <w:t>Once again, a counterpointing technique operates to deepen and problematize the ‘meaning’ of the story as interpreted by Captain Giles.</w:t>
      </w:r>
      <w:r w:rsidR="00AC758E" w:rsidRPr="001E6340">
        <w:t xml:space="preserve"> </w:t>
      </w:r>
      <w:r w:rsidRPr="001E6340">
        <w:t xml:space="preserve">As Jakob Lothe </w:t>
      </w:r>
      <w:r w:rsidR="00C31A0E" w:rsidRPr="001E6340">
        <w:t xml:space="preserve">points out, </w:t>
      </w:r>
      <w:r w:rsidR="00D35ABC" w:rsidRPr="001E6340">
        <w:t xml:space="preserve">while </w:t>
      </w:r>
      <w:r w:rsidR="00C31A0E" w:rsidRPr="001E6340">
        <w:t xml:space="preserve">the main text is written in hindsight, from </w:t>
      </w:r>
      <w:r w:rsidR="00D35ABC" w:rsidRPr="001E6340">
        <w:t>a</w:t>
      </w:r>
      <w:r w:rsidR="00C31A0E" w:rsidRPr="001E6340">
        <w:t xml:space="preserve"> distance </w:t>
      </w:r>
      <w:r w:rsidR="00D35ABC" w:rsidRPr="001E6340">
        <w:t xml:space="preserve">that presupposes </w:t>
      </w:r>
      <w:r w:rsidR="00C31A0E" w:rsidRPr="001E6340">
        <w:t>survival from the events described</w:t>
      </w:r>
      <w:r w:rsidR="00D35ABC" w:rsidRPr="001E6340">
        <w:t xml:space="preserve">, </w:t>
      </w:r>
      <w:r w:rsidR="003559FC" w:rsidRPr="001E6340">
        <w:t xml:space="preserve">in </w:t>
      </w:r>
      <w:r w:rsidR="00D35ABC" w:rsidRPr="001E6340">
        <w:t>the diary entries</w:t>
      </w:r>
      <w:r w:rsidR="003559FC" w:rsidRPr="001E6340">
        <w:t xml:space="preserve"> the distance between narration and narrator disappears</w:t>
      </w:r>
      <w:r w:rsidR="001D188E" w:rsidRPr="001E6340">
        <w:t xml:space="preserve"> and we experience </w:t>
      </w:r>
      <w:r w:rsidR="001D188E" w:rsidRPr="001E6340">
        <w:rPr>
          <w:i/>
        </w:rPr>
        <w:t xml:space="preserve">in medias res </w:t>
      </w:r>
      <w:r w:rsidR="001D188E" w:rsidRPr="001E6340">
        <w:t>confusion</w:t>
      </w:r>
      <w:r w:rsidR="00D35ABC" w:rsidRPr="001E6340">
        <w:t>.</w:t>
      </w:r>
      <w:r w:rsidR="001D188E" w:rsidRPr="001E6340">
        <w:rPr>
          <w:rStyle w:val="FootnoteReference"/>
        </w:rPr>
        <w:footnoteReference w:id="60"/>
      </w:r>
      <w:r w:rsidR="00D35ABC" w:rsidRPr="001E6340">
        <w:t xml:space="preserve"> </w:t>
      </w:r>
      <w:r w:rsidR="005D7444" w:rsidRPr="001E6340">
        <w:t>Hence</w:t>
      </w:r>
      <w:r w:rsidR="00E07659" w:rsidRPr="001E6340">
        <w:t>, meaning and interpretation depend on the</w:t>
      </w:r>
      <w:r w:rsidR="00A81511" w:rsidRPr="001E6340">
        <w:t xml:space="preserve"> achronology, the</w:t>
      </w:r>
      <w:r w:rsidR="00E07659" w:rsidRPr="001E6340">
        <w:t xml:space="preserve"> </w:t>
      </w:r>
      <w:r w:rsidR="00D10170" w:rsidRPr="001E6340">
        <w:t xml:space="preserve">context </w:t>
      </w:r>
      <w:r w:rsidR="00E07659" w:rsidRPr="001E6340">
        <w:t>and the time in which</w:t>
      </w:r>
      <w:r w:rsidR="00583190" w:rsidRPr="001E6340">
        <w:t xml:space="preserve"> events are being recorded</w:t>
      </w:r>
      <w:r w:rsidR="00E07659" w:rsidRPr="001E6340">
        <w:t xml:space="preserve">. </w:t>
      </w:r>
      <w:r w:rsidR="003559FC" w:rsidRPr="001E6340">
        <w:t xml:space="preserve">Nisha Manocha </w:t>
      </w:r>
      <w:r w:rsidR="00E07659" w:rsidRPr="001E6340">
        <w:t>helpfully</w:t>
      </w:r>
      <w:r w:rsidR="003559FC" w:rsidRPr="001E6340">
        <w:t xml:space="preserve"> remarks that the diary</w:t>
      </w:r>
      <w:r w:rsidR="00A146B1" w:rsidRPr="001E6340">
        <w:t xml:space="preserve"> entries are not simply quoted </w:t>
      </w:r>
      <w:r w:rsidR="003559FC" w:rsidRPr="001E6340">
        <w:t>or ca</w:t>
      </w:r>
      <w:r w:rsidR="001D188E" w:rsidRPr="001E6340">
        <w:t>sually incorporated but ‘</w:t>
      </w:r>
      <w:r w:rsidR="003559FC" w:rsidRPr="001E6340">
        <w:t>clearly demarcated on the page to suggest they exist independent of t</w:t>
      </w:r>
      <w:r w:rsidR="001D188E" w:rsidRPr="001E6340">
        <w:t>he narrator’s larger confession’</w:t>
      </w:r>
      <w:r w:rsidR="00A6128A" w:rsidRPr="001E6340">
        <w:t>.</w:t>
      </w:r>
      <w:r w:rsidR="001D188E" w:rsidRPr="001E6340">
        <w:rPr>
          <w:rStyle w:val="FootnoteReference"/>
        </w:rPr>
        <w:footnoteReference w:id="61"/>
      </w:r>
      <w:r w:rsidR="00970AFB" w:rsidRPr="001E6340">
        <w:t xml:space="preserve"> </w:t>
      </w:r>
      <w:r w:rsidR="00CC09B3" w:rsidRPr="001E6340">
        <w:t>However, although</w:t>
      </w:r>
      <w:r w:rsidR="003559FC" w:rsidRPr="001E6340">
        <w:t xml:space="preserve"> both Lothe and Manocha </w:t>
      </w:r>
      <w:r w:rsidR="00C15F94" w:rsidRPr="001E6340">
        <w:t xml:space="preserve">then </w:t>
      </w:r>
      <w:r w:rsidR="0089662A" w:rsidRPr="001E6340">
        <w:t>more questionably</w:t>
      </w:r>
      <w:r w:rsidR="00C15F94" w:rsidRPr="001E6340">
        <w:t xml:space="preserve"> </w:t>
      </w:r>
      <w:r w:rsidR="003559FC" w:rsidRPr="001E6340">
        <w:t xml:space="preserve">deem the tone of the extracts to mirror that of the surrounding text, it can </w:t>
      </w:r>
      <w:r w:rsidR="00054686" w:rsidRPr="001E6340">
        <w:t xml:space="preserve">rather </w:t>
      </w:r>
      <w:r w:rsidR="003559FC" w:rsidRPr="001E6340">
        <w:t>be argued that</w:t>
      </w:r>
      <w:r w:rsidR="003757BD" w:rsidRPr="001E6340">
        <w:t xml:space="preserve"> </w:t>
      </w:r>
      <w:r w:rsidR="00C21C8E" w:rsidRPr="001E6340">
        <w:t xml:space="preserve">the </w:t>
      </w:r>
      <w:r w:rsidR="007D1615" w:rsidRPr="001E6340">
        <w:t xml:space="preserve">heightened register of the </w:t>
      </w:r>
      <w:r w:rsidR="00C21C8E" w:rsidRPr="001E6340">
        <w:t>extracts</w:t>
      </w:r>
      <w:r w:rsidR="00A27143" w:rsidRPr="001E6340">
        <w:t xml:space="preserve"> </w:t>
      </w:r>
      <w:r w:rsidR="007D1615" w:rsidRPr="001E6340">
        <w:t xml:space="preserve">are initially </w:t>
      </w:r>
      <w:r w:rsidR="00583190" w:rsidRPr="001E6340">
        <w:t xml:space="preserve">very </w:t>
      </w:r>
      <w:r w:rsidR="007D1615" w:rsidRPr="001E6340">
        <w:t>different</w:t>
      </w:r>
      <w:r w:rsidR="00583190" w:rsidRPr="001E6340">
        <w:t xml:space="preserve">. In marked fashion, they </w:t>
      </w:r>
      <w:r w:rsidR="007D1615" w:rsidRPr="001E6340">
        <w:t xml:space="preserve">act to </w:t>
      </w:r>
      <w:r w:rsidR="00A27143" w:rsidRPr="001E6340">
        <w:t xml:space="preserve">change and deepen the </w:t>
      </w:r>
      <w:r w:rsidR="00583190" w:rsidRPr="001E6340">
        <w:t xml:space="preserve">tone of the </w:t>
      </w:r>
      <w:r w:rsidR="001D7637" w:rsidRPr="001E6340">
        <w:t xml:space="preserve">retrospective </w:t>
      </w:r>
      <w:r w:rsidR="00C21C8E" w:rsidRPr="001E6340">
        <w:t>main</w:t>
      </w:r>
      <w:r w:rsidR="001D7637" w:rsidRPr="001E6340">
        <w:t xml:space="preserve"> narrative</w:t>
      </w:r>
      <w:r w:rsidR="003559FC" w:rsidRPr="001E6340">
        <w:t xml:space="preserve">. </w:t>
      </w:r>
      <w:r w:rsidR="00937F4D" w:rsidRPr="001E6340">
        <w:t>The first extract</w:t>
      </w:r>
      <w:r w:rsidR="0089662A" w:rsidRPr="001E6340">
        <w:t>, for example,</w:t>
      </w:r>
      <w:r w:rsidR="00937F4D" w:rsidRPr="001E6340">
        <w:t xml:space="preserve"> </w:t>
      </w:r>
      <w:r w:rsidR="00A27143" w:rsidRPr="001E6340">
        <w:t>is</w:t>
      </w:r>
      <w:r w:rsidR="00937F4D" w:rsidRPr="001E6340">
        <w:t xml:space="preserve"> apocalyptic, pessimistic </w:t>
      </w:r>
      <w:r w:rsidR="00A27143" w:rsidRPr="001E6340">
        <w:t xml:space="preserve">and </w:t>
      </w:r>
      <w:r w:rsidR="008C0F05" w:rsidRPr="001E6340">
        <w:t>universalizing</w:t>
      </w:r>
      <w:r w:rsidR="00937F4D" w:rsidRPr="001E6340">
        <w:t xml:space="preserve"> as the writer confronts </w:t>
      </w:r>
      <w:r w:rsidR="00CC09B3" w:rsidRPr="001E6340">
        <w:t>his finitude and insignificance:</w:t>
      </w:r>
      <w:r w:rsidR="0089662A" w:rsidRPr="001E6340">
        <w:t xml:space="preserve"> </w:t>
      </w:r>
    </w:p>
    <w:p w14:paraId="07B489DA" w14:textId="45BFEE0C" w:rsidR="00452E41" w:rsidRPr="001E6340" w:rsidRDefault="00937F4D" w:rsidP="009F7A01">
      <w:pPr>
        <w:pStyle w:val="Quote"/>
        <w:rPr>
          <w:lang w:val="en-GB"/>
        </w:rPr>
      </w:pPr>
      <w:r w:rsidRPr="001E6340">
        <w:rPr>
          <w:lang w:val="en-GB"/>
        </w:rPr>
        <w:t>There they are: stars, sun, sea, light, darkness</w:t>
      </w:r>
      <w:r w:rsidR="007C6ECE" w:rsidRPr="001E6340">
        <w:rPr>
          <w:lang w:val="en-GB"/>
        </w:rPr>
        <w:t>, space, great waters;</w:t>
      </w:r>
      <w:r w:rsidR="002D4609" w:rsidRPr="001E6340">
        <w:rPr>
          <w:lang w:val="en-GB"/>
        </w:rPr>
        <w:t xml:space="preserve"> </w:t>
      </w:r>
      <w:r w:rsidRPr="001E6340">
        <w:rPr>
          <w:lang w:val="en-GB"/>
        </w:rPr>
        <w:t>the formidable Work of the Seven Days into which mankind seems to have blundered unbidden</w:t>
      </w:r>
      <w:r w:rsidR="007C6ECE" w:rsidRPr="001E6340">
        <w:rPr>
          <w:lang w:val="en-GB"/>
        </w:rPr>
        <w:t>. Or else decoyed. Even as I have been decoyed into this awful, this deat</w:t>
      </w:r>
      <w:r w:rsidR="00583190" w:rsidRPr="001E6340">
        <w:rPr>
          <w:lang w:val="en-GB"/>
        </w:rPr>
        <w:t>h-haunted command…</w:t>
      </w:r>
      <w:r w:rsidR="00AC5692" w:rsidRPr="001E6340">
        <w:rPr>
          <w:rStyle w:val="FootnoteReference"/>
          <w:lang w:val="en-GB"/>
        </w:rPr>
        <w:footnoteReference w:id="62"/>
      </w:r>
      <w:r w:rsidR="00AC5692" w:rsidRPr="001E6340">
        <w:rPr>
          <w:lang w:val="en-GB"/>
        </w:rPr>
        <w:t xml:space="preserve"> </w:t>
      </w:r>
    </w:p>
    <w:p w14:paraId="4B82E274" w14:textId="77777777" w:rsidR="00FF06F9" w:rsidRPr="001E6340" w:rsidRDefault="00FF06F9" w:rsidP="00FF06F9">
      <w:pPr>
        <w:pStyle w:val="NoSpacing"/>
        <w:ind w:left="720"/>
      </w:pPr>
    </w:p>
    <w:p w14:paraId="65B93181" w14:textId="4852E1EA" w:rsidR="00937F4D" w:rsidRPr="001E6340" w:rsidRDefault="00CC09B3" w:rsidP="004846CC">
      <w:pPr>
        <w:pStyle w:val="NoSpacing"/>
        <w:spacing w:line="480" w:lineRule="auto"/>
      </w:pPr>
      <w:r w:rsidRPr="001E6340">
        <w:t>The immediacy of this passage</w:t>
      </w:r>
      <w:r w:rsidR="000E757E" w:rsidRPr="001E6340">
        <w:t>,</w:t>
      </w:r>
      <w:r w:rsidRPr="001E6340">
        <w:t xml:space="preserve"> </w:t>
      </w:r>
      <w:r w:rsidR="00343C0A" w:rsidRPr="001E6340">
        <w:t>and the emotional depth of an experie</w:t>
      </w:r>
      <w:r w:rsidR="000E757E" w:rsidRPr="001E6340">
        <w:t xml:space="preserve">nce that requires imagery of the reversal of the </w:t>
      </w:r>
      <w:r w:rsidR="00982839" w:rsidRPr="001E6340">
        <w:t xml:space="preserve">very </w:t>
      </w:r>
      <w:r w:rsidR="000E757E" w:rsidRPr="001E6340">
        <w:t>forces of creation to express it,</w:t>
      </w:r>
      <w:r w:rsidR="00343C0A" w:rsidRPr="001E6340">
        <w:t xml:space="preserve"> </w:t>
      </w:r>
      <w:r w:rsidR="000E757E" w:rsidRPr="001E6340">
        <w:t xml:space="preserve">is very different to the calmer, perhaps more complacent, retrospective reasoning of the narrator. </w:t>
      </w:r>
      <w:r w:rsidR="00096F13" w:rsidRPr="001E6340">
        <w:t>On looking back, h</w:t>
      </w:r>
      <w:r w:rsidR="000E757E" w:rsidRPr="001E6340">
        <w:t xml:space="preserve">e attempts to </w:t>
      </w:r>
      <w:r w:rsidR="00096F13" w:rsidRPr="001E6340">
        <w:t>rationalize, and even</w:t>
      </w:r>
      <w:r w:rsidRPr="001E6340">
        <w:t xml:space="preserve"> </w:t>
      </w:r>
      <w:r w:rsidR="00096F13" w:rsidRPr="001E6340">
        <w:t>explain</w:t>
      </w:r>
      <w:r w:rsidRPr="001E6340">
        <w:t xml:space="preserve"> away</w:t>
      </w:r>
      <w:r w:rsidR="00A5490A" w:rsidRPr="001E6340">
        <w:t>,</w:t>
      </w:r>
      <w:r w:rsidR="00096F13" w:rsidRPr="001E6340">
        <w:t xml:space="preserve"> the purpose of the diary, arguing that it</w:t>
      </w:r>
      <w:r w:rsidRPr="001E6340">
        <w:t xml:space="preserve"> ‘was purely a personal need for intimate relief and not a cal</w:t>
      </w:r>
      <w:r w:rsidR="00AC5692" w:rsidRPr="001E6340">
        <w:t>l for egotism’</w:t>
      </w:r>
      <w:r w:rsidRPr="001E6340">
        <w:t>.</w:t>
      </w:r>
      <w:r w:rsidR="00AC5692" w:rsidRPr="001E6340">
        <w:rPr>
          <w:rStyle w:val="FootnoteReference"/>
        </w:rPr>
        <w:footnoteReference w:id="63"/>
      </w:r>
      <w:r w:rsidR="00096F13" w:rsidRPr="001E6340">
        <w:t xml:space="preserve"> </w:t>
      </w:r>
      <w:r w:rsidR="00A5490A" w:rsidRPr="001E6340">
        <w:t>However, e</w:t>
      </w:r>
      <w:r w:rsidR="00096F13" w:rsidRPr="001E6340">
        <w:t>gotism, or at least an intense personal response</w:t>
      </w:r>
      <w:r w:rsidR="00A5490A" w:rsidRPr="001E6340">
        <w:t xml:space="preserve"> to a fundamental challenge to his very being and identity, is indeed what it</w:t>
      </w:r>
      <w:r w:rsidR="00096F13" w:rsidRPr="001E6340">
        <w:t xml:space="preserve"> is. </w:t>
      </w:r>
      <w:r w:rsidR="000E757E" w:rsidRPr="001E6340">
        <w:t>T</w:t>
      </w:r>
      <w:r w:rsidR="00937F4D" w:rsidRPr="001E6340">
        <w:t xml:space="preserve">he second </w:t>
      </w:r>
      <w:r w:rsidR="00096F13" w:rsidRPr="001E6340">
        <w:t>diary entry acts to reinforce</w:t>
      </w:r>
      <w:r w:rsidR="000E757E" w:rsidRPr="001E6340">
        <w:t xml:space="preserve"> the impact of the first in recording</w:t>
      </w:r>
      <w:r w:rsidR="00937F4D" w:rsidRPr="001E6340">
        <w:t xml:space="preserve"> a moment of </w:t>
      </w:r>
      <w:r w:rsidRPr="001E6340">
        <w:t xml:space="preserve">even more terrifying </w:t>
      </w:r>
      <w:r w:rsidR="00937F4D" w:rsidRPr="001E6340">
        <w:t xml:space="preserve">moral and psychological breakdown: </w:t>
      </w:r>
    </w:p>
    <w:p w14:paraId="66CDB6B4" w14:textId="66ABB105" w:rsidR="005D2190" w:rsidRPr="001E6340" w:rsidRDefault="007C6ECE" w:rsidP="009B62F0">
      <w:pPr>
        <w:pStyle w:val="Quote"/>
        <w:rPr>
          <w:lang w:val="en-GB"/>
        </w:rPr>
      </w:pPr>
      <w:r w:rsidRPr="001E6340">
        <w:rPr>
          <w:lang w:val="en-GB"/>
        </w:rPr>
        <w:t xml:space="preserve">And I am shrinking from it. From the mere vision. My first command. </w:t>
      </w:r>
      <w:r w:rsidR="00937F4D" w:rsidRPr="001E6340">
        <w:rPr>
          <w:lang w:val="en-GB"/>
        </w:rPr>
        <w:t xml:space="preserve">Now I understand that strange sense of insecurity in my past.  I always suspected that I might be no good. And here is proof positive, I am shirking it, I am no </w:t>
      </w:r>
    </w:p>
    <w:p w14:paraId="0CAD1A5A" w14:textId="22DB551B" w:rsidR="00937F4D" w:rsidRPr="001E6340" w:rsidRDefault="0089662A" w:rsidP="009B62F0">
      <w:pPr>
        <w:pStyle w:val="Quote"/>
        <w:rPr>
          <w:lang w:val="en-GB"/>
        </w:rPr>
      </w:pPr>
      <w:r w:rsidRPr="001E6340">
        <w:rPr>
          <w:lang w:val="en-GB"/>
        </w:rPr>
        <w:t>G</w:t>
      </w:r>
      <w:r w:rsidR="00937F4D" w:rsidRPr="001E6340">
        <w:rPr>
          <w:lang w:val="en-GB"/>
        </w:rPr>
        <w:t>ood</w:t>
      </w:r>
      <w:r w:rsidR="00833A38" w:rsidRPr="001E6340">
        <w:rPr>
          <w:lang w:val="en-GB"/>
        </w:rPr>
        <w:t>.</w:t>
      </w:r>
      <w:r w:rsidR="00A5490A" w:rsidRPr="001E6340">
        <w:rPr>
          <w:rStyle w:val="FootnoteReference"/>
          <w:lang w:val="en-GB"/>
        </w:rPr>
        <w:footnoteReference w:id="64"/>
      </w:r>
    </w:p>
    <w:p w14:paraId="7D41BB68" w14:textId="77777777" w:rsidR="00FF06F9" w:rsidRPr="001E6340" w:rsidRDefault="00FF06F9" w:rsidP="009B62F0">
      <w:pPr>
        <w:pStyle w:val="Quote"/>
        <w:rPr>
          <w:lang w:val="en-GB"/>
        </w:rPr>
      </w:pPr>
    </w:p>
    <w:p w14:paraId="3C851EFC" w14:textId="28D624A2" w:rsidR="007C6ECE" w:rsidRPr="001E6340" w:rsidRDefault="00A5490A" w:rsidP="004846CC">
      <w:pPr>
        <w:pStyle w:val="NoSpacing"/>
        <w:spacing w:line="480" w:lineRule="auto"/>
      </w:pPr>
      <w:r w:rsidRPr="001E6340">
        <w:t xml:space="preserve">The disintegration of personality, purpose and sense of worth is stark. </w:t>
      </w:r>
      <w:r w:rsidR="007D1615" w:rsidRPr="001E6340">
        <w:t>Significantly, t</w:t>
      </w:r>
      <w:r w:rsidR="005D2190" w:rsidRPr="001E6340">
        <w:t>he tenor of t</w:t>
      </w:r>
      <w:r w:rsidR="00A27143" w:rsidRPr="001E6340">
        <w:t xml:space="preserve">hese </w:t>
      </w:r>
      <w:r w:rsidR="005D2190" w:rsidRPr="001E6340">
        <w:t xml:space="preserve">wretched thoughts </w:t>
      </w:r>
      <w:r w:rsidR="00CC09B3" w:rsidRPr="001E6340">
        <w:t xml:space="preserve">cannot be corralled in the past. They immediately </w:t>
      </w:r>
      <w:r w:rsidR="00A27143" w:rsidRPr="001E6340">
        <w:t xml:space="preserve">feed into the description of the </w:t>
      </w:r>
      <w:r w:rsidR="007C6ECE" w:rsidRPr="001E6340">
        <w:t>darkness that surrounds them:</w:t>
      </w:r>
    </w:p>
    <w:p w14:paraId="645BDD28" w14:textId="0A7B1BE9" w:rsidR="007A261F" w:rsidRPr="001E6340" w:rsidRDefault="007C6ECE" w:rsidP="009B62F0">
      <w:pPr>
        <w:pStyle w:val="Quote"/>
        <w:rPr>
          <w:lang w:val="en-GB"/>
        </w:rPr>
      </w:pPr>
      <w:r w:rsidRPr="001E6340">
        <w:rPr>
          <w:lang w:val="en-GB"/>
        </w:rPr>
        <w:t>The impenetrable blackness beset the ship so close that it seemed that by thrusting one’s hand</w:t>
      </w:r>
      <w:r w:rsidR="007A261F" w:rsidRPr="001E6340">
        <w:rPr>
          <w:lang w:val="en-GB"/>
        </w:rPr>
        <w:t xml:space="preserve"> over the side one could touch some unearthly substance. There was in it an effect of inconceivable terror and of inexpressible mystery. […] It was impossible to shake off that sense of finality. The quietness that came over me was like a foretaste of annihilation. It gave me a sort of comfort, as though my soul had become suddenly reconciled to</w:t>
      </w:r>
      <w:r w:rsidR="0089662A" w:rsidRPr="001E6340">
        <w:rPr>
          <w:lang w:val="en-GB"/>
        </w:rPr>
        <w:t xml:space="preserve"> an eternity of blind stillness</w:t>
      </w:r>
      <w:r w:rsidR="00833A38" w:rsidRPr="001E6340">
        <w:rPr>
          <w:lang w:val="en-GB"/>
        </w:rPr>
        <w:t>.</w:t>
      </w:r>
      <w:r w:rsidR="00A5490A" w:rsidRPr="001E6340">
        <w:rPr>
          <w:rStyle w:val="FootnoteReference"/>
          <w:lang w:val="en-GB"/>
        </w:rPr>
        <w:footnoteReference w:id="65"/>
      </w:r>
      <w:r w:rsidR="007A261F" w:rsidRPr="001E6340">
        <w:rPr>
          <w:lang w:val="en-GB"/>
        </w:rPr>
        <w:t xml:space="preserve"> </w:t>
      </w:r>
    </w:p>
    <w:p w14:paraId="0A5F4B6E" w14:textId="77777777" w:rsidR="00FF06F9" w:rsidRPr="001E6340" w:rsidRDefault="00FF06F9" w:rsidP="009B62F0">
      <w:pPr>
        <w:pStyle w:val="Quote"/>
        <w:rPr>
          <w:lang w:val="en-GB"/>
        </w:rPr>
      </w:pPr>
    </w:p>
    <w:p w14:paraId="2C25655F" w14:textId="1C6A8007" w:rsidR="004E2056" w:rsidRPr="001E6340" w:rsidRDefault="007A261F" w:rsidP="004846CC">
      <w:pPr>
        <w:pStyle w:val="NoSpacing"/>
        <w:spacing w:line="480" w:lineRule="auto"/>
      </w:pPr>
      <w:r w:rsidRPr="001E6340">
        <w:t xml:space="preserve">This desolate psychological </w:t>
      </w:r>
      <w:r w:rsidR="005D7444" w:rsidRPr="001E6340">
        <w:t>mood</w:t>
      </w:r>
      <w:r w:rsidRPr="001E6340">
        <w:t xml:space="preserve"> with its apocalyptic overtones </w:t>
      </w:r>
      <w:r w:rsidR="00CC09B3" w:rsidRPr="001E6340">
        <w:t xml:space="preserve">seems to be confronting his soul’s very ‘annihilation’. Its sense of ‘finality’ </w:t>
      </w:r>
      <w:r w:rsidRPr="001E6340">
        <w:t xml:space="preserve">therefore </w:t>
      </w:r>
      <w:r w:rsidR="00E07659" w:rsidRPr="001E6340">
        <w:t>complicate</w:t>
      </w:r>
      <w:r w:rsidR="005D2190" w:rsidRPr="001E6340">
        <w:t>s</w:t>
      </w:r>
      <w:r w:rsidR="00E07659" w:rsidRPr="001E6340">
        <w:t xml:space="preserve"> any simplistic interpretation </w:t>
      </w:r>
      <w:r w:rsidRPr="001E6340">
        <w:t xml:space="preserve">of </w:t>
      </w:r>
      <w:r w:rsidR="005D2190" w:rsidRPr="001E6340">
        <w:t>the</w:t>
      </w:r>
      <w:r w:rsidRPr="001E6340">
        <w:t xml:space="preserve"> subsequent</w:t>
      </w:r>
      <w:r w:rsidR="004E2056" w:rsidRPr="001E6340">
        <w:t>, seemingly</w:t>
      </w:r>
      <w:r w:rsidRPr="001E6340">
        <w:t xml:space="preserve"> </w:t>
      </w:r>
      <w:r w:rsidR="004E2056" w:rsidRPr="001E6340">
        <w:t xml:space="preserve">positive, </w:t>
      </w:r>
      <w:r w:rsidR="00CC09B3" w:rsidRPr="001E6340">
        <w:t>assertion that ‘</w:t>
      </w:r>
      <w:r w:rsidRPr="001E6340">
        <w:t xml:space="preserve">the seaman’s instinct </w:t>
      </w:r>
      <w:r w:rsidR="003E35CA" w:rsidRPr="001E6340">
        <w:t>alone survived whole</w:t>
      </w:r>
      <w:r w:rsidRPr="001E6340">
        <w:t xml:space="preserve"> in my moral dissolution</w:t>
      </w:r>
      <w:r w:rsidR="00CC09B3" w:rsidRPr="001E6340">
        <w:t>’</w:t>
      </w:r>
      <w:r w:rsidR="003E35CA" w:rsidRPr="001E6340">
        <w:t>.</w:t>
      </w:r>
      <w:r w:rsidR="00A5490A" w:rsidRPr="001E6340">
        <w:rPr>
          <w:rStyle w:val="FootnoteReference"/>
        </w:rPr>
        <w:footnoteReference w:id="66"/>
      </w:r>
      <w:r w:rsidR="00A27143" w:rsidRPr="001E6340">
        <w:t xml:space="preserve"> </w:t>
      </w:r>
      <w:r w:rsidR="001D7637" w:rsidRPr="001E6340">
        <w:t xml:space="preserve">Such a </w:t>
      </w:r>
      <w:r w:rsidR="00E67BEF" w:rsidRPr="001E6340">
        <w:t>conclusion</w:t>
      </w:r>
      <w:r w:rsidR="001D7637" w:rsidRPr="001E6340">
        <w:t xml:space="preserve"> </w:t>
      </w:r>
      <w:r w:rsidR="00B15798" w:rsidRPr="001E6340">
        <w:t>is reinforced by the subsequent,</w:t>
      </w:r>
      <w:r w:rsidR="001D7637" w:rsidRPr="001E6340">
        <w:t xml:space="preserve"> disorientating re-appearance on deck of </w:t>
      </w:r>
      <w:r w:rsidR="007A6780" w:rsidRPr="001E6340">
        <w:t>Mr</w:t>
      </w:r>
      <w:r w:rsidR="001D7637" w:rsidRPr="001E6340">
        <w:t xml:space="preserve"> Burns, </w:t>
      </w:r>
      <w:r w:rsidR="00583190" w:rsidRPr="001E6340">
        <w:t>which has already been alluded to,</w:t>
      </w:r>
      <w:r w:rsidR="00982839" w:rsidRPr="001E6340">
        <w:t xml:space="preserve"> and which suggests that </w:t>
      </w:r>
      <w:r w:rsidR="00583190" w:rsidRPr="001E6340">
        <w:t>sea-faring values</w:t>
      </w:r>
      <w:r w:rsidR="00982839" w:rsidRPr="001E6340">
        <w:t xml:space="preserve"> have a very fine dividing line from insanity</w:t>
      </w:r>
      <w:r w:rsidR="001D7637" w:rsidRPr="001E6340">
        <w:t>.</w:t>
      </w:r>
      <w:r w:rsidR="00685558" w:rsidRPr="001E6340">
        <w:t xml:space="preserve"> The diary extracts</w:t>
      </w:r>
      <w:r w:rsidR="00E67BEF" w:rsidRPr="001E6340">
        <w:t xml:space="preserve"> therefore</w:t>
      </w:r>
      <w:r w:rsidR="00685558" w:rsidRPr="001E6340">
        <w:t xml:space="preserve"> reveal a sensibility, judgment and vulnerability</w:t>
      </w:r>
      <w:r w:rsidR="00FF06F9" w:rsidRPr="001E6340">
        <w:t>, in effect, another voice, that has</w:t>
      </w:r>
      <w:r w:rsidR="00685558" w:rsidRPr="001E6340">
        <w:t xml:space="preserve"> </w:t>
      </w:r>
      <w:r w:rsidR="00FF06F9" w:rsidRPr="001E6340">
        <w:t>gone on to infect</w:t>
      </w:r>
      <w:r w:rsidR="00685558" w:rsidRPr="001E6340">
        <w:t xml:space="preserve"> </w:t>
      </w:r>
      <w:r w:rsidR="00FF06F9" w:rsidRPr="001E6340">
        <w:t xml:space="preserve">and increase the ambivalence of </w:t>
      </w:r>
      <w:r w:rsidR="00685558" w:rsidRPr="001E6340">
        <w:t>the wider narrative.</w:t>
      </w:r>
    </w:p>
    <w:p w14:paraId="52540CEA" w14:textId="6DC9C206" w:rsidR="00937F4D" w:rsidRPr="001E6340" w:rsidRDefault="003E35CA" w:rsidP="004846CC">
      <w:pPr>
        <w:pStyle w:val="NoSpacing"/>
        <w:spacing w:line="480" w:lineRule="auto"/>
        <w:ind w:firstLine="720"/>
      </w:pPr>
      <w:r w:rsidRPr="001E6340">
        <w:t xml:space="preserve">Moreover, </w:t>
      </w:r>
      <w:r w:rsidR="004E2056" w:rsidRPr="001E6340">
        <w:t xml:space="preserve">just as the complexity of the narrator’s </w:t>
      </w:r>
      <w:r w:rsidR="00FA37EC" w:rsidRPr="001E6340">
        <w:t>self-doubt</w:t>
      </w:r>
      <w:r w:rsidR="004E2056" w:rsidRPr="001E6340">
        <w:t xml:space="preserve"> is stimulated and deepened by the insertion of an earlier perspective of events, so confidence in colonial norms is problematized </w:t>
      </w:r>
      <w:r w:rsidR="0033773D" w:rsidRPr="001E6340">
        <w:t xml:space="preserve">by </w:t>
      </w:r>
      <w:r w:rsidR="00A27143" w:rsidRPr="001E6340">
        <w:t xml:space="preserve">the </w:t>
      </w:r>
      <w:r w:rsidR="00695942" w:rsidRPr="001E6340">
        <w:t xml:space="preserve">way the </w:t>
      </w:r>
      <w:r w:rsidR="00A27143" w:rsidRPr="001E6340">
        <w:t>description of the Oriental capital</w:t>
      </w:r>
      <w:r w:rsidR="00E17960" w:rsidRPr="001E6340">
        <w:t>,</w:t>
      </w:r>
      <w:r w:rsidR="00A27143" w:rsidRPr="001E6340">
        <w:t xml:space="preserve"> from which the journey starts</w:t>
      </w:r>
      <w:r w:rsidR="00E17960" w:rsidRPr="001E6340">
        <w:t>,</w:t>
      </w:r>
      <w:r w:rsidR="00695942" w:rsidRPr="001E6340">
        <w:t xml:space="preserve"> inf</w:t>
      </w:r>
      <w:r w:rsidR="005D2190" w:rsidRPr="001E6340">
        <w:t>luences</w:t>
      </w:r>
      <w:r w:rsidR="00695942" w:rsidRPr="001E6340">
        <w:t xml:space="preserve"> the wider text</w:t>
      </w:r>
      <w:r w:rsidR="00A27143" w:rsidRPr="001E6340">
        <w:t xml:space="preserve">. </w:t>
      </w:r>
      <w:r w:rsidR="004E2056" w:rsidRPr="001E6340">
        <w:t>The capital</w:t>
      </w:r>
      <w:r w:rsidR="00040EBF" w:rsidRPr="001E6340">
        <w:t xml:space="preserve"> is both chaotic</w:t>
      </w:r>
      <w:r w:rsidR="004E2056" w:rsidRPr="001E6340">
        <w:t xml:space="preserve"> and vulnerable</w:t>
      </w:r>
      <w:r w:rsidR="00685558" w:rsidRPr="001E6340">
        <w:t>, ‘</w:t>
      </w:r>
      <w:r w:rsidR="00040EBF" w:rsidRPr="001E6340">
        <w:t>dilapidated, crumbling under th</w:t>
      </w:r>
      <w:r w:rsidR="00685558" w:rsidRPr="001E6340">
        <w:t>e vertical sunlight’</w:t>
      </w:r>
      <w:r w:rsidR="004E2056" w:rsidRPr="001E6340">
        <w:t xml:space="preserve">, as well as associated with </w:t>
      </w:r>
      <w:r w:rsidR="00040EBF" w:rsidRPr="001E6340">
        <w:t xml:space="preserve">natural </w:t>
      </w:r>
      <w:r w:rsidR="004E2056" w:rsidRPr="001E6340">
        <w:t>processes,</w:t>
      </w:r>
      <w:r w:rsidR="00685558" w:rsidRPr="001E6340">
        <w:t xml:space="preserve"> with its ‘</w:t>
      </w:r>
      <w:r w:rsidR="00040EBF" w:rsidRPr="001E6340">
        <w:t>vegetable-matter style of architecture, s</w:t>
      </w:r>
      <w:r w:rsidR="00685558" w:rsidRPr="001E6340">
        <w:t>prung out of the brown soil’</w:t>
      </w:r>
      <w:r w:rsidR="00040EBF" w:rsidRPr="001E6340">
        <w:t>.</w:t>
      </w:r>
      <w:r w:rsidR="006C006B" w:rsidRPr="001E6340">
        <w:rPr>
          <w:rStyle w:val="FootnoteReference"/>
        </w:rPr>
        <w:footnoteReference w:id="67"/>
      </w:r>
      <w:r w:rsidR="00040EBF" w:rsidRPr="001E6340">
        <w:t xml:space="preserve"> It is </w:t>
      </w:r>
      <w:r w:rsidR="004E2056" w:rsidRPr="001E6340">
        <w:t>instructive to compare this with</w:t>
      </w:r>
      <w:r w:rsidR="002C3743" w:rsidRPr="001E6340">
        <w:t xml:space="preserve"> the narrator’s </w:t>
      </w:r>
      <w:r w:rsidR="007A6780" w:rsidRPr="001E6340">
        <w:t>defenc</w:t>
      </w:r>
      <w:r w:rsidR="008C0F05" w:rsidRPr="001E6340">
        <w:t>elessness</w:t>
      </w:r>
      <w:r w:rsidR="00A85C2F" w:rsidRPr="001E6340">
        <w:t xml:space="preserve"> in the diary fragments</w:t>
      </w:r>
      <w:r w:rsidR="00040EBF" w:rsidRPr="001E6340">
        <w:t xml:space="preserve">, </w:t>
      </w:r>
      <w:r w:rsidR="002C3743" w:rsidRPr="001E6340">
        <w:t xml:space="preserve">his </w:t>
      </w:r>
      <w:r w:rsidR="005D2190" w:rsidRPr="001E6340">
        <w:t>awareness</w:t>
      </w:r>
      <w:r w:rsidR="00040EBF" w:rsidRPr="001E6340">
        <w:t xml:space="preserve"> of </w:t>
      </w:r>
      <w:r w:rsidR="00A85C2F" w:rsidRPr="001E6340">
        <w:t xml:space="preserve">his own </w:t>
      </w:r>
      <w:r w:rsidR="00040EBF" w:rsidRPr="001E6340">
        <w:t xml:space="preserve">dissolution and </w:t>
      </w:r>
      <w:r w:rsidR="002C3743" w:rsidRPr="001E6340">
        <w:t xml:space="preserve">his </w:t>
      </w:r>
      <w:r w:rsidR="00040EBF" w:rsidRPr="001E6340">
        <w:t>a</w:t>
      </w:r>
      <w:r w:rsidR="005D2190" w:rsidRPr="001E6340">
        <w:t>cknowledgment</w:t>
      </w:r>
      <w:r w:rsidR="00040EBF" w:rsidRPr="001E6340">
        <w:t xml:space="preserve"> of th</w:t>
      </w:r>
      <w:r w:rsidR="002C3743" w:rsidRPr="001E6340">
        <w:t>e fierce indifference of nature</w:t>
      </w:r>
      <w:r w:rsidR="00685558" w:rsidRPr="001E6340">
        <w:t xml:space="preserve"> into which man has ‘blundered’</w:t>
      </w:r>
      <w:r w:rsidR="002C3743" w:rsidRPr="001E6340">
        <w:t xml:space="preserve">. In </w:t>
      </w:r>
      <w:r w:rsidR="00F36993" w:rsidRPr="001E6340">
        <w:t>a very profound</w:t>
      </w:r>
      <w:r w:rsidR="002C3743" w:rsidRPr="001E6340">
        <w:t xml:space="preserve"> sense</w:t>
      </w:r>
      <w:r w:rsidR="00F36993" w:rsidRPr="001E6340">
        <w:t>,</w:t>
      </w:r>
      <w:r w:rsidR="002C3743" w:rsidRPr="001E6340">
        <w:t xml:space="preserve"> the narrator</w:t>
      </w:r>
      <w:r w:rsidR="00BE6FCF" w:rsidRPr="001E6340">
        <w:t xml:space="preserve"> is taking</w:t>
      </w:r>
      <w:r w:rsidR="00040EBF" w:rsidRPr="001E6340">
        <w:t xml:space="preserve"> on </w:t>
      </w:r>
      <w:r w:rsidR="002C3743" w:rsidRPr="001E6340">
        <w:t>the very</w:t>
      </w:r>
      <w:r w:rsidR="00040EBF" w:rsidRPr="001E6340">
        <w:t xml:space="preserve"> aspects of</w:t>
      </w:r>
      <w:r w:rsidR="00F36993" w:rsidRPr="001E6340">
        <w:t xml:space="preserve"> the </w:t>
      </w:r>
      <w:r w:rsidR="002C3743" w:rsidRPr="001E6340">
        <w:t>colonial Other</w:t>
      </w:r>
      <w:r w:rsidR="00BE6FCF" w:rsidRPr="001E6340">
        <w:t xml:space="preserve"> in that</w:t>
      </w:r>
      <w:r w:rsidR="00F36993" w:rsidRPr="001E6340">
        <w:t xml:space="preserve"> the </w:t>
      </w:r>
      <w:r w:rsidR="00A85C2F" w:rsidRPr="001E6340">
        <w:t xml:space="preserve">diary’s voice is both </w:t>
      </w:r>
      <w:r w:rsidR="008C0F05" w:rsidRPr="001E6340">
        <w:t>marginalized</w:t>
      </w:r>
      <w:r w:rsidR="00F36993" w:rsidRPr="001E6340">
        <w:t xml:space="preserve"> </w:t>
      </w:r>
      <w:r w:rsidR="00A85C2F" w:rsidRPr="001E6340">
        <w:t>and</w:t>
      </w:r>
      <w:r w:rsidR="00F36993" w:rsidRPr="001E6340">
        <w:t xml:space="preserve"> </w:t>
      </w:r>
      <w:r w:rsidR="008C0F05" w:rsidRPr="001E6340">
        <w:t>internalized</w:t>
      </w:r>
      <w:r w:rsidR="00A85C2F" w:rsidRPr="001E6340">
        <w:t>. S</w:t>
      </w:r>
      <w:r w:rsidR="00685558" w:rsidRPr="001E6340">
        <w:t>ignificantly</w:t>
      </w:r>
      <w:r w:rsidR="00A85C2F" w:rsidRPr="001E6340">
        <w:t>, however, that voice is</w:t>
      </w:r>
      <w:r w:rsidR="00685558" w:rsidRPr="001E6340">
        <w:t xml:space="preserve"> now given expression</w:t>
      </w:r>
      <w:r w:rsidR="002C3743" w:rsidRPr="001E6340">
        <w:t xml:space="preserve">. </w:t>
      </w:r>
      <w:r w:rsidR="00F36993" w:rsidRPr="001E6340">
        <w:t>In this way, t</w:t>
      </w:r>
      <w:r w:rsidR="00040EBF" w:rsidRPr="001E6340">
        <w:t xml:space="preserve">he </w:t>
      </w:r>
      <w:r w:rsidR="00685558" w:rsidRPr="001E6340">
        <w:t>nameless narrator’s lack of identity and self-sufficiency</w:t>
      </w:r>
      <w:r w:rsidR="002C3743" w:rsidRPr="001E6340">
        <w:t xml:space="preserve"> </w:t>
      </w:r>
      <w:r w:rsidR="00040EBF" w:rsidRPr="001E6340">
        <w:t xml:space="preserve">undercut the dreams of imperialist strength </w:t>
      </w:r>
      <w:r w:rsidRPr="001E6340">
        <w:t>with which</w:t>
      </w:r>
      <w:r w:rsidR="00685558" w:rsidRPr="001E6340">
        <w:t xml:space="preserve"> he</w:t>
      </w:r>
      <w:r w:rsidR="00040EBF" w:rsidRPr="001E6340">
        <w:t xml:space="preserve"> </w:t>
      </w:r>
      <w:r w:rsidR="002C3743" w:rsidRPr="001E6340">
        <w:t xml:space="preserve">started </w:t>
      </w:r>
      <w:r w:rsidRPr="001E6340">
        <w:t>out</w:t>
      </w:r>
      <w:r w:rsidR="002C3743" w:rsidRPr="001E6340">
        <w:t xml:space="preserve"> when he first sees his ship</w:t>
      </w:r>
      <w:r w:rsidR="00040EBF" w:rsidRPr="001E6340">
        <w:t>:</w:t>
      </w:r>
    </w:p>
    <w:p w14:paraId="4F146E7F" w14:textId="60346195" w:rsidR="00040EBF" w:rsidRPr="001E6340" w:rsidRDefault="002C3743" w:rsidP="009F7A01">
      <w:pPr>
        <w:pStyle w:val="Quote"/>
        <w:rPr>
          <w:lang w:val="en-GB"/>
        </w:rPr>
      </w:pPr>
      <w:r w:rsidRPr="001E6340">
        <w:rPr>
          <w:lang w:val="en-GB"/>
        </w:rPr>
        <w:t xml:space="preserve">I saw her disengaged from the material conditions of her being. The shore to which she was moored was as if it did not exist. </w:t>
      </w:r>
      <w:r w:rsidR="00776222" w:rsidRPr="001E6340">
        <w:rPr>
          <w:lang w:val="en-GB"/>
        </w:rPr>
        <w:t>What were to me all the countries of the globe?</w:t>
      </w:r>
      <w:r w:rsidR="003E35CA" w:rsidRPr="001E6340">
        <w:rPr>
          <w:lang w:val="en-GB"/>
        </w:rPr>
        <w:t xml:space="preserve"> </w:t>
      </w:r>
      <w:r w:rsidR="007D1615" w:rsidRPr="001E6340">
        <w:rPr>
          <w:lang w:val="en-GB"/>
        </w:rPr>
        <w:t>[</w:t>
      </w:r>
      <w:r w:rsidR="003E35CA" w:rsidRPr="001E6340">
        <w:rPr>
          <w:lang w:val="en-GB"/>
        </w:rPr>
        <w:t>...</w:t>
      </w:r>
      <w:r w:rsidR="007D1615" w:rsidRPr="001E6340">
        <w:rPr>
          <w:lang w:val="en-GB"/>
        </w:rPr>
        <w:t>]</w:t>
      </w:r>
      <w:r w:rsidR="00776222" w:rsidRPr="001E6340">
        <w:rPr>
          <w:lang w:val="en-GB"/>
        </w:rPr>
        <w:t xml:space="preserve"> The very gang of yellow coolies busy about the main hatch was less substantial than the stuff dreams are made of.</w:t>
      </w:r>
      <w:r w:rsidR="003E35CA" w:rsidRPr="001E6340">
        <w:rPr>
          <w:lang w:val="en-GB"/>
        </w:rPr>
        <w:t xml:space="preserve"> </w:t>
      </w:r>
      <w:r w:rsidRPr="001E6340">
        <w:rPr>
          <w:lang w:val="en-GB"/>
        </w:rPr>
        <w:t>For who on earth would dream of Chinamen?</w:t>
      </w:r>
      <w:r w:rsidR="00A85C2F" w:rsidRPr="001E6340">
        <w:rPr>
          <w:rStyle w:val="FootnoteReference"/>
          <w:lang w:val="en-GB"/>
        </w:rPr>
        <w:footnoteReference w:id="68"/>
      </w:r>
      <w:r w:rsidRPr="001E6340">
        <w:rPr>
          <w:lang w:val="en-GB"/>
        </w:rPr>
        <w:t xml:space="preserve"> </w:t>
      </w:r>
    </w:p>
    <w:p w14:paraId="6D60F155" w14:textId="77777777" w:rsidR="000A1DF9" w:rsidRPr="001E6340" w:rsidRDefault="000A1DF9" w:rsidP="000A1DF9">
      <w:pPr>
        <w:pStyle w:val="NoSpacing"/>
        <w:ind w:left="720"/>
      </w:pPr>
    </w:p>
    <w:p w14:paraId="37E87D8F" w14:textId="6735510A" w:rsidR="008226E8" w:rsidRPr="001E6340" w:rsidRDefault="002C3743" w:rsidP="004846CC">
      <w:pPr>
        <w:pStyle w:val="NoSpacing"/>
        <w:spacing w:line="480" w:lineRule="auto"/>
      </w:pPr>
      <w:r w:rsidRPr="001E6340">
        <w:t xml:space="preserve">If the narrator learns anything from his experience, </w:t>
      </w:r>
      <w:r w:rsidR="0037139E" w:rsidRPr="001E6340">
        <w:t xml:space="preserve">it is that dreams of superiority cannot endure. </w:t>
      </w:r>
      <w:r w:rsidR="000A1DF9" w:rsidRPr="001E6340">
        <w:t>The ‘gang of yellow co</w:t>
      </w:r>
      <w:r w:rsidR="00982839" w:rsidRPr="001E6340">
        <w:t>olies’ may seem insubstantial bu</w:t>
      </w:r>
      <w:r w:rsidR="000A1DF9" w:rsidRPr="001E6340">
        <w:t xml:space="preserve">t so subsequently does the ‘stuff’ that his ‘dreams’ are made of.  </w:t>
      </w:r>
      <w:r w:rsidR="0037139E" w:rsidRPr="001E6340">
        <w:t xml:space="preserve">We therefore end </w:t>
      </w:r>
      <w:r w:rsidR="000A1DF9" w:rsidRPr="001E6340">
        <w:t>not with dreams but with a</w:t>
      </w:r>
      <w:r w:rsidR="0037139E" w:rsidRPr="001E6340">
        <w:t xml:space="preserve"> more downbeat and ambivalent endorsement of the world of work and endurance in which </w:t>
      </w:r>
      <w:r w:rsidR="00AE4812" w:rsidRPr="001E6340">
        <w:t>we cannot even be sure th</w:t>
      </w:r>
      <w:r w:rsidR="0037139E" w:rsidRPr="001E6340">
        <w:t>at the shadow-line has been crossed.</w:t>
      </w:r>
      <w:r w:rsidR="00AE4812" w:rsidRPr="001E6340">
        <w:t xml:space="preserve"> </w:t>
      </w:r>
      <w:r w:rsidR="0037139E" w:rsidRPr="001E6340">
        <w:t>Significantly,</w:t>
      </w:r>
      <w:r w:rsidR="00AE4812" w:rsidRPr="001E6340">
        <w:t xml:space="preserve"> Captain Giles’</w:t>
      </w:r>
      <w:r w:rsidR="00685558" w:rsidRPr="001E6340">
        <w:t>s final, ‘That’s the way. You’ll do’</w:t>
      </w:r>
      <w:r w:rsidR="00AE4812" w:rsidRPr="001E6340">
        <w:t xml:space="preserve">, meets </w:t>
      </w:r>
      <w:r w:rsidR="0037139E" w:rsidRPr="001E6340">
        <w:t xml:space="preserve">with </w:t>
      </w:r>
      <w:r w:rsidR="007D1615" w:rsidRPr="001E6340">
        <w:t>little in the way of a positive</w:t>
      </w:r>
      <w:r w:rsidR="008226E8" w:rsidRPr="001E6340">
        <w:t xml:space="preserve"> response:</w:t>
      </w:r>
    </w:p>
    <w:p w14:paraId="514E0384" w14:textId="728AB5ED" w:rsidR="000A1DF9" w:rsidRPr="001E6340" w:rsidRDefault="006C1FAD" w:rsidP="009F7A01">
      <w:pPr>
        <w:pStyle w:val="Quote"/>
        <w:rPr>
          <w:lang w:val="en-GB"/>
        </w:rPr>
      </w:pPr>
      <w:r w:rsidRPr="001E6340">
        <w:rPr>
          <w:lang w:val="en-GB"/>
        </w:rPr>
        <w:t>‘</w:t>
      </w:r>
      <w:r w:rsidR="008226E8" w:rsidRPr="001E6340">
        <w:rPr>
          <w:lang w:val="en-GB"/>
        </w:rPr>
        <w:t>What did you expect? That I would want to</w:t>
      </w:r>
      <w:r w:rsidRPr="001E6340">
        <w:rPr>
          <w:lang w:val="en-GB"/>
        </w:rPr>
        <w:t xml:space="preserve"> take a week ashore for a rest?’</w:t>
      </w:r>
      <w:r w:rsidR="008226E8" w:rsidRPr="001E6340">
        <w:rPr>
          <w:lang w:val="en-GB"/>
        </w:rPr>
        <w:t xml:space="preserve"> </w:t>
      </w:r>
      <w:r w:rsidRPr="001E6340">
        <w:rPr>
          <w:lang w:val="en-GB"/>
        </w:rPr>
        <w:t>I said, irritated by his tone. ‘</w:t>
      </w:r>
      <w:r w:rsidR="008226E8" w:rsidRPr="001E6340">
        <w:rPr>
          <w:lang w:val="en-GB"/>
        </w:rPr>
        <w:t>There’s no rest for me till she’s out in the Indian Ocean and</w:t>
      </w:r>
      <w:r w:rsidR="003C4D5C" w:rsidRPr="001E6340">
        <w:rPr>
          <w:lang w:val="en-GB"/>
        </w:rPr>
        <w:t xml:space="preserve"> not much of it even then</w:t>
      </w:r>
      <w:r w:rsidR="00833A38" w:rsidRPr="001E6340">
        <w:rPr>
          <w:lang w:val="en-GB"/>
        </w:rPr>
        <w:t>.</w:t>
      </w:r>
      <w:r w:rsidRPr="001E6340">
        <w:rPr>
          <w:lang w:val="en-GB"/>
        </w:rPr>
        <w:t>’</w:t>
      </w:r>
      <w:r w:rsidR="009F7A01" w:rsidRPr="001E6340">
        <w:rPr>
          <w:rStyle w:val="FootnoteReference"/>
          <w:lang w:val="en-GB"/>
        </w:rPr>
        <w:footnoteReference w:id="69"/>
      </w:r>
      <w:r w:rsidRPr="001E6340">
        <w:rPr>
          <w:lang w:val="en-GB"/>
        </w:rPr>
        <w:t xml:space="preserve"> </w:t>
      </w:r>
      <w:r w:rsidR="008226E8" w:rsidRPr="001E6340">
        <w:rPr>
          <w:lang w:val="en-GB"/>
        </w:rPr>
        <w:tab/>
      </w:r>
    </w:p>
    <w:p w14:paraId="235B1C7B" w14:textId="38E9C5E8" w:rsidR="008226E8" w:rsidRPr="001E6340" w:rsidRDefault="008226E8" w:rsidP="000A1DF9">
      <w:pPr>
        <w:pStyle w:val="NoSpacing"/>
        <w:ind w:left="720"/>
      </w:pPr>
      <w:r w:rsidRPr="001E6340">
        <w:tab/>
      </w:r>
      <w:r w:rsidRPr="001E6340">
        <w:tab/>
      </w:r>
      <w:r w:rsidRPr="001E6340">
        <w:tab/>
      </w:r>
      <w:r w:rsidRPr="001E6340">
        <w:tab/>
      </w:r>
    </w:p>
    <w:p w14:paraId="515F2BA4" w14:textId="5E7DF493" w:rsidR="00202620" w:rsidRPr="001E6340" w:rsidRDefault="00781A9D" w:rsidP="004846CC">
      <w:pPr>
        <w:pStyle w:val="NoSpacing"/>
        <w:spacing w:line="480" w:lineRule="auto"/>
      </w:pPr>
      <w:r w:rsidRPr="001E6340">
        <w:t>Hence, i</w:t>
      </w:r>
      <w:r w:rsidR="00202620" w:rsidRPr="001E6340">
        <w:t xml:space="preserve">f work cannot supply answers, then it can at least dull the pain of the questions. </w:t>
      </w:r>
      <w:r w:rsidRPr="001E6340">
        <w:t>At the very end, i</w:t>
      </w:r>
      <w:r w:rsidR="00202620" w:rsidRPr="001E6340">
        <w:t xml:space="preserve">nstead of affirmation, we are left with ambivalence </w:t>
      </w:r>
      <w:r w:rsidRPr="001E6340">
        <w:t>as a final narrative voice is heard</w:t>
      </w:r>
      <w:r w:rsidR="00685558" w:rsidRPr="001E6340">
        <w:t>.</w:t>
      </w:r>
      <w:r w:rsidR="003C4D5C" w:rsidRPr="001E6340">
        <w:t xml:space="preserve"> Despite possessing a</w:t>
      </w:r>
      <w:r w:rsidR="006C1FAD" w:rsidRPr="001E6340">
        <w:t xml:space="preserve"> ‘faithful breast’</w:t>
      </w:r>
      <w:r w:rsidR="00202620" w:rsidRPr="001E6340">
        <w:t>, Ransome has to acknowledg</w:t>
      </w:r>
      <w:r w:rsidR="00583190" w:rsidRPr="001E6340">
        <w:t>e his weakness as he confesses</w:t>
      </w:r>
      <w:r w:rsidR="009B2FF7" w:rsidRPr="001E6340">
        <w:t xml:space="preserve"> ‘</w:t>
      </w:r>
      <w:r w:rsidR="00202620" w:rsidRPr="001E6340">
        <w:t>I – I am in a blu</w:t>
      </w:r>
      <w:r w:rsidR="009B2FF7" w:rsidRPr="001E6340">
        <w:t>e funk about my heart’</w:t>
      </w:r>
      <w:r w:rsidR="00202620" w:rsidRPr="001E6340">
        <w:t>.</w:t>
      </w:r>
      <w:r w:rsidR="009F7A01" w:rsidRPr="001E6340">
        <w:rPr>
          <w:rStyle w:val="FootnoteReference"/>
        </w:rPr>
        <w:footnoteReference w:id="70"/>
      </w:r>
      <w:r w:rsidR="00202620" w:rsidRPr="001E6340">
        <w:t xml:space="preserve"> </w:t>
      </w:r>
      <w:r w:rsidR="006C1FAD" w:rsidRPr="001E6340">
        <w:t>Strength and frailty are</w:t>
      </w:r>
      <w:r w:rsidR="009F7A01" w:rsidRPr="001E6340">
        <w:t xml:space="preserve"> then</w:t>
      </w:r>
      <w:r w:rsidR="006C1FAD" w:rsidRPr="001E6340">
        <w:t xml:space="preserve"> inextricably linked in a powerfully numinous, and beautifully poised, final image.  </w:t>
      </w:r>
      <w:r w:rsidR="003C4D5C" w:rsidRPr="001E6340">
        <w:t>His</w:t>
      </w:r>
      <w:r w:rsidR="006C1FAD" w:rsidRPr="001E6340">
        <w:t xml:space="preserve"> ‘faithful breast’</w:t>
      </w:r>
      <w:r w:rsidRPr="001E6340">
        <w:t xml:space="preserve"> is allied</w:t>
      </w:r>
      <w:r w:rsidR="00202620" w:rsidRPr="001E6340">
        <w:t xml:space="preserve"> with </w:t>
      </w:r>
      <w:r w:rsidR="007A6780" w:rsidRPr="001E6340">
        <w:t>‘mortal fear’ while</w:t>
      </w:r>
      <w:r w:rsidR="006C1FAD" w:rsidRPr="001E6340">
        <w:t xml:space="preserve"> await</w:t>
      </w:r>
      <w:r w:rsidR="007A6780" w:rsidRPr="001E6340">
        <w:t>ing</w:t>
      </w:r>
      <w:r w:rsidR="006C1FAD" w:rsidRPr="001E6340">
        <w:t xml:space="preserve"> ‘</w:t>
      </w:r>
      <w:r w:rsidRPr="001E6340">
        <w:t>our</w:t>
      </w:r>
      <w:r w:rsidR="006C1FAD" w:rsidRPr="001E6340">
        <w:t xml:space="preserve"> common enemy’</w:t>
      </w:r>
      <w:r w:rsidRPr="001E6340">
        <w:t xml:space="preserve">, Death, thereby </w:t>
      </w:r>
      <w:r w:rsidR="00202620" w:rsidRPr="001E6340">
        <w:t>suggest</w:t>
      </w:r>
      <w:r w:rsidRPr="001E6340">
        <w:t>ing</w:t>
      </w:r>
      <w:r w:rsidR="00202620" w:rsidRPr="001E6340">
        <w:t xml:space="preserve"> </w:t>
      </w:r>
      <w:r w:rsidRPr="001E6340">
        <w:t xml:space="preserve">that </w:t>
      </w:r>
      <w:r w:rsidR="00202620" w:rsidRPr="001E6340">
        <w:t>an</w:t>
      </w:r>
      <w:r w:rsidRPr="001E6340">
        <w:t>y aspiration for an</w:t>
      </w:r>
      <w:r w:rsidR="00202620" w:rsidRPr="001E6340">
        <w:t xml:space="preserve"> </w:t>
      </w:r>
      <w:r w:rsidR="007A6780" w:rsidRPr="001E6340">
        <w:t>honourable</w:t>
      </w:r>
      <w:r w:rsidR="00202620" w:rsidRPr="001E6340">
        <w:t xml:space="preserve"> wa</w:t>
      </w:r>
      <w:r w:rsidRPr="001E6340">
        <w:t>y of being comes with questionable knowledge and comfort.</w:t>
      </w:r>
      <w:r w:rsidR="00B516B4" w:rsidRPr="001E6340">
        <w:rPr>
          <w:rStyle w:val="FootnoteReference"/>
        </w:rPr>
        <w:footnoteReference w:id="71"/>
      </w:r>
      <w:r w:rsidR="00202620" w:rsidRPr="001E6340">
        <w:t xml:space="preserve"> </w:t>
      </w:r>
    </w:p>
    <w:p w14:paraId="0762AE07" w14:textId="488AEBD9" w:rsidR="006263FA" w:rsidRPr="001E6340" w:rsidRDefault="00AE4812" w:rsidP="004846CC">
      <w:pPr>
        <w:pStyle w:val="NoSpacing"/>
        <w:spacing w:line="480" w:lineRule="auto"/>
        <w:ind w:firstLine="720"/>
      </w:pPr>
      <w:r w:rsidRPr="001E6340">
        <w:t>Ultimately</w:t>
      </w:r>
      <w:r w:rsidR="00776222" w:rsidRPr="001E6340">
        <w:t xml:space="preserve"> </w:t>
      </w:r>
      <w:r w:rsidRPr="001E6340">
        <w:t xml:space="preserve">therefore, </w:t>
      </w:r>
      <w:r w:rsidRPr="001E6340">
        <w:rPr>
          <w:i/>
        </w:rPr>
        <w:t>The Shadow-Line</w:t>
      </w:r>
      <w:r w:rsidRPr="001E6340">
        <w:t>’s</w:t>
      </w:r>
      <w:r w:rsidR="00776222" w:rsidRPr="001E6340">
        <w:t xml:space="preserve"> single narrator conceals a multi-voi</w:t>
      </w:r>
      <w:r w:rsidR="0037139E" w:rsidRPr="001E6340">
        <w:t xml:space="preserve">ced narrative that </w:t>
      </w:r>
      <w:r w:rsidR="00C328E6" w:rsidRPr="001E6340">
        <w:t>balances</w:t>
      </w:r>
      <w:r w:rsidR="00776222" w:rsidRPr="001E6340">
        <w:t xml:space="preserve"> both epistemological and ontological </w:t>
      </w:r>
      <w:r w:rsidR="00C328E6" w:rsidRPr="001E6340">
        <w:t>un</w:t>
      </w:r>
      <w:r w:rsidR="00776222" w:rsidRPr="001E6340">
        <w:t xml:space="preserve">certainties. </w:t>
      </w:r>
      <w:r w:rsidR="0037139E" w:rsidRPr="001E6340">
        <w:t xml:space="preserve">This balance is so delicate and so nuanced that it opens up interpretative possibilities.  </w:t>
      </w:r>
      <w:r w:rsidR="00FB2327" w:rsidRPr="001E6340">
        <w:t>Narrative techniques create meaning but suggestively and not prescriptively</w:t>
      </w:r>
      <w:r w:rsidR="004F5952" w:rsidRPr="001E6340">
        <w:t xml:space="preserve">. </w:t>
      </w:r>
      <w:r w:rsidRPr="001E6340">
        <w:t xml:space="preserve">The challenge to imperial values </w:t>
      </w:r>
      <w:r w:rsidR="00E60815" w:rsidRPr="001E6340">
        <w:t>enriches rather than entirely subverts the search for human values</w:t>
      </w:r>
      <w:r w:rsidR="006637A3" w:rsidRPr="001E6340">
        <w:t>,</w:t>
      </w:r>
      <w:r w:rsidR="00E60815" w:rsidRPr="001E6340">
        <w:t xml:space="preserve"> </w:t>
      </w:r>
      <w:r w:rsidR="006637A3" w:rsidRPr="001E6340">
        <w:t>while</w:t>
      </w:r>
      <w:r w:rsidRPr="001E6340">
        <w:t xml:space="preserve"> the obliqueness with which the voice of the Other is </w:t>
      </w:r>
      <w:r w:rsidR="008C0F05" w:rsidRPr="001E6340">
        <w:t>internalized</w:t>
      </w:r>
      <w:r w:rsidRPr="001E6340">
        <w:t xml:space="preserve"> </w:t>
      </w:r>
      <w:r w:rsidR="00E60815" w:rsidRPr="001E6340">
        <w:t xml:space="preserve">asks questions rather than </w:t>
      </w:r>
      <w:r w:rsidR="00833A38" w:rsidRPr="001E6340">
        <w:t>gives</w:t>
      </w:r>
      <w:r w:rsidR="00E60815" w:rsidRPr="001E6340">
        <w:t xml:space="preserve"> answers. However, it would be too simplistic to </w:t>
      </w:r>
      <w:r w:rsidR="00CD29B0" w:rsidRPr="001E6340">
        <w:t xml:space="preserve">judge </w:t>
      </w:r>
      <w:r w:rsidR="00CD29B0" w:rsidRPr="001E6340">
        <w:rPr>
          <w:i/>
        </w:rPr>
        <w:t>The Shadow-Line</w:t>
      </w:r>
      <w:r w:rsidR="00E60815" w:rsidRPr="001E6340">
        <w:t xml:space="preserve"> </w:t>
      </w:r>
      <w:r w:rsidR="00CD29B0" w:rsidRPr="001E6340">
        <w:t xml:space="preserve">as ‘solving’ </w:t>
      </w:r>
      <w:r w:rsidR="00E60815" w:rsidRPr="001E6340">
        <w:t xml:space="preserve">technical </w:t>
      </w:r>
      <w:r w:rsidR="00C21C8E" w:rsidRPr="001E6340">
        <w:t xml:space="preserve">problems </w:t>
      </w:r>
      <w:r w:rsidR="004F6A46" w:rsidRPr="001E6340">
        <w:t>raised</w:t>
      </w:r>
      <w:r w:rsidR="00CD29B0" w:rsidRPr="001E6340">
        <w:t xml:space="preserve"> by</w:t>
      </w:r>
      <w:r w:rsidR="006C1FAD" w:rsidRPr="001E6340">
        <w:t xml:space="preserve"> ‘Karain’ and ‘A Smile of Fortune’</w:t>
      </w:r>
      <w:r w:rsidR="00FB2327" w:rsidRPr="001E6340">
        <w:t xml:space="preserve">, where the voice of the </w:t>
      </w:r>
      <w:r w:rsidR="008C0F05" w:rsidRPr="001E6340">
        <w:t>colonized</w:t>
      </w:r>
      <w:r w:rsidR="00FB2327" w:rsidRPr="001E6340">
        <w:t xml:space="preserve"> is alternately inadequately mediated and deliberately thwarted</w:t>
      </w:r>
      <w:r w:rsidR="00E60815" w:rsidRPr="001E6340">
        <w:t xml:space="preserve">. </w:t>
      </w:r>
      <w:r w:rsidR="003B57F2" w:rsidRPr="001E6340">
        <w:t>I</w:t>
      </w:r>
      <w:r w:rsidR="001B71FC" w:rsidRPr="001E6340">
        <w:t xml:space="preserve">ntractable issues </w:t>
      </w:r>
      <w:r w:rsidR="00FA27E5" w:rsidRPr="001E6340">
        <w:t>surrounding</w:t>
      </w:r>
      <w:r w:rsidR="001B71FC" w:rsidRPr="001E6340">
        <w:t xml:space="preserve"> representation</w:t>
      </w:r>
      <w:r w:rsidR="004F6A46" w:rsidRPr="001E6340">
        <w:t xml:space="preserve"> </w:t>
      </w:r>
      <w:r w:rsidR="003B57F2" w:rsidRPr="001E6340">
        <w:t xml:space="preserve">of </w:t>
      </w:r>
      <w:r w:rsidR="004F6A46" w:rsidRPr="001E6340">
        <w:t>the colonial encounter</w:t>
      </w:r>
      <w:r w:rsidR="003B57F2" w:rsidRPr="001E6340">
        <w:t>,</w:t>
      </w:r>
      <w:r w:rsidR="004F6A46" w:rsidRPr="001E6340">
        <w:t xml:space="preserve"> </w:t>
      </w:r>
      <w:r w:rsidR="003B57F2" w:rsidRPr="001E6340">
        <w:t xml:space="preserve">which all three grapple with in different ways, </w:t>
      </w:r>
      <w:r w:rsidR="00FA27E5" w:rsidRPr="001E6340">
        <w:t xml:space="preserve">require that meaning </w:t>
      </w:r>
      <w:r w:rsidR="004F6A46" w:rsidRPr="001E6340">
        <w:t xml:space="preserve">both </w:t>
      </w:r>
      <w:r w:rsidR="00FA27E5" w:rsidRPr="001E6340">
        <w:t xml:space="preserve">be </w:t>
      </w:r>
      <w:r w:rsidR="004F6A46" w:rsidRPr="001E6340">
        <w:t>reveal</w:t>
      </w:r>
      <w:r w:rsidR="00FA27E5" w:rsidRPr="001E6340">
        <w:t>ed</w:t>
      </w:r>
      <w:r w:rsidR="004F6A46" w:rsidRPr="001E6340">
        <w:t xml:space="preserve"> and obscure</w:t>
      </w:r>
      <w:r w:rsidR="00FA27E5" w:rsidRPr="001E6340">
        <w:t>d</w:t>
      </w:r>
      <w:r w:rsidR="004F6A46" w:rsidRPr="001E6340">
        <w:t xml:space="preserve">. </w:t>
      </w:r>
      <w:r w:rsidR="001B71FC" w:rsidRPr="001E6340">
        <w:t>If meaning rarely en</w:t>
      </w:r>
      <w:r w:rsidR="00C31E76" w:rsidRPr="001E6340">
        <w:t>tirely disintegrates</w:t>
      </w:r>
      <w:r w:rsidR="00FA27E5" w:rsidRPr="001E6340">
        <w:t xml:space="preserve"> in these tales of loyalty and betrayal</w:t>
      </w:r>
      <w:r w:rsidR="001B71FC" w:rsidRPr="001E6340">
        <w:t xml:space="preserve">, then it is complicated and enriched by narrative techniques </w:t>
      </w:r>
      <w:r w:rsidR="00FA27E5" w:rsidRPr="001E6340">
        <w:t>that</w:t>
      </w:r>
      <w:r w:rsidR="001B71FC" w:rsidRPr="001E6340">
        <w:t xml:space="preserve"> sometimes leave us uncomfortable</w:t>
      </w:r>
      <w:r w:rsidR="003B57F2" w:rsidRPr="001E6340">
        <w:t xml:space="preserve">. </w:t>
      </w:r>
      <w:r w:rsidR="00FA27E5" w:rsidRPr="001E6340">
        <w:t xml:space="preserve"> T</w:t>
      </w:r>
      <w:r w:rsidR="003B57F2" w:rsidRPr="001E6340">
        <w:t>heir</w:t>
      </w:r>
      <w:r w:rsidR="001B71FC" w:rsidRPr="001E6340">
        <w:t xml:space="preserve"> </w:t>
      </w:r>
      <w:r w:rsidR="003B57F2" w:rsidRPr="001E6340">
        <w:t xml:space="preserve">entanglement in murky waters </w:t>
      </w:r>
      <w:r w:rsidR="001B71FC" w:rsidRPr="001E6340">
        <w:t>confront</w:t>
      </w:r>
      <w:r w:rsidR="00FA27E5" w:rsidRPr="001E6340">
        <w:t>s</w:t>
      </w:r>
      <w:r w:rsidR="001B71FC" w:rsidRPr="001E6340">
        <w:t xml:space="preserve"> and undermine</w:t>
      </w:r>
      <w:r w:rsidR="00FA27E5" w:rsidRPr="001E6340">
        <w:t>s</w:t>
      </w:r>
      <w:r w:rsidR="001B71FC" w:rsidRPr="001E6340">
        <w:t xml:space="preserve"> the simplicities of colonial discourse</w:t>
      </w:r>
      <w:r w:rsidR="00FA27E5" w:rsidRPr="001E6340">
        <w:t xml:space="preserve"> in a way that does not foreclose their resonance</w:t>
      </w:r>
      <w:r w:rsidR="001B71FC" w:rsidRPr="001E6340">
        <w:t xml:space="preserve">. As </w:t>
      </w:r>
      <w:r w:rsidR="007D1615" w:rsidRPr="001E6340">
        <w:t xml:space="preserve">Christopher </w:t>
      </w:r>
      <w:r w:rsidR="001B71FC" w:rsidRPr="001E6340">
        <w:t xml:space="preserve">GoGwilt </w:t>
      </w:r>
      <w:r w:rsidR="00FA27E5" w:rsidRPr="001E6340">
        <w:t>concludes</w:t>
      </w:r>
      <w:r w:rsidR="004532DB" w:rsidRPr="001E6340">
        <w:t xml:space="preserve"> of </w:t>
      </w:r>
      <w:r w:rsidR="004532DB" w:rsidRPr="001E6340">
        <w:rPr>
          <w:i/>
        </w:rPr>
        <w:t>Heart of Darkness</w:t>
      </w:r>
      <w:r w:rsidR="001B71FC" w:rsidRPr="001E6340">
        <w:t xml:space="preserve">, Conrad’s ambivalent guide to colonial history reveals tensions </w:t>
      </w:r>
      <w:r w:rsidR="003757BD" w:rsidRPr="001E6340">
        <w:t>such</w:t>
      </w:r>
      <w:r w:rsidR="00C21C8E" w:rsidRPr="001E6340">
        <w:t xml:space="preserve"> that al</w:t>
      </w:r>
      <w:r w:rsidR="001B71FC" w:rsidRPr="001E6340">
        <w:t>though</w:t>
      </w:r>
      <w:r w:rsidR="001B5C47" w:rsidRPr="001E6340">
        <w:t xml:space="preserve"> ‘</w:t>
      </w:r>
      <w:r w:rsidR="001B71FC" w:rsidRPr="001E6340">
        <w:t xml:space="preserve">successive readings may have drawn attention to </w:t>
      </w:r>
      <w:r w:rsidR="00321F20" w:rsidRPr="001E6340">
        <w:t>those differences</w:t>
      </w:r>
      <w:r w:rsidR="002D4609" w:rsidRPr="001E6340">
        <w:t xml:space="preserve"> [</w:t>
      </w:r>
      <w:r w:rsidR="00321F20" w:rsidRPr="001E6340">
        <w:t>…</w:t>
      </w:r>
      <w:r w:rsidR="002D4609" w:rsidRPr="001E6340">
        <w:t xml:space="preserve">] </w:t>
      </w:r>
      <w:r w:rsidR="00321F20" w:rsidRPr="001E6340">
        <w:t>the</w:t>
      </w:r>
      <w:r w:rsidR="001B5C47" w:rsidRPr="001E6340">
        <w:t>y have surely not resolved them’</w:t>
      </w:r>
      <w:r w:rsidR="00321F20" w:rsidRPr="001E6340">
        <w:t>.</w:t>
      </w:r>
      <w:r w:rsidR="001B5C47" w:rsidRPr="001E6340">
        <w:rPr>
          <w:rStyle w:val="FootnoteReference"/>
        </w:rPr>
        <w:footnoteReference w:id="72"/>
      </w:r>
      <w:r w:rsidR="00F011B5" w:rsidRPr="001E6340">
        <w:t xml:space="preserve"> </w:t>
      </w:r>
      <w:r w:rsidR="0044348C" w:rsidRPr="001E6340">
        <w:t xml:space="preserve">We feel </w:t>
      </w:r>
      <w:r w:rsidR="00F56979" w:rsidRPr="001E6340">
        <w:t xml:space="preserve">the intellectual, emotional and </w:t>
      </w:r>
      <w:r w:rsidR="00ED4209" w:rsidRPr="001E6340">
        <w:t>ethical</w:t>
      </w:r>
      <w:r w:rsidR="00F56979" w:rsidRPr="001E6340">
        <w:t xml:space="preserve"> frisson of </w:t>
      </w:r>
      <w:r w:rsidR="0044348C" w:rsidRPr="001E6340">
        <w:t>a failure that is inevitable, in the face of</w:t>
      </w:r>
      <w:r w:rsidR="007D1615" w:rsidRPr="001E6340">
        <w:t xml:space="preserve"> the intractable problem</w:t>
      </w:r>
      <w:r w:rsidR="0044348C" w:rsidRPr="001E6340">
        <w:t>s caused by</w:t>
      </w:r>
      <w:r w:rsidR="007D1615" w:rsidRPr="001E6340">
        <w:t xml:space="preserve"> </w:t>
      </w:r>
      <w:r w:rsidR="0044348C" w:rsidRPr="001E6340">
        <w:t>the colonial encounter. We also sense the</w:t>
      </w:r>
      <w:r w:rsidR="00F56979" w:rsidRPr="001E6340">
        <w:t xml:space="preserve"> grappl</w:t>
      </w:r>
      <w:r w:rsidR="00ED4209" w:rsidRPr="001E6340">
        <w:t>ing for a sustainable moral</w:t>
      </w:r>
      <w:r w:rsidR="00F56979" w:rsidRPr="001E6340">
        <w:t xml:space="preserve"> visi</w:t>
      </w:r>
      <w:r w:rsidR="00ED4209" w:rsidRPr="001E6340">
        <w:t xml:space="preserve">on, the search for an integrated </w:t>
      </w:r>
      <w:r w:rsidR="00F56979" w:rsidRPr="001E6340">
        <w:t>but responsible state of being</w:t>
      </w:r>
      <w:r w:rsidR="00ED4209" w:rsidRPr="001E6340">
        <w:t xml:space="preserve">, </w:t>
      </w:r>
      <w:r w:rsidR="0044348C" w:rsidRPr="001E6340">
        <w:t>the pain of whose non-achievement</w:t>
      </w:r>
      <w:r w:rsidR="00ED4209" w:rsidRPr="001E6340">
        <w:t xml:space="preserve"> long remains with us. The uncertainties, despite, and perhaps even because of the murkiness of the insight, are what continue to make Conrad worth reading well beyond the historical confines and concerns of his time. </w:t>
      </w:r>
    </w:p>
    <w:p w14:paraId="0713A9FF" w14:textId="77777777" w:rsidR="004532DB" w:rsidRPr="001E6340" w:rsidRDefault="004532DB" w:rsidP="004846CC">
      <w:pPr>
        <w:pStyle w:val="NoSpacing"/>
        <w:spacing w:line="480" w:lineRule="auto"/>
      </w:pPr>
      <w:r w:rsidRPr="001E6340">
        <w:tab/>
      </w:r>
      <w:r w:rsidRPr="001E6340">
        <w:tab/>
      </w:r>
      <w:r w:rsidRPr="001E6340">
        <w:tab/>
      </w:r>
      <w:r w:rsidRPr="001E6340">
        <w:tab/>
      </w:r>
      <w:r w:rsidRPr="001E6340">
        <w:tab/>
      </w:r>
      <w:r w:rsidRPr="001E6340">
        <w:tab/>
      </w:r>
      <w:r w:rsidRPr="001E6340">
        <w:tab/>
      </w:r>
      <w:r w:rsidRPr="001E6340">
        <w:tab/>
      </w:r>
      <w:r w:rsidRPr="001E6340">
        <w:tab/>
      </w:r>
    </w:p>
    <w:p w14:paraId="34B1BB02" w14:textId="77777777" w:rsidR="004532DB" w:rsidRPr="001E6340" w:rsidRDefault="004532DB" w:rsidP="00AD3EF1">
      <w:pPr>
        <w:pStyle w:val="NoSpacing"/>
      </w:pPr>
    </w:p>
    <w:p w14:paraId="47C7FC41" w14:textId="2C4999D8" w:rsidR="00982839" w:rsidRPr="001E6340" w:rsidRDefault="00202620" w:rsidP="00982839">
      <w:pPr>
        <w:pStyle w:val="NoSpacing"/>
      </w:pPr>
      <w:r w:rsidRPr="001E6340">
        <w:t xml:space="preserve">Word </w:t>
      </w:r>
      <w:r w:rsidR="00833A38" w:rsidRPr="001E6340">
        <w:t>C</w:t>
      </w:r>
      <w:r w:rsidR="00982839" w:rsidRPr="001E6340">
        <w:t>ount: 6770</w:t>
      </w:r>
    </w:p>
    <w:p w14:paraId="5E25283F" w14:textId="77777777" w:rsidR="00982839" w:rsidRPr="001E6340" w:rsidRDefault="00982839" w:rsidP="00A81456">
      <w:pPr>
        <w:pStyle w:val="NoSpacing"/>
        <w:jc w:val="center"/>
        <w:rPr>
          <w:b/>
        </w:rPr>
      </w:pPr>
    </w:p>
    <w:p w14:paraId="3FC07BC4" w14:textId="77777777" w:rsidR="00A81456" w:rsidRPr="001E6340" w:rsidRDefault="00A81456" w:rsidP="00A81456">
      <w:pPr>
        <w:pStyle w:val="NoSpacing"/>
        <w:jc w:val="center"/>
        <w:rPr>
          <w:b/>
        </w:rPr>
      </w:pPr>
      <w:r w:rsidRPr="001E6340">
        <w:rPr>
          <w:b/>
        </w:rPr>
        <w:t>Works Cited:</w:t>
      </w:r>
    </w:p>
    <w:p w14:paraId="5658E38C" w14:textId="77777777" w:rsidR="00A81456" w:rsidRPr="001E6340" w:rsidRDefault="00A81456" w:rsidP="00A81456">
      <w:pPr>
        <w:pStyle w:val="NoSpacing"/>
        <w:jc w:val="center"/>
      </w:pPr>
    </w:p>
    <w:p w14:paraId="2B1E476E" w14:textId="25EA096D"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Achebe, Chinua. ‘An Image of Africa: Racism in Conrad’s </w:t>
      </w:r>
      <w:r w:rsidRPr="001E6340">
        <w:rPr>
          <w:rFonts w:ascii="Times New Roman" w:hAnsi="Times New Roman"/>
          <w:i/>
          <w:szCs w:val="24"/>
          <w:lang w:val="en-GB"/>
        </w:rPr>
        <w:t>Heart of Darkness</w:t>
      </w:r>
      <w:r w:rsidRPr="001E6340">
        <w:rPr>
          <w:rFonts w:ascii="Times New Roman" w:hAnsi="Times New Roman"/>
          <w:szCs w:val="24"/>
          <w:lang w:val="en-GB"/>
        </w:rPr>
        <w:t xml:space="preserve">’.          </w:t>
      </w:r>
      <w:r w:rsidRPr="001E6340">
        <w:rPr>
          <w:rFonts w:ascii="Times New Roman" w:hAnsi="Times New Roman"/>
          <w:i/>
          <w:szCs w:val="24"/>
          <w:lang w:val="en-GB"/>
        </w:rPr>
        <w:t>Postcolonial Discourses: An Anthology</w:t>
      </w:r>
      <w:r w:rsidRPr="001E6340">
        <w:rPr>
          <w:rFonts w:ascii="Times New Roman" w:hAnsi="Times New Roman"/>
          <w:szCs w:val="24"/>
          <w:lang w:val="en-GB"/>
        </w:rPr>
        <w:t xml:space="preserve">. Ed. Gregory Castle. Oxford: Blackwell, 2001: 210-220. </w:t>
      </w:r>
      <w:r w:rsidR="00475F8A" w:rsidRPr="001E6340">
        <w:rPr>
          <w:rFonts w:ascii="Times New Roman" w:hAnsi="Times New Roman"/>
          <w:szCs w:val="24"/>
          <w:lang w:val="en-GB"/>
        </w:rPr>
        <w:t>Print.</w:t>
      </w:r>
    </w:p>
    <w:p w14:paraId="43A70B12" w14:textId="36A83762" w:rsidR="00A81456" w:rsidRPr="001E6340" w:rsidRDefault="00F844C0" w:rsidP="00F844C0">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Adams, David. ‘“Remorse and Power”</w:t>
      </w:r>
      <w:r w:rsidR="00A81456" w:rsidRPr="001E6340">
        <w:rPr>
          <w:rFonts w:ascii="Times New Roman" w:hAnsi="Times New Roman"/>
          <w:szCs w:val="24"/>
          <w:lang w:val="en-GB"/>
        </w:rPr>
        <w:t xml:space="preserve">: Conrad’s Karain and the Queen’. </w:t>
      </w:r>
      <w:r w:rsidR="00A81456" w:rsidRPr="001E6340">
        <w:rPr>
          <w:rFonts w:ascii="Times New Roman" w:hAnsi="Times New Roman"/>
          <w:i/>
          <w:szCs w:val="24"/>
          <w:lang w:val="en-GB"/>
        </w:rPr>
        <w:t>Modern Fiction Studies</w:t>
      </w:r>
      <w:r w:rsidR="00A81456" w:rsidRPr="001E6340">
        <w:rPr>
          <w:rFonts w:ascii="Times New Roman" w:hAnsi="Times New Roman"/>
          <w:szCs w:val="24"/>
          <w:lang w:val="en-GB"/>
        </w:rPr>
        <w:t xml:space="preserve"> 47.4 (2001): 723-752. </w:t>
      </w:r>
      <w:r w:rsidR="00A67757" w:rsidRPr="001E6340">
        <w:rPr>
          <w:rFonts w:ascii="Times New Roman" w:hAnsi="Times New Roman"/>
          <w:szCs w:val="24"/>
          <w:lang w:val="en-GB"/>
        </w:rPr>
        <w:t>Project Muse. Web. 11 Feb. 2016.</w:t>
      </w:r>
    </w:p>
    <w:p w14:paraId="7A608FA5" w14:textId="1F3460A9"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Bignami, Marialuisa. ‘Joseph Conrad, the Malay Archipelago, and the Decadent Hero’. </w:t>
      </w:r>
      <w:r w:rsidRPr="001E6340">
        <w:rPr>
          <w:rFonts w:ascii="Times New Roman" w:hAnsi="Times New Roman"/>
          <w:i/>
          <w:szCs w:val="24"/>
          <w:lang w:val="en-GB"/>
        </w:rPr>
        <w:t>The Review of English Studies</w:t>
      </w:r>
      <w:r w:rsidRPr="001E6340">
        <w:rPr>
          <w:rFonts w:ascii="Times New Roman" w:hAnsi="Times New Roman"/>
          <w:szCs w:val="24"/>
          <w:lang w:val="en-GB"/>
        </w:rPr>
        <w:t xml:space="preserve"> 38.150 (1987): 199-210. </w:t>
      </w:r>
      <w:r w:rsidR="00A67757" w:rsidRPr="001E6340">
        <w:rPr>
          <w:rFonts w:ascii="Times New Roman" w:hAnsi="Times New Roman"/>
          <w:szCs w:val="24"/>
          <w:lang w:val="en-GB"/>
        </w:rPr>
        <w:t>Oxford Journals. Web. 10 January 2016.</w:t>
      </w:r>
    </w:p>
    <w:p w14:paraId="6573B289" w14:textId="4DDA76CB"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Collits, Terry. </w:t>
      </w:r>
      <w:r w:rsidRPr="001E6340">
        <w:rPr>
          <w:rFonts w:ascii="Times New Roman" w:hAnsi="Times New Roman"/>
          <w:i/>
          <w:szCs w:val="24"/>
          <w:lang w:val="en-GB"/>
        </w:rPr>
        <w:t>Postcolonial Conrad: Paradoxes of Empire.</w:t>
      </w:r>
      <w:r w:rsidRPr="001E6340">
        <w:rPr>
          <w:rFonts w:ascii="Times New Roman" w:hAnsi="Times New Roman"/>
          <w:szCs w:val="24"/>
          <w:lang w:val="en-GB"/>
        </w:rPr>
        <w:t xml:space="preserve"> Abingdon: Routledge, 2005. </w:t>
      </w:r>
      <w:r w:rsidR="00780D45" w:rsidRPr="001E6340">
        <w:rPr>
          <w:rFonts w:ascii="Times New Roman" w:hAnsi="Times New Roman"/>
          <w:szCs w:val="24"/>
          <w:lang w:val="en-GB"/>
        </w:rPr>
        <w:t>Print.</w:t>
      </w:r>
    </w:p>
    <w:p w14:paraId="22952CE1" w14:textId="510C22FC"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Conrad, Joseph. </w:t>
      </w:r>
      <w:r w:rsidRPr="001E6340">
        <w:rPr>
          <w:rFonts w:ascii="Times New Roman" w:hAnsi="Times New Roman"/>
          <w:i/>
          <w:szCs w:val="24"/>
          <w:lang w:val="en-GB"/>
        </w:rPr>
        <w:t xml:space="preserve">A Personal Record: Some Reminiscences. </w:t>
      </w:r>
      <w:r w:rsidRPr="001E6340">
        <w:rPr>
          <w:rFonts w:ascii="Times New Roman" w:hAnsi="Times New Roman"/>
          <w:szCs w:val="24"/>
          <w:lang w:val="en-GB"/>
        </w:rPr>
        <w:t xml:space="preserve">London: J.M. Dent and Sons, 1946. </w:t>
      </w:r>
      <w:r w:rsidR="00780D45" w:rsidRPr="001E6340">
        <w:rPr>
          <w:rFonts w:ascii="Times New Roman" w:hAnsi="Times New Roman"/>
          <w:szCs w:val="24"/>
          <w:lang w:val="en-GB"/>
        </w:rPr>
        <w:t>Print.</w:t>
      </w:r>
    </w:p>
    <w:p w14:paraId="4FE777EC" w14:textId="376CFB54"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 </w:t>
      </w:r>
      <w:r w:rsidRPr="001E6340">
        <w:rPr>
          <w:rFonts w:ascii="Times New Roman" w:hAnsi="Times New Roman"/>
          <w:i/>
          <w:szCs w:val="24"/>
          <w:lang w:val="en-GB"/>
        </w:rPr>
        <w:t xml:space="preserve">The Shadow-Line: A Confession, Within the Tides: Tales. </w:t>
      </w:r>
      <w:r w:rsidRPr="001E6340">
        <w:rPr>
          <w:rFonts w:ascii="Times New Roman" w:hAnsi="Times New Roman"/>
          <w:szCs w:val="24"/>
          <w:lang w:val="en-GB"/>
        </w:rPr>
        <w:t xml:space="preserve">London: J.M. Dent and Sons, 1950. </w:t>
      </w:r>
      <w:r w:rsidR="00A67757" w:rsidRPr="001E6340">
        <w:rPr>
          <w:rFonts w:ascii="Times New Roman" w:hAnsi="Times New Roman"/>
          <w:szCs w:val="24"/>
          <w:lang w:val="en-GB"/>
        </w:rPr>
        <w:t>Print.</w:t>
      </w:r>
    </w:p>
    <w:p w14:paraId="72CA3EA3" w14:textId="6AF28760" w:rsidR="005B2101" w:rsidRPr="001E6340" w:rsidRDefault="005B2101"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 </w:t>
      </w:r>
      <w:r w:rsidRPr="001E6340">
        <w:rPr>
          <w:rFonts w:ascii="Times New Roman" w:hAnsi="Times New Roman"/>
          <w:i/>
          <w:szCs w:val="24"/>
          <w:lang w:val="en-GB"/>
        </w:rPr>
        <w:t xml:space="preserve">Tales of Unrest. </w:t>
      </w:r>
      <w:r w:rsidRPr="001E6340">
        <w:rPr>
          <w:rFonts w:ascii="Times New Roman" w:hAnsi="Times New Roman"/>
          <w:szCs w:val="24"/>
          <w:lang w:val="en-GB"/>
        </w:rPr>
        <w:t>London: J.M. Dent and Sons, 1947.</w:t>
      </w:r>
      <w:r w:rsidR="00A67757" w:rsidRPr="001E6340">
        <w:rPr>
          <w:rFonts w:ascii="Times New Roman" w:hAnsi="Times New Roman"/>
          <w:szCs w:val="24"/>
          <w:lang w:val="en-GB"/>
        </w:rPr>
        <w:t xml:space="preserve"> Print.</w:t>
      </w:r>
    </w:p>
    <w:p w14:paraId="7DF07DCF" w14:textId="7540611D" w:rsidR="00A81456" w:rsidRPr="001E6340" w:rsidRDefault="00A81456" w:rsidP="00857846">
      <w:pPr>
        <w:pStyle w:val="reference"/>
        <w:spacing w:line="360" w:lineRule="auto"/>
        <w:ind w:right="198" w:hanging="11"/>
        <w:rPr>
          <w:rFonts w:ascii="Times New Roman" w:hAnsi="Times New Roman"/>
          <w:szCs w:val="24"/>
          <w:lang w:val="en-GB"/>
        </w:rPr>
      </w:pPr>
      <w:r w:rsidRPr="001E6340">
        <w:rPr>
          <w:rFonts w:ascii="Times New Roman" w:hAnsi="Times New Roman"/>
          <w:szCs w:val="24"/>
          <w:lang w:val="en-GB"/>
        </w:rPr>
        <w:t xml:space="preserve">--- </w:t>
      </w:r>
      <w:r w:rsidRPr="001E6340">
        <w:rPr>
          <w:rFonts w:ascii="Times New Roman" w:hAnsi="Times New Roman"/>
          <w:i/>
          <w:szCs w:val="24"/>
          <w:lang w:val="en-GB"/>
        </w:rPr>
        <w:t xml:space="preserve">‘Twixt Land and Sea: Three Tales. </w:t>
      </w:r>
      <w:r w:rsidRPr="001E6340">
        <w:rPr>
          <w:rFonts w:ascii="Times New Roman" w:hAnsi="Times New Roman"/>
          <w:szCs w:val="24"/>
          <w:lang w:val="en-GB"/>
        </w:rPr>
        <w:t xml:space="preserve">London: J.M. Dent and Sons, 1947. </w:t>
      </w:r>
      <w:r w:rsidR="00A67757" w:rsidRPr="001E6340">
        <w:rPr>
          <w:rFonts w:ascii="Times New Roman" w:hAnsi="Times New Roman"/>
          <w:szCs w:val="24"/>
          <w:lang w:val="en-GB"/>
        </w:rPr>
        <w:t>Print.</w:t>
      </w:r>
    </w:p>
    <w:p w14:paraId="0E176FAE" w14:textId="41DA7D76"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 </w:t>
      </w:r>
      <w:r w:rsidRPr="001E6340">
        <w:rPr>
          <w:rFonts w:ascii="Times New Roman" w:hAnsi="Times New Roman"/>
          <w:i/>
          <w:szCs w:val="24"/>
          <w:lang w:val="en-GB"/>
        </w:rPr>
        <w:t xml:space="preserve">Youth, Heart of Darkness, The End of the Tether: Three Stories. </w:t>
      </w:r>
      <w:r w:rsidRPr="001E6340">
        <w:rPr>
          <w:rFonts w:ascii="Times New Roman" w:hAnsi="Times New Roman"/>
          <w:szCs w:val="24"/>
          <w:lang w:val="en-GB"/>
        </w:rPr>
        <w:t xml:space="preserve">London: J.M. Dent and Sons, 1946. </w:t>
      </w:r>
      <w:r w:rsidR="00A67757" w:rsidRPr="001E6340">
        <w:rPr>
          <w:rFonts w:ascii="Times New Roman" w:hAnsi="Times New Roman"/>
          <w:szCs w:val="24"/>
          <w:lang w:val="en-GB"/>
        </w:rPr>
        <w:t>Print.</w:t>
      </w:r>
    </w:p>
    <w:p w14:paraId="342414E4" w14:textId="760BEF4E"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Dryden, Linda. </w:t>
      </w:r>
      <w:r w:rsidRPr="001E6340">
        <w:rPr>
          <w:rFonts w:ascii="Times New Roman" w:hAnsi="Times New Roman"/>
          <w:i/>
          <w:szCs w:val="24"/>
          <w:lang w:val="en-GB"/>
        </w:rPr>
        <w:t>Joseph Conrad and the Imperial Romance.</w:t>
      </w:r>
      <w:r w:rsidRPr="001E6340">
        <w:rPr>
          <w:rFonts w:ascii="Times New Roman" w:hAnsi="Times New Roman"/>
          <w:szCs w:val="24"/>
          <w:lang w:val="en-GB"/>
        </w:rPr>
        <w:t xml:space="preserve"> Basingstoke: Palgrave, 2000. </w:t>
      </w:r>
      <w:r w:rsidR="00A67757" w:rsidRPr="001E6340">
        <w:rPr>
          <w:rFonts w:ascii="Times New Roman" w:hAnsi="Times New Roman"/>
          <w:szCs w:val="24"/>
          <w:lang w:val="en-GB"/>
        </w:rPr>
        <w:t>Print.</w:t>
      </w:r>
      <w:r w:rsidRPr="001E6340">
        <w:rPr>
          <w:rFonts w:ascii="Times New Roman" w:hAnsi="Times New Roman"/>
          <w:szCs w:val="24"/>
          <w:lang w:val="en-GB"/>
        </w:rPr>
        <w:t xml:space="preserve">        </w:t>
      </w:r>
    </w:p>
    <w:p w14:paraId="67424EE2" w14:textId="2D8E1631"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GoGwilt, Christopher. ‘Conr</w:t>
      </w:r>
      <w:r w:rsidR="002A339A" w:rsidRPr="001E6340">
        <w:rPr>
          <w:rFonts w:ascii="Times New Roman" w:hAnsi="Times New Roman"/>
          <w:szCs w:val="24"/>
          <w:lang w:val="en-GB"/>
        </w:rPr>
        <w:t>ad’s Creole Family Romance and “A Smile of Fortune”</w:t>
      </w:r>
      <w:r w:rsidRPr="001E6340">
        <w:rPr>
          <w:rFonts w:ascii="Times New Roman" w:hAnsi="Times New Roman"/>
          <w:szCs w:val="24"/>
          <w:lang w:val="en-GB"/>
        </w:rPr>
        <w:t xml:space="preserve">’. </w:t>
      </w:r>
      <w:r w:rsidRPr="001E6340">
        <w:rPr>
          <w:rFonts w:ascii="Times New Roman" w:hAnsi="Times New Roman"/>
          <w:i/>
          <w:szCs w:val="24"/>
          <w:lang w:val="en-GB"/>
        </w:rPr>
        <w:t>Conradiana</w:t>
      </w:r>
      <w:r w:rsidRPr="001E6340">
        <w:rPr>
          <w:rFonts w:ascii="Times New Roman" w:hAnsi="Times New Roman"/>
          <w:szCs w:val="24"/>
          <w:lang w:val="en-GB"/>
        </w:rPr>
        <w:t xml:space="preserve"> 43.2</w:t>
      </w:r>
      <w:r w:rsidR="00A67757" w:rsidRPr="001E6340">
        <w:rPr>
          <w:rFonts w:ascii="Times New Roman" w:hAnsi="Times New Roman"/>
          <w:szCs w:val="24"/>
          <w:lang w:val="en-GB"/>
        </w:rPr>
        <w:t xml:space="preserve"> (2011): 67-79. Print.</w:t>
      </w:r>
    </w:p>
    <w:p w14:paraId="75D92F0E" w14:textId="5FE65E97"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 </w:t>
      </w:r>
      <w:r w:rsidRPr="001E6340">
        <w:rPr>
          <w:rFonts w:ascii="Times New Roman" w:hAnsi="Times New Roman"/>
          <w:i/>
          <w:szCs w:val="24"/>
          <w:lang w:val="en-GB"/>
        </w:rPr>
        <w:t>The Invention of The West: Joseph Conrad and the Double-Mapping of Europe and Empire.</w:t>
      </w:r>
      <w:r w:rsidRPr="001E6340">
        <w:rPr>
          <w:rFonts w:ascii="Times New Roman" w:hAnsi="Times New Roman"/>
          <w:szCs w:val="24"/>
          <w:lang w:val="en-GB"/>
        </w:rPr>
        <w:t xml:space="preserve"> Stanford, CA: Stanford University Press, 1995. </w:t>
      </w:r>
      <w:r w:rsidR="00A67757" w:rsidRPr="001E6340">
        <w:rPr>
          <w:rFonts w:ascii="Times New Roman" w:hAnsi="Times New Roman"/>
          <w:szCs w:val="24"/>
          <w:lang w:val="en-GB"/>
        </w:rPr>
        <w:t>Print.</w:t>
      </w:r>
    </w:p>
    <w:p w14:paraId="27EF2F10" w14:textId="23C7A8B7"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 ‘Joseph Conrad as Guide to Colonial History’. </w:t>
      </w:r>
      <w:r w:rsidRPr="001E6340">
        <w:rPr>
          <w:rFonts w:ascii="Times New Roman" w:hAnsi="Times New Roman"/>
          <w:i/>
          <w:szCs w:val="24"/>
          <w:lang w:val="en-GB"/>
        </w:rPr>
        <w:t>A Historical Guide to Joseph Conrad</w:t>
      </w:r>
      <w:r w:rsidRPr="001E6340">
        <w:rPr>
          <w:rFonts w:ascii="Times New Roman" w:hAnsi="Times New Roman"/>
          <w:szCs w:val="24"/>
          <w:lang w:val="en-GB"/>
        </w:rPr>
        <w:t xml:space="preserve">. Ed. John G. Peters. Oxford: Oxford University Press, 2010: 137-161. </w:t>
      </w:r>
      <w:r w:rsidR="00A67757" w:rsidRPr="001E6340">
        <w:rPr>
          <w:rFonts w:ascii="Times New Roman" w:hAnsi="Times New Roman"/>
          <w:szCs w:val="24"/>
          <w:lang w:val="en-GB"/>
        </w:rPr>
        <w:t>Print.</w:t>
      </w:r>
    </w:p>
    <w:p w14:paraId="1DED3FC6" w14:textId="3DA03080"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Graham, Kenneth. ‘Conrad and Modernism’. </w:t>
      </w:r>
      <w:r w:rsidRPr="001E6340">
        <w:rPr>
          <w:rFonts w:ascii="Times New Roman" w:hAnsi="Times New Roman"/>
          <w:i/>
          <w:szCs w:val="24"/>
          <w:lang w:val="en-GB"/>
        </w:rPr>
        <w:t>The Cambridge Companion to Joseph Conra</w:t>
      </w:r>
      <w:r w:rsidRPr="001E6340">
        <w:rPr>
          <w:rFonts w:ascii="Times New Roman" w:hAnsi="Times New Roman"/>
          <w:szCs w:val="24"/>
          <w:lang w:val="en-GB"/>
        </w:rPr>
        <w:t xml:space="preserve">d. Ed. J.H. Stape. Cambridge: Cambridge University Press, 1996: 203-222. </w:t>
      </w:r>
      <w:r w:rsidR="00A67757" w:rsidRPr="001E6340">
        <w:rPr>
          <w:rFonts w:ascii="Times New Roman" w:hAnsi="Times New Roman"/>
          <w:szCs w:val="24"/>
          <w:lang w:val="en-GB"/>
        </w:rPr>
        <w:t>Print.</w:t>
      </w:r>
    </w:p>
    <w:p w14:paraId="31B442EE" w14:textId="0C702281"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Graver, Lawrence. </w:t>
      </w:r>
      <w:r w:rsidRPr="001E6340">
        <w:rPr>
          <w:rFonts w:ascii="Times New Roman" w:hAnsi="Times New Roman"/>
          <w:i/>
          <w:szCs w:val="24"/>
          <w:lang w:val="en-GB"/>
        </w:rPr>
        <w:t>Conrad’s Short Fiction</w:t>
      </w:r>
      <w:r w:rsidRPr="001E6340">
        <w:rPr>
          <w:rFonts w:ascii="Times New Roman" w:hAnsi="Times New Roman"/>
          <w:szCs w:val="24"/>
          <w:lang w:val="en-GB"/>
        </w:rPr>
        <w:t xml:space="preserve">. Berkeley: University of California Press, 1969. </w:t>
      </w:r>
      <w:r w:rsidR="00702A39" w:rsidRPr="001E6340">
        <w:rPr>
          <w:rFonts w:ascii="Times New Roman" w:hAnsi="Times New Roman"/>
          <w:szCs w:val="24"/>
          <w:lang w:val="en-GB"/>
        </w:rPr>
        <w:t>Print.</w:t>
      </w:r>
      <w:r w:rsidRPr="001E6340">
        <w:rPr>
          <w:rFonts w:ascii="Times New Roman" w:hAnsi="Times New Roman"/>
          <w:szCs w:val="24"/>
          <w:lang w:val="en-GB"/>
        </w:rPr>
        <w:t xml:space="preserve">    </w:t>
      </w:r>
    </w:p>
    <w:p w14:paraId="6B78808C" w14:textId="44E868C8"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Hampson, Robert. </w:t>
      </w:r>
      <w:r w:rsidRPr="001E6340">
        <w:rPr>
          <w:rFonts w:ascii="Times New Roman" w:hAnsi="Times New Roman"/>
          <w:i/>
          <w:szCs w:val="24"/>
          <w:lang w:val="en-GB"/>
        </w:rPr>
        <w:t>Cross-Cultural Encounters in Joseph Conrad’s Malay Fiction.</w:t>
      </w:r>
      <w:r w:rsidRPr="001E6340">
        <w:rPr>
          <w:rFonts w:ascii="Times New Roman" w:hAnsi="Times New Roman"/>
          <w:szCs w:val="24"/>
          <w:lang w:val="en-GB"/>
        </w:rPr>
        <w:t xml:space="preserve"> Basingstoke: Palgrave, 2000. </w:t>
      </w:r>
      <w:r w:rsidR="00702A39" w:rsidRPr="001E6340">
        <w:rPr>
          <w:rFonts w:ascii="Times New Roman" w:hAnsi="Times New Roman"/>
          <w:szCs w:val="24"/>
          <w:lang w:val="en-GB"/>
        </w:rPr>
        <w:t>Print.</w:t>
      </w:r>
    </w:p>
    <w:p w14:paraId="08E85DC5" w14:textId="2308AA28" w:rsidR="00A81456" w:rsidRPr="001E6340" w:rsidRDefault="00A81456" w:rsidP="00857846">
      <w:pPr>
        <w:pStyle w:val="reference"/>
        <w:spacing w:line="360" w:lineRule="auto"/>
        <w:ind w:right="198" w:hanging="11"/>
        <w:rPr>
          <w:rFonts w:ascii="Times New Roman" w:hAnsi="Times New Roman"/>
          <w:szCs w:val="24"/>
          <w:lang w:val="en-GB"/>
        </w:rPr>
      </w:pPr>
      <w:r w:rsidRPr="001E6340">
        <w:rPr>
          <w:rFonts w:ascii="Times New Roman" w:hAnsi="Times New Roman"/>
          <w:szCs w:val="24"/>
          <w:lang w:val="en-GB"/>
        </w:rPr>
        <w:t xml:space="preserve">Jones, Susan. </w:t>
      </w:r>
      <w:r w:rsidRPr="001E6340">
        <w:rPr>
          <w:rFonts w:ascii="Times New Roman" w:hAnsi="Times New Roman"/>
          <w:i/>
          <w:szCs w:val="24"/>
          <w:lang w:val="en-GB"/>
        </w:rPr>
        <w:t>Conrad and Women.</w:t>
      </w:r>
      <w:r w:rsidRPr="001E6340">
        <w:rPr>
          <w:rFonts w:ascii="Times New Roman" w:hAnsi="Times New Roman"/>
          <w:szCs w:val="24"/>
          <w:lang w:val="en-GB"/>
        </w:rPr>
        <w:t xml:space="preserve"> Oxford: Clarendon Press, 1999.</w:t>
      </w:r>
      <w:r w:rsidR="00702A39" w:rsidRPr="001E6340">
        <w:rPr>
          <w:rFonts w:ascii="Times New Roman" w:hAnsi="Times New Roman"/>
          <w:szCs w:val="24"/>
          <w:lang w:val="en-GB"/>
        </w:rPr>
        <w:t xml:space="preserve"> Print.</w:t>
      </w:r>
      <w:r w:rsidRPr="001E6340">
        <w:rPr>
          <w:rFonts w:ascii="Times New Roman" w:hAnsi="Times New Roman"/>
          <w:szCs w:val="24"/>
          <w:lang w:val="en-GB"/>
        </w:rPr>
        <w:t xml:space="preserve">   </w:t>
      </w:r>
    </w:p>
    <w:p w14:paraId="5561F90D" w14:textId="1E7490C8"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i/>
          <w:szCs w:val="24"/>
          <w:lang w:val="en-GB"/>
        </w:rPr>
        <w:t>Joseph Conrad’s Lett</w:t>
      </w:r>
      <w:r w:rsidR="00B25828" w:rsidRPr="001E6340">
        <w:rPr>
          <w:rFonts w:ascii="Times New Roman" w:hAnsi="Times New Roman"/>
          <w:i/>
          <w:szCs w:val="24"/>
          <w:lang w:val="en-GB"/>
        </w:rPr>
        <w:t>ers to R.B. Cunninghame Grahame.</w:t>
      </w:r>
      <w:r w:rsidRPr="001E6340">
        <w:rPr>
          <w:rFonts w:ascii="Times New Roman" w:hAnsi="Times New Roman"/>
          <w:szCs w:val="24"/>
          <w:lang w:val="en-GB"/>
        </w:rPr>
        <w:t xml:space="preserve"> </w:t>
      </w:r>
      <w:r w:rsidR="00B25828" w:rsidRPr="001E6340">
        <w:rPr>
          <w:rFonts w:ascii="Times New Roman" w:hAnsi="Times New Roman"/>
          <w:szCs w:val="24"/>
          <w:lang w:val="en-GB"/>
        </w:rPr>
        <w:t xml:space="preserve">Ed. </w:t>
      </w:r>
      <w:r w:rsidRPr="001E6340">
        <w:rPr>
          <w:rFonts w:ascii="Times New Roman" w:hAnsi="Times New Roman"/>
          <w:szCs w:val="24"/>
          <w:lang w:val="en-GB"/>
        </w:rPr>
        <w:t xml:space="preserve">C.T. Watts. Cambridge: Cambridge University Press, 1969. </w:t>
      </w:r>
      <w:r w:rsidR="00702A39" w:rsidRPr="001E6340">
        <w:rPr>
          <w:rFonts w:ascii="Times New Roman" w:hAnsi="Times New Roman"/>
          <w:szCs w:val="24"/>
          <w:lang w:val="en-GB"/>
        </w:rPr>
        <w:t>Print.</w:t>
      </w:r>
    </w:p>
    <w:p w14:paraId="2A9C4130" w14:textId="78E310BC"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Just, Daniel. ‘Between Narrative Paradigms: Joseph Conrad and the Shift from Realism to Modernism from a Genre Perspective’. </w:t>
      </w:r>
      <w:r w:rsidRPr="001E6340">
        <w:rPr>
          <w:rFonts w:ascii="Times New Roman" w:hAnsi="Times New Roman"/>
          <w:i/>
          <w:szCs w:val="24"/>
          <w:lang w:val="en-GB"/>
        </w:rPr>
        <w:t>English Studies</w:t>
      </w:r>
      <w:r w:rsidRPr="001E6340">
        <w:rPr>
          <w:rFonts w:ascii="Times New Roman" w:hAnsi="Times New Roman"/>
          <w:szCs w:val="24"/>
          <w:lang w:val="en-GB"/>
        </w:rPr>
        <w:t xml:space="preserve"> 89.3 (2008): 273-286.</w:t>
      </w:r>
      <w:r w:rsidR="00702A39" w:rsidRPr="001E6340">
        <w:rPr>
          <w:rFonts w:ascii="Times New Roman" w:hAnsi="Times New Roman"/>
          <w:szCs w:val="24"/>
          <w:lang w:val="en-GB"/>
        </w:rPr>
        <w:t xml:space="preserve"> Taylor &amp; Francis. Web. 11 Feb. 2016.</w:t>
      </w:r>
      <w:r w:rsidRPr="001E6340">
        <w:rPr>
          <w:rFonts w:ascii="Times New Roman" w:hAnsi="Times New Roman"/>
          <w:szCs w:val="24"/>
          <w:lang w:val="en-GB"/>
        </w:rPr>
        <w:t xml:space="preserve">  </w:t>
      </w:r>
    </w:p>
    <w:p w14:paraId="477DA3A1" w14:textId="3A05F276"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Leavis, F.R. </w:t>
      </w:r>
      <w:r w:rsidRPr="001E6340">
        <w:rPr>
          <w:rFonts w:ascii="Times New Roman" w:hAnsi="Times New Roman"/>
          <w:i/>
          <w:szCs w:val="24"/>
          <w:lang w:val="en-GB"/>
        </w:rPr>
        <w:t>Anna Karenna and Other Essays.</w:t>
      </w:r>
      <w:r w:rsidRPr="001E6340">
        <w:rPr>
          <w:rFonts w:ascii="Times New Roman" w:hAnsi="Times New Roman"/>
          <w:szCs w:val="24"/>
          <w:lang w:val="en-GB"/>
        </w:rPr>
        <w:t xml:space="preserve"> London: Chatto and Windus, 1967. </w:t>
      </w:r>
      <w:r w:rsidR="00702A39" w:rsidRPr="001E6340">
        <w:rPr>
          <w:rFonts w:ascii="Times New Roman" w:hAnsi="Times New Roman"/>
          <w:szCs w:val="24"/>
          <w:lang w:val="en-GB"/>
        </w:rPr>
        <w:t>Print.</w:t>
      </w:r>
    </w:p>
    <w:p w14:paraId="39FB457C" w14:textId="11335D94" w:rsidR="00A81456" w:rsidRPr="001E6340" w:rsidRDefault="00A81456" w:rsidP="00857846">
      <w:pPr>
        <w:pStyle w:val="reference"/>
        <w:spacing w:line="360" w:lineRule="auto"/>
        <w:ind w:right="198" w:hanging="11"/>
        <w:rPr>
          <w:rFonts w:ascii="Times New Roman" w:hAnsi="Times New Roman"/>
          <w:szCs w:val="24"/>
          <w:lang w:val="en-GB"/>
        </w:rPr>
      </w:pPr>
      <w:r w:rsidRPr="001E6340">
        <w:rPr>
          <w:rFonts w:ascii="Times New Roman" w:hAnsi="Times New Roman"/>
          <w:szCs w:val="24"/>
          <w:lang w:val="en-GB"/>
        </w:rPr>
        <w:t xml:space="preserve">Lothe, Jakob. </w:t>
      </w:r>
      <w:r w:rsidRPr="001E6340">
        <w:rPr>
          <w:rFonts w:ascii="Times New Roman" w:hAnsi="Times New Roman"/>
          <w:i/>
          <w:szCs w:val="24"/>
          <w:lang w:val="en-GB"/>
        </w:rPr>
        <w:t>Conrad’s Narrative Method.</w:t>
      </w:r>
      <w:r w:rsidRPr="001E6340">
        <w:rPr>
          <w:rFonts w:ascii="Times New Roman" w:hAnsi="Times New Roman"/>
          <w:szCs w:val="24"/>
          <w:lang w:val="en-GB"/>
        </w:rPr>
        <w:t xml:space="preserve"> Oxford: Clarendon Press, 1991. </w:t>
      </w:r>
      <w:r w:rsidR="00702A39" w:rsidRPr="001E6340">
        <w:rPr>
          <w:rFonts w:ascii="Times New Roman" w:hAnsi="Times New Roman"/>
          <w:szCs w:val="24"/>
          <w:lang w:val="en-GB"/>
        </w:rPr>
        <w:t>Print.</w:t>
      </w:r>
    </w:p>
    <w:p w14:paraId="77A57265" w14:textId="1C1E685E"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Manocha, Nisha. ‘Readin</w:t>
      </w:r>
      <w:r w:rsidR="00C6667F" w:rsidRPr="001E6340">
        <w:rPr>
          <w:rFonts w:ascii="Times New Roman" w:hAnsi="Times New Roman"/>
          <w:szCs w:val="24"/>
          <w:lang w:val="en-GB"/>
        </w:rPr>
        <w:t>g Documents: Embedded Texts in “The Professor’s House”</w:t>
      </w:r>
      <w:r w:rsidRPr="001E6340">
        <w:rPr>
          <w:rFonts w:ascii="Times New Roman" w:hAnsi="Times New Roman"/>
          <w:szCs w:val="24"/>
          <w:lang w:val="en-GB"/>
        </w:rPr>
        <w:t xml:space="preserve"> and </w:t>
      </w:r>
      <w:r w:rsidRPr="001E6340">
        <w:rPr>
          <w:rFonts w:ascii="Times New Roman" w:hAnsi="Times New Roman"/>
          <w:i/>
          <w:szCs w:val="24"/>
          <w:lang w:val="en-GB"/>
        </w:rPr>
        <w:t>The Shadow-Line</w:t>
      </w:r>
      <w:r w:rsidRPr="001E6340">
        <w:rPr>
          <w:rFonts w:ascii="Times New Roman" w:hAnsi="Times New Roman"/>
          <w:szCs w:val="24"/>
          <w:lang w:val="en-GB"/>
        </w:rPr>
        <w:t xml:space="preserve">’. </w:t>
      </w:r>
      <w:r w:rsidRPr="001E6340">
        <w:rPr>
          <w:rFonts w:ascii="Times New Roman" w:hAnsi="Times New Roman"/>
          <w:i/>
          <w:szCs w:val="24"/>
          <w:lang w:val="en-GB"/>
        </w:rPr>
        <w:t>Studies in the Novel</w:t>
      </w:r>
      <w:r w:rsidRPr="001E6340">
        <w:rPr>
          <w:rFonts w:ascii="Times New Roman" w:hAnsi="Times New Roman"/>
          <w:szCs w:val="24"/>
          <w:lang w:val="en-GB"/>
        </w:rPr>
        <w:t xml:space="preserve"> 44.2 (2012): 186-207. </w:t>
      </w:r>
      <w:r w:rsidR="00702A39" w:rsidRPr="001E6340">
        <w:rPr>
          <w:rFonts w:ascii="Times New Roman" w:hAnsi="Times New Roman"/>
          <w:szCs w:val="24"/>
          <w:lang w:val="en-GB"/>
        </w:rPr>
        <w:t>Project Muse. Web. 23 Jan. 2016.</w:t>
      </w:r>
    </w:p>
    <w:p w14:paraId="2122906B" w14:textId="15018611" w:rsidR="00A81456" w:rsidRPr="001E6340" w:rsidRDefault="002A339A"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Mulry, David. ‘“Lost in the Haze”</w:t>
      </w:r>
      <w:r w:rsidR="00A81456" w:rsidRPr="001E6340">
        <w:rPr>
          <w:rFonts w:ascii="Times New Roman" w:hAnsi="Times New Roman"/>
          <w:szCs w:val="24"/>
          <w:lang w:val="en-GB"/>
        </w:rPr>
        <w:t xml:space="preserve">: Joseph Conrad, the Ruined Maid and the Male Gaze’. </w:t>
      </w:r>
      <w:r w:rsidR="00A81456" w:rsidRPr="001E6340">
        <w:rPr>
          <w:rFonts w:ascii="Times New Roman" w:hAnsi="Times New Roman"/>
          <w:i/>
          <w:szCs w:val="24"/>
          <w:lang w:val="en-GB"/>
        </w:rPr>
        <w:t>South Central Review</w:t>
      </w:r>
      <w:r w:rsidR="00A81456" w:rsidRPr="001E6340">
        <w:rPr>
          <w:rFonts w:ascii="Times New Roman" w:hAnsi="Times New Roman"/>
          <w:szCs w:val="24"/>
          <w:lang w:val="en-GB"/>
        </w:rPr>
        <w:t xml:space="preserve"> 31.1 (2014): 74-98. </w:t>
      </w:r>
      <w:r w:rsidR="00702A39" w:rsidRPr="001E6340">
        <w:rPr>
          <w:rFonts w:ascii="Times New Roman" w:hAnsi="Times New Roman"/>
          <w:szCs w:val="24"/>
          <w:lang w:val="en-GB"/>
        </w:rPr>
        <w:t>Project Muse. Web. 24 Jan. 2016.</w:t>
      </w:r>
    </w:p>
    <w:p w14:paraId="460B18EF" w14:textId="0CEA1B17"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O’Neal, Crystal A. ‘The Subaltern Speaks: A</w:t>
      </w:r>
      <w:r w:rsidR="00F844C0" w:rsidRPr="001E6340">
        <w:rPr>
          <w:rFonts w:ascii="Times New Roman" w:hAnsi="Times New Roman"/>
          <w:szCs w:val="24"/>
          <w:lang w:val="en-GB"/>
        </w:rPr>
        <w:t>mbiguity of Empire in Conrad’s “</w:t>
      </w:r>
      <w:r w:rsidRPr="001E6340">
        <w:rPr>
          <w:rFonts w:ascii="Times New Roman" w:hAnsi="Times New Roman"/>
          <w:szCs w:val="24"/>
          <w:lang w:val="en-GB"/>
        </w:rPr>
        <w:t>Kar</w:t>
      </w:r>
      <w:r w:rsidR="00F844C0" w:rsidRPr="001E6340">
        <w:rPr>
          <w:rFonts w:ascii="Times New Roman" w:hAnsi="Times New Roman"/>
          <w:szCs w:val="24"/>
          <w:lang w:val="en-GB"/>
        </w:rPr>
        <w:t>ain: A Memory”</w:t>
      </w:r>
      <w:r w:rsidRPr="001E6340">
        <w:rPr>
          <w:rFonts w:ascii="Times New Roman" w:hAnsi="Times New Roman"/>
          <w:szCs w:val="24"/>
          <w:lang w:val="en-GB"/>
        </w:rPr>
        <w:t xml:space="preserve">’. </w:t>
      </w:r>
      <w:r w:rsidRPr="001E6340">
        <w:rPr>
          <w:rFonts w:ascii="Times New Roman" w:hAnsi="Times New Roman"/>
          <w:i/>
          <w:szCs w:val="24"/>
          <w:lang w:val="en-GB"/>
        </w:rPr>
        <w:t>Postcolonial Text</w:t>
      </w:r>
      <w:r w:rsidR="002A339A" w:rsidRPr="001E6340">
        <w:rPr>
          <w:rFonts w:ascii="Times New Roman" w:hAnsi="Times New Roman"/>
          <w:szCs w:val="24"/>
          <w:lang w:val="en-GB"/>
        </w:rPr>
        <w:t xml:space="preserve"> 3.1 (2007): 1-12.</w:t>
      </w:r>
      <w:r w:rsidR="00702A39" w:rsidRPr="001E6340">
        <w:rPr>
          <w:rFonts w:ascii="Times New Roman" w:hAnsi="Times New Roman"/>
          <w:szCs w:val="24"/>
          <w:lang w:val="en-GB"/>
        </w:rPr>
        <w:t xml:space="preserve"> </w:t>
      </w:r>
      <w:r w:rsidR="007F4A46" w:rsidRPr="001E6340">
        <w:rPr>
          <w:rFonts w:ascii="Times New Roman" w:hAnsi="Times New Roman"/>
          <w:szCs w:val="24"/>
          <w:lang w:val="en-GB"/>
        </w:rPr>
        <w:t>Online Journal. http://postcolonial.org/index.php/pct/article/view/553/384</w:t>
      </w:r>
      <w:r w:rsidR="00702A39" w:rsidRPr="001E6340">
        <w:rPr>
          <w:rFonts w:ascii="Times New Roman" w:hAnsi="Times New Roman"/>
          <w:szCs w:val="24"/>
          <w:lang w:val="en-GB"/>
        </w:rPr>
        <w:t xml:space="preserve">. </w:t>
      </w:r>
      <w:r w:rsidR="007F4A46" w:rsidRPr="001E6340">
        <w:rPr>
          <w:rFonts w:ascii="Times New Roman" w:hAnsi="Times New Roman"/>
          <w:szCs w:val="24"/>
          <w:lang w:val="en-GB"/>
        </w:rPr>
        <w:t xml:space="preserve">Accessed </w:t>
      </w:r>
      <w:r w:rsidR="00702A39" w:rsidRPr="001E6340">
        <w:rPr>
          <w:rFonts w:ascii="Times New Roman" w:hAnsi="Times New Roman"/>
          <w:szCs w:val="24"/>
          <w:lang w:val="en-GB"/>
        </w:rPr>
        <w:t>10 Feb. 2016.</w:t>
      </w:r>
    </w:p>
    <w:p w14:paraId="32C86E47" w14:textId="57CC5A75"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Peters, John G. </w:t>
      </w:r>
      <w:r w:rsidRPr="001E6340">
        <w:rPr>
          <w:rFonts w:ascii="Times New Roman" w:hAnsi="Times New Roman"/>
          <w:i/>
          <w:szCs w:val="24"/>
          <w:lang w:val="en-GB"/>
        </w:rPr>
        <w:t>Conrad and Impressionism.</w:t>
      </w:r>
      <w:r w:rsidRPr="001E6340">
        <w:rPr>
          <w:rFonts w:ascii="Times New Roman" w:hAnsi="Times New Roman"/>
          <w:szCs w:val="24"/>
          <w:lang w:val="en-GB"/>
        </w:rPr>
        <w:t xml:space="preserve"> Cambridge: Cambridge University Press, 2001. </w:t>
      </w:r>
      <w:r w:rsidR="00702A39" w:rsidRPr="001E6340">
        <w:rPr>
          <w:rFonts w:ascii="Times New Roman" w:hAnsi="Times New Roman"/>
          <w:szCs w:val="24"/>
          <w:lang w:val="en-GB"/>
        </w:rPr>
        <w:t>Print.</w:t>
      </w:r>
    </w:p>
    <w:p w14:paraId="4E3B7162" w14:textId="55B71C82" w:rsidR="00A81456" w:rsidRPr="001E6340" w:rsidRDefault="00A81456" w:rsidP="00857846">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Roberts, Andrew Michael. </w:t>
      </w:r>
      <w:r w:rsidRPr="001E6340">
        <w:rPr>
          <w:rFonts w:ascii="Times New Roman" w:hAnsi="Times New Roman"/>
          <w:i/>
          <w:szCs w:val="24"/>
          <w:lang w:val="en-GB"/>
        </w:rPr>
        <w:t>Conrad and Masculinity</w:t>
      </w:r>
      <w:r w:rsidRPr="001E6340">
        <w:rPr>
          <w:rFonts w:ascii="Times New Roman" w:hAnsi="Times New Roman"/>
          <w:szCs w:val="24"/>
          <w:lang w:val="en-GB"/>
        </w:rPr>
        <w:t xml:space="preserve">. Basingstoke: Macmillan, 2000. </w:t>
      </w:r>
      <w:r w:rsidR="00702A39" w:rsidRPr="001E6340">
        <w:rPr>
          <w:rFonts w:ascii="Times New Roman" w:hAnsi="Times New Roman"/>
          <w:szCs w:val="24"/>
          <w:lang w:val="en-GB"/>
        </w:rPr>
        <w:t>Print.</w:t>
      </w:r>
      <w:r w:rsidRPr="001E6340">
        <w:rPr>
          <w:rFonts w:ascii="Times New Roman" w:hAnsi="Times New Roman"/>
          <w:szCs w:val="24"/>
          <w:lang w:val="en-GB"/>
        </w:rPr>
        <w:t xml:space="preserve"> </w:t>
      </w:r>
    </w:p>
    <w:p w14:paraId="5979A367" w14:textId="6CCD978B" w:rsidR="00A81456" w:rsidRPr="001E6340" w:rsidRDefault="00A81456" w:rsidP="00857846">
      <w:pPr>
        <w:pStyle w:val="reference"/>
        <w:spacing w:line="360" w:lineRule="auto"/>
        <w:ind w:right="198" w:hanging="11"/>
        <w:rPr>
          <w:rFonts w:ascii="Times New Roman" w:hAnsi="Times New Roman"/>
          <w:szCs w:val="24"/>
          <w:lang w:val="en-GB"/>
        </w:rPr>
      </w:pPr>
      <w:r w:rsidRPr="001E6340">
        <w:rPr>
          <w:rFonts w:ascii="Times New Roman" w:hAnsi="Times New Roman"/>
          <w:szCs w:val="24"/>
          <w:lang w:val="en-GB"/>
        </w:rPr>
        <w:t xml:space="preserve">Watt, Ian. </w:t>
      </w:r>
      <w:r w:rsidRPr="001E6340">
        <w:rPr>
          <w:rFonts w:ascii="Times New Roman" w:hAnsi="Times New Roman"/>
          <w:i/>
          <w:szCs w:val="24"/>
          <w:lang w:val="en-GB"/>
        </w:rPr>
        <w:t>Essays on Conrad.</w:t>
      </w:r>
      <w:r w:rsidRPr="001E6340">
        <w:rPr>
          <w:rFonts w:ascii="Times New Roman" w:hAnsi="Times New Roman"/>
          <w:szCs w:val="24"/>
          <w:lang w:val="en-GB"/>
        </w:rPr>
        <w:t xml:space="preserve"> Cambridge: Cambridge University Press, 2000. </w:t>
      </w:r>
      <w:r w:rsidR="00702A39" w:rsidRPr="001E6340">
        <w:rPr>
          <w:rFonts w:ascii="Times New Roman" w:hAnsi="Times New Roman"/>
          <w:szCs w:val="24"/>
          <w:lang w:val="en-GB"/>
        </w:rPr>
        <w:t>Print.</w:t>
      </w:r>
      <w:r w:rsidRPr="001E6340">
        <w:rPr>
          <w:rFonts w:ascii="Times New Roman" w:hAnsi="Times New Roman"/>
          <w:szCs w:val="24"/>
          <w:lang w:val="en-GB"/>
        </w:rPr>
        <w:t xml:space="preserve">      </w:t>
      </w:r>
    </w:p>
    <w:p w14:paraId="5841D706" w14:textId="263B940D" w:rsidR="00EC35C7" w:rsidRPr="00397822" w:rsidRDefault="00A81456" w:rsidP="00982839">
      <w:pPr>
        <w:pStyle w:val="reference"/>
        <w:spacing w:line="360" w:lineRule="auto"/>
        <w:ind w:left="709" w:right="198" w:hanging="720"/>
        <w:rPr>
          <w:rFonts w:ascii="Times New Roman" w:hAnsi="Times New Roman"/>
          <w:szCs w:val="24"/>
          <w:lang w:val="en-GB"/>
        </w:rPr>
      </w:pPr>
      <w:r w:rsidRPr="001E6340">
        <w:rPr>
          <w:rFonts w:ascii="Times New Roman" w:hAnsi="Times New Roman"/>
          <w:szCs w:val="24"/>
          <w:lang w:val="en-GB"/>
        </w:rPr>
        <w:t xml:space="preserve">White, Andrea. ‘Conrad and Imperialism’. </w:t>
      </w:r>
      <w:r w:rsidRPr="001E6340">
        <w:rPr>
          <w:rFonts w:ascii="Times New Roman" w:hAnsi="Times New Roman"/>
          <w:i/>
          <w:szCs w:val="24"/>
          <w:lang w:val="en-GB"/>
        </w:rPr>
        <w:t>The Cambridge Companion to Joseph Conrad</w:t>
      </w:r>
      <w:r w:rsidRPr="001E6340">
        <w:rPr>
          <w:rFonts w:ascii="Times New Roman" w:hAnsi="Times New Roman"/>
          <w:szCs w:val="24"/>
          <w:lang w:val="en-GB"/>
        </w:rPr>
        <w:t>. Ed. J.H. Stape. Cambridge: Cambr</w:t>
      </w:r>
      <w:r w:rsidRPr="00397822">
        <w:rPr>
          <w:rFonts w:ascii="Times New Roman" w:hAnsi="Times New Roman"/>
          <w:szCs w:val="24"/>
          <w:lang w:val="en-GB"/>
        </w:rPr>
        <w:t>idge University Press, 1996: 179-202.</w:t>
      </w:r>
      <w:r w:rsidR="00702A39" w:rsidRPr="00397822">
        <w:rPr>
          <w:rFonts w:ascii="Times New Roman" w:hAnsi="Times New Roman"/>
          <w:szCs w:val="24"/>
          <w:lang w:val="en-GB"/>
        </w:rPr>
        <w:t xml:space="preserve"> Print.</w:t>
      </w:r>
      <w:r w:rsidRPr="00397822">
        <w:rPr>
          <w:rFonts w:ascii="Times New Roman" w:hAnsi="Times New Roman"/>
          <w:szCs w:val="24"/>
          <w:lang w:val="en-GB"/>
        </w:rPr>
        <w:t xml:space="preserve">     </w:t>
      </w:r>
    </w:p>
    <w:sectPr w:rsidR="00EC35C7" w:rsidRPr="00397822" w:rsidSect="006F05DE">
      <w:headerReference w:type="even" r:id="rId8"/>
      <w:headerReference w:type="default" r:id="rId9"/>
      <w:footerReference w:type="even" r:id="rId10"/>
      <w:footerReference w:type="default" r:id="rId11"/>
      <w:endnotePr>
        <w:numFmt w:val="decimal"/>
      </w:endnotePr>
      <w:type w:val="continuous"/>
      <w:pgSz w:w="11900" w:h="16820"/>
      <w:pgMar w:top="1440" w:right="1474" w:bottom="1440" w:left="1474" w:header="567" w:footer="56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C4828" w14:textId="77777777" w:rsidR="00615AE7" w:rsidRDefault="00615AE7">
      <w:pPr>
        <w:spacing w:line="240" w:lineRule="auto"/>
      </w:pPr>
      <w:r>
        <w:separator/>
      </w:r>
    </w:p>
  </w:endnote>
  <w:endnote w:type="continuationSeparator" w:id="0">
    <w:p w14:paraId="65A2E7FA" w14:textId="77777777" w:rsidR="00615AE7" w:rsidRDefault="00615A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de">
    <w:altName w:val="Cambria"/>
    <w:panose1 w:val="00000000000000000000"/>
    <w:charset w:val="4D"/>
    <w:family w:val="swiss"/>
    <w:notTrueType/>
    <w:pitch w:val="default"/>
    <w:sig w:usb0="00000003" w:usb1="00000000" w:usb2="00000000" w:usb3="00000000" w:csb0="00000001" w:csb1="00000000"/>
  </w:font>
  <w:font w:name="Sabon MT Pro">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03E3F" w14:textId="77777777" w:rsidR="00615AE7" w:rsidRDefault="00615AE7" w:rsidP="00027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E6C693" w14:textId="77777777" w:rsidR="00615AE7" w:rsidRDefault="00615AE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0DD64" w14:textId="77777777" w:rsidR="00615AE7" w:rsidRDefault="00615AE7" w:rsidP="00027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6340">
      <w:rPr>
        <w:rStyle w:val="PageNumber"/>
        <w:noProof/>
      </w:rPr>
      <w:t>1</w:t>
    </w:r>
    <w:r>
      <w:rPr>
        <w:rStyle w:val="PageNumber"/>
      </w:rPr>
      <w:fldChar w:fldCharType="end"/>
    </w:r>
  </w:p>
  <w:p w14:paraId="649326FB" w14:textId="38E11D27" w:rsidR="00615AE7" w:rsidRPr="00DA0F52" w:rsidRDefault="00615AE7">
    <w:pPr>
      <w:pStyle w:val="Footer"/>
      <w:rPr>
        <w:rFonts w:ascii="Arial" w:hAnsi="Arial"/>
      </w:rPr>
    </w:pPr>
    <w:r>
      <w:rPr>
        <w:rStyle w:val="PageNumbe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6E084" w14:textId="77777777" w:rsidR="00615AE7" w:rsidRDefault="00615AE7">
      <w:pPr>
        <w:spacing w:line="240" w:lineRule="auto"/>
      </w:pPr>
      <w:r>
        <w:separator/>
      </w:r>
    </w:p>
  </w:footnote>
  <w:footnote w:type="continuationSeparator" w:id="0">
    <w:p w14:paraId="7BCC8EDD" w14:textId="77777777" w:rsidR="00615AE7" w:rsidRDefault="00615AE7">
      <w:pPr>
        <w:spacing w:line="240" w:lineRule="auto"/>
      </w:pPr>
      <w:r>
        <w:continuationSeparator/>
      </w:r>
    </w:p>
  </w:footnote>
  <w:footnote w:id="1">
    <w:p w14:paraId="03689995" w14:textId="27D3ABE8" w:rsidR="00615AE7" w:rsidRPr="009908B3" w:rsidRDefault="00615AE7" w:rsidP="009908B3">
      <w:pPr>
        <w:pStyle w:val="EndnoteText"/>
        <w:rPr>
          <w:sz w:val="20"/>
          <w:szCs w:val="20"/>
          <w:lang w:val="en-US"/>
        </w:rPr>
      </w:pPr>
      <w:r w:rsidRPr="009908B3">
        <w:rPr>
          <w:rStyle w:val="FootnoteReference"/>
          <w:sz w:val="20"/>
          <w:szCs w:val="20"/>
        </w:rPr>
        <w:footnoteRef/>
      </w:r>
      <w:r>
        <w:t xml:space="preserve"> </w:t>
      </w:r>
      <w:r w:rsidRPr="00B25828">
        <w:rPr>
          <w:sz w:val="20"/>
          <w:szCs w:val="20"/>
        </w:rPr>
        <w:t>Andrea</w:t>
      </w:r>
      <w:r>
        <w:rPr>
          <w:sz w:val="20"/>
          <w:szCs w:val="20"/>
        </w:rPr>
        <w:t xml:space="preserve"> White</w:t>
      </w:r>
      <w:r w:rsidRPr="00B25828">
        <w:rPr>
          <w:sz w:val="20"/>
          <w:szCs w:val="20"/>
        </w:rPr>
        <w:t xml:space="preserve">. ‘Conrad and Imperialism’. </w:t>
      </w:r>
      <w:r w:rsidRPr="00B25828">
        <w:rPr>
          <w:i/>
          <w:sz w:val="20"/>
          <w:szCs w:val="20"/>
        </w:rPr>
        <w:t>The Cambridge Companion to Joseph Conrad</w:t>
      </w:r>
      <w:r w:rsidRPr="00B25828">
        <w:rPr>
          <w:sz w:val="20"/>
          <w:szCs w:val="20"/>
        </w:rPr>
        <w:t>. Ed. J.H. Stape. Cambridge: Cambridge U</w:t>
      </w:r>
      <w:r>
        <w:rPr>
          <w:sz w:val="20"/>
          <w:szCs w:val="20"/>
        </w:rPr>
        <w:t>niversity Press, 1996. pp. 181, 198.</w:t>
      </w:r>
    </w:p>
  </w:footnote>
  <w:footnote w:id="2">
    <w:p w14:paraId="4600603E" w14:textId="7E76A271" w:rsidR="00615AE7" w:rsidRPr="009908B3" w:rsidRDefault="00615AE7" w:rsidP="009908B3">
      <w:pPr>
        <w:spacing w:line="240" w:lineRule="auto"/>
      </w:pPr>
      <w:r w:rsidRPr="009908B3">
        <w:rPr>
          <w:rStyle w:val="FootnoteReference"/>
          <w:sz w:val="20"/>
          <w:szCs w:val="20"/>
        </w:rPr>
        <w:footnoteRef/>
      </w:r>
      <w:r w:rsidRPr="009908B3">
        <w:rPr>
          <w:sz w:val="20"/>
          <w:szCs w:val="20"/>
        </w:rPr>
        <w:t xml:space="preserve"> Kenneth Graham. ‘Conrad and Modernism’. </w:t>
      </w:r>
      <w:r w:rsidRPr="009908B3">
        <w:rPr>
          <w:i/>
          <w:sz w:val="20"/>
          <w:szCs w:val="20"/>
        </w:rPr>
        <w:t>The Cambridge Companion to Joseph Conra</w:t>
      </w:r>
      <w:r w:rsidRPr="009908B3">
        <w:rPr>
          <w:sz w:val="20"/>
          <w:szCs w:val="20"/>
        </w:rPr>
        <w:t>d. Ed.</w:t>
      </w:r>
      <w:r>
        <w:rPr>
          <w:sz w:val="20"/>
          <w:szCs w:val="20"/>
        </w:rPr>
        <w:t xml:space="preserve"> J.H. </w:t>
      </w:r>
      <w:r w:rsidRPr="009908B3">
        <w:rPr>
          <w:sz w:val="20"/>
          <w:szCs w:val="20"/>
        </w:rPr>
        <w:t>Stape. Cambridge: Cambridge University Press, 1996. p.</w:t>
      </w:r>
      <w:r>
        <w:rPr>
          <w:sz w:val="20"/>
          <w:szCs w:val="20"/>
        </w:rPr>
        <w:t xml:space="preserve"> 207</w:t>
      </w:r>
      <w:r w:rsidRPr="009908B3">
        <w:rPr>
          <w:sz w:val="20"/>
          <w:szCs w:val="20"/>
        </w:rPr>
        <w:t>.</w:t>
      </w:r>
    </w:p>
  </w:footnote>
  <w:footnote w:id="3">
    <w:p w14:paraId="143A63D7" w14:textId="2842CDFA" w:rsidR="00615AE7" w:rsidRPr="00120C30" w:rsidRDefault="00615AE7">
      <w:pPr>
        <w:pStyle w:val="FootnoteText"/>
        <w:rPr>
          <w:lang w:val="en-US"/>
        </w:rPr>
      </w:pPr>
      <w:r w:rsidRPr="00303268">
        <w:rPr>
          <w:rStyle w:val="FootnoteReference"/>
          <w:sz w:val="20"/>
          <w:szCs w:val="20"/>
        </w:rPr>
        <w:footnoteRef/>
      </w:r>
      <w:r w:rsidRPr="00303268">
        <w:rPr>
          <w:sz w:val="20"/>
          <w:szCs w:val="20"/>
        </w:rPr>
        <w:t xml:space="preserve"> </w:t>
      </w:r>
      <w:r w:rsidRPr="002F6D35">
        <w:rPr>
          <w:i/>
          <w:sz w:val="20"/>
          <w:szCs w:val="20"/>
        </w:rPr>
        <w:t>Joseph Conrad’s Letters to R.B. Cunninghame Grahame</w:t>
      </w:r>
      <w:r w:rsidRPr="002F6D35">
        <w:rPr>
          <w:sz w:val="20"/>
          <w:szCs w:val="20"/>
        </w:rPr>
        <w:t xml:space="preserve">. Ed. C.T. Watts. Cambridge: Cambridge University Press, 1969. </w:t>
      </w:r>
      <w:r>
        <w:rPr>
          <w:sz w:val="20"/>
          <w:szCs w:val="20"/>
        </w:rPr>
        <w:t>p. 45.</w:t>
      </w:r>
    </w:p>
  </w:footnote>
  <w:footnote w:id="4">
    <w:p w14:paraId="4EFFFEA8" w14:textId="25E4AC4A" w:rsidR="00615AE7" w:rsidRPr="00120C30" w:rsidRDefault="00615AE7" w:rsidP="00120C30">
      <w:pPr>
        <w:spacing w:line="240" w:lineRule="auto"/>
        <w:rPr>
          <w:sz w:val="20"/>
          <w:szCs w:val="20"/>
        </w:rPr>
      </w:pPr>
      <w:r w:rsidRPr="00120C30">
        <w:rPr>
          <w:rStyle w:val="FootnoteReference"/>
          <w:sz w:val="20"/>
          <w:szCs w:val="20"/>
        </w:rPr>
        <w:footnoteRef/>
      </w:r>
      <w:r w:rsidRPr="00120C30">
        <w:rPr>
          <w:sz w:val="20"/>
          <w:szCs w:val="20"/>
        </w:rPr>
        <w:t xml:space="preserve"> </w:t>
      </w:r>
      <w:r w:rsidRPr="002F6D35">
        <w:rPr>
          <w:sz w:val="20"/>
          <w:szCs w:val="20"/>
        </w:rPr>
        <w:t xml:space="preserve">John G. </w:t>
      </w:r>
      <w:r>
        <w:rPr>
          <w:sz w:val="20"/>
          <w:szCs w:val="20"/>
        </w:rPr>
        <w:t>Peters.</w:t>
      </w:r>
      <w:r w:rsidRPr="002F6D35">
        <w:rPr>
          <w:sz w:val="20"/>
          <w:szCs w:val="20"/>
        </w:rPr>
        <w:t xml:space="preserve"> </w:t>
      </w:r>
      <w:r w:rsidRPr="002F6D35">
        <w:rPr>
          <w:i/>
          <w:sz w:val="20"/>
          <w:szCs w:val="20"/>
        </w:rPr>
        <w:t>Conrad and Impressionism.</w:t>
      </w:r>
      <w:r w:rsidRPr="002F6D35">
        <w:rPr>
          <w:sz w:val="20"/>
          <w:szCs w:val="20"/>
        </w:rPr>
        <w:t xml:space="preserve"> Cambridge: Cambridge University Press, 2001.</w:t>
      </w:r>
      <w:r>
        <w:rPr>
          <w:sz w:val="20"/>
          <w:szCs w:val="20"/>
        </w:rPr>
        <w:t xml:space="preserve"> p. 5.</w:t>
      </w:r>
    </w:p>
  </w:footnote>
  <w:footnote w:id="5">
    <w:p w14:paraId="265FB77F" w14:textId="50B25CC3" w:rsidR="00615AE7" w:rsidRPr="00120C30" w:rsidRDefault="00615AE7">
      <w:pPr>
        <w:pStyle w:val="FootnoteText"/>
        <w:rPr>
          <w:sz w:val="20"/>
          <w:szCs w:val="20"/>
          <w:lang w:val="en-US"/>
        </w:rPr>
      </w:pPr>
      <w:r w:rsidRPr="00120C30">
        <w:rPr>
          <w:rStyle w:val="FootnoteReference"/>
          <w:sz w:val="20"/>
          <w:szCs w:val="20"/>
        </w:rPr>
        <w:footnoteRef/>
      </w:r>
      <w:r w:rsidRPr="00120C30">
        <w:rPr>
          <w:sz w:val="20"/>
          <w:szCs w:val="20"/>
        </w:rPr>
        <w:t xml:space="preserve"> </w:t>
      </w:r>
      <w:r w:rsidRPr="002F6D35">
        <w:rPr>
          <w:sz w:val="20"/>
          <w:szCs w:val="20"/>
        </w:rPr>
        <w:t>Daniel Just. ‘Between Narrative Paradigms: Joseph Conra</w:t>
      </w:r>
      <w:r>
        <w:rPr>
          <w:sz w:val="20"/>
          <w:szCs w:val="20"/>
        </w:rPr>
        <w:t xml:space="preserve">d and the Shift from Realism to </w:t>
      </w:r>
      <w:r w:rsidRPr="002F6D35">
        <w:rPr>
          <w:sz w:val="20"/>
          <w:szCs w:val="20"/>
        </w:rPr>
        <w:t xml:space="preserve">Modernism from a Genre Perspective’. </w:t>
      </w:r>
      <w:r w:rsidRPr="002F6D35">
        <w:rPr>
          <w:i/>
          <w:sz w:val="20"/>
          <w:szCs w:val="20"/>
        </w:rPr>
        <w:t>English Studies</w:t>
      </w:r>
      <w:r>
        <w:rPr>
          <w:sz w:val="20"/>
          <w:szCs w:val="20"/>
        </w:rPr>
        <w:t xml:space="preserve"> 89.3 (2008): pp. </w:t>
      </w:r>
      <w:r w:rsidRPr="002F6D35">
        <w:rPr>
          <w:sz w:val="20"/>
          <w:szCs w:val="20"/>
        </w:rPr>
        <w:t xml:space="preserve">277, </w:t>
      </w:r>
      <w:r>
        <w:rPr>
          <w:sz w:val="20"/>
          <w:szCs w:val="20"/>
        </w:rPr>
        <w:t>282</w:t>
      </w:r>
      <w:r w:rsidRPr="002F6D35">
        <w:rPr>
          <w:sz w:val="20"/>
          <w:szCs w:val="20"/>
        </w:rPr>
        <w:t>.</w:t>
      </w:r>
    </w:p>
  </w:footnote>
  <w:footnote w:id="6">
    <w:p w14:paraId="69DACFC8" w14:textId="659D826C" w:rsidR="00615AE7" w:rsidRPr="00120C30" w:rsidRDefault="00615AE7">
      <w:pPr>
        <w:pStyle w:val="FootnoteText"/>
        <w:rPr>
          <w:sz w:val="20"/>
          <w:szCs w:val="20"/>
          <w:lang w:val="en-US"/>
        </w:rPr>
      </w:pPr>
      <w:r w:rsidRPr="00120C30">
        <w:rPr>
          <w:rStyle w:val="FootnoteReference"/>
          <w:sz w:val="20"/>
          <w:szCs w:val="20"/>
        </w:rPr>
        <w:footnoteRef/>
      </w:r>
      <w:r w:rsidRPr="00120C30">
        <w:rPr>
          <w:sz w:val="20"/>
          <w:szCs w:val="20"/>
        </w:rPr>
        <w:t xml:space="preserve"> </w:t>
      </w:r>
      <w:r>
        <w:rPr>
          <w:sz w:val="20"/>
          <w:szCs w:val="20"/>
        </w:rPr>
        <w:t>Peters, p. 22.</w:t>
      </w:r>
    </w:p>
  </w:footnote>
  <w:footnote w:id="7">
    <w:p w14:paraId="32141C35" w14:textId="66A1646A" w:rsidR="00615AE7" w:rsidRPr="00120C30" w:rsidRDefault="00615AE7">
      <w:pPr>
        <w:pStyle w:val="FootnoteText"/>
        <w:rPr>
          <w:sz w:val="20"/>
          <w:szCs w:val="20"/>
          <w:lang w:val="en-US"/>
        </w:rPr>
      </w:pPr>
      <w:r w:rsidRPr="00120C30">
        <w:rPr>
          <w:rStyle w:val="FootnoteReference"/>
          <w:sz w:val="20"/>
          <w:szCs w:val="20"/>
        </w:rPr>
        <w:footnoteRef/>
      </w:r>
      <w:r w:rsidRPr="00120C30">
        <w:rPr>
          <w:sz w:val="20"/>
          <w:szCs w:val="20"/>
        </w:rPr>
        <w:t xml:space="preserve"> </w:t>
      </w:r>
      <w:r w:rsidRPr="00570A26">
        <w:rPr>
          <w:sz w:val="20"/>
          <w:szCs w:val="20"/>
        </w:rPr>
        <w:t xml:space="preserve">Linda Dryden. </w:t>
      </w:r>
      <w:r w:rsidRPr="00570A26">
        <w:rPr>
          <w:i/>
          <w:sz w:val="20"/>
          <w:szCs w:val="20"/>
        </w:rPr>
        <w:t>Joseph Conrad and the Imperial Romance.</w:t>
      </w:r>
      <w:r w:rsidRPr="00570A26">
        <w:rPr>
          <w:sz w:val="20"/>
          <w:szCs w:val="20"/>
        </w:rPr>
        <w:t xml:space="preserve"> Basingstoke: Palgrave, 2000.</w:t>
      </w:r>
      <w:r>
        <w:rPr>
          <w:sz w:val="20"/>
          <w:szCs w:val="20"/>
        </w:rPr>
        <w:t xml:space="preserve"> p. 114.</w:t>
      </w:r>
    </w:p>
  </w:footnote>
  <w:footnote w:id="8">
    <w:p w14:paraId="25EDE9E2" w14:textId="138A4F24" w:rsidR="00615AE7" w:rsidRPr="00F80A86" w:rsidRDefault="00615AE7" w:rsidP="00303268">
      <w:pPr>
        <w:pStyle w:val="reference"/>
        <w:spacing w:after="0"/>
        <w:ind w:right="198"/>
        <w:rPr>
          <w:rFonts w:ascii="Times New Roman" w:hAnsi="Times New Roman"/>
          <w:sz w:val="20"/>
          <w:szCs w:val="20"/>
        </w:rPr>
      </w:pPr>
      <w:r w:rsidRPr="00F80A86">
        <w:rPr>
          <w:rStyle w:val="FootnoteReference"/>
          <w:rFonts w:ascii="Times New Roman" w:hAnsi="Times New Roman"/>
          <w:sz w:val="20"/>
          <w:szCs w:val="20"/>
        </w:rPr>
        <w:footnoteRef/>
      </w:r>
      <w:r w:rsidRPr="00F80A86">
        <w:rPr>
          <w:rFonts w:ascii="Times New Roman" w:hAnsi="Times New Roman"/>
          <w:sz w:val="20"/>
          <w:szCs w:val="20"/>
        </w:rPr>
        <w:t xml:space="preserve"> Joseph Conrad.</w:t>
      </w:r>
      <w:r w:rsidRPr="00F80A86">
        <w:rPr>
          <w:rFonts w:ascii="Times New Roman" w:hAnsi="Times New Roman"/>
          <w:i/>
          <w:sz w:val="20"/>
          <w:szCs w:val="20"/>
        </w:rPr>
        <w:t xml:space="preserve"> Tales of Unrest. </w:t>
      </w:r>
      <w:r w:rsidRPr="00F80A86">
        <w:rPr>
          <w:rFonts w:ascii="Times New Roman" w:hAnsi="Times New Roman"/>
          <w:sz w:val="20"/>
          <w:szCs w:val="20"/>
        </w:rPr>
        <w:t>London: J.M. Dent and Son</w:t>
      </w:r>
      <w:r>
        <w:rPr>
          <w:rFonts w:ascii="Times New Roman" w:hAnsi="Times New Roman"/>
          <w:sz w:val="20"/>
          <w:szCs w:val="20"/>
        </w:rPr>
        <w:t>s, 1947. p. 8, pp. 7-8.</w:t>
      </w:r>
    </w:p>
  </w:footnote>
  <w:footnote w:id="9">
    <w:p w14:paraId="1C0516B7" w14:textId="3C0ACD34" w:rsidR="00615AE7" w:rsidRPr="00303268" w:rsidRDefault="00615AE7">
      <w:pPr>
        <w:pStyle w:val="FootnoteText"/>
        <w:rPr>
          <w:sz w:val="20"/>
          <w:szCs w:val="20"/>
          <w:lang w:val="en-US"/>
        </w:rPr>
      </w:pPr>
      <w:r w:rsidRPr="00303268">
        <w:rPr>
          <w:rStyle w:val="FootnoteReference"/>
          <w:sz w:val="20"/>
          <w:szCs w:val="20"/>
        </w:rPr>
        <w:footnoteRef/>
      </w:r>
      <w:r w:rsidRPr="00303268">
        <w:rPr>
          <w:sz w:val="20"/>
          <w:szCs w:val="20"/>
        </w:rPr>
        <w:t xml:space="preserve"> </w:t>
      </w:r>
      <w:r>
        <w:rPr>
          <w:sz w:val="20"/>
          <w:szCs w:val="20"/>
        </w:rPr>
        <w:t xml:space="preserve">Conrad, </w:t>
      </w:r>
      <w:r>
        <w:rPr>
          <w:i/>
          <w:sz w:val="20"/>
          <w:szCs w:val="20"/>
        </w:rPr>
        <w:t>Tales of Unrest,</w:t>
      </w:r>
      <w:r>
        <w:rPr>
          <w:sz w:val="20"/>
          <w:szCs w:val="20"/>
        </w:rPr>
        <w:t xml:space="preserve"> p. 45.</w:t>
      </w:r>
    </w:p>
  </w:footnote>
  <w:footnote w:id="10">
    <w:p w14:paraId="4FB75D31" w14:textId="056F156B" w:rsidR="00615AE7" w:rsidRPr="00303268" w:rsidRDefault="00615AE7">
      <w:pPr>
        <w:pStyle w:val="FootnoteText"/>
        <w:rPr>
          <w:sz w:val="20"/>
          <w:szCs w:val="20"/>
          <w:lang w:val="en-US"/>
        </w:rPr>
      </w:pPr>
      <w:r w:rsidRPr="00303268">
        <w:rPr>
          <w:rStyle w:val="FootnoteReference"/>
          <w:sz w:val="20"/>
          <w:szCs w:val="20"/>
        </w:rPr>
        <w:footnoteRef/>
      </w:r>
      <w:r w:rsidRPr="00303268">
        <w:rPr>
          <w:sz w:val="20"/>
          <w:szCs w:val="20"/>
        </w:rPr>
        <w:t xml:space="preserve"> </w:t>
      </w:r>
      <w:r>
        <w:rPr>
          <w:sz w:val="20"/>
          <w:szCs w:val="20"/>
        </w:rPr>
        <w:t>Ibid, p. 18.</w:t>
      </w:r>
    </w:p>
  </w:footnote>
  <w:footnote w:id="11">
    <w:p w14:paraId="10C34036" w14:textId="11954EF7" w:rsidR="00615AE7" w:rsidRPr="00F80A86" w:rsidRDefault="00615AE7" w:rsidP="006F05DE">
      <w:pPr>
        <w:pStyle w:val="reference"/>
        <w:spacing w:after="0"/>
        <w:ind w:right="198"/>
        <w:rPr>
          <w:rFonts w:ascii="Times New Roman" w:hAnsi="Times New Roman"/>
          <w:sz w:val="20"/>
          <w:szCs w:val="20"/>
        </w:rPr>
      </w:pPr>
      <w:r w:rsidRPr="00F80A86">
        <w:rPr>
          <w:rStyle w:val="FootnoteReference"/>
          <w:rFonts w:ascii="Times New Roman" w:hAnsi="Times New Roman"/>
          <w:sz w:val="20"/>
          <w:szCs w:val="20"/>
        </w:rPr>
        <w:footnoteRef/>
      </w:r>
      <w:r w:rsidRPr="00F80A86">
        <w:rPr>
          <w:rFonts w:ascii="Times New Roman" w:hAnsi="Times New Roman"/>
          <w:sz w:val="20"/>
          <w:szCs w:val="20"/>
        </w:rPr>
        <w:t xml:space="preserve"> </w:t>
      </w:r>
      <w:r w:rsidRPr="001A2EF5">
        <w:rPr>
          <w:rFonts w:ascii="Times New Roman" w:hAnsi="Times New Roman"/>
          <w:sz w:val="20"/>
          <w:szCs w:val="20"/>
        </w:rPr>
        <w:t xml:space="preserve">Andrew Michael Roberts. </w:t>
      </w:r>
      <w:r w:rsidRPr="001A2EF5">
        <w:rPr>
          <w:rFonts w:ascii="Times New Roman" w:hAnsi="Times New Roman"/>
          <w:i/>
          <w:sz w:val="20"/>
          <w:szCs w:val="20"/>
        </w:rPr>
        <w:t>Conrad and Masculinity</w:t>
      </w:r>
      <w:r w:rsidRPr="001A2EF5">
        <w:rPr>
          <w:rFonts w:ascii="Times New Roman" w:hAnsi="Times New Roman"/>
          <w:sz w:val="20"/>
          <w:szCs w:val="20"/>
        </w:rPr>
        <w:t>. Basingstok</w:t>
      </w:r>
      <w:r>
        <w:rPr>
          <w:rFonts w:ascii="Times New Roman" w:hAnsi="Times New Roman"/>
          <w:sz w:val="20"/>
          <w:szCs w:val="20"/>
        </w:rPr>
        <w:t xml:space="preserve">e: Macmillan, 2000. p. 55. </w:t>
      </w:r>
    </w:p>
  </w:footnote>
  <w:footnote w:id="12">
    <w:p w14:paraId="1817B44A" w14:textId="280309D6" w:rsidR="00615AE7" w:rsidRPr="00974363" w:rsidRDefault="00615AE7">
      <w:pPr>
        <w:pStyle w:val="FootnoteText"/>
        <w:rPr>
          <w:sz w:val="20"/>
          <w:szCs w:val="20"/>
          <w:lang w:val="en-US"/>
        </w:rPr>
      </w:pPr>
      <w:r w:rsidRPr="00303268">
        <w:rPr>
          <w:rStyle w:val="FootnoteReference"/>
          <w:sz w:val="20"/>
          <w:szCs w:val="20"/>
        </w:rPr>
        <w:footnoteRef/>
      </w:r>
      <w:r w:rsidRPr="00303268">
        <w:rPr>
          <w:sz w:val="20"/>
          <w:szCs w:val="20"/>
        </w:rPr>
        <w:t xml:space="preserve"> </w:t>
      </w:r>
      <w:r>
        <w:rPr>
          <w:sz w:val="20"/>
          <w:szCs w:val="20"/>
        </w:rPr>
        <w:t xml:space="preserve">Conrad, </w:t>
      </w:r>
      <w:r>
        <w:rPr>
          <w:i/>
          <w:sz w:val="20"/>
          <w:szCs w:val="20"/>
        </w:rPr>
        <w:t xml:space="preserve">Tales of Unrest, </w:t>
      </w:r>
      <w:r>
        <w:rPr>
          <w:sz w:val="20"/>
          <w:szCs w:val="20"/>
        </w:rPr>
        <w:t>p. 6.</w:t>
      </w:r>
    </w:p>
  </w:footnote>
  <w:footnote w:id="13">
    <w:p w14:paraId="74913BEF" w14:textId="179D21C0" w:rsidR="00615AE7" w:rsidRPr="00974363" w:rsidRDefault="00615AE7">
      <w:pPr>
        <w:pStyle w:val="FootnoteText"/>
        <w:rPr>
          <w:sz w:val="20"/>
          <w:szCs w:val="20"/>
          <w:lang w:val="en-US"/>
        </w:rPr>
      </w:pPr>
      <w:r w:rsidRPr="00974363">
        <w:rPr>
          <w:rStyle w:val="FootnoteReference"/>
          <w:sz w:val="20"/>
          <w:szCs w:val="20"/>
        </w:rPr>
        <w:footnoteRef/>
      </w:r>
      <w:r w:rsidRPr="00974363">
        <w:rPr>
          <w:sz w:val="20"/>
          <w:szCs w:val="20"/>
        </w:rPr>
        <w:t xml:space="preserve"> </w:t>
      </w:r>
      <w:r>
        <w:rPr>
          <w:sz w:val="20"/>
          <w:szCs w:val="20"/>
        </w:rPr>
        <w:t>Ibid, p. 49.</w:t>
      </w:r>
    </w:p>
  </w:footnote>
  <w:footnote w:id="14">
    <w:p w14:paraId="0E15EC4E" w14:textId="02246F69" w:rsidR="00615AE7" w:rsidRPr="00A91564" w:rsidRDefault="00615AE7" w:rsidP="00303268">
      <w:pPr>
        <w:pStyle w:val="reference"/>
        <w:spacing w:after="0"/>
        <w:ind w:right="198"/>
        <w:rPr>
          <w:rFonts w:ascii="Times New Roman" w:hAnsi="Times New Roman"/>
          <w:sz w:val="20"/>
          <w:szCs w:val="20"/>
        </w:rPr>
      </w:pPr>
      <w:r w:rsidRPr="00F80A86">
        <w:rPr>
          <w:rStyle w:val="FootnoteReference"/>
          <w:rFonts w:ascii="Times New Roman" w:hAnsi="Times New Roman"/>
          <w:sz w:val="20"/>
          <w:szCs w:val="20"/>
        </w:rPr>
        <w:footnoteRef/>
      </w:r>
      <w:r w:rsidRPr="00F80A86">
        <w:rPr>
          <w:sz w:val="20"/>
          <w:szCs w:val="20"/>
        </w:rPr>
        <w:t xml:space="preserve"> </w:t>
      </w:r>
      <w:r>
        <w:rPr>
          <w:rFonts w:ascii="Times New Roman" w:hAnsi="Times New Roman"/>
          <w:sz w:val="20"/>
          <w:szCs w:val="20"/>
        </w:rPr>
        <w:t>David Adams. ‘“Remorse and Power”</w:t>
      </w:r>
      <w:r w:rsidRPr="001A2EF5">
        <w:rPr>
          <w:rFonts w:ascii="Times New Roman" w:hAnsi="Times New Roman"/>
          <w:sz w:val="20"/>
          <w:szCs w:val="20"/>
        </w:rPr>
        <w:t xml:space="preserve">: Conrad’s Karain and the Queen’. </w:t>
      </w:r>
      <w:r w:rsidRPr="001A2EF5">
        <w:rPr>
          <w:rFonts w:ascii="Times New Roman" w:hAnsi="Times New Roman"/>
          <w:i/>
          <w:sz w:val="20"/>
          <w:szCs w:val="20"/>
        </w:rPr>
        <w:t>Modern Fiction Studies</w:t>
      </w:r>
      <w:r w:rsidRPr="001A2EF5">
        <w:rPr>
          <w:rFonts w:ascii="Times New Roman" w:hAnsi="Times New Roman"/>
          <w:sz w:val="20"/>
          <w:szCs w:val="20"/>
        </w:rPr>
        <w:t xml:space="preserve"> 47.4</w:t>
      </w:r>
      <w:r>
        <w:rPr>
          <w:rFonts w:ascii="Times New Roman" w:hAnsi="Times New Roman"/>
          <w:sz w:val="20"/>
          <w:szCs w:val="20"/>
        </w:rPr>
        <w:t xml:space="preserve"> (2001): p. 736</w:t>
      </w:r>
      <w:r w:rsidRPr="001A2EF5">
        <w:rPr>
          <w:rFonts w:ascii="Times New Roman" w:hAnsi="Times New Roman"/>
          <w:sz w:val="20"/>
          <w:szCs w:val="20"/>
        </w:rPr>
        <w:t xml:space="preserve">. </w:t>
      </w:r>
    </w:p>
  </w:footnote>
  <w:footnote w:id="15">
    <w:p w14:paraId="40F25B9A" w14:textId="4AD2CC83" w:rsidR="00615AE7" w:rsidRPr="00AF6447" w:rsidRDefault="00615AE7">
      <w:pPr>
        <w:pStyle w:val="FootnoteText"/>
        <w:rPr>
          <w:sz w:val="20"/>
          <w:szCs w:val="20"/>
          <w:lang w:val="en-US"/>
        </w:rPr>
      </w:pPr>
      <w:r w:rsidRPr="00AF6447">
        <w:rPr>
          <w:rStyle w:val="FootnoteReference"/>
          <w:sz w:val="20"/>
          <w:szCs w:val="20"/>
        </w:rPr>
        <w:footnoteRef/>
      </w:r>
      <w:r w:rsidRPr="00AF6447">
        <w:rPr>
          <w:sz w:val="20"/>
          <w:szCs w:val="20"/>
        </w:rPr>
        <w:t xml:space="preserve"> </w:t>
      </w:r>
      <w:r w:rsidRPr="004D385A">
        <w:rPr>
          <w:sz w:val="20"/>
          <w:szCs w:val="20"/>
        </w:rPr>
        <w:t>Crystal A. O’Neal. ‘The Subaltern Speaks: A</w:t>
      </w:r>
      <w:r>
        <w:rPr>
          <w:sz w:val="20"/>
          <w:szCs w:val="20"/>
        </w:rPr>
        <w:t>mbiguity of Empire in Conrad’s “</w:t>
      </w:r>
      <w:r w:rsidRPr="004D385A">
        <w:rPr>
          <w:sz w:val="20"/>
          <w:szCs w:val="20"/>
        </w:rPr>
        <w:t>Karain</w:t>
      </w:r>
      <w:r>
        <w:rPr>
          <w:sz w:val="20"/>
          <w:szCs w:val="20"/>
        </w:rPr>
        <w:t>: A Memory”</w:t>
      </w:r>
      <w:r w:rsidRPr="004D385A">
        <w:rPr>
          <w:sz w:val="20"/>
          <w:szCs w:val="20"/>
        </w:rPr>
        <w:t xml:space="preserve">’. </w:t>
      </w:r>
      <w:r w:rsidRPr="004D385A">
        <w:rPr>
          <w:i/>
          <w:sz w:val="20"/>
          <w:szCs w:val="20"/>
        </w:rPr>
        <w:t>Postcolonial Text</w:t>
      </w:r>
      <w:r w:rsidRPr="004D385A">
        <w:rPr>
          <w:sz w:val="20"/>
          <w:szCs w:val="20"/>
        </w:rPr>
        <w:t xml:space="preserve"> 3.1 (2007): p.</w:t>
      </w:r>
      <w:r>
        <w:rPr>
          <w:sz w:val="20"/>
          <w:szCs w:val="20"/>
        </w:rPr>
        <w:t xml:space="preserve"> </w:t>
      </w:r>
      <w:r w:rsidRPr="004D385A">
        <w:rPr>
          <w:sz w:val="20"/>
          <w:szCs w:val="20"/>
        </w:rPr>
        <w:t>12.</w:t>
      </w:r>
    </w:p>
  </w:footnote>
  <w:footnote w:id="16">
    <w:p w14:paraId="4E35BB87" w14:textId="13FC8E5E" w:rsidR="00615AE7" w:rsidRPr="00974363" w:rsidRDefault="00615AE7">
      <w:pPr>
        <w:pStyle w:val="FootnoteText"/>
        <w:rPr>
          <w:sz w:val="20"/>
          <w:szCs w:val="20"/>
          <w:lang w:val="en-US"/>
        </w:rPr>
      </w:pPr>
      <w:r w:rsidRPr="00974363">
        <w:rPr>
          <w:rStyle w:val="FootnoteReference"/>
          <w:sz w:val="20"/>
          <w:szCs w:val="20"/>
        </w:rPr>
        <w:footnoteRef/>
      </w:r>
      <w:r w:rsidRPr="00974363">
        <w:rPr>
          <w:sz w:val="20"/>
          <w:szCs w:val="20"/>
        </w:rPr>
        <w:t xml:space="preserve"> </w:t>
      </w:r>
      <w:r>
        <w:rPr>
          <w:sz w:val="20"/>
          <w:szCs w:val="20"/>
        </w:rPr>
        <w:t xml:space="preserve">Conrad, </w:t>
      </w:r>
      <w:r>
        <w:rPr>
          <w:i/>
          <w:sz w:val="20"/>
          <w:szCs w:val="20"/>
        </w:rPr>
        <w:t xml:space="preserve">Tales of Unrest, </w:t>
      </w:r>
      <w:r>
        <w:rPr>
          <w:sz w:val="20"/>
          <w:szCs w:val="20"/>
        </w:rPr>
        <w:t>p. 24.</w:t>
      </w:r>
    </w:p>
  </w:footnote>
  <w:footnote w:id="17">
    <w:p w14:paraId="255AE194" w14:textId="5BC83A9E" w:rsidR="00615AE7" w:rsidRPr="00AF6447" w:rsidRDefault="00615AE7">
      <w:pPr>
        <w:pStyle w:val="FootnoteText"/>
        <w:rPr>
          <w:sz w:val="20"/>
          <w:szCs w:val="20"/>
          <w:lang w:val="en-US"/>
        </w:rPr>
      </w:pPr>
      <w:r w:rsidRPr="00AF6447">
        <w:rPr>
          <w:rStyle w:val="FootnoteReference"/>
          <w:sz w:val="20"/>
          <w:szCs w:val="20"/>
        </w:rPr>
        <w:footnoteRef/>
      </w:r>
      <w:r w:rsidRPr="00AF6447">
        <w:rPr>
          <w:sz w:val="20"/>
          <w:szCs w:val="20"/>
        </w:rPr>
        <w:t xml:space="preserve"> </w:t>
      </w:r>
      <w:r>
        <w:rPr>
          <w:sz w:val="20"/>
          <w:szCs w:val="20"/>
        </w:rPr>
        <w:t>Adams, p. 728</w:t>
      </w:r>
      <w:r w:rsidR="001E6340">
        <w:rPr>
          <w:sz w:val="20"/>
          <w:szCs w:val="20"/>
        </w:rPr>
        <w:t>; Ibid, p.40</w:t>
      </w:r>
      <w:r>
        <w:rPr>
          <w:sz w:val="20"/>
          <w:szCs w:val="20"/>
        </w:rPr>
        <w:t>.</w:t>
      </w:r>
    </w:p>
  </w:footnote>
  <w:footnote w:id="18">
    <w:p w14:paraId="46189A81" w14:textId="083013C5" w:rsidR="00615AE7" w:rsidRPr="00FA7723" w:rsidRDefault="00615AE7" w:rsidP="00D22A6E">
      <w:pPr>
        <w:pStyle w:val="reference"/>
        <w:spacing w:after="0"/>
        <w:ind w:right="198"/>
        <w:rPr>
          <w:rFonts w:ascii="Times New Roman" w:hAnsi="Times New Roman"/>
          <w:sz w:val="20"/>
          <w:szCs w:val="20"/>
        </w:rPr>
      </w:pPr>
      <w:r w:rsidRPr="00FA7723">
        <w:rPr>
          <w:rStyle w:val="FootnoteReference"/>
          <w:rFonts w:ascii="Times New Roman" w:hAnsi="Times New Roman"/>
          <w:sz w:val="20"/>
          <w:szCs w:val="20"/>
        </w:rPr>
        <w:footnoteRef/>
      </w:r>
      <w:r w:rsidRPr="00FA7723">
        <w:rPr>
          <w:rFonts w:ascii="Times New Roman" w:hAnsi="Times New Roman"/>
          <w:sz w:val="20"/>
          <w:szCs w:val="20"/>
        </w:rPr>
        <w:t xml:space="preserve"> Christopher GoGwilt. </w:t>
      </w:r>
      <w:r w:rsidRPr="00FA7723">
        <w:rPr>
          <w:rFonts w:ascii="Times New Roman" w:hAnsi="Times New Roman"/>
          <w:i/>
          <w:sz w:val="20"/>
          <w:szCs w:val="20"/>
        </w:rPr>
        <w:t>The Invention of The West: Joseph Conrad and the Double-Mapping of Europe and Empire.</w:t>
      </w:r>
      <w:r w:rsidRPr="00FA7723">
        <w:rPr>
          <w:rFonts w:ascii="Times New Roman" w:hAnsi="Times New Roman"/>
          <w:sz w:val="20"/>
          <w:szCs w:val="20"/>
        </w:rPr>
        <w:t xml:space="preserve"> Stanford, CA: Stanford University Press, 1995. p.</w:t>
      </w:r>
      <w:r>
        <w:rPr>
          <w:rFonts w:ascii="Times New Roman" w:hAnsi="Times New Roman"/>
          <w:sz w:val="20"/>
          <w:szCs w:val="20"/>
        </w:rPr>
        <w:t xml:space="preserve"> </w:t>
      </w:r>
      <w:r w:rsidRPr="00FA7723">
        <w:rPr>
          <w:rFonts w:ascii="Times New Roman" w:hAnsi="Times New Roman"/>
          <w:sz w:val="20"/>
          <w:szCs w:val="20"/>
        </w:rPr>
        <w:t>59.</w:t>
      </w:r>
    </w:p>
  </w:footnote>
  <w:footnote w:id="19">
    <w:p w14:paraId="4B5F9C89" w14:textId="377334A6" w:rsidR="00615AE7" w:rsidRPr="00FA7723" w:rsidRDefault="00615AE7" w:rsidP="009B2FF7">
      <w:pPr>
        <w:pStyle w:val="reference"/>
        <w:spacing w:after="0"/>
        <w:ind w:right="198"/>
        <w:rPr>
          <w:rFonts w:ascii="Times New Roman" w:hAnsi="Times New Roman"/>
          <w:sz w:val="20"/>
          <w:szCs w:val="20"/>
        </w:rPr>
      </w:pPr>
      <w:r w:rsidRPr="00FA7723">
        <w:rPr>
          <w:rStyle w:val="FootnoteReference"/>
          <w:rFonts w:ascii="Times New Roman" w:hAnsi="Times New Roman"/>
          <w:sz w:val="20"/>
          <w:szCs w:val="20"/>
        </w:rPr>
        <w:footnoteRef/>
      </w:r>
      <w:r w:rsidRPr="00FA7723">
        <w:rPr>
          <w:rFonts w:ascii="Times New Roman" w:hAnsi="Times New Roman"/>
          <w:sz w:val="20"/>
          <w:szCs w:val="20"/>
        </w:rPr>
        <w:t xml:space="preserve"> </w:t>
      </w:r>
      <w:r w:rsidRPr="00F16845">
        <w:rPr>
          <w:rFonts w:ascii="Times New Roman" w:hAnsi="Times New Roman"/>
          <w:sz w:val="20"/>
          <w:szCs w:val="20"/>
        </w:rPr>
        <w:t xml:space="preserve">Robert Hampson. </w:t>
      </w:r>
      <w:r w:rsidRPr="00F16845">
        <w:rPr>
          <w:rFonts w:ascii="Times New Roman" w:hAnsi="Times New Roman"/>
          <w:i/>
          <w:sz w:val="20"/>
          <w:szCs w:val="20"/>
        </w:rPr>
        <w:t>Cross-Cultural Encounters in Joseph Conrad’s Malay Fiction</w:t>
      </w:r>
      <w:r>
        <w:rPr>
          <w:rFonts w:ascii="Times New Roman" w:hAnsi="Times New Roman"/>
          <w:i/>
          <w:sz w:val="20"/>
          <w:szCs w:val="20"/>
        </w:rPr>
        <w:t xml:space="preserve">. </w:t>
      </w:r>
      <w:r w:rsidRPr="00F16845">
        <w:rPr>
          <w:rFonts w:ascii="Times New Roman" w:hAnsi="Times New Roman"/>
          <w:sz w:val="20"/>
          <w:szCs w:val="20"/>
        </w:rPr>
        <w:t>Basingstoke: Palgrave, 2000. p.</w:t>
      </w:r>
      <w:r>
        <w:rPr>
          <w:rFonts w:ascii="Times New Roman" w:hAnsi="Times New Roman"/>
          <w:sz w:val="20"/>
          <w:szCs w:val="20"/>
        </w:rPr>
        <w:t xml:space="preserve"> 124.</w:t>
      </w:r>
    </w:p>
  </w:footnote>
  <w:footnote w:id="20">
    <w:p w14:paraId="69D88C7D" w14:textId="59B7941A" w:rsidR="00615AE7" w:rsidRPr="00FA7723" w:rsidRDefault="00615AE7">
      <w:pPr>
        <w:pStyle w:val="FootnoteText"/>
        <w:rPr>
          <w:sz w:val="20"/>
          <w:szCs w:val="20"/>
          <w:lang w:val="en-US"/>
        </w:rPr>
      </w:pPr>
      <w:r w:rsidRPr="00FA7723">
        <w:rPr>
          <w:rStyle w:val="FootnoteReference"/>
          <w:sz w:val="20"/>
          <w:szCs w:val="20"/>
        </w:rPr>
        <w:footnoteRef/>
      </w:r>
      <w:r w:rsidRPr="00FA7723">
        <w:rPr>
          <w:sz w:val="20"/>
          <w:szCs w:val="20"/>
        </w:rPr>
        <w:t xml:space="preserve"> </w:t>
      </w:r>
      <w:r>
        <w:rPr>
          <w:sz w:val="20"/>
          <w:szCs w:val="20"/>
        </w:rPr>
        <w:t xml:space="preserve">GoGwilt, </w:t>
      </w:r>
      <w:r>
        <w:rPr>
          <w:i/>
          <w:sz w:val="20"/>
          <w:szCs w:val="20"/>
        </w:rPr>
        <w:t xml:space="preserve">Invention, </w:t>
      </w:r>
      <w:r>
        <w:rPr>
          <w:sz w:val="20"/>
          <w:szCs w:val="20"/>
        </w:rPr>
        <w:t>p. 57.</w:t>
      </w:r>
    </w:p>
  </w:footnote>
  <w:footnote w:id="21">
    <w:p w14:paraId="0E42B00D" w14:textId="72B99471" w:rsidR="00615AE7" w:rsidRPr="00441409" w:rsidRDefault="00615AE7">
      <w:pPr>
        <w:pStyle w:val="FootnoteText"/>
        <w:rPr>
          <w:sz w:val="20"/>
          <w:szCs w:val="20"/>
          <w:lang w:val="en-US"/>
        </w:rPr>
      </w:pPr>
      <w:r w:rsidRPr="00441409">
        <w:rPr>
          <w:rStyle w:val="FootnoteReference"/>
          <w:sz w:val="20"/>
          <w:szCs w:val="20"/>
        </w:rPr>
        <w:footnoteRef/>
      </w:r>
      <w:r w:rsidRPr="00441409">
        <w:rPr>
          <w:sz w:val="20"/>
          <w:szCs w:val="20"/>
        </w:rPr>
        <w:t xml:space="preserve"> </w:t>
      </w:r>
      <w:r>
        <w:rPr>
          <w:sz w:val="20"/>
          <w:szCs w:val="20"/>
        </w:rPr>
        <w:t xml:space="preserve">Conrad, </w:t>
      </w:r>
      <w:r>
        <w:rPr>
          <w:i/>
          <w:sz w:val="20"/>
          <w:szCs w:val="20"/>
        </w:rPr>
        <w:t xml:space="preserve">Tales of Unrest, </w:t>
      </w:r>
      <w:r>
        <w:rPr>
          <w:sz w:val="20"/>
          <w:szCs w:val="20"/>
        </w:rPr>
        <w:t>p. 54.</w:t>
      </w:r>
    </w:p>
  </w:footnote>
  <w:footnote w:id="22">
    <w:p w14:paraId="7B33FEAB" w14:textId="54809B93" w:rsidR="00615AE7" w:rsidRPr="00441409" w:rsidRDefault="00615AE7">
      <w:pPr>
        <w:pStyle w:val="FootnoteText"/>
        <w:rPr>
          <w:sz w:val="20"/>
          <w:szCs w:val="20"/>
          <w:lang w:val="en-US"/>
        </w:rPr>
      </w:pPr>
      <w:r w:rsidRPr="00441409">
        <w:rPr>
          <w:rStyle w:val="FootnoteReference"/>
          <w:sz w:val="20"/>
          <w:szCs w:val="20"/>
        </w:rPr>
        <w:footnoteRef/>
      </w:r>
      <w:r w:rsidRPr="00441409">
        <w:rPr>
          <w:sz w:val="20"/>
          <w:szCs w:val="20"/>
        </w:rPr>
        <w:t xml:space="preserve"> </w:t>
      </w:r>
      <w:r>
        <w:rPr>
          <w:sz w:val="20"/>
          <w:szCs w:val="20"/>
        </w:rPr>
        <w:t>Ibid, p. 55.</w:t>
      </w:r>
    </w:p>
  </w:footnote>
  <w:footnote w:id="23">
    <w:p w14:paraId="34933C22" w14:textId="64DD3F3A" w:rsidR="00615AE7" w:rsidRPr="004D3D4D" w:rsidRDefault="00615AE7">
      <w:pPr>
        <w:pStyle w:val="FootnoteText"/>
        <w:rPr>
          <w:sz w:val="20"/>
          <w:szCs w:val="20"/>
          <w:lang w:val="en-US"/>
        </w:rPr>
      </w:pPr>
      <w:r w:rsidRPr="004D3D4D">
        <w:rPr>
          <w:rStyle w:val="FootnoteReference"/>
          <w:sz w:val="20"/>
          <w:szCs w:val="20"/>
        </w:rPr>
        <w:footnoteRef/>
      </w:r>
      <w:r w:rsidRPr="004D3D4D">
        <w:rPr>
          <w:sz w:val="20"/>
          <w:szCs w:val="20"/>
        </w:rPr>
        <w:t xml:space="preserve"> </w:t>
      </w:r>
      <w:r>
        <w:rPr>
          <w:sz w:val="20"/>
          <w:szCs w:val="20"/>
        </w:rPr>
        <w:t>Ibid, p. 40.</w:t>
      </w:r>
    </w:p>
  </w:footnote>
  <w:footnote w:id="24">
    <w:p w14:paraId="1908FAE2" w14:textId="16CF7255" w:rsidR="00615AE7" w:rsidRPr="004D3D4D" w:rsidRDefault="00615AE7">
      <w:pPr>
        <w:pStyle w:val="FootnoteText"/>
        <w:rPr>
          <w:sz w:val="20"/>
          <w:szCs w:val="20"/>
          <w:lang w:val="en-US"/>
        </w:rPr>
      </w:pPr>
      <w:r w:rsidRPr="004D3D4D">
        <w:rPr>
          <w:rStyle w:val="FootnoteReference"/>
          <w:sz w:val="20"/>
          <w:szCs w:val="20"/>
        </w:rPr>
        <w:footnoteRef/>
      </w:r>
      <w:r w:rsidRPr="004D3D4D">
        <w:rPr>
          <w:sz w:val="20"/>
          <w:szCs w:val="20"/>
        </w:rPr>
        <w:t xml:space="preserve"> </w:t>
      </w:r>
      <w:r>
        <w:rPr>
          <w:sz w:val="20"/>
          <w:szCs w:val="20"/>
        </w:rPr>
        <w:t>Ibid, p. 52.</w:t>
      </w:r>
    </w:p>
  </w:footnote>
  <w:footnote w:id="25">
    <w:p w14:paraId="1D996850" w14:textId="1BB9E51E" w:rsidR="00615AE7" w:rsidRPr="00242BB2" w:rsidRDefault="00615AE7">
      <w:pPr>
        <w:pStyle w:val="FootnoteText"/>
        <w:rPr>
          <w:sz w:val="20"/>
          <w:szCs w:val="20"/>
          <w:lang w:val="en-US"/>
        </w:rPr>
      </w:pPr>
      <w:r w:rsidRPr="00242BB2">
        <w:rPr>
          <w:rStyle w:val="FootnoteReference"/>
          <w:sz w:val="20"/>
          <w:szCs w:val="20"/>
        </w:rPr>
        <w:footnoteRef/>
      </w:r>
      <w:r w:rsidRPr="00242BB2">
        <w:rPr>
          <w:sz w:val="20"/>
          <w:szCs w:val="20"/>
        </w:rPr>
        <w:t xml:space="preserve"> </w:t>
      </w:r>
      <w:r>
        <w:rPr>
          <w:sz w:val="20"/>
          <w:szCs w:val="20"/>
        </w:rPr>
        <w:t>Hampson, p. 127.</w:t>
      </w:r>
    </w:p>
  </w:footnote>
  <w:footnote w:id="26">
    <w:p w14:paraId="6CD311BD" w14:textId="45976BB1" w:rsidR="00615AE7" w:rsidRPr="00242BB2" w:rsidRDefault="00615AE7">
      <w:pPr>
        <w:pStyle w:val="FootnoteText"/>
        <w:rPr>
          <w:sz w:val="20"/>
          <w:szCs w:val="20"/>
          <w:lang w:val="en-US"/>
        </w:rPr>
      </w:pPr>
      <w:r w:rsidRPr="00242BB2">
        <w:rPr>
          <w:rStyle w:val="FootnoteReference"/>
          <w:sz w:val="20"/>
          <w:szCs w:val="20"/>
        </w:rPr>
        <w:footnoteRef/>
      </w:r>
      <w:r w:rsidRPr="00242BB2">
        <w:rPr>
          <w:sz w:val="20"/>
          <w:szCs w:val="20"/>
        </w:rPr>
        <w:t xml:space="preserve"> </w:t>
      </w:r>
      <w:r w:rsidRPr="00D40434">
        <w:rPr>
          <w:sz w:val="20"/>
          <w:szCs w:val="20"/>
        </w:rPr>
        <w:t xml:space="preserve">Marialuisa </w:t>
      </w:r>
      <w:r>
        <w:rPr>
          <w:sz w:val="20"/>
          <w:szCs w:val="20"/>
        </w:rPr>
        <w:t>Bignami.</w:t>
      </w:r>
      <w:r w:rsidRPr="00D40434">
        <w:rPr>
          <w:sz w:val="20"/>
          <w:szCs w:val="20"/>
        </w:rPr>
        <w:t xml:space="preserve"> ‘Joseph Conrad, the Malay Archipelago, and the Decadent Hero’. </w:t>
      </w:r>
      <w:r w:rsidRPr="00D40434">
        <w:rPr>
          <w:i/>
          <w:sz w:val="20"/>
          <w:szCs w:val="20"/>
        </w:rPr>
        <w:t>The Review of English Studies</w:t>
      </w:r>
      <w:r w:rsidRPr="00D40434">
        <w:rPr>
          <w:sz w:val="20"/>
          <w:szCs w:val="20"/>
        </w:rPr>
        <w:t xml:space="preserve"> 38.150</w:t>
      </w:r>
      <w:r>
        <w:rPr>
          <w:sz w:val="20"/>
          <w:szCs w:val="20"/>
        </w:rPr>
        <w:t xml:space="preserve"> (1987): p. 202.</w:t>
      </w:r>
    </w:p>
  </w:footnote>
  <w:footnote w:id="27">
    <w:p w14:paraId="52B28FA7" w14:textId="5D0B3D31" w:rsidR="00615AE7" w:rsidRPr="00242BB2" w:rsidRDefault="00615AE7">
      <w:pPr>
        <w:pStyle w:val="FootnoteText"/>
        <w:rPr>
          <w:sz w:val="20"/>
          <w:szCs w:val="20"/>
          <w:lang w:val="en-US"/>
        </w:rPr>
      </w:pPr>
      <w:r w:rsidRPr="00242BB2">
        <w:rPr>
          <w:rStyle w:val="FootnoteReference"/>
          <w:sz w:val="20"/>
          <w:szCs w:val="20"/>
        </w:rPr>
        <w:footnoteRef/>
      </w:r>
      <w:r w:rsidRPr="00242BB2">
        <w:rPr>
          <w:sz w:val="20"/>
          <w:szCs w:val="20"/>
        </w:rPr>
        <w:t xml:space="preserve"> </w:t>
      </w:r>
      <w:r w:rsidRPr="00D40434">
        <w:rPr>
          <w:sz w:val="20"/>
          <w:szCs w:val="20"/>
        </w:rPr>
        <w:t xml:space="preserve">Chinua </w:t>
      </w:r>
      <w:r>
        <w:rPr>
          <w:sz w:val="20"/>
          <w:szCs w:val="20"/>
        </w:rPr>
        <w:t>Achebe</w:t>
      </w:r>
      <w:r w:rsidRPr="00D40434">
        <w:rPr>
          <w:sz w:val="20"/>
          <w:szCs w:val="20"/>
        </w:rPr>
        <w:t xml:space="preserve">. ‘An Image of Africa: Racism in Conrad’s </w:t>
      </w:r>
      <w:r w:rsidRPr="00D40434">
        <w:rPr>
          <w:i/>
          <w:sz w:val="20"/>
          <w:szCs w:val="20"/>
        </w:rPr>
        <w:t>Heart of Darkness</w:t>
      </w:r>
      <w:r>
        <w:rPr>
          <w:sz w:val="20"/>
          <w:szCs w:val="20"/>
        </w:rPr>
        <w:t xml:space="preserve">’. </w:t>
      </w:r>
      <w:r w:rsidRPr="00D40434">
        <w:rPr>
          <w:i/>
          <w:sz w:val="20"/>
          <w:szCs w:val="20"/>
        </w:rPr>
        <w:t>Postcolonial Discourses: An Anthology</w:t>
      </w:r>
      <w:r w:rsidRPr="00D40434">
        <w:rPr>
          <w:sz w:val="20"/>
          <w:szCs w:val="20"/>
        </w:rPr>
        <w:t>. Ed. Gregory Castle. O</w:t>
      </w:r>
      <w:r>
        <w:rPr>
          <w:sz w:val="20"/>
          <w:szCs w:val="20"/>
        </w:rPr>
        <w:t>xford: Blackwell, 2001. p. 215.</w:t>
      </w:r>
    </w:p>
  </w:footnote>
  <w:footnote w:id="28">
    <w:p w14:paraId="722884C7" w14:textId="13375D1E" w:rsidR="00615AE7" w:rsidRPr="00171E59" w:rsidRDefault="00615AE7">
      <w:pPr>
        <w:pStyle w:val="FootnoteText"/>
        <w:rPr>
          <w:sz w:val="20"/>
          <w:szCs w:val="20"/>
          <w:lang w:val="en-US"/>
        </w:rPr>
      </w:pPr>
      <w:r w:rsidRPr="00171E59">
        <w:rPr>
          <w:rStyle w:val="FootnoteReference"/>
          <w:sz w:val="20"/>
          <w:szCs w:val="20"/>
        </w:rPr>
        <w:footnoteRef/>
      </w:r>
      <w:r w:rsidRPr="00171E59">
        <w:rPr>
          <w:sz w:val="20"/>
          <w:szCs w:val="20"/>
        </w:rPr>
        <w:t xml:space="preserve"> </w:t>
      </w:r>
      <w:r w:rsidRPr="00657125">
        <w:rPr>
          <w:sz w:val="20"/>
          <w:szCs w:val="20"/>
        </w:rPr>
        <w:t xml:space="preserve">Joseph Conrad. </w:t>
      </w:r>
      <w:r w:rsidRPr="00657125">
        <w:rPr>
          <w:i/>
          <w:sz w:val="20"/>
          <w:szCs w:val="20"/>
        </w:rPr>
        <w:t xml:space="preserve">A Personal Record: Some Reminiscences. </w:t>
      </w:r>
      <w:r w:rsidRPr="00657125">
        <w:rPr>
          <w:sz w:val="20"/>
          <w:szCs w:val="20"/>
        </w:rPr>
        <w:t>London: J.M. Dent and Sons, 1946. p.</w:t>
      </w:r>
      <w:r>
        <w:rPr>
          <w:sz w:val="20"/>
          <w:szCs w:val="20"/>
        </w:rPr>
        <w:t xml:space="preserve"> </w:t>
      </w:r>
      <w:r w:rsidRPr="00657125">
        <w:rPr>
          <w:sz w:val="20"/>
          <w:szCs w:val="20"/>
        </w:rPr>
        <w:t>iv.</w:t>
      </w:r>
    </w:p>
  </w:footnote>
  <w:footnote w:id="29">
    <w:p w14:paraId="600610D2" w14:textId="4DFBF2FB" w:rsidR="00615AE7" w:rsidRPr="00657125" w:rsidRDefault="00615AE7" w:rsidP="00D22A6E">
      <w:pPr>
        <w:pStyle w:val="reference"/>
        <w:spacing w:after="0"/>
        <w:ind w:right="198"/>
        <w:rPr>
          <w:rFonts w:ascii="Times New Roman" w:hAnsi="Times New Roman"/>
          <w:sz w:val="20"/>
          <w:szCs w:val="20"/>
        </w:rPr>
      </w:pPr>
      <w:r w:rsidRPr="00657125">
        <w:rPr>
          <w:rStyle w:val="FootnoteReference"/>
          <w:rFonts w:ascii="Times New Roman" w:hAnsi="Times New Roman"/>
          <w:sz w:val="20"/>
          <w:szCs w:val="20"/>
        </w:rPr>
        <w:footnoteRef/>
      </w:r>
      <w:r w:rsidRPr="00657125">
        <w:rPr>
          <w:rFonts w:ascii="Times New Roman" w:hAnsi="Times New Roman"/>
          <w:sz w:val="20"/>
          <w:szCs w:val="20"/>
        </w:rPr>
        <w:t xml:space="preserve"> </w:t>
      </w:r>
      <w:r>
        <w:rPr>
          <w:rFonts w:ascii="Times New Roman" w:hAnsi="Times New Roman"/>
          <w:sz w:val="20"/>
          <w:szCs w:val="20"/>
        </w:rPr>
        <w:t>Hampson, pp. 27-28.</w:t>
      </w:r>
    </w:p>
  </w:footnote>
  <w:footnote w:id="30">
    <w:p w14:paraId="5B95F7BD" w14:textId="55A57208" w:rsidR="00615AE7" w:rsidRPr="00D22A6E" w:rsidRDefault="00615AE7" w:rsidP="00D22A6E">
      <w:pPr>
        <w:pStyle w:val="reference"/>
        <w:spacing w:after="0"/>
        <w:ind w:right="198"/>
        <w:rPr>
          <w:rFonts w:ascii="Times New Roman" w:hAnsi="Times New Roman"/>
          <w:sz w:val="20"/>
          <w:szCs w:val="20"/>
        </w:rPr>
      </w:pPr>
      <w:r w:rsidRPr="00D22A6E">
        <w:rPr>
          <w:rStyle w:val="FootnoteReference"/>
          <w:rFonts w:ascii="Times New Roman" w:hAnsi="Times New Roman"/>
          <w:sz w:val="20"/>
          <w:szCs w:val="20"/>
        </w:rPr>
        <w:footnoteRef/>
      </w:r>
      <w:r w:rsidRPr="00D22A6E">
        <w:rPr>
          <w:rFonts w:ascii="Times New Roman" w:hAnsi="Times New Roman"/>
          <w:sz w:val="20"/>
          <w:szCs w:val="20"/>
        </w:rPr>
        <w:t xml:space="preserve"> Christopher GoGwilt. ‘Joseph Conrad as Guide to Colonial History’. </w:t>
      </w:r>
      <w:r w:rsidRPr="00D22A6E">
        <w:rPr>
          <w:rFonts w:ascii="Times New Roman" w:hAnsi="Times New Roman"/>
          <w:i/>
          <w:sz w:val="20"/>
          <w:szCs w:val="20"/>
        </w:rPr>
        <w:t>A Historical Guide to Joseph Conrad</w:t>
      </w:r>
      <w:r w:rsidRPr="00D22A6E">
        <w:rPr>
          <w:rFonts w:ascii="Times New Roman" w:hAnsi="Times New Roman"/>
          <w:sz w:val="20"/>
          <w:szCs w:val="20"/>
        </w:rPr>
        <w:t>. Ed. John G. Peters. Oxford: Oxford University Press, 2010. p.</w:t>
      </w:r>
      <w:r>
        <w:rPr>
          <w:rFonts w:ascii="Times New Roman" w:hAnsi="Times New Roman"/>
          <w:sz w:val="20"/>
          <w:szCs w:val="20"/>
        </w:rPr>
        <w:t xml:space="preserve"> </w:t>
      </w:r>
      <w:r w:rsidRPr="00D22A6E">
        <w:rPr>
          <w:rFonts w:ascii="Times New Roman" w:hAnsi="Times New Roman"/>
          <w:sz w:val="20"/>
          <w:szCs w:val="20"/>
        </w:rPr>
        <w:t>156.</w:t>
      </w:r>
    </w:p>
  </w:footnote>
  <w:footnote w:id="31">
    <w:p w14:paraId="5BC923EA" w14:textId="4714777F" w:rsidR="00615AE7" w:rsidRPr="004C7A25" w:rsidRDefault="00615AE7">
      <w:pPr>
        <w:pStyle w:val="FootnoteText"/>
        <w:rPr>
          <w:sz w:val="20"/>
          <w:szCs w:val="20"/>
          <w:lang w:val="en-US"/>
        </w:rPr>
      </w:pPr>
      <w:r w:rsidRPr="004C7A25">
        <w:rPr>
          <w:rStyle w:val="FootnoteReference"/>
          <w:sz w:val="20"/>
          <w:szCs w:val="20"/>
        </w:rPr>
        <w:footnoteRef/>
      </w:r>
      <w:r w:rsidRPr="004C7A25">
        <w:rPr>
          <w:sz w:val="20"/>
          <w:szCs w:val="20"/>
        </w:rPr>
        <w:t xml:space="preserve"> </w:t>
      </w:r>
      <w:r w:rsidRPr="00570A26">
        <w:rPr>
          <w:sz w:val="20"/>
          <w:szCs w:val="20"/>
        </w:rPr>
        <w:t>Joseph Conrad.</w:t>
      </w:r>
      <w:r w:rsidRPr="00570A26">
        <w:rPr>
          <w:i/>
          <w:sz w:val="20"/>
          <w:szCs w:val="20"/>
        </w:rPr>
        <w:t xml:space="preserve"> </w:t>
      </w:r>
      <w:r w:rsidRPr="00597F6E">
        <w:rPr>
          <w:i/>
          <w:sz w:val="20"/>
          <w:szCs w:val="20"/>
        </w:rPr>
        <w:t xml:space="preserve">Youth, Heart of Darkness, The End of the Tether: Three Stories. </w:t>
      </w:r>
      <w:r w:rsidRPr="00597F6E">
        <w:rPr>
          <w:sz w:val="20"/>
          <w:szCs w:val="20"/>
        </w:rPr>
        <w:t>London: J.M. Dent and Sons, 1946.</w:t>
      </w:r>
      <w:r>
        <w:rPr>
          <w:sz w:val="20"/>
          <w:szCs w:val="20"/>
        </w:rPr>
        <w:t xml:space="preserve"> p. 228.</w:t>
      </w:r>
    </w:p>
  </w:footnote>
  <w:footnote w:id="32">
    <w:p w14:paraId="758D2009" w14:textId="77390DC3" w:rsidR="00615AE7" w:rsidRPr="002B7FA0" w:rsidRDefault="00615AE7" w:rsidP="002B7FA0">
      <w:pPr>
        <w:pStyle w:val="reference"/>
        <w:spacing w:after="0"/>
        <w:ind w:right="198"/>
        <w:rPr>
          <w:rFonts w:ascii="Times New Roman" w:hAnsi="Times New Roman"/>
          <w:sz w:val="20"/>
          <w:szCs w:val="20"/>
        </w:rPr>
      </w:pPr>
      <w:r w:rsidRPr="00D22A6E">
        <w:rPr>
          <w:rStyle w:val="FootnoteReference"/>
          <w:rFonts w:ascii="Times New Roman" w:hAnsi="Times New Roman"/>
          <w:sz w:val="20"/>
          <w:szCs w:val="20"/>
        </w:rPr>
        <w:footnoteRef/>
      </w:r>
      <w:r w:rsidRPr="00D22A6E">
        <w:rPr>
          <w:rFonts w:ascii="Times New Roman" w:hAnsi="Times New Roman"/>
          <w:sz w:val="20"/>
          <w:szCs w:val="20"/>
        </w:rPr>
        <w:t xml:space="preserve"> Christopher GoGwilt. ‘Conr</w:t>
      </w:r>
      <w:r>
        <w:rPr>
          <w:rFonts w:ascii="Times New Roman" w:hAnsi="Times New Roman"/>
          <w:sz w:val="20"/>
          <w:szCs w:val="20"/>
        </w:rPr>
        <w:t>ad’s Creole Family Romance and “</w:t>
      </w:r>
      <w:r w:rsidRPr="00D22A6E">
        <w:rPr>
          <w:rFonts w:ascii="Times New Roman" w:hAnsi="Times New Roman"/>
          <w:sz w:val="20"/>
          <w:szCs w:val="20"/>
        </w:rPr>
        <w:t>A Smi</w:t>
      </w:r>
      <w:r>
        <w:rPr>
          <w:rFonts w:ascii="Times New Roman" w:hAnsi="Times New Roman"/>
          <w:sz w:val="20"/>
          <w:szCs w:val="20"/>
        </w:rPr>
        <w:t>le of Fortune”</w:t>
      </w:r>
      <w:r w:rsidRPr="00D22A6E">
        <w:rPr>
          <w:rFonts w:ascii="Times New Roman" w:hAnsi="Times New Roman"/>
          <w:sz w:val="20"/>
          <w:szCs w:val="20"/>
        </w:rPr>
        <w:t xml:space="preserve">’. </w:t>
      </w:r>
      <w:r w:rsidRPr="00D22A6E">
        <w:rPr>
          <w:rFonts w:ascii="Times New Roman" w:hAnsi="Times New Roman"/>
          <w:i/>
          <w:sz w:val="20"/>
          <w:szCs w:val="20"/>
        </w:rPr>
        <w:t>Conradiana</w:t>
      </w:r>
      <w:r w:rsidRPr="00D22A6E">
        <w:rPr>
          <w:rFonts w:ascii="Times New Roman" w:hAnsi="Times New Roman"/>
          <w:sz w:val="20"/>
          <w:szCs w:val="20"/>
        </w:rPr>
        <w:t xml:space="preserve"> 43.2</w:t>
      </w:r>
      <w:r w:rsidRPr="00597F6E">
        <w:rPr>
          <w:rFonts w:ascii="Times New Roman" w:hAnsi="Times New Roman"/>
          <w:sz w:val="20"/>
          <w:szCs w:val="20"/>
        </w:rPr>
        <w:t xml:space="preserve"> (2011):</w:t>
      </w:r>
      <w:r>
        <w:rPr>
          <w:rFonts w:ascii="Times New Roman" w:hAnsi="Times New Roman"/>
          <w:sz w:val="20"/>
          <w:szCs w:val="20"/>
        </w:rPr>
        <w:t xml:space="preserve"> p. 77.</w:t>
      </w:r>
    </w:p>
  </w:footnote>
  <w:footnote w:id="33">
    <w:p w14:paraId="1DA6EA2A" w14:textId="62D1EEBE" w:rsidR="00615AE7" w:rsidRPr="00202DFD" w:rsidRDefault="00615AE7">
      <w:pPr>
        <w:pStyle w:val="FootnoteText"/>
        <w:rPr>
          <w:sz w:val="20"/>
          <w:szCs w:val="20"/>
          <w:lang w:val="en-US"/>
        </w:rPr>
      </w:pPr>
      <w:r w:rsidRPr="00202DFD">
        <w:rPr>
          <w:rStyle w:val="FootnoteReference"/>
          <w:sz w:val="20"/>
          <w:szCs w:val="20"/>
        </w:rPr>
        <w:footnoteRef/>
      </w:r>
      <w:r w:rsidRPr="00202DFD">
        <w:rPr>
          <w:sz w:val="20"/>
          <w:szCs w:val="20"/>
        </w:rPr>
        <w:t xml:space="preserve"> </w:t>
      </w:r>
      <w:r w:rsidRPr="00570A26">
        <w:rPr>
          <w:sz w:val="20"/>
          <w:szCs w:val="20"/>
        </w:rPr>
        <w:t>Joseph Conrad.</w:t>
      </w:r>
      <w:r w:rsidRPr="00570A26">
        <w:rPr>
          <w:i/>
          <w:sz w:val="20"/>
          <w:szCs w:val="20"/>
        </w:rPr>
        <w:t xml:space="preserve"> </w:t>
      </w:r>
      <w:r w:rsidRPr="00940399">
        <w:rPr>
          <w:i/>
          <w:sz w:val="20"/>
          <w:szCs w:val="20"/>
        </w:rPr>
        <w:t>Twixt Land and Sea: Three Tales</w:t>
      </w:r>
      <w:r>
        <w:rPr>
          <w:i/>
          <w:sz w:val="20"/>
          <w:szCs w:val="20"/>
        </w:rPr>
        <w:t>.</w:t>
      </w:r>
      <w:r w:rsidRPr="00570A26">
        <w:rPr>
          <w:i/>
          <w:sz w:val="20"/>
          <w:szCs w:val="20"/>
        </w:rPr>
        <w:t xml:space="preserve"> </w:t>
      </w:r>
      <w:r w:rsidRPr="00570A26">
        <w:rPr>
          <w:sz w:val="20"/>
          <w:szCs w:val="20"/>
        </w:rPr>
        <w:t>L</w:t>
      </w:r>
      <w:r>
        <w:rPr>
          <w:sz w:val="20"/>
          <w:szCs w:val="20"/>
        </w:rPr>
        <w:t>ondon: J.M. Dent and Sons, 1947. pp. 38, 59, 71.</w:t>
      </w:r>
    </w:p>
  </w:footnote>
  <w:footnote w:id="34">
    <w:p w14:paraId="1B6B6E69" w14:textId="2AC0E76F" w:rsidR="00615AE7" w:rsidRPr="002B7FA0" w:rsidRDefault="00615AE7">
      <w:pPr>
        <w:pStyle w:val="FootnoteText"/>
        <w:rPr>
          <w:sz w:val="20"/>
          <w:szCs w:val="20"/>
          <w:lang w:val="en-US"/>
        </w:rPr>
      </w:pPr>
      <w:r w:rsidRPr="002B7FA0">
        <w:rPr>
          <w:rStyle w:val="FootnoteReference"/>
          <w:sz w:val="20"/>
          <w:szCs w:val="20"/>
        </w:rPr>
        <w:footnoteRef/>
      </w:r>
      <w:r w:rsidRPr="002B7FA0">
        <w:rPr>
          <w:sz w:val="20"/>
          <w:szCs w:val="20"/>
        </w:rPr>
        <w:t xml:space="preserve"> </w:t>
      </w:r>
      <w:r w:rsidRPr="00570A26">
        <w:rPr>
          <w:sz w:val="20"/>
          <w:szCs w:val="20"/>
        </w:rPr>
        <w:t>Conrad</w:t>
      </w:r>
      <w:r>
        <w:rPr>
          <w:sz w:val="20"/>
          <w:szCs w:val="20"/>
        </w:rPr>
        <w:t>,</w:t>
      </w:r>
      <w:r w:rsidRPr="00570A26">
        <w:rPr>
          <w:i/>
          <w:sz w:val="20"/>
          <w:szCs w:val="20"/>
        </w:rPr>
        <w:t xml:space="preserve"> </w:t>
      </w:r>
      <w:r w:rsidRPr="00940399">
        <w:rPr>
          <w:i/>
          <w:sz w:val="20"/>
          <w:szCs w:val="20"/>
        </w:rPr>
        <w:t>Twixt Land and Sea</w:t>
      </w:r>
      <w:r>
        <w:rPr>
          <w:i/>
          <w:sz w:val="20"/>
          <w:szCs w:val="20"/>
        </w:rPr>
        <w:t xml:space="preserve">, </w:t>
      </w:r>
      <w:r>
        <w:rPr>
          <w:sz w:val="20"/>
          <w:szCs w:val="20"/>
        </w:rPr>
        <w:t>p. 44.</w:t>
      </w:r>
    </w:p>
  </w:footnote>
  <w:footnote w:id="35">
    <w:p w14:paraId="72427D4A" w14:textId="457B6331" w:rsidR="00615AE7" w:rsidRPr="002B7FA0" w:rsidRDefault="00615AE7">
      <w:pPr>
        <w:pStyle w:val="FootnoteText"/>
        <w:rPr>
          <w:sz w:val="20"/>
          <w:szCs w:val="20"/>
          <w:lang w:val="en-US"/>
        </w:rPr>
      </w:pPr>
      <w:r w:rsidRPr="002B7FA0">
        <w:rPr>
          <w:rStyle w:val="FootnoteReference"/>
          <w:sz w:val="20"/>
          <w:szCs w:val="20"/>
        </w:rPr>
        <w:footnoteRef/>
      </w:r>
      <w:r w:rsidRPr="002B7FA0">
        <w:rPr>
          <w:sz w:val="20"/>
          <w:szCs w:val="20"/>
        </w:rPr>
        <w:t xml:space="preserve"> </w:t>
      </w:r>
      <w:r>
        <w:rPr>
          <w:sz w:val="20"/>
          <w:szCs w:val="20"/>
        </w:rPr>
        <w:t>Ibid,</w:t>
      </w:r>
      <w:r>
        <w:rPr>
          <w:i/>
          <w:sz w:val="20"/>
          <w:szCs w:val="20"/>
        </w:rPr>
        <w:t xml:space="preserve"> </w:t>
      </w:r>
      <w:r>
        <w:rPr>
          <w:sz w:val="20"/>
          <w:szCs w:val="20"/>
        </w:rPr>
        <w:t>p. 6.</w:t>
      </w:r>
    </w:p>
  </w:footnote>
  <w:footnote w:id="36">
    <w:p w14:paraId="7A2AC573" w14:textId="29992EC9" w:rsidR="00615AE7" w:rsidRPr="002B7FA0" w:rsidRDefault="00615AE7">
      <w:pPr>
        <w:pStyle w:val="FootnoteText"/>
        <w:rPr>
          <w:sz w:val="20"/>
          <w:szCs w:val="20"/>
          <w:lang w:val="en-US"/>
        </w:rPr>
      </w:pPr>
      <w:r w:rsidRPr="002B7FA0">
        <w:rPr>
          <w:rStyle w:val="FootnoteReference"/>
          <w:sz w:val="20"/>
          <w:szCs w:val="20"/>
        </w:rPr>
        <w:footnoteRef/>
      </w:r>
      <w:r w:rsidRPr="002B7FA0">
        <w:rPr>
          <w:sz w:val="20"/>
          <w:szCs w:val="20"/>
        </w:rPr>
        <w:t xml:space="preserve"> </w:t>
      </w:r>
      <w:r>
        <w:rPr>
          <w:sz w:val="20"/>
          <w:szCs w:val="20"/>
        </w:rPr>
        <w:t>Ibid, p. 6.</w:t>
      </w:r>
    </w:p>
  </w:footnote>
  <w:footnote w:id="37">
    <w:p w14:paraId="2F655055" w14:textId="74A4A2A4" w:rsidR="00615AE7" w:rsidRPr="002B7FA0" w:rsidRDefault="00615AE7">
      <w:pPr>
        <w:pStyle w:val="FootnoteText"/>
        <w:rPr>
          <w:sz w:val="20"/>
          <w:szCs w:val="20"/>
          <w:lang w:val="en-US"/>
        </w:rPr>
      </w:pPr>
      <w:r w:rsidRPr="002B7FA0">
        <w:rPr>
          <w:rStyle w:val="FootnoteReference"/>
          <w:sz w:val="20"/>
          <w:szCs w:val="20"/>
        </w:rPr>
        <w:footnoteRef/>
      </w:r>
      <w:r w:rsidRPr="002B7FA0">
        <w:rPr>
          <w:sz w:val="20"/>
          <w:szCs w:val="20"/>
        </w:rPr>
        <w:t xml:space="preserve"> </w:t>
      </w:r>
      <w:r>
        <w:rPr>
          <w:sz w:val="20"/>
          <w:szCs w:val="20"/>
        </w:rPr>
        <w:t>Ibid, p. 84.</w:t>
      </w:r>
    </w:p>
  </w:footnote>
  <w:footnote w:id="38">
    <w:p w14:paraId="29F0138C" w14:textId="6B0074AC" w:rsidR="00615AE7" w:rsidRPr="002B7FA0" w:rsidRDefault="00615AE7">
      <w:pPr>
        <w:pStyle w:val="FootnoteText"/>
        <w:rPr>
          <w:sz w:val="20"/>
          <w:szCs w:val="20"/>
          <w:lang w:val="en-US"/>
        </w:rPr>
      </w:pPr>
      <w:r w:rsidRPr="002B7FA0">
        <w:rPr>
          <w:rStyle w:val="FootnoteReference"/>
          <w:sz w:val="20"/>
          <w:szCs w:val="20"/>
        </w:rPr>
        <w:footnoteRef/>
      </w:r>
      <w:r w:rsidRPr="002B7FA0">
        <w:rPr>
          <w:sz w:val="20"/>
          <w:szCs w:val="20"/>
        </w:rPr>
        <w:t xml:space="preserve"> </w:t>
      </w:r>
      <w:r>
        <w:rPr>
          <w:sz w:val="20"/>
          <w:szCs w:val="20"/>
        </w:rPr>
        <w:t>Ibid, p. 69.</w:t>
      </w:r>
    </w:p>
  </w:footnote>
  <w:footnote w:id="39">
    <w:p w14:paraId="1CE3FF45" w14:textId="0B88D782" w:rsidR="00615AE7" w:rsidRPr="00541736" w:rsidRDefault="00615AE7" w:rsidP="00E67BEF">
      <w:pPr>
        <w:pStyle w:val="reference"/>
        <w:spacing w:after="0"/>
        <w:ind w:right="198"/>
        <w:rPr>
          <w:rFonts w:ascii="Times New Roman" w:hAnsi="Times New Roman"/>
          <w:sz w:val="20"/>
          <w:szCs w:val="20"/>
        </w:rPr>
      </w:pPr>
      <w:r w:rsidRPr="00541736">
        <w:rPr>
          <w:rStyle w:val="FootnoteReference"/>
          <w:rFonts w:ascii="Times New Roman" w:hAnsi="Times New Roman"/>
          <w:sz w:val="20"/>
          <w:szCs w:val="20"/>
        </w:rPr>
        <w:footnoteRef/>
      </w:r>
      <w:r w:rsidRPr="00541736">
        <w:rPr>
          <w:rFonts w:ascii="Times New Roman" w:hAnsi="Times New Roman"/>
          <w:sz w:val="20"/>
          <w:szCs w:val="20"/>
        </w:rPr>
        <w:t xml:space="preserve"> For the former point of view, see</w:t>
      </w:r>
      <w:r>
        <w:rPr>
          <w:rFonts w:ascii="Times New Roman" w:hAnsi="Times New Roman"/>
          <w:sz w:val="20"/>
          <w:szCs w:val="20"/>
        </w:rPr>
        <w:t>:</w:t>
      </w:r>
      <w:r w:rsidRPr="00541736">
        <w:rPr>
          <w:rFonts w:ascii="Times New Roman" w:hAnsi="Times New Roman"/>
          <w:sz w:val="20"/>
          <w:szCs w:val="20"/>
        </w:rPr>
        <w:t xml:space="preserve"> Lawrence Graver. </w:t>
      </w:r>
      <w:r w:rsidRPr="00541736">
        <w:rPr>
          <w:rFonts w:ascii="Times New Roman" w:hAnsi="Times New Roman"/>
          <w:i/>
          <w:sz w:val="20"/>
          <w:szCs w:val="20"/>
        </w:rPr>
        <w:t xml:space="preserve">Conrad’s Short Fiction. </w:t>
      </w:r>
      <w:r w:rsidRPr="00541736">
        <w:rPr>
          <w:rFonts w:ascii="Times New Roman" w:hAnsi="Times New Roman"/>
          <w:sz w:val="20"/>
          <w:szCs w:val="20"/>
        </w:rPr>
        <w:t>Berkeley: University of California Press, 1969. p.</w:t>
      </w:r>
      <w:r>
        <w:rPr>
          <w:rFonts w:ascii="Times New Roman" w:hAnsi="Times New Roman"/>
          <w:sz w:val="20"/>
          <w:szCs w:val="20"/>
        </w:rPr>
        <w:t xml:space="preserve"> </w:t>
      </w:r>
      <w:r w:rsidRPr="00541736">
        <w:rPr>
          <w:rFonts w:ascii="Times New Roman" w:hAnsi="Times New Roman"/>
          <w:sz w:val="20"/>
          <w:szCs w:val="20"/>
        </w:rPr>
        <w:t>159.</w:t>
      </w:r>
    </w:p>
  </w:footnote>
  <w:footnote w:id="40">
    <w:p w14:paraId="303B9013" w14:textId="1BC054CB" w:rsidR="00615AE7" w:rsidRPr="00853202" w:rsidRDefault="00615AE7">
      <w:pPr>
        <w:pStyle w:val="FootnoteText"/>
        <w:rPr>
          <w:sz w:val="20"/>
          <w:szCs w:val="20"/>
          <w:lang w:val="en-US"/>
        </w:rPr>
      </w:pPr>
      <w:r w:rsidRPr="00853202">
        <w:rPr>
          <w:rStyle w:val="FootnoteReference"/>
          <w:sz w:val="20"/>
          <w:szCs w:val="20"/>
        </w:rPr>
        <w:footnoteRef/>
      </w:r>
      <w:r w:rsidRPr="00853202">
        <w:rPr>
          <w:sz w:val="20"/>
          <w:szCs w:val="20"/>
        </w:rPr>
        <w:t xml:space="preserve"> </w:t>
      </w:r>
      <w:r w:rsidRPr="00570A26">
        <w:rPr>
          <w:sz w:val="20"/>
          <w:szCs w:val="20"/>
        </w:rPr>
        <w:t>Conrad</w:t>
      </w:r>
      <w:r>
        <w:rPr>
          <w:sz w:val="20"/>
          <w:szCs w:val="20"/>
        </w:rPr>
        <w:t>,</w:t>
      </w:r>
      <w:r w:rsidRPr="00570A26">
        <w:rPr>
          <w:i/>
          <w:sz w:val="20"/>
          <w:szCs w:val="20"/>
        </w:rPr>
        <w:t xml:space="preserve"> </w:t>
      </w:r>
      <w:r w:rsidRPr="00940399">
        <w:rPr>
          <w:i/>
          <w:sz w:val="20"/>
          <w:szCs w:val="20"/>
        </w:rPr>
        <w:t>Twixt Land and Sea</w:t>
      </w:r>
      <w:r>
        <w:rPr>
          <w:i/>
          <w:sz w:val="20"/>
          <w:szCs w:val="20"/>
        </w:rPr>
        <w:t xml:space="preserve">, </w:t>
      </w:r>
      <w:r>
        <w:rPr>
          <w:sz w:val="20"/>
          <w:szCs w:val="20"/>
        </w:rPr>
        <w:t>pp. 72-73.</w:t>
      </w:r>
    </w:p>
  </w:footnote>
  <w:footnote w:id="41">
    <w:p w14:paraId="4F36B29E" w14:textId="3C81BCEC" w:rsidR="00615AE7" w:rsidRPr="00853202" w:rsidRDefault="00615AE7" w:rsidP="00853202">
      <w:pPr>
        <w:pStyle w:val="reference"/>
        <w:spacing w:after="0"/>
        <w:ind w:right="198"/>
        <w:rPr>
          <w:rFonts w:ascii="Times New Roman" w:hAnsi="Times New Roman"/>
          <w:sz w:val="20"/>
          <w:szCs w:val="20"/>
        </w:rPr>
      </w:pPr>
      <w:r w:rsidRPr="00541736">
        <w:rPr>
          <w:rStyle w:val="FootnoteReference"/>
          <w:sz w:val="20"/>
          <w:szCs w:val="20"/>
        </w:rPr>
        <w:footnoteRef/>
      </w:r>
      <w:r w:rsidRPr="00541736">
        <w:rPr>
          <w:sz w:val="20"/>
          <w:szCs w:val="20"/>
        </w:rPr>
        <w:t xml:space="preserve"> </w:t>
      </w:r>
      <w:r>
        <w:rPr>
          <w:rFonts w:ascii="Times New Roman" w:hAnsi="Times New Roman"/>
          <w:sz w:val="20"/>
          <w:szCs w:val="20"/>
        </w:rPr>
        <w:t>David Mulry. ‘“Lost in the Haze”</w:t>
      </w:r>
      <w:r w:rsidRPr="00366FAF">
        <w:rPr>
          <w:rFonts w:ascii="Times New Roman" w:hAnsi="Times New Roman"/>
          <w:sz w:val="20"/>
          <w:szCs w:val="20"/>
        </w:rPr>
        <w:t xml:space="preserve">: Joseph Conrad, the Ruined Maid and the Male Gaze’. </w:t>
      </w:r>
      <w:r w:rsidRPr="00366FAF">
        <w:rPr>
          <w:rFonts w:ascii="Times New Roman" w:hAnsi="Times New Roman"/>
          <w:i/>
          <w:sz w:val="20"/>
          <w:szCs w:val="20"/>
        </w:rPr>
        <w:t>South Central Review</w:t>
      </w:r>
      <w:r w:rsidRPr="00366FAF">
        <w:rPr>
          <w:rFonts w:ascii="Times New Roman" w:hAnsi="Times New Roman"/>
          <w:sz w:val="20"/>
          <w:szCs w:val="20"/>
        </w:rPr>
        <w:t xml:space="preserve"> 31.1 (2014): p</w:t>
      </w:r>
      <w:r>
        <w:rPr>
          <w:rFonts w:ascii="Times New Roman" w:hAnsi="Times New Roman"/>
          <w:sz w:val="20"/>
          <w:szCs w:val="20"/>
        </w:rPr>
        <w:t>p</w:t>
      </w:r>
      <w:r w:rsidRPr="00366FAF">
        <w:rPr>
          <w:rFonts w:ascii="Times New Roman" w:hAnsi="Times New Roman"/>
          <w:sz w:val="20"/>
          <w:szCs w:val="20"/>
        </w:rPr>
        <w:t>.</w:t>
      </w:r>
      <w:r>
        <w:rPr>
          <w:rFonts w:ascii="Times New Roman" w:hAnsi="Times New Roman"/>
          <w:sz w:val="20"/>
          <w:szCs w:val="20"/>
        </w:rPr>
        <w:t xml:space="preserve"> 77-7</w:t>
      </w:r>
      <w:r w:rsidRPr="00366FAF">
        <w:rPr>
          <w:rFonts w:ascii="Times New Roman" w:hAnsi="Times New Roman"/>
          <w:sz w:val="20"/>
          <w:szCs w:val="20"/>
        </w:rPr>
        <w:t>8</w:t>
      </w:r>
      <w:r>
        <w:rPr>
          <w:rFonts w:ascii="Times New Roman" w:hAnsi="Times New Roman"/>
          <w:sz w:val="20"/>
          <w:szCs w:val="20"/>
        </w:rPr>
        <w:t>.</w:t>
      </w:r>
    </w:p>
  </w:footnote>
  <w:footnote w:id="42">
    <w:p w14:paraId="24EE501D" w14:textId="58398705" w:rsidR="00615AE7" w:rsidRPr="00853202" w:rsidRDefault="00615AE7">
      <w:pPr>
        <w:pStyle w:val="FootnoteText"/>
        <w:rPr>
          <w:sz w:val="20"/>
          <w:szCs w:val="20"/>
          <w:lang w:val="en-US"/>
        </w:rPr>
      </w:pPr>
      <w:r w:rsidRPr="00853202">
        <w:rPr>
          <w:rStyle w:val="FootnoteReference"/>
          <w:sz w:val="20"/>
          <w:szCs w:val="20"/>
        </w:rPr>
        <w:footnoteRef/>
      </w:r>
      <w:r w:rsidRPr="00853202">
        <w:rPr>
          <w:sz w:val="20"/>
          <w:szCs w:val="20"/>
        </w:rPr>
        <w:t xml:space="preserve"> </w:t>
      </w:r>
      <w:r w:rsidRPr="00570A26">
        <w:rPr>
          <w:sz w:val="20"/>
          <w:szCs w:val="20"/>
        </w:rPr>
        <w:t>Conrad</w:t>
      </w:r>
      <w:r>
        <w:rPr>
          <w:sz w:val="20"/>
          <w:szCs w:val="20"/>
        </w:rPr>
        <w:t>,</w:t>
      </w:r>
      <w:r w:rsidRPr="00570A26">
        <w:rPr>
          <w:i/>
          <w:sz w:val="20"/>
          <w:szCs w:val="20"/>
        </w:rPr>
        <w:t xml:space="preserve"> </w:t>
      </w:r>
      <w:r w:rsidRPr="00940399">
        <w:rPr>
          <w:i/>
          <w:sz w:val="20"/>
          <w:szCs w:val="20"/>
        </w:rPr>
        <w:t>Twixt Land and Sea</w:t>
      </w:r>
      <w:r>
        <w:rPr>
          <w:i/>
          <w:sz w:val="20"/>
          <w:szCs w:val="20"/>
        </w:rPr>
        <w:t xml:space="preserve">, </w:t>
      </w:r>
      <w:r>
        <w:rPr>
          <w:sz w:val="20"/>
          <w:szCs w:val="20"/>
        </w:rPr>
        <w:t>p. 19.</w:t>
      </w:r>
    </w:p>
  </w:footnote>
  <w:footnote w:id="43">
    <w:p w14:paraId="0343B30A" w14:textId="31FDAA20" w:rsidR="00615AE7" w:rsidRPr="00853202" w:rsidRDefault="00615AE7">
      <w:pPr>
        <w:pStyle w:val="FootnoteText"/>
        <w:rPr>
          <w:sz w:val="20"/>
          <w:szCs w:val="20"/>
          <w:lang w:val="en-US"/>
        </w:rPr>
      </w:pPr>
      <w:r w:rsidRPr="00853202">
        <w:rPr>
          <w:rStyle w:val="FootnoteReference"/>
          <w:sz w:val="20"/>
          <w:szCs w:val="20"/>
        </w:rPr>
        <w:footnoteRef/>
      </w:r>
      <w:r w:rsidRPr="00853202">
        <w:rPr>
          <w:sz w:val="20"/>
          <w:szCs w:val="20"/>
        </w:rPr>
        <w:t xml:space="preserve"> </w:t>
      </w:r>
      <w:r>
        <w:rPr>
          <w:sz w:val="20"/>
          <w:szCs w:val="20"/>
        </w:rPr>
        <w:t>Ibid, p. 17.</w:t>
      </w:r>
    </w:p>
  </w:footnote>
  <w:footnote w:id="44">
    <w:p w14:paraId="0CCF4B7F" w14:textId="6B746943" w:rsidR="00615AE7" w:rsidRPr="00853202" w:rsidRDefault="00615AE7">
      <w:pPr>
        <w:pStyle w:val="FootnoteText"/>
        <w:rPr>
          <w:sz w:val="20"/>
          <w:szCs w:val="20"/>
          <w:lang w:val="en-US"/>
        </w:rPr>
      </w:pPr>
      <w:r w:rsidRPr="00853202">
        <w:rPr>
          <w:rStyle w:val="FootnoteReference"/>
          <w:sz w:val="20"/>
          <w:szCs w:val="20"/>
        </w:rPr>
        <w:footnoteRef/>
      </w:r>
      <w:r w:rsidRPr="00853202">
        <w:rPr>
          <w:sz w:val="20"/>
          <w:szCs w:val="20"/>
        </w:rPr>
        <w:t xml:space="preserve"> </w:t>
      </w:r>
      <w:r>
        <w:rPr>
          <w:sz w:val="20"/>
          <w:szCs w:val="20"/>
        </w:rPr>
        <w:t>Ibid, p. 79.</w:t>
      </w:r>
    </w:p>
  </w:footnote>
  <w:footnote w:id="45">
    <w:p w14:paraId="27887AAC" w14:textId="6BF70ECC" w:rsidR="00615AE7" w:rsidRPr="00CF3D81" w:rsidRDefault="00615AE7">
      <w:pPr>
        <w:pStyle w:val="FootnoteText"/>
        <w:rPr>
          <w:sz w:val="20"/>
          <w:szCs w:val="20"/>
          <w:lang w:val="en-US"/>
        </w:rPr>
      </w:pPr>
      <w:r w:rsidRPr="00CF3D81">
        <w:rPr>
          <w:rStyle w:val="FootnoteReference"/>
          <w:sz w:val="20"/>
          <w:szCs w:val="20"/>
        </w:rPr>
        <w:footnoteRef/>
      </w:r>
      <w:r w:rsidRPr="00CF3D81">
        <w:rPr>
          <w:sz w:val="20"/>
          <w:szCs w:val="20"/>
        </w:rPr>
        <w:t xml:space="preserve"> </w:t>
      </w:r>
      <w:r>
        <w:rPr>
          <w:sz w:val="20"/>
          <w:szCs w:val="20"/>
        </w:rPr>
        <w:t>Mulry, p. 86.</w:t>
      </w:r>
    </w:p>
  </w:footnote>
  <w:footnote w:id="46">
    <w:p w14:paraId="18E5B2AF" w14:textId="7FFF91D4" w:rsidR="00615AE7" w:rsidRPr="006D3F1B" w:rsidRDefault="00615AE7" w:rsidP="006D3F1B">
      <w:pPr>
        <w:pStyle w:val="reference"/>
        <w:spacing w:after="0"/>
        <w:ind w:right="198"/>
        <w:rPr>
          <w:rFonts w:ascii="Times New Roman" w:hAnsi="Times New Roman"/>
          <w:sz w:val="20"/>
          <w:szCs w:val="20"/>
        </w:rPr>
      </w:pPr>
      <w:r w:rsidRPr="007F4A46">
        <w:rPr>
          <w:rStyle w:val="FootnoteReference"/>
          <w:rFonts w:ascii="Times New Roman" w:hAnsi="Times New Roman"/>
          <w:sz w:val="20"/>
          <w:szCs w:val="20"/>
        </w:rPr>
        <w:footnoteRef/>
      </w:r>
      <w:r w:rsidRPr="00CF3D81">
        <w:rPr>
          <w:sz w:val="20"/>
          <w:szCs w:val="20"/>
        </w:rPr>
        <w:t xml:space="preserve"> </w:t>
      </w:r>
      <w:r>
        <w:rPr>
          <w:rFonts w:ascii="Times New Roman" w:hAnsi="Times New Roman"/>
          <w:sz w:val="20"/>
          <w:szCs w:val="20"/>
        </w:rPr>
        <w:t>Susan Jones</w:t>
      </w:r>
      <w:r w:rsidRPr="00366FAF">
        <w:rPr>
          <w:rFonts w:ascii="Times New Roman" w:hAnsi="Times New Roman"/>
          <w:sz w:val="20"/>
          <w:szCs w:val="20"/>
        </w:rPr>
        <w:t xml:space="preserve">. </w:t>
      </w:r>
      <w:r w:rsidRPr="00366FAF">
        <w:rPr>
          <w:rFonts w:ascii="Times New Roman" w:hAnsi="Times New Roman"/>
          <w:i/>
          <w:sz w:val="20"/>
          <w:szCs w:val="20"/>
        </w:rPr>
        <w:t>Conrad and Women.</w:t>
      </w:r>
      <w:r w:rsidRPr="00366FAF">
        <w:rPr>
          <w:rFonts w:ascii="Times New Roman" w:hAnsi="Times New Roman"/>
          <w:sz w:val="20"/>
          <w:szCs w:val="20"/>
        </w:rPr>
        <w:t xml:space="preserve"> Oxford: Clarendon Press, 1999. </w:t>
      </w:r>
      <w:r>
        <w:rPr>
          <w:rFonts w:ascii="Times New Roman" w:hAnsi="Times New Roman"/>
          <w:sz w:val="20"/>
          <w:szCs w:val="20"/>
        </w:rPr>
        <w:t>p. 183.</w:t>
      </w:r>
      <w:r w:rsidRPr="00366FAF">
        <w:rPr>
          <w:rFonts w:ascii="Times New Roman" w:hAnsi="Times New Roman"/>
          <w:sz w:val="20"/>
          <w:szCs w:val="20"/>
        </w:rPr>
        <w:t xml:space="preserve">  </w:t>
      </w:r>
    </w:p>
  </w:footnote>
  <w:footnote w:id="47">
    <w:p w14:paraId="0D97E575" w14:textId="0A8A7D9C" w:rsidR="00615AE7" w:rsidRPr="006D3F1B" w:rsidRDefault="00615AE7">
      <w:pPr>
        <w:pStyle w:val="FootnoteText"/>
        <w:rPr>
          <w:sz w:val="20"/>
          <w:szCs w:val="20"/>
          <w:lang w:val="en-US"/>
        </w:rPr>
      </w:pPr>
      <w:r w:rsidRPr="006D3F1B">
        <w:rPr>
          <w:rStyle w:val="FootnoteReference"/>
          <w:sz w:val="20"/>
          <w:szCs w:val="20"/>
        </w:rPr>
        <w:footnoteRef/>
      </w:r>
      <w:r w:rsidRPr="006D3F1B">
        <w:rPr>
          <w:sz w:val="20"/>
          <w:szCs w:val="20"/>
        </w:rPr>
        <w:t xml:space="preserve"> Conrad,</w:t>
      </w:r>
      <w:r w:rsidRPr="006D3F1B">
        <w:rPr>
          <w:i/>
          <w:sz w:val="20"/>
          <w:szCs w:val="20"/>
        </w:rPr>
        <w:t xml:space="preserve"> Twixt Land and Sea, </w:t>
      </w:r>
      <w:r w:rsidRPr="006D3F1B">
        <w:rPr>
          <w:sz w:val="20"/>
          <w:szCs w:val="20"/>
        </w:rPr>
        <w:t>p.</w:t>
      </w:r>
      <w:r>
        <w:rPr>
          <w:sz w:val="20"/>
          <w:szCs w:val="20"/>
        </w:rPr>
        <w:t xml:space="preserve"> </w:t>
      </w:r>
      <w:r w:rsidRPr="006D3F1B">
        <w:rPr>
          <w:sz w:val="20"/>
          <w:szCs w:val="20"/>
        </w:rPr>
        <w:t>79.</w:t>
      </w:r>
    </w:p>
  </w:footnote>
  <w:footnote w:id="48">
    <w:p w14:paraId="7B0837BF" w14:textId="7E018C6E" w:rsidR="00615AE7" w:rsidRPr="006D3F1B" w:rsidRDefault="00615AE7">
      <w:pPr>
        <w:pStyle w:val="FootnoteText"/>
        <w:rPr>
          <w:sz w:val="20"/>
          <w:szCs w:val="20"/>
          <w:lang w:val="en-US"/>
        </w:rPr>
      </w:pPr>
      <w:r w:rsidRPr="006D3F1B">
        <w:rPr>
          <w:rStyle w:val="FootnoteReference"/>
          <w:sz w:val="20"/>
          <w:szCs w:val="20"/>
        </w:rPr>
        <w:footnoteRef/>
      </w:r>
      <w:r w:rsidRPr="006D3F1B">
        <w:rPr>
          <w:sz w:val="20"/>
          <w:szCs w:val="20"/>
        </w:rPr>
        <w:t xml:space="preserve"> </w:t>
      </w:r>
      <w:r>
        <w:rPr>
          <w:sz w:val="20"/>
          <w:szCs w:val="20"/>
        </w:rPr>
        <w:t>Ibid, pp. 17, 36.</w:t>
      </w:r>
    </w:p>
  </w:footnote>
  <w:footnote w:id="49">
    <w:p w14:paraId="68277902" w14:textId="1C755219" w:rsidR="00615AE7" w:rsidRPr="006D3F1B" w:rsidRDefault="00615AE7">
      <w:pPr>
        <w:pStyle w:val="FootnoteText"/>
        <w:rPr>
          <w:sz w:val="20"/>
          <w:szCs w:val="20"/>
          <w:lang w:val="en-US"/>
        </w:rPr>
      </w:pPr>
      <w:r w:rsidRPr="006D3F1B">
        <w:rPr>
          <w:rStyle w:val="FootnoteReference"/>
          <w:sz w:val="20"/>
          <w:szCs w:val="20"/>
        </w:rPr>
        <w:footnoteRef/>
      </w:r>
      <w:r w:rsidRPr="006D3F1B">
        <w:rPr>
          <w:sz w:val="20"/>
          <w:szCs w:val="20"/>
        </w:rPr>
        <w:t xml:space="preserve"> </w:t>
      </w:r>
      <w:r>
        <w:rPr>
          <w:sz w:val="20"/>
          <w:szCs w:val="20"/>
        </w:rPr>
        <w:t>Ibid, pp. 34-35.</w:t>
      </w:r>
    </w:p>
  </w:footnote>
  <w:footnote w:id="50">
    <w:p w14:paraId="556D3DED" w14:textId="05220674" w:rsidR="00615AE7" w:rsidRPr="00DE40FC" w:rsidRDefault="00615AE7">
      <w:pPr>
        <w:pStyle w:val="FootnoteText"/>
        <w:rPr>
          <w:sz w:val="20"/>
          <w:szCs w:val="20"/>
          <w:lang w:val="en-US"/>
        </w:rPr>
      </w:pPr>
      <w:r w:rsidRPr="00DE40FC">
        <w:rPr>
          <w:rStyle w:val="FootnoteReference"/>
          <w:sz w:val="20"/>
          <w:szCs w:val="20"/>
        </w:rPr>
        <w:footnoteRef/>
      </w:r>
      <w:r w:rsidRPr="00DE40FC">
        <w:rPr>
          <w:sz w:val="20"/>
          <w:szCs w:val="20"/>
        </w:rPr>
        <w:t xml:space="preserve"> </w:t>
      </w:r>
      <w:r w:rsidRPr="000C60C9">
        <w:rPr>
          <w:sz w:val="20"/>
          <w:szCs w:val="20"/>
        </w:rPr>
        <w:t xml:space="preserve">F.R. Leavis. </w:t>
      </w:r>
      <w:r w:rsidRPr="000C60C9">
        <w:rPr>
          <w:i/>
          <w:sz w:val="20"/>
          <w:szCs w:val="20"/>
        </w:rPr>
        <w:t>Anna Karenna and Other Essays.</w:t>
      </w:r>
      <w:r w:rsidRPr="000C60C9">
        <w:rPr>
          <w:sz w:val="20"/>
          <w:szCs w:val="20"/>
        </w:rPr>
        <w:t xml:space="preserve"> London: Chatto and Windus, 1967. </w:t>
      </w:r>
      <w:r>
        <w:rPr>
          <w:sz w:val="20"/>
          <w:szCs w:val="20"/>
        </w:rPr>
        <w:t>p</w:t>
      </w:r>
      <w:r w:rsidRPr="000C60C9">
        <w:rPr>
          <w:sz w:val="20"/>
          <w:szCs w:val="20"/>
        </w:rPr>
        <w:t>.</w:t>
      </w:r>
      <w:r>
        <w:rPr>
          <w:sz w:val="20"/>
          <w:szCs w:val="20"/>
        </w:rPr>
        <w:t xml:space="preserve"> 102; Ian </w:t>
      </w:r>
      <w:r w:rsidRPr="000C60C9">
        <w:rPr>
          <w:sz w:val="20"/>
          <w:szCs w:val="20"/>
        </w:rPr>
        <w:t xml:space="preserve">Watt. </w:t>
      </w:r>
      <w:r w:rsidRPr="000C60C9">
        <w:rPr>
          <w:i/>
          <w:sz w:val="20"/>
          <w:szCs w:val="20"/>
        </w:rPr>
        <w:t>Essays on Conrad.</w:t>
      </w:r>
      <w:r w:rsidRPr="000C60C9">
        <w:rPr>
          <w:sz w:val="20"/>
          <w:szCs w:val="20"/>
        </w:rPr>
        <w:t xml:space="preserve"> Cambridge: Cambridge University Press, 2000. p.</w:t>
      </w:r>
      <w:r>
        <w:rPr>
          <w:sz w:val="20"/>
          <w:szCs w:val="20"/>
        </w:rPr>
        <w:t xml:space="preserve"> 156.</w:t>
      </w:r>
    </w:p>
  </w:footnote>
  <w:footnote w:id="51">
    <w:p w14:paraId="191DCE19" w14:textId="055E37C8" w:rsidR="00615AE7" w:rsidRPr="00C60485" w:rsidRDefault="00615AE7">
      <w:pPr>
        <w:pStyle w:val="FootnoteText"/>
        <w:rPr>
          <w:sz w:val="20"/>
          <w:szCs w:val="20"/>
          <w:lang w:val="en-US"/>
        </w:rPr>
      </w:pPr>
      <w:r w:rsidRPr="00C60485">
        <w:rPr>
          <w:rStyle w:val="FootnoteReference"/>
          <w:sz w:val="20"/>
          <w:szCs w:val="20"/>
        </w:rPr>
        <w:footnoteRef/>
      </w:r>
      <w:r w:rsidRPr="00C60485">
        <w:rPr>
          <w:sz w:val="20"/>
          <w:szCs w:val="20"/>
        </w:rPr>
        <w:t xml:space="preserve"> </w:t>
      </w:r>
      <w:r>
        <w:rPr>
          <w:sz w:val="20"/>
          <w:szCs w:val="20"/>
        </w:rPr>
        <w:t>Peters, p. 143.</w:t>
      </w:r>
    </w:p>
  </w:footnote>
  <w:footnote w:id="52">
    <w:p w14:paraId="4CC3461B" w14:textId="0A8EAA82" w:rsidR="00615AE7" w:rsidRPr="003143B9" w:rsidRDefault="00615AE7" w:rsidP="003143B9">
      <w:pPr>
        <w:pStyle w:val="reference"/>
        <w:spacing w:after="0"/>
        <w:ind w:right="198"/>
        <w:rPr>
          <w:rFonts w:ascii="Times New Roman" w:hAnsi="Times New Roman"/>
          <w:sz w:val="20"/>
          <w:szCs w:val="20"/>
        </w:rPr>
      </w:pPr>
      <w:r w:rsidRPr="003143B9">
        <w:rPr>
          <w:rStyle w:val="FootnoteReference"/>
          <w:rFonts w:ascii="Times New Roman" w:hAnsi="Times New Roman"/>
          <w:sz w:val="20"/>
          <w:szCs w:val="20"/>
        </w:rPr>
        <w:footnoteRef/>
      </w:r>
      <w:r w:rsidRPr="003143B9">
        <w:rPr>
          <w:rFonts w:ascii="Times New Roman" w:hAnsi="Times New Roman"/>
          <w:sz w:val="20"/>
          <w:szCs w:val="20"/>
        </w:rPr>
        <w:t xml:space="preserve"> Terry Collits. </w:t>
      </w:r>
      <w:r w:rsidRPr="003143B9">
        <w:rPr>
          <w:rFonts w:ascii="Times New Roman" w:hAnsi="Times New Roman"/>
          <w:i/>
          <w:sz w:val="20"/>
          <w:szCs w:val="20"/>
        </w:rPr>
        <w:t>Postcolonial Conrad: Paradoxes of Empire.</w:t>
      </w:r>
      <w:r w:rsidRPr="003143B9">
        <w:rPr>
          <w:rFonts w:ascii="Times New Roman" w:hAnsi="Times New Roman"/>
          <w:sz w:val="20"/>
          <w:szCs w:val="20"/>
        </w:rPr>
        <w:t xml:space="preserve"> Abingdon: Routledge, 2005. p.</w:t>
      </w:r>
      <w:r>
        <w:rPr>
          <w:rFonts w:ascii="Times New Roman" w:hAnsi="Times New Roman"/>
          <w:sz w:val="20"/>
          <w:szCs w:val="20"/>
        </w:rPr>
        <w:t xml:space="preserve"> </w:t>
      </w:r>
      <w:r w:rsidRPr="003143B9">
        <w:rPr>
          <w:rFonts w:ascii="Times New Roman" w:hAnsi="Times New Roman"/>
          <w:sz w:val="20"/>
          <w:szCs w:val="20"/>
        </w:rPr>
        <w:t xml:space="preserve">31. </w:t>
      </w:r>
    </w:p>
  </w:footnote>
  <w:footnote w:id="53">
    <w:p w14:paraId="06EE3FDF" w14:textId="1E2FEF35" w:rsidR="00615AE7" w:rsidRPr="00C60485" w:rsidRDefault="00615AE7">
      <w:pPr>
        <w:pStyle w:val="FootnoteText"/>
        <w:rPr>
          <w:sz w:val="20"/>
          <w:szCs w:val="20"/>
          <w:lang w:val="en-US"/>
        </w:rPr>
      </w:pPr>
      <w:r w:rsidRPr="00C60485">
        <w:rPr>
          <w:rStyle w:val="FootnoteReference"/>
          <w:sz w:val="20"/>
          <w:szCs w:val="20"/>
        </w:rPr>
        <w:footnoteRef/>
      </w:r>
      <w:r w:rsidRPr="00C60485">
        <w:rPr>
          <w:sz w:val="20"/>
          <w:szCs w:val="20"/>
        </w:rPr>
        <w:t xml:space="preserve"> </w:t>
      </w:r>
      <w:r>
        <w:rPr>
          <w:sz w:val="20"/>
          <w:szCs w:val="20"/>
        </w:rPr>
        <w:t>Joseph Conrad,</w:t>
      </w:r>
      <w:r w:rsidRPr="00C60485">
        <w:rPr>
          <w:i/>
          <w:sz w:val="20"/>
          <w:szCs w:val="20"/>
        </w:rPr>
        <w:t xml:space="preserve"> </w:t>
      </w:r>
      <w:r w:rsidRPr="001713A0">
        <w:rPr>
          <w:i/>
          <w:sz w:val="20"/>
          <w:szCs w:val="20"/>
        </w:rPr>
        <w:t xml:space="preserve">The Shadow-Line: A Confession, Within the Tides: Tales. </w:t>
      </w:r>
      <w:r w:rsidRPr="001713A0">
        <w:rPr>
          <w:sz w:val="20"/>
          <w:szCs w:val="20"/>
        </w:rPr>
        <w:t>London: J.M. Dent and Sons, 1950.</w:t>
      </w:r>
      <w:r>
        <w:rPr>
          <w:sz w:val="20"/>
          <w:szCs w:val="20"/>
        </w:rPr>
        <w:t xml:space="preserve"> p. 53.</w:t>
      </w:r>
    </w:p>
  </w:footnote>
  <w:footnote w:id="54">
    <w:p w14:paraId="41781530" w14:textId="2FF87DA6" w:rsidR="00615AE7" w:rsidRPr="0085398A" w:rsidRDefault="00615AE7">
      <w:pPr>
        <w:pStyle w:val="FootnoteText"/>
        <w:rPr>
          <w:sz w:val="20"/>
          <w:szCs w:val="20"/>
          <w:lang w:val="en-US"/>
        </w:rPr>
      </w:pPr>
      <w:r w:rsidRPr="0085398A">
        <w:rPr>
          <w:rStyle w:val="FootnoteReference"/>
          <w:sz w:val="20"/>
          <w:szCs w:val="20"/>
        </w:rPr>
        <w:footnoteRef/>
      </w:r>
      <w:r w:rsidRPr="0085398A">
        <w:rPr>
          <w:sz w:val="20"/>
          <w:szCs w:val="20"/>
        </w:rPr>
        <w:t xml:space="preserve"> </w:t>
      </w:r>
      <w:r>
        <w:rPr>
          <w:sz w:val="20"/>
          <w:szCs w:val="20"/>
        </w:rPr>
        <w:t>Conrad,</w:t>
      </w:r>
      <w:r w:rsidRPr="00C60485">
        <w:rPr>
          <w:i/>
          <w:sz w:val="20"/>
          <w:szCs w:val="20"/>
        </w:rPr>
        <w:t xml:space="preserve"> </w:t>
      </w:r>
      <w:r w:rsidRPr="001713A0">
        <w:rPr>
          <w:i/>
          <w:sz w:val="20"/>
          <w:szCs w:val="20"/>
        </w:rPr>
        <w:t>The Shadow-Line</w:t>
      </w:r>
      <w:r>
        <w:rPr>
          <w:i/>
          <w:sz w:val="20"/>
          <w:szCs w:val="20"/>
        </w:rPr>
        <w:t xml:space="preserve">, </w:t>
      </w:r>
      <w:r>
        <w:rPr>
          <w:sz w:val="20"/>
          <w:szCs w:val="20"/>
        </w:rPr>
        <w:t>p. 87.</w:t>
      </w:r>
    </w:p>
  </w:footnote>
  <w:footnote w:id="55">
    <w:p w14:paraId="522D125F" w14:textId="6AF92863" w:rsidR="00615AE7" w:rsidRPr="0085398A" w:rsidRDefault="00615AE7">
      <w:pPr>
        <w:pStyle w:val="FootnoteText"/>
        <w:rPr>
          <w:sz w:val="20"/>
          <w:szCs w:val="20"/>
          <w:lang w:val="en-US"/>
        </w:rPr>
      </w:pPr>
      <w:r w:rsidRPr="0085398A">
        <w:rPr>
          <w:rStyle w:val="FootnoteReference"/>
          <w:sz w:val="20"/>
          <w:szCs w:val="20"/>
        </w:rPr>
        <w:footnoteRef/>
      </w:r>
      <w:r w:rsidRPr="0085398A">
        <w:rPr>
          <w:sz w:val="20"/>
          <w:szCs w:val="20"/>
        </w:rPr>
        <w:t xml:space="preserve"> </w:t>
      </w:r>
      <w:r>
        <w:rPr>
          <w:sz w:val="20"/>
          <w:szCs w:val="20"/>
        </w:rPr>
        <w:t>Ibid, p. 83.</w:t>
      </w:r>
    </w:p>
  </w:footnote>
  <w:footnote w:id="56">
    <w:p w14:paraId="41E1AB66" w14:textId="71FBA69A" w:rsidR="00615AE7" w:rsidRPr="0085398A" w:rsidRDefault="00615AE7">
      <w:pPr>
        <w:pStyle w:val="FootnoteText"/>
        <w:rPr>
          <w:sz w:val="20"/>
          <w:szCs w:val="20"/>
          <w:lang w:val="en-US"/>
        </w:rPr>
      </w:pPr>
      <w:r w:rsidRPr="0085398A">
        <w:rPr>
          <w:rStyle w:val="FootnoteReference"/>
          <w:sz w:val="20"/>
          <w:szCs w:val="20"/>
        </w:rPr>
        <w:footnoteRef/>
      </w:r>
      <w:r w:rsidRPr="0085398A">
        <w:rPr>
          <w:sz w:val="20"/>
          <w:szCs w:val="20"/>
        </w:rPr>
        <w:t xml:space="preserve"> </w:t>
      </w:r>
      <w:r>
        <w:rPr>
          <w:sz w:val="20"/>
          <w:szCs w:val="20"/>
        </w:rPr>
        <w:t>Ibid, p. 115.</w:t>
      </w:r>
    </w:p>
  </w:footnote>
  <w:footnote w:id="57">
    <w:p w14:paraId="6EB3526D" w14:textId="5E335F99" w:rsidR="00615AE7" w:rsidRPr="0085398A" w:rsidRDefault="00615AE7">
      <w:pPr>
        <w:pStyle w:val="FootnoteText"/>
        <w:rPr>
          <w:sz w:val="20"/>
          <w:szCs w:val="20"/>
          <w:lang w:val="en-US"/>
        </w:rPr>
      </w:pPr>
      <w:r w:rsidRPr="0085398A">
        <w:rPr>
          <w:rStyle w:val="FootnoteReference"/>
          <w:sz w:val="20"/>
          <w:szCs w:val="20"/>
        </w:rPr>
        <w:footnoteRef/>
      </w:r>
      <w:r w:rsidRPr="0085398A">
        <w:rPr>
          <w:sz w:val="20"/>
          <w:szCs w:val="20"/>
        </w:rPr>
        <w:t xml:space="preserve"> </w:t>
      </w:r>
      <w:r>
        <w:rPr>
          <w:sz w:val="20"/>
          <w:szCs w:val="20"/>
        </w:rPr>
        <w:t>Ibid, pp. 15, 42.</w:t>
      </w:r>
    </w:p>
  </w:footnote>
  <w:footnote w:id="58">
    <w:p w14:paraId="4E5079DF" w14:textId="73E761F2" w:rsidR="00615AE7" w:rsidRPr="001D1655" w:rsidRDefault="00615AE7">
      <w:pPr>
        <w:pStyle w:val="FootnoteText"/>
        <w:rPr>
          <w:sz w:val="20"/>
          <w:szCs w:val="20"/>
          <w:lang w:val="en-US"/>
        </w:rPr>
      </w:pPr>
      <w:r w:rsidRPr="001D1655">
        <w:rPr>
          <w:rStyle w:val="FootnoteReference"/>
          <w:sz w:val="20"/>
          <w:szCs w:val="20"/>
        </w:rPr>
        <w:footnoteRef/>
      </w:r>
      <w:r w:rsidRPr="001D1655">
        <w:rPr>
          <w:sz w:val="20"/>
          <w:szCs w:val="20"/>
        </w:rPr>
        <w:t xml:space="preserve"> </w:t>
      </w:r>
      <w:r w:rsidRPr="001D1655">
        <w:rPr>
          <w:sz w:val="20"/>
          <w:szCs w:val="20"/>
          <w:lang w:val="en-US"/>
        </w:rPr>
        <w:t>Ibid, p.</w:t>
      </w:r>
      <w:r>
        <w:rPr>
          <w:sz w:val="20"/>
          <w:szCs w:val="20"/>
          <w:lang w:val="en-US"/>
        </w:rPr>
        <w:t xml:space="preserve"> </w:t>
      </w:r>
      <w:r w:rsidRPr="001D1655">
        <w:rPr>
          <w:sz w:val="20"/>
          <w:szCs w:val="20"/>
          <w:lang w:val="en-US"/>
        </w:rPr>
        <w:t>132.</w:t>
      </w:r>
    </w:p>
  </w:footnote>
  <w:footnote w:id="59">
    <w:p w14:paraId="20827556" w14:textId="0EA57A4D" w:rsidR="00615AE7" w:rsidRPr="001D1655" w:rsidRDefault="00615AE7">
      <w:pPr>
        <w:pStyle w:val="FootnoteText"/>
        <w:rPr>
          <w:sz w:val="20"/>
          <w:szCs w:val="20"/>
          <w:lang w:val="en-US"/>
        </w:rPr>
      </w:pPr>
      <w:r w:rsidRPr="001D1655">
        <w:rPr>
          <w:rStyle w:val="FootnoteReference"/>
          <w:sz w:val="20"/>
          <w:szCs w:val="20"/>
        </w:rPr>
        <w:footnoteRef/>
      </w:r>
      <w:r w:rsidRPr="001D1655">
        <w:rPr>
          <w:sz w:val="20"/>
          <w:szCs w:val="20"/>
        </w:rPr>
        <w:t xml:space="preserve"> </w:t>
      </w:r>
      <w:r>
        <w:rPr>
          <w:sz w:val="20"/>
          <w:szCs w:val="20"/>
        </w:rPr>
        <w:t>Ibid, p. 132.</w:t>
      </w:r>
    </w:p>
  </w:footnote>
  <w:footnote w:id="60">
    <w:p w14:paraId="14BD645E" w14:textId="53FEFB5A" w:rsidR="00615AE7" w:rsidRPr="001D188E" w:rsidRDefault="00615AE7" w:rsidP="001D188E">
      <w:pPr>
        <w:pStyle w:val="reference"/>
        <w:ind w:right="198"/>
        <w:rPr>
          <w:rFonts w:ascii="Times New Roman" w:hAnsi="Times New Roman"/>
          <w:sz w:val="20"/>
          <w:szCs w:val="20"/>
        </w:rPr>
      </w:pPr>
      <w:r w:rsidRPr="007F4A46">
        <w:rPr>
          <w:rStyle w:val="FootnoteReference"/>
          <w:rFonts w:ascii="Times New Roman" w:hAnsi="Times New Roman"/>
          <w:sz w:val="20"/>
          <w:szCs w:val="20"/>
        </w:rPr>
        <w:footnoteRef/>
      </w:r>
      <w:r w:rsidRPr="001D188E">
        <w:t xml:space="preserve"> </w:t>
      </w:r>
      <w:r w:rsidRPr="001D188E">
        <w:rPr>
          <w:rFonts w:ascii="Times New Roman" w:hAnsi="Times New Roman"/>
          <w:sz w:val="20"/>
          <w:szCs w:val="20"/>
        </w:rPr>
        <w:t xml:space="preserve">Jakob Lothe. </w:t>
      </w:r>
      <w:r w:rsidRPr="001D188E">
        <w:rPr>
          <w:rFonts w:ascii="Times New Roman" w:hAnsi="Times New Roman"/>
          <w:i/>
          <w:sz w:val="20"/>
          <w:szCs w:val="20"/>
        </w:rPr>
        <w:t>Conrad’s Narrative Method.</w:t>
      </w:r>
      <w:r w:rsidRPr="001D188E">
        <w:rPr>
          <w:rFonts w:ascii="Times New Roman" w:hAnsi="Times New Roman"/>
          <w:sz w:val="20"/>
          <w:szCs w:val="20"/>
        </w:rPr>
        <w:t xml:space="preserve"> Oxford: Clarendon Press, 1991. p</w:t>
      </w:r>
      <w:r>
        <w:rPr>
          <w:rFonts w:ascii="Times New Roman" w:hAnsi="Times New Roman"/>
          <w:sz w:val="20"/>
          <w:szCs w:val="20"/>
        </w:rPr>
        <w:t>p</w:t>
      </w:r>
      <w:r w:rsidRPr="001D188E">
        <w:rPr>
          <w:rFonts w:ascii="Times New Roman" w:hAnsi="Times New Roman"/>
          <w:sz w:val="20"/>
          <w:szCs w:val="20"/>
        </w:rPr>
        <w:t>.</w:t>
      </w:r>
      <w:r>
        <w:rPr>
          <w:rFonts w:ascii="Times New Roman" w:hAnsi="Times New Roman"/>
          <w:sz w:val="20"/>
          <w:szCs w:val="20"/>
        </w:rPr>
        <w:t xml:space="preserve"> 119, </w:t>
      </w:r>
      <w:r w:rsidRPr="001D188E">
        <w:rPr>
          <w:rFonts w:ascii="Times New Roman" w:hAnsi="Times New Roman"/>
          <w:sz w:val="20"/>
          <w:szCs w:val="20"/>
        </w:rPr>
        <w:t>129.</w:t>
      </w:r>
    </w:p>
  </w:footnote>
  <w:footnote w:id="61">
    <w:p w14:paraId="60C5EEC6" w14:textId="77FD9112" w:rsidR="00615AE7" w:rsidRPr="001D188E" w:rsidRDefault="00615AE7" w:rsidP="00AC5692">
      <w:pPr>
        <w:pStyle w:val="reference"/>
        <w:spacing w:after="0"/>
        <w:ind w:right="198"/>
        <w:rPr>
          <w:rFonts w:ascii="Times New Roman" w:hAnsi="Times New Roman"/>
          <w:sz w:val="20"/>
          <w:szCs w:val="20"/>
        </w:rPr>
      </w:pPr>
      <w:r w:rsidRPr="001D188E">
        <w:rPr>
          <w:rStyle w:val="FootnoteReference"/>
          <w:rFonts w:ascii="Times New Roman" w:hAnsi="Times New Roman"/>
          <w:sz w:val="20"/>
          <w:szCs w:val="20"/>
        </w:rPr>
        <w:footnoteRef/>
      </w:r>
      <w:r w:rsidRPr="001D188E">
        <w:rPr>
          <w:rFonts w:ascii="Times New Roman" w:hAnsi="Times New Roman"/>
          <w:sz w:val="20"/>
          <w:szCs w:val="20"/>
        </w:rPr>
        <w:t xml:space="preserve"> </w:t>
      </w:r>
      <w:r>
        <w:rPr>
          <w:rFonts w:ascii="Times New Roman" w:hAnsi="Times New Roman"/>
          <w:sz w:val="20"/>
          <w:szCs w:val="20"/>
        </w:rPr>
        <w:t>Nisha Manocha</w:t>
      </w:r>
      <w:r w:rsidRPr="00C114AC">
        <w:rPr>
          <w:rFonts w:ascii="Times New Roman" w:hAnsi="Times New Roman"/>
          <w:sz w:val="20"/>
          <w:szCs w:val="20"/>
        </w:rPr>
        <w:t>. ‘Readin</w:t>
      </w:r>
      <w:r>
        <w:rPr>
          <w:rFonts w:ascii="Times New Roman" w:hAnsi="Times New Roman"/>
          <w:sz w:val="20"/>
          <w:szCs w:val="20"/>
        </w:rPr>
        <w:t>g Documents: Embedded Texts in “The Professor’s House”</w:t>
      </w:r>
      <w:r w:rsidRPr="00C114AC">
        <w:rPr>
          <w:rFonts w:ascii="Times New Roman" w:hAnsi="Times New Roman"/>
          <w:sz w:val="20"/>
          <w:szCs w:val="20"/>
        </w:rPr>
        <w:t xml:space="preserve"> and </w:t>
      </w:r>
      <w:r w:rsidRPr="00C114AC">
        <w:rPr>
          <w:rFonts w:ascii="Times New Roman" w:hAnsi="Times New Roman"/>
          <w:i/>
          <w:sz w:val="20"/>
          <w:szCs w:val="20"/>
        </w:rPr>
        <w:t>The Shadow-Line</w:t>
      </w:r>
      <w:r w:rsidRPr="00C114AC">
        <w:rPr>
          <w:rFonts w:ascii="Times New Roman" w:hAnsi="Times New Roman"/>
          <w:sz w:val="20"/>
          <w:szCs w:val="20"/>
        </w:rPr>
        <w:t xml:space="preserve">’. </w:t>
      </w:r>
      <w:r w:rsidRPr="00C114AC">
        <w:rPr>
          <w:rFonts w:ascii="Times New Roman" w:hAnsi="Times New Roman"/>
          <w:i/>
          <w:sz w:val="20"/>
          <w:szCs w:val="20"/>
        </w:rPr>
        <w:t>Studies in the Novel</w:t>
      </w:r>
      <w:r w:rsidRPr="00C114AC">
        <w:rPr>
          <w:rFonts w:ascii="Times New Roman" w:hAnsi="Times New Roman"/>
          <w:sz w:val="20"/>
          <w:szCs w:val="20"/>
        </w:rPr>
        <w:t xml:space="preserve"> 44.2 (2012): p.</w:t>
      </w:r>
      <w:r>
        <w:rPr>
          <w:rFonts w:ascii="Times New Roman" w:hAnsi="Times New Roman"/>
          <w:sz w:val="20"/>
          <w:szCs w:val="20"/>
        </w:rPr>
        <w:t xml:space="preserve"> 191</w:t>
      </w:r>
      <w:r w:rsidRPr="00C114AC">
        <w:rPr>
          <w:rFonts w:ascii="Times New Roman" w:hAnsi="Times New Roman"/>
          <w:sz w:val="20"/>
          <w:szCs w:val="20"/>
        </w:rPr>
        <w:t xml:space="preserve">. </w:t>
      </w:r>
    </w:p>
  </w:footnote>
  <w:footnote w:id="62">
    <w:p w14:paraId="2F21D350" w14:textId="55B35686" w:rsidR="00615AE7" w:rsidRPr="00AC5692" w:rsidRDefault="00615AE7">
      <w:pPr>
        <w:pStyle w:val="FootnoteText"/>
        <w:rPr>
          <w:sz w:val="20"/>
          <w:szCs w:val="20"/>
        </w:rPr>
      </w:pPr>
      <w:r w:rsidRPr="00AC5692">
        <w:rPr>
          <w:rStyle w:val="FootnoteReference"/>
          <w:sz w:val="20"/>
          <w:szCs w:val="20"/>
        </w:rPr>
        <w:footnoteRef/>
      </w:r>
      <w:r w:rsidRPr="00AC5692">
        <w:rPr>
          <w:sz w:val="20"/>
          <w:szCs w:val="20"/>
        </w:rPr>
        <w:t xml:space="preserve"> </w:t>
      </w:r>
      <w:r>
        <w:rPr>
          <w:sz w:val="20"/>
          <w:szCs w:val="20"/>
        </w:rPr>
        <w:t>Conrad,</w:t>
      </w:r>
      <w:r w:rsidRPr="00C60485">
        <w:rPr>
          <w:i/>
          <w:sz w:val="20"/>
          <w:szCs w:val="20"/>
        </w:rPr>
        <w:t xml:space="preserve"> </w:t>
      </w:r>
      <w:r w:rsidRPr="001713A0">
        <w:rPr>
          <w:i/>
          <w:sz w:val="20"/>
          <w:szCs w:val="20"/>
        </w:rPr>
        <w:t>The Shadow-Line</w:t>
      </w:r>
      <w:r>
        <w:rPr>
          <w:i/>
          <w:sz w:val="20"/>
          <w:szCs w:val="20"/>
        </w:rPr>
        <w:t xml:space="preserve">, </w:t>
      </w:r>
      <w:r>
        <w:rPr>
          <w:sz w:val="20"/>
          <w:szCs w:val="20"/>
        </w:rPr>
        <w:t>p. 97.</w:t>
      </w:r>
    </w:p>
  </w:footnote>
  <w:footnote w:id="63">
    <w:p w14:paraId="723C9DE7" w14:textId="5C0B3D9A" w:rsidR="00615AE7" w:rsidRPr="00AC5692" w:rsidRDefault="00615AE7">
      <w:pPr>
        <w:pStyle w:val="FootnoteText"/>
        <w:rPr>
          <w:sz w:val="20"/>
          <w:szCs w:val="20"/>
          <w:lang w:val="en-US"/>
        </w:rPr>
      </w:pPr>
      <w:r w:rsidRPr="00AC5692">
        <w:rPr>
          <w:rStyle w:val="FootnoteReference"/>
          <w:sz w:val="20"/>
          <w:szCs w:val="20"/>
        </w:rPr>
        <w:footnoteRef/>
      </w:r>
      <w:r w:rsidRPr="00AC5692">
        <w:rPr>
          <w:sz w:val="20"/>
          <w:szCs w:val="20"/>
        </w:rPr>
        <w:t xml:space="preserve"> </w:t>
      </w:r>
      <w:r>
        <w:rPr>
          <w:sz w:val="20"/>
          <w:szCs w:val="20"/>
        </w:rPr>
        <w:t>Ibid, p. 106.</w:t>
      </w:r>
    </w:p>
  </w:footnote>
  <w:footnote w:id="64">
    <w:p w14:paraId="26224C8B" w14:textId="36471E81" w:rsidR="00615AE7" w:rsidRPr="00A5490A" w:rsidRDefault="00615AE7">
      <w:pPr>
        <w:pStyle w:val="FootnoteText"/>
        <w:rPr>
          <w:sz w:val="20"/>
          <w:szCs w:val="20"/>
          <w:lang w:val="en-US"/>
        </w:rPr>
      </w:pPr>
      <w:r w:rsidRPr="00A5490A">
        <w:rPr>
          <w:rStyle w:val="FootnoteReference"/>
          <w:sz w:val="20"/>
          <w:szCs w:val="20"/>
        </w:rPr>
        <w:footnoteRef/>
      </w:r>
      <w:r w:rsidRPr="00A5490A">
        <w:rPr>
          <w:sz w:val="20"/>
          <w:szCs w:val="20"/>
        </w:rPr>
        <w:t xml:space="preserve"> </w:t>
      </w:r>
      <w:r>
        <w:rPr>
          <w:sz w:val="20"/>
          <w:szCs w:val="20"/>
        </w:rPr>
        <w:t>Ibid, p. 107.</w:t>
      </w:r>
    </w:p>
  </w:footnote>
  <w:footnote w:id="65">
    <w:p w14:paraId="28945C21" w14:textId="616A015E" w:rsidR="00615AE7" w:rsidRPr="00A5490A" w:rsidRDefault="00615AE7">
      <w:pPr>
        <w:pStyle w:val="FootnoteText"/>
        <w:rPr>
          <w:sz w:val="20"/>
          <w:szCs w:val="20"/>
          <w:lang w:val="en-US"/>
        </w:rPr>
      </w:pPr>
      <w:r w:rsidRPr="00A5490A">
        <w:rPr>
          <w:rStyle w:val="FootnoteReference"/>
          <w:sz w:val="20"/>
          <w:szCs w:val="20"/>
        </w:rPr>
        <w:footnoteRef/>
      </w:r>
      <w:r w:rsidRPr="00A5490A">
        <w:rPr>
          <w:sz w:val="20"/>
          <w:szCs w:val="20"/>
        </w:rPr>
        <w:t xml:space="preserve"> </w:t>
      </w:r>
      <w:r>
        <w:rPr>
          <w:sz w:val="20"/>
          <w:szCs w:val="20"/>
        </w:rPr>
        <w:t>Ibid, p. 108.</w:t>
      </w:r>
    </w:p>
  </w:footnote>
  <w:footnote w:id="66">
    <w:p w14:paraId="28260B70" w14:textId="3AC3706E" w:rsidR="00615AE7" w:rsidRPr="00A5490A" w:rsidRDefault="00615AE7">
      <w:pPr>
        <w:pStyle w:val="FootnoteText"/>
        <w:rPr>
          <w:sz w:val="20"/>
          <w:szCs w:val="20"/>
          <w:lang w:val="en-US"/>
        </w:rPr>
      </w:pPr>
      <w:r w:rsidRPr="00A5490A">
        <w:rPr>
          <w:rStyle w:val="FootnoteReference"/>
          <w:sz w:val="20"/>
          <w:szCs w:val="20"/>
        </w:rPr>
        <w:footnoteRef/>
      </w:r>
      <w:r w:rsidRPr="00A5490A">
        <w:rPr>
          <w:sz w:val="20"/>
          <w:szCs w:val="20"/>
        </w:rPr>
        <w:t xml:space="preserve"> </w:t>
      </w:r>
      <w:r>
        <w:rPr>
          <w:sz w:val="20"/>
          <w:szCs w:val="20"/>
        </w:rPr>
        <w:t>Ibid, p. 109.</w:t>
      </w:r>
    </w:p>
  </w:footnote>
  <w:footnote w:id="67">
    <w:p w14:paraId="3CF4E44D" w14:textId="76BCFA68" w:rsidR="00615AE7" w:rsidRPr="006C006B" w:rsidRDefault="00615AE7">
      <w:pPr>
        <w:pStyle w:val="FootnoteText"/>
        <w:rPr>
          <w:sz w:val="20"/>
          <w:szCs w:val="20"/>
          <w:lang w:val="en-US"/>
        </w:rPr>
      </w:pPr>
      <w:r w:rsidRPr="006C006B">
        <w:rPr>
          <w:rStyle w:val="FootnoteReference"/>
          <w:sz w:val="20"/>
          <w:szCs w:val="20"/>
        </w:rPr>
        <w:footnoteRef/>
      </w:r>
      <w:r w:rsidRPr="006C006B">
        <w:rPr>
          <w:sz w:val="20"/>
          <w:szCs w:val="20"/>
        </w:rPr>
        <w:t xml:space="preserve"> </w:t>
      </w:r>
      <w:r>
        <w:rPr>
          <w:sz w:val="20"/>
          <w:szCs w:val="20"/>
        </w:rPr>
        <w:t>Ibid, pp. 48, 47.</w:t>
      </w:r>
    </w:p>
  </w:footnote>
  <w:footnote w:id="68">
    <w:p w14:paraId="7E9D0D1D" w14:textId="4ADF6ECD" w:rsidR="00615AE7" w:rsidRPr="00A85C2F" w:rsidRDefault="00615AE7">
      <w:pPr>
        <w:pStyle w:val="FootnoteText"/>
        <w:rPr>
          <w:sz w:val="20"/>
          <w:szCs w:val="20"/>
          <w:lang w:val="en-US"/>
        </w:rPr>
      </w:pPr>
      <w:r w:rsidRPr="00A85C2F">
        <w:rPr>
          <w:rStyle w:val="FootnoteReference"/>
          <w:sz w:val="20"/>
          <w:szCs w:val="20"/>
        </w:rPr>
        <w:footnoteRef/>
      </w:r>
      <w:r w:rsidRPr="00A85C2F">
        <w:rPr>
          <w:sz w:val="20"/>
          <w:szCs w:val="20"/>
        </w:rPr>
        <w:t xml:space="preserve"> </w:t>
      </w:r>
      <w:r>
        <w:rPr>
          <w:sz w:val="20"/>
          <w:szCs w:val="20"/>
        </w:rPr>
        <w:t>Ibid, p. 50.</w:t>
      </w:r>
    </w:p>
  </w:footnote>
  <w:footnote w:id="69">
    <w:p w14:paraId="1372FD3F" w14:textId="78AA9499" w:rsidR="00615AE7" w:rsidRPr="009F7A01" w:rsidRDefault="00615AE7">
      <w:pPr>
        <w:pStyle w:val="FootnoteText"/>
        <w:rPr>
          <w:sz w:val="20"/>
          <w:szCs w:val="20"/>
          <w:lang w:val="en-US"/>
        </w:rPr>
      </w:pPr>
      <w:r w:rsidRPr="009F7A01">
        <w:rPr>
          <w:rStyle w:val="FootnoteReference"/>
          <w:sz w:val="20"/>
          <w:szCs w:val="20"/>
        </w:rPr>
        <w:footnoteRef/>
      </w:r>
      <w:r w:rsidRPr="009F7A01">
        <w:rPr>
          <w:sz w:val="20"/>
          <w:szCs w:val="20"/>
        </w:rPr>
        <w:t xml:space="preserve"> </w:t>
      </w:r>
      <w:r>
        <w:rPr>
          <w:sz w:val="20"/>
          <w:szCs w:val="20"/>
        </w:rPr>
        <w:t>Ibid, p. 132.</w:t>
      </w:r>
    </w:p>
  </w:footnote>
  <w:footnote w:id="70">
    <w:p w14:paraId="0792947F" w14:textId="4313A186" w:rsidR="00615AE7" w:rsidRPr="009F7A01" w:rsidRDefault="00615AE7">
      <w:pPr>
        <w:pStyle w:val="FootnoteText"/>
        <w:rPr>
          <w:sz w:val="20"/>
          <w:szCs w:val="20"/>
          <w:lang w:val="en-US"/>
        </w:rPr>
      </w:pPr>
      <w:r w:rsidRPr="009F7A01">
        <w:rPr>
          <w:rStyle w:val="FootnoteReference"/>
          <w:sz w:val="20"/>
          <w:szCs w:val="20"/>
        </w:rPr>
        <w:footnoteRef/>
      </w:r>
      <w:r w:rsidRPr="009F7A01">
        <w:rPr>
          <w:sz w:val="20"/>
          <w:szCs w:val="20"/>
        </w:rPr>
        <w:t xml:space="preserve"> </w:t>
      </w:r>
      <w:r>
        <w:rPr>
          <w:sz w:val="20"/>
          <w:szCs w:val="20"/>
        </w:rPr>
        <w:t>Ibid, p. 133.</w:t>
      </w:r>
    </w:p>
  </w:footnote>
  <w:footnote w:id="71">
    <w:p w14:paraId="7F99AFC3" w14:textId="632879E7" w:rsidR="00615AE7" w:rsidRPr="00B516B4" w:rsidRDefault="00615AE7">
      <w:pPr>
        <w:pStyle w:val="FootnoteText"/>
        <w:rPr>
          <w:sz w:val="20"/>
          <w:szCs w:val="20"/>
          <w:lang w:val="en-US"/>
        </w:rPr>
      </w:pPr>
      <w:r w:rsidRPr="00B516B4">
        <w:rPr>
          <w:rStyle w:val="FootnoteReference"/>
          <w:sz w:val="20"/>
          <w:szCs w:val="20"/>
        </w:rPr>
        <w:footnoteRef/>
      </w:r>
      <w:r w:rsidRPr="00B516B4">
        <w:rPr>
          <w:sz w:val="20"/>
          <w:szCs w:val="20"/>
        </w:rPr>
        <w:t xml:space="preserve"> </w:t>
      </w:r>
      <w:r>
        <w:rPr>
          <w:sz w:val="20"/>
          <w:szCs w:val="20"/>
        </w:rPr>
        <w:t>Ibid, p. 133.</w:t>
      </w:r>
    </w:p>
  </w:footnote>
  <w:footnote w:id="72">
    <w:p w14:paraId="5565BE7C" w14:textId="22D98629" w:rsidR="00615AE7" w:rsidRPr="001B5C47" w:rsidRDefault="00615AE7">
      <w:pPr>
        <w:pStyle w:val="FootnoteText"/>
        <w:rPr>
          <w:sz w:val="20"/>
          <w:szCs w:val="20"/>
          <w:lang w:val="en-US"/>
        </w:rPr>
      </w:pPr>
      <w:r w:rsidRPr="001B5C47">
        <w:rPr>
          <w:rStyle w:val="FootnoteReference"/>
          <w:sz w:val="20"/>
          <w:szCs w:val="20"/>
        </w:rPr>
        <w:footnoteRef/>
      </w:r>
      <w:r w:rsidRPr="001B5C47">
        <w:rPr>
          <w:sz w:val="20"/>
          <w:szCs w:val="20"/>
        </w:rPr>
        <w:t xml:space="preserve"> </w:t>
      </w:r>
      <w:r>
        <w:rPr>
          <w:sz w:val="20"/>
          <w:szCs w:val="20"/>
        </w:rPr>
        <w:t xml:space="preserve">GoGwilt, </w:t>
      </w:r>
      <w:r>
        <w:rPr>
          <w:i/>
          <w:sz w:val="20"/>
          <w:szCs w:val="20"/>
        </w:rPr>
        <w:t xml:space="preserve">‘Joseph Conrad as Guide to Colonial History’, </w:t>
      </w:r>
      <w:r>
        <w:rPr>
          <w:sz w:val="20"/>
          <w:szCs w:val="20"/>
        </w:rPr>
        <w:t>p. 152.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7C3BE" w14:textId="77777777" w:rsidR="00615AE7" w:rsidRDefault="00615AE7" w:rsidP="00D367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9F9B" w14:textId="77777777" w:rsidR="00615AE7" w:rsidRDefault="00615AE7" w:rsidP="00D3676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9DD38" w14:textId="0A7902A6" w:rsidR="00615AE7" w:rsidRPr="00143691" w:rsidRDefault="00615AE7" w:rsidP="00070235">
    <w:pPr>
      <w:pStyle w:val="Header"/>
      <w:spacing w:line="360" w:lineRule="auto"/>
      <w:ind w:right="357"/>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17F6B"/>
    <w:multiLevelType w:val="hybridMultilevel"/>
    <w:tmpl w:val="9C52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A11D2D"/>
    <w:multiLevelType w:val="multilevel"/>
    <w:tmpl w:val="BC64F2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30780D"/>
    <w:multiLevelType w:val="hybridMultilevel"/>
    <w:tmpl w:val="BC64F220"/>
    <w:lvl w:ilvl="0" w:tplc="64E64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2D51E8"/>
    <w:multiLevelType w:val="multilevel"/>
    <w:tmpl w:val="EA72CB50"/>
    <w:lvl w:ilvl="0">
      <w:start w:val="1"/>
      <w:numFmt w:val="decimal"/>
      <w:lvlText w:val="[%1]"/>
      <w:lvlJc w:val="left"/>
      <w:pPr>
        <w:ind w:left="720" w:hanging="5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A9A19C1"/>
    <w:multiLevelType w:val="hybridMultilevel"/>
    <w:tmpl w:val="5DE224A2"/>
    <w:lvl w:ilvl="0" w:tplc="EF3217EA">
      <w:start w:val="1"/>
      <w:numFmt w:val="decimal"/>
      <w:lvlText w:val="%1"/>
      <w:lvlJc w:val="left"/>
      <w:pPr>
        <w:ind w:left="720" w:hanging="5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981199"/>
    <w:multiLevelType w:val="multilevel"/>
    <w:tmpl w:val="D0A289F0"/>
    <w:lvl w:ilvl="0">
      <w:start w:val="1"/>
      <w:numFmt w:val="decimal"/>
      <w:lvlText w:val="[%1]"/>
      <w:lvlJc w:val="left"/>
      <w:pPr>
        <w:ind w:left="720" w:hanging="5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1967369"/>
    <w:multiLevelType w:val="hybridMultilevel"/>
    <w:tmpl w:val="901C0B1E"/>
    <w:lvl w:ilvl="0" w:tplc="0B1EE11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652570"/>
    <w:multiLevelType w:val="hybridMultilevel"/>
    <w:tmpl w:val="EA72CB50"/>
    <w:lvl w:ilvl="0" w:tplc="CEB21144">
      <w:start w:val="1"/>
      <w:numFmt w:val="decimal"/>
      <w:lvlText w:val="[%1]"/>
      <w:lvlJc w:val="left"/>
      <w:pPr>
        <w:ind w:left="720" w:hanging="5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08663E"/>
    <w:multiLevelType w:val="hybridMultilevel"/>
    <w:tmpl w:val="23FE13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ED194E"/>
    <w:multiLevelType w:val="hybridMultilevel"/>
    <w:tmpl w:val="D0A289F0"/>
    <w:lvl w:ilvl="0" w:tplc="CEB21144">
      <w:start w:val="1"/>
      <w:numFmt w:val="decimal"/>
      <w:lvlText w:val="[%1]"/>
      <w:lvlJc w:val="left"/>
      <w:pPr>
        <w:ind w:left="720" w:hanging="5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494352"/>
    <w:multiLevelType w:val="multilevel"/>
    <w:tmpl w:val="FE1E50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F997627"/>
    <w:multiLevelType w:val="hybridMultilevel"/>
    <w:tmpl w:val="FE1E505E"/>
    <w:lvl w:ilvl="0" w:tplc="A1B62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11"/>
  </w:num>
  <w:num w:numId="6">
    <w:abstractNumId w:val="10"/>
  </w:num>
  <w:num w:numId="7">
    <w:abstractNumId w:val="6"/>
  </w:num>
  <w:num w:numId="8">
    <w:abstractNumId w:val="7"/>
  </w:num>
  <w:num w:numId="9">
    <w:abstractNumId w:val="3"/>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activeWritingStyle w:appName="MSWord" w:lang="en-GB" w:vendorID="64" w:dllVersion="131078" w:nlCheck="1" w:checkStyle="1"/>
  <w:activeWritingStyle w:appName="MSWord" w:lang="en-US" w:vendorID="64" w:dllVersion="131078" w:nlCheck="1" w:checkStyle="1"/>
  <w:activeWritingStyle w:appName="MSWord" w:lang="en-US" w:vendorID="2" w:dllVersion="6" w:checkStyle="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C8"/>
    <w:rsid w:val="000013D4"/>
    <w:rsid w:val="00002EF0"/>
    <w:rsid w:val="0000331F"/>
    <w:rsid w:val="00003426"/>
    <w:rsid w:val="00003B9B"/>
    <w:rsid w:val="000052EE"/>
    <w:rsid w:val="00007374"/>
    <w:rsid w:val="000105B7"/>
    <w:rsid w:val="00010AF3"/>
    <w:rsid w:val="00010FA3"/>
    <w:rsid w:val="00010FEE"/>
    <w:rsid w:val="0001360F"/>
    <w:rsid w:val="000149D3"/>
    <w:rsid w:val="0001581C"/>
    <w:rsid w:val="00015CBC"/>
    <w:rsid w:val="00016BE6"/>
    <w:rsid w:val="00017265"/>
    <w:rsid w:val="0002381B"/>
    <w:rsid w:val="000257D3"/>
    <w:rsid w:val="00025B3F"/>
    <w:rsid w:val="00025FD6"/>
    <w:rsid w:val="0002704D"/>
    <w:rsid w:val="00030FCD"/>
    <w:rsid w:val="00031A7C"/>
    <w:rsid w:val="00031E9D"/>
    <w:rsid w:val="00034AE1"/>
    <w:rsid w:val="000358BC"/>
    <w:rsid w:val="00036A30"/>
    <w:rsid w:val="00036B54"/>
    <w:rsid w:val="00036BB1"/>
    <w:rsid w:val="00036E61"/>
    <w:rsid w:val="000370A8"/>
    <w:rsid w:val="00037E94"/>
    <w:rsid w:val="00040EBF"/>
    <w:rsid w:val="00041A84"/>
    <w:rsid w:val="000424D1"/>
    <w:rsid w:val="0004268A"/>
    <w:rsid w:val="00042C37"/>
    <w:rsid w:val="00042ED2"/>
    <w:rsid w:val="00044396"/>
    <w:rsid w:val="000455EC"/>
    <w:rsid w:val="00046104"/>
    <w:rsid w:val="0004633C"/>
    <w:rsid w:val="00050C4E"/>
    <w:rsid w:val="00051098"/>
    <w:rsid w:val="000519C0"/>
    <w:rsid w:val="00054686"/>
    <w:rsid w:val="00056799"/>
    <w:rsid w:val="00057B9E"/>
    <w:rsid w:val="0006010E"/>
    <w:rsid w:val="00060620"/>
    <w:rsid w:val="000607AD"/>
    <w:rsid w:val="000618A1"/>
    <w:rsid w:val="00061BF5"/>
    <w:rsid w:val="00062344"/>
    <w:rsid w:val="00062768"/>
    <w:rsid w:val="00062795"/>
    <w:rsid w:val="000630BE"/>
    <w:rsid w:val="00063421"/>
    <w:rsid w:val="00063B1B"/>
    <w:rsid w:val="00064325"/>
    <w:rsid w:val="00064C39"/>
    <w:rsid w:val="00065AC0"/>
    <w:rsid w:val="00066523"/>
    <w:rsid w:val="00066A97"/>
    <w:rsid w:val="00066ABF"/>
    <w:rsid w:val="00070235"/>
    <w:rsid w:val="0007144B"/>
    <w:rsid w:val="00071C2D"/>
    <w:rsid w:val="00071DFD"/>
    <w:rsid w:val="000721AE"/>
    <w:rsid w:val="00073B17"/>
    <w:rsid w:val="00075A30"/>
    <w:rsid w:val="00076A2D"/>
    <w:rsid w:val="00076B31"/>
    <w:rsid w:val="00076EEA"/>
    <w:rsid w:val="00076F97"/>
    <w:rsid w:val="000776A7"/>
    <w:rsid w:val="00077B10"/>
    <w:rsid w:val="00080208"/>
    <w:rsid w:val="00080650"/>
    <w:rsid w:val="00080D71"/>
    <w:rsid w:val="00080EAE"/>
    <w:rsid w:val="0008133B"/>
    <w:rsid w:val="000817D4"/>
    <w:rsid w:val="0008376E"/>
    <w:rsid w:val="00083BE8"/>
    <w:rsid w:val="00084783"/>
    <w:rsid w:val="00086EE7"/>
    <w:rsid w:val="000911C4"/>
    <w:rsid w:val="000919F8"/>
    <w:rsid w:val="00091E61"/>
    <w:rsid w:val="00091F5D"/>
    <w:rsid w:val="000923BE"/>
    <w:rsid w:val="00092EA8"/>
    <w:rsid w:val="00093423"/>
    <w:rsid w:val="000935FC"/>
    <w:rsid w:val="00096F13"/>
    <w:rsid w:val="00097C46"/>
    <w:rsid w:val="00097FB7"/>
    <w:rsid w:val="000A072F"/>
    <w:rsid w:val="000A0761"/>
    <w:rsid w:val="000A1530"/>
    <w:rsid w:val="000A1DF9"/>
    <w:rsid w:val="000A2129"/>
    <w:rsid w:val="000A3433"/>
    <w:rsid w:val="000A453C"/>
    <w:rsid w:val="000A4EB1"/>
    <w:rsid w:val="000A66DB"/>
    <w:rsid w:val="000A6714"/>
    <w:rsid w:val="000B13C4"/>
    <w:rsid w:val="000B2EC3"/>
    <w:rsid w:val="000B3A59"/>
    <w:rsid w:val="000B3DF6"/>
    <w:rsid w:val="000B485F"/>
    <w:rsid w:val="000B6D25"/>
    <w:rsid w:val="000B6DBA"/>
    <w:rsid w:val="000B7C95"/>
    <w:rsid w:val="000C0AD7"/>
    <w:rsid w:val="000C126E"/>
    <w:rsid w:val="000C1691"/>
    <w:rsid w:val="000C186A"/>
    <w:rsid w:val="000C2C47"/>
    <w:rsid w:val="000C309C"/>
    <w:rsid w:val="000C3C5F"/>
    <w:rsid w:val="000C400A"/>
    <w:rsid w:val="000C46E9"/>
    <w:rsid w:val="000C54A3"/>
    <w:rsid w:val="000C5665"/>
    <w:rsid w:val="000C6038"/>
    <w:rsid w:val="000C61F7"/>
    <w:rsid w:val="000C61FD"/>
    <w:rsid w:val="000C6B08"/>
    <w:rsid w:val="000D0075"/>
    <w:rsid w:val="000D0A70"/>
    <w:rsid w:val="000D0B16"/>
    <w:rsid w:val="000D17D4"/>
    <w:rsid w:val="000D27CA"/>
    <w:rsid w:val="000D4023"/>
    <w:rsid w:val="000D414F"/>
    <w:rsid w:val="000D500D"/>
    <w:rsid w:val="000D5974"/>
    <w:rsid w:val="000E07A8"/>
    <w:rsid w:val="000E2886"/>
    <w:rsid w:val="000E29D7"/>
    <w:rsid w:val="000E3A00"/>
    <w:rsid w:val="000E456B"/>
    <w:rsid w:val="000E4B3C"/>
    <w:rsid w:val="000E4BD0"/>
    <w:rsid w:val="000E5855"/>
    <w:rsid w:val="000E5ADE"/>
    <w:rsid w:val="000E69CF"/>
    <w:rsid w:val="000E757E"/>
    <w:rsid w:val="000E7D9F"/>
    <w:rsid w:val="000E7ED7"/>
    <w:rsid w:val="000F0770"/>
    <w:rsid w:val="000F0F01"/>
    <w:rsid w:val="000F1C4F"/>
    <w:rsid w:val="000F2E47"/>
    <w:rsid w:val="000F37E0"/>
    <w:rsid w:val="000F4DCD"/>
    <w:rsid w:val="000F6632"/>
    <w:rsid w:val="000F6880"/>
    <w:rsid w:val="000F6FD7"/>
    <w:rsid w:val="001025E0"/>
    <w:rsid w:val="00103BCE"/>
    <w:rsid w:val="00104710"/>
    <w:rsid w:val="001050A8"/>
    <w:rsid w:val="001050DA"/>
    <w:rsid w:val="00105B99"/>
    <w:rsid w:val="00106F00"/>
    <w:rsid w:val="00107A0E"/>
    <w:rsid w:val="00110D7A"/>
    <w:rsid w:val="001113BE"/>
    <w:rsid w:val="0011194D"/>
    <w:rsid w:val="0011256C"/>
    <w:rsid w:val="001133C1"/>
    <w:rsid w:val="00120387"/>
    <w:rsid w:val="00120C30"/>
    <w:rsid w:val="00120DF9"/>
    <w:rsid w:val="0012130F"/>
    <w:rsid w:val="00121657"/>
    <w:rsid w:val="0012190E"/>
    <w:rsid w:val="00121F8D"/>
    <w:rsid w:val="00122004"/>
    <w:rsid w:val="00122B6F"/>
    <w:rsid w:val="001231B6"/>
    <w:rsid w:val="00124CFC"/>
    <w:rsid w:val="00126252"/>
    <w:rsid w:val="00126C9A"/>
    <w:rsid w:val="0013019C"/>
    <w:rsid w:val="00130D85"/>
    <w:rsid w:val="00130FF7"/>
    <w:rsid w:val="001322A4"/>
    <w:rsid w:val="00132FA5"/>
    <w:rsid w:val="00133314"/>
    <w:rsid w:val="001341A5"/>
    <w:rsid w:val="00134B29"/>
    <w:rsid w:val="00134BB6"/>
    <w:rsid w:val="00135318"/>
    <w:rsid w:val="00135BBB"/>
    <w:rsid w:val="00136622"/>
    <w:rsid w:val="00136655"/>
    <w:rsid w:val="00136EB7"/>
    <w:rsid w:val="00140660"/>
    <w:rsid w:val="00140D91"/>
    <w:rsid w:val="00140F97"/>
    <w:rsid w:val="0014144C"/>
    <w:rsid w:val="001424DC"/>
    <w:rsid w:val="0014331C"/>
    <w:rsid w:val="00143691"/>
    <w:rsid w:val="00144D5B"/>
    <w:rsid w:val="001453A4"/>
    <w:rsid w:val="001458E0"/>
    <w:rsid w:val="001469A4"/>
    <w:rsid w:val="001471AE"/>
    <w:rsid w:val="00147CAA"/>
    <w:rsid w:val="00150B3A"/>
    <w:rsid w:val="0015290A"/>
    <w:rsid w:val="001538DE"/>
    <w:rsid w:val="00154519"/>
    <w:rsid w:val="00154FCC"/>
    <w:rsid w:val="00156448"/>
    <w:rsid w:val="00156DA4"/>
    <w:rsid w:val="001574A8"/>
    <w:rsid w:val="00160021"/>
    <w:rsid w:val="00160266"/>
    <w:rsid w:val="00160F3A"/>
    <w:rsid w:val="00160F3C"/>
    <w:rsid w:val="0016202B"/>
    <w:rsid w:val="00162129"/>
    <w:rsid w:val="00162277"/>
    <w:rsid w:val="00162501"/>
    <w:rsid w:val="001629DF"/>
    <w:rsid w:val="0016346C"/>
    <w:rsid w:val="00163519"/>
    <w:rsid w:val="001638F5"/>
    <w:rsid w:val="00164210"/>
    <w:rsid w:val="00164C6F"/>
    <w:rsid w:val="0016659D"/>
    <w:rsid w:val="00166953"/>
    <w:rsid w:val="00167864"/>
    <w:rsid w:val="001704AB"/>
    <w:rsid w:val="00170758"/>
    <w:rsid w:val="001715E5"/>
    <w:rsid w:val="00171E59"/>
    <w:rsid w:val="0017258A"/>
    <w:rsid w:val="00172D33"/>
    <w:rsid w:val="00173293"/>
    <w:rsid w:val="00173848"/>
    <w:rsid w:val="00173B78"/>
    <w:rsid w:val="001744FC"/>
    <w:rsid w:val="00174FAF"/>
    <w:rsid w:val="00175560"/>
    <w:rsid w:val="001756F7"/>
    <w:rsid w:val="00176FC4"/>
    <w:rsid w:val="0018052D"/>
    <w:rsid w:val="00182619"/>
    <w:rsid w:val="0018266C"/>
    <w:rsid w:val="00182C91"/>
    <w:rsid w:val="00184533"/>
    <w:rsid w:val="00184747"/>
    <w:rsid w:val="00185385"/>
    <w:rsid w:val="00186985"/>
    <w:rsid w:val="00191721"/>
    <w:rsid w:val="00191D85"/>
    <w:rsid w:val="00192C8D"/>
    <w:rsid w:val="00193B92"/>
    <w:rsid w:val="00193E13"/>
    <w:rsid w:val="00193F0B"/>
    <w:rsid w:val="00194CBA"/>
    <w:rsid w:val="00195757"/>
    <w:rsid w:val="001966DF"/>
    <w:rsid w:val="00196D4A"/>
    <w:rsid w:val="00197862"/>
    <w:rsid w:val="001A114C"/>
    <w:rsid w:val="001A1CB5"/>
    <w:rsid w:val="001A1D29"/>
    <w:rsid w:val="001A2119"/>
    <w:rsid w:val="001A31F0"/>
    <w:rsid w:val="001A475E"/>
    <w:rsid w:val="001A5C44"/>
    <w:rsid w:val="001A659B"/>
    <w:rsid w:val="001B052C"/>
    <w:rsid w:val="001B1118"/>
    <w:rsid w:val="001B2EB7"/>
    <w:rsid w:val="001B30F1"/>
    <w:rsid w:val="001B3C93"/>
    <w:rsid w:val="001B435F"/>
    <w:rsid w:val="001B4EA2"/>
    <w:rsid w:val="001B5C47"/>
    <w:rsid w:val="001B71FC"/>
    <w:rsid w:val="001C054C"/>
    <w:rsid w:val="001C16E7"/>
    <w:rsid w:val="001C1B7D"/>
    <w:rsid w:val="001C2155"/>
    <w:rsid w:val="001C2C07"/>
    <w:rsid w:val="001C365A"/>
    <w:rsid w:val="001C3948"/>
    <w:rsid w:val="001C6366"/>
    <w:rsid w:val="001C6463"/>
    <w:rsid w:val="001C79D3"/>
    <w:rsid w:val="001D0926"/>
    <w:rsid w:val="001D1655"/>
    <w:rsid w:val="001D188E"/>
    <w:rsid w:val="001D1BD1"/>
    <w:rsid w:val="001D2E4C"/>
    <w:rsid w:val="001D2E6D"/>
    <w:rsid w:val="001D3380"/>
    <w:rsid w:val="001D40AB"/>
    <w:rsid w:val="001D47F9"/>
    <w:rsid w:val="001D4AD3"/>
    <w:rsid w:val="001D4C40"/>
    <w:rsid w:val="001D5413"/>
    <w:rsid w:val="001D5F18"/>
    <w:rsid w:val="001D628D"/>
    <w:rsid w:val="001D64FB"/>
    <w:rsid w:val="001D692E"/>
    <w:rsid w:val="001D7637"/>
    <w:rsid w:val="001D7BF1"/>
    <w:rsid w:val="001E014E"/>
    <w:rsid w:val="001E156B"/>
    <w:rsid w:val="001E23B1"/>
    <w:rsid w:val="001E52F3"/>
    <w:rsid w:val="001E6340"/>
    <w:rsid w:val="001E65EB"/>
    <w:rsid w:val="001E7386"/>
    <w:rsid w:val="001E7AA2"/>
    <w:rsid w:val="001F2153"/>
    <w:rsid w:val="001F3896"/>
    <w:rsid w:val="001F6C56"/>
    <w:rsid w:val="00200AC2"/>
    <w:rsid w:val="00202570"/>
    <w:rsid w:val="00202620"/>
    <w:rsid w:val="0020270F"/>
    <w:rsid w:val="00202DFD"/>
    <w:rsid w:val="00203BC0"/>
    <w:rsid w:val="00203F2B"/>
    <w:rsid w:val="00205512"/>
    <w:rsid w:val="002065E5"/>
    <w:rsid w:val="00206C92"/>
    <w:rsid w:val="002070F8"/>
    <w:rsid w:val="00207112"/>
    <w:rsid w:val="0021009D"/>
    <w:rsid w:val="00211A8A"/>
    <w:rsid w:val="00211BC2"/>
    <w:rsid w:val="00212BB0"/>
    <w:rsid w:val="00214E31"/>
    <w:rsid w:val="00214E91"/>
    <w:rsid w:val="00216BE3"/>
    <w:rsid w:val="0021705C"/>
    <w:rsid w:val="002176D4"/>
    <w:rsid w:val="00217CBC"/>
    <w:rsid w:val="002200D0"/>
    <w:rsid w:val="0022248F"/>
    <w:rsid w:val="00224E95"/>
    <w:rsid w:val="00224FC3"/>
    <w:rsid w:val="002255BA"/>
    <w:rsid w:val="00225D8D"/>
    <w:rsid w:val="00225F70"/>
    <w:rsid w:val="00226B39"/>
    <w:rsid w:val="00226CE9"/>
    <w:rsid w:val="002276DF"/>
    <w:rsid w:val="00227836"/>
    <w:rsid w:val="002301A1"/>
    <w:rsid w:val="00230E94"/>
    <w:rsid w:val="00231A10"/>
    <w:rsid w:val="00232B29"/>
    <w:rsid w:val="002346C6"/>
    <w:rsid w:val="00234BD5"/>
    <w:rsid w:val="0023516C"/>
    <w:rsid w:val="0023694C"/>
    <w:rsid w:val="00236A36"/>
    <w:rsid w:val="0023728F"/>
    <w:rsid w:val="00237905"/>
    <w:rsid w:val="00237AB2"/>
    <w:rsid w:val="00237F77"/>
    <w:rsid w:val="002401CF"/>
    <w:rsid w:val="002403B1"/>
    <w:rsid w:val="00240EE9"/>
    <w:rsid w:val="00242183"/>
    <w:rsid w:val="002427CF"/>
    <w:rsid w:val="00242B7A"/>
    <w:rsid w:val="00242BB2"/>
    <w:rsid w:val="00243D00"/>
    <w:rsid w:val="00243FDD"/>
    <w:rsid w:val="00244F23"/>
    <w:rsid w:val="002457E6"/>
    <w:rsid w:val="0024661F"/>
    <w:rsid w:val="00246B08"/>
    <w:rsid w:val="00247689"/>
    <w:rsid w:val="0025128C"/>
    <w:rsid w:val="0025144E"/>
    <w:rsid w:val="002514F5"/>
    <w:rsid w:val="00251A35"/>
    <w:rsid w:val="00251CE2"/>
    <w:rsid w:val="00251E56"/>
    <w:rsid w:val="002529BB"/>
    <w:rsid w:val="00256D74"/>
    <w:rsid w:val="00257536"/>
    <w:rsid w:val="00257ABA"/>
    <w:rsid w:val="00260715"/>
    <w:rsid w:val="002614C1"/>
    <w:rsid w:val="00261941"/>
    <w:rsid w:val="002624C9"/>
    <w:rsid w:val="002625C3"/>
    <w:rsid w:val="0026318A"/>
    <w:rsid w:val="00264A3F"/>
    <w:rsid w:val="00265365"/>
    <w:rsid w:val="00266075"/>
    <w:rsid w:val="00266E55"/>
    <w:rsid w:val="00267546"/>
    <w:rsid w:val="00267BF1"/>
    <w:rsid w:val="00267DF8"/>
    <w:rsid w:val="0027278D"/>
    <w:rsid w:val="00272B5F"/>
    <w:rsid w:val="002740B2"/>
    <w:rsid w:val="00274138"/>
    <w:rsid w:val="002756BB"/>
    <w:rsid w:val="00275EA7"/>
    <w:rsid w:val="00276104"/>
    <w:rsid w:val="002803B4"/>
    <w:rsid w:val="002818D9"/>
    <w:rsid w:val="00281B13"/>
    <w:rsid w:val="00281E82"/>
    <w:rsid w:val="0028212B"/>
    <w:rsid w:val="00282B39"/>
    <w:rsid w:val="00283298"/>
    <w:rsid w:val="00283759"/>
    <w:rsid w:val="00284849"/>
    <w:rsid w:val="00284C73"/>
    <w:rsid w:val="00284C8D"/>
    <w:rsid w:val="00285E4E"/>
    <w:rsid w:val="00286F00"/>
    <w:rsid w:val="002875CF"/>
    <w:rsid w:val="00287797"/>
    <w:rsid w:val="00287F6D"/>
    <w:rsid w:val="00290495"/>
    <w:rsid w:val="00291078"/>
    <w:rsid w:val="0029239E"/>
    <w:rsid w:val="0029390B"/>
    <w:rsid w:val="0029391B"/>
    <w:rsid w:val="00293981"/>
    <w:rsid w:val="00294303"/>
    <w:rsid w:val="00294A76"/>
    <w:rsid w:val="00296F56"/>
    <w:rsid w:val="00297316"/>
    <w:rsid w:val="002A15C7"/>
    <w:rsid w:val="002A20FB"/>
    <w:rsid w:val="002A2D94"/>
    <w:rsid w:val="002A339A"/>
    <w:rsid w:val="002A33DD"/>
    <w:rsid w:val="002A669F"/>
    <w:rsid w:val="002A6CAC"/>
    <w:rsid w:val="002A7013"/>
    <w:rsid w:val="002B06F4"/>
    <w:rsid w:val="002B20B7"/>
    <w:rsid w:val="002B27C2"/>
    <w:rsid w:val="002B3C3C"/>
    <w:rsid w:val="002B44DD"/>
    <w:rsid w:val="002B587F"/>
    <w:rsid w:val="002B6903"/>
    <w:rsid w:val="002B6B84"/>
    <w:rsid w:val="002B6D63"/>
    <w:rsid w:val="002B7FA0"/>
    <w:rsid w:val="002C173E"/>
    <w:rsid w:val="002C204C"/>
    <w:rsid w:val="002C23F4"/>
    <w:rsid w:val="002C361E"/>
    <w:rsid w:val="002C3743"/>
    <w:rsid w:val="002C401F"/>
    <w:rsid w:val="002C4109"/>
    <w:rsid w:val="002C4271"/>
    <w:rsid w:val="002C6DD2"/>
    <w:rsid w:val="002C7A7F"/>
    <w:rsid w:val="002D071A"/>
    <w:rsid w:val="002D0D23"/>
    <w:rsid w:val="002D0E0E"/>
    <w:rsid w:val="002D1151"/>
    <w:rsid w:val="002D1214"/>
    <w:rsid w:val="002D1B4C"/>
    <w:rsid w:val="002D32C5"/>
    <w:rsid w:val="002D3B76"/>
    <w:rsid w:val="002D4609"/>
    <w:rsid w:val="002D4F6B"/>
    <w:rsid w:val="002D5019"/>
    <w:rsid w:val="002D5881"/>
    <w:rsid w:val="002D5E61"/>
    <w:rsid w:val="002D62DA"/>
    <w:rsid w:val="002D65C8"/>
    <w:rsid w:val="002D783E"/>
    <w:rsid w:val="002E0EC1"/>
    <w:rsid w:val="002E2D09"/>
    <w:rsid w:val="002E31FA"/>
    <w:rsid w:val="002E3A68"/>
    <w:rsid w:val="002E3F79"/>
    <w:rsid w:val="002E4566"/>
    <w:rsid w:val="002E458B"/>
    <w:rsid w:val="002E5886"/>
    <w:rsid w:val="002E5B3C"/>
    <w:rsid w:val="002E6509"/>
    <w:rsid w:val="002E6598"/>
    <w:rsid w:val="002E6C54"/>
    <w:rsid w:val="002E7033"/>
    <w:rsid w:val="002F08EE"/>
    <w:rsid w:val="002F1459"/>
    <w:rsid w:val="002F14D8"/>
    <w:rsid w:val="002F16EA"/>
    <w:rsid w:val="002F1B61"/>
    <w:rsid w:val="002F22BF"/>
    <w:rsid w:val="002F59C7"/>
    <w:rsid w:val="002F6609"/>
    <w:rsid w:val="003011E4"/>
    <w:rsid w:val="00302A52"/>
    <w:rsid w:val="00303268"/>
    <w:rsid w:val="0030335F"/>
    <w:rsid w:val="003038A0"/>
    <w:rsid w:val="00303CB8"/>
    <w:rsid w:val="00303D77"/>
    <w:rsid w:val="003048E4"/>
    <w:rsid w:val="0030537A"/>
    <w:rsid w:val="0030573A"/>
    <w:rsid w:val="003057E5"/>
    <w:rsid w:val="003060FF"/>
    <w:rsid w:val="00306A8E"/>
    <w:rsid w:val="00306C80"/>
    <w:rsid w:val="003100A9"/>
    <w:rsid w:val="00312EA2"/>
    <w:rsid w:val="003143B9"/>
    <w:rsid w:val="003154D1"/>
    <w:rsid w:val="003163C5"/>
    <w:rsid w:val="0032008C"/>
    <w:rsid w:val="003207C5"/>
    <w:rsid w:val="00321F20"/>
    <w:rsid w:val="003222A8"/>
    <w:rsid w:val="003244C6"/>
    <w:rsid w:val="00324861"/>
    <w:rsid w:val="00326523"/>
    <w:rsid w:val="0032790C"/>
    <w:rsid w:val="00327A5C"/>
    <w:rsid w:val="00330C30"/>
    <w:rsid w:val="003323DA"/>
    <w:rsid w:val="003324C1"/>
    <w:rsid w:val="00333C25"/>
    <w:rsid w:val="0033414A"/>
    <w:rsid w:val="003347EE"/>
    <w:rsid w:val="00335A5A"/>
    <w:rsid w:val="003365D8"/>
    <w:rsid w:val="0033773D"/>
    <w:rsid w:val="00337919"/>
    <w:rsid w:val="00342086"/>
    <w:rsid w:val="00342CD9"/>
    <w:rsid w:val="00343C0A"/>
    <w:rsid w:val="00344537"/>
    <w:rsid w:val="003466F0"/>
    <w:rsid w:val="00346F06"/>
    <w:rsid w:val="00347507"/>
    <w:rsid w:val="0035026A"/>
    <w:rsid w:val="00350691"/>
    <w:rsid w:val="00351486"/>
    <w:rsid w:val="00351F1E"/>
    <w:rsid w:val="00352AEC"/>
    <w:rsid w:val="00355044"/>
    <w:rsid w:val="0035565C"/>
    <w:rsid w:val="003559FC"/>
    <w:rsid w:val="00356D94"/>
    <w:rsid w:val="00357416"/>
    <w:rsid w:val="00361CC9"/>
    <w:rsid w:val="003620F5"/>
    <w:rsid w:val="003622FE"/>
    <w:rsid w:val="00362A27"/>
    <w:rsid w:val="00363296"/>
    <w:rsid w:val="003635D9"/>
    <w:rsid w:val="00363A95"/>
    <w:rsid w:val="0036460A"/>
    <w:rsid w:val="00364C53"/>
    <w:rsid w:val="00365746"/>
    <w:rsid w:val="00365EFB"/>
    <w:rsid w:val="00370777"/>
    <w:rsid w:val="00371020"/>
    <w:rsid w:val="0037139E"/>
    <w:rsid w:val="00371593"/>
    <w:rsid w:val="003718F5"/>
    <w:rsid w:val="00372F92"/>
    <w:rsid w:val="00373051"/>
    <w:rsid w:val="00373552"/>
    <w:rsid w:val="00373B98"/>
    <w:rsid w:val="00373FE5"/>
    <w:rsid w:val="00374142"/>
    <w:rsid w:val="00374C8F"/>
    <w:rsid w:val="00375048"/>
    <w:rsid w:val="00375333"/>
    <w:rsid w:val="003757BD"/>
    <w:rsid w:val="00376AB8"/>
    <w:rsid w:val="003778CC"/>
    <w:rsid w:val="003801C4"/>
    <w:rsid w:val="003825CD"/>
    <w:rsid w:val="00383241"/>
    <w:rsid w:val="00384ECF"/>
    <w:rsid w:val="003850BE"/>
    <w:rsid w:val="00385135"/>
    <w:rsid w:val="00385583"/>
    <w:rsid w:val="00385657"/>
    <w:rsid w:val="00385801"/>
    <w:rsid w:val="00390488"/>
    <w:rsid w:val="00390505"/>
    <w:rsid w:val="00390FC9"/>
    <w:rsid w:val="00391B57"/>
    <w:rsid w:val="003924B3"/>
    <w:rsid w:val="00395295"/>
    <w:rsid w:val="00396565"/>
    <w:rsid w:val="00396B6D"/>
    <w:rsid w:val="00397822"/>
    <w:rsid w:val="00397837"/>
    <w:rsid w:val="003A0873"/>
    <w:rsid w:val="003A1049"/>
    <w:rsid w:val="003A1537"/>
    <w:rsid w:val="003A1FFB"/>
    <w:rsid w:val="003A26C7"/>
    <w:rsid w:val="003A3E1E"/>
    <w:rsid w:val="003A477F"/>
    <w:rsid w:val="003A4B39"/>
    <w:rsid w:val="003A54A9"/>
    <w:rsid w:val="003B0063"/>
    <w:rsid w:val="003B010A"/>
    <w:rsid w:val="003B01FE"/>
    <w:rsid w:val="003B08C9"/>
    <w:rsid w:val="003B0B8A"/>
    <w:rsid w:val="003B0C04"/>
    <w:rsid w:val="003B0CF4"/>
    <w:rsid w:val="003B0F05"/>
    <w:rsid w:val="003B262E"/>
    <w:rsid w:val="003B4DD0"/>
    <w:rsid w:val="003B52DD"/>
    <w:rsid w:val="003B530F"/>
    <w:rsid w:val="003B57F2"/>
    <w:rsid w:val="003B5DD1"/>
    <w:rsid w:val="003B63E4"/>
    <w:rsid w:val="003B6BCC"/>
    <w:rsid w:val="003B7BC0"/>
    <w:rsid w:val="003C026E"/>
    <w:rsid w:val="003C12D6"/>
    <w:rsid w:val="003C2A30"/>
    <w:rsid w:val="003C2A58"/>
    <w:rsid w:val="003C2B4D"/>
    <w:rsid w:val="003C2D89"/>
    <w:rsid w:val="003C34EA"/>
    <w:rsid w:val="003C3D3F"/>
    <w:rsid w:val="003C4921"/>
    <w:rsid w:val="003C4AB1"/>
    <w:rsid w:val="003C4D5C"/>
    <w:rsid w:val="003C4EAC"/>
    <w:rsid w:val="003C4EB1"/>
    <w:rsid w:val="003C5291"/>
    <w:rsid w:val="003C53A0"/>
    <w:rsid w:val="003C55ED"/>
    <w:rsid w:val="003C5A1A"/>
    <w:rsid w:val="003C61A3"/>
    <w:rsid w:val="003C6CF0"/>
    <w:rsid w:val="003D0750"/>
    <w:rsid w:val="003D3961"/>
    <w:rsid w:val="003D5ACD"/>
    <w:rsid w:val="003D5D37"/>
    <w:rsid w:val="003D7B09"/>
    <w:rsid w:val="003E0603"/>
    <w:rsid w:val="003E1583"/>
    <w:rsid w:val="003E28D1"/>
    <w:rsid w:val="003E339B"/>
    <w:rsid w:val="003E35CA"/>
    <w:rsid w:val="003E456B"/>
    <w:rsid w:val="003E4931"/>
    <w:rsid w:val="003E5940"/>
    <w:rsid w:val="003E65A7"/>
    <w:rsid w:val="003F081D"/>
    <w:rsid w:val="003F4046"/>
    <w:rsid w:val="003F502C"/>
    <w:rsid w:val="003F5589"/>
    <w:rsid w:val="003F71F0"/>
    <w:rsid w:val="003F7281"/>
    <w:rsid w:val="0040175B"/>
    <w:rsid w:val="00404DF3"/>
    <w:rsid w:val="00405CAA"/>
    <w:rsid w:val="00405F1A"/>
    <w:rsid w:val="00406C81"/>
    <w:rsid w:val="00407628"/>
    <w:rsid w:val="00411237"/>
    <w:rsid w:val="00412157"/>
    <w:rsid w:val="004125FA"/>
    <w:rsid w:val="004176C9"/>
    <w:rsid w:val="00417D64"/>
    <w:rsid w:val="00421552"/>
    <w:rsid w:val="00422467"/>
    <w:rsid w:val="00422A6D"/>
    <w:rsid w:val="004232C0"/>
    <w:rsid w:val="0042332C"/>
    <w:rsid w:val="00423C45"/>
    <w:rsid w:val="004240D6"/>
    <w:rsid w:val="004248C2"/>
    <w:rsid w:val="00425CBE"/>
    <w:rsid w:val="00427A3B"/>
    <w:rsid w:val="0043052C"/>
    <w:rsid w:val="004325BF"/>
    <w:rsid w:val="00432FCA"/>
    <w:rsid w:val="00433B41"/>
    <w:rsid w:val="00434B43"/>
    <w:rsid w:val="0043609F"/>
    <w:rsid w:val="004374DA"/>
    <w:rsid w:val="00441409"/>
    <w:rsid w:val="00441D6E"/>
    <w:rsid w:val="004429BA"/>
    <w:rsid w:val="00442A79"/>
    <w:rsid w:val="00442B47"/>
    <w:rsid w:val="0044348C"/>
    <w:rsid w:val="004435B4"/>
    <w:rsid w:val="00445316"/>
    <w:rsid w:val="00446DAE"/>
    <w:rsid w:val="00450F3B"/>
    <w:rsid w:val="00451BCC"/>
    <w:rsid w:val="00452426"/>
    <w:rsid w:val="00452E41"/>
    <w:rsid w:val="004532DB"/>
    <w:rsid w:val="00453633"/>
    <w:rsid w:val="00454212"/>
    <w:rsid w:val="00454363"/>
    <w:rsid w:val="0045469C"/>
    <w:rsid w:val="00455333"/>
    <w:rsid w:val="00455C12"/>
    <w:rsid w:val="00462C2F"/>
    <w:rsid w:val="00462F59"/>
    <w:rsid w:val="00466FF1"/>
    <w:rsid w:val="004670CC"/>
    <w:rsid w:val="00471000"/>
    <w:rsid w:val="004716F8"/>
    <w:rsid w:val="004717C1"/>
    <w:rsid w:val="00471A37"/>
    <w:rsid w:val="00471F63"/>
    <w:rsid w:val="00472B87"/>
    <w:rsid w:val="00472CCE"/>
    <w:rsid w:val="0047571F"/>
    <w:rsid w:val="004759C3"/>
    <w:rsid w:val="00475CDF"/>
    <w:rsid w:val="00475F8A"/>
    <w:rsid w:val="00476B53"/>
    <w:rsid w:val="0047751A"/>
    <w:rsid w:val="004778E9"/>
    <w:rsid w:val="004838EB"/>
    <w:rsid w:val="00483EF3"/>
    <w:rsid w:val="004846CC"/>
    <w:rsid w:val="00485051"/>
    <w:rsid w:val="00485611"/>
    <w:rsid w:val="00485F7A"/>
    <w:rsid w:val="00486154"/>
    <w:rsid w:val="004864F7"/>
    <w:rsid w:val="004867CA"/>
    <w:rsid w:val="0048732B"/>
    <w:rsid w:val="00490DBF"/>
    <w:rsid w:val="00491275"/>
    <w:rsid w:val="004925D4"/>
    <w:rsid w:val="004932B7"/>
    <w:rsid w:val="0049340B"/>
    <w:rsid w:val="00493647"/>
    <w:rsid w:val="004964AA"/>
    <w:rsid w:val="00496734"/>
    <w:rsid w:val="004A24AA"/>
    <w:rsid w:val="004A282F"/>
    <w:rsid w:val="004A3D82"/>
    <w:rsid w:val="004A4A9B"/>
    <w:rsid w:val="004A578E"/>
    <w:rsid w:val="004A5E08"/>
    <w:rsid w:val="004A660C"/>
    <w:rsid w:val="004A722B"/>
    <w:rsid w:val="004B1584"/>
    <w:rsid w:val="004B33F4"/>
    <w:rsid w:val="004B3D4A"/>
    <w:rsid w:val="004B4720"/>
    <w:rsid w:val="004B52D7"/>
    <w:rsid w:val="004B5526"/>
    <w:rsid w:val="004B56A2"/>
    <w:rsid w:val="004B760D"/>
    <w:rsid w:val="004B7C63"/>
    <w:rsid w:val="004C352B"/>
    <w:rsid w:val="004C3BAC"/>
    <w:rsid w:val="004C3BD8"/>
    <w:rsid w:val="004C3E72"/>
    <w:rsid w:val="004C4737"/>
    <w:rsid w:val="004C4F47"/>
    <w:rsid w:val="004C6A0B"/>
    <w:rsid w:val="004C720C"/>
    <w:rsid w:val="004C741E"/>
    <w:rsid w:val="004C769A"/>
    <w:rsid w:val="004C7A25"/>
    <w:rsid w:val="004D00DF"/>
    <w:rsid w:val="004D0F02"/>
    <w:rsid w:val="004D10FD"/>
    <w:rsid w:val="004D27A2"/>
    <w:rsid w:val="004D311D"/>
    <w:rsid w:val="004D3258"/>
    <w:rsid w:val="004D3D4D"/>
    <w:rsid w:val="004D563D"/>
    <w:rsid w:val="004D5D23"/>
    <w:rsid w:val="004D6A9B"/>
    <w:rsid w:val="004D79AA"/>
    <w:rsid w:val="004D7A9B"/>
    <w:rsid w:val="004E02D9"/>
    <w:rsid w:val="004E0DE5"/>
    <w:rsid w:val="004E2056"/>
    <w:rsid w:val="004E369A"/>
    <w:rsid w:val="004E36F0"/>
    <w:rsid w:val="004E4C98"/>
    <w:rsid w:val="004E58F4"/>
    <w:rsid w:val="004E7F51"/>
    <w:rsid w:val="004F07F8"/>
    <w:rsid w:val="004F15A5"/>
    <w:rsid w:val="004F1766"/>
    <w:rsid w:val="004F2702"/>
    <w:rsid w:val="004F4F44"/>
    <w:rsid w:val="004F5952"/>
    <w:rsid w:val="004F6A46"/>
    <w:rsid w:val="004F7F11"/>
    <w:rsid w:val="00500483"/>
    <w:rsid w:val="00500B90"/>
    <w:rsid w:val="00501A8E"/>
    <w:rsid w:val="00501D8C"/>
    <w:rsid w:val="00503958"/>
    <w:rsid w:val="00503C98"/>
    <w:rsid w:val="00505C9B"/>
    <w:rsid w:val="00506BA2"/>
    <w:rsid w:val="00506C5C"/>
    <w:rsid w:val="005074F6"/>
    <w:rsid w:val="00510BA6"/>
    <w:rsid w:val="00511F9B"/>
    <w:rsid w:val="0051251C"/>
    <w:rsid w:val="005126B9"/>
    <w:rsid w:val="00512C72"/>
    <w:rsid w:val="00513046"/>
    <w:rsid w:val="0051307F"/>
    <w:rsid w:val="00516064"/>
    <w:rsid w:val="00516406"/>
    <w:rsid w:val="00516D88"/>
    <w:rsid w:val="00517C2B"/>
    <w:rsid w:val="00517FA8"/>
    <w:rsid w:val="00524607"/>
    <w:rsid w:val="005254CD"/>
    <w:rsid w:val="0052587B"/>
    <w:rsid w:val="00525955"/>
    <w:rsid w:val="00525C6A"/>
    <w:rsid w:val="005273C2"/>
    <w:rsid w:val="00527724"/>
    <w:rsid w:val="0053054A"/>
    <w:rsid w:val="00531E27"/>
    <w:rsid w:val="0053305F"/>
    <w:rsid w:val="00533F98"/>
    <w:rsid w:val="005340F2"/>
    <w:rsid w:val="0053515C"/>
    <w:rsid w:val="005356D2"/>
    <w:rsid w:val="00536692"/>
    <w:rsid w:val="00537176"/>
    <w:rsid w:val="00537DF2"/>
    <w:rsid w:val="00540F1E"/>
    <w:rsid w:val="00541346"/>
    <w:rsid w:val="00541382"/>
    <w:rsid w:val="005415CE"/>
    <w:rsid w:val="00541736"/>
    <w:rsid w:val="00541B4D"/>
    <w:rsid w:val="00541F73"/>
    <w:rsid w:val="0054250C"/>
    <w:rsid w:val="00544CE7"/>
    <w:rsid w:val="00545381"/>
    <w:rsid w:val="005455B7"/>
    <w:rsid w:val="00546A2C"/>
    <w:rsid w:val="00547A67"/>
    <w:rsid w:val="00550775"/>
    <w:rsid w:val="005517C7"/>
    <w:rsid w:val="00551B5D"/>
    <w:rsid w:val="00551E52"/>
    <w:rsid w:val="00553718"/>
    <w:rsid w:val="005543F3"/>
    <w:rsid w:val="005549F1"/>
    <w:rsid w:val="005550EB"/>
    <w:rsid w:val="00555CCA"/>
    <w:rsid w:val="005561DD"/>
    <w:rsid w:val="00556A42"/>
    <w:rsid w:val="00556FEA"/>
    <w:rsid w:val="00560C81"/>
    <w:rsid w:val="00560E6C"/>
    <w:rsid w:val="00560ECA"/>
    <w:rsid w:val="005612F8"/>
    <w:rsid w:val="00565B20"/>
    <w:rsid w:val="005679B0"/>
    <w:rsid w:val="00570197"/>
    <w:rsid w:val="005709AF"/>
    <w:rsid w:val="00570B99"/>
    <w:rsid w:val="00571C3A"/>
    <w:rsid w:val="00571FE1"/>
    <w:rsid w:val="005726E1"/>
    <w:rsid w:val="00573895"/>
    <w:rsid w:val="005743D4"/>
    <w:rsid w:val="00574583"/>
    <w:rsid w:val="005745F6"/>
    <w:rsid w:val="00574C89"/>
    <w:rsid w:val="00574E6B"/>
    <w:rsid w:val="00575345"/>
    <w:rsid w:val="00575A61"/>
    <w:rsid w:val="00576CFE"/>
    <w:rsid w:val="00577877"/>
    <w:rsid w:val="00577F58"/>
    <w:rsid w:val="00580A02"/>
    <w:rsid w:val="00582035"/>
    <w:rsid w:val="0058250C"/>
    <w:rsid w:val="00583190"/>
    <w:rsid w:val="00583E33"/>
    <w:rsid w:val="005847DA"/>
    <w:rsid w:val="00584A69"/>
    <w:rsid w:val="005855D8"/>
    <w:rsid w:val="005861C9"/>
    <w:rsid w:val="00586AAE"/>
    <w:rsid w:val="005875C9"/>
    <w:rsid w:val="005908F6"/>
    <w:rsid w:val="0059133A"/>
    <w:rsid w:val="005932C4"/>
    <w:rsid w:val="00593F0A"/>
    <w:rsid w:val="00594128"/>
    <w:rsid w:val="00594824"/>
    <w:rsid w:val="00595D4C"/>
    <w:rsid w:val="00596806"/>
    <w:rsid w:val="00596B81"/>
    <w:rsid w:val="005A0401"/>
    <w:rsid w:val="005A15FD"/>
    <w:rsid w:val="005A27A9"/>
    <w:rsid w:val="005A2840"/>
    <w:rsid w:val="005A2CF5"/>
    <w:rsid w:val="005A2FEC"/>
    <w:rsid w:val="005A379D"/>
    <w:rsid w:val="005A40C0"/>
    <w:rsid w:val="005A4A46"/>
    <w:rsid w:val="005A65CA"/>
    <w:rsid w:val="005B03F5"/>
    <w:rsid w:val="005B0577"/>
    <w:rsid w:val="005B0D44"/>
    <w:rsid w:val="005B1DA1"/>
    <w:rsid w:val="005B2101"/>
    <w:rsid w:val="005B267F"/>
    <w:rsid w:val="005B45B8"/>
    <w:rsid w:val="005B5524"/>
    <w:rsid w:val="005B56C3"/>
    <w:rsid w:val="005B64C6"/>
    <w:rsid w:val="005B6985"/>
    <w:rsid w:val="005B7377"/>
    <w:rsid w:val="005C1829"/>
    <w:rsid w:val="005C256A"/>
    <w:rsid w:val="005C3E47"/>
    <w:rsid w:val="005C4E40"/>
    <w:rsid w:val="005C5A29"/>
    <w:rsid w:val="005C67A3"/>
    <w:rsid w:val="005C691E"/>
    <w:rsid w:val="005C7BEC"/>
    <w:rsid w:val="005D0F08"/>
    <w:rsid w:val="005D2190"/>
    <w:rsid w:val="005D2E6F"/>
    <w:rsid w:val="005D30C7"/>
    <w:rsid w:val="005D3F18"/>
    <w:rsid w:val="005D5C28"/>
    <w:rsid w:val="005D65D0"/>
    <w:rsid w:val="005D7444"/>
    <w:rsid w:val="005D7C2A"/>
    <w:rsid w:val="005E010E"/>
    <w:rsid w:val="005E01D0"/>
    <w:rsid w:val="005E04E8"/>
    <w:rsid w:val="005E0576"/>
    <w:rsid w:val="005E1FDC"/>
    <w:rsid w:val="005E2D25"/>
    <w:rsid w:val="005E4CA6"/>
    <w:rsid w:val="005E5582"/>
    <w:rsid w:val="005E5A9A"/>
    <w:rsid w:val="005E5DA4"/>
    <w:rsid w:val="005E6B9C"/>
    <w:rsid w:val="005E6E7C"/>
    <w:rsid w:val="005E79B2"/>
    <w:rsid w:val="005F1628"/>
    <w:rsid w:val="005F1DB4"/>
    <w:rsid w:val="005F32E2"/>
    <w:rsid w:val="005F3BE4"/>
    <w:rsid w:val="005F4046"/>
    <w:rsid w:val="005F6305"/>
    <w:rsid w:val="005F65D3"/>
    <w:rsid w:val="005F6C7B"/>
    <w:rsid w:val="0060024F"/>
    <w:rsid w:val="00601510"/>
    <w:rsid w:val="00603DC2"/>
    <w:rsid w:val="00605445"/>
    <w:rsid w:val="006061DC"/>
    <w:rsid w:val="006078F2"/>
    <w:rsid w:val="00607958"/>
    <w:rsid w:val="006104F6"/>
    <w:rsid w:val="006108D3"/>
    <w:rsid w:val="00610C84"/>
    <w:rsid w:val="00611213"/>
    <w:rsid w:val="00611846"/>
    <w:rsid w:val="00612DA1"/>
    <w:rsid w:val="00613230"/>
    <w:rsid w:val="00613A6B"/>
    <w:rsid w:val="00613ABE"/>
    <w:rsid w:val="006140E1"/>
    <w:rsid w:val="006152F4"/>
    <w:rsid w:val="0061584C"/>
    <w:rsid w:val="00615AE7"/>
    <w:rsid w:val="0061732E"/>
    <w:rsid w:val="0062021E"/>
    <w:rsid w:val="00622607"/>
    <w:rsid w:val="00623F5C"/>
    <w:rsid w:val="00625885"/>
    <w:rsid w:val="006263FA"/>
    <w:rsid w:val="0063048B"/>
    <w:rsid w:val="00630C7B"/>
    <w:rsid w:val="00633E2F"/>
    <w:rsid w:val="006342BE"/>
    <w:rsid w:val="006346A6"/>
    <w:rsid w:val="00635236"/>
    <w:rsid w:val="0063721A"/>
    <w:rsid w:val="00637296"/>
    <w:rsid w:val="00640913"/>
    <w:rsid w:val="006425C4"/>
    <w:rsid w:val="00642D72"/>
    <w:rsid w:val="006445EA"/>
    <w:rsid w:val="00645371"/>
    <w:rsid w:val="00645FD1"/>
    <w:rsid w:val="0064604D"/>
    <w:rsid w:val="006460F2"/>
    <w:rsid w:val="00646D90"/>
    <w:rsid w:val="00650F06"/>
    <w:rsid w:val="00655AC2"/>
    <w:rsid w:val="0065661A"/>
    <w:rsid w:val="006567EC"/>
    <w:rsid w:val="00657125"/>
    <w:rsid w:val="006576AB"/>
    <w:rsid w:val="00657BB5"/>
    <w:rsid w:val="0066027F"/>
    <w:rsid w:val="00661870"/>
    <w:rsid w:val="00661950"/>
    <w:rsid w:val="00661EE8"/>
    <w:rsid w:val="00662C13"/>
    <w:rsid w:val="00662F70"/>
    <w:rsid w:val="00663381"/>
    <w:rsid w:val="006637A3"/>
    <w:rsid w:val="006662F9"/>
    <w:rsid w:val="00667DC0"/>
    <w:rsid w:val="00670764"/>
    <w:rsid w:val="00672398"/>
    <w:rsid w:val="00673860"/>
    <w:rsid w:val="00674EC9"/>
    <w:rsid w:val="006762A3"/>
    <w:rsid w:val="00680C5C"/>
    <w:rsid w:val="00680D03"/>
    <w:rsid w:val="006812C9"/>
    <w:rsid w:val="00681515"/>
    <w:rsid w:val="0068155C"/>
    <w:rsid w:val="0068171D"/>
    <w:rsid w:val="0068294C"/>
    <w:rsid w:val="00685558"/>
    <w:rsid w:val="006858BC"/>
    <w:rsid w:val="006862B1"/>
    <w:rsid w:val="006867D5"/>
    <w:rsid w:val="00686E0A"/>
    <w:rsid w:val="0068735D"/>
    <w:rsid w:val="006875A1"/>
    <w:rsid w:val="00690584"/>
    <w:rsid w:val="0069098D"/>
    <w:rsid w:val="006912AC"/>
    <w:rsid w:val="00691D51"/>
    <w:rsid w:val="00695942"/>
    <w:rsid w:val="006979E3"/>
    <w:rsid w:val="006A012D"/>
    <w:rsid w:val="006A09FE"/>
    <w:rsid w:val="006A25F8"/>
    <w:rsid w:val="006A623F"/>
    <w:rsid w:val="006A7514"/>
    <w:rsid w:val="006A7758"/>
    <w:rsid w:val="006B048A"/>
    <w:rsid w:val="006B0BDD"/>
    <w:rsid w:val="006B110E"/>
    <w:rsid w:val="006B120A"/>
    <w:rsid w:val="006B16D6"/>
    <w:rsid w:val="006B1E71"/>
    <w:rsid w:val="006B442B"/>
    <w:rsid w:val="006B4553"/>
    <w:rsid w:val="006B4BD5"/>
    <w:rsid w:val="006B59F8"/>
    <w:rsid w:val="006B77D7"/>
    <w:rsid w:val="006B7966"/>
    <w:rsid w:val="006C0034"/>
    <w:rsid w:val="006C006B"/>
    <w:rsid w:val="006C0C4A"/>
    <w:rsid w:val="006C1FAD"/>
    <w:rsid w:val="006C1FB3"/>
    <w:rsid w:val="006C20A6"/>
    <w:rsid w:val="006C2D54"/>
    <w:rsid w:val="006C3209"/>
    <w:rsid w:val="006C3CF2"/>
    <w:rsid w:val="006C4545"/>
    <w:rsid w:val="006C4A71"/>
    <w:rsid w:val="006C515D"/>
    <w:rsid w:val="006C54D5"/>
    <w:rsid w:val="006C6B51"/>
    <w:rsid w:val="006C7964"/>
    <w:rsid w:val="006C7FD3"/>
    <w:rsid w:val="006D14D8"/>
    <w:rsid w:val="006D2076"/>
    <w:rsid w:val="006D2ADE"/>
    <w:rsid w:val="006D330A"/>
    <w:rsid w:val="006D398A"/>
    <w:rsid w:val="006D3F1B"/>
    <w:rsid w:val="006D411B"/>
    <w:rsid w:val="006D67F7"/>
    <w:rsid w:val="006D7495"/>
    <w:rsid w:val="006D7691"/>
    <w:rsid w:val="006E078C"/>
    <w:rsid w:val="006E0B44"/>
    <w:rsid w:val="006E1D7D"/>
    <w:rsid w:val="006E24E9"/>
    <w:rsid w:val="006E33FA"/>
    <w:rsid w:val="006E4992"/>
    <w:rsid w:val="006E556D"/>
    <w:rsid w:val="006E6255"/>
    <w:rsid w:val="006E62C8"/>
    <w:rsid w:val="006E6EE2"/>
    <w:rsid w:val="006E6EE4"/>
    <w:rsid w:val="006E754B"/>
    <w:rsid w:val="006F012D"/>
    <w:rsid w:val="006F05DE"/>
    <w:rsid w:val="006F0819"/>
    <w:rsid w:val="006F08A8"/>
    <w:rsid w:val="006F1B4F"/>
    <w:rsid w:val="006F499E"/>
    <w:rsid w:val="006F4FFF"/>
    <w:rsid w:val="006F6B60"/>
    <w:rsid w:val="006F724D"/>
    <w:rsid w:val="00700970"/>
    <w:rsid w:val="00701718"/>
    <w:rsid w:val="007026F6"/>
    <w:rsid w:val="00702797"/>
    <w:rsid w:val="00702A39"/>
    <w:rsid w:val="0070472B"/>
    <w:rsid w:val="00704ED7"/>
    <w:rsid w:val="007056F5"/>
    <w:rsid w:val="00706BA0"/>
    <w:rsid w:val="00707FBD"/>
    <w:rsid w:val="007106EE"/>
    <w:rsid w:val="00710908"/>
    <w:rsid w:val="007112E0"/>
    <w:rsid w:val="00711A3F"/>
    <w:rsid w:val="00711C68"/>
    <w:rsid w:val="0071202F"/>
    <w:rsid w:val="00713D89"/>
    <w:rsid w:val="00716093"/>
    <w:rsid w:val="007165B3"/>
    <w:rsid w:val="00716A03"/>
    <w:rsid w:val="00717A2F"/>
    <w:rsid w:val="00721EC8"/>
    <w:rsid w:val="007224BD"/>
    <w:rsid w:val="00723E7C"/>
    <w:rsid w:val="00724FC7"/>
    <w:rsid w:val="00725357"/>
    <w:rsid w:val="007266BA"/>
    <w:rsid w:val="00727AC9"/>
    <w:rsid w:val="00727B6E"/>
    <w:rsid w:val="0073014B"/>
    <w:rsid w:val="00732433"/>
    <w:rsid w:val="007334A1"/>
    <w:rsid w:val="007335F6"/>
    <w:rsid w:val="00733B60"/>
    <w:rsid w:val="00734C96"/>
    <w:rsid w:val="00735347"/>
    <w:rsid w:val="0073694E"/>
    <w:rsid w:val="0073722C"/>
    <w:rsid w:val="0073744D"/>
    <w:rsid w:val="007402A0"/>
    <w:rsid w:val="007422C9"/>
    <w:rsid w:val="007433B1"/>
    <w:rsid w:val="00743A6D"/>
    <w:rsid w:val="00744742"/>
    <w:rsid w:val="00745C78"/>
    <w:rsid w:val="00745D29"/>
    <w:rsid w:val="007461B4"/>
    <w:rsid w:val="007468D4"/>
    <w:rsid w:val="00746FF0"/>
    <w:rsid w:val="0074701B"/>
    <w:rsid w:val="007472BA"/>
    <w:rsid w:val="00747BC0"/>
    <w:rsid w:val="007508EB"/>
    <w:rsid w:val="00750A6E"/>
    <w:rsid w:val="00752958"/>
    <w:rsid w:val="007535D9"/>
    <w:rsid w:val="00755C16"/>
    <w:rsid w:val="0075648C"/>
    <w:rsid w:val="007607C1"/>
    <w:rsid w:val="00762B04"/>
    <w:rsid w:val="00762EA5"/>
    <w:rsid w:val="007636FE"/>
    <w:rsid w:val="00763AA8"/>
    <w:rsid w:val="007656CF"/>
    <w:rsid w:val="0076571A"/>
    <w:rsid w:val="00765B72"/>
    <w:rsid w:val="00765C82"/>
    <w:rsid w:val="00765DD0"/>
    <w:rsid w:val="00766E48"/>
    <w:rsid w:val="00770557"/>
    <w:rsid w:val="007706C1"/>
    <w:rsid w:val="00771E42"/>
    <w:rsid w:val="00775722"/>
    <w:rsid w:val="00776222"/>
    <w:rsid w:val="00776415"/>
    <w:rsid w:val="007769F9"/>
    <w:rsid w:val="00780D45"/>
    <w:rsid w:val="00781A9D"/>
    <w:rsid w:val="00783B22"/>
    <w:rsid w:val="00783BAB"/>
    <w:rsid w:val="007852B1"/>
    <w:rsid w:val="00787876"/>
    <w:rsid w:val="0079023E"/>
    <w:rsid w:val="00790C5A"/>
    <w:rsid w:val="0079177B"/>
    <w:rsid w:val="007935AB"/>
    <w:rsid w:val="00794032"/>
    <w:rsid w:val="00796994"/>
    <w:rsid w:val="00796F96"/>
    <w:rsid w:val="00797E0D"/>
    <w:rsid w:val="007A1609"/>
    <w:rsid w:val="007A1E12"/>
    <w:rsid w:val="007A261F"/>
    <w:rsid w:val="007A3688"/>
    <w:rsid w:val="007A5F80"/>
    <w:rsid w:val="007A6780"/>
    <w:rsid w:val="007B0A55"/>
    <w:rsid w:val="007B0CAB"/>
    <w:rsid w:val="007B36C8"/>
    <w:rsid w:val="007B3D1D"/>
    <w:rsid w:val="007B455E"/>
    <w:rsid w:val="007B49F6"/>
    <w:rsid w:val="007B51D6"/>
    <w:rsid w:val="007B5B0F"/>
    <w:rsid w:val="007B5D3B"/>
    <w:rsid w:val="007B6A72"/>
    <w:rsid w:val="007B7D33"/>
    <w:rsid w:val="007C08E0"/>
    <w:rsid w:val="007C0E51"/>
    <w:rsid w:val="007C156E"/>
    <w:rsid w:val="007C3240"/>
    <w:rsid w:val="007C49D4"/>
    <w:rsid w:val="007C6660"/>
    <w:rsid w:val="007C66AE"/>
    <w:rsid w:val="007C6ECE"/>
    <w:rsid w:val="007C70AC"/>
    <w:rsid w:val="007C7552"/>
    <w:rsid w:val="007D0B4C"/>
    <w:rsid w:val="007D1615"/>
    <w:rsid w:val="007D25DC"/>
    <w:rsid w:val="007D295C"/>
    <w:rsid w:val="007D2F9F"/>
    <w:rsid w:val="007D3A32"/>
    <w:rsid w:val="007D4737"/>
    <w:rsid w:val="007D51F2"/>
    <w:rsid w:val="007D54AE"/>
    <w:rsid w:val="007E0929"/>
    <w:rsid w:val="007E317D"/>
    <w:rsid w:val="007E3758"/>
    <w:rsid w:val="007E42D9"/>
    <w:rsid w:val="007E43EE"/>
    <w:rsid w:val="007E6077"/>
    <w:rsid w:val="007E6576"/>
    <w:rsid w:val="007E67F7"/>
    <w:rsid w:val="007E7440"/>
    <w:rsid w:val="007E75D4"/>
    <w:rsid w:val="007F1D37"/>
    <w:rsid w:val="007F4A46"/>
    <w:rsid w:val="007F5182"/>
    <w:rsid w:val="007F5914"/>
    <w:rsid w:val="007F6196"/>
    <w:rsid w:val="007F7026"/>
    <w:rsid w:val="007F74ED"/>
    <w:rsid w:val="007F757C"/>
    <w:rsid w:val="007F76FB"/>
    <w:rsid w:val="007F7D47"/>
    <w:rsid w:val="0080042A"/>
    <w:rsid w:val="008020FF"/>
    <w:rsid w:val="00802D30"/>
    <w:rsid w:val="008031DE"/>
    <w:rsid w:val="00803BC7"/>
    <w:rsid w:val="008040B4"/>
    <w:rsid w:val="00804B32"/>
    <w:rsid w:val="00804FF5"/>
    <w:rsid w:val="00805301"/>
    <w:rsid w:val="008056FC"/>
    <w:rsid w:val="00806F7D"/>
    <w:rsid w:val="00806FCC"/>
    <w:rsid w:val="008101F7"/>
    <w:rsid w:val="00810C11"/>
    <w:rsid w:val="00811EB7"/>
    <w:rsid w:val="00812065"/>
    <w:rsid w:val="00813321"/>
    <w:rsid w:val="008133FE"/>
    <w:rsid w:val="00813F7E"/>
    <w:rsid w:val="008150F9"/>
    <w:rsid w:val="00815460"/>
    <w:rsid w:val="00815585"/>
    <w:rsid w:val="0082185B"/>
    <w:rsid w:val="008226E8"/>
    <w:rsid w:val="00822D40"/>
    <w:rsid w:val="00824243"/>
    <w:rsid w:val="008246BC"/>
    <w:rsid w:val="008246EA"/>
    <w:rsid w:val="00824D30"/>
    <w:rsid w:val="00824FFE"/>
    <w:rsid w:val="008264C9"/>
    <w:rsid w:val="00830025"/>
    <w:rsid w:val="00830374"/>
    <w:rsid w:val="008312AE"/>
    <w:rsid w:val="00831ADC"/>
    <w:rsid w:val="00831FD9"/>
    <w:rsid w:val="00832110"/>
    <w:rsid w:val="00833A38"/>
    <w:rsid w:val="00834907"/>
    <w:rsid w:val="00835578"/>
    <w:rsid w:val="0083603C"/>
    <w:rsid w:val="008362A2"/>
    <w:rsid w:val="00840828"/>
    <w:rsid w:val="0084197C"/>
    <w:rsid w:val="00842123"/>
    <w:rsid w:val="0084230E"/>
    <w:rsid w:val="008427CF"/>
    <w:rsid w:val="00842E6E"/>
    <w:rsid w:val="00843DA7"/>
    <w:rsid w:val="00844D0A"/>
    <w:rsid w:val="00846271"/>
    <w:rsid w:val="008465EE"/>
    <w:rsid w:val="008471BE"/>
    <w:rsid w:val="00847235"/>
    <w:rsid w:val="0084753E"/>
    <w:rsid w:val="00850B43"/>
    <w:rsid w:val="00851D0E"/>
    <w:rsid w:val="008527F7"/>
    <w:rsid w:val="00852A55"/>
    <w:rsid w:val="00853202"/>
    <w:rsid w:val="0085398A"/>
    <w:rsid w:val="00854670"/>
    <w:rsid w:val="00855DF0"/>
    <w:rsid w:val="00856274"/>
    <w:rsid w:val="00856683"/>
    <w:rsid w:val="008567F2"/>
    <w:rsid w:val="00856E1F"/>
    <w:rsid w:val="00857846"/>
    <w:rsid w:val="00862CB6"/>
    <w:rsid w:val="00862D88"/>
    <w:rsid w:val="008640E8"/>
    <w:rsid w:val="008653B2"/>
    <w:rsid w:val="008657A1"/>
    <w:rsid w:val="008668F5"/>
    <w:rsid w:val="00867057"/>
    <w:rsid w:val="00867E83"/>
    <w:rsid w:val="0087061B"/>
    <w:rsid w:val="00870F2C"/>
    <w:rsid w:val="008711CA"/>
    <w:rsid w:val="0087243D"/>
    <w:rsid w:val="00872534"/>
    <w:rsid w:val="00873175"/>
    <w:rsid w:val="008736D1"/>
    <w:rsid w:val="0087393D"/>
    <w:rsid w:val="00876263"/>
    <w:rsid w:val="008767D7"/>
    <w:rsid w:val="0087709A"/>
    <w:rsid w:val="008770AF"/>
    <w:rsid w:val="008774A0"/>
    <w:rsid w:val="008805F0"/>
    <w:rsid w:val="00883762"/>
    <w:rsid w:val="008841B2"/>
    <w:rsid w:val="00887221"/>
    <w:rsid w:val="00887805"/>
    <w:rsid w:val="00890538"/>
    <w:rsid w:val="00891412"/>
    <w:rsid w:val="008926A7"/>
    <w:rsid w:val="008944AC"/>
    <w:rsid w:val="00895AF3"/>
    <w:rsid w:val="0089649D"/>
    <w:rsid w:val="0089662A"/>
    <w:rsid w:val="00897445"/>
    <w:rsid w:val="00897FFA"/>
    <w:rsid w:val="008A085F"/>
    <w:rsid w:val="008A0987"/>
    <w:rsid w:val="008A09A1"/>
    <w:rsid w:val="008A0A89"/>
    <w:rsid w:val="008A41CE"/>
    <w:rsid w:val="008A44A6"/>
    <w:rsid w:val="008A4696"/>
    <w:rsid w:val="008A5BD0"/>
    <w:rsid w:val="008B1230"/>
    <w:rsid w:val="008B34BB"/>
    <w:rsid w:val="008B407A"/>
    <w:rsid w:val="008B4612"/>
    <w:rsid w:val="008B4765"/>
    <w:rsid w:val="008B494C"/>
    <w:rsid w:val="008B4ECD"/>
    <w:rsid w:val="008B577A"/>
    <w:rsid w:val="008B6662"/>
    <w:rsid w:val="008B6946"/>
    <w:rsid w:val="008C09B2"/>
    <w:rsid w:val="008C0F05"/>
    <w:rsid w:val="008C1E86"/>
    <w:rsid w:val="008C2E91"/>
    <w:rsid w:val="008C52C6"/>
    <w:rsid w:val="008C582F"/>
    <w:rsid w:val="008C5E37"/>
    <w:rsid w:val="008C62A5"/>
    <w:rsid w:val="008C65BB"/>
    <w:rsid w:val="008C6B04"/>
    <w:rsid w:val="008D031C"/>
    <w:rsid w:val="008D03CD"/>
    <w:rsid w:val="008D042B"/>
    <w:rsid w:val="008D0A5B"/>
    <w:rsid w:val="008D0FCC"/>
    <w:rsid w:val="008D11F2"/>
    <w:rsid w:val="008D127F"/>
    <w:rsid w:val="008D1E3F"/>
    <w:rsid w:val="008D23D8"/>
    <w:rsid w:val="008D598B"/>
    <w:rsid w:val="008D5A33"/>
    <w:rsid w:val="008D5A5F"/>
    <w:rsid w:val="008D6F72"/>
    <w:rsid w:val="008E0600"/>
    <w:rsid w:val="008E092E"/>
    <w:rsid w:val="008E0E0A"/>
    <w:rsid w:val="008E1B0D"/>
    <w:rsid w:val="008E1F2E"/>
    <w:rsid w:val="008E226B"/>
    <w:rsid w:val="008E34B7"/>
    <w:rsid w:val="008E5697"/>
    <w:rsid w:val="008E5827"/>
    <w:rsid w:val="008E58A5"/>
    <w:rsid w:val="008E713D"/>
    <w:rsid w:val="008E729D"/>
    <w:rsid w:val="008F186A"/>
    <w:rsid w:val="008F1A7A"/>
    <w:rsid w:val="008F237D"/>
    <w:rsid w:val="008F3438"/>
    <w:rsid w:val="008F393A"/>
    <w:rsid w:val="008F3D8E"/>
    <w:rsid w:val="008F5686"/>
    <w:rsid w:val="008F5FF7"/>
    <w:rsid w:val="009005B3"/>
    <w:rsid w:val="009029DC"/>
    <w:rsid w:val="00902F09"/>
    <w:rsid w:val="00903543"/>
    <w:rsid w:val="00904D63"/>
    <w:rsid w:val="00904DE4"/>
    <w:rsid w:val="009050C0"/>
    <w:rsid w:val="00905EA5"/>
    <w:rsid w:val="00907888"/>
    <w:rsid w:val="009120C5"/>
    <w:rsid w:val="00912159"/>
    <w:rsid w:val="00913747"/>
    <w:rsid w:val="00915486"/>
    <w:rsid w:val="00915787"/>
    <w:rsid w:val="00916247"/>
    <w:rsid w:val="009164C1"/>
    <w:rsid w:val="00916A79"/>
    <w:rsid w:val="00921815"/>
    <w:rsid w:val="00922001"/>
    <w:rsid w:val="009223DF"/>
    <w:rsid w:val="00923658"/>
    <w:rsid w:val="00924F0D"/>
    <w:rsid w:val="009251C6"/>
    <w:rsid w:val="00930309"/>
    <w:rsid w:val="00930705"/>
    <w:rsid w:val="0093151A"/>
    <w:rsid w:val="009315E7"/>
    <w:rsid w:val="009322CD"/>
    <w:rsid w:val="009324C8"/>
    <w:rsid w:val="00934956"/>
    <w:rsid w:val="00935103"/>
    <w:rsid w:val="00936A0A"/>
    <w:rsid w:val="00937F31"/>
    <w:rsid w:val="00937F4D"/>
    <w:rsid w:val="0094123B"/>
    <w:rsid w:val="009432A7"/>
    <w:rsid w:val="00943BA8"/>
    <w:rsid w:val="009453C0"/>
    <w:rsid w:val="00953455"/>
    <w:rsid w:val="009538F5"/>
    <w:rsid w:val="0095551D"/>
    <w:rsid w:val="00956154"/>
    <w:rsid w:val="00956475"/>
    <w:rsid w:val="00957D89"/>
    <w:rsid w:val="00957E90"/>
    <w:rsid w:val="00957FEC"/>
    <w:rsid w:val="00960312"/>
    <w:rsid w:val="00960470"/>
    <w:rsid w:val="00961491"/>
    <w:rsid w:val="009629A5"/>
    <w:rsid w:val="00962F87"/>
    <w:rsid w:val="00963AD2"/>
    <w:rsid w:val="009645E9"/>
    <w:rsid w:val="00964AB2"/>
    <w:rsid w:val="009654CB"/>
    <w:rsid w:val="00965899"/>
    <w:rsid w:val="009666BC"/>
    <w:rsid w:val="009666D4"/>
    <w:rsid w:val="009673F0"/>
    <w:rsid w:val="00970A0D"/>
    <w:rsid w:val="00970AD4"/>
    <w:rsid w:val="00970AFB"/>
    <w:rsid w:val="009736E8"/>
    <w:rsid w:val="00973DF0"/>
    <w:rsid w:val="00973E17"/>
    <w:rsid w:val="00974363"/>
    <w:rsid w:val="00974C3A"/>
    <w:rsid w:val="009750ED"/>
    <w:rsid w:val="0097782E"/>
    <w:rsid w:val="00977F2D"/>
    <w:rsid w:val="0098043C"/>
    <w:rsid w:val="00980990"/>
    <w:rsid w:val="00980D08"/>
    <w:rsid w:val="009815B8"/>
    <w:rsid w:val="00982839"/>
    <w:rsid w:val="00982F50"/>
    <w:rsid w:val="00983E5B"/>
    <w:rsid w:val="00987FB3"/>
    <w:rsid w:val="0099068F"/>
    <w:rsid w:val="0099078C"/>
    <w:rsid w:val="009908B3"/>
    <w:rsid w:val="0099120E"/>
    <w:rsid w:val="00991E93"/>
    <w:rsid w:val="00992428"/>
    <w:rsid w:val="00995624"/>
    <w:rsid w:val="00997875"/>
    <w:rsid w:val="009A04A9"/>
    <w:rsid w:val="009A0558"/>
    <w:rsid w:val="009A07C2"/>
    <w:rsid w:val="009A1A16"/>
    <w:rsid w:val="009A2F45"/>
    <w:rsid w:val="009A396F"/>
    <w:rsid w:val="009A3C98"/>
    <w:rsid w:val="009A44EC"/>
    <w:rsid w:val="009A4ABA"/>
    <w:rsid w:val="009A4BD8"/>
    <w:rsid w:val="009A7162"/>
    <w:rsid w:val="009A7E68"/>
    <w:rsid w:val="009B057A"/>
    <w:rsid w:val="009B0716"/>
    <w:rsid w:val="009B1825"/>
    <w:rsid w:val="009B2B13"/>
    <w:rsid w:val="009B2FF7"/>
    <w:rsid w:val="009B3A2D"/>
    <w:rsid w:val="009B3A3A"/>
    <w:rsid w:val="009B3B7E"/>
    <w:rsid w:val="009B3FBD"/>
    <w:rsid w:val="009B435C"/>
    <w:rsid w:val="009B46C3"/>
    <w:rsid w:val="009B6092"/>
    <w:rsid w:val="009B62F0"/>
    <w:rsid w:val="009B6BD7"/>
    <w:rsid w:val="009B7884"/>
    <w:rsid w:val="009B7FB2"/>
    <w:rsid w:val="009C0A26"/>
    <w:rsid w:val="009C0C94"/>
    <w:rsid w:val="009C118A"/>
    <w:rsid w:val="009C1395"/>
    <w:rsid w:val="009C2317"/>
    <w:rsid w:val="009C55D0"/>
    <w:rsid w:val="009C596D"/>
    <w:rsid w:val="009C6369"/>
    <w:rsid w:val="009C6385"/>
    <w:rsid w:val="009C7E7C"/>
    <w:rsid w:val="009D0B8B"/>
    <w:rsid w:val="009D0C6A"/>
    <w:rsid w:val="009D1FFC"/>
    <w:rsid w:val="009D2DDB"/>
    <w:rsid w:val="009D3191"/>
    <w:rsid w:val="009D382C"/>
    <w:rsid w:val="009D3846"/>
    <w:rsid w:val="009D3F27"/>
    <w:rsid w:val="009D47CC"/>
    <w:rsid w:val="009E04F6"/>
    <w:rsid w:val="009E57E2"/>
    <w:rsid w:val="009E6213"/>
    <w:rsid w:val="009E63BA"/>
    <w:rsid w:val="009E6B53"/>
    <w:rsid w:val="009E78F1"/>
    <w:rsid w:val="009F117F"/>
    <w:rsid w:val="009F2030"/>
    <w:rsid w:val="009F4B4A"/>
    <w:rsid w:val="009F7A01"/>
    <w:rsid w:val="00A0334A"/>
    <w:rsid w:val="00A040BD"/>
    <w:rsid w:val="00A048F3"/>
    <w:rsid w:val="00A04996"/>
    <w:rsid w:val="00A04A6D"/>
    <w:rsid w:val="00A057CD"/>
    <w:rsid w:val="00A0687C"/>
    <w:rsid w:val="00A118FD"/>
    <w:rsid w:val="00A1217D"/>
    <w:rsid w:val="00A13E34"/>
    <w:rsid w:val="00A13F58"/>
    <w:rsid w:val="00A146B1"/>
    <w:rsid w:val="00A14DF7"/>
    <w:rsid w:val="00A15E4F"/>
    <w:rsid w:val="00A179EB"/>
    <w:rsid w:val="00A17A1E"/>
    <w:rsid w:val="00A20164"/>
    <w:rsid w:val="00A20729"/>
    <w:rsid w:val="00A20B44"/>
    <w:rsid w:val="00A2126A"/>
    <w:rsid w:val="00A224CE"/>
    <w:rsid w:val="00A22D65"/>
    <w:rsid w:val="00A22DC1"/>
    <w:rsid w:val="00A234BD"/>
    <w:rsid w:val="00A23A2D"/>
    <w:rsid w:val="00A24FEA"/>
    <w:rsid w:val="00A25A1E"/>
    <w:rsid w:val="00A25A95"/>
    <w:rsid w:val="00A25AC6"/>
    <w:rsid w:val="00A26ED2"/>
    <w:rsid w:val="00A27143"/>
    <w:rsid w:val="00A279BB"/>
    <w:rsid w:val="00A32812"/>
    <w:rsid w:val="00A3293A"/>
    <w:rsid w:val="00A3334D"/>
    <w:rsid w:val="00A34DE5"/>
    <w:rsid w:val="00A3564B"/>
    <w:rsid w:val="00A35A69"/>
    <w:rsid w:val="00A35CFD"/>
    <w:rsid w:val="00A367B2"/>
    <w:rsid w:val="00A36C4D"/>
    <w:rsid w:val="00A36DD7"/>
    <w:rsid w:val="00A37C9B"/>
    <w:rsid w:val="00A406B3"/>
    <w:rsid w:val="00A42E2A"/>
    <w:rsid w:val="00A43F75"/>
    <w:rsid w:val="00A46527"/>
    <w:rsid w:val="00A466BA"/>
    <w:rsid w:val="00A46D13"/>
    <w:rsid w:val="00A46DCC"/>
    <w:rsid w:val="00A47229"/>
    <w:rsid w:val="00A4743D"/>
    <w:rsid w:val="00A47708"/>
    <w:rsid w:val="00A50157"/>
    <w:rsid w:val="00A50A6A"/>
    <w:rsid w:val="00A50ADB"/>
    <w:rsid w:val="00A52A80"/>
    <w:rsid w:val="00A52C4D"/>
    <w:rsid w:val="00A5490A"/>
    <w:rsid w:val="00A5567B"/>
    <w:rsid w:val="00A572A6"/>
    <w:rsid w:val="00A572C0"/>
    <w:rsid w:val="00A576C1"/>
    <w:rsid w:val="00A6128A"/>
    <w:rsid w:val="00A6197F"/>
    <w:rsid w:val="00A62489"/>
    <w:rsid w:val="00A62551"/>
    <w:rsid w:val="00A6314F"/>
    <w:rsid w:val="00A65B56"/>
    <w:rsid w:val="00A65FB6"/>
    <w:rsid w:val="00A668F3"/>
    <w:rsid w:val="00A6693A"/>
    <w:rsid w:val="00A6714F"/>
    <w:rsid w:val="00A67757"/>
    <w:rsid w:val="00A7163A"/>
    <w:rsid w:val="00A71818"/>
    <w:rsid w:val="00A74445"/>
    <w:rsid w:val="00A74BCB"/>
    <w:rsid w:val="00A75118"/>
    <w:rsid w:val="00A752CB"/>
    <w:rsid w:val="00A75A4B"/>
    <w:rsid w:val="00A75DFA"/>
    <w:rsid w:val="00A81456"/>
    <w:rsid w:val="00A814E5"/>
    <w:rsid w:val="00A81511"/>
    <w:rsid w:val="00A81884"/>
    <w:rsid w:val="00A81EE4"/>
    <w:rsid w:val="00A82A3C"/>
    <w:rsid w:val="00A83626"/>
    <w:rsid w:val="00A84365"/>
    <w:rsid w:val="00A84B6E"/>
    <w:rsid w:val="00A852A6"/>
    <w:rsid w:val="00A85315"/>
    <w:rsid w:val="00A85667"/>
    <w:rsid w:val="00A85C2F"/>
    <w:rsid w:val="00A85F65"/>
    <w:rsid w:val="00A86FE1"/>
    <w:rsid w:val="00A87462"/>
    <w:rsid w:val="00A874AD"/>
    <w:rsid w:val="00A90338"/>
    <w:rsid w:val="00A90D8B"/>
    <w:rsid w:val="00A90DED"/>
    <w:rsid w:val="00A91564"/>
    <w:rsid w:val="00A9216F"/>
    <w:rsid w:val="00A925FC"/>
    <w:rsid w:val="00A92D40"/>
    <w:rsid w:val="00A92FCF"/>
    <w:rsid w:val="00A95684"/>
    <w:rsid w:val="00A95959"/>
    <w:rsid w:val="00A95BC5"/>
    <w:rsid w:val="00A968F2"/>
    <w:rsid w:val="00A97430"/>
    <w:rsid w:val="00A9785D"/>
    <w:rsid w:val="00AA05AD"/>
    <w:rsid w:val="00AA0D7C"/>
    <w:rsid w:val="00AA0F98"/>
    <w:rsid w:val="00AA2845"/>
    <w:rsid w:val="00AA39AB"/>
    <w:rsid w:val="00AA3EBA"/>
    <w:rsid w:val="00AA4BF8"/>
    <w:rsid w:val="00AA6EC2"/>
    <w:rsid w:val="00AA7449"/>
    <w:rsid w:val="00AB0C4D"/>
    <w:rsid w:val="00AB27F8"/>
    <w:rsid w:val="00AB2E8F"/>
    <w:rsid w:val="00AB38B3"/>
    <w:rsid w:val="00AB512F"/>
    <w:rsid w:val="00AB56D1"/>
    <w:rsid w:val="00AB7605"/>
    <w:rsid w:val="00AB7B30"/>
    <w:rsid w:val="00AC1480"/>
    <w:rsid w:val="00AC173B"/>
    <w:rsid w:val="00AC1E81"/>
    <w:rsid w:val="00AC3ADF"/>
    <w:rsid w:val="00AC3CFF"/>
    <w:rsid w:val="00AC52A2"/>
    <w:rsid w:val="00AC5692"/>
    <w:rsid w:val="00AC63D9"/>
    <w:rsid w:val="00AC6791"/>
    <w:rsid w:val="00AC6996"/>
    <w:rsid w:val="00AC6FE3"/>
    <w:rsid w:val="00AC74FB"/>
    <w:rsid w:val="00AC758E"/>
    <w:rsid w:val="00AD14F8"/>
    <w:rsid w:val="00AD1FF2"/>
    <w:rsid w:val="00AD3784"/>
    <w:rsid w:val="00AD3EF1"/>
    <w:rsid w:val="00AD5645"/>
    <w:rsid w:val="00AD6867"/>
    <w:rsid w:val="00AD7212"/>
    <w:rsid w:val="00AE0D3D"/>
    <w:rsid w:val="00AE13D1"/>
    <w:rsid w:val="00AE25F8"/>
    <w:rsid w:val="00AE291B"/>
    <w:rsid w:val="00AE2978"/>
    <w:rsid w:val="00AE3103"/>
    <w:rsid w:val="00AE45BA"/>
    <w:rsid w:val="00AE475A"/>
    <w:rsid w:val="00AE4812"/>
    <w:rsid w:val="00AE7C52"/>
    <w:rsid w:val="00AF0A30"/>
    <w:rsid w:val="00AF103D"/>
    <w:rsid w:val="00AF14F3"/>
    <w:rsid w:val="00AF1898"/>
    <w:rsid w:val="00AF224E"/>
    <w:rsid w:val="00AF2541"/>
    <w:rsid w:val="00AF27E4"/>
    <w:rsid w:val="00AF2B01"/>
    <w:rsid w:val="00AF2E8A"/>
    <w:rsid w:val="00AF4130"/>
    <w:rsid w:val="00AF5FB0"/>
    <w:rsid w:val="00AF6045"/>
    <w:rsid w:val="00AF60D8"/>
    <w:rsid w:val="00AF6447"/>
    <w:rsid w:val="00AF66B9"/>
    <w:rsid w:val="00B0261A"/>
    <w:rsid w:val="00B03957"/>
    <w:rsid w:val="00B0482C"/>
    <w:rsid w:val="00B04F8C"/>
    <w:rsid w:val="00B06A3A"/>
    <w:rsid w:val="00B07029"/>
    <w:rsid w:val="00B0733C"/>
    <w:rsid w:val="00B078A2"/>
    <w:rsid w:val="00B07ED4"/>
    <w:rsid w:val="00B107D8"/>
    <w:rsid w:val="00B12099"/>
    <w:rsid w:val="00B15798"/>
    <w:rsid w:val="00B166D1"/>
    <w:rsid w:val="00B17F9D"/>
    <w:rsid w:val="00B20D30"/>
    <w:rsid w:val="00B21580"/>
    <w:rsid w:val="00B21899"/>
    <w:rsid w:val="00B22713"/>
    <w:rsid w:val="00B25828"/>
    <w:rsid w:val="00B25C06"/>
    <w:rsid w:val="00B26A30"/>
    <w:rsid w:val="00B27446"/>
    <w:rsid w:val="00B304E0"/>
    <w:rsid w:val="00B312D5"/>
    <w:rsid w:val="00B3267E"/>
    <w:rsid w:val="00B33408"/>
    <w:rsid w:val="00B33C96"/>
    <w:rsid w:val="00B3442D"/>
    <w:rsid w:val="00B34662"/>
    <w:rsid w:val="00B3527F"/>
    <w:rsid w:val="00B35372"/>
    <w:rsid w:val="00B40067"/>
    <w:rsid w:val="00B4067C"/>
    <w:rsid w:val="00B41FD0"/>
    <w:rsid w:val="00B42672"/>
    <w:rsid w:val="00B42DAB"/>
    <w:rsid w:val="00B4567A"/>
    <w:rsid w:val="00B46198"/>
    <w:rsid w:val="00B462F2"/>
    <w:rsid w:val="00B46D51"/>
    <w:rsid w:val="00B4751B"/>
    <w:rsid w:val="00B477D8"/>
    <w:rsid w:val="00B506E2"/>
    <w:rsid w:val="00B50C33"/>
    <w:rsid w:val="00B51413"/>
    <w:rsid w:val="00B516B4"/>
    <w:rsid w:val="00B518B3"/>
    <w:rsid w:val="00B530F7"/>
    <w:rsid w:val="00B53138"/>
    <w:rsid w:val="00B538D7"/>
    <w:rsid w:val="00B543A0"/>
    <w:rsid w:val="00B54F77"/>
    <w:rsid w:val="00B5614E"/>
    <w:rsid w:val="00B562E2"/>
    <w:rsid w:val="00B57354"/>
    <w:rsid w:val="00B57858"/>
    <w:rsid w:val="00B57F93"/>
    <w:rsid w:val="00B61075"/>
    <w:rsid w:val="00B61374"/>
    <w:rsid w:val="00B61AC8"/>
    <w:rsid w:val="00B62806"/>
    <w:rsid w:val="00B62E7D"/>
    <w:rsid w:val="00B63248"/>
    <w:rsid w:val="00B636AC"/>
    <w:rsid w:val="00B652D8"/>
    <w:rsid w:val="00B6582E"/>
    <w:rsid w:val="00B6583B"/>
    <w:rsid w:val="00B6655D"/>
    <w:rsid w:val="00B668C6"/>
    <w:rsid w:val="00B66BF8"/>
    <w:rsid w:val="00B67994"/>
    <w:rsid w:val="00B67EAB"/>
    <w:rsid w:val="00B733C4"/>
    <w:rsid w:val="00B73F4B"/>
    <w:rsid w:val="00B74810"/>
    <w:rsid w:val="00B764D5"/>
    <w:rsid w:val="00B76570"/>
    <w:rsid w:val="00B7689B"/>
    <w:rsid w:val="00B77BEB"/>
    <w:rsid w:val="00B80460"/>
    <w:rsid w:val="00B806F6"/>
    <w:rsid w:val="00B81E8E"/>
    <w:rsid w:val="00B82002"/>
    <w:rsid w:val="00B84B92"/>
    <w:rsid w:val="00B853BC"/>
    <w:rsid w:val="00B86ADE"/>
    <w:rsid w:val="00B87886"/>
    <w:rsid w:val="00B91181"/>
    <w:rsid w:val="00B91CFC"/>
    <w:rsid w:val="00B92B70"/>
    <w:rsid w:val="00B935DC"/>
    <w:rsid w:val="00B937CF"/>
    <w:rsid w:val="00B94B78"/>
    <w:rsid w:val="00B94E75"/>
    <w:rsid w:val="00B9575A"/>
    <w:rsid w:val="00B9615E"/>
    <w:rsid w:val="00B96C19"/>
    <w:rsid w:val="00BA0D53"/>
    <w:rsid w:val="00BA1D3B"/>
    <w:rsid w:val="00BA43EE"/>
    <w:rsid w:val="00BA4433"/>
    <w:rsid w:val="00BA5068"/>
    <w:rsid w:val="00BA68D7"/>
    <w:rsid w:val="00BA6E36"/>
    <w:rsid w:val="00BB07C0"/>
    <w:rsid w:val="00BB1C91"/>
    <w:rsid w:val="00BB3763"/>
    <w:rsid w:val="00BB4263"/>
    <w:rsid w:val="00BB4E6D"/>
    <w:rsid w:val="00BB53EA"/>
    <w:rsid w:val="00BB544E"/>
    <w:rsid w:val="00BB5D49"/>
    <w:rsid w:val="00BB68CC"/>
    <w:rsid w:val="00BB715B"/>
    <w:rsid w:val="00BB7222"/>
    <w:rsid w:val="00BB76C8"/>
    <w:rsid w:val="00BB7856"/>
    <w:rsid w:val="00BB7E69"/>
    <w:rsid w:val="00BC0306"/>
    <w:rsid w:val="00BC0F10"/>
    <w:rsid w:val="00BC145E"/>
    <w:rsid w:val="00BC155D"/>
    <w:rsid w:val="00BC167D"/>
    <w:rsid w:val="00BC1D71"/>
    <w:rsid w:val="00BC1F88"/>
    <w:rsid w:val="00BC227F"/>
    <w:rsid w:val="00BC22D5"/>
    <w:rsid w:val="00BC3542"/>
    <w:rsid w:val="00BC4113"/>
    <w:rsid w:val="00BC466C"/>
    <w:rsid w:val="00BC520A"/>
    <w:rsid w:val="00BC52B4"/>
    <w:rsid w:val="00BC54D9"/>
    <w:rsid w:val="00BC65A6"/>
    <w:rsid w:val="00BC6E7C"/>
    <w:rsid w:val="00BC73C2"/>
    <w:rsid w:val="00BC7A8A"/>
    <w:rsid w:val="00BD0959"/>
    <w:rsid w:val="00BD1881"/>
    <w:rsid w:val="00BD1A9A"/>
    <w:rsid w:val="00BD1C71"/>
    <w:rsid w:val="00BD2CA7"/>
    <w:rsid w:val="00BD314B"/>
    <w:rsid w:val="00BD34D5"/>
    <w:rsid w:val="00BD461A"/>
    <w:rsid w:val="00BD47C8"/>
    <w:rsid w:val="00BD5367"/>
    <w:rsid w:val="00BD572E"/>
    <w:rsid w:val="00BD6583"/>
    <w:rsid w:val="00BD667F"/>
    <w:rsid w:val="00BD6C3F"/>
    <w:rsid w:val="00BD7200"/>
    <w:rsid w:val="00BD7CAA"/>
    <w:rsid w:val="00BE0357"/>
    <w:rsid w:val="00BE08CC"/>
    <w:rsid w:val="00BE0A98"/>
    <w:rsid w:val="00BE12B0"/>
    <w:rsid w:val="00BE19F1"/>
    <w:rsid w:val="00BE29A1"/>
    <w:rsid w:val="00BE3703"/>
    <w:rsid w:val="00BE5592"/>
    <w:rsid w:val="00BE588C"/>
    <w:rsid w:val="00BE6B56"/>
    <w:rsid w:val="00BE6FCF"/>
    <w:rsid w:val="00BE7747"/>
    <w:rsid w:val="00BE78B7"/>
    <w:rsid w:val="00BF0128"/>
    <w:rsid w:val="00BF035F"/>
    <w:rsid w:val="00BF1CBF"/>
    <w:rsid w:val="00BF38AD"/>
    <w:rsid w:val="00BF38E9"/>
    <w:rsid w:val="00BF4020"/>
    <w:rsid w:val="00BF574E"/>
    <w:rsid w:val="00BF669A"/>
    <w:rsid w:val="00C01026"/>
    <w:rsid w:val="00C019F0"/>
    <w:rsid w:val="00C02769"/>
    <w:rsid w:val="00C02826"/>
    <w:rsid w:val="00C02B0F"/>
    <w:rsid w:val="00C02B3C"/>
    <w:rsid w:val="00C03092"/>
    <w:rsid w:val="00C04435"/>
    <w:rsid w:val="00C056E1"/>
    <w:rsid w:val="00C05DF5"/>
    <w:rsid w:val="00C068DC"/>
    <w:rsid w:val="00C071C1"/>
    <w:rsid w:val="00C139DE"/>
    <w:rsid w:val="00C148DA"/>
    <w:rsid w:val="00C15F94"/>
    <w:rsid w:val="00C16497"/>
    <w:rsid w:val="00C20B60"/>
    <w:rsid w:val="00C20EBB"/>
    <w:rsid w:val="00C21C8E"/>
    <w:rsid w:val="00C23C7A"/>
    <w:rsid w:val="00C24D11"/>
    <w:rsid w:val="00C27A23"/>
    <w:rsid w:val="00C27D2C"/>
    <w:rsid w:val="00C27DD4"/>
    <w:rsid w:val="00C30D4B"/>
    <w:rsid w:val="00C3156E"/>
    <w:rsid w:val="00C3171A"/>
    <w:rsid w:val="00C31A0E"/>
    <w:rsid w:val="00C31E76"/>
    <w:rsid w:val="00C326F0"/>
    <w:rsid w:val="00C328E6"/>
    <w:rsid w:val="00C32F23"/>
    <w:rsid w:val="00C34AB5"/>
    <w:rsid w:val="00C34EC0"/>
    <w:rsid w:val="00C350DD"/>
    <w:rsid w:val="00C36326"/>
    <w:rsid w:val="00C367F0"/>
    <w:rsid w:val="00C4172A"/>
    <w:rsid w:val="00C4206C"/>
    <w:rsid w:val="00C426A7"/>
    <w:rsid w:val="00C43536"/>
    <w:rsid w:val="00C43637"/>
    <w:rsid w:val="00C43F33"/>
    <w:rsid w:val="00C455B6"/>
    <w:rsid w:val="00C4584B"/>
    <w:rsid w:val="00C45F43"/>
    <w:rsid w:val="00C466C2"/>
    <w:rsid w:val="00C50346"/>
    <w:rsid w:val="00C50423"/>
    <w:rsid w:val="00C50926"/>
    <w:rsid w:val="00C514BE"/>
    <w:rsid w:val="00C52290"/>
    <w:rsid w:val="00C52C24"/>
    <w:rsid w:val="00C53175"/>
    <w:rsid w:val="00C53B24"/>
    <w:rsid w:val="00C57B3C"/>
    <w:rsid w:val="00C60485"/>
    <w:rsid w:val="00C60A1F"/>
    <w:rsid w:val="00C627EA"/>
    <w:rsid w:val="00C636DA"/>
    <w:rsid w:val="00C6667F"/>
    <w:rsid w:val="00C66D34"/>
    <w:rsid w:val="00C6739F"/>
    <w:rsid w:val="00C70325"/>
    <w:rsid w:val="00C72506"/>
    <w:rsid w:val="00C7371C"/>
    <w:rsid w:val="00C74280"/>
    <w:rsid w:val="00C751E2"/>
    <w:rsid w:val="00C75242"/>
    <w:rsid w:val="00C76549"/>
    <w:rsid w:val="00C76EE4"/>
    <w:rsid w:val="00C812C0"/>
    <w:rsid w:val="00C829D7"/>
    <w:rsid w:val="00C8468F"/>
    <w:rsid w:val="00C85025"/>
    <w:rsid w:val="00C869D8"/>
    <w:rsid w:val="00C87C44"/>
    <w:rsid w:val="00C87DE3"/>
    <w:rsid w:val="00C90C6D"/>
    <w:rsid w:val="00C9300F"/>
    <w:rsid w:val="00C93225"/>
    <w:rsid w:val="00C93263"/>
    <w:rsid w:val="00C942FF"/>
    <w:rsid w:val="00C944EA"/>
    <w:rsid w:val="00C94614"/>
    <w:rsid w:val="00C95944"/>
    <w:rsid w:val="00CA0BD1"/>
    <w:rsid w:val="00CA25C2"/>
    <w:rsid w:val="00CA26E4"/>
    <w:rsid w:val="00CA613D"/>
    <w:rsid w:val="00CA6EF9"/>
    <w:rsid w:val="00CA70FD"/>
    <w:rsid w:val="00CA74E9"/>
    <w:rsid w:val="00CB2032"/>
    <w:rsid w:val="00CB5243"/>
    <w:rsid w:val="00CB65A6"/>
    <w:rsid w:val="00CB670C"/>
    <w:rsid w:val="00CB71C4"/>
    <w:rsid w:val="00CC09B3"/>
    <w:rsid w:val="00CC1CD6"/>
    <w:rsid w:val="00CC3170"/>
    <w:rsid w:val="00CC3756"/>
    <w:rsid w:val="00CC44B1"/>
    <w:rsid w:val="00CC4667"/>
    <w:rsid w:val="00CC4AD0"/>
    <w:rsid w:val="00CC55DC"/>
    <w:rsid w:val="00CC5A0C"/>
    <w:rsid w:val="00CC6469"/>
    <w:rsid w:val="00CC7F4B"/>
    <w:rsid w:val="00CD0CA7"/>
    <w:rsid w:val="00CD1827"/>
    <w:rsid w:val="00CD204E"/>
    <w:rsid w:val="00CD20F7"/>
    <w:rsid w:val="00CD217B"/>
    <w:rsid w:val="00CD2548"/>
    <w:rsid w:val="00CD29B0"/>
    <w:rsid w:val="00CD3B5F"/>
    <w:rsid w:val="00CD42B8"/>
    <w:rsid w:val="00CD709A"/>
    <w:rsid w:val="00CD7218"/>
    <w:rsid w:val="00CE2943"/>
    <w:rsid w:val="00CE32DE"/>
    <w:rsid w:val="00CE5180"/>
    <w:rsid w:val="00CE558B"/>
    <w:rsid w:val="00CE562B"/>
    <w:rsid w:val="00CE618B"/>
    <w:rsid w:val="00CE68E2"/>
    <w:rsid w:val="00CF00E3"/>
    <w:rsid w:val="00CF0536"/>
    <w:rsid w:val="00CF10C0"/>
    <w:rsid w:val="00CF10CE"/>
    <w:rsid w:val="00CF3D81"/>
    <w:rsid w:val="00CF7732"/>
    <w:rsid w:val="00D00AAC"/>
    <w:rsid w:val="00D0119E"/>
    <w:rsid w:val="00D0132A"/>
    <w:rsid w:val="00D016E5"/>
    <w:rsid w:val="00D01E2F"/>
    <w:rsid w:val="00D02753"/>
    <w:rsid w:val="00D02DF7"/>
    <w:rsid w:val="00D03BBC"/>
    <w:rsid w:val="00D03FA5"/>
    <w:rsid w:val="00D043C4"/>
    <w:rsid w:val="00D054CA"/>
    <w:rsid w:val="00D06564"/>
    <w:rsid w:val="00D06BA3"/>
    <w:rsid w:val="00D06E15"/>
    <w:rsid w:val="00D0747B"/>
    <w:rsid w:val="00D07FDD"/>
    <w:rsid w:val="00D10170"/>
    <w:rsid w:val="00D1038B"/>
    <w:rsid w:val="00D105F3"/>
    <w:rsid w:val="00D10FD1"/>
    <w:rsid w:val="00D120F0"/>
    <w:rsid w:val="00D121FC"/>
    <w:rsid w:val="00D14283"/>
    <w:rsid w:val="00D15A9B"/>
    <w:rsid w:val="00D15FB3"/>
    <w:rsid w:val="00D168E3"/>
    <w:rsid w:val="00D20AFD"/>
    <w:rsid w:val="00D22A6E"/>
    <w:rsid w:val="00D22DE4"/>
    <w:rsid w:val="00D23283"/>
    <w:rsid w:val="00D2348F"/>
    <w:rsid w:val="00D23E5F"/>
    <w:rsid w:val="00D2467C"/>
    <w:rsid w:val="00D27FA4"/>
    <w:rsid w:val="00D326D3"/>
    <w:rsid w:val="00D327B7"/>
    <w:rsid w:val="00D32B59"/>
    <w:rsid w:val="00D32FE2"/>
    <w:rsid w:val="00D339F2"/>
    <w:rsid w:val="00D33A36"/>
    <w:rsid w:val="00D348FB"/>
    <w:rsid w:val="00D34A1E"/>
    <w:rsid w:val="00D35050"/>
    <w:rsid w:val="00D358AC"/>
    <w:rsid w:val="00D359B1"/>
    <w:rsid w:val="00D35ABC"/>
    <w:rsid w:val="00D35B87"/>
    <w:rsid w:val="00D35F9B"/>
    <w:rsid w:val="00D36769"/>
    <w:rsid w:val="00D369C1"/>
    <w:rsid w:val="00D36A4B"/>
    <w:rsid w:val="00D37842"/>
    <w:rsid w:val="00D37E30"/>
    <w:rsid w:val="00D40F79"/>
    <w:rsid w:val="00D41736"/>
    <w:rsid w:val="00D4584E"/>
    <w:rsid w:val="00D462E4"/>
    <w:rsid w:val="00D46E6A"/>
    <w:rsid w:val="00D47EBF"/>
    <w:rsid w:val="00D50497"/>
    <w:rsid w:val="00D50C49"/>
    <w:rsid w:val="00D511BA"/>
    <w:rsid w:val="00D53F46"/>
    <w:rsid w:val="00D54530"/>
    <w:rsid w:val="00D5560B"/>
    <w:rsid w:val="00D55F60"/>
    <w:rsid w:val="00D5637F"/>
    <w:rsid w:val="00D576D8"/>
    <w:rsid w:val="00D57A4D"/>
    <w:rsid w:val="00D61067"/>
    <w:rsid w:val="00D63D30"/>
    <w:rsid w:val="00D66EAC"/>
    <w:rsid w:val="00D66F2E"/>
    <w:rsid w:val="00D67AD7"/>
    <w:rsid w:val="00D70EC8"/>
    <w:rsid w:val="00D7141F"/>
    <w:rsid w:val="00D71518"/>
    <w:rsid w:val="00D71B62"/>
    <w:rsid w:val="00D7254D"/>
    <w:rsid w:val="00D730E2"/>
    <w:rsid w:val="00D73D12"/>
    <w:rsid w:val="00D7582D"/>
    <w:rsid w:val="00D759BE"/>
    <w:rsid w:val="00D76514"/>
    <w:rsid w:val="00D76FDF"/>
    <w:rsid w:val="00D770F6"/>
    <w:rsid w:val="00D77C2E"/>
    <w:rsid w:val="00D803DB"/>
    <w:rsid w:val="00D807BB"/>
    <w:rsid w:val="00D80985"/>
    <w:rsid w:val="00D809BD"/>
    <w:rsid w:val="00D82E04"/>
    <w:rsid w:val="00D83CF1"/>
    <w:rsid w:val="00D83FFC"/>
    <w:rsid w:val="00D84CEC"/>
    <w:rsid w:val="00D853C9"/>
    <w:rsid w:val="00D8587C"/>
    <w:rsid w:val="00D859F0"/>
    <w:rsid w:val="00D86079"/>
    <w:rsid w:val="00D872AE"/>
    <w:rsid w:val="00D9042D"/>
    <w:rsid w:val="00D9061E"/>
    <w:rsid w:val="00D93348"/>
    <w:rsid w:val="00D939F2"/>
    <w:rsid w:val="00D93EDD"/>
    <w:rsid w:val="00D94C49"/>
    <w:rsid w:val="00D95041"/>
    <w:rsid w:val="00D955EC"/>
    <w:rsid w:val="00D963BE"/>
    <w:rsid w:val="00D97C71"/>
    <w:rsid w:val="00DA03A3"/>
    <w:rsid w:val="00DA0E7D"/>
    <w:rsid w:val="00DA1349"/>
    <w:rsid w:val="00DA1F90"/>
    <w:rsid w:val="00DA3915"/>
    <w:rsid w:val="00DA4BC3"/>
    <w:rsid w:val="00DA50E1"/>
    <w:rsid w:val="00DA52F0"/>
    <w:rsid w:val="00DA675C"/>
    <w:rsid w:val="00DA7040"/>
    <w:rsid w:val="00DB1100"/>
    <w:rsid w:val="00DB15BC"/>
    <w:rsid w:val="00DB1C30"/>
    <w:rsid w:val="00DB3B8B"/>
    <w:rsid w:val="00DB4977"/>
    <w:rsid w:val="00DB4A90"/>
    <w:rsid w:val="00DB6637"/>
    <w:rsid w:val="00DB6FA8"/>
    <w:rsid w:val="00DB744F"/>
    <w:rsid w:val="00DB7B6C"/>
    <w:rsid w:val="00DC0A78"/>
    <w:rsid w:val="00DC1748"/>
    <w:rsid w:val="00DC1D6B"/>
    <w:rsid w:val="00DC2CE3"/>
    <w:rsid w:val="00DC2D3E"/>
    <w:rsid w:val="00DC679C"/>
    <w:rsid w:val="00DC7102"/>
    <w:rsid w:val="00DC7543"/>
    <w:rsid w:val="00DD0055"/>
    <w:rsid w:val="00DD1649"/>
    <w:rsid w:val="00DD228E"/>
    <w:rsid w:val="00DD4B90"/>
    <w:rsid w:val="00DD4C8A"/>
    <w:rsid w:val="00DD743E"/>
    <w:rsid w:val="00DD7529"/>
    <w:rsid w:val="00DD7C58"/>
    <w:rsid w:val="00DE03DC"/>
    <w:rsid w:val="00DE1230"/>
    <w:rsid w:val="00DE1331"/>
    <w:rsid w:val="00DE16DC"/>
    <w:rsid w:val="00DE2AE9"/>
    <w:rsid w:val="00DE2B7F"/>
    <w:rsid w:val="00DE2B9A"/>
    <w:rsid w:val="00DE38E7"/>
    <w:rsid w:val="00DE3CE7"/>
    <w:rsid w:val="00DE40FC"/>
    <w:rsid w:val="00DE4B13"/>
    <w:rsid w:val="00DE51EB"/>
    <w:rsid w:val="00DE614C"/>
    <w:rsid w:val="00DE6201"/>
    <w:rsid w:val="00DE6B3B"/>
    <w:rsid w:val="00DF02E7"/>
    <w:rsid w:val="00DF2B58"/>
    <w:rsid w:val="00DF3AEE"/>
    <w:rsid w:val="00DF3D37"/>
    <w:rsid w:val="00DF7108"/>
    <w:rsid w:val="00DF77C9"/>
    <w:rsid w:val="00DF7EBF"/>
    <w:rsid w:val="00DF7F05"/>
    <w:rsid w:val="00E00588"/>
    <w:rsid w:val="00E00EE7"/>
    <w:rsid w:val="00E02515"/>
    <w:rsid w:val="00E027D9"/>
    <w:rsid w:val="00E03063"/>
    <w:rsid w:val="00E03215"/>
    <w:rsid w:val="00E037F4"/>
    <w:rsid w:val="00E043F8"/>
    <w:rsid w:val="00E04C2B"/>
    <w:rsid w:val="00E05233"/>
    <w:rsid w:val="00E07659"/>
    <w:rsid w:val="00E07B74"/>
    <w:rsid w:val="00E10757"/>
    <w:rsid w:val="00E11675"/>
    <w:rsid w:val="00E11EF6"/>
    <w:rsid w:val="00E124E2"/>
    <w:rsid w:val="00E125DA"/>
    <w:rsid w:val="00E13216"/>
    <w:rsid w:val="00E14B61"/>
    <w:rsid w:val="00E14E58"/>
    <w:rsid w:val="00E154B1"/>
    <w:rsid w:val="00E1673D"/>
    <w:rsid w:val="00E16A94"/>
    <w:rsid w:val="00E17960"/>
    <w:rsid w:val="00E17D2B"/>
    <w:rsid w:val="00E2138E"/>
    <w:rsid w:val="00E22178"/>
    <w:rsid w:val="00E22B1F"/>
    <w:rsid w:val="00E23FBA"/>
    <w:rsid w:val="00E2507B"/>
    <w:rsid w:val="00E254C0"/>
    <w:rsid w:val="00E263DF"/>
    <w:rsid w:val="00E26958"/>
    <w:rsid w:val="00E26C35"/>
    <w:rsid w:val="00E3080F"/>
    <w:rsid w:val="00E3177B"/>
    <w:rsid w:val="00E32C41"/>
    <w:rsid w:val="00E333AB"/>
    <w:rsid w:val="00E3399A"/>
    <w:rsid w:val="00E33F27"/>
    <w:rsid w:val="00E35390"/>
    <w:rsid w:val="00E3666B"/>
    <w:rsid w:val="00E44B7A"/>
    <w:rsid w:val="00E51949"/>
    <w:rsid w:val="00E51B97"/>
    <w:rsid w:val="00E51D60"/>
    <w:rsid w:val="00E527B5"/>
    <w:rsid w:val="00E55826"/>
    <w:rsid w:val="00E5774C"/>
    <w:rsid w:val="00E60815"/>
    <w:rsid w:val="00E61C82"/>
    <w:rsid w:val="00E61E0F"/>
    <w:rsid w:val="00E6217E"/>
    <w:rsid w:val="00E64184"/>
    <w:rsid w:val="00E6479B"/>
    <w:rsid w:val="00E66F0F"/>
    <w:rsid w:val="00E6755B"/>
    <w:rsid w:val="00E67BEF"/>
    <w:rsid w:val="00E67CA5"/>
    <w:rsid w:val="00E70999"/>
    <w:rsid w:val="00E70FC3"/>
    <w:rsid w:val="00E713F3"/>
    <w:rsid w:val="00E7204F"/>
    <w:rsid w:val="00E720BB"/>
    <w:rsid w:val="00E731A8"/>
    <w:rsid w:val="00E732D0"/>
    <w:rsid w:val="00E737D7"/>
    <w:rsid w:val="00E7433C"/>
    <w:rsid w:val="00E750F0"/>
    <w:rsid w:val="00E8200A"/>
    <w:rsid w:val="00E82047"/>
    <w:rsid w:val="00E82641"/>
    <w:rsid w:val="00E8555C"/>
    <w:rsid w:val="00E8568A"/>
    <w:rsid w:val="00E857AB"/>
    <w:rsid w:val="00E871EE"/>
    <w:rsid w:val="00E87522"/>
    <w:rsid w:val="00E9045E"/>
    <w:rsid w:val="00E90C7E"/>
    <w:rsid w:val="00E91117"/>
    <w:rsid w:val="00E92532"/>
    <w:rsid w:val="00E92A04"/>
    <w:rsid w:val="00E93562"/>
    <w:rsid w:val="00E94160"/>
    <w:rsid w:val="00E94E13"/>
    <w:rsid w:val="00E94F31"/>
    <w:rsid w:val="00E9582F"/>
    <w:rsid w:val="00E960F3"/>
    <w:rsid w:val="00E97648"/>
    <w:rsid w:val="00E97ADD"/>
    <w:rsid w:val="00E97FCD"/>
    <w:rsid w:val="00EA060E"/>
    <w:rsid w:val="00EA0AA9"/>
    <w:rsid w:val="00EA0F89"/>
    <w:rsid w:val="00EA217F"/>
    <w:rsid w:val="00EA2C06"/>
    <w:rsid w:val="00EA3422"/>
    <w:rsid w:val="00EA654A"/>
    <w:rsid w:val="00EA7FB0"/>
    <w:rsid w:val="00EB3EB2"/>
    <w:rsid w:val="00EB4178"/>
    <w:rsid w:val="00EB4B51"/>
    <w:rsid w:val="00EB511E"/>
    <w:rsid w:val="00EC0E26"/>
    <w:rsid w:val="00EC1401"/>
    <w:rsid w:val="00EC1C2B"/>
    <w:rsid w:val="00EC2F61"/>
    <w:rsid w:val="00EC35C7"/>
    <w:rsid w:val="00EC5727"/>
    <w:rsid w:val="00EC585D"/>
    <w:rsid w:val="00EC7105"/>
    <w:rsid w:val="00EC795B"/>
    <w:rsid w:val="00ED05B4"/>
    <w:rsid w:val="00ED0BB8"/>
    <w:rsid w:val="00ED19AD"/>
    <w:rsid w:val="00ED1B23"/>
    <w:rsid w:val="00ED1E80"/>
    <w:rsid w:val="00ED262C"/>
    <w:rsid w:val="00ED39D0"/>
    <w:rsid w:val="00ED4209"/>
    <w:rsid w:val="00ED47AC"/>
    <w:rsid w:val="00ED77BA"/>
    <w:rsid w:val="00ED7E16"/>
    <w:rsid w:val="00ED7EB3"/>
    <w:rsid w:val="00EE08F0"/>
    <w:rsid w:val="00EE0A97"/>
    <w:rsid w:val="00EE1BBF"/>
    <w:rsid w:val="00EE3824"/>
    <w:rsid w:val="00EE4911"/>
    <w:rsid w:val="00EE6584"/>
    <w:rsid w:val="00EF0540"/>
    <w:rsid w:val="00EF0977"/>
    <w:rsid w:val="00EF13C1"/>
    <w:rsid w:val="00EF154E"/>
    <w:rsid w:val="00EF352A"/>
    <w:rsid w:val="00EF5C17"/>
    <w:rsid w:val="00EF61B6"/>
    <w:rsid w:val="00EF6496"/>
    <w:rsid w:val="00EF6DA2"/>
    <w:rsid w:val="00EF717E"/>
    <w:rsid w:val="00EF74F7"/>
    <w:rsid w:val="00EF7674"/>
    <w:rsid w:val="00EF7995"/>
    <w:rsid w:val="00F011B5"/>
    <w:rsid w:val="00F01DE9"/>
    <w:rsid w:val="00F04975"/>
    <w:rsid w:val="00F05329"/>
    <w:rsid w:val="00F05A6A"/>
    <w:rsid w:val="00F0606B"/>
    <w:rsid w:val="00F062D1"/>
    <w:rsid w:val="00F074B4"/>
    <w:rsid w:val="00F074FC"/>
    <w:rsid w:val="00F1106E"/>
    <w:rsid w:val="00F13150"/>
    <w:rsid w:val="00F132D1"/>
    <w:rsid w:val="00F1387C"/>
    <w:rsid w:val="00F161FD"/>
    <w:rsid w:val="00F165DE"/>
    <w:rsid w:val="00F16708"/>
    <w:rsid w:val="00F17D4F"/>
    <w:rsid w:val="00F207AF"/>
    <w:rsid w:val="00F20CAB"/>
    <w:rsid w:val="00F216FC"/>
    <w:rsid w:val="00F23101"/>
    <w:rsid w:val="00F23281"/>
    <w:rsid w:val="00F25763"/>
    <w:rsid w:val="00F2652F"/>
    <w:rsid w:val="00F27CB6"/>
    <w:rsid w:val="00F300BB"/>
    <w:rsid w:val="00F30876"/>
    <w:rsid w:val="00F30D66"/>
    <w:rsid w:val="00F30E3F"/>
    <w:rsid w:val="00F31B9A"/>
    <w:rsid w:val="00F32A12"/>
    <w:rsid w:val="00F349C1"/>
    <w:rsid w:val="00F360E9"/>
    <w:rsid w:val="00F36993"/>
    <w:rsid w:val="00F377E4"/>
    <w:rsid w:val="00F40B93"/>
    <w:rsid w:val="00F40FF0"/>
    <w:rsid w:val="00F41232"/>
    <w:rsid w:val="00F42624"/>
    <w:rsid w:val="00F429D5"/>
    <w:rsid w:val="00F42AFD"/>
    <w:rsid w:val="00F43ADB"/>
    <w:rsid w:val="00F44668"/>
    <w:rsid w:val="00F44EC0"/>
    <w:rsid w:val="00F463E6"/>
    <w:rsid w:val="00F4686B"/>
    <w:rsid w:val="00F51ECA"/>
    <w:rsid w:val="00F52051"/>
    <w:rsid w:val="00F52C6A"/>
    <w:rsid w:val="00F544CE"/>
    <w:rsid w:val="00F54E4A"/>
    <w:rsid w:val="00F557A8"/>
    <w:rsid w:val="00F561BC"/>
    <w:rsid w:val="00F56979"/>
    <w:rsid w:val="00F60267"/>
    <w:rsid w:val="00F604ED"/>
    <w:rsid w:val="00F6058A"/>
    <w:rsid w:val="00F605F7"/>
    <w:rsid w:val="00F61A26"/>
    <w:rsid w:val="00F622E1"/>
    <w:rsid w:val="00F62F3A"/>
    <w:rsid w:val="00F66363"/>
    <w:rsid w:val="00F66CA0"/>
    <w:rsid w:val="00F66EB2"/>
    <w:rsid w:val="00F6762E"/>
    <w:rsid w:val="00F67BFC"/>
    <w:rsid w:val="00F7235E"/>
    <w:rsid w:val="00F73763"/>
    <w:rsid w:val="00F73EC9"/>
    <w:rsid w:val="00F74251"/>
    <w:rsid w:val="00F74935"/>
    <w:rsid w:val="00F76E0B"/>
    <w:rsid w:val="00F77B8D"/>
    <w:rsid w:val="00F80A86"/>
    <w:rsid w:val="00F80D7B"/>
    <w:rsid w:val="00F822B4"/>
    <w:rsid w:val="00F822D2"/>
    <w:rsid w:val="00F844C0"/>
    <w:rsid w:val="00F84D85"/>
    <w:rsid w:val="00F85E2E"/>
    <w:rsid w:val="00F8623A"/>
    <w:rsid w:val="00F86CFE"/>
    <w:rsid w:val="00F90409"/>
    <w:rsid w:val="00F90DB9"/>
    <w:rsid w:val="00F92F19"/>
    <w:rsid w:val="00F93218"/>
    <w:rsid w:val="00F935DE"/>
    <w:rsid w:val="00F94302"/>
    <w:rsid w:val="00F94793"/>
    <w:rsid w:val="00F94C99"/>
    <w:rsid w:val="00F95A1D"/>
    <w:rsid w:val="00F961EC"/>
    <w:rsid w:val="00F9765F"/>
    <w:rsid w:val="00F97FD6"/>
    <w:rsid w:val="00FA06EE"/>
    <w:rsid w:val="00FA0ABF"/>
    <w:rsid w:val="00FA155A"/>
    <w:rsid w:val="00FA1BF1"/>
    <w:rsid w:val="00FA25C1"/>
    <w:rsid w:val="00FA273A"/>
    <w:rsid w:val="00FA27E5"/>
    <w:rsid w:val="00FA359E"/>
    <w:rsid w:val="00FA37EC"/>
    <w:rsid w:val="00FA5282"/>
    <w:rsid w:val="00FA6470"/>
    <w:rsid w:val="00FA6C9A"/>
    <w:rsid w:val="00FA7723"/>
    <w:rsid w:val="00FB0E73"/>
    <w:rsid w:val="00FB2327"/>
    <w:rsid w:val="00FB2E6D"/>
    <w:rsid w:val="00FB3C06"/>
    <w:rsid w:val="00FB42B5"/>
    <w:rsid w:val="00FB4950"/>
    <w:rsid w:val="00FB4A7B"/>
    <w:rsid w:val="00FB5738"/>
    <w:rsid w:val="00FB5C1C"/>
    <w:rsid w:val="00FB6524"/>
    <w:rsid w:val="00FB65EE"/>
    <w:rsid w:val="00FB6BC4"/>
    <w:rsid w:val="00FB7679"/>
    <w:rsid w:val="00FC0511"/>
    <w:rsid w:val="00FC1129"/>
    <w:rsid w:val="00FC24F9"/>
    <w:rsid w:val="00FC3F19"/>
    <w:rsid w:val="00FC4995"/>
    <w:rsid w:val="00FC6349"/>
    <w:rsid w:val="00FC6F61"/>
    <w:rsid w:val="00FC7F77"/>
    <w:rsid w:val="00FD0EB4"/>
    <w:rsid w:val="00FD1051"/>
    <w:rsid w:val="00FD273D"/>
    <w:rsid w:val="00FD2BA1"/>
    <w:rsid w:val="00FD3241"/>
    <w:rsid w:val="00FD3F20"/>
    <w:rsid w:val="00FD4D78"/>
    <w:rsid w:val="00FD5170"/>
    <w:rsid w:val="00FD5C38"/>
    <w:rsid w:val="00FD6919"/>
    <w:rsid w:val="00FE08D0"/>
    <w:rsid w:val="00FE25FB"/>
    <w:rsid w:val="00FE2AF1"/>
    <w:rsid w:val="00FE403C"/>
    <w:rsid w:val="00FE423B"/>
    <w:rsid w:val="00FE43DE"/>
    <w:rsid w:val="00FE5172"/>
    <w:rsid w:val="00FE6D9B"/>
    <w:rsid w:val="00FE7687"/>
    <w:rsid w:val="00FE7763"/>
    <w:rsid w:val="00FF06F9"/>
    <w:rsid w:val="00FF3BA0"/>
    <w:rsid w:val="00FF456E"/>
    <w:rsid w:val="00FF515C"/>
    <w:rsid w:val="00FF558A"/>
    <w:rsid w:val="00FF6E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D9E59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5C"/>
    <w:pPr>
      <w:spacing w:line="480" w:lineRule="auto"/>
    </w:pPr>
  </w:style>
  <w:style w:type="paragraph" w:styleId="Heading1">
    <w:name w:val="heading 1"/>
    <w:basedOn w:val="Normal"/>
    <w:next w:val="Normal"/>
    <w:link w:val="Heading1Char"/>
    <w:uiPriority w:val="9"/>
    <w:qFormat/>
    <w:rsid w:val="00EA654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0F6FD7"/>
    <w:pPr>
      <w:spacing w:before="100" w:beforeAutospacing="1" w:after="100" w:afterAutospacing="1" w:line="240" w:lineRule="auto"/>
      <w:outlineLvl w:val="1"/>
    </w:pPr>
    <w:rPr>
      <w:rFonts w:ascii="Times" w:hAnsi="Times"/>
      <w:b/>
      <w:bCs/>
      <w:sz w:val="36"/>
      <w:szCs w:val="36"/>
    </w:rPr>
  </w:style>
  <w:style w:type="paragraph" w:styleId="Heading3">
    <w:name w:val="heading 3"/>
    <w:basedOn w:val="Normal"/>
    <w:next w:val="Normal"/>
    <w:link w:val="Heading3Char"/>
    <w:uiPriority w:val="9"/>
    <w:unhideWhenUsed/>
    <w:qFormat/>
    <w:rsid w:val="00471A3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0F52"/>
    <w:pPr>
      <w:tabs>
        <w:tab w:val="center" w:pos="4320"/>
        <w:tab w:val="right" w:pos="8640"/>
      </w:tabs>
    </w:pPr>
  </w:style>
  <w:style w:type="paragraph" w:styleId="Footer">
    <w:name w:val="footer"/>
    <w:basedOn w:val="Normal"/>
    <w:semiHidden/>
    <w:rsid w:val="00DA0F52"/>
    <w:pPr>
      <w:tabs>
        <w:tab w:val="center" w:pos="4320"/>
        <w:tab w:val="right" w:pos="8640"/>
      </w:tabs>
    </w:pPr>
  </w:style>
  <w:style w:type="character" w:styleId="Hyperlink">
    <w:name w:val="Hyperlink"/>
    <w:rsid w:val="00DA0F52"/>
    <w:rPr>
      <w:color w:val="0000FF"/>
      <w:u w:val="single"/>
    </w:rPr>
  </w:style>
  <w:style w:type="character" w:styleId="FollowedHyperlink">
    <w:name w:val="FollowedHyperlink"/>
    <w:rsid w:val="00DA0F52"/>
    <w:rPr>
      <w:color w:val="800080"/>
      <w:u w:val="single"/>
    </w:rPr>
  </w:style>
  <w:style w:type="character" w:styleId="PageNumber">
    <w:name w:val="page number"/>
    <w:basedOn w:val="DefaultParagraphFont"/>
    <w:rsid w:val="00DA0F52"/>
  </w:style>
  <w:style w:type="paragraph" w:styleId="BalloonText">
    <w:name w:val="Balloon Text"/>
    <w:basedOn w:val="Normal"/>
    <w:semiHidden/>
    <w:rsid w:val="000B3C85"/>
    <w:rPr>
      <w:rFonts w:ascii="Lucida Grande" w:hAnsi="Lucida Grande"/>
      <w:sz w:val="18"/>
      <w:szCs w:val="18"/>
    </w:rPr>
  </w:style>
  <w:style w:type="paragraph" w:customStyle="1" w:styleId="reference">
    <w:name w:val="reference"/>
    <w:basedOn w:val="Normal"/>
    <w:rsid w:val="00464433"/>
    <w:pPr>
      <w:widowControl w:val="0"/>
      <w:autoSpaceDE w:val="0"/>
      <w:autoSpaceDN w:val="0"/>
      <w:adjustRightInd w:val="0"/>
      <w:spacing w:after="200" w:line="240" w:lineRule="auto"/>
      <w:ind w:right="200"/>
    </w:pPr>
    <w:rPr>
      <w:rFonts w:ascii="Arial" w:hAnsi="Arial"/>
      <w:szCs w:val="26"/>
      <w:lang w:val="en-US"/>
    </w:rPr>
  </w:style>
  <w:style w:type="paragraph" w:styleId="Caption">
    <w:name w:val="caption"/>
    <w:aliases w:val="caption"/>
    <w:basedOn w:val="Normal"/>
    <w:next w:val="Normal"/>
    <w:uiPriority w:val="35"/>
    <w:qFormat/>
    <w:rsid w:val="000B3C85"/>
    <w:pPr>
      <w:spacing w:before="120" w:line="240" w:lineRule="auto"/>
      <w:ind w:left="851" w:hanging="851"/>
    </w:pPr>
    <w:rPr>
      <w:rFonts w:ascii="Calibri" w:eastAsia="Cambria" w:hAnsi="Calibri"/>
      <w:b/>
      <w:bCs/>
      <w:color w:val="290CD6"/>
      <w:szCs w:val="20"/>
    </w:rPr>
  </w:style>
  <w:style w:type="character" w:customStyle="1" w:styleId="PJBBluebold">
    <w:name w:val="PJB Blue bold"/>
    <w:basedOn w:val="DefaultParagraphFont"/>
    <w:autoRedefine/>
    <w:qFormat/>
    <w:rsid w:val="000B3C85"/>
  </w:style>
  <w:style w:type="character" w:customStyle="1" w:styleId="PJBYellowHighlight">
    <w:name w:val="PJB Yellow Highlight"/>
    <w:autoRedefine/>
    <w:qFormat/>
    <w:rsid w:val="000B3C85"/>
    <w:rPr>
      <w:rFonts w:ascii="Calibri" w:hAnsi="Calibri" w:cs="Arial"/>
      <w:b/>
      <w:color w:val="0000FF"/>
      <w:shd w:val="clear" w:color="auto" w:fill="FFFF00"/>
    </w:rPr>
  </w:style>
  <w:style w:type="paragraph" w:styleId="NoSpacing">
    <w:name w:val="No Spacing"/>
    <w:uiPriority w:val="1"/>
    <w:qFormat/>
    <w:rsid w:val="00CB2032"/>
  </w:style>
  <w:style w:type="paragraph" w:styleId="ListParagraph">
    <w:name w:val="List Paragraph"/>
    <w:basedOn w:val="Normal"/>
    <w:uiPriority w:val="34"/>
    <w:qFormat/>
    <w:rsid w:val="00CB2032"/>
    <w:pPr>
      <w:spacing w:line="240" w:lineRule="auto"/>
      <w:ind w:left="720"/>
      <w:contextualSpacing/>
    </w:pPr>
    <w:rPr>
      <w:rFonts w:ascii="Cambria" w:eastAsia="ＭＳ 明朝" w:hAnsi="Cambria"/>
    </w:rPr>
  </w:style>
  <w:style w:type="paragraph" w:customStyle="1" w:styleId="Default">
    <w:name w:val="Default"/>
    <w:rsid w:val="007F5182"/>
    <w:pPr>
      <w:widowControl w:val="0"/>
      <w:autoSpaceDE w:val="0"/>
      <w:autoSpaceDN w:val="0"/>
      <w:adjustRightInd w:val="0"/>
    </w:pPr>
    <w:rPr>
      <w:rFonts w:ascii="Code" w:eastAsia="ＭＳ 明朝" w:hAnsi="Code" w:cs="Code"/>
      <w:color w:val="000000"/>
      <w:lang w:val="en-US"/>
    </w:rPr>
  </w:style>
  <w:style w:type="character" w:customStyle="1" w:styleId="Heading2Char">
    <w:name w:val="Heading 2 Char"/>
    <w:link w:val="Heading2"/>
    <w:uiPriority w:val="9"/>
    <w:rsid w:val="000F6FD7"/>
    <w:rPr>
      <w:rFonts w:ascii="Times" w:hAnsi="Times"/>
      <w:b/>
      <w:bCs/>
      <w:sz w:val="36"/>
      <w:szCs w:val="36"/>
    </w:rPr>
  </w:style>
  <w:style w:type="character" w:customStyle="1" w:styleId="a">
    <w:name w:val="a"/>
    <w:rsid w:val="0030573A"/>
  </w:style>
  <w:style w:type="character" w:styleId="CommentReference">
    <w:name w:val="annotation reference"/>
    <w:uiPriority w:val="99"/>
    <w:semiHidden/>
    <w:unhideWhenUsed/>
    <w:rsid w:val="0052587B"/>
    <w:rPr>
      <w:sz w:val="16"/>
      <w:szCs w:val="16"/>
    </w:rPr>
  </w:style>
  <w:style w:type="paragraph" w:styleId="CommentText">
    <w:name w:val="annotation text"/>
    <w:basedOn w:val="Normal"/>
    <w:link w:val="CommentTextChar"/>
    <w:uiPriority w:val="99"/>
    <w:semiHidden/>
    <w:unhideWhenUsed/>
    <w:rsid w:val="0052587B"/>
    <w:rPr>
      <w:sz w:val="20"/>
      <w:szCs w:val="20"/>
    </w:rPr>
  </w:style>
  <w:style w:type="character" w:customStyle="1" w:styleId="CommentTextChar">
    <w:name w:val="Comment Text Char"/>
    <w:basedOn w:val="DefaultParagraphFont"/>
    <w:link w:val="CommentText"/>
    <w:uiPriority w:val="99"/>
    <w:semiHidden/>
    <w:rsid w:val="0052587B"/>
  </w:style>
  <w:style w:type="character" w:customStyle="1" w:styleId="Heading3Char">
    <w:name w:val="Heading 3 Char"/>
    <w:basedOn w:val="DefaultParagraphFont"/>
    <w:link w:val="Heading3"/>
    <w:uiPriority w:val="9"/>
    <w:rsid w:val="00471A37"/>
    <w:rPr>
      <w:rFonts w:asciiTheme="majorHAnsi" w:eastAsiaTheme="majorEastAsia" w:hAnsiTheme="majorHAnsi" w:cstheme="majorBidi"/>
      <w:b/>
      <w:bCs/>
      <w:color w:val="4F81BD" w:themeColor="accent1"/>
      <w:sz w:val="24"/>
      <w:szCs w:val="24"/>
    </w:rPr>
  </w:style>
  <w:style w:type="character" w:customStyle="1" w:styleId="hidden">
    <w:name w:val="hidden"/>
    <w:basedOn w:val="DefaultParagraphFont"/>
    <w:rsid w:val="00471A37"/>
  </w:style>
  <w:style w:type="paragraph" w:customStyle="1" w:styleId="subjectresults">
    <w:name w:val="subjectresults"/>
    <w:basedOn w:val="Normal"/>
    <w:rsid w:val="00471A37"/>
    <w:pPr>
      <w:spacing w:before="100" w:beforeAutospacing="1" w:after="100" w:afterAutospacing="1" w:line="240" w:lineRule="auto"/>
    </w:pPr>
    <w:rPr>
      <w:rFonts w:ascii="Times" w:hAnsi="Times"/>
      <w:sz w:val="20"/>
      <w:szCs w:val="20"/>
    </w:rPr>
  </w:style>
  <w:style w:type="character" w:styleId="Strong">
    <w:name w:val="Strong"/>
    <w:basedOn w:val="DefaultParagraphFont"/>
    <w:uiPriority w:val="22"/>
    <w:qFormat/>
    <w:rsid w:val="00471A37"/>
    <w:rPr>
      <w:b/>
      <w:bCs/>
    </w:rPr>
  </w:style>
  <w:style w:type="character" w:styleId="HTMLCite">
    <w:name w:val="HTML Cite"/>
    <w:basedOn w:val="DefaultParagraphFont"/>
    <w:uiPriority w:val="99"/>
    <w:semiHidden/>
    <w:unhideWhenUsed/>
    <w:rsid w:val="002F1B61"/>
    <w:rPr>
      <w:i/>
      <w:iCs/>
    </w:rPr>
  </w:style>
  <w:style w:type="character" w:styleId="Emphasis">
    <w:name w:val="Emphasis"/>
    <w:basedOn w:val="DefaultParagraphFont"/>
    <w:uiPriority w:val="20"/>
    <w:qFormat/>
    <w:rsid w:val="00890538"/>
    <w:rPr>
      <w:i/>
      <w:iCs/>
    </w:rPr>
  </w:style>
  <w:style w:type="character" w:customStyle="1" w:styleId="book">
    <w:name w:val="book"/>
    <w:basedOn w:val="DefaultParagraphFont"/>
    <w:rsid w:val="00BE29A1"/>
  </w:style>
  <w:style w:type="character" w:customStyle="1" w:styleId="Heading1Char">
    <w:name w:val="Heading 1 Char"/>
    <w:basedOn w:val="DefaultParagraphFont"/>
    <w:link w:val="Heading1"/>
    <w:uiPriority w:val="9"/>
    <w:rsid w:val="00EA654A"/>
    <w:rPr>
      <w:rFonts w:asciiTheme="majorHAnsi" w:eastAsiaTheme="majorEastAsia" w:hAnsiTheme="majorHAnsi" w:cstheme="majorBidi"/>
      <w:b/>
      <w:bCs/>
      <w:color w:val="345A8A" w:themeColor="accent1" w:themeShade="B5"/>
      <w:sz w:val="32"/>
      <w:szCs w:val="32"/>
    </w:rPr>
  </w:style>
  <w:style w:type="character" w:customStyle="1" w:styleId="a-size-large">
    <w:name w:val="a-size-large"/>
    <w:basedOn w:val="DefaultParagraphFont"/>
    <w:rsid w:val="00EA654A"/>
  </w:style>
  <w:style w:type="paragraph" w:customStyle="1" w:styleId="CM163">
    <w:name w:val="CM163"/>
    <w:basedOn w:val="Default"/>
    <w:next w:val="Default"/>
    <w:uiPriority w:val="99"/>
    <w:rsid w:val="00A234BD"/>
    <w:pPr>
      <w:spacing w:line="228" w:lineRule="atLeast"/>
    </w:pPr>
    <w:rPr>
      <w:rFonts w:ascii="Sabon MT Pro" w:eastAsia="Times New Roman" w:hAnsi="Sabon MT Pro" w:cs="Times New Roman"/>
      <w:color w:val="auto"/>
    </w:rPr>
  </w:style>
  <w:style w:type="paragraph" w:styleId="NormalWeb">
    <w:name w:val="Normal (Web)"/>
    <w:basedOn w:val="Normal"/>
    <w:uiPriority w:val="99"/>
    <w:semiHidden/>
    <w:unhideWhenUsed/>
    <w:rsid w:val="00F52051"/>
    <w:pPr>
      <w:spacing w:before="100" w:beforeAutospacing="1" w:after="100" w:afterAutospacing="1" w:line="240" w:lineRule="auto"/>
    </w:pPr>
    <w:rPr>
      <w:rFonts w:ascii="Times" w:hAnsi="Times"/>
      <w:sz w:val="20"/>
      <w:szCs w:val="20"/>
    </w:rPr>
  </w:style>
  <w:style w:type="paragraph" w:styleId="FootnoteText">
    <w:name w:val="footnote text"/>
    <w:basedOn w:val="Normal"/>
    <w:link w:val="FootnoteTextChar"/>
    <w:uiPriority w:val="99"/>
    <w:unhideWhenUsed/>
    <w:rsid w:val="00251CE2"/>
    <w:pPr>
      <w:spacing w:line="240" w:lineRule="auto"/>
    </w:pPr>
  </w:style>
  <w:style w:type="character" w:customStyle="1" w:styleId="FootnoteTextChar">
    <w:name w:val="Footnote Text Char"/>
    <w:basedOn w:val="DefaultParagraphFont"/>
    <w:link w:val="FootnoteText"/>
    <w:uiPriority w:val="99"/>
    <w:rsid w:val="00251CE2"/>
    <w:rPr>
      <w:sz w:val="24"/>
      <w:szCs w:val="24"/>
    </w:rPr>
  </w:style>
  <w:style w:type="character" w:styleId="FootnoteReference">
    <w:name w:val="footnote reference"/>
    <w:basedOn w:val="DefaultParagraphFont"/>
    <w:uiPriority w:val="99"/>
    <w:unhideWhenUsed/>
    <w:rsid w:val="00251CE2"/>
    <w:rPr>
      <w:vertAlign w:val="superscript"/>
    </w:rPr>
  </w:style>
  <w:style w:type="paragraph" w:styleId="EndnoteText">
    <w:name w:val="endnote text"/>
    <w:basedOn w:val="Normal"/>
    <w:link w:val="EndnoteTextChar"/>
    <w:uiPriority w:val="99"/>
    <w:unhideWhenUsed/>
    <w:rsid w:val="002A6CAC"/>
    <w:pPr>
      <w:spacing w:line="240" w:lineRule="auto"/>
    </w:pPr>
  </w:style>
  <w:style w:type="character" w:customStyle="1" w:styleId="EndnoteTextChar">
    <w:name w:val="Endnote Text Char"/>
    <w:basedOn w:val="DefaultParagraphFont"/>
    <w:link w:val="EndnoteText"/>
    <w:uiPriority w:val="99"/>
    <w:rsid w:val="002A6CAC"/>
  </w:style>
  <w:style w:type="character" w:styleId="EndnoteReference">
    <w:name w:val="endnote reference"/>
    <w:basedOn w:val="DefaultParagraphFont"/>
    <w:uiPriority w:val="99"/>
    <w:unhideWhenUsed/>
    <w:rsid w:val="002A6CAC"/>
    <w:rPr>
      <w:vertAlign w:val="superscript"/>
    </w:rPr>
  </w:style>
  <w:style w:type="paragraph" w:styleId="Quote">
    <w:name w:val="Quote"/>
    <w:basedOn w:val="Normal"/>
    <w:next w:val="Normal"/>
    <w:link w:val="QuoteChar"/>
    <w:uiPriority w:val="29"/>
    <w:qFormat/>
    <w:rsid w:val="00171E59"/>
    <w:pPr>
      <w:spacing w:line="240" w:lineRule="auto"/>
      <w:ind w:left="567" w:right="567"/>
      <w:jc w:val="both"/>
    </w:pPr>
    <w:rPr>
      <w:iCs/>
      <w:color w:val="000000" w:themeColor="text1"/>
      <w:lang w:val="en-US"/>
    </w:rPr>
  </w:style>
  <w:style w:type="character" w:customStyle="1" w:styleId="QuoteChar">
    <w:name w:val="Quote Char"/>
    <w:basedOn w:val="DefaultParagraphFont"/>
    <w:link w:val="Quote"/>
    <w:uiPriority w:val="29"/>
    <w:rsid w:val="00171E59"/>
    <w:rPr>
      <w:iCs/>
      <w:color w:val="000000" w:themeColor="text1"/>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5C"/>
    <w:pPr>
      <w:spacing w:line="480" w:lineRule="auto"/>
    </w:pPr>
  </w:style>
  <w:style w:type="paragraph" w:styleId="Heading1">
    <w:name w:val="heading 1"/>
    <w:basedOn w:val="Normal"/>
    <w:next w:val="Normal"/>
    <w:link w:val="Heading1Char"/>
    <w:uiPriority w:val="9"/>
    <w:qFormat/>
    <w:rsid w:val="00EA654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0F6FD7"/>
    <w:pPr>
      <w:spacing w:before="100" w:beforeAutospacing="1" w:after="100" w:afterAutospacing="1" w:line="240" w:lineRule="auto"/>
      <w:outlineLvl w:val="1"/>
    </w:pPr>
    <w:rPr>
      <w:rFonts w:ascii="Times" w:hAnsi="Times"/>
      <w:b/>
      <w:bCs/>
      <w:sz w:val="36"/>
      <w:szCs w:val="36"/>
    </w:rPr>
  </w:style>
  <w:style w:type="paragraph" w:styleId="Heading3">
    <w:name w:val="heading 3"/>
    <w:basedOn w:val="Normal"/>
    <w:next w:val="Normal"/>
    <w:link w:val="Heading3Char"/>
    <w:uiPriority w:val="9"/>
    <w:unhideWhenUsed/>
    <w:qFormat/>
    <w:rsid w:val="00471A3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0F52"/>
    <w:pPr>
      <w:tabs>
        <w:tab w:val="center" w:pos="4320"/>
        <w:tab w:val="right" w:pos="8640"/>
      </w:tabs>
    </w:pPr>
  </w:style>
  <w:style w:type="paragraph" w:styleId="Footer">
    <w:name w:val="footer"/>
    <w:basedOn w:val="Normal"/>
    <w:semiHidden/>
    <w:rsid w:val="00DA0F52"/>
    <w:pPr>
      <w:tabs>
        <w:tab w:val="center" w:pos="4320"/>
        <w:tab w:val="right" w:pos="8640"/>
      </w:tabs>
    </w:pPr>
  </w:style>
  <w:style w:type="character" w:styleId="Hyperlink">
    <w:name w:val="Hyperlink"/>
    <w:rsid w:val="00DA0F52"/>
    <w:rPr>
      <w:color w:val="0000FF"/>
      <w:u w:val="single"/>
    </w:rPr>
  </w:style>
  <w:style w:type="character" w:styleId="FollowedHyperlink">
    <w:name w:val="FollowedHyperlink"/>
    <w:rsid w:val="00DA0F52"/>
    <w:rPr>
      <w:color w:val="800080"/>
      <w:u w:val="single"/>
    </w:rPr>
  </w:style>
  <w:style w:type="character" w:styleId="PageNumber">
    <w:name w:val="page number"/>
    <w:basedOn w:val="DefaultParagraphFont"/>
    <w:rsid w:val="00DA0F52"/>
  </w:style>
  <w:style w:type="paragraph" w:styleId="BalloonText">
    <w:name w:val="Balloon Text"/>
    <w:basedOn w:val="Normal"/>
    <w:semiHidden/>
    <w:rsid w:val="000B3C85"/>
    <w:rPr>
      <w:rFonts w:ascii="Lucida Grande" w:hAnsi="Lucida Grande"/>
      <w:sz w:val="18"/>
      <w:szCs w:val="18"/>
    </w:rPr>
  </w:style>
  <w:style w:type="paragraph" w:customStyle="1" w:styleId="reference">
    <w:name w:val="reference"/>
    <w:basedOn w:val="Normal"/>
    <w:rsid w:val="00464433"/>
    <w:pPr>
      <w:widowControl w:val="0"/>
      <w:autoSpaceDE w:val="0"/>
      <w:autoSpaceDN w:val="0"/>
      <w:adjustRightInd w:val="0"/>
      <w:spacing w:after="200" w:line="240" w:lineRule="auto"/>
      <w:ind w:right="200"/>
    </w:pPr>
    <w:rPr>
      <w:rFonts w:ascii="Arial" w:hAnsi="Arial"/>
      <w:szCs w:val="26"/>
      <w:lang w:val="en-US"/>
    </w:rPr>
  </w:style>
  <w:style w:type="paragraph" w:styleId="Caption">
    <w:name w:val="caption"/>
    <w:aliases w:val="caption"/>
    <w:basedOn w:val="Normal"/>
    <w:next w:val="Normal"/>
    <w:uiPriority w:val="35"/>
    <w:qFormat/>
    <w:rsid w:val="000B3C85"/>
    <w:pPr>
      <w:spacing w:before="120" w:line="240" w:lineRule="auto"/>
      <w:ind w:left="851" w:hanging="851"/>
    </w:pPr>
    <w:rPr>
      <w:rFonts w:ascii="Calibri" w:eastAsia="Cambria" w:hAnsi="Calibri"/>
      <w:b/>
      <w:bCs/>
      <w:color w:val="290CD6"/>
      <w:szCs w:val="20"/>
    </w:rPr>
  </w:style>
  <w:style w:type="character" w:customStyle="1" w:styleId="PJBBluebold">
    <w:name w:val="PJB Blue bold"/>
    <w:basedOn w:val="DefaultParagraphFont"/>
    <w:autoRedefine/>
    <w:qFormat/>
    <w:rsid w:val="000B3C85"/>
  </w:style>
  <w:style w:type="character" w:customStyle="1" w:styleId="PJBYellowHighlight">
    <w:name w:val="PJB Yellow Highlight"/>
    <w:autoRedefine/>
    <w:qFormat/>
    <w:rsid w:val="000B3C85"/>
    <w:rPr>
      <w:rFonts w:ascii="Calibri" w:hAnsi="Calibri" w:cs="Arial"/>
      <w:b/>
      <w:color w:val="0000FF"/>
      <w:shd w:val="clear" w:color="auto" w:fill="FFFF00"/>
    </w:rPr>
  </w:style>
  <w:style w:type="paragraph" w:styleId="NoSpacing">
    <w:name w:val="No Spacing"/>
    <w:uiPriority w:val="1"/>
    <w:qFormat/>
    <w:rsid w:val="00CB2032"/>
  </w:style>
  <w:style w:type="paragraph" w:styleId="ListParagraph">
    <w:name w:val="List Paragraph"/>
    <w:basedOn w:val="Normal"/>
    <w:uiPriority w:val="34"/>
    <w:qFormat/>
    <w:rsid w:val="00CB2032"/>
    <w:pPr>
      <w:spacing w:line="240" w:lineRule="auto"/>
      <w:ind w:left="720"/>
      <w:contextualSpacing/>
    </w:pPr>
    <w:rPr>
      <w:rFonts w:ascii="Cambria" w:eastAsia="ＭＳ 明朝" w:hAnsi="Cambria"/>
    </w:rPr>
  </w:style>
  <w:style w:type="paragraph" w:customStyle="1" w:styleId="Default">
    <w:name w:val="Default"/>
    <w:rsid w:val="007F5182"/>
    <w:pPr>
      <w:widowControl w:val="0"/>
      <w:autoSpaceDE w:val="0"/>
      <w:autoSpaceDN w:val="0"/>
      <w:adjustRightInd w:val="0"/>
    </w:pPr>
    <w:rPr>
      <w:rFonts w:ascii="Code" w:eastAsia="ＭＳ 明朝" w:hAnsi="Code" w:cs="Code"/>
      <w:color w:val="000000"/>
      <w:lang w:val="en-US"/>
    </w:rPr>
  </w:style>
  <w:style w:type="character" w:customStyle="1" w:styleId="Heading2Char">
    <w:name w:val="Heading 2 Char"/>
    <w:link w:val="Heading2"/>
    <w:uiPriority w:val="9"/>
    <w:rsid w:val="000F6FD7"/>
    <w:rPr>
      <w:rFonts w:ascii="Times" w:hAnsi="Times"/>
      <w:b/>
      <w:bCs/>
      <w:sz w:val="36"/>
      <w:szCs w:val="36"/>
    </w:rPr>
  </w:style>
  <w:style w:type="character" w:customStyle="1" w:styleId="a">
    <w:name w:val="a"/>
    <w:rsid w:val="0030573A"/>
  </w:style>
  <w:style w:type="character" w:styleId="CommentReference">
    <w:name w:val="annotation reference"/>
    <w:uiPriority w:val="99"/>
    <w:semiHidden/>
    <w:unhideWhenUsed/>
    <w:rsid w:val="0052587B"/>
    <w:rPr>
      <w:sz w:val="16"/>
      <w:szCs w:val="16"/>
    </w:rPr>
  </w:style>
  <w:style w:type="paragraph" w:styleId="CommentText">
    <w:name w:val="annotation text"/>
    <w:basedOn w:val="Normal"/>
    <w:link w:val="CommentTextChar"/>
    <w:uiPriority w:val="99"/>
    <w:semiHidden/>
    <w:unhideWhenUsed/>
    <w:rsid w:val="0052587B"/>
    <w:rPr>
      <w:sz w:val="20"/>
      <w:szCs w:val="20"/>
    </w:rPr>
  </w:style>
  <w:style w:type="character" w:customStyle="1" w:styleId="CommentTextChar">
    <w:name w:val="Comment Text Char"/>
    <w:basedOn w:val="DefaultParagraphFont"/>
    <w:link w:val="CommentText"/>
    <w:uiPriority w:val="99"/>
    <w:semiHidden/>
    <w:rsid w:val="0052587B"/>
  </w:style>
  <w:style w:type="character" w:customStyle="1" w:styleId="Heading3Char">
    <w:name w:val="Heading 3 Char"/>
    <w:basedOn w:val="DefaultParagraphFont"/>
    <w:link w:val="Heading3"/>
    <w:uiPriority w:val="9"/>
    <w:rsid w:val="00471A37"/>
    <w:rPr>
      <w:rFonts w:asciiTheme="majorHAnsi" w:eastAsiaTheme="majorEastAsia" w:hAnsiTheme="majorHAnsi" w:cstheme="majorBidi"/>
      <w:b/>
      <w:bCs/>
      <w:color w:val="4F81BD" w:themeColor="accent1"/>
      <w:sz w:val="24"/>
      <w:szCs w:val="24"/>
    </w:rPr>
  </w:style>
  <w:style w:type="character" w:customStyle="1" w:styleId="hidden">
    <w:name w:val="hidden"/>
    <w:basedOn w:val="DefaultParagraphFont"/>
    <w:rsid w:val="00471A37"/>
  </w:style>
  <w:style w:type="paragraph" w:customStyle="1" w:styleId="subjectresults">
    <w:name w:val="subjectresults"/>
    <w:basedOn w:val="Normal"/>
    <w:rsid w:val="00471A37"/>
    <w:pPr>
      <w:spacing w:before="100" w:beforeAutospacing="1" w:after="100" w:afterAutospacing="1" w:line="240" w:lineRule="auto"/>
    </w:pPr>
    <w:rPr>
      <w:rFonts w:ascii="Times" w:hAnsi="Times"/>
      <w:sz w:val="20"/>
      <w:szCs w:val="20"/>
    </w:rPr>
  </w:style>
  <w:style w:type="character" w:styleId="Strong">
    <w:name w:val="Strong"/>
    <w:basedOn w:val="DefaultParagraphFont"/>
    <w:uiPriority w:val="22"/>
    <w:qFormat/>
    <w:rsid w:val="00471A37"/>
    <w:rPr>
      <w:b/>
      <w:bCs/>
    </w:rPr>
  </w:style>
  <w:style w:type="character" w:styleId="HTMLCite">
    <w:name w:val="HTML Cite"/>
    <w:basedOn w:val="DefaultParagraphFont"/>
    <w:uiPriority w:val="99"/>
    <w:semiHidden/>
    <w:unhideWhenUsed/>
    <w:rsid w:val="002F1B61"/>
    <w:rPr>
      <w:i/>
      <w:iCs/>
    </w:rPr>
  </w:style>
  <w:style w:type="character" w:styleId="Emphasis">
    <w:name w:val="Emphasis"/>
    <w:basedOn w:val="DefaultParagraphFont"/>
    <w:uiPriority w:val="20"/>
    <w:qFormat/>
    <w:rsid w:val="00890538"/>
    <w:rPr>
      <w:i/>
      <w:iCs/>
    </w:rPr>
  </w:style>
  <w:style w:type="character" w:customStyle="1" w:styleId="book">
    <w:name w:val="book"/>
    <w:basedOn w:val="DefaultParagraphFont"/>
    <w:rsid w:val="00BE29A1"/>
  </w:style>
  <w:style w:type="character" w:customStyle="1" w:styleId="Heading1Char">
    <w:name w:val="Heading 1 Char"/>
    <w:basedOn w:val="DefaultParagraphFont"/>
    <w:link w:val="Heading1"/>
    <w:uiPriority w:val="9"/>
    <w:rsid w:val="00EA654A"/>
    <w:rPr>
      <w:rFonts w:asciiTheme="majorHAnsi" w:eastAsiaTheme="majorEastAsia" w:hAnsiTheme="majorHAnsi" w:cstheme="majorBidi"/>
      <w:b/>
      <w:bCs/>
      <w:color w:val="345A8A" w:themeColor="accent1" w:themeShade="B5"/>
      <w:sz w:val="32"/>
      <w:szCs w:val="32"/>
    </w:rPr>
  </w:style>
  <w:style w:type="character" w:customStyle="1" w:styleId="a-size-large">
    <w:name w:val="a-size-large"/>
    <w:basedOn w:val="DefaultParagraphFont"/>
    <w:rsid w:val="00EA654A"/>
  </w:style>
  <w:style w:type="paragraph" w:customStyle="1" w:styleId="CM163">
    <w:name w:val="CM163"/>
    <w:basedOn w:val="Default"/>
    <w:next w:val="Default"/>
    <w:uiPriority w:val="99"/>
    <w:rsid w:val="00A234BD"/>
    <w:pPr>
      <w:spacing w:line="228" w:lineRule="atLeast"/>
    </w:pPr>
    <w:rPr>
      <w:rFonts w:ascii="Sabon MT Pro" w:eastAsia="Times New Roman" w:hAnsi="Sabon MT Pro" w:cs="Times New Roman"/>
      <w:color w:val="auto"/>
    </w:rPr>
  </w:style>
  <w:style w:type="paragraph" w:styleId="NormalWeb">
    <w:name w:val="Normal (Web)"/>
    <w:basedOn w:val="Normal"/>
    <w:uiPriority w:val="99"/>
    <w:semiHidden/>
    <w:unhideWhenUsed/>
    <w:rsid w:val="00F52051"/>
    <w:pPr>
      <w:spacing w:before="100" w:beforeAutospacing="1" w:after="100" w:afterAutospacing="1" w:line="240" w:lineRule="auto"/>
    </w:pPr>
    <w:rPr>
      <w:rFonts w:ascii="Times" w:hAnsi="Times"/>
      <w:sz w:val="20"/>
      <w:szCs w:val="20"/>
    </w:rPr>
  </w:style>
  <w:style w:type="paragraph" w:styleId="FootnoteText">
    <w:name w:val="footnote text"/>
    <w:basedOn w:val="Normal"/>
    <w:link w:val="FootnoteTextChar"/>
    <w:uiPriority w:val="99"/>
    <w:unhideWhenUsed/>
    <w:rsid w:val="00251CE2"/>
    <w:pPr>
      <w:spacing w:line="240" w:lineRule="auto"/>
    </w:pPr>
  </w:style>
  <w:style w:type="character" w:customStyle="1" w:styleId="FootnoteTextChar">
    <w:name w:val="Footnote Text Char"/>
    <w:basedOn w:val="DefaultParagraphFont"/>
    <w:link w:val="FootnoteText"/>
    <w:uiPriority w:val="99"/>
    <w:rsid w:val="00251CE2"/>
    <w:rPr>
      <w:sz w:val="24"/>
      <w:szCs w:val="24"/>
    </w:rPr>
  </w:style>
  <w:style w:type="character" w:styleId="FootnoteReference">
    <w:name w:val="footnote reference"/>
    <w:basedOn w:val="DefaultParagraphFont"/>
    <w:uiPriority w:val="99"/>
    <w:unhideWhenUsed/>
    <w:rsid w:val="00251CE2"/>
    <w:rPr>
      <w:vertAlign w:val="superscript"/>
    </w:rPr>
  </w:style>
  <w:style w:type="paragraph" w:styleId="EndnoteText">
    <w:name w:val="endnote text"/>
    <w:basedOn w:val="Normal"/>
    <w:link w:val="EndnoteTextChar"/>
    <w:uiPriority w:val="99"/>
    <w:unhideWhenUsed/>
    <w:rsid w:val="002A6CAC"/>
    <w:pPr>
      <w:spacing w:line="240" w:lineRule="auto"/>
    </w:pPr>
  </w:style>
  <w:style w:type="character" w:customStyle="1" w:styleId="EndnoteTextChar">
    <w:name w:val="Endnote Text Char"/>
    <w:basedOn w:val="DefaultParagraphFont"/>
    <w:link w:val="EndnoteText"/>
    <w:uiPriority w:val="99"/>
    <w:rsid w:val="002A6CAC"/>
  </w:style>
  <w:style w:type="character" w:styleId="EndnoteReference">
    <w:name w:val="endnote reference"/>
    <w:basedOn w:val="DefaultParagraphFont"/>
    <w:uiPriority w:val="99"/>
    <w:unhideWhenUsed/>
    <w:rsid w:val="002A6CAC"/>
    <w:rPr>
      <w:vertAlign w:val="superscript"/>
    </w:rPr>
  </w:style>
  <w:style w:type="paragraph" w:styleId="Quote">
    <w:name w:val="Quote"/>
    <w:basedOn w:val="Normal"/>
    <w:next w:val="Normal"/>
    <w:link w:val="QuoteChar"/>
    <w:uiPriority w:val="29"/>
    <w:qFormat/>
    <w:rsid w:val="00171E59"/>
    <w:pPr>
      <w:spacing w:line="240" w:lineRule="auto"/>
      <w:ind w:left="567" w:right="567"/>
      <w:jc w:val="both"/>
    </w:pPr>
    <w:rPr>
      <w:iCs/>
      <w:color w:val="000000" w:themeColor="text1"/>
      <w:lang w:val="en-US"/>
    </w:rPr>
  </w:style>
  <w:style w:type="character" w:customStyle="1" w:styleId="QuoteChar">
    <w:name w:val="Quote Char"/>
    <w:basedOn w:val="DefaultParagraphFont"/>
    <w:link w:val="Quote"/>
    <w:uiPriority w:val="29"/>
    <w:rsid w:val="00171E59"/>
    <w:rPr>
      <w:iCs/>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049">
      <w:bodyDiv w:val="1"/>
      <w:marLeft w:val="0"/>
      <w:marRight w:val="0"/>
      <w:marTop w:val="0"/>
      <w:marBottom w:val="0"/>
      <w:divBdr>
        <w:top w:val="none" w:sz="0" w:space="0" w:color="auto"/>
        <w:left w:val="none" w:sz="0" w:space="0" w:color="auto"/>
        <w:bottom w:val="none" w:sz="0" w:space="0" w:color="auto"/>
        <w:right w:val="none" w:sz="0" w:space="0" w:color="auto"/>
      </w:divBdr>
    </w:div>
    <w:div w:id="157620888">
      <w:bodyDiv w:val="1"/>
      <w:marLeft w:val="0"/>
      <w:marRight w:val="0"/>
      <w:marTop w:val="0"/>
      <w:marBottom w:val="0"/>
      <w:divBdr>
        <w:top w:val="none" w:sz="0" w:space="0" w:color="auto"/>
        <w:left w:val="none" w:sz="0" w:space="0" w:color="auto"/>
        <w:bottom w:val="none" w:sz="0" w:space="0" w:color="auto"/>
        <w:right w:val="none" w:sz="0" w:space="0" w:color="auto"/>
      </w:divBdr>
    </w:div>
    <w:div w:id="190461645">
      <w:bodyDiv w:val="1"/>
      <w:marLeft w:val="0"/>
      <w:marRight w:val="0"/>
      <w:marTop w:val="0"/>
      <w:marBottom w:val="0"/>
      <w:divBdr>
        <w:top w:val="none" w:sz="0" w:space="0" w:color="auto"/>
        <w:left w:val="none" w:sz="0" w:space="0" w:color="auto"/>
        <w:bottom w:val="none" w:sz="0" w:space="0" w:color="auto"/>
        <w:right w:val="none" w:sz="0" w:space="0" w:color="auto"/>
      </w:divBdr>
    </w:div>
    <w:div w:id="255554641">
      <w:bodyDiv w:val="1"/>
      <w:marLeft w:val="0"/>
      <w:marRight w:val="0"/>
      <w:marTop w:val="0"/>
      <w:marBottom w:val="0"/>
      <w:divBdr>
        <w:top w:val="none" w:sz="0" w:space="0" w:color="auto"/>
        <w:left w:val="none" w:sz="0" w:space="0" w:color="auto"/>
        <w:bottom w:val="none" w:sz="0" w:space="0" w:color="auto"/>
        <w:right w:val="none" w:sz="0" w:space="0" w:color="auto"/>
      </w:divBdr>
    </w:div>
    <w:div w:id="737751704">
      <w:bodyDiv w:val="1"/>
      <w:marLeft w:val="0"/>
      <w:marRight w:val="0"/>
      <w:marTop w:val="0"/>
      <w:marBottom w:val="0"/>
      <w:divBdr>
        <w:top w:val="none" w:sz="0" w:space="0" w:color="auto"/>
        <w:left w:val="none" w:sz="0" w:space="0" w:color="auto"/>
        <w:bottom w:val="none" w:sz="0" w:space="0" w:color="auto"/>
        <w:right w:val="none" w:sz="0" w:space="0" w:color="auto"/>
      </w:divBdr>
    </w:div>
    <w:div w:id="860048101">
      <w:bodyDiv w:val="1"/>
      <w:marLeft w:val="0"/>
      <w:marRight w:val="0"/>
      <w:marTop w:val="0"/>
      <w:marBottom w:val="0"/>
      <w:divBdr>
        <w:top w:val="none" w:sz="0" w:space="0" w:color="auto"/>
        <w:left w:val="none" w:sz="0" w:space="0" w:color="auto"/>
        <w:bottom w:val="none" w:sz="0" w:space="0" w:color="auto"/>
        <w:right w:val="none" w:sz="0" w:space="0" w:color="auto"/>
      </w:divBdr>
    </w:div>
    <w:div w:id="892736278">
      <w:bodyDiv w:val="1"/>
      <w:marLeft w:val="0"/>
      <w:marRight w:val="0"/>
      <w:marTop w:val="0"/>
      <w:marBottom w:val="0"/>
      <w:divBdr>
        <w:top w:val="none" w:sz="0" w:space="0" w:color="auto"/>
        <w:left w:val="none" w:sz="0" w:space="0" w:color="auto"/>
        <w:bottom w:val="none" w:sz="0" w:space="0" w:color="auto"/>
        <w:right w:val="none" w:sz="0" w:space="0" w:color="auto"/>
      </w:divBdr>
    </w:div>
    <w:div w:id="907765321">
      <w:bodyDiv w:val="1"/>
      <w:marLeft w:val="0"/>
      <w:marRight w:val="0"/>
      <w:marTop w:val="0"/>
      <w:marBottom w:val="0"/>
      <w:divBdr>
        <w:top w:val="none" w:sz="0" w:space="0" w:color="auto"/>
        <w:left w:val="none" w:sz="0" w:space="0" w:color="auto"/>
        <w:bottom w:val="none" w:sz="0" w:space="0" w:color="auto"/>
        <w:right w:val="none" w:sz="0" w:space="0" w:color="auto"/>
      </w:divBdr>
    </w:div>
    <w:div w:id="917523721">
      <w:bodyDiv w:val="1"/>
      <w:marLeft w:val="0"/>
      <w:marRight w:val="0"/>
      <w:marTop w:val="0"/>
      <w:marBottom w:val="0"/>
      <w:divBdr>
        <w:top w:val="none" w:sz="0" w:space="0" w:color="auto"/>
        <w:left w:val="none" w:sz="0" w:space="0" w:color="auto"/>
        <w:bottom w:val="none" w:sz="0" w:space="0" w:color="auto"/>
        <w:right w:val="none" w:sz="0" w:space="0" w:color="auto"/>
      </w:divBdr>
      <w:divsChild>
        <w:div w:id="514392506">
          <w:marLeft w:val="0"/>
          <w:marRight w:val="0"/>
          <w:marTop w:val="0"/>
          <w:marBottom w:val="0"/>
          <w:divBdr>
            <w:top w:val="none" w:sz="0" w:space="0" w:color="auto"/>
            <w:left w:val="none" w:sz="0" w:space="0" w:color="auto"/>
            <w:bottom w:val="none" w:sz="0" w:space="0" w:color="auto"/>
            <w:right w:val="none" w:sz="0" w:space="0" w:color="auto"/>
          </w:divBdr>
          <w:divsChild>
            <w:div w:id="1766530668">
              <w:marLeft w:val="0"/>
              <w:marRight w:val="0"/>
              <w:marTop w:val="0"/>
              <w:marBottom w:val="0"/>
              <w:divBdr>
                <w:top w:val="none" w:sz="0" w:space="0" w:color="auto"/>
                <w:left w:val="none" w:sz="0" w:space="0" w:color="auto"/>
                <w:bottom w:val="none" w:sz="0" w:space="0" w:color="auto"/>
                <w:right w:val="none" w:sz="0" w:space="0" w:color="auto"/>
              </w:divBdr>
              <w:divsChild>
                <w:div w:id="7214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6840">
      <w:bodyDiv w:val="1"/>
      <w:marLeft w:val="0"/>
      <w:marRight w:val="0"/>
      <w:marTop w:val="0"/>
      <w:marBottom w:val="0"/>
      <w:divBdr>
        <w:top w:val="none" w:sz="0" w:space="0" w:color="auto"/>
        <w:left w:val="none" w:sz="0" w:space="0" w:color="auto"/>
        <w:bottom w:val="none" w:sz="0" w:space="0" w:color="auto"/>
        <w:right w:val="none" w:sz="0" w:space="0" w:color="auto"/>
      </w:divBdr>
    </w:div>
    <w:div w:id="975573090">
      <w:bodyDiv w:val="1"/>
      <w:marLeft w:val="0"/>
      <w:marRight w:val="0"/>
      <w:marTop w:val="0"/>
      <w:marBottom w:val="0"/>
      <w:divBdr>
        <w:top w:val="none" w:sz="0" w:space="0" w:color="auto"/>
        <w:left w:val="none" w:sz="0" w:space="0" w:color="auto"/>
        <w:bottom w:val="none" w:sz="0" w:space="0" w:color="auto"/>
        <w:right w:val="none" w:sz="0" w:space="0" w:color="auto"/>
      </w:divBdr>
    </w:div>
    <w:div w:id="1001935295">
      <w:bodyDiv w:val="1"/>
      <w:marLeft w:val="0"/>
      <w:marRight w:val="0"/>
      <w:marTop w:val="0"/>
      <w:marBottom w:val="0"/>
      <w:divBdr>
        <w:top w:val="none" w:sz="0" w:space="0" w:color="auto"/>
        <w:left w:val="none" w:sz="0" w:space="0" w:color="auto"/>
        <w:bottom w:val="none" w:sz="0" w:space="0" w:color="auto"/>
        <w:right w:val="none" w:sz="0" w:space="0" w:color="auto"/>
      </w:divBdr>
    </w:div>
    <w:div w:id="1184898663">
      <w:bodyDiv w:val="1"/>
      <w:marLeft w:val="0"/>
      <w:marRight w:val="0"/>
      <w:marTop w:val="0"/>
      <w:marBottom w:val="0"/>
      <w:divBdr>
        <w:top w:val="none" w:sz="0" w:space="0" w:color="auto"/>
        <w:left w:val="none" w:sz="0" w:space="0" w:color="auto"/>
        <w:bottom w:val="none" w:sz="0" w:space="0" w:color="auto"/>
        <w:right w:val="none" w:sz="0" w:space="0" w:color="auto"/>
      </w:divBdr>
    </w:div>
    <w:div w:id="1231698602">
      <w:bodyDiv w:val="1"/>
      <w:marLeft w:val="0"/>
      <w:marRight w:val="0"/>
      <w:marTop w:val="0"/>
      <w:marBottom w:val="0"/>
      <w:divBdr>
        <w:top w:val="none" w:sz="0" w:space="0" w:color="auto"/>
        <w:left w:val="none" w:sz="0" w:space="0" w:color="auto"/>
        <w:bottom w:val="none" w:sz="0" w:space="0" w:color="auto"/>
        <w:right w:val="none" w:sz="0" w:space="0" w:color="auto"/>
      </w:divBdr>
    </w:div>
    <w:div w:id="1340497705">
      <w:bodyDiv w:val="1"/>
      <w:marLeft w:val="0"/>
      <w:marRight w:val="0"/>
      <w:marTop w:val="0"/>
      <w:marBottom w:val="0"/>
      <w:divBdr>
        <w:top w:val="none" w:sz="0" w:space="0" w:color="auto"/>
        <w:left w:val="none" w:sz="0" w:space="0" w:color="auto"/>
        <w:bottom w:val="none" w:sz="0" w:space="0" w:color="auto"/>
        <w:right w:val="none" w:sz="0" w:space="0" w:color="auto"/>
      </w:divBdr>
    </w:div>
    <w:div w:id="1422071104">
      <w:bodyDiv w:val="1"/>
      <w:marLeft w:val="0"/>
      <w:marRight w:val="0"/>
      <w:marTop w:val="0"/>
      <w:marBottom w:val="0"/>
      <w:divBdr>
        <w:top w:val="none" w:sz="0" w:space="0" w:color="auto"/>
        <w:left w:val="none" w:sz="0" w:space="0" w:color="auto"/>
        <w:bottom w:val="none" w:sz="0" w:space="0" w:color="auto"/>
        <w:right w:val="none" w:sz="0" w:space="0" w:color="auto"/>
      </w:divBdr>
    </w:div>
    <w:div w:id="1432697236">
      <w:bodyDiv w:val="1"/>
      <w:marLeft w:val="0"/>
      <w:marRight w:val="0"/>
      <w:marTop w:val="0"/>
      <w:marBottom w:val="0"/>
      <w:divBdr>
        <w:top w:val="none" w:sz="0" w:space="0" w:color="auto"/>
        <w:left w:val="none" w:sz="0" w:space="0" w:color="auto"/>
        <w:bottom w:val="none" w:sz="0" w:space="0" w:color="auto"/>
        <w:right w:val="none" w:sz="0" w:space="0" w:color="auto"/>
      </w:divBdr>
    </w:div>
    <w:div w:id="1758554194">
      <w:bodyDiv w:val="1"/>
      <w:marLeft w:val="0"/>
      <w:marRight w:val="0"/>
      <w:marTop w:val="0"/>
      <w:marBottom w:val="0"/>
      <w:divBdr>
        <w:top w:val="none" w:sz="0" w:space="0" w:color="auto"/>
        <w:left w:val="none" w:sz="0" w:space="0" w:color="auto"/>
        <w:bottom w:val="none" w:sz="0" w:space="0" w:color="auto"/>
        <w:right w:val="none" w:sz="0" w:space="0" w:color="auto"/>
      </w:divBdr>
    </w:div>
    <w:div w:id="1768385059">
      <w:bodyDiv w:val="1"/>
      <w:marLeft w:val="0"/>
      <w:marRight w:val="0"/>
      <w:marTop w:val="0"/>
      <w:marBottom w:val="0"/>
      <w:divBdr>
        <w:top w:val="none" w:sz="0" w:space="0" w:color="auto"/>
        <w:left w:val="none" w:sz="0" w:space="0" w:color="auto"/>
        <w:bottom w:val="none" w:sz="0" w:space="0" w:color="auto"/>
        <w:right w:val="none" w:sz="0" w:space="0" w:color="auto"/>
      </w:divBdr>
    </w:div>
    <w:div w:id="1783838642">
      <w:bodyDiv w:val="1"/>
      <w:marLeft w:val="0"/>
      <w:marRight w:val="0"/>
      <w:marTop w:val="0"/>
      <w:marBottom w:val="0"/>
      <w:divBdr>
        <w:top w:val="none" w:sz="0" w:space="0" w:color="auto"/>
        <w:left w:val="none" w:sz="0" w:space="0" w:color="auto"/>
        <w:bottom w:val="none" w:sz="0" w:space="0" w:color="auto"/>
        <w:right w:val="none" w:sz="0" w:space="0" w:color="auto"/>
      </w:divBdr>
    </w:div>
    <w:div w:id="1800296098">
      <w:bodyDiv w:val="1"/>
      <w:marLeft w:val="0"/>
      <w:marRight w:val="0"/>
      <w:marTop w:val="0"/>
      <w:marBottom w:val="0"/>
      <w:divBdr>
        <w:top w:val="none" w:sz="0" w:space="0" w:color="auto"/>
        <w:left w:val="none" w:sz="0" w:space="0" w:color="auto"/>
        <w:bottom w:val="none" w:sz="0" w:space="0" w:color="auto"/>
        <w:right w:val="none" w:sz="0" w:space="0" w:color="auto"/>
      </w:divBdr>
    </w:div>
    <w:div w:id="1821848932">
      <w:bodyDiv w:val="1"/>
      <w:marLeft w:val="0"/>
      <w:marRight w:val="0"/>
      <w:marTop w:val="0"/>
      <w:marBottom w:val="0"/>
      <w:divBdr>
        <w:top w:val="none" w:sz="0" w:space="0" w:color="auto"/>
        <w:left w:val="none" w:sz="0" w:space="0" w:color="auto"/>
        <w:bottom w:val="none" w:sz="0" w:space="0" w:color="auto"/>
        <w:right w:val="none" w:sz="0" w:space="0" w:color="auto"/>
      </w:divBdr>
    </w:div>
    <w:div w:id="1848520211">
      <w:bodyDiv w:val="1"/>
      <w:marLeft w:val="0"/>
      <w:marRight w:val="0"/>
      <w:marTop w:val="0"/>
      <w:marBottom w:val="0"/>
      <w:divBdr>
        <w:top w:val="none" w:sz="0" w:space="0" w:color="auto"/>
        <w:left w:val="none" w:sz="0" w:space="0" w:color="auto"/>
        <w:bottom w:val="none" w:sz="0" w:space="0" w:color="auto"/>
        <w:right w:val="none" w:sz="0" w:space="0" w:color="auto"/>
      </w:divBdr>
    </w:div>
    <w:div w:id="1912038082">
      <w:bodyDiv w:val="1"/>
      <w:marLeft w:val="0"/>
      <w:marRight w:val="0"/>
      <w:marTop w:val="0"/>
      <w:marBottom w:val="0"/>
      <w:divBdr>
        <w:top w:val="none" w:sz="0" w:space="0" w:color="auto"/>
        <w:left w:val="none" w:sz="0" w:space="0" w:color="auto"/>
        <w:bottom w:val="none" w:sz="0" w:space="0" w:color="auto"/>
        <w:right w:val="none" w:sz="0" w:space="0" w:color="auto"/>
      </w:divBdr>
      <w:divsChild>
        <w:div w:id="1298799224">
          <w:marLeft w:val="0"/>
          <w:marRight w:val="0"/>
          <w:marTop w:val="0"/>
          <w:marBottom w:val="0"/>
          <w:divBdr>
            <w:top w:val="none" w:sz="0" w:space="0" w:color="auto"/>
            <w:left w:val="none" w:sz="0" w:space="0" w:color="auto"/>
            <w:bottom w:val="none" w:sz="0" w:space="0" w:color="auto"/>
            <w:right w:val="none" w:sz="0" w:space="0" w:color="auto"/>
          </w:divBdr>
          <w:divsChild>
            <w:div w:id="163320121">
              <w:marLeft w:val="0"/>
              <w:marRight w:val="0"/>
              <w:marTop w:val="0"/>
              <w:marBottom w:val="0"/>
              <w:divBdr>
                <w:top w:val="none" w:sz="0" w:space="0" w:color="auto"/>
                <w:left w:val="none" w:sz="0" w:space="0" w:color="auto"/>
                <w:bottom w:val="none" w:sz="0" w:space="0" w:color="auto"/>
                <w:right w:val="none" w:sz="0" w:space="0" w:color="auto"/>
              </w:divBdr>
              <w:divsChild>
                <w:div w:id="13043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24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6965</Words>
  <Characters>39705</Characters>
  <Application>Microsoft Macintosh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2015-08-24T16:15:00Z</cp:lastPrinted>
  <dcterms:created xsi:type="dcterms:W3CDTF">2017-06-01T15:50:00Z</dcterms:created>
  <dcterms:modified xsi:type="dcterms:W3CDTF">2017-06-01T15:50:00Z</dcterms:modified>
  <cp:category/>
</cp:coreProperties>
</file>