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2DB5" w14:textId="7B69E5F7" w:rsidR="00EA686E" w:rsidRPr="002239BF" w:rsidRDefault="00317600" w:rsidP="00733DF3">
      <w:pPr>
        <w:widowControl w:val="0"/>
        <w:tabs>
          <w:tab w:val="left" w:pos="220"/>
          <w:tab w:val="left" w:pos="720"/>
        </w:tabs>
        <w:autoSpaceDE w:val="0"/>
        <w:autoSpaceDN w:val="0"/>
        <w:adjustRightInd w:val="0"/>
        <w:spacing w:after="320" w:line="480" w:lineRule="auto"/>
        <w:rPr>
          <w:rFonts w:ascii="Times New Roman" w:hAnsi="Times New Roman" w:cs="Times New Roman"/>
          <w:b/>
          <w:sz w:val="24"/>
          <w:szCs w:val="24"/>
        </w:rPr>
      </w:pPr>
      <w:bookmarkStart w:id="0" w:name="_GoBack"/>
      <w:bookmarkEnd w:id="0"/>
      <w:r w:rsidRPr="002239BF">
        <w:rPr>
          <w:rFonts w:ascii="Times New Roman" w:hAnsi="Times New Roman" w:cs="Times New Roman"/>
          <w:b/>
          <w:sz w:val="24"/>
          <w:szCs w:val="24"/>
        </w:rPr>
        <w:t>The Housing and Planning Act 2016: Rewarding the aspiration of homeownership?</w:t>
      </w:r>
    </w:p>
    <w:p w14:paraId="28A836CF" w14:textId="7A8A4C07" w:rsidR="0058660A" w:rsidRPr="002239BF" w:rsidRDefault="0058660A" w:rsidP="00733DF3">
      <w:pPr>
        <w:widowControl w:val="0"/>
        <w:tabs>
          <w:tab w:val="left" w:pos="220"/>
          <w:tab w:val="left" w:pos="720"/>
        </w:tabs>
        <w:autoSpaceDE w:val="0"/>
        <w:autoSpaceDN w:val="0"/>
        <w:adjustRightInd w:val="0"/>
        <w:spacing w:after="320" w:line="480" w:lineRule="auto"/>
        <w:rPr>
          <w:rFonts w:ascii="Times New Roman" w:hAnsi="Times New Roman" w:cs="Times New Roman"/>
          <w:sz w:val="24"/>
          <w:szCs w:val="24"/>
        </w:rPr>
      </w:pPr>
      <w:r w:rsidRPr="002239BF">
        <w:rPr>
          <w:rFonts w:ascii="Times New Roman" w:hAnsi="Times New Roman" w:cs="Times New Roman"/>
          <w:sz w:val="24"/>
          <w:szCs w:val="24"/>
        </w:rPr>
        <w:t>Chris Bevan and Emma Laurie*</w:t>
      </w:r>
    </w:p>
    <w:p w14:paraId="1B0AD9C1" w14:textId="77777777" w:rsidR="0058660A" w:rsidRPr="002239BF" w:rsidRDefault="0058660A" w:rsidP="0058660A">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Abstract</w:t>
      </w:r>
    </w:p>
    <w:p w14:paraId="0A5074D1" w14:textId="32CDFFF6" w:rsidR="0058660A" w:rsidRPr="002239BF" w:rsidRDefault="0058660A" w:rsidP="0058660A">
      <w:pPr>
        <w:spacing w:line="480" w:lineRule="auto"/>
        <w:rPr>
          <w:rFonts w:ascii="Times New Roman" w:hAnsi="Times New Roman" w:cs="Times New Roman"/>
          <w:sz w:val="24"/>
          <w:szCs w:val="24"/>
        </w:rPr>
      </w:pPr>
      <w:r w:rsidRPr="002239BF">
        <w:rPr>
          <w:rFonts w:ascii="Times New Roman" w:hAnsi="Times New Roman" w:cs="Times New Roman"/>
          <w:sz w:val="24"/>
          <w:szCs w:val="24"/>
        </w:rPr>
        <w:t>In May 2016, the Hous</w:t>
      </w:r>
      <w:r w:rsidR="00B64378">
        <w:rPr>
          <w:rFonts w:ascii="Times New Roman" w:hAnsi="Times New Roman" w:cs="Times New Roman"/>
          <w:sz w:val="24"/>
          <w:szCs w:val="24"/>
        </w:rPr>
        <w:t>ing and Planning Act 2016 became</w:t>
      </w:r>
      <w:r w:rsidRPr="002239BF">
        <w:rPr>
          <w:rFonts w:ascii="Times New Roman" w:hAnsi="Times New Roman" w:cs="Times New Roman"/>
          <w:sz w:val="24"/>
          <w:szCs w:val="24"/>
        </w:rPr>
        <w:t xml:space="preserve"> law and reflects the first purely Conservative Government intervention on housing in England since the 1990s. This article examines the key provisions of the Act as they pertain to social housing and the government’s stated aim of increasing rates of homeownership in Britain. The Act, through the Starter Homes Scheme, extension of the Right to Buy to Housing Association tenants and changes to security of tenure in the social sector, has been heralded as a ‘landmark’ piece of legislation. This article scrutinises these policy measures and assesses their effectiveness and likely impact. In so doing, it is contended that the 2016 Act exposes the government’s promotion of homeownership above all other housing tenures. This article further explores the deep moralisation at the heart of the homeownership narrative and the intensification in the residualisation of social housing in England which, it is argued, is the inevitable consequence of the reforms.</w:t>
      </w:r>
    </w:p>
    <w:p w14:paraId="2A5EBC5E" w14:textId="77777777" w:rsidR="00977C10" w:rsidRPr="002239BF" w:rsidRDefault="00977C10" w:rsidP="0058660A">
      <w:pPr>
        <w:spacing w:line="480" w:lineRule="auto"/>
        <w:rPr>
          <w:rFonts w:ascii="Times New Roman" w:hAnsi="Times New Roman" w:cs="Times New Roman"/>
          <w:sz w:val="24"/>
          <w:szCs w:val="24"/>
        </w:rPr>
      </w:pPr>
    </w:p>
    <w:p w14:paraId="4B9E3624" w14:textId="77777777" w:rsidR="0058660A" w:rsidRPr="002239BF" w:rsidRDefault="0058660A" w:rsidP="0058660A">
      <w:pPr>
        <w:spacing w:line="480" w:lineRule="auto"/>
        <w:rPr>
          <w:rFonts w:ascii="Times New Roman" w:hAnsi="Times New Roman" w:cs="Times New Roman"/>
          <w:sz w:val="24"/>
          <w:szCs w:val="24"/>
        </w:rPr>
      </w:pPr>
      <w:r w:rsidRPr="002239BF">
        <w:rPr>
          <w:rFonts w:ascii="Times New Roman" w:hAnsi="Times New Roman" w:cs="Times New Roman"/>
          <w:b/>
          <w:sz w:val="24"/>
          <w:szCs w:val="24"/>
        </w:rPr>
        <w:t>Keywords:</w:t>
      </w:r>
      <w:r w:rsidRPr="002239BF">
        <w:rPr>
          <w:rFonts w:ascii="Times New Roman" w:hAnsi="Times New Roman" w:cs="Times New Roman"/>
          <w:sz w:val="24"/>
          <w:szCs w:val="24"/>
        </w:rPr>
        <w:t xml:space="preserve"> Starter Homes; Right to Buy; housing policy; homeownership; social housing; residualisation</w:t>
      </w:r>
    </w:p>
    <w:p w14:paraId="53D0A1CE" w14:textId="77777777" w:rsidR="0058660A" w:rsidRPr="002239BF" w:rsidRDefault="0058660A" w:rsidP="00733DF3">
      <w:pPr>
        <w:spacing w:line="480" w:lineRule="auto"/>
        <w:rPr>
          <w:rFonts w:ascii="Times New Roman" w:hAnsi="Times New Roman" w:cs="Times New Roman"/>
          <w:b/>
          <w:sz w:val="24"/>
          <w:szCs w:val="24"/>
        </w:rPr>
      </w:pPr>
    </w:p>
    <w:p w14:paraId="0F2AD507" w14:textId="77777777" w:rsidR="00DF4548" w:rsidRPr="002239BF" w:rsidRDefault="00DF4548" w:rsidP="00DF4548">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Introduction</w:t>
      </w:r>
    </w:p>
    <w:p w14:paraId="793B2CA1" w14:textId="64677FA2" w:rsidR="00DF4548" w:rsidRPr="002239BF" w:rsidRDefault="00DF4548" w:rsidP="00DF4548">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The Housing and Planning Act 2016 received Royal Assent on 12 May 2016 and represents the first purely Conservative legislative outing on housing policy since the end of the John Major </w:t>
      </w:r>
      <w:r w:rsidRPr="002239BF">
        <w:rPr>
          <w:rFonts w:ascii="Times New Roman" w:hAnsi="Times New Roman" w:cs="Times New Roman"/>
          <w:sz w:val="24"/>
          <w:szCs w:val="24"/>
        </w:rPr>
        <w:lastRenderedPageBreak/>
        <w:t>Government in the mid-90s. The 2016 Act, which stretches to over 200 sections and some 20 schedules, was described by the then Cameron Conservative Government as a ‘landmark’ piece of legislation and represents the current agenda for housing policy in this Parliament.</w:t>
      </w:r>
      <w:bookmarkStart w:id="1" w:name="_Ref474414468"/>
      <w:r w:rsidRPr="002239BF">
        <w:rPr>
          <w:rStyle w:val="FootnoteReference"/>
          <w:rFonts w:ascii="Times New Roman" w:hAnsi="Times New Roman" w:cs="Times New Roman"/>
          <w:sz w:val="24"/>
          <w:szCs w:val="24"/>
        </w:rPr>
        <w:footnoteReference w:id="1"/>
      </w:r>
      <w:bookmarkEnd w:id="1"/>
      <w:r w:rsidRPr="002239BF">
        <w:rPr>
          <w:rFonts w:ascii="Times New Roman" w:hAnsi="Times New Roman" w:cs="Times New Roman"/>
          <w:sz w:val="24"/>
          <w:szCs w:val="24"/>
        </w:rPr>
        <w:t xml:space="preserve"> The Housing and Planning Bill 2015,</w:t>
      </w:r>
      <w:r w:rsidRPr="002239BF">
        <w:rPr>
          <w:rStyle w:val="FootnoteReference"/>
          <w:rFonts w:ascii="Times New Roman" w:hAnsi="Times New Roman" w:cs="Times New Roman"/>
          <w:sz w:val="24"/>
          <w:szCs w:val="24"/>
        </w:rPr>
        <w:footnoteReference w:id="2"/>
      </w:r>
      <w:r w:rsidRPr="002239BF">
        <w:rPr>
          <w:rFonts w:ascii="Times New Roman" w:hAnsi="Times New Roman" w:cs="Times New Roman"/>
          <w:sz w:val="24"/>
          <w:szCs w:val="24"/>
        </w:rPr>
        <w:t xml:space="preserve"> which endured a fraught parliamentary passage, was ultimately forced speedily through after a series of concessions and amendments to ensure its Royal Assent prior to the EU Referendum. The Bill saw widespread criticism from across the board: from local authorities, to politicians of all persuasions, housing charities and campaigners</w:t>
      </w:r>
      <w:bookmarkStart w:id="2" w:name="_Ref461890473"/>
      <w:r w:rsidRPr="002239BF">
        <w:rPr>
          <w:rStyle w:val="FootnoteReference"/>
          <w:rFonts w:ascii="Times New Roman" w:hAnsi="Times New Roman" w:cs="Times New Roman"/>
          <w:sz w:val="24"/>
          <w:szCs w:val="24"/>
        </w:rPr>
        <w:footnoteReference w:id="3"/>
      </w:r>
      <w:bookmarkEnd w:id="2"/>
      <w:r w:rsidRPr="002239BF">
        <w:rPr>
          <w:rFonts w:ascii="Times New Roman" w:hAnsi="Times New Roman" w:cs="Times New Roman"/>
          <w:sz w:val="24"/>
          <w:szCs w:val="24"/>
        </w:rPr>
        <w:t xml:space="preserve"> but despite the significant protestations, the final text of the Act retains most of the key provisions of the Bill. Although much of the precise detail as to the operation of the provisions is yet unknown (this will be provided for in subsequent regulations), the 2016 Act offers an important moment to assess the trajectory of housing policy in England.</w:t>
      </w:r>
      <w:r w:rsidRPr="002239BF">
        <w:rPr>
          <w:rStyle w:val="FootnoteReference"/>
          <w:rFonts w:ascii="Times New Roman" w:hAnsi="Times New Roman" w:cs="Times New Roman"/>
          <w:sz w:val="24"/>
          <w:szCs w:val="24"/>
        </w:rPr>
        <w:footnoteReference w:id="4"/>
      </w:r>
      <w:r w:rsidRPr="002239BF">
        <w:rPr>
          <w:rFonts w:ascii="Times New Roman" w:hAnsi="Times New Roman" w:cs="Times New Roman"/>
          <w:sz w:val="24"/>
          <w:szCs w:val="24"/>
        </w:rPr>
        <w:t xml:space="preserve"> Detractors argue that the reforms sound the death knell for social housing,</w:t>
      </w:r>
      <w:r w:rsidRPr="002239BF">
        <w:rPr>
          <w:rStyle w:val="FootnoteReference"/>
          <w:rFonts w:ascii="Times New Roman" w:hAnsi="Times New Roman" w:cs="Times New Roman"/>
          <w:sz w:val="24"/>
          <w:szCs w:val="24"/>
        </w:rPr>
        <w:footnoteReference w:id="5"/>
      </w:r>
      <w:r w:rsidRPr="002239BF">
        <w:rPr>
          <w:rFonts w:ascii="Times New Roman" w:hAnsi="Times New Roman" w:cs="Times New Roman"/>
          <w:sz w:val="24"/>
          <w:szCs w:val="24"/>
        </w:rPr>
        <w:t xml:space="preserve"> herald ‘the end of localism’</w:t>
      </w:r>
      <w:r w:rsidRPr="002239BF">
        <w:rPr>
          <w:rStyle w:val="FootnoteReference"/>
          <w:rFonts w:ascii="Times New Roman" w:hAnsi="Times New Roman" w:cs="Times New Roman"/>
          <w:sz w:val="24"/>
          <w:szCs w:val="24"/>
        </w:rPr>
        <w:footnoteReference w:id="6"/>
      </w:r>
      <w:r w:rsidRPr="002239BF">
        <w:rPr>
          <w:rFonts w:ascii="Times New Roman" w:hAnsi="Times New Roman" w:cs="Times New Roman"/>
          <w:sz w:val="24"/>
          <w:szCs w:val="24"/>
        </w:rPr>
        <w:t xml:space="preserve"> and demonstrate ‘ideological </w:t>
      </w:r>
      <w:r w:rsidRPr="002239BF">
        <w:rPr>
          <w:rFonts w:ascii="Times New Roman" w:hAnsi="Times New Roman" w:cs="Times New Roman"/>
          <w:sz w:val="24"/>
          <w:szCs w:val="24"/>
        </w:rPr>
        <w:lastRenderedPageBreak/>
        <w:t>overreach’ on the part of the Conservative Party.</w:t>
      </w:r>
      <w:r w:rsidRPr="002239BF">
        <w:rPr>
          <w:rStyle w:val="FootnoteReference"/>
          <w:rFonts w:ascii="Times New Roman" w:hAnsi="Times New Roman" w:cs="Times New Roman"/>
          <w:sz w:val="24"/>
          <w:szCs w:val="24"/>
        </w:rPr>
        <w:footnoteReference w:id="7"/>
      </w:r>
      <w:r w:rsidRPr="002239BF">
        <w:rPr>
          <w:rFonts w:ascii="Times New Roman" w:hAnsi="Times New Roman" w:cs="Times New Roman"/>
          <w:sz w:val="24"/>
          <w:szCs w:val="24"/>
        </w:rPr>
        <w:t xml:space="preserve"> We assess these claims through an examination of the key provisions of the 2016 Act as they pertain to social housing and measures targeted to increase homeownership, and we evaluate their likely impact. In so doing, it is argued that the reforms reveal the government’s determination to promote homeownership above all other housing tenures as the only stable housing option and, moreover, do so at the expense of social housing. We argue that the 2016 Act therefore contributes to an intensification in the residualisation of social housing under which those unable to access homeownership are denied the opportunity for housing stability. The Act sells a false dream of ‘affordable housing’ and adopts an overtly moralistic tone which praises homeowners as aspirational, thereby degrading those</w:t>
      </w:r>
      <w:r w:rsidR="0081557E" w:rsidRPr="002239BF">
        <w:rPr>
          <w:rFonts w:ascii="Times New Roman" w:hAnsi="Times New Roman" w:cs="Times New Roman"/>
          <w:sz w:val="24"/>
          <w:szCs w:val="24"/>
        </w:rPr>
        <w:t xml:space="preserve"> who do not</w:t>
      </w:r>
      <w:r w:rsidRPr="002239BF">
        <w:rPr>
          <w:rFonts w:ascii="Times New Roman" w:hAnsi="Times New Roman" w:cs="Times New Roman"/>
          <w:sz w:val="24"/>
          <w:szCs w:val="24"/>
        </w:rPr>
        <w:t xml:space="preserve"> or cannot own property. Crucially, the 2016 Act enters the statute book at a time of acute housing crisis in Britain: with homelessness on the rise,</w:t>
      </w:r>
      <w:r w:rsidRPr="002239BF">
        <w:rPr>
          <w:rStyle w:val="FootnoteReference"/>
          <w:rFonts w:ascii="Times New Roman" w:hAnsi="Times New Roman" w:cs="Times New Roman"/>
          <w:sz w:val="24"/>
          <w:szCs w:val="24"/>
        </w:rPr>
        <w:footnoteReference w:id="8"/>
      </w:r>
      <w:r w:rsidRPr="002239BF">
        <w:rPr>
          <w:rFonts w:ascii="Times New Roman" w:hAnsi="Times New Roman" w:cs="Times New Roman"/>
          <w:sz w:val="24"/>
          <w:szCs w:val="24"/>
        </w:rPr>
        <w:t xml:space="preserve"> the cost of the average home in popular towns reaching 10-20 times the average salary,</w:t>
      </w:r>
      <w:r w:rsidRPr="002239BF">
        <w:rPr>
          <w:rStyle w:val="FootnoteReference"/>
          <w:rFonts w:ascii="Times New Roman" w:hAnsi="Times New Roman" w:cs="Times New Roman"/>
          <w:sz w:val="24"/>
          <w:szCs w:val="24"/>
        </w:rPr>
        <w:footnoteReference w:id="9"/>
      </w:r>
      <w:r w:rsidRPr="002239BF">
        <w:rPr>
          <w:rFonts w:ascii="Times New Roman" w:hAnsi="Times New Roman" w:cs="Times New Roman"/>
          <w:sz w:val="24"/>
          <w:szCs w:val="24"/>
        </w:rPr>
        <w:t xml:space="preserve"> a surge in private sector rents</w:t>
      </w:r>
      <w:r w:rsidRPr="002239BF">
        <w:rPr>
          <w:rStyle w:val="FootnoteReference"/>
          <w:rFonts w:ascii="Times New Roman" w:hAnsi="Times New Roman" w:cs="Times New Roman"/>
          <w:sz w:val="24"/>
          <w:szCs w:val="24"/>
        </w:rPr>
        <w:footnoteReference w:id="10"/>
      </w:r>
      <w:r w:rsidRPr="002239BF">
        <w:rPr>
          <w:rFonts w:ascii="Times New Roman" w:hAnsi="Times New Roman" w:cs="Times New Roman"/>
          <w:sz w:val="24"/>
          <w:szCs w:val="24"/>
        </w:rPr>
        <w:t xml:space="preserve"> and rates of homeownership in decline.</w:t>
      </w:r>
      <w:r w:rsidRPr="002239BF">
        <w:rPr>
          <w:rStyle w:val="FootnoteReference"/>
          <w:rFonts w:ascii="Times New Roman" w:hAnsi="Times New Roman" w:cs="Times New Roman"/>
          <w:sz w:val="24"/>
          <w:szCs w:val="24"/>
        </w:rPr>
        <w:footnoteReference w:id="11"/>
      </w:r>
      <w:r w:rsidRPr="002239BF">
        <w:rPr>
          <w:rFonts w:ascii="Times New Roman" w:hAnsi="Times New Roman" w:cs="Times New Roman"/>
          <w:sz w:val="24"/>
          <w:szCs w:val="24"/>
        </w:rPr>
        <w:t xml:space="preserve"> It is against this febrile backdrop that the provisions of the Housing and Planning Act 2016 must be scrutinised.</w:t>
      </w:r>
    </w:p>
    <w:p w14:paraId="6E2C1A71" w14:textId="77777777" w:rsidR="00DF4548" w:rsidRPr="002239BF" w:rsidRDefault="00DF4548" w:rsidP="00DF4548">
      <w:pPr>
        <w:spacing w:line="480" w:lineRule="auto"/>
        <w:rPr>
          <w:rFonts w:ascii="Times New Roman" w:hAnsi="Times New Roman" w:cs="Times New Roman"/>
          <w:sz w:val="24"/>
          <w:szCs w:val="24"/>
        </w:rPr>
      </w:pPr>
    </w:p>
    <w:p w14:paraId="2CFF47EE" w14:textId="77777777" w:rsidR="00DF4548" w:rsidRPr="002239BF" w:rsidRDefault="00DF4548" w:rsidP="00DF4548">
      <w:pPr>
        <w:spacing w:line="480" w:lineRule="auto"/>
        <w:rPr>
          <w:rFonts w:ascii="Times New Roman" w:hAnsi="Times New Roman" w:cs="Times New Roman"/>
          <w:sz w:val="24"/>
          <w:szCs w:val="24"/>
        </w:rPr>
      </w:pPr>
      <w:r w:rsidRPr="002239BF">
        <w:rPr>
          <w:rFonts w:ascii="Times New Roman" w:hAnsi="Times New Roman" w:cs="Times New Roman"/>
          <w:b/>
          <w:sz w:val="24"/>
          <w:szCs w:val="24"/>
        </w:rPr>
        <w:t>Background to the 2016 Act</w:t>
      </w:r>
    </w:p>
    <w:p w14:paraId="58773812" w14:textId="28932C5A" w:rsidR="00DF4548" w:rsidRPr="002239BF" w:rsidRDefault="00DF4548" w:rsidP="00DF4548">
      <w:pPr>
        <w:spacing w:line="480" w:lineRule="auto"/>
        <w:rPr>
          <w:rFonts w:ascii="Times New Roman" w:hAnsi="Times New Roman" w:cs="Times New Roman"/>
          <w:sz w:val="24"/>
          <w:szCs w:val="24"/>
          <w:lang w:val="en-US"/>
        </w:rPr>
      </w:pPr>
      <w:r w:rsidRPr="002239BF">
        <w:rPr>
          <w:rFonts w:ascii="Times New Roman" w:hAnsi="Times New Roman" w:cs="Times New Roman"/>
          <w:sz w:val="24"/>
          <w:szCs w:val="24"/>
        </w:rPr>
        <w:t>Housing policy has, since the earliest days of the 2010 Coalition Government, taken centre stage in policy-terms</w:t>
      </w:r>
      <w:r w:rsidRPr="002239BF">
        <w:rPr>
          <w:rStyle w:val="FootnoteReference"/>
          <w:rFonts w:ascii="Times New Roman" w:hAnsi="Times New Roman" w:cs="Times New Roman"/>
          <w:sz w:val="24"/>
          <w:szCs w:val="24"/>
        </w:rPr>
        <w:footnoteReference w:id="12"/>
      </w:r>
      <w:r w:rsidRPr="002239BF">
        <w:rPr>
          <w:rFonts w:ascii="Times New Roman" w:hAnsi="Times New Roman" w:cs="Times New Roman"/>
          <w:sz w:val="24"/>
          <w:szCs w:val="24"/>
        </w:rPr>
        <w:t xml:space="preserve"> and dealing with ‘the housing problem’ has become an essential marker of political competence. Theresa May’s coronation as Prime Minister in July 2016 saw housing re-emphasised and located as a central motivation for her incoming government.</w:t>
      </w:r>
      <w:r w:rsidRPr="002239BF">
        <w:rPr>
          <w:rStyle w:val="FootnoteReference"/>
          <w:rFonts w:ascii="Times New Roman" w:hAnsi="Times New Roman" w:cs="Times New Roman"/>
          <w:sz w:val="24"/>
          <w:szCs w:val="24"/>
        </w:rPr>
        <w:footnoteReference w:id="13"/>
      </w:r>
      <w:r w:rsidRPr="002239BF">
        <w:rPr>
          <w:rFonts w:ascii="Times New Roman" w:hAnsi="Times New Roman" w:cs="Times New Roman"/>
          <w:sz w:val="24"/>
          <w:szCs w:val="24"/>
          <w:lang w:val="en-US"/>
        </w:rPr>
        <w:t xml:space="preserve"> </w:t>
      </w:r>
      <w:r w:rsidRPr="002239BF">
        <w:rPr>
          <w:rFonts w:ascii="Times New Roman" w:hAnsi="Times New Roman" w:cs="Times New Roman"/>
          <w:sz w:val="24"/>
          <w:szCs w:val="24"/>
        </w:rPr>
        <w:t>From the 2010 Coalition to the Cameron Conservative Government which introduced the 2016 Act, the housing policy landscape has been shaped by the deployment of a series of housing policy narratives. The ‘Big Society’ narrative espoused by David Cameron from 2009-2010 to the Coalition Government’s repeated calls to ‘localism’, culminating in the Localism Act 2011,</w:t>
      </w:r>
      <w:bookmarkStart w:id="3" w:name="_Ref461891511"/>
      <w:r w:rsidRPr="002239BF">
        <w:rPr>
          <w:rStyle w:val="FootnoteReference"/>
          <w:rFonts w:ascii="Times New Roman" w:hAnsi="Times New Roman" w:cs="Times New Roman"/>
          <w:sz w:val="24"/>
          <w:szCs w:val="24"/>
        </w:rPr>
        <w:footnoteReference w:id="14"/>
      </w:r>
      <w:bookmarkEnd w:id="3"/>
      <w:r w:rsidRPr="002239BF">
        <w:rPr>
          <w:rFonts w:ascii="Times New Roman" w:hAnsi="Times New Roman" w:cs="Times New Roman"/>
          <w:sz w:val="24"/>
          <w:szCs w:val="24"/>
        </w:rPr>
        <w:t xml:space="preserve"> were key policy platforms in the period of 2010-2015. One might think, then, that the Housing and Planning Act 2016 would reflect narrative continuity in the Big Society and localism messaging. Instead, as we highlight, the 2016 Act tracks a different path. The 2016 Act departs from the ideological, localist narrative of the Coalition Government which emphasised the need for local flexibility and recognised the ‘enormous importance’ of social housing</w:t>
      </w:r>
      <w:bookmarkStart w:id="4" w:name="_Ref461891319"/>
      <w:r w:rsidRPr="002239BF">
        <w:rPr>
          <w:rStyle w:val="FootnoteReference"/>
          <w:rFonts w:ascii="Times New Roman" w:hAnsi="Times New Roman" w:cs="Times New Roman"/>
          <w:sz w:val="24"/>
          <w:szCs w:val="24"/>
        </w:rPr>
        <w:footnoteReference w:id="15"/>
      </w:r>
      <w:bookmarkEnd w:id="4"/>
      <w:r w:rsidRPr="002239BF">
        <w:rPr>
          <w:rFonts w:ascii="Times New Roman" w:hAnsi="Times New Roman" w:cs="Times New Roman"/>
          <w:sz w:val="24"/>
          <w:szCs w:val="24"/>
        </w:rPr>
        <w:t xml:space="preserve"> and returns to what can be termed ‘individualistic localism’ epitomised by the Margaret Thatcher Governments of 1979 </w:t>
      </w:r>
      <w:r w:rsidRPr="002239BF">
        <w:rPr>
          <w:rFonts w:ascii="Times New Roman" w:hAnsi="Times New Roman" w:cs="Times New Roman"/>
          <w:sz w:val="24"/>
          <w:szCs w:val="24"/>
        </w:rPr>
        <w:lastRenderedPageBreak/>
        <w:t xml:space="preserve">to 1990. </w:t>
      </w:r>
      <w:r w:rsidR="00214673" w:rsidRPr="002239BF">
        <w:rPr>
          <w:rFonts w:ascii="Times New Roman" w:hAnsi="Times New Roman" w:cs="Times New Roman"/>
          <w:sz w:val="24"/>
          <w:szCs w:val="24"/>
        </w:rPr>
        <w:t>T</w:t>
      </w:r>
      <w:r w:rsidRPr="002239BF">
        <w:rPr>
          <w:rFonts w:ascii="Times New Roman" w:hAnsi="Times New Roman" w:cs="Times New Roman"/>
          <w:sz w:val="24"/>
          <w:szCs w:val="24"/>
        </w:rPr>
        <w:t>he 2016 Act advance</w:t>
      </w:r>
      <w:r w:rsidR="00214673" w:rsidRPr="002239BF">
        <w:rPr>
          <w:rFonts w:ascii="Times New Roman" w:hAnsi="Times New Roman" w:cs="Times New Roman"/>
          <w:sz w:val="24"/>
          <w:szCs w:val="24"/>
        </w:rPr>
        <w:t>s</w:t>
      </w:r>
      <w:r w:rsidRPr="002239BF">
        <w:rPr>
          <w:rFonts w:ascii="Times New Roman" w:hAnsi="Times New Roman" w:cs="Times New Roman"/>
          <w:sz w:val="24"/>
          <w:szCs w:val="24"/>
        </w:rPr>
        <w:t xml:space="preserve"> one core policy message: that homeownership is now the single most </w:t>
      </w:r>
      <w:r w:rsidRPr="002239BF">
        <w:rPr>
          <w:rFonts w:ascii="Times New Roman" w:hAnsi="Times New Roman" w:cs="Times New Roman"/>
          <w:i/>
          <w:sz w:val="24"/>
          <w:szCs w:val="24"/>
        </w:rPr>
        <w:t>legitimate</w:t>
      </w:r>
      <w:r w:rsidRPr="002239BF">
        <w:rPr>
          <w:rFonts w:ascii="Times New Roman" w:hAnsi="Times New Roman" w:cs="Times New Roman"/>
          <w:sz w:val="24"/>
          <w:szCs w:val="24"/>
        </w:rPr>
        <w:t xml:space="preserve"> housing tenure in Britain and that owning a home is the only route to securing long-term housing stability. We argue, therefore, that the 2016 Act reflects an important shift from the logic of localism to the logic of homeownership. As the Government explained: </w:t>
      </w:r>
      <w:r w:rsidRPr="002239BF">
        <w:rPr>
          <w:rFonts w:ascii="Times New Roman" w:hAnsi="Times New Roman" w:cs="Times New Roman"/>
          <w:sz w:val="24"/>
          <w:szCs w:val="24"/>
          <w:lang w:val="en-US"/>
        </w:rPr>
        <w:t>‘The Act sets out a clear determination from the government to keep the country building while giving hard working families every opportunity to unlock the door to home ownership.’</w:t>
      </w:r>
      <w:r w:rsidRPr="002239BF">
        <w:rPr>
          <w:rStyle w:val="FootnoteReference"/>
          <w:rFonts w:ascii="Times New Roman" w:hAnsi="Times New Roman" w:cs="Times New Roman"/>
          <w:sz w:val="24"/>
          <w:szCs w:val="24"/>
          <w:lang w:val="en-US"/>
        </w:rPr>
        <w:footnoteReference w:id="16"/>
      </w:r>
      <w:r w:rsidRPr="002239BF">
        <w:rPr>
          <w:rFonts w:ascii="Times New Roman" w:hAnsi="Times New Roman" w:cs="Times New Roman"/>
          <w:sz w:val="24"/>
          <w:szCs w:val="24"/>
          <w:lang w:val="en-US"/>
        </w:rPr>
        <w:t xml:space="preserve"> Prioritisation and promotion of homeownership above other tenures is therefore the central motivation of this new statutory scheme. As then Housing Minister, Brandon Lewis, noted, the Act aims to:</w:t>
      </w:r>
    </w:p>
    <w:p w14:paraId="70AEF6BC" w14:textId="77777777" w:rsidR="00DF4548" w:rsidRPr="002239BF" w:rsidRDefault="00DF4548" w:rsidP="00DF4548">
      <w:pPr>
        <w:pStyle w:val="NoSpacing"/>
        <w:spacing w:line="480" w:lineRule="auto"/>
        <w:ind w:left="540"/>
        <w:rPr>
          <w:rFonts w:ascii="Times New Roman" w:hAnsi="Times New Roman" w:cs="Times New Roman"/>
          <w:sz w:val="24"/>
          <w:szCs w:val="24"/>
          <w:lang w:val="en-US"/>
        </w:rPr>
      </w:pPr>
      <w:r w:rsidRPr="002239BF">
        <w:rPr>
          <w:rFonts w:ascii="Times New Roman" w:hAnsi="Times New Roman" w:cs="Times New Roman"/>
          <w:sz w:val="24"/>
          <w:szCs w:val="24"/>
          <w:lang w:val="en-US"/>
        </w:rPr>
        <w:t>help anyone who aspires to own their own home achieve their dream … It will increase housing supply alongside home ownership building on the biggest affordable house building program since the 1970s …The Act will contribute to transforming generation rent into generation buy, helping us towards achieving our ambition of delivering 1 million new homes.</w:t>
      </w:r>
      <w:r w:rsidRPr="002239BF">
        <w:rPr>
          <w:rStyle w:val="FootnoteReference"/>
          <w:rFonts w:ascii="Times New Roman" w:hAnsi="Times New Roman" w:cs="Times New Roman"/>
          <w:sz w:val="24"/>
          <w:szCs w:val="24"/>
          <w:lang w:val="en-US"/>
        </w:rPr>
        <w:footnoteReference w:id="17"/>
      </w:r>
    </w:p>
    <w:p w14:paraId="033C6F3B" w14:textId="77777777" w:rsidR="00DF4548" w:rsidRPr="002239BF" w:rsidRDefault="00DF4548" w:rsidP="00DF4548">
      <w:pPr>
        <w:pStyle w:val="NoSpacing"/>
        <w:spacing w:line="480" w:lineRule="auto"/>
        <w:rPr>
          <w:rFonts w:ascii="Times New Roman" w:hAnsi="Times New Roman" w:cs="Times New Roman"/>
          <w:sz w:val="24"/>
          <w:szCs w:val="24"/>
        </w:rPr>
      </w:pPr>
    </w:p>
    <w:p w14:paraId="4083D152" w14:textId="77777777" w:rsidR="00DF4548" w:rsidRPr="002239BF" w:rsidRDefault="00DF4548" w:rsidP="00DF4548">
      <w:pPr>
        <w:spacing w:line="480" w:lineRule="auto"/>
        <w:jc w:val="both"/>
        <w:rPr>
          <w:rFonts w:ascii="Times New Roman" w:hAnsi="Times New Roman" w:cs="Times New Roman"/>
          <w:sz w:val="24"/>
          <w:szCs w:val="24"/>
        </w:rPr>
      </w:pPr>
      <w:r w:rsidRPr="002239BF">
        <w:rPr>
          <w:rFonts w:ascii="Times New Roman" w:hAnsi="Times New Roman" w:cs="Times New Roman"/>
          <w:sz w:val="24"/>
          <w:szCs w:val="24"/>
        </w:rPr>
        <w:t>The 2016 Act therefore seeks to ‘unlock the door’ to reward the ‘aspiration’ of homeownership and to realise the Government’s ‘national crusade’</w:t>
      </w:r>
      <w:r w:rsidRPr="002239BF">
        <w:rPr>
          <w:rStyle w:val="FootnoteReference"/>
          <w:rFonts w:ascii="Times New Roman" w:hAnsi="Times New Roman" w:cs="Times New Roman"/>
          <w:sz w:val="24"/>
          <w:szCs w:val="24"/>
        </w:rPr>
        <w:footnoteReference w:id="18"/>
      </w:r>
      <w:r w:rsidRPr="002239BF">
        <w:rPr>
          <w:rFonts w:ascii="Times New Roman" w:hAnsi="Times New Roman" w:cs="Times New Roman"/>
          <w:sz w:val="24"/>
          <w:szCs w:val="24"/>
        </w:rPr>
        <w:t xml:space="preserve"> of one million homes built by 2020.</w:t>
      </w:r>
      <w:r w:rsidRPr="002239BF">
        <w:rPr>
          <w:rStyle w:val="FootnoteReference"/>
          <w:rFonts w:ascii="Times New Roman" w:hAnsi="Times New Roman" w:cs="Times New Roman"/>
          <w:sz w:val="24"/>
          <w:szCs w:val="24"/>
        </w:rPr>
        <w:footnoteReference w:id="19"/>
      </w:r>
      <w:r w:rsidRPr="002239BF">
        <w:rPr>
          <w:rFonts w:ascii="Times New Roman" w:hAnsi="Times New Roman" w:cs="Times New Roman"/>
          <w:sz w:val="24"/>
          <w:szCs w:val="24"/>
        </w:rPr>
        <w:t xml:space="preserve"> The Act also contains measures to eradicate ‘rogue’ landlords and property agents from the privately rented sector.</w:t>
      </w:r>
      <w:r w:rsidRPr="002239BF">
        <w:rPr>
          <w:rStyle w:val="FootnoteReference"/>
          <w:rFonts w:ascii="Times New Roman" w:hAnsi="Times New Roman" w:cs="Times New Roman"/>
          <w:sz w:val="24"/>
          <w:szCs w:val="24"/>
        </w:rPr>
        <w:footnoteReference w:id="20"/>
      </w:r>
      <w:r w:rsidRPr="002239BF">
        <w:rPr>
          <w:rFonts w:ascii="Times New Roman" w:hAnsi="Times New Roman" w:cs="Times New Roman"/>
          <w:sz w:val="24"/>
          <w:szCs w:val="24"/>
        </w:rPr>
        <w:t xml:space="preserve"> The private rented sector, however, continues to be viewed as a more transitory tenure for the young and upwardly mobile: those not yet ready to become home-owners. In this way, whilst undoubtedly playing an increasing role in current housing policy, the private rented sector is not the primary focus of the 2016 Act and therefore of this article. In this article, we focus on the three most significant changes to housing policy advanced by the 2016 Act: the Starter Homes Programme; extension of the Right to Buy to Housing Association tenants and the ending of security of tenure for local authority social tenants.</w:t>
      </w:r>
    </w:p>
    <w:p w14:paraId="516721D4" w14:textId="77777777" w:rsidR="00297060" w:rsidRPr="002239BF" w:rsidRDefault="00297060" w:rsidP="00733DF3">
      <w:pPr>
        <w:spacing w:line="480" w:lineRule="auto"/>
        <w:rPr>
          <w:rFonts w:ascii="Times New Roman" w:hAnsi="Times New Roman" w:cs="Times New Roman"/>
          <w:sz w:val="24"/>
          <w:szCs w:val="24"/>
        </w:rPr>
      </w:pPr>
    </w:p>
    <w:p w14:paraId="7EBB9E05" w14:textId="4D7446B0" w:rsidR="005B1F2A" w:rsidRPr="002239BF" w:rsidRDefault="00621FD8" w:rsidP="00733DF3">
      <w:pPr>
        <w:spacing w:line="480" w:lineRule="auto"/>
        <w:rPr>
          <w:rFonts w:ascii="Times New Roman" w:hAnsi="Times New Roman" w:cs="Times New Roman"/>
          <w:sz w:val="24"/>
          <w:szCs w:val="24"/>
        </w:rPr>
      </w:pPr>
      <w:r w:rsidRPr="002239BF">
        <w:rPr>
          <w:rFonts w:ascii="Times New Roman" w:hAnsi="Times New Roman" w:cs="Times New Roman"/>
          <w:b/>
          <w:sz w:val="24"/>
          <w:szCs w:val="24"/>
        </w:rPr>
        <w:t>Starter Homes Scheme</w:t>
      </w:r>
    </w:p>
    <w:p w14:paraId="5B96C2B5" w14:textId="404C57BF" w:rsidR="006767D7" w:rsidRPr="002239BF" w:rsidRDefault="00E632A6" w:rsidP="006767D7">
      <w:pPr>
        <w:tabs>
          <w:tab w:val="num" w:pos="720"/>
        </w:tabs>
        <w:spacing w:line="480" w:lineRule="auto"/>
        <w:rPr>
          <w:rFonts w:ascii="Times New Roman" w:hAnsi="Times New Roman" w:cs="Times New Roman"/>
          <w:sz w:val="24"/>
          <w:szCs w:val="24"/>
          <w:lang w:val="en"/>
        </w:rPr>
      </w:pPr>
      <w:r w:rsidRPr="002239BF">
        <w:rPr>
          <w:rFonts w:ascii="Times New Roman" w:hAnsi="Times New Roman" w:cs="Times New Roman"/>
          <w:sz w:val="24"/>
          <w:szCs w:val="24"/>
        </w:rPr>
        <w:t xml:space="preserve">Of all </w:t>
      </w:r>
      <w:r w:rsidR="00F662C5" w:rsidRPr="002239BF">
        <w:rPr>
          <w:rFonts w:ascii="Times New Roman" w:hAnsi="Times New Roman" w:cs="Times New Roman"/>
          <w:sz w:val="24"/>
          <w:szCs w:val="24"/>
        </w:rPr>
        <w:t xml:space="preserve">the </w:t>
      </w:r>
      <w:r w:rsidRPr="002239BF">
        <w:rPr>
          <w:rFonts w:ascii="Times New Roman" w:hAnsi="Times New Roman" w:cs="Times New Roman"/>
          <w:sz w:val="24"/>
          <w:szCs w:val="24"/>
        </w:rPr>
        <w:t xml:space="preserve">measures contained in the 2016 Act, the Starter Homes </w:t>
      </w:r>
      <w:r w:rsidR="00C93130" w:rsidRPr="002239BF">
        <w:rPr>
          <w:rFonts w:ascii="Times New Roman" w:hAnsi="Times New Roman" w:cs="Times New Roman"/>
          <w:sz w:val="24"/>
          <w:szCs w:val="24"/>
        </w:rPr>
        <w:t>Scheme</w:t>
      </w:r>
      <w:r w:rsidRPr="002239BF">
        <w:rPr>
          <w:rFonts w:ascii="Times New Roman" w:hAnsi="Times New Roman" w:cs="Times New Roman"/>
          <w:sz w:val="24"/>
          <w:szCs w:val="24"/>
        </w:rPr>
        <w:t xml:space="preserve"> is </w:t>
      </w:r>
      <w:r w:rsidR="00FC4BA5" w:rsidRPr="002239BF">
        <w:rPr>
          <w:rFonts w:ascii="Times New Roman" w:hAnsi="Times New Roman" w:cs="Times New Roman"/>
          <w:sz w:val="24"/>
          <w:szCs w:val="24"/>
        </w:rPr>
        <w:t xml:space="preserve">perhaps </w:t>
      </w:r>
      <w:r w:rsidRPr="002239BF">
        <w:rPr>
          <w:rFonts w:ascii="Times New Roman" w:hAnsi="Times New Roman" w:cs="Times New Roman"/>
          <w:sz w:val="24"/>
          <w:szCs w:val="24"/>
        </w:rPr>
        <w:t>one of the most eye-catching</w:t>
      </w:r>
      <w:r w:rsidR="00621FD8" w:rsidRPr="002239BF">
        <w:rPr>
          <w:rFonts w:ascii="Times New Roman" w:hAnsi="Times New Roman" w:cs="Times New Roman"/>
          <w:sz w:val="24"/>
          <w:szCs w:val="24"/>
        </w:rPr>
        <w:t xml:space="preserve">.  It </w:t>
      </w:r>
      <w:r w:rsidRPr="002239BF">
        <w:rPr>
          <w:rFonts w:ascii="Times New Roman" w:hAnsi="Times New Roman" w:cs="Times New Roman"/>
          <w:sz w:val="24"/>
          <w:szCs w:val="24"/>
        </w:rPr>
        <w:t>attracted much media attention</w:t>
      </w:r>
      <w:r w:rsidR="00B5538F" w:rsidRPr="002239BF">
        <w:rPr>
          <w:rFonts w:ascii="Times New Roman" w:hAnsi="Times New Roman" w:cs="Times New Roman"/>
          <w:sz w:val="24"/>
          <w:szCs w:val="24"/>
        </w:rPr>
        <w:t xml:space="preserve"> and was particularly controversial during the parliamentary process</w:t>
      </w:r>
      <w:r w:rsidR="00F065BC" w:rsidRPr="002239BF">
        <w:rPr>
          <w:rFonts w:ascii="Times New Roman" w:hAnsi="Times New Roman" w:cs="Times New Roman"/>
          <w:sz w:val="24"/>
          <w:szCs w:val="24"/>
        </w:rPr>
        <w:t>.</w:t>
      </w:r>
      <w:r w:rsidRPr="002239BF">
        <w:rPr>
          <w:rFonts w:ascii="Times New Roman" w:hAnsi="Times New Roman" w:cs="Times New Roman"/>
          <w:sz w:val="24"/>
          <w:szCs w:val="24"/>
        </w:rPr>
        <w:t xml:space="preserve"> </w:t>
      </w:r>
      <w:r w:rsidR="00FC4BA5" w:rsidRPr="002239BF">
        <w:rPr>
          <w:rFonts w:ascii="Times New Roman" w:hAnsi="Times New Roman" w:cs="Times New Roman"/>
          <w:sz w:val="24"/>
          <w:szCs w:val="24"/>
        </w:rPr>
        <w:t xml:space="preserve">Under the </w:t>
      </w:r>
      <w:r w:rsidR="00E61861" w:rsidRPr="002239BF">
        <w:rPr>
          <w:rFonts w:ascii="Times New Roman" w:hAnsi="Times New Roman" w:cs="Times New Roman"/>
          <w:sz w:val="24"/>
          <w:szCs w:val="24"/>
        </w:rPr>
        <w:t>scheme</w:t>
      </w:r>
      <w:r w:rsidR="00FC4BA5" w:rsidRPr="002239BF">
        <w:rPr>
          <w:rFonts w:ascii="Times New Roman" w:hAnsi="Times New Roman" w:cs="Times New Roman"/>
          <w:sz w:val="24"/>
          <w:szCs w:val="24"/>
        </w:rPr>
        <w:t>, t</w:t>
      </w:r>
      <w:r w:rsidR="005B1F2A" w:rsidRPr="002239BF">
        <w:rPr>
          <w:rFonts w:ascii="Times New Roman" w:hAnsi="Times New Roman" w:cs="Times New Roman"/>
          <w:sz w:val="24"/>
          <w:szCs w:val="24"/>
        </w:rPr>
        <w:t>wo new duties are i</w:t>
      </w:r>
      <w:r w:rsidR="00C5349D" w:rsidRPr="002239BF">
        <w:rPr>
          <w:rFonts w:ascii="Times New Roman" w:hAnsi="Times New Roman" w:cs="Times New Roman"/>
          <w:sz w:val="24"/>
          <w:szCs w:val="24"/>
        </w:rPr>
        <w:t>mposed on planning authorities</w:t>
      </w:r>
      <w:r w:rsidR="00191108" w:rsidRPr="002239BF">
        <w:rPr>
          <w:rStyle w:val="FootnoteReference"/>
          <w:rFonts w:ascii="Times New Roman" w:hAnsi="Times New Roman" w:cs="Times New Roman"/>
          <w:sz w:val="24"/>
          <w:szCs w:val="24"/>
          <w:lang w:val="en"/>
        </w:rPr>
        <w:footnoteReference w:id="21"/>
      </w:r>
      <w:r w:rsidR="00C5349D" w:rsidRPr="002239BF">
        <w:rPr>
          <w:rFonts w:ascii="Times New Roman" w:hAnsi="Times New Roman" w:cs="Times New Roman"/>
          <w:sz w:val="24"/>
          <w:szCs w:val="24"/>
        </w:rPr>
        <w:t xml:space="preserve"> </w:t>
      </w:r>
      <w:r w:rsidR="00F662C5" w:rsidRPr="002239BF">
        <w:rPr>
          <w:rFonts w:ascii="Times New Roman" w:hAnsi="Times New Roman" w:cs="Times New Roman"/>
          <w:sz w:val="24"/>
          <w:szCs w:val="24"/>
        </w:rPr>
        <w:t>for</w:t>
      </w:r>
      <w:r w:rsidR="00C5349D" w:rsidRPr="002239BF">
        <w:rPr>
          <w:rFonts w:ascii="Times New Roman" w:hAnsi="Times New Roman" w:cs="Times New Roman"/>
          <w:sz w:val="24"/>
          <w:szCs w:val="24"/>
        </w:rPr>
        <w:t xml:space="preserve"> the promotion of</w:t>
      </w:r>
      <w:r w:rsidR="005B1F2A" w:rsidRPr="002239BF">
        <w:rPr>
          <w:rFonts w:ascii="Times New Roman" w:hAnsi="Times New Roman" w:cs="Times New Roman"/>
          <w:sz w:val="24"/>
          <w:szCs w:val="24"/>
        </w:rPr>
        <w:t xml:space="preserve"> </w:t>
      </w:r>
      <w:r w:rsidR="00FC4BA5" w:rsidRPr="002239BF">
        <w:rPr>
          <w:rFonts w:ascii="Times New Roman" w:hAnsi="Times New Roman" w:cs="Times New Roman"/>
          <w:sz w:val="24"/>
          <w:szCs w:val="24"/>
        </w:rPr>
        <w:t>‘</w:t>
      </w:r>
      <w:r w:rsidR="00C5349D" w:rsidRPr="002239BF">
        <w:rPr>
          <w:rFonts w:ascii="Times New Roman" w:hAnsi="Times New Roman" w:cs="Times New Roman"/>
          <w:sz w:val="24"/>
          <w:szCs w:val="24"/>
          <w:lang w:val="en"/>
        </w:rPr>
        <w:t>Starter Homes</w:t>
      </w:r>
      <w:r w:rsidR="00FC4BA5" w:rsidRPr="002239BF">
        <w:rPr>
          <w:rFonts w:ascii="Times New Roman" w:hAnsi="Times New Roman" w:cs="Times New Roman"/>
          <w:sz w:val="24"/>
          <w:szCs w:val="24"/>
          <w:lang w:val="en"/>
        </w:rPr>
        <w:t>’</w:t>
      </w:r>
      <w:r w:rsidR="00191108" w:rsidRPr="002239BF">
        <w:rPr>
          <w:rFonts w:ascii="Times New Roman" w:hAnsi="Times New Roman" w:cs="Times New Roman"/>
          <w:sz w:val="24"/>
          <w:szCs w:val="24"/>
          <w:lang w:val="en"/>
        </w:rPr>
        <w:t xml:space="preserve">; </w:t>
      </w:r>
      <w:r w:rsidR="00C5349D" w:rsidRPr="002239BF">
        <w:rPr>
          <w:rFonts w:ascii="Times New Roman" w:hAnsi="Times New Roman" w:cs="Times New Roman"/>
          <w:sz w:val="24"/>
          <w:szCs w:val="24"/>
          <w:lang w:val="en"/>
        </w:rPr>
        <w:t xml:space="preserve">new-build properties aimed at first-time buyers </w:t>
      </w:r>
      <w:r w:rsidR="00191108" w:rsidRPr="002239BF">
        <w:rPr>
          <w:rFonts w:ascii="Times New Roman" w:hAnsi="Times New Roman" w:cs="Times New Roman"/>
          <w:sz w:val="24"/>
          <w:szCs w:val="24"/>
          <w:lang w:val="en"/>
        </w:rPr>
        <w:t>who</w:t>
      </w:r>
      <w:r w:rsidR="00C5349D" w:rsidRPr="002239BF">
        <w:rPr>
          <w:rFonts w:ascii="Times New Roman" w:hAnsi="Times New Roman" w:cs="Times New Roman"/>
          <w:sz w:val="24"/>
          <w:szCs w:val="24"/>
          <w:lang w:val="en"/>
        </w:rPr>
        <w:t xml:space="preserve"> </w:t>
      </w:r>
      <w:r w:rsidR="008E2A06" w:rsidRPr="002239BF">
        <w:rPr>
          <w:rFonts w:ascii="Times New Roman" w:hAnsi="Times New Roman" w:cs="Times New Roman"/>
          <w:sz w:val="24"/>
          <w:szCs w:val="24"/>
          <w:lang w:val="en"/>
        </w:rPr>
        <w:t xml:space="preserve">will </w:t>
      </w:r>
      <w:r w:rsidR="00C5349D" w:rsidRPr="002239BF">
        <w:rPr>
          <w:rFonts w:ascii="Times New Roman" w:hAnsi="Times New Roman" w:cs="Times New Roman"/>
          <w:sz w:val="24"/>
          <w:szCs w:val="24"/>
          <w:lang w:val="en"/>
        </w:rPr>
        <w:t xml:space="preserve">receive a discount of </w:t>
      </w:r>
      <w:r w:rsidR="007A3C51" w:rsidRPr="002239BF">
        <w:rPr>
          <w:rFonts w:ascii="Times New Roman" w:hAnsi="Times New Roman" w:cs="Times New Roman"/>
          <w:sz w:val="24"/>
          <w:szCs w:val="24"/>
          <w:lang w:val="en"/>
        </w:rPr>
        <w:t xml:space="preserve">at least </w:t>
      </w:r>
      <w:r w:rsidR="00C5349D" w:rsidRPr="002239BF">
        <w:rPr>
          <w:rFonts w:ascii="Times New Roman" w:hAnsi="Times New Roman" w:cs="Times New Roman"/>
          <w:sz w:val="24"/>
          <w:szCs w:val="24"/>
          <w:lang w:val="en"/>
        </w:rPr>
        <w:t>20 per cent on the purchase price.</w:t>
      </w:r>
      <w:r w:rsidR="00C5349D" w:rsidRPr="002239BF">
        <w:rPr>
          <w:rStyle w:val="FootnoteReference"/>
          <w:rFonts w:ascii="Times New Roman" w:hAnsi="Times New Roman" w:cs="Times New Roman"/>
          <w:sz w:val="24"/>
          <w:szCs w:val="24"/>
          <w:lang w:val="en"/>
        </w:rPr>
        <w:footnoteReference w:id="22"/>
      </w:r>
      <w:r w:rsidR="00C5349D" w:rsidRPr="002239BF">
        <w:rPr>
          <w:rFonts w:ascii="Times New Roman" w:hAnsi="Times New Roman" w:cs="Times New Roman"/>
          <w:sz w:val="24"/>
          <w:szCs w:val="24"/>
          <w:lang w:val="en"/>
        </w:rPr>
        <w:t xml:space="preserve">  </w:t>
      </w:r>
      <w:r w:rsidR="00F662C5" w:rsidRPr="002239BF">
        <w:rPr>
          <w:rFonts w:ascii="Times New Roman" w:hAnsi="Times New Roman" w:cs="Times New Roman"/>
          <w:sz w:val="24"/>
          <w:szCs w:val="24"/>
          <w:lang w:val="en"/>
        </w:rPr>
        <w:t>First, a</w:t>
      </w:r>
      <w:r w:rsidR="00820FD6" w:rsidRPr="002239BF">
        <w:rPr>
          <w:rFonts w:ascii="Times New Roman" w:hAnsi="Times New Roman" w:cs="Times New Roman"/>
          <w:iCs/>
          <w:sz w:val="24"/>
          <w:szCs w:val="24"/>
          <w:lang w:val="en"/>
        </w:rPr>
        <w:t xml:space="preserve"> general duty </w:t>
      </w:r>
      <w:r w:rsidR="005B1F2A" w:rsidRPr="002239BF">
        <w:rPr>
          <w:rFonts w:ascii="Times New Roman" w:hAnsi="Times New Roman" w:cs="Times New Roman"/>
          <w:sz w:val="24"/>
          <w:szCs w:val="24"/>
          <w:lang w:val="en"/>
        </w:rPr>
        <w:t xml:space="preserve">requires all planning authorities in England to promote the supply of </w:t>
      </w:r>
      <w:r w:rsidR="001D3221" w:rsidRPr="002239BF">
        <w:rPr>
          <w:rFonts w:ascii="Times New Roman" w:hAnsi="Times New Roman" w:cs="Times New Roman"/>
          <w:sz w:val="24"/>
          <w:szCs w:val="24"/>
          <w:lang w:val="en"/>
        </w:rPr>
        <w:t>these</w:t>
      </w:r>
      <w:r w:rsidR="005B1F2A" w:rsidRPr="002239BF">
        <w:rPr>
          <w:rFonts w:ascii="Times New Roman" w:hAnsi="Times New Roman" w:cs="Times New Roman"/>
          <w:sz w:val="24"/>
          <w:szCs w:val="24"/>
          <w:lang w:val="en"/>
        </w:rPr>
        <w:t xml:space="preserve"> homes when carrying out relevant planning functions.</w:t>
      </w:r>
      <w:r w:rsidR="00191108" w:rsidRPr="002239BF">
        <w:rPr>
          <w:rStyle w:val="FootnoteReference"/>
          <w:rFonts w:ascii="Times New Roman" w:hAnsi="Times New Roman" w:cs="Times New Roman"/>
          <w:sz w:val="24"/>
          <w:szCs w:val="24"/>
          <w:lang w:val="en"/>
        </w:rPr>
        <w:footnoteReference w:id="23"/>
      </w:r>
      <w:r w:rsidR="005B1F2A" w:rsidRPr="002239BF">
        <w:rPr>
          <w:rFonts w:ascii="Times New Roman" w:hAnsi="Times New Roman" w:cs="Times New Roman"/>
          <w:sz w:val="24"/>
          <w:szCs w:val="24"/>
          <w:lang w:val="en"/>
        </w:rPr>
        <w:t xml:space="preserve">  </w:t>
      </w:r>
      <w:r w:rsidR="00F662C5" w:rsidRPr="002239BF">
        <w:rPr>
          <w:rFonts w:ascii="Times New Roman" w:hAnsi="Times New Roman" w:cs="Times New Roman"/>
          <w:sz w:val="24"/>
          <w:szCs w:val="24"/>
          <w:lang w:val="en"/>
        </w:rPr>
        <w:t>Secondly, a</w:t>
      </w:r>
      <w:r w:rsidR="005B1F2A" w:rsidRPr="002239BF">
        <w:rPr>
          <w:rFonts w:ascii="Times New Roman" w:hAnsi="Times New Roman" w:cs="Times New Roman"/>
          <w:sz w:val="24"/>
          <w:szCs w:val="24"/>
          <w:lang w:val="en"/>
        </w:rPr>
        <w:t xml:space="preserve"> new duty </w:t>
      </w:r>
      <w:r w:rsidR="00191108" w:rsidRPr="002239BF">
        <w:rPr>
          <w:rFonts w:ascii="Times New Roman" w:hAnsi="Times New Roman" w:cs="Times New Roman"/>
          <w:sz w:val="24"/>
          <w:szCs w:val="24"/>
          <w:lang w:val="en"/>
        </w:rPr>
        <w:t xml:space="preserve">means </w:t>
      </w:r>
      <w:r w:rsidR="007A3C51" w:rsidRPr="002239BF">
        <w:rPr>
          <w:rFonts w:ascii="Times New Roman" w:hAnsi="Times New Roman" w:cs="Times New Roman"/>
          <w:sz w:val="24"/>
          <w:szCs w:val="24"/>
          <w:lang w:val="en"/>
        </w:rPr>
        <w:t xml:space="preserve">that an </w:t>
      </w:r>
      <w:r w:rsidR="001D3221" w:rsidRPr="002239BF">
        <w:rPr>
          <w:rFonts w:ascii="Times New Roman" w:hAnsi="Times New Roman" w:cs="Times New Roman"/>
          <w:sz w:val="24"/>
          <w:szCs w:val="24"/>
          <w:lang w:val="en"/>
        </w:rPr>
        <w:t>affected</w:t>
      </w:r>
      <w:r w:rsidR="007A3C51" w:rsidRPr="002239BF">
        <w:rPr>
          <w:rFonts w:ascii="Times New Roman" w:hAnsi="Times New Roman" w:cs="Times New Roman"/>
          <w:sz w:val="24"/>
          <w:szCs w:val="24"/>
          <w:lang w:val="en"/>
        </w:rPr>
        <w:t xml:space="preserve"> authority will only be able to grant planning permission for certain residential developments if </w:t>
      </w:r>
      <w:r w:rsidR="00F662C5" w:rsidRPr="002239BF">
        <w:rPr>
          <w:rFonts w:ascii="Times New Roman" w:hAnsi="Times New Roman" w:cs="Times New Roman"/>
          <w:sz w:val="24"/>
          <w:szCs w:val="24"/>
          <w:lang w:val="en"/>
        </w:rPr>
        <w:t xml:space="preserve">starter homes </w:t>
      </w:r>
      <w:r w:rsidR="007A3C51" w:rsidRPr="002239BF">
        <w:rPr>
          <w:rFonts w:ascii="Times New Roman" w:hAnsi="Times New Roman" w:cs="Times New Roman"/>
          <w:sz w:val="24"/>
          <w:szCs w:val="24"/>
          <w:lang w:val="en"/>
        </w:rPr>
        <w:t>requirements are met.</w:t>
      </w:r>
      <w:r w:rsidR="00191108" w:rsidRPr="002239BF">
        <w:rPr>
          <w:rStyle w:val="FootnoteReference"/>
          <w:rFonts w:ascii="Times New Roman" w:hAnsi="Times New Roman" w:cs="Times New Roman"/>
          <w:sz w:val="24"/>
          <w:szCs w:val="24"/>
          <w:lang w:val="en"/>
        </w:rPr>
        <w:footnoteReference w:id="24"/>
      </w:r>
      <w:r w:rsidR="007A3C51" w:rsidRPr="002239BF">
        <w:rPr>
          <w:rFonts w:ascii="Times New Roman" w:hAnsi="Times New Roman" w:cs="Times New Roman"/>
          <w:sz w:val="24"/>
          <w:szCs w:val="24"/>
          <w:lang w:val="en"/>
        </w:rPr>
        <w:t xml:space="preserve">  </w:t>
      </w:r>
      <w:r w:rsidR="00F662C5" w:rsidRPr="002239BF">
        <w:rPr>
          <w:rFonts w:ascii="Times New Roman" w:hAnsi="Times New Roman" w:cs="Times New Roman"/>
          <w:sz w:val="24"/>
          <w:szCs w:val="24"/>
          <w:lang w:val="en"/>
        </w:rPr>
        <w:t>These obligations follow</w:t>
      </w:r>
      <w:r w:rsidR="005B1F2A" w:rsidRPr="002239BF">
        <w:rPr>
          <w:rFonts w:ascii="Times New Roman" w:hAnsi="Times New Roman" w:cs="Times New Roman"/>
          <w:sz w:val="24"/>
          <w:szCs w:val="24"/>
          <w:lang w:val="en"/>
        </w:rPr>
        <w:t xml:space="preserve"> the </w:t>
      </w:r>
      <w:r w:rsidR="00191108" w:rsidRPr="002239BF">
        <w:rPr>
          <w:rFonts w:ascii="Times New Roman" w:hAnsi="Times New Roman" w:cs="Times New Roman"/>
          <w:sz w:val="24"/>
          <w:szCs w:val="24"/>
          <w:lang w:val="en"/>
        </w:rPr>
        <w:t>publication in July 2015 of the</w:t>
      </w:r>
      <w:r w:rsidR="005B1F2A" w:rsidRPr="002239BF">
        <w:rPr>
          <w:rFonts w:ascii="Times New Roman" w:hAnsi="Times New Roman" w:cs="Times New Roman"/>
          <w:sz w:val="24"/>
          <w:szCs w:val="24"/>
          <w:lang w:val="en"/>
        </w:rPr>
        <w:t xml:space="preserve"> Government’s Productivity Plan</w:t>
      </w:r>
      <w:bookmarkStart w:id="5" w:name="_Ref461890897"/>
      <w:r w:rsidR="00A86D9C" w:rsidRPr="002239BF">
        <w:rPr>
          <w:rStyle w:val="FootnoteReference"/>
          <w:rFonts w:ascii="Times New Roman" w:hAnsi="Times New Roman" w:cs="Times New Roman"/>
          <w:sz w:val="24"/>
          <w:szCs w:val="24"/>
          <w:lang w:val="en"/>
        </w:rPr>
        <w:footnoteReference w:id="25"/>
      </w:r>
      <w:bookmarkEnd w:id="5"/>
      <w:r w:rsidR="007A3C51" w:rsidRPr="002239BF">
        <w:rPr>
          <w:rFonts w:ascii="Times New Roman" w:hAnsi="Times New Roman" w:cs="Times New Roman"/>
          <w:sz w:val="24"/>
          <w:szCs w:val="24"/>
          <w:lang w:val="en"/>
        </w:rPr>
        <w:t xml:space="preserve"> </w:t>
      </w:r>
      <w:r w:rsidR="00880430" w:rsidRPr="002239BF">
        <w:rPr>
          <w:rFonts w:ascii="Times New Roman" w:hAnsi="Times New Roman" w:cs="Times New Roman"/>
          <w:sz w:val="24"/>
          <w:szCs w:val="24"/>
          <w:lang w:val="en"/>
        </w:rPr>
        <w:t>and</w:t>
      </w:r>
      <w:r w:rsidR="007A3C51" w:rsidRPr="002239BF">
        <w:rPr>
          <w:rFonts w:ascii="Times New Roman" w:hAnsi="Times New Roman" w:cs="Times New Roman"/>
          <w:sz w:val="24"/>
          <w:szCs w:val="24"/>
          <w:lang w:val="en"/>
        </w:rPr>
        <w:t xml:space="preserve"> </w:t>
      </w:r>
      <w:r w:rsidR="00F662C5" w:rsidRPr="002239BF">
        <w:rPr>
          <w:rFonts w:ascii="Times New Roman" w:hAnsi="Times New Roman" w:cs="Times New Roman"/>
          <w:sz w:val="24"/>
          <w:szCs w:val="24"/>
          <w:lang w:val="en"/>
        </w:rPr>
        <w:t>are</w:t>
      </w:r>
      <w:r w:rsidR="005B1F2A" w:rsidRPr="002239BF">
        <w:rPr>
          <w:rFonts w:ascii="Times New Roman" w:hAnsi="Times New Roman" w:cs="Times New Roman"/>
          <w:sz w:val="24"/>
          <w:szCs w:val="24"/>
          <w:lang w:val="en"/>
        </w:rPr>
        <w:t xml:space="preserve"> intended </w:t>
      </w:r>
      <w:r w:rsidR="00AB00F4" w:rsidRPr="002239BF">
        <w:rPr>
          <w:rFonts w:ascii="Times New Roman" w:hAnsi="Times New Roman" w:cs="Times New Roman"/>
          <w:sz w:val="24"/>
          <w:szCs w:val="24"/>
          <w:lang w:val="en"/>
        </w:rPr>
        <w:t xml:space="preserve">to fulfil the </w:t>
      </w:r>
      <w:r w:rsidR="001D3221" w:rsidRPr="002239BF">
        <w:rPr>
          <w:rFonts w:ascii="Times New Roman" w:hAnsi="Times New Roman" w:cs="Times New Roman"/>
          <w:sz w:val="24"/>
          <w:szCs w:val="24"/>
          <w:lang w:val="en"/>
        </w:rPr>
        <w:t xml:space="preserve">stated </w:t>
      </w:r>
      <w:r w:rsidR="00AB00F4" w:rsidRPr="002239BF">
        <w:rPr>
          <w:rFonts w:ascii="Times New Roman" w:hAnsi="Times New Roman" w:cs="Times New Roman"/>
          <w:sz w:val="24"/>
          <w:szCs w:val="24"/>
          <w:lang w:val="en"/>
        </w:rPr>
        <w:t>ambition to ‘see starter homes built on housing sites across the country’.</w:t>
      </w:r>
      <w:bookmarkStart w:id="6" w:name="_Ref461890732"/>
      <w:r w:rsidR="00AB00F4" w:rsidRPr="002239BF">
        <w:rPr>
          <w:rStyle w:val="FootnoteReference"/>
          <w:rFonts w:ascii="Times New Roman" w:hAnsi="Times New Roman" w:cs="Times New Roman"/>
          <w:sz w:val="24"/>
          <w:szCs w:val="24"/>
          <w:lang w:val="en"/>
        </w:rPr>
        <w:footnoteReference w:id="26"/>
      </w:r>
      <w:bookmarkEnd w:id="6"/>
      <w:r w:rsidR="005B1F2A" w:rsidRPr="002239BF">
        <w:rPr>
          <w:rFonts w:ascii="Times New Roman" w:hAnsi="Times New Roman" w:cs="Times New Roman"/>
          <w:sz w:val="24"/>
          <w:szCs w:val="24"/>
          <w:lang w:val="en"/>
        </w:rPr>
        <w:t xml:space="preserve">  </w:t>
      </w:r>
      <w:r w:rsidR="007A3C51" w:rsidRPr="002239BF">
        <w:rPr>
          <w:rFonts w:ascii="Times New Roman" w:hAnsi="Times New Roman" w:cs="Times New Roman"/>
          <w:sz w:val="24"/>
          <w:szCs w:val="24"/>
          <w:lang w:val="en"/>
        </w:rPr>
        <w:t>The specific</w:t>
      </w:r>
      <w:r w:rsidR="005B1F2A" w:rsidRPr="002239BF">
        <w:rPr>
          <w:rFonts w:ascii="Times New Roman" w:hAnsi="Times New Roman" w:cs="Times New Roman"/>
          <w:sz w:val="24"/>
          <w:szCs w:val="24"/>
          <w:lang w:val="en"/>
        </w:rPr>
        <w:t xml:space="preserve"> requirements are to be set out in regulations</w:t>
      </w:r>
      <w:r w:rsidR="003A01FE" w:rsidRPr="002239BF">
        <w:rPr>
          <w:rFonts w:ascii="Times New Roman" w:hAnsi="Times New Roman" w:cs="Times New Roman"/>
          <w:sz w:val="24"/>
          <w:szCs w:val="24"/>
          <w:lang w:val="en"/>
        </w:rPr>
        <w:t xml:space="preserve"> on which the government consulted in 2016</w:t>
      </w:r>
      <w:r w:rsidR="00621FD8" w:rsidRPr="002239BF">
        <w:rPr>
          <w:rFonts w:ascii="Times New Roman" w:hAnsi="Times New Roman" w:cs="Times New Roman"/>
          <w:sz w:val="24"/>
          <w:szCs w:val="24"/>
          <w:lang w:val="en"/>
        </w:rPr>
        <w:t>.</w:t>
      </w:r>
      <w:r w:rsidR="003A01FE" w:rsidRPr="002239BF">
        <w:rPr>
          <w:rStyle w:val="FootnoteReference"/>
          <w:rFonts w:ascii="Times New Roman" w:hAnsi="Times New Roman" w:cs="Times New Roman"/>
          <w:sz w:val="24"/>
          <w:szCs w:val="24"/>
          <w:lang w:val="en"/>
        </w:rPr>
        <w:footnoteReference w:id="27"/>
      </w:r>
      <w:r w:rsidR="001C7C8E" w:rsidRPr="002239BF">
        <w:rPr>
          <w:rFonts w:ascii="Times New Roman" w:hAnsi="Times New Roman" w:cs="Times New Roman"/>
          <w:sz w:val="24"/>
          <w:szCs w:val="24"/>
          <w:lang w:val="en"/>
        </w:rPr>
        <w:t xml:space="preserve"> T</w:t>
      </w:r>
      <w:r w:rsidR="006767D7" w:rsidRPr="002239BF">
        <w:rPr>
          <w:rFonts w:ascii="Times New Roman" w:hAnsi="Times New Roman" w:cs="Times New Roman"/>
          <w:sz w:val="24"/>
          <w:szCs w:val="24"/>
          <w:lang w:val="en"/>
        </w:rPr>
        <w:t>he 2017 White Paper</w:t>
      </w:r>
      <w:r w:rsidR="001C7C8E" w:rsidRPr="002239BF">
        <w:rPr>
          <w:rFonts w:ascii="Times New Roman" w:hAnsi="Times New Roman" w:cs="Times New Roman"/>
          <w:sz w:val="24"/>
          <w:szCs w:val="24"/>
          <w:lang w:val="en"/>
        </w:rPr>
        <w:t>, however,</w:t>
      </w:r>
      <w:r w:rsidR="006767D7" w:rsidRPr="002239BF">
        <w:rPr>
          <w:rFonts w:ascii="Times New Roman" w:hAnsi="Times New Roman" w:cs="Times New Roman"/>
          <w:sz w:val="24"/>
          <w:szCs w:val="24"/>
          <w:lang w:val="en"/>
        </w:rPr>
        <w:t xml:space="preserve"> proposes that any mandatory requirement as to the number of starter homes to be </w:t>
      </w:r>
      <w:r w:rsidR="001C7C8E" w:rsidRPr="002239BF">
        <w:rPr>
          <w:rFonts w:ascii="Times New Roman" w:hAnsi="Times New Roman" w:cs="Times New Roman"/>
          <w:sz w:val="24"/>
          <w:szCs w:val="24"/>
          <w:lang w:val="en"/>
        </w:rPr>
        <w:t>built be dropped in favour of a</w:t>
      </w:r>
      <w:r w:rsidR="0039350B" w:rsidRPr="002239BF">
        <w:rPr>
          <w:rFonts w:ascii="Times New Roman" w:hAnsi="Times New Roman" w:cs="Times New Roman"/>
          <w:sz w:val="24"/>
          <w:szCs w:val="24"/>
          <w:lang w:val="en"/>
        </w:rPr>
        <w:t xml:space="preserve"> minimum delivery of 10 per cent</w:t>
      </w:r>
      <w:r w:rsidR="006767D7" w:rsidRPr="002239BF">
        <w:rPr>
          <w:rFonts w:ascii="Times New Roman" w:hAnsi="Times New Roman" w:cs="Times New Roman"/>
          <w:sz w:val="24"/>
          <w:szCs w:val="24"/>
          <w:lang w:val="en"/>
        </w:rPr>
        <w:t xml:space="preserve"> of a more broadly-defined category of ‘affordable home ownership units.’</w:t>
      </w:r>
      <w:r w:rsidR="006767D7" w:rsidRPr="002239BF">
        <w:rPr>
          <w:rFonts w:ascii="Times New Roman" w:hAnsi="Times New Roman" w:cs="Times New Roman"/>
          <w:sz w:val="24"/>
          <w:szCs w:val="24"/>
          <w:vertAlign w:val="superscript"/>
          <w:lang w:val="en"/>
        </w:rPr>
        <w:footnoteReference w:id="28"/>
      </w:r>
      <w:r w:rsidR="006767D7" w:rsidRPr="002239BF">
        <w:rPr>
          <w:rFonts w:ascii="Times New Roman" w:hAnsi="Times New Roman" w:cs="Times New Roman"/>
          <w:sz w:val="24"/>
          <w:szCs w:val="24"/>
          <w:lang w:val="en"/>
        </w:rPr>
        <w:t xml:space="preserve"> Councils will, </w:t>
      </w:r>
      <w:r w:rsidR="001C7C8E" w:rsidRPr="002239BF">
        <w:rPr>
          <w:rFonts w:ascii="Times New Roman" w:hAnsi="Times New Roman" w:cs="Times New Roman"/>
          <w:sz w:val="24"/>
          <w:szCs w:val="24"/>
          <w:lang w:val="en"/>
        </w:rPr>
        <w:t>nevertheless</w:t>
      </w:r>
      <w:r w:rsidR="006767D7" w:rsidRPr="002239BF">
        <w:rPr>
          <w:rFonts w:ascii="Times New Roman" w:hAnsi="Times New Roman" w:cs="Times New Roman"/>
          <w:sz w:val="24"/>
          <w:szCs w:val="24"/>
          <w:lang w:val="en"/>
        </w:rPr>
        <w:t xml:space="preserve">, remain subject to the general duty to promote starter homes albeit without a statutory requirement as to how many it must build. </w:t>
      </w:r>
    </w:p>
    <w:p w14:paraId="32CAF7E6" w14:textId="0B2B7F15" w:rsidR="006767D7" w:rsidRPr="002239BF" w:rsidRDefault="00191108" w:rsidP="006767D7">
      <w:pPr>
        <w:tabs>
          <w:tab w:val="num" w:pos="720"/>
        </w:tabs>
        <w:spacing w:line="480" w:lineRule="auto"/>
        <w:rPr>
          <w:rFonts w:ascii="Times New Roman" w:hAnsi="Times New Roman" w:cs="Times New Roman"/>
          <w:sz w:val="24"/>
          <w:szCs w:val="24"/>
          <w:lang w:val="en"/>
        </w:rPr>
      </w:pPr>
      <w:r w:rsidRPr="002239BF">
        <w:rPr>
          <w:rFonts w:ascii="Times New Roman" w:hAnsi="Times New Roman" w:cs="Times New Roman"/>
          <w:sz w:val="24"/>
          <w:szCs w:val="24"/>
          <w:lang w:val="en"/>
        </w:rPr>
        <w:t xml:space="preserve">The new duty </w:t>
      </w:r>
      <w:r w:rsidR="00D3075D" w:rsidRPr="002239BF">
        <w:rPr>
          <w:rFonts w:ascii="Times New Roman" w:hAnsi="Times New Roman" w:cs="Times New Roman"/>
          <w:sz w:val="24"/>
          <w:szCs w:val="24"/>
          <w:lang w:val="en"/>
        </w:rPr>
        <w:t xml:space="preserve">is likely to operate </w:t>
      </w:r>
      <w:r w:rsidR="007A3C51" w:rsidRPr="002239BF">
        <w:rPr>
          <w:rFonts w:ascii="Times New Roman" w:hAnsi="Times New Roman" w:cs="Times New Roman"/>
          <w:sz w:val="24"/>
          <w:szCs w:val="24"/>
          <w:lang w:val="en"/>
        </w:rPr>
        <w:t>in conjunction with</w:t>
      </w:r>
      <w:r w:rsidR="00F662C5" w:rsidRPr="002239BF">
        <w:rPr>
          <w:rFonts w:ascii="Times New Roman" w:hAnsi="Times New Roman" w:cs="Times New Roman"/>
          <w:sz w:val="24"/>
          <w:szCs w:val="24"/>
          <w:lang w:val="en"/>
        </w:rPr>
        <w:t xml:space="preserve"> the current</w:t>
      </w:r>
      <w:r w:rsidR="00D3075D" w:rsidRPr="002239BF">
        <w:rPr>
          <w:rFonts w:ascii="Times New Roman" w:hAnsi="Times New Roman" w:cs="Times New Roman"/>
          <w:sz w:val="24"/>
          <w:szCs w:val="24"/>
          <w:lang w:val="en"/>
        </w:rPr>
        <w:t xml:space="preserve"> mechanism through which affordable housing is delivered</w:t>
      </w:r>
      <w:r w:rsidR="00F662C5" w:rsidRPr="002239BF">
        <w:rPr>
          <w:rFonts w:ascii="Times New Roman" w:hAnsi="Times New Roman" w:cs="Times New Roman"/>
          <w:sz w:val="24"/>
          <w:szCs w:val="24"/>
          <w:lang w:val="en"/>
        </w:rPr>
        <w:t>; so-called section 106 agreements.</w:t>
      </w:r>
      <w:r w:rsidR="00556D21" w:rsidRPr="002239BF">
        <w:rPr>
          <w:rStyle w:val="FootnoteReference"/>
          <w:rFonts w:ascii="Times New Roman" w:hAnsi="Times New Roman" w:cs="Times New Roman"/>
          <w:sz w:val="24"/>
          <w:szCs w:val="24"/>
          <w:lang w:val="en"/>
        </w:rPr>
        <w:footnoteReference w:id="29"/>
      </w:r>
      <w:r w:rsidR="00556D21" w:rsidRPr="002239BF">
        <w:rPr>
          <w:rFonts w:ascii="Times New Roman" w:hAnsi="Times New Roman" w:cs="Times New Roman"/>
          <w:sz w:val="24"/>
          <w:szCs w:val="24"/>
          <w:lang w:val="en"/>
        </w:rPr>
        <w:t xml:space="preserve">  </w:t>
      </w:r>
      <w:r w:rsidR="00D3075D" w:rsidRPr="002239BF">
        <w:rPr>
          <w:rFonts w:ascii="Times New Roman" w:hAnsi="Times New Roman" w:cs="Times New Roman"/>
          <w:sz w:val="24"/>
          <w:szCs w:val="24"/>
          <w:lang w:val="en"/>
        </w:rPr>
        <w:t>The</w:t>
      </w:r>
      <w:r w:rsidR="00E35553" w:rsidRPr="002239BF">
        <w:rPr>
          <w:rFonts w:ascii="Times New Roman" w:hAnsi="Times New Roman" w:cs="Times New Roman"/>
          <w:sz w:val="24"/>
          <w:szCs w:val="24"/>
          <w:lang w:val="en"/>
        </w:rPr>
        <w:t xml:space="preserve"> Joseph Rowntree Foundation has expressed concern</w:t>
      </w:r>
      <w:r w:rsidR="00556D21" w:rsidRPr="002239BF">
        <w:rPr>
          <w:rFonts w:ascii="Times New Roman" w:hAnsi="Times New Roman" w:cs="Times New Roman"/>
          <w:sz w:val="24"/>
          <w:szCs w:val="24"/>
          <w:lang w:val="en"/>
        </w:rPr>
        <w:t xml:space="preserve"> about the </w:t>
      </w:r>
      <w:r w:rsidR="00F64663" w:rsidRPr="002239BF">
        <w:rPr>
          <w:rFonts w:ascii="Times New Roman" w:hAnsi="Times New Roman" w:cs="Times New Roman"/>
          <w:sz w:val="24"/>
          <w:szCs w:val="24"/>
          <w:lang w:val="en"/>
        </w:rPr>
        <w:t>scheme</w:t>
      </w:r>
      <w:r w:rsidR="00E35553" w:rsidRPr="002239BF">
        <w:rPr>
          <w:rFonts w:ascii="Times New Roman" w:hAnsi="Times New Roman" w:cs="Times New Roman"/>
          <w:sz w:val="24"/>
          <w:szCs w:val="24"/>
          <w:lang w:val="en"/>
        </w:rPr>
        <w:t>, arguing that section 106 is an important mechanism for the delivery of affordable rented housing.</w:t>
      </w:r>
      <w:r w:rsidR="00E35553" w:rsidRPr="002239BF">
        <w:rPr>
          <w:rStyle w:val="FootnoteReference"/>
          <w:rFonts w:ascii="Times New Roman" w:hAnsi="Times New Roman" w:cs="Times New Roman"/>
          <w:sz w:val="24"/>
          <w:szCs w:val="24"/>
          <w:lang w:val="en"/>
        </w:rPr>
        <w:footnoteReference w:id="30"/>
      </w:r>
      <w:r w:rsidR="00F970DC" w:rsidRPr="002239BF">
        <w:rPr>
          <w:rFonts w:ascii="Times New Roman" w:hAnsi="Times New Roman" w:cs="Times New Roman"/>
          <w:sz w:val="24"/>
          <w:szCs w:val="24"/>
          <w:lang w:val="en"/>
        </w:rPr>
        <w:t xml:space="preserve">  Its research suggests that only three per cent of social tenants could afford shared ownership or starter homes.</w:t>
      </w:r>
      <w:r w:rsidR="00F970DC" w:rsidRPr="002239BF">
        <w:rPr>
          <w:rStyle w:val="FootnoteReference"/>
          <w:rFonts w:ascii="Times New Roman" w:hAnsi="Times New Roman" w:cs="Times New Roman"/>
          <w:sz w:val="24"/>
          <w:szCs w:val="24"/>
          <w:lang w:val="en"/>
        </w:rPr>
        <w:footnoteReference w:id="31"/>
      </w:r>
      <w:r w:rsidR="00C81340" w:rsidRPr="002239BF">
        <w:rPr>
          <w:rFonts w:ascii="Times New Roman" w:hAnsi="Times New Roman" w:cs="Times New Roman"/>
          <w:sz w:val="24"/>
          <w:szCs w:val="24"/>
          <w:lang w:val="en"/>
        </w:rPr>
        <w:t xml:space="preserve">  The Local Government Association (LGA) was </w:t>
      </w:r>
      <w:r w:rsidR="003A01FE" w:rsidRPr="002239BF">
        <w:rPr>
          <w:rFonts w:ascii="Times New Roman" w:hAnsi="Times New Roman" w:cs="Times New Roman"/>
          <w:sz w:val="24"/>
          <w:szCs w:val="24"/>
          <w:lang w:val="en"/>
        </w:rPr>
        <w:t xml:space="preserve">also </w:t>
      </w:r>
      <w:r w:rsidR="00C81340" w:rsidRPr="002239BF">
        <w:rPr>
          <w:rFonts w:ascii="Times New Roman" w:hAnsi="Times New Roman" w:cs="Times New Roman"/>
          <w:sz w:val="24"/>
          <w:szCs w:val="24"/>
          <w:lang w:val="en"/>
        </w:rPr>
        <w:t xml:space="preserve">critical, arguing that </w:t>
      </w:r>
      <w:r w:rsidR="003245FF" w:rsidRPr="002239BF">
        <w:rPr>
          <w:rFonts w:ascii="Times New Roman" w:hAnsi="Times New Roman" w:cs="Times New Roman"/>
          <w:sz w:val="24"/>
          <w:szCs w:val="24"/>
          <w:lang w:val="en"/>
        </w:rPr>
        <w:t>‘</w:t>
      </w:r>
      <w:r w:rsidR="00C81340" w:rsidRPr="002239BF">
        <w:rPr>
          <w:rFonts w:ascii="Times New Roman" w:hAnsi="Times New Roman" w:cs="Times New Roman"/>
          <w:sz w:val="24"/>
          <w:szCs w:val="24"/>
          <w:lang w:val="en"/>
        </w:rPr>
        <w:t>Councils need the powers and flexibility to shape the supply of genuinely affordable homes to meet needs of different people in their area …</w:t>
      </w:r>
      <w:r w:rsidR="003245FF" w:rsidRPr="002239BF">
        <w:rPr>
          <w:rFonts w:ascii="Times New Roman" w:hAnsi="Times New Roman" w:cs="Times New Roman"/>
          <w:sz w:val="24"/>
          <w:szCs w:val="24"/>
          <w:lang w:val="en"/>
        </w:rPr>
        <w:t>’</w:t>
      </w:r>
      <w:r w:rsidR="00C81340" w:rsidRPr="002239BF">
        <w:rPr>
          <w:rFonts w:ascii="Times New Roman" w:hAnsi="Times New Roman" w:cs="Times New Roman"/>
          <w:sz w:val="24"/>
          <w:szCs w:val="24"/>
          <w:lang w:val="en"/>
        </w:rPr>
        <w:t>.</w:t>
      </w:r>
      <w:r w:rsidR="00C81340" w:rsidRPr="002239BF">
        <w:rPr>
          <w:rStyle w:val="FootnoteReference"/>
          <w:rFonts w:ascii="Times New Roman" w:hAnsi="Times New Roman" w:cs="Times New Roman"/>
          <w:sz w:val="24"/>
          <w:szCs w:val="24"/>
          <w:lang w:val="en"/>
        </w:rPr>
        <w:footnoteReference w:id="32"/>
      </w:r>
      <w:r w:rsidR="00C81340" w:rsidRPr="002239BF">
        <w:rPr>
          <w:rFonts w:ascii="Times New Roman" w:hAnsi="Times New Roman" w:cs="Times New Roman"/>
          <w:sz w:val="24"/>
          <w:szCs w:val="24"/>
          <w:lang w:val="en"/>
        </w:rPr>
        <w:t xml:space="preserve">  </w:t>
      </w:r>
      <w:r w:rsidR="00A465CC" w:rsidRPr="002239BF">
        <w:rPr>
          <w:rFonts w:ascii="Times New Roman" w:hAnsi="Times New Roman" w:cs="Times New Roman"/>
          <w:sz w:val="24"/>
          <w:szCs w:val="24"/>
          <w:lang w:val="en"/>
        </w:rPr>
        <w:t xml:space="preserve">The Government has claimed that it </w:t>
      </w:r>
      <w:r w:rsidR="00CF1E33" w:rsidRPr="002239BF">
        <w:rPr>
          <w:rFonts w:ascii="Times New Roman" w:hAnsi="Times New Roman" w:cs="Times New Roman"/>
          <w:sz w:val="24"/>
          <w:szCs w:val="24"/>
          <w:lang w:val="en"/>
        </w:rPr>
        <w:t>‘</w:t>
      </w:r>
      <w:r w:rsidR="00A465CC" w:rsidRPr="002239BF">
        <w:rPr>
          <w:rFonts w:ascii="Times New Roman" w:hAnsi="Times New Roman" w:cs="Times New Roman"/>
          <w:sz w:val="24"/>
          <w:szCs w:val="24"/>
          <w:lang w:val="en"/>
        </w:rPr>
        <w:t xml:space="preserve">recognises the importance of local planning authorities' </w:t>
      </w:r>
      <w:r w:rsidR="00880430" w:rsidRPr="002239BF">
        <w:rPr>
          <w:rFonts w:ascii="Times New Roman" w:hAnsi="Times New Roman" w:cs="Times New Roman"/>
          <w:sz w:val="24"/>
          <w:szCs w:val="24"/>
          <w:lang w:val="en"/>
        </w:rPr>
        <w:t xml:space="preserve">[sic] </w:t>
      </w:r>
      <w:r w:rsidR="00A465CC" w:rsidRPr="002239BF">
        <w:rPr>
          <w:rFonts w:ascii="Times New Roman" w:hAnsi="Times New Roman" w:cs="Times New Roman"/>
          <w:sz w:val="24"/>
          <w:szCs w:val="24"/>
          <w:lang w:val="en"/>
        </w:rPr>
        <w:t>continuing to have the local flexibility to secure additional section 106 contributions beyond the starter homes requirement</w:t>
      </w:r>
      <w:r w:rsidR="00CF1E33" w:rsidRPr="002239BF">
        <w:rPr>
          <w:rFonts w:ascii="Times New Roman" w:hAnsi="Times New Roman" w:cs="Times New Roman"/>
          <w:sz w:val="24"/>
          <w:szCs w:val="24"/>
          <w:lang w:val="en"/>
        </w:rPr>
        <w:t>’</w:t>
      </w:r>
      <w:r w:rsidR="00A465CC" w:rsidRPr="002239BF">
        <w:rPr>
          <w:rFonts w:ascii="Times New Roman" w:hAnsi="Times New Roman" w:cs="Times New Roman"/>
          <w:sz w:val="24"/>
          <w:szCs w:val="24"/>
          <w:lang w:val="en"/>
        </w:rPr>
        <w:t>.</w:t>
      </w:r>
      <w:r w:rsidR="00A465CC" w:rsidRPr="002239BF">
        <w:rPr>
          <w:rStyle w:val="FootnoteReference"/>
          <w:rFonts w:ascii="Times New Roman" w:hAnsi="Times New Roman" w:cs="Times New Roman"/>
          <w:sz w:val="24"/>
          <w:szCs w:val="24"/>
          <w:lang w:val="en"/>
        </w:rPr>
        <w:footnoteReference w:id="33"/>
      </w:r>
      <w:r w:rsidR="00780BC9" w:rsidRPr="002239BF">
        <w:rPr>
          <w:rFonts w:ascii="Times New Roman" w:hAnsi="Times New Roman" w:cs="Times New Roman"/>
          <w:sz w:val="24"/>
          <w:szCs w:val="24"/>
          <w:lang w:val="en"/>
        </w:rPr>
        <w:t xml:space="preserve"> </w:t>
      </w:r>
      <w:r w:rsidR="00A465CC" w:rsidRPr="002239BF">
        <w:rPr>
          <w:rFonts w:ascii="Times New Roman" w:hAnsi="Times New Roman" w:cs="Times New Roman"/>
          <w:sz w:val="24"/>
          <w:szCs w:val="24"/>
          <w:lang w:val="en"/>
        </w:rPr>
        <w:t>Nevertheless, its</w:t>
      </w:r>
      <w:r w:rsidR="0090747D" w:rsidRPr="002239BF">
        <w:rPr>
          <w:rFonts w:ascii="Times New Roman" w:hAnsi="Times New Roman" w:cs="Times New Roman"/>
          <w:sz w:val="24"/>
          <w:szCs w:val="24"/>
          <w:lang w:val="en"/>
        </w:rPr>
        <w:t xml:space="preserve"> own impact analysis suggests that for every 100 </w:t>
      </w:r>
      <w:r w:rsidR="00621FD8" w:rsidRPr="002239BF">
        <w:rPr>
          <w:rFonts w:ascii="Times New Roman" w:hAnsi="Times New Roman" w:cs="Times New Roman"/>
          <w:sz w:val="24"/>
          <w:szCs w:val="24"/>
          <w:lang w:val="en"/>
        </w:rPr>
        <w:t>s</w:t>
      </w:r>
      <w:r w:rsidR="0090747D" w:rsidRPr="002239BF">
        <w:rPr>
          <w:rFonts w:ascii="Times New Roman" w:hAnsi="Times New Roman" w:cs="Times New Roman"/>
          <w:sz w:val="24"/>
          <w:szCs w:val="24"/>
          <w:lang w:val="en"/>
        </w:rPr>
        <w:t xml:space="preserve">tarter </w:t>
      </w:r>
      <w:r w:rsidR="00621FD8" w:rsidRPr="002239BF">
        <w:rPr>
          <w:rFonts w:ascii="Times New Roman" w:hAnsi="Times New Roman" w:cs="Times New Roman"/>
          <w:sz w:val="24"/>
          <w:szCs w:val="24"/>
          <w:lang w:val="en"/>
        </w:rPr>
        <w:t>h</w:t>
      </w:r>
      <w:r w:rsidR="0090747D" w:rsidRPr="002239BF">
        <w:rPr>
          <w:rFonts w:ascii="Times New Roman" w:hAnsi="Times New Roman" w:cs="Times New Roman"/>
          <w:sz w:val="24"/>
          <w:szCs w:val="24"/>
          <w:lang w:val="en"/>
        </w:rPr>
        <w:t xml:space="preserve">omes built through </w:t>
      </w:r>
      <w:r w:rsidR="00F662C5" w:rsidRPr="002239BF">
        <w:rPr>
          <w:rFonts w:ascii="Times New Roman" w:hAnsi="Times New Roman" w:cs="Times New Roman"/>
          <w:sz w:val="24"/>
          <w:szCs w:val="24"/>
          <w:lang w:val="en"/>
        </w:rPr>
        <w:t>these</w:t>
      </w:r>
      <w:r w:rsidR="0090747D" w:rsidRPr="002239BF">
        <w:rPr>
          <w:rFonts w:ascii="Times New Roman" w:hAnsi="Times New Roman" w:cs="Times New Roman"/>
          <w:sz w:val="24"/>
          <w:szCs w:val="24"/>
          <w:lang w:val="en"/>
        </w:rPr>
        <w:t xml:space="preserve"> agreements, between 56 and 71 affordable or social rented homes (and a small proportion of low cost home ownership) homes will not be built.</w:t>
      </w:r>
      <w:r w:rsidR="0090747D" w:rsidRPr="002239BF">
        <w:rPr>
          <w:rStyle w:val="FootnoteReference"/>
          <w:rFonts w:ascii="Times New Roman" w:hAnsi="Times New Roman" w:cs="Times New Roman"/>
          <w:sz w:val="24"/>
          <w:szCs w:val="24"/>
          <w:lang w:val="en"/>
        </w:rPr>
        <w:footnoteReference w:id="34"/>
      </w:r>
      <w:r w:rsidR="0090747D" w:rsidRPr="002239BF">
        <w:rPr>
          <w:rFonts w:ascii="Times New Roman" w:hAnsi="Times New Roman" w:cs="Times New Roman"/>
          <w:sz w:val="24"/>
          <w:szCs w:val="24"/>
          <w:lang w:val="en"/>
        </w:rPr>
        <w:t xml:space="preserve">  </w:t>
      </w:r>
      <w:r w:rsidR="00A465CC" w:rsidRPr="002239BF">
        <w:rPr>
          <w:rFonts w:ascii="Times New Roman" w:hAnsi="Times New Roman" w:cs="Times New Roman"/>
          <w:sz w:val="24"/>
          <w:szCs w:val="24"/>
        </w:rPr>
        <w:t xml:space="preserve"> </w:t>
      </w:r>
    </w:p>
    <w:p w14:paraId="7A16626D" w14:textId="36217625" w:rsidR="000415D1" w:rsidRPr="002239BF" w:rsidRDefault="00F662C5" w:rsidP="000415D1">
      <w:pPr>
        <w:tabs>
          <w:tab w:val="num" w:pos="720"/>
        </w:tabs>
        <w:spacing w:line="480" w:lineRule="auto"/>
        <w:rPr>
          <w:rFonts w:ascii="Times New Roman" w:hAnsi="Times New Roman" w:cs="Times New Roman"/>
          <w:sz w:val="24"/>
          <w:szCs w:val="24"/>
          <w:lang w:val="en"/>
        </w:rPr>
      </w:pPr>
      <w:r w:rsidRPr="002239BF">
        <w:rPr>
          <w:rFonts w:ascii="Times New Roman" w:hAnsi="Times New Roman" w:cs="Times New Roman"/>
          <w:sz w:val="24"/>
          <w:szCs w:val="24"/>
          <w:lang w:val="en"/>
        </w:rPr>
        <w:t xml:space="preserve">The new duties </w:t>
      </w:r>
      <w:r w:rsidR="0090747D" w:rsidRPr="002239BF">
        <w:rPr>
          <w:rFonts w:ascii="Times New Roman" w:hAnsi="Times New Roman" w:cs="Times New Roman"/>
          <w:sz w:val="24"/>
          <w:szCs w:val="24"/>
          <w:lang w:val="en"/>
        </w:rPr>
        <w:t>are couched in mandatory language and provision is made for the Secretary of State to issue a compliance direction</w:t>
      </w:r>
      <w:r w:rsidR="00F64663" w:rsidRPr="002239BF">
        <w:rPr>
          <w:rFonts w:ascii="Times New Roman" w:hAnsi="Times New Roman" w:cs="Times New Roman"/>
          <w:sz w:val="24"/>
          <w:szCs w:val="24"/>
          <w:lang w:val="en"/>
        </w:rPr>
        <w:t>,</w:t>
      </w:r>
      <w:r w:rsidR="0090747D" w:rsidRPr="002239BF">
        <w:rPr>
          <w:rFonts w:ascii="Times New Roman" w:hAnsi="Times New Roman" w:cs="Times New Roman"/>
          <w:sz w:val="24"/>
          <w:szCs w:val="24"/>
          <w:lang w:val="en"/>
        </w:rPr>
        <w:t xml:space="preserve"> where satisfied that a local planning authority has</w:t>
      </w:r>
      <w:r w:rsidR="00F64663" w:rsidRPr="002239BF">
        <w:rPr>
          <w:rFonts w:ascii="Times New Roman" w:hAnsi="Times New Roman" w:cs="Times New Roman"/>
          <w:sz w:val="24"/>
          <w:szCs w:val="24"/>
          <w:lang w:val="en"/>
        </w:rPr>
        <w:t xml:space="preserve"> either</w:t>
      </w:r>
      <w:r w:rsidR="0090747D" w:rsidRPr="002239BF">
        <w:rPr>
          <w:rFonts w:ascii="Times New Roman" w:hAnsi="Times New Roman" w:cs="Times New Roman"/>
          <w:sz w:val="24"/>
          <w:szCs w:val="24"/>
          <w:lang w:val="en"/>
        </w:rPr>
        <w:t xml:space="preserve"> failed to carry out its starter homes</w:t>
      </w:r>
      <w:r w:rsidR="00F64663" w:rsidRPr="002239BF">
        <w:rPr>
          <w:rFonts w:ascii="Times New Roman" w:hAnsi="Times New Roman" w:cs="Times New Roman"/>
          <w:sz w:val="24"/>
          <w:szCs w:val="24"/>
          <w:lang w:val="en"/>
        </w:rPr>
        <w:t xml:space="preserve"> functions</w:t>
      </w:r>
      <w:r w:rsidR="0090747D" w:rsidRPr="002239BF">
        <w:rPr>
          <w:rFonts w:ascii="Times New Roman" w:hAnsi="Times New Roman" w:cs="Times New Roman"/>
          <w:sz w:val="24"/>
          <w:szCs w:val="24"/>
          <w:lang w:val="en"/>
        </w:rPr>
        <w:t xml:space="preserve">, or has </w:t>
      </w:r>
      <w:r w:rsidR="00F64663" w:rsidRPr="002239BF">
        <w:rPr>
          <w:rFonts w:ascii="Times New Roman" w:hAnsi="Times New Roman" w:cs="Times New Roman"/>
          <w:sz w:val="24"/>
          <w:szCs w:val="24"/>
          <w:lang w:val="en"/>
        </w:rPr>
        <w:t>carried</w:t>
      </w:r>
      <w:r w:rsidR="0090747D" w:rsidRPr="002239BF">
        <w:rPr>
          <w:rFonts w:ascii="Times New Roman" w:hAnsi="Times New Roman" w:cs="Times New Roman"/>
          <w:sz w:val="24"/>
          <w:szCs w:val="24"/>
          <w:lang w:val="en"/>
        </w:rPr>
        <w:t xml:space="preserve"> them out </w:t>
      </w:r>
      <w:r w:rsidR="00F64663" w:rsidRPr="002239BF">
        <w:rPr>
          <w:rFonts w:ascii="Times New Roman" w:hAnsi="Times New Roman" w:cs="Times New Roman"/>
          <w:sz w:val="24"/>
          <w:szCs w:val="24"/>
          <w:lang w:val="en"/>
        </w:rPr>
        <w:t>in</w:t>
      </w:r>
      <w:r w:rsidR="000415D1" w:rsidRPr="002239BF">
        <w:rPr>
          <w:rFonts w:ascii="Times New Roman" w:hAnsi="Times New Roman" w:cs="Times New Roman"/>
          <w:sz w:val="24"/>
          <w:szCs w:val="24"/>
          <w:lang w:val="en"/>
        </w:rPr>
        <w:t>adequately.</w:t>
      </w:r>
      <w:r w:rsidR="000415D1" w:rsidRPr="002239BF">
        <w:rPr>
          <w:rFonts w:ascii="Times New Roman" w:hAnsi="Times New Roman" w:cs="Times New Roman"/>
          <w:sz w:val="24"/>
          <w:szCs w:val="24"/>
          <w:vertAlign w:val="superscript"/>
          <w:lang w:val="en"/>
        </w:rPr>
        <w:footnoteReference w:id="35"/>
      </w:r>
      <w:r w:rsidR="000415D1" w:rsidRPr="002239BF">
        <w:rPr>
          <w:rFonts w:ascii="Times New Roman" w:hAnsi="Times New Roman" w:cs="Times New Roman"/>
          <w:sz w:val="24"/>
          <w:szCs w:val="24"/>
          <w:lang w:val="en"/>
        </w:rPr>
        <w:t xml:space="preserve">  </w:t>
      </w:r>
      <w:r w:rsidR="00D61AF7" w:rsidRPr="002239BF">
        <w:rPr>
          <w:rFonts w:ascii="Times New Roman" w:hAnsi="Times New Roman" w:cs="Times New Roman"/>
          <w:sz w:val="24"/>
          <w:szCs w:val="24"/>
          <w:lang w:val="en"/>
        </w:rPr>
        <w:t xml:space="preserve"> </w:t>
      </w:r>
      <w:r w:rsidR="00127F2D" w:rsidRPr="002239BF">
        <w:rPr>
          <w:rFonts w:ascii="Times New Roman" w:hAnsi="Times New Roman" w:cs="Times New Roman"/>
          <w:sz w:val="24"/>
          <w:szCs w:val="24"/>
          <w:lang w:val="en"/>
        </w:rPr>
        <w:t xml:space="preserve">While not as draconian as the government’s enforcement powers </w:t>
      </w:r>
      <w:r w:rsidR="00F64663" w:rsidRPr="002239BF">
        <w:rPr>
          <w:rFonts w:ascii="Times New Roman" w:hAnsi="Times New Roman" w:cs="Times New Roman"/>
          <w:sz w:val="24"/>
          <w:szCs w:val="24"/>
          <w:lang w:val="en"/>
        </w:rPr>
        <w:t>under</w:t>
      </w:r>
      <w:r w:rsidR="00127F2D" w:rsidRPr="002239BF">
        <w:rPr>
          <w:rFonts w:ascii="Times New Roman" w:hAnsi="Times New Roman" w:cs="Times New Roman"/>
          <w:sz w:val="24"/>
          <w:szCs w:val="24"/>
          <w:lang w:val="en"/>
        </w:rPr>
        <w:t xml:space="preserve"> the Right to Buy,</w:t>
      </w:r>
      <w:r w:rsidR="00F64663" w:rsidRPr="002239BF">
        <w:rPr>
          <w:rStyle w:val="FootnoteReference"/>
          <w:rFonts w:ascii="Times New Roman" w:hAnsi="Times New Roman" w:cs="Times New Roman"/>
          <w:sz w:val="24"/>
          <w:szCs w:val="24"/>
          <w:lang w:val="en"/>
        </w:rPr>
        <w:footnoteReference w:id="36"/>
      </w:r>
      <w:r w:rsidR="00127F2D" w:rsidRPr="002239BF">
        <w:rPr>
          <w:rFonts w:ascii="Times New Roman" w:hAnsi="Times New Roman" w:cs="Times New Roman"/>
          <w:sz w:val="24"/>
          <w:szCs w:val="24"/>
          <w:lang w:val="en"/>
        </w:rPr>
        <w:t xml:space="preserve"> nevertheless this provision illustrates the government’s willingness to by-pass the wishes of local </w:t>
      </w:r>
      <w:r w:rsidR="00AB00F4" w:rsidRPr="002239BF">
        <w:rPr>
          <w:rFonts w:ascii="Times New Roman" w:hAnsi="Times New Roman" w:cs="Times New Roman"/>
          <w:sz w:val="24"/>
          <w:szCs w:val="24"/>
          <w:lang w:val="en"/>
        </w:rPr>
        <w:t xml:space="preserve">authorities </w:t>
      </w:r>
      <w:r w:rsidRPr="002239BF">
        <w:rPr>
          <w:rFonts w:ascii="Times New Roman" w:hAnsi="Times New Roman" w:cs="Times New Roman"/>
          <w:sz w:val="24"/>
          <w:szCs w:val="24"/>
          <w:lang w:val="en"/>
        </w:rPr>
        <w:t>in pursuit of its own policy of</w:t>
      </w:r>
      <w:r w:rsidR="00127F2D" w:rsidRPr="002239BF">
        <w:rPr>
          <w:rFonts w:ascii="Times New Roman" w:hAnsi="Times New Roman" w:cs="Times New Roman"/>
          <w:sz w:val="24"/>
          <w:szCs w:val="24"/>
          <w:lang w:val="en"/>
        </w:rPr>
        <w:t xml:space="preserve"> expanding owner occupation.</w:t>
      </w:r>
      <w:r w:rsidR="00D50E50" w:rsidRPr="002239BF">
        <w:rPr>
          <w:rFonts w:ascii="Times New Roman" w:hAnsi="Times New Roman" w:cs="Times New Roman"/>
          <w:sz w:val="24"/>
          <w:szCs w:val="24"/>
          <w:lang w:val="en"/>
        </w:rPr>
        <w:t xml:space="preserve">  </w:t>
      </w:r>
      <w:r w:rsidR="00FB1A89" w:rsidRPr="002239BF">
        <w:rPr>
          <w:rFonts w:ascii="Times New Roman" w:hAnsi="Times New Roman" w:cs="Times New Roman"/>
          <w:sz w:val="24"/>
          <w:szCs w:val="24"/>
          <w:lang w:val="en"/>
        </w:rPr>
        <w:t>T</w:t>
      </w:r>
      <w:r w:rsidR="00D50E50" w:rsidRPr="002239BF">
        <w:rPr>
          <w:rFonts w:ascii="Times New Roman" w:hAnsi="Times New Roman" w:cs="Times New Roman"/>
          <w:sz w:val="24"/>
          <w:szCs w:val="24"/>
          <w:lang w:val="en"/>
        </w:rPr>
        <w:t>he LGA welcomed changes introduced during the Bill’s Report Stage to give local authorities more discretion</w:t>
      </w:r>
      <w:r w:rsidR="00FB1A89" w:rsidRPr="002239BF">
        <w:rPr>
          <w:rStyle w:val="FootnoteReference"/>
          <w:rFonts w:ascii="Times New Roman" w:hAnsi="Times New Roman" w:cs="Times New Roman"/>
          <w:sz w:val="24"/>
          <w:szCs w:val="24"/>
          <w:lang w:val="en"/>
        </w:rPr>
        <w:footnoteReference w:id="37"/>
      </w:r>
      <w:r w:rsidR="00D50E50" w:rsidRPr="002239BF">
        <w:rPr>
          <w:rFonts w:ascii="Times New Roman" w:hAnsi="Times New Roman" w:cs="Times New Roman"/>
          <w:sz w:val="24"/>
          <w:szCs w:val="24"/>
          <w:lang w:val="en"/>
        </w:rPr>
        <w:t xml:space="preserve"> </w:t>
      </w:r>
      <w:r w:rsidR="0086128D" w:rsidRPr="002239BF">
        <w:rPr>
          <w:rFonts w:ascii="Times New Roman" w:hAnsi="Times New Roman" w:cs="Times New Roman"/>
          <w:sz w:val="24"/>
          <w:szCs w:val="24"/>
          <w:lang w:val="en"/>
        </w:rPr>
        <w:t xml:space="preserve"> </w:t>
      </w:r>
      <w:r w:rsidR="003C2B5A" w:rsidRPr="002239BF">
        <w:rPr>
          <w:rFonts w:ascii="Times New Roman" w:hAnsi="Times New Roman" w:cs="Times New Roman"/>
          <w:sz w:val="24"/>
          <w:szCs w:val="24"/>
          <w:lang w:val="en"/>
        </w:rPr>
        <w:t>but</w:t>
      </w:r>
      <w:r w:rsidR="0086128D" w:rsidRPr="002239BF">
        <w:rPr>
          <w:rFonts w:ascii="Times New Roman" w:hAnsi="Times New Roman" w:cs="Times New Roman"/>
          <w:sz w:val="24"/>
          <w:szCs w:val="24"/>
          <w:lang w:val="en"/>
        </w:rPr>
        <w:t xml:space="preserve"> </w:t>
      </w:r>
      <w:r w:rsidR="00D50E50" w:rsidRPr="002239BF">
        <w:rPr>
          <w:rFonts w:ascii="Times New Roman" w:hAnsi="Times New Roman" w:cs="Times New Roman"/>
          <w:sz w:val="24"/>
          <w:szCs w:val="24"/>
          <w:lang w:val="en"/>
        </w:rPr>
        <w:t>the primary legislation remains rela</w:t>
      </w:r>
      <w:r w:rsidR="00FB1A89" w:rsidRPr="002239BF">
        <w:rPr>
          <w:rFonts w:ascii="Times New Roman" w:hAnsi="Times New Roman" w:cs="Times New Roman"/>
          <w:sz w:val="24"/>
          <w:szCs w:val="24"/>
          <w:lang w:val="en"/>
        </w:rPr>
        <w:t>tively non-committal.  A</w:t>
      </w:r>
      <w:r w:rsidR="00D50E50" w:rsidRPr="002239BF">
        <w:rPr>
          <w:rFonts w:ascii="Times New Roman" w:hAnsi="Times New Roman" w:cs="Times New Roman"/>
          <w:sz w:val="24"/>
          <w:szCs w:val="24"/>
          <w:lang w:val="en"/>
        </w:rPr>
        <w:t xml:space="preserve">uthorities are given the power to dispense with the obligation </w:t>
      </w:r>
      <w:r w:rsidR="001447F6" w:rsidRPr="002239BF">
        <w:rPr>
          <w:rFonts w:ascii="Times New Roman" w:hAnsi="Times New Roman" w:cs="Times New Roman"/>
          <w:sz w:val="24"/>
          <w:szCs w:val="24"/>
          <w:lang w:val="en"/>
        </w:rPr>
        <w:t xml:space="preserve">for </w:t>
      </w:r>
      <w:r w:rsidR="00D50E50" w:rsidRPr="002239BF">
        <w:rPr>
          <w:rFonts w:ascii="Times New Roman" w:hAnsi="Times New Roman" w:cs="Times New Roman"/>
          <w:sz w:val="24"/>
          <w:szCs w:val="24"/>
          <w:lang w:val="en"/>
        </w:rPr>
        <w:t>rural exception sites,</w:t>
      </w:r>
      <w:r w:rsidR="00D50E50" w:rsidRPr="002239BF">
        <w:rPr>
          <w:rStyle w:val="FootnoteReference"/>
          <w:rFonts w:ascii="Times New Roman" w:hAnsi="Times New Roman" w:cs="Times New Roman"/>
          <w:sz w:val="24"/>
          <w:szCs w:val="24"/>
          <w:lang w:val="en"/>
        </w:rPr>
        <w:footnoteReference w:id="38"/>
      </w:r>
      <w:r w:rsidR="00D50E50" w:rsidRPr="002239BF">
        <w:rPr>
          <w:rFonts w:ascii="Times New Roman" w:hAnsi="Times New Roman" w:cs="Times New Roman"/>
          <w:sz w:val="24"/>
          <w:szCs w:val="24"/>
          <w:lang w:val="en"/>
        </w:rPr>
        <w:t xml:space="preserve"> </w:t>
      </w:r>
      <w:r w:rsidR="00FB1A89" w:rsidRPr="002239BF">
        <w:rPr>
          <w:rFonts w:ascii="Times New Roman" w:hAnsi="Times New Roman" w:cs="Times New Roman"/>
          <w:sz w:val="24"/>
          <w:szCs w:val="24"/>
          <w:lang w:val="en"/>
        </w:rPr>
        <w:t xml:space="preserve">but </w:t>
      </w:r>
      <w:r w:rsidR="00D50E50" w:rsidRPr="002239BF">
        <w:rPr>
          <w:rFonts w:ascii="Times New Roman" w:hAnsi="Times New Roman" w:cs="Times New Roman"/>
          <w:sz w:val="24"/>
          <w:szCs w:val="24"/>
          <w:lang w:val="en"/>
        </w:rPr>
        <w:t xml:space="preserve">a more wide-ranging discretion </w:t>
      </w:r>
      <w:r w:rsidR="001447F6" w:rsidRPr="002239BF">
        <w:rPr>
          <w:rFonts w:ascii="Times New Roman" w:hAnsi="Times New Roman" w:cs="Times New Roman"/>
          <w:sz w:val="24"/>
          <w:szCs w:val="24"/>
          <w:lang w:val="en"/>
        </w:rPr>
        <w:t>‘</w:t>
      </w:r>
      <w:r w:rsidR="00D50E50" w:rsidRPr="002239BF">
        <w:rPr>
          <w:rFonts w:ascii="Times New Roman" w:hAnsi="Times New Roman" w:cs="Times New Roman"/>
          <w:sz w:val="24"/>
          <w:szCs w:val="24"/>
          <w:lang w:val="en"/>
        </w:rPr>
        <w:t>may</w:t>
      </w:r>
      <w:r w:rsidR="001447F6" w:rsidRPr="002239BF">
        <w:rPr>
          <w:rFonts w:ascii="Times New Roman" w:hAnsi="Times New Roman" w:cs="Times New Roman"/>
          <w:sz w:val="24"/>
          <w:szCs w:val="24"/>
          <w:lang w:val="en"/>
        </w:rPr>
        <w:t>’</w:t>
      </w:r>
      <w:r w:rsidR="00D50E50" w:rsidRPr="002239BF">
        <w:rPr>
          <w:rFonts w:ascii="Times New Roman" w:hAnsi="Times New Roman" w:cs="Times New Roman"/>
          <w:sz w:val="24"/>
          <w:szCs w:val="24"/>
          <w:lang w:val="en"/>
        </w:rPr>
        <w:t xml:space="preserve"> be given in regulations</w:t>
      </w:r>
      <w:r w:rsidR="00621FD8" w:rsidRPr="002239BF">
        <w:rPr>
          <w:rFonts w:ascii="Times New Roman" w:hAnsi="Times New Roman" w:cs="Times New Roman"/>
          <w:sz w:val="24"/>
          <w:szCs w:val="24"/>
          <w:lang w:val="en"/>
        </w:rPr>
        <w:t>.</w:t>
      </w:r>
      <w:r w:rsidR="00D50E50" w:rsidRPr="002239BF">
        <w:rPr>
          <w:rStyle w:val="FootnoteReference"/>
          <w:rFonts w:ascii="Times New Roman" w:hAnsi="Times New Roman" w:cs="Times New Roman"/>
          <w:sz w:val="24"/>
          <w:szCs w:val="24"/>
          <w:lang w:val="en"/>
        </w:rPr>
        <w:footnoteReference w:id="39"/>
      </w:r>
      <w:r w:rsidR="00B5538F" w:rsidRPr="002239BF">
        <w:rPr>
          <w:rFonts w:ascii="Times New Roman" w:hAnsi="Times New Roman" w:cs="Times New Roman"/>
          <w:sz w:val="24"/>
          <w:szCs w:val="24"/>
          <w:lang w:val="en"/>
        </w:rPr>
        <w:t xml:space="preserve"> Consequently, much of the detailed implementation of the scheme will depend on those regulations</w:t>
      </w:r>
      <w:r w:rsidR="000415D1" w:rsidRPr="002239BF">
        <w:rPr>
          <w:rFonts w:ascii="Times New Roman" w:hAnsi="Times New Roman" w:cs="Times New Roman"/>
          <w:sz w:val="24"/>
          <w:szCs w:val="24"/>
          <w:lang w:val="en"/>
        </w:rPr>
        <w:t xml:space="preserve"> and the outcome of the consultation process on the 2017 White Paper.</w:t>
      </w:r>
    </w:p>
    <w:p w14:paraId="5E4B317C" w14:textId="77777777" w:rsidR="00297060" w:rsidRPr="002239BF" w:rsidRDefault="00297060" w:rsidP="00733DF3">
      <w:pPr>
        <w:tabs>
          <w:tab w:val="num" w:pos="720"/>
        </w:tabs>
        <w:spacing w:line="480" w:lineRule="auto"/>
        <w:rPr>
          <w:rFonts w:ascii="Times New Roman" w:hAnsi="Times New Roman" w:cs="Times New Roman"/>
          <w:sz w:val="24"/>
          <w:szCs w:val="24"/>
          <w:lang w:val="en"/>
        </w:rPr>
      </w:pPr>
    </w:p>
    <w:p w14:paraId="2AF3DD40" w14:textId="2BF29CFA" w:rsidR="00943CEC" w:rsidRPr="002239BF" w:rsidRDefault="00FE6F35" w:rsidP="00733DF3">
      <w:pPr>
        <w:widowControl w:val="0"/>
        <w:autoSpaceDE w:val="0"/>
        <w:autoSpaceDN w:val="0"/>
        <w:adjustRightInd w:val="0"/>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Thus, under the 2016 Act, the starter homes policy becomes a major vehicle for the delivery of affordable houses in England.</w:t>
      </w:r>
      <w:r w:rsidRPr="002239BF">
        <w:rPr>
          <w:rFonts w:ascii="Times New Roman" w:hAnsi="Times New Roman" w:cs="Times New Roman"/>
          <w:sz w:val="24"/>
          <w:szCs w:val="24"/>
          <w:vertAlign w:val="superscript"/>
          <w:lang w:val="en-US"/>
        </w:rPr>
        <w:footnoteReference w:id="40"/>
      </w:r>
      <w:r w:rsidR="00D07359" w:rsidRPr="002239BF">
        <w:rPr>
          <w:rFonts w:ascii="Times New Roman" w:hAnsi="Times New Roman" w:cs="Times New Roman"/>
          <w:sz w:val="24"/>
          <w:szCs w:val="24"/>
          <w:lang w:val="en-US"/>
        </w:rPr>
        <w:t xml:space="preserve"> </w:t>
      </w:r>
      <w:r w:rsidR="00C84BDC" w:rsidRPr="002239BF">
        <w:rPr>
          <w:rFonts w:ascii="Times New Roman" w:hAnsi="Times New Roman" w:cs="Times New Roman"/>
          <w:sz w:val="24"/>
          <w:szCs w:val="24"/>
          <w:lang w:val="en-US"/>
        </w:rPr>
        <w:t>This</w:t>
      </w:r>
      <w:r w:rsidR="00B43EB9" w:rsidRPr="002239BF">
        <w:rPr>
          <w:rFonts w:ascii="Times New Roman" w:hAnsi="Times New Roman" w:cs="Times New Roman"/>
          <w:sz w:val="24"/>
          <w:szCs w:val="24"/>
          <w:lang w:val="en-US"/>
        </w:rPr>
        <w:t xml:space="preserve"> is problematic on three grounds.</w:t>
      </w:r>
      <w:r w:rsidR="0036331E" w:rsidRPr="002239BF">
        <w:rPr>
          <w:rFonts w:ascii="Times New Roman" w:hAnsi="Times New Roman" w:cs="Times New Roman"/>
          <w:sz w:val="24"/>
          <w:szCs w:val="24"/>
          <w:lang w:val="en-US"/>
        </w:rPr>
        <w:t xml:space="preserve"> First, </w:t>
      </w:r>
      <w:r w:rsidR="00B43EB9" w:rsidRPr="002239BF">
        <w:rPr>
          <w:rFonts w:ascii="Times New Roman" w:hAnsi="Times New Roman" w:cs="Times New Roman"/>
          <w:sz w:val="24"/>
          <w:szCs w:val="24"/>
          <w:lang w:val="en-US"/>
        </w:rPr>
        <w:t>it must be of</w:t>
      </w:r>
      <w:r w:rsidR="00C84BDC" w:rsidRPr="002239BF">
        <w:rPr>
          <w:rFonts w:ascii="Times New Roman" w:hAnsi="Times New Roman" w:cs="Times New Roman"/>
          <w:sz w:val="24"/>
          <w:szCs w:val="24"/>
          <w:lang w:val="en-US"/>
        </w:rPr>
        <w:t xml:space="preserve"> great</w:t>
      </w:r>
      <w:r w:rsidR="00D07359" w:rsidRPr="002239BF">
        <w:rPr>
          <w:rFonts w:ascii="Times New Roman" w:hAnsi="Times New Roman" w:cs="Times New Roman"/>
          <w:sz w:val="24"/>
          <w:szCs w:val="24"/>
          <w:lang w:val="en-US"/>
        </w:rPr>
        <w:t xml:space="preserve"> concern that</w:t>
      </w:r>
      <w:r w:rsidR="00163062" w:rsidRPr="002239BF">
        <w:rPr>
          <w:rFonts w:ascii="Times New Roman" w:hAnsi="Times New Roman" w:cs="Times New Roman"/>
          <w:sz w:val="24"/>
          <w:szCs w:val="24"/>
          <w:lang w:val="en-US"/>
        </w:rPr>
        <w:t xml:space="preserve"> the</w:t>
      </w:r>
      <w:r w:rsidR="00D07359" w:rsidRPr="002239BF">
        <w:rPr>
          <w:rFonts w:ascii="Times New Roman" w:hAnsi="Times New Roman" w:cs="Times New Roman"/>
          <w:sz w:val="24"/>
          <w:szCs w:val="24"/>
          <w:lang w:val="en-US"/>
        </w:rPr>
        <w:t xml:space="preserve"> </w:t>
      </w:r>
      <w:r w:rsidR="0036331E" w:rsidRPr="002239BF">
        <w:rPr>
          <w:rFonts w:ascii="Times New Roman" w:hAnsi="Times New Roman" w:cs="Times New Roman"/>
          <w:sz w:val="24"/>
          <w:szCs w:val="24"/>
          <w:lang w:val="en-US"/>
        </w:rPr>
        <w:t>scheme</w:t>
      </w:r>
      <w:r w:rsidR="00163062" w:rsidRPr="002239BF">
        <w:rPr>
          <w:rFonts w:ascii="Times New Roman" w:hAnsi="Times New Roman" w:cs="Times New Roman"/>
          <w:sz w:val="24"/>
          <w:szCs w:val="24"/>
          <w:lang w:val="en-US"/>
        </w:rPr>
        <w:t xml:space="preserve"> </w:t>
      </w:r>
      <w:r w:rsidR="0036331E" w:rsidRPr="002239BF">
        <w:rPr>
          <w:rFonts w:ascii="Times New Roman" w:hAnsi="Times New Roman" w:cs="Times New Roman"/>
          <w:sz w:val="24"/>
          <w:szCs w:val="24"/>
          <w:lang w:val="en-US"/>
        </w:rPr>
        <w:t>will be</w:t>
      </w:r>
      <w:r w:rsidR="00D07359" w:rsidRPr="002239BF">
        <w:rPr>
          <w:rFonts w:ascii="Times New Roman" w:hAnsi="Times New Roman" w:cs="Times New Roman"/>
          <w:sz w:val="24"/>
          <w:szCs w:val="24"/>
          <w:lang w:val="en-US"/>
        </w:rPr>
        <w:t xml:space="preserve"> funded </w:t>
      </w:r>
      <w:r w:rsidR="0036331E" w:rsidRPr="002239BF">
        <w:rPr>
          <w:rFonts w:ascii="Times New Roman" w:hAnsi="Times New Roman" w:cs="Times New Roman"/>
          <w:sz w:val="24"/>
          <w:szCs w:val="24"/>
          <w:lang w:val="en-US"/>
        </w:rPr>
        <w:t>through the</w:t>
      </w:r>
      <w:r w:rsidR="00D07359" w:rsidRPr="002239BF">
        <w:rPr>
          <w:rFonts w:ascii="Times New Roman" w:hAnsi="Times New Roman" w:cs="Times New Roman"/>
          <w:sz w:val="24"/>
          <w:szCs w:val="24"/>
          <w:lang w:val="en-US"/>
        </w:rPr>
        <w:t xml:space="preserve"> cancelling </w:t>
      </w:r>
      <w:r w:rsidR="0036331E" w:rsidRPr="002239BF">
        <w:rPr>
          <w:rFonts w:ascii="Times New Roman" w:hAnsi="Times New Roman" w:cs="Times New Roman"/>
          <w:sz w:val="24"/>
          <w:szCs w:val="24"/>
          <w:lang w:val="en-US"/>
        </w:rPr>
        <w:t xml:space="preserve">of </w:t>
      </w:r>
      <w:r w:rsidR="00D07359" w:rsidRPr="002239BF">
        <w:rPr>
          <w:rFonts w:ascii="Times New Roman" w:hAnsi="Times New Roman" w:cs="Times New Roman"/>
          <w:sz w:val="24"/>
          <w:szCs w:val="24"/>
          <w:lang w:val="en-US"/>
        </w:rPr>
        <w:t xml:space="preserve">other </w:t>
      </w:r>
      <w:r w:rsidR="0036331E" w:rsidRPr="002239BF">
        <w:rPr>
          <w:rFonts w:ascii="Times New Roman" w:hAnsi="Times New Roman" w:cs="Times New Roman"/>
          <w:sz w:val="24"/>
          <w:szCs w:val="24"/>
          <w:lang w:val="en-US"/>
        </w:rPr>
        <w:t>housing initiatives</w:t>
      </w:r>
      <w:r w:rsidR="00D07359" w:rsidRPr="002239BF">
        <w:rPr>
          <w:rFonts w:ascii="Times New Roman" w:hAnsi="Times New Roman" w:cs="Times New Roman"/>
          <w:sz w:val="24"/>
          <w:szCs w:val="24"/>
          <w:lang w:val="en-US"/>
        </w:rPr>
        <w:t xml:space="preserve"> or </w:t>
      </w:r>
      <w:r w:rsidR="0036331E" w:rsidRPr="002239BF">
        <w:rPr>
          <w:rFonts w:ascii="Times New Roman" w:hAnsi="Times New Roman" w:cs="Times New Roman"/>
          <w:sz w:val="24"/>
          <w:szCs w:val="24"/>
          <w:lang w:val="en-US"/>
        </w:rPr>
        <w:t>by</w:t>
      </w:r>
      <w:r w:rsidR="00D07359" w:rsidRPr="002239BF">
        <w:rPr>
          <w:rFonts w:ascii="Times New Roman" w:hAnsi="Times New Roman" w:cs="Times New Roman"/>
          <w:sz w:val="24"/>
          <w:szCs w:val="24"/>
          <w:lang w:val="en-US"/>
        </w:rPr>
        <w:t xml:space="preserve"> which afford</w:t>
      </w:r>
      <w:r w:rsidR="00B82574" w:rsidRPr="002239BF">
        <w:rPr>
          <w:rFonts w:ascii="Times New Roman" w:hAnsi="Times New Roman" w:cs="Times New Roman"/>
          <w:sz w:val="24"/>
          <w:szCs w:val="24"/>
          <w:lang w:val="en-US"/>
        </w:rPr>
        <w:t>able houses</w:t>
      </w:r>
      <w:r w:rsidR="00C84BDC" w:rsidRPr="002239BF">
        <w:rPr>
          <w:rFonts w:ascii="Times New Roman" w:hAnsi="Times New Roman" w:cs="Times New Roman"/>
          <w:sz w:val="24"/>
          <w:szCs w:val="24"/>
          <w:lang w:val="en-US"/>
        </w:rPr>
        <w:t xml:space="preserve"> are currently built. This means that the </w:t>
      </w:r>
      <w:r w:rsidR="00163062" w:rsidRPr="002239BF">
        <w:rPr>
          <w:rFonts w:ascii="Times New Roman" w:hAnsi="Times New Roman" w:cs="Times New Roman"/>
          <w:sz w:val="24"/>
          <w:szCs w:val="24"/>
          <w:lang w:val="en-US"/>
        </w:rPr>
        <w:t xml:space="preserve">overall </w:t>
      </w:r>
      <w:r w:rsidR="00C84BDC" w:rsidRPr="002239BF">
        <w:rPr>
          <w:rFonts w:ascii="Times New Roman" w:hAnsi="Times New Roman" w:cs="Times New Roman"/>
          <w:sz w:val="24"/>
          <w:szCs w:val="24"/>
          <w:lang w:val="en-US"/>
        </w:rPr>
        <w:t>number of affordable homes</w:t>
      </w:r>
      <w:r w:rsidR="00163062" w:rsidRPr="002239BF">
        <w:rPr>
          <w:rFonts w:ascii="Times New Roman" w:hAnsi="Times New Roman" w:cs="Times New Roman"/>
          <w:sz w:val="24"/>
          <w:szCs w:val="24"/>
          <w:lang w:val="en-US"/>
        </w:rPr>
        <w:t xml:space="preserve"> being</w:t>
      </w:r>
      <w:r w:rsidR="00C84BDC" w:rsidRPr="002239BF">
        <w:rPr>
          <w:rFonts w:ascii="Times New Roman" w:hAnsi="Times New Roman" w:cs="Times New Roman"/>
          <w:sz w:val="24"/>
          <w:szCs w:val="24"/>
          <w:lang w:val="en-US"/>
        </w:rPr>
        <w:t xml:space="preserve"> built </w:t>
      </w:r>
      <w:r w:rsidR="00163062" w:rsidRPr="002239BF">
        <w:rPr>
          <w:rFonts w:ascii="Times New Roman" w:hAnsi="Times New Roman" w:cs="Times New Roman"/>
          <w:sz w:val="24"/>
          <w:szCs w:val="24"/>
          <w:lang w:val="en-US"/>
        </w:rPr>
        <w:t xml:space="preserve">will not rise to meet demand </w:t>
      </w:r>
      <w:r w:rsidR="00B43EB9" w:rsidRPr="002239BF">
        <w:rPr>
          <w:rFonts w:ascii="Times New Roman" w:hAnsi="Times New Roman" w:cs="Times New Roman"/>
          <w:sz w:val="24"/>
          <w:szCs w:val="24"/>
          <w:lang w:val="en-US"/>
        </w:rPr>
        <w:t>that exists</w:t>
      </w:r>
      <w:r w:rsidR="00163062" w:rsidRPr="002239BF">
        <w:rPr>
          <w:rFonts w:ascii="Times New Roman" w:hAnsi="Times New Roman" w:cs="Times New Roman"/>
          <w:sz w:val="24"/>
          <w:szCs w:val="24"/>
          <w:lang w:val="en-US"/>
        </w:rPr>
        <w:t>.</w:t>
      </w:r>
      <w:r w:rsidR="00B56F21" w:rsidRPr="002239BF">
        <w:rPr>
          <w:rFonts w:ascii="Times New Roman" w:hAnsi="Times New Roman" w:cs="Times New Roman"/>
          <w:sz w:val="24"/>
          <w:szCs w:val="24"/>
          <w:lang w:val="en-US"/>
        </w:rPr>
        <w:t xml:space="preserve"> Secondly, and </w:t>
      </w:r>
      <w:r w:rsidR="007F328C" w:rsidRPr="002239BF">
        <w:rPr>
          <w:rFonts w:ascii="Times New Roman" w:hAnsi="Times New Roman" w:cs="Times New Roman"/>
          <w:sz w:val="24"/>
          <w:szCs w:val="24"/>
          <w:lang w:val="en-US"/>
        </w:rPr>
        <w:t>perhaps more</w:t>
      </w:r>
      <w:r w:rsidR="00B56F21" w:rsidRPr="002239BF">
        <w:rPr>
          <w:rFonts w:ascii="Times New Roman" w:hAnsi="Times New Roman" w:cs="Times New Roman"/>
          <w:sz w:val="24"/>
          <w:szCs w:val="24"/>
          <w:lang w:val="en-US"/>
        </w:rPr>
        <w:t xml:space="preserve"> pressingly, is the fundamental question as to whether these ‘affordable’ </w:t>
      </w:r>
      <w:r w:rsidR="00B5486E" w:rsidRPr="002239BF">
        <w:rPr>
          <w:rFonts w:ascii="Times New Roman" w:hAnsi="Times New Roman" w:cs="Times New Roman"/>
          <w:sz w:val="24"/>
          <w:szCs w:val="24"/>
          <w:lang w:val="en-US"/>
        </w:rPr>
        <w:t>s</w:t>
      </w:r>
      <w:r w:rsidR="00B56F21" w:rsidRPr="002239BF">
        <w:rPr>
          <w:rFonts w:ascii="Times New Roman" w:hAnsi="Times New Roman" w:cs="Times New Roman"/>
          <w:sz w:val="24"/>
          <w:szCs w:val="24"/>
          <w:lang w:val="en-US"/>
        </w:rPr>
        <w:t xml:space="preserve">tarter </w:t>
      </w:r>
      <w:r w:rsidR="00B5486E" w:rsidRPr="002239BF">
        <w:rPr>
          <w:rFonts w:ascii="Times New Roman" w:hAnsi="Times New Roman" w:cs="Times New Roman"/>
          <w:sz w:val="24"/>
          <w:szCs w:val="24"/>
          <w:lang w:val="en-US"/>
        </w:rPr>
        <w:t>h</w:t>
      </w:r>
      <w:r w:rsidR="00B56F21" w:rsidRPr="002239BF">
        <w:rPr>
          <w:rFonts w:ascii="Times New Roman" w:hAnsi="Times New Roman" w:cs="Times New Roman"/>
          <w:sz w:val="24"/>
          <w:szCs w:val="24"/>
          <w:lang w:val="en-US"/>
        </w:rPr>
        <w:t xml:space="preserve">omes will be affordable. </w:t>
      </w:r>
      <w:r w:rsidR="00184C08" w:rsidRPr="002239BF">
        <w:rPr>
          <w:rFonts w:ascii="Times New Roman" w:hAnsi="Times New Roman" w:cs="Times New Roman"/>
          <w:sz w:val="24"/>
          <w:szCs w:val="24"/>
          <w:lang w:val="en-US"/>
        </w:rPr>
        <w:t xml:space="preserve">According to </w:t>
      </w:r>
      <w:r w:rsidR="00AB6051" w:rsidRPr="002239BF">
        <w:rPr>
          <w:rFonts w:ascii="Times New Roman" w:hAnsi="Times New Roman" w:cs="Times New Roman"/>
          <w:sz w:val="24"/>
          <w:szCs w:val="24"/>
          <w:lang w:val="en-US"/>
        </w:rPr>
        <w:t>research</w:t>
      </w:r>
      <w:r w:rsidR="00184C08" w:rsidRPr="002239BF">
        <w:rPr>
          <w:rFonts w:ascii="Times New Roman" w:hAnsi="Times New Roman" w:cs="Times New Roman"/>
          <w:sz w:val="24"/>
          <w:szCs w:val="24"/>
          <w:lang w:val="en-US"/>
        </w:rPr>
        <w:t xml:space="preserve"> by the </w:t>
      </w:r>
      <w:r w:rsidR="00F662C5" w:rsidRPr="002239BF">
        <w:rPr>
          <w:rFonts w:ascii="Times New Roman" w:hAnsi="Times New Roman" w:cs="Times New Roman"/>
          <w:sz w:val="24"/>
          <w:szCs w:val="24"/>
          <w:lang w:val="en-US"/>
        </w:rPr>
        <w:t>LGA</w:t>
      </w:r>
      <w:r w:rsidR="00181E81" w:rsidRPr="002239BF">
        <w:rPr>
          <w:rFonts w:ascii="Times New Roman" w:hAnsi="Times New Roman" w:cs="Times New Roman"/>
          <w:sz w:val="24"/>
          <w:szCs w:val="24"/>
          <w:lang w:val="en-US"/>
        </w:rPr>
        <w:t xml:space="preserve"> </w:t>
      </w:r>
      <w:r w:rsidR="003C2B5A" w:rsidRPr="002239BF">
        <w:rPr>
          <w:rFonts w:ascii="Times New Roman" w:hAnsi="Times New Roman" w:cs="Times New Roman"/>
          <w:sz w:val="24"/>
          <w:szCs w:val="24"/>
          <w:lang w:val="en-US"/>
        </w:rPr>
        <w:t>and</w:t>
      </w:r>
      <w:r w:rsidR="00181E81" w:rsidRPr="002239BF">
        <w:rPr>
          <w:rFonts w:ascii="Times New Roman" w:hAnsi="Times New Roman" w:cs="Times New Roman"/>
          <w:sz w:val="24"/>
          <w:szCs w:val="24"/>
          <w:lang w:val="en-US"/>
        </w:rPr>
        <w:t xml:space="preserve"> Savi</w:t>
      </w:r>
      <w:r w:rsidR="00184C08" w:rsidRPr="002239BF">
        <w:rPr>
          <w:rFonts w:ascii="Times New Roman" w:hAnsi="Times New Roman" w:cs="Times New Roman"/>
          <w:sz w:val="24"/>
          <w:szCs w:val="24"/>
          <w:lang w:val="en-US"/>
        </w:rPr>
        <w:t xml:space="preserve">lls, </w:t>
      </w:r>
      <w:r w:rsidR="00B5486E" w:rsidRPr="002239BF">
        <w:rPr>
          <w:rFonts w:ascii="Times New Roman" w:hAnsi="Times New Roman" w:cs="Times New Roman"/>
          <w:sz w:val="24"/>
          <w:szCs w:val="24"/>
          <w:lang w:val="en-US"/>
        </w:rPr>
        <w:t>s</w:t>
      </w:r>
      <w:r w:rsidR="00184C08" w:rsidRPr="002239BF">
        <w:rPr>
          <w:rFonts w:ascii="Times New Roman" w:hAnsi="Times New Roman" w:cs="Times New Roman"/>
          <w:sz w:val="24"/>
          <w:szCs w:val="24"/>
          <w:lang w:val="en-US"/>
        </w:rPr>
        <w:t xml:space="preserve">tarter </w:t>
      </w:r>
      <w:r w:rsidR="00B5486E" w:rsidRPr="002239BF">
        <w:rPr>
          <w:rFonts w:ascii="Times New Roman" w:hAnsi="Times New Roman" w:cs="Times New Roman"/>
          <w:sz w:val="24"/>
          <w:szCs w:val="24"/>
          <w:lang w:val="en-US"/>
        </w:rPr>
        <w:t>h</w:t>
      </w:r>
      <w:r w:rsidR="00184C08" w:rsidRPr="002239BF">
        <w:rPr>
          <w:rFonts w:ascii="Times New Roman" w:hAnsi="Times New Roman" w:cs="Times New Roman"/>
          <w:sz w:val="24"/>
          <w:szCs w:val="24"/>
          <w:lang w:val="en-US"/>
        </w:rPr>
        <w:t>omes will be out of reach for the majority of people in need of an affordable home.</w:t>
      </w:r>
      <w:r w:rsidR="006338AC" w:rsidRPr="002239BF">
        <w:rPr>
          <w:rStyle w:val="FootnoteReference"/>
          <w:rFonts w:ascii="Times New Roman" w:hAnsi="Times New Roman" w:cs="Times New Roman"/>
          <w:sz w:val="24"/>
          <w:szCs w:val="24"/>
          <w:lang w:val="en-US"/>
        </w:rPr>
        <w:footnoteReference w:id="41"/>
      </w:r>
      <w:r w:rsidR="00181E81" w:rsidRPr="002239BF">
        <w:rPr>
          <w:rFonts w:ascii="Times New Roman" w:hAnsi="Times New Roman" w:cs="Times New Roman"/>
          <w:sz w:val="24"/>
          <w:szCs w:val="24"/>
          <w:lang w:val="en-US"/>
        </w:rPr>
        <w:t xml:space="preserve"> In 220 council areas, no family seeking an affordable home will be able to access a </w:t>
      </w:r>
      <w:r w:rsidR="00B5486E" w:rsidRPr="002239BF">
        <w:rPr>
          <w:rFonts w:ascii="Times New Roman" w:hAnsi="Times New Roman" w:cs="Times New Roman"/>
          <w:sz w:val="24"/>
          <w:szCs w:val="24"/>
          <w:lang w:val="en-US"/>
        </w:rPr>
        <w:t>s</w:t>
      </w:r>
      <w:r w:rsidR="00181E81" w:rsidRPr="002239BF">
        <w:rPr>
          <w:rFonts w:ascii="Times New Roman" w:hAnsi="Times New Roman" w:cs="Times New Roman"/>
          <w:sz w:val="24"/>
          <w:szCs w:val="24"/>
          <w:lang w:val="en-US"/>
        </w:rPr>
        <w:t xml:space="preserve">tarter </w:t>
      </w:r>
      <w:r w:rsidR="00B5486E" w:rsidRPr="002239BF">
        <w:rPr>
          <w:rFonts w:ascii="Times New Roman" w:hAnsi="Times New Roman" w:cs="Times New Roman"/>
          <w:sz w:val="24"/>
          <w:szCs w:val="24"/>
          <w:lang w:val="en-US"/>
        </w:rPr>
        <w:t>h</w:t>
      </w:r>
      <w:r w:rsidR="00181E81" w:rsidRPr="002239BF">
        <w:rPr>
          <w:rFonts w:ascii="Times New Roman" w:hAnsi="Times New Roman" w:cs="Times New Roman"/>
          <w:sz w:val="24"/>
          <w:szCs w:val="24"/>
          <w:lang w:val="en-US"/>
        </w:rPr>
        <w:t>ome a</w:t>
      </w:r>
      <w:r w:rsidR="00F065BC" w:rsidRPr="002239BF">
        <w:rPr>
          <w:rFonts w:ascii="Times New Roman" w:hAnsi="Times New Roman" w:cs="Times New Roman"/>
          <w:sz w:val="24"/>
          <w:szCs w:val="24"/>
          <w:lang w:val="en-US"/>
        </w:rPr>
        <w:t>n</w:t>
      </w:r>
      <w:r w:rsidR="00181E81" w:rsidRPr="002239BF">
        <w:rPr>
          <w:rFonts w:ascii="Times New Roman" w:hAnsi="Times New Roman" w:cs="Times New Roman"/>
          <w:sz w:val="24"/>
          <w:szCs w:val="24"/>
          <w:lang w:val="en-US"/>
        </w:rPr>
        <w:t>d in a further 80 areas, under 10</w:t>
      </w:r>
      <w:r w:rsidR="00B5486E" w:rsidRPr="002239BF">
        <w:rPr>
          <w:rFonts w:ascii="Times New Roman" w:hAnsi="Times New Roman" w:cs="Times New Roman"/>
          <w:sz w:val="24"/>
          <w:szCs w:val="24"/>
          <w:lang w:val="en-US"/>
        </w:rPr>
        <w:t xml:space="preserve"> per cent</w:t>
      </w:r>
      <w:r w:rsidR="00181E81" w:rsidRPr="002239BF">
        <w:rPr>
          <w:rFonts w:ascii="Times New Roman" w:hAnsi="Times New Roman" w:cs="Times New Roman"/>
          <w:sz w:val="24"/>
          <w:szCs w:val="24"/>
          <w:lang w:val="en-US"/>
        </w:rPr>
        <w:t xml:space="preserve"> will be able to avail themselves of the scheme.</w:t>
      </w:r>
      <w:r w:rsidR="00AB6051" w:rsidRPr="002239BF">
        <w:rPr>
          <w:rFonts w:ascii="Times New Roman" w:hAnsi="Times New Roman" w:cs="Times New Roman"/>
          <w:sz w:val="24"/>
          <w:szCs w:val="24"/>
          <w:lang w:val="en-US"/>
        </w:rPr>
        <w:t xml:space="preserve">  </w:t>
      </w:r>
      <w:r w:rsidR="0093720F" w:rsidRPr="002239BF">
        <w:rPr>
          <w:rFonts w:ascii="Times New Roman" w:hAnsi="Times New Roman" w:cs="Times New Roman"/>
          <w:sz w:val="24"/>
          <w:szCs w:val="24"/>
          <w:lang w:val="en-US"/>
        </w:rPr>
        <w:t>Research by Shelter</w:t>
      </w:r>
      <w:r w:rsidR="00061CD2" w:rsidRPr="002239BF">
        <w:rPr>
          <w:rStyle w:val="FootnoteReference"/>
          <w:rFonts w:ascii="Times New Roman" w:hAnsi="Times New Roman" w:cs="Times New Roman"/>
          <w:sz w:val="24"/>
          <w:szCs w:val="24"/>
          <w:lang w:val="en-US"/>
        </w:rPr>
        <w:footnoteReference w:id="42"/>
      </w:r>
      <w:r w:rsidR="0093720F" w:rsidRPr="002239BF">
        <w:rPr>
          <w:rFonts w:ascii="Times New Roman" w:hAnsi="Times New Roman" w:cs="Times New Roman"/>
          <w:sz w:val="24"/>
          <w:szCs w:val="24"/>
          <w:lang w:val="en-US"/>
        </w:rPr>
        <w:t xml:space="preserve"> in 2015</w:t>
      </w:r>
      <w:r w:rsidR="00061CD2" w:rsidRPr="002239BF">
        <w:rPr>
          <w:rFonts w:ascii="Times New Roman" w:hAnsi="Times New Roman" w:cs="Times New Roman"/>
          <w:sz w:val="24"/>
          <w:szCs w:val="24"/>
          <w:lang w:val="en-US"/>
        </w:rPr>
        <w:t xml:space="preserve"> </w:t>
      </w:r>
      <w:r w:rsidR="00724E6B" w:rsidRPr="002239BF">
        <w:rPr>
          <w:rFonts w:ascii="Times New Roman" w:hAnsi="Times New Roman" w:cs="Times New Roman"/>
          <w:sz w:val="24"/>
          <w:szCs w:val="24"/>
          <w:lang w:val="en-US"/>
        </w:rPr>
        <w:t>support</w:t>
      </w:r>
      <w:r w:rsidR="00267AC3" w:rsidRPr="002239BF">
        <w:rPr>
          <w:rFonts w:ascii="Times New Roman" w:hAnsi="Times New Roman" w:cs="Times New Roman"/>
          <w:sz w:val="24"/>
          <w:szCs w:val="24"/>
          <w:lang w:val="en-US"/>
        </w:rPr>
        <w:t>s</w:t>
      </w:r>
      <w:r w:rsidR="00724E6B" w:rsidRPr="002239BF">
        <w:rPr>
          <w:rFonts w:ascii="Times New Roman" w:hAnsi="Times New Roman" w:cs="Times New Roman"/>
          <w:sz w:val="24"/>
          <w:szCs w:val="24"/>
          <w:lang w:val="en-US"/>
        </w:rPr>
        <w:t xml:space="preserve"> </w:t>
      </w:r>
      <w:r w:rsidR="00AB6051" w:rsidRPr="002239BF">
        <w:rPr>
          <w:rFonts w:ascii="Times New Roman" w:hAnsi="Times New Roman" w:cs="Times New Roman"/>
          <w:sz w:val="24"/>
          <w:szCs w:val="24"/>
          <w:lang w:val="en-US"/>
        </w:rPr>
        <w:t>the</w:t>
      </w:r>
      <w:r w:rsidR="00F662C5" w:rsidRPr="002239BF">
        <w:rPr>
          <w:rFonts w:ascii="Times New Roman" w:hAnsi="Times New Roman" w:cs="Times New Roman"/>
          <w:sz w:val="24"/>
          <w:szCs w:val="24"/>
          <w:lang w:val="en-US"/>
        </w:rPr>
        <w:t xml:space="preserve"> concern</w:t>
      </w:r>
      <w:r w:rsidR="00724E6B" w:rsidRPr="002239BF">
        <w:rPr>
          <w:rFonts w:ascii="Times New Roman" w:hAnsi="Times New Roman" w:cs="Times New Roman"/>
          <w:sz w:val="24"/>
          <w:szCs w:val="24"/>
          <w:lang w:val="en-US"/>
        </w:rPr>
        <w:t xml:space="preserve">. </w:t>
      </w:r>
      <w:r w:rsidR="00F662C5" w:rsidRPr="002239BF">
        <w:rPr>
          <w:rFonts w:ascii="Times New Roman" w:hAnsi="Times New Roman" w:cs="Times New Roman"/>
          <w:sz w:val="24"/>
          <w:szCs w:val="24"/>
          <w:lang w:val="en-US"/>
        </w:rPr>
        <w:t>The organisation</w:t>
      </w:r>
      <w:r w:rsidR="00724E6B" w:rsidRPr="002239BF">
        <w:rPr>
          <w:rFonts w:ascii="Times New Roman" w:hAnsi="Times New Roman" w:cs="Times New Roman"/>
          <w:sz w:val="24"/>
          <w:szCs w:val="24"/>
          <w:lang w:val="en-US"/>
        </w:rPr>
        <w:t xml:space="preserve"> found that</w:t>
      </w:r>
      <w:r w:rsidR="00061CD2" w:rsidRPr="002239BF">
        <w:rPr>
          <w:rFonts w:ascii="Times New Roman" w:hAnsi="Times New Roman" w:cs="Times New Roman"/>
          <w:sz w:val="24"/>
          <w:szCs w:val="24"/>
          <w:lang w:val="en-US"/>
        </w:rPr>
        <w:t xml:space="preserve"> </w:t>
      </w:r>
      <w:r w:rsidR="003C2B5A" w:rsidRPr="002239BF">
        <w:rPr>
          <w:rFonts w:ascii="Times New Roman" w:hAnsi="Times New Roman" w:cs="Times New Roman"/>
          <w:sz w:val="24"/>
          <w:szCs w:val="24"/>
          <w:lang w:val="en-US"/>
        </w:rPr>
        <w:t>most</w:t>
      </w:r>
      <w:r w:rsidR="00061CD2" w:rsidRPr="002239BF">
        <w:rPr>
          <w:rFonts w:ascii="Times New Roman" w:hAnsi="Times New Roman" w:cs="Times New Roman"/>
          <w:sz w:val="24"/>
          <w:szCs w:val="24"/>
          <w:lang w:val="en-US"/>
        </w:rPr>
        <w:t xml:space="preserve"> Britons would be locked out of accessing the </w:t>
      </w:r>
      <w:r w:rsidR="00B5486E" w:rsidRPr="002239BF">
        <w:rPr>
          <w:rFonts w:ascii="Times New Roman" w:hAnsi="Times New Roman" w:cs="Times New Roman"/>
          <w:sz w:val="24"/>
          <w:szCs w:val="24"/>
          <w:lang w:val="en-US"/>
        </w:rPr>
        <w:t>s</w:t>
      </w:r>
      <w:r w:rsidR="003C2B5A" w:rsidRPr="002239BF">
        <w:rPr>
          <w:rFonts w:ascii="Times New Roman" w:hAnsi="Times New Roman" w:cs="Times New Roman"/>
          <w:sz w:val="24"/>
          <w:szCs w:val="24"/>
          <w:lang w:val="en-US"/>
        </w:rPr>
        <w:t xml:space="preserve">cheme on affordability grounds.  The </w:t>
      </w:r>
      <w:r w:rsidR="00B5486E" w:rsidRPr="002239BF">
        <w:rPr>
          <w:rFonts w:ascii="Times New Roman" w:hAnsi="Times New Roman" w:cs="Times New Roman"/>
          <w:sz w:val="24"/>
          <w:szCs w:val="24"/>
          <w:lang w:val="en-US"/>
        </w:rPr>
        <w:t>homes</w:t>
      </w:r>
      <w:r w:rsidR="00061CD2" w:rsidRPr="002239BF">
        <w:rPr>
          <w:rFonts w:ascii="Times New Roman" w:hAnsi="Times New Roman" w:cs="Times New Roman"/>
          <w:sz w:val="24"/>
          <w:szCs w:val="24"/>
          <w:lang w:val="en-US"/>
        </w:rPr>
        <w:t xml:space="preserve"> would be unaffordable to 58</w:t>
      </w:r>
      <w:r w:rsidR="00B5486E" w:rsidRPr="002239BF">
        <w:rPr>
          <w:rFonts w:ascii="Times New Roman" w:hAnsi="Times New Roman" w:cs="Times New Roman"/>
          <w:sz w:val="24"/>
          <w:szCs w:val="24"/>
          <w:lang w:val="en-US"/>
        </w:rPr>
        <w:t xml:space="preserve"> per cent</w:t>
      </w:r>
      <w:r w:rsidR="00061CD2" w:rsidRPr="002239BF">
        <w:rPr>
          <w:rFonts w:ascii="Times New Roman" w:hAnsi="Times New Roman" w:cs="Times New Roman"/>
          <w:sz w:val="24"/>
          <w:szCs w:val="24"/>
          <w:lang w:val="en-US"/>
        </w:rPr>
        <w:t xml:space="preserve"> of families earning average wa</w:t>
      </w:r>
      <w:r w:rsidR="00190AFD" w:rsidRPr="002239BF">
        <w:rPr>
          <w:rFonts w:ascii="Times New Roman" w:hAnsi="Times New Roman" w:cs="Times New Roman"/>
          <w:sz w:val="24"/>
          <w:szCs w:val="24"/>
          <w:lang w:val="en-US"/>
        </w:rPr>
        <w:t xml:space="preserve">ges in 2020, and </w:t>
      </w:r>
      <w:r w:rsidR="00D602A2" w:rsidRPr="002239BF">
        <w:rPr>
          <w:rFonts w:ascii="Times New Roman" w:hAnsi="Times New Roman" w:cs="Times New Roman"/>
          <w:sz w:val="24"/>
          <w:szCs w:val="24"/>
          <w:lang w:val="en-US"/>
        </w:rPr>
        <w:t xml:space="preserve">to 98 </w:t>
      </w:r>
      <w:r w:rsidR="003C2B5A" w:rsidRPr="002239BF">
        <w:rPr>
          <w:rFonts w:ascii="Times New Roman" w:hAnsi="Times New Roman" w:cs="Times New Roman"/>
          <w:sz w:val="24"/>
          <w:szCs w:val="24"/>
          <w:lang w:val="en-US"/>
        </w:rPr>
        <w:t xml:space="preserve">per cent of </w:t>
      </w:r>
      <w:r w:rsidR="00061CD2" w:rsidRPr="002239BF">
        <w:rPr>
          <w:rFonts w:ascii="Times New Roman" w:hAnsi="Times New Roman" w:cs="Times New Roman"/>
          <w:sz w:val="24"/>
          <w:szCs w:val="24"/>
          <w:lang w:val="en-US"/>
        </w:rPr>
        <w:t>families earning the National Livin</w:t>
      </w:r>
      <w:r w:rsidR="003C2B5A" w:rsidRPr="002239BF">
        <w:rPr>
          <w:rFonts w:ascii="Times New Roman" w:hAnsi="Times New Roman" w:cs="Times New Roman"/>
          <w:sz w:val="24"/>
          <w:szCs w:val="24"/>
          <w:lang w:val="en-US"/>
        </w:rPr>
        <w:t>g Wage</w:t>
      </w:r>
      <w:r w:rsidR="00BE6723" w:rsidRPr="002239BF">
        <w:rPr>
          <w:rFonts w:ascii="Times New Roman" w:hAnsi="Times New Roman" w:cs="Times New Roman"/>
          <w:sz w:val="24"/>
          <w:szCs w:val="24"/>
          <w:lang w:val="en-US"/>
        </w:rPr>
        <w:t>.</w:t>
      </w:r>
      <w:r w:rsidR="00251614" w:rsidRPr="002239BF">
        <w:rPr>
          <w:rStyle w:val="FootnoteReference"/>
          <w:rFonts w:ascii="Times New Roman" w:hAnsi="Times New Roman" w:cs="Times New Roman"/>
          <w:sz w:val="24"/>
          <w:szCs w:val="24"/>
          <w:lang w:val="en-US"/>
        </w:rPr>
        <w:footnoteReference w:id="43"/>
      </w:r>
      <w:r w:rsidR="00BE6723" w:rsidRPr="002239BF">
        <w:rPr>
          <w:rFonts w:ascii="Times New Roman" w:hAnsi="Times New Roman" w:cs="Times New Roman"/>
          <w:sz w:val="24"/>
          <w:szCs w:val="24"/>
          <w:lang w:val="en-US"/>
        </w:rPr>
        <w:t xml:space="preserve"> </w:t>
      </w:r>
      <w:r w:rsidR="00061CD2" w:rsidRPr="002239BF">
        <w:rPr>
          <w:rFonts w:ascii="Times New Roman" w:hAnsi="Times New Roman" w:cs="Times New Roman"/>
          <w:sz w:val="24"/>
          <w:szCs w:val="24"/>
          <w:lang w:val="en-US"/>
        </w:rPr>
        <w:t xml:space="preserve">Most </w:t>
      </w:r>
      <w:r w:rsidR="000F3E8A" w:rsidRPr="002239BF">
        <w:rPr>
          <w:rFonts w:ascii="Times New Roman" w:hAnsi="Times New Roman" w:cs="Times New Roman"/>
          <w:sz w:val="24"/>
          <w:szCs w:val="24"/>
          <w:lang w:val="en-US"/>
        </w:rPr>
        <w:t xml:space="preserve">single people </w:t>
      </w:r>
      <w:r w:rsidR="00163062" w:rsidRPr="002239BF">
        <w:rPr>
          <w:rFonts w:ascii="Times New Roman" w:hAnsi="Times New Roman" w:cs="Times New Roman"/>
          <w:sz w:val="24"/>
          <w:szCs w:val="24"/>
          <w:lang w:val="en-US"/>
        </w:rPr>
        <w:t>would</w:t>
      </w:r>
      <w:r w:rsidR="000F3E8A" w:rsidRPr="002239BF">
        <w:rPr>
          <w:rFonts w:ascii="Times New Roman" w:hAnsi="Times New Roman" w:cs="Times New Roman"/>
          <w:sz w:val="24"/>
          <w:szCs w:val="24"/>
          <w:lang w:val="en-US"/>
        </w:rPr>
        <w:t xml:space="preserve"> </w:t>
      </w:r>
      <w:r w:rsidR="00D602A2" w:rsidRPr="002239BF">
        <w:rPr>
          <w:rFonts w:ascii="Times New Roman" w:hAnsi="Times New Roman" w:cs="Times New Roman"/>
          <w:sz w:val="24"/>
          <w:szCs w:val="24"/>
          <w:lang w:val="en-US"/>
        </w:rPr>
        <w:t>be unable</w:t>
      </w:r>
      <w:r w:rsidR="000F3E8A" w:rsidRPr="002239BF">
        <w:rPr>
          <w:rFonts w:ascii="Times New Roman" w:hAnsi="Times New Roman" w:cs="Times New Roman"/>
          <w:sz w:val="24"/>
          <w:szCs w:val="24"/>
          <w:lang w:val="en-US"/>
        </w:rPr>
        <w:t xml:space="preserve"> to take advantage of the scheme and London, the area of greatest </w:t>
      </w:r>
      <w:r w:rsidR="00D602A2" w:rsidRPr="002239BF">
        <w:rPr>
          <w:rFonts w:ascii="Times New Roman" w:hAnsi="Times New Roman" w:cs="Times New Roman"/>
          <w:sz w:val="24"/>
          <w:szCs w:val="24"/>
          <w:lang w:val="en-US"/>
        </w:rPr>
        <w:t xml:space="preserve">housing </w:t>
      </w:r>
      <w:r w:rsidR="000F3E8A" w:rsidRPr="002239BF">
        <w:rPr>
          <w:rFonts w:ascii="Times New Roman" w:hAnsi="Times New Roman" w:cs="Times New Roman"/>
          <w:sz w:val="24"/>
          <w:szCs w:val="24"/>
          <w:lang w:val="en-US"/>
        </w:rPr>
        <w:t xml:space="preserve">demand, </w:t>
      </w:r>
      <w:r w:rsidR="008114A1" w:rsidRPr="002239BF">
        <w:rPr>
          <w:rFonts w:ascii="Times New Roman" w:hAnsi="Times New Roman" w:cs="Times New Roman"/>
          <w:sz w:val="24"/>
          <w:szCs w:val="24"/>
          <w:lang w:val="en-US"/>
        </w:rPr>
        <w:t>would see th</w:t>
      </w:r>
      <w:r w:rsidR="00163062" w:rsidRPr="002239BF">
        <w:rPr>
          <w:rFonts w:ascii="Times New Roman" w:hAnsi="Times New Roman" w:cs="Times New Roman"/>
          <w:sz w:val="24"/>
          <w:szCs w:val="24"/>
          <w:lang w:val="en-US"/>
        </w:rPr>
        <w:t>e smallest number of beneficiaries</w:t>
      </w:r>
      <w:r w:rsidR="008114A1" w:rsidRPr="002239BF">
        <w:rPr>
          <w:rFonts w:ascii="Times New Roman" w:hAnsi="Times New Roman" w:cs="Times New Roman"/>
          <w:sz w:val="24"/>
          <w:szCs w:val="24"/>
          <w:lang w:val="en-US"/>
        </w:rPr>
        <w:t xml:space="preserve"> of </w:t>
      </w:r>
      <w:r w:rsidR="00AB00F4" w:rsidRPr="002239BF">
        <w:rPr>
          <w:rFonts w:ascii="Times New Roman" w:hAnsi="Times New Roman" w:cs="Times New Roman"/>
          <w:sz w:val="24"/>
          <w:szCs w:val="24"/>
          <w:lang w:val="en-US"/>
        </w:rPr>
        <w:t xml:space="preserve">the </w:t>
      </w:r>
      <w:r w:rsidR="008114A1" w:rsidRPr="002239BF">
        <w:rPr>
          <w:rFonts w:ascii="Times New Roman" w:hAnsi="Times New Roman" w:cs="Times New Roman"/>
          <w:sz w:val="24"/>
          <w:szCs w:val="24"/>
          <w:lang w:val="en-US"/>
        </w:rPr>
        <w:t>programme.</w:t>
      </w:r>
      <w:r w:rsidR="00BF616D" w:rsidRPr="002239BF">
        <w:rPr>
          <w:rStyle w:val="FootnoteReference"/>
          <w:rFonts w:ascii="Times New Roman" w:hAnsi="Times New Roman" w:cs="Times New Roman"/>
          <w:sz w:val="24"/>
          <w:szCs w:val="24"/>
          <w:lang w:val="en-US"/>
        </w:rPr>
        <w:footnoteReference w:id="44"/>
      </w:r>
      <w:r w:rsidR="00542AE2" w:rsidRPr="002239BF">
        <w:rPr>
          <w:rFonts w:ascii="Times New Roman" w:hAnsi="Times New Roman" w:cs="Times New Roman"/>
          <w:sz w:val="24"/>
          <w:szCs w:val="24"/>
          <w:lang w:val="en-US"/>
        </w:rPr>
        <w:t xml:space="preserve"> Instead, it wil</w:t>
      </w:r>
      <w:r w:rsidR="00E74B91" w:rsidRPr="002239BF">
        <w:rPr>
          <w:rFonts w:ascii="Times New Roman" w:hAnsi="Times New Roman" w:cs="Times New Roman"/>
          <w:sz w:val="24"/>
          <w:szCs w:val="24"/>
          <w:lang w:val="en-US"/>
        </w:rPr>
        <w:t>l be</w:t>
      </w:r>
      <w:r w:rsidR="00542AE2" w:rsidRPr="002239BF">
        <w:rPr>
          <w:rFonts w:ascii="Times New Roman" w:hAnsi="Times New Roman" w:cs="Times New Roman"/>
          <w:sz w:val="24"/>
          <w:szCs w:val="24"/>
          <w:lang w:val="en-US"/>
        </w:rPr>
        <w:t xml:space="preserve"> better off families and couples with children who will</w:t>
      </w:r>
      <w:r w:rsidR="00E74B91" w:rsidRPr="002239BF">
        <w:rPr>
          <w:rFonts w:ascii="Times New Roman" w:hAnsi="Times New Roman" w:cs="Times New Roman"/>
          <w:sz w:val="24"/>
          <w:szCs w:val="24"/>
          <w:lang w:val="en-US"/>
        </w:rPr>
        <w:t xml:space="preserve"> </w:t>
      </w:r>
      <w:r w:rsidR="0002564D" w:rsidRPr="002239BF">
        <w:rPr>
          <w:rFonts w:ascii="Times New Roman" w:hAnsi="Times New Roman" w:cs="Times New Roman"/>
          <w:sz w:val="24"/>
          <w:szCs w:val="24"/>
          <w:lang w:val="en-US"/>
        </w:rPr>
        <w:t xml:space="preserve">be well-placed to </w:t>
      </w:r>
      <w:r w:rsidR="00E74B91" w:rsidRPr="002239BF">
        <w:rPr>
          <w:rFonts w:ascii="Times New Roman" w:hAnsi="Times New Roman" w:cs="Times New Roman"/>
          <w:sz w:val="24"/>
          <w:szCs w:val="24"/>
          <w:lang w:val="en-US"/>
        </w:rPr>
        <w:t>benefit.</w:t>
      </w:r>
      <w:r w:rsidR="00943CEC" w:rsidRPr="002239BF">
        <w:rPr>
          <w:rFonts w:ascii="Times New Roman" w:hAnsi="Times New Roman" w:cs="Times New Roman"/>
          <w:sz w:val="24"/>
          <w:szCs w:val="24"/>
          <w:lang w:val="en-US"/>
        </w:rPr>
        <w:t xml:space="preserve"> Lord Jeremy Beecham described the policy in the House of Lords as a ‘costly approach to a massive housing problem for the benefit of only one section of the population… at the expense of people whose own needs and aspirations will continue to be unmet.’</w:t>
      </w:r>
      <w:r w:rsidR="00820FD6" w:rsidRPr="002239BF">
        <w:rPr>
          <w:rStyle w:val="FootnoteReference"/>
          <w:rFonts w:ascii="Times New Roman" w:hAnsi="Times New Roman" w:cs="Times New Roman"/>
          <w:sz w:val="24"/>
          <w:szCs w:val="24"/>
          <w:lang w:val="en-US"/>
        </w:rPr>
        <w:footnoteReference w:id="45"/>
      </w:r>
      <w:r w:rsidR="007F328C" w:rsidRPr="002239BF">
        <w:rPr>
          <w:rFonts w:ascii="Times New Roman" w:hAnsi="Times New Roman" w:cs="Times New Roman"/>
          <w:sz w:val="24"/>
          <w:szCs w:val="24"/>
          <w:lang w:val="en-US"/>
        </w:rPr>
        <w:t xml:space="preserve"> Thirdly, </w:t>
      </w:r>
      <w:r w:rsidR="001A494A" w:rsidRPr="002239BF">
        <w:rPr>
          <w:rFonts w:ascii="Times New Roman" w:hAnsi="Times New Roman" w:cs="Times New Roman"/>
          <w:sz w:val="24"/>
          <w:szCs w:val="24"/>
          <w:lang w:val="en-US"/>
        </w:rPr>
        <w:t xml:space="preserve">is the very real issue of delivery of the pledged 200,000 </w:t>
      </w:r>
      <w:r w:rsidR="00B5486E" w:rsidRPr="002239BF">
        <w:rPr>
          <w:rFonts w:ascii="Times New Roman" w:hAnsi="Times New Roman" w:cs="Times New Roman"/>
          <w:sz w:val="24"/>
          <w:szCs w:val="24"/>
          <w:lang w:val="en-US"/>
        </w:rPr>
        <w:t>s</w:t>
      </w:r>
      <w:r w:rsidR="001A494A" w:rsidRPr="002239BF">
        <w:rPr>
          <w:rFonts w:ascii="Times New Roman" w:hAnsi="Times New Roman" w:cs="Times New Roman"/>
          <w:sz w:val="24"/>
          <w:szCs w:val="24"/>
          <w:lang w:val="en-US"/>
        </w:rPr>
        <w:t xml:space="preserve">tarter </w:t>
      </w:r>
      <w:r w:rsidR="00B5486E" w:rsidRPr="002239BF">
        <w:rPr>
          <w:rFonts w:ascii="Times New Roman" w:hAnsi="Times New Roman" w:cs="Times New Roman"/>
          <w:sz w:val="24"/>
          <w:szCs w:val="24"/>
          <w:lang w:val="en-US"/>
        </w:rPr>
        <w:t>h</w:t>
      </w:r>
      <w:r w:rsidR="001A494A" w:rsidRPr="002239BF">
        <w:rPr>
          <w:rFonts w:ascii="Times New Roman" w:hAnsi="Times New Roman" w:cs="Times New Roman"/>
          <w:sz w:val="24"/>
          <w:szCs w:val="24"/>
          <w:lang w:val="en-US"/>
        </w:rPr>
        <w:t>omes by 2020</w:t>
      </w:r>
      <w:r w:rsidR="00833671" w:rsidRPr="002239BF">
        <w:rPr>
          <w:rFonts w:ascii="Times New Roman" w:hAnsi="Times New Roman" w:cs="Times New Roman"/>
          <w:sz w:val="24"/>
          <w:szCs w:val="24"/>
          <w:lang w:val="en-US"/>
        </w:rPr>
        <w:t>, a figure which even if achieved still falls</w:t>
      </w:r>
      <w:r w:rsidR="004D6541" w:rsidRPr="002239BF">
        <w:rPr>
          <w:rFonts w:ascii="Times New Roman" w:hAnsi="Times New Roman" w:cs="Times New Roman"/>
          <w:sz w:val="24"/>
          <w:szCs w:val="24"/>
          <w:lang w:val="en-US"/>
        </w:rPr>
        <w:t xml:space="preserve"> someway</w:t>
      </w:r>
      <w:r w:rsidR="00833671" w:rsidRPr="002239BF">
        <w:rPr>
          <w:rFonts w:ascii="Times New Roman" w:hAnsi="Times New Roman" w:cs="Times New Roman"/>
          <w:sz w:val="24"/>
          <w:szCs w:val="24"/>
          <w:lang w:val="en-US"/>
        </w:rPr>
        <w:t xml:space="preserve"> short of the stated 2</w:t>
      </w:r>
      <w:r w:rsidR="004D6541" w:rsidRPr="002239BF">
        <w:rPr>
          <w:rFonts w:ascii="Times New Roman" w:hAnsi="Times New Roman" w:cs="Times New Roman"/>
          <w:sz w:val="24"/>
          <w:szCs w:val="24"/>
          <w:lang w:val="en-US"/>
        </w:rPr>
        <w:t>50,000 homes needed to be built every year</w:t>
      </w:r>
      <w:r w:rsidR="00780BC9" w:rsidRPr="002239BF">
        <w:rPr>
          <w:rFonts w:ascii="Times New Roman" w:hAnsi="Times New Roman" w:cs="Times New Roman"/>
          <w:sz w:val="24"/>
          <w:szCs w:val="24"/>
          <w:lang w:val="en-US"/>
        </w:rPr>
        <w:t xml:space="preserve"> to meet demand.</w:t>
      </w:r>
      <w:r w:rsidR="00780BC9" w:rsidRPr="002239BF">
        <w:rPr>
          <w:rStyle w:val="FootnoteReference"/>
          <w:rFonts w:ascii="Times New Roman" w:hAnsi="Times New Roman" w:cs="Times New Roman"/>
          <w:sz w:val="24"/>
          <w:szCs w:val="24"/>
          <w:lang w:val="en-US"/>
        </w:rPr>
        <w:footnoteReference w:id="46"/>
      </w:r>
      <w:r w:rsidR="00780BC9" w:rsidRPr="002239BF">
        <w:rPr>
          <w:rFonts w:ascii="Times New Roman" w:hAnsi="Times New Roman" w:cs="Times New Roman"/>
          <w:sz w:val="24"/>
          <w:szCs w:val="24"/>
          <w:lang w:val="en-US"/>
        </w:rPr>
        <w:t xml:space="preserve"> </w:t>
      </w:r>
      <w:r w:rsidR="007A0F1B" w:rsidRPr="002239BF">
        <w:rPr>
          <w:rFonts w:ascii="Times New Roman" w:hAnsi="Times New Roman" w:cs="Times New Roman"/>
          <w:sz w:val="24"/>
          <w:szCs w:val="24"/>
          <w:lang w:val="en-US"/>
        </w:rPr>
        <w:t>A</w:t>
      </w:r>
      <w:r w:rsidR="001A494A" w:rsidRPr="002239BF">
        <w:rPr>
          <w:rFonts w:ascii="Times New Roman" w:hAnsi="Times New Roman" w:cs="Times New Roman"/>
          <w:sz w:val="24"/>
          <w:szCs w:val="24"/>
          <w:lang w:val="en-US"/>
        </w:rPr>
        <w:t xml:space="preserve">ccording to the </w:t>
      </w:r>
      <w:r w:rsidR="00351F2A" w:rsidRPr="002239BF">
        <w:rPr>
          <w:rFonts w:ascii="Times New Roman" w:hAnsi="Times New Roman" w:cs="Times New Roman"/>
          <w:sz w:val="24"/>
          <w:szCs w:val="24"/>
          <w:lang w:val="en-US"/>
        </w:rPr>
        <w:t xml:space="preserve">Council of Mortgage Lenders, </w:t>
      </w:r>
      <w:r w:rsidR="00AB6051" w:rsidRPr="002239BF">
        <w:rPr>
          <w:rFonts w:ascii="Times New Roman" w:hAnsi="Times New Roman" w:cs="Times New Roman"/>
          <w:sz w:val="24"/>
          <w:szCs w:val="24"/>
          <w:lang w:val="en-US"/>
        </w:rPr>
        <w:t>the</w:t>
      </w:r>
      <w:r w:rsidR="00780BC9" w:rsidRPr="002239BF">
        <w:rPr>
          <w:rFonts w:ascii="Times New Roman" w:hAnsi="Times New Roman" w:cs="Times New Roman"/>
          <w:sz w:val="24"/>
          <w:szCs w:val="24"/>
          <w:lang w:val="en-US"/>
        </w:rPr>
        <w:t xml:space="preserve"> 200,000</w:t>
      </w:r>
      <w:r w:rsidR="00351F2A" w:rsidRPr="002239BF">
        <w:rPr>
          <w:rFonts w:ascii="Times New Roman" w:hAnsi="Times New Roman" w:cs="Times New Roman"/>
          <w:sz w:val="24"/>
          <w:szCs w:val="24"/>
          <w:lang w:val="en-US"/>
        </w:rPr>
        <w:t xml:space="preserve"> target is </w:t>
      </w:r>
      <w:r w:rsidR="00235E7D" w:rsidRPr="002239BF">
        <w:rPr>
          <w:rFonts w:ascii="Times New Roman" w:hAnsi="Times New Roman" w:cs="Times New Roman"/>
          <w:sz w:val="24"/>
          <w:szCs w:val="24"/>
          <w:lang w:val="en-US"/>
        </w:rPr>
        <w:t xml:space="preserve">wholly </w:t>
      </w:r>
      <w:r w:rsidR="00351F2A" w:rsidRPr="002239BF">
        <w:rPr>
          <w:rFonts w:ascii="Times New Roman" w:hAnsi="Times New Roman" w:cs="Times New Roman"/>
          <w:sz w:val="24"/>
          <w:szCs w:val="24"/>
          <w:lang w:val="en-US"/>
        </w:rPr>
        <w:t>unrealistic and only a more modest 112,000</w:t>
      </w:r>
      <w:r w:rsidR="0069049B" w:rsidRPr="002239BF">
        <w:rPr>
          <w:rFonts w:ascii="Times New Roman" w:hAnsi="Times New Roman" w:cs="Times New Roman"/>
          <w:sz w:val="24"/>
          <w:szCs w:val="24"/>
          <w:lang w:val="en-US"/>
        </w:rPr>
        <w:t xml:space="preserve"> houses</w:t>
      </w:r>
      <w:r w:rsidR="00351F2A" w:rsidRPr="002239BF">
        <w:rPr>
          <w:rFonts w:ascii="Times New Roman" w:hAnsi="Times New Roman" w:cs="Times New Roman"/>
          <w:sz w:val="24"/>
          <w:szCs w:val="24"/>
          <w:lang w:val="en-US"/>
        </w:rPr>
        <w:t xml:space="preserve"> could conceivably be </w:t>
      </w:r>
      <w:r w:rsidR="0069049B" w:rsidRPr="002239BF">
        <w:rPr>
          <w:rFonts w:ascii="Times New Roman" w:hAnsi="Times New Roman" w:cs="Times New Roman"/>
          <w:sz w:val="24"/>
          <w:szCs w:val="24"/>
          <w:lang w:val="en-US"/>
        </w:rPr>
        <w:t xml:space="preserve">built </w:t>
      </w:r>
      <w:r w:rsidR="00351F2A" w:rsidRPr="002239BF">
        <w:rPr>
          <w:rFonts w:ascii="Times New Roman" w:hAnsi="Times New Roman" w:cs="Times New Roman"/>
          <w:sz w:val="24"/>
          <w:szCs w:val="24"/>
          <w:lang w:val="en-US"/>
        </w:rPr>
        <w:t xml:space="preserve">in </w:t>
      </w:r>
      <w:r w:rsidR="00AB6051" w:rsidRPr="002239BF">
        <w:rPr>
          <w:rFonts w:ascii="Times New Roman" w:hAnsi="Times New Roman" w:cs="Times New Roman"/>
          <w:sz w:val="24"/>
          <w:szCs w:val="24"/>
          <w:lang w:val="en-US"/>
        </w:rPr>
        <w:t>the</w:t>
      </w:r>
      <w:r w:rsidR="00351F2A" w:rsidRPr="002239BF">
        <w:rPr>
          <w:rFonts w:ascii="Times New Roman" w:hAnsi="Times New Roman" w:cs="Times New Roman"/>
          <w:sz w:val="24"/>
          <w:szCs w:val="24"/>
          <w:lang w:val="en-US"/>
        </w:rPr>
        <w:t xml:space="preserve"> time-frame.</w:t>
      </w:r>
      <w:r w:rsidR="00256C69" w:rsidRPr="002239BF">
        <w:rPr>
          <w:rStyle w:val="FootnoteReference"/>
          <w:rFonts w:ascii="Times New Roman" w:hAnsi="Times New Roman" w:cs="Times New Roman"/>
          <w:sz w:val="24"/>
          <w:szCs w:val="24"/>
          <w:lang w:val="en-US"/>
        </w:rPr>
        <w:footnoteReference w:id="47"/>
      </w:r>
      <w:r w:rsidR="0069049B" w:rsidRPr="002239BF">
        <w:rPr>
          <w:rFonts w:ascii="Times New Roman" w:hAnsi="Times New Roman" w:cs="Times New Roman"/>
          <w:sz w:val="24"/>
          <w:szCs w:val="24"/>
          <w:lang w:val="en-US"/>
        </w:rPr>
        <w:t xml:space="preserve"> The </w:t>
      </w:r>
      <w:r w:rsidR="00B5486E" w:rsidRPr="002239BF">
        <w:rPr>
          <w:rFonts w:ascii="Times New Roman" w:hAnsi="Times New Roman" w:cs="Times New Roman"/>
          <w:sz w:val="24"/>
          <w:szCs w:val="24"/>
          <w:lang w:val="en-US"/>
        </w:rPr>
        <w:t>s</w:t>
      </w:r>
      <w:r w:rsidR="0069049B" w:rsidRPr="002239BF">
        <w:rPr>
          <w:rFonts w:ascii="Times New Roman" w:hAnsi="Times New Roman" w:cs="Times New Roman"/>
          <w:sz w:val="24"/>
          <w:szCs w:val="24"/>
          <w:lang w:val="en-US"/>
        </w:rPr>
        <w:t xml:space="preserve">tarter </w:t>
      </w:r>
      <w:r w:rsidR="00B5486E" w:rsidRPr="002239BF">
        <w:rPr>
          <w:rFonts w:ascii="Times New Roman" w:hAnsi="Times New Roman" w:cs="Times New Roman"/>
          <w:sz w:val="24"/>
          <w:szCs w:val="24"/>
          <w:lang w:val="en-US"/>
        </w:rPr>
        <w:t>h</w:t>
      </w:r>
      <w:r w:rsidR="0069049B" w:rsidRPr="002239BF">
        <w:rPr>
          <w:rFonts w:ascii="Times New Roman" w:hAnsi="Times New Roman" w:cs="Times New Roman"/>
          <w:sz w:val="24"/>
          <w:szCs w:val="24"/>
          <w:lang w:val="en-US"/>
        </w:rPr>
        <w:t xml:space="preserve">omes scheme </w:t>
      </w:r>
      <w:r w:rsidR="005F5C2B" w:rsidRPr="002239BF">
        <w:rPr>
          <w:rFonts w:ascii="Times New Roman" w:hAnsi="Times New Roman" w:cs="Times New Roman"/>
          <w:sz w:val="24"/>
          <w:szCs w:val="24"/>
          <w:lang w:val="en-US"/>
        </w:rPr>
        <w:t xml:space="preserve">might </w:t>
      </w:r>
      <w:r w:rsidR="007A0F1B" w:rsidRPr="002239BF">
        <w:rPr>
          <w:rFonts w:ascii="Times New Roman" w:hAnsi="Times New Roman" w:cs="Times New Roman"/>
          <w:sz w:val="24"/>
          <w:szCs w:val="24"/>
          <w:lang w:val="en-US"/>
        </w:rPr>
        <w:t xml:space="preserve">therefore </w:t>
      </w:r>
      <w:r w:rsidR="0069049B" w:rsidRPr="002239BF">
        <w:rPr>
          <w:rFonts w:ascii="Times New Roman" w:hAnsi="Times New Roman" w:cs="Times New Roman"/>
          <w:sz w:val="24"/>
          <w:szCs w:val="24"/>
          <w:lang w:val="en-US"/>
        </w:rPr>
        <w:t xml:space="preserve">be construed as a laudable attempt to increase the supply of affordable homes in </w:t>
      </w:r>
      <w:r w:rsidR="00B5486E" w:rsidRPr="002239BF">
        <w:rPr>
          <w:rFonts w:ascii="Times New Roman" w:hAnsi="Times New Roman" w:cs="Times New Roman"/>
          <w:sz w:val="24"/>
          <w:szCs w:val="24"/>
          <w:lang w:val="en-US"/>
        </w:rPr>
        <w:t xml:space="preserve">England </w:t>
      </w:r>
      <w:r w:rsidR="0069049B" w:rsidRPr="002239BF">
        <w:rPr>
          <w:rFonts w:ascii="Times New Roman" w:hAnsi="Times New Roman" w:cs="Times New Roman"/>
          <w:sz w:val="24"/>
          <w:szCs w:val="24"/>
          <w:lang w:val="en-US"/>
        </w:rPr>
        <w:t>but</w:t>
      </w:r>
      <w:r w:rsidR="005F5C2B" w:rsidRPr="002239BF">
        <w:rPr>
          <w:rFonts w:ascii="Times New Roman" w:hAnsi="Times New Roman" w:cs="Times New Roman"/>
          <w:sz w:val="24"/>
          <w:szCs w:val="24"/>
          <w:lang w:val="en-US"/>
        </w:rPr>
        <w:t>,</w:t>
      </w:r>
      <w:r w:rsidR="0069049B" w:rsidRPr="002239BF">
        <w:rPr>
          <w:rFonts w:ascii="Times New Roman" w:hAnsi="Times New Roman" w:cs="Times New Roman"/>
          <w:sz w:val="24"/>
          <w:szCs w:val="24"/>
          <w:lang w:val="en-US"/>
        </w:rPr>
        <w:t xml:space="preserve"> in </w:t>
      </w:r>
      <w:r w:rsidR="005F5C2B" w:rsidRPr="002239BF">
        <w:rPr>
          <w:rFonts w:ascii="Times New Roman" w:hAnsi="Times New Roman" w:cs="Times New Roman"/>
          <w:sz w:val="24"/>
          <w:szCs w:val="24"/>
          <w:lang w:val="en-US"/>
        </w:rPr>
        <w:t xml:space="preserve">practice, </w:t>
      </w:r>
      <w:r w:rsidR="0069049B" w:rsidRPr="002239BF">
        <w:rPr>
          <w:rFonts w:ascii="Times New Roman" w:hAnsi="Times New Roman" w:cs="Times New Roman"/>
          <w:sz w:val="24"/>
          <w:szCs w:val="24"/>
          <w:lang w:val="en-US"/>
        </w:rPr>
        <w:t xml:space="preserve">is </w:t>
      </w:r>
      <w:r w:rsidR="005F5C2B" w:rsidRPr="002239BF">
        <w:rPr>
          <w:rFonts w:ascii="Times New Roman" w:hAnsi="Times New Roman" w:cs="Times New Roman"/>
          <w:sz w:val="24"/>
          <w:szCs w:val="24"/>
          <w:lang w:val="en-US"/>
        </w:rPr>
        <w:t>an ill-conceived policy which fails to address either the root cause or meet the scale of the crisis of the shortage of affordable housing.</w:t>
      </w:r>
    </w:p>
    <w:p w14:paraId="1702D6F3" w14:textId="77777777" w:rsidR="00B1188B" w:rsidRPr="002239BF" w:rsidRDefault="00B1188B" w:rsidP="00733DF3">
      <w:pPr>
        <w:tabs>
          <w:tab w:val="num" w:pos="720"/>
        </w:tabs>
        <w:spacing w:line="480" w:lineRule="auto"/>
        <w:rPr>
          <w:rFonts w:ascii="Times New Roman" w:hAnsi="Times New Roman" w:cs="Times New Roman"/>
          <w:sz w:val="24"/>
          <w:szCs w:val="24"/>
          <w:lang w:val="en"/>
        </w:rPr>
      </w:pPr>
    </w:p>
    <w:p w14:paraId="1FA77EC1" w14:textId="63D8E5D8" w:rsidR="00105CD1" w:rsidRPr="002239BF" w:rsidRDefault="00297060" w:rsidP="00733DF3">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Extending the right to buy to housing a</w:t>
      </w:r>
      <w:r w:rsidR="00B5486E" w:rsidRPr="002239BF">
        <w:rPr>
          <w:rFonts w:ascii="Times New Roman" w:hAnsi="Times New Roman" w:cs="Times New Roman"/>
          <w:b/>
          <w:sz w:val="24"/>
          <w:szCs w:val="24"/>
        </w:rPr>
        <w:t>ssociation tenants</w:t>
      </w:r>
    </w:p>
    <w:p w14:paraId="77B66C8E" w14:textId="264CBD2A" w:rsidR="00105CD1" w:rsidRPr="002239BF" w:rsidRDefault="00CF4945"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A </w:t>
      </w:r>
      <w:r w:rsidR="0005635C" w:rsidRPr="002239BF">
        <w:rPr>
          <w:rFonts w:ascii="Times New Roman" w:hAnsi="Times New Roman" w:cs="Times New Roman"/>
          <w:sz w:val="24"/>
          <w:szCs w:val="24"/>
        </w:rPr>
        <w:t xml:space="preserve">key </w:t>
      </w:r>
      <w:r w:rsidR="000838B0" w:rsidRPr="002239BF">
        <w:rPr>
          <w:rFonts w:ascii="Times New Roman" w:hAnsi="Times New Roman" w:cs="Times New Roman"/>
          <w:sz w:val="24"/>
          <w:szCs w:val="24"/>
        </w:rPr>
        <w:t xml:space="preserve">Conservative Party </w:t>
      </w:r>
      <w:r w:rsidR="0005635C" w:rsidRPr="002239BF">
        <w:rPr>
          <w:rFonts w:ascii="Times New Roman" w:hAnsi="Times New Roman" w:cs="Times New Roman"/>
          <w:sz w:val="24"/>
          <w:szCs w:val="24"/>
        </w:rPr>
        <w:t>manifesto pledge</w:t>
      </w:r>
      <w:r w:rsidR="000838B0" w:rsidRPr="002239BF">
        <w:rPr>
          <w:rFonts w:ascii="Times New Roman" w:hAnsi="Times New Roman" w:cs="Times New Roman"/>
          <w:sz w:val="24"/>
          <w:szCs w:val="24"/>
        </w:rPr>
        <w:t xml:space="preserve"> </w:t>
      </w:r>
      <w:r w:rsidRPr="002239BF">
        <w:rPr>
          <w:rFonts w:ascii="Times New Roman" w:hAnsi="Times New Roman" w:cs="Times New Roman"/>
          <w:sz w:val="24"/>
          <w:szCs w:val="24"/>
        </w:rPr>
        <w:t>in</w:t>
      </w:r>
      <w:r w:rsidR="000838B0" w:rsidRPr="002239BF">
        <w:rPr>
          <w:rFonts w:ascii="Times New Roman" w:hAnsi="Times New Roman" w:cs="Times New Roman"/>
          <w:sz w:val="24"/>
          <w:szCs w:val="24"/>
        </w:rPr>
        <w:t xml:space="preserve"> the </w:t>
      </w:r>
      <w:r w:rsidR="007803CF" w:rsidRPr="002239BF">
        <w:rPr>
          <w:rFonts w:ascii="Times New Roman" w:hAnsi="Times New Roman" w:cs="Times New Roman"/>
          <w:sz w:val="24"/>
          <w:szCs w:val="24"/>
        </w:rPr>
        <w:t xml:space="preserve">2015 </w:t>
      </w:r>
      <w:r w:rsidR="000838B0" w:rsidRPr="002239BF">
        <w:rPr>
          <w:rFonts w:ascii="Times New Roman" w:hAnsi="Times New Roman" w:cs="Times New Roman"/>
          <w:sz w:val="24"/>
          <w:szCs w:val="24"/>
        </w:rPr>
        <w:t xml:space="preserve">General Election was the promise to extend </w:t>
      </w:r>
      <w:r w:rsidRPr="002239BF">
        <w:rPr>
          <w:rFonts w:ascii="Times New Roman" w:hAnsi="Times New Roman" w:cs="Times New Roman"/>
          <w:sz w:val="24"/>
          <w:szCs w:val="24"/>
        </w:rPr>
        <w:t>the right to buy to housing association tenants</w:t>
      </w:r>
      <w:r w:rsidR="00FC0AE4" w:rsidRPr="002239BF">
        <w:rPr>
          <w:rFonts w:ascii="Times New Roman" w:hAnsi="Times New Roman" w:cs="Times New Roman"/>
          <w:sz w:val="24"/>
          <w:szCs w:val="24"/>
        </w:rPr>
        <w:t xml:space="preserve">. The </w:t>
      </w:r>
      <w:r w:rsidR="00B60A05" w:rsidRPr="002239BF">
        <w:rPr>
          <w:rFonts w:ascii="Times New Roman" w:hAnsi="Times New Roman" w:cs="Times New Roman"/>
          <w:sz w:val="24"/>
          <w:szCs w:val="24"/>
        </w:rPr>
        <w:t>Conservatives</w:t>
      </w:r>
      <w:r w:rsidR="00E32731" w:rsidRPr="002239BF">
        <w:rPr>
          <w:rFonts w:ascii="Times New Roman" w:hAnsi="Times New Roman" w:cs="Times New Roman"/>
          <w:sz w:val="24"/>
          <w:szCs w:val="24"/>
        </w:rPr>
        <w:t>’</w:t>
      </w:r>
      <w:r w:rsidR="00B60A05" w:rsidRPr="002239BF">
        <w:rPr>
          <w:rFonts w:ascii="Times New Roman" w:hAnsi="Times New Roman" w:cs="Times New Roman"/>
          <w:sz w:val="24"/>
          <w:szCs w:val="24"/>
        </w:rPr>
        <w:t xml:space="preserve"> </w:t>
      </w:r>
      <w:r w:rsidR="00FC0AE4" w:rsidRPr="002239BF">
        <w:rPr>
          <w:rFonts w:ascii="Times New Roman" w:hAnsi="Times New Roman" w:cs="Times New Roman"/>
          <w:sz w:val="24"/>
          <w:szCs w:val="24"/>
        </w:rPr>
        <w:t>ambition was to ‘give more people the chance to own their home’</w:t>
      </w:r>
      <w:bookmarkStart w:id="7" w:name="_Ref474417941"/>
      <w:r w:rsidR="00FC0AE4" w:rsidRPr="002239BF">
        <w:rPr>
          <w:rStyle w:val="FootnoteReference"/>
          <w:rFonts w:ascii="Times New Roman" w:hAnsi="Times New Roman" w:cs="Times New Roman"/>
          <w:sz w:val="24"/>
          <w:szCs w:val="24"/>
        </w:rPr>
        <w:footnoteReference w:id="48"/>
      </w:r>
      <w:bookmarkEnd w:id="7"/>
      <w:r w:rsidR="008E0A1A" w:rsidRPr="002239BF">
        <w:rPr>
          <w:rFonts w:ascii="Times New Roman" w:hAnsi="Times New Roman" w:cs="Times New Roman"/>
          <w:sz w:val="24"/>
          <w:szCs w:val="24"/>
        </w:rPr>
        <w:t xml:space="preserve"> and redress the ‘unfairness’ that existed whereby local authority tenants could take the benefit of the </w:t>
      </w:r>
      <w:r w:rsidR="007803CF" w:rsidRPr="002239BF">
        <w:rPr>
          <w:rFonts w:ascii="Times New Roman" w:hAnsi="Times New Roman" w:cs="Times New Roman"/>
          <w:sz w:val="24"/>
          <w:szCs w:val="24"/>
        </w:rPr>
        <w:t>r</w:t>
      </w:r>
      <w:r w:rsidR="008E0A1A" w:rsidRPr="002239BF">
        <w:rPr>
          <w:rFonts w:ascii="Times New Roman" w:hAnsi="Times New Roman" w:cs="Times New Roman"/>
          <w:sz w:val="24"/>
          <w:szCs w:val="24"/>
        </w:rPr>
        <w:t xml:space="preserve">ight to </w:t>
      </w:r>
      <w:r w:rsidR="007803CF" w:rsidRPr="002239BF">
        <w:rPr>
          <w:rFonts w:ascii="Times New Roman" w:hAnsi="Times New Roman" w:cs="Times New Roman"/>
          <w:sz w:val="24"/>
          <w:szCs w:val="24"/>
        </w:rPr>
        <w:t>b</w:t>
      </w:r>
      <w:r w:rsidR="008E0A1A" w:rsidRPr="002239BF">
        <w:rPr>
          <w:rFonts w:ascii="Times New Roman" w:hAnsi="Times New Roman" w:cs="Times New Roman"/>
          <w:sz w:val="24"/>
          <w:szCs w:val="24"/>
        </w:rPr>
        <w:t>uy but not those in housing association tenancies.</w:t>
      </w:r>
      <w:r w:rsidR="008E0A1A" w:rsidRPr="002239BF">
        <w:rPr>
          <w:rStyle w:val="FootnoteReference"/>
          <w:rFonts w:ascii="Times New Roman" w:hAnsi="Times New Roman" w:cs="Times New Roman"/>
          <w:sz w:val="24"/>
          <w:szCs w:val="24"/>
        </w:rPr>
        <w:footnoteReference w:id="49"/>
      </w:r>
      <w:r w:rsidR="008E0A1A" w:rsidRPr="002239BF">
        <w:rPr>
          <w:rFonts w:ascii="Times New Roman" w:hAnsi="Times New Roman" w:cs="Times New Roman"/>
          <w:sz w:val="24"/>
          <w:szCs w:val="24"/>
        </w:rPr>
        <w:t xml:space="preserve"> </w:t>
      </w:r>
      <w:r w:rsidR="00DA2FA9" w:rsidRPr="002239BF">
        <w:rPr>
          <w:rFonts w:ascii="Times New Roman" w:hAnsi="Times New Roman" w:cs="Times New Roman"/>
          <w:sz w:val="24"/>
          <w:szCs w:val="24"/>
        </w:rPr>
        <w:t xml:space="preserve">The </w:t>
      </w:r>
      <w:r w:rsidR="00105CD1" w:rsidRPr="002239BF">
        <w:rPr>
          <w:rFonts w:ascii="Times New Roman" w:hAnsi="Times New Roman" w:cs="Times New Roman"/>
          <w:sz w:val="24"/>
          <w:szCs w:val="24"/>
        </w:rPr>
        <w:t xml:space="preserve">intention </w:t>
      </w:r>
      <w:r w:rsidR="00DA2FA9" w:rsidRPr="002239BF">
        <w:rPr>
          <w:rFonts w:ascii="Times New Roman" w:hAnsi="Times New Roman" w:cs="Times New Roman"/>
          <w:sz w:val="24"/>
          <w:szCs w:val="24"/>
        </w:rPr>
        <w:t xml:space="preserve">was </w:t>
      </w:r>
      <w:r w:rsidRPr="002239BF">
        <w:rPr>
          <w:rFonts w:ascii="Times New Roman" w:hAnsi="Times New Roman" w:cs="Times New Roman"/>
          <w:sz w:val="24"/>
          <w:szCs w:val="24"/>
        </w:rPr>
        <w:t>included in the Queen’s speech</w:t>
      </w:r>
      <w:r w:rsidR="00105CD1" w:rsidRPr="002239BF">
        <w:rPr>
          <w:rStyle w:val="FootnoteReference"/>
          <w:rFonts w:ascii="Times New Roman" w:hAnsi="Times New Roman" w:cs="Times New Roman"/>
          <w:sz w:val="24"/>
          <w:szCs w:val="24"/>
        </w:rPr>
        <w:footnoteReference w:id="50"/>
      </w:r>
      <w:r w:rsidRPr="002239BF">
        <w:rPr>
          <w:rFonts w:ascii="Times New Roman" w:hAnsi="Times New Roman" w:cs="Times New Roman"/>
          <w:sz w:val="24"/>
          <w:szCs w:val="24"/>
        </w:rPr>
        <w:t xml:space="preserve"> and</w:t>
      </w:r>
      <w:r w:rsidR="002F1DBD" w:rsidRPr="002239BF">
        <w:rPr>
          <w:rFonts w:ascii="Times New Roman" w:hAnsi="Times New Roman" w:cs="Times New Roman"/>
          <w:sz w:val="24"/>
          <w:szCs w:val="24"/>
        </w:rPr>
        <w:t xml:space="preserve"> </w:t>
      </w:r>
      <w:r w:rsidR="00C933C4" w:rsidRPr="002239BF">
        <w:rPr>
          <w:rFonts w:ascii="Times New Roman" w:hAnsi="Times New Roman" w:cs="Times New Roman"/>
          <w:sz w:val="24"/>
          <w:szCs w:val="24"/>
        </w:rPr>
        <w:t xml:space="preserve">drew </w:t>
      </w:r>
      <w:r w:rsidR="002F1DBD" w:rsidRPr="002239BF">
        <w:rPr>
          <w:rFonts w:ascii="Times New Roman" w:hAnsi="Times New Roman" w:cs="Times New Roman"/>
          <w:sz w:val="24"/>
          <w:szCs w:val="24"/>
        </w:rPr>
        <w:t xml:space="preserve">immediate criticism, not least from housing associations themselves who questioned the </w:t>
      </w:r>
      <w:r w:rsidRPr="002239BF">
        <w:rPr>
          <w:rFonts w:ascii="Times New Roman" w:hAnsi="Times New Roman" w:cs="Times New Roman"/>
          <w:sz w:val="24"/>
          <w:szCs w:val="24"/>
        </w:rPr>
        <w:t xml:space="preserve">government’s </w:t>
      </w:r>
      <w:r w:rsidR="002F1DBD" w:rsidRPr="002239BF">
        <w:rPr>
          <w:rFonts w:ascii="Times New Roman" w:hAnsi="Times New Roman" w:cs="Times New Roman"/>
          <w:sz w:val="24"/>
          <w:szCs w:val="24"/>
        </w:rPr>
        <w:t xml:space="preserve">right to require them to sell their stock, </w:t>
      </w:r>
      <w:r w:rsidRPr="002239BF">
        <w:rPr>
          <w:rFonts w:ascii="Times New Roman" w:hAnsi="Times New Roman" w:cs="Times New Roman"/>
          <w:sz w:val="24"/>
          <w:szCs w:val="24"/>
        </w:rPr>
        <w:t>given their semi-private status.</w:t>
      </w:r>
      <w:r w:rsidR="002F1DBD" w:rsidRPr="002239BF">
        <w:rPr>
          <w:rStyle w:val="FootnoteReference"/>
          <w:rFonts w:ascii="Times New Roman" w:hAnsi="Times New Roman" w:cs="Times New Roman"/>
          <w:sz w:val="24"/>
          <w:szCs w:val="24"/>
        </w:rPr>
        <w:footnoteReference w:id="51"/>
      </w:r>
      <w:r w:rsidR="002F1DBD" w:rsidRPr="002239BF">
        <w:rPr>
          <w:rFonts w:ascii="Times New Roman" w:hAnsi="Times New Roman" w:cs="Times New Roman"/>
          <w:sz w:val="24"/>
          <w:szCs w:val="24"/>
        </w:rPr>
        <w:t xml:space="preserve">  </w:t>
      </w:r>
      <w:r w:rsidR="00B60A05" w:rsidRPr="002239BF">
        <w:rPr>
          <w:rFonts w:ascii="Times New Roman" w:hAnsi="Times New Roman" w:cs="Times New Roman"/>
          <w:sz w:val="24"/>
          <w:szCs w:val="24"/>
        </w:rPr>
        <w:t>F</w:t>
      </w:r>
      <w:r w:rsidR="002858BF" w:rsidRPr="002239BF">
        <w:rPr>
          <w:rFonts w:ascii="Times New Roman" w:hAnsi="Times New Roman" w:cs="Times New Roman"/>
          <w:sz w:val="24"/>
          <w:szCs w:val="24"/>
        </w:rPr>
        <w:t xml:space="preserve">ollowing intensive negotiations, the National Housing Federation </w:t>
      </w:r>
      <w:r w:rsidR="00B60A05" w:rsidRPr="002239BF">
        <w:rPr>
          <w:rFonts w:ascii="Times New Roman" w:hAnsi="Times New Roman" w:cs="Times New Roman"/>
          <w:sz w:val="24"/>
          <w:szCs w:val="24"/>
        </w:rPr>
        <w:t xml:space="preserve">(NHF) </w:t>
      </w:r>
      <w:r w:rsidR="002858BF" w:rsidRPr="002239BF">
        <w:rPr>
          <w:rFonts w:ascii="Times New Roman" w:hAnsi="Times New Roman" w:cs="Times New Roman"/>
          <w:sz w:val="24"/>
          <w:szCs w:val="24"/>
        </w:rPr>
        <w:t>put an offer to the government to introduce the right to buy to housing association tenants on a voluntary basis.</w:t>
      </w:r>
      <w:r w:rsidR="002858BF" w:rsidRPr="002239BF">
        <w:rPr>
          <w:rStyle w:val="FootnoteReference"/>
          <w:rFonts w:ascii="Times New Roman" w:hAnsi="Times New Roman" w:cs="Times New Roman"/>
          <w:sz w:val="24"/>
          <w:szCs w:val="24"/>
        </w:rPr>
        <w:footnoteReference w:id="52"/>
      </w:r>
      <w:r w:rsidR="002858BF" w:rsidRPr="002239BF">
        <w:rPr>
          <w:rFonts w:ascii="Times New Roman" w:hAnsi="Times New Roman" w:cs="Times New Roman"/>
          <w:sz w:val="24"/>
          <w:szCs w:val="24"/>
        </w:rPr>
        <w:t xml:space="preserve">  </w:t>
      </w:r>
      <w:r w:rsidR="00FE474E" w:rsidRPr="002239BF">
        <w:rPr>
          <w:rFonts w:ascii="Times New Roman" w:hAnsi="Times New Roman" w:cs="Times New Roman"/>
          <w:sz w:val="24"/>
          <w:szCs w:val="24"/>
        </w:rPr>
        <w:t xml:space="preserve">Consequently, </w:t>
      </w:r>
      <w:r w:rsidRPr="002239BF">
        <w:rPr>
          <w:rFonts w:ascii="Times New Roman" w:hAnsi="Times New Roman" w:cs="Times New Roman"/>
          <w:sz w:val="24"/>
          <w:szCs w:val="24"/>
        </w:rPr>
        <w:t xml:space="preserve">the Act </w:t>
      </w:r>
      <w:r w:rsidR="00FE474E" w:rsidRPr="002239BF">
        <w:rPr>
          <w:rFonts w:ascii="Times New Roman" w:hAnsi="Times New Roman" w:cs="Times New Roman"/>
          <w:sz w:val="24"/>
          <w:szCs w:val="24"/>
        </w:rPr>
        <w:t xml:space="preserve">simply provides for the Secretary of State to make grants to </w:t>
      </w:r>
      <w:r w:rsidR="00B60A05" w:rsidRPr="002239BF">
        <w:rPr>
          <w:rFonts w:ascii="Times New Roman" w:hAnsi="Times New Roman" w:cs="Times New Roman"/>
          <w:sz w:val="24"/>
          <w:szCs w:val="24"/>
        </w:rPr>
        <w:t>‘</w:t>
      </w:r>
      <w:r w:rsidR="00FE474E" w:rsidRPr="002239BF">
        <w:rPr>
          <w:rFonts w:ascii="Times New Roman" w:hAnsi="Times New Roman" w:cs="Times New Roman"/>
          <w:sz w:val="24"/>
          <w:szCs w:val="24"/>
        </w:rPr>
        <w:t>private registered providers</w:t>
      </w:r>
      <w:r w:rsidR="00B60A05" w:rsidRPr="002239BF">
        <w:rPr>
          <w:rFonts w:ascii="Times New Roman" w:hAnsi="Times New Roman" w:cs="Times New Roman"/>
          <w:sz w:val="24"/>
          <w:szCs w:val="24"/>
        </w:rPr>
        <w:t>’</w:t>
      </w:r>
      <w:r w:rsidR="00FE474E" w:rsidRPr="002239BF">
        <w:rPr>
          <w:rFonts w:ascii="Times New Roman" w:hAnsi="Times New Roman" w:cs="Times New Roman"/>
          <w:sz w:val="24"/>
          <w:szCs w:val="24"/>
        </w:rPr>
        <w:t xml:space="preserve"> </w:t>
      </w:r>
      <w:r w:rsidRPr="002239BF">
        <w:rPr>
          <w:rFonts w:ascii="Times New Roman" w:hAnsi="Times New Roman" w:cs="Times New Roman"/>
          <w:sz w:val="24"/>
          <w:szCs w:val="24"/>
        </w:rPr>
        <w:t xml:space="preserve">for </w:t>
      </w:r>
      <w:r w:rsidR="00FE474E" w:rsidRPr="002239BF">
        <w:rPr>
          <w:rFonts w:ascii="Times New Roman" w:hAnsi="Times New Roman" w:cs="Times New Roman"/>
          <w:sz w:val="24"/>
          <w:szCs w:val="24"/>
        </w:rPr>
        <w:t xml:space="preserve"> right to buy discounts.</w:t>
      </w:r>
      <w:r w:rsidR="00BD5681" w:rsidRPr="002239BF">
        <w:rPr>
          <w:rStyle w:val="FootnoteReference"/>
          <w:rFonts w:ascii="Times New Roman" w:hAnsi="Times New Roman" w:cs="Times New Roman"/>
          <w:sz w:val="24"/>
          <w:szCs w:val="24"/>
        </w:rPr>
        <w:footnoteReference w:id="53"/>
      </w:r>
      <w:r w:rsidR="00FE474E" w:rsidRPr="002239BF">
        <w:rPr>
          <w:rFonts w:ascii="Times New Roman" w:hAnsi="Times New Roman" w:cs="Times New Roman"/>
          <w:sz w:val="24"/>
          <w:szCs w:val="24"/>
        </w:rPr>
        <w:t xml:space="preserve">  </w:t>
      </w:r>
      <w:r w:rsidR="002858BF" w:rsidRPr="002239BF">
        <w:rPr>
          <w:rFonts w:ascii="Times New Roman" w:hAnsi="Times New Roman" w:cs="Times New Roman"/>
          <w:sz w:val="24"/>
          <w:szCs w:val="24"/>
        </w:rPr>
        <w:t xml:space="preserve">The agreement </w:t>
      </w:r>
      <w:r w:rsidR="00FE474E" w:rsidRPr="002239BF">
        <w:rPr>
          <w:rFonts w:ascii="Times New Roman" w:hAnsi="Times New Roman" w:cs="Times New Roman"/>
          <w:sz w:val="24"/>
          <w:szCs w:val="24"/>
        </w:rPr>
        <w:t xml:space="preserve">reached between the NHF and the government </w:t>
      </w:r>
      <w:r w:rsidR="002858BF" w:rsidRPr="002239BF">
        <w:rPr>
          <w:rFonts w:ascii="Times New Roman" w:hAnsi="Times New Roman" w:cs="Times New Roman"/>
          <w:sz w:val="24"/>
          <w:szCs w:val="24"/>
        </w:rPr>
        <w:t>contains important safeguards</w:t>
      </w:r>
      <w:r w:rsidR="00FE474E" w:rsidRPr="002239BF">
        <w:rPr>
          <w:rFonts w:ascii="Times New Roman" w:hAnsi="Times New Roman" w:cs="Times New Roman"/>
          <w:sz w:val="24"/>
          <w:szCs w:val="24"/>
        </w:rPr>
        <w:t>,</w:t>
      </w:r>
      <w:r w:rsidR="002858BF" w:rsidRPr="002239BF">
        <w:rPr>
          <w:rFonts w:ascii="Times New Roman" w:hAnsi="Times New Roman" w:cs="Times New Roman"/>
          <w:sz w:val="24"/>
          <w:szCs w:val="24"/>
        </w:rPr>
        <w:t xml:space="preserve"> providing housing associations with greater control over </w:t>
      </w:r>
      <w:r w:rsidR="00B60A05" w:rsidRPr="002239BF">
        <w:rPr>
          <w:rFonts w:ascii="Times New Roman" w:hAnsi="Times New Roman" w:cs="Times New Roman"/>
          <w:sz w:val="24"/>
          <w:szCs w:val="24"/>
        </w:rPr>
        <w:t>sales</w:t>
      </w:r>
      <w:r w:rsidR="002858BF" w:rsidRPr="002239BF">
        <w:rPr>
          <w:rFonts w:ascii="Times New Roman" w:hAnsi="Times New Roman" w:cs="Times New Roman"/>
          <w:sz w:val="24"/>
          <w:szCs w:val="24"/>
        </w:rPr>
        <w:t xml:space="preserve"> than that enjoyed by local authority landlords</w:t>
      </w:r>
      <w:r w:rsidR="00DA2FA9" w:rsidRPr="002239BF">
        <w:rPr>
          <w:rFonts w:ascii="Times New Roman" w:hAnsi="Times New Roman" w:cs="Times New Roman"/>
          <w:sz w:val="24"/>
          <w:szCs w:val="24"/>
        </w:rPr>
        <w:t xml:space="preserve">.  </w:t>
      </w:r>
      <w:r w:rsidR="00880EC0" w:rsidRPr="002239BF">
        <w:rPr>
          <w:rFonts w:ascii="Times New Roman" w:hAnsi="Times New Roman" w:cs="Times New Roman"/>
          <w:sz w:val="24"/>
          <w:szCs w:val="24"/>
        </w:rPr>
        <w:t xml:space="preserve">For example, housing association tenants must fulfil more stringent eligibility criteria of 10 years’ residence, whereas </w:t>
      </w:r>
      <w:r w:rsidR="00430A7B" w:rsidRPr="002239BF">
        <w:rPr>
          <w:rFonts w:ascii="Times New Roman" w:hAnsi="Times New Roman" w:cs="Times New Roman"/>
          <w:sz w:val="24"/>
          <w:szCs w:val="24"/>
        </w:rPr>
        <w:t xml:space="preserve">English </w:t>
      </w:r>
      <w:r w:rsidR="00880EC0" w:rsidRPr="002239BF">
        <w:rPr>
          <w:rFonts w:ascii="Times New Roman" w:hAnsi="Times New Roman" w:cs="Times New Roman"/>
          <w:sz w:val="24"/>
          <w:szCs w:val="24"/>
        </w:rPr>
        <w:t xml:space="preserve">local authority tenants need only have lived for </w:t>
      </w:r>
      <w:r w:rsidR="00430A7B" w:rsidRPr="002239BF">
        <w:rPr>
          <w:rFonts w:ascii="Times New Roman" w:hAnsi="Times New Roman" w:cs="Times New Roman"/>
          <w:sz w:val="24"/>
          <w:szCs w:val="24"/>
        </w:rPr>
        <w:t>three</w:t>
      </w:r>
      <w:r w:rsidR="00880EC0" w:rsidRPr="002239BF">
        <w:rPr>
          <w:rFonts w:ascii="Times New Roman" w:hAnsi="Times New Roman" w:cs="Times New Roman"/>
          <w:sz w:val="24"/>
          <w:szCs w:val="24"/>
        </w:rPr>
        <w:t xml:space="preserve"> years in the public sector before being eligible to buy.</w:t>
      </w:r>
      <w:r w:rsidR="00880EC0" w:rsidRPr="002239BF">
        <w:rPr>
          <w:rStyle w:val="FootnoteReference"/>
          <w:rFonts w:ascii="Times New Roman" w:hAnsi="Times New Roman" w:cs="Times New Roman"/>
          <w:sz w:val="24"/>
          <w:szCs w:val="24"/>
        </w:rPr>
        <w:footnoteReference w:id="54"/>
      </w:r>
      <w:r w:rsidR="00880EC0" w:rsidRPr="002239BF">
        <w:rPr>
          <w:rFonts w:ascii="Times New Roman" w:hAnsi="Times New Roman" w:cs="Times New Roman"/>
          <w:sz w:val="24"/>
          <w:szCs w:val="24"/>
        </w:rPr>
        <w:t xml:space="preserve">  </w:t>
      </w:r>
      <w:r w:rsidR="00DA2FA9" w:rsidRPr="002239BF">
        <w:rPr>
          <w:rFonts w:ascii="Times New Roman" w:hAnsi="Times New Roman" w:cs="Times New Roman"/>
          <w:sz w:val="24"/>
          <w:szCs w:val="24"/>
        </w:rPr>
        <w:t>C</w:t>
      </w:r>
      <w:r w:rsidR="002858BF" w:rsidRPr="002239BF">
        <w:rPr>
          <w:rFonts w:ascii="Times New Roman" w:hAnsi="Times New Roman" w:cs="Times New Roman"/>
          <w:sz w:val="24"/>
          <w:szCs w:val="24"/>
        </w:rPr>
        <w:t>rucially, properties sold will be replaced by ensuring that associations receive the full market value, including repayment of the discount received by the tenant.</w:t>
      </w:r>
      <w:r w:rsidR="002858BF" w:rsidRPr="002239BF">
        <w:rPr>
          <w:rStyle w:val="FootnoteReference"/>
          <w:rFonts w:ascii="Times New Roman" w:hAnsi="Times New Roman" w:cs="Times New Roman"/>
          <w:sz w:val="24"/>
          <w:szCs w:val="24"/>
        </w:rPr>
        <w:footnoteReference w:id="55"/>
      </w:r>
      <w:r w:rsidR="00DA2FA9" w:rsidRPr="002239BF">
        <w:rPr>
          <w:rFonts w:ascii="Times New Roman" w:hAnsi="Times New Roman" w:cs="Times New Roman"/>
          <w:sz w:val="24"/>
          <w:szCs w:val="24"/>
        </w:rPr>
        <w:t xml:space="preserve">  While the one-for-one replacement scheme for local authority housing has existed since 2012,</w:t>
      </w:r>
      <w:r w:rsidR="005F0573" w:rsidRPr="002239BF">
        <w:rPr>
          <w:rStyle w:val="FootnoteReference"/>
          <w:rFonts w:ascii="Times New Roman" w:hAnsi="Times New Roman" w:cs="Times New Roman"/>
          <w:sz w:val="24"/>
          <w:szCs w:val="24"/>
        </w:rPr>
        <w:footnoteReference w:id="56"/>
      </w:r>
      <w:r w:rsidR="00DA2FA9" w:rsidRPr="002239BF">
        <w:rPr>
          <w:rFonts w:ascii="Times New Roman" w:hAnsi="Times New Roman" w:cs="Times New Roman"/>
          <w:sz w:val="24"/>
          <w:szCs w:val="24"/>
        </w:rPr>
        <w:t xml:space="preserve"> doubts have been expressed </w:t>
      </w:r>
      <w:r w:rsidRPr="002239BF">
        <w:rPr>
          <w:rFonts w:ascii="Times New Roman" w:hAnsi="Times New Roman" w:cs="Times New Roman"/>
          <w:sz w:val="24"/>
          <w:szCs w:val="24"/>
        </w:rPr>
        <w:t>about</w:t>
      </w:r>
      <w:r w:rsidR="00DA2FA9" w:rsidRPr="002239BF">
        <w:rPr>
          <w:rFonts w:ascii="Times New Roman" w:hAnsi="Times New Roman" w:cs="Times New Roman"/>
          <w:sz w:val="24"/>
          <w:szCs w:val="24"/>
        </w:rPr>
        <w:t xml:space="preserve"> its effectiveness.</w:t>
      </w:r>
      <w:r w:rsidR="005F0573" w:rsidRPr="002239BF">
        <w:rPr>
          <w:rStyle w:val="FootnoteReference"/>
          <w:rFonts w:ascii="Times New Roman" w:hAnsi="Times New Roman" w:cs="Times New Roman"/>
          <w:sz w:val="24"/>
          <w:szCs w:val="24"/>
        </w:rPr>
        <w:footnoteReference w:id="57"/>
      </w:r>
    </w:p>
    <w:p w14:paraId="39A4A906" w14:textId="77777777" w:rsidR="00297060" w:rsidRPr="002239BF" w:rsidRDefault="00297060" w:rsidP="00733DF3">
      <w:pPr>
        <w:spacing w:line="480" w:lineRule="auto"/>
        <w:rPr>
          <w:rFonts w:ascii="Times New Roman" w:hAnsi="Times New Roman" w:cs="Times New Roman"/>
          <w:sz w:val="24"/>
          <w:szCs w:val="24"/>
        </w:rPr>
      </w:pPr>
    </w:p>
    <w:p w14:paraId="218562A0" w14:textId="5656B993" w:rsidR="00B60A05" w:rsidRPr="002239BF" w:rsidRDefault="00591DF8"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This </w:t>
      </w:r>
      <w:r w:rsidR="00CF4945" w:rsidRPr="002239BF">
        <w:rPr>
          <w:rFonts w:ascii="Times New Roman" w:hAnsi="Times New Roman" w:cs="Times New Roman"/>
          <w:sz w:val="24"/>
          <w:szCs w:val="24"/>
        </w:rPr>
        <w:t>extension of this watered-down</w:t>
      </w:r>
      <w:r w:rsidR="001749AC" w:rsidRPr="002239BF">
        <w:rPr>
          <w:rFonts w:ascii="Times New Roman" w:hAnsi="Times New Roman" w:cs="Times New Roman"/>
          <w:sz w:val="24"/>
          <w:szCs w:val="24"/>
        </w:rPr>
        <w:t xml:space="preserve"> </w:t>
      </w:r>
      <w:r w:rsidR="00CF4945" w:rsidRPr="002239BF">
        <w:rPr>
          <w:rFonts w:ascii="Times New Roman" w:hAnsi="Times New Roman" w:cs="Times New Roman"/>
          <w:sz w:val="24"/>
          <w:szCs w:val="24"/>
        </w:rPr>
        <w:t>‘</w:t>
      </w:r>
      <w:r w:rsidR="001749AC" w:rsidRPr="002239BF">
        <w:rPr>
          <w:rFonts w:ascii="Times New Roman" w:hAnsi="Times New Roman" w:cs="Times New Roman"/>
          <w:sz w:val="24"/>
          <w:szCs w:val="24"/>
        </w:rPr>
        <w:t>right</w:t>
      </w:r>
      <w:r w:rsidR="00CF4945" w:rsidRPr="002239BF">
        <w:rPr>
          <w:rFonts w:ascii="Times New Roman" w:hAnsi="Times New Roman" w:cs="Times New Roman"/>
          <w:sz w:val="24"/>
          <w:szCs w:val="24"/>
        </w:rPr>
        <w:t>’</w:t>
      </w:r>
      <w:r w:rsidR="001749AC" w:rsidRPr="002239BF">
        <w:rPr>
          <w:rFonts w:ascii="Times New Roman" w:hAnsi="Times New Roman" w:cs="Times New Roman"/>
          <w:sz w:val="24"/>
          <w:szCs w:val="24"/>
        </w:rPr>
        <w:t xml:space="preserve"> to buy is notable in two respects.  First, it provides further evidence of the government’s commitment to </w:t>
      </w:r>
      <w:r w:rsidR="00826605" w:rsidRPr="002239BF">
        <w:rPr>
          <w:rFonts w:ascii="Times New Roman" w:hAnsi="Times New Roman" w:cs="Times New Roman"/>
          <w:sz w:val="24"/>
          <w:szCs w:val="24"/>
        </w:rPr>
        <w:t>extend</w:t>
      </w:r>
      <w:r w:rsidR="001749AC" w:rsidRPr="002239BF">
        <w:rPr>
          <w:rFonts w:ascii="Times New Roman" w:hAnsi="Times New Roman" w:cs="Times New Roman"/>
          <w:sz w:val="24"/>
          <w:szCs w:val="24"/>
        </w:rPr>
        <w:t xml:space="preserve"> owner occupation.  Secondly, the </w:t>
      </w:r>
      <w:r w:rsidR="00C63141" w:rsidRPr="002239BF">
        <w:rPr>
          <w:rFonts w:ascii="Times New Roman" w:hAnsi="Times New Roman" w:cs="Times New Roman"/>
          <w:sz w:val="24"/>
          <w:szCs w:val="24"/>
        </w:rPr>
        <w:t>way</w:t>
      </w:r>
      <w:r w:rsidR="001749AC" w:rsidRPr="002239BF">
        <w:rPr>
          <w:rFonts w:ascii="Times New Roman" w:hAnsi="Times New Roman" w:cs="Times New Roman"/>
          <w:sz w:val="24"/>
          <w:szCs w:val="24"/>
        </w:rPr>
        <w:t xml:space="preserve"> </w:t>
      </w:r>
      <w:r w:rsidR="00CF4945" w:rsidRPr="002239BF">
        <w:rPr>
          <w:rFonts w:ascii="Times New Roman" w:hAnsi="Times New Roman" w:cs="Times New Roman"/>
          <w:sz w:val="24"/>
          <w:szCs w:val="24"/>
        </w:rPr>
        <w:t>it</w:t>
      </w:r>
      <w:r w:rsidR="001749AC" w:rsidRPr="002239BF">
        <w:rPr>
          <w:rFonts w:ascii="Times New Roman" w:hAnsi="Times New Roman" w:cs="Times New Roman"/>
          <w:sz w:val="24"/>
          <w:szCs w:val="24"/>
        </w:rPr>
        <w:t xml:space="preserve"> is to be financed demonstrates the government’s attempt to residualise further </w:t>
      </w:r>
      <w:r w:rsidR="005F0573" w:rsidRPr="002239BF">
        <w:rPr>
          <w:rFonts w:ascii="Times New Roman" w:hAnsi="Times New Roman" w:cs="Times New Roman"/>
          <w:sz w:val="24"/>
          <w:szCs w:val="24"/>
        </w:rPr>
        <w:t>local authority</w:t>
      </w:r>
      <w:r w:rsidR="001749AC" w:rsidRPr="002239BF">
        <w:rPr>
          <w:rFonts w:ascii="Times New Roman" w:hAnsi="Times New Roman" w:cs="Times New Roman"/>
          <w:sz w:val="24"/>
          <w:szCs w:val="24"/>
        </w:rPr>
        <w:t xml:space="preserve"> housing and its willingness to use draconian powers against local government.</w:t>
      </w:r>
      <w:r w:rsidR="00FE474E" w:rsidRPr="002239BF">
        <w:rPr>
          <w:rFonts w:ascii="Times New Roman" w:hAnsi="Times New Roman" w:cs="Times New Roman"/>
          <w:sz w:val="24"/>
          <w:szCs w:val="24"/>
        </w:rPr>
        <w:t xml:space="preserve">  In its </w:t>
      </w:r>
      <w:r w:rsidR="005D64F0" w:rsidRPr="002239BF">
        <w:rPr>
          <w:rFonts w:ascii="Times New Roman" w:hAnsi="Times New Roman" w:cs="Times New Roman"/>
          <w:sz w:val="24"/>
          <w:szCs w:val="24"/>
        </w:rPr>
        <w:t xml:space="preserve">2015 election </w:t>
      </w:r>
      <w:r w:rsidR="00FE474E" w:rsidRPr="002239BF">
        <w:rPr>
          <w:rFonts w:ascii="Times New Roman" w:hAnsi="Times New Roman" w:cs="Times New Roman"/>
          <w:sz w:val="24"/>
          <w:szCs w:val="24"/>
        </w:rPr>
        <w:t xml:space="preserve">manifesto, </w:t>
      </w:r>
      <w:r w:rsidR="005D64F0" w:rsidRPr="002239BF">
        <w:rPr>
          <w:rFonts w:ascii="Times New Roman" w:hAnsi="Times New Roman" w:cs="Times New Roman"/>
          <w:sz w:val="24"/>
          <w:szCs w:val="24"/>
        </w:rPr>
        <w:t xml:space="preserve">the Conservative party announced that it would fund the extended right to buy by requiring English local authorities to make an annual payment to </w:t>
      </w:r>
      <w:r w:rsidR="007803CF" w:rsidRPr="002239BF">
        <w:rPr>
          <w:rFonts w:ascii="Times New Roman" w:hAnsi="Times New Roman" w:cs="Times New Roman"/>
          <w:sz w:val="24"/>
          <w:szCs w:val="24"/>
        </w:rPr>
        <w:t>g</w:t>
      </w:r>
      <w:r w:rsidR="005D64F0" w:rsidRPr="002239BF">
        <w:rPr>
          <w:rFonts w:ascii="Times New Roman" w:hAnsi="Times New Roman" w:cs="Times New Roman"/>
          <w:sz w:val="24"/>
          <w:szCs w:val="24"/>
        </w:rPr>
        <w:t xml:space="preserve">overnment </w:t>
      </w:r>
      <w:r w:rsidR="00C63141" w:rsidRPr="002239BF">
        <w:rPr>
          <w:rFonts w:ascii="Times New Roman" w:hAnsi="Times New Roman" w:cs="Times New Roman"/>
          <w:sz w:val="24"/>
          <w:szCs w:val="24"/>
        </w:rPr>
        <w:t>for</w:t>
      </w:r>
      <w:r w:rsidR="005D64F0" w:rsidRPr="002239BF">
        <w:rPr>
          <w:rFonts w:ascii="Times New Roman" w:hAnsi="Times New Roman" w:cs="Times New Roman"/>
          <w:sz w:val="24"/>
          <w:szCs w:val="24"/>
        </w:rPr>
        <w:t xml:space="preserve"> the expected sales of </w:t>
      </w:r>
      <w:r w:rsidRPr="002239BF">
        <w:rPr>
          <w:rFonts w:ascii="Times New Roman" w:hAnsi="Times New Roman" w:cs="Times New Roman"/>
          <w:sz w:val="24"/>
          <w:szCs w:val="24"/>
        </w:rPr>
        <w:t>‘</w:t>
      </w:r>
      <w:r w:rsidR="005D64F0" w:rsidRPr="002239BF">
        <w:rPr>
          <w:rFonts w:ascii="Times New Roman" w:hAnsi="Times New Roman" w:cs="Times New Roman"/>
          <w:sz w:val="24"/>
          <w:szCs w:val="24"/>
        </w:rPr>
        <w:t>high value</w:t>
      </w:r>
      <w:r w:rsidRPr="002239BF">
        <w:rPr>
          <w:rFonts w:ascii="Times New Roman" w:hAnsi="Times New Roman" w:cs="Times New Roman"/>
          <w:sz w:val="24"/>
          <w:szCs w:val="24"/>
        </w:rPr>
        <w:t>’</w:t>
      </w:r>
      <w:r w:rsidR="005D64F0" w:rsidRPr="002239BF">
        <w:rPr>
          <w:rFonts w:ascii="Times New Roman" w:hAnsi="Times New Roman" w:cs="Times New Roman"/>
          <w:sz w:val="24"/>
          <w:szCs w:val="24"/>
        </w:rPr>
        <w:t xml:space="preserve"> vacant stock over the year. These payments will be used to compensate housing associations for selling housing </w:t>
      </w:r>
      <w:r w:rsidR="00C63141" w:rsidRPr="002239BF">
        <w:rPr>
          <w:rFonts w:ascii="Times New Roman" w:hAnsi="Times New Roman" w:cs="Times New Roman"/>
          <w:sz w:val="24"/>
          <w:szCs w:val="24"/>
        </w:rPr>
        <w:t>assets at a discount to tenants</w:t>
      </w:r>
      <w:r w:rsidR="00101CF2" w:rsidRPr="002239BF">
        <w:rPr>
          <w:rFonts w:ascii="Times New Roman" w:hAnsi="Times New Roman" w:cs="Times New Roman"/>
          <w:sz w:val="24"/>
          <w:szCs w:val="24"/>
        </w:rPr>
        <w:t>.  The amount of the payment must represent an estimate of the market value of the authority's interest in any higher value housing that is likely to become vacant during the year.</w:t>
      </w:r>
      <w:r w:rsidR="007B0181" w:rsidRPr="002239BF">
        <w:rPr>
          <w:rStyle w:val="FootnoteReference"/>
          <w:rFonts w:ascii="Times New Roman" w:hAnsi="Times New Roman" w:cs="Times New Roman"/>
          <w:sz w:val="24"/>
          <w:szCs w:val="24"/>
        </w:rPr>
        <w:footnoteReference w:id="58"/>
      </w:r>
      <w:r w:rsidR="007B0181" w:rsidRPr="002239BF">
        <w:rPr>
          <w:rFonts w:ascii="Times New Roman" w:hAnsi="Times New Roman" w:cs="Times New Roman"/>
          <w:sz w:val="24"/>
          <w:szCs w:val="24"/>
        </w:rPr>
        <w:t xml:space="preserve">  </w:t>
      </w:r>
      <w:r w:rsidR="00101CF2" w:rsidRPr="002239BF">
        <w:rPr>
          <w:rFonts w:ascii="Times New Roman" w:hAnsi="Times New Roman" w:cs="Times New Roman"/>
          <w:sz w:val="24"/>
          <w:szCs w:val="24"/>
        </w:rPr>
        <w:t xml:space="preserve">The government claims that </w:t>
      </w:r>
    </w:p>
    <w:p w14:paraId="37A2E665" w14:textId="218C7BCB" w:rsidR="00B60A05" w:rsidRPr="002239BF" w:rsidRDefault="00B60A05" w:rsidP="00733DF3">
      <w:pPr>
        <w:spacing w:line="480" w:lineRule="auto"/>
        <w:ind w:left="720" w:hanging="720"/>
        <w:rPr>
          <w:rFonts w:ascii="Times New Roman" w:hAnsi="Times New Roman" w:cs="Times New Roman"/>
          <w:sz w:val="24"/>
          <w:szCs w:val="24"/>
        </w:rPr>
      </w:pPr>
      <w:r w:rsidRPr="002239BF">
        <w:rPr>
          <w:rFonts w:ascii="Times New Roman" w:hAnsi="Times New Roman" w:cs="Times New Roman"/>
          <w:sz w:val="24"/>
          <w:szCs w:val="24"/>
        </w:rPr>
        <w:tab/>
      </w:r>
      <w:r w:rsidR="00101CF2" w:rsidRPr="002239BF">
        <w:rPr>
          <w:rFonts w:ascii="Times New Roman" w:hAnsi="Times New Roman" w:cs="Times New Roman"/>
          <w:sz w:val="24"/>
          <w:szCs w:val="24"/>
        </w:rPr>
        <w:t>The provisions are intended to encourage the more efficient use by local authorities of their housing stock through the sale of their high value housing so that the value locked up in high value properties can be released to support an increase in home ownership and the supply of more housing.</w:t>
      </w:r>
      <w:r w:rsidR="00101CF2" w:rsidRPr="002239BF">
        <w:rPr>
          <w:rStyle w:val="FootnoteReference"/>
          <w:rFonts w:ascii="Times New Roman" w:hAnsi="Times New Roman" w:cs="Times New Roman"/>
          <w:sz w:val="24"/>
          <w:szCs w:val="24"/>
        </w:rPr>
        <w:footnoteReference w:id="59"/>
      </w:r>
      <w:r w:rsidR="005E6F8D" w:rsidRPr="002239BF">
        <w:rPr>
          <w:rFonts w:ascii="Times New Roman" w:hAnsi="Times New Roman" w:cs="Times New Roman"/>
          <w:sz w:val="24"/>
          <w:szCs w:val="24"/>
        </w:rPr>
        <w:t xml:space="preserve">  </w:t>
      </w:r>
    </w:p>
    <w:p w14:paraId="3DFBF7F1" w14:textId="77777777" w:rsidR="00297060" w:rsidRPr="002239BF" w:rsidRDefault="00297060" w:rsidP="00733DF3">
      <w:pPr>
        <w:spacing w:line="480" w:lineRule="auto"/>
        <w:rPr>
          <w:rFonts w:ascii="Times New Roman" w:hAnsi="Times New Roman" w:cs="Times New Roman"/>
          <w:sz w:val="24"/>
          <w:szCs w:val="24"/>
        </w:rPr>
      </w:pPr>
    </w:p>
    <w:p w14:paraId="2C6F7780" w14:textId="226DAB4A" w:rsidR="00A173CC" w:rsidRPr="002239BF" w:rsidRDefault="00A173CC"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Trenchant criticism has come from many quarters.  The Public Accounts Committee was highly</w:t>
      </w:r>
      <w:r w:rsidR="00D13779" w:rsidRPr="002239BF">
        <w:rPr>
          <w:rFonts w:ascii="Times New Roman" w:hAnsi="Times New Roman" w:cs="Times New Roman"/>
          <w:sz w:val="24"/>
          <w:szCs w:val="24"/>
        </w:rPr>
        <w:t xml:space="preserve"> </w:t>
      </w:r>
      <w:r w:rsidRPr="002239BF">
        <w:rPr>
          <w:rFonts w:ascii="Times New Roman" w:hAnsi="Times New Roman" w:cs="Times New Roman"/>
          <w:sz w:val="24"/>
          <w:szCs w:val="24"/>
        </w:rPr>
        <w:t>critical of the lack of detailed information presented to Parliament about the potential impacts of the legislation.</w:t>
      </w:r>
    </w:p>
    <w:p w14:paraId="64510C33" w14:textId="77777777" w:rsidR="00297060" w:rsidRPr="002239BF" w:rsidRDefault="00297060" w:rsidP="00733DF3">
      <w:pPr>
        <w:spacing w:line="480" w:lineRule="auto"/>
        <w:rPr>
          <w:rFonts w:ascii="Times New Roman" w:hAnsi="Times New Roman" w:cs="Times New Roman"/>
          <w:sz w:val="24"/>
          <w:szCs w:val="24"/>
        </w:rPr>
      </w:pPr>
    </w:p>
    <w:p w14:paraId="4B484357" w14:textId="77777777" w:rsidR="00A173CC" w:rsidRPr="002239BF" w:rsidRDefault="00A173CC" w:rsidP="00733DF3">
      <w:pPr>
        <w:spacing w:line="480" w:lineRule="auto"/>
        <w:ind w:left="720"/>
        <w:rPr>
          <w:rFonts w:ascii="Times New Roman" w:hAnsi="Times New Roman" w:cs="Times New Roman"/>
          <w:sz w:val="24"/>
          <w:szCs w:val="24"/>
        </w:rPr>
      </w:pPr>
      <w:r w:rsidRPr="002239BF">
        <w:rPr>
          <w:rFonts w:ascii="Times New Roman" w:hAnsi="Times New Roman" w:cs="Times New Roman"/>
          <w:sz w:val="24"/>
          <w:szCs w:val="24"/>
        </w:rPr>
        <w:t>The importance of proper scrutiny of the Department’s proposals is underlined by the concerns raised by expert stakeholders that this policy would lead to those in need of social housing suffering greater overcrowding.</w:t>
      </w:r>
      <w:r w:rsidRPr="002239BF">
        <w:rPr>
          <w:rStyle w:val="FootnoteReference"/>
          <w:rFonts w:ascii="Times New Roman" w:hAnsi="Times New Roman" w:cs="Times New Roman"/>
          <w:sz w:val="24"/>
          <w:szCs w:val="24"/>
        </w:rPr>
        <w:footnoteReference w:id="60"/>
      </w:r>
    </w:p>
    <w:p w14:paraId="1FA89AA2" w14:textId="77777777" w:rsidR="00297060" w:rsidRPr="002239BF" w:rsidRDefault="00297060" w:rsidP="00733DF3">
      <w:pPr>
        <w:spacing w:line="480" w:lineRule="auto"/>
        <w:rPr>
          <w:rFonts w:ascii="Times New Roman" w:hAnsi="Times New Roman" w:cs="Times New Roman"/>
          <w:sz w:val="24"/>
          <w:szCs w:val="24"/>
        </w:rPr>
      </w:pPr>
    </w:p>
    <w:p w14:paraId="2E4C3247" w14:textId="76DF41A2" w:rsidR="007B0181" w:rsidRPr="002239BF" w:rsidRDefault="00B146C6"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Committee was particularly sceptical that the government’s commitment to replace homes sold under the policy would be realised.</w:t>
      </w:r>
      <w:r w:rsidRPr="002239BF">
        <w:rPr>
          <w:rStyle w:val="FootnoteReference"/>
          <w:rFonts w:ascii="Times New Roman" w:hAnsi="Times New Roman" w:cs="Times New Roman"/>
          <w:sz w:val="24"/>
          <w:szCs w:val="24"/>
        </w:rPr>
        <w:footnoteReference w:id="61"/>
      </w:r>
      <w:r w:rsidRPr="002239BF">
        <w:rPr>
          <w:rFonts w:ascii="Times New Roman" w:hAnsi="Times New Roman" w:cs="Times New Roman"/>
          <w:sz w:val="24"/>
          <w:szCs w:val="24"/>
        </w:rPr>
        <w:t xml:space="preserve">  </w:t>
      </w:r>
      <w:r w:rsidR="005E6F8D" w:rsidRPr="002239BF">
        <w:rPr>
          <w:rFonts w:ascii="Times New Roman" w:hAnsi="Times New Roman" w:cs="Times New Roman"/>
          <w:sz w:val="24"/>
          <w:szCs w:val="24"/>
        </w:rPr>
        <w:t xml:space="preserve">The </w:t>
      </w:r>
      <w:r w:rsidR="00C63141" w:rsidRPr="002239BF">
        <w:rPr>
          <w:rFonts w:ascii="Times New Roman" w:hAnsi="Times New Roman" w:cs="Times New Roman"/>
          <w:sz w:val="24"/>
          <w:szCs w:val="24"/>
        </w:rPr>
        <w:t>LGA</w:t>
      </w:r>
      <w:r w:rsidR="005E6F8D" w:rsidRPr="002239BF">
        <w:rPr>
          <w:rFonts w:ascii="Times New Roman" w:hAnsi="Times New Roman" w:cs="Times New Roman"/>
          <w:sz w:val="24"/>
          <w:szCs w:val="24"/>
        </w:rPr>
        <w:t xml:space="preserve"> has </w:t>
      </w:r>
      <w:r w:rsidR="00591DF8" w:rsidRPr="002239BF">
        <w:rPr>
          <w:rFonts w:ascii="Times New Roman" w:hAnsi="Times New Roman" w:cs="Times New Roman"/>
          <w:sz w:val="24"/>
          <w:szCs w:val="24"/>
        </w:rPr>
        <w:t xml:space="preserve">also </w:t>
      </w:r>
      <w:r w:rsidR="00B60A05" w:rsidRPr="002239BF">
        <w:rPr>
          <w:rFonts w:ascii="Times New Roman" w:hAnsi="Times New Roman" w:cs="Times New Roman"/>
          <w:sz w:val="24"/>
          <w:szCs w:val="24"/>
        </w:rPr>
        <w:t>expressed its strong disapproval</w:t>
      </w:r>
      <w:r w:rsidR="005E6F8D" w:rsidRPr="002239BF">
        <w:rPr>
          <w:rFonts w:ascii="Times New Roman" w:hAnsi="Times New Roman" w:cs="Times New Roman"/>
          <w:sz w:val="24"/>
          <w:szCs w:val="24"/>
        </w:rPr>
        <w:t xml:space="preserve">, </w:t>
      </w:r>
      <w:r w:rsidR="00904183" w:rsidRPr="002239BF">
        <w:rPr>
          <w:rFonts w:ascii="Times New Roman" w:hAnsi="Times New Roman" w:cs="Times New Roman"/>
          <w:sz w:val="24"/>
          <w:szCs w:val="24"/>
        </w:rPr>
        <w:t xml:space="preserve">arguing that </w:t>
      </w:r>
      <w:r w:rsidR="00591DF8" w:rsidRPr="002239BF">
        <w:rPr>
          <w:rFonts w:ascii="Times New Roman" w:hAnsi="Times New Roman" w:cs="Times New Roman"/>
          <w:sz w:val="24"/>
          <w:szCs w:val="24"/>
        </w:rPr>
        <w:t>‘</w:t>
      </w:r>
      <w:r w:rsidR="00904183" w:rsidRPr="002239BF">
        <w:rPr>
          <w:rFonts w:ascii="Times New Roman" w:hAnsi="Times New Roman" w:cs="Times New Roman"/>
          <w:sz w:val="24"/>
          <w:szCs w:val="24"/>
        </w:rPr>
        <w:t>Local authorities should retain all receipts from the sale of vacant high value</w:t>
      </w:r>
      <w:r w:rsidR="009B4052" w:rsidRPr="002239BF">
        <w:rPr>
          <w:rFonts w:ascii="Times New Roman" w:hAnsi="Times New Roman" w:cs="Times New Roman"/>
          <w:sz w:val="24"/>
          <w:szCs w:val="24"/>
        </w:rPr>
        <w:t xml:space="preserve"> </w:t>
      </w:r>
      <w:r w:rsidR="00904183" w:rsidRPr="002239BF">
        <w:rPr>
          <w:rFonts w:ascii="Times New Roman" w:hAnsi="Times New Roman" w:cs="Times New Roman"/>
          <w:sz w:val="24"/>
          <w:szCs w:val="24"/>
        </w:rPr>
        <w:t>homes and from council Right to Buy in order to invest locally in new homes that</w:t>
      </w:r>
      <w:r w:rsidR="009B4052" w:rsidRPr="002239BF">
        <w:rPr>
          <w:rFonts w:ascii="Times New Roman" w:hAnsi="Times New Roman" w:cs="Times New Roman"/>
          <w:sz w:val="24"/>
          <w:szCs w:val="24"/>
        </w:rPr>
        <w:t xml:space="preserve"> </w:t>
      </w:r>
      <w:r w:rsidR="00904183" w:rsidRPr="002239BF">
        <w:rPr>
          <w:rFonts w:ascii="Times New Roman" w:hAnsi="Times New Roman" w:cs="Times New Roman"/>
          <w:sz w:val="24"/>
          <w:szCs w:val="24"/>
        </w:rPr>
        <w:t>communities need.</w:t>
      </w:r>
      <w:r w:rsidR="00591DF8" w:rsidRPr="002239BF">
        <w:rPr>
          <w:rFonts w:ascii="Times New Roman" w:hAnsi="Times New Roman" w:cs="Times New Roman"/>
          <w:sz w:val="24"/>
          <w:szCs w:val="24"/>
        </w:rPr>
        <w:t>’</w:t>
      </w:r>
      <w:r w:rsidR="009B4052" w:rsidRPr="002239BF">
        <w:rPr>
          <w:rStyle w:val="FootnoteReference"/>
          <w:rFonts w:ascii="Times New Roman" w:hAnsi="Times New Roman" w:cs="Times New Roman"/>
          <w:sz w:val="24"/>
          <w:szCs w:val="24"/>
        </w:rPr>
        <w:footnoteReference w:id="62"/>
      </w:r>
      <w:r w:rsidR="009B4052" w:rsidRPr="002239BF">
        <w:rPr>
          <w:rFonts w:ascii="Times New Roman" w:hAnsi="Times New Roman" w:cs="Times New Roman"/>
          <w:sz w:val="24"/>
          <w:szCs w:val="24"/>
        </w:rPr>
        <w:t xml:space="preserve">  The concern is echoed by the Joseph Rowntree Foundation.</w:t>
      </w:r>
      <w:r w:rsidR="009B4052" w:rsidRPr="002239BF">
        <w:rPr>
          <w:rStyle w:val="FootnoteReference"/>
          <w:rFonts w:ascii="Times New Roman" w:hAnsi="Times New Roman" w:cs="Times New Roman"/>
          <w:sz w:val="24"/>
          <w:szCs w:val="24"/>
        </w:rPr>
        <w:footnoteReference w:id="63"/>
      </w:r>
      <w:r w:rsidR="0008679A" w:rsidRPr="002239BF">
        <w:rPr>
          <w:rFonts w:ascii="Times New Roman" w:hAnsi="Times New Roman" w:cs="Times New Roman"/>
          <w:sz w:val="24"/>
          <w:szCs w:val="24"/>
        </w:rPr>
        <w:t xml:space="preserve">  Its research </w:t>
      </w:r>
      <w:r w:rsidR="00591DF8" w:rsidRPr="002239BF">
        <w:rPr>
          <w:rFonts w:ascii="Times New Roman" w:hAnsi="Times New Roman" w:cs="Times New Roman"/>
          <w:sz w:val="24"/>
          <w:szCs w:val="24"/>
        </w:rPr>
        <w:t>‘</w:t>
      </w:r>
      <w:r w:rsidR="0008679A" w:rsidRPr="002239BF">
        <w:rPr>
          <w:rFonts w:ascii="Times New Roman" w:hAnsi="Times New Roman" w:cs="Times New Roman"/>
          <w:sz w:val="24"/>
          <w:szCs w:val="24"/>
        </w:rPr>
        <w:t>stresses the importance of the availability of low-cost rented housing to containing and mitigating poverty</w:t>
      </w:r>
      <w:r w:rsidR="00591DF8" w:rsidRPr="002239BF">
        <w:rPr>
          <w:rFonts w:ascii="Times New Roman" w:hAnsi="Times New Roman" w:cs="Times New Roman"/>
          <w:sz w:val="24"/>
          <w:szCs w:val="24"/>
        </w:rPr>
        <w:t>’</w:t>
      </w:r>
      <w:r w:rsidR="0008679A" w:rsidRPr="002239BF">
        <w:rPr>
          <w:rFonts w:ascii="Times New Roman" w:hAnsi="Times New Roman" w:cs="Times New Roman"/>
          <w:sz w:val="24"/>
          <w:szCs w:val="24"/>
        </w:rPr>
        <w:t>.</w:t>
      </w:r>
      <w:r w:rsidR="0008679A" w:rsidRPr="002239BF">
        <w:rPr>
          <w:rStyle w:val="FootnoteReference"/>
          <w:rFonts w:ascii="Times New Roman" w:hAnsi="Times New Roman" w:cs="Times New Roman"/>
          <w:sz w:val="24"/>
          <w:szCs w:val="24"/>
        </w:rPr>
        <w:footnoteReference w:id="64"/>
      </w:r>
    </w:p>
    <w:p w14:paraId="4D3230EA" w14:textId="42C457F0" w:rsidR="00FE6F35" w:rsidRPr="002239BF" w:rsidRDefault="002E0382" w:rsidP="00FE6F35">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The </w:t>
      </w:r>
      <w:r w:rsidR="00C63141" w:rsidRPr="002239BF">
        <w:rPr>
          <w:rFonts w:ascii="Times New Roman" w:hAnsi="Times New Roman" w:cs="Times New Roman"/>
          <w:sz w:val="24"/>
          <w:szCs w:val="24"/>
        </w:rPr>
        <w:t xml:space="preserve">new right has been piloted since November 2015 </w:t>
      </w:r>
      <w:r w:rsidR="00342C22" w:rsidRPr="002239BF">
        <w:rPr>
          <w:rFonts w:ascii="Times New Roman" w:hAnsi="Times New Roman" w:cs="Times New Roman"/>
          <w:sz w:val="24"/>
          <w:szCs w:val="24"/>
        </w:rPr>
        <w:t>with five housing associations.  Research under</w:t>
      </w:r>
      <w:r w:rsidR="004701D9" w:rsidRPr="002239BF">
        <w:rPr>
          <w:rFonts w:ascii="Times New Roman" w:hAnsi="Times New Roman" w:cs="Times New Roman"/>
          <w:sz w:val="24"/>
          <w:szCs w:val="24"/>
        </w:rPr>
        <w:t>taken in February 2016 indicated</w:t>
      </w:r>
      <w:r w:rsidR="00342C22" w:rsidRPr="002239BF">
        <w:rPr>
          <w:rFonts w:ascii="Times New Roman" w:hAnsi="Times New Roman" w:cs="Times New Roman"/>
          <w:sz w:val="24"/>
          <w:szCs w:val="24"/>
        </w:rPr>
        <w:t xml:space="preserve"> that only seven per cent of housing association tenants are assessed as being able to afford to buy their home and </w:t>
      </w:r>
      <w:r w:rsidR="000F77CC" w:rsidRPr="002239BF">
        <w:rPr>
          <w:rFonts w:ascii="Times New Roman" w:hAnsi="Times New Roman" w:cs="Times New Roman"/>
          <w:sz w:val="24"/>
          <w:szCs w:val="24"/>
        </w:rPr>
        <w:t xml:space="preserve">have </w:t>
      </w:r>
      <w:r w:rsidR="00342C22" w:rsidRPr="002239BF">
        <w:rPr>
          <w:rFonts w:ascii="Times New Roman" w:hAnsi="Times New Roman" w:cs="Times New Roman"/>
          <w:sz w:val="24"/>
          <w:szCs w:val="24"/>
        </w:rPr>
        <w:t>expressed the desire to do so.</w:t>
      </w:r>
      <w:r w:rsidR="00342C22" w:rsidRPr="002239BF">
        <w:rPr>
          <w:rStyle w:val="FootnoteReference"/>
          <w:rFonts w:ascii="Times New Roman" w:hAnsi="Times New Roman" w:cs="Times New Roman"/>
          <w:sz w:val="24"/>
          <w:szCs w:val="24"/>
        </w:rPr>
        <w:footnoteReference w:id="65"/>
      </w:r>
      <w:r w:rsidR="004701D9" w:rsidRPr="002239BF">
        <w:rPr>
          <w:rFonts w:ascii="Times New Roman" w:hAnsi="Times New Roman" w:cs="Times New Roman"/>
          <w:sz w:val="24"/>
          <w:szCs w:val="24"/>
        </w:rPr>
        <w:t xml:space="preserve">  It has </w:t>
      </w:r>
      <w:r w:rsidR="00336BD7" w:rsidRPr="002239BF">
        <w:rPr>
          <w:rFonts w:ascii="Times New Roman" w:hAnsi="Times New Roman" w:cs="Times New Roman"/>
          <w:sz w:val="24"/>
          <w:szCs w:val="24"/>
        </w:rPr>
        <w:t xml:space="preserve">subsequently </w:t>
      </w:r>
      <w:r w:rsidR="004701D9" w:rsidRPr="002239BF">
        <w:rPr>
          <w:rFonts w:ascii="Times New Roman" w:hAnsi="Times New Roman" w:cs="Times New Roman"/>
          <w:sz w:val="24"/>
          <w:szCs w:val="24"/>
        </w:rPr>
        <w:t>been reported that only around one percent of households within the pilot areas have, so far, made a formal application to buy.</w:t>
      </w:r>
      <w:r w:rsidR="004701D9" w:rsidRPr="002239BF">
        <w:rPr>
          <w:rStyle w:val="FootnoteReference"/>
          <w:rFonts w:ascii="Times New Roman" w:hAnsi="Times New Roman" w:cs="Times New Roman"/>
          <w:sz w:val="24"/>
          <w:szCs w:val="24"/>
        </w:rPr>
        <w:footnoteReference w:id="66"/>
      </w:r>
      <w:r w:rsidR="00FE6F35" w:rsidRPr="002239BF">
        <w:rPr>
          <w:rFonts w:ascii="Times New Roman" w:hAnsi="Times New Roman" w:cs="Times New Roman"/>
          <w:sz w:val="24"/>
          <w:szCs w:val="24"/>
        </w:rPr>
        <w:t xml:space="preserve"> In November 2016, new</w:t>
      </w:r>
      <w:r w:rsidR="00FE6F35" w:rsidRPr="002239BF">
        <w:rPr>
          <w:rFonts w:ascii="Times New Roman" w:hAnsi="Times New Roman" w:cs="Times New Roman"/>
          <w:shd w:val="clear" w:color="auto" w:fill="FFFFFF"/>
          <w:lang w:eastAsia="en-GB"/>
        </w:rPr>
        <w:t xml:space="preserve"> ‘lar</w:t>
      </w:r>
      <w:r w:rsidR="002B3FAA" w:rsidRPr="002239BF">
        <w:rPr>
          <w:rFonts w:ascii="Times New Roman" w:hAnsi="Times New Roman" w:cs="Times New Roman"/>
          <w:shd w:val="clear" w:color="auto" w:fill="FFFFFF"/>
          <w:lang w:eastAsia="en-GB"/>
        </w:rPr>
        <w:t>ge-scale’ regional right to b</w:t>
      </w:r>
      <w:r w:rsidR="00FE6F35" w:rsidRPr="002239BF">
        <w:rPr>
          <w:rFonts w:ascii="Times New Roman" w:hAnsi="Times New Roman" w:cs="Times New Roman"/>
          <w:shd w:val="clear" w:color="auto" w:fill="FFFFFF"/>
          <w:lang w:eastAsia="en-GB"/>
        </w:rPr>
        <w:t>uy pilots were announced. These pilots are to run until 2021 and the government has set aside funding of £250 million.</w:t>
      </w:r>
      <w:r w:rsidR="009855E2" w:rsidRPr="002239BF">
        <w:rPr>
          <w:rStyle w:val="FootnoteReference"/>
          <w:rFonts w:ascii="Times New Roman" w:hAnsi="Times New Roman" w:cs="Times New Roman"/>
          <w:shd w:val="clear" w:color="auto" w:fill="FFFFFF"/>
          <w:lang w:eastAsia="en-GB"/>
        </w:rPr>
        <w:footnoteReference w:id="67"/>
      </w:r>
    </w:p>
    <w:p w14:paraId="026ECF3E" w14:textId="2E70C862" w:rsidR="004615CF" w:rsidRPr="002239BF" w:rsidRDefault="00C63141"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This new right </w:t>
      </w:r>
      <w:r w:rsidR="00824A48" w:rsidRPr="002239BF">
        <w:rPr>
          <w:rFonts w:ascii="Times New Roman" w:hAnsi="Times New Roman" w:cs="Times New Roman"/>
          <w:sz w:val="24"/>
          <w:szCs w:val="24"/>
        </w:rPr>
        <w:t xml:space="preserve">can be seen as operating at two levels. First, it allows those social tenants who, perhaps through </w:t>
      </w:r>
      <w:r w:rsidR="008B41D7" w:rsidRPr="002239BF">
        <w:rPr>
          <w:rFonts w:ascii="Times New Roman" w:hAnsi="Times New Roman" w:cs="Times New Roman"/>
          <w:sz w:val="24"/>
          <w:szCs w:val="24"/>
        </w:rPr>
        <w:t>no</w:t>
      </w:r>
      <w:r w:rsidR="00824A48" w:rsidRPr="002239BF">
        <w:rPr>
          <w:rFonts w:ascii="Times New Roman" w:hAnsi="Times New Roman" w:cs="Times New Roman"/>
          <w:sz w:val="24"/>
          <w:szCs w:val="24"/>
        </w:rPr>
        <w:t xml:space="preserve"> choice </w:t>
      </w:r>
      <w:r w:rsidR="008B41D7" w:rsidRPr="002239BF">
        <w:rPr>
          <w:rFonts w:ascii="Times New Roman" w:hAnsi="Times New Roman" w:cs="Times New Roman"/>
          <w:sz w:val="24"/>
          <w:szCs w:val="24"/>
        </w:rPr>
        <w:t>of their own</w:t>
      </w:r>
      <w:r w:rsidR="00647CC9" w:rsidRPr="002239BF">
        <w:rPr>
          <w:rFonts w:ascii="Times New Roman" w:hAnsi="Times New Roman" w:cs="Times New Roman"/>
          <w:sz w:val="24"/>
          <w:szCs w:val="24"/>
        </w:rPr>
        <w:t>,</w:t>
      </w:r>
      <w:r w:rsidR="008B41D7" w:rsidRPr="002239BF">
        <w:rPr>
          <w:rFonts w:ascii="Times New Roman" w:hAnsi="Times New Roman" w:cs="Times New Roman"/>
          <w:sz w:val="24"/>
          <w:szCs w:val="24"/>
        </w:rPr>
        <w:t xml:space="preserve"> </w:t>
      </w:r>
      <w:r w:rsidR="00647CC9" w:rsidRPr="002239BF">
        <w:rPr>
          <w:rFonts w:ascii="Times New Roman" w:hAnsi="Times New Roman" w:cs="Times New Roman"/>
          <w:sz w:val="24"/>
          <w:szCs w:val="24"/>
        </w:rPr>
        <w:t>fi</w:t>
      </w:r>
      <w:r w:rsidR="00824A48" w:rsidRPr="002239BF">
        <w:rPr>
          <w:rFonts w:ascii="Times New Roman" w:hAnsi="Times New Roman" w:cs="Times New Roman"/>
          <w:sz w:val="24"/>
          <w:szCs w:val="24"/>
        </w:rPr>
        <w:t xml:space="preserve">nd themselves </w:t>
      </w:r>
      <w:r w:rsidR="008B41D7" w:rsidRPr="002239BF">
        <w:rPr>
          <w:rFonts w:ascii="Times New Roman" w:hAnsi="Times New Roman" w:cs="Times New Roman"/>
          <w:sz w:val="24"/>
          <w:szCs w:val="24"/>
        </w:rPr>
        <w:t>as</w:t>
      </w:r>
      <w:r w:rsidR="00824A48" w:rsidRPr="002239BF">
        <w:rPr>
          <w:rFonts w:ascii="Times New Roman" w:hAnsi="Times New Roman" w:cs="Times New Roman"/>
          <w:sz w:val="24"/>
          <w:szCs w:val="24"/>
        </w:rPr>
        <w:t xml:space="preserve"> tenants of a housing association rather than </w:t>
      </w:r>
      <w:r w:rsidR="008B41D7" w:rsidRPr="002239BF">
        <w:rPr>
          <w:rFonts w:ascii="Times New Roman" w:hAnsi="Times New Roman" w:cs="Times New Roman"/>
          <w:sz w:val="24"/>
          <w:szCs w:val="24"/>
        </w:rPr>
        <w:t xml:space="preserve">tenants of </w:t>
      </w:r>
      <w:r w:rsidR="00824A48" w:rsidRPr="002239BF">
        <w:rPr>
          <w:rFonts w:ascii="Times New Roman" w:hAnsi="Times New Roman" w:cs="Times New Roman"/>
          <w:sz w:val="24"/>
          <w:szCs w:val="24"/>
        </w:rPr>
        <w:t xml:space="preserve">a local authority, to benefit from the same </w:t>
      </w:r>
      <w:r w:rsidR="008B41D7" w:rsidRPr="002239BF">
        <w:rPr>
          <w:rFonts w:ascii="Times New Roman" w:hAnsi="Times New Roman" w:cs="Times New Roman"/>
          <w:sz w:val="24"/>
          <w:szCs w:val="24"/>
        </w:rPr>
        <w:t xml:space="preserve">advantages </w:t>
      </w:r>
      <w:r w:rsidR="00824A48" w:rsidRPr="002239BF">
        <w:rPr>
          <w:rFonts w:ascii="Times New Roman" w:hAnsi="Times New Roman" w:cs="Times New Roman"/>
          <w:sz w:val="24"/>
          <w:szCs w:val="24"/>
        </w:rPr>
        <w:t xml:space="preserve">that local authority tenants </w:t>
      </w:r>
      <w:r w:rsidR="00F91C8B" w:rsidRPr="002239BF">
        <w:rPr>
          <w:rFonts w:ascii="Times New Roman" w:hAnsi="Times New Roman" w:cs="Times New Roman"/>
          <w:sz w:val="24"/>
          <w:szCs w:val="24"/>
        </w:rPr>
        <w:t>have</w:t>
      </w:r>
      <w:r w:rsidR="00824A48" w:rsidRPr="002239BF">
        <w:rPr>
          <w:rFonts w:ascii="Times New Roman" w:hAnsi="Times New Roman" w:cs="Times New Roman"/>
          <w:sz w:val="24"/>
          <w:szCs w:val="24"/>
        </w:rPr>
        <w:t xml:space="preserve"> long enjoyed.</w:t>
      </w:r>
      <w:r w:rsidR="00647CC9" w:rsidRPr="002239BF">
        <w:rPr>
          <w:rStyle w:val="FootnoteReference"/>
          <w:rFonts w:ascii="Times New Roman" w:hAnsi="Times New Roman" w:cs="Times New Roman"/>
          <w:sz w:val="24"/>
          <w:szCs w:val="24"/>
        </w:rPr>
        <w:footnoteReference w:id="68"/>
      </w:r>
      <w:r w:rsidR="00BD043C" w:rsidRPr="002239BF">
        <w:rPr>
          <w:rFonts w:ascii="Times New Roman" w:hAnsi="Times New Roman" w:cs="Times New Roman"/>
          <w:sz w:val="24"/>
          <w:szCs w:val="24"/>
        </w:rPr>
        <w:t xml:space="preserve"> In this sense,</w:t>
      </w:r>
      <w:r w:rsidR="008B41D7" w:rsidRPr="002239BF">
        <w:rPr>
          <w:rFonts w:ascii="Times New Roman" w:hAnsi="Times New Roman" w:cs="Times New Roman"/>
          <w:sz w:val="24"/>
          <w:szCs w:val="24"/>
        </w:rPr>
        <w:t xml:space="preserve"> </w:t>
      </w:r>
      <w:r w:rsidR="00BD043C" w:rsidRPr="002239BF">
        <w:rPr>
          <w:rFonts w:ascii="Times New Roman" w:hAnsi="Times New Roman" w:cs="Times New Roman"/>
          <w:sz w:val="24"/>
          <w:szCs w:val="24"/>
        </w:rPr>
        <w:t>t</w:t>
      </w:r>
      <w:r w:rsidR="008B41D7" w:rsidRPr="002239BF">
        <w:rPr>
          <w:rFonts w:ascii="Times New Roman" w:hAnsi="Times New Roman" w:cs="Times New Roman"/>
          <w:sz w:val="24"/>
          <w:szCs w:val="24"/>
        </w:rPr>
        <w:t xml:space="preserve">he Government presented the extension of </w:t>
      </w:r>
      <w:r w:rsidR="005A5E63" w:rsidRPr="002239BF">
        <w:rPr>
          <w:rFonts w:ascii="Times New Roman" w:hAnsi="Times New Roman" w:cs="Times New Roman"/>
          <w:sz w:val="24"/>
          <w:szCs w:val="24"/>
        </w:rPr>
        <w:t>the r</w:t>
      </w:r>
      <w:r w:rsidR="008B41D7" w:rsidRPr="002239BF">
        <w:rPr>
          <w:rFonts w:ascii="Times New Roman" w:hAnsi="Times New Roman" w:cs="Times New Roman"/>
          <w:sz w:val="24"/>
          <w:szCs w:val="24"/>
        </w:rPr>
        <w:t xml:space="preserve">ight to </w:t>
      </w:r>
      <w:r w:rsidR="005A5E63" w:rsidRPr="002239BF">
        <w:rPr>
          <w:rFonts w:ascii="Times New Roman" w:hAnsi="Times New Roman" w:cs="Times New Roman"/>
          <w:sz w:val="24"/>
          <w:szCs w:val="24"/>
        </w:rPr>
        <w:t>b</w:t>
      </w:r>
      <w:r w:rsidR="008B41D7" w:rsidRPr="002239BF">
        <w:rPr>
          <w:rFonts w:ascii="Times New Roman" w:hAnsi="Times New Roman" w:cs="Times New Roman"/>
          <w:sz w:val="24"/>
          <w:szCs w:val="24"/>
        </w:rPr>
        <w:t>uy</w:t>
      </w:r>
      <w:r w:rsidR="005A5E63" w:rsidRPr="002239BF">
        <w:rPr>
          <w:rFonts w:ascii="Times New Roman" w:hAnsi="Times New Roman" w:cs="Times New Roman"/>
          <w:sz w:val="24"/>
          <w:szCs w:val="24"/>
        </w:rPr>
        <w:t xml:space="preserve"> </w:t>
      </w:r>
      <w:r w:rsidR="008B41D7" w:rsidRPr="002239BF">
        <w:rPr>
          <w:rFonts w:ascii="Times New Roman" w:hAnsi="Times New Roman" w:cs="Times New Roman"/>
          <w:sz w:val="24"/>
          <w:szCs w:val="24"/>
        </w:rPr>
        <w:t>as a call to equity.</w:t>
      </w:r>
      <w:r w:rsidR="00824A48" w:rsidRPr="002239BF">
        <w:rPr>
          <w:rFonts w:ascii="Times New Roman" w:hAnsi="Times New Roman" w:cs="Times New Roman"/>
          <w:sz w:val="24"/>
          <w:szCs w:val="24"/>
        </w:rPr>
        <w:t xml:space="preserve"> Secondly, </w:t>
      </w:r>
      <w:r w:rsidR="00F91C8B" w:rsidRPr="002239BF">
        <w:rPr>
          <w:rFonts w:ascii="Times New Roman" w:hAnsi="Times New Roman" w:cs="Times New Roman"/>
          <w:sz w:val="24"/>
          <w:szCs w:val="24"/>
        </w:rPr>
        <w:t xml:space="preserve">and more cynically, the policy </w:t>
      </w:r>
      <w:r w:rsidR="008B41D7" w:rsidRPr="002239BF">
        <w:rPr>
          <w:rFonts w:ascii="Times New Roman" w:hAnsi="Times New Roman" w:cs="Times New Roman"/>
          <w:sz w:val="24"/>
          <w:szCs w:val="24"/>
        </w:rPr>
        <w:t xml:space="preserve">might be </w:t>
      </w:r>
      <w:r w:rsidR="001442C5" w:rsidRPr="002239BF">
        <w:rPr>
          <w:rFonts w:ascii="Times New Roman" w:hAnsi="Times New Roman" w:cs="Times New Roman"/>
          <w:sz w:val="24"/>
          <w:szCs w:val="24"/>
        </w:rPr>
        <w:t>construed</w:t>
      </w:r>
      <w:r w:rsidR="008B41D7" w:rsidRPr="002239BF">
        <w:rPr>
          <w:rFonts w:ascii="Times New Roman" w:hAnsi="Times New Roman" w:cs="Times New Roman"/>
          <w:sz w:val="24"/>
          <w:szCs w:val="24"/>
        </w:rPr>
        <w:t xml:space="preserve"> as a</w:t>
      </w:r>
      <w:r w:rsidR="00824A48" w:rsidRPr="002239BF">
        <w:rPr>
          <w:rFonts w:ascii="Times New Roman" w:hAnsi="Times New Roman" w:cs="Times New Roman"/>
          <w:sz w:val="24"/>
          <w:szCs w:val="24"/>
        </w:rPr>
        <w:t xml:space="preserve"> </w:t>
      </w:r>
      <w:r w:rsidR="00144424" w:rsidRPr="002239BF">
        <w:rPr>
          <w:rFonts w:ascii="Times New Roman" w:hAnsi="Times New Roman" w:cs="Times New Roman"/>
          <w:sz w:val="24"/>
          <w:szCs w:val="24"/>
        </w:rPr>
        <w:t>political device</w:t>
      </w:r>
      <w:r w:rsidR="00824A48" w:rsidRPr="002239BF">
        <w:rPr>
          <w:rFonts w:ascii="Times New Roman" w:hAnsi="Times New Roman" w:cs="Times New Roman"/>
          <w:sz w:val="24"/>
          <w:szCs w:val="24"/>
        </w:rPr>
        <w:t xml:space="preserve"> aimed </w:t>
      </w:r>
      <w:r w:rsidR="00144424" w:rsidRPr="002239BF">
        <w:rPr>
          <w:rFonts w:ascii="Times New Roman" w:hAnsi="Times New Roman" w:cs="Times New Roman"/>
          <w:sz w:val="24"/>
          <w:szCs w:val="24"/>
        </w:rPr>
        <w:t>at</w:t>
      </w:r>
      <w:r w:rsidR="00824A48" w:rsidRPr="002239BF">
        <w:rPr>
          <w:rFonts w:ascii="Times New Roman" w:hAnsi="Times New Roman" w:cs="Times New Roman"/>
          <w:sz w:val="24"/>
          <w:szCs w:val="24"/>
        </w:rPr>
        <w:t xml:space="preserve"> expand</w:t>
      </w:r>
      <w:r w:rsidR="00144424" w:rsidRPr="002239BF">
        <w:rPr>
          <w:rFonts w:ascii="Times New Roman" w:hAnsi="Times New Roman" w:cs="Times New Roman"/>
          <w:sz w:val="24"/>
          <w:szCs w:val="24"/>
        </w:rPr>
        <w:t>ing</w:t>
      </w:r>
      <w:r w:rsidR="00824A48" w:rsidRPr="002239BF">
        <w:rPr>
          <w:rFonts w:ascii="Times New Roman" w:hAnsi="Times New Roman" w:cs="Times New Roman"/>
          <w:sz w:val="24"/>
          <w:szCs w:val="24"/>
        </w:rPr>
        <w:t xml:space="preserve"> support for the party</w:t>
      </w:r>
      <w:r w:rsidR="001442C5" w:rsidRPr="002239BF">
        <w:rPr>
          <w:rFonts w:ascii="Times New Roman" w:hAnsi="Times New Roman" w:cs="Times New Roman"/>
          <w:sz w:val="24"/>
          <w:szCs w:val="24"/>
        </w:rPr>
        <w:t xml:space="preserve"> beyond its </w:t>
      </w:r>
      <w:r w:rsidR="008B41D7" w:rsidRPr="002239BF">
        <w:rPr>
          <w:rFonts w:ascii="Times New Roman" w:hAnsi="Times New Roman" w:cs="Times New Roman"/>
          <w:sz w:val="24"/>
          <w:szCs w:val="24"/>
        </w:rPr>
        <w:t>traditional middle class base</w:t>
      </w:r>
      <w:r w:rsidR="00144424" w:rsidRPr="002239BF">
        <w:rPr>
          <w:rFonts w:ascii="Times New Roman" w:hAnsi="Times New Roman" w:cs="Times New Roman"/>
          <w:sz w:val="24"/>
          <w:szCs w:val="24"/>
        </w:rPr>
        <w:t xml:space="preserve"> as part of a bid </w:t>
      </w:r>
      <w:r w:rsidR="00824A48" w:rsidRPr="002239BF">
        <w:rPr>
          <w:rFonts w:ascii="Times New Roman" w:hAnsi="Times New Roman" w:cs="Times New Roman"/>
          <w:sz w:val="24"/>
          <w:szCs w:val="24"/>
        </w:rPr>
        <w:t>to further de-toxify the Tory brand</w:t>
      </w:r>
      <w:r w:rsidR="00144424" w:rsidRPr="002239BF">
        <w:rPr>
          <w:rStyle w:val="FootnoteReference"/>
          <w:rFonts w:ascii="Times New Roman" w:hAnsi="Times New Roman" w:cs="Times New Roman"/>
          <w:sz w:val="24"/>
          <w:szCs w:val="24"/>
        </w:rPr>
        <w:footnoteReference w:id="69"/>
      </w:r>
      <w:r w:rsidR="00824A48" w:rsidRPr="002239BF">
        <w:rPr>
          <w:rFonts w:ascii="Times New Roman" w:hAnsi="Times New Roman" w:cs="Times New Roman"/>
          <w:sz w:val="24"/>
          <w:szCs w:val="24"/>
        </w:rPr>
        <w:t xml:space="preserve"> among the working class and bolster the cause </w:t>
      </w:r>
      <w:r w:rsidR="00834161" w:rsidRPr="002239BF">
        <w:rPr>
          <w:rFonts w:ascii="Times New Roman" w:hAnsi="Times New Roman" w:cs="Times New Roman"/>
          <w:sz w:val="24"/>
          <w:szCs w:val="24"/>
        </w:rPr>
        <w:t>of promoting the ‘</w:t>
      </w:r>
      <w:r w:rsidR="008B41D7" w:rsidRPr="002239BF">
        <w:rPr>
          <w:rFonts w:ascii="Times New Roman" w:hAnsi="Times New Roman" w:cs="Times New Roman"/>
          <w:sz w:val="24"/>
          <w:szCs w:val="24"/>
        </w:rPr>
        <w:t>compassionate conservatism</w:t>
      </w:r>
      <w:r w:rsidR="00834161" w:rsidRPr="002239BF">
        <w:rPr>
          <w:rFonts w:ascii="Times New Roman" w:hAnsi="Times New Roman" w:cs="Times New Roman"/>
          <w:sz w:val="24"/>
          <w:szCs w:val="24"/>
        </w:rPr>
        <w:t>’</w:t>
      </w:r>
      <w:r w:rsidR="00C3092B" w:rsidRPr="002239BF">
        <w:rPr>
          <w:rStyle w:val="FootnoteReference"/>
          <w:rFonts w:ascii="Times New Roman" w:hAnsi="Times New Roman" w:cs="Times New Roman"/>
          <w:sz w:val="24"/>
          <w:szCs w:val="24"/>
        </w:rPr>
        <w:footnoteReference w:id="70"/>
      </w:r>
      <w:r w:rsidR="00834161" w:rsidRPr="002239BF">
        <w:rPr>
          <w:rFonts w:ascii="Times New Roman" w:hAnsi="Times New Roman" w:cs="Times New Roman"/>
          <w:sz w:val="24"/>
          <w:szCs w:val="24"/>
        </w:rPr>
        <w:t xml:space="preserve"> message.</w:t>
      </w:r>
      <w:r w:rsidR="00E5190B" w:rsidRPr="002239BF">
        <w:rPr>
          <w:rFonts w:ascii="Times New Roman" w:hAnsi="Times New Roman" w:cs="Times New Roman"/>
          <w:sz w:val="24"/>
          <w:szCs w:val="24"/>
        </w:rPr>
        <w:t xml:space="preserve"> There is </w:t>
      </w:r>
      <w:r w:rsidR="00C726DA" w:rsidRPr="002239BF">
        <w:rPr>
          <w:rFonts w:ascii="Times New Roman" w:hAnsi="Times New Roman" w:cs="Times New Roman"/>
          <w:sz w:val="24"/>
          <w:szCs w:val="24"/>
        </w:rPr>
        <w:t xml:space="preserve">anecdotal </w:t>
      </w:r>
      <w:r w:rsidR="008B41D7" w:rsidRPr="002239BF">
        <w:rPr>
          <w:rFonts w:ascii="Times New Roman" w:hAnsi="Times New Roman" w:cs="Times New Roman"/>
          <w:sz w:val="24"/>
          <w:szCs w:val="24"/>
        </w:rPr>
        <w:t xml:space="preserve">evidence, for example, </w:t>
      </w:r>
      <w:r w:rsidR="00E5190B" w:rsidRPr="002239BF">
        <w:rPr>
          <w:rFonts w:ascii="Times New Roman" w:hAnsi="Times New Roman" w:cs="Times New Roman"/>
          <w:sz w:val="24"/>
          <w:szCs w:val="24"/>
        </w:rPr>
        <w:t xml:space="preserve">that the policy when </w:t>
      </w:r>
      <w:r w:rsidR="008B41D7" w:rsidRPr="002239BF">
        <w:rPr>
          <w:rFonts w:ascii="Times New Roman" w:hAnsi="Times New Roman" w:cs="Times New Roman"/>
          <w:sz w:val="24"/>
          <w:szCs w:val="24"/>
        </w:rPr>
        <w:t xml:space="preserve">first </w:t>
      </w:r>
      <w:r w:rsidR="00E5190B" w:rsidRPr="002239BF">
        <w:rPr>
          <w:rFonts w:ascii="Times New Roman" w:hAnsi="Times New Roman" w:cs="Times New Roman"/>
          <w:sz w:val="24"/>
          <w:szCs w:val="24"/>
        </w:rPr>
        <w:t>announced proved to be immense</w:t>
      </w:r>
      <w:r w:rsidR="008B41D7" w:rsidRPr="002239BF">
        <w:rPr>
          <w:rFonts w:ascii="Times New Roman" w:hAnsi="Times New Roman" w:cs="Times New Roman"/>
          <w:sz w:val="24"/>
          <w:szCs w:val="24"/>
        </w:rPr>
        <w:t>ly popular among social tenants.</w:t>
      </w:r>
      <w:r w:rsidR="00C512B6" w:rsidRPr="002239BF">
        <w:rPr>
          <w:rFonts w:ascii="Times New Roman" w:hAnsi="Times New Roman" w:cs="Times New Roman"/>
          <w:sz w:val="24"/>
          <w:szCs w:val="24"/>
        </w:rPr>
        <w:t xml:space="preserve"> </w:t>
      </w:r>
      <w:r w:rsidR="00255073" w:rsidRPr="002239BF">
        <w:rPr>
          <w:rFonts w:ascii="Times New Roman" w:hAnsi="Times New Roman" w:cs="Times New Roman"/>
          <w:sz w:val="24"/>
          <w:szCs w:val="24"/>
        </w:rPr>
        <w:t xml:space="preserve">The low take-up in the pilot schemes signals either a lack of demand for the policy, </w:t>
      </w:r>
      <w:r w:rsidR="00C933C4" w:rsidRPr="002239BF">
        <w:rPr>
          <w:rFonts w:ascii="Times New Roman" w:hAnsi="Times New Roman" w:cs="Times New Roman"/>
          <w:sz w:val="24"/>
          <w:szCs w:val="24"/>
        </w:rPr>
        <w:t xml:space="preserve">or </w:t>
      </w:r>
      <w:r w:rsidR="00255073" w:rsidRPr="002239BF">
        <w:rPr>
          <w:rFonts w:ascii="Times New Roman" w:hAnsi="Times New Roman" w:cs="Times New Roman"/>
          <w:sz w:val="24"/>
          <w:szCs w:val="24"/>
        </w:rPr>
        <w:t xml:space="preserve">an inability </w:t>
      </w:r>
      <w:r w:rsidRPr="002239BF">
        <w:rPr>
          <w:rFonts w:ascii="Times New Roman" w:hAnsi="Times New Roman" w:cs="Times New Roman"/>
          <w:sz w:val="24"/>
          <w:szCs w:val="24"/>
        </w:rPr>
        <w:t>to</w:t>
      </w:r>
      <w:r w:rsidR="00255073" w:rsidRPr="002239BF">
        <w:rPr>
          <w:rFonts w:ascii="Times New Roman" w:hAnsi="Times New Roman" w:cs="Times New Roman"/>
          <w:sz w:val="24"/>
          <w:szCs w:val="24"/>
        </w:rPr>
        <w:t xml:space="preserve"> afford to buy</w:t>
      </w:r>
      <w:r w:rsidR="000D41DB" w:rsidRPr="002239BF">
        <w:rPr>
          <w:rFonts w:ascii="Times New Roman" w:hAnsi="Times New Roman" w:cs="Times New Roman"/>
          <w:sz w:val="24"/>
          <w:szCs w:val="24"/>
        </w:rPr>
        <w:t xml:space="preserve"> </w:t>
      </w:r>
      <w:r w:rsidR="00255073" w:rsidRPr="002239BF">
        <w:rPr>
          <w:rFonts w:ascii="Times New Roman" w:hAnsi="Times New Roman" w:cs="Times New Roman"/>
          <w:sz w:val="24"/>
          <w:szCs w:val="24"/>
        </w:rPr>
        <w:t>and,</w:t>
      </w:r>
      <w:r w:rsidR="000D41DB" w:rsidRPr="002239BF">
        <w:rPr>
          <w:rFonts w:ascii="Times New Roman" w:hAnsi="Times New Roman" w:cs="Times New Roman"/>
          <w:sz w:val="24"/>
          <w:szCs w:val="24"/>
        </w:rPr>
        <w:t xml:space="preserve"> it is suggested, </w:t>
      </w:r>
      <w:r w:rsidR="001854DC" w:rsidRPr="002239BF">
        <w:rPr>
          <w:rFonts w:ascii="Times New Roman" w:hAnsi="Times New Roman" w:cs="Times New Roman"/>
          <w:sz w:val="24"/>
          <w:szCs w:val="24"/>
        </w:rPr>
        <w:t>underlines the mis</w:t>
      </w:r>
      <w:r w:rsidR="00486361" w:rsidRPr="002239BF">
        <w:rPr>
          <w:rFonts w:ascii="Times New Roman" w:hAnsi="Times New Roman" w:cs="Times New Roman"/>
          <w:sz w:val="24"/>
          <w:szCs w:val="24"/>
        </w:rPr>
        <w:t xml:space="preserve">placed </w:t>
      </w:r>
      <w:r w:rsidR="001854DC" w:rsidRPr="002239BF">
        <w:rPr>
          <w:rFonts w:ascii="Times New Roman" w:hAnsi="Times New Roman" w:cs="Times New Roman"/>
          <w:sz w:val="24"/>
          <w:szCs w:val="24"/>
        </w:rPr>
        <w:t xml:space="preserve">emphasis </w:t>
      </w:r>
      <w:r w:rsidR="000D41DB" w:rsidRPr="002239BF">
        <w:rPr>
          <w:rFonts w:ascii="Times New Roman" w:hAnsi="Times New Roman" w:cs="Times New Roman"/>
          <w:sz w:val="24"/>
          <w:szCs w:val="24"/>
        </w:rPr>
        <w:t xml:space="preserve">of the 2016 Act on </w:t>
      </w:r>
      <w:r w:rsidR="00255073" w:rsidRPr="002239BF">
        <w:rPr>
          <w:rFonts w:ascii="Times New Roman" w:hAnsi="Times New Roman" w:cs="Times New Roman"/>
          <w:sz w:val="24"/>
          <w:szCs w:val="24"/>
        </w:rPr>
        <w:t>homeownership</w:t>
      </w:r>
      <w:r w:rsidR="000D41DB" w:rsidRPr="002239BF">
        <w:rPr>
          <w:rFonts w:ascii="Times New Roman" w:hAnsi="Times New Roman" w:cs="Times New Roman"/>
          <w:sz w:val="24"/>
          <w:szCs w:val="24"/>
        </w:rPr>
        <w:t>.</w:t>
      </w:r>
    </w:p>
    <w:p w14:paraId="1CE7FE64" w14:textId="77777777" w:rsidR="00297060" w:rsidRPr="002239BF" w:rsidRDefault="00297060" w:rsidP="00733DF3">
      <w:pPr>
        <w:spacing w:line="480" w:lineRule="auto"/>
        <w:rPr>
          <w:rFonts w:ascii="Times New Roman" w:hAnsi="Times New Roman" w:cs="Times New Roman"/>
          <w:sz w:val="24"/>
          <w:szCs w:val="24"/>
        </w:rPr>
      </w:pPr>
    </w:p>
    <w:p w14:paraId="67CB49B9" w14:textId="4FEFAA33" w:rsidR="00105CD1" w:rsidRPr="002239BF" w:rsidRDefault="00E61484"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Having examined the provisions in the 2016 Act which actively promote homeownership, we move on to consider the measures that further </w:t>
      </w:r>
      <w:r w:rsidR="00CA2193" w:rsidRPr="002239BF">
        <w:rPr>
          <w:rFonts w:ascii="Times New Roman" w:hAnsi="Times New Roman" w:cs="Times New Roman"/>
          <w:sz w:val="24"/>
          <w:szCs w:val="24"/>
        </w:rPr>
        <w:t>residualise social housing</w:t>
      </w:r>
      <w:r w:rsidRPr="002239BF">
        <w:rPr>
          <w:rFonts w:ascii="Times New Roman" w:hAnsi="Times New Roman" w:cs="Times New Roman"/>
          <w:sz w:val="24"/>
          <w:szCs w:val="24"/>
        </w:rPr>
        <w:t>, culminating in the Act’s direct attack on the security of tenure enjoyed by local authority tenants:  the</w:t>
      </w:r>
      <w:r w:rsidR="003B71A3" w:rsidRPr="002239BF">
        <w:rPr>
          <w:rFonts w:ascii="Times New Roman" w:hAnsi="Times New Roman" w:cs="Times New Roman"/>
          <w:sz w:val="24"/>
          <w:szCs w:val="24"/>
        </w:rPr>
        <w:t xml:space="preserve"> end of so-called lifetime tenancies.</w:t>
      </w:r>
    </w:p>
    <w:p w14:paraId="55129F65" w14:textId="77777777" w:rsidR="00F37020" w:rsidRPr="002239BF" w:rsidRDefault="00F37020" w:rsidP="00733DF3">
      <w:pPr>
        <w:spacing w:line="480" w:lineRule="auto"/>
        <w:rPr>
          <w:rFonts w:ascii="Times New Roman" w:hAnsi="Times New Roman" w:cs="Times New Roman"/>
          <w:sz w:val="24"/>
          <w:szCs w:val="24"/>
        </w:rPr>
      </w:pPr>
    </w:p>
    <w:p w14:paraId="7CD8308B" w14:textId="6E0F5685" w:rsidR="00663F7A" w:rsidRPr="002239BF" w:rsidRDefault="005A5E63" w:rsidP="00733DF3">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The ending of security of tenure for local authority tenants</w:t>
      </w:r>
    </w:p>
    <w:p w14:paraId="0CCB4BBF" w14:textId="3303B75E" w:rsidR="00663F7A" w:rsidRPr="002239BF" w:rsidRDefault="00663F7A"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When the Bill was introduced, </w:t>
      </w:r>
      <w:r w:rsidR="0008679A" w:rsidRPr="002239BF">
        <w:rPr>
          <w:rFonts w:ascii="Times New Roman" w:hAnsi="Times New Roman" w:cs="Times New Roman"/>
          <w:sz w:val="24"/>
          <w:szCs w:val="24"/>
        </w:rPr>
        <w:t xml:space="preserve">it contained no provisions </w:t>
      </w:r>
      <w:r w:rsidR="00596A13" w:rsidRPr="002239BF">
        <w:rPr>
          <w:rFonts w:ascii="Times New Roman" w:hAnsi="Times New Roman" w:cs="Times New Roman"/>
          <w:sz w:val="24"/>
          <w:szCs w:val="24"/>
        </w:rPr>
        <w:t>to phase</w:t>
      </w:r>
      <w:r w:rsidR="0008679A" w:rsidRPr="002239BF">
        <w:rPr>
          <w:rFonts w:ascii="Times New Roman" w:hAnsi="Times New Roman" w:cs="Times New Roman"/>
          <w:sz w:val="24"/>
          <w:szCs w:val="24"/>
        </w:rPr>
        <w:t xml:space="preserve"> out secure tenancies.</w:t>
      </w:r>
      <w:r w:rsidR="000B10A6" w:rsidRPr="002239BF">
        <w:rPr>
          <w:rStyle w:val="FootnoteReference"/>
          <w:rFonts w:ascii="Times New Roman" w:hAnsi="Times New Roman" w:cs="Times New Roman"/>
          <w:sz w:val="24"/>
          <w:szCs w:val="24"/>
        </w:rPr>
        <w:footnoteReference w:id="71"/>
      </w:r>
      <w:r w:rsidR="0008679A" w:rsidRPr="002239BF">
        <w:rPr>
          <w:rFonts w:ascii="Times New Roman" w:hAnsi="Times New Roman" w:cs="Times New Roman"/>
          <w:sz w:val="24"/>
          <w:szCs w:val="24"/>
        </w:rPr>
        <w:t xml:space="preserve">  </w:t>
      </w:r>
      <w:r w:rsidR="005F7C87" w:rsidRPr="002239BF">
        <w:rPr>
          <w:rFonts w:ascii="Times New Roman" w:hAnsi="Times New Roman" w:cs="Times New Roman"/>
          <w:sz w:val="24"/>
          <w:szCs w:val="24"/>
        </w:rPr>
        <w:t>The clauses</w:t>
      </w:r>
      <w:r w:rsidR="005F7C87" w:rsidRPr="002239BF">
        <w:rPr>
          <w:rStyle w:val="FootnoteReference"/>
          <w:rFonts w:ascii="Times New Roman" w:hAnsi="Times New Roman" w:cs="Times New Roman"/>
          <w:sz w:val="24"/>
          <w:szCs w:val="24"/>
        </w:rPr>
        <w:footnoteReference w:id="72"/>
      </w:r>
      <w:r w:rsidR="000B10A6" w:rsidRPr="002239BF">
        <w:rPr>
          <w:rFonts w:ascii="Times New Roman" w:hAnsi="Times New Roman" w:cs="Times New Roman"/>
          <w:sz w:val="24"/>
          <w:szCs w:val="24"/>
        </w:rPr>
        <w:t xml:space="preserve"> were introduced </w:t>
      </w:r>
      <w:r w:rsidR="005F7C87" w:rsidRPr="002239BF">
        <w:rPr>
          <w:rFonts w:ascii="Times New Roman" w:hAnsi="Times New Roman" w:cs="Times New Roman"/>
          <w:sz w:val="24"/>
          <w:szCs w:val="24"/>
        </w:rPr>
        <w:t xml:space="preserve">through a government amendment </w:t>
      </w:r>
      <w:r w:rsidR="000B10A6" w:rsidRPr="002239BF">
        <w:rPr>
          <w:rFonts w:ascii="Times New Roman" w:hAnsi="Times New Roman" w:cs="Times New Roman"/>
          <w:sz w:val="24"/>
          <w:szCs w:val="24"/>
        </w:rPr>
        <w:t xml:space="preserve">at </w:t>
      </w:r>
      <w:r w:rsidR="005F7C87" w:rsidRPr="002239BF">
        <w:rPr>
          <w:rFonts w:ascii="Times New Roman" w:hAnsi="Times New Roman" w:cs="Times New Roman"/>
          <w:sz w:val="24"/>
          <w:szCs w:val="24"/>
        </w:rPr>
        <w:t xml:space="preserve">a late stage of </w:t>
      </w:r>
      <w:r w:rsidR="000B10A6" w:rsidRPr="002239BF">
        <w:rPr>
          <w:rFonts w:ascii="Times New Roman" w:hAnsi="Times New Roman" w:cs="Times New Roman"/>
          <w:sz w:val="24"/>
          <w:szCs w:val="24"/>
        </w:rPr>
        <w:t xml:space="preserve">the Committee </w:t>
      </w:r>
      <w:r w:rsidR="005F7C87" w:rsidRPr="002239BF">
        <w:rPr>
          <w:rFonts w:ascii="Times New Roman" w:hAnsi="Times New Roman" w:cs="Times New Roman"/>
          <w:sz w:val="24"/>
          <w:szCs w:val="24"/>
        </w:rPr>
        <w:t>debates</w:t>
      </w:r>
      <w:r w:rsidR="00596A13" w:rsidRPr="002239BF">
        <w:rPr>
          <w:rFonts w:ascii="Times New Roman" w:hAnsi="Times New Roman" w:cs="Times New Roman"/>
          <w:sz w:val="24"/>
          <w:szCs w:val="24"/>
        </w:rPr>
        <w:t>,</w:t>
      </w:r>
      <w:r w:rsidR="005F7C87" w:rsidRPr="002239BF">
        <w:rPr>
          <w:rStyle w:val="FootnoteReference"/>
          <w:rFonts w:ascii="Times New Roman" w:hAnsi="Times New Roman" w:cs="Times New Roman"/>
          <w:sz w:val="24"/>
          <w:szCs w:val="24"/>
        </w:rPr>
        <w:footnoteReference w:id="73"/>
      </w:r>
      <w:r w:rsidR="000B10A6" w:rsidRPr="002239BF">
        <w:rPr>
          <w:rFonts w:ascii="Times New Roman" w:hAnsi="Times New Roman" w:cs="Times New Roman"/>
          <w:sz w:val="24"/>
          <w:szCs w:val="24"/>
        </w:rPr>
        <w:t xml:space="preserve">  </w:t>
      </w:r>
      <w:r w:rsidR="00596A13" w:rsidRPr="002239BF">
        <w:rPr>
          <w:rFonts w:ascii="Times New Roman" w:hAnsi="Times New Roman" w:cs="Times New Roman"/>
          <w:sz w:val="24"/>
          <w:szCs w:val="24"/>
        </w:rPr>
        <w:t>t</w:t>
      </w:r>
      <w:r w:rsidR="005F7C87" w:rsidRPr="002239BF">
        <w:rPr>
          <w:rFonts w:ascii="Times New Roman" w:hAnsi="Times New Roman" w:cs="Times New Roman"/>
          <w:sz w:val="24"/>
          <w:szCs w:val="24"/>
        </w:rPr>
        <w:t xml:space="preserve">he Minister </w:t>
      </w:r>
      <w:r w:rsidR="00596A13" w:rsidRPr="002239BF">
        <w:rPr>
          <w:rFonts w:ascii="Times New Roman" w:hAnsi="Times New Roman" w:cs="Times New Roman"/>
          <w:sz w:val="24"/>
          <w:szCs w:val="24"/>
        </w:rPr>
        <w:t xml:space="preserve">claiming </w:t>
      </w:r>
      <w:r w:rsidR="005F7C87" w:rsidRPr="002239BF">
        <w:rPr>
          <w:rFonts w:ascii="Times New Roman" w:hAnsi="Times New Roman" w:cs="Times New Roman"/>
          <w:sz w:val="24"/>
          <w:szCs w:val="24"/>
        </w:rPr>
        <w:t xml:space="preserve">that </w:t>
      </w:r>
      <w:r w:rsidR="00596A13" w:rsidRPr="002239BF">
        <w:rPr>
          <w:rFonts w:ascii="Times New Roman" w:hAnsi="Times New Roman" w:cs="Times New Roman"/>
          <w:sz w:val="24"/>
          <w:szCs w:val="24"/>
        </w:rPr>
        <w:t>‘t</w:t>
      </w:r>
      <w:r w:rsidR="005F7C87" w:rsidRPr="002239BF">
        <w:rPr>
          <w:rFonts w:ascii="Times New Roman" w:hAnsi="Times New Roman" w:cs="Times New Roman"/>
          <w:sz w:val="24"/>
          <w:szCs w:val="24"/>
        </w:rPr>
        <w:t>hey deliver on a commitment in the July Budget to review the use of lifetime tenancies, with a view to limiting their use.</w:t>
      </w:r>
      <w:r w:rsidR="00596A13" w:rsidRPr="002239BF">
        <w:rPr>
          <w:rFonts w:ascii="Times New Roman" w:hAnsi="Times New Roman" w:cs="Times New Roman"/>
          <w:sz w:val="24"/>
          <w:szCs w:val="24"/>
        </w:rPr>
        <w:t>’</w:t>
      </w:r>
      <w:r w:rsidR="005F7C87" w:rsidRPr="002239BF">
        <w:rPr>
          <w:rStyle w:val="FootnoteReference"/>
          <w:rFonts w:ascii="Times New Roman" w:hAnsi="Times New Roman" w:cs="Times New Roman"/>
          <w:sz w:val="24"/>
          <w:szCs w:val="24"/>
        </w:rPr>
        <w:footnoteReference w:id="74"/>
      </w:r>
      <w:r w:rsidR="005F7C87" w:rsidRPr="002239BF">
        <w:rPr>
          <w:rFonts w:ascii="Times New Roman" w:hAnsi="Times New Roman" w:cs="Times New Roman"/>
          <w:sz w:val="24"/>
          <w:szCs w:val="24"/>
        </w:rPr>
        <w:t xml:space="preserve">  </w:t>
      </w:r>
      <w:r w:rsidR="0066783E" w:rsidRPr="002239BF">
        <w:rPr>
          <w:rFonts w:ascii="Times New Roman" w:hAnsi="Times New Roman" w:cs="Times New Roman"/>
          <w:sz w:val="24"/>
          <w:szCs w:val="24"/>
        </w:rPr>
        <w:t>As they were introduced, the clauses</w:t>
      </w:r>
      <w:r w:rsidR="00FC40E9" w:rsidRPr="002239BF">
        <w:rPr>
          <w:rFonts w:ascii="Times New Roman" w:hAnsi="Times New Roman" w:cs="Times New Roman"/>
          <w:sz w:val="24"/>
          <w:szCs w:val="24"/>
        </w:rPr>
        <w:t xml:space="preserve"> required</w:t>
      </w:r>
      <w:r w:rsidRPr="002239BF">
        <w:rPr>
          <w:rFonts w:ascii="Times New Roman" w:hAnsi="Times New Roman" w:cs="Times New Roman"/>
          <w:sz w:val="24"/>
          <w:szCs w:val="24"/>
        </w:rPr>
        <w:t xml:space="preserve"> </w:t>
      </w:r>
      <w:r w:rsidR="00596A13" w:rsidRPr="002239BF">
        <w:rPr>
          <w:rFonts w:ascii="Times New Roman" w:hAnsi="Times New Roman" w:cs="Times New Roman"/>
          <w:sz w:val="24"/>
          <w:szCs w:val="24"/>
        </w:rPr>
        <w:t xml:space="preserve">English </w:t>
      </w:r>
      <w:r w:rsidRPr="002239BF">
        <w:rPr>
          <w:rFonts w:ascii="Times New Roman" w:hAnsi="Times New Roman" w:cs="Times New Roman"/>
          <w:sz w:val="24"/>
          <w:szCs w:val="24"/>
        </w:rPr>
        <w:t xml:space="preserve">local authority landlords to grant </w:t>
      </w:r>
      <w:r w:rsidR="0066783E" w:rsidRPr="002239BF">
        <w:rPr>
          <w:rFonts w:ascii="Times New Roman" w:hAnsi="Times New Roman" w:cs="Times New Roman"/>
          <w:sz w:val="24"/>
          <w:szCs w:val="24"/>
        </w:rPr>
        <w:t>fixed term tenancies</w:t>
      </w:r>
      <w:r w:rsidRPr="002239BF">
        <w:rPr>
          <w:rFonts w:ascii="Times New Roman" w:hAnsi="Times New Roman" w:cs="Times New Roman"/>
          <w:sz w:val="24"/>
          <w:szCs w:val="24"/>
        </w:rPr>
        <w:t xml:space="preserve"> of between two to five years.  </w:t>
      </w:r>
      <w:r w:rsidR="00C528A2" w:rsidRPr="002239BF">
        <w:rPr>
          <w:rFonts w:ascii="Times New Roman" w:hAnsi="Times New Roman" w:cs="Times New Roman"/>
          <w:sz w:val="24"/>
          <w:szCs w:val="24"/>
        </w:rPr>
        <w:t xml:space="preserve">A further fixed term tenancy could be granted, following a review by the local authority to determine whether the tenant still needed the housing.  </w:t>
      </w:r>
      <w:r w:rsidRPr="002239BF">
        <w:rPr>
          <w:rFonts w:ascii="Times New Roman" w:hAnsi="Times New Roman" w:cs="Times New Roman"/>
          <w:sz w:val="24"/>
          <w:szCs w:val="24"/>
        </w:rPr>
        <w:t xml:space="preserve">This practice is in stark contrast to the </w:t>
      </w:r>
      <w:r w:rsidR="00C528A2" w:rsidRPr="002239BF">
        <w:rPr>
          <w:rFonts w:ascii="Times New Roman" w:hAnsi="Times New Roman" w:cs="Times New Roman"/>
          <w:sz w:val="24"/>
          <w:szCs w:val="24"/>
        </w:rPr>
        <w:t>current</w:t>
      </w:r>
      <w:r w:rsidRPr="002239BF">
        <w:rPr>
          <w:rFonts w:ascii="Times New Roman" w:hAnsi="Times New Roman" w:cs="Times New Roman"/>
          <w:sz w:val="24"/>
          <w:szCs w:val="24"/>
        </w:rPr>
        <w:t xml:space="preserve"> legal regime in which tenants </w:t>
      </w:r>
      <w:r w:rsidR="00C528A2" w:rsidRPr="002239BF">
        <w:rPr>
          <w:rFonts w:ascii="Times New Roman" w:hAnsi="Times New Roman" w:cs="Times New Roman"/>
          <w:sz w:val="24"/>
          <w:szCs w:val="24"/>
        </w:rPr>
        <w:t>are</w:t>
      </w:r>
      <w:r w:rsidRPr="002239BF">
        <w:rPr>
          <w:rFonts w:ascii="Times New Roman" w:hAnsi="Times New Roman" w:cs="Times New Roman"/>
          <w:sz w:val="24"/>
          <w:szCs w:val="24"/>
        </w:rPr>
        <w:t xml:space="preserve"> granted periodic tenancies which can last a lifetime, provided that the ten</w:t>
      </w:r>
      <w:r w:rsidR="008F3DF1" w:rsidRPr="002239BF">
        <w:rPr>
          <w:rFonts w:ascii="Times New Roman" w:hAnsi="Times New Roman" w:cs="Times New Roman"/>
          <w:sz w:val="24"/>
          <w:szCs w:val="24"/>
        </w:rPr>
        <w:t>ant</w:t>
      </w:r>
      <w:r w:rsidR="002D1184" w:rsidRPr="002239BF">
        <w:rPr>
          <w:rFonts w:ascii="Times New Roman" w:hAnsi="Times New Roman" w:cs="Times New Roman"/>
          <w:sz w:val="24"/>
          <w:szCs w:val="24"/>
        </w:rPr>
        <w:t>, their household and visitors, abide</w:t>
      </w:r>
      <w:r w:rsidR="008F3DF1" w:rsidRPr="002239BF">
        <w:rPr>
          <w:rFonts w:ascii="Times New Roman" w:hAnsi="Times New Roman" w:cs="Times New Roman"/>
          <w:sz w:val="24"/>
          <w:szCs w:val="24"/>
        </w:rPr>
        <w:t xml:space="preserve"> by the tenancy terms.</w:t>
      </w:r>
      <w:r w:rsidR="0066783E" w:rsidRPr="002239BF">
        <w:rPr>
          <w:rStyle w:val="FootnoteReference"/>
          <w:rFonts w:ascii="Times New Roman" w:hAnsi="Times New Roman" w:cs="Times New Roman"/>
          <w:sz w:val="24"/>
          <w:szCs w:val="24"/>
        </w:rPr>
        <w:footnoteReference w:id="75"/>
      </w:r>
      <w:r w:rsidR="008F3DF1" w:rsidRPr="002239BF">
        <w:rPr>
          <w:rFonts w:ascii="Times New Roman" w:hAnsi="Times New Roman" w:cs="Times New Roman"/>
          <w:sz w:val="24"/>
          <w:szCs w:val="24"/>
        </w:rPr>
        <w:t xml:space="preserve">  </w:t>
      </w:r>
      <w:r w:rsidR="00015E53" w:rsidRPr="002239BF">
        <w:rPr>
          <w:rFonts w:ascii="Times New Roman" w:hAnsi="Times New Roman" w:cs="Times New Roman"/>
          <w:sz w:val="24"/>
          <w:szCs w:val="24"/>
        </w:rPr>
        <w:t xml:space="preserve">For these secure tenancies, </w:t>
      </w:r>
      <w:r w:rsidRPr="002239BF">
        <w:rPr>
          <w:rFonts w:ascii="Times New Roman" w:hAnsi="Times New Roman" w:cs="Times New Roman"/>
          <w:sz w:val="24"/>
          <w:szCs w:val="24"/>
        </w:rPr>
        <w:t>there is no power to</w:t>
      </w:r>
      <w:r w:rsidR="00C528A2" w:rsidRPr="002239BF">
        <w:rPr>
          <w:rFonts w:ascii="Times New Roman" w:hAnsi="Times New Roman" w:cs="Times New Roman"/>
          <w:sz w:val="24"/>
          <w:szCs w:val="24"/>
        </w:rPr>
        <w:t xml:space="preserve"> end the tenancy because </w:t>
      </w:r>
      <w:r w:rsidR="002D1184" w:rsidRPr="002239BF">
        <w:rPr>
          <w:rFonts w:ascii="Times New Roman" w:hAnsi="Times New Roman" w:cs="Times New Roman"/>
          <w:sz w:val="24"/>
          <w:szCs w:val="24"/>
        </w:rPr>
        <w:t>the tenant’s</w:t>
      </w:r>
      <w:r w:rsidRPr="002239BF">
        <w:rPr>
          <w:rFonts w:ascii="Times New Roman" w:hAnsi="Times New Roman" w:cs="Times New Roman"/>
          <w:sz w:val="24"/>
          <w:szCs w:val="24"/>
        </w:rPr>
        <w:t xml:space="preserve"> circumstances have improved</w:t>
      </w:r>
      <w:r w:rsidR="00C528A2" w:rsidRPr="002239BF">
        <w:rPr>
          <w:rFonts w:ascii="Times New Roman" w:hAnsi="Times New Roman" w:cs="Times New Roman"/>
          <w:sz w:val="24"/>
          <w:szCs w:val="24"/>
        </w:rPr>
        <w:t xml:space="preserve">; for example, </w:t>
      </w:r>
      <w:r w:rsidRPr="002239BF">
        <w:rPr>
          <w:rFonts w:ascii="Times New Roman" w:hAnsi="Times New Roman" w:cs="Times New Roman"/>
          <w:sz w:val="24"/>
          <w:szCs w:val="24"/>
        </w:rPr>
        <w:t>their income has increased</w:t>
      </w:r>
      <w:r w:rsidR="00C528A2" w:rsidRPr="002239BF">
        <w:rPr>
          <w:rFonts w:ascii="Times New Roman" w:hAnsi="Times New Roman" w:cs="Times New Roman"/>
          <w:sz w:val="24"/>
          <w:szCs w:val="24"/>
        </w:rPr>
        <w:t>.</w:t>
      </w:r>
    </w:p>
    <w:p w14:paraId="309E7135" w14:textId="77777777" w:rsidR="00297060" w:rsidRPr="002239BF" w:rsidRDefault="00297060" w:rsidP="00733DF3">
      <w:pPr>
        <w:spacing w:line="480" w:lineRule="auto"/>
        <w:rPr>
          <w:rFonts w:ascii="Times New Roman" w:hAnsi="Times New Roman" w:cs="Times New Roman"/>
          <w:sz w:val="24"/>
          <w:szCs w:val="24"/>
        </w:rPr>
      </w:pPr>
    </w:p>
    <w:p w14:paraId="6E258C9D" w14:textId="678221E9" w:rsidR="004332EF" w:rsidRPr="002239BF" w:rsidRDefault="00663F7A"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Fixed-term tenancies</w:t>
      </w:r>
      <w:r w:rsidR="00503833" w:rsidRPr="002239BF">
        <w:rPr>
          <w:rFonts w:ascii="Times New Roman" w:hAnsi="Times New Roman" w:cs="Times New Roman"/>
          <w:sz w:val="24"/>
          <w:szCs w:val="24"/>
        </w:rPr>
        <w:t>, then called flexible tenancies,</w:t>
      </w:r>
      <w:r w:rsidRPr="002239BF">
        <w:rPr>
          <w:rFonts w:ascii="Times New Roman" w:hAnsi="Times New Roman" w:cs="Times New Roman"/>
          <w:sz w:val="24"/>
          <w:szCs w:val="24"/>
        </w:rPr>
        <w:t xml:space="preserve"> were created </w:t>
      </w:r>
      <w:r w:rsidR="005A5E63" w:rsidRPr="002239BF">
        <w:rPr>
          <w:rFonts w:ascii="Times New Roman" w:hAnsi="Times New Roman" w:cs="Times New Roman"/>
          <w:sz w:val="24"/>
          <w:szCs w:val="24"/>
        </w:rPr>
        <w:t xml:space="preserve">by </w:t>
      </w:r>
      <w:r w:rsidRPr="002239BF">
        <w:rPr>
          <w:rFonts w:ascii="Times New Roman" w:hAnsi="Times New Roman" w:cs="Times New Roman"/>
          <w:sz w:val="24"/>
          <w:szCs w:val="24"/>
        </w:rPr>
        <w:t xml:space="preserve">the Coalition’s Localism Act 2011 but, in keeping with </w:t>
      </w:r>
      <w:r w:rsidR="00C401BF" w:rsidRPr="002239BF">
        <w:rPr>
          <w:rFonts w:ascii="Times New Roman" w:hAnsi="Times New Roman" w:cs="Times New Roman"/>
          <w:sz w:val="24"/>
          <w:szCs w:val="24"/>
        </w:rPr>
        <w:t xml:space="preserve">the ethos of that Act, </w:t>
      </w:r>
      <w:r w:rsidRPr="002239BF">
        <w:rPr>
          <w:rFonts w:ascii="Times New Roman" w:hAnsi="Times New Roman" w:cs="Times New Roman"/>
          <w:sz w:val="24"/>
          <w:szCs w:val="24"/>
        </w:rPr>
        <w:t xml:space="preserve">local authority </w:t>
      </w:r>
      <w:r w:rsidR="002D1184" w:rsidRPr="002239BF">
        <w:rPr>
          <w:rFonts w:ascii="Times New Roman" w:hAnsi="Times New Roman" w:cs="Times New Roman"/>
          <w:sz w:val="24"/>
          <w:szCs w:val="24"/>
        </w:rPr>
        <w:t xml:space="preserve">and housing association </w:t>
      </w:r>
      <w:r w:rsidRPr="002239BF">
        <w:rPr>
          <w:rFonts w:ascii="Times New Roman" w:hAnsi="Times New Roman" w:cs="Times New Roman"/>
          <w:sz w:val="24"/>
          <w:szCs w:val="24"/>
        </w:rPr>
        <w:t>landlords were given the discretion whether to use them.</w:t>
      </w:r>
      <w:r w:rsidR="002D1184" w:rsidRPr="002239BF">
        <w:rPr>
          <w:rStyle w:val="FootnoteReference"/>
          <w:rFonts w:ascii="Times New Roman" w:hAnsi="Times New Roman" w:cs="Times New Roman"/>
          <w:sz w:val="24"/>
          <w:szCs w:val="24"/>
        </w:rPr>
        <w:footnoteReference w:id="76"/>
      </w:r>
      <w:r w:rsidRPr="002239BF">
        <w:rPr>
          <w:rFonts w:ascii="Times New Roman" w:hAnsi="Times New Roman" w:cs="Times New Roman"/>
          <w:sz w:val="24"/>
          <w:szCs w:val="24"/>
        </w:rPr>
        <w:t xml:space="preserve">  The evidence is that few local authorities chose to </w:t>
      </w:r>
      <w:r w:rsidR="00596A13" w:rsidRPr="002239BF">
        <w:rPr>
          <w:rFonts w:ascii="Times New Roman" w:hAnsi="Times New Roman" w:cs="Times New Roman"/>
          <w:sz w:val="24"/>
          <w:szCs w:val="24"/>
        </w:rPr>
        <w:t>do so</w:t>
      </w:r>
      <w:r w:rsidRPr="002239BF">
        <w:rPr>
          <w:rFonts w:ascii="Times New Roman" w:hAnsi="Times New Roman" w:cs="Times New Roman"/>
          <w:sz w:val="24"/>
          <w:szCs w:val="24"/>
        </w:rPr>
        <w:t>. According to official figures, only 13 per cent of tenancies granted in 2014-</w:t>
      </w:r>
      <w:r w:rsidR="005A5E63" w:rsidRPr="002239BF">
        <w:rPr>
          <w:rFonts w:ascii="Times New Roman" w:hAnsi="Times New Roman" w:cs="Times New Roman"/>
          <w:sz w:val="24"/>
          <w:szCs w:val="24"/>
        </w:rPr>
        <w:t>20</w:t>
      </w:r>
      <w:r w:rsidRPr="002239BF">
        <w:rPr>
          <w:rFonts w:ascii="Times New Roman" w:hAnsi="Times New Roman" w:cs="Times New Roman"/>
          <w:sz w:val="24"/>
          <w:szCs w:val="24"/>
        </w:rPr>
        <w:t xml:space="preserve">15 were fixed term, up from just 9 per cent in the previous year. </w:t>
      </w:r>
      <w:r w:rsidR="009F4835" w:rsidRPr="002239BF">
        <w:rPr>
          <w:rFonts w:ascii="Times New Roman" w:hAnsi="Times New Roman" w:cs="Times New Roman"/>
          <w:sz w:val="24"/>
          <w:szCs w:val="24"/>
        </w:rPr>
        <w:t>In a news release on the introduction of flexible tenancies, the</w:t>
      </w:r>
      <w:r w:rsidR="005F13AE" w:rsidRPr="002239BF">
        <w:rPr>
          <w:rFonts w:ascii="Times New Roman" w:hAnsi="Times New Roman" w:cs="Times New Roman"/>
          <w:sz w:val="24"/>
          <w:szCs w:val="24"/>
        </w:rPr>
        <w:t xml:space="preserve"> then Housing Minister, Grant S</w:t>
      </w:r>
      <w:r w:rsidR="009F4835" w:rsidRPr="002239BF">
        <w:rPr>
          <w:rFonts w:ascii="Times New Roman" w:hAnsi="Times New Roman" w:cs="Times New Roman"/>
          <w:sz w:val="24"/>
          <w:szCs w:val="24"/>
        </w:rPr>
        <w:t xml:space="preserve">happs, said that the purpose of flexible tenancies was to give new tenants </w:t>
      </w:r>
      <w:r w:rsidR="00596A13" w:rsidRPr="002239BF">
        <w:rPr>
          <w:rFonts w:ascii="Times New Roman" w:hAnsi="Times New Roman" w:cs="Times New Roman"/>
          <w:sz w:val="24"/>
          <w:szCs w:val="24"/>
        </w:rPr>
        <w:t>‘</w:t>
      </w:r>
      <w:r w:rsidR="009F4835" w:rsidRPr="002239BF">
        <w:rPr>
          <w:rFonts w:ascii="Times New Roman" w:hAnsi="Times New Roman" w:cs="Times New Roman"/>
          <w:sz w:val="24"/>
          <w:szCs w:val="24"/>
        </w:rPr>
        <w:t>the helping hand they need for as long as they need it, rather than a single option of a home for life, ensuring more social homes are available to people who need them.</w:t>
      </w:r>
      <w:r w:rsidR="00596A13" w:rsidRPr="002239BF">
        <w:rPr>
          <w:rFonts w:ascii="Times New Roman" w:hAnsi="Times New Roman" w:cs="Times New Roman"/>
          <w:sz w:val="24"/>
          <w:szCs w:val="24"/>
        </w:rPr>
        <w:t>’</w:t>
      </w:r>
      <w:r w:rsidR="009F4835" w:rsidRPr="002239BF">
        <w:rPr>
          <w:rFonts w:ascii="Times New Roman" w:hAnsi="Times New Roman" w:cs="Times New Roman"/>
          <w:sz w:val="24"/>
          <w:szCs w:val="24"/>
        </w:rPr>
        <w:t xml:space="preserve">  He claimed that </w:t>
      </w:r>
      <w:r w:rsidR="00596A13" w:rsidRPr="002239BF">
        <w:rPr>
          <w:rFonts w:ascii="Times New Roman" w:hAnsi="Times New Roman" w:cs="Times New Roman"/>
          <w:sz w:val="24"/>
          <w:szCs w:val="24"/>
        </w:rPr>
        <w:t>‘</w:t>
      </w:r>
      <w:r w:rsidR="009F4835" w:rsidRPr="002239BF">
        <w:rPr>
          <w:rFonts w:ascii="Times New Roman" w:hAnsi="Times New Roman" w:cs="Times New Roman"/>
          <w:sz w:val="24"/>
          <w:szCs w:val="24"/>
        </w:rPr>
        <w:t>for too long social housing has been seen by many as a second-class option, and these changes would restore its original purpose - to provide a flexible alternative to help tenants achieve their aspirations.</w:t>
      </w:r>
      <w:r w:rsidR="00596A13" w:rsidRPr="002239BF">
        <w:rPr>
          <w:rFonts w:ascii="Times New Roman" w:hAnsi="Times New Roman" w:cs="Times New Roman"/>
          <w:sz w:val="24"/>
          <w:szCs w:val="24"/>
        </w:rPr>
        <w:t>’</w:t>
      </w:r>
      <w:r w:rsidR="009F4835" w:rsidRPr="002239BF">
        <w:rPr>
          <w:rStyle w:val="FootnoteReference"/>
          <w:rFonts w:ascii="Times New Roman" w:hAnsi="Times New Roman" w:cs="Times New Roman"/>
          <w:sz w:val="24"/>
          <w:szCs w:val="24"/>
        </w:rPr>
        <w:footnoteReference w:id="77"/>
      </w:r>
      <w:r w:rsidR="00901ABB" w:rsidRPr="002239BF">
        <w:rPr>
          <w:rFonts w:ascii="Times New Roman" w:hAnsi="Times New Roman" w:cs="Times New Roman"/>
          <w:sz w:val="24"/>
          <w:szCs w:val="24"/>
        </w:rPr>
        <w:t xml:space="preserve">  </w:t>
      </w:r>
    </w:p>
    <w:p w14:paraId="065BC575" w14:textId="77777777" w:rsidR="00297060" w:rsidRPr="002239BF" w:rsidRDefault="00297060" w:rsidP="00733DF3">
      <w:pPr>
        <w:spacing w:line="480" w:lineRule="auto"/>
        <w:rPr>
          <w:rFonts w:ascii="Times New Roman" w:hAnsi="Times New Roman" w:cs="Times New Roman"/>
          <w:sz w:val="24"/>
          <w:szCs w:val="24"/>
        </w:rPr>
      </w:pPr>
    </w:p>
    <w:p w14:paraId="31906603" w14:textId="0AA08233" w:rsidR="004332EF" w:rsidRPr="002239BF" w:rsidRDefault="00901ABB"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idea of more flexibility in social housing h</w:t>
      </w:r>
      <w:r w:rsidR="002F4688" w:rsidRPr="002239BF">
        <w:rPr>
          <w:rFonts w:ascii="Times New Roman" w:hAnsi="Times New Roman" w:cs="Times New Roman"/>
          <w:sz w:val="24"/>
          <w:szCs w:val="24"/>
        </w:rPr>
        <w:t>ad been advocated by Professor John Hills in his report into social housing.</w:t>
      </w:r>
      <w:r w:rsidR="002F4688" w:rsidRPr="002239BF">
        <w:rPr>
          <w:rStyle w:val="FootnoteReference"/>
          <w:rFonts w:ascii="Times New Roman" w:hAnsi="Times New Roman" w:cs="Times New Roman"/>
          <w:sz w:val="24"/>
          <w:szCs w:val="24"/>
        </w:rPr>
        <w:footnoteReference w:id="78"/>
      </w:r>
      <w:r w:rsidR="002F4688" w:rsidRPr="002239BF">
        <w:rPr>
          <w:rFonts w:ascii="Times New Roman" w:hAnsi="Times New Roman" w:cs="Times New Roman"/>
          <w:sz w:val="24"/>
          <w:szCs w:val="24"/>
        </w:rPr>
        <w:t xml:space="preserve">  A key recommendation was the need for a more </w:t>
      </w:r>
      <w:r w:rsidR="00596A13" w:rsidRPr="002239BF">
        <w:rPr>
          <w:rFonts w:ascii="Times New Roman" w:hAnsi="Times New Roman" w:cs="Times New Roman"/>
          <w:sz w:val="24"/>
          <w:szCs w:val="24"/>
        </w:rPr>
        <w:t>‘</w:t>
      </w:r>
      <w:r w:rsidR="002F4688" w:rsidRPr="002239BF">
        <w:rPr>
          <w:rFonts w:ascii="Times New Roman" w:hAnsi="Times New Roman" w:cs="Times New Roman"/>
          <w:sz w:val="24"/>
          <w:szCs w:val="24"/>
        </w:rPr>
        <w:t>varied menu</w:t>
      </w:r>
      <w:r w:rsidR="00596A13" w:rsidRPr="002239BF">
        <w:rPr>
          <w:rFonts w:ascii="Times New Roman" w:hAnsi="Times New Roman" w:cs="Times New Roman"/>
          <w:sz w:val="24"/>
          <w:szCs w:val="24"/>
        </w:rPr>
        <w:t>’</w:t>
      </w:r>
      <w:r w:rsidR="002F4688" w:rsidRPr="002239BF">
        <w:rPr>
          <w:rFonts w:ascii="Times New Roman" w:hAnsi="Times New Roman" w:cs="Times New Roman"/>
          <w:sz w:val="24"/>
          <w:szCs w:val="24"/>
        </w:rPr>
        <w:t xml:space="preserve"> of housing choices.</w:t>
      </w:r>
      <w:r w:rsidR="002F4688" w:rsidRPr="002239BF">
        <w:rPr>
          <w:rFonts w:ascii="Times New Roman" w:hAnsi="Times New Roman" w:cs="Times New Roman"/>
          <w:sz w:val="24"/>
          <w:szCs w:val="24"/>
          <w:vertAlign w:val="superscript"/>
        </w:rPr>
        <w:footnoteReference w:id="79"/>
      </w:r>
      <w:r w:rsidR="004332EF" w:rsidRPr="002239BF">
        <w:rPr>
          <w:rFonts w:ascii="Times New Roman" w:hAnsi="Times New Roman" w:cs="Times New Roman"/>
          <w:sz w:val="24"/>
          <w:szCs w:val="24"/>
        </w:rPr>
        <w:t xml:space="preserve">  He argued</w:t>
      </w:r>
      <w:r w:rsidR="002F4688" w:rsidRPr="002239BF">
        <w:rPr>
          <w:rFonts w:ascii="Times New Roman" w:hAnsi="Times New Roman" w:cs="Times New Roman"/>
          <w:sz w:val="24"/>
          <w:szCs w:val="24"/>
        </w:rPr>
        <w:t xml:space="preserve"> that households need different things from social housing; some need long-term security of tenure, while for others short-term provision may be more appropriate.  In yet other cases, low cost homeownership may be the best solution.  In other words, his principal message is that one size do</w:t>
      </w:r>
      <w:r w:rsidR="004332EF" w:rsidRPr="002239BF">
        <w:rPr>
          <w:rFonts w:ascii="Times New Roman" w:hAnsi="Times New Roman" w:cs="Times New Roman"/>
          <w:sz w:val="24"/>
          <w:szCs w:val="24"/>
        </w:rPr>
        <w:t>es not fit all and he emphasised</w:t>
      </w:r>
      <w:r w:rsidR="002F4688" w:rsidRPr="002239BF">
        <w:rPr>
          <w:rFonts w:ascii="Times New Roman" w:hAnsi="Times New Roman" w:cs="Times New Roman"/>
          <w:sz w:val="24"/>
          <w:szCs w:val="24"/>
        </w:rPr>
        <w:t xml:space="preserve"> greater choice and more variety as the key requirements for</w:t>
      </w:r>
      <w:r w:rsidR="00993EA2" w:rsidRPr="002239BF">
        <w:rPr>
          <w:rFonts w:ascii="Times New Roman" w:hAnsi="Times New Roman" w:cs="Times New Roman"/>
          <w:sz w:val="24"/>
          <w:szCs w:val="24"/>
        </w:rPr>
        <w:t xml:space="preserve"> the future of social housing.  </w:t>
      </w:r>
    </w:p>
    <w:p w14:paraId="4AAFA509" w14:textId="77777777" w:rsidR="00297060" w:rsidRPr="002239BF" w:rsidRDefault="00297060" w:rsidP="00733DF3">
      <w:pPr>
        <w:spacing w:line="480" w:lineRule="auto"/>
        <w:rPr>
          <w:rFonts w:ascii="Times New Roman" w:hAnsi="Times New Roman" w:cs="Times New Roman"/>
          <w:sz w:val="24"/>
          <w:szCs w:val="24"/>
        </w:rPr>
      </w:pPr>
    </w:p>
    <w:p w14:paraId="0BA6480D" w14:textId="4ACD9316" w:rsidR="00993EA2" w:rsidRPr="002239BF" w:rsidRDefault="00704A1B"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As mentioned, t</w:t>
      </w:r>
      <w:r w:rsidR="00993EA2" w:rsidRPr="002239BF">
        <w:rPr>
          <w:rFonts w:ascii="Times New Roman" w:hAnsi="Times New Roman" w:cs="Times New Roman"/>
          <w:sz w:val="24"/>
          <w:szCs w:val="24"/>
        </w:rPr>
        <w:t xml:space="preserve">he government’s rationale for flexible tenancies was expressed in terms of tenants’ needs and explicitly </w:t>
      </w:r>
      <w:r w:rsidR="00045C94" w:rsidRPr="002239BF">
        <w:rPr>
          <w:rFonts w:ascii="Times New Roman" w:hAnsi="Times New Roman" w:cs="Times New Roman"/>
          <w:sz w:val="24"/>
          <w:szCs w:val="24"/>
        </w:rPr>
        <w:t xml:space="preserve">claims that such tenancies would help </w:t>
      </w:r>
      <w:r w:rsidR="00993EA2" w:rsidRPr="002239BF">
        <w:rPr>
          <w:rFonts w:ascii="Times New Roman" w:hAnsi="Times New Roman" w:cs="Times New Roman"/>
          <w:sz w:val="24"/>
          <w:szCs w:val="24"/>
        </w:rPr>
        <w:t xml:space="preserve">them to achieve their aspirations.  However, it should be observed that the flexibility is one-sided:  it has been the local authority’s decision whether to use fixed-term tenancies and tenants have </w:t>
      </w:r>
      <w:r w:rsidR="00045C94" w:rsidRPr="002239BF">
        <w:rPr>
          <w:rFonts w:ascii="Times New Roman" w:hAnsi="Times New Roman" w:cs="Times New Roman"/>
          <w:sz w:val="24"/>
          <w:szCs w:val="24"/>
        </w:rPr>
        <w:t xml:space="preserve">had </w:t>
      </w:r>
      <w:r w:rsidR="00993EA2" w:rsidRPr="002239BF">
        <w:rPr>
          <w:rFonts w:ascii="Times New Roman" w:hAnsi="Times New Roman" w:cs="Times New Roman"/>
          <w:sz w:val="24"/>
          <w:szCs w:val="24"/>
        </w:rPr>
        <w:t>no recourse against this decision, other than to seek a review of the length of the tenancy.</w:t>
      </w:r>
      <w:r w:rsidR="00045C94" w:rsidRPr="002239BF">
        <w:rPr>
          <w:rStyle w:val="FootnoteReference"/>
          <w:rFonts w:ascii="Times New Roman" w:hAnsi="Times New Roman" w:cs="Times New Roman"/>
          <w:sz w:val="24"/>
          <w:szCs w:val="24"/>
        </w:rPr>
        <w:footnoteReference w:id="80"/>
      </w:r>
      <w:r w:rsidR="00045C94" w:rsidRPr="002239BF">
        <w:rPr>
          <w:rFonts w:ascii="Times New Roman" w:hAnsi="Times New Roman" w:cs="Times New Roman"/>
          <w:sz w:val="24"/>
          <w:szCs w:val="24"/>
        </w:rPr>
        <w:t xml:space="preserve">  The ‘aspiration’ to which Shapps referred is, presumably, to become an owner</w:t>
      </w:r>
      <w:r w:rsidR="005A5E63" w:rsidRPr="002239BF">
        <w:rPr>
          <w:rFonts w:ascii="Times New Roman" w:hAnsi="Times New Roman" w:cs="Times New Roman"/>
          <w:sz w:val="24"/>
          <w:szCs w:val="24"/>
        </w:rPr>
        <w:t xml:space="preserve"> </w:t>
      </w:r>
      <w:r w:rsidR="00045C94" w:rsidRPr="002239BF">
        <w:rPr>
          <w:rFonts w:ascii="Times New Roman" w:hAnsi="Times New Roman" w:cs="Times New Roman"/>
          <w:sz w:val="24"/>
          <w:szCs w:val="24"/>
        </w:rPr>
        <w:t>occupier.  The more plausible justification for fixed-term tenancies is to give local authorities greater flexibility in managing their – usually limited – housing stock.  Indeed, this is the rationale most frequently cited for their use, according to research conducted by the Chartered Institute of Housing.</w:t>
      </w:r>
      <w:r w:rsidR="00045C94" w:rsidRPr="002239BF">
        <w:rPr>
          <w:rStyle w:val="FootnoteReference"/>
          <w:rFonts w:ascii="Times New Roman" w:hAnsi="Times New Roman" w:cs="Times New Roman"/>
          <w:sz w:val="24"/>
          <w:szCs w:val="24"/>
        </w:rPr>
        <w:footnoteReference w:id="81"/>
      </w:r>
      <w:r w:rsidR="002A5C85" w:rsidRPr="002239BF">
        <w:rPr>
          <w:rFonts w:ascii="Times New Roman" w:hAnsi="Times New Roman" w:cs="Times New Roman"/>
          <w:sz w:val="24"/>
          <w:szCs w:val="24"/>
        </w:rPr>
        <w:t xml:space="preserve"> </w:t>
      </w:r>
    </w:p>
    <w:p w14:paraId="4B909659" w14:textId="77777777" w:rsidR="00297060" w:rsidRPr="002239BF" w:rsidRDefault="00297060" w:rsidP="00733DF3">
      <w:pPr>
        <w:spacing w:line="480" w:lineRule="auto"/>
        <w:rPr>
          <w:rFonts w:ascii="Times New Roman" w:hAnsi="Times New Roman" w:cs="Times New Roman"/>
          <w:sz w:val="24"/>
          <w:szCs w:val="24"/>
        </w:rPr>
      </w:pPr>
    </w:p>
    <w:p w14:paraId="0526CEBA" w14:textId="363EEB0F" w:rsidR="004332EF" w:rsidRPr="002239BF" w:rsidRDefault="0004732E"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Introducing the clauses</w:t>
      </w:r>
      <w:r w:rsidR="004332EF" w:rsidRPr="002239BF">
        <w:rPr>
          <w:rFonts w:ascii="Times New Roman" w:hAnsi="Times New Roman" w:cs="Times New Roman"/>
          <w:sz w:val="24"/>
          <w:szCs w:val="24"/>
        </w:rPr>
        <w:t xml:space="preserve"> for mandatory fixed-term tenancies into the Bill</w:t>
      </w:r>
      <w:r w:rsidRPr="002239BF">
        <w:rPr>
          <w:rFonts w:ascii="Times New Roman" w:hAnsi="Times New Roman" w:cs="Times New Roman"/>
          <w:sz w:val="24"/>
          <w:szCs w:val="24"/>
        </w:rPr>
        <w:t xml:space="preserve">, the Minister claimed that </w:t>
      </w:r>
    </w:p>
    <w:p w14:paraId="1F5557DC" w14:textId="77777777" w:rsidR="00297060" w:rsidRPr="002239BF" w:rsidRDefault="00297060" w:rsidP="00733DF3">
      <w:pPr>
        <w:spacing w:line="480" w:lineRule="auto"/>
        <w:rPr>
          <w:rFonts w:ascii="Times New Roman" w:hAnsi="Times New Roman" w:cs="Times New Roman"/>
          <w:sz w:val="24"/>
          <w:szCs w:val="24"/>
        </w:rPr>
      </w:pPr>
    </w:p>
    <w:p w14:paraId="3CD56B4B" w14:textId="1C9567E3" w:rsidR="004332EF" w:rsidRPr="002239BF" w:rsidRDefault="0004732E" w:rsidP="00733DF3">
      <w:pPr>
        <w:spacing w:line="480" w:lineRule="auto"/>
        <w:ind w:left="720"/>
        <w:rPr>
          <w:rFonts w:ascii="Times New Roman" w:hAnsi="Times New Roman" w:cs="Times New Roman"/>
          <w:sz w:val="24"/>
          <w:szCs w:val="24"/>
        </w:rPr>
      </w:pPr>
      <w:r w:rsidRPr="002239BF">
        <w:rPr>
          <w:rFonts w:ascii="Times New Roman" w:hAnsi="Times New Roman" w:cs="Times New Roman"/>
          <w:sz w:val="24"/>
          <w:szCs w:val="24"/>
        </w:rPr>
        <w:t xml:space="preserve">The new clauses will significantly improve landlords’ ability to get the best use out of social housing by focusing it on those who need it most for as long as they need it. That will ensure that people who need long-term support are provided with more appropriate tenancies as their needs change over time and will support households to make the transition into home ownership where they can. In future, </w:t>
      </w:r>
      <w:r w:rsidR="00704A1B" w:rsidRPr="002239BF">
        <w:rPr>
          <w:rFonts w:ascii="Times New Roman" w:hAnsi="Times New Roman" w:cs="Times New Roman"/>
          <w:sz w:val="24"/>
          <w:szCs w:val="24"/>
        </w:rPr>
        <w:t>…</w:t>
      </w:r>
      <w:r w:rsidRPr="002239BF">
        <w:rPr>
          <w:rFonts w:ascii="Times New Roman" w:hAnsi="Times New Roman" w:cs="Times New Roman"/>
          <w:sz w:val="24"/>
          <w:szCs w:val="24"/>
        </w:rPr>
        <w:t xml:space="preserve"> local authority landlords </w:t>
      </w:r>
      <w:r w:rsidR="00704A1B" w:rsidRPr="002239BF">
        <w:rPr>
          <w:rFonts w:ascii="Times New Roman" w:hAnsi="Times New Roman" w:cs="Times New Roman"/>
          <w:sz w:val="24"/>
          <w:szCs w:val="24"/>
        </w:rPr>
        <w:t>…</w:t>
      </w:r>
      <w:r w:rsidRPr="002239BF">
        <w:rPr>
          <w:rFonts w:ascii="Times New Roman" w:hAnsi="Times New Roman" w:cs="Times New Roman"/>
          <w:sz w:val="24"/>
          <w:szCs w:val="24"/>
        </w:rPr>
        <w:t xml:space="preserve"> will be required to use tenancy review points to support tenants’ move towards home ownership where appropriate.</w:t>
      </w:r>
      <w:r w:rsidRPr="002239BF">
        <w:rPr>
          <w:rStyle w:val="FootnoteReference"/>
          <w:rFonts w:ascii="Times New Roman" w:hAnsi="Times New Roman" w:cs="Times New Roman"/>
          <w:sz w:val="24"/>
          <w:szCs w:val="24"/>
        </w:rPr>
        <w:footnoteReference w:id="82"/>
      </w:r>
      <w:r w:rsidRPr="002239BF">
        <w:rPr>
          <w:rFonts w:ascii="Times New Roman" w:hAnsi="Times New Roman" w:cs="Times New Roman"/>
          <w:sz w:val="24"/>
          <w:szCs w:val="24"/>
        </w:rPr>
        <w:t xml:space="preserve">  </w:t>
      </w:r>
    </w:p>
    <w:p w14:paraId="2ABF3F57" w14:textId="77777777" w:rsidR="00297060" w:rsidRPr="002239BF" w:rsidRDefault="00297060" w:rsidP="00733DF3">
      <w:pPr>
        <w:spacing w:line="480" w:lineRule="auto"/>
        <w:ind w:left="720"/>
        <w:rPr>
          <w:rFonts w:ascii="Times New Roman" w:hAnsi="Times New Roman" w:cs="Times New Roman"/>
          <w:sz w:val="24"/>
          <w:szCs w:val="24"/>
        </w:rPr>
      </w:pPr>
    </w:p>
    <w:p w14:paraId="6281FF26" w14:textId="562C6287" w:rsidR="0004732E" w:rsidRPr="002239BF" w:rsidRDefault="0004732E"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It is notable that in one short passage the Minister refers </w:t>
      </w:r>
      <w:r w:rsidR="00704A1B" w:rsidRPr="002239BF">
        <w:rPr>
          <w:rFonts w:ascii="Times New Roman" w:hAnsi="Times New Roman" w:cs="Times New Roman"/>
          <w:sz w:val="24"/>
          <w:szCs w:val="24"/>
        </w:rPr>
        <w:t xml:space="preserve">twice </w:t>
      </w:r>
      <w:r w:rsidRPr="002239BF">
        <w:rPr>
          <w:rFonts w:ascii="Times New Roman" w:hAnsi="Times New Roman" w:cs="Times New Roman"/>
          <w:sz w:val="24"/>
          <w:szCs w:val="24"/>
        </w:rPr>
        <w:t xml:space="preserve">to social tenants making the transition into homeownership, clearly reflecting the government’s policy </w:t>
      </w:r>
      <w:r w:rsidR="00704A1B" w:rsidRPr="002239BF">
        <w:rPr>
          <w:rFonts w:ascii="Times New Roman" w:hAnsi="Times New Roman" w:cs="Times New Roman"/>
          <w:sz w:val="24"/>
          <w:szCs w:val="24"/>
        </w:rPr>
        <w:t>to move</w:t>
      </w:r>
      <w:r w:rsidRPr="002239BF">
        <w:rPr>
          <w:rFonts w:ascii="Times New Roman" w:hAnsi="Times New Roman" w:cs="Times New Roman"/>
          <w:sz w:val="24"/>
          <w:szCs w:val="24"/>
        </w:rPr>
        <w:t xml:space="preserve"> even low income households into </w:t>
      </w:r>
      <w:r w:rsidR="00704A1B" w:rsidRPr="002239BF">
        <w:rPr>
          <w:rFonts w:ascii="Times New Roman" w:hAnsi="Times New Roman" w:cs="Times New Roman"/>
          <w:sz w:val="24"/>
          <w:szCs w:val="24"/>
        </w:rPr>
        <w:t>ownership</w:t>
      </w:r>
      <w:r w:rsidRPr="002239BF">
        <w:rPr>
          <w:rFonts w:ascii="Times New Roman" w:hAnsi="Times New Roman" w:cs="Times New Roman"/>
          <w:sz w:val="24"/>
          <w:szCs w:val="24"/>
        </w:rPr>
        <w:t>.  As w</w:t>
      </w:r>
      <w:r w:rsidR="00353FE3" w:rsidRPr="002239BF">
        <w:rPr>
          <w:rFonts w:ascii="Times New Roman" w:hAnsi="Times New Roman" w:cs="Times New Roman"/>
          <w:sz w:val="24"/>
          <w:szCs w:val="24"/>
        </w:rPr>
        <w:t xml:space="preserve">e have </w:t>
      </w:r>
      <w:r w:rsidR="00AA64F9" w:rsidRPr="002239BF">
        <w:rPr>
          <w:rFonts w:ascii="Times New Roman" w:hAnsi="Times New Roman" w:cs="Times New Roman"/>
          <w:sz w:val="24"/>
          <w:szCs w:val="24"/>
        </w:rPr>
        <w:t xml:space="preserve">already </w:t>
      </w:r>
      <w:r w:rsidR="000572ED" w:rsidRPr="002239BF">
        <w:rPr>
          <w:rFonts w:ascii="Times New Roman" w:hAnsi="Times New Roman" w:cs="Times New Roman"/>
          <w:sz w:val="24"/>
          <w:szCs w:val="24"/>
        </w:rPr>
        <w:t xml:space="preserve">outlined </w:t>
      </w:r>
      <w:r w:rsidR="00353FE3" w:rsidRPr="002239BF">
        <w:rPr>
          <w:rFonts w:ascii="Times New Roman" w:hAnsi="Times New Roman" w:cs="Times New Roman"/>
          <w:sz w:val="24"/>
          <w:szCs w:val="24"/>
        </w:rPr>
        <w:t xml:space="preserve">and will </w:t>
      </w:r>
      <w:r w:rsidR="00AA64F9" w:rsidRPr="002239BF">
        <w:rPr>
          <w:rFonts w:ascii="Times New Roman" w:hAnsi="Times New Roman" w:cs="Times New Roman"/>
          <w:sz w:val="24"/>
          <w:szCs w:val="24"/>
        </w:rPr>
        <w:t>discuss</w:t>
      </w:r>
      <w:r w:rsidRPr="002239BF">
        <w:rPr>
          <w:rFonts w:ascii="Times New Roman" w:hAnsi="Times New Roman" w:cs="Times New Roman"/>
          <w:sz w:val="24"/>
          <w:szCs w:val="24"/>
        </w:rPr>
        <w:t xml:space="preserve"> </w:t>
      </w:r>
      <w:r w:rsidR="00112D9F" w:rsidRPr="002239BF">
        <w:rPr>
          <w:rFonts w:ascii="Times New Roman" w:hAnsi="Times New Roman" w:cs="Times New Roman"/>
          <w:sz w:val="24"/>
          <w:szCs w:val="24"/>
        </w:rPr>
        <w:t xml:space="preserve">further below, </w:t>
      </w:r>
      <w:r w:rsidRPr="002239BF">
        <w:rPr>
          <w:rFonts w:ascii="Times New Roman" w:hAnsi="Times New Roman" w:cs="Times New Roman"/>
          <w:sz w:val="24"/>
          <w:szCs w:val="24"/>
        </w:rPr>
        <w:t>evidence has shown that for the majority of social tenants</w:t>
      </w:r>
      <w:r w:rsidR="002E554C" w:rsidRPr="002239BF">
        <w:rPr>
          <w:rFonts w:ascii="Times New Roman" w:hAnsi="Times New Roman" w:cs="Times New Roman"/>
          <w:sz w:val="24"/>
          <w:szCs w:val="24"/>
        </w:rPr>
        <w:t>,</w:t>
      </w:r>
      <w:r w:rsidRPr="002239BF">
        <w:rPr>
          <w:rFonts w:ascii="Times New Roman" w:hAnsi="Times New Roman" w:cs="Times New Roman"/>
          <w:sz w:val="24"/>
          <w:szCs w:val="24"/>
        </w:rPr>
        <w:t xml:space="preserve"> owner occupation, even via low-cost or shared ownership schemes, is beyond their means.  In reality, therefore, it is much more likely that tenants denied a renewal of their local authority tenancy will end up living in the privately rented sector, with at least part of their rent being paid by Housing Benefit.</w:t>
      </w:r>
    </w:p>
    <w:p w14:paraId="6073C74E" w14:textId="77777777" w:rsidR="00297060" w:rsidRPr="002239BF" w:rsidRDefault="00297060" w:rsidP="00733DF3">
      <w:pPr>
        <w:spacing w:line="480" w:lineRule="auto"/>
        <w:rPr>
          <w:rFonts w:ascii="Times New Roman" w:hAnsi="Times New Roman" w:cs="Times New Roman"/>
          <w:sz w:val="24"/>
          <w:szCs w:val="24"/>
        </w:rPr>
      </w:pPr>
    </w:p>
    <w:p w14:paraId="30264C04" w14:textId="1B83FC8F" w:rsidR="006B463C" w:rsidRPr="002239BF" w:rsidRDefault="00C80E2C"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As will be analysed in more detail below, t</w:t>
      </w:r>
      <w:r w:rsidR="00663F7A" w:rsidRPr="002239BF">
        <w:rPr>
          <w:rFonts w:ascii="Times New Roman" w:hAnsi="Times New Roman" w:cs="Times New Roman"/>
          <w:sz w:val="24"/>
          <w:szCs w:val="24"/>
        </w:rPr>
        <w:t xml:space="preserve">he </w:t>
      </w:r>
      <w:r w:rsidRPr="002239BF">
        <w:rPr>
          <w:rFonts w:ascii="Times New Roman" w:hAnsi="Times New Roman" w:cs="Times New Roman"/>
          <w:sz w:val="24"/>
          <w:szCs w:val="24"/>
        </w:rPr>
        <w:t>clauses</w:t>
      </w:r>
      <w:r w:rsidR="00663F7A" w:rsidRPr="002239BF">
        <w:rPr>
          <w:rFonts w:ascii="Times New Roman" w:hAnsi="Times New Roman" w:cs="Times New Roman"/>
          <w:sz w:val="24"/>
          <w:szCs w:val="24"/>
        </w:rPr>
        <w:t xml:space="preserve"> encountered significant opposition during the Bill’s passage through Parliament</w:t>
      </w:r>
      <w:r w:rsidR="007D7117" w:rsidRPr="002239BF">
        <w:rPr>
          <w:rFonts w:ascii="Times New Roman" w:hAnsi="Times New Roman" w:cs="Times New Roman"/>
          <w:sz w:val="24"/>
          <w:szCs w:val="24"/>
        </w:rPr>
        <w:t>.  There was criticism</w:t>
      </w:r>
      <w:r w:rsidR="00704A1B" w:rsidRPr="002239BF">
        <w:rPr>
          <w:rFonts w:ascii="Times New Roman" w:hAnsi="Times New Roman" w:cs="Times New Roman"/>
          <w:sz w:val="24"/>
          <w:szCs w:val="24"/>
        </w:rPr>
        <w:t xml:space="preserve"> </w:t>
      </w:r>
      <w:r w:rsidR="007D7117" w:rsidRPr="002239BF">
        <w:rPr>
          <w:rFonts w:ascii="Times New Roman" w:hAnsi="Times New Roman" w:cs="Times New Roman"/>
          <w:sz w:val="24"/>
          <w:szCs w:val="24"/>
        </w:rPr>
        <w:t xml:space="preserve">that, because they had been introduced at such a late stage, there had been no consultation and an impact assessment had not been carried out.  </w:t>
      </w:r>
      <w:r w:rsidR="00FB1A89" w:rsidRPr="002239BF">
        <w:rPr>
          <w:rFonts w:ascii="Times New Roman" w:hAnsi="Times New Roman" w:cs="Times New Roman"/>
          <w:sz w:val="24"/>
          <w:szCs w:val="24"/>
        </w:rPr>
        <w:t xml:space="preserve">Particularly with regard to the localism agenda, it is notable that there was no consultation with local authorities or tenants, or </w:t>
      </w:r>
      <w:r w:rsidR="00D1236E" w:rsidRPr="002239BF">
        <w:rPr>
          <w:rFonts w:ascii="Times New Roman" w:hAnsi="Times New Roman" w:cs="Times New Roman"/>
          <w:sz w:val="24"/>
          <w:szCs w:val="24"/>
        </w:rPr>
        <w:t>more widely</w:t>
      </w:r>
      <w:r w:rsidR="00826605" w:rsidRPr="002239BF">
        <w:rPr>
          <w:rFonts w:ascii="Times New Roman" w:hAnsi="Times New Roman" w:cs="Times New Roman"/>
          <w:sz w:val="24"/>
          <w:szCs w:val="24"/>
        </w:rPr>
        <w:t>,</w:t>
      </w:r>
      <w:r w:rsidR="00FB1A89" w:rsidRPr="002239BF">
        <w:rPr>
          <w:rFonts w:ascii="Times New Roman" w:hAnsi="Times New Roman" w:cs="Times New Roman"/>
          <w:sz w:val="24"/>
          <w:szCs w:val="24"/>
        </w:rPr>
        <w:t xml:space="preserve"> </w:t>
      </w:r>
      <w:r w:rsidR="00ED12FF" w:rsidRPr="002239BF">
        <w:rPr>
          <w:rFonts w:ascii="Times New Roman" w:hAnsi="Times New Roman" w:cs="Times New Roman"/>
          <w:sz w:val="24"/>
          <w:szCs w:val="24"/>
        </w:rPr>
        <w:t>although the Minister assured the committee that local authorities would be consulted on the various regulations for which provision is made in the Act.</w:t>
      </w:r>
      <w:r w:rsidR="00ED12FF" w:rsidRPr="002239BF">
        <w:rPr>
          <w:rStyle w:val="FootnoteReference"/>
          <w:rFonts w:ascii="Times New Roman" w:hAnsi="Times New Roman" w:cs="Times New Roman"/>
          <w:sz w:val="24"/>
          <w:szCs w:val="24"/>
        </w:rPr>
        <w:footnoteReference w:id="83"/>
      </w:r>
      <w:r w:rsidR="00FB1A89" w:rsidRPr="002239BF">
        <w:rPr>
          <w:rFonts w:ascii="Times New Roman" w:hAnsi="Times New Roman" w:cs="Times New Roman"/>
          <w:sz w:val="24"/>
          <w:szCs w:val="24"/>
        </w:rPr>
        <w:t xml:space="preserve">  </w:t>
      </w:r>
      <w:r w:rsidR="006B463C" w:rsidRPr="002239BF">
        <w:rPr>
          <w:rFonts w:ascii="Times New Roman" w:hAnsi="Times New Roman" w:cs="Times New Roman"/>
          <w:sz w:val="24"/>
          <w:szCs w:val="24"/>
        </w:rPr>
        <w:t>Thus, local authorities are to be consulted on matters of detail but not on the most important issue</w:t>
      </w:r>
      <w:r w:rsidR="004332EF" w:rsidRPr="002239BF">
        <w:rPr>
          <w:rFonts w:ascii="Times New Roman" w:hAnsi="Times New Roman" w:cs="Times New Roman"/>
          <w:sz w:val="24"/>
          <w:szCs w:val="24"/>
        </w:rPr>
        <w:t>s</w:t>
      </w:r>
      <w:r w:rsidR="006B463C" w:rsidRPr="002239BF">
        <w:rPr>
          <w:rFonts w:ascii="Times New Roman" w:hAnsi="Times New Roman" w:cs="Times New Roman"/>
          <w:sz w:val="24"/>
          <w:szCs w:val="24"/>
        </w:rPr>
        <w:t xml:space="preserve"> of the principle of </w:t>
      </w:r>
      <w:r w:rsidR="004332EF" w:rsidRPr="002239BF">
        <w:rPr>
          <w:rFonts w:ascii="Times New Roman" w:hAnsi="Times New Roman" w:cs="Times New Roman"/>
          <w:sz w:val="24"/>
          <w:szCs w:val="24"/>
        </w:rPr>
        <w:t>being required to grant</w:t>
      </w:r>
      <w:r w:rsidR="006B463C" w:rsidRPr="002239BF">
        <w:rPr>
          <w:rFonts w:ascii="Times New Roman" w:hAnsi="Times New Roman" w:cs="Times New Roman"/>
          <w:sz w:val="24"/>
          <w:szCs w:val="24"/>
        </w:rPr>
        <w:t xml:space="preserve"> fixed-term, rather than indefinite, periodic tenancies</w:t>
      </w:r>
      <w:r w:rsidR="00704A1B" w:rsidRPr="002239BF">
        <w:rPr>
          <w:rFonts w:ascii="Times New Roman" w:hAnsi="Times New Roman" w:cs="Times New Roman"/>
          <w:sz w:val="24"/>
          <w:szCs w:val="24"/>
        </w:rPr>
        <w:t>,</w:t>
      </w:r>
      <w:r w:rsidR="006B463C" w:rsidRPr="002239BF">
        <w:rPr>
          <w:rFonts w:ascii="Times New Roman" w:hAnsi="Times New Roman" w:cs="Times New Roman"/>
          <w:sz w:val="24"/>
          <w:szCs w:val="24"/>
        </w:rPr>
        <w:t xml:space="preserve"> and the duration of those fixed-terms.</w:t>
      </w:r>
    </w:p>
    <w:p w14:paraId="167DD350" w14:textId="77777777" w:rsidR="00297060" w:rsidRPr="002239BF" w:rsidRDefault="00297060" w:rsidP="00733DF3">
      <w:pPr>
        <w:spacing w:line="480" w:lineRule="auto"/>
        <w:rPr>
          <w:rFonts w:ascii="Times New Roman" w:hAnsi="Times New Roman" w:cs="Times New Roman"/>
          <w:sz w:val="24"/>
          <w:szCs w:val="24"/>
        </w:rPr>
      </w:pPr>
    </w:p>
    <w:p w14:paraId="483F0EEB" w14:textId="3155BB70" w:rsidR="004332EF" w:rsidRPr="002239BF" w:rsidRDefault="00DE53DD"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Following</w:t>
      </w:r>
      <w:r w:rsidR="00C401BF" w:rsidRPr="002239BF">
        <w:rPr>
          <w:rFonts w:ascii="Times New Roman" w:hAnsi="Times New Roman" w:cs="Times New Roman"/>
          <w:sz w:val="24"/>
          <w:szCs w:val="24"/>
        </w:rPr>
        <w:t xml:space="preserve"> sustained criticism</w:t>
      </w:r>
      <w:r w:rsidR="00E26192" w:rsidRPr="002239BF">
        <w:rPr>
          <w:rFonts w:ascii="Times New Roman" w:hAnsi="Times New Roman" w:cs="Times New Roman"/>
          <w:sz w:val="24"/>
          <w:szCs w:val="24"/>
        </w:rPr>
        <w:t xml:space="preserve"> from MPs, housing</w:t>
      </w:r>
      <w:r w:rsidR="006B463C" w:rsidRPr="002239BF">
        <w:rPr>
          <w:rFonts w:ascii="Times New Roman" w:hAnsi="Times New Roman" w:cs="Times New Roman"/>
          <w:sz w:val="24"/>
          <w:szCs w:val="24"/>
        </w:rPr>
        <w:t xml:space="preserve"> charities and the </w:t>
      </w:r>
      <w:r w:rsidR="00AA64F9" w:rsidRPr="002239BF">
        <w:rPr>
          <w:rFonts w:ascii="Times New Roman" w:hAnsi="Times New Roman" w:cs="Times New Roman"/>
          <w:sz w:val="24"/>
          <w:szCs w:val="24"/>
        </w:rPr>
        <w:t>LGA</w:t>
      </w:r>
      <w:r w:rsidR="00C401BF" w:rsidRPr="002239BF">
        <w:rPr>
          <w:rFonts w:ascii="Times New Roman" w:hAnsi="Times New Roman" w:cs="Times New Roman"/>
          <w:sz w:val="24"/>
          <w:szCs w:val="24"/>
        </w:rPr>
        <w:t>, the g</w:t>
      </w:r>
      <w:r w:rsidR="00663F7A" w:rsidRPr="002239BF">
        <w:rPr>
          <w:rFonts w:ascii="Times New Roman" w:hAnsi="Times New Roman" w:cs="Times New Roman"/>
          <w:sz w:val="24"/>
          <w:szCs w:val="24"/>
        </w:rPr>
        <w:t xml:space="preserve">overnment conceded that </w:t>
      </w:r>
      <w:r w:rsidR="00F041BC" w:rsidRPr="002239BF">
        <w:rPr>
          <w:rFonts w:ascii="Times New Roman" w:hAnsi="Times New Roman" w:cs="Times New Roman"/>
          <w:sz w:val="24"/>
          <w:szCs w:val="24"/>
        </w:rPr>
        <w:t>local aut</w:t>
      </w:r>
      <w:r w:rsidR="00000100" w:rsidRPr="002239BF">
        <w:rPr>
          <w:rFonts w:ascii="Times New Roman" w:hAnsi="Times New Roman" w:cs="Times New Roman"/>
          <w:sz w:val="24"/>
          <w:szCs w:val="24"/>
        </w:rPr>
        <w:t>horities be permitted to grant longer fixed terms</w:t>
      </w:r>
      <w:r w:rsidR="00D1236E" w:rsidRPr="002239BF">
        <w:rPr>
          <w:rFonts w:ascii="Times New Roman" w:hAnsi="Times New Roman" w:cs="Times New Roman"/>
          <w:sz w:val="24"/>
          <w:szCs w:val="24"/>
        </w:rPr>
        <w:t xml:space="preserve"> than those originally provided for</w:t>
      </w:r>
      <w:r w:rsidR="00000100" w:rsidRPr="002239BF">
        <w:rPr>
          <w:rFonts w:ascii="Times New Roman" w:hAnsi="Times New Roman" w:cs="Times New Roman"/>
          <w:sz w:val="24"/>
          <w:szCs w:val="24"/>
        </w:rPr>
        <w:t>.</w:t>
      </w:r>
      <w:r w:rsidR="005B3318" w:rsidRPr="002239BF">
        <w:rPr>
          <w:rFonts w:ascii="Times New Roman" w:hAnsi="Times New Roman" w:cs="Times New Roman"/>
          <w:sz w:val="24"/>
          <w:szCs w:val="24"/>
        </w:rPr>
        <w:t xml:space="preserve">  </w:t>
      </w:r>
      <w:r w:rsidR="00D1236E" w:rsidRPr="002239BF">
        <w:rPr>
          <w:rFonts w:ascii="Times New Roman" w:hAnsi="Times New Roman" w:cs="Times New Roman"/>
          <w:sz w:val="24"/>
          <w:szCs w:val="24"/>
        </w:rPr>
        <w:t>Accordingly,</w:t>
      </w:r>
      <w:r w:rsidR="00503833" w:rsidRPr="002239BF">
        <w:rPr>
          <w:rFonts w:ascii="Times New Roman" w:hAnsi="Times New Roman" w:cs="Times New Roman"/>
          <w:sz w:val="24"/>
          <w:szCs w:val="24"/>
        </w:rPr>
        <w:t xml:space="preserve"> </w:t>
      </w:r>
      <w:r w:rsidRPr="002239BF">
        <w:rPr>
          <w:rFonts w:ascii="Times New Roman" w:hAnsi="Times New Roman" w:cs="Times New Roman"/>
          <w:sz w:val="24"/>
          <w:szCs w:val="24"/>
        </w:rPr>
        <w:t>the Act</w:t>
      </w:r>
      <w:r w:rsidRPr="002239BF">
        <w:rPr>
          <w:rStyle w:val="FootnoteReference"/>
          <w:rFonts w:ascii="Times New Roman" w:hAnsi="Times New Roman" w:cs="Times New Roman"/>
          <w:sz w:val="24"/>
          <w:szCs w:val="24"/>
        </w:rPr>
        <w:footnoteReference w:id="84"/>
      </w:r>
      <w:r w:rsidRPr="002239BF">
        <w:rPr>
          <w:rFonts w:ascii="Times New Roman" w:hAnsi="Times New Roman" w:cs="Times New Roman"/>
          <w:sz w:val="24"/>
          <w:szCs w:val="24"/>
        </w:rPr>
        <w:t xml:space="preserve"> </w:t>
      </w:r>
      <w:r w:rsidR="005B3318" w:rsidRPr="002239BF">
        <w:rPr>
          <w:rFonts w:ascii="Times New Roman" w:hAnsi="Times New Roman" w:cs="Times New Roman"/>
          <w:sz w:val="24"/>
          <w:szCs w:val="24"/>
        </w:rPr>
        <w:t>inserts new sections 81A an</w:t>
      </w:r>
      <w:r w:rsidR="0000419B" w:rsidRPr="002239BF">
        <w:rPr>
          <w:rFonts w:ascii="Times New Roman" w:hAnsi="Times New Roman" w:cs="Times New Roman"/>
          <w:sz w:val="24"/>
          <w:szCs w:val="24"/>
        </w:rPr>
        <w:t xml:space="preserve">d 81C into the Housing Act 1985 which </w:t>
      </w:r>
      <w:r w:rsidR="005B3318" w:rsidRPr="002239BF">
        <w:rPr>
          <w:rFonts w:ascii="Times New Roman" w:hAnsi="Times New Roman" w:cs="Times New Roman"/>
          <w:sz w:val="24"/>
          <w:szCs w:val="24"/>
        </w:rPr>
        <w:t>provide that local authorities may, generally, only grant</w:t>
      </w:r>
      <w:r w:rsidR="00D1236E" w:rsidRPr="002239BF">
        <w:rPr>
          <w:rFonts w:ascii="Times New Roman" w:hAnsi="Times New Roman" w:cs="Times New Roman"/>
          <w:sz w:val="24"/>
          <w:szCs w:val="24"/>
        </w:rPr>
        <w:t xml:space="preserve"> new</w:t>
      </w:r>
      <w:r w:rsidR="005B3318" w:rsidRPr="002239BF">
        <w:rPr>
          <w:rFonts w:ascii="Times New Roman" w:hAnsi="Times New Roman" w:cs="Times New Roman"/>
          <w:sz w:val="24"/>
          <w:szCs w:val="24"/>
        </w:rPr>
        <w:t xml:space="preserve"> secure tenancies for a fixed </w:t>
      </w:r>
      <w:r w:rsidR="00000100" w:rsidRPr="002239BF">
        <w:rPr>
          <w:rFonts w:ascii="Times New Roman" w:hAnsi="Times New Roman" w:cs="Times New Roman"/>
          <w:sz w:val="24"/>
          <w:szCs w:val="24"/>
        </w:rPr>
        <w:t>term of between two to 10 years.</w:t>
      </w:r>
      <w:r w:rsidR="00000100" w:rsidRPr="002239BF">
        <w:rPr>
          <w:rStyle w:val="FootnoteReference"/>
          <w:rFonts w:ascii="Times New Roman" w:hAnsi="Times New Roman" w:cs="Times New Roman"/>
          <w:sz w:val="24"/>
          <w:szCs w:val="24"/>
        </w:rPr>
        <w:footnoteReference w:id="85"/>
      </w:r>
      <w:r w:rsidR="005B3318" w:rsidRPr="002239BF">
        <w:rPr>
          <w:rFonts w:ascii="Times New Roman" w:hAnsi="Times New Roman" w:cs="Times New Roman"/>
          <w:sz w:val="24"/>
          <w:szCs w:val="24"/>
        </w:rPr>
        <w:t xml:space="preserve"> </w:t>
      </w:r>
      <w:r w:rsidR="00000100" w:rsidRPr="002239BF">
        <w:rPr>
          <w:rFonts w:ascii="Times New Roman" w:hAnsi="Times New Roman" w:cs="Times New Roman"/>
          <w:sz w:val="24"/>
          <w:szCs w:val="24"/>
        </w:rPr>
        <w:t xml:space="preserve">  W</w:t>
      </w:r>
      <w:r w:rsidR="005B3318" w:rsidRPr="002239BF">
        <w:rPr>
          <w:rFonts w:ascii="Times New Roman" w:hAnsi="Times New Roman" w:cs="Times New Roman"/>
          <w:sz w:val="24"/>
          <w:szCs w:val="24"/>
        </w:rPr>
        <w:t xml:space="preserve">here a child under nine lives in the property, </w:t>
      </w:r>
      <w:r w:rsidR="00000100" w:rsidRPr="002239BF">
        <w:rPr>
          <w:rFonts w:ascii="Times New Roman" w:hAnsi="Times New Roman" w:cs="Times New Roman"/>
          <w:sz w:val="24"/>
          <w:szCs w:val="24"/>
        </w:rPr>
        <w:t xml:space="preserve">the fixed-term may be </w:t>
      </w:r>
      <w:r w:rsidR="005B3318" w:rsidRPr="002239BF">
        <w:rPr>
          <w:rFonts w:ascii="Times New Roman" w:hAnsi="Times New Roman" w:cs="Times New Roman"/>
          <w:sz w:val="24"/>
          <w:szCs w:val="24"/>
        </w:rPr>
        <w:t xml:space="preserve">until the child </w:t>
      </w:r>
      <w:r w:rsidR="00D2702E" w:rsidRPr="002239BF">
        <w:rPr>
          <w:rFonts w:ascii="Times New Roman" w:hAnsi="Times New Roman" w:cs="Times New Roman"/>
          <w:sz w:val="24"/>
          <w:szCs w:val="24"/>
        </w:rPr>
        <w:t xml:space="preserve">reaches </w:t>
      </w:r>
      <w:r w:rsidR="005B3318" w:rsidRPr="002239BF">
        <w:rPr>
          <w:rFonts w:ascii="Times New Roman" w:hAnsi="Times New Roman" w:cs="Times New Roman"/>
          <w:sz w:val="24"/>
          <w:szCs w:val="24"/>
        </w:rPr>
        <w:t>19.</w:t>
      </w:r>
      <w:r w:rsidR="00000100" w:rsidRPr="002239BF">
        <w:rPr>
          <w:rStyle w:val="FootnoteReference"/>
          <w:rFonts w:ascii="Times New Roman" w:hAnsi="Times New Roman" w:cs="Times New Roman"/>
          <w:sz w:val="24"/>
          <w:szCs w:val="24"/>
        </w:rPr>
        <w:footnoteReference w:id="86"/>
      </w:r>
      <w:r w:rsidR="006112FA" w:rsidRPr="002239BF">
        <w:rPr>
          <w:rFonts w:ascii="Times New Roman" w:hAnsi="Times New Roman" w:cs="Times New Roman"/>
          <w:sz w:val="24"/>
          <w:szCs w:val="24"/>
        </w:rPr>
        <w:t xml:space="preserve">  </w:t>
      </w:r>
      <w:r w:rsidR="00D1236E" w:rsidRPr="002239BF">
        <w:rPr>
          <w:rFonts w:ascii="Times New Roman" w:hAnsi="Times New Roman" w:cs="Times New Roman"/>
          <w:sz w:val="24"/>
          <w:szCs w:val="24"/>
        </w:rPr>
        <w:t xml:space="preserve">Current secure tenants are unaffected by these provisions and thus their tenancies continue to last indefinitely.  </w:t>
      </w:r>
      <w:r w:rsidR="005D0A06" w:rsidRPr="002239BF">
        <w:rPr>
          <w:rFonts w:ascii="Times New Roman" w:hAnsi="Times New Roman" w:cs="Times New Roman"/>
          <w:sz w:val="24"/>
          <w:szCs w:val="24"/>
        </w:rPr>
        <w:t>Equally, where a tenant is offered a new tenancy of a different property, but has not asked to move, the authority must grant an old-style secure tenancy.</w:t>
      </w:r>
      <w:r w:rsidR="005D0A06" w:rsidRPr="002239BF">
        <w:rPr>
          <w:rStyle w:val="FootnoteReference"/>
          <w:rFonts w:ascii="Times New Roman" w:hAnsi="Times New Roman" w:cs="Times New Roman"/>
          <w:sz w:val="24"/>
          <w:szCs w:val="24"/>
        </w:rPr>
        <w:footnoteReference w:id="87"/>
      </w:r>
      <w:r w:rsidR="005D0A06" w:rsidRPr="002239BF">
        <w:rPr>
          <w:rFonts w:ascii="Times New Roman" w:hAnsi="Times New Roman" w:cs="Times New Roman"/>
          <w:sz w:val="24"/>
          <w:szCs w:val="24"/>
        </w:rPr>
        <w:t xml:space="preserve">  </w:t>
      </w:r>
      <w:r w:rsidR="00D1236E" w:rsidRPr="002239BF">
        <w:rPr>
          <w:rFonts w:ascii="Times New Roman" w:hAnsi="Times New Roman" w:cs="Times New Roman"/>
          <w:sz w:val="24"/>
          <w:szCs w:val="24"/>
        </w:rPr>
        <w:t xml:space="preserve">The Act also provides regulation making powers to the Secretary of State to stipulate circumstances in which local authorities may grant an </w:t>
      </w:r>
      <w:r w:rsidR="00D2702E" w:rsidRPr="002239BF">
        <w:rPr>
          <w:rFonts w:ascii="Times New Roman" w:hAnsi="Times New Roman" w:cs="Times New Roman"/>
          <w:sz w:val="24"/>
          <w:szCs w:val="24"/>
        </w:rPr>
        <w:t>‘</w:t>
      </w:r>
      <w:r w:rsidR="00D1236E" w:rsidRPr="002239BF">
        <w:rPr>
          <w:rFonts w:ascii="Times New Roman" w:hAnsi="Times New Roman" w:cs="Times New Roman"/>
          <w:sz w:val="24"/>
          <w:szCs w:val="24"/>
        </w:rPr>
        <w:t>old-style secure tenancy</w:t>
      </w:r>
      <w:r w:rsidR="00D2702E" w:rsidRPr="002239BF">
        <w:rPr>
          <w:rFonts w:ascii="Times New Roman" w:hAnsi="Times New Roman" w:cs="Times New Roman"/>
          <w:sz w:val="24"/>
          <w:szCs w:val="24"/>
        </w:rPr>
        <w:t>’</w:t>
      </w:r>
      <w:r w:rsidR="00D1236E" w:rsidRPr="002239BF">
        <w:rPr>
          <w:rFonts w:ascii="Times New Roman" w:hAnsi="Times New Roman" w:cs="Times New Roman"/>
          <w:sz w:val="24"/>
          <w:szCs w:val="24"/>
        </w:rPr>
        <w:t>.</w:t>
      </w:r>
      <w:r w:rsidR="00D1236E" w:rsidRPr="002239BF">
        <w:rPr>
          <w:rStyle w:val="FootnoteReference"/>
          <w:rFonts w:ascii="Times New Roman" w:hAnsi="Times New Roman" w:cs="Times New Roman"/>
          <w:sz w:val="24"/>
          <w:szCs w:val="24"/>
        </w:rPr>
        <w:footnoteReference w:id="88"/>
      </w:r>
      <w:r w:rsidR="00D1236E" w:rsidRPr="002239BF">
        <w:rPr>
          <w:rFonts w:ascii="Times New Roman" w:hAnsi="Times New Roman" w:cs="Times New Roman"/>
          <w:sz w:val="24"/>
          <w:szCs w:val="24"/>
        </w:rPr>
        <w:t xml:space="preserve">  </w:t>
      </w:r>
      <w:r w:rsidR="006B463C" w:rsidRPr="002239BF">
        <w:rPr>
          <w:rFonts w:ascii="Times New Roman" w:hAnsi="Times New Roman" w:cs="Times New Roman"/>
          <w:sz w:val="24"/>
          <w:szCs w:val="24"/>
        </w:rPr>
        <w:t xml:space="preserve">The Minister indicated that such circumstances are likely to include where tenants ask to move in order to downsize, or </w:t>
      </w:r>
      <w:r w:rsidR="006A5871" w:rsidRPr="002239BF">
        <w:rPr>
          <w:rFonts w:ascii="Times New Roman" w:hAnsi="Times New Roman" w:cs="Times New Roman"/>
          <w:sz w:val="24"/>
          <w:szCs w:val="24"/>
        </w:rPr>
        <w:t xml:space="preserve">to take up </w:t>
      </w:r>
      <w:r w:rsidR="006B463C" w:rsidRPr="002239BF">
        <w:rPr>
          <w:rFonts w:ascii="Times New Roman" w:hAnsi="Times New Roman" w:cs="Times New Roman"/>
          <w:sz w:val="24"/>
          <w:szCs w:val="24"/>
        </w:rPr>
        <w:t>employment opportunities.</w:t>
      </w:r>
      <w:r w:rsidR="006B463C" w:rsidRPr="002239BF">
        <w:rPr>
          <w:rStyle w:val="FootnoteReference"/>
          <w:rFonts w:ascii="Times New Roman" w:hAnsi="Times New Roman" w:cs="Times New Roman"/>
          <w:sz w:val="24"/>
          <w:szCs w:val="24"/>
        </w:rPr>
        <w:footnoteReference w:id="89"/>
      </w:r>
      <w:r w:rsidR="006B463C" w:rsidRPr="002239BF">
        <w:rPr>
          <w:rFonts w:ascii="Times New Roman" w:hAnsi="Times New Roman" w:cs="Times New Roman"/>
          <w:sz w:val="24"/>
          <w:szCs w:val="24"/>
        </w:rPr>
        <w:t xml:space="preserve">  </w:t>
      </w:r>
    </w:p>
    <w:p w14:paraId="2D119BA8" w14:textId="77777777" w:rsidR="00297060" w:rsidRPr="002239BF" w:rsidRDefault="00297060" w:rsidP="00733DF3">
      <w:pPr>
        <w:spacing w:line="480" w:lineRule="auto"/>
        <w:rPr>
          <w:rFonts w:ascii="Times New Roman" w:hAnsi="Times New Roman" w:cs="Times New Roman"/>
          <w:sz w:val="24"/>
          <w:szCs w:val="24"/>
        </w:rPr>
      </w:pPr>
    </w:p>
    <w:p w14:paraId="362C2291" w14:textId="1DBC1BEC" w:rsidR="00A94B98" w:rsidRPr="002239BF" w:rsidRDefault="006112FA"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Local authorities must </w:t>
      </w:r>
      <w:r w:rsidR="00D2702E" w:rsidRPr="002239BF">
        <w:rPr>
          <w:rFonts w:ascii="Times New Roman" w:hAnsi="Times New Roman" w:cs="Times New Roman"/>
          <w:sz w:val="24"/>
          <w:szCs w:val="24"/>
        </w:rPr>
        <w:t>‘</w:t>
      </w:r>
      <w:r w:rsidRPr="002239BF">
        <w:rPr>
          <w:rFonts w:ascii="Times New Roman" w:hAnsi="Times New Roman" w:cs="Times New Roman"/>
          <w:sz w:val="24"/>
          <w:szCs w:val="24"/>
        </w:rPr>
        <w:t>have regard to</w:t>
      </w:r>
      <w:r w:rsidR="00D2702E" w:rsidRPr="002239BF">
        <w:rPr>
          <w:rFonts w:ascii="Times New Roman" w:hAnsi="Times New Roman" w:cs="Times New Roman"/>
          <w:sz w:val="24"/>
          <w:szCs w:val="24"/>
        </w:rPr>
        <w:t>’</w:t>
      </w:r>
      <w:r w:rsidRPr="002239BF">
        <w:rPr>
          <w:rFonts w:ascii="Times New Roman" w:hAnsi="Times New Roman" w:cs="Times New Roman"/>
          <w:sz w:val="24"/>
          <w:szCs w:val="24"/>
        </w:rPr>
        <w:t xml:space="preserve"> any guidance issued by the Secretary of State when deciding </w:t>
      </w:r>
      <w:r w:rsidR="00461A48" w:rsidRPr="002239BF">
        <w:rPr>
          <w:rFonts w:ascii="Times New Roman" w:hAnsi="Times New Roman" w:cs="Times New Roman"/>
          <w:sz w:val="24"/>
          <w:szCs w:val="24"/>
        </w:rPr>
        <w:t>the</w:t>
      </w:r>
      <w:r w:rsidRPr="002239BF">
        <w:rPr>
          <w:rFonts w:ascii="Times New Roman" w:hAnsi="Times New Roman" w:cs="Times New Roman"/>
          <w:sz w:val="24"/>
          <w:szCs w:val="24"/>
        </w:rPr>
        <w:t xml:space="preserve"> length of tenancy to grant.</w:t>
      </w:r>
      <w:r w:rsidR="00000100" w:rsidRPr="002239BF">
        <w:rPr>
          <w:rStyle w:val="FootnoteReference"/>
          <w:rFonts w:ascii="Times New Roman" w:hAnsi="Times New Roman" w:cs="Times New Roman"/>
          <w:sz w:val="24"/>
          <w:szCs w:val="24"/>
        </w:rPr>
        <w:footnoteReference w:id="90"/>
      </w:r>
      <w:r w:rsidRPr="002239BF">
        <w:rPr>
          <w:rFonts w:ascii="Times New Roman" w:hAnsi="Times New Roman" w:cs="Times New Roman"/>
          <w:sz w:val="24"/>
          <w:szCs w:val="24"/>
        </w:rPr>
        <w:t xml:space="preserve">  </w:t>
      </w:r>
      <w:r w:rsidR="004E5386" w:rsidRPr="002239BF">
        <w:rPr>
          <w:rFonts w:ascii="Times New Roman" w:hAnsi="Times New Roman" w:cs="Times New Roman"/>
          <w:sz w:val="24"/>
          <w:szCs w:val="24"/>
        </w:rPr>
        <w:t>The</w:t>
      </w:r>
      <w:r w:rsidR="00000100" w:rsidRPr="002239BF">
        <w:rPr>
          <w:rFonts w:ascii="Times New Roman" w:hAnsi="Times New Roman" w:cs="Times New Roman"/>
          <w:sz w:val="24"/>
          <w:szCs w:val="24"/>
        </w:rPr>
        <w:t xml:space="preserve"> issuing of </w:t>
      </w:r>
      <w:r w:rsidR="004E5386" w:rsidRPr="002239BF">
        <w:rPr>
          <w:rFonts w:ascii="Times New Roman" w:hAnsi="Times New Roman" w:cs="Times New Roman"/>
          <w:sz w:val="24"/>
          <w:szCs w:val="24"/>
        </w:rPr>
        <w:t xml:space="preserve">statutory </w:t>
      </w:r>
      <w:r w:rsidR="00000100" w:rsidRPr="002239BF">
        <w:rPr>
          <w:rFonts w:ascii="Times New Roman" w:hAnsi="Times New Roman" w:cs="Times New Roman"/>
          <w:sz w:val="24"/>
          <w:szCs w:val="24"/>
        </w:rPr>
        <w:t xml:space="preserve">guidance on </w:t>
      </w:r>
      <w:r w:rsidR="004E5386" w:rsidRPr="002239BF">
        <w:rPr>
          <w:rFonts w:ascii="Times New Roman" w:hAnsi="Times New Roman" w:cs="Times New Roman"/>
          <w:sz w:val="24"/>
          <w:szCs w:val="24"/>
        </w:rPr>
        <w:t xml:space="preserve">local authorities’ </w:t>
      </w:r>
      <w:r w:rsidR="00000100" w:rsidRPr="002239BF">
        <w:rPr>
          <w:rFonts w:ascii="Times New Roman" w:hAnsi="Times New Roman" w:cs="Times New Roman"/>
          <w:sz w:val="24"/>
          <w:szCs w:val="24"/>
        </w:rPr>
        <w:t>allocations policies</w:t>
      </w:r>
      <w:r w:rsidR="002E1EFE" w:rsidRPr="002239BF">
        <w:rPr>
          <w:rStyle w:val="FootnoteReference"/>
          <w:rFonts w:ascii="Times New Roman" w:hAnsi="Times New Roman" w:cs="Times New Roman"/>
          <w:sz w:val="24"/>
          <w:szCs w:val="24"/>
        </w:rPr>
        <w:footnoteReference w:id="91"/>
      </w:r>
      <w:r w:rsidR="00000100" w:rsidRPr="002239BF">
        <w:rPr>
          <w:rFonts w:ascii="Times New Roman" w:hAnsi="Times New Roman" w:cs="Times New Roman"/>
          <w:sz w:val="24"/>
          <w:szCs w:val="24"/>
        </w:rPr>
        <w:t xml:space="preserve"> </w:t>
      </w:r>
      <w:r w:rsidR="002E1EFE" w:rsidRPr="002239BF">
        <w:rPr>
          <w:rFonts w:ascii="Times New Roman" w:hAnsi="Times New Roman" w:cs="Times New Roman"/>
          <w:sz w:val="24"/>
          <w:szCs w:val="24"/>
        </w:rPr>
        <w:t>and homelessness functions</w:t>
      </w:r>
      <w:r w:rsidR="002E1EFE" w:rsidRPr="002239BF">
        <w:rPr>
          <w:rStyle w:val="FootnoteReference"/>
          <w:rFonts w:ascii="Times New Roman" w:hAnsi="Times New Roman" w:cs="Times New Roman"/>
          <w:sz w:val="24"/>
          <w:szCs w:val="24"/>
        </w:rPr>
        <w:footnoteReference w:id="92"/>
      </w:r>
      <w:r w:rsidR="002E1EFE" w:rsidRPr="002239BF">
        <w:rPr>
          <w:rFonts w:ascii="Times New Roman" w:hAnsi="Times New Roman" w:cs="Times New Roman"/>
          <w:sz w:val="24"/>
          <w:szCs w:val="24"/>
        </w:rPr>
        <w:t xml:space="preserve"> </w:t>
      </w:r>
      <w:r w:rsidR="00000100" w:rsidRPr="002239BF">
        <w:rPr>
          <w:rFonts w:ascii="Times New Roman" w:hAnsi="Times New Roman" w:cs="Times New Roman"/>
          <w:sz w:val="24"/>
          <w:szCs w:val="24"/>
        </w:rPr>
        <w:t xml:space="preserve">has been a </w:t>
      </w:r>
      <w:r w:rsidR="006F30CC" w:rsidRPr="002239BF">
        <w:rPr>
          <w:rFonts w:ascii="Times New Roman" w:hAnsi="Times New Roman" w:cs="Times New Roman"/>
          <w:sz w:val="24"/>
          <w:szCs w:val="24"/>
        </w:rPr>
        <w:t>long-standing feature of the central-local government relationship</w:t>
      </w:r>
      <w:r w:rsidR="004E5386" w:rsidRPr="002239BF">
        <w:rPr>
          <w:rFonts w:ascii="Times New Roman" w:hAnsi="Times New Roman" w:cs="Times New Roman"/>
          <w:sz w:val="24"/>
          <w:szCs w:val="24"/>
        </w:rPr>
        <w:t xml:space="preserve">.  </w:t>
      </w:r>
      <w:r w:rsidR="002A7381" w:rsidRPr="002239BF">
        <w:rPr>
          <w:rFonts w:ascii="Times New Roman" w:hAnsi="Times New Roman" w:cs="Times New Roman"/>
          <w:sz w:val="24"/>
          <w:szCs w:val="24"/>
        </w:rPr>
        <w:t xml:space="preserve"> </w:t>
      </w:r>
      <w:r w:rsidR="002E1EFE" w:rsidRPr="002239BF">
        <w:rPr>
          <w:rFonts w:ascii="Times New Roman" w:hAnsi="Times New Roman" w:cs="Times New Roman"/>
          <w:sz w:val="24"/>
          <w:szCs w:val="24"/>
        </w:rPr>
        <w:t>F</w:t>
      </w:r>
      <w:r w:rsidR="002A7381" w:rsidRPr="002239BF">
        <w:rPr>
          <w:rFonts w:ascii="Times New Roman" w:hAnsi="Times New Roman" w:cs="Times New Roman"/>
          <w:sz w:val="24"/>
          <w:szCs w:val="24"/>
        </w:rPr>
        <w:t>lexible tenancies were no</w:t>
      </w:r>
      <w:r w:rsidR="004332EF" w:rsidRPr="002239BF">
        <w:rPr>
          <w:rFonts w:ascii="Times New Roman" w:hAnsi="Times New Roman" w:cs="Times New Roman"/>
          <w:sz w:val="24"/>
          <w:szCs w:val="24"/>
        </w:rPr>
        <w:t xml:space="preserve">t subject to statutory guidance </w:t>
      </w:r>
      <w:r w:rsidR="002E1EFE" w:rsidRPr="002239BF">
        <w:rPr>
          <w:rFonts w:ascii="Times New Roman" w:hAnsi="Times New Roman" w:cs="Times New Roman"/>
          <w:sz w:val="24"/>
          <w:szCs w:val="24"/>
        </w:rPr>
        <w:t>and</w:t>
      </w:r>
      <w:r w:rsidR="00544607" w:rsidRPr="002239BF">
        <w:rPr>
          <w:rFonts w:ascii="Times New Roman" w:hAnsi="Times New Roman" w:cs="Times New Roman"/>
          <w:sz w:val="24"/>
          <w:szCs w:val="24"/>
        </w:rPr>
        <w:t xml:space="preserve"> the Localism Act 2011</w:t>
      </w:r>
      <w:r w:rsidR="00D2702E" w:rsidRPr="002239BF">
        <w:rPr>
          <w:rFonts w:ascii="Times New Roman" w:hAnsi="Times New Roman" w:cs="Times New Roman"/>
          <w:sz w:val="24"/>
          <w:szCs w:val="24"/>
        </w:rPr>
        <w:t xml:space="preserve"> </w:t>
      </w:r>
      <w:r w:rsidR="00544607" w:rsidRPr="002239BF">
        <w:rPr>
          <w:rFonts w:ascii="Times New Roman" w:hAnsi="Times New Roman" w:cs="Times New Roman"/>
          <w:sz w:val="24"/>
          <w:szCs w:val="24"/>
        </w:rPr>
        <w:t xml:space="preserve">which introduced them </w:t>
      </w:r>
      <w:r w:rsidR="004332EF" w:rsidRPr="002239BF">
        <w:rPr>
          <w:rFonts w:ascii="Times New Roman" w:hAnsi="Times New Roman" w:cs="Times New Roman"/>
          <w:sz w:val="24"/>
          <w:szCs w:val="24"/>
        </w:rPr>
        <w:t xml:space="preserve">did not </w:t>
      </w:r>
      <w:r w:rsidR="00544607" w:rsidRPr="002239BF">
        <w:rPr>
          <w:rFonts w:ascii="Times New Roman" w:hAnsi="Times New Roman" w:cs="Times New Roman"/>
          <w:sz w:val="24"/>
          <w:szCs w:val="24"/>
        </w:rPr>
        <w:t xml:space="preserve">reserve regulation making powers to the Secretary of State to specify </w:t>
      </w:r>
      <w:r w:rsidR="004332EF" w:rsidRPr="002239BF">
        <w:rPr>
          <w:rFonts w:ascii="Times New Roman" w:hAnsi="Times New Roman" w:cs="Times New Roman"/>
          <w:sz w:val="24"/>
          <w:szCs w:val="24"/>
        </w:rPr>
        <w:t>how these tenancies should</w:t>
      </w:r>
      <w:r w:rsidR="00544607" w:rsidRPr="002239BF">
        <w:rPr>
          <w:rFonts w:ascii="Times New Roman" w:hAnsi="Times New Roman" w:cs="Times New Roman"/>
          <w:sz w:val="24"/>
          <w:szCs w:val="24"/>
        </w:rPr>
        <w:t xml:space="preserve"> be used.</w:t>
      </w:r>
      <w:r w:rsidR="00602551" w:rsidRPr="002239BF">
        <w:rPr>
          <w:rFonts w:ascii="Times New Roman" w:hAnsi="Times New Roman" w:cs="Times New Roman"/>
          <w:sz w:val="24"/>
          <w:szCs w:val="24"/>
        </w:rPr>
        <w:t xml:space="preserve">  </w:t>
      </w:r>
      <w:r w:rsidR="00B47684" w:rsidRPr="002239BF">
        <w:rPr>
          <w:rFonts w:ascii="Times New Roman" w:hAnsi="Times New Roman" w:cs="Times New Roman"/>
          <w:sz w:val="24"/>
          <w:szCs w:val="24"/>
        </w:rPr>
        <w:t>The requirement to have regard to</w:t>
      </w:r>
      <w:r w:rsidR="006F30CC" w:rsidRPr="002239BF">
        <w:rPr>
          <w:rFonts w:ascii="Times New Roman" w:hAnsi="Times New Roman" w:cs="Times New Roman"/>
          <w:sz w:val="24"/>
          <w:szCs w:val="24"/>
        </w:rPr>
        <w:t xml:space="preserve"> </w:t>
      </w:r>
      <w:r w:rsidR="00B47684" w:rsidRPr="002239BF">
        <w:rPr>
          <w:rFonts w:ascii="Times New Roman" w:hAnsi="Times New Roman" w:cs="Times New Roman"/>
          <w:sz w:val="24"/>
          <w:szCs w:val="24"/>
        </w:rPr>
        <w:t xml:space="preserve">guidance is less directive than </w:t>
      </w:r>
      <w:r w:rsidR="006F30CC" w:rsidRPr="002239BF">
        <w:rPr>
          <w:rFonts w:ascii="Times New Roman" w:hAnsi="Times New Roman" w:cs="Times New Roman"/>
          <w:sz w:val="24"/>
          <w:szCs w:val="24"/>
        </w:rPr>
        <w:t xml:space="preserve">the </w:t>
      </w:r>
      <w:r w:rsidR="002E1EFE" w:rsidRPr="002239BF">
        <w:rPr>
          <w:rFonts w:ascii="Times New Roman" w:hAnsi="Times New Roman" w:cs="Times New Roman"/>
          <w:sz w:val="24"/>
          <w:szCs w:val="24"/>
        </w:rPr>
        <w:t>ability to make binding regulations</w:t>
      </w:r>
      <w:r w:rsidR="00B47684" w:rsidRPr="002239BF">
        <w:rPr>
          <w:rFonts w:ascii="Times New Roman" w:hAnsi="Times New Roman" w:cs="Times New Roman"/>
          <w:sz w:val="24"/>
          <w:szCs w:val="24"/>
        </w:rPr>
        <w:t xml:space="preserve">.  </w:t>
      </w:r>
      <w:r w:rsidR="00A94B98" w:rsidRPr="002239BF">
        <w:rPr>
          <w:rFonts w:ascii="Times New Roman" w:hAnsi="Times New Roman" w:cs="Times New Roman"/>
          <w:sz w:val="24"/>
          <w:szCs w:val="24"/>
        </w:rPr>
        <w:t>Lord Denning expressed the view</w:t>
      </w:r>
      <w:r w:rsidR="00B47684" w:rsidRPr="002239BF">
        <w:rPr>
          <w:rFonts w:ascii="Times New Roman" w:hAnsi="Times New Roman" w:cs="Times New Roman"/>
          <w:sz w:val="24"/>
          <w:szCs w:val="24"/>
        </w:rPr>
        <w:t xml:space="preserve"> that: </w:t>
      </w:r>
      <w:r w:rsidR="00D2702E" w:rsidRPr="002239BF">
        <w:rPr>
          <w:rFonts w:ascii="Times New Roman" w:hAnsi="Times New Roman" w:cs="Times New Roman"/>
          <w:sz w:val="24"/>
          <w:szCs w:val="24"/>
        </w:rPr>
        <w:t>‘</w:t>
      </w:r>
      <w:r w:rsidR="00A94B98" w:rsidRPr="002239BF">
        <w:rPr>
          <w:rFonts w:ascii="Times New Roman" w:hAnsi="Times New Roman" w:cs="Times New Roman"/>
          <w:sz w:val="24"/>
          <w:szCs w:val="24"/>
        </w:rPr>
        <w:t>The code [of guidance] should not be regarded as a binding statute.  The council, of course, had to have regard to the code … but, having done so, they could depart from it if they thought fit.</w:t>
      </w:r>
      <w:r w:rsidR="00D2702E" w:rsidRPr="002239BF">
        <w:rPr>
          <w:rFonts w:ascii="Times New Roman" w:hAnsi="Times New Roman" w:cs="Times New Roman"/>
          <w:sz w:val="24"/>
          <w:szCs w:val="24"/>
        </w:rPr>
        <w:t>’</w:t>
      </w:r>
      <w:r w:rsidR="00A94B98" w:rsidRPr="002239BF">
        <w:rPr>
          <w:rFonts w:ascii="Times New Roman" w:hAnsi="Times New Roman" w:cs="Times New Roman"/>
          <w:sz w:val="24"/>
          <w:szCs w:val="24"/>
          <w:vertAlign w:val="superscript"/>
        </w:rPr>
        <w:footnoteReference w:id="93"/>
      </w:r>
      <w:r w:rsidR="00CF697D" w:rsidRPr="002239BF">
        <w:rPr>
          <w:rFonts w:ascii="Times New Roman" w:hAnsi="Times New Roman" w:cs="Times New Roman"/>
          <w:sz w:val="24"/>
          <w:szCs w:val="24"/>
        </w:rPr>
        <w:t xml:space="preserve">  </w:t>
      </w:r>
      <w:r w:rsidR="00204813" w:rsidRPr="002239BF">
        <w:rPr>
          <w:rFonts w:ascii="Times New Roman" w:hAnsi="Times New Roman" w:cs="Times New Roman"/>
          <w:sz w:val="24"/>
          <w:szCs w:val="24"/>
        </w:rPr>
        <w:t xml:space="preserve">Despite this conclusion, the government has said that </w:t>
      </w:r>
      <w:r w:rsidR="00D2702E" w:rsidRPr="002239BF">
        <w:rPr>
          <w:rFonts w:ascii="Times New Roman" w:hAnsi="Times New Roman" w:cs="Times New Roman"/>
          <w:sz w:val="24"/>
          <w:szCs w:val="24"/>
        </w:rPr>
        <w:t>‘</w:t>
      </w:r>
      <w:r w:rsidR="00204813" w:rsidRPr="002239BF">
        <w:rPr>
          <w:rFonts w:ascii="Times New Roman" w:hAnsi="Times New Roman" w:cs="Times New Roman"/>
          <w:sz w:val="24"/>
          <w:szCs w:val="24"/>
        </w:rPr>
        <w:t>there will be clear expectations on what the local authority should consider when making decisions</w:t>
      </w:r>
      <w:r w:rsidR="00D2702E" w:rsidRPr="002239BF">
        <w:rPr>
          <w:rFonts w:ascii="Times New Roman" w:hAnsi="Times New Roman" w:cs="Times New Roman"/>
          <w:sz w:val="24"/>
          <w:szCs w:val="24"/>
        </w:rPr>
        <w:t xml:space="preserve">’ </w:t>
      </w:r>
      <w:r w:rsidR="00204813" w:rsidRPr="002239BF">
        <w:rPr>
          <w:rFonts w:ascii="Times New Roman" w:hAnsi="Times New Roman" w:cs="Times New Roman"/>
          <w:sz w:val="24"/>
          <w:szCs w:val="24"/>
        </w:rPr>
        <w:t xml:space="preserve">about </w:t>
      </w:r>
      <w:r w:rsidR="00D2702E" w:rsidRPr="002239BF">
        <w:rPr>
          <w:rFonts w:ascii="Times New Roman" w:hAnsi="Times New Roman" w:cs="Times New Roman"/>
          <w:sz w:val="24"/>
          <w:szCs w:val="24"/>
        </w:rPr>
        <w:t xml:space="preserve">the </w:t>
      </w:r>
      <w:r w:rsidR="00204813" w:rsidRPr="002239BF">
        <w:rPr>
          <w:rFonts w:ascii="Times New Roman" w:hAnsi="Times New Roman" w:cs="Times New Roman"/>
          <w:sz w:val="24"/>
          <w:szCs w:val="24"/>
        </w:rPr>
        <w:t xml:space="preserve">length of tenancies and </w:t>
      </w:r>
      <w:r w:rsidR="00D2702E" w:rsidRPr="002239BF">
        <w:rPr>
          <w:rFonts w:ascii="Times New Roman" w:hAnsi="Times New Roman" w:cs="Times New Roman"/>
          <w:sz w:val="24"/>
          <w:szCs w:val="24"/>
        </w:rPr>
        <w:t>‘</w:t>
      </w:r>
      <w:r w:rsidR="00204813" w:rsidRPr="002239BF">
        <w:rPr>
          <w:rFonts w:ascii="Times New Roman" w:hAnsi="Times New Roman" w:cs="Times New Roman"/>
          <w:sz w:val="24"/>
          <w:szCs w:val="24"/>
        </w:rPr>
        <w:t>they can be held to account if they fail to follow the guidance.</w:t>
      </w:r>
      <w:r w:rsidR="00D2702E" w:rsidRPr="002239BF">
        <w:rPr>
          <w:rFonts w:ascii="Times New Roman" w:hAnsi="Times New Roman" w:cs="Times New Roman"/>
          <w:sz w:val="24"/>
          <w:szCs w:val="24"/>
        </w:rPr>
        <w:t>’</w:t>
      </w:r>
      <w:r w:rsidR="00204813" w:rsidRPr="002239BF">
        <w:rPr>
          <w:rStyle w:val="FootnoteReference"/>
          <w:rFonts w:ascii="Times New Roman" w:hAnsi="Times New Roman" w:cs="Times New Roman"/>
          <w:sz w:val="24"/>
          <w:szCs w:val="24"/>
        </w:rPr>
        <w:footnoteReference w:id="94"/>
      </w:r>
    </w:p>
    <w:p w14:paraId="5487FDE1" w14:textId="77777777" w:rsidR="00297060" w:rsidRPr="002239BF" w:rsidRDefault="00297060" w:rsidP="00733DF3">
      <w:pPr>
        <w:spacing w:line="480" w:lineRule="auto"/>
        <w:rPr>
          <w:rFonts w:ascii="Times New Roman" w:hAnsi="Times New Roman" w:cs="Times New Roman"/>
          <w:sz w:val="24"/>
          <w:szCs w:val="24"/>
        </w:rPr>
      </w:pPr>
    </w:p>
    <w:p w14:paraId="2F1F2D17" w14:textId="40905BA4" w:rsidR="007163BA" w:rsidRPr="002239BF" w:rsidRDefault="006112FA"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Tenants may request a review of the decision concerning the length of </w:t>
      </w:r>
      <w:r w:rsidR="00503833" w:rsidRPr="002239BF">
        <w:rPr>
          <w:rFonts w:ascii="Times New Roman" w:hAnsi="Times New Roman" w:cs="Times New Roman"/>
          <w:sz w:val="24"/>
          <w:szCs w:val="24"/>
        </w:rPr>
        <w:t>the fixed term,</w:t>
      </w:r>
      <w:r w:rsidR="005D0A06" w:rsidRPr="002239BF">
        <w:rPr>
          <w:rStyle w:val="FootnoteReference"/>
          <w:rFonts w:ascii="Times New Roman" w:hAnsi="Times New Roman" w:cs="Times New Roman"/>
          <w:sz w:val="24"/>
          <w:szCs w:val="24"/>
        </w:rPr>
        <w:footnoteReference w:id="95"/>
      </w:r>
      <w:r w:rsidR="00503833" w:rsidRPr="002239BF">
        <w:rPr>
          <w:rFonts w:ascii="Times New Roman" w:hAnsi="Times New Roman" w:cs="Times New Roman"/>
          <w:sz w:val="24"/>
          <w:szCs w:val="24"/>
        </w:rPr>
        <w:t xml:space="preserve"> but </w:t>
      </w:r>
      <w:r w:rsidR="002E3701" w:rsidRPr="002239BF">
        <w:rPr>
          <w:rFonts w:ascii="Times New Roman" w:hAnsi="Times New Roman" w:cs="Times New Roman"/>
          <w:sz w:val="24"/>
          <w:szCs w:val="24"/>
        </w:rPr>
        <w:t>it</w:t>
      </w:r>
      <w:r w:rsidR="005D0A06" w:rsidRPr="002239BF">
        <w:rPr>
          <w:rFonts w:ascii="Times New Roman" w:hAnsi="Times New Roman" w:cs="Times New Roman"/>
          <w:sz w:val="24"/>
          <w:szCs w:val="24"/>
        </w:rPr>
        <w:t xml:space="preserve"> is limited to considering whether the length of the tenancy offered accords with the landlord’s policy.</w:t>
      </w:r>
      <w:r w:rsidR="005D0A06" w:rsidRPr="002239BF">
        <w:rPr>
          <w:rStyle w:val="FootnoteReference"/>
          <w:rFonts w:ascii="Times New Roman" w:hAnsi="Times New Roman" w:cs="Times New Roman"/>
          <w:sz w:val="24"/>
          <w:szCs w:val="24"/>
        </w:rPr>
        <w:footnoteReference w:id="96"/>
      </w:r>
      <w:r w:rsidR="005D0A06" w:rsidRPr="002239BF">
        <w:rPr>
          <w:rFonts w:ascii="Times New Roman" w:hAnsi="Times New Roman" w:cs="Times New Roman"/>
          <w:sz w:val="24"/>
          <w:szCs w:val="24"/>
        </w:rPr>
        <w:t xml:space="preserve">  </w:t>
      </w:r>
      <w:r w:rsidR="00DB7194" w:rsidRPr="002239BF">
        <w:rPr>
          <w:rFonts w:ascii="Times New Roman" w:hAnsi="Times New Roman" w:cs="Times New Roman"/>
          <w:sz w:val="24"/>
          <w:szCs w:val="24"/>
        </w:rPr>
        <w:t xml:space="preserve">This </w:t>
      </w:r>
      <w:r w:rsidR="002A7381" w:rsidRPr="002239BF">
        <w:rPr>
          <w:rFonts w:ascii="Times New Roman" w:hAnsi="Times New Roman" w:cs="Times New Roman"/>
          <w:sz w:val="24"/>
          <w:szCs w:val="24"/>
        </w:rPr>
        <w:t xml:space="preserve">provision </w:t>
      </w:r>
      <w:r w:rsidR="00DB7194" w:rsidRPr="002239BF">
        <w:rPr>
          <w:rFonts w:ascii="Times New Roman" w:hAnsi="Times New Roman" w:cs="Times New Roman"/>
          <w:sz w:val="24"/>
          <w:szCs w:val="24"/>
        </w:rPr>
        <w:t>mirrors the position with flexible tenanc</w:t>
      </w:r>
      <w:r w:rsidR="002A7381" w:rsidRPr="002239BF">
        <w:rPr>
          <w:rFonts w:ascii="Times New Roman" w:hAnsi="Times New Roman" w:cs="Times New Roman"/>
          <w:sz w:val="24"/>
          <w:szCs w:val="24"/>
        </w:rPr>
        <w:t>ies.</w:t>
      </w:r>
      <w:r w:rsidR="002A7381" w:rsidRPr="002239BF">
        <w:rPr>
          <w:rStyle w:val="FootnoteReference"/>
          <w:rFonts w:ascii="Times New Roman" w:hAnsi="Times New Roman" w:cs="Times New Roman"/>
          <w:sz w:val="24"/>
          <w:szCs w:val="24"/>
        </w:rPr>
        <w:footnoteReference w:id="97"/>
      </w:r>
      <w:r w:rsidR="00544607" w:rsidRPr="002239BF">
        <w:rPr>
          <w:rFonts w:ascii="Times New Roman" w:hAnsi="Times New Roman" w:cs="Times New Roman"/>
          <w:sz w:val="24"/>
          <w:szCs w:val="24"/>
        </w:rPr>
        <w:t xml:space="preserve">  </w:t>
      </w:r>
      <w:r w:rsidR="006A5871" w:rsidRPr="002239BF">
        <w:rPr>
          <w:rFonts w:ascii="Times New Roman" w:hAnsi="Times New Roman" w:cs="Times New Roman"/>
          <w:sz w:val="24"/>
          <w:szCs w:val="24"/>
        </w:rPr>
        <w:t xml:space="preserve">These </w:t>
      </w:r>
      <w:r w:rsidR="009A614D" w:rsidRPr="002239BF">
        <w:rPr>
          <w:rFonts w:ascii="Times New Roman" w:hAnsi="Times New Roman" w:cs="Times New Roman"/>
          <w:sz w:val="24"/>
          <w:szCs w:val="24"/>
        </w:rPr>
        <w:t xml:space="preserve">types of </w:t>
      </w:r>
      <w:r w:rsidR="006A5871" w:rsidRPr="002239BF">
        <w:rPr>
          <w:rFonts w:ascii="Times New Roman" w:hAnsi="Times New Roman" w:cs="Times New Roman"/>
          <w:sz w:val="24"/>
          <w:szCs w:val="24"/>
        </w:rPr>
        <w:t xml:space="preserve">internal review </w:t>
      </w:r>
      <w:r w:rsidR="009A614D" w:rsidRPr="002239BF">
        <w:rPr>
          <w:rFonts w:ascii="Times New Roman" w:hAnsi="Times New Roman" w:cs="Times New Roman"/>
          <w:sz w:val="24"/>
          <w:szCs w:val="24"/>
        </w:rPr>
        <w:t>process</w:t>
      </w:r>
      <w:r w:rsidR="006A5871" w:rsidRPr="002239BF">
        <w:rPr>
          <w:rFonts w:ascii="Times New Roman" w:hAnsi="Times New Roman" w:cs="Times New Roman"/>
          <w:sz w:val="24"/>
          <w:szCs w:val="24"/>
        </w:rPr>
        <w:t xml:space="preserve"> have been used increasingly frequently</w:t>
      </w:r>
      <w:r w:rsidR="007F504F" w:rsidRPr="002239BF">
        <w:rPr>
          <w:rFonts w:ascii="Times New Roman" w:hAnsi="Times New Roman" w:cs="Times New Roman"/>
          <w:sz w:val="24"/>
          <w:szCs w:val="24"/>
        </w:rPr>
        <w:t xml:space="preserve"> for </w:t>
      </w:r>
      <w:r w:rsidR="002E3701" w:rsidRPr="002239BF">
        <w:rPr>
          <w:rFonts w:ascii="Times New Roman" w:hAnsi="Times New Roman" w:cs="Times New Roman"/>
          <w:sz w:val="24"/>
          <w:szCs w:val="24"/>
        </w:rPr>
        <w:t xml:space="preserve">local authority </w:t>
      </w:r>
      <w:r w:rsidR="007F504F" w:rsidRPr="002239BF">
        <w:rPr>
          <w:rFonts w:ascii="Times New Roman" w:hAnsi="Times New Roman" w:cs="Times New Roman"/>
          <w:sz w:val="24"/>
          <w:szCs w:val="24"/>
        </w:rPr>
        <w:t>housing decis</w:t>
      </w:r>
      <w:r w:rsidR="00DE53DD" w:rsidRPr="002239BF">
        <w:rPr>
          <w:rFonts w:ascii="Times New Roman" w:hAnsi="Times New Roman" w:cs="Times New Roman"/>
          <w:sz w:val="24"/>
          <w:szCs w:val="24"/>
        </w:rPr>
        <w:t>ions</w:t>
      </w:r>
      <w:r w:rsidR="0000419B" w:rsidRPr="002239BF">
        <w:rPr>
          <w:rFonts w:ascii="Times New Roman" w:hAnsi="Times New Roman" w:cs="Times New Roman"/>
          <w:sz w:val="24"/>
          <w:szCs w:val="24"/>
        </w:rPr>
        <w:t>,</w:t>
      </w:r>
      <w:r w:rsidR="00B00D80" w:rsidRPr="002239BF">
        <w:rPr>
          <w:rStyle w:val="FootnoteReference"/>
          <w:rFonts w:ascii="Times New Roman" w:hAnsi="Times New Roman" w:cs="Times New Roman"/>
          <w:sz w:val="24"/>
          <w:szCs w:val="24"/>
        </w:rPr>
        <w:footnoteReference w:id="98"/>
      </w:r>
      <w:r w:rsidR="0000419B" w:rsidRPr="002239BF">
        <w:rPr>
          <w:rFonts w:ascii="Times New Roman" w:hAnsi="Times New Roman" w:cs="Times New Roman"/>
          <w:sz w:val="24"/>
          <w:szCs w:val="24"/>
        </w:rPr>
        <w:t xml:space="preserve"> and their </w:t>
      </w:r>
      <w:r w:rsidR="00E0384D" w:rsidRPr="002239BF">
        <w:rPr>
          <w:rFonts w:ascii="Times New Roman" w:hAnsi="Times New Roman" w:cs="Times New Roman"/>
          <w:sz w:val="24"/>
          <w:szCs w:val="24"/>
        </w:rPr>
        <w:t xml:space="preserve">common feature </w:t>
      </w:r>
      <w:r w:rsidR="00875818" w:rsidRPr="002239BF">
        <w:rPr>
          <w:rFonts w:ascii="Times New Roman" w:hAnsi="Times New Roman" w:cs="Times New Roman"/>
          <w:sz w:val="24"/>
          <w:szCs w:val="24"/>
        </w:rPr>
        <w:t>is</w:t>
      </w:r>
      <w:r w:rsidR="002765FF" w:rsidRPr="002239BF">
        <w:rPr>
          <w:rFonts w:ascii="Times New Roman" w:hAnsi="Times New Roman" w:cs="Times New Roman"/>
          <w:sz w:val="24"/>
          <w:szCs w:val="24"/>
        </w:rPr>
        <w:t xml:space="preserve"> </w:t>
      </w:r>
      <w:r w:rsidR="002E3701" w:rsidRPr="002239BF">
        <w:rPr>
          <w:rFonts w:ascii="Times New Roman" w:hAnsi="Times New Roman" w:cs="Times New Roman"/>
          <w:sz w:val="24"/>
          <w:szCs w:val="24"/>
        </w:rPr>
        <w:t>a</w:t>
      </w:r>
      <w:r w:rsidR="002765FF" w:rsidRPr="002239BF">
        <w:rPr>
          <w:rFonts w:ascii="Times New Roman" w:hAnsi="Times New Roman" w:cs="Times New Roman"/>
          <w:sz w:val="24"/>
          <w:szCs w:val="24"/>
        </w:rPr>
        <w:t xml:space="preserve"> </w:t>
      </w:r>
      <w:r w:rsidR="00875818" w:rsidRPr="002239BF">
        <w:rPr>
          <w:rFonts w:ascii="Times New Roman" w:hAnsi="Times New Roman" w:cs="Times New Roman"/>
          <w:sz w:val="24"/>
          <w:szCs w:val="24"/>
        </w:rPr>
        <w:t xml:space="preserve">reduced </w:t>
      </w:r>
      <w:r w:rsidR="002E3701" w:rsidRPr="002239BF">
        <w:rPr>
          <w:rFonts w:ascii="Times New Roman" w:hAnsi="Times New Roman" w:cs="Times New Roman"/>
          <w:sz w:val="24"/>
          <w:szCs w:val="24"/>
        </w:rPr>
        <w:t xml:space="preserve">judicial </w:t>
      </w:r>
      <w:r w:rsidR="002765FF" w:rsidRPr="002239BF">
        <w:rPr>
          <w:rFonts w:ascii="Times New Roman" w:hAnsi="Times New Roman" w:cs="Times New Roman"/>
          <w:sz w:val="24"/>
          <w:szCs w:val="24"/>
        </w:rPr>
        <w:t>role</w:t>
      </w:r>
      <w:r w:rsidR="00E0384D" w:rsidRPr="002239BF">
        <w:rPr>
          <w:rFonts w:ascii="Times New Roman" w:hAnsi="Times New Roman" w:cs="Times New Roman"/>
          <w:sz w:val="24"/>
          <w:szCs w:val="24"/>
        </w:rPr>
        <w:t xml:space="preserve">.  </w:t>
      </w:r>
      <w:r w:rsidR="00875818" w:rsidRPr="002239BF">
        <w:rPr>
          <w:rFonts w:ascii="Times New Roman" w:hAnsi="Times New Roman" w:cs="Times New Roman"/>
          <w:sz w:val="24"/>
          <w:szCs w:val="24"/>
        </w:rPr>
        <w:t>Unlike</w:t>
      </w:r>
      <w:r w:rsidR="004332FE" w:rsidRPr="002239BF">
        <w:rPr>
          <w:rFonts w:ascii="Times New Roman" w:hAnsi="Times New Roman" w:cs="Times New Roman"/>
          <w:sz w:val="24"/>
          <w:szCs w:val="24"/>
        </w:rPr>
        <w:t xml:space="preserve"> the ending of a secure tenancy</w:t>
      </w:r>
      <w:r w:rsidR="00875818" w:rsidRPr="002239BF">
        <w:rPr>
          <w:rFonts w:ascii="Times New Roman" w:hAnsi="Times New Roman" w:cs="Times New Roman"/>
          <w:sz w:val="24"/>
          <w:szCs w:val="24"/>
        </w:rPr>
        <w:t>,</w:t>
      </w:r>
      <w:r w:rsidR="004332FE" w:rsidRPr="002239BF">
        <w:rPr>
          <w:rFonts w:ascii="Times New Roman" w:hAnsi="Times New Roman" w:cs="Times New Roman"/>
          <w:sz w:val="24"/>
          <w:szCs w:val="24"/>
        </w:rPr>
        <w:t xml:space="preserve"> where the court has a wide </w:t>
      </w:r>
      <w:r w:rsidR="00E0384D" w:rsidRPr="002239BF">
        <w:rPr>
          <w:rFonts w:ascii="Times New Roman" w:hAnsi="Times New Roman" w:cs="Times New Roman"/>
          <w:sz w:val="24"/>
          <w:szCs w:val="24"/>
        </w:rPr>
        <w:t>discretion</w:t>
      </w:r>
      <w:r w:rsidR="004332FE" w:rsidRPr="002239BF">
        <w:rPr>
          <w:rFonts w:ascii="Times New Roman" w:hAnsi="Times New Roman" w:cs="Times New Roman"/>
          <w:sz w:val="24"/>
          <w:szCs w:val="24"/>
        </w:rPr>
        <w:t xml:space="preserve"> </w:t>
      </w:r>
      <w:r w:rsidR="002E3701" w:rsidRPr="002239BF">
        <w:rPr>
          <w:rFonts w:ascii="Times New Roman" w:hAnsi="Times New Roman" w:cs="Times New Roman"/>
          <w:sz w:val="24"/>
          <w:szCs w:val="24"/>
        </w:rPr>
        <w:t>to assess</w:t>
      </w:r>
      <w:r w:rsidR="004332FE" w:rsidRPr="002239BF">
        <w:rPr>
          <w:rFonts w:ascii="Times New Roman" w:hAnsi="Times New Roman" w:cs="Times New Roman"/>
          <w:sz w:val="24"/>
          <w:szCs w:val="24"/>
        </w:rPr>
        <w:t xml:space="preserve"> the reasonableness of making a possession order,</w:t>
      </w:r>
      <w:r w:rsidR="00670A40" w:rsidRPr="002239BF">
        <w:rPr>
          <w:rStyle w:val="FootnoteReference"/>
          <w:rFonts w:ascii="Times New Roman" w:hAnsi="Times New Roman" w:cs="Times New Roman"/>
          <w:sz w:val="24"/>
          <w:szCs w:val="24"/>
        </w:rPr>
        <w:footnoteReference w:id="99"/>
      </w:r>
      <w:r w:rsidR="00A70FE5" w:rsidRPr="002239BF">
        <w:rPr>
          <w:rFonts w:ascii="Times New Roman" w:hAnsi="Times New Roman" w:cs="Times New Roman"/>
          <w:sz w:val="24"/>
          <w:szCs w:val="24"/>
        </w:rPr>
        <w:t xml:space="preserve"> a court must make a</w:t>
      </w:r>
      <w:r w:rsidR="00875818" w:rsidRPr="002239BF">
        <w:rPr>
          <w:rFonts w:ascii="Times New Roman" w:hAnsi="Times New Roman" w:cs="Times New Roman"/>
          <w:sz w:val="24"/>
          <w:szCs w:val="24"/>
        </w:rPr>
        <w:t xml:space="preserve">n order for possession if </w:t>
      </w:r>
      <w:r w:rsidR="00A70FE5" w:rsidRPr="002239BF">
        <w:rPr>
          <w:rFonts w:ascii="Times New Roman" w:hAnsi="Times New Roman" w:cs="Times New Roman"/>
          <w:sz w:val="24"/>
          <w:szCs w:val="24"/>
        </w:rPr>
        <w:t>satisfied that the landlord authority has followed the correct procedure.</w:t>
      </w:r>
      <w:r w:rsidR="00A70FE5" w:rsidRPr="002239BF">
        <w:rPr>
          <w:rStyle w:val="FootnoteReference"/>
          <w:rFonts w:ascii="Times New Roman" w:hAnsi="Times New Roman" w:cs="Times New Roman"/>
          <w:sz w:val="24"/>
          <w:szCs w:val="24"/>
        </w:rPr>
        <w:footnoteReference w:id="100"/>
      </w:r>
      <w:r w:rsidR="00A70FE5" w:rsidRPr="002239BF">
        <w:rPr>
          <w:rFonts w:ascii="Times New Roman" w:hAnsi="Times New Roman" w:cs="Times New Roman"/>
          <w:sz w:val="24"/>
          <w:szCs w:val="24"/>
        </w:rPr>
        <w:t xml:space="preserve"> </w:t>
      </w:r>
      <w:r w:rsidR="00E377BD" w:rsidRPr="002239BF">
        <w:rPr>
          <w:rFonts w:ascii="Times New Roman" w:hAnsi="Times New Roman" w:cs="Times New Roman"/>
          <w:sz w:val="24"/>
          <w:szCs w:val="24"/>
        </w:rPr>
        <w:t>In common with the ending of a flexible tenancy,</w:t>
      </w:r>
      <w:r w:rsidR="00E377BD" w:rsidRPr="002239BF">
        <w:rPr>
          <w:rStyle w:val="FootnoteReference"/>
          <w:rFonts w:ascii="Times New Roman" w:hAnsi="Times New Roman" w:cs="Times New Roman"/>
          <w:sz w:val="24"/>
          <w:szCs w:val="24"/>
        </w:rPr>
        <w:footnoteReference w:id="101"/>
      </w:r>
      <w:r w:rsidR="00E377BD" w:rsidRPr="002239BF">
        <w:rPr>
          <w:rFonts w:ascii="Times New Roman" w:hAnsi="Times New Roman" w:cs="Times New Roman"/>
          <w:sz w:val="24"/>
          <w:szCs w:val="24"/>
        </w:rPr>
        <w:t xml:space="preserve"> t</w:t>
      </w:r>
      <w:r w:rsidR="00602536" w:rsidRPr="002239BF">
        <w:rPr>
          <w:rFonts w:ascii="Times New Roman" w:hAnsi="Times New Roman" w:cs="Times New Roman"/>
          <w:sz w:val="24"/>
          <w:szCs w:val="24"/>
        </w:rPr>
        <w:t xml:space="preserve">he 2016 Act makes provision for the court to refuse </w:t>
      </w:r>
      <w:r w:rsidR="002E3701" w:rsidRPr="002239BF">
        <w:rPr>
          <w:rFonts w:ascii="Times New Roman" w:hAnsi="Times New Roman" w:cs="Times New Roman"/>
          <w:sz w:val="24"/>
          <w:szCs w:val="24"/>
        </w:rPr>
        <w:t>an order</w:t>
      </w:r>
      <w:r w:rsidR="00875818" w:rsidRPr="002239BF">
        <w:rPr>
          <w:rFonts w:ascii="Times New Roman" w:hAnsi="Times New Roman" w:cs="Times New Roman"/>
          <w:sz w:val="24"/>
          <w:szCs w:val="24"/>
        </w:rPr>
        <w:t xml:space="preserve"> </w:t>
      </w:r>
      <w:r w:rsidR="00602536" w:rsidRPr="002239BF">
        <w:rPr>
          <w:rFonts w:ascii="Times New Roman" w:hAnsi="Times New Roman" w:cs="Times New Roman"/>
          <w:sz w:val="24"/>
          <w:szCs w:val="24"/>
        </w:rPr>
        <w:t>if it considers t</w:t>
      </w:r>
      <w:r w:rsidR="00875818" w:rsidRPr="002239BF">
        <w:rPr>
          <w:rFonts w:ascii="Times New Roman" w:hAnsi="Times New Roman" w:cs="Times New Roman"/>
          <w:sz w:val="24"/>
          <w:szCs w:val="24"/>
        </w:rPr>
        <w:t xml:space="preserve">hat a decision of the landlord </w:t>
      </w:r>
      <w:r w:rsidR="00602536" w:rsidRPr="002239BF">
        <w:rPr>
          <w:rFonts w:ascii="Times New Roman" w:hAnsi="Times New Roman" w:cs="Times New Roman"/>
          <w:sz w:val="24"/>
          <w:szCs w:val="24"/>
        </w:rPr>
        <w:t>was wrong in law.</w:t>
      </w:r>
      <w:r w:rsidR="00602536" w:rsidRPr="002239BF">
        <w:rPr>
          <w:rStyle w:val="FootnoteReference"/>
          <w:rFonts w:ascii="Times New Roman" w:hAnsi="Times New Roman" w:cs="Times New Roman"/>
          <w:sz w:val="24"/>
          <w:szCs w:val="24"/>
        </w:rPr>
        <w:footnoteReference w:id="102"/>
      </w:r>
      <w:r w:rsidR="00602536" w:rsidRPr="002239BF">
        <w:rPr>
          <w:rFonts w:ascii="Times New Roman" w:hAnsi="Times New Roman" w:cs="Times New Roman"/>
          <w:sz w:val="24"/>
          <w:szCs w:val="24"/>
        </w:rPr>
        <w:t xml:space="preserve">  </w:t>
      </w:r>
      <w:r w:rsidR="007163BA" w:rsidRPr="002239BF">
        <w:rPr>
          <w:rFonts w:ascii="Times New Roman" w:hAnsi="Times New Roman" w:cs="Times New Roman"/>
          <w:sz w:val="24"/>
          <w:szCs w:val="24"/>
        </w:rPr>
        <w:t xml:space="preserve">It is likely that this provision was included to accommodate the Supreme Court decision in </w:t>
      </w:r>
      <w:r w:rsidR="007163BA" w:rsidRPr="002239BF">
        <w:rPr>
          <w:rFonts w:ascii="Times New Roman" w:hAnsi="Times New Roman" w:cs="Times New Roman"/>
          <w:i/>
          <w:sz w:val="24"/>
          <w:szCs w:val="24"/>
        </w:rPr>
        <w:t>Manchester City Council v Pinnock</w:t>
      </w:r>
      <w:bookmarkStart w:id="8" w:name="_Ref461891144"/>
      <w:r w:rsidR="007163BA" w:rsidRPr="002239BF">
        <w:rPr>
          <w:rStyle w:val="FootnoteReference"/>
          <w:rFonts w:ascii="Times New Roman" w:hAnsi="Times New Roman" w:cs="Times New Roman"/>
          <w:sz w:val="24"/>
          <w:szCs w:val="24"/>
        </w:rPr>
        <w:footnoteReference w:id="103"/>
      </w:r>
      <w:bookmarkEnd w:id="8"/>
      <w:r w:rsidR="007163BA" w:rsidRPr="002239BF">
        <w:rPr>
          <w:rFonts w:ascii="Times New Roman" w:hAnsi="Times New Roman" w:cs="Times New Roman"/>
          <w:sz w:val="24"/>
          <w:szCs w:val="24"/>
        </w:rPr>
        <w:t xml:space="preserve"> </w:t>
      </w:r>
      <w:r w:rsidR="006B7C19" w:rsidRPr="002239BF">
        <w:rPr>
          <w:rFonts w:ascii="Times New Roman" w:hAnsi="Times New Roman" w:cs="Times New Roman"/>
          <w:sz w:val="24"/>
          <w:szCs w:val="24"/>
        </w:rPr>
        <w:t xml:space="preserve">which decided </w:t>
      </w:r>
      <w:r w:rsidR="007163BA" w:rsidRPr="002239BF">
        <w:rPr>
          <w:rFonts w:ascii="Times New Roman" w:hAnsi="Times New Roman" w:cs="Times New Roman"/>
          <w:sz w:val="24"/>
          <w:szCs w:val="24"/>
        </w:rPr>
        <w:t>that</w:t>
      </w:r>
      <w:r w:rsidR="00DD633E" w:rsidRPr="002239BF">
        <w:rPr>
          <w:rFonts w:ascii="Times New Roman" w:hAnsi="Times New Roman" w:cs="Times New Roman"/>
          <w:sz w:val="24"/>
          <w:szCs w:val="24"/>
        </w:rPr>
        <w:t xml:space="preserve">, </w:t>
      </w:r>
      <w:r w:rsidR="007163BA" w:rsidRPr="002239BF">
        <w:rPr>
          <w:rFonts w:ascii="Times New Roman" w:hAnsi="Times New Roman" w:cs="Times New Roman"/>
          <w:sz w:val="24"/>
          <w:szCs w:val="24"/>
        </w:rPr>
        <w:t xml:space="preserve">to ensure compatibility of the ending of </w:t>
      </w:r>
      <w:r w:rsidR="000469E0" w:rsidRPr="002239BF">
        <w:rPr>
          <w:rFonts w:ascii="Times New Roman" w:hAnsi="Times New Roman" w:cs="Times New Roman"/>
          <w:sz w:val="24"/>
          <w:szCs w:val="24"/>
        </w:rPr>
        <w:t>d</w:t>
      </w:r>
      <w:r w:rsidR="007163BA" w:rsidRPr="002239BF">
        <w:rPr>
          <w:rFonts w:ascii="Times New Roman" w:hAnsi="Times New Roman" w:cs="Times New Roman"/>
          <w:sz w:val="24"/>
          <w:szCs w:val="24"/>
        </w:rPr>
        <w:t xml:space="preserve">emoted </w:t>
      </w:r>
      <w:r w:rsidR="000469E0" w:rsidRPr="002239BF">
        <w:rPr>
          <w:rFonts w:ascii="Times New Roman" w:hAnsi="Times New Roman" w:cs="Times New Roman"/>
          <w:sz w:val="24"/>
          <w:szCs w:val="24"/>
        </w:rPr>
        <w:t>t</w:t>
      </w:r>
      <w:r w:rsidR="007163BA" w:rsidRPr="002239BF">
        <w:rPr>
          <w:rFonts w:ascii="Times New Roman" w:hAnsi="Times New Roman" w:cs="Times New Roman"/>
          <w:sz w:val="24"/>
          <w:szCs w:val="24"/>
        </w:rPr>
        <w:t xml:space="preserve">enancies with article 8 of the European Convention on Human Rights, it was necessary </w:t>
      </w:r>
    </w:p>
    <w:p w14:paraId="4ABCA0C2" w14:textId="77777777" w:rsidR="00297060" w:rsidRPr="002239BF" w:rsidRDefault="00297060" w:rsidP="00733DF3">
      <w:pPr>
        <w:spacing w:line="480" w:lineRule="auto"/>
        <w:rPr>
          <w:rFonts w:ascii="Times New Roman" w:hAnsi="Times New Roman" w:cs="Times New Roman"/>
          <w:sz w:val="24"/>
          <w:szCs w:val="24"/>
        </w:rPr>
      </w:pPr>
    </w:p>
    <w:p w14:paraId="5A11941C" w14:textId="0CBD7311" w:rsidR="007163BA" w:rsidRPr="002239BF" w:rsidRDefault="007163BA" w:rsidP="00733DF3">
      <w:pPr>
        <w:spacing w:line="480" w:lineRule="auto"/>
        <w:ind w:left="720"/>
        <w:rPr>
          <w:rFonts w:ascii="Times New Roman" w:hAnsi="Times New Roman" w:cs="Times New Roman"/>
          <w:sz w:val="24"/>
          <w:szCs w:val="24"/>
        </w:rPr>
      </w:pPr>
      <w:r w:rsidRPr="002239BF">
        <w:rPr>
          <w:rFonts w:ascii="Times New Roman" w:hAnsi="Times New Roman" w:cs="Times New Roman"/>
          <w:sz w:val="24"/>
          <w:szCs w:val="24"/>
        </w:rPr>
        <w:t xml:space="preserve"> .  . . . where a court is asked to make an order for possession of a person’s home at the suit of a local authority the court must have the power to assess the proportionality of making the order, and, in making that assessment, to resolve any relevant dispute of fact.</w:t>
      </w:r>
      <w:r w:rsidRPr="002239BF">
        <w:rPr>
          <w:rStyle w:val="FootnoteReference"/>
          <w:rFonts w:ascii="Times New Roman" w:hAnsi="Times New Roman" w:cs="Times New Roman"/>
          <w:sz w:val="24"/>
          <w:szCs w:val="24"/>
        </w:rPr>
        <w:footnoteReference w:id="104"/>
      </w:r>
      <w:r w:rsidRPr="002239BF">
        <w:rPr>
          <w:rFonts w:ascii="Times New Roman" w:hAnsi="Times New Roman" w:cs="Times New Roman"/>
          <w:sz w:val="24"/>
          <w:szCs w:val="24"/>
        </w:rPr>
        <w:t xml:space="preserve">  </w:t>
      </w:r>
    </w:p>
    <w:p w14:paraId="4ECA51DA" w14:textId="0DD51960" w:rsidR="007163BA" w:rsidRPr="002239BF" w:rsidRDefault="0064250D" w:rsidP="00695235">
      <w:pPr>
        <w:spacing w:line="480" w:lineRule="auto"/>
        <w:rPr>
          <w:rFonts w:ascii="Times New Roman" w:hAnsi="Times New Roman" w:cs="Times New Roman"/>
          <w:sz w:val="24"/>
          <w:szCs w:val="24"/>
        </w:rPr>
      </w:pPr>
      <w:r w:rsidRPr="002239BF">
        <w:rPr>
          <w:rFonts w:ascii="Times New Roman" w:hAnsi="Times New Roman" w:cs="Times New Roman"/>
          <w:sz w:val="24"/>
          <w:szCs w:val="24"/>
        </w:rPr>
        <w:t>This decision represented</w:t>
      </w:r>
      <w:r w:rsidR="007163BA" w:rsidRPr="002239BF">
        <w:rPr>
          <w:rFonts w:ascii="Times New Roman" w:hAnsi="Times New Roman" w:cs="Times New Roman"/>
          <w:sz w:val="24"/>
          <w:szCs w:val="24"/>
        </w:rPr>
        <w:t xml:space="preserve"> a watershed moment in housing law, as it marked the end of a long-running dispute between the European Court of Human Rights and the Supreme Court.</w:t>
      </w:r>
      <w:r w:rsidR="007163BA" w:rsidRPr="002239BF">
        <w:rPr>
          <w:rStyle w:val="FootnoteReference"/>
          <w:rFonts w:ascii="Times New Roman" w:hAnsi="Times New Roman" w:cs="Times New Roman"/>
          <w:sz w:val="24"/>
          <w:szCs w:val="24"/>
        </w:rPr>
        <w:footnoteReference w:id="105"/>
      </w:r>
      <w:r w:rsidR="007163BA" w:rsidRPr="002239BF">
        <w:rPr>
          <w:rFonts w:ascii="Times New Roman" w:hAnsi="Times New Roman" w:cs="Times New Roman"/>
          <w:sz w:val="24"/>
          <w:szCs w:val="24"/>
        </w:rPr>
        <w:t xml:space="preserve">  Until </w:t>
      </w:r>
      <w:r w:rsidR="007163BA" w:rsidRPr="002239BF">
        <w:rPr>
          <w:rFonts w:ascii="Times New Roman" w:hAnsi="Times New Roman" w:cs="Times New Roman"/>
          <w:i/>
          <w:sz w:val="24"/>
          <w:szCs w:val="24"/>
        </w:rPr>
        <w:t>Pinnock</w:t>
      </w:r>
      <w:r w:rsidR="007163BA" w:rsidRPr="002239BF">
        <w:rPr>
          <w:rFonts w:ascii="Times New Roman" w:hAnsi="Times New Roman" w:cs="Times New Roman"/>
          <w:sz w:val="24"/>
          <w:szCs w:val="24"/>
        </w:rPr>
        <w:t>, successive cases</w:t>
      </w:r>
      <w:bookmarkStart w:id="9" w:name="_Ref474335371"/>
      <w:r w:rsidR="00CD1922" w:rsidRPr="002239BF">
        <w:rPr>
          <w:rStyle w:val="FootnoteReference"/>
          <w:rFonts w:ascii="Times New Roman" w:hAnsi="Times New Roman" w:cs="Times New Roman"/>
          <w:sz w:val="24"/>
          <w:szCs w:val="24"/>
        </w:rPr>
        <w:footnoteReference w:id="106"/>
      </w:r>
      <w:bookmarkEnd w:id="9"/>
      <w:r w:rsidR="007163BA" w:rsidRPr="002239BF">
        <w:rPr>
          <w:rFonts w:ascii="Times New Roman" w:hAnsi="Times New Roman" w:cs="Times New Roman"/>
          <w:sz w:val="24"/>
          <w:szCs w:val="24"/>
        </w:rPr>
        <w:t xml:space="preserve"> had denied the necessity for the courts to be able to assess in every instance the proportionality of a public landlord’s application for possession of a person’s home.</w:t>
      </w:r>
      <w:r w:rsidR="007163BA" w:rsidRPr="002239BF">
        <w:rPr>
          <w:rStyle w:val="FootnoteReference"/>
          <w:rFonts w:ascii="Times New Roman" w:hAnsi="Times New Roman" w:cs="Times New Roman"/>
          <w:sz w:val="24"/>
          <w:szCs w:val="24"/>
        </w:rPr>
        <w:footnoteReference w:id="107"/>
      </w:r>
      <w:r w:rsidR="007163BA" w:rsidRPr="002239BF">
        <w:rPr>
          <w:rFonts w:ascii="Times New Roman" w:hAnsi="Times New Roman" w:cs="Times New Roman"/>
          <w:sz w:val="24"/>
          <w:szCs w:val="24"/>
        </w:rPr>
        <w:t xml:space="preserve">  Despite the apparently mandatory nature of the statutory provision in </w:t>
      </w:r>
      <w:r w:rsidR="007163BA" w:rsidRPr="002239BF">
        <w:rPr>
          <w:rFonts w:ascii="Times New Roman" w:hAnsi="Times New Roman" w:cs="Times New Roman"/>
          <w:i/>
          <w:sz w:val="24"/>
          <w:szCs w:val="24"/>
        </w:rPr>
        <w:t>Pinnock</w:t>
      </w:r>
      <w:r w:rsidR="007163BA" w:rsidRPr="002239BF">
        <w:rPr>
          <w:rFonts w:ascii="Times New Roman" w:hAnsi="Times New Roman" w:cs="Times New Roman"/>
          <w:sz w:val="24"/>
          <w:szCs w:val="24"/>
        </w:rPr>
        <w:t>,</w:t>
      </w:r>
      <w:r w:rsidR="007163BA" w:rsidRPr="002239BF">
        <w:rPr>
          <w:rStyle w:val="FootnoteReference"/>
          <w:rFonts w:ascii="Times New Roman" w:hAnsi="Times New Roman" w:cs="Times New Roman"/>
          <w:sz w:val="24"/>
          <w:szCs w:val="24"/>
        </w:rPr>
        <w:footnoteReference w:id="108"/>
      </w:r>
      <w:r w:rsidR="007163BA" w:rsidRPr="002239BF">
        <w:rPr>
          <w:rFonts w:ascii="Times New Roman" w:hAnsi="Times New Roman" w:cs="Times New Roman"/>
          <w:sz w:val="24"/>
          <w:szCs w:val="24"/>
        </w:rPr>
        <w:t xml:space="preserve"> the court nevertheless held that the legislation could be read compatibility with the Convention right under article 8.</w:t>
      </w:r>
      <w:r w:rsidR="007163BA" w:rsidRPr="002239BF">
        <w:rPr>
          <w:rStyle w:val="FootnoteReference"/>
          <w:rFonts w:ascii="Times New Roman" w:hAnsi="Times New Roman" w:cs="Times New Roman"/>
          <w:sz w:val="24"/>
          <w:szCs w:val="24"/>
        </w:rPr>
        <w:footnoteReference w:id="109"/>
      </w:r>
      <w:r w:rsidR="007163BA" w:rsidRPr="002239BF">
        <w:rPr>
          <w:rFonts w:ascii="Times New Roman" w:hAnsi="Times New Roman" w:cs="Times New Roman"/>
          <w:sz w:val="24"/>
          <w:szCs w:val="24"/>
        </w:rPr>
        <w:t xml:space="preserve">  </w:t>
      </w:r>
      <w:r w:rsidR="006449EA" w:rsidRPr="002239BF">
        <w:rPr>
          <w:rFonts w:ascii="Times New Roman" w:hAnsi="Times New Roman" w:cs="Times New Roman"/>
          <w:sz w:val="24"/>
          <w:szCs w:val="24"/>
        </w:rPr>
        <w:t xml:space="preserve">Subsequently </w:t>
      </w:r>
      <w:r w:rsidR="00067D34" w:rsidRPr="002239BF">
        <w:rPr>
          <w:rFonts w:ascii="Times New Roman" w:hAnsi="Times New Roman" w:cs="Times New Roman"/>
          <w:sz w:val="24"/>
          <w:szCs w:val="24"/>
        </w:rPr>
        <w:t>the Supreme Court</w:t>
      </w:r>
      <w:r w:rsidR="006449EA" w:rsidRPr="002239BF">
        <w:rPr>
          <w:rFonts w:ascii="Times New Roman" w:hAnsi="Times New Roman" w:cs="Times New Roman"/>
          <w:sz w:val="24"/>
          <w:szCs w:val="24"/>
        </w:rPr>
        <w:t xml:space="preserve"> extended the reasoning to other instances</w:t>
      </w:r>
      <w:r w:rsidR="00067D34" w:rsidRPr="002239BF">
        <w:rPr>
          <w:rFonts w:ascii="Times New Roman" w:hAnsi="Times New Roman" w:cs="Times New Roman"/>
          <w:sz w:val="24"/>
          <w:szCs w:val="24"/>
        </w:rPr>
        <w:t xml:space="preserve"> of mandatory possession orders</w:t>
      </w:r>
      <w:bookmarkStart w:id="10" w:name="_Ref474335262"/>
      <w:r w:rsidR="00067D34" w:rsidRPr="002239BF">
        <w:rPr>
          <w:rStyle w:val="FootnoteReference"/>
          <w:rFonts w:ascii="Times New Roman" w:hAnsi="Times New Roman" w:cs="Times New Roman"/>
          <w:sz w:val="24"/>
          <w:szCs w:val="24"/>
        </w:rPr>
        <w:footnoteReference w:id="110"/>
      </w:r>
      <w:bookmarkEnd w:id="10"/>
      <w:r w:rsidR="00067D34" w:rsidRPr="002239BF">
        <w:rPr>
          <w:rFonts w:ascii="Times New Roman" w:hAnsi="Times New Roman" w:cs="Times New Roman"/>
          <w:sz w:val="24"/>
          <w:szCs w:val="24"/>
        </w:rPr>
        <w:t xml:space="preserve"> and, consequently, </w:t>
      </w:r>
      <w:r w:rsidR="007163BA" w:rsidRPr="002239BF">
        <w:rPr>
          <w:rFonts w:ascii="Times New Roman" w:hAnsi="Times New Roman" w:cs="Times New Roman"/>
          <w:sz w:val="24"/>
          <w:szCs w:val="24"/>
        </w:rPr>
        <w:t xml:space="preserve">it is highly likely that </w:t>
      </w:r>
      <w:r w:rsidR="00067D34" w:rsidRPr="002239BF">
        <w:rPr>
          <w:rFonts w:ascii="Times New Roman" w:hAnsi="Times New Roman" w:cs="Times New Roman"/>
          <w:sz w:val="24"/>
          <w:szCs w:val="24"/>
        </w:rPr>
        <w:t>the procedure to end the new fixed-term tenancy would be Convention compliant</w:t>
      </w:r>
      <w:r w:rsidR="007163BA" w:rsidRPr="002239BF">
        <w:rPr>
          <w:rFonts w:ascii="Times New Roman" w:hAnsi="Times New Roman" w:cs="Times New Roman"/>
          <w:sz w:val="24"/>
          <w:szCs w:val="24"/>
        </w:rPr>
        <w:t xml:space="preserve">.  Despite the </w:t>
      </w:r>
      <w:r w:rsidR="00A76A82" w:rsidRPr="002239BF">
        <w:rPr>
          <w:rFonts w:ascii="Times New Roman" w:hAnsi="Times New Roman" w:cs="Times New Roman"/>
          <w:sz w:val="24"/>
          <w:szCs w:val="24"/>
        </w:rPr>
        <w:t xml:space="preserve">requirement </w:t>
      </w:r>
      <w:r w:rsidR="00067D34" w:rsidRPr="002239BF">
        <w:rPr>
          <w:rFonts w:ascii="Times New Roman" w:hAnsi="Times New Roman" w:cs="Times New Roman"/>
          <w:sz w:val="24"/>
          <w:szCs w:val="24"/>
        </w:rPr>
        <w:t>to include</w:t>
      </w:r>
      <w:r w:rsidR="007163BA" w:rsidRPr="002239BF">
        <w:rPr>
          <w:rFonts w:ascii="Times New Roman" w:hAnsi="Times New Roman" w:cs="Times New Roman"/>
          <w:sz w:val="24"/>
          <w:szCs w:val="24"/>
        </w:rPr>
        <w:t xml:space="preserve"> a proportionality challenge within the legislative scheme, it is beyond doubt that a </w:t>
      </w:r>
      <w:r w:rsidR="00463AD9" w:rsidRPr="002239BF">
        <w:rPr>
          <w:rFonts w:ascii="Times New Roman" w:hAnsi="Times New Roman" w:cs="Times New Roman"/>
          <w:sz w:val="24"/>
          <w:szCs w:val="24"/>
        </w:rPr>
        <w:t xml:space="preserve">successful </w:t>
      </w:r>
      <w:r w:rsidR="007163BA" w:rsidRPr="002239BF">
        <w:rPr>
          <w:rFonts w:ascii="Times New Roman" w:hAnsi="Times New Roman" w:cs="Times New Roman"/>
          <w:sz w:val="24"/>
          <w:szCs w:val="24"/>
        </w:rPr>
        <w:t>chall</w:t>
      </w:r>
      <w:r w:rsidR="00463AD9" w:rsidRPr="002239BF">
        <w:rPr>
          <w:rFonts w:ascii="Times New Roman" w:hAnsi="Times New Roman" w:cs="Times New Roman"/>
          <w:sz w:val="24"/>
          <w:szCs w:val="24"/>
        </w:rPr>
        <w:t>enge based on article 8 will be rare</w:t>
      </w:r>
      <w:r w:rsidR="007E740B" w:rsidRPr="002239BF">
        <w:rPr>
          <w:rFonts w:ascii="Times New Roman" w:hAnsi="Times New Roman" w:cs="Times New Roman"/>
          <w:sz w:val="24"/>
          <w:szCs w:val="24"/>
        </w:rPr>
        <w:t xml:space="preserve">.  </w:t>
      </w:r>
      <w:r w:rsidR="00B000FF" w:rsidRPr="002239BF">
        <w:rPr>
          <w:rFonts w:ascii="Times New Roman" w:hAnsi="Times New Roman" w:cs="Times New Roman"/>
          <w:i/>
          <w:sz w:val="24"/>
          <w:szCs w:val="24"/>
        </w:rPr>
        <w:t>Pinnock</w:t>
      </w:r>
      <w:r w:rsidR="00B000FF" w:rsidRPr="002239BF">
        <w:rPr>
          <w:rFonts w:ascii="Times New Roman" w:hAnsi="Times New Roman" w:cs="Times New Roman"/>
          <w:sz w:val="24"/>
          <w:szCs w:val="24"/>
        </w:rPr>
        <w:t xml:space="preserve"> rejected a</w:t>
      </w:r>
      <w:r w:rsidR="007E740B" w:rsidRPr="002239BF">
        <w:rPr>
          <w:rFonts w:ascii="Times New Roman" w:hAnsi="Times New Roman" w:cs="Times New Roman"/>
          <w:sz w:val="24"/>
          <w:szCs w:val="24"/>
        </w:rPr>
        <w:t xml:space="preserve"> test of exceptionality</w:t>
      </w:r>
      <w:r w:rsidR="007163BA" w:rsidRPr="002239BF">
        <w:rPr>
          <w:rStyle w:val="FootnoteReference"/>
          <w:rFonts w:ascii="Times New Roman" w:hAnsi="Times New Roman" w:cs="Times New Roman"/>
          <w:sz w:val="24"/>
          <w:szCs w:val="24"/>
        </w:rPr>
        <w:footnoteReference w:id="111"/>
      </w:r>
      <w:r w:rsidR="00185B6C" w:rsidRPr="002239BF">
        <w:rPr>
          <w:rFonts w:ascii="Times New Roman" w:hAnsi="Times New Roman" w:cs="Times New Roman"/>
          <w:sz w:val="24"/>
          <w:szCs w:val="24"/>
        </w:rPr>
        <w:t xml:space="preserve"> </w:t>
      </w:r>
      <w:r w:rsidR="00B000FF" w:rsidRPr="002239BF">
        <w:rPr>
          <w:rFonts w:ascii="Times New Roman" w:hAnsi="Times New Roman" w:cs="Times New Roman"/>
          <w:sz w:val="24"/>
          <w:szCs w:val="24"/>
        </w:rPr>
        <w:t>but the bar is set high to allow local authorities to comply with their broad</w:t>
      </w:r>
      <w:r w:rsidR="0088415F" w:rsidRPr="002239BF">
        <w:rPr>
          <w:rFonts w:ascii="Times New Roman" w:hAnsi="Times New Roman" w:cs="Times New Roman"/>
          <w:sz w:val="24"/>
          <w:szCs w:val="24"/>
        </w:rPr>
        <w:t>er housing management functions,</w:t>
      </w:r>
      <w:r w:rsidR="00B000FF" w:rsidRPr="002239BF">
        <w:rPr>
          <w:rStyle w:val="FootnoteReference"/>
          <w:rFonts w:ascii="Times New Roman" w:hAnsi="Times New Roman" w:cs="Times New Roman"/>
          <w:sz w:val="24"/>
          <w:szCs w:val="24"/>
        </w:rPr>
        <w:footnoteReference w:id="112"/>
      </w:r>
      <w:r w:rsidR="00B000FF" w:rsidRPr="002239BF">
        <w:rPr>
          <w:rFonts w:ascii="Times New Roman" w:hAnsi="Times New Roman" w:cs="Times New Roman"/>
          <w:sz w:val="24"/>
          <w:szCs w:val="24"/>
        </w:rPr>
        <w:t xml:space="preserve"> </w:t>
      </w:r>
      <w:r w:rsidR="0088415F" w:rsidRPr="002239BF">
        <w:rPr>
          <w:rFonts w:ascii="Times New Roman" w:hAnsi="Times New Roman" w:cs="Times New Roman"/>
          <w:sz w:val="24"/>
          <w:szCs w:val="24"/>
        </w:rPr>
        <w:t xml:space="preserve">with Lord Hope in </w:t>
      </w:r>
      <w:r w:rsidR="0088415F" w:rsidRPr="002239BF">
        <w:rPr>
          <w:rFonts w:ascii="Times New Roman" w:hAnsi="Times New Roman" w:cs="Times New Roman"/>
          <w:i/>
          <w:sz w:val="24"/>
          <w:szCs w:val="24"/>
        </w:rPr>
        <w:t>Powell</w:t>
      </w:r>
      <w:r w:rsidR="0088415F" w:rsidRPr="002239BF">
        <w:rPr>
          <w:rFonts w:ascii="Times New Roman" w:hAnsi="Times New Roman" w:cs="Times New Roman"/>
          <w:sz w:val="24"/>
          <w:szCs w:val="24"/>
        </w:rPr>
        <w:t xml:space="preserve"> saying that it is to be assumed that local authorities are </w:t>
      </w:r>
      <w:r w:rsidR="009E309D" w:rsidRPr="002239BF">
        <w:rPr>
          <w:rFonts w:ascii="Times New Roman" w:hAnsi="Times New Roman" w:cs="Times New Roman"/>
          <w:sz w:val="24"/>
          <w:szCs w:val="24"/>
        </w:rPr>
        <w:t>acting lawfully</w:t>
      </w:r>
      <w:r w:rsidR="0088415F" w:rsidRPr="002239BF">
        <w:rPr>
          <w:rFonts w:ascii="Times New Roman" w:hAnsi="Times New Roman" w:cs="Times New Roman"/>
          <w:sz w:val="24"/>
          <w:szCs w:val="24"/>
        </w:rPr>
        <w:t>.</w:t>
      </w:r>
      <w:r w:rsidR="0088415F" w:rsidRPr="002239BF">
        <w:rPr>
          <w:rStyle w:val="FootnoteReference"/>
          <w:rFonts w:ascii="Times New Roman" w:hAnsi="Times New Roman" w:cs="Times New Roman"/>
          <w:sz w:val="24"/>
          <w:szCs w:val="24"/>
        </w:rPr>
        <w:footnoteReference w:id="113"/>
      </w:r>
      <w:r w:rsidR="00695235" w:rsidRPr="002239BF">
        <w:rPr>
          <w:rFonts w:ascii="Times New Roman" w:hAnsi="Times New Roman" w:cs="Times New Roman"/>
          <w:sz w:val="24"/>
          <w:szCs w:val="24"/>
        </w:rPr>
        <w:t xml:space="preserve"> </w:t>
      </w:r>
      <w:r w:rsidR="00203680" w:rsidRPr="002239BF">
        <w:rPr>
          <w:rFonts w:ascii="Times New Roman" w:hAnsi="Times New Roman" w:cs="Times New Roman"/>
          <w:sz w:val="24"/>
          <w:szCs w:val="24"/>
        </w:rPr>
        <w:t xml:space="preserve">Identifying </w:t>
      </w:r>
      <w:r w:rsidR="00DD633E" w:rsidRPr="002239BF">
        <w:rPr>
          <w:rFonts w:ascii="Times New Roman" w:hAnsi="Times New Roman" w:cs="Times New Roman"/>
          <w:sz w:val="24"/>
          <w:szCs w:val="24"/>
        </w:rPr>
        <w:t>potentially successful article 8 challenge</w:t>
      </w:r>
      <w:r w:rsidR="00203680" w:rsidRPr="002239BF">
        <w:rPr>
          <w:rFonts w:ascii="Times New Roman" w:hAnsi="Times New Roman" w:cs="Times New Roman"/>
          <w:sz w:val="24"/>
          <w:szCs w:val="24"/>
        </w:rPr>
        <w:t>s</w:t>
      </w:r>
      <w:r w:rsidR="00DB7ADD" w:rsidRPr="002239BF">
        <w:rPr>
          <w:rFonts w:ascii="Times New Roman" w:hAnsi="Times New Roman" w:cs="Times New Roman"/>
          <w:sz w:val="24"/>
          <w:szCs w:val="24"/>
        </w:rPr>
        <w:t xml:space="preserve"> is by no means straightforward, and </w:t>
      </w:r>
      <w:r w:rsidR="00DB7ADD" w:rsidRPr="002239BF">
        <w:rPr>
          <w:rFonts w:ascii="Times New Roman" w:hAnsi="Times New Roman" w:cs="Times New Roman"/>
          <w:i/>
          <w:sz w:val="24"/>
          <w:szCs w:val="24"/>
        </w:rPr>
        <w:t>Southend-on-Sea v Armour</w:t>
      </w:r>
      <w:r w:rsidR="00DB7ADD" w:rsidRPr="002239BF">
        <w:rPr>
          <w:rFonts w:ascii="Times New Roman" w:hAnsi="Times New Roman" w:cs="Times New Roman"/>
          <w:sz w:val="24"/>
          <w:szCs w:val="24"/>
        </w:rPr>
        <w:t xml:space="preserve"> stands as a rare example.</w:t>
      </w:r>
      <w:r w:rsidR="00DD633E" w:rsidRPr="002239BF">
        <w:rPr>
          <w:rStyle w:val="FootnoteReference"/>
          <w:rFonts w:ascii="Times New Roman" w:hAnsi="Times New Roman" w:cs="Times New Roman"/>
          <w:sz w:val="24"/>
          <w:szCs w:val="24"/>
        </w:rPr>
        <w:footnoteReference w:id="114"/>
      </w:r>
      <w:r w:rsidR="00203680" w:rsidRPr="002239BF">
        <w:rPr>
          <w:rFonts w:ascii="Times New Roman" w:hAnsi="Times New Roman" w:cs="Times New Roman"/>
          <w:sz w:val="24"/>
          <w:szCs w:val="24"/>
        </w:rPr>
        <w:t xml:space="preserve">  Nevertheless, t</w:t>
      </w:r>
      <w:r w:rsidR="00695235" w:rsidRPr="002239BF">
        <w:rPr>
          <w:rFonts w:ascii="Times New Roman" w:hAnsi="Times New Roman" w:cs="Times New Roman"/>
          <w:sz w:val="24"/>
          <w:szCs w:val="24"/>
        </w:rPr>
        <w:t>he possibility of a proportionality assessment affords tenants significantly less protection</w:t>
      </w:r>
      <w:r w:rsidR="00185B6C" w:rsidRPr="002239BF">
        <w:rPr>
          <w:rFonts w:ascii="Times New Roman" w:hAnsi="Times New Roman" w:cs="Times New Roman"/>
          <w:sz w:val="24"/>
          <w:szCs w:val="24"/>
        </w:rPr>
        <w:t>, compared with a</w:t>
      </w:r>
      <w:r w:rsidR="00EA7109" w:rsidRPr="002239BF">
        <w:rPr>
          <w:rFonts w:ascii="Times New Roman" w:hAnsi="Times New Roman" w:cs="Times New Roman"/>
          <w:sz w:val="24"/>
          <w:szCs w:val="24"/>
        </w:rPr>
        <w:t>n ‘old-style’</w:t>
      </w:r>
      <w:r w:rsidR="00185B6C" w:rsidRPr="002239BF">
        <w:rPr>
          <w:rFonts w:ascii="Times New Roman" w:hAnsi="Times New Roman" w:cs="Times New Roman"/>
          <w:sz w:val="24"/>
          <w:szCs w:val="24"/>
        </w:rPr>
        <w:t xml:space="preserve"> secure tenancy.</w:t>
      </w:r>
      <w:r w:rsidR="007163BA" w:rsidRPr="002239BF">
        <w:rPr>
          <w:rFonts w:ascii="Times New Roman" w:hAnsi="Times New Roman" w:cs="Times New Roman"/>
          <w:sz w:val="24"/>
          <w:szCs w:val="24"/>
        </w:rPr>
        <w:t xml:space="preserve">  The justification conventionally cited for this disparity in judicial protection from eviction is based on deference:  that Parliament has vested local authorities with statutory duties in respect of housing and has deliberately put in place legal regimes, like that of the </w:t>
      </w:r>
      <w:r w:rsidR="000469E0" w:rsidRPr="002239BF">
        <w:rPr>
          <w:rFonts w:ascii="Times New Roman" w:hAnsi="Times New Roman" w:cs="Times New Roman"/>
          <w:sz w:val="24"/>
          <w:szCs w:val="24"/>
        </w:rPr>
        <w:t>d</w:t>
      </w:r>
      <w:r w:rsidR="007163BA" w:rsidRPr="002239BF">
        <w:rPr>
          <w:rFonts w:ascii="Times New Roman" w:hAnsi="Times New Roman" w:cs="Times New Roman"/>
          <w:sz w:val="24"/>
          <w:szCs w:val="24"/>
        </w:rPr>
        <w:t xml:space="preserve">emoted </w:t>
      </w:r>
      <w:r w:rsidR="000469E0" w:rsidRPr="002239BF">
        <w:rPr>
          <w:rFonts w:ascii="Times New Roman" w:hAnsi="Times New Roman" w:cs="Times New Roman"/>
          <w:sz w:val="24"/>
          <w:szCs w:val="24"/>
        </w:rPr>
        <w:t>t</w:t>
      </w:r>
      <w:r w:rsidR="007163BA" w:rsidRPr="002239BF">
        <w:rPr>
          <w:rFonts w:ascii="Times New Roman" w:hAnsi="Times New Roman" w:cs="Times New Roman"/>
          <w:sz w:val="24"/>
          <w:szCs w:val="24"/>
        </w:rPr>
        <w:t>enancy, to achieve specific policy objectives</w:t>
      </w:r>
      <w:r w:rsidR="00463AD9" w:rsidRPr="002239BF">
        <w:rPr>
          <w:rFonts w:ascii="Times New Roman" w:hAnsi="Times New Roman" w:cs="Times New Roman"/>
          <w:sz w:val="24"/>
          <w:szCs w:val="24"/>
        </w:rPr>
        <w:t>.</w:t>
      </w:r>
      <w:r w:rsidR="007163BA" w:rsidRPr="002239BF">
        <w:rPr>
          <w:rStyle w:val="FootnoteReference"/>
          <w:rFonts w:ascii="Times New Roman" w:hAnsi="Times New Roman" w:cs="Times New Roman"/>
          <w:sz w:val="24"/>
          <w:szCs w:val="24"/>
        </w:rPr>
        <w:footnoteReference w:id="115"/>
      </w:r>
      <w:r w:rsidR="002A5C85" w:rsidRPr="002239BF">
        <w:rPr>
          <w:rFonts w:ascii="Times New Roman" w:hAnsi="Times New Roman" w:cs="Times New Roman"/>
          <w:sz w:val="24"/>
          <w:szCs w:val="24"/>
        </w:rPr>
        <w:t xml:space="preserve">  </w:t>
      </w:r>
      <w:r w:rsidR="00B65253" w:rsidRPr="002239BF">
        <w:rPr>
          <w:rFonts w:ascii="Times New Roman" w:hAnsi="Times New Roman" w:cs="Times New Roman"/>
          <w:sz w:val="24"/>
          <w:szCs w:val="24"/>
        </w:rPr>
        <w:t xml:space="preserve">Latham, however, accuses </w:t>
      </w:r>
      <w:r w:rsidR="00695235" w:rsidRPr="002239BF">
        <w:rPr>
          <w:rFonts w:ascii="Times New Roman" w:hAnsi="Times New Roman" w:cs="Times New Roman"/>
          <w:sz w:val="24"/>
          <w:szCs w:val="24"/>
        </w:rPr>
        <w:t>the court</w:t>
      </w:r>
      <w:r w:rsidR="00B65253" w:rsidRPr="002239BF">
        <w:rPr>
          <w:rFonts w:ascii="Times New Roman" w:hAnsi="Times New Roman" w:cs="Times New Roman"/>
          <w:sz w:val="24"/>
          <w:szCs w:val="24"/>
        </w:rPr>
        <w:t xml:space="preserve"> of adopting a managerial approach which fails </w:t>
      </w:r>
      <w:r w:rsidR="00695235" w:rsidRPr="002239BF">
        <w:rPr>
          <w:rFonts w:ascii="Times New Roman" w:hAnsi="Times New Roman" w:cs="Times New Roman"/>
          <w:sz w:val="24"/>
          <w:szCs w:val="24"/>
        </w:rPr>
        <w:t>to analyse the situation from the point of view of the</w:t>
      </w:r>
      <w:r w:rsidR="00B65253" w:rsidRPr="002239BF">
        <w:rPr>
          <w:rFonts w:ascii="Times New Roman" w:hAnsi="Times New Roman" w:cs="Times New Roman"/>
          <w:sz w:val="24"/>
          <w:szCs w:val="24"/>
        </w:rPr>
        <w:t xml:space="preserve"> </w:t>
      </w:r>
      <w:r w:rsidR="00695235" w:rsidRPr="002239BF">
        <w:rPr>
          <w:rFonts w:ascii="Times New Roman" w:hAnsi="Times New Roman" w:cs="Times New Roman"/>
          <w:sz w:val="24"/>
          <w:szCs w:val="24"/>
        </w:rPr>
        <w:t>occupier as rights-bearer.</w:t>
      </w:r>
      <w:r w:rsidR="00B65253" w:rsidRPr="002239BF">
        <w:rPr>
          <w:rStyle w:val="FootnoteReference"/>
          <w:rFonts w:ascii="Times New Roman" w:hAnsi="Times New Roman" w:cs="Times New Roman"/>
          <w:sz w:val="24"/>
          <w:szCs w:val="24"/>
        </w:rPr>
        <w:footnoteReference w:id="116"/>
      </w:r>
      <w:r w:rsidR="00B65253" w:rsidRPr="002239BF">
        <w:rPr>
          <w:rFonts w:ascii="Times New Roman" w:hAnsi="Times New Roman" w:cs="Times New Roman"/>
          <w:sz w:val="24"/>
          <w:szCs w:val="24"/>
        </w:rPr>
        <w:t xml:space="preserve">  </w:t>
      </w:r>
    </w:p>
    <w:p w14:paraId="42B2E9DE" w14:textId="77777777" w:rsidR="007163BA" w:rsidRPr="002239BF" w:rsidRDefault="007163BA" w:rsidP="00733DF3">
      <w:pPr>
        <w:spacing w:line="480" w:lineRule="auto"/>
        <w:rPr>
          <w:rFonts w:ascii="Times New Roman" w:hAnsi="Times New Roman" w:cs="Times New Roman"/>
          <w:sz w:val="24"/>
          <w:szCs w:val="24"/>
        </w:rPr>
      </w:pPr>
    </w:p>
    <w:p w14:paraId="64C2C309" w14:textId="1D92A0F7" w:rsidR="007163BA" w:rsidRPr="002239BF" w:rsidRDefault="007163BA"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Consequently, while </w:t>
      </w:r>
      <w:r w:rsidRPr="002239BF">
        <w:rPr>
          <w:rFonts w:ascii="Times New Roman" w:hAnsi="Times New Roman" w:cs="Times New Roman"/>
          <w:i/>
          <w:sz w:val="24"/>
          <w:szCs w:val="24"/>
        </w:rPr>
        <w:t>Pinnock</w:t>
      </w:r>
      <w:r w:rsidRPr="002239BF">
        <w:rPr>
          <w:rFonts w:ascii="Times New Roman" w:hAnsi="Times New Roman" w:cs="Times New Roman"/>
          <w:sz w:val="24"/>
          <w:szCs w:val="24"/>
        </w:rPr>
        <w:t xml:space="preserve"> may rightly be hailed as a victory for principle, its practical reach is very limited.  The decision </w:t>
      </w:r>
      <w:r w:rsidR="00B00D80" w:rsidRPr="002239BF">
        <w:rPr>
          <w:rFonts w:ascii="Times New Roman" w:hAnsi="Times New Roman" w:cs="Times New Roman"/>
          <w:sz w:val="24"/>
          <w:szCs w:val="24"/>
        </w:rPr>
        <w:t xml:space="preserve">to incorporate a mandatory repossession procedure </w:t>
      </w:r>
      <w:r w:rsidRPr="002239BF">
        <w:rPr>
          <w:rFonts w:ascii="Times New Roman" w:hAnsi="Times New Roman" w:cs="Times New Roman"/>
          <w:sz w:val="24"/>
          <w:szCs w:val="24"/>
        </w:rPr>
        <w:t>clearly signals the government’s prioritisation of implementing a scheme that is relatively quick and inexpensive to operate</w:t>
      </w:r>
      <w:r w:rsidR="00463AD9" w:rsidRPr="002239BF">
        <w:rPr>
          <w:rFonts w:ascii="Times New Roman" w:hAnsi="Times New Roman" w:cs="Times New Roman"/>
          <w:sz w:val="24"/>
          <w:szCs w:val="24"/>
        </w:rPr>
        <w:t>,</w:t>
      </w:r>
      <w:r w:rsidRPr="002239BF">
        <w:rPr>
          <w:rFonts w:ascii="Times New Roman" w:hAnsi="Times New Roman" w:cs="Times New Roman"/>
          <w:sz w:val="24"/>
          <w:szCs w:val="24"/>
        </w:rPr>
        <w:t xml:space="preserve"> over a procedure that </w:t>
      </w:r>
      <w:r w:rsidR="00463AD9" w:rsidRPr="002239BF">
        <w:rPr>
          <w:rFonts w:ascii="Times New Roman" w:hAnsi="Times New Roman" w:cs="Times New Roman"/>
          <w:sz w:val="24"/>
          <w:szCs w:val="24"/>
        </w:rPr>
        <w:t>allows for a more forensic examination of the merits of the decision</w:t>
      </w:r>
      <w:r w:rsidRPr="002239BF">
        <w:rPr>
          <w:rFonts w:ascii="Times New Roman" w:hAnsi="Times New Roman" w:cs="Times New Roman"/>
          <w:sz w:val="24"/>
          <w:szCs w:val="24"/>
        </w:rPr>
        <w:t xml:space="preserve">.  </w:t>
      </w:r>
      <w:r w:rsidR="0025610A" w:rsidRPr="002239BF">
        <w:rPr>
          <w:rFonts w:ascii="Times New Roman" w:hAnsi="Times New Roman" w:cs="Times New Roman"/>
          <w:sz w:val="24"/>
          <w:szCs w:val="24"/>
        </w:rPr>
        <w:t>Thus, while t</w:t>
      </w:r>
      <w:r w:rsidRPr="002239BF">
        <w:rPr>
          <w:rFonts w:ascii="Times New Roman" w:hAnsi="Times New Roman" w:cs="Times New Roman"/>
          <w:sz w:val="24"/>
          <w:szCs w:val="24"/>
        </w:rPr>
        <w:t xml:space="preserve">he procedure for ending a fixed-term tenancy may provide greater procedural safeguards than the notice only ground of repossession that applies to </w:t>
      </w:r>
      <w:r w:rsidR="0025610A" w:rsidRPr="002239BF">
        <w:rPr>
          <w:rFonts w:ascii="Times New Roman" w:hAnsi="Times New Roman" w:cs="Times New Roman"/>
          <w:sz w:val="24"/>
          <w:szCs w:val="24"/>
        </w:rPr>
        <w:t>private rented sector tenancies</w:t>
      </w:r>
      <w:r w:rsidRPr="002239BF">
        <w:rPr>
          <w:rFonts w:ascii="Times New Roman" w:hAnsi="Times New Roman" w:cs="Times New Roman"/>
          <w:sz w:val="24"/>
          <w:szCs w:val="24"/>
        </w:rPr>
        <w:t>,</w:t>
      </w:r>
      <w:r w:rsidRPr="002239BF">
        <w:rPr>
          <w:rStyle w:val="FootnoteReference"/>
          <w:rFonts w:ascii="Times New Roman" w:hAnsi="Times New Roman" w:cs="Times New Roman"/>
          <w:sz w:val="24"/>
          <w:szCs w:val="24"/>
        </w:rPr>
        <w:footnoteReference w:id="117"/>
      </w:r>
      <w:r w:rsidRPr="002239BF">
        <w:rPr>
          <w:rFonts w:ascii="Times New Roman" w:hAnsi="Times New Roman" w:cs="Times New Roman"/>
          <w:sz w:val="24"/>
          <w:szCs w:val="24"/>
        </w:rPr>
        <w:t xml:space="preserve"> in practice there is likely to be little difference between the two in terms of outcome.   </w:t>
      </w:r>
      <w:r w:rsidR="004638FD" w:rsidRPr="002239BF">
        <w:rPr>
          <w:rFonts w:ascii="Times New Roman" w:hAnsi="Times New Roman" w:cs="Times New Roman"/>
          <w:sz w:val="24"/>
          <w:szCs w:val="24"/>
        </w:rPr>
        <w:t xml:space="preserve">As we discuss further below, the imposition of mandatory fixed-term tenancies, together with a termination process that minimises judicial oversight, provide clear evidence of the government’s </w:t>
      </w:r>
      <w:r w:rsidR="009B6A78" w:rsidRPr="002239BF">
        <w:rPr>
          <w:rFonts w:ascii="Times New Roman" w:hAnsi="Times New Roman" w:cs="Times New Roman"/>
          <w:sz w:val="24"/>
          <w:szCs w:val="24"/>
        </w:rPr>
        <w:t>intention</w:t>
      </w:r>
      <w:r w:rsidR="004638FD" w:rsidRPr="002239BF">
        <w:rPr>
          <w:rFonts w:ascii="Times New Roman" w:hAnsi="Times New Roman" w:cs="Times New Roman"/>
          <w:sz w:val="24"/>
          <w:szCs w:val="24"/>
        </w:rPr>
        <w:t xml:space="preserve"> to fur</w:t>
      </w:r>
      <w:r w:rsidR="00203680" w:rsidRPr="002239BF">
        <w:rPr>
          <w:rFonts w:ascii="Times New Roman" w:hAnsi="Times New Roman" w:cs="Times New Roman"/>
          <w:sz w:val="24"/>
          <w:szCs w:val="24"/>
        </w:rPr>
        <w:t>ther residualise social housing</w:t>
      </w:r>
      <w:r w:rsidR="004638FD" w:rsidRPr="002239BF">
        <w:rPr>
          <w:rFonts w:ascii="Times New Roman" w:hAnsi="Times New Roman" w:cs="Times New Roman"/>
          <w:sz w:val="24"/>
          <w:szCs w:val="24"/>
        </w:rPr>
        <w:t>.</w:t>
      </w:r>
    </w:p>
    <w:p w14:paraId="58EB2800" w14:textId="77777777" w:rsidR="00297060" w:rsidRPr="002239BF" w:rsidRDefault="00297060" w:rsidP="00733DF3">
      <w:pPr>
        <w:spacing w:line="480" w:lineRule="auto"/>
        <w:rPr>
          <w:rFonts w:ascii="Times New Roman" w:hAnsi="Times New Roman" w:cs="Times New Roman"/>
          <w:sz w:val="24"/>
          <w:szCs w:val="24"/>
        </w:rPr>
      </w:pPr>
    </w:p>
    <w:p w14:paraId="1EC124DC" w14:textId="7F0DB29B" w:rsidR="007163BA" w:rsidRPr="002239BF" w:rsidRDefault="00960C11"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new m</w:t>
      </w:r>
      <w:r w:rsidR="007163BA" w:rsidRPr="002239BF">
        <w:rPr>
          <w:rFonts w:ascii="Times New Roman" w:hAnsi="Times New Roman" w:cs="Times New Roman"/>
          <w:sz w:val="24"/>
          <w:szCs w:val="24"/>
        </w:rPr>
        <w:t xml:space="preserve">andatory fixed-term tenancies apply only to </w:t>
      </w:r>
      <w:r w:rsidR="00B616D9" w:rsidRPr="002239BF">
        <w:rPr>
          <w:rFonts w:ascii="Times New Roman" w:hAnsi="Times New Roman" w:cs="Times New Roman"/>
          <w:sz w:val="24"/>
          <w:szCs w:val="24"/>
        </w:rPr>
        <w:t xml:space="preserve">English </w:t>
      </w:r>
      <w:r w:rsidR="007163BA" w:rsidRPr="002239BF">
        <w:rPr>
          <w:rFonts w:ascii="Times New Roman" w:hAnsi="Times New Roman" w:cs="Times New Roman"/>
          <w:sz w:val="24"/>
          <w:szCs w:val="24"/>
        </w:rPr>
        <w:t xml:space="preserve">local authority landlords.  During the </w:t>
      </w:r>
      <w:r w:rsidR="00A705E2" w:rsidRPr="002239BF">
        <w:rPr>
          <w:rFonts w:ascii="Times New Roman" w:hAnsi="Times New Roman" w:cs="Times New Roman"/>
          <w:sz w:val="24"/>
          <w:szCs w:val="24"/>
        </w:rPr>
        <w:t>p</w:t>
      </w:r>
      <w:r w:rsidR="007163BA" w:rsidRPr="002239BF">
        <w:rPr>
          <w:rFonts w:ascii="Times New Roman" w:hAnsi="Times New Roman" w:cs="Times New Roman"/>
          <w:sz w:val="24"/>
          <w:szCs w:val="24"/>
        </w:rPr>
        <w:t xml:space="preserve">arliamentary debates, the Minister expressed his wish for </w:t>
      </w:r>
      <w:r w:rsidR="00B616D9" w:rsidRPr="002239BF">
        <w:rPr>
          <w:rFonts w:ascii="Times New Roman" w:hAnsi="Times New Roman" w:cs="Times New Roman"/>
          <w:sz w:val="24"/>
          <w:szCs w:val="24"/>
        </w:rPr>
        <w:t>‘</w:t>
      </w:r>
      <w:r w:rsidR="007163BA" w:rsidRPr="002239BF">
        <w:rPr>
          <w:rFonts w:ascii="Times New Roman" w:hAnsi="Times New Roman" w:cs="Times New Roman"/>
          <w:sz w:val="24"/>
          <w:szCs w:val="24"/>
        </w:rPr>
        <w:t>housing association landlords and tenants to reap the benefits from shorter-term tenancies as well.</w:t>
      </w:r>
      <w:r w:rsidR="00B616D9" w:rsidRPr="002239BF">
        <w:rPr>
          <w:rFonts w:ascii="Times New Roman" w:hAnsi="Times New Roman" w:cs="Times New Roman"/>
          <w:sz w:val="24"/>
          <w:szCs w:val="24"/>
        </w:rPr>
        <w:t>’</w:t>
      </w:r>
      <w:r w:rsidR="007163BA" w:rsidRPr="002239BF">
        <w:rPr>
          <w:rStyle w:val="FootnoteReference"/>
          <w:rFonts w:ascii="Times New Roman" w:hAnsi="Times New Roman" w:cs="Times New Roman"/>
          <w:sz w:val="24"/>
          <w:szCs w:val="24"/>
        </w:rPr>
        <w:footnoteReference w:id="118"/>
      </w:r>
      <w:r w:rsidR="007163BA" w:rsidRPr="002239BF">
        <w:rPr>
          <w:rFonts w:ascii="Times New Roman" w:hAnsi="Times New Roman" w:cs="Times New Roman"/>
          <w:sz w:val="24"/>
          <w:szCs w:val="24"/>
        </w:rPr>
        <w:t xml:space="preserve">  Nevertheless, the government is currently dealing with the reclassification by the Office for National Statistics of housing association landlords as ‘Public Non-Financial Corporations’,</w:t>
      </w:r>
      <w:r w:rsidR="007163BA" w:rsidRPr="002239BF">
        <w:rPr>
          <w:rStyle w:val="FootnoteReference"/>
          <w:rFonts w:ascii="Times New Roman" w:hAnsi="Times New Roman" w:cs="Times New Roman"/>
          <w:sz w:val="24"/>
          <w:szCs w:val="24"/>
        </w:rPr>
        <w:footnoteReference w:id="119"/>
      </w:r>
      <w:r w:rsidR="007163BA" w:rsidRPr="002239BF">
        <w:rPr>
          <w:rFonts w:ascii="Times New Roman" w:hAnsi="Times New Roman" w:cs="Times New Roman"/>
          <w:sz w:val="24"/>
          <w:szCs w:val="24"/>
        </w:rPr>
        <w:t xml:space="preserve"> with the consequence that their debt will count as public borrowing.</w:t>
      </w:r>
      <w:r w:rsidR="007163BA" w:rsidRPr="002239BF">
        <w:rPr>
          <w:rStyle w:val="FootnoteReference"/>
          <w:rFonts w:ascii="Times New Roman" w:hAnsi="Times New Roman" w:cs="Times New Roman"/>
          <w:sz w:val="24"/>
          <w:szCs w:val="24"/>
        </w:rPr>
        <w:footnoteReference w:id="120"/>
      </w:r>
      <w:r w:rsidR="007163BA" w:rsidRPr="002239BF">
        <w:rPr>
          <w:rFonts w:ascii="Times New Roman" w:hAnsi="Times New Roman" w:cs="Times New Roman"/>
          <w:sz w:val="24"/>
          <w:szCs w:val="24"/>
        </w:rPr>
        <w:t xml:space="preserve">   The government has committed to deregulating the housing association sector to reverse the ONS classification,</w:t>
      </w:r>
      <w:r w:rsidR="007163BA" w:rsidRPr="002239BF">
        <w:rPr>
          <w:rStyle w:val="FootnoteReference"/>
          <w:rFonts w:ascii="Times New Roman" w:hAnsi="Times New Roman" w:cs="Times New Roman"/>
          <w:sz w:val="24"/>
          <w:szCs w:val="24"/>
        </w:rPr>
        <w:footnoteReference w:id="121"/>
      </w:r>
      <w:r w:rsidR="007163BA" w:rsidRPr="002239BF">
        <w:rPr>
          <w:rFonts w:ascii="Times New Roman" w:hAnsi="Times New Roman" w:cs="Times New Roman"/>
          <w:sz w:val="24"/>
          <w:szCs w:val="24"/>
        </w:rPr>
        <w:t xml:space="preserve"> and the Minister indicated that the government would </w:t>
      </w:r>
      <w:r w:rsidR="00B616D9" w:rsidRPr="002239BF">
        <w:rPr>
          <w:rFonts w:ascii="Times New Roman" w:hAnsi="Times New Roman" w:cs="Times New Roman"/>
          <w:sz w:val="24"/>
          <w:szCs w:val="24"/>
        </w:rPr>
        <w:t>‘</w:t>
      </w:r>
      <w:r w:rsidR="007163BA" w:rsidRPr="002239BF">
        <w:rPr>
          <w:rFonts w:ascii="Times New Roman" w:hAnsi="Times New Roman" w:cs="Times New Roman"/>
          <w:sz w:val="24"/>
          <w:szCs w:val="24"/>
        </w:rPr>
        <w:t>consider changes to lifetime tenancies</w:t>
      </w:r>
      <w:r w:rsidR="00B616D9" w:rsidRPr="002239BF">
        <w:rPr>
          <w:rFonts w:ascii="Times New Roman" w:hAnsi="Times New Roman" w:cs="Times New Roman"/>
          <w:sz w:val="24"/>
          <w:szCs w:val="24"/>
        </w:rPr>
        <w:t>’</w:t>
      </w:r>
      <w:r w:rsidR="007163BA" w:rsidRPr="002239BF">
        <w:rPr>
          <w:rFonts w:ascii="Times New Roman" w:hAnsi="Times New Roman" w:cs="Times New Roman"/>
          <w:sz w:val="24"/>
          <w:szCs w:val="24"/>
        </w:rPr>
        <w:t xml:space="preserve"> in the context of that work.</w:t>
      </w:r>
      <w:r w:rsidR="007163BA" w:rsidRPr="002239BF">
        <w:rPr>
          <w:rStyle w:val="FootnoteReference"/>
          <w:rFonts w:ascii="Times New Roman" w:hAnsi="Times New Roman" w:cs="Times New Roman"/>
          <w:sz w:val="24"/>
          <w:szCs w:val="24"/>
        </w:rPr>
        <w:footnoteReference w:id="122"/>
      </w:r>
    </w:p>
    <w:p w14:paraId="654B111C" w14:textId="77777777" w:rsidR="007163BA" w:rsidRPr="002239BF" w:rsidRDefault="007163BA" w:rsidP="00733DF3">
      <w:pPr>
        <w:spacing w:line="480" w:lineRule="auto"/>
        <w:rPr>
          <w:rFonts w:ascii="Times New Roman" w:hAnsi="Times New Roman" w:cs="Times New Roman"/>
          <w:sz w:val="24"/>
          <w:szCs w:val="24"/>
        </w:rPr>
      </w:pPr>
    </w:p>
    <w:p w14:paraId="38AABCD4" w14:textId="430225F3" w:rsidR="00711223" w:rsidRPr="002239BF" w:rsidRDefault="00607DA4"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As explained above, the fixed-term provisions encountered signi</w:t>
      </w:r>
      <w:r w:rsidR="000626E2" w:rsidRPr="002239BF">
        <w:rPr>
          <w:rFonts w:ascii="Times New Roman" w:hAnsi="Times New Roman" w:cs="Times New Roman"/>
          <w:sz w:val="24"/>
          <w:szCs w:val="24"/>
        </w:rPr>
        <w:t>ficant opposition in Parliament.</w:t>
      </w:r>
      <w:r w:rsidRPr="002239BF">
        <w:rPr>
          <w:rFonts w:ascii="Times New Roman" w:hAnsi="Times New Roman" w:cs="Times New Roman"/>
          <w:sz w:val="24"/>
          <w:szCs w:val="24"/>
        </w:rPr>
        <w:t xml:space="preserve"> </w:t>
      </w:r>
      <w:r w:rsidR="00DE1C09" w:rsidRPr="002239BF">
        <w:rPr>
          <w:rFonts w:ascii="Times New Roman" w:hAnsi="Times New Roman" w:cs="Times New Roman"/>
          <w:sz w:val="24"/>
          <w:szCs w:val="24"/>
        </w:rPr>
        <w:t xml:space="preserve">While the government was forced to concede to the length of the term, the principle of granting a fixed term, rather than an indefinite tenancy, remains.  </w:t>
      </w:r>
      <w:r w:rsidR="00172B16" w:rsidRPr="002239BF">
        <w:rPr>
          <w:rFonts w:ascii="Times New Roman" w:hAnsi="Times New Roman" w:cs="Times New Roman"/>
          <w:sz w:val="24"/>
          <w:szCs w:val="24"/>
        </w:rPr>
        <w:t>D</w:t>
      </w:r>
      <w:r w:rsidR="00663F7A" w:rsidRPr="002239BF">
        <w:rPr>
          <w:rFonts w:ascii="Times New Roman" w:hAnsi="Times New Roman" w:cs="Times New Roman"/>
          <w:sz w:val="24"/>
          <w:szCs w:val="24"/>
        </w:rPr>
        <w:t xml:space="preserve">uring the debates, concerns were voiced about the effect </w:t>
      </w:r>
      <w:r w:rsidR="00B4303D" w:rsidRPr="002239BF">
        <w:rPr>
          <w:rFonts w:ascii="Times New Roman" w:hAnsi="Times New Roman" w:cs="Times New Roman"/>
          <w:sz w:val="24"/>
          <w:szCs w:val="24"/>
        </w:rPr>
        <w:t xml:space="preserve">of fixed-term tenancies </w:t>
      </w:r>
      <w:r w:rsidR="000626E2" w:rsidRPr="002239BF">
        <w:rPr>
          <w:rFonts w:ascii="Times New Roman" w:hAnsi="Times New Roman" w:cs="Times New Roman"/>
          <w:sz w:val="24"/>
          <w:szCs w:val="24"/>
        </w:rPr>
        <w:t>on communities,</w:t>
      </w:r>
      <w:r w:rsidR="00826605" w:rsidRPr="002239BF">
        <w:rPr>
          <w:rStyle w:val="FootnoteReference"/>
          <w:rFonts w:ascii="Times New Roman" w:hAnsi="Times New Roman" w:cs="Times New Roman"/>
          <w:sz w:val="24"/>
          <w:szCs w:val="24"/>
        </w:rPr>
        <w:footnoteReference w:id="123"/>
      </w:r>
      <w:r w:rsidR="000626E2" w:rsidRPr="002239BF">
        <w:rPr>
          <w:rFonts w:ascii="Times New Roman" w:hAnsi="Times New Roman" w:cs="Times New Roman"/>
          <w:sz w:val="24"/>
          <w:szCs w:val="24"/>
        </w:rPr>
        <w:t xml:space="preserve">  and attention drawn to the </w:t>
      </w:r>
      <w:r w:rsidR="00711223" w:rsidRPr="002239BF">
        <w:rPr>
          <w:rFonts w:ascii="Times New Roman" w:hAnsi="Times New Roman" w:cs="Times New Roman"/>
          <w:sz w:val="24"/>
          <w:szCs w:val="24"/>
        </w:rPr>
        <w:t xml:space="preserve">disjunction </w:t>
      </w:r>
      <w:r w:rsidR="00B616D9" w:rsidRPr="002239BF">
        <w:rPr>
          <w:rFonts w:ascii="Times New Roman" w:hAnsi="Times New Roman" w:cs="Times New Roman"/>
          <w:sz w:val="24"/>
          <w:szCs w:val="24"/>
        </w:rPr>
        <w:t xml:space="preserve">with </w:t>
      </w:r>
      <w:r w:rsidR="00711223" w:rsidRPr="002239BF">
        <w:rPr>
          <w:rFonts w:ascii="Times New Roman" w:hAnsi="Times New Roman" w:cs="Times New Roman"/>
          <w:sz w:val="24"/>
          <w:szCs w:val="24"/>
        </w:rPr>
        <w:t>the government’s policy on owner occupation</w:t>
      </w:r>
      <w:r w:rsidR="00A705E2" w:rsidRPr="002239BF">
        <w:rPr>
          <w:rFonts w:ascii="Times New Roman" w:hAnsi="Times New Roman" w:cs="Times New Roman"/>
          <w:sz w:val="24"/>
          <w:szCs w:val="24"/>
        </w:rPr>
        <w:t>:</w:t>
      </w:r>
      <w:r w:rsidR="00711223" w:rsidRPr="002239BF">
        <w:rPr>
          <w:rFonts w:ascii="Times New Roman" w:hAnsi="Times New Roman" w:cs="Times New Roman"/>
          <w:sz w:val="24"/>
          <w:szCs w:val="24"/>
        </w:rPr>
        <w:t xml:space="preserve"> </w:t>
      </w:r>
    </w:p>
    <w:p w14:paraId="4476BD0F" w14:textId="77777777" w:rsidR="00317600" w:rsidRPr="002239BF" w:rsidRDefault="00317600" w:rsidP="00733DF3">
      <w:pPr>
        <w:spacing w:line="480" w:lineRule="auto"/>
        <w:rPr>
          <w:rFonts w:ascii="Times New Roman" w:hAnsi="Times New Roman" w:cs="Times New Roman"/>
          <w:sz w:val="24"/>
          <w:szCs w:val="24"/>
        </w:rPr>
      </w:pPr>
    </w:p>
    <w:p w14:paraId="091AE444" w14:textId="0EAA9907" w:rsidR="00663F7A" w:rsidRPr="002239BF" w:rsidRDefault="00711223" w:rsidP="00733DF3">
      <w:pPr>
        <w:spacing w:line="480" w:lineRule="auto"/>
        <w:ind w:left="720"/>
        <w:rPr>
          <w:rFonts w:ascii="Times New Roman" w:hAnsi="Times New Roman" w:cs="Times New Roman"/>
          <w:sz w:val="24"/>
          <w:szCs w:val="24"/>
        </w:rPr>
      </w:pPr>
      <w:r w:rsidRPr="002239BF">
        <w:rPr>
          <w:rFonts w:ascii="Times New Roman" w:hAnsi="Times New Roman" w:cs="Times New Roman"/>
          <w:sz w:val="24"/>
          <w:szCs w:val="24"/>
        </w:rPr>
        <w:t>I do not understand why the Government are so set on making a distinction between the aspirations of people who can afford to buy and those of everybody else. I do not understand why the Government are bent on denying people on lower incomes the stability of knowing that they can live in their community for the long term; that they can send their children to the local school for as long as they need to be there; that they can invest in that community and play an active role in supporting their neighbours and in giving back.</w:t>
      </w:r>
      <w:r w:rsidRPr="002239BF">
        <w:rPr>
          <w:rStyle w:val="FootnoteReference"/>
          <w:rFonts w:ascii="Times New Roman" w:hAnsi="Times New Roman" w:cs="Times New Roman"/>
          <w:sz w:val="24"/>
          <w:szCs w:val="24"/>
        </w:rPr>
        <w:footnoteReference w:id="124"/>
      </w:r>
    </w:p>
    <w:p w14:paraId="41BD5CA9" w14:textId="77777777" w:rsidR="00317600" w:rsidRPr="002239BF" w:rsidRDefault="00317600" w:rsidP="00733DF3">
      <w:pPr>
        <w:spacing w:line="480" w:lineRule="auto"/>
        <w:ind w:left="720"/>
        <w:rPr>
          <w:rFonts w:ascii="Times New Roman" w:hAnsi="Times New Roman" w:cs="Times New Roman"/>
          <w:sz w:val="24"/>
          <w:szCs w:val="24"/>
        </w:rPr>
      </w:pPr>
    </w:p>
    <w:p w14:paraId="67B3B09C" w14:textId="649E7346" w:rsidR="008F2C7E" w:rsidRPr="002239BF" w:rsidRDefault="000601F9"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A further issue of contention </w:t>
      </w:r>
      <w:r w:rsidR="00B616D9" w:rsidRPr="002239BF">
        <w:rPr>
          <w:rFonts w:ascii="Times New Roman" w:hAnsi="Times New Roman" w:cs="Times New Roman"/>
          <w:sz w:val="24"/>
          <w:szCs w:val="24"/>
        </w:rPr>
        <w:t xml:space="preserve">was </w:t>
      </w:r>
      <w:r w:rsidRPr="002239BF">
        <w:rPr>
          <w:rFonts w:ascii="Times New Roman" w:hAnsi="Times New Roman" w:cs="Times New Roman"/>
          <w:sz w:val="24"/>
          <w:szCs w:val="24"/>
        </w:rPr>
        <w:t xml:space="preserve">the centralising features of the Bill.  As </w:t>
      </w:r>
      <w:r w:rsidR="00E849FE" w:rsidRPr="002239BF">
        <w:rPr>
          <w:rFonts w:ascii="Times New Roman" w:hAnsi="Times New Roman" w:cs="Times New Roman"/>
          <w:sz w:val="24"/>
          <w:szCs w:val="24"/>
        </w:rPr>
        <w:t xml:space="preserve">one Labour </w:t>
      </w:r>
      <w:r w:rsidR="008F2C7E" w:rsidRPr="002239BF">
        <w:rPr>
          <w:rFonts w:ascii="Times New Roman" w:hAnsi="Times New Roman" w:cs="Times New Roman"/>
          <w:sz w:val="24"/>
          <w:szCs w:val="24"/>
        </w:rPr>
        <w:t xml:space="preserve">MP </w:t>
      </w:r>
      <w:r w:rsidRPr="002239BF">
        <w:rPr>
          <w:rFonts w:ascii="Times New Roman" w:hAnsi="Times New Roman" w:cs="Times New Roman"/>
          <w:sz w:val="24"/>
          <w:szCs w:val="24"/>
        </w:rPr>
        <w:t>observed</w:t>
      </w:r>
      <w:r w:rsidR="008F2C7E" w:rsidRPr="002239BF">
        <w:rPr>
          <w:rFonts w:ascii="Times New Roman" w:hAnsi="Times New Roman" w:cs="Times New Roman"/>
          <w:sz w:val="24"/>
          <w:szCs w:val="24"/>
        </w:rPr>
        <w:t>:</w:t>
      </w:r>
    </w:p>
    <w:p w14:paraId="2DB92C6E" w14:textId="77777777" w:rsidR="00317600" w:rsidRPr="002239BF" w:rsidRDefault="00317600" w:rsidP="00733DF3">
      <w:pPr>
        <w:spacing w:line="480" w:lineRule="auto"/>
        <w:rPr>
          <w:rFonts w:ascii="Times New Roman" w:hAnsi="Times New Roman" w:cs="Times New Roman"/>
          <w:sz w:val="24"/>
          <w:szCs w:val="24"/>
        </w:rPr>
      </w:pPr>
    </w:p>
    <w:p w14:paraId="738B3B71" w14:textId="2479B6CD" w:rsidR="008F2C7E" w:rsidRPr="002239BF" w:rsidRDefault="008F2C7E" w:rsidP="00733DF3">
      <w:pPr>
        <w:spacing w:line="480" w:lineRule="auto"/>
        <w:ind w:left="720"/>
        <w:rPr>
          <w:rFonts w:ascii="Times New Roman" w:hAnsi="Times New Roman" w:cs="Times New Roman"/>
          <w:sz w:val="24"/>
          <w:szCs w:val="24"/>
        </w:rPr>
      </w:pPr>
      <w:r w:rsidRPr="002239BF">
        <w:rPr>
          <w:rFonts w:ascii="Times New Roman" w:hAnsi="Times New Roman" w:cs="Times New Roman"/>
          <w:sz w:val="24"/>
          <w:szCs w:val="24"/>
        </w:rPr>
        <w:t>What kind of localism is it that says to a local authority, “Here is a power that you can use if you decide, as a democratically elected local authority, that the housing needs in your area demand it, but if you don’t use it, we are going to take it away, make you look at it again and force you to use it”? That is not localism. As the Conservative party has championed localism, I thought that the Government might have thought about this measure a little more carefully.</w:t>
      </w:r>
      <w:r w:rsidRPr="002239BF">
        <w:rPr>
          <w:rStyle w:val="FootnoteReference"/>
          <w:rFonts w:ascii="Times New Roman" w:hAnsi="Times New Roman" w:cs="Times New Roman"/>
          <w:sz w:val="24"/>
          <w:szCs w:val="24"/>
        </w:rPr>
        <w:footnoteReference w:id="125"/>
      </w:r>
    </w:p>
    <w:p w14:paraId="6C6692F0" w14:textId="77777777" w:rsidR="00317600" w:rsidRPr="002239BF" w:rsidRDefault="00317600" w:rsidP="00733DF3">
      <w:pPr>
        <w:spacing w:line="480" w:lineRule="auto"/>
        <w:ind w:left="720"/>
        <w:rPr>
          <w:rFonts w:ascii="Times New Roman" w:hAnsi="Times New Roman" w:cs="Times New Roman"/>
          <w:sz w:val="24"/>
          <w:szCs w:val="24"/>
        </w:rPr>
      </w:pPr>
    </w:p>
    <w:p w14:paraId="0EBD0D33" w14:textId="0A63FC1D" w:rsidR="007E23C6" w:rsidRPr="002239BF" w:rsidRDefault="00A65767"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We analyse the implications of the switch to fixed-term tenancies below through an examination of the residualisation of social housing.  </w:t>
      </w:r>
      <w:r w:rsidR="00D73CDD" w:rsidRPr="002239BF">
        <w:rPr>
          <w:rFonts w:ascii="Times New Roman" w:hAnsi="Times New Roman" w:cs="Times New Roman"/>
          <w:sz w:val="24"/>
          <w:szCs w:val="24"/>
        </w:rPr>
        <w:t xml:space="preserve">As </w:t>
      </w:r>
      <w:r w:rsidRPr="002239BF">
        <w:rPr>
          <w:rFonts w:ascii="Times New Roman" w:hAnsi="Times New Roman" w:cs="Times New Roman"/>
          <w:sz w:val="24"/>
          <w:szCs w:val="24"/>
        </w:rPr>
        <w:t xml:space="preserve">far as the mandatory nature of fixed-term tenancies is concerned, </w:t>
      </w:r>
      <w:r w:rsidR="005D182F" w:rsidRPr="002239BF">
        <w:rPr>
          <w:rFonts w:ascii="Times New Roman" w:hAnsi="Times New Roman" w:cs="Times New Roman"/>
          <w:sz w:val="24"/>
          <w:szCs w:val="24"/>
        </w:rPr>
        <w:t>this curtailment of authorities’ freedom to manage their housing stock is highly controversial</w:t>
      </w:r>
      <w:r w:rsidR="00E63912" w:rsidRPr="002239BF">
        <w:rPr>
          <w:rFonts w:ascii="Times New Roman" w:hAnsi="Times New Roman" w:cs="Times New Roman"/>
          <w:sz w:val="24"/>
          <w:szCs w:val="24"/>
        </w:rPr>
        <w:t xml:space="preserve"> and, as we develop in greater detail below, signals a </w:t>
      </w:r>
      <w:r w:rsidR="00CF1E33" w:rsidRPr="002239BF">
        <w:rPr>
          <w:rFonts w:ascii="Times New Roman" w:hAnsi="Times New Roman" w:cs="Times New Roman"/>
          <w:sz w:val="24"/>
          <w:szCs w:val="24"/>
        </w:rPr>
        <w:t xml:space="preserve">radical </w:t>
      </w:r>
      <w:r w:rsidR="00E63912" w:rsidRPr="002239BF">
        <w:rPr>
          <w:rFonts w:ascii="Times New Roman" w:hAnsi="Times New Roman" w:cs="Times New Roman"/>
          <w:sz w:val="24"/>
          <w:szCs w:val="24"/>
        </w:rPr>
        <w:t xml:space="preserve">departure from the commitment to </w:t>
      </w:r>
      <w:r w:rsidR="00B767FA" w:rsidRPr="002239BF">
        <w:rPr>
          <w:rFonts w:ascii="Times New Roman" w:hAnsi="Times New Roman" w:cs="Times New Roman"/>
          <w:sz w:val="24"/>
          <w:szCs w:val="24"/>
        </w:rPr>
        <w:t xml:space="preserve">the </w:t>
      </w:r>
      <w:r w:rsidR="00E63912" w:rsidRPr="002239BF">
        <w:rPr>
          <w:rFonts w:ascii="Times New Roman" w:hAnsi="Times New Roman" w:cs="Times New Roman"/>
          <w:sz w:val="24"/>
          <w:szCs w:val="24"/>
        </w:rPr>
        <w:t>ideological localism espoused by the Coal</w:t>
      </w:r>
      <w:r w:rsidR="00C46D4D" w:rsidRPr="002239BF">
        <w:rPr>
          <w:rFonts w:ascii="Times New Roman" w:hAnsi="Times New Roman" w:cs="Times New Roman"/>
          <w:sz w:val="24"/>
          <w:szCs w:val="24"/>
        </w:rPr>
        <w:t>i</w:t>
      </w:r>
      <w:r w:rsidR="00E63912" w:rsidRPr="002239BF">
        <w:rPr>
          <w:rFonts w:ascii="Times New Roman" w:hAnsi="Times New Roman" w:cs="Times New Roman"/>
          <w:sz w:val="24"/>
          <w:szCs w:val="24"/>
        </w:rPr>
        <w:t>tion government</w:t>
      </w:r>
      <w:r w:rsidR="005D182F" w:rsidRPr="002239BF">
        <w:rPr>
          <w:rFonts w:ascii="Times New Roman" w:hAnsi="Times New Roman" w:cs="Times New Roman"/>
          <w:sz w:val="24"/>
          <w:szCs w:val="24"/>
        </w:rPr>
        <w:t xml:space="preserve">  </w:t>
      </w:r>
      <w:r w:rsidR="007E23C6" w:rsidRPr="002239BF">
        <w:rPr>
          <w:rFonts w:ascii="Times New Roman" w:hAnsi="Times New Roman" w:cs="Times New Roman"/>
          <w:sz w:val="24"/>
          <w:szCs w:val="24"/>
        </w:rPr>
        <w:t>The health of the central-local government relationship has been forensically analysed, particularly since the time of Margaret Thatcher’s premiership which is generally agreed to signal a low point.</w:t>
      </w:r>
      <w:r w:rsidR="007E23C6" w:rsidRPr="002239BF">
        <w:rPr>
          <w:rStyle w:val="FootnoteReference"/>
          <w:rFonts w:ascii="Times New Roman" w:hAnsi="Times New Roman" w:cs="Times New Roman"/>
          <w:sz w:val="24"/>
          <w:szCs w:val="24"/>
        </w:rPr>
        <w:footnoteReference w:id="126"/>
      </w:r>
      <w:r w:rsidR="007E23C6" w:rsidRPr="002239BF">
        <w:rPr>
          <w:rFonts w:ascii="Times New Roman" w:hAnsi="Times New Roman" w:cs="Times New Roman"/>
          <w:sz w:val="24"/>
          <w:szCs w:val="24"/>
        </w:rPr>
        <w:t xml:space="preserve">  The imposition on local authorities in 1980 of the </w:t>
      </w:r>
      <w:r w:rsidR="00A705E2" w:rsidRPr="002239BF">
        <w:rPr>
          <w:rFonts w:ascii="Times New Roman" w:hAnsi="Times New Roman" w:cs="Times New Roman"/>
          <w:sz w:val="24"/>
          <w:szCs w:val="24"/>
        </w:rPr>
        <w:t>r</w:t>
      </w:r>
      <w:r w:rsidR="007E23C6" w:rsidRPr="002239BF">
        <w:rPr>
          <w:rFonts w:ascii="Times New Roman" w:hAnsi="Times New Roman" w:cs="Times New Roman"/>
          <w:sz w:val="24"/>
          <w:szCs w:val="24"/>
        </w:rPr>
        <w:t xml:space="preserve">ight to </w:t>
      </w:r>
      <w:r w:rsidR="00A705E2" w:rsidRPr="002239BF">
        <w:rPr>
          <w:rFonts w:ascii="Times New Roman" w:hAnsi="Times New Roman" w:cs="Times New Roman"/>
          <w:sz w:val="24"/>
          <w:szCs w:val="24"/>
        </w:rPr>
        <w:t>b</w:t>
      </w:r>
      <w:r w:rsidR="007E23C6" w:rsidRPr="002239BF">
        <w:rPr>
          <w:rFonts w:ascii="Times New Roman" w:hAnsi="Times New Roman" w:cs="Times New Roman"/>
          <w:sz w:val="24"/>
          <w:szCs w:val="24"/>
        </w:rPr>
        <w:t xml:space="preserve">uy – and the draconian enforcement powers granted to the Secretary of State – clearly significantly impacted </w:t>
      </w:r>
      <w:r w:rsidR="006E15E4" w:rsidRPr="002239BF">
        <w:rPr>
          <w:rFonts w:ascii="Times New Roman" w:hAnsi="Times New Roman" w:cs="Times New Roman"/>
          <w:sz w:val="24"/>
          <w:szCs w:val="24"/>
        </w:rPr>
        <w:t>the</w:t>
      </w:r>
      <w:r w:rsidR="007E23C6" w:rsidRPr="002239BF">
        <w:rPr>
          <w:rFonts w:ascii="Times New Roman" w:hAnsi="Times New Roman" w:cs="Times New Roman"/>
          <w:sz w:val="24"/>
          <w:szCs w:val="24"/>
        </w:rPr>
        <w:t xml:space="preserve"> </w:t>
      </w:r>
      <w:r w:rsidR="006E15E4" w:rsidRPr="002239BF">
        <w:rPr>
          <w:rFonts w:ascii="Times New Roman" w:hAnsi="Times New Roman" w:cs="Times New Roman"/>
          <w:sz w:val="24"/>
          <w:szCs w:val="24"/>
        </w:rPr>
        <w:t xml:space="preserve">supply of </w:t>
      </w:r>
      <w:r w:rsidR="007E23C6" w:rsidRPr="002239BF">
        <w:rPr>
          <w:rFonts w:ascii="Times New Roman" w:hAnsi="Times New Roman" w:cs="Times New Roman"/>
          <w:sz w:val="24"/>
          <w:szCs w:val="24"/>
        </w:rPr>
        <w:t>hous</w:t>
      </w:r>
      <w:r w:rsidR="00A84614" w:rsidRPr="002239BF">
        <w:rPr>
          <w:rFonts w:ascii="Times New Roman" w:hAnsi="Times New Roman" w:cs="Times New Roman"/>
          <w:sz w:val="24"/>
          <w:szCs w:val="24"/>
        </w:rPr>
        <w:t xml:space="preserve">ing stock and thus indirectly </w:t>
      </w:r>
      <w:r w:rsidR="006E15E4" w:rsidRPr="002239BF">
        <w:rPr>
          <w:rFonts w:ascii="Times New Roman" w:hAnsi="Times New Roman" w:cs="Times New Roman"/>
          <w:sz w:val="24"/>
          <w:szCs w:val="24"/>
        </w:rPr>
        <w:t>affected local authorities’</w:t>
      </w:r>
      <w:r w:rsidR="007E23C6" w:rsidRPr="002239BF">
        <w:rPr>
          <w:rFonts w:ascii="Times New Roman" w:hAnsi="Times New Roman" w:cs="Times New Roman"/>
          <w:sz w:val="24"/>
          <w:szCs w:val="24"/>
        </w:rPr>
        <w:t xml:space="preserve"> </w:t>
      </w:r>
      <w:r w:rsidR="00A84614" w:rsidRPr="002239BF">
        <w:rPr>
          <w:rFonts w:ascii="Times New Roman" w:hAnsi="Times New Roman" w:cs="Times New Roman"/>
          <w:sz w:val="24"/>
          <w:szCs w:val="24"/>
        </w:rPr>
        <w:t>ability to manage</w:t>
      </w:r>
      <w:r w:rsidR="007E23C6" w:rsidRPr="002239BF">
        <w:rPr>
          <w:rFonts w:ascii="Times New Roman" w:hAnsi="Times New Roman" w:cs="Times New Roman"/>
          <w:sz w:val="24"/>
          <w:szCs w:val="24"/>
        </w:rPr>
        <w:t>.  Yet, on issues of day-to-day management, local authorities have consistently retained a significant amount of discretion.</w:t>
      </w:r>
      <w:r w:rsidR="007E23C6" w:rsidRPr="002239BF">
        <w:rPr>
          <w:rStyle w:val="FootnoteReference"/>
          <w:rFonts w:ascii="Times New Roman" w:hAnsi="Times New Roman" w:cs="Times New Roman"/>
          <w:sz w:val="24"/>
          <w:szCs w:val="24"/>
        </w:rPr>
        <w:footnoteReference w:id="127"/>
      </w:r>
      <w:r w:rsidR="007E23C6" w:rsidRPr="002239BF">
        <w:rPr>
          <w:rFonts w:ascii="Times New Roman" w:hAnsi="Times New Roman" w:cs="Times New Roman"/>
          <w:sz w:val="24"/>
          <w:szCs w:val="24"/>
        </w:rPr>
        <w:t xml:space="preserve">  For example, authorities are given wide flexibility in formulating </w:t>
      </w:r>
      <w:r w:rsidR="00B616D9" w:rsidRPr="002239BF">
        <w:rPr>
          <w:rFonts w:ascii="Times New Roman" w:hAnsi="Times New Roman" w:cs="Times New Roman"/>
          <w:sz w:val="24"/>
          <w:szCs w:val="24"/>
        </w:rPr>
        <w:t xml:space="preserve">their housing </w:t>
      </w:r>
      <w:r w:rsidR="007E23C6" w:rsidRPr="002239BF">
        <w:rPr>
          <w:rFonts w:ascii="Times New Roman" w:hAnsi="Times New Roman" w:cs="Times New Roman"/>
          <w:sz w:val="24"/>
          <w:szCs w:val="24"/>
        </w:rPr>
        <w:t xml:space="preserve">allocations policy and </w:t>
      </w:r>
      <w:r w:rsidR="002A7FC9" w:rsidRPr="002239BF">
        <w:rPr>
          <w:rFonts w:ascii="Times New Roman" w:hAnsi="Times New Roman" w:cs="Times New Roman"/>
          <w:sz w:val="24"/>
          <w:szCs w:val="24"/>
        </w:rPr>
        <w:t xml:space="preserve">the Localism Act 2011 gave local authorities the power to specify categories of people who were ineligible to join the </w:t>
      </w:r>
      <w:r w:rsidR="00B616D9" w:rsidRPr="002239BF">
        <w:rPr>
          <w:rFonts w:ascii="Times New Roman" w:hAnsi="Times New Roman" w:cs="Times New Roman"/>
          <w:sz w:val="24"/>
          <w:szCs w:val="24"/>
        </w:rPr>
        <w:t xml:space="preserve">housing </w:t>
      </w:r>
      <w:r w:rsidR="002A7FC9" w:rsidRPr="002239BF">
        <w:rPr>
          <w:rFonts w:ascii="Times New Roman" w:hAnsi="Times New Roman" w:cs="Times New Roman"/>
          <w:sz w:val="24"/>
          <w:szCs w:val="24"/>
        </w:rPr>
        <w:t>waiting list.</w:t>
      </w:r>
      <w:r w:rsidR="002A7FC9" w:rsidRPr="002239BF">
        <w:rPr>
          <w:rStyle w:val="FootnoteReference"/>
          <w:rFonts w:ascii="Times New Roman" w:hAnsi="Times New Roman" w:cs="Times New Roman"/>
          <w:sz w:val="24"/>
          <w:szCs w:val="24"/>
        </w:rPr>
        <w:footnoteReference w:id="128"/>
      </w:r>
      <w:r w:rsidR="002A7FC9" w:rsidRPr="002239BF">
        <w:rPr>
          <w:rFonts w:ascii="Times New Roman" w:hAnsi="Times New Roman" w:cs="Times New Roman"/>
          <w:sz w:val="24"/>
          <w:szCs w:val="24"/>
        </w:rPr>
        <w:t xml:space="preserve">  </w:t>
      </w:r>
      <w:r w:rsidR="00A705E2" w:rsidRPr="002239BF">
        <w:rPr>
          <w:rFonts w:ascii="Times New Roman" w:hAnsi="Times New Roman" w:cs="Times New Roman"/>
          <w:sz w:val="24"/>
          <w:szCs w:val="24"/>
        </w:rPr>
        <w:t>T</w:t>
      </w:r>
      <w:r w:rsidR="007E23C6" w:rsidRPr="002239BF">
        <w:rPr>
          <w:rFonts w:ascii="Times New Roman" w:hAnsi="Times New Roman" w:cs="Times New Roman"/>
          <w:sz w:val="24"/>
          <w:szCs w:val="24"/>
        </w:rPr>
        <w:t>here has been long-standing recognition from both central government and the judiciary that, in matters of detail, local authorities are best-placed to respond.</w:t>
      </w:r>
      <w:r w:rsidR="007E23C6" w:rsidRPr="002239BF">
        <w:rPr>
          <w:rStyle w:val="FootnoteReference"/>
          <w:rFonts w:ascii="Times New Roman" w:hAnsi="Times New Roman" w:cs="Times New Roman"/>
          <w:sz w:val="24"/>
          <w:szCs w:val="24"/>
        </w:rPr>
        <w:footnoteReference w:id="129"/>
      </w:r>
      <w:r w:rsidR="00F24506" w:rsidRPr="002239BF">
        <w:rPr>
          <w:rFonts w:ascii="Times New Roman" w:hAnsi="Times New Roman" w:cs="Times New Roman"/>
          <w:sz w:val="24"/>
          <w:szCs w:val="24"/>
        </w:rPr>
        <w:t xml:space="preserve">  Indeed, the consultation that preceded the Localism Act 2011 is replete with references to the virtues of devolving significant power to local authorities in respect of their housing </w:t>
      </w:r>
      <w:r w:rsidR="00AA3A74" w:rsidRPr="002239BF">
        <w:rPr>
          <w:rFonts w:ascii="Times New Roman" w:hAnsi="Times New Roman" w:cs="Times New Roman"/>
          <w:sz w:val="24"/>
          <w:szCs w:val="24"/>
        </w:rPr>
        <w:t xml:space="preserve">management </w:t>
      </w:r>
      <w:r w:rsidR="00F24506" w:rsidRPr="002239BF">
        <w:rPr>
          <w:rFonts w:ascii="Times New Roman" w:hAnsi="Times New Roman" w:cs="Times New Roman"/>
          <w:sz w:val="24"/>
          <w:szCs w:val="24"/>
        </w:rPr>
        <w:t>functions.</w:t>
      </w:r>
      <w:r w:rsidR="00F24506" w:rsidRPr="002239BF">
        <w:rPr>
          <w:rStyle w:val="FootnoteReference"/>
          <w:rFonts w:ascii="Times New Roman" w:hAnsi="Times New Roman" w:cs="Times New Roman"/>
          <w:sz w:val="24"/>
          <w:szCs w:val="24"/>
        </w:rPr>
        <w:footnoteReference w:id="130"/>
      </w:r>
    </w:p>
    <w:p w14:paraId="38CB98D6" w14:textId="77777777" w:rsidR="00317600" w:rsidRPr="002239BF" w:rsidRDefault="00317600" w:rsidP="00733DF3">
      <w:pPr>
        <w:spacing w:line="480" w:lineRule="auto"/>
        <w:rPr>
          <w:rFonts w:ascii="Times New Roman" w:hAnsi="Times New Roman" w:cs="Times New Roman"/>
          <w:sz w:val="24"/>
          <w:szCs w:val="24"/>
        </w:rPr>
      </w:pPr>
    </w:p>
    <w:p w14:paraId="700096F3" w14:textId="1E983AE0" w:rsidR="008A245B" w:rsidRPr="002239BF" w:rsidRDefault="009226C5"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W</w:t>
      </w:r>
      <w:r w:rsidR="005D182F" w:rsidRPr="002239BF">
        <w:rPr>
          <w:rFonts w:ascii="Times New Roman" w:hAnsi="Times New Roman" w:cs="Times New Roman"/>
          <w:sz w:val="24"/>
          <w:szCs w:val="24"/>
        </w:rPr>
        <w:t xml:space="preserve">e </w:t>
      </w:r>
      <w:r w:rsidR="00DE39C1" w:rsidRPr="002239BF">
        <w:rPr>
          <w:rFonts w:ascii="Times New Roman" w:hAnsi="Times New Roman" w:cs="Times New Roman"/>
          <w:sz w:val="24"/>
          <w:szCs w:val="24"/>
        </w:rPr>
        <w:t>argue</w:t>
      </w:r>
      <w:r w:rsidR="005D182F" w:rsidRPr="002239BF">
        <w:rPr>
          <w:rFonts w:ascii="Times New Roman" w:hAnsi="Times New Roman" w:cs="Times New Roman"/>
          <w:sz w:val="24"/>
          <w:szCs w:val="24"/>
        </w:rPr>
        <w:t xml:space="preserve"> that the 2016 Act marks a return to the techniques of governance employed by Margaret Thatcher’s administrations</w:t>
      </w:r>
      <w:r w:rsidRPr="002239BF">
        <w:rPr>
          <w:rFonts w:ascii="Times New Roman" w:hAnsi="Times New Roman" w:cs="Times New Roman"/>
          <w:sz w:val="24"/>
          <w:szCs w:val="24"/>
        </w:rPr>
        <w:t>,</w:t>
      </w:r>
      <w:r w:rsidR="005D182F" w:rsidRPr="002239BF">
        <w:rPr>
          <w:rFonts w:ascii="Times New Roman" w:hAnsi="Times New Roman" w:cs="Times New Roman"/>
          <w:sz w:val="24"/>
          <w:szCs w:val="24"/>
        </w:rPr>
        <w:t xml:space="preserve"> whereby local opposition </w:t>
      </w:r>
      <w:r w:rsidR="003C7BBD" w:rsidRPr="002239BF">
        <w:rPr>
          <w:rFonts w:ascii="Times New Roman" w:hAnsi="Times New Roman" w:cs="Times New Roman"/>
          <w:sz w:val="24"/>
          <w:szCs w:val="24"/>
        </w:rPr>
        <w:t>is</w:t>
      </w:r>
      <w:r w:rsidR="005D182F" w:rsidRPr="002239BF">
        <w:rPr>
          <w:rFonts w:ascii="Times New Roman" w:hAnsi="Times New Roman" w:cs="Times New Roman"/>
          <w:sz w:val="24"/>
          <w:szCs w:val="24"/>
        </w:rPr>
        <w:t xml:space="preserve"> overridden by centrally imposed </w:t>
      </w:r>
      <w:r w:rsidR="003C7BBD" w:rsidRPr="002239BF">
        <w:rPr>
          <w:rFonts w:ascii="Times New Roman" w:hAnsi="Times New Roman" w:cs="Times New Roman"/>
          <w:sz w:val="24"/>
          <w:szCs w:val="24"/>
        </w:rPr>
        <w:t xml:space="preserve">provisions.  Thus, as we have discussed, local authorities are </w:t>
      </w:r>
      <w:r w:rsidR="005E171D" w:rsidRPr="002239BF">
        <w:rPr>
          <w:rFonts w:ascii="Times New Roman" w:hAnsi="Times New Roman" w:cs="Times New Roman"/>
          <w:sz w:val="24"/>
          <w:szCs w:val="24"/>
        </w:rPr>
        <w:t xml:space="preserve">effectively compelled </w:t>
      </w:r>
      <w:r w:rsidR="003C7BBD" w:rsidRPr="002239BF">
        <w:rPr>
          <w:rFonts w:ascii="Times New Roman" w:hAnsi="Times New Roman" w:cs="Times New Roman"/>
          <w:sz w:val="24"/>
          <w:szCs w:val="24"/>
        </w:rPr>
        <w:t xml:space="preserve">to </w:t>
      </w:r>
      <w:r w:rsidR="00D97FDF" w:rsidRPr="002239BF">
        <w:rPr>
          <w:rFonts w:ascii="Times New Roman" w:hAnsi="Times New Roman" w:cs="Times New Roman"/>
          <w:sz w:val="24"/>
          <w:szCs w:val="24"/>
        </w:rPr>
        <w:t>sell-off high value stock</w:t>
      </w:r>
      <w:r w:rsidR="005E171D" w:rsidRPr="002239BF">
        <w:rPr>
          <w:rFonts w:ascii="Times New Roman" w:hAnsi="Times New Roman" w:cs="Times New Roman"/>
          <w:sz w:val="24"/>
          <w:szCs w:val="24"/>
        </w:rPr>
        <w:t xml:space="preserve"> to fund </w:t>
      </w:r>
      <w:r w:rsidR="00A705E2" w:rsidRPr="002239BF">
        <w:rPr>
          <w:rFonts w:ascii="Times New Roman" w:hAnsi="Times New Roman" w:cs="Times New Roman"/>
          <w:sz w:val="24"/>
          <w:szCs w:val="24"/>
        </w:rPr>
        <w:t>r</w:t>
      </w:r>
      <w:r w:rsidR="005E171D" w:rsidRPr="002239BF">
        <w:rPr>
          <w:rFonts w:ascii="Times New Roman" w:hAnsi="Times New Roman" w:cs="Times New Roman"/>
          <w:sz w:val="24"/>
          <w:szCs w:val="24"/>
        </w:rPr>
        <w:t xml:space="preserve">ight to </w:t>
      </w:r>
      <w:r w:rsidR="00A705E2" w:rsidRPr="002239BF">
        <w:rPr>
          <w:rFonts w:ascii="Times New Roman" w:hAnsi="Times New Roman" w:cs="Times New Roman"/>
          <w:sz w:val="24"/>
          <w:szCs w:val="24"/>
        </w:rPr>
        <w:t>b</w:t>
      </w:r>
      <w:r w:rsidR="005E171D" w:rsidRPr="002239BF">
        <w:rPr>
          <w:rFonts w:ascii="Times New Roman" w:hAnsi="Times New Roman" w:cs="Times New Roman"/>
          <w:sz w:val="24"/>
          <w:szCs w:val="24"/>
        </w:rPr>
        <w:t>uy subsidies for housing association tenants</w:t>
      </w:r>
      <w:r w:rsidR="00D97FDF" w:rsidRPr="002239BF">
        <w:rPr>
          <w:rFonts w:ascii="Times New Roman" w:hAnsi="Times New Roman" w:cs="Times New Roman"/>
          <w:sz w:val="24"/>
          <w:szCs w:val="24"/>
        </w:rPr>
        <w:t xml:space="preserve">.  However, arguably the most radical feature of the Act is that, for </w:t>
      </w:r>
      <w:r w:rsidRPr="002239BF">
        <w:rPr>
          <w:rFonts w:ascii="Times New Roman" w:hAnsi="Times New Roman" w:cs="Times New Roman"/>
          <w:sz w:val="24"/>
          <w:szCs w:val="24"/>
        </w:rPr>
        <w:t>the first time</w:t>
      </w:r>
      <w:r w:rsidR="00D97FDF" w:rsidRPr="002239BF">
        <w:rPr>
          <w:rFonts w:ascii="Times New Roman" w:hAnsi="Times New Roman" w:cs="Times New Roman"/>
          <w:sz w:val="24"/>
          <w:szCs w:val="24"/>
        </w:rPr>
        <w:t>, mandatory powers are employed</w:t>
      </w:r>
      <w:r w:rsidRPr="002239BF">
        <w:rPr>
          <w:rFonts w:ascii="Times New Roman" w:hAnsi="Times New Roman" w:cs="Times New Roman"/>
          <w:sz w:val="24"/>
          <w:szCs w:val="24"/>
        </w:rPr>
        <w:t xml:space="preserve"> to interfere with authorities’ day-to-day management practices.  Not only </w:t>
      </w:r>
      <w:r w:rsidR="005E171D" w:rsidRPr="002239BF">
        <w:rPr>
          <w:rFonts w:ascii="Times New Roman" w:hAnsi="Times New Roman" w:cs="Times New Roman"/>
          <w:sz w:val="24"/>
          <w:szCs w:val="24"/>
        </w:rPr>
        <w:t>do</w:t>
      </w:r>
      <w:r w:rsidRPr="002239BF">
        <w:rPr>
          <w:rFonts w:ascii="Times New Roman" w:hAnsi="Times New Roman" w:cs="Times New Roman"/>
          <w:sz w:val="24"/>
          <w:szCs w:val="24"/>
        </w:rPr>
        <w:t xml:space="preserve"> fixed-term tenancies override authorities’ ability to make policy </w:t>
      </w:r>
      <w:r w:rsidR="005E171D" w:rsidRPr="002239BF">
        <w:rPr>
          <w:rFonts w:ascii="Times New Roman" w:hAnsi="Times New Roman" w:cs="Times New Roman"/>
          <w:sz w:val="24"/>
          <w:szCs w:val="24"/>
        </w:rPr>
        <w:t xml:space="preserve">to suit </w:t>
      </w:r>
      <w:r w:rsidRPr="002239BF">
        <w:rPr>
          <w:rFonts w:ascii="Times New Roman" w:hAnsi="Times New Roman" w:cs="Times New Roman"/>
          <w:sz w:val="24"/>
          <w:szCs w:val="24"/>
        </w:rPr>
        <w:t>their locality</w:t>
      </w:r>
      <w:r w:rsidR="005157D2" w:rsidRPr="002239BF">
        <w:rPr>
          <w:rFonts w:ascii="Times New Roman" w:hAnsi="Times New Roman" w:cs="Times New Roman"/>
          <w:sz w:val="24"/>
          <w:szCs w:val="24"/>
        </w:rPr>
        <w:t xml:space="preserve"> – thereby contradicting the localist agenda – the </w:t>
      </w:r>
      <w:r w:rsidRPr="002239BF">
        <w:rPr>
          <w:rFonts w:ascii="Times New Roman" w:hAnsi="Times New Roman" w:cs="Times New Roman"/>
          <w:sz w:val="24"/>
          <w:szCs w:val="24"/>
        </w:rPr>
        <w:t>necessity to conduct end-of-tenancy reviews imposes a significant administrative burden on them.</w:t>
      </w:r>
      <w:r w:rsidR="00576214" w:rsidRPr="002239BF">
        <w:rPr>
          <w:rFonts w:ascii="Times New Roman" w:hAnsi="Times New Roman" w:cs="Times New Roman"/>
          <w:sz w:val="24"/>
          <w:szCs w:val="24"/>
        </w:rPr>
        <w:t xml:space="preserve">  We contend that this </w:t>
      </w:r>
      <w:r w:rsidR="005157D2" w:rsidRPr="002239BF">
        <w:rPr>
          <w:rFonts w:ascii="Times New Roman" w:hAnsi="Times New Roman" w:cs="Times New Roman"/>
          <w:sz w:val="24"/>
          <w:szCs w:val="24"/>
        </w:rPr>
        <w:t xml:space="preserve">unprecedented </w:t>
      </w:r>
      <w:r w:rsidR="00576214" w:rsidRPr="002239BF">
        <w:rPr>
          <w:rFonts w:ascii="Times New Roman" w:hAnsi="Times New Roman" w:cs="Times New Roman"/>
          <w:sz w:val="24"/>
          <w:szCs w:val="24"/>
        </w:rPr>
        <w:t xml:space="preserve">intervention at the micro level of management is intended to support the government’s macro aim of </w:t>
      </w:r>
      <w:r w:rsidR="00E762ED" w:rsidRPr="002239BF">
        <w:rPr>
          <w:rFonts w:ascii="Times New Roman" w:hAnsi="Times New Roman" w:cs="Times New Roman"/>
          <w:sz w:val="24"/>
          <w:szCs w:val="24"/>
        </w:rPr>
        <w:t xml:space="preserve">further </w:t>
      </w:r>
      <w:r w:rsidR="00576214" w:rsidRPr="002239BF">
        <w:rPr>
          <w:rFonts w:ascii="Times New Roman" w:hAnsi="Times New Roman" w:cs="Times New Roman"/>
          <w:sz w:val="24"/>
          <w:szCs w:val="24"/>
        </w:rPr>
        <w:t>enhancing the att</w:t>
      </w:r>
      <w:r w:rsidR="00786022" w:rsidRPr="002239BF">
        <w:rPr>
          <w:rFonts w:ascii="Times New Roman" w:hAnsi="Times New Roman" w:cs="Times New Roman"/>
          <w:sz w:val="24"/>
          <w:szCs w:val="24"/>
        </w:rPr>
        <w:t>ractiveness of owner occupation at the expense of social housing.</w:t>
      </w:r>
    </w:p>
    <w:p w14:paraId="59B1E4DF" w14:textId="77777777" w:rsidR="00E762ED" w:rsidRPr="002239BF" w:rsidRDefault="00E762ED" w:rsidP="00733DF3">
      <w:pPr>
        <w:spacing w:line="480" w:lineRule="auto"/>
        <w:rPr>
          <w:rFonts w:ascii="Times New Roman" w:hAnsi="Times New Roman" w:cs="Times New Roman"/>
          <w:sz w:val="24"/>
          <w:szCs w:val="24"/>
        </w:rPr>
      </w:pPr>
    </w:p>
    <w:p w14:paraId="229186C8" w14:textId="19C99F57" w:rsidR="0010767B" w:rsidRPr="002239BF" w:rsidRDefault="008A245B"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Having explored the three central </w:t>
      </w:r>
      <w:r w:rsidR="00A2173D" w:rsidRPr="002239BF">
        <w:rPr>
          <w:rFonts w:ascii="Times New Roman" w:hAnsi="Times New Roman" w:cs="Times New Roman"/>
          <w:sz w:val="24"/>
          <w:szCs w:val="24"/>
        </w:rPr>
        <w:t xml:space="preserve">housing </w:t>
      </w:r>
      <w:r w:rsidRPr="002239BF">
        <w:rPr>
          <w:rFonts w:ascii="Times New Roman" w:hAnsi="Times New Roman" w:cs="Times New Roman"/>
          <w:sz w:val="24"/>
          <w:szCs w:val="24"/>
        </w:rPr>
        <w:t>policy measur</w:t>
      </w:r>
      <w:r w:rsidR="008F45CC" w:rsidRPr="002239BF">
        <w:rPr>
          <w:rFonts w:ascii="Times New Roman" w:hAnsi="Times New Roman" w:cs="Times New Roman"/>
          <w:sz w:val="24"/>
          <w:szCs w:val="24"/>
        </w:rPr>
        <w:t>es</w:t>
      </w:r>
      <w:r w:rsidR="00821CDA" w:rsidRPr="002239BF">
        <w:rPr>
          <w:rFonts w:ascii="Times New Roman" w:hAnsi="Times New Roman" w:cs="Times New Roman"/>
          <w:sz w:val="24"/>
          <w:szCs w:val="24"/>
        </w:rPr>
        <w:t xml:space="preserve"> of the 2016 Act,</w:t>
      </w:r>
      <w:r w:rsidRPr="002239BF">
        <w:rPr>
          <w:rFonts w:ascii="Times New Roman" w:hAnsi="Times New Roman" w:cs="Times New Roman"/>
          <w:sz w:val="24"/>
          <w:szCs w:val="24"/>
        </w:rPr>
        <w:t xml:space="preserve"> we turn now to consider </w:t>
      </w:r>
      <w:r w:rsidR="00DD4E4A" w:rsidRPr="002239BF">
        <w:rPr>
          <w:rFonts w:ascii="Times New Roman" w:hAnsi="Times New Roman" w:cs="Times New Roman"/>
          <w:sz w:val="24"/>
          <w:szCs w:val="24"/>
        </w:rPr>
        <w:t xml:space="preserve">their </w:t>
      </w:r>
      <w:r w:rsidRPr="002239BF">
        <w:rPr>
          <w:rFonts w:ascii="Times New Roman" w:hAnsi="Times New Roman" w:cs="Times New Roman"/>
          <w:sz w:val="24"/>
          <w:szCs w:val="24"/>
        </w:rPr>
        <w:t xml:space="preserve">implications and consequences. In so doing, we </w:t>
      </w:r>
      <w:r w:rsidR="00247121" w:rsidRPr="002239BF">
        <w:rPr>
          <w:rFonts w:ascii="Times New Roman" w:hAnsi="Times New Roman" w:cs="Times New Roman"/>
          <w:sz w:val="24"/>
          <w:szCs w:val="24"/>
        </w:rPr>
        <w:t xml:space="preserve">explore two </w:t>
      </w:r>
      <w:r w:rsidR="00131881" w:rsidRPr="002239BF">
        <w:rPr>
          <w:rFonts w:ascii="Times New Roman" w:hAnsi="Times New Roman" w:cs="Times New Roman"/>
          <w:sz w:val="24"/>
          <w:szCs w:val="24"/>
        </w:rPr>
        <w:t>intertwined trajectories</w:t>
      </w:r>
      <w:r w:rsidR="00247121" w:rsidRPr="002239BF">
        <w:rPr>
          <w:rFonts w:ascii="Times New Roman" w:hAnsi="Times New Roman" w:cs="Times New Roman"/>
          <w:sz w:val="24"/>
          <w:szCs w:val="24"/>
        </w:rPr>
        <w:t xml:space="preserve">: first, the further </w:t>
      </w:r>
      <w:r w:rsidR="00786022" w:rsidRPr="002239BF">
        <w:rPr>
          <w:rFonts w:ascii="Times New Roman" w:hAnsi="Times New Roman" w:cs="Times New Roman"/>
          <w:sz w:val="24"/>
          <w:szCs w:val="24"/>
        </w:rPr>
        <w:t>erosion</w:t>
      </w:r>
      <w:r w:rsidR="00247121" w:rsidRPr="002239BF">
        <w:rPr>
          <w:rFonts w:ascii="Times New Roman" w:hAnsi="Times New Roman" w:cs="Times New Roman"/>
          <w:sz w:val="24"/>
          <w:szCs w:val="24"/>
        </w:rPr>
        <w:t xml:space="preserve"> of social housing and, secondly, the shift from the logic of localism to the logic of homeownership.</w:t>
      </w:r>
    </w:p>
    <w:p w14:paraId="47371BC5" w14:textId="77777777" w:rsidR="00F37020" w:rsidRPr="002239BF" w:rsidRDefault="00F37020" w:rsidP="00733DF3">
      <w:pPr>
        <w:spacing w:line="480" w:lineRule="auto"/>
        <w:rPr>
          <w:rFonts w:ascii="Times New Roman" w:hAnsi="Times New Roman" w:cs="Times New Roman"/>
          <w:sz w:val="24"/>
          <w:szCs w:val="24"/>
        </w:rPr>
      </w:pPr>
    </w:p>
    <w:p w14:paraId="0EC4B76D" w14:textId="1F300464" w:rsidR="0010767B" w:rsidRPr="002239BF" w:rsidRDefault="00A705E2" w:rsidP="00733DF3">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The 2016: the intensification in the residualisation of social housing</w:t>
      </w:r>
    </w:p>
    <w:p w14:paraId="1385FF51" w14:textId="564F50B4" w:rsidR="00114D76" w:rsidRPr="002239BF" w:rsidRDefault="009C3D2F"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residualisation</w:t>
      </w:r>
      <w:r w:rsidR="002D66C9" w:rsidRPr="002239BF">
        <w:rPr>
          <w:rStyle w:val="FootnoteReference"/>
          <w:rFonts w:ascii="Times New Roman" w:hAnsi="Times New Roman" w:cs="Times New Roman"/>
          <w:sz w:val="24"/>
          <w:szCs w:val="24"/>
        </w:rPr>
        <w:footnoteReference w:id="131"/>
      </w:r>
      <w:r w:rsidRPr="002239BF">
        <w:rPr>
          <w:rFonts w:ascii="Times New Roman" w:hAnsi="Times New Roman" w:cs="Times New Roman"/>
          <w:sz w:val="24"/>
          <w:szCs w:val="24"/>
        </w:rPr>
        <w:t xml:space="preserve"> of social housing is </w:t>
      </w:r>
      <w:r w:rsidR="00997528" w:rsidRPr="002239BF">
        <w:rPr>
          <w:rFonts w:ascii="Times New Roman" w:hAnsi="Times New Roman" w:cs="Times New Roman"/>
          <w:sz w:val="24"/>
          <w:szCs w:val="24"/>
        </w:rPr>
        <w:t>not a</w:t>
      </w:r>
      <w:r w:rsidRPr="002239BF">
        <w:rPr>
          <w:rFonts w:ascii="Times New Roman" w:hAnsi="Times New Roman" w:cs="Times New Roman"/>
          <w:sz w:val="24"/>
          <w:szCs w:val="24"/>
        </w:rPr>
        <w:t xml:space="preserve"> new phenomenon: it can be traced back </w:t>
      </w:r>
      <w:r w:rsidR="000B32E4" w:rsidRPr="002239BF">
        <w:rPr>
          <w:rFonts w:ascii="Times New Roman" w:hAnsi="Times New Roman" w:cs="Times New Roman"/>
          <w:sz w:val="24"/>
          <w:szCs w:val="24"/>
        </w:rPr>
        <w:t>to</w:t>
      </w:r>
      <w:r w:rsidRPr="002239BF">
        <w:rPr>
          <w:rFonts w:ascii="Times New Roman" w:hAnsi="Times New Roman" w:cs="Times New Roman"/>
          <w:sz w:val="24"/>
          <w:szCs w:val="24"/>
        </w:rPr>
        <w:t xml:space="preserve"> the </w:t>
      </w:r>
      <w:r w:rsidR="00A705E2" w:rsidRPr="002239BF">
        <w:rPr>
          <w:rFonts w:ascii="Times New Roman" w:hAnsi="Times New Roman" w:cs="Times New Roman"/>
          <w:sz w:val="24"/>
          <w:szCs w:val="24"/>
        </w:rPr>
        <w:t>r</w:t>
      </w:r>
      <w:r w:rsidRPr="002239BF">
        <w:rPr>
          <w:rFonts w:ascii="Times New Roman" w:hAnsi="Times New Roman" w:cs="Times New Roman"/>
          <w:sz w:val="24"/>
          <w:szCs w:val="24"/>
        </w:rPr>
        <w:t xml:space="preserve">ight to </w:t>
      </w:r>
      <w:r w:rsidR="00A705E2" w:rsidRPr="002239BF">
        <w:rPr>
          <w:rFonts w:ascii="Times New Roman" w:hAnsi="Times New Roman" w:cs="Times New Roman"/>
          <w:sz w:val="24"/>
          <w:szCs w:val="24"/>
        </w:rPr>
        <w:t>b</w:t>
      </w:r>
      <w:r w:rsidRPr="002239BF">
        <w:rPr>
          <w:rFonts w:ascii="Times New Roman" w:hAnsi="Times New Roman" w:cs="Times New Roman"/>
          <w:sz w:val="24"/>
          <w:szCs w:val="24"/>
        </w:rPr>
        <w:t xml:space="preserve">uy </w:t>
      </w:r>
      <w:r w:rsidR="00FA0018" w:rsidRPr="002239BF">
        <w:rPr>
          <w:rFonts w:ascii="Times New Roman" w:hAnsi="Times New Roman" w:cs="Times New Roman"/>
          <w:sz w:val="24"/>
          <w:szCs w:val="24"/>
        </w:rPr>
        <w:t xml:space="preserve">which resulted in the sale of around </w:t>
      </w:r>
      <w:r w:rsidR="00A705E2" w:rsidRPr="002239BF">
        <w:rPr>
          <w:rFonts w:ascii="Times New Roman" w:hAnsi="Times New Roman" w:cs="Times New Roman"/>
          <w:sz w:val="24"/>
          <w:szCs w:val="24"/>
        </w:rPr>
        <w:t>two</w:t>
      </w:r>
      <w:r w:rsidR="00FA0018" w:rsidRPr="002239BF">
        <w:rPr>
          <w:rFonts w:ascii="Times New Roman" w:hAnsi="Times New Roman" w:cs="Times New Roman"/>
          <w:sz w:val="24"/>
          <w:szCs w:val="24"/>
        </w:rPr>
        <w:t xml:space="preserve"> million</w:t>
      </w:r>
      <w:r w:rsidR="00390C7E" w:rsidRPr="002239BF">
        <w:rPr>
          <w:rFonts w:ascii="Times New Roman" w:hAnsi="Times New Roman" w:cs="Times New Roman"/>
          <w:sz w:val="24"/>
          <w:szCs w:val="24"/>
        </w:rPr>
        <w:t xml:space="preserve"> houses and flats,</w:t>
      </w:r>
      <w:r w:rsidR="00FA0018" w:rsidRPr="002239BF">
        <w:rPr>
          <w:rStyle w:val="FootnoteReference"/>
          <w:rFonts w:ascii="Times New Roman" w:hAnsi="Times New Roman" w:cs="Times New Roman"/>
          <w:sz w:val="24"/>
          <w:szCs w:val="24"/>
        </w:rPr>
        <w:footnoteReference w:id="132"/>
      </w:r>
      <w:r w:rsidR="00390C7E" w:rsidRPr="002239BF">
        <w:rPr>
          <w:rFonts w:ascii="Times New Roman" w:hAnsi="Times New Roman" w:cs="Times New Roman"/>
          <w:sz w:val="24"/>
          <w:szCs w:val="24"/>
        </w:rPr>
        <w:t xml:space="preserve"> significantly depleting the</w:t>
      </w:r>
      <w:r w:rsidR="00114D76" w:rsidRPr="002239BF">
        <w:rPr>
          <w:rFonts w:ascii="Times New Roman" w:hAnsi="Times New Roman" w:cs="Times New Roman"/>
          <w:sz w:val="24"/>
          <w:szCs w:val="24"/>
        </w:rPr>
        <w:t xml:space="preserve"> stock of publicly owned housing</w:t>
      </w:r>
      <w:r w:rsidR="002A5C85" w:rsidRPr="002239BF">
        <w:rPr>
          <w:rFonts w:ascii="Times New Roman" w:hAnsi="Times New Roman" w:cs="Times New Roman"/>
          <w:sz w:val="24"/>
          <w:szCs w:val="24"/>
        </w:rPr>
        <w:t xml:space="preserve">.  </w:t>
      </w:r>
      <w:r w:rsidR="00FA0018" w:rsidRPr="002239BF">
        <w:rPr>
          <w:rFonts w:ascii="Times New Roman" w:hAnsi="Times New Roman" w:cs="Times New Roman"/>
          <w:sz w:val="24"/>
          <w:szCs w:val="24"/>
        </w:rPr>
        <w:t xml:space="preserve">Nevertheless, those </w:t>
      </w:r>
      <w:r w:rsidR="00654E2A" w:rsidRPr="002239BF">
        <w:rPr>
          <w:rFonts w:ascii="Times New Roman" w:hAnsi="Times New Roman" w:cs="Times New Roman"/>
          <w:sz w:val="24"/>
          <w:szCs w:val="24"/>
        </w:rPr>
        <w:t>who have been</w:t>
      </w:r>
      <w:r w:rsidR="00DA4933" w:rsidRPr="002239BF">
        <w:rPr>
          <w:rFonts w:ascii="Times New Roman" w:hAnsi="Times New Roman" w:cs="Times New Roman"/>
          <w:sz w:val="24"/>
          <w:szCs w:val="24"/>
        </w:rPr>
        <w:t xml:space="preserve"> </w:t>
      </w:r>
      <w:r w:rsidR="002D66C9" w:rsidRPr="002239BF">
        <w:rPr>
          <w:rFonts w:ascii="Times New Roman" w:hAnsi="Times New Roman" w:cs="Times New Roman"/>
          <w:sz w:val="24"/>
          <w:szCs w:val="24"/>
        </w:rPr>
        <w:t>able</w:t>
      </w:r>
      <w:r w:rsidR="00FA0018" w:rsidRPr="002239BF">
        <w:rPr>
          <w:rFonts w:ascii="Times New Roman" w:hAnsi="Times New Roman" w:cs="Times New Roman"/>
          <w:sz w:val="24"/>
          <w:szCs w:val="24"/>
        </w:rPr>
        <w:t xml:space="preserve"> to gain access to </w:t>
      </w:r>
      <w:r w:rsidR="00114D76" w:rsidRPr="002239BF">
        <w:rPr>
          <w:rFonts w:ascii="Times New Roman" w:hAnsi="Times New Roman" w:cs="Times New Roman"/>
          <w:sz w:val="24"/>
          <w:szCs w:val="24"/>
        </w:rPr>
        <w:t>local authority</w:t>
      </w:r>
      <w:r w:rsidR="00FA0018" w:rsidRPr="002239BF">
        <w:rPr>
          <w:rFonts w:ascii="Times New Roman" w:hAnsi="Times New Roman" w:cs="Times New Roman"/>
          <w:sz w:val="24"/>
          <w:szCs w:val="24"/>
        </w:rPr>
        <w:t xml:space="preserve"> housing </w:t>
      </w:r>
      <w:r w:rsidR="00654E2A" w:rsidRPr="002239BF">
        <w:rPr>
          <w:rFonts w:ascii="Times New Roman" w:hAnsi="Times New Roman" w:cs="Times New Roman"/>
          <w:sz w:val="24"/>
          <w:szCs w:val="24"/>
        </w:rPr>
        <w:t>have</w:t>
      </w:r>
      <w:r w:rsidR="00390C7E" w:rsidRPr="002239BF">
        <w:rPr>
          <w:rFonts w:ascii="Times New Roman" w:hAnsi="Times New Roman" w:cs="Times New Roman"/>
          <w:sz w:val="24"/>
          <w:szCs w:val="24"/>
        </w:rPr>
        <w:t>,</w:t>
      </w:r>
      <w:r w:rsidR="00654E2A" w:rsidRPr="002239BF">
        <w:rPr>
          <w:rFonts w:ascii="Times New Roman" w:hAnsi="Times New Roman" w:cs="Times New Roman"/>
          <w:sz w:val="24"/>
          <w:szCs w:val="24"/>
        </w:rPr>
        <w:t xml:space="preserve"> </w:t>
      </w:r>
      <w:r w:rsidR="00390C7E" w:rsidRPr="002239BF">
        <w:rPr>
          <w:rFonts w:ascii="Times New Roman" w:hAnsi="Times New Roman" w:cs="Times New Roman"/>
          <w:sz w:val="24"/>
          <w:szCs w:val="24"/>
        </w:rPr>
        <w:t>since 1980,</w:t>
      </w:r>
      <w:r w:rsidR="00390C7E" w:rsidRPr="002239BF">
        <w:rPr>
          <w:rStyle w:val="FootnoteReference"/>
          <w:rFonts w:ascii="Times New Roman" w:hAnsi="Times New Roman" w:cs="Times New Roman"/>
          <w:sz w:val="24"/>
          <w:szCs w:val="24"/>
        </w:rPr>
        <w:footnoteReference w:id="133"/>
      </w:r>
      <w:r w:rsidR="00390C7E" w:rsidRPr="002239BF">
        <w:rPr>
          <w:rFonts w:ascii="Times New Roman" w:hAnsi="Times New Roman" w:cs="Times New Roman"/>
          <w:sz w:val="24"/>
          <w:szCs w:val="24"/>
        </w:rPr>
        <w:t xml:space="preserve"> </w:t>
      </w:r>
      <w:r w:rsidR="00654E2A" w:rsidRPr="002239BF">
        <w:rPr>
          <w:rFonts w:ascii="Times New Roman" w:hAnsi="Times New Roman" w:cs="Times New Roman"/>
          <w:sz w:val="24"/>
          <w:szCs w:val="24"/>
        </w:rPr>
        <w:t xml:space="preserve">benefited from </w:t>
      </w:r>
      <w:r w:rsidR="00FA0018" w:rsidRPr="002239BF">
        <w:rPr>
          <w:rFonts w:ascii="Times New Roman" w:hAnsi="Times New Roman" w:cs="Times New Roman"/>
          <w:sz w:val="24"/>
          <w:szCs w:val="24"/>
        </w:rPr>
        <w:t>significant security of tenure:</w:t>
      </w:r>
      <w:r w:rsidR="00FA0018" w:rsidRPr="002239BF">
        <w:rPr>
          <w:rStyle w:val="FootnoteReference"/>
          <w:rFonts w:ascii="Times New Roman" w:hAnsi="Times New Roman" w:cs="Times New Roman"/>
          <w:sz w:val="24"/>
          <w:szCs w:val="24"/>
        </w:rPr>
        <w:footnoteReference w:id="134"/>
      </w:r>
      <w:r w:rsidR="00FA0018" w:rsidRPr="002239BF">
        <w:rPr>
          <w:rFonts w:ascii="Times New Roman" w:hAnsi="Times New Roman" w:cs="Times New Roman"/>
          <w:sz w:val="24"/>
          <w:szCs w:val="24"/>
        </w:rPr>
        <w:t xml:space="preserve"> a feature that </w:t>
      </w:r>
      <w:r w:rsidR="00DA4933" w:rsidRPr="002239BF">
        <w:rPr>
          <w:rFonts w:ascii="Times New Roman" w:hAnsi="Times New Roman" w:cs="Times New Roman"/>
          <w:sz w:val="24"/>
          <w:szCs w:val="24"/>
        </w:rPr>
        <w:t xml:space="preserve">has </w:t>
      </w:r>
      <w:r w:rsidR="002D66C9" w:rsidRPr="002239BF">
        <w:rPr>
          <w:rFonts w:ascii="Times New Roman" w:hAnsi="Times New Roman" w:cs="Times New Roman"/>
          <w:sz w:val="24"/>
          <w:szCs w:val="24"/>
        </w:rPr>
        <w:t>differentiated</w:t>
      </w:r>
      <w:r w:rsidR="00FA0018" w:rsidRPr="002239BF">
        <w:rPr>
          <w:rFonts w:ascii="Times New Roman" w:hAnsi="Times New Roman" w:cs="Times New Roman"/>
          <w:sz w:val="24"/>
          <w:szCs w:val="24"/>
        </w:rPr>
        <w:t xml:space="preserve"> these tenancies </w:t>
      </w:r>
      <w:r w:rsidR="00DA4933" w:rsidRPr="002239BF">
        <w:rPr>
          <w:rFonts w:ascii="Times New Roman" w:hAnsi="Times New Roman" w:cs="Times New Roman"/>
          <w:sz w:val="24"/>
          <w:szCs w:val="24"/>
        </w:rPr>
        <w:t xml:space="preserve">so markedly </w:t>
      </w:r>
      <w:r w:rsidR="00FA0018" w:rsidRPr="002239BF">
        <w:rPr>
          <w:rFonts w:ascii="Times New Roman" w:hAnsi="Times New Roman" w:cs="Times New Roman"/>
          <w:sz w:val="24"/>
          <w:szCs w:val="24"/>
        </w:rPr>
        <w:t xml:space="preserve">from </w:t>
      </w:r>
      <w:r w:rsidR="002D66C9" w:rsidRPr="002239BF">
        <w:rPr>
          <w:rFonts w:ascii="Times New Roman" w:hAnsi="Times New Roman" w:cs="Times New Roman"/>
          <w:sz w:val="24"/>
          <w:szCs w:val="24"/>
        </w:rPr>
        <w:t>those</w:t>
      </w:r>
      <w:r w:rsidR="00FA0018" w:rsidRPr="002239BF">
        <w:rPr>
          <w:rFonts w:ascii="Times New Roman" w:hAnsi="Times New Roman" w:cs="Times New Roman"/>
          <w:sz w:val="24"/>
          <w:szCs w:val="24"/>
        </w:rPr>
        <w:t xml:space="preserve"> </w:t>
      </w:r>
      <w:r w:rsidR="0030504F" w:rsidRPr="002239BF">
        <w:rPr>
          <w:rFonts w:ascii="Times New Roman" w:hAnsi="Times New Roman" w:cs="Times New Roman"/>
          <w:sz w:val="24"/>
          <w:szCs w:val="24"/>
        </w:rPr>
        <w:t xml:space="preserve">available </w:t>
      </w:r>
      <w:r w:rsidR="00FA0018" w:rsidRPr="002239BF">
        <w:rPr>
          <w:rFonts w:ascii="Times New Roman" w:hAnsi="Times New Roman" w:cs="Times New Roman"/>
          <w:sz w:val="24"/>
          <w:szCs w:val="24"/>
        </w:rPr>
        <w:t>in the privately rented sector</w:t>
      </w:r>
      <w:r w:rsidR="00390C7E" w:rsidRPr="002239BF">
        <w:rPr>
          <w:rFonts w:ascii="Times New Roman" w:hAnsi="Times New Roman" w:cs="Times New Roman"/>
          <w:sz w:val="24"/>
          <w:szCs w:val="24"/>
        </w:rPr>
        <w:t xml:space="preserve"> since its deregulation in 1988</w:t>
      </w:r>
      <w:r w:rsidR="00FA0018" w:rsidRPr="002239BF">
        <w:rPr>
          <w:rFonts w:ascii="Times New Roman" w:hAnsi="Times New Roman" w:cs="Times New Roman"/>
          <w:sz w:val="24"/>
          <w:szCs w:val="24"/>
        </w:rPr>
        <w:t>.</w:t>
      </w:r>
      <w:r w:rsidR="00FA0018" w:rsidRPr="002239BF">
        <w:rPr>
          <w:rStyle w:val="FootnoteReference"/>
          <w:rFonts w:ascii="Times New Roman" w:hAnsi="Times New Roman" w:cs="Times New Roman"/>
          <w:sz w:val="24"/>
          <w:szCs w:val="24"/>
        </w:rPr>
        <w:footnoteReference w:id="135"/>
      </w:r>
      <w:r w:rsidR="00FA0018" w:rsidRPr="002239BF">
        <w:rPr>
          <w:rFonts w:ascii="Times New Roman" w:hAnsi="Times New Roman" w:cs="Times New Roman"/>
          <w:sz w:val="24"/>
          <w:szCs w:val="24"/>
        </w:rPr>
        <w:t xml:space="preserve">  </w:t>
      </w:r>
      <w:r w:rsidR="009A77E2" w:rsidRPr="002239BF">
        <w:rPr>
          <w:rFonts w:ascii="Times New Roman" w:hAnsi="Times New Roman" w:cs="Times New Roman"/>
          <w:sz w:val="24"/>
          <w:szCs w:val="24"/>
        </w:rPr>
        <w:t xml:space="preserve">It is precisely this security of tenure which is now so clearly under attack under the 2016 </w:t>
      </w:r>
      <w:r w:rsidR="00A705E2" w:rsidRPr="002239BF">
        <w:rPr>
          <w:rFonts w:ascii="Times New Roman" w:hAnsi="Times New Roman" w:cs="Times New Roman"/>
          <w:sz w:val="24"/>
          <w:szCs w:val="24"/>
        </w:rPr>
        <w:t xml:space="preserve">Act </w:t>
      </w:r>
      <w:r w:rsidR="009A77E2" w:rsidRPr="002239BF">
        <w:rPr>
          <w:rFonts w:ascii="Times New Roman" w:hAnsi="Times New Roman" w:cs="Times New Roman"/>
          <w:sz w:val="24"/>
          <w:szCs w:val="24"/>
        </w:rPr>
        <w:t xml:space="preserve">with </w:t>
      </w:r>
      <w:r w:rsidR="0074018E" w:rsidRPr="002239BF">
        <w:rPr>
          <w:rFonts w:ascii="Times New Roman" w:hAnsi="Times New Roman" w:cs="Times New Roman"/>
          <w:sz w:val="24"/>
          <w:szCs w:val="24"/>
        </w:rPr>
        <w:t>the</w:t>
      </w:r>
      <w:r w:rsidR="009A77E2" w:rsidRPr="002239BF">
        <w:rPr>
          <w:rFonts w:ascii="Times New Roman" w:hAnsi="Times New Roman" w:cs="Times New Roman"/>
          <w:sz w:val="24"/>
          <w:szCs w:val="24"/>
        </w:rPr>
        <w:t xml:space="preserve"> ending of lifetime tenancies.</w:t>
      </w:r>
    </w:p>
    <w:p w14:paraId="7DB5CFA6" w14:textId="77777777" w:rsidR="00317600" w:rsidRPr="002239BF" w:rsidRDefault="00317600" w:rsidP="00733DF3">
      <w:pPr>
        <w:spacing w:line="480" w:lineRule="auto"/>
        <w:rPr>
          <w:rFonts w:ascii="Times New Roman" w:hAnsi="Times New Roman" w:cs="Times New Roman"/>
          <w:sz w:val="24"/>
          <w:szCs w:val="24"/>
        </w:rPr>
      </w:pPr>
    </w:p>
    <w:p w14:paraId="6F26E435" w14:textId="6644DB9F" w:rsidR="00295E50" w:rsidRPr="002239BF" w:rsidRDefault="00FA0018"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More recently,</w:t>
      </w:r>
      <w:r w:rsidR="005E78BB" w:rsidRPr="002239BF">
        <w:rPr>
          <w:rFonts w:ascii="Times New Roman" w:hAnsi="Times New Roman" w:cs="Times New Roman"/>
          <w:sz w:val="24"/>
          <w:szCs w:val="24"/>
        </w:rPr>
        <w:t xml:space="preserve"> </w:t>
      </w:r>
      <w:r w:rsidR="00F36348" w:rsidRPr="002239BF">
        <w:rPr>
          <w:rFonts w:ascii="Times New Roman" w:hAnsi="Times New Roman" w:cs="Times New Roman"/>
          <w:sz w:val="24"/>
          <w:szCs w:val="24"/>
        </w:rPr>
        <w:t>this erosion</w:t>
      </w:r>
      <w:r w:rsidR="005E78BB" w:rsidRPr="002239BF">
        <w:rPr>
          <w:rFonts w:ascii="Times New Roman" w:hAnsi="Times New Roman" w:cs="Times New Roman"/>
          <w:sz w:val="24"/>
          <w:szCs w:val="24"/>
        </w:rPr>
        <w:t xml:space="preserve"> has taken the form of introducing</w:t>
      </w:r>
      <w:r w:rsidRPr="002239BF">
        <w:rPr>
          <w:rFonts w:ascii="Times New Roman" w:hAnsi="Times New Roman" w:cs="Times New Roman"/>
          <w:sz w:val="24"/>
          <w:szCs w:val="24"/>
        </w:rPr>
        <w:t xml:space="preserve"> </w:t>
      </w:r>
      <w:r w:rsidR="002A7FC9" w:rsidRPr="002239BF">
        <w:rPr>
          <w:rFonts w:ascii="Times New Roman" w:hAnsi="Times New Roman" w:cs="Times New Roman"/>
          <w:sz w:val="24"/>
          <w:szCs w:val="24"/>
        </w:rPr>
        <w:t xml:space="preserve">conditionality </w:t>
      </w:r>
      <w:r w:rsidR="00967F15" w:rsidRPr="002239BF">
        <w:rPr>
          <w:rFonts w:ascii="Times New Roman" w:hAnsi="Times New Roman" w:cs="Times New Roman"/>
          <w:sz w:val="24"/>
          <w:szCs w:val="24"/>
        </w:rPr>
        <w:t>to the sector</w:t>
      </w:r>
      <w:r w:rsidR="002A7FC9" w:rsidRPr="002239BF">
        <w:rPr>
          <w:rFonts w:ascii="Times New Roman" w:hAnsi="Times New Roman" w:cs="Times New Roman"/>
          <w:sz w:val="24"/>
          <w:szCs w:val="24"/>
        </w:rPr>
        <w:t xml:space="preserve"> </w:t>
      </w:r>
      <w:r w:rsidRPr="002239BF">
        <w:rPr>
          <w:rFonts w:ascii="Times New Roman" w:hAnsi="Times New Roman" w:cs="Times New Roman"/>
          <w:sz w:val="24"/>
          <w:szCs w:val="24"/>
        </w:rPr>
        <w:t xml:space="preserve">to tackle anti-social behaviour.  As Fitzpatrick and Watts argue, </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 xml:space="preserve">successive governments have sought to utilise enhanced conditionality within social housing tenancies to influence the behaviour of social tenants considered </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anti-social</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 xml:space="preserve">, </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welfare dependent</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 xml:space="preserve"> or otherwise </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deviant</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w:t>
      </w:r>
      <w:bookmarkStart w:id="11" w:name="_Ref461891403"/>
      <w:r w:rsidRPr="002239BF">
        <w:rPr>
          <w:rStyle w:val="FootnoteReference"/>
          <w:rFonts w:ascii="Times New Roman" w:hAnsi="Times New Roman" w:cs="Times New Roman"/>
          <w:sz w:val="24"/>
          <w:szCs w:val="24"/>
        </w:rPr>
        <w:footnoteReference w:id="136"/>
      </w:r>
      <w:bookmarkEnd w:id="11"/>
      <w:r w:rsidRPr="002239BF">
        <w:rPr>
          <w:rFonts w:ascii="Times New Roman" w:hAnsi="Times New Roman" w:cs="Times New Roman"/>
          <w:sz w:val="24"/>
          <w:szCs w:val="24"/>
        </w:rPr>
        <w:t xml:space="preserve"> </w:t>
      </w:r>
      <w:r w:rsidR="001B7D1B" w:rsidRPr="002239BF">
        <w:rPr>
          <w:rFonts w:ascii="Times New Roman" w:hAnsi="Times New Roman" w:cs="Times New Roman"/>
          <w:sz w:val="24"/>
          <w:szCs w:val="24"/>
        </w:rPr>
        <w:t>Thus, n</w:t>
      </w:r>
      <w:r w:rsidRPr="002239BF">
        <w:rPr>
          <w:rFonts w:ascii="Times New Roman" w:hAnsi="Times New Roman" w:cs="Times New Roman"/>
          <w:sz w:val="24"/>
          <w:szCs w:val="24"/>
        </w:rPr>
        <w:t xml:space="preserve">ew forms of tenure have been </w:t>
      </w:r>
      <w:r w:rsidR="00967F15" w:rsidRPr="002239BF">
        <w:rPr>
          <w:rFonts w:ascii="Times New Roman" w:hAnsi="Times New Roman" w:cs="Times New Roman"/>
          <w:sz w:val="24"/>
          <w:szCs w:val="24"/>
        </w:rPr>
        <w:t>created</w:t>
      </w:r>
      <w:r w:rsidRPr="002239BF">
        <w:rPr>
          <w:rFonts w:ascii="Times New Roman" w:hAnsi="Times New Roman" w:cs="Times New Roman"/>
          <w:sz w:val="24"/>
          <w:szCs w:val="24"/>
        </w:rPr>
        <w:t xml:space="preserve"> with restricted security</w:t>
      </w:r>
      <w:r w:rsidR="00390C7E" w:rsidRPr="002239BF">
        <w:rPr>
          <w:rStyle w:val="FootnoteReference"/>
          <w:rFonts w:ascii="Times New Roman" w:hAnsi="Times New Roman" w:cs="Times New Roman"/>
          <w:sz w:val="24"/>
          <w:szCs w:val="24"/>
        </w:rPr>
        <w:footnoteReference w:id="137"/>
      </w:r>
      <w:r w:rsidR="00390C7E" w:rsidRPr="002239BF">
        <w:rPr>
          <w:rFonts w:ascii="Times New Roman" w:hAnsi="Times New Roman" w:cs="Times New Roman"/>
          <w:sz w:val="24"/>
          <w:szCs w:val="24"/>
        </w:rPr>
        <w:t xml:space="preserve"> </w:t>
      </w:r>
      <w:r w:rsidRPr="002239BF">
        <w:rPr>
          <w:rFonts w:ascii="Times New Roman" w:hAnsi="Times New Roman" w:cs="Times New Roman"/>
          <w:sz w:val="24"/>
          <w:szCs w:val="24"/>
        </w:rPr>
        <w:t>aimed at controlling the behaviour of tenants.</w:t>
      </w:r>
      <w:r w:rsidRPr="002239BF">
        <w:rPr>
          <w:rStyle w:val="FootnoteReference"/>
          <w:rFonts w:ascii="Times New Roman" w:hAnsi="Times New Roman" w:cs="Times New Roman"/>
          <w:sz w:val="24"/>
          <w:szCs w:val="24"/>
        </w:rPr>
        <w:footnoteReference w:id="138"/>
      </w:r>
      <w:r w:rsidRPr="002239BF">
        <w:rPr>
          <w:rFonts w:ascii="Times New Roman" w:hAnsi="Times New Roman" w:cs="Times New Roman"/>
          <w:sz w:val="24"/>
          <w:szCs w:val="24"/>
        </w:rPr>
        <w:t xml:space="preserve">  </w:t>
      </w:r>
      <w:r w:rsidR="00104907" w:rsidRPr="002239BF">
        <w:rPr>
          <w:rFonts w:ascii="Times New Roman" w:hAnsi="Times New Roman" w:cs="Times New Roman"/>
          <w:sz w:val="24"/>
          <w:szCs w:val="24"/>
        </w:rPr>
        <w:t>New</w:t>
      </w:r>
      <w:r w:rsidRPr="002239BF">
        <w:rPr>
          <w:rFonts w:ascii="Times New Roman" w:hAnsi="Times New Roman" w:cs="Times New Roman"/>
          <w:sz w:val="24"/>
          <w:szCs w:val="24"/>
        </w:rPr>
        <w:t xml:space="preserve"> powers to seek possession for various forms of anti-social behaviour have </w:t>
      </w:r>
      <w:r w:rsidR="00104907" w:rsidRPr="002239BF">
        <w:rPr>
          <w:rFonts w:ascii="Times New Roman" w:hAnsi="Times New Roman" w:cs="Times New Roman"/>
          <w:sz w:val="24"/>
          <w:szCs w:val="24"/>
        </w:rPr>
        <w:t xml:space="preserve">also </w:t>
      </w:r>
      <w:r w:rsidRPr="002239BF">
        <w:rPr>
          <w:rFonts w:ascii="Times New Roman" w:hAnsi="Times New Roman" w:cs="Times New Roman"/>
          <w:sz w:val="24"/>
          <w:szCs w:val="24"/>
        </w:rPr>
        <w:t>been introduced:  most recently, a mandatory ground where a tenant, or a person residing in or visiting the tenanted home has been convicted of a serious criminal offence.</w:t>
      </w:r>
      <w:r w:rsidRPr="002239BF">
        <w:rPr>
          <w:rStyle w:val="FootnoteReference"/>
          <w:rFonts w:ascii="Times New Roman" w:hAnsi="Times New Roman" w:cs="Times New Roman"/>
          <w:sz w:val="24"/>
          <w:szCs w:val="24"/>
        </w:rPr>
        <w:footnoteReference w:id="139"/>
      </w:r>
      <w:r w:rsidRPr="002239BF">
        <w:rPr>
          <w:rFonts w:ascii="Times New Roman" w:hAnsi="Times New Roman" w:cs="Times New Roman"/>
          <w:sz w:val="24"/>
          <w:szCs w:val="24"/>
        </w:rPr>
        <w:t xml:space="preserve"> </w:t>
      </w:r>
      <w:r w:rsidR="008046F8" w:rsidRPr="002239BF">
        <w:rPr>
          <w:rFonts w:ascii="Times New Roman" w:hAnsi="Times New Roman" w:cs="Times New Roman"/>
          <w:sz w:val="24"/>
          <w:szCs w:val="24"/>
        </w:rPr>
        <w:t>T</w:t>
      </w:r>
      <w:r w:rsidR="001B7D1B" w:rsidRPr="002239BF">
        <w:rPr>
          <w:rFonts w:ascii="Times New Roman" w:hAnsi="Times New Roman" w:cs="Times New Roman"/>
          <w:sz w:val="24"/>
          <w:szCs w:val="24"/>
        </w:rPr>
        <w:t xml:space="preserve">hese measures </w:t>
      </w:r>
      <w:r w:rsidR="00893FEB" w:rsidRPr="002239BF">
        <w:rPr>
          <w:rFonts w:ascii="Times New Roman" w:hAnsi="Times New Roman" w:cs="Times New Roman"/>
          <w:sz w:val="24"/>
          <w:szCs w:val="24"/>
        </w:rPr>
        <w:t xml:space="preserve">contribute to the </w:t>
      </w:r>
      <w:r w:rsidR="00FA0084" w:rsidRPr="002239BF">
        <w:rPr>
          <w:rFonts w:ascii="Times New Roman" w:hAnsi="Times New Roman" w:cs="Times New Roman"/>
          <w:sz w:val="24"/>
          <w:szCs w:val="24"/>
        </w:rPr>
        <w:t xml:space="preserve">general </w:t>
      </w:r>
      <w:r w:rsidR="00893FEB" w:rsidRPr="002239BF">
        <w:rPr>
          <w:rFonts w:ascii="Times New Roman" w:hAnsi="Times New Roman" w:cs="Times New Roman"/>
          <w:sz w:val="24"/>
          <w:szCs w:val="24"/>
        </w:rPr>
        <w:t>stigmatisation of social housing</w:t>
      </w:r>
      <w:r w:rsidR="00CC03E2" w:rsidRPr="002239BF">
        <w:rPr>
          <w:rFonts w:ascii="Times New Roman" w:hAnsi="Times New Roman" w:cs="Times New Roman"/>
          <w:sz w:val="24"/>
          <w:szCs w:val="24"/>
        </w:rPr>
        <w:t xml:space="preserve"> and, as we discuss below, </w:t>
      </w:r>
      <w:r w:rsidR="00D16E3B" w:rsidRPr="002239BF">
        <w:rPr>
          <w:rFonts w:ascii="Times New Roman" w:hAnsi="Times New Roman" w:cs="Times New Roman"/>
          <w:sz w:val="24"/>
          <w:szCs w:val="24"/>
        </w:rPr>
        <w:t>legitimate viewing it as a</w:t>
      </w:r>
      <w:r w:rsidR="00CC03E2" w:rsidRPr="002239BF">
        <w:rPr>
          <w:rFonts w:ascii="Times New Roman" w:hAnsi="Times New Roman" w:cs="Times New Roman"/>
          <w:sz w:val="24"/>
          <w:szCs w:val="24"/>
        </w:rPr>
        <w:t xml:space="preserve"> site of morali</w:t>
      </w:r>
      <w:r w:rsidR="00D20EF3" w:rsidRPr="002239BF">
        <w:rPr>
          <w:rFonts w:ascii="Times New Roman" w:hAnsi="Times New Roman" w:cs="Times New Roman"/>
          <w:sz w:val="24"/>
          <w:szCs w:val="24"/>
        </w:rPr>
        <w:t>s</w:t>
      </w:r>
      <w:r w:rsidR="00CC03E2" w:rsidRPr="002239BF">
        <w:rPr>
          <w:rFonts w:ascii="Times New Roman" w:hAnsi="Times New Roman" w:cs="Times New Roman"/>
          <w:sz w:val="24"/>
          <w:szCs w:val="24"/>
        </w:rPr>
        <w:t>ation</w:t>
      </w:r>
      <w:r w:rsidR="00654E2A" w:rsidRPr="002239BF">
        <w:rPr>
          <w:rFonts w:ascii="Times New Roman" w:hAnsi="Times New Roman" w:cs="Times New Roman"/>
          <w:sz w:val="24"/>
          <w:szCs w:val="24"/>
        </w:rPr>
        <w:t>. N</w:t>
      </w:r>
      <w:r w:rsidR="00274581" w:rsidRPr="002239BF">
        <w:rPr>
          <w:rFonts w:ascii="Times New Roman" w:hAnsi="Times New Roman" w:cs="Times New Roman"/>
          <w:sz w:val="24"/>
          <w:szCs w:val="24"/>
        </w:rPr>
        <w:t>evertheless</w:t>
      </w:r>
      <w:r w:rsidR="00D20EF3" w:rsidRPr="002239BF">
        <w:rPr>
          <w:rFonts w:ascii="Times New Roman" w:hAnsi="Times New Roman" w:cs="Times New Roman"/>
          <w:sz w:val="24"/>
          <w:szCs w:val="24"/>
        </w:rPr>
        <w:t>,</w:t>
      </w:r>
      <w:r w:rsidR="00274581" w:rsidRPr="002239BF">
        <w:rPr>
          <w:rFonts w:ascii="Times New Roman" w:hAnsi="Times New Roman" w:cs="Times New Roman"/>
          <w:sz w:val="24"/>
          <w:szCs w:val="24"/>
        </w:rPr>
        <w:t xml:space="preserve"> </w:t>
      </w:r>
      <w:r w:rsidR="00FA0084" w:rsidRPr="002239BF">
        <w:rPr>
          <w:rFonts w:ascii="Times New Roman" w:hAnsi="Times New Roman" w:cs="Times New Roman"/>
          <w:sz w:val="24"/>
          <w:szCs w:val="24"/>
        </w:rPr>
        <w:t>for</w:t>
      </w:r>
      <w:r w:rsidR="00893FEB" w:rsidRPr="002239BF">
        <w:rPr>
          <w:rFonts w:ascii="Times New Roman" w:hAnsi="Times New Roman" w:cs="Times New Roman"/>
          <w:sz w:val="24"/>
          <w:szCs w:val="24"/>
        </w:rPr>
        <w:t xml:space="preserve"> the majority </w:t>
      </w:r>
      <w:r w:rsidRPr="002239BF">
        <w:rPr>
          <w:rFonts w:ascii="Times New Roman" w:hAnsi="Times New Roman" w:cs="Times New Roman"/>
          <w:sz w:val="24"/>
          <w:szCs w:val="24"/>
        </w:rPr>
        <w:t>of tenants</w:t>
      </w:r>
      <w:r w:rsidR="00654E2A" w:rsidRPr="002239BF">
        <w:rPr>
          <w:rFonts w:ascii="Times New Roman" w:hAnsi="Times New Roman" w:cs="Times New Roman"/>
          <w:sz w:val="24"/>
          <w:szCs w:val="24"/>
        </w:rPr>
        <w:t>,</w:t>
      </w:r>
      <w:r w:rsidRPr="002239BF">
        <w:rPr>
          <w:rFonts w:ascii="Times New Roman" w:hAnsi="Times New Roman" w:cs="Times New Roman"/>
          <w:sz w:val="24"/>
          <w:szCs w:val="24"/>
        </w:rPr>
        <w:t xml:space="preserve"> </w:t>
      </w:r>
      <w:r w:rsidR="00967F15" w:rsidRPr="002239BF">
        <w:rPr>
          <w:rFonts w:ascii="Times New Roman" w:hAnsi="Times New Roman" w:cs="Times New Roman"/>
          <w:sz w:val="24"/>
          <w:szCs w:val="24"/>
        </w:rPr>
        <w:t>social housing</w:t>
      </w:r>
      <w:r w:rsidR="00FA0084" w:rsidRPr="002239BF">
        <w:rPr>
          <w:rFonts w:ascii="Times New Roman" w:hAnsi="Times New Roman" w:cs="Times New Roman"/>
          <w:sz w:val="24"/>
          <w:szCs w:val="24"/>
        </w:rPr>
        <w:t xml:space="preserve"> </w:t>
      </w:r>
      <w:r w:rsidR="00654E2A" w:rsidRPr="002239BF">
        <w:rPr>
          <w:rFonts w:ascii="Times New Roman" w:hAnsi="Times New Roman" w:cs="Times New Roman"/>
          <w:sz w:val="24"/>
          <w:szCs w:val="24"/>
        </w:rPr>
        <w:t xml:space="preserve">continued to offer the chance of </w:t>
      </w:r>
      <w:r w:rsidR="00FA0084" w:rsidRPr="002239BF">
        <w:rPr>
          <w:rFonts w:ascii="Times New Roman" w:hAnsi="Times New Roman" w:cs="Times New Roman"/>
          <w:sz w:val="24"/>
          <w:szCs w:val="24"/>
        </w:rPr>
        <w:t xml:space="preserve">a long-term home. </w:t>
      </w:r>
    </w:p>
    <w:p w14:paraId="073A9B5E" w14:textId="77777777" w:rsidR="00317600" w:rsidRPr="002239BF" w:rsidRDefault="00317600" w:rsidP="00733DF3">
      <w:pPr>
        <w:spacing w:line="480" w:lineRule="auto"/>
        <w:rPr>
          <w:rFonts w:ascii="Times New Roman" w:hAnsi="Times New Roman" w:cs="Times New Roman"/>
          <w:sz w:val="24"/>
          <w:szCs w:val="24"/>
        </w:rPr>
      </w:pPr>
    </w:p>
    <w:p w14:paraId="26E724D6" w14:textId="1AA17314" w:rsidR="00136511" w:rsidRPr="002239BF" w:rsidRDefault="00830020"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Localism Act 2011</w:t>
      </w:r>
      <w:r w:rsidR="00C42F58" w:rsidRPr="002239BF">
        <w:rPr>
          <w:rFonts w:ascii="Times New Roman" w:hAnsi="Times New Roman" w:cs="Times New Roman"/>
          <w:sz w:val="24"/>
          <w:szCs w:val="24"/>
        </w:rPr>
        <w:t xml:space="preserve"> heralded a new approach by introducing </w:t>
      </w:r>
      <w:r w:rsidR="00FA0018" w:rsidRPr="002239BF">
        <w:rPr>
          <w:rFonts w:ascii="Times New Roman" w:hAnsi="Times New Roman" w:cs="Times New Roman"/>
          <w:sz w:val="24"/>
          <w:szCs w:val="24"/>
        </w:rPr>
        <w:t>fixed-term tenancies – so-called flexible tenancies</w:t>
      </w:r>
      <w:r w:rsidR="005A19E0" w:rsidRPr="002239BF">
        <w:rPr>
          <w:rFonts w:ascii="Times New Roman" w:hAnsi="Times New Roman" w:cs="Times New Roman"/>
          <w:sz w:val="24"/>
          <w:szCs w:val="24"/>
        </w:rPr>
        <w:t xml:space="preserve"> – for the first time</w:t>
      </w:r>
      <w:r w:rsidR="00FA0018" w:rsidRPr="002239BF">
        <w:rPr>
          <w:rFonts w:ascii="Times New Roman" w:hAnsi="Times New Roman" w:cs="Times New Roman"/>
          <w:sz w:val="24"/>
          <w:szCs w:val="24"/>
        </w:rPr>
        <w:t>.</w:t>
      </w:r>
      <w:r w:rsidR="00FA0018" w:rsidRPr="002239BF">
        <w:rPr>
          <w:rStyle w:val="FootnoteReference"/>
          <w:rFonts w:ascii="Times New Roman" w:hAnsi="Times New Roman" w:cs="Times New Roman"/>
          <w:sz w:val="24"/>
          <w:szCs w:val="24"/>
        </w:rPr>
        <w:footnoteReference w:id="140"/>
      </w:r>
      <w:r w:rsidR="00FA0018" w:rsidRPr="002239BF">
        <w:rPr>
          <w:rFonts w:ascii="Times New Roman" w:hAnsi="Times New Roman" w:cs="Times New Roman"/>
          <w:sz w:val="24"/>
          <w:szCs w:val="24"/>
        </w:rPr>
        <w:t xml:space="preserve">  These tenancies represented the first serious attempt to curtail security of tenure for</w:t>
      </w:r>
      <w:r w:rsidR="00893FEB" w:rsidRPr="002239BF">
        <w:rPr>
          <w:rFonts w:ascii="Times New Roman" w:hAnsi="Times New Roman" w:cs="Times New Roman"/>
          <w:sz w:val="24"/>
          <w:szCs w:val="24"/>
        </w:rPr>
        <w:t xml:space="preserve"> reasons </w:t>
      </w:r>
      <w:r w:rsidR="002F54C0" w:rsidRPr="002239BF">
        <w:rPr>
          <w:rFonts w:ascii="Times New Roman" w:hAnsi="Times New Roman" w:cs="Times New Roman"/>
          <w:sz w:val="24"/>
          <w:szCs w:val="24"/>
        </w:rPr>
        <w:t xml:space="preserve">ostensibly </w:t>
      </w:r>
      <w:r w:rsidR="00893FEB" w:rsidRPr="002239BF">
        <w:rPr>
          <w:rFonts w:ascii="Times New Roman" w:hAnsi="Times New Roman" w:cs="Times New Roman"/>
          <w:sz w:val="24"/>
          <w:szCs w:val="24"/>
        </w:rPr>
        <w:t>unrelated to behaviour</w:t>
      </w:r>
      <w:r w:rsidR="00104907" w:rsidRPr="002239BF">
        <w:rPr>
          <w:rFonts w:ascii="Times New Roman" w:hAnsi="Times New Roman" w:cs="Times New Roman"/>
          <w:sz w:val="24"/>
          <w:szCs w:val="24"/>
        </w:rPr>
        <w:t>,</w:t>
      </w:r>
      <w:r w:rsidR="002F54C0" w:rsidRPr="002239BF">
        <w:rPr>
          <w:rStyle w:val="FootnoteReference"/>
          <w:rFonts w:ascii="Times New Roman" w:hAnsi="Times New Roman" w:cs="Times New Roman"/>
          <w:sz w:val="24"/>
          <w:szCs w:val="24"/>
        </w:rPr>
        <w:footnoteReference w:id="141"/>
      </w:r>
      <w:r w:rsidR="002F54C0" w:rsidRPr="002239BF">
        <w:rPr>
          <w:rFonts w:ascii="Times New Roman" w:hAnsi="Times New Roman" w:cs="Times New Roman"/>
          <w:sz w:val="24"/>
          <w:szCs w:val="24"/>
        </w:rPr>
        <w:t xml:space="preserve"> and signalled that</w:t>
      </w:r>
      <w:r w:rsidR="00893FEB" w:rsidRPr="002239BF">
        <w:rPr>
          <w:rFonts w:ascii="Times New Roman" w:hAnsi="Times New Roman" w:cs="Times New Roman"/>
          <w:sz w:val="24"/>
          <w:szCs w:val="24"/>
        </w:rPr>
        <w:t xml:space="preserve"> a social tenancy may be transitory, rather than permanent.  </w:t>
      </w:r>
      <w:r w:rsidR="00A97B59" w:rsidRPr="002239BF">
        <w:rPr>
          <w:rFonts w:ascii="Times New Roman" w:hAnsi="Times New Roman" w:cs="Times New Roman"/>
          <w:sz w:val="24"/>
          <w:szCs w:val="24"/>
        </w:rPr>
        <w:t>In keeping with the localist agenda under the Coal</w:t>
      </w:r>
      <w:r w:rsidR="00C356BA" w:rsidRPr="002239BF">
        <w:rPr>
          <w:rFonts w:ascii="Times New Roman" w:hAnsi="Times New Roman" w:cs="Times New Roman"/>
          <w:sz w:val="24"/>
          <w:szCs w:val="24"/>
        </w:rPr>
        <w:t>i</w:t>
      </w:r>
      <w:r w:rsidR="00A97B59" w:rsidRPr="002239BF">
        <w:rPr>
          <w:rFonts w:ascii="Times New Roman" w:hAnsi="Times New Roman" w:cs="Times New Roman"/>
          <w:sz w:val="24"/>
          <w:szCs w:val="24"/>
        </w:rPr>
        <w:t>tion government,</w:t>
      </w:r>
      <w:r w:rsidR="005157D2" w:rsidRPr="002239BF">
        <w:rPr>
          <w:rFonts w:ascii="Times New Roman" w:hAnsi="Times New Roman" w:cs="Times New Roman"/>
          <w:sz w:val="24"/>
          <w:szCs w:val="24"/>
        </w:rPr>
        <w:t xml:space="preserve"> </w:t>
      </w:r>
      <w:r w:rsidR="0036659B" w:rsidRPr="002239BF">
        <w:rPr>
          <w:rFonts w:ascii="Times New Roman" w:hAnsi="Times New Roman" w:cs="Times New Roman"/>
          <w:sz w:val="24"/>
          <w:szCs w:val="24"/>
        </w:rPr>
        <w:t>local authorities could decide whether to use them</w:t>
      </w:r>
      <w:r w:rsidR="00A97B59" w:rsidRPr="002239BF">
        <w:rPr>
          <w:rFonts w:ascii="Times New Roman" w:hAnsi="Times New Roman" w:cs="Times New Roman"/>
          <w:sz w:val="24"/>
          <w:szCs w:val="24"/>
        </w:rPr>
        <w:t xml:space="preserve">.  As </w:t>
      </w:r>
      <w:r w:rsidR="00517B4A" w:rsidRPr="002239BF">
        <w:rPr>
          <w:rFonts w:ascii="Times New Roman" w:hAnsi="Times New Roman" w:cs="Times New Roman"/>
          <w:sz w:val="24"/>
          <w:szCs w:val="24"/>
        </w:rPr>
        <w:t>we have explained, t</w:t>
      </w:r>
      <w:r w:rsidR="00FA0018" w:rsidRPr="002239BF">
        <w:rPr>
          <w:rFonts w:ascii="Times New Roman" w:hAnsi="Times New Roman" w:cs="Times New Roman"/>
          <w:sz w:val="24"/>
          <w:szCs w:val="24"/>
        </w:rPr>
        <w:t>he 2016 Act makes fixed-term tenancies mandatory.  The provision of temporary, safety net housing has long been a feature of social housing for people housed through the homelessness provisions.</w:t>
      </w:r>
      <w:r w:rsidR="00FA0018" w:rsidRPr="002239BF">
        <w:rPr>
          <w:rStyle w:val="FootnoteReference"/>
          <w:rFonts w:ascii="Times New Roman" w:hAnsi="Times New Roman" w:cs="Times New Roman"/>
          <w:sz w:val="24"/>
          <w:szCs w:val="24"/>
        </w:rPr>
        <w:footnoteReference w:id="142"/>
      </w:r>
      <w:r w:rsidR="00FA0018" w:rsidRPr="002239BF">
        <w:rPr>
          <w:rFonts w:ascii="Times New Roman" w:hAnsi="Times New Roman" w:cs="Times New Roman"/>
          <w:sz w:val="24"/>
          <w:szCs w:val="24"/>
        </w:rPr>
        <w:t xml:space="preserve">  </w:t>
      </w:r>
      <w:r w:rsidR="00D33383" w:rsidRPr="002239BF">
        <w:rPr>
          <w:rFonts w:ascii="Times New Roman" w:hAnsi="Times New Roman" w:cs="Times New Roman"/>
          <w:sz w:val="24"/>
          <w:szCs w:val="24"/>
        </w:rPr>
        <w:t>Nevertheless</w:t>
      </w:r>
      <w:r w:rsidR="00FA0018" w:rsidRPr="002239BF">
        <w:rPr>
          <w:rFonts w:ascii="Times New Roman" w:hAnsi="Times New Roman" w:cs="Times New Roman"/>
          <w:sz w:val="24"/>
          <w:szCs w:val="24"/>
        </w:rPr>
        <w:t xml:space="preserve">, there has been a distinction between </w:t>
      </w:r>
      <w:r w:rsidR="005A19E0" w:rsidRPr="002239BF">
        <w:rPr>
          <w:rFonts w:ascii="Times New Roman" w:hAnsi="Times New Roman" w:cs="Times New Roman"/>
          <w:sz w:val="24"/>
          <w:szCs w:val="24"/>
        </w:rPr>
        <w:t>the homeless</w:t>
      </w:r>
      <w:r w:rsidR="00FA0018" w:rsidRPr="002239BF">
        <w:rPr>
          <w:rFonts w:ascii="Times New Roman" w:hAnsi="Times New Roman" w:cs="Times New Roman"/>
          <w:sz w:val="24"/>
          <w:szCs w:val="24"/>
        </w:rPr>
        <w:t xml:space="preserve"> and </w:t>
      </w:r>
      <w:r w:rsidR="005A19E0" w:rsidRPr="002239BF">
        <w:rPr>
          <w:rFonts w:ascii="Times New Roman" w:hAnsi="Times New Roman" w:cs="Times New Roman"/>
          <w:sz w:val="24"/>
          <w:szCs w:val="24"/>
        </w:rPr>
        <w:t>households</w:t>
      </w:r>
      <w:r w:rsidR="00FA0018" w:rsidRPr="002239BF">
        <w:rPr>
          <w:rFonts w:ascii="Times New Roman" w:hAnsi="Times New Roman" w:cs="Times New Roman"/>
          <w:sz w:val="24"/>
          <w:szCs w:val="24"/>
        </w:rPr>
        <w:t xml:space="preserve"> housed via the waiting list.</w:t>
      </w:r>
      <w:r w:rsidR="00FA0018" w:rsidRPr="002239BF">
        <w:rPr>
          <w:rStyle w:val="FootnoteReference"/>
          <w:rFonts w:ascii="Times New Roman" w:hAnsi="Times New Roman" w:cs="Times New Roman"/>
          <w:sz w:val="24"/>
          <w:szCs w:val="24"/>
        </w:rPr>
        <w:footnoteReference w:id="143"/>
      </w:r>
      <w:r w:rsidR="00FA0018" w:rsidRPr="002239BF">
        <w:rPr>
          <w:rFonts w:ascii="Times New Roman" w:hAnsi="Times New Roman" w:cs="Times New Roman"/>
          <w:sz w:val="24"/>
          <w:szCs w:val="24"/>
        </w:rPr>
        <w:t xml:space="preserve">  The 2016 Act blurs that distinction.  As will be discussed</w:t>
      </w:r>
      <w:r w:rsidR="00517B4A" w:rsidRPr="002239BF">
        <w:rPr>
          <w:rFonts w:ascii="Times New Roman" w:hAnsi="Times New Roman" w:cs="Times New Roman"/>
          <w:sz w:val="24"/>
          <w:szCs w:val="24"/>
        </w:rPr>
        <w:t xml:space="preserve"> below</w:t>
      </w:r>
      <w:r w:rsidR="00FA0018" w:rsidRPr="002239BF">
        <w:rPr>
          <w:rFonts w:ascii="Times New Roman" w:hAnsi="Times New Roman" w:cs="Times New Roman"/>
          <w:sz w:val="24"/>
          <w:szCs w:val="24"/>
        </w:rPr>
        <w:t>, the implication is that any form of social housing is a safety net to be provided on a time-limited basis</w:t>
      </w:r>
      <w:r w:rsidR="00DF2B37" w:rsidRPr="002239BF">
        <w:rPr>
          <w:rFonts w:ascii="Times New Roman" w:hAnsi="Times New Roman" w:cs="Times New Roman"/>
          <w:sz w:val="24"/>
          <w:szCs w:val="24"/>
        </w:rPr>
        <w:t xml:space="preserve"> – as an ‘ambulance’ service</w:t>
      </w:r>
      <w:bookmarkStart w:id="12" w:name="_Ref461891891"/>
      <w:r w:rsidR="00DF2B37" w:rsidRPr="002239BF">
        <w:rPr>
          <w:rStyle w:val="FootnoteReference"/>
          <w:rFonts w:ascii="Times New Roman" w:hAnsi="Times New Roman" w:cs="Times New Roman"/>
          <w:sz w:val="24"/>
          <w:szCs w:val="24"/>
        </w:rPr>
        <w:footnoteReference w:id="144"/>
      </w:r>
      <w:bookmarkEnd w:id="12"/>
      <w:r w:rsidR="00DF2B37" w:rsidRPr="002239BF">
        <w:rPr>
          <w:rFonts w:ascii="Times New Roman" w:hAnsi="Times New Roman" w:cs="Times New Roman"/>
          <w:sz w:val="24"/>
          <w:szCs w:val="24"/>
        </w:rPr>
        <w:t xml:space="preserve"> – u</w:t>
      </w:r>
      <w:r w:rsidR="00FA0018" w:rsidRPr="002239BF">
        <w:rPr>
          <w:rFonts w:ascii="Times New Roman" w:hAnsi="Times New Roman" w:cs="Times New Roman"/>
          <w:sz w:val="24"/>
          <w:szCs w:val="24"/>
        </w:rPr>
        <w:t>ntil someone is able to achieve their ultimate aspiration of becoming a home owner.</w:t>
      </w:r>
      <w:r w:rsidR="00EA79D1" w:rsidRPr="002239BF">
        <w:rPr>
          <w:rFonts w:ascii="Times New Roman" w:hAnsi="Times New Roman" w:cs="Times New Roman"/>
          <w:sz w:val="24"/>
          <w:szCs w:val="24"/>
        </w:rPr>
        <w:t xml:space="preserve"> </w:t>
      </w:r>
    </w:p>
    <w:p w14:paraId="28312378" w14:textId="77777777" w:rsidR="00F37020" w:rsidRPr="002239BF" w:rsidRDefault="00F37020" w:rsidP="00733DF3">
      <w:pPr>
        <w:spacing w:line="480" w:lineRule="auto"/>
        <w:rPr>
          <w:rFonts w:ascii="Times New Roman" w:hAnsi="Times New Roman" w:cs="Times New Roman"/>
          <w:sz w:val="24"/>
          <w:szCs w:val="24"/>
        </w:rPr>
      </w:pPr>
    </w:p>
    <w:p w14:paraId="5B269007" w14:textId="564950D5" w:rsidR="00E83CEE" w:rsidRPr="002239BF" w:rsidRDefault="00D20EF3" w:rsidP="00733DF3">
      <w:pPr>
        <w:spacing w:line="480" w:lineRule="auto"/>
        <w:rPr>
          <w:rFonts w:ascii="Times New Roman" w:hAnsi="Times New Roman" w:cs="Times New Roman"/>
          <w:b/>
          <w:sz w:val="24"/>
          <w:szCs w:val="24"/>
        </w:rPr>
      </w:pPr>
      <w:r w:rsidRPr="002239BF">
        <w:rPr>
          <w:rFonts w:ascii="Times New Roman" w:hAnsi="Times New Roman" w:cs="Times New Roman"/>
          <w:b/>
          <w:sz w:val="24"/>
          <w:szCs w:val="24"/>
        </w:rPr>
        <w:t>The 2016 Act: from the logic of localism to the logic of homeownership</w:t>
      </w:r>
    </w:p>
    <w:p w14:paraId="1AABBDEA" w14:textId="12F10E2C" w:rsidR="003A7B7F" w:rsidRPr="002239BF" w:rsidRDefault="00261D3D" w:rsidP="00733DF3">
      <w:pPr>
        <w:spacing w:after="0" w:line="480" w:lineRule="auto"/>
        <w:rPr>
          <w:rFonts w:ascii="Times New Roman" w:hAnsi="Times New Roman" w:cs="Times New Roman"/>
          <w:sz w:val="24"/>
          <w:szCs w:val="24"/>
        </w:rPr>
      </w:pPr>
      <w:r w:rsidRPr="002239BF">
        <w:rPr>
          <w:rFonts w:ascii="Times New Roman" w:hAnsi="Times New Roman" w:cs="Times New Roman"/>
          <w:sz w:val="24"/>
          <w:szCs w:val="24"/>
          <w:lang w:val="en-US"/>
        </w:rPr>
        <w:t>We have argued that, t</w:t>
      </w:r>
      <w:r w:rsidR="000323A9" w:rsidRPr="002239BF">
        <w:rPr>
          <w:rFonts w:ascii="Times New Roman" w:hAnsi="Times New Roman" w:cs="Times New Roman"/>
          <w:sz w:val="24"/>
          <w:szCs w:val="24"/>
          <w:lang w:val="en-US"/>
        </w:rPr>
        <w:t xml:space="preserve">aken together, the key housing policy measures of the 2016 Act </w:t>
      </w:r>
      <w:r w:rsidR="00A86188" w:rsidRPr="002239BF">
        <w:rPr>
          <w:rFonts w:ascii="Times New Roman" w:hAnsi="Times New Roman" w:cs="Times New Roman"/>
          <w:sz w:val="24"/>
          <w:szCs w:val="24"/>
        </w:rPr>
        <w:t xml:space="preserve">represent both an intensification in the process of residualisation of social housing in Britain and </w:t>
      </w:r>
      <w:r w:rsidR="00FC5A66" w:rsidRPr="002239BF">
        <w:rPr>
          <w:rFonts w:ascii="Times New Roman" w:hAnsi="Times New Roman" w:cs="Times New Roman"/>
          <w:sz w:val="24"/>
          <w:szCs w:val="24"/>
          <w:lang w:val="en-US"/>
        </w:rPr>
        <w:t>a prioriti</w:t>
      </w:r>
      <w:r w:rsidR="00D20EF3" w:rsidRPr="002239BF">
        <w:rPr>
          <w:rFonts w:ascii="Times New Roman" w:hAnsi="Times New Roman" w:cs="Times New Roman"/>
          <w:sz w:val="24"/>
          <w:szCs w:val="24"/>
          <w:lang w:val="en-US"/>
        </w:rPr>
        <w:t>s</w:t>
      </w:r>
      <w:r w:rsidR="00FC5A66" w:rsidRPr="002239BF">
        <w:rPr>
          <w:rFonts w:ascii="Times New Roman" w:hAnsi="Times New Roman" w:cs="Times New Roman"/>
          <w:sz w:val="24"/>
          <w:szCs w:val="24"/>
          <w:lang w:val="en-US"/>
        </w:rPr>
        <w:t>ation</w:t>
      </w:r>
      <w:r w:rsidR="00A86188" w:rsidRPr="002239BF">
        <w:rPr>
          <w:rFonts w:ascii="Times New Roman" w:hAnsi="Times New Roman" w:cs="Times New Roman"/>
          <w:sz w:val="24"/>
          <w:szCs w:val="24"/>
          <w:lang w:val="en-US"/>
        </w:rPr>
        <w:t xml:space="preserve"> a</w:t>
      </w:r>
      <w:r w:rsidR="00FC5A66" w:rsidRPr="002239BF">
        <w:rPr>
          <w:rFonts w:ascii="Times New Roman" w:hAnsi="Times New Roman" w:cs="Times New Roman"/>
          <w:sz w:val="24"/>
          <w:szCs w:val="24"/>
          <w:lang w:val="en-US"/>
        </w:rPr>
        <w:t>nd</w:t>
      </w:r>
      <w:r w:rsidR="00A86188" w:rsidRPr="002239BF">
        <w:rPr>
          <w:rFonts w:ascii="Times New Roman" w:hAnsi="Times New Roman" w:cs="Times New Roman"/>
          <w:sz w:val="24"/>
          <w:szCs w:val="24"/>
          <w:lang w:val="en-US"/>
        </w:rPr>
        <w:t xml:space="preserve"> championing of </w:t>
      </w:r>
      <w:r w:rsidR="005D6462" w:rsidRPr="002239BF">
        <w:rPr>
          <w:rFonts w:ascii="Times New Roman" w:hAnsi="Times New Roman" w:cs="Times New Roman"/>
          <w:sz w:val="24"/>
          <w:szCs w:val="24"/>
          <w:lang w:val="en-US"/>
        </w:rPr>
        <w:t>homeownership above all other</w:t>
      </w:r>
      <w:r w:rsidR="00285C36" w:rsidRPr="002239BF">
        <w:rPr>
          <w:rFonts w:ascii="Times New Roman" w:hAnsi="Times New Roman" w:cs="Times New Roman"/>
          <w:sz w:val="24"/>
          <w:szCs w:val="24"/>
          <w:lang w:val="en-US"/>
        </w:rPr>
        <w:t xml:space="preserve"> housing</w:t>
      </w:r>
      <w:r w:rsidR="005D6462" w:rsidRPr="002239BF">
        <w:rPr>
          <w:rFonts w:ascii="Times New Roman" w:hAnsi="Times New Roman" w:cs="Times New Roman"/>
          <w:sz w:val="24"/>
          <w:szCs w:val="24"/>
          <w:lang w:val="en-US"/>
        </w:rPr>
        <w:t xml:space="preserve"> tenures.</w:t>
      </w:r>
      <w:r w:rsidR="000323A9" w:rsidRPr="002239BF">
        <w:rPr>
          <w:rFonts w:ascii="Times New Roman" w:hAnsi="Times New Roman" w:cs="Times New Roman"/>
          <w:sz w:val="24"/>
          <w:szCs w:val="24"/>
          <w:lang w:val="en-US"/>
        </w:rPr>
        <w:t xml:space="preserve"> From the </w:t>
      </w:r>
      <w:r w:rsidR="00D20EF3" w:rsidRPr="002239BF">
        <w:rPr>
          <w:rFonts w:ascii="Times New Roman" w:hAnsi="Times New Roman" w:cs="Times New Roman"/>
          <w:sz w:val="24"/>
          <w:szCs w:val="24"/>
          <w:lang w:val="en-US"/>
        </w:rPr>
        <w:t>s</w:t>
      </w:r>
      <w:r w:rsidR="000323A9" w:rsidRPr="002239BF">
        <w:rPr>
          <w:rFonts w:ascii="Times New Roman" w:hAnsi="Times New Roman" w:cs="Times New Roman"/>
          <w:sz w:val="24"/>
          <w:szCs w:val="24"/>
          <w:lang w:val="en-US"/>
        </w:rPr>
        <w:t xml:space="preserve">tarter </w:t>
      </w:r>
      <w:r w:rsidR="00D20EF3" w:rsidRPr="002239BF">
        <w:rPr>
          <w:rFonts w:ascii="Times New Roman" w:hAnsi="Times New Roman" w:cs="Times New Roman"/>
          <w:sz w:val="24"/>
          <w:szCs w:val="24"/>
          <w:lang w:val="en-US"/>
        </w:rPr>
        <w:t>h</w:t>
      </w:r>
      <w:r w:rsidR="000323A9" w:rsidRPr="002239BF">
        <w:rPr>
          <w:rFonts w:ascii="Times New Roman" w:hAnsi="Times New Roman" w:cs="Times New Roman"/>
          <w:sz w:val="24"/>
          <w:szCs w:val="24"/>
          <w:lang w:val="en-US"/>
        </w:rPr>
        <w:t xml:space="preserve">omes </w:t>
      </w:r>
      <w:r w:rsidR="00D20EF3" w:rsidRPr="002239BF">
        <w:rPr>
          <w:rFonts w:ascii="Times New Roman" w:hAnsi="Times New Roman" w:cs="Times New Roman"/>
          <w:sz w:val="24"/>
          <w:szCs w:val="24"/>
          <w:lang w:val="en-US"/>
        </w:rPr>
        <w:t>s</w:t>
      </w:r>
      <w:r w:rsidR="000323A9" w:rsidRPr="002239BF">
        <w:rPr>
          <w:rFonts w:ascii="Times New Roman" w:hAnsi="Times New Roman" w:cs="Times New Roman"/>
          <w:sz w:val="24"/>
          <w:szCs w:val="24"/>
          <w:lang w:val="en-US"/>
        </w:rPr>
        <w:t xml:space="preserve">cheme to the extension of the </w:t>
      </w:r>
      <w:r w:rsidR="00D20EF3" w:rsidRPr="002239BF">
        <w:rPr>
          <w:rFonts w:ascii="Times New Roman" w:hAnsi="Times New Roman" w:cs="Times New Roman"/>
          <w:sz w:val="24"/>
          <w:szCs w:val="24"/>
          <w:lang w:val="en-US"/>
        </w:rPr>
        <w:t>r</w:t>
      </w:r>
      <w:r w:rsidR="000323A9" w:rsidRPr="002239BF">
        <w:rPr>
          <w:rFonts w:ascii="Times New Roman" w:hAnsi="Times New Roman" w:cs="Times New Roman"/>
          <w:sz w:val="24"/>
          <w:szCs w:val="24"/>
          <w:lang w:val="en-US"/>
        </w:rPr>
        <w:t xml:space="preserve">ight to </w:t>
      </w:r>
      <w:r w:rsidR="00D20EF3" w:rsidRPr="002239BF">
        <w:rPr>
          <w:rFonts w:ascii="Times New Roman" w:hAnsi="Times New Roman" w:cs="Times New Roman"/>
          <w:sz w:val="24"/>
          <w:szCs w:val="24"/>
          <w:lang w:val="en-US"/>
        </w:rPr>
        <w:t>b</w:t>
      </w:r>
      <w:r w:rsidR="000323A9" w:rsidRPr="002239BF">
        <w:rPr>
          <w:rFonts w:ascii="Times New Roman" w:hAnsi="Times New Roman" w:cs="Times New Roman"/>
          <w:sz w:val="24"/>
          <w:szCs w:val="24"/>
          <w:lang w:val="en-US"/>
        </w:rPr>
        <w:t xml:space="preserve">uy </w:t>
      </w:r>
      <w:r w:rsidR="005D6462" w:rsidRPr="002239BF">
        <w:rPr>
          <w:rFonts w:ascii="Times New Roman" w:hAnsi="Times New Roman" w:cs="Times New Roman"/>
          <w:sz w:val="24"/>
          <w:szCs w:val="24"/>
          <w:lang w:val="en-US"/>
        </w:rPr>
        <w:t>to housing association tenants</w:t>
      </w:r>
      <w:r w:rsidR="000323A9" w:rsidRPr="002239BF">
        <w:rPr>
          <w:rFonts w:ascii="Times New Roman" w:hAnsi="Times New Roman" w:cs="Times New Roman"/>
          <w:sz w:val="24"/>
          <w:szCs w:val="24"/>
          <w:lang w:val="en-US"/>
        </w:rPr>
        <w:t>, homeownership is portrayed as the aspirational</w:t>
      </w:r>
      <w:r w:rsidR="00D71A8A" w:rsidRPr="002239BF">
        <w:rPr>
          <w:rFonts w:ascii="Times New Roman" w:hAnsi="Times New Roman" w:cs="Times New Roman"/>
          <w:sz w:val="24"/>
          <w:szCs w:val="24"/>
          <w:lang w:val="en-US"/>
        </w:rPr>
        <w:t xml:space="preserve"> and </w:t>
      </w:r>
      <w:r w:rsidR="005D6462" w:rsidRPr="002239BF">
        <w:rPr>
          <w:rFonts w:ascii="Times New Roman" w:hAnsi="Times New Roman" w:cs="Times New Roman"/>
          <w:sz w:val="24"/>
          <w:szCs w:val="24"/>
          <w:lang w:val="en-US"/>
        </w:rPr>
        <w:t>stable</w:t>
      </w:r>
      <w:r w:rsidR="000323A9" w:rsidRPr="002239BF">
        <w:rPr>
          <w:rFonts w:ascii="Times New Roman" w:hAnsi="Times New Roman" w:cs="Times New Roman"/>
          <w:sz w:val="24"/>
          <w:szCs w:val="24"/>
          <w:lang w:val="en-US"/>
        </w:rPr>
        <w:t xml:space="preserve"> </w:t>
      </w:r>
      <w:r w:rsidR="00824D9D" w:rsidRPr="002239BF">
        <w:rPr>
          <w:rFonts w:ascii="Times New Roman" w:hAnsi="Times New Roman" w:cs="Times New Roman"/>
          <w:sz w:val="24"/>
          <w:szCs w:val="24"/>
          <w:lang w:val="en-US"/>
        </w:rPr>
        <w:t xml:space="preserve">housing </w:t>
      </w:r>
      <w:r w:rsidR="005D6462" w:rsidRPr="002239BF">
        <w:rPr>
          <w:rFonts w:ascii="Times New Roman" w:hAnsi="Times New Roman" w:cs="Times New Roman"/>
          <w:sz w:val="24"/>
          <w:szCs w:val="24"/>
          <w:lang w:val="en-US"/>
        </w:rPr>
        <w:t xml:space="preserve">choice. </w:t>
      </w:r>
      <w:r w:rsidR="006C3F40" w:rsidRPr="002239BF">
        <w:rPr>
          <w:rFonts w:ascii="Times New Roman" w:hAnsi="Times New Roman" w:cs="Times New Roman"/>
          <w:sz w:val="24"/>
          <w:szCs w:val="24"/>
          <w:lang w:val="en-US"/>
        </w:rPr>
        <w:t xml:space="preserve">At the same time, </w:t>
      </w:r>
      <w:r w:rsidR="000323A9" w:rsidRPr="002239BF">
        <w:rPr>
          <w:rFonts w:ascii="Times New Roman" w:hAnsi="Times New Roman" w:cs="Times New Roman"/>
          <w:sz w:val="24"/>
          <w:szCs w:val="24"/>
          <w:lang w:val="en-US"/>
        </w:rPr>
        <w:t>through the forced sale of high value properties and th</w:t>
      </w:r>
      <w:r w:rsidR="00D20B8A" w:rsidRPr="002239BF">
        <w:rPr>
          <w:rFonts w:ascii="Times New Roman" w:hAnsi="Times New Roman" w:cs="Times New Roman"/>
          <w:sz w:val="24"/>
          <w:szCs w:val="24"/>
          <w:lang w:val="en-US"/>
        </w:rPr>
        <w:t>e ending of lifetime tenancies, the soc</w:t>
      </w:r>
      <w:r w:rsidR="008B252D" w:rsidRPr="002239BF">
        <w:rPr>
          <w:rFonts w:ascii="Times New Roman" w:hAnsi="Times New Roman" w:cs="Times New Roman"/>
          <w:sz w:val="24"/>
          <w:szCs w:val="24"/>
          <w:lang w:val="en-US"/>
        </w:rPr>
        <w:t xml:space="preserve">ial housing sector is </w:t>
      </w:r>
      <w:r w:rsidR="00364F3B" w:rsidRPr="002239BF">
        <w:rPr>
          <w:rFonts w:ascii="Times New Roman" w:hAnsi="Times New Roman" w:cs="Times New Roman"/>
          <w:sz w:val="24"/>
          <w:szCs w:val="24"/>
          <w:lang w:val="en-US"/>
        </w:rPr>
        <w:t>eroded</w:t>
      </w:r>
      <w:r w:rsidR="00856FF4" w:rsidRPr="002239BF">
        <w:rPr>
          <w:rFonts w:ascii="Times New Roman" w:hAnsi="Times New Roman" w:cs="Times New Roman"/>
          <w:sz w:val="24"/>
          <w:szCs w:val="24"/>
          <w:lang w:val="en-US"/>
        </w:rPr>
        <w:t xml:space="preserve"> </w:t>
      </w:r>
      <w:r w:rsidRPr="002239BF">
        <w:rPr>
          <w:rFonts w:ascii="Times New Roman" w:hAnsi="Times New Roman" w:cs="Times New Roman"/>
          <w:sz w:val="24"/>
          <w:szCs w:val="24"/>
          <w:lang w:val="en-US"/>
        </w:rPr>
        <w:t>both in numerical terms and in the degree of housing stability it provides</w:t>
      </w:r>
      <w:r w:rsidR="00230AE4" w:rsidRPr="002239BF">
        <w:rPr>
          <w:rFonts w:ascii="Times New Roman" w:hAnsi="Times New Roman" w:cs="Times New Roman"/>
          <w:sz w:val="24"/>
          <w:szCs w:val="24"/>
          <w:lang w:val="en-US"/>
        </w:rPr>
        <w:t>.</w:t>
      </w:r>
      <w:r w:rsidR="008B252D" w:rsidRPr="002239BF">
        <w:rPr>
          <w:rFonts w:ascii="Times New Roman" w:hAnsi="Times New Roman" w:cs="Times New Roman"/>
          <w:sz w:val="24"/>
          <w:szCs w:val="24"/>
          <w:lang w:val="en-US"/>
        </w:rPr>
        <w:t xml:space="preserve"> </w:t>
      </w:r>
      <w:r w:rsidR="008B252D" w:rsidRPr="002239BF">
        <w:rPr>
          <w:rFonts w:ascii="Times New Roman" w:hAnsi="Times New Roman" w:cs="Times New Roman"/>
          <w:sz w:val="24"/>
          <w:szCs w:val="24"/>
        </w:rPr>
        <w:t>T</w:t>
      </w:r>
      <w:r w:rsidR="006C3F40" w:rsidRPr="002239BF">
        <w:rPr>
          <w:rFonts w:ascii="Times New Roman" w:hAnsi="Times New Roman" w:cs="Times New Roman"/>
          <w:sz w:val="24"/>
          <w:szCs w:val="24"/>
        </w:rPr>
        <w:t xml:space="preserve">he 2016 Act </w:t>
      </w:r>
      <w:r w:rsidR="008B252D" w:rsidRPr="002239BF">
        <w:rPr>
          <w:rFonts w:ascii="Times New Roman" w:hAnsi="Times New Roman" w:cs="Times New Roman"/>
          <w:sz w:val="24"/>
          <w:szCs w:val="24"/>
        </w:rPr>
        <w:t xml:space="preserve">therefore </w:t>
      </w:r>
      <w:r w:rsidR="006C3F40" w:rsidRPr="002239BF">
        <w:rPr>
          <w:rFonts w:ascii="Times New Roman" w:hAnsi="Times New Roman" w:cs="Times New Roman"/>
          <w:sz w:val="24"/>
          <w:szCs w:val="24"/>
        </w:rPr>
        <w:t>demonstrates a marked shift in the housing policy narrative from a call to the logic of localism</w:t>
      </w:r>
      <w:r w:rsidR="00D20EF3" w:rsidRPr="002239BF">
        <w:rPr>
          <w:rFonts w:ascii="Times New Roman" w:hAnsi="Times New Roman" w:cs="Times New Roman"/>
          <w:sz w:val="24"/>
          <w:szCs w:val="24"/>
        </w:rPr>
        <w:t>,</w:t>
      </w:r>
      <w:r w:rsidR="006C3F40" w:rsidRPr="002239BF">
        <w:rPr>
          <w:rFonts w:ascii="Times New Roman" w:hAnsi="Times New Roman" w:cs="Times New Roman"/>
          <w:sz w:val="24"/>
          <w:szCs w:val="24"/>
        </w:rPr>
        <w:t xml:space="preserve"> </w:t>
      </w:r>
      <w:r w:rsidR="00230AE4" w:rsidRPr="002239BF">
        <w:rPr>
          <w:rFonts w:ascii="Times New Roman" w:hAnsi="Times New Roman" w:cs="Times New Roman"/>
          <w:sz w:val="24"/>
          <w:szCs w:val="24"/>
        </w:rPr>
        <w:t xml:space="preserve">espoused by </w:t>
      </w:r>
      <w:r w:rsidR="006C3F40" w:rsidRPr="002239BF">
        <w:rPr>
          <w:rFonts w:ascii="Times New Roman" w:hAnsi="Times New Roman" w:cs="Times New Roman"/>
          <w:sz w:val="24"/>
          <w:szCs w:val="24"/>
        </w:rPr>
        <w:t xml:space="preserve">the Coalition Government </w:t>
      </w:r>
      <w:r w:rsidR="00230AE4" w:rsidRPr="002239BF">
        <w:rPr>
          <w:rFonts w:ascii="Times New Roman" w:hAnsi="Times New Roman" w:cs="Times New Roman"/>
          <w:sz w:val="24"/>
          <w:szCs w:val="24"/>
        </w:rPr>
        <w:t>under the Localism Act 2011</w:t>
      </w:r>
      <w:r w:rsidRPr="002239BF">
        <w:rPr>
          <w:rFonts w:ascii="Times New Roman" w:hAnsi="Times New Roman" w:cs="Times New Roman"/>
          <w:sz w:val="24"/>
          <w:szCs w:val="24"/>
        </w:rPr>
        <w:t xml:space="preserve">, </w:t>
      </w:r>
      <w:r w:rsidR="009D6429" w:rsidRPr="002239BF">
        <w:rPr>
          <w:rFonts w:ascii="Times New Roman" w:hAnsi="Times New Roman" w:cs="Times New Roman"/>
          <w:sz w:val="24"/>
          <w:szCs w:val="24"/>
        </w:rPr>
        <w:t>which explicitly recognised social housing as a ‘valuable national asset which matters to millions of people’,</w:t>
      </w:r>
      <w:r w:rsidR="00E5510E" w:rsidRPr="002239BF">
        <w:rPr>
          <w:rStyle w:val="FootnoteReference"/>
          <w:rFonts w:ascii="Times New Roman" w:hAnsi="Times New Roman" w:cs="Times New Roman"/>
          <w:sz w:val="24"/>
          <w:szCs w:val="24"/>
        </w:rPr>
        <w:footnoteReference w:id="145"/>
      </w:r>
      <w:r w:rsidR="00230AE4" w:rsidRPr="002239BF">
        <w:rPr>
          <w:rFonts w:ascii="Times New Roman" w:hAnsi="Times New Roman" w:cs="Times New Roman"/>
          <w:sz w:val="24"/>
          <w:szCs w:val="24"/>
        </w:rPr>
        <w:t xml:space="preserve"> </w:t>
      </w:r>
      <w:r w:rsidR="006C3F40" w:rsidRPr="002239BF">
        <w:rPr>
          <w:rFonts w:ascii="Times New Roman" w:hAnsi="Times New Roman" w:cs="Times New Roman"/>
          <w:sz w:val="24"/>
          <w:szCs w:val="24"/>
        </w:rPr>
        <w:t>to an appeal</w:t>
      </w:r>
      <w:r w:rsidR="003A7B7F" w:rsidRPr="002239BF">
        <w:rPr>
          <w:rFonts w:ascii="Times New Roman" w:hAnsi="Times New Roman" w:cs="Times New Roman"/>
          <w:sz w:val="24"/>
          <w:szCs w:val="24"/>
        </w:rPr>
        <w:t xml:space="preserve"> to the logic of homeownership.</w:t>
      </w:r>
      <w:r w:rsidR="009462A3" w:rsidRPr="002239BF">
        <w:rPr>
          <w:rFonts w:ascii="Times New Roman" w:hAnsi="Times New Roman" w:cs="Times New Roman"/>
          <w:sz w:val="24"/>
          <w:szCs w:val="24"/>
        </w:rPr>
        <w:t xml:space="preserve"> We explore the significance of this</w:t>
      </w:r>
      <w:r w:rsidR="00560EAE" w:rsidRPr="002239BF">
        <w:rPr>
          <w:rFonts w:ascii="Times New Roman" w:hAnsi="Times New Roman" w:cs="Times New Roman"/>
          <w:sz w:val="24"/>
          <w:szCs w:val="24"/>
        </w:rPr>
        <w:t xml:space="preserve"> shift here.</w:t>
      </w:r>
    </w:p>
    <w:p w14:paraId="44B972FE" w14:textId="77777777" w:rsidR="00317600" w:rsidRPr="002239BF" w:rsidRDefault="00317600" w:rsidP="00733DF3">
      <w:pPr>
        <w:spacing w:after="0" w:line="480" w:lineRule="auto"/>
        <w:rPr>
          <w:rFonts w:ascii="Times New Roman" w:hAnsi="Times New Roman" w:cs="Times New Roman"/>
          <w:sz w:val="24"/>
          <w:szCs w:val="24"/>
        </w:rPr>
      </w:pPr>
    </w:p>
    <w:p w14:paraId="51707A07" w14:textId="77777777" w:rsidR="003A7B7F" w:rsidRPr="002239BF" w:rsidRDefault="003A7B7F" w:rsidP="00733DF3">
      <w:pPr>
        <w:spacing w:after="0" w:line="480" w:lineRule="auto"/>
        <w:rPr>
          <w:rFonts w:ascii="Times New Roman" w:hAnsi="Times New Roman" w:cs="Times New Roman"/>
          <w:sz w:val="24"/>
          <w:szCs w:val="24"/>
        </w:rPr>
      </w:pPr>
    </w:p>
    <w:p w14:paraId="34B59490" w14:textId="4CCCC70C" w:rsidR="006C3F40" w:rsidRPr="002239BF" w:rsidRDefault="006C3F40" w:rsidP="00733DF3">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rPr>
        <w:t xml:space="preserve">Under the Coalition Government, housing policy was driven by what we might call ‘ideological’ or ‘political localism.’ The localist agenda was built upon a representation of Britain as ‘broken’ and in crisis. </w:t>
      </w:r>
      <w:r w:rsidR="008B252D" w:rsidRPr="002239BF">
        <w:rPr>
          <w:rFonts w:ascii="Times New Roman" w:hAnsi="Times New Roman" w:cs="Times New Roman"/>
          <w:sz w:val="24"/>
          <w:szCs w:val="24"/>
        </w:rPr>
        <w:t>Leading up</w:t>
      </w:r>
      <w:r w:rsidR="00277A78" w:rsidRPr="002239BF">
        <w:rPr>
          <w:rFonts w:ascii="Times New Roman" w:hAnsi="Times New Roman" w:cs="Times New Roman"/>
          <w:sz w:val="24"/>
          <w:szCs w:val="24"/>
        </w:rPr>
        <w:t xml:space="preserve"> </w:t>
      </w:r>
      <w:r w:rsidRPr="002239BF">
        <w:rPr>
          <w:rFonts w:ascii="Times New Roman" w:hAnsi="Times New Roman" w:cs="Times New Roman"/>
          <w:sz w:val="24"/>
          <w:szCs w:val="24"/>
        </w:rPr>
        <w:t xml:space="preserve">to the 2010 General Election, Britain was repeatedly depicted as a country in a state of moral hazard and in the grip of a crisis of worklessness, joblessness and lack of aspiration which needed to be ‘fixed.’ Big government was </w:t>
      </w:r>
      <w:r w:rsidR="00D83ADF" w:rsidRPr="002239BF">
        <w:rPr>
          <w:rFonts w:ascii="Times New Roman" w:hAnsi="Times New Roman" w:cs="Times New Roman"/>
          <w:sz w:val="24"/>
          <w:szCs w:val="24"/>
        </w:rPr>
        <w:t>portrayed</w:t>
      </w:r>
      <w:r w:rsidRPr="002239BF">
        <w:rPr>
          <w:rFonts w:ascii="Times New Roman" w:hAnsi="Times New Roman" w:cs="Times New Roman"/>
          <w:sz w:val="24"/>
          <w:szCs w:val="24"/>
        </w:rPr>
        <w:t xml:space="preserve"> as the cause of social ills and centralisation was </w:t>
      </w:r>
      <w:r w:rsidR="001A78B0" w:rsidRPr="002239BF">
        <w:rPr>
          <w:rFonts w:ascii="Times New Roman" w:hAnsi="Times New Roman" w:cs="Times New Roman"/>
          <w:sz w:val="24"/>
          <w:szCs w:val="24"/>
        </w:rPr>
        <w:t>f</w:t>
      </w:r>
      <w:r w:rsidR="001D1047" w:rsidRPr="002239BF">
        <w:rPr>
          <w:rFonts w:ascii="Times New Roman" w:hAnsi="Times New Roman" w:cs="Times New Roman"/>
          <w:sz w:val="24"/>
          <w:szCs w:val="24"/>
        </w:rPr>
        <w:t>r</w:t>
      </w:r>
      <w:r w:rsidR="001A78B0" w:rsidRPr="002239BF">
        <w:rPr>
          <w:rFonts w:ascii="Times New Roman" w:hAnsi="Times New Roman" w:cs="Times New Roman"/>
          <w:sz w:val="24"/>
          <w:szCs w:val="24"/>
        </w:rPr>
        <w:t>equently</w:t>
      </w:r>
      <w:r w:rsidRPr="002239BF">
        <w:rPr>
          <w:rFonts w:ascii="Times New Roman" w:hAnsi="Times New Roman" w:cs="Times New Roman"/>
          <w:sz w:val="24"/>
          <w:szCs w:val="24"/>
        </w:rPr>
        <w:t xml:space="preserve"> </w:t>
      </w:r>
      <w:r w:rsidR="001A78B0" w:rsidRPr="002239BF">
        <w:rPr>
          <w:rFonts w:ascii="Times New Roman" w:hAnsi="Times New Roman" w:cs="Times New Roman"/>
          <w:sz w:val="24"/>
          <w:szCs w:val="24"/>
        </w:rPr>
        <w:t>lambasted</w:t>
      </w:r>
      <w:r w:rsidRPr="002239BF">
        <w:rPr>
          <w:rFonts w:ascii="Times New Roman" w:hAnsi="Times New Roman" w:cs="Times New Roman"/>
          <w:sz w:val="24"/>
          <w:szCs w:val="24"/>
        </w:rPr>
        <w:t xml:space="preserve"> as having failed.</w:t>
      </w:r>
      <w:r w:rsidRPr="002239BF">
        <w:rPr>
          <w:rStyle w:val="FootnoteReference"/>
          <w:rFonts w:ascii="Times New Roman" w:hAnsi="Times New Roman" w:cs="Times New Roman"/>
          <w:sz w:val="24"/>
          <w:szCs w:val="24"/>
        </w:rPr>
        <w:footnoteReference w:id="146"/>
      </w:r>
      <w:r w:rsidRPr="002239BF">
        <w:rPr>
          <w:rFonts w:ascii="Times New Roman" w:hAnsi="Times New Roman" w:cs="Times New Roman"/>
          <w:sz w:val="24"/>
          <w:szCs w:val="24"/>
        </w:rPr>
        <w:t xml:space="preserve"> The </w:t>
      </w:r>
      <w:r w:rsidR="00BB5C95" w:rsidRPr="002239BF">
        <w:rPr>
          <w:rFonts w:ascii="Times New Roman" w:hAnsi="Times New Roman" w:cs="Times New Roman"/>
          <w:sz w:val="24"/>
          <w:szCs w:val="24"/>
        </w:rPr>
        <w:t>antidote</w:t>
      </w:r>
      <w:r w:rsidRPr="002239BF">
        <w:rPr>
          <w:rFonts w:ascii="Times New Roman" w:hAnsi="Times New Roman" w:cs="Times New Roman"/>
          <w:sz w:val="24"/>
          <w:szCs w:val="24"/>
        </w:rPr>
        <w:t xml:space="preserve">, according to the </w:t>
      </w:r>
      <w:r w:rsidR="00D20EF3" w:rsidRPr="002239BF">
        <w:rPr>
          <w:rFonts w:ascii="Times New Roman" w:hAnsi="Times New Roman" w:cs="Times New Roman"/>
          <w:sz w:val="24"/>
          <w:szCs w:val="24"/>
        </w:rPr>
        <w:t>g</w:t>
      </w:r>
      <w:r w:rsidRPr="002239BF">
        <w:rPr>
          <w:rFonts w:ascii="Times New Roman" w:hAnsi="Times New Roman" w:cs="Times New Roman"/>
          <w:sz w:val="24"/>
          <w:szCs w:val="24"/>
        </w:rPr>
        <w:t xml:space="preserve">overnment, was localism dispatched via the Localism Act 2011 </w:t>
      </w:r>
      <w:r w:rsidR="00BB54C2" w:rsidRPr="002239BF">
        <w:rPr>
          <w:rFonts w:ascii="Times New Roman" w:hAnsi="Times New Roman" w:cs="Times New Roman"/>
          <w:sz w:val="24"/>
          <w:szCs w:val="24"/>
        </w:rPr>
        <w:t xml:space="preserve">which was </w:t>
      </w:r>
      <w:r w:rsidRPr="002239BF">
        <w:rPr>
          <w:rFonts w:ascii="Times New Roman" w:hAnsi="Times New Roman" w:cs="Times New Roman"/>
          <w:sz w:val="24"/>
          <w:szCs w:val="24"/>
        </w:rPr>
        <w:t>said to deliver ‘the most radical reform of social housing in a generation.’</w:t>
      </w:r>
      <w:r w:rsidRPr="002239BF">
        <w:rPr>
          <w:rStyle w:val="FootnoteReference"/>
          <w:rFonts w:ascii="Times New Roman" w:hAnsi="Times New Roman" w:cs="Times New Roman"/>
          <w:sz w:val="24"/>
          <w:szCs w:val="24"/>
        </w:rPr>
        <w:footnoteReference w:id="147"/>
      </w:r>
      <w:r w:rsidRPr="002239BF">
        <w:rPr>
          <w:rFonts w:ascii="Times New Roman" w:hAnsi="Times New Roman" w:cs="Times New Roman"/>
          <w:sz w:val="24"/>
          <w:szCs w:val="24"/>
        </w:rPr>
        <w:t xml:space="preserve"> </w:t>
      </w:r>
      <w:r w:rsidR="007419B3" w:rsidRPr="002239BF">
        <w:rPr>
          <w:rFonts w:ascii="Times New Roman" w:hAnsi="Times New Roman" w:cs="Times New Roman"/>
          <w:sz w:val="24"/>
          <w:szCs w:val="24"/>
        </w:rPr>
        <w:t xml:space="preserve">The </w:t>
      </w:r>
      <w:r w:rsidR="00D20EF3" w:rsidRPr="002239BF">
        <w:rPr>
          <w:rFonts w:ascii="Times New Roman" w:hAnsi="Times New Roman" w:cs="Times New Roman"/>
          <w:sz w:val="24"/>
          <w:szCs w:val="24"/>
        </w:rPr>
        <w:t>g</w:t>
      </w:r>
      <w:r w:rsidR="00A46DBF" w:rsidRPr="002239BF">
        <w:rPr>
          <w:rFonts w:ascii="Times New Roman" w:hAnsi="Times New Roman" w:cs="Times New Roman"/>
          <w:sz w:val="24"/>
          <w:szCs w:val="24"/>
        </w:rPr>
        <w:t xml:space="preserve">overnment claimed that the </w:t>
      </w:r>
      <w:r w:rsidR="007419B3" w:rsidRPr="002239BF">
        <w:rPr>
          <w:rFonts w:ascii="Times New Roman" w:hAnsi="Times New Roman" w:cs="Times New Roman"/>
          <w:sz w:val="24"/>
          <w:szCs w:val="24"/>
        </w:rPr>
        <w:t>Act devolved</w:t>
      </w:r>
      <w:r w:rsidR="00483E18" w:rsidRPr="002239BF">
        <w:rPr>
          <w:rFonts w:ascii="Times New Roman" w:hAnsi="Times New Roman" w:cs="Times New Roman"/>
          <w:sz w:val="24"/>
          <w:szCs w:val="24"/>
        </w:rPr>
        <w:t xml:space="preserve"> greater power to local authorities to </w:t>
      </w:r>
      <w:r w:rsidR="007419B3" w:rsidRPr="002239BF">
        <w:rPr>
          <w:rFonts w:ascii="Times New Roman" w:hAnsi="Times New Roman" w:cs="Times New Roman"/>
          <w:sz w:val="24"/>
          <w:szCs w:val="24"/>
        </w:rPr>
        <w:t xml:space="preserve">allocate and </w:t>
      </w:r>
      <w:r w:rsidR="00483E18" w:rsidRPr="002239BF">
        <w:rPr>
          <w:rFonts w:ascii="Times New Roman" w:hAnsi="Times New Roman" w:cs="Times New Roman"/>
          <w:sz w:val="24"/>
          <w:szCs w:val="24"/>
        </w:rPr>
        <w:t>manage their social housing stock</w:t>
      </w:r>
      <w:r w:rsidR="007419B3" w:rsidRPr="002239BF">
        <w:rPr>
          <w:rFonts w:ascii="Times New Roman" w:hAnsi="Times New Roman" w:cs="Times New Roman"/>
          <w:sz w:val="24"/>
          <w:szCs w:val="24"/>
        </w:rPr>
        <w:t xml:space="preserve"> in order to ‘drive down waiting lists’ and  to meet the needs of local people</w:t>
      </w:r>
      <w:r w:rsidR="007419B3" w:rsidRPr="002239BF">
        <w:rPr>
          <w:rStyle w:val="FootnoteReference"/>
          <w:rFonts w:ascii="Times New Roman" w:hAnsi="Times New Roman" w:cs="Times New Roman"/>
          <w:sz w:val="24"/>
          <w:szCs w:val="24"/>
        </w:rPr>
        <w:footnoteReference w:id="148"/>
      </w:r>
      <w:r w:rsidR="001D5B47" w:rsidRPr="002239BF">
        <w:rPr>
          <w:rFonts w:ascii="Times New Roman" w:hAnsi="Times New Roman" w:cs="Times New Roman"/>
          <w:sz w:val="24"/>
          <w:szCs w:val="24"/>
        </w:rPr>
        <w:t>.</w:t>
      </w:r>
      <w:r w:rsidR="00483E18" w:rsidRPr="002239BF">
        <w:rPr>
          <w:rFonts w:ascii="Times New Roman" w:hAnsi="Times New Roman" w:cs="Times New Roman"/>
          <w:sz w:val="24"/>
          <w:szCs w:val="24"/>
        </w:rPr>
        <w:t xml:space="preserve">  </w:t>
      </w:r>
      <w:r w:rsidR="00A46DBF" w:rsidRPr="002239BF">
        <w:rPr>
          <w:rFonts w:ascii="Times New Roman" w:hAnsi="Times New Roman" w:cs="Times New Roman"/>
          <w:sz w:val="24"/>
          <w:szCs w:val="24"/>
        </w:rPr>
        <w:t>However, the Localism Act 2011 did not represent a whole scale devolution of power to local authorities or, indeed, to local communities.  As to the former, as Stoker observes, ‘until local government gets access to a wider variety of revenue raising sources and funds more of its own services, it is difficult to say that localism has arrived.’</w:t>
      </w:r>
      <w:r w:rsidR="00A46DBF" w:rsidRPr="002239BF">
        <w:rPr>
          <w:rStyle w:val="FootnoteReference"/>
          <w:rFonts w:ascii="Times New Roman" w:hAnsi="Times New Roman" w:cs="Times New Roman"/>
          <w:sz w:val="24"/>
          <w:szCs w:val="24"/>
        </w:rPr>
        <w:footnoteReference w:id="149"/>
      </w:r>
      <w:r w:rsidR="00A46DBF" w:rsidRPr="002239BF">
        <w:rPr>
          <w:rFonts w:ascii="Times New Roman" w:hAnsi="Times New Roman" w:cs="Times New Roman"/>
          <w:sz w:val="24"/>
          <w:szCs w:val="24"/>
        </w:rPr>
        <w:t xml:space="preserve">  Bevan</w:t>
      </w:r>
      <w:r w:rsidR="003305FD" w:rsidRPr="002239BF">
        <w:rPr>
          <w:rFonts w:ascii="Times New Roman" w:hAnsi="Times New Roman" w:cs="Times New Roman"/>
          <w:sz w:val="24"/>
          <w:szCs w:val="24"/>
        </w:rPr>
        <w:t>, too,</w:t>
      </w:r>
      <w:r w:rsidR="00A46DBF" w:rsidRPr="002239BF">
        <w:rPr>
          <w:rFonts w:ascii="Times New Roman" w:hAnsi="Times New Roman" w:cs="Times New Roman"/>
          <w:sz w:val="24"/>
          <w:szCs w:val="24"/>
        </w:rPr>
        <w:t xml:space="preserve"> has noted that the form of localism is hollow</w:t>
      </w:r>
      <w:r w:rsidR="003305FD" w:rsidRPr="002239BF">
        <w:rPr>
          <w:rFonts w:ascii="Times New Roman" w:hAnsi="Times New Roman" w:cs="Times New Roman"/>
          <w:sz w:val="24"/>
          <w:szCs w:val="24"/>
        </w:rPr>
        <w:t>.</w:t>
      </w:r>
      <w:r w:rsidR="00A46DBF" w:rsidRPr="002239BF">
        <w:rPr>
          <w:rStyle w:val="FootnoteReference"/>
          <w:rFonts w:ascii="Times New Roman" w:hAnsi="Times New Roman" w:cs="Times New Roman"/>
          <w:sz w:val="24"/>
          <w:szCs w:val="24"/>
        </w:rPr>
        <w:footnoteReference w:id="150"/>
      </w:r>
      <w:r w:rsidR="00A46DBF" w:rsidRPr="002239BF">
        <w:rPr>
          <w:rFonts w:ascii="Times New Roman" w:hAnsi="Times New Roman" w:cs="Times New Roman"/>
          <w:sz w:val="24"/>
          <w:szCs w:val="24"/>
        </w:rPr>
        <w:t xml:space="preserve">  </w:t>
      </w:r>
      <w:r w:rsidR="003305FD" w:rsidRPr="002239BF">
        <w:rPr>
          <w:rFonts w:ascii="Times New Roman" w:hAnsi="Times New Roman" w:cs="Times New Roman"/>
          <w:sz w:val="24"/>
          <w:szCs w:val="24"/>
        </w:rPr>
        <w:t>A</w:t>
      </w:r>
      <w:r w:rsidR="00A46DBF" w:rsidRPr="002239BF">
        <w:rPr>
          <w:rFonts w:ascii="Times New Roman" w:hAnsi="Times New Roman" w:cs="Times New Roman"/>
          <w:sz w:val="24"/>
          <w:szCs w:val="24"/>
        </w:rPr>
        <w:t>nd, a</w:t>
      </w:r>
      <w:r w:rsidRPr="002239BF">
        <w:rPr>
          <w:rFonts w:ascii="Times New Roman" w:hAnsi="Times New Roman" w:cs="Times New Roman"/>
          <w:sz w:val="24"/>
          <w:szCs w:val="24"/>
        </w:rPr>
        <w:t>s Jacobs and Manzi explore, this period was ‘more concerned with presentation and legitimacy than a willingness to transform decision-making processes,’ and the localist narrative was ‘an attempt to throw a veil of legitimacy over what otherwise would be seen as a highly divisive ideological programme.’</w:t>
      </w:r>
      <w:r w:rsidRPr="002239BF">
        <w:rPr>
          <w:rStyle w:val="FootnoteReference"/>
          <w:rFonts w:ascii="Times New Roman" w:hAnsi="Times New Roman" w:cs="Times New Roman"/>
          <w:sz w:val="24"/>
          <w:szCs w:val="24"/>
        </w:rPr>
        <w:footnoteReference w:id="151"/>
      </w:r>
      <w:r w:rsidRPr="002239BF">
        <w:rPr>
          <w:rFonts w:ascii="Times New Roman" w:hAnsi="Times New Roman" w:cs="Times New Roman"/>
          <w:sz w:val="24"/>
          <w:szCs w:val="24"/>
        </w:rPr>
        <w:t xml:space="preserve"> </w:t>
      </w:r>
      <w:r w:rsidR="00A46DBF" w:rsidRPr="002239BF">
        <w:rPr>
          <w:rFonts w:ascii="Times New Roman" w:hAnsi="Times New Roman" w:cs="Times New Roman"/>
          <w:sz w:val="24"/>
          <w:szCs w:val="24"/>
        </w:rPr>
        <w:t>Thus, l</w:t>
      </w:r>
      <w:r w:rsidRPr="002239BF">
        <w:rPr>
          <w:rFonts w:ascii="Times New Roman" w:hAnsi="Times New Roman" w:cs="Times New Roman"/>
          <w:sz w:val="24"/>
          <w:szCs w:val="24"/>
        </w:rPr>
        <w:t>ocalism was far from a semantically neutral or innocent term</w:t>
      </w:r>
      <w:r w:rsidRPr="002239BF">
        <w:rPr>
          <w:rStyle w:val="FootnoteReference"/>
          <w:rFonts w:ascii="Times New Roman" w:hAnsi="Times New Roman" w:cs="Times New Roman"/>
          <w:sz w:val="24"/>
          <w:szCs w:val="24"/>
        </w:rPr>
        <w:footnoteReference w:id="152"/>
      </w:r>
      <w:r w:rsidRPr="002239BF">
        <w:rPr>
          <w:rFonts w:ascii="Times New Roman" w:hAnsi="Times New Roman" w:cs="Times New Roman"/>
          <w:sz w:val="24"/>
          <w:szCs w:val="24"/>
        </w:rPr>
        <w:t xml:space="preserve"> and was used to vindicate policy interventions which, in large measure, undermined the role of local government rather than strengthened it</w:t>
      </w:r>
      <w:r w:rsidR="002F299D" w:rsidRPr="002239BF">
        <w:rPr>
          <w:rFonts w:ascii="Times New Roman" w:hAnsi="Times New Roman" w:cs="Times New Roman"/>
          <w:sz w:val="24"/>
          <w:szCs w:val="24"/>
        </w:rPr>
        <w:t>.</w:t>
      </w:r>
    </w:p>
    <w:p w14:paraId="351128DD" w14:textId="77777777" w:rsidR="006C3F40" w:rsidRPr="002239BF" w:rsidRDefault="006C3F40" w:rsidP="00733DF3">
      <w:pPr>
        <w:spacing w:after="0" w:line="480" w:lineRule="auto"/>
        <w:rPr>
          <w:rFonts w:ascii="Times New Roman" w:hAnsi="Times New Roman" w:cs="Times New Roman"/>
          <w:sz w:val="24"/>
          <w:szCs w:val="24"/>
        </w:rPr>
      </w:pPr>
    </w:p>
    <w:p w14:paraId="797C682E" w14:textId="597D7A86" w:rsidR="006C3F40" w:rsidRPr="002239BF" w:rsidRDefault="006C3F40" w:rsidP="00733DF3">
      <w:pPr>
        <w:spacing w:after="0" w:line="480" w:lineRule="auto"/>
        <w:rPr>
          <w:rFonts w:ascii="Times New Roman" w:hAnsi="Times New Roman" w:cs="Times New Roman"/>
          <w:sz w:val="24"/>
          <w:szCs w:val="24"/>
        </w:rPr>
      </w:pPr>
      <w:r w:rsidRPr="002239BF">
        <w:rPr>
          <w:rFonts w:ascii="Times New Roman" w:hAnsi="Times New Roman" w:cs="Times New Roman"/>
          <w:sz w:val="24"/>
          <w:szCs w:val="24"/>
        </w:rPr>
        <w:t xml:space="preserve">Under the 2016 Act, the housing policy narrative has changed. Freed from the necessity to appease their liberal coalition partners, the housing policy of the first majority Conservative Government since the Major </w:t>
      </w:r>
      <w:r w:rsidR="008555DF" w:rsidRPr="002239BF">
        <w:rPr>
          <w:rFonts w:ascii="Times New Roman" w:hAnsi="Times New Roman" w:cs="Times New Roman"/>
          <w:sz w:val="24"/>
          <w:szCs w:val="24"/>
        </w:rPr>
        <w:t>years</w:t>
      </w:r>
      <w:r w:rsidRPr="002239BF">
        <w:rPr>
          <w:rFonts w:ascii="Times New Roman" w:hAnsi="Times New Roman" w:cs="Times New Roman"/>
          <w:sz w:val="24"/>
          <w:szCs w:val="24"/>
        </w:rPr>
        <w:t xml:space="preserve"> </w:t>
      </w:r>
      <w:r w:rsidR="00030398" w:rsidRPr="002239BF">
        <w:rPr>
          <w:rFonts w:ascii="Times New Roman" w:hAnsi="Times New Roman" w:cs="Times New Roman"/>
          <w:sz w:val="24"/>
          <w:szCs w:val="24"/>
        </w:rPr>
        <w:t xml:space="preserve">of 1992-1997 </w:t>
      </w:r>
      <w:r w:rsidR="005A0B4C" w:rsidRPr="002239BF">
        <w:rPr>
          <w:rFonts w:ascii="Times New Roman" w:hAnsi="Times New Roman" w:cs="Times New Roman"/>
          <w:sz w:val="24"/>
          <w:szCs w:val="24"/>
        </w:rPr>
        <w:t>asserts a</w:t>
      </w:r>
      <w:r w:rsidRPr="002239BF">
        <w:rPr>
          <w:rFonts w:ascii="Times New Roman" w:hAnsi="Times New Roman" w:cs="Times New Roman"/>
          <w:sz w:val="24"/>
          <w:szCs w:val="24"/>
        </w:rPr>
        <w:t xml:space="preserve"> logic of homeownership. If localism does survive in any sense, we might term this ‘individualistic localism’</w:t>
      </w:r>
      <w:r w:rsidRPr="002239BF">
        <w:rPr>
          <w:rStyle w:val="FootnoteReference"/>
          <w:rFonts w:ascii="Times New Roman" w:hAnsi="Times New Roman" w:cs="Times New Roman"/>
          <w:sz w:val="24"/>
          <w:szCs w:val="24"/>
        </w:rPr>
        <w:footnoteReference w:id="153"/>
      </w:r>
      <w:r w:rsidRPr="002239BF">
        <w:rPr>
          <w:rFonts w:ascii="Times New Roman" w:hAnsi="Times New Roman" w:cs="Times New Roman"/>
          <w:sz w:val="24"/>
          <w:szCs w:val="24"/>
        </w:rPr>
        <w:t xml:space="preserve"> in so far as citizens are encouraged to enter the housing market</w:t>
      </w:r>
      <w:r w:rsidR="00762B5A" w:rsidRPr="002239BF">
        <w:rPr>
          <w:rFonts w:ascii="Times New Roman" w:hAnsi="Times New Roman" w:cs="Times New Roman"/>
          <w:sz w:val="24"/>
          <w:szCs w:val="24"/>
        </w:rPr>
        <w:t xml:space="preserve">place </w:t>
      </w:r>
      <w:r w:rsidRPr="002239BF">
        <w:rPr>
          <w:rFonts w:ascii="Times New Roman" w:hAnsi="Times New Roman" w:cs="Times New Roman"/>
          <w:sz w:val="24"/>
          <w:szCs w:val="24"/>
        </w:rPr>
        <w:t>as individual, independent and responsibili</w:t>
      </w:r>
      <w:r w:rsidR="00D20EF3" w:rsidRPr="002239BF">
        <w:rPr>
          <w:rFonts w:ascii="Times New Roman" w:hAnsi="Times New Roman" w:cs="Times New Roman"/>
          <w:sz w:val="24"/>
          <w:szCs w:val="24"/>
        </w:rPr>
        <w:t>s</w:t>
      </w:r>
      <w:r w:rsidRPr="002239BF">
        <w:rPr>
          <w:rFonts w:ascii="Times New Roman" w:hAnsi="Times New Roman" w:cs="Times New Roman"/>
          <w:sz w:val="24"/>
          <w:szCs w:val="24"/>
        </w:rPr>
        <w:t>ed actors. The Conservatives are re-branded as ‘the party of homeownership’</w:t>
      </w:r>
      <w:r w:rsidRPr="002239BF">
        <w:rPr>
          <w:rStyle w:val="FootnoteReference"/>
          <w:rFonts w:ascii="Times New Roman" w:hAnsi="Times New Roman" w:cs="Times New Roman"/>
          <w:sz w:val="24"/>
          <w:szCs w:val="24"/>
        </w:rPr>
        <w:footnoteReference w:id="154"/>
      </w:r>
      <w:r w:rsidRPr="002239BF">
        <w:rPr>
          <w:rFonts w:ascii="Times New Roman" w:hAnsi="Times New Roman" w:cs="Times New Roman"/>
          <w:sz w:val="24"/>
          <w:szCs w:val="24"/>
        </w:rPr>
        <w:t xml:space="preserve"> and where Coalition housing policy reflected an appeal to the ‘apple pie’ logic of localism</w:t>
      </w:r>
      <w:r w:rsidR="009D6429" w:rsidRPr="002239BF">
        <w:rPr>
          <w:rFonts w:ascii="Times New Roman" w:hAnsi="Times New Roman" w:cs="Times New Roman"/>
          <w:sz w:val="24"/>
          <w:szCs w:val="24"/>
        </w:rPr>
        <w:t>,</w:t>
      </w:r>
      <w:r w:rsidRPr="002239BF">
        <w:rPr>
          <w:rFonts w:ascii="Times New Roman" w:hAnsi="Times New Roman" w:cs="Times New Roman"/>
          <w:sz w:val="24"/>
          <w:szCs w:val="24"/>
        </w:rPr>
        <w:t xml:space="preserve"> espousing the superior decision-making ability of local communities over the centralised state,</w:t>
      </w:r>
      <w:bookmarkStart w:id="13" w:name="_Ref461891675"/>
      <w:r w:rsidRPr="002239BF">
        <w:rPr>
          <w:rStyle w:val="FootnoteReference"/>
          <w:rFonts w:ascii="Times New Roman" w:hAnsi="Times New Roman" w:cs="Times New Roman"/>
          <w:sz w:val="24"/>
          <w:szCs w:val="24"/>
        </w:rPr>
        <w:footnoteReference w:id="155"/>
      </w:r>
      <w:bookmarkEnd w:id="13"/>
      <w:r w:rsidRPr="002239BF">
        <w:rPr>
          <w:rFonts w:ascii="Times New Roman" w:hAnsi="Times New Roman" w:cs="Times New Roman"/>
          <w:sz w:val="24"/>
          <w:szCs w:val="24"/>
        </w:rPr>
        <w:t xml:space="preserve"> the 2016 Act reflects</w:t>
      </w:r>
      <w:r w:rsidR="009961AC" w:rsidRPr="002239BF">
        <w:rPr>
          <w:rFonts w:ascii="Times New Roman" w:hAnsi="Times New Roman" w:cs="Times New Roman"/>
          <w:sz w:val="24"/>
          <w:szCs w:val="24"/>
        </w:rPr>
        <w:t xml:space="preserve"> a deeper, more profound call to that</w:t>
      </w:r>
      <w:r w:rsidRPr="002239BF">
        <w:rPr>
          <w:rFonts w:ascii="Times New Roman" w:hAnsi="Times New Roman" w:cs="Times New Roman"/>
          <w:sz w:val="24"/>
          <w:szCs w:val="24"/>
        </w:rPr>
        <w:t xml:space="preserve"> </w:t>
      </w:r>
      <w:r w:rsidR="009961AC" w:rsidRPr="002239BF">
        <w:rPr>
          <w:rFonts w:ascii="Times New Roman" w:hAnsi="Times New Roman" w:cs="Times New Roman"/>
          <w:sz w:val="24"/>
          <w:szCs w:val="24"/>
        </w:rPr>
        <w:t>powerful</w:t>
      </w:r>
      <w:r w:rsidR="006D417F" w:rsidRPr="002239BF">
        <w:rPr>
          <w:rFonts w:ascii="Times New Roman" w:hAnsi="Times New Roman" w:cs="Times New Roman"/>
          <w:sz w:val="24"/>
          <w:szCs w:val="24"/>
        </w:rPr>
        <w:t>, primal, visceral,</w:t>
      </w:r>
      <w:r w:rsidRPr="002239BF">
        <w:rPr>
          <w:rFonts w:ascii="Times New Roman" w:hAnsi="Times New Roman" w:cs="Times New Roman"/>
          <w:sz w:val="24"/>
          <w:szCs w:val="24"/>
        </w:rPr>
        <w:t xml:space="preserve"> human desire </w:t>
      </w:r>
      <w:r w:rsidR="003E3A6D" w:rsidRPr="002239BF">
        <w:rPr>
          <w:rFonts w:ascii="Times New Roman" w:hAnsi="Times New Roman" w:cs="Times New Roman"/>
          <w:sz w:val="24"/>
          <w:szCs w:val="24"/>
        </w:rPr>
        <w:t>for</w:t>
      </w:r>
      <w:r w:rsidRPr="002239BF">
        <w:rPr>
          <w:rFonts w:ascii="Times New Roman" w:hAnsi="Times New Roman" w:cs="Times New Roman"/>
          <w:sz w:val="24"/>
          <w:szCs w:val="24"/>
        </w:rPr>
        <w:t xml:space="preserve"> ownership as captured in the Latin </w:t>
      </w:r>
      <w:r w:rsidRPr="002239BF">
        <w:rPr>
          <w:rFonts w:ascii="Times New Roman" w:hAnsi="Times New Roman" w:cs="Times New Roman"/>
          <w:i/>
          <w:sz w:val="24"/>
          <w:szCs w:val="24"/>
        </w:rPr>
        <w:t xml:space="preserve">meum </w:t>
      </w:r>
      <w:r w:rsidRPr="002239BF">
        <w:rPr>
          <w:rFonts w:ascii="Times New Roman" w:hAnsi="Times New Roman" w:cs="Times New Roman"/>
          <w:sz w:val="24"/>
          <w:szCs w:val="24"/>
        </w:rPr>
        <w:t>‘this is mine’.</w:t>
      </w:r>
      <w:r w:rsidR="00FD6375" w:rsidRPr="002239BF">
        <w:rPr>
          <w:rStyle w:val="FootnoteReference"/>
          <w:rFonts w:ascii="Times New Roman" w:hAnsi="Times New Roman" w:cs="Times New Roman"/>
          <w:sz w:val="24"/>
          <w:szCs w:val="24"/>
        </w:rPr>
        <w:footnoteReference w:id="156"/>
      </w:r>
      <w:r w:rsidRPr="002239BF">
        <w:rPr>
          <w:rFonts w:ascii="Times New Roman" w:hAnsi="Times New Roman" w:cs="Times New Roman"/>
          <w:sz w:val="24"/>
          <w:szCs w:val="24"/>
        </w:rPr>
        <w:t xml:space="preserve"> The language of ‘fixing’ remains,</w:t>
      </w:r>
      <w:r w:rsidRPr="002239BF">
        <w:rPr>
          <w:rStyle w:val="FootnoteReference"/>
          <w:rFonts w:ascii="Times New Roman" w:hAnsi="Times New Roman" w:cs="Times New Roman"/>
          <w:sz w:val="24"/>
          <w:szCs w:val="24"/>
        </w:rPr>
        <w:footnoteReference w:id="157"/>
      </w:r>
      <w:r w:rsidRPr="002239BF">
        <w:rPr>
          <w:rFonts w:ascii="Times New Roman" w:hAnsi="Times New Roman" w:cs="Times New Roman"/>
          <w:sz w:val="24"/>
          <w:szCs w:val="24"/>
        </w:rPr>
        <w:t xml:space="preserve"> but today homeownership is offered up as the medicine to cure the country’s housing crisis.</w:t>
      </w:r>
      <w:r w:rsidR="00B974CD" w:rsidRPr="002239BF">
        <w:rPr>
          <w:rFonts w:ascii="Times New Roman" w:hAnsi="Times New Roman" w:cs="Times New Roman"/>
          <w:sz w:val="24"/>
          <w:szCs w:val="24"/>
        </w:rPr>
        <w:t xml:space="preserve"> Homeownership has</w:t>
      </w:r>
      <w:r w:rsidR="007E0726" w:rsidRPr="002239BF">
        <w:rPr>
          <w:rFonts w:ascii="Times New Roman" w:hAnsi="Times New Roman" w:cs="Times New Roman"/>
          <w:sz w:val="24"/>
          <w:szCs w:val="24"/>
        </w:rPr>
        <w:t>, of course,</w:t>
      </w:r>
      <w:r w:rsidR="00B974CD" w:rsidRPr="002239BF">
        <w:rPr>
          <w:rFonts w:ascii="Times New Roman" w:hAnsi="Times New Roman" w:cs="Times New Roman"/>
          <w:sz w:val="24"/>
          <w:szCs w:val="24"/>
        </w:rPr>
        <w:t xml:space="preserve"> always figured prominently in Conservative policy but  the 2016 Act </w:t>
      </w:r>
      <w:r w:rsidR="00A64F6B" w:rsidRPr="002239BF">
        <w:rPr>
          <w:rFonts w:ascii="Times New Roman" w:hAnsi="Times New Roman" w:cs="Times New Roman"/>
          <w:sz w:val="24"/>
          <w:szCs w:val="24"/>
        </w:rPr>
        <w:t>promotes</w:t>
      </w:r>
      <w:r w:rsidR="00B974CD" w:rsidRPr="002239BF">
        <w:rPr>
          <w:rFonts w:ascii="Times New Roman" w:hAnsi="Times New Roman" w:cs="Times New Roman"/>
          <w:sz w:val="24"/>
          <w:szCs w:val="24"/>
        </w:rPr>
        <w:t xml:space="preserve"> it as the only long-term housing solution and </w:t>
      </w:r>
      <w:r w:rsidR="00A64F6B" w:rsidRPr="002239BF">
        <w:rPr>
          <w:rFonts w:ascii="Times New Roman" w:hAnsi="Times New Roman" w:cs="Times New Roman"/>
          <w:sz w:val="24"/>
          <w:szCs w:val="24"/>
        </w:rPr>
        <w:t xml:space="preserve">simultaneously </w:t>
      </w:r>
      <w:r w:rsidR="007E0726" w:rsidRPr="002239BF">
        <w:rPr>
          <w:rFonts w:ascii="Times New Roman" w:hAnsi="Times New Roman" w:cs="Times New Roman"/>
          <w:sz w:val="24"/>
          <w:szCs w:val="24"/>
        </w:rPr>
        <w:t xml:space="preserve">relegates </w:t>
      </w:r>
      <w:r w:rsidR="00B974CD" w:rsidRPr="002239BF">
        <w:rPr>
          <w:rFonts w:ascii="Times New Roman" w:hAnsi="Times New Roman" w:cs="Times New Roman"/>
          <w:sz w:val="24"/>
          <w:szCs w:val="24"/>
        </w:rPr>
        <w:t>social housing to a safety net service.</w:t>
      </w:r>
    </w:p>
    <w:p w14:paraId="0C753AC0" w14:textId="77777777" w:rsidR="006C3F40" w:rsidRPr="002239BF" w:rsidRDefault="006C3F40" w:rsidP="00733DF3">
      <w:pPr>
        <w:spacing w:after="0" w:line="480" w:lineRule="auto"/>
        <w:rPr>
          <w:rFonts w:ascii="Times New Roman" w:hAnsi="Times New Roman" w:cs="Times New Roman"/>
          <w:sz w:val="24"/>
          <w:szCs w:val="24"/>
          <w:lang w:val="en-US"/>
        </w:rPr>
      </w:pPr>
    </w:p>
    <w:p w14:paraId="021F2CB9" w14:textId="17F9E04F" w:rsidR="00684A1E" w:rsidRPr="002239BF" w:rsidRDefault="000E07B1" w:rsidP="00733DF3">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 xml:space="preserve">Crucially, just as the </w:t>
      </w:r>
      <w:r w:rsidR="00D662BD" w:rsidRPr="002239BF">
        <w:rPr>
          <w:rFonts w:ascii="Times New Roman" w:hAnsi="Times New Roman" w:cs="Times New Roman"/>
          <w:sz w:val="24"/>
          <w:szCs w:val="24"/>
          <w:lang w:val="en-US"/>
        </w:rPr>
        <w:t xml:space="preserve">Coalition’s localist </w:t>
      </w:r>
      <w:r w:rsidRPr="002239BF">
        <w:rPr>
          <w:rFonts w:ascii="Times New Roman" w:hAnsi="Times New Roman" w:cs="Times New Roman"/>
          <w:sz w:val="24"/>
          <w:szCs w:val="24"/>
          <w:lang w:val="en-US"/>
        </w:rPr>
        <w:t xml:space="preserve">narrative </w:t>
      </w:r>
      <w:r w:rsidR="00C15E87" w:rsidRPr="002239BF">
        <w:rPr>
          <w:rFonts w:ascii="Times New Roman" w:hAnsi="Times New Roman" w:cs="Times New Roman"/>
          <w:sz w:val="24"/>
          <w:szCs w:val="24"/>
          <w:lang w:val="en-US"/>
        </w:rPr>
        <w:t>is susceptible to</w:t>
      </w:r>
      <w:r w:rsidR="00D662BD" w:rsidRPr="002239BF">
        <w:rPr>
          <w:rFonts w:ascii="Times New Roman" w:hAnsi="Times New Roman" w:cs="Times New Roman"/>
          <w:sz w:val="24"/>
          <w:szCs w:val="24"/>
          <w:lang w:val="en-US"/>
        </w:rPr>
        <w:t xml:space="preserve"> </w:t>
      </w:r>
      <w:r w:rsidR="00C15E87" w:rsidRPr="002239BF">
        <w:rPr>
          <w:rFonts w:ascii="Times New Roman" w:hAnsi="Times New Roman" w:cs="Times New Roman"/>
          <w:sz w:val="24"/>
          <w:szCs w:val="24"/>
          <w:lang w:val="en-US"/>
        </w:rPr>
        <w:t>challenge</w:t>
      </w:r>
      <w:r w:rsidRPr="002239BF">
        <w:rPr>
          <w:rFonts w:ascii="Times New Roman" w:hAnsi="Times New Roman" w:cs="Times New Roman"/>
          <w:sz w:val="24"/>
          <w:szCs w:val="24"/>
          <w:lang w:val="en-US"/>
        </w:rPr>
        <w:t xml:space="preserve"> on the basis of the so-called ‘local trap’</w:t>
      </w:r>
      <w:r w:rsidRPr="002239BF">
        <w:rPr>
          <w:rStyle w:val="FootnoteReference"/>
          <w:rFonts w:ascii="Times New Roman" w:hAnsi="Times New Roman" w:cs="Times New Roman"/>
          <w:sz w:val="24"/>
          <w:szCs w:val="24"/>
          <w:lang w:val="en-US"/>
        </w:rPr>
        <w:footnoteReference w:id="158"/>
      </w:r>
      <w:r w:rsidRPr="002239BF">
        <w:rPr>
          <w:rFonts w:ascii="Times New Roman" w:hAnsi="Times New Roman" w:cs="Times New Roman"/>
          <w:sz w:val="24"/>
          <w:szCs w:val="24"/>
          <w:lang w:val="en-US"/>
        </w:rPr>
        <w:t xml:space="preserve"> namely</w:t>
      </w:r>
      <w:r w:rsidR="00C15E87" w:rsidRPr="002239BF">
        <w:rPr>
          <w:rFonts w:ascii="Times New Roman" w:hAnsi="Times New Roman" w:cs="Times New Roman"/>
          <w:sz w:val="24"/>
          <w:szCs w:val="24"/>
          <w:lang w:val="en-US"/>
        </w:rPr>
        <w:t>,</w:t>
      </w:r>
      <w:r w:rsidRPr="002239BF">
        <w:rPr>
          <w:rFonts w:ascii="Times New Roman" w:hAnsi="Times New Roman" w:cs="Times New Roman"/>
          <w:sz w:val="24"/>
          <w:szCs w:val="24"/>
          <w:lang w:val="en-US"/>
        </w:rPr>
        <w:t xml:space="preserve"> the over-simplistic assumption that the local is necessarily the site of better decision making, so too must the homeownership narrative be interrogated. </w:t>
      </w:r>
      <w:r w:rsidR="006006A0" w:rsidRPr="002239BF">
        <w:rPr>
          <w:rFonts w:ascii="Times New Roman" w:hAnsi="Times New Roman" w:cs="Times New Roman"/>
          <w:sz w:val="24"/>
          <w:szCs w:val="24"/>
          <w:lang w:val="en-US"/>
        </w:rPr>
        <w:t xml:space="preserve">As Kemeny famously </w:t>
      </w:r>
      <w:r w:rsidR="00B36AF2" w:rsidRPr="002239BF">
        <w:rPr>
          <w:rFonts w:ascii="Times New Roman" w:hAnsi="Times New Roman" w:cs="Times New Roman"/>
          <w:sz w:val="24"/>
          <w:szCs w:val="24"/>
          <w:lang w:val="en-US"/>
        </w:rPr>
        <w:t>identified</w:t>
      </w:r>
      <w:r w:rsidR="006006A0" w:rsidRPr="002239BF">
        <w:rPr>
          <w:rFonts w:ascii="Times New Roman" w:hAnsi="Times New Roman" w:cs="Times New Roman"/>
          <w:sz w:val="24"/>
          <w:szCs w:val="24"/>
          <w:lang w:val="en-US"/>
        </w:rPr>
        <w:t xml:space="preserve"> in the 1980s,</w:t>
      </w:r>
      <w:r w:rsidR="00B36AF2" w:rsidRPr="002239BF">
        <w:rPr>
          <w:rFonts w:ascii="Times New Roman" w:hAnsi="Times New Roman" w:cs="Times New Roman"/>
          <w:sz w:val="24"/>
          <w:szCs w:val="24"/>
          <w:lang w:val="en-US"/>
        </w:rPr>
        <w:t xml:space="preserve"> homeownership has become eulogi</w:t>
      </w:r>
      <w:r w:rsidR="00D20EF3" w:rsidRPr="002239BF">
        <w:rPr>
          <w:rFonts w:ascii="Times New Roman" w:hAnsi="Times New Roman" w:cs="Times New Roman"/>
          <w:sz w:val="24"/>
          <w:szCs w:val="24"/>
          <w:lang w:val="en-US"/>
        </w:rPr>
        <w:t>s</w:t>
      </w:r>
      <w:r w:rsidR="00B36AF2" w:rsidRPr="002239BF">
        <w:rPr>
          <w:rFonts w:ascii="Times New Roman" w:hAnsi="Times New Roman" w:cs="Times New Roman"/>
          <w:sz w:val="24"/>
          <w:szCs w:val="24"/>
          <w:lang w:val="en-US"/>
        </w:rPr>
        <w:t>ed</w:t>
      </w:r>
      <w:r w:rsidR="00A04771" w:rsidRPr="002239BF">
        <w:rPr>
          <w:rFonts w:ascii="Times New Roman" w:hAnsi="Times New Roman" w:cs="Times New Roman"/>
          <w:sz w:val="24"/>
          <w:szCs w:val="24"/>
          <w:lang w:val="en-US"/>
        </w:rPr>
        <w:t xml:space="preserve"> in much of the common law world</w:t>
      </w:r>
      <w:r w:rsidR="00B36AF2" w:rsidRPr="002239BF">
        <w:rPr>
          <w:rFonts w:ascii="Times New Roman" w:hAnsi="Times New Roman" w:cs="Times New Roman"/>
          <w:sz w:val="24"/>
          <w:szCs w:val="24"/>
          <w:lang w:val="en-US"/>
        </w:rPr>
        <w:t xml:space="preserve"> as the ideal housing tenure and regarded with an almost ‘mystical reverence.’</w:t>
      </w:r>
      <w:r w:rsidR="00B36AF2" w:rsidRPr="002239BF">
        <w:rPr>
          <w:rStyle w:val="FootnoteReference"/>
          <w:rFonts w:ascii="Times New Roman" w:hAnsi="Times New Roman" w:cs="Times New Roman"/>
          <w:sz w:val="24"/>
          <w:szCs w:val="24"/>
          <w:lang w:val="en-US"/>
        </w:rPr>
        <w:footnoteReference w:id="159"/>
      </w:r>
      <w:r w:rsidR="00C76E1E" w:rsidRPr="002239BF">
        <w:rPr>
          <w:rFonts w:ascii="Times New Roman" w:hAnsi="Times New Roman" w:cs="Times New Roman"/>
          <w:sz w:val="24"/>
          <w:szCs w:val="24"/>
          <w:lang w:val="en-US"/>
        </w:rPr>
        <w:t xml:space="preserve"> Kemeny located the ‘implicit – or sometimes only thinly veiled – assumption that home-ownership is inherently desirable and naturally superior to other forms of tenure and t</w:t>
      </w:r>
      <w:r w:rsidR="000313E5" w:rsidRPr="002239BF">
        <w:rPr>
          <w:rFonts w:ascii="Times New Roman" w:hAnsi="Times New Roman" w:cs="Times New Roman"/>
          <w:sz w:val="24"/>
          <w:szCs w:val="24"/>
          <w:lang w:val="en-US"/>
        </w:rPr>
        <w:t>hat given accessibility and adequate resources, all households would choose to own.’</w:t>
      </w:r>
      <w:r w:rsidR="0025196F" w:rsidRPr="002239BF">
        <w:rPr>
          <w:rStyle w:val="FootnoteReference"/>
          <w:rFonts w:ascii="Times New Roman" w:hAnsi="Times New Roman" w:cs="Times New Roman"/>
          <w:sz w:val="24"/>
          <w:szCs w:val="24"/>
          <w:lang w:val="en-US"/>
        </w:rPr>
        <w:footnoteReference w:id="160"/>
      </w:r>
      <w:r w:rsidR="00335661" w:rsidRPr="002239BF">
        <w:rPr>
          <w:rFonts w:ascii="Times New Roman" w:hAnsi="Times New Roman" w:cs="Times New Roman"/>
          <w:sz w:val="24"/>
          <w:szCs w:val="24"/>
          <w:lang w:val="en-US"/>
        </w:rPr>
        <w:t xml:space="preserve"> Kemeny’s words are as </w:t>
      </w:r>
      <w:r w:rsidR="00C92C20" w:rsidRPr="002239BF">
        <w:rPr>
          <w:rFonts w:ascii="Times New Roman" w:hAnsi="Times New Roman" w:cs="Times New Roman"/>
          <w:sz w:val="24"/>
          <w:szCs w:val="24"/>
          <w:lang w:val="en-US"/>
        </w:rPr>
        <w:t>pertinent</w:t>
      </w:r>
      <w:r w:rsidR="00E47390" w:rsidRPr="002239BF">
        <w:rPr>
          <w:rFonts w:ascii="Times New Roman" w:hAnsi="Times New Roman" w:cs="Times New Roman"/>
          <w:sz w:val="24"/>
          <w:szCs w:val="24"/>
          <w:lang w:val="en-US"/>
        </w:rPr>
        <w:t xml:space="preserve"> </w:t>
      </w:r>
      <w:r w:rsidR="00335661" w:rsidRPr="002239BF">
        <w:rPr>
          <w:rFonts w:ascii="Times New Roman" w:hAnsi="Times New Roman" w:cs="Times New Roman"/>
          <w:sz w:val="24"/>
          <w:szCs w:val="24"/>
          <w:lang w:val="en-US"/>
        </w:rPr>
        <w:t>today as they were in the 1980s</w:t>
      </w:r>
      <w:r w:rsidR="00C92C20" w:rsidRPr="002239BF">
        <w:rPr>
          <w:rFonts w:ascii="Times New Roman" w:hAnsi="Times New Roman" w:cs="Times New Roman"/>
          <w:sz w:val="24"/>
          <w:szCs w:val="24"/>
          <w:lang w:val="en-US"/>
        </w:rPr>
        <w:t xml:space="preserve"> if not more so.</w:t>
      </w:r>
      <w:r w:rsidR="00335661" w:rsidRPr="002239BF">
        <w:rPr>
          <w:rFonts w:ascii="Times New Roman" w:hAnsi="Times New Roman" w:cs="Times New Roman"/>
          <w:sz w:val="24"/>
          <w:szCs w:val="24"/>
          <w:lang w:val="en-US"/>
        </w:rPr>
        <w:t xml:space="preserve"> </w:t>
      </w:r>
      <w:r w:rsidRPr="002239BF">
        <w:rPr>
          <w:rFonts w:ascii="Times New Roman" w:hAnsi="Times New Roman" w:cs="Times New Roman"/>
          <w:sz w:val="24"/>
          <w:szCs w:val="24"/>
          <w:lang w:val="en-US"/>
        </w:rPr>
        <w:t>For just as localism is ‘a normative claim that requires justification,’</w:t>
      </w:r>
      <w:r w:rsidRPr="002239BF">
        <w:rPr>
          <w:rStyle w:val="FootnoteReference"/>
          <w:rFonts w:ascii="Times New Roman" w:hAnsi="Times New Roman" w:cs="Times New Roman"/>
          <w:sz w:val="24"/>
          <w:szCs w:val="24"/>
          <w:lang w:val="en-US"/>
        </w:rPr>
        <w:footnoteReference w:id="161"/>
      </w:r>
      <w:r w:rsidRPr="002239BF">
        <w:rPr>
          <w:rFonts w:ascii="Times New Roman" w:hAnsi="Times New Roman" w:cs="Times New Roman"/>
          <w:sz w:val="24"/>
          <w:szCs w:val="24"/>
          <w:lang w:val="en-US"/>
        </w:rPr>
        <w:t xml:space="preserve"> and ‘does not just happen’</w:t>
      </w:r>
      <w:r w:rsidRPr="002239BF">
        <w:rPr>
          <w:rStyle w:val="FootnoteReference"/>
          <w:rFonts w:ascii="Times New Roman" w:hAnsi="Times New Roman" w:cs="Times New Roman"/>
          <w:sz w:val="24"/>
          <w:szCs w:val="24"/>
          <w:lang w:val="en-US"/>
        </w:rPr>
        <w:footnoteReference w:id="162"/>
      </w:r>
      <w:r w:rsidRPr="002239BF">
        <w:rPr>
          <w:rFonts w:ascii="Times New Roman" w:hAnsi="Times New Roman" w:cs="Times New Roman"/>
          <w:sz w:val="24"/>
          <w:szCs w:val="24"/>
          <w:lang w:val="en-US"/>
        </w:rPr>
        <w:t xml:space="preserve"> neither does homeownership just happen. The </w:t>
      </w:r>
      <w:r w:rsidR="00D662BD" w:rsidRPr="002239BF">
        <w:rPr>
          <w:rFonts w:ascii="Times New Roman" w:hAnsi="Times New Roman" w:cs="Times New Roman"/>
          <w:sz w:val="24"/>
          <w:szCs w:val="24"/>
          <w:lang w:val="en-US"/>
        </w:rPr>
        <w:t xml:space="preserve">championing </w:t>
      </w:r>
      <w:r w:rsidRPr="002239BF">
        <w:rPr>
          <w:rFonts w:ascii="Times New Roman" w:hAnsi="Times New Roman" w:cs="Times New Roman"/>
          <w:sz w:val="24"/>
          <w:szCs w:val="24"/>
          <w:lang w:val="en-US"/>
        </w:rPr>
        <w:t>of homeownership as the only stable and aspirational housing tenure gives rise, we argue, to the potentiality of a ‘</w:t>
      </w:r>
      <w:r w:rsidR="001236B7" w:rsidRPr="002239BF">
        <w:rPr>
          <w:rFonts w:ascii="Times New Roman" w:hAnsi="Times New Roman" w:cs="Times New Roman"/>
          <w:sz w:val="24"/>
          <w:szCs w:val="24"/>
          <w:lang w:val="en-US"/>
        </w:rPr>
        <w:t>homeownership trap.’</w:t>
      </w:r>
      <w:r w:rsidR="00D662BD" w:rsidRPr="002239BF">
        <w:rPr>
          <w:rFonts w:ascii="Times New Roman" w:hAnsi="Times New Roman" w:cs="Times New Roman"/>
          <w:sz w:val="24"/>
          <w:szCs w:val="24"/>
          <w:lang w:val="en-US"/>
        </w:rPr>
        <w:t xml:space="preserve"> In interrogating this ‘homeownership trap’, two key aspects </w:t>
      </w:r>
      <w:r w:rsidR="00D27286" w:rsidRPr="002239BF">
        <w:rPr>
          <w:rFonts w:ascii="Times New Roman" w:hAnsi="Times New Roman" w:cs="Times New Roman"/>
          <w:sz w:val="24"/>
          <w:szCs w:val="24"/>
          <w:lang w:val="en-US"/>
        </w:rPr>
        <w:t>must be explored: first, the</w:t>
      </w:r>
      <w:r w:rsidR="00D662BD" w:rsidRPr="002239BF">
        <w:rPr>
          <w:rFonts w:ascii="Times New Roman" w:hAnsi="Times New Roman" w:cs="Times New Roman"/>
          <w:sz w:val="24"/>
          <w:szCs w:val="24"/>
          <w:lang w:val="en-US"/>
        </w:rPr>
        <w:t xml:space="preserve"> incoherence inherent in the message; and, secondly, the profound morali</w:t>
      </w:r>
      <w:r w:rsidR="00D20EF3" w:rsidRPr="002239BF">
        <w:rPr>
          <w:rFonts w:ascii="Times New Roman" w:hAnsi="Times New Roman" w:cs="Times New Roman"/>
          <w:sz w:val="24"/>
          <w:szCs w:val="24"/>
          <w:lang w:val="en-US"/>
        </w:rPr>
        <w:t>s</w:t>
      </w:r>
      <w:r w:rsidR="00D662BD" w:rsidRPr="002239BF">
        <w:rPr>
          <w:rFonts w:ascii="Times New Roman" w:hAnsi="Times New Roman" w:cs="Times New Roman"/>
          <w:sz w:val="24"/>
          <w:szCs w:val="24"/>
          <w:lang w:val="en-US"/>
        </w:rPr>
        <w:t xml:space="preserve">ation at the heart of </w:t>
      </w:r>
      <w:r w:rsidR="00684A1E" w:rsidRPr="002239BF">
        <w:rPr>
          <w:rFonts w:ascii="Times New Roman" w:hAnsi="Times New Roman" w:cs="Times New Roman"/>
          <w:sz w:val="24"/>
          <w:szCs w:val="24"/>
          <w:lang w:val="en-US"/>
        </w:rPr>
        <w:t>the 2016</w:t>
      </w:r>
      <w:r w:rsidR="00D662BD" w:rsidRPr="002239BF">
        <w:rPr>
          <w:rFonts w:ascii="Times New Roman" w:hAnsi="Times New Roman" w:cs="Times New Roman"/>
          <w:sz w:val="24"/>
          <w:szCs w:val="24"/>
          <w:lang w:val="en-US"/>
        </w:rPr>
        <w:t xml:space="preserve"> legislative </w:t>
      </w:r>
      <w:r w:rsidR="001236B7" w:rsidRPr="002239BF">
        <w:rPr>
          <w:rFonts w:ascii="Times New Roman" w:hAnsi="Times New Roman" w:cs="Times New Roman"/>
          <w:sz w:val="24"/>
          <w:szCs w:val="24"/>
          <w:lang w:val="en-US"/>
        </w:rPr>
        <w:t>scheme.</w:t>
      </w:r>
    </w:p>
    <w:p w14:paraId="7A4CB953" w14:textId="77777777" w:rsidR="00684A1E" w:rsidRPr="002239BF" w:rsidRDefault="00684A1E" w:rsidP="00733DF3">
      <w:pPr>
        <w:spacing w:after="0" w:line="480" w:lineRule="auto"/>
        <w:rPr>
          <w:rFonts w:ascii="Times New Roman" w:hAnsi="Times New Roman" w:cs="Times New Roman"/>
          <w:sz w:val="24"/>
          <w:szCs w:val="24"/>
          <w:lang w:val="en-US"/>
        </w:rPr>
      </w:pPr>
    </w:p>
    <w:p w14:paraId="638F9355" w14:textId="28379346" w:rsidR="0025196F" w:rsidRPr="002239BF" w:rsidRDefault="00133A98" w:rsidP="00733DF3">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As we have explained, p</w:t>
      </w:r>
      <w:r w:rsidR="00545A82" w:rsidRPr="002239BF">
        <w:rPr>
          <w:rFonts w:ascii="Times New Roman" w:hAnsi="Times New Roman" w:cs="Times New Roman"/>
          <w:sz w:val="24"/>
          <w:szCs w:val="24"/>
          <w:lang w:val="en-US"/>
        </w:rPr>
        <w:t xml:space="preserve">olicies aimed at increasing rates of homeownership are nothing new, particularly from the Conservative Party. Yet, </w:t>
      </w:r>
      <w:r w:rsidR="00603B32" w:rsidRPr="002239BF">
        <w:rPr>
          <w:rFonts w:ascii="Times New Roman" w:hAnsi="Times New Roman" w:cs="Times New Roman"/>
          <w:sz w:val="24"/>
          <w:szCs w:val="24"/>
          <w:lang w:val="en-US"/>
        </w:rPr>
        <w:t xml:space="preserve">what is new is that </w:t>
      </w:r>
      <w:r w:rsidR="00545A82" w:rsidRPr="002239BF">
        <w:rPr>
          <w:rFonts w:ascii="Times New Roman" w:hAnsi="Times New Roman" w:cs="Times New Roman"/>
          <w:sz w:val="24"/>
          <w:szCs w:val="24"/>
          <w:lang w:val="en-US"/>
        </w:rPr>
        <w:t>t</w:t>
      </w:r>
      <w:r w:rsidR="001D10DF" w:rsidRPr="002239BF">
        <w:rPr>
          <w:rFonts w:ascii="Times New Roman" w:hAnsi="Times New Roman" w:cs="Times New Roman"/>
          <w:sz w:val="24"/>
          <w:szCs w:val="24"/>
          <w:lang w:val="en-US"/>
        </w:rPr>
        <w:t>he 2016 Act presents a strikingly narrow vision for housing policy in Britain</w:t>
      </w:r>
      <w:r w:rsidR="00820C08" w:rsidRPr="002239BF">
        <w:rPr>
          <w:rFonts w:ascii="Times New Roman" w:hAnsi="Times New Roman" w:cs="Times New Roman"/>
          <w:sz w:val="24"/>
          <w:szCs w:val="24"/>
          <w:lang w:val="en-US"/>
        </w:rPr>
        <w:t>; s</w:t>
      </w:r>
      <w:r w:rsidR="001D10DF" w:rsidRPr="002239BF">
        <w:rPr>
          <w:rFonts w:ascii="Times New Roman" w:hAnsi="Times New Roman" w:cs="Times New Roman"/>
          <w:sz w:val="24"/>
          <w:szCs w:val="24"/>
          <w:lang w:val="en-US"/>
        </w:rPr>
        <w:t xml:space="preserve">omething on which Barlow has called out the </w:t>
      </w:r>
      <w:r w:rsidR="00D20EF3" w:rsidRPr="002239BF">
        <w:rPr>
          <w:rFonts w:ascii="Times New Roman" w:hAnsi="Times New Roman" w:cs="Times New Roman"/>
          <w:sz w:val="24"/>
          <w:szCs w:val="24"/>
          <w:lang w:val="en-US"/>
        </w:rPr>
        <w:t>g</w:t>
      </w:r>
      <w:r w:rsidR="001D10DF" w:rsidRPr="002239BF">
        <w:rPr>
          <w:rFonts w:ascii="Times New Roman" w:hAnsi="Times New Roman" w:cs="Times New Roman"/>
          <w:sz w:val="24"/>
          <w:szCs w:val="24"/>
          <w:lang w:val="en-US"/>
        </w:rPr>
        <w:t>overnment, arguing that</w:t>
      </w:r>
      <w:r w:rsidR="00603B32" w:rsidRPr="002239BF">
        <w:rPr>
          <w:rFonts w:ascii="Times New Roman" w:hAnsi="Times New Roman" w:cs="Times New Roman"/>
          <w:sz w:val="24"/>
          <w:szCs w:val="24"/>
          <w:lang w:val="en-US"/>
        </w:rPr>
        <w:t xml:space="preserve"> we are witnessing the:</w:t>
      </w:r>
    </w:p>
    <w:p w14:paraId="7719B978" w14:textId="77777777" w:rsidR="00317600" w:rsidRPr="002239BF" w:rsidRDefault="00317600" w:rsidP="00733DF3">
      <w:pPr>
        <w:spacing w:after="0" w:line="480" w:lineRule="auto"/>
        <w:rPr>
          <w:rFonts w:ascii="Times New Roman" w:hAnsi="Times New Roman" w:cs="Times New Roman"/>
          <w:sz w:val="24"/>
          <w:szCs w:val="24"/>
          <w:lang w:val="en-US"/>
        </w:rPr>
      </w:pPr>
    </w:p>
    <w:p w14:paraId="30C45921" w14:textId="6FE9E4EB" w:rsidR="001D10DF" w:rsidRPr="002239BF" w:rsidRDefault="001D10DF" w:rsidP="00733DF3">
      <w:pPr>
        <w:spacing w:after="0" w:line="480" w:lineRule="auto"/>
        <w:ind w:left="540"/>
        <w:rPr>
          <w:rFonts w:ascii="Times New Roman" w:hAnsi="Times New Roman" w:cs="Times New Roman"/>
          <w:sz w:val="24"/>
          <w:szCs w:val="24"/>
          <w:lang w:val="en-US"/>
        </w:rPr>
      </w:pPr>
      <w:r w:rsidRPr="002239BF">
        <w:rPr>
          <w:rFonts w:ascii="Times New Roman" w:hAnsi="Times New Roman" w:cs="Times New Roman"/>
          <w:sz w:val="24"/>
          <w:szCs w:val="24"/>
          <w:lang w:val="en-US"/>
        </w:rPr>
        <w:t xml:space="preserve">pressing </w:t>
      </w:r>
      <w:r w:rsidR="00603B32" w:rsidRPr="002239BF">
        <w:rPr>
          <w:rFonts w:ascii="Times New Roman" w:hAnsi="Times New Roman" w:cs="Times New Roman"/>
          <w:sz w:val="24"/>
          <w:szCs w:val="24"/>
          <w:lang w:val="en-US"/>
        </w:rPr>
        <w:t xml:space="preserve">[of] </w:t>
      </w:r>
      <w:r w:rsidRPr="002239BF">
        <w:rPr>
          <w:rFonts w:ascii="Times New Roman" w:hAnsi="Times New Roman" w:cs="Times New Roman"/>
          <w:sz w:val="24"/>
          <w:szCs w:val="24"/>
          <w:lang w:val="en-US"/>
        </w:rPr>
        <w:t>the panic button in an increasingly desperate attempt to come up with the solutions to the UK’s housing needs</w:t>
      </w:r>
      <w:r w:rsidR="00CD1ACD" w:rsidRPr="002239BF">
        <w:rPr>
          <w:rFonts w:ascii="Times New Roman" w:hAnsi="Times New Roman" w:cs="Times New Roman"/>
          <w:sz w:val="24"/>
          <w:szCs w:val="24"/>
          <w:lang w:val="en-US"/>
        </w:rPr>
        <w:t xml:space="preserve"> </w:t>
      </w:r>
      <w:r w:rsidR="00603B32" w:rsidRPr="002239BF">
        <w:rPr>
          <w:rFonts w:ascii="Times New Roman" w:hAnsi="Times New Roman" w:cs="Times New Roman"/>
          <w:sz w:val="24"/>
          <w:szCs w:val="24"/>
          <w:lang w:val="en-US"/>
        </w:rPr>
        <w:t>…</w:t>
      </w:r>
      <w:r w:rsidR="00CD1ACD" w:rsidRPr="002239BF">
        <w:rPr>
          <w:rFonts w:ascii="Times New Roman" w:hAnsi="Times New Roman" w:cs="Times New Roman"/>
          <w:sz w:val="24"/>
          <w:szCs w:val="24"/>
          <w:lang w:val="en-US"/>
        </w:rPr>
        <w:t xml:space="preserve"> t</w:t>
      </w:r>
      <w:r w:rsidRPr="002239BF">
        <w:rPr>
          <w:rFonts w:ascii="Times New Roman" w:hAnsi="Times New Roman" w:cs="Times New Roman"/>
          <w:sz w:val="24"/>
          <w:szCs w:val="24"/>
          <w:lang w:val="en-US"/>
        </w:rPr>
        <w:t>he [housing policy] debate is marked by a paucity of new ideas and empty rhetoric.</w:t>
      </w:r>
      <w:r w:rsidRPr="002239BF">
        <w:rPr>
          <w:rStyle w:val="FootnoteReference"/>
          <w:rFonts w:ascii="Times New Roman" w:hAnsi="Times New Roman" w:cs="Times New Roman"/>
          <w:sz w:val="24"/>
          <w:szCs w:val="24"/>
          <w:lang w:val="en-US"/>
        </w:rPr>
        <w:footnoteReference w:id="163"/>
      </w:r>
    </w:p>
    <w:p w14:paraId="0D036CEA" w14:textId="77777777" w:rsidR="00C215B6" w:rsidRPr="002239BF" w:rsidRDefault="00C215B6" w:rsidP="00733DF3">
      <w:pPr>
        <w:spacing w:after="0" w:line="480" w:lineRule="auto"/>
        <w:rPr>
          <w:rFonts w:ascii="Times New Roman" w:hAnsi="Times New Roman" w:cs="Times New Roman"/>
          <w:sz w:val="24"/>
          <w:szCs w:val="24"/>
          <w:lang w:val="en-US"/>
        </w:rPr>
      </w:pPr>
    </w:p>
    <w:p w14:paraId="1FCBC3C7" w14:textId="40E3138B" w:rsidR="00B711A5" w:rsidRPr="002239BF" w:rsidRDefault="00B711A5" w:rsidP="00733DF3">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Whilst Britons have long enjoyed a love affair with homeownership and the attraction of owning a home is a clear vote-winner, a legislative scheme that promo</w:t>
      </w:r>
      <w:r w:rsidR="00405A83" w:rsidRPr="002239BF">
        <w:rPr>
          <w:rFonts w:ascii="Times New Roman" w:hAnsi="Times New Roman" w:cs="Times New Roman"/>
          <w:sz w:val="24"/>
          <w:szCs w:val="24"/>
          <w:lang w:val="en-US"/>
        </w:rPr>
        <w:t xml:space="preserve">tes homeownership above all and, in fact, </w:t>
      </w:r>
      <w:r w:rsidRPr="002239BF">
        <w:rPr>
          <w:rFonts w:ascii="Times New Roman" w:hAnsi="Times New Roman" w:cs="Times New Roman"/>
          <w:sz w:val="24"/>
          <w:szCs w:val="24"/>
          <w:lang w:val="en-US"/>
        </w:rPr>
        <w:t xml:space="preserve">to the detriment of other </w:t>
      </w:r>
      <w:r w:rsidR="00B808E7" w:rsidRPr="002239BF">
        <w:rPr>
          <w:rFonts w:ascii="Times New Roman" w:hAnsi="Times New Roman" w:cs="Times New Roman"/>
          <w:sz w:val="24"/>
          <w:szCs w:val="24"/>
          <w:lang w:val="en-US"/>
        </w:rPr>
        <w:t xml:space="preserve">housing </w:t>
      </w:r>
      <w:r w:rsidRPr="002239BF">
        <w:rPr>
          <w:rFonts w:ascii="Times New Roman" w:hAnsi="Times New Roman" w:cs="Times New Roman"/>
          <w:sz w:val="24"/>
          <w:szCs w:val="24"/>
          <w:lang w:val="en-US"/>
        </w:rPr>
        <w:t xml:space="preserve">tenures is </w:t>
      </w:r>
      <w:r w:rsidR="00B808E7" w:rsidRPr="002239BF">
        <w:rPr>
          <w:rFonts w:ascii="Times New Roman" w:hAnsi="Times New Roman" w:cs="Times New Roman"/>
          <w:sz w:val="24"/>
          <w:szCs w:val="24"/>
          <w:lang w:val="en-US"/>
        </w:rPr>
        <w:t>naïve</w:t>
      </w:r>
      <w:r w:rsidRPr="002239BF">
        <w:rPr>
          <w:rFonts w:ascii="Times New Roman" w:hAnsi="Times New Roman" w:cs="Times New Roman"/>
          <w:sz w:val="24"/>
          <w:szCs w:val="24"/>
          <w:lang w:val="en-US"/>
        </w:rPr>
        <w:t xml:space="preserve"> in suggesting that owning a home is necessarily </w:t>
      </w:r>
      <w:r w:rsidR="00444351" w:rsidRPr="002239BF">
        <w:rPr>
          <w:rFonts w:ascii="Times New Roman" w:hAnsi="Times New Roman" w:cs="Times New Roman"/>
          <w:sz w:val="24"/>
          <w:szCs w:val="24"/>
          <w:lang w:val="en-US"/>
        </w:rPr>
        <w:t xml:space="preserve">an egalitarian ideal and </w:t>
      </w:r>
      <w:r w:rsidRPr="002239BF">
        <w:rPr>
          <w:rFonts w:ascii="Times New Roman" w:hAnsi="Times New Roman" w:cs="Times New Roman"/>
          <w:sz w:val="24"/>
          <w:szCs w:val="24"/>
          <w:lang w:val="en-US"/>
        </w:rPr>
        <w:t>open to us all.</w:t>
      </w:r>
      <w:bookmarkStart w:id="14" w:name="_Ref461891854"/>
      <w:r w:rsidRPr="002239BF">
        <w:rPr>
          <w:rStyle w:val="FootnoteReference"/>
          <w:rFonts w:ascii="Times New Roman" w:hAnsi="Times New Roman" w:cs="Times New Roman"/>
          <w:sz w:val="24"/>
          <w:szCs w:val="24"/>
          <w:lang w:val="en-US"/>
        </w:rPr>
        <w:footnoteReference w:id="164"/>
      </w:r>
      <w:bookmarkEnd w:id="14"/>
      <w:r w:rsidRPr="002239BF">
        <w:rPr>
          <w:rFonts w:ascii="Times New Roman" w:hAnsi="Times New Roman" w:cs="Times New Roman"/>
          <w:sz w:val="24"/>
          <w:szCs w:val="24"/>
          <w:lang w:val="en-US"/>
        </w:rPr>
        <w:t xml:space="preserve"> In </w:t>
      </w:r>
      <w:r w:rsidR="00A840CA" w:rsidRPr="002239BF">
        <w:rPr>
          <w:rFonts w:ascii="Times New Roman" w:hAnsi="Times New Roman" w:cs="Times New Roman"/>
          <w:sz w:val="24"/>
          <w:szCs w:val="24"/>
          <w:lang w:val="en-US"/>
        </w:rPr>
        <w:t>reality</w:t>
      </w:r>
      <w:r w:rsidRPr="002239BF">
        <w:rPr>
          <w:rFonts w:ascii="Times New Roman" w:hAnsi="Times New Roman" w:cs="Times New Roman"/>
          <w:sz w:val="24"/>
          <w:szCs w:val="24"/>
          <w:lang w:val="en-US"/>
        </w:rPr>
        <w:t xml:space="preserve">, homeownership is not </w:t>
      </w:r>
      <w:r w:rsidR="00A840CA" w:rsidRPr="002239BF">
        <w:rPr>
          <w:rFonts w:ascii="Times New Roman" w:hAnsi="Times New Roman" w:cs="Times New Roman"/>
          <w:sz w:val="24"/>
          <w:szCs w:val="24"/>
          <w:lang w:val="en-US"/>
        </w:rPr>
        <w:t xml:space="preserve">accessible </w:t>
      </w:r>
      <w:r w:rsidRPr="002239BF">
        <w:rPr>
          <w:rFonts w:ascii="Times New Roman" w:hAnsi="Times New Roman" w:cs="Times New Roman"/>
          <w:sz w:val="24"/>
          <w:szCs w:val="24"/>
          <w:lang w:val="en-US"/>
        </w:rPr>
        <w:t xml:space="preserve">to </w:t>
      </w:r>
      <w:r w:rsidR="00A840CA" w:rsidRPr="002239BF">
        <w:rPr>
          <w:rFonts w:ascii="Times New Roman" w:hAnsi="Times New Roman" w:cs="Times New Roman"/>
          <w:sz w:val="24"/>
          <w:szCs w:val="24"/>
          <w:lang w:val="en-US"/>
        </w:rPr>
        <w:t>all citizens,</w:t>
      </w:r>
      <w:r w:rsidRPr="002239BF">
        <w:rPr>
          <w:rFonts w:ascii="Times New Roman" w:hAnsi="Times New Roman" w:cs="Times New Roman"/>
          <w:sz w:val="24"/>
          <w:szCs w:val="24"/>
          <w:lang w:val="en-US"/>
        </w:rPr>
        <w:t xml:space="preserve"> as </w:t>
      </w:r>
      <w:r w:rsidR="00A840CA" w:rsidRPr="002239BF">
        <w:rPr>
          <w:rFonts w:ascii="Times New Roman" w:hAnsi="Times New Roman" w:cs="Times New Roman"/>
          <w:sz w:val="24"/>
          <w:szCs w:val="24"/>
          <w:lang w:val="en-US"/>
        </w:rPr>
        <w:t>we explain below,</w:t>
      </w:r>
      <w:r w:rsidRPr="002239BF">
        <w:rPr>
          <w:rFonts w:ascii="Times New Roman" w:hAnsi="Times New Roman" w:cs="Times New Roman"/>
          <w:sz w:val="24"/>
          <w:szCs w:val="24"/>
          <w:lang w:val="en-US"/>
        </w:rPr>
        <w:t xml:space="preserve"> and, in </w:t>
      </w:r>
      <w:r w:rsidR="00367B5B" w:rsidRPr="002239BF">
        <w:rPr>
          <w:rFonts w:ascii="Times New Roman" w:hAnsi="Times New Roman" w:cs="Times New Roman"/>
          <w:sz w:val="24"/>
          <w:szCs w:val="24"/>
          <w:lang w:val="en-US"/>
        </w:rPr>
        <w:t xml:space="preserve">its </w:t>
      </w:r>
      <w:r w:rsidRPr="002239BF">
        <w:rPr>
          <w:rFonts w:ascii="Times New Roman" w:hAnsi="Times New Roman" w:cs="Times New Roman"/>
          <w:sz w:val="24"/>
          <w:szCs w:val="24"/>
          <w:lang w:val="en-US"/>
        </w:rPr>
        <w:t>effect</w:t>
      </w:r>
      <w:r w:rsidR="00367B5B" w:rsidRPr="002239BF">
        <w:rPr>
          <w:rFonts w:ascii="Times New Roman" w:hAnsi="Times New Roman" w:cs="Times New Roman"/>
          <w:sz w:val="24"/>
          <w:szCs w:val="24"/>
          <w:lang w:val="en-US"/>
        </w:rPr>
        <w:t>s</w:t>
      </w:r>
      <w:r w:rsidRPr="002239BF">
        <w:rPr>
          <w:rFonts w:ascii="Times New Roman" w:hAnsi="Times New Roman" w:cs="Times New Roman"/>
          <w:sz w:val="24"/>
          <w:szCs w:val="24"/>
          <w:lang w:val="en-US"/>
        </w:rPr>
        <w:t>, can</w:t>
      </w:r>
      <w:r w:rsidR="00367B5B" w:rsidRPr="002239BF">
        <w:rPr>
          <w:rFonts w:ascii="Times New Roman" w:hAnsi="Times New Roman" w:cs="Times New Roman"/>
          <w:sz w:val="24"/>
          <w:szCs w:val="24"/>
          <w:lang w:val="en-US"/>
        </w:rPr>
        <w:t xml:space="preserve"> actually</w:t>
      </w:r>
      <w:r w:rsidRPr="002239BF">
        <w:rPr>
          <w:rFonts w:ascii="Times New Roman" w:hAnsi="Times New Roman" w:cs="Times New Roman"/>
          <w:sz w:val="24"/>
          <w:szCs w:val="24"/>
          <w:lang w:val="en-US"/>
        </w:rPr>
        <w:t xml:space="preserve"> serve to further entrench inequality rather than displace it. Levels of homeownership in Britain reached a record high of 70.8</w:t>
      </w:r>
      <w:r w:rsidR="00236182"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in 2003 but have since fallen </w:t>
      </w:r>
      <w:r w:rsidR="00F367C3" w:rsidRPr="002239BF">
        <w:rPr>
          <w:rFonts w:ascii="Times New Roman" w:hAnsi="Times New Roman" w:cs="Times New Roman"/>
          <w:sz w:val="24"/>
          <w:szCs w:val="24"/>
          <w:lang w:val="en-US"/>
        </w:rPr>
        <w:t xml:space="preserve">to </w:t>
      </w:r>
      <w:r w:rsidRPr="002239BF">
        <w:rPr>
          <w:rFonts w:ascii="Times New Roman" w:hAnsi="Times New Roman" w:cs="Times New Roman"/>
          <w:sz w:val="24"/>
          <w:szCs w:val="24"/>
          <w:lang w:val="en-US"/>
        </w:rPr>
        <w:t>a record low of 63.8</w:t>
      </w:r>
      <w:r w:rsidR="00236182"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in February 2016 despite a series of initiatives</w:t>
      </w:r>
      <w:r w:rsidR="00055E91" w:rsidRPr="002239BF">
        <w:rPr>
          <w:rFonts w:ascii="Times New Roman" w:hAnsi="Times New Roman" w:cs="Times New Roman"/>
          <w:sz w:val="24"/>
          <w:szCs w:val="24"/>
          <w:lang w:val="en-US"/>
        </w:rPr>
        <w:t xml:space="preserve"> introduced to stimulate home-</w:t>
      </w:r>
      <w:r w:rsidRPr="002239BF">
        <w:rPr>
          <w:rFonts w:ascii="Times New Roman" w:hAnsi="Times New Roman" w:cs="Times New Roman"/>
          <w:sz w:val="24"/>
          <w:szCs w:val="24"/>
          <w:lang w:val="en-US"/>
        </w:rPr>
        <w:t>buying.</w:t>
      </w:r>
      <w:r w:rsidRPr="002239BF">
        <w:rPr>
          <w:rStyle w:val="FootnoteReference"/>
          <w:rFonts w:ascii="Times New Roman" w:hAnsi="Times New Roman" w:cs="Times New Roman"/>
          <w:sz w:val="24"/>
          <w:szCs w:val="24"/>
          <w:lang w:val="en-US"/>
        </w:rPr>
        <w:footnoteReference w:id="165"/>
      </w:r>
      <w:r w:rsidRPr="002239BF">
        <w:rPr>
          <w:rFonts w:ascii="Times New Roman" w:hAnsi="Times New Roman" w:cs="Times New Roman"/>
          <w:sz w:val="24"/>
          <w:szCs w:val="24"/>
          <w:lang w:val="en-US"/>
        </w:rPr>
        <w:t xml:space="preserve"> This </w:t>
      </w:r>
      <w:r w:rsidR="00A840CA" w:rsidRPr="002239BF">
        <w:rPr>
          <w:rFonts w:ascii="Times New Roman" w:hAnsi="Times New Roman" w:cs="Times New Roman"/>
          <w:sz w:val="24"/>
          <w:szCs w:val="24"/>
          <w:lang w:val="en-US"/>
        </w:rPr>
        <w:t xml:space="preserve">decline </w:t>
      </w:r>
      <w:r w:rsidRPr="002239BF">
        <w:rPr>
          <w:rFonts w:ascii="Times New Roman" w:hAnsi="Times New Roman" w:cs="Times New Roman"/>
          <w:sz w:val="24"/>
          <w:szCs w:val="24"/>
          <w:lang w:val="en-US"/>
        </w:rPr>
        <w:t xml:space="preserve">brings rates of homeownership to levels not seen in Britain since 1986 and falling </w:t>
      </w:r>
      <w:r w:rsidR="00055E91" w:rsidRPr="002239BF">
        <w:rPr>
          <w:rFonts w:ascii="Times New Roman" w:hAnsi="Times New Roman" w:cs="Times New Roman"/>
          <w:sz w:val="24"/>
          <w:szCs w:val="24"/>
          <w:lang w:val="en-US"/>
        </w:rPr>
        <w:t>at a</w:t>
      </w:r>
      <w:r w:rsidRPr="002239BF">
        <w:rPr>
          <w:rFonts w:ascii="Times New Roman" w:hAnsi="Times New Roman" w:cs="Times New Roman"/>
          <w:sz w:val="24"/>
          <w:szCs w:val="24"/>
          <w:lang w:val="en-US"/>
        </w:rPr>
        <w:t xml:space="preserve"> faster</w:t>
      </w:r>
      <w:r w:rsidR="00055E91" w:rsidRPr="002239BF">
        <w:rPr>
          <w:rFonts w:ascii="Times New Roman" w:hAnsi="Times New Roman" w:cs="Times New Roman"/>
          <w:sz w:val="24"/>
          <w:szCs w:val="24"/>
          <w:lang w:val="en-US"/>
        </w:rPr>
        <w:t xml:space="preserve"> pace</w:t>
      </w:r>
      <w:r w:rsidRPr="002239BF">
        <w:rPr>
          <w:rFonts w:ascii="Times New Roman" w:hAnsi="Times New Roman" w:cs="Times New Roman"/>
          <w:sz w:val="24"/>
          <w:szCs w:val="24"/>
          <w:lang w:val="en-US"/>
        </w:rPr>
        <w:t xml:space="preserve"> than they rose in the late 1980</w:t>
      </w:r>
      <w:r w:rsidR="00F367C3" w:rsidRPr="002239BF">
        <w:rPr>
          <w:rFonts w:ascii="Times New Roman" w:hAnsi="Times New Roman" w:cs="Times New Roman"/>
          <w:sz w:val="24"/>
          <w:szCs w:val="24"/>
          <w:lang w:val="en-US"/>
        </w:rPr>
        <w:t>s</w:t>
      </w:r>
      <w:r w:rsidRPr="002239BF">
        <w:rPr>
          <w:rFonts w:ascii="Times New Roman" w:hAnsi="Times New Roman" w:cs="Times New Roman"/>
          <w:sz w:val="24"/>
          <w:szCs w:val="24"/>
          <w:lang w:val="en-US"/>
        </w:rPr>
        <w:t xml:space="preserve"> and early 1990s</w:t>
      </w:r>
      <w:r w:rsidR="000C3A9D" w:rsidRPr="002239BF">
        <w:rPr>
          <w:rFonts w:ascii="Times New Roman" w:hAnsi="Times New Roman" w:cs="Times New Roman"/>
          <w:sz w:val="24"/>
          <w:szCs w:val="24"/>
          <w:lang w:val="en-US"/>
        </w:rPr>
        <w:t xml:space="preserve"> when </w:t>
      </w:r>
      <w:r w:rsidR="00F7739E" w:rsidRPr="002239BF">
        <w:rPr>
          <w:rFonts w:ascii="Times New Roman" w:hAnsi="Times New Roman" w:cs="Times New Roman"/>
          <w:sz w:val="24"/>
          <w:szCs w:val="24"/>
          <w:lang w:val="en-US"/>
        </w:rPr>
        <w:t xml:space="preserve">the </w:t>
      </w:r>
      <w:r w:rsidR="00236182" w:rsidRPr="002239BF">
        <w:rPr>
          <w:rFonts w:ascii="Times New Roman" w:hAnsi="Times New Roman" w:cs="Times New Roman"/>
          <w:sz w:val="24"/>
          <w:szCs w:val="24"/>
          <w:lang w:val="en-US"/>
        </w:rPr>
        <w:t>r</w:t>
      </w:r>
      <w:r w:rsidR="000C3A9D" w:rsidRPr="002239BF">
        <w:rPr>
          <w:rFonts w:ascii="Times New Roman" w:hAnsi="Times New Roman" w:cs="Times New Roman"/>
          <w:sz w:val="24"/>
          <w:szCs w:val="24"/>
          <w:lang w:val="en-US"/>
        </w:rPr>
        <w:t xml:space="preserve">ight to </w:t>
      </w:r>
      <w:r w:rsidR="00236182" w:rsidRPr="002239BF">
        <w:rPr>
          <w:rFonts w:ascii="Times New Roman" w:hAnsi="Times New Roman" w:cs="Times New Roman"/>
          <w:sz w:val="24"/>
          <w:szCs w:val="24"/>
          <w:lang w:val="en-US"/>
        </w:rPr>
        <w:t>b</w:t>
      </w:r>
      <w:r w:rsidR="000C3A9D" w:rsidRPr="002239BF">
        <w:rPr>
          <w:rFonts w:ascii="Times New Roman" w:hAnsi="Times New Roman" w:cs="Times New Roman"/>
          <w:sz w:val="24"/>
          <w:szCs w:val="24"/>
          <w:lang w:val="en-US"/>
        </w:rPr>
        <w:t>uy was at its peak.</w:t>
      </w:r>
      <w:r w:rsidRPr="002239BF">
        <w:rPr>
          <w:rFonts w:ascii="Times New Roman" w:hAnsi="Times New Roman" w:cs="Times New Roman"/>
          <w:sz w:val="24"/>
          <w:szCs w:val="24"/>
          <w:lang w:val="en-US"/>
        </w:rPr>
        <w:t xml:space="preserve"> At 63.8</w:t>
      </w:r>
      <w:r w:rsidR="00236182"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the British ‘property owning democracy’ is now out-stripped by many other European countries </w:t>
      </w:r>
      <w:r w:rsidR="001C07F1" w:rsidRPr="002239BF">
        <w:rPr>
          <w:rFonts w:ascii="Times New Roman" w:hAnsi="Times New Roman" w:cs="Times New Roman"/>
          <w:sz w:val="24"/>
          <w:szCs w:val="24"/>
          <w:lang w:val="en-US"/>
        </w:rPr>
        <w:t>including</w:t>
      </w:r>
      <w:r w:rsidRPr="002239BF">
        <w:rPr>
          <w:rFonts w:ascii="Times New Roman" w:hAnsi="Times New Roman" w:cs="Times New Roman"/>
          <w:sz w:val="24"/>
          <w:szCs w:val="24"/>
          <w:lang w:val="en-US"/>
        </w:rPr>
        <w:t xml:space="preserve"> France, Italy, Sweden and Belgium.</w:t>
      </w:r>
      <w:r w:rsidRPr="002239BF">
        <w:rPr>
          <w:rStyle w:val="FootnoteReference"/>
          <w:rFonts w:ascii="Times New Roman" w:hAnsi="Times New Roman" w:cs="Times New Roman"/>
          <w:sz w:val="24"/>
          <w:szCs w:val="24"/>
          <w:lang w:val="en-US"/>
        </w:rPr>
        <w:footnoteReference w:id="166"/>
      </w:r>
      <w:r w:rsidRPr="002239BF">
        <w:rPr>
          <w:rFonts w:ascii="Times New Roman" w:hAnsi="Times New Roman" w:cs="Times New Roman"/>
          <w:sz w:val="24"/>
          <w:szCs w:val="24"/>
          <w:lang w:val="en-US"/>
        </w:rPr>
        <w:t xml:space="preserve"> Now Germany, a country with a long-standing predilection for private ren</w:t>
      </w:r>
      <w:r w:rsidR="00B52767" w:rsidRPr="002239BF">
        <w:rPr>
          <w:rFonts w:ascii="Times New Roman" w:hAnsi="Times New Roman" w:cs="Times New Roman"/>
          <w:sz w:val="24"/>
          <w:szCs w:val="24"/>
          <w:lang w:val="en-US"/>
        </w:rPr>
        <w:t>ting, is the only Western European</w:t>
      </w:r>
      <w:r w:rsidRPr="002239BF">
        <w:rPr>
          <w:rFonts w:ascii="Times New Roman" w:hAnsi="Times New Roman" w:cs="Times New Roman"/>
          <w:sz w:val="24"/>
          <w:szCs w:val="24"/>
          <w:lang w:val="en-US"/>
        </w:rPr>
        <w:t xml:space="preserve"> state with a lower rate of homeownership than Britain. </w:t>
      </w:r>
      <w:r w:rsidR="00656B8E" w:rsidRPr="002239BF">
        <w:rPr>
          <w:rFonts w:ascii="Times New Roman" w:hAnsi="Times New Roman" w:cs="Times New Roman"/>
          <w:sz w:val="24"/>
          <w:szCs w:val="24"/>
          <w:lang w:val="en-US"/>
        </w:rPr>
        <w:t>Across the</w:t>
      </w:r>
      <w:r w:rsidRPr="002239BF">
        <w:rPr>
          <w:rFonts w:ascii="Times New Roman" w:hAnsi="Times New Roman" w:cs="Times New Roman"/>
          <w:sz w:val="24"/>
          <w:szCs w:val="24"/>
          <w:lang w:val="en-US"/>
        </w:rPr>
        <w:t xml:space="preserve"> wider EU as a whole, the UK </w:t>
      </w:r>
      <w:r w:rsidR="005F1759" w:rsidRPr="002239BF">
        <w:rPr>
          <w:rFonts w:ascii="Times New Roman" w:hAnsi="Times New Roman" w:cs="Times New Roman"/>
          <w:sz w:val="24"/>
          <w:szCs w:val="24"/>
          <w:lang w:val="en-US"/>
        </w:rPr>
        <w:t>is</w:t>
      </w:r>
      <w:r w:rsidRPr="002239BF">
        <w:rPr>
          <w:rFonts w:ascii="Times New Roman" w:hAnsi="Times New Roman" w:cs="Times New Roman"/>
          <w:sz w:val="24"/>
          <w:szCs w:val="24"/>
          <w:lang w:val="en-US"/>
        </w:rPr>
        <w:t xml:space="preserve"> 23</w:t>
      </w:r>
      <w:r w:rsidRPr="002239BF">
        <w:rPr>
          <w:rFonts w:ascii="Times New Roman" w:hAnsi="Times New Roman" w:cs="Times New Roman"/>
          <w:sz w:val="24"/>
          <w:szCs w:val="24"/>
          <w:vertAlign w:val="superscript"/>
          <w:lang w:val="en-US"/>
        </w:rPr>
        <w:t>rd</w:t>
      </w:r>
      <w:r w:rsidRPr="002239BF">
        <w:rPr>
          <w:rFonts w:ascii="Times New Roman" w:hAnsi="Times New Roman" w:cs="Times New Roman"/>
          <w:sz w:val="24"/>
          <w:szCs w:val="24"/>
          <w:lang w:val="en-US"/>
        </w:rPr>
        <w:t xml:space="preserve"> </w:t>
      </w:r>
      <w:r w:rsidR="005F1759" w:rsidRPr="002239BF">
        <w:rPr>
          <w:rFonts w:ascii="Times New Roman" w:hAnsi="Times New Roman" w:cs="Times New Roman"/>
          <w:sz w:val="24"/>
          <w:szCs w:val="24"/>
          <w:lang w:val="en-US"/>
        </w:rPr>
        <w:t xml:space="preserve">out of </w:t>
      </w:r>
      <w:r w:rsidRPr="002239BF">
        <w:rPr>
          <w:rFonts w:ascii="Times New Roman" w:hAnsi="Times New Roman" w:cs="Times New Roman"/>
          <w:sz w:val="24"/>
          <w:szCs w:val="24"/>
          <w:lang w:val="en-US"/>
        </w:rPr>
        <w:t>the 28 countries</w:t>
      </w:r>
      <w:r w:rsidR="005F1759" w:rsidRPr="002239BF">
        <w:rPr>
          <w:rFonts w:ascii="Times New Roman" w:hAnsi="Times New Roman" w:cs="Times New Roman"/>
          <w:sz w:val="24"/>
          <w:szCs w:val="24"/>
          <w:lang w:val="en-US"/>
        </w:rPr>
        <w:t xml:space="preserve"> in terms of ownership.</w:t>
      </w:r>
      <w:r w:rsidRPr="002239BF">
        <w:rPr>
          <w:rStyle w:val="FootnoteReference"/>
          <w:rFonts w:ascii="Times New Roman" w:hAnsi="Times New Roman" w:cs="Times New Roman"/>
          <w:sz w:val="24"/>
          <w:szCs w:val="24"/>
          <w:lang w:val="en-US"/>
        </w:rPr>
        <w:footnoteReference w:id="167"/>
      </w:r>
      <w:r w:rsidRPr="002239BF">
        <w:rPr>
          <w:rFonts w:ascii="Times New Roman" w:hAnsi="Times New Roman" w:cs="Times New Roman"/>
          <w:sz w:val="24"/>
          <w:szCs w:val="24"/>
          <w:lang w:val="en-US"/>
        </w:rPr>
        <w:t xml:space="preserve"> Stalling homeownership rates have long </w:t>
      </w:r>
      <w:r w:rsidR="005F1759" w:rsidRPr="002239BF">
        <w:rPr>
          <w:rFonts w:ascii="Times New Roman" w:hAnsi="Times New Roman" w:cs="Times New Roman"/>
          <w:sz w:val="24"/>
          <w:szCs w:val="24"/>
          <w:lang w:val="en-US"/>
        </w:rPr>
        <w:t xml:space="preserve">been </w:t>
      </w:r>
      <w:r w:rsidRPr="002239BF">
        <w:rPr>
          <w:rFonts w:ascii="Times New Roman" w:hAnsi="Times New Roman" w:cs="Times New Roman"/>
          <w:sz w:val="24"/>
          <w:szCs w:val="24"/>
          <w:lang w:val="en-US"/>
        </w:rPr>
        <w:t xml:space="preserve">depicted as </w:t>
      </w:r>
      <w:r w:rsidR="005F1759" w:rsidRPr="002239BF">
        <w:rPr>
          <w:rFonts w:ascii="Times New Roman" w:hAnsi="Times New Roman" w:cs="Times New Roman"/>
          <w:sz w:val="24"/>
          <w:szCs w:val="24"/>
          <w:lang w:val="en-US"/>
        </w:rPr>
        <w:t xml:space="preserve">a </w:t>
      </w:r>
      <w:r w:rsidRPr="002239BF">
        <w:rPr>
          <w:rFonts w:ascii="Times New Roman" w:hAnsi="Times New Roman" w:cs="Times New Roman"/>
          <w:sz w:val="24"/>
          <w:szCs w:val="24"/>
          <w:lang w:val="en-US"/>
        </w:rPr>
        <w:t>particularly London-centric problem. However, recent work by the Resolution Foundation</w:t>
      </w:r>
      <w:r w:rsidRPr="002239BF">
        <w:rPr>
          <w:rStyle w:val="FootnoteReference"/>
          <w:rFonts w:ascii="Times New Roman" w:hAnsi="Times New Roman" w:cs="Times New Roman"/>
          <w:sz w:val="24"/>
          <w:szCs w:val="24"/>
          <w:lang w:val="en-US"/>
        </w:rPr>
        <w:footnoteReference w:id="168"/>
      </w:r>
      <w:r w:rsidRPr="002239BF">
        <w:rPr>
          <w:rFonts w:ascii="Times New Roman" w:hAnsi="Times New Roman" w:cs="Times New Roman"/>
          <w:sz w:val="24"/>
          <w:szCs w:val="24"/>
          <w:lang w:val="en-US"/>
        </w:rPr>
        <w:t xml:space="preserve"> </w:t>
      </w:r>
      <w:r w:rsidR="00F367C3" w:rsidRPr="002239BF">
        <w:rPr>
          <w:rFonts w:ascii="Times New Roman" w:hAnsi="Times New Roman" w:cs="Times New Roman"/>
          <w:sz w:val="24"/>
          <w:szCs w:val="24"/>
          <w:lang w:val="en-US"/>
        </w:rPr>
        <w:t>dispels</w:t>
      </w:r>
      <w:r w:rsidR="00AB0718" w:rsidRPr="002239BF">
        <w:rPr>
          <w:rFonts w:ascii="Times New Roman" w:hAnsi="Times New Roman" w:cs="Times New Roman"/>
          <w:sz w:val="24"/>
          <w:szCs w:val="24"/>
          <w:lang w:val="en-US"/>
        </w:rPr>
        <w:t xml:space="preserve"> </w:t>
      </w:r>
      <w:r w:rsidRPr="002239BF">
        <w:rPr>
          <w:rFonts w:ascii="Times New Roman" w:hAnsi="Times New Roman" w:cs="Times New Roman"/>
          <w:sz w:val="24"/>
          <w:szCs w:val="24"/>
          <w:lang w:val="en-US"/>
        </w:rPr>
        <w:t>this myth</w:t>
      </w:r>
      <w:r w:rsidR="003C7B57" w:rsidRPr="002239BF">
        <w:rPr>
          <w:rFonts w:ascii="Times New Roman" w:hAnsi="Times New Roman" w:cs="Times New Roman"/>
          <w:sz w:val="24"/>
          <w:szCs w:val="24"/>
          <w:lang w:val="en-US"/>
        </w:rPr>
        <w:t>,</w:t>
      </w:r>
      <w:r w:rsidRPr="002239BF">
        <w:rPr>
          <w:rFonts w:ascii="Times New Roman" w:hAnsi="Times New Roman" w:cs="Times New Roman"/>
          <w:sz w:val="24"/>
          <w:szCs w:val="24"/>
          <w:lang w:val="en-US"/>
        </w:rPr>
        <w:t xml:space="preserve"> with the sharpest drop in homeownership rates </w:t>
      </w:r>
      <w:r w:rsidR="00F7739E" w:rsidRPr="002239BF">
        <w:rPr>
          <w:rFonts w:ascii="Times New Roman" w:hAnsi="Times New Roman" w:cs="Times New Roman"/>
          <w:sz w:val="24"/>
          <w:szCs w:val="24"/>
          <w:lang w:val="en-US"/>
        </w:rPr>
        <w:t xml:space="preserve">being </w:t>
      </w:r>
      <w:r w:rsidRPr="002239BF">
        <w:rPr>
          <w:rFonts w:ascii="Times New Roman" w:hAnsi="Times New Roman" w:cs="Times New Roman"/>
          <w:sz w:val="24"/>
          <w:szCs w:val="24"/>
          <w:lang w:val="en-US"/>
        </w:rPr>
        <w:t xml:space="preserve">observed in the large urban centres outside of London. The greatest </w:t>
      </w:r>
      <w:r w:rsidR="00656B8E" w:rsidRPr="002239BF">
        <w:rPr>
          <w:rFonts w:ascii="Times New Roman" w:hAnsi="Times New Roman" w:cs="Times New Roman"/>
          <w:sz w:val="24"/>
          <w:szCs w:val="24"/>
          <w:lang w:val="en-US"/>
        </w:rPr>
        <w:t>decline</w:t>
      </w:r>
      <w:r w:rsidRPr="002239BF">
        <w:rPr>
          <w:rFonts w:ascii="Times New Roman" w:hAnsi="Times New Roman" w:cs="Times New Roman"/>
          <w:sz w:val="24"/>
          <w:szCs w:val="24"/>
          <w:lang w:val="en-US"/>
        </w:rPr>
        <w:t xml:space="preserve"> is seen in Greater Manchester where homeownership has slumped from 72.4</w:t>
      </w:r>
      <w:r w:rsidR="003C7B57"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in April 2003 to 57.9</w:t>
      </w:r>
      <w:r w:rsidR="003C7B57"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in February 2016</w:t>
      </w:r>
      <w:r w:rsidR="00F7739E" w:rsidRPr="002239BF">
        <w:rPr>
          <w:rFonts w:ascii="Times New Roman" w:hAnsi="Times New Roman" w:cs="Times New Roman"/>
          <w:sz w:val="24"/>
          <w:szCs w:val="24"/>
          <w:lang w:val="en-US"/>
        </w:rPr>
        <w:t>,</w:t>
      </w:r>
      <w:r w:rsidRPr="002239BF">
        <w:rPr>
          <w:rFonts w:ascii="Times New Roman" w:hAnsi="Times New Roman" w:cs="Times New Roman"/>
          <w:sz w:val="24"/>
          <w:szCs w:val="24"/>
          <w:lang w:val="en-US"/>
        </w:rPr>
        <w:t xml:space="preserve"> with private renting in the city almost trebling over this same period.</w:t>
      </w:r>
      <w:r w:rsidR="00DA0248" w:rsidRPr="002239BF">
        <w:rPr>
          <w:rStyle w:val="FootnoteReference"/>
          <w:rFonts w:ascii="Times New Roman" w:hAnsi="Times New Roman" w:cs="Times New Roman"/>
          <w:sz w:val="24"/>
          <w:szCs w:val="24"/>
          <w:lang w:val="en-US"/>
        </w:rPr>
        <w:footnoteReference w:id="169"/>
      </w:r>
      <w:r w:rsidRPr="002239BF">
        <w:rPr>
          <w:rFonts w:ascii="Times New Roman" w:hAnsi="Times New Roman" w:cs="Times New Roman"/>
          <w:sz w:val="24"/>
          <w:szCs w:val="24"/>
          <w:lang w:val="en-US"/>
        </w:rPr>
        <w:t xml:space="preserve"> Any suggestion that Britons are simply turning to the private rented sector in preference to owning a home is</w:t>
      </w:r>
      <w:r w:rsidR="00656B8E" w:rsidRPr="002239BF">
        <w:rPr>
          <w:rFonts w:ascii="Times New Roman" w:hAnsi="Times New Roman" w:cs="Times New Roman"/>
          <w:sz w:val="24"/>
          <w:szCs w:val="24"/>
          <w:lang w:val="en-US"/>
        </w:rPr>
        <w:t xml:space="preserve"> also</w:t>
      </w:r>
      <w:r w:rsidRPr="002239BF">
        <w:rPr>
          <w:rFonts w:ascii="Times New Roman" w:hAnsi="Times New Roman" w:cs="Times New Roman"/>
          <w:sz w:val="24"/>
          <w:szCs w:val="24"/>
          <w:lang w:val="en-US"/>
        </w:rPr>
        <w:t xml:space="preserve"> untenable. According to the English Housing Survey’s </w:t>
      </w:r>
      <w:r w:rsidRPr="002239BF">
        <w:rPr>
          <w:rFonts w:ascii="Times New Roman" w:hAnsi="Times New Roman" w:cs="Times New Roman"/>
          <w:i/>
          <w:sz w:val="24"/>
          <w:szCs w:val="24"/>
          <w:lang w:val="en-US"/>
        </w:rPr>
        <w:t>First Time Buyers Report 2014-15</w:t>
      </w:r>
      <w:r w:rsidRPr="002239BF">
        <w:rPr>
          <w:rFonts w:ascii="Times New Roman" w:hAnsi="Times New Roman" w:cs="Times New Roman"/>
          <w:sz w:val="24"/>
          <w:szCs w:val="24"/>
          <w:lang w:val="en-US"/>
        </w:rPr>
        <w:t>,</w:t>
      </w:r>
      <w:r w:rsidRPr="002239BF">
        <w:rPr>
          <w:rStyle w:val="FootnoteReference"/>
          <w:rFonts w:ascii="Times New Roman" w:hAnsi="Times New Roman" w:cs="Times New Roman"/>
          <w:sz w:val="24"/>
          <w:szCs w:val="24"/>
          <w:lang w:val="en-US"/>
        </w:rPr>
        <w:footnoteReference w:id="170"/>
      </w:r>
      <w:r w:rsidRPr="002239BF">
        <w:rPr>
          <w:rFonts w:ascii="Times New Roman" w:hAnsi="Times New Roman" w:cs="Times New Roman"/>
          <w:sz w:val="24"/>
          <w:szCs w:val="24"/>
          <w:lang w:val="en-US"/>
        </w:rPr>
        <w:t xml:space="preserve"> the desire and expectation of private renters to buy a home has remained largely </w:t>
      </w:r>
      <w:r w:rsidR="00656B8E" w:rsidRPr="002239BF">
        <w:rPr>
          <w:rFonts w:ascii="Times New Roman" w:hAnsi="Times New Roman" w:cs="Times New Roman"/>
          <w:sz w:val="24"/>
          <w:szCs w:val="24"/>
          <w:lang w:val="en-US"/>
        </w:rPr>
        <w:t>unchanged</w:t>
      </w:r>
      <w:r w:rsidRPr="002239BF">
        <w:rPr>
          <w:rFonts w:ascii="Times New Roman" w:hAnsi="Times New Roman" w:cs="Times New Roman"/>
          <w:sz w:val="24"/>
          <w:szCs w:val="24"/>
          <w:lang w:val="en-US"/>
        </w:rPr>
        <w:t xml:space="preserve"> since the mid 2000s. In 2014-15, 57</w:t>
      </w:r>
      <w:r w:rsidR="003C7B57"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of private renters said they expected to buy a home. Of those not expecting to become homeowners, 9</w:t>
      </w:r>
      <w:r w:rsidR="003C7B57"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said this was because they were happy privately renting with only 2.5</w:t>
      </w:r>
      <w:r w:rsidR="003C7B57"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expressing a preference for the flexibility of renting. </w:t>
      </w:r>
      <w:r w:rsidR="003C7B57" w:rsidRPr="002239BF">
        <w:rPr>
          <w:rFonts w:ascii="Times New Roman" w:hAnsi="Times New Roman" w:cs="Times New Roman"/>
          <w:sz w:val="24"/>
          <w:szCs w:val="24"/>
          <w:lang w:val="en-US"/>
        </w:rPr>
        <w:t xml:space="preserve">Sixty-five per cent </w:t>
      </w:r>
      <w:r w:rsidRPr="002239BF">
        <w:rPr>
          <w:rFonts w:ascii="Times New Roman" w:hAnsi="Times New Roman" w:cs="Times New Roman"/>
          <w:sz w:val="24"/>
          <w:szCs w:val="24"/>
          <w:lang w:val="en-US"/>
        </w:rPr>
        <w:t>of those not expecting to be able to buy their own home said this was as a result of lack of affordability.</w:t>
      </w:r>
    </w:p>
    <w:p w14:paraId="67227558" w14:textId="77777777" w:rsidR="00B711A5" w:rsidRPr="002239BF" w:rsidRDefault="00B711A5" w:rsidP="00733DF3">
      <w:pPr>
        <w:spacing w:after="0" w:line="480" w:lineRule="auto"/>
        <w:rPr>
          <w:rFonts w:ascii="Times New Roman" w:hAnsi="Times New Roman" w:cs="Times New Roman"/>
          <w:sz w:val="24"/>
          <w:szCs w:val="24"/>
          <w:lang w:val="en-US"/>
        </w:rPr>
      </w:pPr>
    </w:p>
    <w:p w14:paraId="08F9ECF3" w14:textId="550B2D70" w:rsidR="00BA3378" w:rsidRPr="002239BF" w:rsidRDefault="00B711A5" w:rsidP="00BA3378">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Recent studies reveal that owning a home is now more out of reach than ever. Thus, the average age of a first time buyer has increased from 30 in 1995 to 33 in 2015; nearly three-quarters of first time buyers today come from the fourth and fifth quintile income bands and, almost a third can now only fund housing deposits with assistance from friends and family.</w:t>
      </w:r>
      <w:r w:rsidRPr="002239BF">
        <w:rPr>
          <w:rStyle w:val="FootnoteReference"/>
          <w:rFonts w:ascii="Times New Roman" w:hAnsi="Times New Roman" w:cs="Times New Roman"/>
          <w:sz w:val="24"/>
          <w:szCs w:val="24"/>
          <w:lang w:val="en-US"/>
        </w:rPr>
        <w:footnoteReference w:id="171"/>
      </w:r>
      <w:r w:rsidRPr="002239BF">
        <w:rPr>
          <w:rFonts w:ascii="Times New Roman" w:hAnsi="Times New Roman" w:cs="Times New Roman"/>
          <w:sz w:val="24"/>
          <w:szCs w:val="24"/>
          <w:lang w:val="en-US"/>
        </w:rPr>
        <w:t xml:space="preserve"> The average first time home is now 5.1 times the average earnings,</w:t>
      </w:r>
      <w:r w:rsidRPr="002239BF">
        <w:rPr>
          <w:rStyle w:val="FootnoteReference"/>
          <w:rFonts w:ascii="Times New Roman" w:hAnsi="Times New Roman" w:cs="Times New Roman"/>
          <w:sz w:val="24"/>
          <w:szCs w:val="24"/>
          <w:lang w:val="en-US"/>
        </w:rPr>
        <w:footnoteReference w:id="172"/>
      </w:r>
      <w:r w:rsidRPr="002239BF">
        <w:rPr>
          <w:rFonts w:ascii="Times New Roman" w:hAnsi="Times New Roman" w:cs="Times New Roman"/>
          <w:sz w:val="24"/>
          <w:szCs w:val="24"/>
          <w:lang w:val="en-US"/>
        </w:rPr>
        <w:t xml:space="preserve"> and almost 9 out of 10 renters are unable to accumulate even enough money to cover a 5</w:t>
      </w:r>
      <w:r w:rsidR="003E560C" w:rsidRPr="002239BF">
        <w:rPr>
          <w:rFonts w:ascii="Times New Roman" w:hAnsi="Times New Roman" w:cs="Times New Roman"/>
          <w:sz w:val="24"/>
          <w:szCs w:val="24"/>
          <w:lang w:val="en-US"/>
        </w:rPr>
        <w:t xml:space="preserve"> per cent</w:t>
      </w:r>
      <w:r w:rsidRPr="002239BF">
        <w:rPr>
          <w:rFonts w:ascii="Times New Roman" w:hAnsi="Times New Roman" w:cs="Times New Roman"/>
          <w:sz w:val="24"/>
          <w:szCs w:val="24"/>
          <w:lang w:val="en-US"/>
        </w:rPr>
        <w:t xml:space="preserve"> deposit on an average home purchase in Britain.</w:t>
      </w:r>
      <w:r w:rsidRPr="002239BF">
        <w:rPr>
          <w:rStyle w:val="FootnoteReference"/>
          <w:rFonts w:ascii="Times New Roman" w:hAnsi="Times New Roman" w:cs="Times New Roman"/>
          <w:sz w:val="24"/>
          <w:szCs w:val="24"/>
          <w:lang w:val="en-US"/>
        </w:rPr>
        <w:footnoteReference w:id="173"/>
      </w:r>
      <w:r w:rsidRPr="002239BF">
        <w:rPr>
          <w:rFonts w:ascii="Times New Roman" w:hAnsi="Times New Roman" w:cs="Times New Roman"/>
          <w:sz w:val="24"/>
          <w:szCs w:val="24"/>
          <w:lang w:val="en-US"/>
        </w:rPr>
        <w:t xml:space="preserve"> The result is that the vast majority of those renting are locked out of owning a home. </w:t>
      </w:r>
      <w:r w:rsidR="0055216A" w:rsidRPr="002239BF">
        <w:rPr>
          <w:rFonts w:ascii="Times New Roman" w:hAnsi="Times New Roman" w:cs="Times New Roman"/>
          <w:sz w:val="24"/>
          <w:szCs w:val="24"/>
          <w:lang w:val="en-US"/>
        </w:rPr>
        <w:t>The 2016 Act</w:t>
      </w:r>
      <w:r w:rsidR="00A840CA" w:rsidRPr="002239BF">
        <w:rPr>
          <w:rFonts w:ascii="Times New Roman" w:hAnsi="Times New Roman" w:cs="Times New Roman"/>
          <w:sz w:val="24"/>
          <w:szCs w:val="24"/>
          <w:lang w:val="en-US"/>
        </w:rPr>
        <w:t>,</w:t>
      </w:r>
      <w:r w:rsidR="0055216A" w:rsidRPr="002239BF">
        <w:rPr>
          <w:rFonts w:ascii="Times New Roman" w:hAnsi="Times New Roman" w:cs="Times New Roman"/>
          <w:sz w:val="24"/>
          <w:szCs w:val="24"/>
          <w:lang w:val="en-US"/>
        </w:rPr>
        <w:t xml:space="preserve"> with p</w:t>
      </w:r>
      <w:r w:rsidRPr="002239BF">
        <w:rPr>
          <w:rFonts w:ascii="Times New Roman" w:hAnsi="Times New Roman" w:cs="Times New Roman"/>
          <w:sz w:val="24"/>
          <w:szCs w:val="24"/>
          <w:lang w:val="en-US"/>
        </w:rPr>
        <w:t xml:space="preserve">olicies targeted at increasing homeownership without </w:t>
      </w:r>
      <w:r w:rsidR="0055216A" w:rsidRPr="002239BF">
        <w:rPr>
          <w:rFonts w:ascii="Times New Roman" w:hAnsi="Times New Roman" w:cs="Times New Roman"/>
          <w:sz w:val="24"/>
          <w:szCs w:val="24"/>
          <w:lang w:val="en-US"/>
        </w:rPr>
        <w:t xml:space="preserve">measures </w:t>
      </w:r>
      <w:r w:rsidR="00DC6E99" w:rsidRPr="002239BF">
        <w:rPr>
          <w:rFonts w:ascii="Times New Roman" w:hAnsi="Times New Roman" w:cs="Times New Roman"/>
          <w:sz w:val="24"/>
          <w:szCs w:val="24"/>
          <w:lang w:val="en-US"/>
        </w:rPr>
        <w:t>to tackle</w:t>
      </w:r>
      <w:r w:rsidRPr="002239BF">
        <w:rPr>
          <w:rFonts w:ascii="Times New Roman" w:hAnsi="Times New Roman" w:cs="Times New Roman"/>
          <w:sz w:val="24"/>
          <w:szCs w:val="24"/>
          <w:lang w:val="en-US"/>
        </w:rPr>
        <w:t xml:space="preserve"> these clear barriers</w:t>
      </w:r>
      <w:r w:rsidR="00DC6E99" w:rsidRPr="002239BF">
        <w:rPr>
          <w:rFonts w:ascii="Times New Roman" w:hAnsi="Times New Roman" w:cs="Times New Roman"/>
          <w:sz w:val="24"/>
          <w:szCs w:val="24"/>
          <w:lang w:val="en-US"/>
        </w:rPr>
        <w:t xml:space="preserve"> to ownership</w:t>
      </w:r>
      <w:r w:rsidRPr="002239BF">
        <w:rPr>
          <w:rFonts w:ascii="Times New Roman" w:hAnsi="Times New Roman" w:cs="Times New Roman"/>
          <w:sz w:val="24"/>
          <w:szCs w:val="24"/>
          <w:lang w:val="en-US"/>
        </w:rPr>
        <w:t>, serve</w:t>
      </w:r>
      <w:r w:rsidR="00DC6E99" w:rsidRPr="002239BF">
        <w:rPr>
          <w:rFonts w:ascii="Times New Roman" w:hAnsi="Times New Roman" w:cs="Times New Roman"/>
          <w:sz w:val="24"/>
          <w:szCs w:val="24"/>
          <w:lang w:val="en-US"/>
        </w:rPr>
        <w:t>s</w:t>
      </w:r>
      <w:r w:rsidRPr="002239BF">
        <w:rPr>
          <w:rFonts w:ascii="Times New Roman" w:hAnsi="Times New Roman" w:cs="Times New Roman"/>
          <w:sz w:val="24"/>
          <w:szCs w:val="24"/>
          <w:lang w:val="en-US"/>
        </w:rPr>
        <w:t xml:space="preserve"> to further entrench inequality by sustaining a tenure which is increasingly only accessible to the richest members of society. </w:t>
      </w:r>
      <w:r w:rsidR="00BA3378" w:rsidRPr="002239BF">
        <w:rPr>
          <w:rFonts w:ascii="Times New Roman" w:hAnsi="Times New Roman" w:cs="Times New Roman"/>
          <w:sz w:val="24"/>
          <w:szCs w:val="24"/>
          <w:lang w:val="en-US"/>
        </w:rPr>
        <w:t>Whilst the private rented sector falls outside the scope of this article, there are important questions to be asked as to the inter-relationship between the growing and insecure private rented</w:t>
      </w:r>
      <w:r w:rsidR="008467EA" w:rsidRPr="002239BF">
        <w:rPr>
          <w:rFonts w:ascii="Times New Roman" w:hAnsi="Times New Roman" w:cs="Times New Roman"/>
          <w:sz w:val="24"/>
          <w:szCs w:val="24"/>
          <w:lang w:val="en-US"/>
        </w:rPr>
        <w:t xml:space="preserve"> market</w:t>
      </w:r>
      <w:r w:rsidR="00BA3378" w:rsidRPr="002239BF">
        <w:rPr>
          <w:rFonts w:ascii="Times New Roman" w:hAnsi="Times New Roman" w:cs="Times New Roman"/>
          <w:sz w:val="24"/>
          <w:szCs w:val="24"/>
          <w:lang w:val="en-US"/>
        </w:rPr>
        <w:t xml:space="preserve"> and the realization of the homeownership ‘dream.’ </w:t>
      </w:r>
    </w:p>
    <w:p w14:paraId="7703D901" w14:textId="77777777" w:rsidR="00BA3378" w:rsidRPr="002239BF" w:rsidRDefault="00BA3378" w:rsidP="00BA3378">
      <w:pPr>
        <w:spacing w:after="0" w:line="480" w:lineRule="auto"/>
        <w:rPr>
          <w:rFonts w:ascii="Times New Roman" w:hAnsi="Times New Roman" w:cs="Times New Roman"/>
          <w:sz w:val="24"/>
          <w:szCs w:val="24"/>
          <w:lang w:val="en-US"/>
        </w:rPr>
      </w:pPr>
    </w:p>
    <w:p w14:paraId="2FFC98D2" w14:textId="7D9DBC81" w:rsidR="00B711A5" w:rsidRPr="002239BF" w:rsidRDefault="00BA3378" w:rsidP="00BA3378">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 xml:space="preserve">The 2016 Act stirs clear echoes </w:t>
      </w:r>
      <w:r w:rsidR="00B711A5" w:rsidRPr="002239BF">
        <w:rPr>
          <w:rFonts w:ascii="Times New Roman" w:hAnsi="Times New Roman" w:cs="Times New Roman"/>
          <w:sz w:val="24"/>
          <w:szCs w:val="24"/>
          <w:lang w:val="en-US"/>
        </w:rPr>
        <w:t>with the housing policies of the Thatcher years</w:t>
      </w:r>
      <w:r w:rsidR="00A840CA" w:rsidRPr="002239BF">
        <w:rPr>
          <w:rFonts w:ascii="Times New Roman" w:hAnsi="Times New Roman" w:cs="Times New Roman"/>
          <w:sz w:val="24"/>
          <w:szCs w:val="24"/>
          <w:lang w:val="en-US"/>
        </w:rPr>
        <w:t>,</w:t>
      </w:r>
      <w:r w:rsidR="00B711A5" w:rsidRPr="002239BF">
        <w:rPr>
          <w:rFonts w:ascii="Times New Roman" w:hAnsi="Times New Roman" w:cs="Times New Roman"/>
          <w:sz w:val="24"/>
          <w:szCs w:val="24"/>
          <w:lang w:val="en-US"/>
        </w:rPr>
        <w:t xml:space="preserve"> during which time localism might be described </w:t>
      </w:r>
      <w:r w:rsidR="00182203" w:rsidRPr="002239BF">
        <w:rPr>
          <w:rFonts w:ascii="Times New Roman" w:hAnsi="Times New Roman" w:cs="Times New Roman"/>
          <w:sz w:val="24"/>
          <w:szCs w:val="24"/>
          <w:lang w:val="en-US"/>
        </w:rPr>
        <w:t xml:space="preserve">as </w:t>
      </w:r>
      <w:r w:rsidR="00485E5B" w:rsidRPr="002239BF">
        <w:rPr>
          <w:rFonts w:ascii="Times New Roman" w:hAnsi="Times New Roman" w:cs="Times New Roman"/>
          <w:sz w:val="24"/>
          <w:szCs w:val="24"/>
          <w:lang w:val="en-US"/>
        </w:rPr>
        <w:t>having exhibited the same ‘individualistic’ quality we see today.</w:t>
      </w:r>
      <w:r w:rsidR="00B711A5" w:rsidRPr="002239BF">
        <w:rPr>
          <w:rFonts w:ascii="Times New Roman" w:hAnsi="Times New Roman" w:cs="Times New Roman"/>
          <w:sz w:val="24"/>
          <w:szCs w:val="24"/>
          <w:lang w:val="en-US"/>
        </w:rPr>
        <w:t xml:space="preserve"> </w:t>
      </w:r>
      <w:r w:rsidR="002B1FE1" w:rsidRPr="002239BF">
        <w:rPr>
          <w:rFonts w:ascii="Times New Roman" w:hAnsi="Times New Roman" w:cs="Times New Roman"/>
          <w:sz w:val="24"/>
          <w:szCs w:val="24"/>
          <w:lang w:val="en-US"/>
        </w:rPr>
        <w:t xml:space="preserve">In parallel with the </w:t>
      </w:r>
      <w:r w:rsidR="00DF65D9" w:rsidRPr="002239BF">
        <w:rPr>
          <w:rFonts w:ascii="Times New Roman" w:hAnsi="Times New Roman" w:cs="Times New Roman"/>
          <w:sz w:val="24"/>
          <w:szCs w:val="24"/>
          <w:lang w:val="en-US"/>
        </w:rPr>
        <w:t>current</w:t>
      </w:r>
      <w:r w:rsidR="00B711A5" w:rsidRPr="002239BF">
        <w:rPr>
          <w:rFonts w:ascii="Times New Roman" w:hAnsi="Times New Roman" w:cs="Times New Roman"/>
          <w:sz w:val="24"/>
          <w:szCs w:val="24"/>
          <w:lang w:val="en-US"/>
        </w:rPr>
        <w:t xml:space="preserve"> housing narrative, during the Thatcher Years, governmental intervention </w:t>
      </w:r>
      <w:r w:rsidR="00714399" w:rsidRPr="002239BF">
        <w:rPr>
          <w:rFonts w:ascii="Times New Roman" w:hAnsi="Times New Roman" w:cs="Times New Roman"/>
          <w:sz w:val="24"/>
          <w:szCs w:val="24"/>
          <w:lang w:val="en-US"/>
        </w:rPr>
        <w:t xml:space="preserve">in housing </w:t>
      </w:r>
      <w:r w:rsidR="00B711A5" w:rsidRPr="002239BF">
        <w:rPr>
          <w:rFonts w:ascii="Times New Roman" w:hAnsi="Times New Roman" w:cs="Times New Roman"/>
          <w:sz w:val="24"/>
          <w:szCs w:val="24"/>
          <w:lang w:val="en-US"/>
        </w:rPr>
        <w:t xml:space="preserve">was portrayed </w:t>
      </w:r>
      <w:r w:rsidR="00714399" w:rsidRPr="002239BF">
        <w:rPr>
          <w:rFonts w:ascii="Times New Roman" w:hAnsi="Times New Roman" w:cs="Times New Roman"/>
          <w:sz w:val="24"/>
          <w:szCs w:val="24"/>
          <w:lang w:val="en-US"/>
        </w:rPr>
        <w:t xml:space="preserve">by those in power </w:t>
      </w:r>
      <w:r w:rsidR="00B711A5" w:rsidRPr="002239BF">
        <w:rPr>
          <w:rFonts w:ascii="Times New Roman" w:hAnsi="Times New Roman" w:cs="Times New Roman"/>
          <w:sz w:val="24"/>
          <w:szCs w:val="24"/>
          <w:lang w:val="en-US"/>
        </w:rPr>
        <w:t>as the cause of social problems rather than the solution</w:t>
      </w:r>
      <w:r w:rsidR="00B711A5" w:rsidRPr="002239BF">
        <w:rPr>
          <w:rStyle w:val="FootnoteReference"/>
          <w:rFonts w:ascii="Times New Roman" w:hAnsi="Times New Roman" w:cs="Times New Roman"/>
          <w:sz w:val="24"/>
          <w:szCs w:val="24"/>
          <w:lang w:val="en-US"/>
        </w:rPr>
        <w:footnoteReference w:id="174"/>
      </w:r>
      <w:r w:rsidR="00B711A5" w:rsidRPr="002239BF">
        <w:rPr>
          <w:rFonts w:ascii="Times New Roman" w:hAnsi="Times New Roman" w:cs="Times New Roman"/>
          <w:sz w:val="24"/>
          <w:szCs w:val="24"/>
          <w:lang w:val="en-US"/>
        </w:rPr>
        <w:t xml:space="preserve"> and social housing was presented as dysfunctional and as reinforcing benefit dependency.</w:t>
      </w:r>
      <w:r w:rsidR="00B711A5" w:rsidRPr="002239BF">
        <w:rPr>
          <w:rStyle w:val="FootnoteReference"/>
          <w:rFonts w:ascii="Times New Roman" w:hAnsi="Times New Roman" w:cs="Times New Roman"/>
          <w:sz w:val="24"/>
          <w:szCs w:val="24"/>
          <w:lang w:val="en-US"/>
        </w:rPr>
        <w:footnoteReference w:id="175"/>
      </w:r>
      <w:r w:rsidR="00B711A5" w:rsidRPr="002239BF">
        <w:rPr>
          <w:rFonts w:ascii="Times New Roman" w:hAnsi="Times New Roman" w:cs="Times New Roman"/>
          <w:sz w:val="24"/>
          <w:szCs w:val="24"/>
          <w:lang w:val="en-US"/>
        </w:rPr>
        <w:t xml:space="preserve"> The </w:t>
      </w:r>
      <w:r w:rsidR="003E560C" w:rsidRPr="002239BF">
        <w:rPr>
          <w:rFonts w:ascii="Times New Roman" w:hAnsi="Times New Roman" w:cs="Times New Roman"/>
          <w:sz w:val="24"/>
          <w:szCs w:val="24"/>
          <w:lang w:val="en-US"/>
        </w:rPr>
        <w:t>r</w:t>
      </w:r>
      <w:r w:rsidR="00B711A5" w:rsidRPr="002239BF">
        <w:rPr>
          <w:rFonts w:ascii="Times New Roman" w:hAnsi="Times New Roman" w:cs="Times New Roman"/>
          <w:sz w:val="24"/>
          <w:szCs w:val="24"/>
          <w:lang w:val="en-US"/>
        </w:rPr>
        <w:t xml:space="preserve">ight to </w:t>
      </w:r>
      <w:r w:rsidR="003E560C" w:rsidRPr="002239BF">
        <w:rPr>
          <w:rFonts w:ascii="Times New Roman" w:hAnsi="Times New Roman" w:cs="Times New Roman"/>
          <w:sz w:val="24"/>
          <w:szCs w:val="24"/>
          <w:lang w:val="en-US"/>
        </w:rPr>
        <w:t>b</w:t>
      </w:r>
      <w:r w:rsidR="00B711A5" w:rsidRPr="002239BF">
        <w:rPr>
          <w:rFonts w:ascii="Times New Roman" w:hAnsi="Times New Roman" w:cs="Times New Roman"/>
          <w:sz w:val="24"/>
          <w:szCs w:val="24"/>
          <w:lang w:val="en-US"/>
        </w:rPr>
        <w:t>uy was introduce</w:t>
      </w:r>
      <w:r w:rsidR="00021208" w:rsidRPr="002239BF">
        <w:rPr>
          <w:rFonts w:ascii="Times New Roman" w:hAnsi="Times New Roman" w:cs="Times New Roman"/>
          <w:sz w:val="24"/>
          <w:szCs w:val="24"/>
          <w:lang w:val="en-US"/>
        </w:rPr>
        <w:t xml:space="preserve">d in the 1980s to </w:t>
      </w:r>
      <w:r w:rsidR="00B711A5" w:rsidRPr="002239BF">
        <w:rPr>
          <w:rFonts w:ascii="Times New Roman" w:hAnsi="Times New Roman" w:cs="Times New Roman"/>
          <w:sz w:val="24"/>
          <w:szCs w:val="24"/>
          <w:lang w:val="en-US"/>
        </w:rPr>
        <w:t>liberate lo</w:t>
      </w:r>
      <w:r w:rsidR="00021208" w:rsidRPr="002239BF">
        <w:rPr>
          <w:rFonts w:ascii="Times New Roman" w:hAnsi="Times New Roman" w:cs="Times New Roman"/>
          <w:sz w:val="24"/>
          <w:szCs w:val="24"/>
          <w:lang w:val="en-US"/>
        </w:rPr>
        <w:t>cal authority tenants from the ‘</w:t>
      </w:r>
      <w:r w:rsidR="00B711A5" w:rsidRPr="002239BF">
        <w:rPr>
          <w:rFonts w:ascii="Times New Roman" w:hAnsi="Times New Roman" w:cs="Times New Roman"/>
          <w:sz w:val="24"/>
          <w:szCs w:val="24"/>
          <w:lang w:val="en-US"/>
        </w:rPr>
        <w:t>serfdom</w:t>
      </w:r>
      <w:r w:rsidR="008B2B54" w:rsidRPr="002239BF">
        <w:rPr>
          <w:rFonts w:ascii="Times New Roman" w:hAnsi="Times New Roman" w:cs="Times New Roman"/>
          <w:sz w:val="24"/>
          <w:szCs w:val="24"/>
          <w:lang w:val="en-US"/>
        </w:rPr>
        <w:t>’ of renting to become part of the</w:t>
      </w:r>
      <w:r w:rsidR="00CD1250" w:rsidRPr="002239BF">
        <w:rPr>
          <w:rFonts w:ascii="Times New Roman" w:hAnsi="Times New Roman" w:cs="Times New Roman"/>
          <w:sz w:val="24"/>
          <w:szCs w:val="24"/>
          <w:lang w:val="en-US"/>
        </w:rPr>
        <w:t xml:space="preserve"> much</w:t>
      </w:r>
      <w:r w:rsidR="00B149EA" w:rsidRPr="002239BF">
        <w:rPr>
          <w:rFonts w:ascii="Times New Roman" w:hAnsi="Times New Roman" w:cs="Times New Roman"/>
          <w:sz w:val="24"/>
          <w:szCs w:val="24"/>
          <w:lang w:val="en-US"/>
        </w:rPr>
        <w:t>-</w:t>
      </w:r>
      <w:r w:rsidR="00CD1250" w:rsidRPr="002239BF">
        <w:rPr>
          <w:rFonts w:ascii="Times New Roman" w:hAnsi="Times New Roman" w:cs="Times New Roman"/>
          <w:sz w:val="24"/>
          <w:szCs w:val="24"/>
          <w:lang w:val="en-US"/>
        </w:rPr>
        <w:t>vaunted</w:t>
      </w:r>
      <w:r w:rsidR="00B711A5" w:rsidRPr="002239BF">
        <w:rPr>
          <w:rFonts w:ascii="Times New Roman" w:hAnsi="Times New Roman" w:cs="Times New Roman"/>
          <w:sz w:val="24"/>
          <w:szCs w:val="24"/>
          <w:lang w:val="en-US"/>
        </w:rPr>
        <w:t xml:space="preserve"> ‘property owning democracy.’</w:t>
      </w:r>
      <w:r w:rsidR="00B711A5" w:rsidRPr="002239BF">
        <w:rPr>
          <w:rStyle w:val="FootnoteReference"/>
          <w:rFonts w:ascii="Times New Roman" w:hAnsi="Times New Roman" w:cs="Times New Roman"/>
          <w:sz w:val="24"/>
          <w:szCs w:val="24"/>
          <w:lang w:val="en-US"/>
        </w:rPr>
        <w:footnoteReference w:id="176"/>
      </w:r>
      <w:r w:rsidR="00B711A5" w:rsidRPr="002239BF">
        <w:rPr>
          <w:rFonts w:ascii="Times New Roman" w:hAnsi="Times New Roman" w:cs="Times New Roman"/>
          <w:sz w:val="24"/>
          <w:szCs w:val="24"/>
          <w:lang w:val="en-US"/>
        </w:rPr>
        <w:t xml:space="preserve"> </w:t>
      </w:r>
      <w:r w:rsidR="00BB54C2" w:rsidRPr="002239BF">
        <w:rPr>
          <w:rFonts w:ascii="Times New Roman" w:hAnsi="Times New Roman" w:cs="Times New Roman"/>
          <w:sz w:val="24"/>
          <w:szCs w:val="24"/>
          <w:lang w:val="en-US"/>
        </w:rPr>
        <w:t>As we have seen, s</w:t>
      </w:r>
      <w:r w:rsidR="00C36183" w:rsidRPr="002239BF">
        <w:rPr>
          <w:rFonts w:ascii="Times New Roman" w:hAnsi="Times New Roman" w:cs="Times New Roman"/>
          <w:sz w:val="24"/>
          <w:szCs w:val="24"/>
          <w:lang w:val="en-US"/>
        </w:rPr>
        <w:t>ocial</w:t>
      </w:r>
      <w:r w:rsidR="00B711A5" w:rsidRPr="002239BF">
        <w:rPr>
          <w:rFonts w:ascii="Times New Roman" w:hAnsi="Times New Roman" w:cs="Times New Roman"/>
          <w:sz w:val="24"/>
          <w:szCs w:val="24"/>
          <w:lang w:val="en-US"/>
        </w:rPr>
        <w:t xml:space="preserve"> housing is </w:t>
      </w:r>
      <w:r w:rsidR="00C36183" w:rsidRPr="002239BF">
        <w:rPr>
          <w:rFonts w:ascii="Times New Roman" w:hAnsi="Times New Roman" w:cs="Times New Roman"/>
          <w:sz w:val="24"/>
          <w:szCs w:val="24"/>
          <w:lang w:val="en-US"/>
        </w:rPr>
        <w:t xml:space="preserve">again </w:t>
      </w:r>
      <w:r w:rsidR="00B711A5" w:rsidRPr="002239BF">
        <w:rPr>
          <w:rFonts w:ascii="Times New Roman" w:hAnsi="Times New Roman" w:cs="Times New Roman"/>
          <w:sz w:val="24"/>
          <w:szCs w:val="24"/>
          <w:lang w:val="en-US"/>
        </w:rPr>
        <w:t>u</w:t>
      </w:r>
      <w:r w:rsidR="00D1795C" w:rsidRPr="002239BF">
        <w:rPr>
          <w:rFonts w:ascii="Times New Roman" w:hAnsi="Times New Roman" w:cs="Times New Roman"/>
          <w:sz w:val="24"/>
          <w:szCs w:val="24"/>
          <w:lang w:val="en-US"/>
        </w:rPr>
        <w:t xml:space="preserve">nder assault from the 2016 Act and </w:t>
      </w:r>
      <w:r w:rsidR="00B711A5" w:rsidRPr="002239BF">
        <w:rPr>
          <w:rFonts w:ascii="Times New Roman" w:hAnsi="Times New Roman" w:cs="Times New Roman"/>
          <w:sz w:val="24"/>
          <w:szCs w:val="24"/>
          <w:lang w:val="en-US"/>
        </w:rPr>
        <w:t xml:space="preserve">we might </w:t>
      </w:r>
      <w:r w:rsidR="004A5407" w:rsidRPr="002239BF">
        <w:rPr>
          <w:rFonts w:ascii="Times New Roman" w:hAnsi="Times New Roman" w:cs="Times New Roman"/>
          <w:sz w:val="24"/>
          <w:szCs w:val="24"/>
          <w:lang w:val="en-US"/>
        </w:rPr>
        <w:t xml:space="preserve">therefore </w:t>
      </w:r>
      <w:r w:rsidR="00B711A5" w:rsidRPr="002239BF">
        <w:rPr>
          <w:rFonts w:ascii="Times New Roman" w:hAnsi="Times New Roman" w:cs="Times New Roman"/>
          <w:sz w:val="24"/>
          <w:szCs w:val="24"/>
          <w:lang w:val="en-US"/>
        </w:rPr>
        <w:t xml:space="preserve">construe the </w:t>
      </w:r>
      <w:r w:rsidR="00D1795C" w:rsidRPr="002239BF">
        <w:rPr>
          <w:rFonts w:ascii="Times New Roman" w:hAnsi="Times New Roman" w:cs="Times New Roman"/>
          <w:sz w:val="24"/>
          <w:szCs w:val="24"/>
          <w:lang w:val="en-US"/>
        </w:rPr>
        <w:t>2016</w:t>
      </w:r>
      <w:r w:rsidR="00B711A5" w:rsidRPr="002239BF">
        <w:rPr>
          <w:rFonts w:ascii="Times New Roman" w:hAnsi="Times New Roman" w:cs="Times New Roman"/>
          <w:sz w:val="24"/>
          <w:szCs w:val="24"/>
          <w:lang w:val="en-US"/>
        </w:rPr>
        <w:t xml:space="preserve"> legislation as completing the circle on Thatcher’s neoliberal, conservative housing project. Fixating on the rhetoric of increasing homeownership</w:t>
      </w:r>
      <w:r w:rsidR="004A5407" w:rsidRPr="002239BF">
        <w:rPr>
          <w:rFonts w:ascii="Times New Roman" w:hAnsi="Times New Roman" w:cs="Times New Roman"/>
          <w:sz w:val="24"/>
          <w:szCs w:val="24"/>
          <w:lang w:val="en-US"/>
        </w:rPr>
        <w:t>,</w:t>
      </w:r>
      <w:r w:rsidR="00B711A5" w:rsidRPr="002239BF">
        <w:rPr>
          <w:rFonts w:ascii="Times New Roman" w:hAnsi="Times New Roman" w:cs="Times New Roman"/>
          <w:sz w:val="24"/>
          <w:szCs w:val="24"/>
          <w:lang w:val="en-US"/>
        </w:rPr>
        <w:t xml:space="preserve"> without a mass house-building </w:t>
      </w:r>
      <w:r w:rsidR="00040394" w:rsidRPr="002239BF">
        <w:rPr>
          <w:rFonts w:ascii="Times New Roman" w:hAnsi="Times New Roman" w:cs="Times New Roman"/>
          <w:sz w:val="24"/>
          <w:szCs w:val="24"/>
          <w:lang w:val="en-US"/>
        </w:rPr>
        <w:t>plan on a</w:t>
      </w:r>
      <w:r w:rsidR="00B711A5" w:rsidRPr="002239BF">
        <w:rPr>
          <w:rFonts w:ascii="Times New Roman" w:hAnsi="Times New Roman" w:cs="Times New Roman"/>
          <w:sz w:val="24"/>
          <w:szCs w:val="24"/>
          <w:lang w:val="en-US"/>
        </w:rPr>
        <w:t xml:space="preserve"> scale not seen since the 1950s and 1960s, will not yield a solution to</w:t>
      </w:r>
      <w:r w:rsidR="00C42BC3" w:rsidRPr="002239BF">
        <w:rPr>
          <w:rFonts w:ascii="Times New Roman" w:hAnsi="Times New Roman" w:cs="Times New Roman"/>
          <w:sz w:val="24"/>
          <w:szCs w:val="24"/>
          <w:lang w:val="en-US"/>
        </w:rPr>
        <w:t xml:space="preserve"> the persistent housing crisis: a crisis of </w:t>
      </w:r>
      <w:r w:rsidR="00442C9B" w:rsidRPr="002239BF">
        <w:rPr>
          <w:rFonts w:ascii="Times New Roman" w:hAnsi="Times New Roman" w:cs="Times New Roman"/>
          <w:sz w:val="24"/>
          <w:szCs w:val="24"/>
          <w:lang w:val="en-US"/>
        </w:rPr>
        <w:t xml:space="preserve">supply and </w:t>
      </w:r>
      <w:r w:rsidR="00C42BC3" w:rsidRPr="002239BF">
        <w:rPr>
          <w:rFonts w:ascii="Times New Roman" w:hAnsi="Times New Roman" w:cs="Times New Roman"/>
          <w:sz w:val="24"/>
          <w:szCs w:val="24"/>
          <w:lang w:val="en-US"/>
        </w:rPr>
        <w:t>affordability</w:t>
      </w:r>
      <w:r w:rsidR="00442C9B" w:rsidRPr="002239BF">
        <w:rPr>
          <w:rFonts w:ascii="Times New Roman" w:hAnsi="Times New Roman" w:cs="Times New Roman"/>
          <w:sz w:val="24"/>
          <w:szCs w:val="24"/>
          <w:lang w:val="en-US"/>
        </w:rPr>
        <w:t>. In Britain’s low-wage and low-skill economy,</w:t>
      </w:r>
      <w:r w:rsidR="0089758F" w:rsidRPr="002239BF">
        <w:rPr>
          <w:rStyle w:val="FootnoteReference"/>
          <w:rFonts w:ascii="Times New Roman" w:hAnsi="Times New Roman" w:cs="Times New Roman"/>
          <w:sz w:val="24"/>
          <w:szCs w:val="24"/>
          <w:lang w:val="en-US"/>
        </w:rPr>
        <w:footnoteReference w:id="177"/>
      </w:r>
      <w:r w:rsidR="00442C9B" w:rsidRPr="002239BF">
        <w:rPr>
          <w:rFonts w:ascii="Times New Roman" w:hAnsi="Times New Roman" w:cs="Times New Roman"/>
          <w:sz w:val="24"/>
          <w:szCs w:val="24"/>
          <w:lang w:val="en-US"/>
        </w:rPr>
        <w:t xml:space="preserve"> it is surely time to concede that homeownership may have</w:t>
      </w:r>
      <w:r w:rsidR="00F00CC0" w:rsidRPr="002239BF">
        <w:rPr>
          <w:rFonts w:ascii="Times New Roman" w:hAnsi="Times New Roman" w:cs="Times New Roman"/>
          <w:sz w:val="24"/>
          <w:szCs w:val="24"/>
          <w:lang w:val="en-US"/>
        </w:rPr>
        <w:t xml:space="preserve"> reached</w:t>
      </w:r>
      <w:r w:rsidR="00442C9B" w:rsidRPr="002239BF">
        <w:rPr>
          <w:rFonts w:ascii="Times New Roman" w:hAnsi="Times New Roman" w:cs="Times New Roman"/>
          <w:sz w:val="24"/>
          <w:szCs w:val="24"/>
          <w:lang w:val="en-US"/>
        </w:rPr>
        <w:t xml:space="preserve"> its </w:t>
      </w:r>
      <w:r w:rsidR="00AD4FD6" w:rsidRPr="002239BF">
        <w:rPr>
          <w:rFonts w:ascii="Times New Roman" w:hAnsi="Times New Roman" w:cs="Times New Roman"/>
          <w:sz w:val="24"/>
          <w:szCs w:val="24"/>
          <w:lang w:val="en-US"/>
        </w:rPr>
        <w:t xml:space="preserve">natural </w:t>
      </w:r>
      <w:r w:rsidR="001D0709" w:rsidRPr="002239BF">
        <w:rPr>
          <w:rFonts w:ascii="Times New Roman" w:hAnsi="Times New Roman" w:cs="Times New Roman"/>
          <w:sz w:val="24"/>
          <w:szCs w:val="24"/>
          <w:lang w:val="en-US"/>
        </w:rPr>
        <w:t xml:space="preserve">ceiling. </w:t>
      </w:r>
      <w:r w:rsidR="00040394" w:rsidRPr="002239BF">
        <w:rPr>
          <w:rFonts w:ascii="Times New Roman" w:hAnsi="Times New Roman" w:cs="Times New Roman"/>
          <w:sz w:val="24"/>
          <w:szCs w:val="24"/>
          <w:lang w:val="en-US"/>
        </w:rPr>
        <w:t xml:space="preserve">The logic of homeownership pursued </w:t>
      </w:r>
      <w:r w:rsidR="001D0709" w:rsidRPr="002239BF">
        <w:rPr>
          <w:rFonts w:ascii="Times New Roman" w:hAnsi="Times New Roman" w:cs="Times New Roman"/>
          <w:sz w:val="24"/>
          <w:szCs w:val="24"/>
          <w:lang w:val="en-US"/>
        </w:rPr>
        <w:t xml:space="preserve">in the 2016 Act </w:t>
      </w:r>
      <w:r w:rsidR="00040394" w:rsidRPr="002239BF">
        <w:rPr>
          <w:rFonts w:ascii="Times New Roman" w:hAnsi="Times New Roman" w:cs="Times New Roman"/>
          <w:sz w:val="24"/>
          <w:szCs w:val="24"/>
          <w:lang w:val="en-US"/>
        </w:rPr>
        <w:t xml:space="preserve">is </w:t>
      </w:r>
      <w:r w:rsidR="00D27286" w:rsidRPr="002239BF">
        <w:rPr>
          <w:rFonts w:ascii="Times New Roman" w:hAnsi="Times New Roman" w:cs="Times New Roman"/>
          <w:sz w:val="24"/>
          <w:szCs w:val="24"/>
          <w:lang w:val="en-US"/>
        </w:rPr>
        <w:t xml:space="preserve">therefore </w:t>
      </w:r>
      <w:r w:rsidR="00B711A5" w:rsidRPr="002239BF">
        <w:rPr>
          <w:rFonts w:ascii="Times New Roman" w:hAnsi="Times New Roman" w:cs="Times New Roman"/>
          <w:sz w:val="24"/>
          <w:szCs w:val="24"/>
          <w:lang w:val="en-US"/>
        </w:rPr>
        <w:t>misleading</w:t>
      </w:r>
      <w:r w:rsidR="006C0ADD" w:rsidRPr="002239BF">
        <w:rPr>
          <w:rFonts w:ascii="Times New Roman" w:hAnsi="Times New Roman" w:cs="Times New Roman"/>
          <w:sz w:val="24"/>
          <w:szCs w:val="24"/>
          <w:lang w:val="en-US"/>
        </w:rPr>
        <w:t xml:space="preserve">, </w:t>
      </w:r>
      <w:r w:rsidR="00B711A5" w:rsidRPr="002239BF">
        <w:rPr>
          <w:rFonts w:ascii="Times New Roman" w:hAnsi="Times New Roman" w:cs="Times New Roman"/>
          <w:sz w:val="24"/>
          <w:szCs w:val="24"/>
          <w:lang w:val="en-US"/>
        </w:rPr>
        <w:t>and</w:t>
      </w:r>
      <w:r w:rsidR="001D0709" w:rsidRPr="002239BF">
        <w:rPr>
          <w:rFonts w:ascii="Times New Roman" w:hAnsi="Times New Roman" w:cs="Times New Roman"/>
          <w:sz w:val="24"/>
          <w:szCs w:val="24"/>
          <w:lang w:val="en-US"/>
        </w:rPr>
        <w:t xml:space="preserve"> perhaps</w:t>
      </w:r>
      <w:r w:rsidR="006C0ADD" w:rsidRPr="002239BF">
        <w:rPr>
          <w:rFonts w:ascii="Times New Roman" w:hAnsi="Times New Roman" w:cs="Times New Roman"/>
          <w:sz w:val="24"/>
          <w:szCs w:val="24"/>
          <w:lang w:val="en-US"/>
        </w:rPr>
        <w:t xml:space="preserve"> is</w:t>
      </w:r>
      <w:r w:rsidR="001D0709" w:rsidRPr="002239BF">
        <w:rPr>
          <w:rFonts w:ascii="Times New Roman" w:hAnsi="Times New Roman" w:cs="Times New Roman"/>
          <w:sz w:val="24"/>
          <w:szCs w:val="24"/>
          <w:lang w:val="en-US"/>
        </w:rPr>
        <w:t xml:space="preserve"> even </w:t>
      </w:r>
      <w:r w:rsidR="00B711A5" w:rsidRPr="002239BF">
        <w:rPr>
          <w:rFonts w:ascii="Times New Roman" w:hAnsi="Times New Roman" w:cs="Times New Roman"/>
          <w:sz w:val="24"/>
          <w:szCs w:val="24"/>
          <w:lang w:val="en-US"/>
        </w:rPr>
        <w:t xml:space="preserve">politically </w:t>
      </w:r>
      <w:r w:rsidR="00DB2183" w:rsidRPr="002239BF">
        <w:rPr>
          <w:rFonts w:ascii="Times New Roman" w:hAnsi="Times New Roman" w:cs="Times New Roman"/>
          <w:sz w:val="24"/>
          <w:szCs w:val="24"/>
          <w:lang w:val="en-US"/>
        </w:rPr>
        <w:t>disingenuous</w:t>
      </w:r>
      <w:r w:rsidR="003E560C" w:rsidRPr="002239BF">
        <w:rPr>
          <w:rFonts w:ascii="Times New Roman" w:hAnsi="Times New Roman" w:cs="Times New Roman"/>
          <w:sz w:val="24"/>
          <w:szCs w:val="24"/>
          <w:lang w:val="en-US"/>
        </w:rPr>
        <w:t>,</w:t>
      </w:r>
      <w:r w:rsidR="00040394" w:rsidRPr="002239BF">
        <w:rPr>
          <w:rFonts w:ascii="Times New Roman" w:hAnsi="Times New Roman" w:cs="Times New Roman"/>
          <w:sz w:val="24"/>
          <w:szCs w:val="24"/>
          <w:lang w:val="en-US"/>
        </w:rPr>
        <w:t xml:space="preserve"> in raising a legitimate expectation that </w:t>
      </w:r>
      <w:r w:rsidR="00B711A5" w:rsidRPr="002239BF">
        <w:rPr>
          <w:rFonts w:ascii="Times New Roman" w:hAnsi="Times New Roman" w:cs="Times New Roman"/>
          <w:sz w:val="24"/>
          <w:szCs w:val="24"/>
          <w:lang w:val="en-US"/>
        </w:rPr>
        <w:t xml:space="preserve">all those who work hard </w:t>
      </w:r>
      <w:r w:rsidR="00BE63D3" w:rsidRPr="002239BF">
        <w:rPr>
          <w:rFonts w:ascii="Times New Roman" w:hAnsi="Times New Roman" w:cs="Times New Roman"/>
          <w:sz w:val="24"/>
          <w:szCs w:val="24"/>
          <w:lang w:val="en-US"/>
        </w:rPr>
        <w:t>have the chance to</w:t>
      </w:r>
      <w:r w:rsidR="006E36AE" w:rsidRPr="002239BF">
        <w:rPr>
          <w:rFonts w:ascii="Times New Roman" w:hAnsi="Times New Roman" w:cs="Times New Roman"/>
          <w:sz w:val="24"/>
          <w:szCs w:val="24"/>
          <w:lang w:val="en-US"/>
        </w:rPr>
        <w:t xml:space="preserve"> own a home when they </w:t>
      </w:r>
      <w:r w:rsidR="003A651A" w:rsidRPr="002239BF">
        <w:rPr>
          <w:rFonts w:ascii="Times New Roman" w:hAnsi="Times New Roman" w:cs="Times New Roman"/>
          <w:sz w:val="24"/>
          <w:szCs w:val="24"/>
          <w:lang w:val="en-US"/>
        </w:rPr>
        <w:t xml:space="preserve">patently </w:t>
      </w:r>
      <w:r w:rsidR="006E36AE" w:rsidRPr="002239BF">
        <w:rPr>
          <w:rFonts w:ascii="Times New Roman" w:hAnsi="Times New Roman" w:cs="Times New Roman"/>
          <w:sz w:val="24"/>
          <w:szCs w:val="24"/>
          <w:lang w:val="en-US"/>
        </w:rPr>
        <w:t>do not.</w:t>
      </w:r>
    </w:p>
    <w:p w14:paraId="087F80B1" w14:textId="77777777" w:rsidR="00B711A5" w:rsidRPr="002239BF" w:rsidRDefault="00B711A5" w:rsidP="00733DF3">
      <w:pPr>
        <w:spacing w:after="0" w:line="480" w:lineRule="auto"/>
        <w:rPr>
          <w:rFonts w:ascii="Times New Roman" w:hAnsi="Times New Roman" w:cs="Times New Roman"/>
          <w:sz w:val="24"/>
          <w:szCs w:val="24"/>
          <w:lang w:val="en-US"/>
        </w:rPr>
      </w:pPr>
    </w:p>
    <w:p w14:paraId="00ECF3B1" w14:textId="635A71C1" w:rsidR="000B23C5" w:rsidRPr="002239BF" w:rsidRDefault="00941376" w:rsidP="00733DF3">
      <w:pPr>
        <w:pStyle w:val="NoSpacing"/>
        <w:spacing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T</w:t>
      </w:r>
      <w:r w:rsidR="000F3E1A" w:rsidRPr="002239BF">
        <w:rPr>
          <w:rFonts w:ascii="Times New Roman" w:hAnsi="Times New Roman" w:cs="Times New Roman"/>
          <w:sz w:val="24"/>
          <w:szCs w:val="24"/>
          <w:lang w:val="en-US"/>
        </w:rPr>
        <w:t>he homeowne</w:t>
      </w:r>
      <w:r w:rsidR="00C33D6B" w:rsidRPr="002239BF">
        <w:rPr>
          <w:rFonts w:ascii="Times New Roman" w:hAnsi="Times New Roman" w:cs="Times New Roman"/>
          <w:sz w:val="24"/>
          <w:szCs w:val="24"/>
          <w:lang w:val="en-US"/>
        </w:rPr>
        <w:t>r</w:t>
      </w:r>
      <w:r w:rsidR="000F3E1A" w:rsidRPr="002239BF">
        <w:rPr>
          <w:rFonts w:ascii="Times New Roman" w:hAnsi="Times New Roman" w:cs="Times New Roman"/>
          <w:sz w:val="24"/>
          <w:szCs w:val="24"/>
          <w:lang w:val="en-US"/>
        </w:rPr>
        <w:t>s</w:t>
      </w:r>
      <w:r w:rsidR="00C33D6B" w:rsidRPr="002239BF">
        <w:rPr>
          <w:rFonts w:ascii="Times New Roman" w:hAnsi="Times New Roman" w:cs="Times New Roman"/>
          <w:sz w:val="24"/>
          <w:szCs w:val="24"/>
          <w:lang w:val="en-US"/>
        </w:rPr>
        <w:t>h</w:t>
      </w:r>
      <w:r w:rsidR="000F3E1A" w:rsidRPr="002239BF">
        <w:rPr>
          <w:rFonts w:ascii="Times New Roman" w:hAnsi="Times New Roman" w:cs="Times New Roman"/>
          <w:sz w:val="24"/>
          <w:szCs w:val="24"/>
          <w:lang w:val="en-US"/>
        </w:rPr>
        <w:t xml:space="preserve">ip narrative can also be challenged on a second ground. </w:t>
      </w:r>
      <w:r w:rsidR="00F00CC0" w:rsidRPr="002239BF">
        <w:rPr>
          <w:rFonts w:ascii="Times New Roman" w:hAnsi="Times New Roman" w:cs="Times New Roman"/>
          <w:sz w:val="24"/>
          <w:szCs w:val="24"/>
          <w:lang w:val="en-US"/>
        </w:rPr>
        <w:t xml:space="preserve">As we have explored, </w:t>
      </w:r>
      <w:r w:rsidR="003E560C" w:rsidRPr="002239BF">
        <w:rPr>
          <w:rFonts w:ascii="Times New Roman" w:hAnsi="Times New Roman" w:cs="Times New Roman"/>
          <w:sz w:val="24"/>
          <w:szCs w:val="24"/>
          <w:lang w:val="en-US"/>
        </w:rPr>
        <w:t>h</w:t>
      </w:r>
      <w:r w:rsidR="00B711A5" w:rsidRPr="002239BF">
        <w:rPr>
          <w:rFonts w:ascii="Times New Roman" w:hAnsi="Times New Roman" w:cs="Times New Roman"/>
          <w:sz w:val="24"/>
          <w:szCs w:val="24"/>
          <w:lang w:val="en-US"/>
        </w:rPr>
        <w:t xml:space="preserve">omeownership is </w:t>
      </w:r>
      <w:r w:rsidR="00E173EC" w:rsidRPr="002239BF">
        <w:rPr>
          <w:rFonts w:ascii="Times New Roman" w:hAnsi="Times New Roman" w:cs="Times New Roman"/>
          <w:sz w:val="24"/>
          <w:szCs w:val="24"/>
          <w:lang w:val="en-US"/>
        </w:rPr>
        <w:t xml:space="preserve">presented </w:t>
      </w:r>
      <w:r w:rsidR="0078631E" w:rsidRPr="002239BF">
        <w:rPr>
          <w:rFonts w:ascii="Times New Roman" w:hAnsi="Times New Roman" w:cs="Times New Roman"/>
          <w:sz w:val="24"/>
          <w:szCs w:val="24"/>
          <w:lang w:val="en-US"/>
        </w:rPr>
        <w:t>not only as</w:t>
      </w:r>
      <w:r w:rsidR="00E173EC" w:rsidRPr="002239BF">
        <w:rPr>
          <w:rFonts w:ascii="Times New Roman" w:hAnsi="Times New Roman" w:cs="Times New Roman"/>
          <w:sz w:val="24"/>
          <w:szCs w:val="24"/>
          <w:lang w:val="en-US"/>
        </w:rPr>
        <w:t xml:space="preserve"> the most</w:t>
      </w:r>
      <w:r w:rsidR="00B711A5" w:rsidRPr="002239BF">
        <w:rPr>
          <w:rFonts w:ascii="Times New Roman" w:hAnsi="Times New Roman" w:cs="Times New Roman"/>
          <w:sz w:val="24"/>
          <w:szCs w:val="24"/>
          <w:lang w:val="en-US"/>
        </w:rPr>
        <w:t xml:space="preserve"> desirable</w:t>
      </w:r>
      <w:r w:rsidR="00E173EC" w:rsidRPr="002239BF">
        <w:rPr>
          <w:rFonts w:ascii="Times New Roman" w:hAnsi="Times New Roman" w:cs="Times New Roman"/>
          <w:sz w:val="24"/>
          <w:szCs w:val="24"/>
          <w:lang w:val="en-US"/>
        </w:rPr>
        <w:t xml:space="preserve"> housing </w:t>
      </w:r>
      <w:r w:rsidR="00E768E4" w:rsidRPr="002239BF">
        <w:rPr>
          <w:rFonts w:ascii="Times New Roman" w:hAnsi="Times New Roman" w:cs="Times New Roman"/>
          <w:sz w:val="24"/>
          <w:szCs w:val="24"/>
          <w:lang w:val="en-US"/>
        </w:rPr>
        <w:t>option</w:t>
      </w:r>
      <w:r w:rsidR="00B711A5" w:rsidRPr="002239BF">
        <w:rPr>
          <w:rFonts w:ascii="Times New Roman" w:hAnsi="Times New Roman" w:cs="Times New Roman"/>
          <w:sz w:val="24"/>
          <w:szCs w:val="24"/>
          <w:lang w:val="en-US"/>
        </w:rPr>
        <w:t xml:space="preserve"> but</w:t>
      </w:r>
      <w:r w:rsidR="00E173EC" w:rsidRPr="002239BF">
        <w:rPr>
          <w:rFonts w:ascii="Times New Roman" w:hAnsi="Times New Roman" w:cs="Times New Roman"/>
          <w:sz w:val="24"/>
          <w:szCs w:val="24"/>
          <w:lang w:val="en-US"/>
        </w:rPr>
        <w:t xml:space="preserve"> </w:t>
      </w:r>
      <w:r w:rsidR="00B711A5" w:rsidRPr="002239BF">
        <w:rPr>
          <w:rFonts w:ascii="Times New Roman" w:hAnsi="Times New Roman" w:cs="Times New Roman"/>
          <w:sz w:val="24"/>
          <w:szCs w:val="24"/>
          <w:lang w:val="en-US"/>
        </w:rPr>
        <w:t>also the moral</w:t>
      </w:r>
      <w:r w:rsidR="0078631E" w:rsidRPr="002239BF">
        <w:rPr>
          <w:rFonts w:ascii="Times New Roman" w:hAnsi="Times New Roman" w:cs="Times New Roman"/>
          <w:sz w:val="24"/>
          <w:szCs w:val="24"/>
          <w:lang w:val="en-US"/>
        </w:rPr>
        <w:t xml:space="preserve">, aspirational </w:t>
      </w:r>
      <w:r w:rsidR="00E768E4" w:rsidRPr="002239BF">
        <w:rPr>
          <w:rFonts w:ascii="Times New Roman" w:hAnsi="Times New Roman" w:cs="Times New Roman"/>
          <w:sz w:val="24"/>
          <w:szCs w:val="24"/>
          <w:lang w:val="en-US"/>
        </w:rPr>
        <w:t>choice</w:t>
      </w:r>
      <w:r w:rsidR="00B711A5" w:rsidRPr="002239BF">
        <w:rPr>
          <w:rFonts w:ascii="Times New Roman" w:hAnsi="Times New Roman" w:cs="Times New Roman"/>
          <w:sz w:val="24"/>
          <w:szCs w:val="24"/>
          <w:lang w:val="en-US"/>
        </w:rPr>
        <w:t xml:space="preserve">. </w:t>
      </w:r>
      <w:r w:rsidR="00F30D88" w:rsidRPr="002239BF">
        <w:rPr>
          <w:rFonts w:ascii="Times New Roman" w:hAnsi="Times New Roman" w:cs="Times New Roman"/>
          <w:sz w:val="24"/>
          <w:szCs w:val="24"/>
          <w:lang w:val="en-US"/>
        </w:rPr>
        <w:t xml:space="preserve">In advancing </w:t>
      </w:r>
      <w:r w:rsidR="00D053E0" w:rsidRPr="002239BF">
        <w:rPr>
          <w:rFonts w:ascii="Times New Roman" w:hAnsi="Times New Roman" w:cs="Times New Roman"/>
          <w:sz w:val="24"/>
          <w:szCs w:val="24"/>
          <w:lang w:val="en-US"/>
        </w:rPr>
        <w:t>this message</w:t>
      </w:r>
      <w:r w:rsidR="00F30D88" w:rsidRPr="002239BF">
        <w:rPr>
          <w:rFonts w:ascii="Times New Roman" w:hAnsi="Times New Roman" w:cs="Times New Roman"/>
          <w:sz w:val="24"/>
          <w:szCs w:val="24"/>
          <w:lang w:val="en-US"/>
        </w:rPr>
        <w:t xml:space="preserve"> and</w:t>
      </w:r>
      <w:r w:rsidR="00D0778F" w:rsidRPr="002239BF">
        <w:rPr>
          <w:rFonts w:ascii="Times New Roman" w:hAnsi="Times New Roman" w:cs="Times New Roman"/>
          <w:sz w:val="24"/>
          <w:szCs w:val="24"/>
          <w:lang w:val="en-US"/>
        </w:rPr>
        <w:t>, at the same time,</w:t>
      </w:r>
      <w:r w:rsidR="00F30D88" w:rsidRPr="002239BF">
        <w:rPr>
          <w:rFonts w:ascii="Times New Roman" w:hAnsi="Times New Roman" w:cs="Times New Roman"/>
          <w:sz w:val="24"/>
          <w:szCs w:val="24"/>
          <w:lang w:val="en-US"/>
        </w:rPr>
        <w:t xml:space="preserve"> residuali</w:t>
      </w:r>
      <w:r w:rsidR="003E560C" w:rsidRPr="002239BF">
        <w:rPr>
          <w:rFonts w:ascii="Times New Roman" w:hAnsi="Times New Roman" w:cs="Times New Roman"/>
          <w:sz w:val="24"/>
          <w:szCs w:val="24"/>
          <w:lang w:val="en-US"/>
        </w:rPr>
        <w:t>s</w:t>
      </w:r>
      <w:r w:rsidR="00F30D88" w:rsidRPr="002239BF">
        <w:rPr>
          <w:rFonts w:ascii="Times New Roman" w:hAnsi="Times New Roman" w:cs="Times New Roman"/>
          <w:sz w:val="24"/>
          <w:szCs w:val="24"/>
          <w:lang w:val="en-US"/>
        </w:rPr>
        <w:t>ing the social sector, t</w:t>
      </w:r>
      <w:r w:rsidR="00B711A5" w:rsidRPr="002239BF">
        <w:rPr>
          <w:rFonts w:ascii="Times New Roman" w:hAnsi="Times New Roman" w:cs="Times New Roman"/>
          <w:sz w:val="24"/>
          <w:szCs w:val="24"/>
          <w:lang w:val="en-US"/>
        </w:rPr>
        <w:t xml:space="preserve">he corollary </w:t>
      </w:r>
      <w:r w:rsidR="00F30D88" w:rsidRPr="002239BF">
        <w:rPr>
          <w:rFonts w:ascii="Times New Roman" w:hAnsi="Times New Roman" w:cs="Times New Roman"/>
          <w:sz w:val="24"/>
          <w:szCs w:val="24"/>
          <w:lang w:val="en-US"/>
        </w:rPr>
        <w:t>is a moral hierarchy of tenures</w:t>
      </w:r>
      <w:r w:rsidR="001C4DC2" w:rsidRPr="002239BF">
        <w:rPr>
          <w:rFonts w:ascii="Times New Roman" w:hAnsi="Times New Roman" w:cs="Times New Roman"/>
          <w:sz w:val="24"/>
          <w:szCs w:val="24"/>
          <w:lang w:val="en-US"/>
        </w:rPr>
        <w:t>,</w:t>
      </w:r>
      <w:r w:rsidR="00F30D88" w:rsidRPr="002239BF">
        <w:rPr>
          <w:rFonts w:ascii="Times New Roman" w:hAnsi="Times New Roman" w:cs="Times New Roman"/>
          <w:sz w:val="24"/>
          <w:szCs w:val="24"/>
          <w:lang w:val="en-US"/>
        </w:rPr>
        <w:t xml:space="preserve"> with homeownership repr</w:t>
      </w:r>
      <w:r w:rsidR="00314B30" w:rsidRPr="002239BF">
        <w:rPr>
          <w:rFonts w:ascii="Times New Roman" w:hAnsi="Times New Roman" w:cs="Times New Roman"/>
          <w:sz w:val="24"/>
          <w:szCs w:val="24"/>
          <w:lang w:val="en-US"/>
        </w:rPr>
        <w:t xml:space="preserve">esenting the gold-standard </w:t>
      </w:r>
      <w:r w:rsidR="00F30D88" w:rsidRPr="002239BF">
        <w:rPr>
          <w:rFonts w:ascii="Times New Roman" w:hAnsi="Times New Roman" w:cs="Times New Roman"/>
          <w:sz w:val="24"/>
          <w:szCs w:val="24"/>
          <w:lang w:val="en-US"/>
        </w:rPr>
        <w:t>and social housing fixed with the</w:t>
      </w:r>
      <w:r w:rsidR="00B711A5" w:rsidRPr="002239BF">
        <w:rPr>
          <w:rFonts w:ascii="Times New Roman" w:hAnsi="Times New Roman" w:cs="Times New Roman"/>
          <w:sz w:val="24"/>
          <w:szCs w:val="24"/>
          <w:lang w:val="en-US"/>
        </w:rPr>
        <w:t xml:space="preserve"> stigma </w:t>
      </w:r>
      <w:r w:rsidR="00F30D88" w:rsidRPr="002239BF">
        <w:rPr>
          <w:rFonts w:ascii="Times New Roman" w:hAnsi="Times New Roman" w:cs="Times New Roman"/>
          <w:sz w:val="24"/>
          <w:szCs w:val="24"/>
          <w:lang w:val="en-US"/>
        </w:rPr>
        <w:t>of the non-aspirational, marginali</w:t>
      </w:r>
      <w:r w:rsidR="003E560C" w:rsidRPr="002239BF">
        <w:rPr>
          <w:rFonts w:ascii="Times New Roman" w:hAnsi="Times New Roman" w:cs="Times New Roman"/>
          <w:sz w:val="24"/>
          <w:szCs w:val="24"/>
          <w:lang w:val="en-US"/>
        </w:rPr>
        <w:t>s</w:t>
      </w:r>
      <w:r w:rsidR="00F30D88" w:rsidRPr="002239BF">
        <w:rPr>
          <w:rFonts w:ascii="Times New Roman" w:hAnsi="Times New Roman" w:cs="Times New Roman"/>
          <w:sz w:val="24"/>
          <w:szCs w:val="24"/>
          <w:lang w:val="en-US"/>
        </w:rPr>
        <w:t xml:space="preserve">ed and </w:t>
      </w:r>
      <w:r w:rsidR="00E768E4" w:rsidRPr="002239BF">
        <w:rPr>
          <w:rFonts w:ascii="Times New Roman" w:hAnsi="Times New Roman" w:cs="Times New Roman"/>
          <w:sz w:val="24"/>
          <w:szCs w:val="24"/>
          <w:lang w:val="en-US"/>
        </w:rPr>
        <w:t xml:space="preserve">the </w:t>
      </w:r>
      <w:r w:rsidR="00F30D88" w:rsidRPr="002239BF">
        <w:rPr>
          <w:rFonts w:ascii="Times New Roman" w:hAnsi="Times New Roman" w:cs="Times New Roman"/>
          <w:sz w:val="24"/>
          <w:szCs w:val="24"/>
          <w:lang w:val="en-US"/>
        </w:rPr>
        <w:t>otherwise ‘</w:t>
      </w:r>
      <w:r w:rsidR="00667631" w:rsidRPr="002239BF">
        <w:rPr>
          <w:rFonts w:ascii="Times New Roman" w:hAnsi="Times New Roman" w:cs="Times New Roman"/>
          <w:sz w:val="24"/>
          <w:szCs w:val="24"/>
          <w:lang w:val="en-US"/>
        </w:rPr>
        <w:t>unhouseable</w:t>
      </w:r>
      <w:r w:rsidR="00DB0515" w:rsidRPr="002239BF">
        <w:rPr>
          <w:rFonts w:ascii="Times New Roman" w:hAnsi="Times New Roman" w:cs="Times New Roman"/>
          <w:sz w:val="24"/>
          <w:szCs w:val="24"/>
          <w:lang w:val="en-US"/>
        </w:rPr>
        <w:t>.</w:t>
      </w:r>
      <w:r w:rsidR="00F30D88" w:rsidRPr="002239BF">
        <w:rPr>
          <w:rFonts w:ascii="Times New Roman" w:hAnsi="Times New Roman" w:cs="Times New Roman"/>
          <w:sz w:val="24"/>
          <w:szCs w:val="24"/>
          <w:lang w:val="en-US"/>
        </w:rPr>
        <w:t>’</w:t>
      </w:r>
      <w:r w:rsidR="009D621C" w:rsidRPr="002239BF">
        <w:rPr>
          <w:rStyle w:val="FootnoteReference"/>
          <w:rFonts w:ascii="Times New Roman" w:hAnsi="Times New Roman" w:cs="Times New Roman"/>
          <w:sz w:val="24"/>
          <w:szCs w:val="24"/>
          <w:lang w:val="en-US"/>
        </w:rPr>
        <w:footnoteReference w:id="178"/>
      </w:r>
      <w:r w:rsidR="00DB0515" w:rsidRPr="002239BF">
        <w:rPr>
          <w:rFonts w:ascii="Times New Roman" w:hAnsi="Times New Roman" w:cs="Times New Roman"/>
          <w:sz w:val="24"/>
          <w:szCs w:val="24"/>
          <w:lang w:val="en-US"/>
        </w:rPr>
        <w:t xml:space="preserve"> Social housing </w:t>
      </w:r>
      <w:r w:rsidR="001C4DC2" w:rsidRPr="002239BF">
        <w:rPr>
          <w:rFonts w:ascii="Times New Roman" w:hAnsi="Times New Roman" w:cs="Times New Roman"/>
          <w:sz w:val="24"/>
          <w:szCs w:val="24"/>
          <w:lang w:val="en-US"/>
        </w:rPr>
        <w:t>is characteri</w:t>
      </w:r>
      <w:r w:rsidR="003E560C" w:rsidRPr="002239BF">
        <w:rPr>
          <w:rFonts w:ascii="Times New Roman" w:hAnsi="Times New Roman" w:cs="Times New Roman"/>
          <w:sz w:val="24"/>
          <w:szCs w:val="24"/>
          <w:lang w:val="en-US"/>
        </w:rPr>
        <w:t>s</w:t>
      </w:r>
      <w:r w:rsidR="001C4DC2" w:rsidRPr="002239BF">
        <w:rPr>
          <w:rFonts w:ascii="Times New Roman" w:hAnsi="Times New Roman" w:cs="Times New Roman"/>
          <w:sz w:val="24"/>
          <w:szCs w:val="24"/>
          <w:lang w:val="en-US"/>
        </w:rPr>
        <w:t xml:space="preserve">ed as </w:t>
      </w:r>
      <w:r w:rsidR="00DB0515" w:rsidRPr="002239BF">
        <w:rPr>
          <w:rFonts w:ascii="Times New Roman" w:hAnsi="Times New Roman" w:cs="Times New Roman"/>
          <w:sz w:val="24"/>
          <w:szCs w:val="24"/>
          <w:lang w:val="en-US"/>
        </w:rPr>
        <w:t>the site of the sick, the desperate and the unfortunate</w:t>
      </w:r>
      <w:r w:rsidR="00D0778F" w:rsidRPr="002239BF">
        <w:rPr>
          <w:rFonts w:ascii="Times New Roman" w:hAnsi="Times New Roman" w:cs="Times New Roman"/>
          <w:sz w:val="24"/>
          <w:szCs w:val="24"/>
          <w:lang w:val="en-US"/>
        </w:rPr>
        <w:t xml:space="preserve">; a series of </w:t>
      </w:r>
      <w:r w:rsidR="009D621C" w:rsidRPr="002239BF">
        <w:rPr>
          <w:rFonts w:ascii="Times New Roman" w:hAnsi="Times New Roman" w:cs="Times New Roman"/>
          <w:sz w:val="24"/>
          <w:szCs w:val="24"/>
          <w:lang w:val="en-US"/>
        </w:rPr>
        <w:t>‘</w:t>
      </w:r>
      <w:r w:rsidR="00352AD4" w:rsidRPr="002239BF">
        <w:rPr>
          <w:rFonts w:ascii="Times New Roman" w:hAnsi="Times New Roman" w:cs="Times New Roman"/>
          <w:sz w:val="24"/>
          <w:szCs w:val="24"/>
          <w:lang w:val="en-US"/>
        </w:rPr>
        <w:t>locales where social</w:t>
      </w:r>
      <w:r w:rsidR="009D621C" w:rsidRPr="002239BF">
        <w:rPr>
          <w:rFonts w:ascii="Times New Roman" w:hAnsi="Times New Roman" w:cs="Times New Roman"/>
          <w:sz w:val="24"/>
          <w:szCs w:val="24"/>
          <w:lang w:val="en-US"/>
        </w:rPr>
        <w:t xml:space="preserve"> </w:t>
      </w:r>
      <w:r w:rsidR="00352AD4" w:rsidRPr="002239BF">
        <w:rPr>
          <w:rFonts w:ascii="Times New Roman" w:hAnsi="Times New Roman" w:cs="Times New Roman"/>
          <w:sz w:val="24"/>
          <w:szCs w:val="24"/>
          <w:lang w:val="en-US"/>
        </w:rPr>
        <w:t>pathologies</w:t>
      </w:r>
      <w:r w:rsidR="009D621C" w:rsidRPr="002239BF">
        <w:rPr>
          <w:rFonts w:ascii="Times New Roman" w:hAnsi="Times New Roman" w:cs="Times New Roman"/>
          <w:sz w:val="24"/>
          <w:szCs w:val="24"/>
          <w:lang w:val="en-US"/>
        </w:rPr>
        <w:t xml:space="preserve"> </w:t>
      </w:r>
      <w:r w:rsidR="00352AD4" w:rsidRPr="002239BF">
        <w:rPr>
          <w:rFonts w:ascii="Times New Roman" w:hAnsi="Times New Roman" w:cs="Times New Roman"/>
          <w:sz w:val="24"/>
          <w:szCs w:val="24"/>
          <w:lang w:val="en-US"/>
        </w:rPr>
        <w:t>and</w:t>
      </w:r>
      <w:r w:rsidR="009D621C" w:rsidRPr="002239BF">
        <w:rPr>
          <w:rFonts w:ascii="Times New Roman" w:hAnsi="Times New Roman" w:cs="Times New Roman"/>
          <w:sz w:val="24"/>
          <w:szCs w:val="24"/>
          <w:lang w:val="en-US"/>
        </w:rPr>
        <w:t xml:space="preserve"> </w:t>
      </w:r>
      <w:r w:rsidR="00352AD4" w:rsidRPr="002239BF">
        <w:rPr>
          <w:rFonts w:ascii="Times New Roman" w:hAnsi="Times New Roman" w:cs="Times New Roman"/>
          <w:sz w:val="24"/>
          <w:szCs w:val="24"/>
          <w:lang w:val="en-US"/>
        </w:rPr>
        <w:t>problems</w:t>
      </w:r>
      <w:r w:rsidR="009D621C" w:rsidRPr="002239BF">
        <w:rPr>
          <w:rFonts w:ascii="Times New Roman" w:hAnsi="Times New Roman" w:cs="Times New Roman"/>
          <w:sz w:val="24"/>
          <w:szCs w:val="24"/>
          <w:lang w:val="en-US"/>
        </w:rPr>
        <w:t xml:space="preserve"> flourish’.</w:t>
      </w:r>
      <w:bookmarkStart w:id="15" w:name="_Ref461891825"/>
      <w:r w:rsidR="009D621C" w:rsidRPr="002239BF">
        <w:rPr>
          <w:rStyle w:val="FootnoteReference"/>
          <w:rFonts w:ascii="Times New Roman" w:hAnsi="Times New Roman" w:cs="Times New Roman"/>
          <w:sz w:val="24"/>
          <w:szCs w:val="24"/>
          <w:lang w:val="en-US"/>
        </w:rPr>
        <w:footnoteReference w:id="179"/>
      </w:r>
      <w:bookmarkEnd w:id="15"/>
      <w:r w:rsidR="00F24BC9" w:rsidRPr="002239BF">
        <w:rPr>
          <w:rFonts w:ascii="Times New Roman" w:hAnsi="Times New Roman" w:cs="Times New Roman"/>
          <w:sz w:val="24"/>
          <w:szCs w:val="24"/>
          <w:lang w:val="en-US"/>
        </w:rPr>
        <w:t xml:space="preserve"> </w:t>
      </w:r>
      <w:r w:rsidR="00DB0515" w:rsidRPr="002239BF">
        <w:rPr>
          <w:rFonts w:ascii="Times New Roman" w:hAnsi="Times New Roman" w:cs="Times New Roman"/>
          <w:sz w:val="24"/>
          <w:szCs w:val="24"/>
          <w:lang w:val="en-US"/>
        </w:rPr>
        <w:t>This link between homeownership and morali</w:t>
      </w:r>
      <w:r w:rsidR="003E560C" w:rsidRPr="002239BF">
        <w:rPr>
          <w:rFonts w:ascii="Times New Roman" w:hAnsi="Times New Roman" w:cs="Times New Roman"/>
          <w:sz w:val="24"/>
          <w:szCs w:val="24"/>
          <w:lang w:val="en-US"/>
        </w:rPr>
        <w:t>s</w:t>
      </w:r>
      <w:r w:rsidR="00DB0515" w:rsidRPr="002239BF">
        <w:rPr>
          <w:rFonts w:ascii="Times New Roman" w:hAnsi="Times New Roman" w:cs="Times New Roman"/>
          <w:sz w:val="24"/>
          <w:szCs w:val="24"/>
          <w:lang w:val="en-US"/>
        </w:rPr>
        <w:t xml:space="preserve">ing was </w:t>
      </w:r>
      <w:r w:rsidR="001C4DC2" w:rsidRPr="002239BF">
        <w:rPr>
          <w:rFonts w:ascii="Times New Roman" w:hAnsi="Times New Roman" w:cs="Times New Roman"/>
          <w:sz w:val="24"/>
          <w:szCs w:val="24"/>
          <w:lang w:val="en-US"/>
        </w:rPr>
        <w:t>evident</w:t>
      </w:r>
      <w:r w:rsidR="00DB0515" w:rsidRPr="002239BF">
        <w:rPr>
          <w:rFonts w:ascii="Times New Roman" w:hAnsi="Times New Roman" w:cs="Times New Roman"/>
          <w:sz w:val="24"/>
          <w:szCs w:val="24"/>
          <w:lang w:val="en-US"/>
        </w:rPr>
        <w:t xml:space="preserve"> in</w:t>
      </w:r>
      <w:r w:rsidR="00F24BC9" w:rsidRPr="002239BF">
        <w:rPr>
          <w:rFonts w:ascii="Times New Roman" w:hAnsi="Times New Roman" w:cs="Times New Roman"/>
          <w:sz w:val="24"/>
          <w:szCs w:val="24"/>
          <w:lang w:val="en-US"/>
        </w:rPr>
        <w:t xml:space="preserve"> the</w:t>
      </w:r>
      <w:r w:rsidR="00061BC5" w:rsidRPr="002239BF">
        <w:rPr>
          <w:rFonts w:ascii="Times New Roman" w:hAnsi="Times New Roman" w:cs="Times New Roman"/>
          <w:sz w:val="24"/>
          <w:szCs w:val="24"/>
          <w:lang w:val="en-US"/>
        </w:rPr>
        <w:t xml:space="preserve"> Conservative 2015 Manifesto</w:t>
      </w:r>
      <w:r w:rsidR="00DB0515" w:rsidRPr="002239BF">
        <w:rPr>
          <w:rFonts w:ascii="Times New Roman" w:hAnsi="Times New Roman" w:cs="Times New Roman"/>
          <w:sz w:val="24"/>
          <w:szCs w:val="24"/>
          <w:lang w:val="en-US"/>
        </w:rPr>
        <w:t xml:space="preserve"> which drew a clear connection between</w:t>
      </w:r>
      <w:r w:rsidR="000B23C5" w:rsidRPr="002239BF">
        <w:rPr>
          <w:rFonts w:ascii="Times New Roman" w:hAnsi="Times New Roman" w:cs="Times New Roman"/>
          <w:sz w:val="24"/>
          <w:szCs w:val="24"/>
          <w:lang w:val="en-US"/>
        </w:rPr>
        <w:t xml:space="preserve"> hard work and homeownership:</w:t>
      </w:r>
    </w:p>
    <w:p w14:paraId="17E93F90" w14:textId="77777777" w:rsidR="00B711A5" w:rsidRPr="002239BF" w:rsidRDefault="00B711A5" w:rsidP="00733DF3">
      <w:pPr>
        <w:pStyle w:val="NoSpacing"/>
        <w:spacing w:line="480" w:lineRule="auto"/>
        <w:rPr>
          <w:rFonts w:ascii="Times New Roman" w:hAnsi="Times New Roman" w:cs="Times New Roman"/>
          <w:sz w:val="24"/>
          <w:szCs w:val="24"/>
          <w:lang w:val="en-US"/>
        </w:rPr>
      </w:pPr>
    </w:p>
    <w:p w14:paraId="2A0AE8EE" w14:textId="165C26F0" w:rsidR="00674FD3" w:rsidRPr="002239BF" w:rsidRDefault="00B711A5" w:rsidP="00733DF3">
      <w:pPr>
        <w:pStyle w:val="NoSpacing"/>
        <w:spacing w:line="480" w:lineRule="auto"/>
        <w:ind w:left="540"/>
        <w:rPr>
          <w:rFonts w:ascii="Times New Roman" w:hAnsi="Times New Roman" w:cs="Times New Roman"/>
          <w:sz w:val="24"/>
          <w:szCs w:val="24"/>
          <w:lang w:val="en-US"/>
        </w:rPr>
      </w:pPr>
      <w:r w:rsidRPr="002239BF">
        <w:rPr>
          <w:rFonts w:ascii="Times New Roman" w:hAnsi="Times New Roman" w:cs="Times New Roman"/>
          <w:sz w:val="24"/>
          <w:szCs w:val="24"/>
        </w:rPr>
        <w:t>Conservatives … understand how good it feels when you have worked long hours, saved money for years, and finally take possession of the keys to your first home.</w:t>
      </w:r>
      <w:r w:rsidRPr="002239BF">
        <w:rPr>
          <w:rStyle w:val="FootnoteReference"/>
          <w:rFonts w:ascii="Times New Roman" w:hAnsi="Times New Roman" w:cs="Times New Roman"/>
          <w:sz w:val="24"/>
          <w:szCs w:val="24"/>
        </w:rPr>
        <w:footnoteReference w:id="180"/>
      </w:r>
    </w:p>
    <w:p w14:paraId="78DB252F" w14:textId="56BE27D5" w:rsidR="00C04D53" w:rsidRPr="002239BF" w:rsidRDefault="00C04D53" w:rsidP="00733DF3">
      <w:pPr>
        <w:spacing w:after="0" w:line="480" w:lineRule="auto"/>
        <w:rPr>
          <w:rFonts w:ascii="Times New Roman" w:hAnsi="Times New Roman" w:cs="Times New Roman"/>
          <w:sz w:val="24"/>
          <w:szCs w:val="24"/>
          <w:lang w:val="en-US"/>
        </w:rPr>
      </w:pPr>
    </w:p>
    <w:p w14:paraId="696BF1B7" w14:textId="13016C6C" w:rsidR="007D3B49" w:rsidRPr="002239BF" w:rsidRDefault="00B626B9" w:rsidP="00733DF3">
      <w:pPr>
        <w:spacing w:after="0" w:line="480" w:lineRule="auto"/>
        <w:rPr>
          <w:rFonts w:ascii="Times New Roman" w:hAnsi="Times New Roman" w:cs="Times New Roman"/>
          <w:sz w:val="24"/>
          <w:szCs w:val="24"/>
          <w:lang w:val="en-US"/>
        </w:rPr>
      </w:pPr>
      <w:r w:rsidRPr="002239BF">
        <w:rPr>
          <w:rFonts w:ascii="Times New Roman" w:hAnsi="Times New Roman" w:cs="Times New Roman"/>
          <w:sz w:val="24"/>
          <w:szCs w:val="24"/>
          <w:lang w:val="en-US"/>
        </w:rPr>
        <w:t xml:space="preserve">By necessary implication, </w:t>
      </w:r>
      <w:r w:rsidR="00274BB2" w:rsidRPr="002239BF">
        <w:rPr>
          <w:rFonts w:ascii="Times New Roman" w:hAnsi="Times New Roman" w:cs="Times New Roman"/>
          <w:sz w:val="24"/>
          <w:szCs w:val="24"/>
          <w:lang w:val="en-US"/>
        </w:rPr>
        <w:t>other non-ownership</w:t>
      </w:r>
      <w:r w:rsidRPr="002239BF">
        <w:rPr>
          <w:rFonts w:ascii="Times New Roman" w:hAnsi="Times New Roman" w:cs="Times New Roman"/>
          <w:sz w:val="24"/>
          <w:szCs w:val="24"/>
          <w:lang w:val="en-US"/>
        </w:rPr>
        <w:t xml:space="preserve"> housing tenures are </w:t>
      </w:r>
      <w:r w:rsidR="001C4DC2" w:rsidRPr="002239BF">
        <w:rPr>
          <w:rFonts w:ascii="Times New Roman" w:hAnsi="Times New Roman" w:cs="Times New Roman"/>
          <w:sz w:val="24"/>
          <w:szCs w:val="24"/>
          <w:lang w:val="en-US"/>
        </w:rPr>
        <w:t>for</w:t>
      </w:r>
      <w:r w:rsidRPr="002239BF">
        <w:rPr>
          <w:rFonts w:ascii="Times New Roman" w:hAnsi="Times New Roman" w:cs="Times New Roman"/>
          <w:sz w:val="24"/>
          <w:szCs w:val="24"/>
          <w:lang w:val="en-US"/>
        </w:rPr>
        <w:t xml:space="preserve"> the</w:t>
      </w:r>
      <w:r w:rsidR="004620AB" w:rsidRPr="002239BF">
        <w:rPr>
          <w:rFonts w:ascii="Times New Roman" w:hAnsi="Times New Roman" w:cs="Times New Roman"/>
          <w:sz w:val="24"/>
          <w:szCs w:val="24"/>
          <w:lang w:val="en-US"/>
        </w:rPr>
        <w:t xml:space="preserve"> less hard-working, the</w:t>
      </w:r>
      <w:r w:rsidRPr="002239BF">
        <w:rPr>
          <w:rFonts w:ascii="Times New Roman" w:hAnsi="Times New Roman" w:cs="Times New Roman"/>
          <w:sz w:val="24"/>
          <w:szCs w:val="24"/>
          <w:lang w:val="en-US"/>
        </w:rPr>
        <w:t xml:space="preserve"> idle or </w:t>
      </w:r>
      <w:r w:rsidR="007E2986" w:rsidRPr="002239BF">
        <w:rPr>
          <w:rFonts w:ascii="Times New Roman" w:hAnsi="Times New Roman" w:cs="Times New Roman"/>
          <w:sz w:val="24"/>
          <w:szCs w:val="24"/>
          <w:lang w:val="en-US"/>
        </w:rPr>
        <w:t>feckless.</w:t>
      </w:r>
      <w:r w:rsidR="009B7114" w:rsidRPr="002239BF">
        <w:rPr>
          <w:rFonts w:ascii="Times New Roman" w:hAnsi="Times New Roman" w:cs="Times New Roman"/>
          <w:sz w:val="24"/>
          <w:szCs w:val="24"/>
          <w:lang w:val="en-US"/>
        </w:rPr>
        <w:t xml:space="preserve"> This </w:t>
      </w:r>
      <w:r w:rsidR="001C4DC2" w:rsidRPr="002239BF">
        <w:rPr>
          <w:rFonts w:ascii="Times New Roman" w:hAnsi="Times New Roman" w:cs="Times New Roman"/>
          <w:sz w:val="24"/>
          <w:szCs w:val="24"/>
          <w:lang w:val="en-US"/>
        </w:rPr>
        <w:t xml:space="preserve">rhetoric evidences </w:t>
      </w:r>
      <w:r w:rsidR="009B7114" w:rsidRPr="002239BF">
        <w:rPr>
          <w:rFonts w:ascii="Times New Roman" w:hAnsi="Times New Roman" w:cs="Times New Roman"/>
          <w:sz w:val="24"/>
          <w:szCs w:val="24"/>
          <w:lang w:val="en-US"/>
        </w:rPr>
        <w:t xml:space="preserve">a </w:t>
      </w:r>
      <w:r w:rsidR="0004474E" w:rsidRPr="002239BF">
        <w:rPr>
          <w:rFonts w:ascii="Times New Roman" w:hAnsi="Times New Roman" w:cs="Times New Roman"/>
          <w:sz w:val="24"/>
          <w:szCs w:val="24"/>
          <w:lang w:val="en-US"/>
        </w:rPr>
        <w:t>deep morali</w:t>
      </w:r>
      <w:r w:rsidR="00E22F59" w:rsidRPr="002239BF">
        <w:rPr>
          <w:rFonts w:ascii="Times New Roman" w:hAnsi="Times New Roman" w:cs="Times New Roman"/>
          <w:sz w:val="24"/>
          <w:szCs w:val="24"/>
          <w:lang w:val="en-US"/>
        </w:rPr>
        <w:t>s</w:t>
      </w:r>
      <w:r w:rsidR="0004474E" w:rsidRPr="002239BF">
        <w:rPr>
          <w:rFonts w:ascii="Times New Roman" w:hAnsi="Times New Roman" w:cs="Times New Roman"/>
          <w:sz w:val="24"/>
          <w:szCs w:val="24"/>
          <w:lang w:val="en-US"/>
        </w:rPr>
        <w:t xml:space="preserve">ing and </w:t>
      </w:r>
      <w:r w:rsidR="00F24BC9" w:rsidRPr="002239BF">
        <w:rPr>
          <w:rFonts w:ascii="Times New Roman" w:hAnsi="Times New Roman" w:cs="Times New Roman"/>
          <w:sz w:val="24"/>
          <w:szCs w:val="24"/>
          <w:lang w:val="en-US"/>
        </w:rPr>
        <w:t>stigmati</w:t>
      </w:r>
      <w:r w:rsidR="00E22F59" w:rsidRPr="002239BF">
        <w:rPr>
          <w:rFonts w:ascii="Times New Roman" w:hAnsi="Times New Roman" w:cs="Times New Roman"/>
          <w:sz w:val="24"/>
          <w:szCs w:val="24"/>
          <w:lang w:val="en-US"/>
        </w:rPr>
        <w:t>s</w:t>
      </w:r>
      <w:r w:rsidR="00F24BC9" w:rsidRPr="002239BF">
        <w:rPr>
          <w:rFonts w:ascii="Times New Roman" w:hAnsi="Times New Roman" w:cs="Times New Roman"/>
          <w:sz w:val="24"/>
          <w:szCs w:val="24"/>
          <w:lang w:val="en-US"/>
        </w:rPr>
        <w:t xml:space="preserve">ation of the social sector, </w:t>
      </w:r>
      <w:r w:rsidR="00FB7AAB" w:rsidRPr="002239BF">
        <w:rPr>
          <w:rFonts w:ascii="Times New Roman" w:hAnsi="Times New Roman" w:cs="Times New Roman"/>
          <w:sz w:val="24"/>
          <w:szCs w:val="24"/>
          <w:lang w:val="en-US"/>
        </w:rPr>
        <w:t>which has a long history in British housing policy.</w:t>
      </w:r>
      <w:r w:rsidR="00A00DAD" w:rsidRPr="002239BF">
        <w:rPr>
          <w:rStyle w:val="FootnoteReference"/>
          <w:rFonts w:ascii="Times New Roman" w:hAnsi="Times New Roman" w:cs="Times New Roman"/>
          <w:sz w:val="24"/>
          <w:szCs w:val="24"/>
          <w:lang w:val="en-US"/>
        </w:rPr>
        <w:footnoteReference w:id="181"/>
      </w:r>
      <w:r w:rsidR="00FB7AAB" w:rsidRPr="002239BF">
        <w:rPr>
          <w:rFonts w:ascii="Times New Roman" w:hAnsi="Times New Roman" w:cs="Times New Roman"/>
          <w:sz w:val="24"/>
          <w:szCs w:val="24"/>
          <w:lang w:val="en-US"/>
        </w:rPr>
        <w:t xml:space="preserve"> </w:t>
      </w:r>
      <w:r w:rsidR="006D185C" w:rsidRPr="002239BF">
        <w:rPr>
          <w:rFonts w:ascii="Times New Roman" w:hAnsi="Times New Roman" w:cs="Times New Roman"/>
          <w:sz w:val="24"/>
          <w:szCs w:val="24"/>
          <w:lang w:val="en-US"/>
        </w:rPr>
        <w:t>As Gregory notes, ‘whereas homeownership is presented as a means of creating virtuous citizens, social housing is increasingly depicted as creating the vice of welfare dependence.’</w:t>
      </w:r>
      <w:r w:rsidR="006D185C" w:rsidRPr="002239BF">
        <w:rPr>
          <w:rStyle w:val="FootnoteReference"/>
          <w:rFonts w:ascii="Times New Roman" w:hAnsi="Times New Roman" w:cs="Times New Roman"/>
          <w:sz w:val="24"/>
          <w:szCs w:val="24"/>
          <w:lang w:val="en-US"/>
        </w:rPr>
        <w:footnoteReference w:id="182"/>
      </w:r>
      <w:r w:rsidR="006D185C" w:rsidRPr="002239BF">
        <w:rPr>
          <w:rFonts w:ascii="Times New Roman" w:hAnsi="Times New Roman" w:cs="Times New Roman"/>
          <w:sz w:val="24"/>
          <w:szCs w:val="24"/>
          <w:lang w:val="en-US"/>
        </w:rPr>
        <w:t xml:space="preserve"> </w:t>
      </w:r>
      <w:r w:rsidR="00480BB1" w:rsidRPr="002239BF">
        <w:rPr>
          <w:rFonts w:ascii="Times New Roman" w:hAnsi="Times New Roman" w:cs="Times New Roman"/>
          <w:sz w:val="24"/>
          <w:szCs w:val="24"/>
          <w:lang w:val="en-US"/>
        </w:rPr>
        <w:t>Owning a home is what good citizens do</w:t>
      </w:r>
      <w:r w:rsidR="00856FF4" w:rsidRPr="002239BF">
        <w:rPr>
          <w:rFonts w:ascii="Times New Roman" w:hAnsi="Times New Roman" w:cs="Times New Roman"/>
          <w:sz w:val="24"/>
          <w:szCs w:val="24"/>
          <w:lang w:val="en-US"/>
        </w:rPr>
        <w:t xml:space="preserve">. </w:t>
      </w:r>
      <w:r w:rsidR="00480BB1" w:rsidRPr="002239BF">
        <w:rPr>
          <w:rFonts w:ascii="Times New Roman" w:hAnsi="Times New Roman" w:cs="Times New Roman"/>
          <w:sz w:val="24"/>
          <w:szCs w:val="24"/>
          <w:lang w:val="en-US"/>
        </w:rPr>
        <w:t xml:space="preserve">Other tenures are reserved for </w:t>
      </w:r>
      <w:r w:rsidR="00545A82" w:rsidRPr="002239BF">
        <w:rPr>
          <w:rFonts w:ascii="Times New Roman" w:hAnsi="Times New Roman" w:cs="Times New Roman"/>
          <w:sz w:val="24"/>
          <w:szCs w:val="24"/>
          <w:lang w:val="en-US"/>
        </w:rPr>
        <w:t>those in short-term housing emergency</w:t>
      </w:r>
      <w:r w:rsidR="0022070B" w:rsidRPr="002239BF">
        <w:rPr>
          <w:rStyle w:val="FootnoteReference"/>
          <w:rFonts w:ascii="Times New Roman" w:hAnsi="Times New Roman" w:cs="Times New Roman"/>
          <w:sz w:val="24"/>
          <w:szCs w:val="24"/>
          <w:lang w:val="en-US"/>
        </w:rPr>
        <w:footnoteReference w:id="183"/>
      </w:r>
      <w:r w:rsidR="00545A82" w:rsidRPr="002239BF">
        <w:rPr>
          <w:rFonts w:ascii="Times New Roman" w:hAnsi="Times New Roman" w:cs="Times New Roman"/>
          <w:sz w:val="24"/>
          <w:szCs w:val="24"/>
          <w:lang w:val="en-US"/>
        </w:rPr>
        <w:t xml:space="preserve"> or </w:t>
      </w:r>
      <w:r w:rsidR="001C4DC2" w:rsidRPr="002239BF">
        <w:rPr>
          <w:rFonts w:ascii="Times New Roman" w:hAnsi="Times New Roman" w:cs="Times New Roman"/>
          <w:sz w:val="24"/>
          <w:szCs w:val="24"/>
          <w:lang w:val="en-US"/>
        </w:rPr>
        <w:t>for households</w:t>
      </w:r>
      <w:r w:rsidR="00545A82" w:rsidRPr="002239BF">
        <w:rPr>
          <w:rFonts w:ascii="Times New Roman" w:hAnsi="Times New Roman" w:cs="Times New Roman"/>
          <w:sz w:val="24"/>
          <w:szCs w:val="24"/>
          <w:lang w:val="en-US"/>
        </w:rPr>
        <w:t xml:space="preserve"> who are </w:t>
      </w:r>
      <w:r w:rsidR="00E22F59" w:rsidRPr="002239BF">
        <w:rPr>
          <w:rFonts w:ascii="Times New Roman" w:hAnsi="Times New Roman" w:cs="Times New Roman"/>
          <w:sz w:val="24"/>
          <w:szCs w:val="24"/>
          <w:lang w:val="en-US"/>
        </w:rPr>
        <w:t xml:space="preserve">not </w:t>
      </w:r>
      <w:r w:rsidR="00545A82" w:rsidRPr="002239BF">
        <w:rPr>
          <w:rFonts w:ascii="Times New Roman" w:hAnsi="Times New Roman" w:cs="Times New Roman"/>
          <w:sz w:val="24"/>
          <w:szCs w:val="24"/>
          <w:lang w:val="en-US"/>
        </w:rPr>
        <w:t>yet to realise the ‘dream’ of buying a home.</w:t>
      </w:r>
      <w:r w:rsidR="00856FF4" w:rsidRPr="002239BF">
        <w:rPr>
          <w:rFonts w:ascii="Times New Roman" w:hAnsi="Times New Roman" w:cs="Times New Roman"/>
          <w:sz w:val="24"/>
          <w:szCs w:val="24"/>
          <w:lang w:val="en-US"/>
        </w:rPr>
        <w:t xml:space="preserve"> Those who cannot own a home are therefore de</w:t>
      </w:r>
      <w:r w:rsidR="00805328" w:rsidRPr="002239BF">
        <w:rPr>
          <w:rFonts w:ascii="Times New Roman" w:hAnsi="Times New Roman" w:cs="Times New Roman"/>
          <w:sz w:val="24"/>
          <w:szCs w:val="24"/>
          <w:lang w:val="en-US"/>
        </w:rPr>
        <w:t>-</w:t>
      </w:r>
      <w:r w:rsidR="00856FF4" w:rsidRPr="002239BF">
        <w:rPr>
          <w:rFonts w:ascii="Times New Roman" w:hAnsi="Times New Roman" w:cs="Times New Roman"/>
          <w:sz w:val="24"/>
          <w:szCs w:val="24"/>
          <w:lang w:val="en-US"/>
        </w:rPr>
        <w:t>mor</w:t>
      </w:r>
      <w:r w:rsidR="009A1A60" w:rsidRPr="002239BF">
        <w:rPr>
          <w:rFonts w:ascii="Times New Roman" w:hAnsi="Times New Roman" w:cs="Times New Roman"/>
          <w:sz w:val="24"/>
          <w:szCs w:val="24"/>
          <w:lang w:val="en-US"/>
        </w:rPr>
        <w:t>a</w:t>
      </w:r>
      <w:r w:rsidR="00856FF4" w:rsidRPr="002239BF">
        <w:rPr>
          <w:rFonts w:ascii="Times New Roman" w:hAnsi="Times New Roman" w:cs="Times New Roman"/>
          <w:sz w:val="24"/>
          <w:szCs w:val="24"/>
          <w:lang w:val="en-US"/>
        </w:rPr>
        <w:t xml:space="preserve">lised, degraded, perhaps </w:t>
      </w:r>
      <w:r w:rsidR="00E22F59" w:rsidRPr="002239BF">
        <w:rPr>
          <w:rFonts w:ascii="Times New Roman" w:hAnsi="Times New Roman" w:cs="Times New Roman"/>
          <w:sz w:val="24"/>
          <w:szCs w:val="24"/>
          <w:lang w:val="en-US"/>
        </w:rPr>
        <w:t xml:space="preserve">even </w:t>
      </w:r>
      <w:r w:rsidR="00856FF4" w:rsidRPr="002239BF">
        <w:rPr>
          <w:rFonts w:ascii="Times New Roman" w:hAnsi="Times New Roman" w:cs="Times New Roman"/>
          <w:sz w:val="24"/>
          <w:szCs w:val="24"/>
          <w:lang w:val="en-US"/>
        </w:rPr>
        <w:t>de</w:t>
      </w:r>
      <w:r w:rsidR="00805328" w:rsidRPr="002239BF">
        <w:rPr>
          <w:rFonts w:ascii="Times New Roman" w:hAnsi="Times New Roman" w:cs="Times New Roman"/>
          <w:sz w:val="24"/>
          <w:szCs w:val="24"/>
          <w:lang w:val="en-US"/>
        </w:rPr>
        <w:t>-</w:t>
      </w:r>
      <w:r w:rsidR="00856FF4" w:rsidRPr="002239BF">
        <w:rPr>
          <w:rFonts w:ascii="Times New Roman" w:hAnsi="Times New Roman" w:cs="Times New Roman"/>
          <w:sz w:val="24"/>
          <w:szCs w:val="24"/>
          <w:lang w:val="en-US"/>
        </w:rPr>
        <w:t>humani</w:t>
      </w:r>
      <w:r w:rsidR="00E22F59" w:rsidRPr="002239BF">
        <w:rPr>
          <w:rFonts w:ascii="Times New Roman" w:hAnsi="Times New Roman" w:cs="Times New Roman"/>
          <w:sz w:val="24"/>
          <w:szCs w:val="24"/>
          <w:lang w:val="en-US"/>
        </w:rPr>
        <w:t>s</w:t>
      </w:r>
      <w:r w:rsidR="00856FF4" w:rsidRPr="002239BF">
        <w:rPr>
          <w:rFonts w:ascii="Times New Roman" w:hAnsi="Times New Roman" w:cs="Times New Roman"/>
          <w:sz w:val="24"/>
          <w:szCs w:val="24"/>
          <w:lang w:val="en-US"/>
        </w:rPr>
        <w:t>ed.</w:t>
      </w:r>
      <w:r w:rsidR="00545A82" w:rsidRPr="002239BF">
        <w:rPr>
          <w:rFonts w:ascii="Times New Roman" w:hAnsi="Times New Roman" w:cs="Times New Roman"/>
          <w:sz w:val="24"/>
          <w:szCs w:val="24"/>
        </w:rPr>
        <w:t xml:space="preserve"> </w:t>
      </w:r>
      <w:r w:rsidR="00E63581" w:rsidRPr="002239BF">
        <w:rPr>
          <w:rFonts w:ascii="Times New Roman" w:hAnsi="Times New Roman" w:cs="Times New Roman"/>
          <w:sz w:val="24"/>
          <w:szCs w:val="24"/>
          <w:lang w:val="en-US"/>
        </w:rPr>
        <w:t>This</w:t>
      </w:r>
      <w:r w:rsidR="001C41FC" w:rsidRPr="002239BF">
        <w:rPr>
          <w:rFonts w:ascii="Times New Roman" w:hAnsi="Times New Roman" w:cs="Times New Roman"/>
          <w:sz w:val="24"/>
          <w:szCs w:val="24"/>
          <w:lang w:val="en-US"/>
        </w:rPr>
        <w:t xml:space="preserve"> deep</w:t>
      </w:r>
      <w:r w:rsidR="00132A40" w:rsidRPr="002239BF">
        <w:rPr>
          <w:rFonts w:ascii="Times New Roman" w:hAnsi="Times New Roman" w:cs="Times New Roman"/>
          <w:sz w:val="24"/>
          <w:szCs w:val="24"/>
          <w:lang w:val="en-US"/>
        </w:rPr>
        <w:t xml:space="preserve"> </w:t>
      </w:r>
      <w:r w:rsidR="007D3B49" w:rsidRPr="002239BF">
        <w:rPr>
          <w:rFonts w:ascii="Times New Roman" w:hAnsi="Times New Roman" w:cs="Times New Roman"/>
          <w:sz w:val="24"/>
          <w:szCs w:val="24"/>
          <w:lang w:val="en-US"/>
        </w:rPr>
        <w:t>morali</w:t>
      </w:r>
      <w:r w:rsidR="00E22F59" w:rsidRPr="002239BF">
        <w:rPr>
          <w:rFonts w:ascii="Times New Roman" w:hAnsi="Times New Roman" w:cs="Times New Roman"/>
          <w:sz w:val="24"/>
          <w:szCs w:val="24"/>
          <w:lang w:val="en-US"/>
        </w:rPr>
        <w:t>s</w:t>
      </w:r>
      <w:r w:rsidR="007D3B49" w:rsidRPr="002239BF">
        <w:rPr>
          <w:rFonts w:ascii="Times New Roman" w:hAnsi="Times New Roman" w:cs="Times New Roman"/>
          <w:sz w:val="24"/>
          <w:szCs w:val="24"/>
          <w:lang w:val="en-US"/>
        </w:rPr>
        <w:t xml:space="preserve">ation </w:t>
      </w:r>
      <w:r w:rsidR="006766B7" w:rsidRPr="002239BF">
        <w:rPr>
          <w:rFonts w:ascii="Times New Roman" w:hAnsi="Times New Roman" w:cs="Times New Roman"/>
          <w:sz w:val="24"/>
          <w:szCs w:val="24"/>
          <w:lang w:val="en-US"/>
        </w:rPr>
        <w:t>springs from the Conservative Party’s rejection of so-called ‘moral n</w:t>
      </w:r>
      <w:r w:rsidR="00805328" w:rsidRPr="002239BF">
        <w:rPr>
          <w:rFonts w:ascii="Times New Roman" w:hAnsi="Times New Roman" w:cs="Times New Roman"/>
          <w:sz w:val="24"/>
          <w:szCs w:val="24"/>
          <w:lang w:val="en-US"/>
        </w:rPr>
        <w:t xml:space="preserve">eutrality’ in policy making. </w:t>
      </w:r>
      <w:r w:rsidR="006766B7" w:rsidRPr="002239BF">
        <w:rPr>
          <w:rFonts w:ascii="Times New Roman" w:hAnsi="Times New Roman" w:cs="Times New Roman"/>
          <w:sz w:val="24"/>
          <w:szCs w:val="24"/>
          <w:lang w:val="en-US"/>
        </w:rPr>
        <w:t xml:space="preserve">David Cameron </w:t>
      </w:r>
      <w:r w:rsidR="001C4DC2" w:rsidRPr="002239BF">
        <w:rPr>
          <w:rFonts w:ascii="Times New Roman" w:hAnsi="Times New Roman" w:cs="Times New Roman"/>
          <w:sz w:val="24"/>
          <w:szCs w:val="24"/>
          <w:lang w:val="en-US"/>
        </w:rPr>
        <w:t>i</w:t>
      </w:r>
      <w:r w:rsidR="007D3B49" w:rsidRPr="002239BF">
        <w:rPr>
          <w:rFonts w:ascii="Times New Roman" w:hAnsi="Times New Roman" w:cs="Times New Roman"/>
          <w:sz w:val="24"/>
          <w:szCs w:val="24"/>
          <w:lang w:val="en-US"/>
        </w:rPr>
        <w:t>n 2008</w:t>
      </w:r>
      <w:r w:rsidR="00805328" w:rsidRPr="002239BF">
        <w:rPr>
          <w:rFonts w:ascii="Times New Roman" w:hAnsi="Times New Roman" w:cs="Times New Roman"/>
          <w:sz w:val="24"/>
          <w:szCs w:val="24"/>
          <w:lang w:val="en-US"/>
        </w:rPr>
        <w:t xml:space="preserve">, </w:t>
      </w:r>
      <w:r w:rsidR="007D3B49" w:rsidRPr="002239BF">
        <w:rPr>
          <w:rFonts w:ascii="Times New Roman" w:hAnsi="Times New Roman" w:cs="Times New Roman"/>
          <w:sz w:val="24"/>
          <w:szCs w:val="24"/>
          <w:lang w:val="en-US"/>
        </w:rPr>
        <w:t xml:space="preserve">whilst in opposition, urged </w:t>
      </w:r>
      <w:r w:rsidR="00185448" w:rsidRPr="002239BF">
        <w:rPr>
          <w:rFonts w:ascii="Times New Roman" w:hAnsi="Times New Roman" w:cs="Times New Roman"/>
          <w:sz w:val="24"/>
          <w:szCs w:val="24"/>
          <w:lang w:val="en-US"/>
        </w:rPr>
        <w:t xml:space="preserve">his party </w:t>
      </w:r>
      <w:r w:rsidR="007D3B49" w:rsidRPr="002239BF">
        <w:rPr>
          <w:rFonts w:ascii="Times New Roman" w:hAnsi="Times New Roman" w:cs="Times New Roman"/>
          <w:sz w:val="24"/>
          <w:szCs w:val="24"/>
          <w:lang w:val="en-US"/>
        </w:rPr>
        <w:t xml:space="preserve">to reject </w:t>
      </w:r>
      <w:r w:rsidR="00805328" w:rsidRPr="002239BF">
        <w:rPr>
          <w:rFonts w:ascii="Times New Roman" w:hAnsi="Times New Roman" w:cs="Times New Roman"/>
          <w:sz w:val="24"/>
          <w:szCs w:val="24"/>
          <w:lang w:val="en-US"/>
        </w:rPr>
        <w:t xml:space="preserve">such </w:t>
      </w:r>
      <w:r w:rsidR="007D3B49" w:rsidRPr="002239BF">
        <w:rPr>
          <w:rFonts w:ascii="Times New Roman" w:hAnsi="Times New Roman" w:cs="Times New Roman"/>
          <w:sz w:val="24"/>
          <w:szCs w:val="24"/>
          <w:lang w:val="en-US"/>
        </w:rPr>
        <w:t>neutrality</w:t>
      </w:r>
      <w:r w:rsidR="00191709" w:rsidRPr="002239BF">
        <w:rPr>
          <w:rFonts w:ascii="Times New Roman" w:hAnsi="Times New Roman" w:cs="Times New Roman"/>
          <w:sz w:val="24"/>
          <w:szCs w:val="24"/>
          <w:lang w:val="en-US"/>
        </w:rPr>
        <w:t>’</w:t>
      </w:r>
      <w:r w:rsidR="00805328" w:rsidRPr="002239BF">
        <w:rPr>
          <w:rFonts w:ascii="Times New Roman" w:hAnsi="Times New Roman" w:cs="Times New Roman"/>
          <w:sz w:val="24"/>
          <w:szCs w:val="24"/>
          <w:lang w:val="en-US"/>
        </w:rPr>
        <w:t>:</w:t>
      </w:r>
    </w:p>
    <w:p w14:paraId="02A6C51B" w14:textId="77777777" w:rsidR="007D3B49" w:rsidRPr="002239BF" w:rsidRDefault="007D3B49" w:rsidP="00733DF3">
      <w:pPr>
        <w:spacing w:after="0" w:line="480" w:lineRule="auto"/>
        <w:rPr>
          <w:rFonts w:ascii="Times New Roman" w:hAnsi="Times New Roman" w:cs="Times New Roman"/>
          <w:sz w:val="24"/>
          <w:szCs w:val="24"/>
          <w:lang w:val="en-US"/>
        </w:rPr>
      </w:pPr>
    </w:p>
    <w:p w14:paraId="23816575" w14:textId="19CB9F93" w:rsidR="00C16564" w:rsidRPr="002239BF" w:rsidRDefault="007D3B49" w:rsidP="00733DF3">
      <w:pPr>
        <w:spacing w:after="0" w:line="480" w:lineRule="auto"/>
        <w:ind w:left="540"/>
        <w:rPr>
          <w:rFonts w:ascii="Times New Roman" w:hAnsi="Times New Roman" w:cs="Times New Roman"/>
          <w:sz w:val="24"/>
          <w:szCs w:val="24"/>
          <w:lang w:val="en-US"/>
        </w:rPr>
      </w:pPr>
      <w:r w:rsidRPr="002239BF">
        <w:rPr>
          <w:rFonts w:ascii="Times New Roman" w:hAnsi="Times New Roman" w:cs="Times New Roman"/>
          <w:sz w:val="24"/>
          <w:szCs w:val="24"/>
          <w:lang w:val="en-US"/>
        </w:rPr>
        <w:t>[Politic</w:t>
      </w:r>
      <w:r w:rsidR="006A0E7E" w:rsidRPr="002239BF">
        <w:rPr>
          <w:rFonts w:ascii="Times New Roman" w:hAnsi="Times New Roman" w:cs="Times New Roman"/>
          <w:sz w:val="24"/>
          <w:szCs w:val="24"/>
          <w:lang w:val="en-US"/>
        </w:rPr>
        <w:t>i</w:t>
      </w:r>
      <w:r w:rsidRPr="002239BF">
        <w:rPr>
          <w:rFonts w:ascii="Times New Roman" w:hAnsi="Times New Roman" w:cs="Times New Roman"/>
          <w:sz w:val="24"/>
          <w:szCs w:val="24"/>
          <w:lang w:val="en-US"/>
        </w:rPr>
        <w:t>ans] prefer moral neutrality, a refusal to make judgments about what is good and bad behaviour, right and wrong behaviour. Bad. Good. Right. Wrong. These are words that our political system and our public sector scarcely dare use any more.</w:t>
      </w:r>
      <w:r w:rsidR="006766B7" w:rsidRPr="002239BF">
        <w:rPr>
          <w:rStyle w:val="FootnoteReference"/>
          <w:rFonts w:ascii="Times New Roman" w:hAnsi="Times New Roman" w:cs="Times New Roman"/>
          <w:sz w:val="24"/>
          <w:szCs w:val="24"/>
          <w:lang w:val="en-US"/>
        </w:rPr>
        <w:footnoteReference w:id="184"/>
      </w:r>
    </w:p>
    <w:p w14:paraId="2E43F865" w14:textId="739183C9" w:rsidR="00C16564" w:rsidRPr="002239BF" w:rsidRDefault="00C16564" w:rsidP="00733DF3">
      <w:pPr>
        <w:spacing w:after="0" w:line="480" w:lineRule="auto"/>
        <w:rPr>
          <w:rFonts w:ascii="Times New Roman" w:hAnsi="Times New Roman" w:cs="Times New Roman"/>
          <w:sz w:val="24"/>
          <w:szCs w:val="24"/>
          <w:lang w:val="en-US"/>
        </w:rPr>
      </w:pPr>
    </w:p>
    <w:p w14:paraId="39C7B722" w14:textId="19D71844" w:rsidR="004E1F33" w:rsidRPr="002239BF" w:rsidRDefault="00185448" w:rsidP="00733DF3">
      <w:pPr>
        <w:pStyle w:val="NoSpacing"/>
        <w:spacing w:line="480" w:lineRule="auto"/>
        <w:rPr>
          <w:rFonts w:ascii="Times New Roman" w:hAnsi="Times New Roman" w:cs="Times New Roman"/>
          <w:sz w:val="24"/>
          <w:szCs w:val="24"/>
        </w:rPr>
      </w:pPr>
      <w:r w:rsidRPr="002239BF">
        <w:rPr>
          <w:rFonts w:ascii="Times New Roman" w:hAnsi="Times New Roman" w:cs="Times New Roman"/>
          <w:sz w:val="24"/>
          <w:szCs w:val="24"/>
          <w:lang w:val="en-US"/>
        </w:rPr>
        <w:t xml:space="preserve">This </w:t>
      </w:r>
      <w:r w:rsidR="0022114B" w:rsidRPr="002239BF">
        <w:rPr>
          <w:rFonts w:ascii="Times New Roman" w:hAnsi="Times New Roman" w:cs="Times New Roman"/>
          <w:sz w:val="24"/>
          <w:szCs w:val="24"/>
          <w:lang w:val="en-US"/>
        </w:rPr>
        <w:t>sense</w:t>
      </w:r>
      <w:r w:rsidRPr="002239BF">
        <w:rPr>
          <w:rFonts w:ascii="Times New Roman" w:hAnsi="Times New Roman" w:cs="Times New Roman"/>
          <w:sz w:val="24"/>
          <w:szCs w:val="24"/>
          <w:lang w:val="en-US"/>
        </w:rPr>
        <w:t xml:space="preserve"> of moralising </w:t>
      </w:r>
      <w:r w:rsidR="0022114B" w:rsidRPr="002239BF">
        <w:rPr>
          <w:rFonts w:ascii="Times New Roman" w:hAnsi="Times New Roman" w:cs="Times New Roman"/>
          <w:sz w:val="24"/>
          <w:szCs w:val="24"/>
          <w:lang w:val="en-US"/>
        </w:rPr>
        <w:t xml:space="preserve">and rejection of moral neutrality </w:t>
      </w:r>
      <w:r w:rsidRPr="002239BF">
        <w:rPr>
          <w:rFonts w:ascii="Times New Roman" w:hAnsi="Times New Roman" w:cs="Times New Roman"/>
          <w:sz w:val="24"/>
          <w:szCs w:val="24"/>
          <w:lang w:val="en-US"/>
        </w:rPr>
        <w:t xml:space="preserve">thrives </w:t>
      </w:r>
      <w:r w:rsidR="004D135A" w:rsidRPr="002239BF">
        <w:rPr>
          <w:rFonts w:ascii="Times New Roman" w:hAnsi="Times New Roman" w:cs="Times New Roman"/>
          <w:sz w:val="24"/>
          <w:szCs w:val="24"/>
          <w:lang w:val="en-US"/>
        </w:rPr>
        <w:t>under the</w:t>
      </w:r>
      <w:r w:rsidRPr="002239BF">
        <w:rPr>
          <w:rFonts w:ascii="Times New Roman" w:hAnsi="Times New Roman" w:cs="Times New Roman"/>
          <w:sz w:val="24"/>
          <w:szCs w:val="24"/>
          <w:lang w:val="en-US"/>
        </w:rPr>
        <w:t xml:space="preserve"> 2016 Act where owning your own home is </w:t>
      </w:r>
      <w:r w:rsidR="00951BF8" w:rsidRPr="002239BF">
        <w:rPr>
          <w:rFonts w:ascii="Times New Roman" w:hAnsi="Times New Roman" w:cs="Times New Roman"/>
          <w:sz w:val="24"/>
          <w:szCs w:val="24"/>
          <w:lang w:val="en-US"/>
        </w:rPr>
        <w:t>offered</w:t>
      </w:r>
      <w:r w:rsidRPr="002239BF">
        <w:rPr>
          <w:rFonts w:ascii="Times New Roman" w:hAnsi="Times New Roman" w:cs="Times New Roman"/>
          <w:sz w:val="24"/>
          <w:szCs w:val="24"/>
          <w:lang w:val="en-US"/>
        </w:rPr>
        <w:t xml:space="preserve"> as the ‘</w:t>
      </w:r>
      <w:r w:rsidR="00F1767C" w:rsidRPr="002239BF">
        <w:rPr>
          <w:rFonts w:ascii="Times New Roman" w:hAnsi="Times New Roman" w:cs="Times New Roman"/>
          <w:sz w:val="24"/>
          <w:szCs w:val="24"/>
          <w:lang w:val="en-US"/>
        </w:rPr>
        <w:t>right’</w:t>
      </w:r>
      <w:r w:rsidRPr="002239BF">
        <w:rPr>
          <w:rFonts w:ascii="Times New Roman" w:hAnsi="Times New Roman" w:cs="Times New Roman"/>
          <w:sz w:val="24"/>
          <w:szCs w:val="24"/>
          <w:lang w:val="en-US"/>
        </w:rPr>
        <w:t xml:space="preserve"> housing choice, the responsible </w:t>
      </w:r>
      <w:r w:rsidR="001C4DC2" w:rsidRPr="002239BF">
        <w:rPr>
          <w:rFonts w:ascii="Times New Roman" w:hAnsi="Times New Roman" w:cs="Times New Roman"/>
          <w:sz w:val="24"/>
          <w:szCs w:val="24"/>
          <w:lang w:val="en-US"/>
        </w:rPr>
        <w:t xml:space="preserve">and </w:t>
      </w:r>
      <w:r w:rsidRPr="002239BF">
        <w:rPr>
          <w:rFonts w:ascii="Times New Roman" w:hAnsi="Times New Roman" w:cs="Times New Roman"/>
          <w:sz w:val="24"/>
          <w:szCs w:val="24"/>
          <w:lang w:val="en-US"/>
        </w:rPr>
        <w:t>moral option.</w:t>
      </w:r>
      <w:r w:rsidR="007B7A85" w:rsidRPr="002239BF">
        <w:rPr>
          <w:rFonts w:ascii="Times New Roman" w:hAnsi="Times New Roman" w:cs="Times New Roman"/>
          <w:sz w:val="24"/>
          <w:szCs w:val="24"/>
          <w:lang w:val="en-US"/>
        </w:rPr>
        <w:t xml:space="preserve"> </w:t>
      </w:r>
      <w:r w:rsidR="00951BF8" w:rsidRPr="002239BF">
        <w:rPr>
          <w:rFonts w:ascii="Times New Roman" w:hAnsi="Times New Roman" w:cs="Times New Roman"/>
          <w:sz w:val="24"/>
          <w:szCs w:val="24"/>
          <w:lang w:val="en-US"/>
        </w:rPr>
        <w:t>By</w:t>
      </w:r>
      <w:r w:rsidR="007B7A85" w:rsidRPr="002239BF">
        <w:rPr>
          <w:rFonts w:ascii="Times New Roman" w:hAnsi="Times New Roman" w:cs="Times New Roman"/>
          <w:sz w:val="24"/>
          <w:szCs w:val="24"/>
          <w:lang w:val="en-US"/>
        </w:rPr>
        <w:t xml:space="preserve"> contrast renting, particularly social sector</w:t>
      </w:r>
      <w:r w:rsidR="000D6BA0" w:rsidRPr="002239BF">
        <w:rPr>
          <w:rFonts w:ascii="Times New Roman" w:hAnsi="Times New Roman" w:cs="Times New Roman"/>
          <w:sz w:val="24"/>
          <w:szCs w:val="24"/>
          <w:lang w:val="en-US"/>
        </w:rPr>
        <w:t xml:space="preserve"> renting</w:t>
      </w:r>
      <w:r w:rsidR="007B7A85" w:rsidRPr="002239BF">
        <w:rPr>
          <w:rFonts w:ascii="Times New Roman" w:hAnsi="Times New Roman" w:cs="Times New Roman"/>
          <w:sz w:val="24"/>
          <w:szCs w:val="24"/>
          <w:lang w:val="en-US"/>
        </w:rPr>
        <w:t xml:space="preserve">, is </w:t>
      </w:r>
      <w:r w:rsidR="008A449A" w:rsidRPr="002239BF">
        <w:rPr>
          <w:rFonts w:ascii="Times New Roman" w:hAnsi="Times New Roman" w:cs="Times New Roman"/>
          <w:sz w:val="24"/>
          <w:szCs w:val="24"/>
          <w:lang w:val="en-US"/>
        </w:rPr>
        <w:t>depicted</w:t>
      </w:r>
      <w:r w:rsidR="007B7A85" w:rsidRPr="002239BF">
        <w:rPr>
          <w:rFonts w:ascii="Times New Roman" w:hAnsi="Times New Roman" w:cs="Times New Roman"/>
          <w:sz w:val="24"/>
          <w:szCs w:val="24"/>
          <w:lang w:val="en-US"/>
        </w:rPr>
        <w:t xml:space="preserve"> as the</w:t>
      </w:r>
      <w:r w:rsidR="008A449A" w:rsidRPr="002239BF">
        <w:rPr>
          <w:rFonts w:ascii="Times New Roman" w:hAnsi="Times New Roman" w:cs="Times New Roman"/>
          <w:sz w:val="24"/>
          <w:szCs w:val="24"/>
          <w:lang w:val="en-US"/>
        </w:rPr>
        <w:t xml:space="preserve"> second class,</w:t>
      </w:r>
      <w:r w:rsidR="007B7A85" w:rsidRPr="002239BF">
        <w:rPr>
          <w:rFonts w:ascii="Times New Roman" w:hAnsi="Times New Roman" w:cs="Times New Roman"/>
          <w:sz w:val="24"/>
          <w:szCs w:val="24"/>
          <w:lang w:val="en-US"/>
        </w:rPr>
        <w:t xml:space="preserve"> transitory,</w:t>
      </w:r>
      <w:r w:rsidR="002146BE" w:rsidRPr="002239BF">
        <w:rPr>
          <w:rFonts w:ascii="Times New Roman" w:hAnsi="Times New Roman" w:cs="Times New Roman"/>
          <w:sz w:val="24"/>
          <w:szCs w:val="24"/>
          <w:lang w:val="en-US"/>
        </w:rPr>
        <w:t xml:space="preserve"> </w:t>
      </w:r>
      <w:r w:rsidR="00EA0ADF" w:rsidRPr="002239BF">
        <w:rPr>
          <w:rFonts w:ascii="Times New Roman" w:hAnsi="Times New Roman" w:cs="Times New Roman"/>
          <w:sz w:val="24"/>
          <w:szCs w:val="24"/>
          <w:lang w:val="en-US"/>
        </w:rPr>
        <w:t>housing choice.</w:t>
      </w:r>
      <w:r w:rsidR="00572CF7" w:rsidRPr="002239BF">
        <w:rPr>
          <w:rFonts w:ascii="Times New Roman" w:hAnsi="Times New Roman" w:cs="Times New Roman"/>
          <w:sz w:val="24"/>
          <w:szCs w:val="24"/>
          <w:lang w:val="en-US"/>
        </w:rPr>
        <w:t xml:space="preserve"> </w:t>
      </w:r>
      <w:r w:rsidR="007F7413" w:rsidRPr="002239BF">
        <w:rPr>
          <w:rFonts w:ascii="Times New Roman" w:hAnsi="Times New Roman" w:cs="Times New Roman"/>
          <w:sz w:val="24"/>
          <w:szCs w:val="24"/>
        </w:rPr>
        <w:t xml:space="preserve">Hancock and </w:t>
      </w:r>
      <w:r w:rsidR="00572CF7" w:rsidRPr="002239BF">
        <w:rPr>
          <w:rFonts w:ascii="Times New Roman" w:hAnsi="Times New Roman" w:cs="Times New Roman"/>
          <w:sz w:val="24"/>
          <w:szCs w:val="24"/>
        </w:rPr>
        <w:t>Moone</w:t>
      </w:r>
      <w:r w:rsidR="00191709" w:rsidRPr="002239BF">
        <w:rPr>
          <w:rFonts w:ascii="Times New Roman" w:hAnsi="Times New Roman" w:cs="Times New Roman"/>
          <w:sz w:val="24"/>
          <w:szCs w:val="24"/>
        </w:rPr>
        <w:t>y</w:t>
      </w:r>
      <w:r w:rsidR="001C4DC2" w:rsidRPr="002239BF">
        <w:rPr>
          <w:rFonts w:ascii="Times New Roman" w:hAnsi="Times New Roman" w:cs="Times New Roman"/>
          <w:sz w:val="24"/>
          <w:szCs w:val="24"/>
        </w:rPr>
        <w:t>,</w:t>
      </w:r>
      <w:r w:rsidR="00191709" w:rsidRPr="002239BF">
        <w:rPr>
          <w:rStyle w:val="FootnoteReference"/>
          <w:rFonts w:ascii="Times New Roman" w:hAnsi="Times New Roman" w:cs="Times New Roman"/>
          <w:sz w:val="24"/>
          <w:szCs w:val="24"/>
        </w:rPr>
        <w:footnoteReference w:id="185"/>
      </w:r>
      <w:r w:rsidR="00951BF8" w:rsidRPr="002239BF">
        <w:rPr>
          <w:rFonts w:ascii="Times New Roman" w:hAnsi="Times New Roman" w:cs="Times New Roman"/>
          <w:sz w:val="24"/>
          <w:szCs w:val="24"/>
        </w:rPr>
        <w:t xml:space="preserve"> </w:t>
      </w:r>
      <w:r w:rsidR="00572CF7" w:rsidRPr="002239BF">
        <w:rPr>
          <w:rFonts w:ascii="Times New Roman" w:hAnsi="Times New Roman" w:cs="Times New Roman"/>
          <w:sz w:val="24"/>
          <w:szCs w:val="24"/>
        </w:rPr>
        <w:t xml:space="preserve">building on </w:t>
      </w:r>
      <w:r w:rsidR="007F7413" w:rsidRPr="002239BF">
        <w:rPr>
          <w:rFonts w:ascii="Times New Roman" w:hAnsi="Times New Roman" w:cs="Times New Roman"/>
          <w:sz w:val="24"/>
          <w:szCs w:val="24"/>
        </w:rPr>
        <w:t xml:space="preserve">the </w:t>
      </w:r>
      <w:r w:rsidR="00572CF7" w:rsidRPr="002239BF">
        <w:rPr>
          <w:rFonts w:ascii="Times New Roman" w:hAnsi="Times New Roman" w:cs="Times New Roman"/>
          <w:sz w:val="24"/>
          <w:szCs w:val="24"/>
        </w:rPr>
        <w:t>work of Wacquan</w:t>
      </w:r>
      <w:r w:rsidR="00191709" w:rsidRPr="002239BF">
        <w:rPr>
          <w:rFonts w:ascii="Times New Roman" w:hAnsi="Times New Roman" w:cs="Times New Roman"/>
          <w:sz w:val="24"/>
          <w:szCs w:val="24"/>
        </w:rPr>
        <w:t>t</w:t>
      </w:r>
      <w:r w:rsidR="00191709" w:rsidRPr="002239BF">
        <w:rPr>
          <w:rStyle w:val="FootnoteReference"/>
          <w:rFonts w:ascii="Times New Roman" w:hAnsi="Times New Roman" w:cs="Times New Roman"/>
          <w:sz w:val="24"/>
          <w:szCs w:val="24"/>
        </w:rPr>
        <w:footnoteReference w:id="186"/>
      </w:r>
      <w:r w:rsidR="00572CF7" w:rsidRPr="002239BF">
        <w:rPr>
          <w:rFonts w:ascii="Times New Roman" w:hAnsi="Times New Roman" w:cs="Times New Roman"/>
          <w:sz w:val="24"/>
          <w:szCs w:val="24"/>
        </w:rPr>
        <w:t xml:space="preserve"> </w:t>
      </w:r>
      <w:r w:rsidR="007F7413" w:rsidRPr="002239BF">
        <w:rPr>
          <w:rFonts w:ascii="Times New Roman" w:hAnsi="Times New Roman" w:cs="Times New Roman"/>
          <w:sz w:val="24"/>
          <w:szCs w:val="24"/>
        </w:rPr>
        <w:t>into ‘territorial stigmatization’</w:t>
      </w:r>
      <w:r w:rsidR="001C4DC2" w:rsidRPr="002239BF">
        <w:rPr>
          <w:rFonts w:ascii="Times New Roman" w:hAnsi="Times New Roman" w:cs="Times New Roman"/>
          <w:sz w:val="24"/>
          <w:szCs w:val="24"/>
        </w:rPr>
        <w:t>,</w:t>
      </w:r>
      <w:r w:rsidR="007F7413" w:rsidRPr="002239BF">
        <w:rPr>
          <w:rFonts w:ascii="Times New Roman" w:hAnsi="Times New Roman" w:cs="Times New Roman"/>
          <w:sz w:val="24"/>
          <w:szCs w:val="24"/>
        </w:rPr>
        <w:t xml:space="preserve"> have argued that this rejection of moral neutrality is adopted </w:t>
      </w:r>
      <w:r w:rsidR="00572CF7" w:rsidRPr="002239BF">
        <w:rPr>
          <w:rFonts w:ascii="Times New Roman" w:hAnsi="Times New Roman" w:cs="Times New Roman"/>
          <w:sz w:val="24"/>
          <w:szCs w:val="24"/>
        </w:rPr>
        <w:t>to justify judgmental, pessimistic, punitive attitude</w:t>
      </w:r>
      <w:r w:rsidR="007F7413" w:rsidRPr="002239BF">
        <w:rPr>
          <w:rFonts w:ascii="Times New Roman" w:hAnsi="Times New Roman" w:cs="Times New Roman"/>
          <w:sz w:val="24"/>
          <w:szCs w:val="24"/>
        </w:rPr>
        <w:t>s to those in social housing. The effect is the pathologi</w:t>
      </w:r>
      <w:r w:rsidR="00CB61EB" w:rsidRPr="002239BF">
        <w:rPr>
          <w:rFonts w:ascii="Times New Roman" w:hAnsi="Times New Roman" w:cs="Times New Roman"/>
          <w:sz w:val="24"/>
          <w:szCs w:val="24"/>
        </w:rPr>
        <w:t>s</w:t>
      </w:r>
      <w:r w:rsidR="007F7413" w:rsidRPr="002239BF">
        <w:rPr>
          <w:rFonts w:ascii="Times New Roman" w:hAnsi="Times New Roman" w:cs="Times New Roman"/>
          <w:sz w:val="24"/>
          <w:szCs w:val="24"/>
        </w:rPr>
        <w:t>atio</w:t>
      </w:r>
      <w:r w:rsidR="00191709" w:rsidRPr="002239BF">
        <w:rPr>
          <w:rFonts w:ascii="Times New Roman" w:hAnsi="Times New Roman" w:cs="Times New Roman"/>
          <w:sz w:val="24"/>
          <w:szCs w:val="24"/>
        </w:rPr>
        <w:t>n</w:t>
      </w:r>
      <w:r w:rsidR="005C4375" w:rsidRPr="002239BF">
        <w:rPr>
          <w:rFonts w:ascii="Times New Roman" w:hAnsi="Times New Roman" w:cs="Times New Roman"/>
          <w:sz w:val="24"/>
          <w:szCs w:val="24"/>
        </w:rPr>
        <w:t>,</w:t>
      </w:r>
      <w:r w:rsidR="00191709" w:rsidRPr="002239BF">
        <w:rPr>
          <w:rStyle w:val="FootnoteReference"/>
          <w:rFonts w:ascii="Times New Roman" w:hAnsi="Times New Roman" w:cs="Times New Roman"/>
          <w:sz w:val="24"/>
          <w:szCs w:val="24"/>
        </w:rPr>
        <w:footnoteReference w:id="187"/>
      </w:r>
      <w:r w:rsidR="005C4375" w:rsidRPr="002239BF">
        <w:rPr>
          <w:rFonts w:ascii="Times New Roman" w:hAnsi="Times New Roman" w:cs="Times New Roman"/>
          <w:sz w:val="24"/>
          <w:szCs w:val="24"/>
        </w:rPr>
        <w:t xml:space="preserve"> demoni</w:t>
      </w:r>
      <w:r w:rsidR="00CB61EB" w:rsidRPr="002239BF">
        <w:rPr>
          <w:rFonts w:ascii="Times New Roman" w:hAnsi="Times New Roman" w:cs="Times New Roman"/>
          <w:sz w:val="24"/>
          <w:szCs w:val="24"/>
        </w:rPr>
        <w:t>s</w:t>
      </w:r>
      <w:r w:rsidR="005C4375" w:rsidRPr="002239BF">
        <w:rPr>
          <w:rFonts w:ascii="Times New Roman" w:hAnsi="Times New Roman" w:cs="Times New Roman"/>
          <w:sz w:val="24"/>
          <w:szCs w:val="24"/>
        </w:rPr>
        <w:t>ation</w:t>
      </w:r>
      <w:r w:rsidR="00CF0C95" w:rsidRPr="002239BF">
        <w:rPr>
          <w:rStyle w:val="FootnoteReference"/>
          <w:rFonts w:ascii="Times New Roman" w:hAnsi="Times New Roman" w:cs="Times New Roman"/>
          <w:sz w:val="24"/>
          <w:szCs w:val="24"/>
        </w:rPr>
        <w:footnoteReference w:id="188"/>
      </w:r>
      <w:r w:rsidR="007F7413" w:rsidRPr="002239BF">
        <w:rPr>
          <w:rFonts w:ascii="Times New Roman" w:hAnsi="Times New Roman" w:cs="Times New Roman"/>
          <w:sz w:val="24"/>
          <w:szCs w:val="24"/>
        </w:rPr>
        <w:t xml:space="preserve"> and further problemati</w:t>
      </w:r>
      <w:r w:rsidR="00CB61EB" w:rsidRPr="002239BF">
        <w:rPr>
          <w:rFonts w:ascii="Times New Roman" w:hAnsi="Times New Roman" w:cs="Times New Roman"/>
          <w:sz w:val="24"/>
          <w:szCs w:val="24"/>
        </w:rPr>
        <w:t>s</w:t>
      </w:r>
      <w:r w:rsidR="007F7413" w:rsidRPr="002239BF">
        <w:rPr>
          <w:rFonts w:ascii="Times New Roman" w:hAnsi="Times New Roman" w:cs="Times New Roman"/>
          <w:sz w:val="24"/>
          <w:szCs w:val="24"/>
        </w:rPr>
        <w:t>ation of the social housing sector.</w:t>
      </w:r>
      <w:r w:rsidR="00FD31F0" w:rsidRPr="002239BF">
        <w:rPr>
          <w:rFonts w:ascii="Times New Roman" w:hAnsi="Times New Roman" w:cs="Times New Roman"/>
          <w:sz w:val="24"/>
          <w:szCs w:val="24"/>
        </w:rPr>
        <w:t xml:space="preserve"> </w:t>
      </w:r>
      <w:r w:rsidR="00791294" w:rsidRPr="002239BF">
        <w:rPr>
          <w:rFonts w:ascii="Times New Roman" w:hAnsi="Times New Roman" w:cs="Times New Roman"/>
          <w:sz w:val="24"/>
          <w:szCs w:val="24"/>
        </w:rPr>
        <w:t xml:space="preserve">There is </w:t>
      </w:r>
      <w:r w:rsidR="000839A1" w:rsidRPr="002239BF">
        <w:rPr>
          <w:rFonts w:ascii="Times New Roman" w:hAnsi="Times New Roman" w:cs="Times New Roman"/>
          <w:sz w:val="24"/>
          <w:szCs w:val="24"/>
        </w:rPr>
        <w:t xml:space="preserve">a troubling resonance </w:t>
      </w:r>
      <w:r w:rsidR="00C906EC" w:rsidRPr="002239BF">
        <w:rPr>
          <w:rFonts w:ascii="Times New Roman" w:hAnsi="Times New Roman" w:cs="Times New Roman"/>
          <w:sz w:val="24"/>
          <w:szCs w:val="24"/>
        </w:rPr>
        <w:t xml:space="preserve">here </w:t>
      </w:r>
      <w:r w:rsidR="000839A1" w:rsidRPr="002239BF">
        <w:rPr>
          <w:rFonts w:ascii="Times New Roman" w:hAnsi="Times New Roman" w:cs="Times New Roman"/>
          <w:sz w:val="24"/>
          <w:szCs w:val="24"/>
        </w:rPr>
        <w:t>w</w:t>
      </w:r>
      <w:r w:rsidR="00F97030" w:rsidRPr="002239BF">
        <w:rPr>
          <w:rFonts w:ascii="Times New Roman" w:hAnsi="Times New Roman" w:cs="Times New Roman"/>
          <w:sz w:val="24"/>
          <w:szCs w:val="24"/>
        </w:rPr>
        <w:t xml:space="preserve">ith the Poor Law system </w:t>
      </w:r>
      <w:r w:rsidR="001948F6" w:rsidRPr="002239BF">
        <w:rPr>
          <w:rFonts w:ascii="Times New Roman" w:hAnsi="Times New Roman" w:cs="Times New Roman"/>
          <w:sz w:val="24"/>
          <w:szCs w:val="24"/>
        </w:rPr>
        <w:t>under which</w:t>
      </w:r>
      <w:r w:rsidR="00F97030" w:rsidRPr="002239BF">
        <w:rPr>
          <w:rFonts w:ascii="Times New Roman" w:hAnsi="Times New Roman" w:cs="Times New Roman"/>
          <w:sz w:val="24"/>
          <w:szCs w:val="24"/>
        </w:rPr>
        <w:t xml:space="preserve"> th</w:t>
      </w:r>
      <w:r w:rsidR="001948F6" w:rsidRPr="002239BF">
        <w:rPr>
          <w:rFonts w:ascii="Times New Roman" w:hAnsi="Times New Roman" w:cs="Times New Roman"/>
          <w:sz w:val="24"/>
          <w:szCs w:val="24"/>
        </w:rPr>
        <w:t>ere existed a clear link between property ownership and citizenship. To own property unlocked</w:t>
      </w:r>
      <w:r w:rsidR="00840C09" w:rsidRPr="002239BF">
        <w:rPr>
          <w:rFonts w:ascii="Times New Roman" w:hAnsi="Times New Roman" w:cs="Times New Roman"/>
          <w:sz w:val="24"/>
          <w:szCs w:val="24"/>
        </w:rPr>
        <w:t xml:space="preserve"> citizenship rights such as the right to vote.</w:t>
      </w:r>
      <w:r w:rsidR="00BB35EC" w:rsidRPr="002239BF">
        <w:rPr>
          <w:rStyle w:val="FootnoteReference"/>
          <w:rFonts w:ascii="Times New Roman" w:hAnsi="Times New Roman" w:cs="Times New Roman"/>
          <w:sz w:val="24"/>
          <w:szCs w:val="24"/>
        </w:rPr>
        <w:footnoteReference w:id="189"/>
      </w:r>
      <w:r w:rsidR="00F25A0D" w:rsidRPr="002239BF">
        <w:rPr>
          <w:rFonts w:ascii="Times New Roman" w:hAnsi="Times New Roman" w:cs="Times New Roman"/>
          <w:sz w:val="24"/>
          <w:szCs w:val="24"/>
        </w:rPr>
        <w:t xml:space="preserve"> </w:t>
      </w:r>
      <w:r w:rsidR="00EA5F3B" w:rsidRPr="002239BF">
        <w:rPr>
          <w:rFonts w:ascii="Times New Roman" w:hAnsi="Times New Roman" w:cs="Times New Roman"/>
          <w:sz w:val="24"/>
          <w:szCs w:val="24"/>
        </w:rPr>
        <w:t>Disconcertingly, it seems that t</w:t>
      </w:r>
      <w:r w:rsidR="00F25A0D" w:rsidRPr="002239BF">
        <w:rPr>
          <w:rFonts w:ascii="Times New Roman" w:hAnsi="Times New Roman" w:cs="Times New Roman"/>
          <w:sz w:val="24"/>
          <w:szCs w:val="24"/>
        </w:rPr>
        <w:t>he legacy of this system lives on in the moralisation o</w:t>
      </w:r>
      <w:r w:rsidR="003855C5" w:rsidRPr="002239BF">
        <w:rPr>
          <w:rFonts w:ascii="Times New Roman" w:hAnsi="Times New Roman" w:cs="Times New Roman"/>
          <w:sz w:val="24"/>
          <w:szCs w:val="24"/>
        </w:rPr>
        <w:t xml:space="preserve">f homeownership </w:t>
      </w:r>
      <w:r w:rsidR="00804AC8" w:rsidRPr="002239BF">
        <w:rPr>
          <w:rFonts w:ascii="Times New Roman" w:hAnsi="Times New Roman" w:cs="Times New Roman"/>
          <w:sz w:val="24"/>
          <w:szCs w:val="24"/>
        </w:rPr>
        <w:t>under</w:t>
      </w:r>
      <w:r w:rsidR="003855C5" w:rsidRPr="002239BF">
        <w:rPr>
          <w:rFonts w:ascii="Times New Roman" w:hAnsi="Times New Roman" w:cs="Times New Roman"/>
          <w:sz w:val="24"/>
          <w:szCs w:val="24"/>
        </w:rPr>
        <w:t xml:space="preserve"> the 2016 Act.</w:t>
      </w:r>
      <w:r w:rsidR="00FB5E5D" w:rsidRPr="002239BF">
        <w:rPr>
          <w:rFonts w:ascii="Times New Roman" w:hAnsi="Times New Roman" w:cs="Times New Roman"/>
          <w:sz w:val="24"/>
          <w:szCs w:val="24"/>
        </w:rPr>
        <w:t xml:space="preserve"> </w:t>
      </w:r>
    </w:p>
    <w:p w14:paraId="7AE0C693" w14:textId="77777777" w:rsidR="00404E0C" w:rsidRPr="002239BF" w:rsidRDefault="00404E0C" w:rsidP="00733DF3">
      <w:pPr>
        <w:pStyle w:val="NoSpacing"/>
        <w:spacing w:line="480" w:lineRule="auto"/>
        <w:rPr>
          <w:rFonts w:ascii="Times New Roman" w:hAnsi="Times New Roman" w:cs="Times New Roman"/>
          <w:sz w:val="24"/>
          <w:szCs w:val="24"/>
        </w:rPr>
      </w:pPr>
    </w:p>
    <w:p w14:paraId="1C2EFCE0" w14:textId="378A7971" w:rsidR="00344EB2" w:rsidRPr="002239BF" w:rsidRDefault="00404E0C" w:rsidP="00733DF3">
      <w:pPr>
        <w:pStyle w:val="NoSpacing"/>
        <w:spacing w:line="480" w:lineRule="auto"/>
        <w:rPr>
          <w:rFonts w:ascii="Times New Roman" w:hAnsi="Times New Roman" w:cs="Times New Roman"/>
          <w:b/>
          <w:sz w:val="24"/>
          <w:szCs w:val="24"/>
        </w:rPr>
      </w:pPr>
      <w:r w:rsidRPr="002239BF">
        <w:rPr>
          <w:rFonts w:ascii="Times New Roman" w:hAnsi="Times New Roman" w:cs="Times New Roman"/>
          <w:b/>
          <w:sz w:val="24"/>
          <w:szCs w:val="24"/>
        </w:rPr>
        <w:t>CONCLUSION</w:t>
      </w:r>
    </w:p>
    <w:p w14:paraId="438A09F1" w14:textId="52DE4928" w:rsidR="00862678" w:rsidRPr="002239BF" w:rsidRDefault="00862678" w:rsidP="00733DF3">
      <w:pPr>
        <w:spacing w:line="480" w:lineRule="auto"/>
        <w:rPr>
          <w:rFonts w:ascii="Times New Roman" w:hAnsi="Times New Roman" w:cs="Times New Roman"/>
          <w:sz w:val="24"/>
          <w:szCs w:val="24"/>
        </w:rPr>
      </w:pPr>
    </w:p>
    <w:p w14:paraId="4CE19E17" w14:textId="5DD3B314" w:rsidR="005E7DB3" w:rsidRPr="002239BF" w:rsidRDefault="004355D4"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The Housing and Planning Act 2016 represents the first major enunciation of the Conservative Government’s housing policy objectives and</w:t>
      </w:r>
      <w:r w:rsidR="005E7DB3" w:rsidRPr="002239BF">
        <w:rPr>
          <w:rFonts w:ascii="Times New Roman" w:hAnsi="Times New Roman" w:cs="Times New Roman"/>
          <w:sz w:val="24"/>
          <w:szCs w:val="24"/>
        </w:rPr>
        <w:t xml:space="preserve"> thus </w:t>
      </w:r>
      <w:r w:rsidRPr="002239BF">
        <w:rPr>
          <w:rFonts w:ascii="Times New Roman" w:hAnsi="Times New Roman" w:cs="Times New Roman"/>
          <w:sz w:val="24"/>
          <w:szCs w:val="24"/>
        </w:rPr>
        <w:t xml:space="preserve">merits close attention.  The Act provides the legislative framework to deliver the government’s promise to </w:t>
      </w:r>
      <w:r w:rsidR="002A5C85" w:rsidRPr="002239BF">
        <w:rPr>
          <w:rFonts w:ascii="Times New Roman" w:hAnsi="Times New Roman" w:cs="Times New Roman"/>
          <w:sz w:val="24"/>
          <w:szCs w:val="24"/>
        </w:rPr>
        <w:t>make all</w:t>
      </w:r>
      <w:r w:rsidR="00672100" w:rsidRPr="002239BF">
        <w:rPr>
          <w:rFonts w:ascii="Times New Roman" w:hAnsi="Times New Roman" w:cs="Times New Roman"/>
          <w:sz w:val="24"/>
          <w:szCs w:val="24"/>
        </w:rPr>
        <w:t xml:space="preserve"> ‘hard</w:t>
      </w:r>
      <w:r w:rsidR="00F82E9D" w:rsidRPr="002239BF">
        <w:rPr>
          <w:rFonts w:ascii="Times New Roman" w:hAnsi="Times New Roman" w:cs="Times New Roman"/>
          <w:sz w:val="24"/>
          <w:szCs w:val="24"/>
        </w:rPr>
        <w:t xml:space="preserve"> </w:t>
      </w:r>
      <w:r w:rsidR="00672100" w:rsidRPr="002239BF">
        <w:rPr>
          <w:rFonts w:ascii="Times New Roman" w:hAnsi="Times New Roman" w:cs="Times New Roman"/>
          <w:sz w:val="24"/>
          <w:szCs w:val="24"/>
        </w:rPr>
        <w:t>working families’ into homeowners</w:t>
      </w:r>
      <w:r w:rsidRPr="002239BF">
        <w:rPr>
          <w:rFonts w:ascii="Times New Roman" w:hAnsi="Times New Roman" w:cs="Times New Roman"/>
          <w:sz w:val="24"/>
          <w:szCs w:val="24"/>
        </w:rPr>
        <w:t xml:space="preserve">.  We contend that this promise simply cannot be delivered and the Act’s provisions </w:t>
      </w:r>
      <w:r w:rsidR="002A5C85" w:rsidRPr="002239BF">
        <w:rPr>
          <w:rFonts w:ascii="Times New Roman" w:hAnsi="Times New Roman" w:cs="Times New Roman"/>
          <w:sz w:val="24"/>
          <w:szCs w:val="24"/>
        </w:rPr>
        <w:t>which</w:t>
      </w:r>
      <w:r w:rsidRPr="002239BF">
        <w:rPr>
          <w:rFonts w:ascii="Times New Roman" w:hAnsi="Times New Roman" w:cs="Times New Roman"/>
          <w:sz w:val="24"/>
          <w:szCs w:val="24"/>
        </w:rPr>
        <w:t xml:space="preserve"> attempt to achieve that objective</w:t>
      </w:r>
      <w:r w:rsidR="005E7DB3" w:rsidRPr="002239BF">
        <w:rPr>
          <w:rFonts w:ascii="Times New Roman" w:hAnsi="Times New Roman" w:cs="Times New Roman"/>
          <w:sz w:val="24"/>
          <w:szCs w:val="24"/>
        </w:rPr>
        <w:t xml:space="preserve"> will result in the further </w:t>
      </w:r>
      <w:r w:rsidR="00471CFF" w:rsidRPr="002239BF">
        <w:rPr>
          <w:rFonts w:ascii="Times New Roman" w:hAnsi="Times New Roman" w:cs="Times New Roman"/>
          <w:sz w:val="24"/>
          <w:szCs w:val="24"/>
        </w:rPr>
        <w:t>erosion</w:t>
      </w:r>
      <w:r w:rsidR="005E7DB3" w:rsidRPr="002239BF">
        <w:rPr>
          <w:rFonts w:ascii="Times New Roman" w:hAnsi="Times New Roman" w:cs="Times New Roman"/>
          <w:sz w:val="24"/>
          <w:szCs w:val="24"/>
        </w:rPr>
        <w:t xml:space="preserve"> </w:t>
      </w:r>
      <w:r w:rsidR="00425C12" w:rsidRPr="002239BF">
        <w:rPr>
          <w:rFonts w:ascii="Times New Roman" w:hAnsi="Times New Roman" w:cs="Times New Roman"/>
          <w:sz w:val="24"/>
          <w:szCs w:val="24"/>
        </w:rPr>
        <w:t>of social</w:t>
      </w:r>
      <w:r w:rsidRPr="002239BF">
        <w:rPr>
          <w:rFonts w:ascii="Times New Roman" w:hAnsi="Times New Roman" w:cs="Times New Roman"/>
          <w:sz w:val="24"/>
          <w:szCs w:val="24"/>
        </w:rPr>
        <w:t xml:space="preserve"> housing</w:t>
      </w:r>
      <w:r w:rsidR="002A5C85" w:rsidRPr="002239BF">
        <w:rPr>
          <w:rFonts w:ascii="Times New Roman" w:hAnsi="Times New Roman" w:cs="Times New Roman"/>
          <w:sz w:val="24"/>
          <w:szCs w:val="24"/>
        </w:rPr>
        <w:t>,</w:t>
      </w:r>
      <w:r w:rsidRPr="002239BF">
        <w:rPr>
          <w:rFonts w:ascii="Times New Roman" w:hAnsi="Times New Roman" w:cs="Times New Roman"/>
          <w:sz w:val="24"/>
          <w:szCs w:val="24"/>
        </w:rPr>
        <w:t xml:space="preserve"> </w:t>
      </w:r>
      <w:r w:rsidR="005E7DB3" w:rsidRPr="002239BF">
        <w:rPr>
          <w:rFonts w:ascii="Times New Roman" w:hAnsi="Times New Roman" w:cs="Times New Roman"/>
          <w:sz w:val="24"/>
          <w:szCs w:val="24"/>
        </w:rPr>
        <w:t>to the detriment of those people who are locked out of the ownership dream</w:t>
      </w:r>
      <w:r w:rsidRPr="002239BF">
        <w:rPr>
          <w:rFonts w:ascii="Times New Roman" w:hAnsi="Times New Roman" w:cs="Times New Roman"/>
          <w:sz w:val="24"/>
          <w:szCs w:val="24"/>
        </w:rPr>
        <w:t xml:space="preserve">.  </w:t>
      </w:r>
      <w:r w:rsidR="00672100" w:rsidRPr="002239BF">
        <w:rPr>
          <w:rFonts w:ascii="Times New Roman" w:hAnsi="Times New Roman" w:cs="Times New Roman"/>
          <w:sz w:val="24"/>
          <w:szCs w:val="24"/>
        </w:rPr>
        <w:t xml:space="preserve"> </w:t>
      </w:r>
      <w:r w:rsidR="0067596A" w:rsidRPr="002239BF">
        <w:rPr>
          <w:rFonts w:ascii="Times New Roman" w:hAnsi="Times New Roman" w:cs="Times New Roman"/>
          <w:sz w:val="24"/>
          <w:szCs w:val="24"/>
        </w:rPr>
        <w:t>An analysis of</w:t>
      </w:r>
      <w:r w:rsidR="00672100" w:rsidRPr="002239BF">
        <w:rPr>
          <w:rFonts w:ascii="Times New Roman" w:hAnsi="Times New Roman" w:cs="Times New Roman"/>
          <w:sz w:val="24"/>
          <w:szCs w:val="24"/>
        </w:rPr>
        <w:t xml:space="preserve"> the </w:t>
      </w:r>
      <w:r w:rsidR="0067596A" w:rsidRPr="002239BF">
        <w:rPr>
          <w:rFonts w:ascii="Times New Roman" w:hAnsi="Times New Roman" w:cs="Times New Roman"/>
          <w:sz w:val="24"/>
          <w:szCs w:val="24"/>
        </w:rPr>
        <w:t xml:space="preserve">Act’s </w:t>
      </w:r>
      <w:r w:rsidR="00672100" w:rsidRPr="002239BF">
        <w:rPr>
          <w:rFonts w:ascii="Times New Roman" w:hAnsi="Times New Roman" w:cs="Times New Roman"/>
          <w:sz w:val="24"/>
          <w:szCs w:val="24"/>
        </w:rPr>
        <w:t xml:space="preserve">key provisions </w:t>
      </w:r>
      <w:r w:rsidR="0067596A" w:rsidRPr="002239BF">
        <w:rPr>
          <w:rFonts w:ascii="Times New Roman" w:hAnsi="Times New Roman" w:cs="Times New Roman"/>
          <w:sz w:val="24"/>
          <w:szCs w:val="24"/>
        </w:rPr>
        <w:t>reveal</w:t>
      </w:r>
      <w:r w:rsidR="00DE34F7" w:rsidRPr="002239BF">
        <w:rPr>
          <w:rFonts w:ascii="Times New Roman" w:hAnsi="Times New Roman" w:cs="Times New Roman"/>
          <w:sz w:val="24"/>
          <w:szCs w:val="24"/>
        </w:rPr>
        <w:t>s</w:t>
      </w:r>
      <w:r w:rsidR="0067596A" w:rsidRPr="002239BF">
        <w:rPr>
          <w:rFonts w:ascii="Times New Roman" w:hAnsi="Times New Roman" w:cs="Times New Roman"/>
          <w:sz w:val="24"/>
          <w:szCs w:val="24"/>
        </w:rPr>
        <w:t xml:space="preserve"> the government’s determination to promote homeownership above all other tenures and at the expense of socially rented </w:t>
      </w:r>
      <w:r w:rsidR="00DE34F7" w:rsidRPr="002239BF">
        <w:rPr>
          <w:rFonts w:ascii="Times New Roman" w:hAnsi="Times New Roman" w:cs="Times New Roman"/>
          <w:sz w:val="24"/>
          <w:szCs w:val="24"/>
        </w:rPr>
        <w:t>housing, particularly</w:t>
      </w:r>
      <w:r w:rsidR="00672100" w:rsidRPr="002239BF">
        <w:rPr>
          <w:rFonts w:ascii="Times New Roman" w:hAnsi="Times New Roman" w:cs="Times New Roman"/>
          <w:sz w:val="24"/>
          <w:szCs w:val="24"/>
        </w:rPr>
        <w:t xml:space="preserve"> housing owned by local authorities.</w:t>
      </w:r>
      <w:r w:rsidR="0067596A" w:rsidRPr="002239BF">
        <w:rPr>
          <w:rFonts w:ascii="Times New Roman" w:hAnsi="Times New Roman" w:cs="Times New Roman"/>
          <w:sz w:val="24"/>
          <w:szCs w:val="24"/>
        </w:rPr>
        <w:t xml:space="preserve">  </w:t>
      </w:r>
      <w:r w:rsidR="005E7DB3" w:rsidRPr="002239BF">
        <w:rPr>
          <w:rFonts w:ascii="Times New Roman" w:hAnsi="Times New Roman" w:cs="Times New Roman"/>
          <w:sz w:val="24"/>
          <w:szCs w:val="24"/>
        </w:rPr>
        <w:t>Thus, local authorities are effectively forced to sell t</w:t>
      </w:r>
      <w:r w:rsidR="00F81219" w:rsidRPr="002239BF">
        <w:rPr>
          <w:rFonts w:ascii="Times New Roman" w:hAnsi="Times New Roman" w:cs="Times New Roman"/>
          <w:sz w:val="24"/>
          <w:szCs w:val="24"/>
        </w:rPr>
        <w:t>heir ‘high value’ housing stock</w:t>
      </w:r>
      <w:r w:rsidR="005E7DB3" w:rsidRPr="002239BF">
        <w:rPr>
          <w:rFonts w:ascii="Times New Roman" w:hAnsi="Times New Roman" w:cs="Times New Roman"/>
          <w:sz w:val="24"/>
          <w:szCs w:val="24"/>
        </w:rPr>
        <w:t xml:space="preserve"> in order to fund the </w:t>
      </w:r>
      <w:r w:rsidR="00CB61EB" w:rsidRPr="002239BF">
        <w:rPr>
          <w:rFonts w:ascii="Times New Roman" w:hAnsi="Times New Roman" w:cs="Times New Roman"/>
          <w:sz w:val="24"/>
          <w:szCs w:val="24"/>
        </w:rPr>
        <w:t>r</w:t>
      </w:r>
      <w:r w:rsidR="005E7DB3" w:rsidRPr="002239BF">
        <w:rPr>
          <w:rFonts w:ascii="Times New Roman" w:hAnsi="Times New Roman" w:cs="Times New Roman"/>
          <w:sz w:val="24"/>
          <w:szCs w:val="24"/>
        </w:rPr>
        <w:t xml:space="preserve">ight to </w:t>
      </w:r>
      <w:r w:rsidR="00CB61EB" w:rsidRPr="002239BF">
        <w:rPr>
          <w:rFonts w:ascii="Times New Roman" w:hAnsi="Times New Roman" w:cs="Times New Roman"/>
          <w:sz w:val="24"/>
          <w:szCs w:val="24"/>
        </w:rPr>
        <w:t>b</w:t>
      </w:r>
      <w:r w:rsidR="005E7DB3" w:rsidRPr="002239BF">
        <w:rPr>
          <w:rFonts w:ascii="Times New Roman" w:hAnsi="Times New Roman" w:cs="Times New Roman"/>
          <w:sz w:val="24"/>
          <w:szCs w:val="24"/>
        </w:rPr>
        <w:t xml:space="preserve">uy </w:t>
      </w:r>
      <w:r w:rsidR="00536357" w:rsidRPr="002239BF">
        <w:rPr>
          <w:rFonts w:ascii="Times New Roman" w:hAnsi="Times New Roman" w:cs="Times New Roman"/>
          <w:sz w:val="24"/>
          <w:szCs w:val="24"/>
        </w:rPr>
        <w:t>for</w:t>
      </w:r>
      <w:r w:rsidR="005E7DB3" w:rsidRPr="002239BF">
        <w:rPr>
          <w:rFonts w:ascii="Times New Roman" w:hAnsi="Times New Roman" w:cs="Times New Roman"/>
          <w:sz w:val="24"/>
          <w:szCs w:val="24"/>
        </w:rPr>
        <w:t xml:space="preserve"> housing association tenants.  The availability of socially rented housing will consequently by further diminished.  At the same time, </w:t>
      </w:r>
      <w:r w:rsidR="00536357" w:rsidRPr="002239BF">
        <w:rPr>
          <w:rFonts w:ascii="Times New Roman" w:hAnsi="Times New Roman" w:cs="Times New Roman"/>
          <w:sz w:val="24"/>
          <w:szCs w:val="24"/>
        </w:rPr>
        <w:t xml:space="preserve">the </w:t>
      </w:r>
      <w:r w:rsidR="00F81219" w:rsidRPr="002239BF">
        <w:rPr>
          <w:rFonts w:ascii="Times New Roman" w:hAnsi="Times New Roman" w:cs="Times New Roman"/>
          <w:sz w:val="24"/>
          <w:szCs w:val="24"/>
        </w:rPr>
        <w:t>implementation of</w:t>
      </w:r>
      <w:r w:rsidR="00536357" w:rsidRPr="002239BF">
        <w:rPr>
          <w:rFonts w:ascii="Times New Roman" w:hAnsi="Times New Roman" w:cs="Times New Roman"/>
          <w:sz w:val="24"/>
          <w:szCs w:val="24"/>
        </w:rPr>
        <w:t xml:space="preserve"> </w:t>
      </w:r>
      <w:r w:rsidR="005E7DB3" w:rsidRPr="002239BF">
        <w:rPr>
          <w:rFonts w:ascii="Times New Roman" w:hAnsi="Times New Roman" w:cs="Times New Roman"/>
          <w:sz w:val="24"/>
          <w:szCs w:val="24"/>
        </w:rPr>
        <w:t xml:space="preserve">the government’s flagship </w:t>
      </w:r>
      <w:r w:rsidR="00CB61EB" w:rsidRPr="002239BF">
        <w:rPr>
          <w:rFonts w:ascii="Times New Roman" w:hAnsi="Times New Roman" w:cs="Times New Roman"/>
          <w:sz w:val="24"/>
          <w:szCs w:val="24"/>
        </w:rPr>
        <w:t>s</w:t>
      </w:r>
      <w:r w:rsidR="005E7DB3" w:rsidRPr="002239BF">
        <w:rPr>
          <w:rFonts w:ascii="Times New Roman" w:hAnsi="Times New Roman" w:cs="Times New Roman"/>
          <w:sz w:val="24"/>
          <w:szCs w:val="24"/>
        </w:rPr>
        <w:t xml:space="preserve">tarter </w:t>
      </w:r>
      <w:r w:rsidR="00CB61EB" w:rsidRPr="002239BF">
        <w:rPr>
          <w:rFonts w:ascii="Times New Roman" w:hAnsi="Times New Roman" w:cs="Times New Roman"/>
          <w:sz w:val="24"/>
          <w:szCs w:val="24"/>
        </w:rPr>
        <w:t>h</w:t>
      </w:r>
      <w:r w:rsidR="005E7DB3" w:rsidRPr="002239BF">
        <w:rPr>
          <w:rFonts w:ascii="Times New Roman" w:hAnsi="Times New Roman" w:cs="Times New Roman"/>
          <w:sz w:val="24"/>
          <w:szCs w:val="24"/>
        </w:rPr>
        <w:t>omes policy risks preventing the constructi</w:t>
      </w:r>
      <w:r w:rsidR="00F81219" w:rsidRPr="002239BF">
        <w:rPr>
          <w:rFonts w:ascii="Times New Roman" w:hAnsi="Times New Roman" w:cs="Times New Roman"/>
          <w:sz w:val="24"/>
          <w:szCs w:val="24"/>
        </w:rPr>
        <w:t xml:space="preserve">on of other forms </w:t>
      </w:r>
      <w:r w:rsidR="005E7DB3" w:rsidRPr="002239BF">
        <w:rPr>
          <w:rFonts w:ascii="Times New Roman" w:hAnsi="Times New Roman" w:cs="Times New Roman"/>
          <w:sz w:val="24"/>
          <w:szCs w:val="24"/>
        </w:rPr>
        <w:t>of affordable housing</w:t>
      </w:r>
      <w:r w:rsidR="00F81219" w:rsidRPr="002239BF">
        <w:rPr>
          <w:rFonts w:ascii="Times New Roman" w:hAnsi="Times New Roman" w:cs="Times New Roman"/>
          <w:sz w:val="24"/>
          <w:szCs w:val="24"/>
        </w:rPr>
        <w:t>, including housing for rent</w:t>
      </w:r>
      <w:r w:rsidR="005E7DB3" w:rsidRPr="002239BF">
        <w:rPr>
          <w:rFonts w:ascii="Times New Roman" w:hAnsi="Times New Roman" w:cs="Times New Roman"/>
          <w:sz w:val="24"/>
          <w:szCs w:val="24"/>
        </w:rPr>
        <w:t xml:space="preserve">.  </w:t>
      </w:r>
      <w:r w:rsidR="00536357" w:rsidRPr="002239BF">
        <w:rPr>
          <w:rFonts w:ascii="Times New Roman" w:hAnsi="Times New Roman" w:cs="Times New Roman"/>
          <w:sz w:val="24"/>
          <w:szCs w:val="24"/>
        </w:rPr>
        <w:t xml:space="preserve">The Act not only threatens the quantity of socially rented housing available, it </w:t>
      </w:r>
      <w:r w:rsidR="00DE34F7" w:rsidRPr="002239BF">
        <w:rPr>
          <w:rFonts w:ascii="Times New Roman" w:hAnsi="Times New Roman" w:cs="Times New Roman"/>
          <w:sz w:val="24"/>
          <w:szCs w:val="24"/>
        </w:rPr>
        <w:t>also diminishes</w:t>
      </w:r>
      <w:r w:rsidR="005E7DB3" w:rsidRPr="002239BF">
        <w:rPr>
          <w:rFonts w:ascii="Times New Roman" w:hAnsi="Times New Roman" w:cs="Times New Roman"/>
          <w:sz w:val="24"/>
          <w:szCs w:val="24"/>
        </w:rPr>
        <w:t xml:space="preserve"> the quality of local authority-owned housing, by imposing mandatory fixed-term tenancies to replace so-called lifetime tenancies.  </w:t>
      </w:r>
      <w:r w:rsidR="00536357" w:rsidRPr="002239BF">
        <w:rPr>
          <w:rFonts w:ascii="Times New Roman" w:hAnsi="Times New Roman" w:cs="Times New Roman"/>
          <w:sz w:val="24"/>
          <w:szCs w:val="24"/>
        </w:rPr>
        <w:t>Through these provisions</w:t>
      </w:r>
      <w:r w:rsidR="005E7DB3" w:rsidRPr="002239BF">
        <w:rPr>
          <w:rFonts w:ascii="Times New Roman" w:hAnsi="Times New Roman" w:cs="Times New Roman"/>
          <w:sz w:val="24"/>
          <w:szCs w:val="24"/>
        </w:rPr>
        <w:t>, an important part of social housing is re-imagined as a</w:t>
      </w:r>
      <w:r w:rsidR="00536357" w:rsidRPr="002239BF">
        <w:rPr>
          <w:rFonts w:ascii="Times New Roman" w:hAnsi="Times New Roman" w:cs="Times New Roman"/>
          <w:sz w:val="24"/>
          <w:szCs w:val="24"/>
        </w:rPr>
        <w:t>n explicitly</w:t>
      </w:r>
      <w:r w:rsidR="005E7DB3" w:rsidRPr="002239BF">
        <w:rPr>
          <w:rFonts w:ascii="Times New Roman" w:hAnsi="Times New Roman" w:cs="Times New Roman"/>
          <w:sz w:val="24"/>
          <w:szCs w:val="24"/>
        </w:rPr>
        <w:t xml:space="preserve"> transitory tenure.  </w:t>
      </w:r>
      <w:r w:rsidR="00F81219" w:rsidRPr="002239BF">
        <w:rPr>
          <w:rFonts w:ascii="Times New Roman" w:hAnsi="Times New Roman" w:cs="Times New Roman"/>
          <w:sz w:val="24"/>
          <w:szCs w:val="24"/>
        </w:rPr>
        <w:t>Th</w:t>
      </w:r>
      <w:r w:rsidR="005E7DB3" w:rsidRPr="002239BF">
        <w:rPr>
          <w:rFonts w:ascii="Times New Roman" w:hAnsi="Times New Roman" w:cs="Times New Roman"/>
          <w:sz w:val="24"/>
          <w:szCs w:val="24"/>
        </w:rPr>
        <w:t xml:space="preserve">ese </w:t>
      </w:r>
      <w:r w:rsidR="00536357" w:rsidRPr="002239BF">
        <w:rPr>
          <w:rFonts w:ascii="Times New Roman" w:hAnsi="Times New Roman" w:cs="Times New Roman"/>
          <w:sz w:val="24"/>
          <w:szCs w:val="24"/>
        </w:rPr>
        <w:t>measures</w:t>
      </w:r>
      <w:r w:rsidR="005E7DB3" w:rsidRPr="002239BF">
        <w:rPr>
          <w:rFonts w:ascii="Times New Roman" w:hAnsi="Times New Roman" w:cs="Times New Roman"/>
          <w:sz w:val="24"/>
          <w:szCs w:val="24"/>
        </w:rPr>
        <w:t xml:space="preserve"> have been </w:t>
      </w:r>
      <w:r w:rsidR="00DE34F7" w:rsidRPr="002239BF">
        <w:rPr>
          <w:rFonts w:ascii="Times New Roman" w:hAnsi="Times New Roman" w:cs="Times New Roman"/>
          <w:sz w:val="24"/>
          <w:szCs w:val="24"/>
        </w:rPr>
        <w:t xml:space="preserve">unambiguously </w:t>
      </w:r>
      <w:r w:rsidR="005E7DB3" w:rsidRPr="002239BF">
        <w:rPr>
          <w:rFonts w:ascii="Times New Roman" w:hAnsi="Times New Roman" w:cs="Times New Roman"/>
          <w:sz w:val="24"/>
          <w:szCs w:val="24"/>
        </w:rPr>
        <w:t xml:space="preserve">linked by the government to its overriding objective of turning </w:t>
      </w:r>
      <w:r w:rsidR="00B17F2F" w:rsidRPr="002239BF">
        <w:rPr>
          <w:rFonts w:ascii="Times New Roman" w:hAnsi="Times New Roman" w:cs="Times New Roman"/>
          <w:sz w:val="24"/>
          <w:szCs w:val="24"/>
        </w:rPr>
        <w:t>renters into homeowners.</w:t>
      </w:r>
      <w:r w:rsidR="00713512" w:rsidRPr="002239BF">
        <w:rPr>
          <w:rFonts w:ascii="Times New Roman" w:hAnsi="Times New Roman" w:cs="Times New Roman"/>
          <w:sz w:val="24"/>
          <w:szCs w:val="24"/>
        </w:rPr>
        <w:t xml:space="preserve">  We argue that there is abundant evidence to cast serious doubt on whether </w:t>
      </w:r>
      <w:r w:rsidR="00CB61EB" w:rsidRPr="002239BF">
        <w:rPr>
          <w:rFonts w:ascii="Times New Roman" w:hAnsi="Times New Roman" w:cs="Times New Roman"/>
          <w:sz w:val="24"/>
          <w:szCs w:val="24"/>
        </w:rPr>
        <w:t>s</w:t>
      </w:r>
      <w:r w:rsidR="00713512" w:rsidRPr="002239BF">
        <w:rPr>
          <w:rFonts w:ascii="Times New Roman" w:hAnsi="Times New Roman" w:cs="Times New Roman"/>
          <w:sz w:val="24"/>
          <w:szCs w:val="24"/>
        </w:rPr>
        <w:t xml:space="preserve">tarter </w:t>
      </w:r>
      <w:r w:rsidR="00CB61EB" w:rsidRPr="002239BF">
        <w:rPr>
          <w:rFonts w:ascii="Times New Roman" w:hAnsi="Times New Roman" w:cs="Times New Roman"/>
          <w:sz w:val="24"/>
          <w:szCs w:val="24"/>
        </w:rPr>
        <w:t>h</w:t>
      </w:r>
      <w:r w:rsidR="00713512" w:rsidRPr="002239BF">
        <w:rPr>
          <w:rFonts w:ascii="Times New Roman" w:hAnsi="Times New Roman" w:cs="Times New Roman"/>
          <w:sz w:val="24"/>
          <w:szCs w:val="24"/>
        </w:rPr>
        <w:t xml:space="preserve">omes can produce sufficient affordable housing to bring homeownership within the reach of </w:t>
      </w:r>
      <w:r w:rsidR="00425C12" w:rsidRPr="002239BF">
        <w:rPr>
          <w:rFonts w:ascii="Times New Roman" w:hAnsi="Times New Roman" w:cs="Times New Roman"/>
          <w:sz w:val="24"/>
          <w:szCs w:val="24"/>
        </w:rPr>
        <w:t>all</w:t>
      </w:r>
      <w:r w:rsidR="00713512" w:rsidRPr="002239BF">
        <w:rPr>
          <w:rFonts w:ascii="Times New Roman" w:hAnsi="Times New Roman" w:cs="Times New Roman"/>
          <w:sz w:val="24"/>
          <w:szCs w:val="24"/>
        </w:rPr>
        <w:t xml:space="preserve">.  Equally, recent reports reveal that the ability to exercise the </w:t>
      </w:r>
      <w:r w:rsidR="00CB61EB" w:rsidRPr="002239BF">
        <w:rPr>
          <w:rFonts w:ascii="Times New Roman" w:hAnsi="Times New Roman" w:cs="Times New Roman"/>
          <w:sz w:val="24"/>
          <w:szCs w:val="24"/>
        </w:rPr>
        <w:t>r</w:t>
      </w:r>
      <w:r w:rsidR="00713512" w:rsidRPr="002239BF">
        <w:rPr>
          <w:rFonts w:ascii="Times New Roman" w:hAnsi="Times New Roman" w:cs="Times New Roman"/>
          <w:sz w:val="24"/>
          <w:szCs w:val="24"/>
        </w:rPr>
        <w:t xml:space="preserve">ight to </w:t>
      </w:r>
      <w:r w:rsidR="00CB61EB" w:rsidRPr="002239BF">
        <w:rPr>
          <w:rFonts w:ascii="Times New Roman" w:hAnsi="Times New Roman" w:cs="Times New Roman"/>
          <w:sz w:val="24"/>
          <w:szCs w:val="24"/>
        </w:rPr>
        <w:t>b</w:t>
      </w:r>
      <w:r w:rsidR="00713512" w:rsidRPr="002239BF">
        <w:rPr>
          <w:rFonts w:ascii="Times New Roman" w:hAnsi="Times New Roman" w:cs="Times New Roman"/>
          <w:sz w:val="24"/>
          <w:szCs w:val="24"/>
        </w:rPr>
        <w:t>uy remains an elusive dream for the majority of housing association tenants because of lack of affordability</w:t>
      </w:r>
      <w:r w:rsidR="00AC6BAF" w:rsidRPr="002239BF">
        <w:rPr>
          <w:rFonts w:ascii="Times New Roman" w:hAnsi="Times New Roman" w:cs="Times New Roman"/>
          <w:sz w:val="24"/>
          <w:szCs w:val="24"/>
        </w:rPr>
        <w:t>.</w:t>
      </w:r>
    </w:p>
    <w:p w14:paraId="7978131A" w14:textId="77777777" w:rsidR="00317600" w:rsidRPr="002239BF" w:rsidRDefault="00317600" w:rsidP="00733DF3">
      <w:pPr>
        <w:spacing w:line="480" w:lineRule="auto"/>
        <w:rPr>
          <w:rFonts w:ascii="Times New Roman" w:hAnsi="Times New Roman" w:cs="Times New Roman"/>
          <w:sz w:val="24"/>
          <w:szCs w:val="24"/>
        </w:rPr>
      </w:pPr>
    </w:p>
    <w:p w14:paraId="34A972E0" w14:textId="44599E5F" w:rsidR="00672100" w:rsidRPr="002239BF" w:rsidRDefault="005C0EE6"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 xml:space="preserve">The paper examines the housing policy narrative pursued by the Act.  </w:t>
      </w:r>
      <w:r w:rsidR="0067596A" w:rsidRPr="002239BF">
        <w:rPr>
          <w:rFonts w:ascii="Times New Roman" w:hAnsi="Times New Roman" w:cs="Times New Roman"/>
          <w:sz w:val="24"/>
          <w:szCs w:val="24"/>
        </w:rPr>
        <w:t>We argue that the ‘logic</w:t>
      </w:r>
      <w:r w:rsidR="0097635F" w:rsidRPr="002239BF">
        <w:rPr>
          <w:rFonts w:ascii="Times New Roman" w:hAnsi="Times New Roman" w:cs="Times New Roman"/>
          <w:sz w:val="24"/>
          <w:szCs w:val="24"/>
        </w:rPr>
        <w:t>’</w:t>
      </w:r>
      <w:r w:rsidR="0067596A" w:rsidRPr="002239BF">
        <w:rPr>
          <w:rFonts w:ascii="Times New Roman" w:hAnsi="Times New Roman" w:cs="Times New Roman"/>
          <w:sz w:val="24"/>
          <w:szCs w:val="24"/>
        </w:rPr>
        <w:t xml:space="preserve"> of localism, espoused by the Conservative Party while in coalition government, has been abandoned in favour of a logic of homeownership.  To the extent that localism still exists in any form, the </w:t>
      </w:r>
      <w:r w:rsidR="00CB61EB" w:rsidRPr="002239BF">
        <w:rPr>
          <w:rFonts w:ascii="Times New Roman" w:hAnsi="Times New Roman" w:cs="Times New Roman"/>
          <w:sz w:val="24"/>
          <w:szCs w:val="24"/>
        </w:rPr>
        <w:t xml:space="preserve">article </w:t>
      </w:r>
      <w:r w:rsidR="0067596A" w:rsidRPr="002239BF">
        <w:rPr>
          <w:rFonts w:ascii="Times New Roman" w:hAnsi="Times New Roman" w:cs="Times New Roman"/>
          <w:sz w:val="24"/>
          <w:szCs w:val="24"/>
        </w:rPr>
        <w:t xml:space="preserve">suggests that it is now more akin to the individualistic localism </w:t>
      </w:r>
      <w:r w:rsidR="00425C12" w:rsidRPr="002239BF">
        <w:rPr>
          <w:rFonts w:ascii="Times New Roman" w:hAnsi="Times New Roman" w:cs="Times New Roman"/>
          <w:sz w:val="24"/>
          <w:szCs w:val="24"/>
        </w:rPr>
        <w:t>associated with</w:t>
      </w:r>
      <w:r w:rsidR="0067596A" w:rsidRPr="002239BF">
        <w:rPr>
          <w:rFonts w:ascii="Times New Roman" w:hAnsi="Times New Roman" w:cs="Times New Roman"/>
          <w:sz w:val="24"/>
          <w:szCs w:val="24"/>
        </w:rPr>
        <w:t xml:space="preserve"> the Thatcher administrations.</w:t>
      </w:r>
      <w:r w:rsidR="00C9618E" w:rsidRPr="002239BF">
        <w:rPr>
          <w:rFonts w:ascii="Times New Roman" w:hAnsi="Times New Roman" w:cs="Times New Roman"/>
          <w:sz w:val="24"/>
          <w:szCs w:val="24"/>
        </w:rPr>
        <w:t xml:space="preserve">  </w:t>
      </w:r>
      <w:r w:rsidR="00425C12" w:rsidRPr="002239BF">
        <w:rPr>
          <w:rFonts w:ascii="Times New Roman" w:hAnsi="Times New Roman" w:cs="Times New Roman"/>
          <w:sz w:val="24"/>
          <w:szCs w:val="24"/>
        </w:rPr>
        <w:t>Our</w:t>
      </w:r>
      <w:r w:rsidR="00C9618E" w:rsidRPr="002239BF">
        <w:rPr>
          <w:rFonts w:ascii="Times New Roman" w:hAnsi="Times New Roman" w:cs="Times New Roman"/>
          <w:sz w:val="24"/>
          <w:szCs w:val="24"/>
        </w:rPr>
        <w:t xml:space="preserve"> claim lies </w:t>
      </w:r>
      <w:r w:rsidR="003B5E74" w:rsidRPr="002239BF">
        <w:rPr>
          <w:rFonts w:ascii="Times New Roman" w:hAnsi="Times New Roman" w:cs="Times New Roman"/>
          <w:sz w:val="24"/>
          <w:szCs w:val="24"/>
        </w:rPr>
        <w:t>not only</w:t>
      </w:r>
      <w:r w:rsidR="00C9618E" w:rsidRPr="002239BF">
        <w:rPr>
          <w:rFonts w:ascii="Times New Roman" w:hAnsi="Times New Roman" w:cs="Times New Roman"/>
          <w:sz w:val="24"/>
          <w:szCs w:val="24"/>
        </w:rPr>
        <w:t xml:space="preserve"> in the single-minded pursuit of homeownership, </w:t>
      </w:r>
      <w:r w:rsidR="003B5E74" w:rsidRPr="002239BF">
        <w:rPr>
          <w:rFonts w:ascii="Times New Roman" w:hAnsi="Times New Roman" w:cs="Times New Roman"/>
          <w:sz w:val="24"/>
          <w:szCs w:val="24"/>
        </w:rPr>
        <w:t>together</w:t>
      </w:r>
      <w:r w:rsidR="00C9618E" w:rsidRPr="002239BF">
        <w:rPr>
          <w:rFonts w:ascii="Times New Roman" w:hAnsi="Times New Roman" w:cs="Times New Roman"/>
          <w:sz w:val="24"/>
          <w:szCs w:val="24"/>
        </w:rPr>
        <w:t xml:space="preserve"> with the further residualisation of social housing</w:t>
      </w:r>
      <w:r w:rsidR="003B5E74" w:rsidRPr="002239BF">
        <w:rPr>
          <w:rFonts w:ascii="Times New Roman" w:hAnsi="Times New Roman" w:cs="Times New Roman"/>
          <w:sz w:val="24"/>
          <w:szCs w:val="24"/>
        </w:rPr>
        <w:t xml:space="preserve">, but in the tone of the </w:t>
      </w:r>
      <w:r w:rsidR="00D91105" w:rsidRPr="002239BF">
        <w:rPr>
          <w:rFonts w:ascii="Times New Roman" w:hAnsi="Times New Roman" w:cs="Times New Roman"/>
          <w:sz w:val="24"/>
          <w:szCs w:val="24"/>
        </w:rPr>
        <w:t xml:space="preserve">message </w:t>
      </w:r>
      <w:r w:rsidR="003B5E74" w:rsidRPr="002239BF">
        <w:rPr>
          <w:rFonts w:ascii="Times New Roman" w:hAnsi="Times New Roman" w:cs="Times New Roman"/>
          <w:sz w:val="24"/>
          <w:szCs w:val="24"/>
        </w:rPr>
        <w:t>which vilifies those unwilling or unable to realise the aspiration of ownership</w:t>
      </w:r>
      <w:r w:rsidR="00DE34F7" w:rsidRPr="002239BF">
        <w:rPr>
          <w:rFonts w:ascii="Times New Roman" w:hAnsi="Times New Roman" w:cs="Times New Roman"/>
          <w:sz w:val="24"/>
          <w:szCs w:val="24"/>
        </w:rPr>
        <w:t>.</w:t>
      </w:r>
      <w:r w:rsidR="00C9618E" w:rsidRPr="002239BF">
        <w:rPr>
          <w:rFonts w:ascii="Times New Roman" w:hAnsi="Times New Roman" w:cs="Times New Roman"/>
          <w:sz w:val="24"/>
          <w:szCs w:val="24"/>
        </w:rPr>
        <w:t xml:space="preserve">  We have also identified similarities </w:t>
      </w:r>
      <w:r w:rsidR="00DE34F7" w:rsidRPr="002239BF">
        <w:rPr>
          <w:rFonts w:ascii="Times New Roman" w:hAnsi="Times New Roman" w:cs="Times New Roman"/>
          <w:sz w:val="24"/>
          <w:szCs w:val="24"/>
        </w:rPr>
        <w:t>in</w:t>
      </w:r>
      <w:r w:rsidR="00C9618E" w:rsidRPr="002239BF">
        <w:rPr>
          <w:rFonts w:ascii="Times New Roman" w:hAnsi="Times New Roman" w:cs="Times New Roman"/>
          <w:sz w:val="24"/>
          <w:szCs w:val="24"/>
        </w:rPr>
        <w:t xml:space="preserve"> the techniques of governance used by Thatcher and under the 2016 Act, whereby local government is stripped of its ability to make local policy decisions.</w:t>
      </w:r>
    </w:p>
    <w:p w14:paraId="3D1D8E56" w14:textId="77777777" w:rsidR="00317600" w:rsidRPr="002239BF" w:rsidRDefault="00317600" w:rsidP="00733DF3">
      <w:pPr>
        <w:spacing w:line="480" w:lineRule="auto"/>
        <w:rPr>
          <w:rFonts w:ascii="Times New Roman" w:hAnsi="Times New Roman" w:cs="Times New Roman"/>
          <w:sz w:val="24"/>
          <w:szCs w:val="24"/>
        </w:rPr>
      </w:pPr>
    </w:p>
    <w:p w14:paraId="7DAAB1E9" w14:textId="7724607D" w:rsidR="00344EB2" w:rsidRPr="002239BF" w:rsidRDefault="00F91C55" w:rsidP="00733DF3">
      <w:pPr>
        <w:spacing w:line="480" w:lineRule="auto"/>
        <w:rPr>
          <w:rFonts w:ascii="Times New Roman" w:hAnsi="Times New Roman" w:cs="Times New Roman"/>
          <w:sz w:val="24"/>
          <w:szCs w:val="24"/>
        </w:rPr>
      </w:pPr>
      <w:r w:rsidRPr="002239BF">
        <w:rPr>
          <w:rFonts w:ascii="Times New Roman" w:hAnsi="Times New Roman" w:cs="Times New Roman"/>
          <w:sz w:val="24"/>
          <w:szCs w:val="24"/>
        </w:rPr>
        <w:t>We have argued that the Act promotes a ‘homeownership trap’: an unrealistic assumption that ownership is</w:t>
      </w:r>
      <w:r w:rsidR="0096073A" w:rsidRPr="002239BF">
        <w:rPr>
          <w:rFonts w:ascii="Times New Roman" w:hAnsi="Times New Roman" w:cs="Times New Roman"/>
          <w:sz w:val="24"/>
          <w:szCs w:val="24"/>
        </w:rPr>
        <w:t xml:space="preserve"> necessarily egalitarian and</w:t>
      </w:r>
      <w:r w:rsidRPr="002239BF">
        <w:rPr>
          <w:rFonts w:ascii="Times New Roman" w:hAnsi="Times New Roman" w:cs="Times New Roman"/>
          <w:sz w:val="24"/>
          <w:szCs w:val="24"/>
        </w:rPr>
        <w:t xml:space="preserve"> open to all who are willing to work hard.  Furthermore, it actively undermines ot</w:t>
      </w:r>
      <w:r w:rsidR="0096073A" w:rsidRPr="002239BF">
        <w:rPr>
          <w:rFonts w:ascii="Times New Roman" w:hAnsi="Times New Roman" w:cs="Times New Roman"/>
          <w:sz w:val="24"/>
          <w:szCs w:val="24"/>
        </w:rPr>
        <w:t xml:space="preserve">her forms of affordable housing. </w:t>
      </w:r>
      <w:r w:rsidR="00B81271" w:rsidRPr="002239BF">
        <w:rPr>
          <w:rFonts w:ascii="Times New Roman" w:hAnsi="Times New Roman" w:cs="Times New Roman"/>
          <w:sz w:val="24"/>
          <w:szCs w:val="24"/>
        </w:rPr>
        <w:t xml:space="preserve">Effective housing policy is surely that which meets the diversity of Britain’s housing needs with a diversity of housing tenures. All </w:t>
      </w:r>
      <w:r w:rsidRPr="002239BF">
        <w:rPr>
          <w:rFonts w:ascii="Times New Roman" w:hAnsi="Times New Roman" w:cs="Times New Roman"/>
          <w:sz w:val="24"/>
          <w:szCs w:val="24"/>
        </w:rPr>
        <w:t xml:space="preserve">the evidence points to the necessity for </w:t>
      </w:r>
      <w:r w:rsidR="00D154B3" w:rsidRPr="002239BF">
        <w:rPr>
          <w:rFonts w:ascii="Times New Roman" w:hAnsi="Times New Roman" w:cs="Times New Roman"/>
          <w:sz w:val="24"/>
          <w:szCs w:val="24"/>
        </w:rPr>
        <w:t xml:space="preserve">greater </w:t>
      </w:r>
      <w:r w:rsidR="00B81271" w:rsidRPr="002239BF">
        <w:rPr>
          <w:rFonts w:ascii="Times New Roman" w:hAnsi="Times New Roman" w:cs="Times New Roman"/>
          <w:sz w:val="24"/>
          <w:szCs w:val="24"/>
        </w:rPr>
        <w:t xml:space="preserve">and not less </w:t>
      </w:r>
      <w:r w:rsidR="00344EB2" w:rsidRPr="002239BF">
        <w:rPr>
          <w:rFonts w:ascii="Times New Roman" w:hAnsi="Times New Roman" w:cs="Times New Roman"/>
          <w:sz w:val="24"/>
          <w:szCs w:val="24"/>
        </w:rPr>
        <w:t>plurality of housing solutions</w:t>
      </w:r>
      <w:r w:rsidR="00B81271" w:rsidRPr="002239BF">
        <w:rPr>
          <w:rFonts w:ascii="Times New Roman" w:hAnsi="Times New Roman" w:cs="Times New Roman"/>
          <w:sz w:val="24"/>
          <w:szCs w:val="24"/>
        </w:rPr>
        <w:t xml:space="preserve">. </w:t>
      </w:r>
      <w:r w:rsidR="00344EB2" w:rsidRPr="002239BF">
        <w:rPr>
          <w:rFonts w:ascii="Times New Roman" w:hAnsi="Times New Roman" w:cs="Times New Roman"/>
          <w:sz w:val="24"/>
          <w:szCs w:val="24"/>
        </w:rPr>
        <w:t xml:space="preserve">More precisely, housing policy </w:t>
      </w:r>
      <w:r w:rsidR="00B81271" w:rsidRPr="002239BF">
        <w:rPr>
          <w:rFonts w:ascii="Times New Roman" w:hAnsi="Times New Roman" w:cs="Times New Roman"/>
          <w:sz w:val="24"/>
          <w:szCs w:val="24"/>
        </w:rPr>
        <w:t>must</w:t>
      </w:r>
      <w:r w:rsidR="00344EB2" w:rsidRPr="002239BF">
        <w:rPr>
          <w:rFonts w:ascii="Times New Roman" w:hAnsi="Times New Roman" w:cs="Times New Roman"/>
          <w:sz w:val="24"/>
          <w:szCs w:val="24"/>
        </w:rPr>
        <w:t xml:space="preserve"> adopt a ‘tenure neutral’ approach under which no single tenure is unduly favoured and none nor unduly </w:t>
      </w:r>
      <w:r w:rsidR="0051565E" w:rsidRPr="002239BF">
        <w:rPr>
          <w:rFonts w:ascii="Times New Roman" w:hAnsi="Times New Roman" w:cs="Times New Roman"/>
          <w:sz w:val="24"/>
          <w:szCs w:val="24"/>
        </w:rPr>
        <w:t>depressed or stigmatised</w:t>
      </w:r>
      <w:r w:rsidR="00F37020" w:rsidRPr="002239BF">
        <w:rPr>
          <w:rFonts w:ascii="Times New Roman" w:hAnsi="Times New Roman" w:cs="Times New Roman"/>
          <w:sz w:val="24"/>
          <w:szCs w:val="24"/>
        </w:rPr>
        <w:t>.</w:t>
      </w:r>
    </w:p>
    <w:sectPr w:rsidR="00344EB2" w:rsidRPr="002239B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6B8F3" w14:textId="77777777" w:rsidR="00D33C35" w:rsidRDefault="00D33C35" w:rsidP="006C7B67">
      <w:pPr>
        <w:spacing w:after="0" w:line="240" w:lineRule="auto"/>
      </w:pPr>
      <w:r>
        <w:separator/>
      </w:r>
    </w:p>
  </w:endnote>
  <w:endnote w:type="continuationSeparator" w:id="0">
    <w:p w14:paraId="377A9873" w14:textId="77777777" w:rsidR="00D33C35" w:rsidRDefault="00D33C35" w:rsidP="006C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8454264"/>
      <w:docPartObj>
        <w:docPartGallery w:val="Page Numbers (Bottom of Page)"/>
        <w:docPartUnique/>
      </w:docPartObj>
    </w:sdtPr>
    <w:sdtEndPr>
      <w:rPr>
        <w:noProof/>
      </w:rPr>
    </w:sdtEndPr>
    <w:sdtContent>
      <w:p w14:paraId="722B4E24" w14:textId="5A2155D9" w:rsidR="006F07AC" w:rsidRPr="000D041B" w:rsidRDefault="006F07AC">
        <w:pPr>
          <w:pStyle w:val="Footer"/>
          <w:jc w:val="right"/>
          <w:rPr>
            <w:rFonts w:ascii="Times New Roman" w:hAnsi="Times New Roman" w:cs="Times New Roman"/>
            <w:sz w:val="24"/>
            <w:szCs w:val="24"/>
          </w:rPr>
        </w:pPr>
        <w:r w:rsidRPr="000D041B">
          <w:rPr>
            <w:rFonts w:ascii="Times New Roman" w:hAnsi="Times New Roman" w:cs="Times New Roman"/>
            <w:sz w:val="24"/>
            <w:szCs w:val="24"/>
          </w:rPr>
          <w:fldChar w:fldCharType="begin"/>
        </w:r>
        <w:r w:rsidRPr="000D041B">
          <w:rPr>
            <w:rFonts w:ascii="Times New Roman" w:hAnsi="Times New Roman" w:cs="Times New Roman"/>
            <w:sz w:val="24"/>
            <w:szCs w:val="24"/>
          </w:rPr>
          <w:instrText xml:space="preserve"> PAGE   \* MERGEFORMAT </w:instrText>
        </w:r>
        <w:r w:rsidRPr="000D041B">
          <w:rPr>
            <w:rFonts w:ascii="Times New Roman" w:hAnsi="Times New Roman" w:cs="Times New Roman"/>
            <w:sz w:val="24"/>
            <w:szCs w:val="24"/>
          </w:rPr>
          <w:fldChar w:fldCharType="separate"/>
        </w:r>
        <w:r w:rsidR="002F0118">
          <w:rPr>
            <w:rFonts w:ascii="Times New Roman" w:hAnsi="Times New Roman" w:cs="Times New Roman"/>
            <w:noProof/>
            <w:sz w:val="24"/>
            <w:szCs w:val="24"/>
          </w:rPr>
          <w:t>1</w:t>
        </w:r>
        <w:r w:rsidRPr="000D041B">
          <w:rPr>
            <w:rFonts w:ascii="Times New Roman" w:hAnsi="Times New Roman" w:cs="Times New Roman"/>
            <w:noProof/>
            <w:sz w:val="24"/>
            <w:szCs w:val="24"/>
          </w:rPr>
          <w:fldChar w:fldCharType="end"/>
        </w:r>
      </w:p>
    </w:sdtContent>
  </w:sdt>
  <w:p w14:paraId="0261B465" w14:textId="77777777" w:rsidR="006F07AC" w:rsidRDefault="006F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E74C" w14:textId="77777777" w:rsidR="00D33C35" w:rsidRDefault="00D33C35" w:rsidP="006C7B67">
      <w:pPr>
        <w:spacing w:after="0" w:line="240" w:lineRule="auto"/>
      </w:pPr>
      <w:r>
        <w:separator/>
      </w:r>
    </w:p>
  </w:footnote>
  <w:footnote w:type="continuationSeparator" w:id="0">
    <w:p w14:paraId="4F0026BA" w14:textId="77777777" w:rsidR="00D33C35" w:rsidRDefault="00D33C35" w:rsidP="006C7B67">
      <w:pPr>
        <w:spacing w:after="0" w:line="240" w:lineRule="auto"/>
      </w:pPr>
      <w:r>
        <w:continuationSeparator/>
      </w:r>
    </w:p>
  </w:footnote>
  <w:footnote w:id="1">
    <w:p w14:paraId="1F9A20EF" w14:textId="771ED7F6" w:rsidR="006F07AC" w:rsidRPr="00AF55EF" w:rsidRDefault="006F07AC" w:rsidP="00A216BA">
      <w:pPr>
        <w:spacing w:line="360" w:lineRule="auto"/>
        <w:jc w:val="both"/>
        <w:rPr>
          <w:rFonts w:ascii="Times New Roman" w:eastAsia="Times New Roman" w:hAnsi="Times New Roman" w:cs="Times New Roman"/>
          <w:lang w:eastAsia="en-GB"/>
        </w:rPr>
      </w:pPr>
      <w:r w:rsidRPr="00AF55EF">
        <w:rPr>
          <w:rFonts w:ascii="Times New Roman" w:hAnsi="Times New Roman" w:cs="Times New Roman"/>
        </w:rPr>
        <w:t xml:space="preserve">* Assistant Professor in Property Law, School of Law, University of Nottingham and Associate Professor of Law, Law School, University of Southampton, respectively. We are most grateful to </w:t>
      </w:r>
      <w:r w:rsidRPr="00AF55EF">
        <w:rPr>
          <w:rFonts w:ascii="Times New Roman" w:eastAsia="Times New Roman" w:hAnsi="Times New Roman" w:cs="Times New Roman"/>
          <w:color w:val="212121"/>
          <w:shd w:val="clear" w:color="auto" w:fill="FFFFFF"/>
          <w:lang w:eastAsia="en-GB"/>
        </w:rPr>
        <w:t>Dave Cowan, David Gurnham and</w:t>
      </w:r>
      <w:r>
        <w:rPr>
          <w:rFonts w:ascii="Times New Roman" w:eastAsia="Times New Roman" w:hAnsi="Times New Roman" w:cs="Times New Roman"/>
          <w:color w:val="212121"/>
          <w:shd w:val="clear" w:color="auto" w:fill="FFFFFF"/>
          <w:lang w:eastAsia="en-GB"/>
        </w:rPr>
        <w:t xml:space="preserve"> </w:t>
      </w:r>
      <w:r w:rsidRPr="00AF55EF">
        <w:rPr>
          <w:rFonts w:ascii="Times New Roman" w:eastAsia="Times New Roman" w:hAnsi="Times New Roman" w:cs="Times New Roman"/>
          <w:color w:val="212121"/>
          <w:shd w:val="clear" w:color="auto" w:fill="FFFFFF"/>
          <w:lang w:eastAsia="en-GB"/>
        </w:rPr>
        <w:t xml:space="preserve">to the two anonymous referees for their </w:t>
      </w:r>
      <w:r>
        <w:rPr>
          <w:rFonts w:ascii="Times New Roman" w:eastAsia="Times New Roman" w:hAnsi="Times New Roman" w:cs="Times New Roman"/>
          <w:color w:val="212121"/>
          <w:shd w:val="clear" w:color="auto" w:fill="FFFFFF"/>
          <w:lang w:eastAsia="en-GB"/>
        </w:rPr>
        <w:t>in</w:t>
      </w:r>
      <w:r w:rsidRPr="00AF55EF">
        <w:rPr>
          <w:rFonts w:ascii="Times New Roman" w:eastAsia="Times New Roman" w:hAnsi="Times New Roman" w:cs="Times New Roman"/>
          <w:color w:val="212121"/>
          <w:shd w:val="clear" w:color="auto" w:fill="FFFFFF"/>
          <w:lang w:eastAsia="en-GB"/>
        </w:rPr>
        <w:t>valuable comments on an earlier draft of this article.</w:t>
      </w:r>
    </w:p>
    <w:p w14:paraId="76EE3C33"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A Housing White Paper, DCLG, </w:t>
      </w:r>
      <w:r w:rsidRPr="005E299A">
        <w:rPr>
          <w:rFonts w:ascii="Times New Roman" w:hAnsi="Times New Roman" w:cs="Times New Roman"/>
          <w:i/>
          <w:sz w:val="22"/>
          <w:szCs w:val="22"/>
        </w:rPr>
        <w:t>Fixing our broken housing market</w:t>
      </w:r>
      <w:r w:rsidRPr="005E299A">
        <w:rPr>
          <w:rFonts w:ascii="Times New Roman" w:hAnsi="Times New Roman" w:cs="Times New Roman"/>
          <w:sz w:val="22"/>
          <w:szCs w:val="22"/>
        </w:rPr>
        <w:t xml:space="preserve"> (White Paper, cm9352, 2017) was published in February 2017 setting out new measures on housing policy under the May Government. These proposals are just that, proposals, and are out for consultation. Their full scale and impact is, as such, presently unknown.</w:t>
      </w:r>
    </w:p>
  </w:footnote>
  <w:footnote w:id="2">
    <w:p w14:paraId="2C886664"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Introduced to the House of Commons in October 2015.</w:t>
      </w:r>
    </w:p>
  </w:footnote>
  <w:footnote w:id="3">
    <w:p w14:paraId="07CCD988"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As a measure of the controversy surrounding the Bill, the Government was said to have lost twice the number of votes on the Housing and Planning Bill than on all other legislation in 2015 combined: J. Healey, ‘The New Housing and Planning Bill is a Disaster for Affordable Homes’ </w:t>
      </w:r>
      <w:r w:rsidRPr="005E299A">
        <w:rPr>
          <w:rFonts w:ascii="Times New Roman" w:hAnsi="Times New Roman" w:cs="Times New Roman"/>
          <w:i/>
          <w:sz w:val="22"/>
          <w:szCs w:val="22"/>
        </w:rPr>
        <w:t>The Guardian</w:t>
      </w:r>
      <w:r w:rsidRPr="005E299A">
        <w:rPr>
          <w:rFonts w:ascii="Times New Roman" w:hAnsi="Times New Roman" w:cs="Times New Roman"/>
          <w:sz w:val="22"/>
          <w:szCs w:val="22"/>
        </w:rPr>
        <w:t>, 1 November 2015.</w:t>
      </w:r>
    </w:p>
  </w:footnote>
  <w:footnote w:id="4">
    <w:p w14:paraId="58C1E9A8" w14:textId="0462FF7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The Act applies mostly to England. Scotland and Wales deviate from many of the</w:t>
      </w:r>
      <w:r>
        <w:rPr>
          <w:rFonts w:ascii="Times New Roman" w:hAnsi="Times New Roman" w:cs="Times New Roman"/>
          <w:sz w:val="22"/>
          <w:szCs w:val="22"/>
        </w:rPr>
        <w:t xml:space="preserve"> measures in important respects.</w:t>
      </w:r>
    </w:p>
  </w:footnote>
  <w:footnote w:id="5">
    <w:p w14:paraId="222DB52A"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sz w:val="22"/>
          <w:szCs w:val="22"/>
          <w:lang w:val="en-US"/>
        </w:rPr>
        <w:t>HL Deb vol 609 col 465</w:t>
      </w:r>
      <w:r w:rsidRPr="005E299A">
        <w:rPr>
          <w:rFonts w:ascii="Times New Roman" w:hAnsi="Times New Roman" w:cs="Times New Roman"/>
          <w:sz w:val="22"/>
          <w:szCs w:val="22"/>
        </w:rPr>
        <w:t xml:space="preserve">  </w:t>
      </w:r>
      <w:r w:rsidRPr="005E299A">
        <w:rPr>
          <w:rFonts w:ascii="Times New Roman" w:hAnsi="Times New Roman" w:cs="Times New Roman"/>
          <w:sz w:val="22"/>
          <w:szCs w:val="22"/>
          <w:lang w:val="en-US"/>
        </w:rPr>
        <w:t xml:space="preserve">9 May 2016. </w:t>
      </w:r>
    </w:p>
  </w:footnote>
  <w:footnote w:id="6">
    <w:p w14:paraId="4E8BCBA6" w14:textId="36A430A4"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n.</w:t>
      </w:r>
      <w:r w:rsidR="00D14A50">
        <w:rPr>
          <w:rFonts w:ascii="Times New Roman" w:hAnsi="Times New Roman" w:cs="Times New Roman"/>
          <w:sz w:val="22"/>
          <w:szCs w:val="22"/>
        </w:rPr>
        <w:t xml:space="preserve"> </w:t>
      </w:r>
      <w:r w:rsidR="00D14A50">
        <w:rPr>
          <w:rFonts w:ascii="Times New Roman" w:hAnsi="Times New Roman" w:cs="Times New Roman"/>
          <w:sz w:val="22"/>
          <w:szCs w:val="22"/>
        </w:rPr>
        <w:fldChar w:fldCharType="begin"/>
      </w:r>
      <w:r w:rsidR="00D14A50">
        <w:rPr>
          <w:rFonts w:ascii="Times New Roman" w:hAnsi="Times New Roman" w:cs="Times New Roman"/>
          <w:sz w:val="22"/>
          <w:szCs w:val="22"/>
        </w:rPr>
        <w:instrText xml:space="preserve"> NOTEREF _Ref461890473 \h </w:instrText>
      </w:r>
      <w:r w:rsidR="00D14A50">
        <w:rPr>
          <w:rFonts w:ascii="Times New Roman" w:hAnsi="Times New Roman" w:cs="Times New Roman"/>
          <w:sz w:val="22"/>
          <w:szCs w:val="22"/>
        </w:rPr>
      </w:r>
      <w:r w:rsidR="00D14A50">
        <w:rPr>
          <w:rFonts w:ascii="Times New Roman" w:hAnsi="Times New Roman" w:cs="Times New Roman"/>
          <w:sz w:val="22"/>
          <w:szCs w:val="22"/>
        </w:rPr>
        <w:fldChar w:fldCharType="separate"/>
      </w:r>
      <w:r w:rsidR="00D14A50">
        <w:rPr>
          <w:rFonts w:ascii="Times New Roman" w:hAnsi="Times New Roman" w:cs="Times New Roman"/>
          <w:sz w:val="22"/>
          <w:szCs w:val="22"/>
        </w:rPr>
        <w:t>3</w:t>
      </w:r>
      <w:r w:rsidR="00D14A50">
        <w:rPr>
          <w:rFonts w:ascii="Times New Roman" w:hAnsi="Times New Roman" w:cs="Times New Roman"/>
          <w:sz w:val="22"/>
          <w:szCs w:val="22"/>
        </w:rPr>
        <w:fldChar w:fldCharType="end"/>
      </w:r>
      <w:r w:rsidRPr="005E299A">
        <w:rPr>
          <w:rFonts w:ascii="Times New Roman" w:hAnsi="Times New Roman" w:cs="Times New Roman"/>
          <w:sz w:val="22"/>
          <w:szCs w:val="22"/>
        </w:rPr>
        <w:t>.</w:t>
      </w:r>
    </w:p>
  </w:footnote>
  <w:footnote w:id="7">
    <w:p w14:paraId="64106C67" w14:textId="77777777" w:rsidR="006F07AC" w:rsidRPr="005E299A" w:rsidRDefault="006F07AC" w:rsidP="00A216BA">
      <w:pPr>
        <w:pStyle w:val="FootnoteText"/>
        <w:spacing w:line="360" w:lineRule="auto"/>
        <w:jc w:val="both"/>
        <w:rPr>
          <w:rFonts w:ascii="Times New Roman" w:hAnsi="Times New Roman" w:cs="Times New Roman"/>
          <w:color w:val="000000" w:themeColor="text1"/>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Editorial, </w:t>
      </w:r>
      <w:r w:rsidRPr="005E299A">
        <w:rPr>
          <w:rFonts w:ascii="Times New Roman" w:hAnsi="Times New Roman" w:cs="Times New Roman"/>
          <w:i/>
          <w:color w:val="000000" w:themeColor="text1"/>
          <w:sz w:val="22"/>
          <w:szCs w:val="22"/>
        </w:rPr>
        <w:t xml:space="preserve">The Guardian </w:t>
      </w:r>
      <w:r w:rsidRPr="005E299A">
        <w:rPr>
          <w:rFonts w:ascii="Times New Roman" w:hAnsi="Times New Roman" w:cs="Times New Roman"/>
          <w:color w:val="000000" w:themeColor="text1"/>
          <w:sz w:val="22"/>
          <w:szCs w:val="22"/>
        </w:rPr>
        <w:t xml:space="preserve">8 May 2016 at </w:t>
      </w:r>
      <w:hyperlink r:id="rId1" w:history="1">
        <w:r w:rsidRPr="005E299A">
          <w:rPr>
            <w:rStyle w:val="Hyperlink"/>
            <w:rFonts w:ascii="Times New Roman" w:hAnsi="Times New Roman" w:cs="Times New Roman"/>
            <w:sz w:val="22"/>
            <w:szCs w:val="22"/>
          </w:rPr>
          <w:t>https://www.theguardian.com/commentisfree/2016/may/08/the-guardian-view-on-the-housing-bill-ideological-overreach</w:t>
        </w:r>
      </w:hyperlink>
      <w:r w:rsidRPr="005E299A">
        <w:rPr>
          <w:rFonts w:ascii="Times New Roman" w:hAnsi="Times New Roman" w:cs="Times New Roman"/>
          <w:color w:val="000000" w:themeColor="text1"/>
          <w:sz w:val="22"/>
          <w:szCs w:val="22"/>
        </w:rPr>
        <w:t xml:space="preserve"> (last accessed 16 September 2016).</w:t>
      </w:r>
    </w:p>
  </w:footnote>
  <w:footnote w:id="8">
    <w:p w14:paraId="651BA819"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w:t>
      </w:r>
      <w:r w:rsidRPr="005E299A">
        <w:rPr>
          <w:rFonts w:ascii="Times New Roman" w:hAnsi="Times New Roman" w:cs="Times New Roman"/>
          <w:i/>
          <w:sz w:val="22"/>
          <w:szCs w:val="22"/>
        </w:rPr>
        <w:t xml:space="preserve">Homelessness Statistical Release </w:t>
      </w:r>
      <w:r w:rsidRPr="005E299A">
        <w:rPr>
          <w:rFonts w:ascii="Times New Roman" w:hAnsi="Times New Roman" w:cs="Times New Roman"/>
          <w:sz w:val="22"/>
          <w:szCs w:val="22"/>
        </w:rPr>
        <w:t xml:space="preserve">(23 March 2016). </w:t>
      </w:r>
    </w:p>
  </w:footnote>
  <w:footnote w:id="9">
    <w:p w14:paraId="710CAA82"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Office for National Statistics, </w:t>
      </w:r>
      <w:r w:rsidRPr="005E299A">
        <w:rPr>
          <w:rFonts w:ascii="Times New Roman" w:hAnsi="Times New Roman" w:cs="Times New Roman"/>
          <w:i/>
          <w:sz w:val="22"/>
          <w:szCs w:val="22"/>
        </w:rPr>
        <w:t>Housing Summary Measures Analysis</w:t>
      </w:r>
      <w:r w:rsidRPr="005E299A">
        <w:rPr>
          <w:rFonts w:ascii="Times New Roman" w:hAnsi="Times New Roman" w:cs="Times New Roman"/>
          <w:sz w:val="22"/>
          <w:szCs w:val="22"/>
        </w:rPr>
        <w:t xml:space="preserve"> (5 August 2015).</w:t>
      </w:r>
    </w:p>
  </w:footnote>
  <w:footnote w:id="10">
    <w:p w14:paraId="0DF63EDB"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HomeLet, </w:t>
      </w:r>
      <w:r w:rsidRPr="005E299A">
        <w:rPr>
          <w:rFonts w:ascii="Times New Roman" w:hAnsi="Times New Roman" w:cs="Times New Roman"/>
          <w:i/>
          <w:sz w:val="22"/>
          <w:szCs w:val="22"/>
        </w:rPr>
        <w:t>HomeLet Rental Index</w:t>
      </w:r>
      <w:r w:rsidRPr="005E299A">
        <w:rPr>
          <w:rFonts w:ascii="Times New Roman" w:hAnsi="Times New Roman" w:cs="Times New Roman"/>
          <w:sz w:val="22"/>
          <w:szCs w:val="22"/>
        </w:rPr>
        <w:t xml:space="preserve"> (June 2016).</w:t>
      </w:r>
    </w:p>
  </w:footnote>
  <w:footnote w:id="11">
    <w:p w14:paraId="3AD61453"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Resolution Foundation Report, </w:t>
      </w:r>
      <w:r w:rsidRPr="005E299A">
        <w:rPr>
          <w:rFonts w:ascii="Times New Roman" w:hAnsi="Times New Roman" w:cs="Times New Roman"/>
          <w:i/>
          <w:sz w:val="22"/>
          <w:szCs w:val="22"/>
        </w:rPr>
        <w:t>The Housing Headwind: The Impact of Housing Costs on Living Standards</w:t>
      </w:r>
      <w:r w:rsidRPr="005E299A">
        <w:rPr>
          <w:rFonts w:ascii="Times New Roman" w:hAnsi="Times New Roman" w:cs="Times New Roman"/>
          <w:sz w:val="22"/>
          <w:szCs w:val="22"/>
        </w:rPr>
        <w:t xml:space="preserve"> (28 June 2016) at &lt;http://www.resolutionfoundation.org/publications/the-housing-headwind-the-impact-of-rising-housing-costs-on-uk-living-standards&gt; [last accessed 16 September 2016]; S. Clarke, ‘Home ownership struggle reaches Coronation Street’ (Resolution Foundation Blog, 2 August 2016) at &lt;http://www.resolutionfoundation.org/media/blog/home-ownership-struggle-reaches-coronation-street/&gt; [last accessed 16 September 2016].</w:t>
      </w:r>
    </w:p>
  </w:footnote>
  <w:footnote w:id="12">
    <w:p w14:paraId="41D699E8"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See 2015 General Election and 2016 London Mayoral Election of 2016 which were fought largely according to which political party or candidate could out-promise their rivals as to the number of houses it would build if elected.</w:t>
      </w:r>
    </w:p>
  </w:footnote>
  <w:footnote w:id="13">
    <w:p w14:paraId="525C53EB" w14:textId="4AE6636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Theresa May, First Speech as Prime Minister (London, 13</w:t>
      </w:r>
      <w:r w:rsidRPr="005E299A">
        <w:rPr>
          <w:rFonts w:ascii="Times New Roman" w:hAnsi="Times New Roman" w:cs="Times New Roman"/>
          <w:color w:val="000000" w:themeColor="text1"/>
          <w:sz w:val="22"/>
          <w:szCs w:val="22"/>
          <w:vertAlign w:val="superscript"/>
        </w:rPr>
        <w:t xml:space="preserve"> </w:t>
      </w:r>
      <w:r w:rsidRPr="005E299A">
        <w:rPr>
          <w:rFonts w:ascii="Times New Roman" w:hAnsi="Times New Roman" w:cs="Times New Roman"/>
          <w:color w:val="000000" w:themeColor="text1"/>
          <w:sz w:val="22"/>
          <w:szCs w:val="22"/>
        </w:rPr>
        <w:t xml:space="preserve">July 2016) noting there was a </w:t>
      </w:r>
      <w:r w:rsidRPr="005E299A">
        <w:rPr>
          <w:rFonts w:ascii="Times New Roman" w:hAnsi="Times New Roman" w:cs="Times New Roman"/>
          <w:color w:val="000000" w:themeColor="text1"/>
          <w:sz w:val="22"/>
          <w:szCs w:val="22"/>
          <w:lang w:val="en-US"/>
        </w:rPr>
        <w:t xml:space="preserve">‘need to do far more to get more </w:t>
      </w:r>
      <w:r w:rsidRPr="005E299A">
        <w:rPr>
          <w:rFonts w:ascii="Times New Roman" w:hAnsi="Times New Roman" w:cs="Times New Roman"/>
          <w:bCs/>
          <w:color w:val="000000" w:themeColor="text1"/>
          <w:sz w:val="22"/>
          <w:szCs w:val="22"/>
          <w:lang w:val="en-US"/>
        </w:rPr>
        <w:t>houses</w:t>
      </w:r>
      <w:r w:rsidRPr="005E299A">
        <w:rPr>
          <w:rFonts w:ascii="Times New Roman" w:hAnsi="Times New Roman" w:cs="Times New Roman"/>
          <w:color w:val="000000" w:themeColor="text1"/>
          <w:sz w:val="22"/>
          <w:szCs w:val="22"/>
          <w:lang w:val="en-US"/>
        </w:rPr>
        <w:t xml:space="preserve"> built’ at </w:t>
      </w:r>
      <w:hyperlink r:id="rId2" w:history="1">
        <w:r w:rsidRPr="005E299A">
          <w:rPr>
            <w:rStyle w:val="Hyperlink"/>
            <w:rFonts w:ascii="Times New Roman" w:hAnsi="Times New Roman" w:cs="Times New Roman"/>
            <w:sz w:val="22"/>
            <w:szCs w:val="22"/>
            <w:lang w:val="en-US"/>
          </w:rPr>
          <w:t>http://press.conservatives.com/post/147947450370/we-can-make-britain-a-country-that-works-for</w:t>
        </w:r>
      </w:hyperlink>
      <w:r w:rsidRPr="005E299A">
        <w:rPr>
          <w:rFonts w:ascii="Times New Roman" w:hAnsi="Times New Roman" w:cs="Times New Roman"/>
          <w:color w:val="000000" w:themeColor="text1"/>
          <w:sz w:val="22"/>
          <w:szCs w:val="22"/>
          <w:lang w:val="en-US"/>
        </w:rPr>
        <w:t xml:space="preserve"> [last accessed 16 September 2016].</w:t>
      </w:r>
    </w:p>
  </w:footnote>
  <w:footnote w:id="14">
    <w:p w14:paraId="3B0C41CD"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C. Bevan, ‘The Localism Act 2011: the hollow housing law revolution’ (2014) 77(6) MLR  964-982.</w:t>
      </w:r>
    </w:p>
  </w:footnote>
  <w:footnote w:id="15">
    <w:p w14:paraId="604530BC"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w:t>
      </w:r>
      <w:r w:rsidRPr="005E299A">
        <w:rPr>
          <w:rFonts w:ascii="Times New Roman" w:hAnsi="Times New Roman" w:cs="Times New Roman"/>
          <w:i/>
          <w:sz w:val="22"/>
          <w:szCs w:val="22"/>
        </w:rPr>
        <w:t>Local decisions: a fairer future for social housing Consultation</w:t>
      </w:r>
      <w:r w:rsidRPr="005E299A">
        <w:rPr>
          <w:rFonts w:ascii="Times New Roman" w:hAnsi="Times New Roman" w:cs="Times New Roman"/>
          <w:sz w:val="22"/>
          <w:szCs w:val="22"/>
        </w:rPr>
        <w:t xml:space="preserve"> (November 2010), Ministerial Foreword.</w:t>
      </w:r>
    </w:p>
  </w:footnote>
  <w:footnote w:id="16">
    <w:p w14:paraId="596B7F47"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‘Landmark Housing and Planning Bill receives Royal Assent’ (13 May 2016) at &lt; https://www.gov.uk/government/news/landmark-housing-and-planning-bill-receives-royal-assent&gt; [last accessed 16 September 2016].</w:t>
      </w:r>
    </w:p>
  </w:footnote>
  <w:footnote w:id="17">
    <w:p w14:paraId="0BFE9E9D"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18">
    <w:p w14:paraId="42179C04" w14:textId="77777777" w:rsidR="006F07AC" w:rsidRPr="005E299A" w:rsidRDefault="006F07AC" w:rsidP="00A216BA">
      <w:pPr>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Prime Minister’s Office, Press Release (12 October 2015) at &lt;https://www.gov.uk/government/news/prime-minister-councils-must-deliver-local-plans-for-new-homes-by-2017&gt; [last accessed 16 September 2016].</w:t>
      </w:r>
    </w:p>
  </w:footnote>
  <w:footnote w:id="19">
    <w:p w14:paraId="1EC91B06" w14:textId="2272BE0D" w:rsidR="006F07AC" w:rsidRPr="005E299A" w:rsidRDefault="006F07AC" w:rsidP="00A216BA">
      <w:pPr>
        <w:spacing w:line="360" w:lineRule="auto"/>
        <w:jc w:val="both"/>
        <w:rPr>
          <w:rFonts w:ascii="Times New Roman" w:hAnsi="Times New Roman" w:cs="Times New Roman"/>
          <w:lang w:eastAsia="en-GB"/>
        </w:rPr>
      </w:pPr>
      <w:r w:rsidRPr="005E299A">
        <w:rPr>
          <w:rStyle w:val="FootnoteReference"/>
          <w:rFonts w:ascii="Times New Roman" w:hAnsi="Times New Roman" w:cs="Times New Roman"/>
        </w:rPr>
        <w:footnoteRef/>
      </w:r>
      <w:r w:rsidRPr="005E299A">
        <w:rPr>
          <w:rFonts w:ascii="Times New Roman" w:hAnsi="Times New Roman" w:cs="Times New Roman"/>
        </w:rPr>
        <w:t xml:space="preserve"> This pledge has been re-committed by current Housing Minister, Gavin Barwell</w:t>
      </w:r>
      <w:r>
        <w:rPr>
          <w:rFonts w:ascii="Times New Roman" w:hAnsi="Times New Roman" w:cs="Times New Roman"/>
        </w:rPr>
        <w:t>,</w:t>
      </w:r>
      <w:r w:rsidRPr="005E299A">
        <w:rPr>
          <w:rFonts w:ascii="Times New Roman" w:hAnsi="Times New Roman" w:cs="Times New Roman"/>
        </w:rPr>
        <w:t xml:space="preserve"> as part of </w:t>
      </w:r>
      <w:r>
        <w:rPr>
          <w:rFonts w:ascii="Times New Roman" w:hAnsi="Times New Roman" w:cs="Times New Roman"/>
        </w:rPr>
        <w:t xml:space="preserve">Theresa </w:t>
      </w:r>
      <w:r w:rsidRPr="005E299A">
        <w:rPr>
          <w:rFonts w:ascii="Times New Roman" w:hAnsi="Times New Roman" w:cs="Times New Roman"/>
        </w:rPr>
        <w:t>May’s strategy to close the so-called ‘homes</w:t>
      </w:r>
      <w:r>
        <w:rPr>
          <w:rFonts w:ascii="Times New Roman" w:hAnsi="Times New Roman" w:cs="Times New Roman"/>
        </w:rPr>
        <w:t xml:space="preserve"> deficit:</w:t>
      </w:r>
      <w:r w:rsidRPr="005E299A">
        <w:rPr>
          <w:rFonts w:ascii="Times New Roman" w:hAnsi="Times New Roman" w:cs="Times New Roman"/>
        </w:rPr>
        <w:t xml:space="preserve">’ HC Deb, vol </w:t>
      </w:r>
      <w:r>
        <w:rPr>
          <w:rFonts w:ascii="Times New Roman" w:hAnsi="Times New Roman" w:cs="Times New Roman"/>
        </w:rPr>
        <w:t>613, col 531</w:t>
      </w:r>
      <w:r w:rsidRPr="0014014D">
        <w:rPr>
          <w:rFonts w:ascii="Times New Roman" w:hAnsi="Times New Roman" w:cs="Times New Roman"/>
        </w:rPr>
        <w:t xml:space="preserve"> </w:t>
      </w:r>
      <w:r w:rsidRPr="005E299A">
        <w:rPr>
          <w:rFonts w:ascii="Times New Roman" w:hAnsi="Times New Roman" w:cs="Times New Roman"/>
        </w:rPr>
        <w:t>18 July 2016</w:t>
      </w:r>
      <w:r>
        <w:rPr>
          <w:rFonts w:ascii="Times New Roman" w:hAnsi="Times New Roman" w:cs="Times New Roman"/>
        </w:rPr>
        <w:t>.</w:t>
      </w:r>
    </w:p>
  </w:footnote>
  <w:footnote w:id="20">
    <w:p w14:paraId="241E794B" w14:textId="77777777" w:rsidR="006F07AC" w:rsidRPr="005E299A" w:rsidRDefault="006F07AC" w:rsidP="00A216BA">
      <w:pPr>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Housing and Planning Act 2016, Part 2.</w:t>
      </w:r>
    </w:p>
  </w:footnote>
  <w:footnote w:id="21">
    <w:p w14:paraId="1119B832"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Town and Country Planning Act 1990, Part 3.</w:t>
      </w:r>
    </w:p>
  </w:footnote>
  <w:footnote w:id="22">
    <w:p w14:paraId="0AA38129" w14:textId="526129D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 2(1) and 2(6)</w:t>
      </w:r>
    </w:p>
  </w:footnote>
  <w:footnote w:id="23">
    <w:p w14:paraId="6C3BA11A" w14:textId="0AED78E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00D14A50" w:rsidRPr="005E299A">
        <w:rPr>
          <w:rFonts w:ascii="Times New Roman" w:hAnsi="Times New Roman" w:cs="Times New Roman"/>
          <w:sz w:val="22"/>
          <w:szCs w:val="22"/>
        </w:rPr>
        <w:t xml:space="preserve">Housing and Planning Act 2016, s </w:t>
      </w:r>
      <w:r w:rsidRPr="005E299A">
        <w:rPr>
          <w:rFonts w:ascii="Times New Roman" w:hAnsi="Times New Roman" w:cs="Times New Roman"/>
          <w:sz w:val="22"/>
          <w:szCs w:val="22"/>
        </w:rPr>
        <w:t>4</w:t>
      </w:r>
      <w:r w:rsidR="00D14A50">
        <w:rPr>
          <w:rFonts w:ascii="Times New Roman" w:hAnsi="Times New Roman" w:cs="Times New Roman"/>
          <w:sz w:val="22"/>
          <w:szCs w:val="22"/>
        </w:rPr>
        <w:t>.</w:t>
      </w:r>
    </w:p>
  </w:footnote>
  <w:footnote w:id="24">
    <w:p w14:paraId="49268497" w14:textId="2193298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00D14A50" w:rsidRPr="005E299A">
        <w:rPr>
          <w:rFonts w:ascii="Times New Roman" w:hAnsi="Times New Roman" w:cs="Times New Roman"/>
          <w:sz w:val="22"/>
          <w:szCs w:val="22"/>
        </w:rPr>
        <w:t xml:space="preserve">Housing and Planning Act 2016, s </w:t>
      </w:r>
      <w:r w:rsidRPr="005E299A">
        <w:rPr>
          <w:rFonts w:ascii="Times New Roman" w:hAnsi="Times New Roman" w:cs="Times New Roman"/>
          <w:sz w:val="22"/>
          <w:szCs w:val="22"/>
        </w:rPr>
        <w:t>5</w:t>
      </w:r>
      <w:r w:rsidR="00D14A50">
        <w:rPr>
          <w:rFonts w:ascii="Times New Roman" w:hAnsi="Times New Roman" w:cs="Times New Roman"/>
          <w:sz w:val="22"/>
          <w:szCs w:val="22"/>
        </w:rPr>
        <w:t>.</w:t>
      </w:r>
    </w:p>
  </w:footnote>
  <w:footnote w:id="25">
    <w:p w14:paraId="0D5E86A7" w14:textId="0EA98B3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The Chancellor of the Exchequer, </w:t>
      </w:r>
      <w:r w:rsidRPr="005E299A">
        <w:rPr>
          <w:rFonts w:ascii="Times New Roman" w:hAnsi="Times New Roman" w:cs="Times New Roman"/>
          <w:i/>
          <w:sz w:val="22"/>
          <w:szCs w:val="22"/>
        </w:rPr>
        <w:t>Fixing the foundations: Creating a more prosperous nation</w:t>
      </w:r>
      <w:r w:rsidRPr="005E299A">
        <w:rPr>
          <w:rFonts w:ascii="Times New Roman" w:hAnsi="Times New Roman" w:cs="Times New Roman"/>
          <w:sz w:val="22"/>
          <w:szCs w:val="22"/>
        </w:rPr>
        <w:t xml:space="preserve"> Cm 9098 (July 2015), para 9.23.</w:t>
      </w:r>
    </w:p>
  </w:footnote>
  <w:footnote w:id="26">
    <w:p w14:paraId="5C8EA68C" w14:textId="7593E22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w:t>
      </w:r>
      <w:r w:rsidRPr="005E299A">
        <w:rPr>
          <w:rFonts w:ascii="Times New Roman" w:hAnsi="Times New Roman" w:cs="Times New Roman"/>
          <w:i/>
          <w:sz w:val="22"/>
          <w:szCs w:val="22"/>
        </w:rPr>
        <w:t>Starter Homes Regulations: Technical Consultation</w:t>
      </w:r>
      <w:r w:rsidRPr="005E299A">
        <w:rPr>
          <w:rFonts w:ascii="Times New Roman" w:hAnsi="Times New Roman" w:cs="Times New Roman"/>
          <w:sz w:val="22"/>
          <w:szCs w:val="22"/>
        </w:rPr>
        <w:t xml:space="preserve"> (March 2016), 5.</w:t>
      </w:r>
    </w:p>
  </w:footnote>
  <w:footnote w:id="27">
    <w:p w14:paraId="372A3E84" w14:textId="04D6E20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28">
    <w:p w14:paraId="1DDC6D92"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DCLG, n.1, at [4.16]-[4.17].</w:t>
      </w:r>
    </w:p>
  </w:footnote>
  <w:footnote w:id="29">
    <w:p w14:paraId="52F2ABD6" w14:textId="0495030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sz w:val="22"/>
          <w:szCs w:val="22"/>
          <w:lang w:val="en"/>
        </w:rPr>
        <w:t xml:space="preserve">Town and Country Planning Act 1990, s106; </w:t>
      </w:r>
      <w:r w:rsidRPr="005E299A">
        <w:rPr>
          <w:rFonts w:ascii="Times New Roman" w:hAnsi="Times New Roman" w:cs="Times New Roman"/>
          <w:sz w:val="22"/>
          <w:szCs w:val="22"/>
        </w:rPr>
        <w:t xml:space="preserve">Department for Communities and Local Government, </w:t>
      </w:r>
      <w:r w:rsidRPr="005E299A">
        <w:rPr>
          <w:rFonts w:ascii="Times New Roman" w:hAnsi="Times New Roman" w:cs="Times New Roman"/>
          <w:i/>
          <w:sz w:val="22"/>
          <w:szCs w:val="22"/>
        </w:rPr>
        <w:t>Renegotiation of Section 106 planning obligations</w:t>
      </w:r>
      <w:r w:rsidR="00D14A50">
        <w:rPr>
          <w:rFonts w:ascii="Times New Roman" w:hAnsi="Times New Roman" w:cs="Times New Roman"/>
          <w:i/>
          <w:sz w:val="22"/>
          <w:szCs w:val="22"/>
        </w:rPr>
        <w:t xml:space="preserve"> </w:t>
      </w:r>
      <w:r w:rsidRPr="005E299A">
        <w:rPr>
          <w:rFonts w:ascii="Times New Roman" w:hAnsi="Times New Roman" w:cs="Times New Roman"/>
          <w:i/>
          <w:sz w:val="22"/>
          <w:szCs w:val="22"/>
        </w:rPr>
        <w:t>Consultation</w:t>
      </w:r>
      <w:r w:rsidRPr="005E299A">
        <w:rPr>
          <w:rFonts w:ascii="Times New Roman" w:hAnsi="Times New Roman" w:cs="Times New Roman"/>
          <w:sz w:val="22"/>
          <w:szCs w:val="22"/>
        </w:rPr>
        <w:t xml:space="preserve"> (2012) para 1.</w:t>
      </w:r>
    </w:p>
  </w:footnote>
  <w:footnote w:id="30">
    <w:p w14:paraId="29F14C80" w14:textId="4E07B77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Joseph Rowntree Foundation, </w:t>
      </w:r>
      <w:r w:rsidRPr="005E299A">
        <w:rPr>
          <w:rFonts w:ascii="Times New Roman" w:hAnsi="Times New Roman" w:cs="Times New Roman"/>
          <w:i/>
          <w:sz w:val="22"/>
          <w:szCs w:val="22"/>
        </w:rPr>
        <w:t xml:space="preserve">Housing and Planning Bill Lords Committee Stage Briefing </w:t>
      </w:r>
      <w:r w:rsidRPr="005E299A">
        <w:rPr>
          <w:rFonts w:ascii="Times New Roman" w:hAnsi="Times New Roman" w:cs="Times New Roman"/>
          <w:sz w:val="22"/>
          <w:szCs w:val="22"/>
        </w:rPr>
        <w:t>(5 February 2016), 5.</w:t>
      </w:r>
    </w:p>
  </w:footnote>
  <w:footnote w:id="31">
    <w:p w14:paraId="29109488" w14:textId="44EF160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32">
    <w:p w14:paraId="49198941" w14:textId="11885F3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Government Association briefing, Housing and Planning Bill, House of Commons, Committee Stage (19 November 2015).</w:t>
      </w:r>
    </w:p>
  </w:footnote>
  <w:footnote w:id="33">
    <w:p w14:paraId="6C3FDC17" w14:textId="399D45E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DCLG, n.</w:t>
      </w:r>
      <w:r w:rsidR="00D14A50">
        <w:rPr>
          <w:rFonts w:ascii="Times New Roman" w:hAnsi="Times New Roman" w:cs="Times New Roman"/>
          <w:sz w:val="22"/>
          <w:szCs w:val="22"/>
        </w:rPr>
        <w:t xml:space="preserve"> </w:t>
      </w:r>
      <w:r w:rsidR="00D14A50">
        <w:rPr>
          <w:rFonts w:ascii="Times New Roman" w:hAnsi="Times New Roman" w:cs="Times New Roman"/>
          <w:sz w:val="22"/>
          <w:szCs w:val="22"/>
        </w:rPr>
        <w:fldChar w:fldCharType="begin"/>
      </w:r>
      <w:r w:rsidR="00D14A50">
        <w:rPr>
          <w:rFonts w:ascii="Times New Roman" w:hAnsi="Times New Roman" w:cs="Times New Roman"/>
          <w:sz w:val="22"/>
          <w:szCs w:val="22"/>
        </w:rPr>
        <w:instrText xml:space="preserve"> NOTEREF _Ref461890732 \h </w:instrText>
      </w:r>
      <w:r w:rsidR="00D14A50">
        <w:rPr>
          <w:rFonts w:ascii="Times New Roman" w:hAnsi="Times New Roman" w:cs="Times New Roman"/>
          <w:sz w:val="22"/>
          <w:szCs w:val="22"/>
        </w:rPr>
      </w:r>
      <w:r w:rsidR="00D14A50">
        <w:rPr>
          <w:rFonts w:ascii="Times New Roman" w:hAnsi="Times New Roman" w:cs="Times New Roman"/>
          <w:sz w:val="22"/>
          <w:szCs w:val="22"/>
        </w:rPr>
        <w:fldChar w:fldCharType="separate"/>
      </w:r>
      <w:r w:rsidR="00D14A50">
        <w:rPr>
          <w:rFonts w:ascii="Times New Roman" w:hAnsi="Times New Roman" w:cs="Times New Roman"/>
          <w:sz w:val="22"/>
          <w:szCs w:val="22"/>
        </w:rPr>
        <w:t>26</w:t>
      </w:r>
      <w:r w:rsidR="00D14A50">
        <w:rPr>
          <w:rFonts w:ascii="Times New Roman" w:hAnsi="Times New Roman" w:cs="Times New Roman"/>
          <w:sz w:val="22"/>
          <w:szCs w:val="22"/>
        </w:rPr>
        <w:fldChar w:fldCharType="end"/>
      </w:r>
      <w:r w:rsidRPr="005E299A">
        <w:rPr>
          <w:rFonts w:ascii="Times New Roman" w:hAnsi="Times New Roman" w:cs="Times New Roman"/>
          <w:sz w:val="22"/>
          <w:szCs w:val="22"/>
        </w:rPr>
        <w:t>, 11.</w:t>
      </w:r>
    </w:p>
  </w:footnote>
  <w:footnote w:id="34">
    <w:p w14:paraId="73B34EAA"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Government Association briefing, Housing and Planning Bill, House of Lords Second Reading</w:t>
      </w:r>
    </w:p>
    <w:p w14:paraId="40DDB79C" w14:textId="59ED856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Fonts w:ascii="Times New Roman" w:hAnsi="Times New Roman" w:cs="Times New Roman"/>
          <w:sz w:val="22"/>
          <w:szCs w:val="22"/>
        </w:rPr>
        <w:t>(26 January 2016).</w:t>
      </w:r>
    </w:p>
  </w:footnote>
  <w:footnote w:id="35">
    <w:p w14:paraId="282E8D79" w14:textId="77777777" w:rsidR="006F07AC" w:rsidRPr="005E299A" w:rsidRDefault="006F07AC" w:rsidP="00A216BA">
      <w:pPr>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Housing and Planning Act 2016, s 7. A softening in tone is discernible in the 2017 White Paper such that ‘it will be for local areas to work with developers to agree an appropriate level of delivery of starter homes, alongside other affordable home ownership and rented tenures.’ (DCLG, n.1, at [4.17]).</w:t>
      </w:r>
    </w:p>
  </w:footnote>
  <w:footnote w:id="36">
    <w:p w14:paraId="6ED1AEFA"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1980, s 23.</w:t>
      </w:r>
    </w:p>
  </w:footnote>
  <w:footnote w:id="37">
    <w:p w14:paraId="4213C1C3" w14:textId="2C02FAC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Government Association briefing Housing and Planning Bill, House of Lords, Third Reading (27 April 2016) at  </w:t>
      </w:r>
      <w:hyperlink r:id="rId3" w:history="1">
        <w:r w:rsidRPr="005E299A">
          <w:rPr>
            <w:rStyle w:val="Hyperlink"/>
            <w:rFonts w:ascii="Times New Roman" w:hAnsi="Times New Roman" w:cs="Times New Roman"/>
            <w:sz w:val="22"/>
            <w:szCs w:val="22"/>
          </w:rPr>
          <w:t>http://www.local.gov.uk/documents/10180/5533246/LGA+Briefing+-+Housing+and+Planning+Bill+-+Lords+-+Third+Reading+-+27+April.pdf/0b77df64-263c-479e-a6d2-d52682218a82</w:t>
        </w:r>
      </w:hyperlink>
      <w:r w:rsidRPr="005E299A">
        <w:rPr>
          <w:rFonts w:ascii="Times New Roman" w:hAnsi="Times New Roman" w:cs="Times New Roman"/>
          <w:sz w:val="22"/>
          <w:szCs w:val="22"/>
        </w:rPr>
        <w:t xml:space="preserve"> [last accessed 16 September 2016].</w:t>
      </w:r>
    </w:p>
  </w:footnote>
  <w:footnote w:id="38">
    <w:p w14:paraId="0AFD4051" w14:textId="145F86A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 5(2).</w:t>
      </w:r>
    </w:p>
  </w:footnote>
  <w:footnote w:id="39">
    <w:p w14:paraId="30991B2C" w14:textId="150463D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s 5(6).</w:t>
      </w:r>
    </w:p>
  </w:footnote>
  <w:footnote w:id="40">
    <w:p w14:paraId="01A507CC"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Starter homes are presented as a key part of a wider focus on the provision of ‘affordable home ownership unites’ in the 2017 White Paper. </w:t>
      </w:r>
    </w:p>
  </w:footnote>
  <w:footnote w:id="41">
    <w:p w14:paraId="14261140" w14:textId="38D60B4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Government Association Press Release (17 February 2016) at &lt;http://www.local.gov.uk/media-releases/-/journal_content/56/10180/7694909/NEWS&gt; [last accessed 16 September 2016].</w:t>
      </w:r>
    </w:p>
  </w:footnote>
  <w:footnote w:id="42">
    <w:p w14:paraId="41D9256C" w14:textId="7A723AA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Shelter, R. Emmett and A. Van Lohuizen, ‘Starter Homes: Will They Be Affordable?’(August 2015) at &lt;https://england.shelter.org.uk/__data/assets/pdf_file/0011/1183790/Starter_Homes_FINAL_w_Appendix_v2.pdf&gt; [last accessed 16 September 2016].</w:t>
      </w:r>
    </w:p>
  </w:footnote>
  <w:footnote w:id="43">
    <w:p w14:paraId="5DCB37A4" w14:textId="3DEFB16A"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11.</w:t>
      </w:r>
    </w:p>
  </w:footnote>
  <w:footnote w:id="44">
    <w:p w14:paraId="4B70C3DA" w14:textId="5871A05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3.</w:t>
      </w:r>
    </w:p>
  </w:footnote>
  <w:footnote w:id="45">
    <w:p w14:paraId="024A43C4" w14:textId="468AB57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HL Deb vol 771 col 18 11 April 2016.</w:t>
      </w:r>
    </w:p>
  </w:footnote>
  <w:footnote w:id="46">
    <w:p w14:paraId="075B8C6E" w14:textId="6303119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Shelter and KPMG Joint Report ‘Building The Homes We Need’ (June 2015), 4 at &lt; http://www.shelter.org.uk/__data/assets/pdf_file/0019/802270/Building_the_homes_we_need_-_a_programme_for_the_2015_government.pdf&gt; [last accessed 16 September 2016].</w:t>
      </w:r>
    </w:p>
  </w:footnote>
  <w:footnote w:id="47">
    <w:p w14:paraId="24D8F8B8" w14:textId="17E3C74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Council of Mortgage Lenders, ‘Response to Starter Homes Regulations’ (May 2016), 2 at &lt;https://www.cml.org.uk/policy/consultations/starter-homes-regulations-technical-consultation/&gt; [last accessed 16 September 2016].</w:t>
      </w:r>
    </w:p>
  </w:footnote>
  <w:footnote w:id="48">
    <w:p w14:paraId="63BF20A4" w14:textId="2ED33B6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009761FE" w:rsidRPr="007A5EF5">
        <w:rPr>
          <w:rFonts w:ascii="Times New Roman" w:hAnsi="Times New Roman" w:cs="Times New Roman"/>
          <w:sz w:val="22"/>
          <w:szCs w:val="22"/>
        </w:rPr>
        <w:t xml:space="preserve">The Conservative Party Manifesto 2015, </w:t>
      </w:r>
      <w:r w:rsidR="009761FE" w:rsidRPr="007A5EF5">
        <w:rPr>
          <w:rFonts w:ascii="Times New Roman" w:hAnsi="Times New Roman" w:cs="Times New Roman"/>
          <w:i/>
          <w:sz w:val="22"/>
          <w:szCs w:val="22"/>
        </w:rPr>
        <w:t xml:space="preserve">Strong Leadership, A Clear Economic Plan, A Brighter, More Secure Future </w:t>
      </w:r>
      <w:r w:rsidR="009761FE" w:rsidRPr="007A5EF5">
        <w:rPr>
          <w:rFonts w:ascii="Times New Roman" w:hAnsi="Times New Roman" w:cs="Times New Roman"/>
          <w:sz w:val="22"/>
          <w:szCs w:val="22"/>
        </w:rPr>
        <w:t>(London: The Conservative Party, 2015)</w:t>
      </w:r>
      <w:r w:rsidR="009761FE">
        <w:rPr>
          <w:rFonts w:ascii="Times New Roman" w:hAnsi="Times New Roman" w:cs="Times New Roman"/>
          <w:sz w:val="22"/>
          <w:szCs w:val="22"/>
        </w:rPr>
        <w:t xml:space="preserve"> </w:t>
      </w:r>
      <w:r w:rsidRPr="005E299A">
        <w:rPr>
          <w:rFonts w:ascii="Times New Roman" w:hAnsi="Times New Roman" w:cs="Times New Roman"/>
          <w:sz w:val="22"/>
          <w:szCs w:val="22"/>
        </w:rPr>
        <w:t>51.</w:t>
      </w:r>
    </w:p>
  </w:footnote>
  <w:footnote w:id="49">
    <w:p w14:paraId="7DD90EF7" w14:textId="6C1353D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52.</w:t>
      </w:r>
    </w:p>
  </w:footnote>
  <w:footnote w:id="50">
    <w:p w14:paraId="2AF6A704" w14:textId="2FCA1AD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The Chancellor of the Exchequer, n.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_Ref461890897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25</w:t>
      </w:r>
      <w:r w:rsidR="009761FE">
        <w:rPr>
          <w:rFonts w:ascii="Times New Roman" w:hAnsi="Times New Roman" w:cs="Times New Roman"/>
          <w:sz w:val="22"/>
          <w:szCs w:val="22"/>
        </w:rPr>
        <w:fldChar w:fldCharType="end"/>
      </w:r>
      <w:r w:rsidRPr="005E299A">
        <w:rPr>
          <w:rFonts w:ascii="Times New Roman" w:hAnsi="Times New Roman" w:cs="Times New Roman"/>
          <w:sz w:val="22"/>
          <w:szCs w:val="22"/>
        </w:rPr>
        <w:t>, para 9.24.</w:t>
      </w:r>
    </w:p>
  </w:footnote>
  <w:footnote w:id="51">
    <w:p w14:paraId="537201D2" w14:textId="19D01AF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M. McDermont, </w:t>
      </w:r>
      <w:r w:rsidRPr="005E299A">
        <w:rPr>
          <w:rFonts w:ascii="Times New Roman" w:hAnsi="Times New Roman" w:cs="Times New Roman"/>
          <w:i/>
          <w:sz w:val="22"/>
          <w:szCs w:val="22"/>
        </w:rPr>
        <w:t>Governing Independence and Expertise: The Business of Housing Associations</w:t>
      </w:r>
      <w:r w:rsidRPr="005E299A">
        <w:rPr>
          <w:rFonts w:ascii="Times New Roman" w:hAnsi="Times New Roman" w:cs="Times New Roman"/>
          <w:sz w:val="22"/>
          <w:szCs w:val="22"/>
        </w:rPr>
        <w:t xml:space="preserve"> (Oxford: Hart, 2010) 41.</w:t>
      </w:r>
    </w:p>
  </w:footnote>
  <w:footnote w:id="52">
    <w:p w14:paraId="57BCA610" w14:textId="2AB3A95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National Housing Federation, ‘An offer to extend Right to Buy discounts to housing association tenants’  (Undated) at </w:t>
      </w:r>
      <w:hyperlink r:id="rId4" w:history="1">
        <w:r w:rsidRPr="005E299A">
          <w:rPr>
            <w:rStyle w:val="Hyperlink"/>
            <w:rFonts w:ascii="Times New Roman" w:hAnsi="Times New Roman" w:cs="Times New Roman"/>
            <w:sz w:val="22"/>
            <w:szCs w:val="22"/>
          </w:rPr>
          <w:t>http://nationalhousingfederation.newsweaver.com/icfiles/1/55885/161177/5359868/a266db71336fb8bfef6fbbf2/rtb%20offer%20final%20fed_2.pdf</w:t>
        </w:r>
      </w:hyperlink>
      <w:r w:rsidRPr="005E299A">
        <w:rPr>
          <w:rFonts w:ascii="Times New Roman" w:hAnsi="Times New Roman" w:cs="Times New Roman"/>
          <w:sz w:val="22"/>
          <w:szCs w:val="22"/>
        </w:rPr>
        <w:t xml:space="preserve"> [last accessed 4 July 2016].</w:t>
      </w:r>
    </w:p>
  </w:footnote>
  <w:footnote w:id="53">
    <w:p w14:paraId="625FD065" w14:textId="7E32296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 64.</w:t>
      </w:r>
    </w:p>
  </w:footnote>
  <w:footnote w:id="54">
    <w:p w14:paraId="7B3B864E" w14:textId="2D216A5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119(A1).</w:t>
      </w:r>
    </w:p>
  </w:footnote>
  <w:footnote w:id="55">
    <w:p w14:paraId="359C5E04" w14:textId="5F86D33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House of Commons Library (W. Wilson and A. Bate), </w:t>
      </w:r>
      <w:r w:rsidRPr="005E299A">
        <w:rPr>
          <w:rFonts w:ascii="Times New Roman" w:hAnsi="Times New Roman" w:cs="Times New Roman"/>
          <w:i/>
          <w:sz w:val="22"/>
          <w:szCs w:val="22"/>
        </w:rPr>
        <w:t>Extending the ‘voluntary’ Right to Buy (England)</w:t>
      </w:r>
      <w:r w:rsidRPr="005E299A">
        <w:rPr>
          <w:rFonts w:ascii="Times New Roman" w:hAnsi="Times New Roman" w:cs="Times New Roman"/>
          <w:sz w:val="22"/>
          <w:szCs w:val="22"/>
        </w:rPr>
        <w:t xml:space="preserve"> Briefing Paper Number 07224 (13 April 2016) 19.</w:t>
      </w:r>
    </w:p>
  </w:footnote>
  <w:footnote w:id="56">
    <w:p w14:paraId="166FC3FE" w14:textId="3C8D2DAA"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w:t>
      </w:r>
      <w:r w:rsidRPr="005E299A">
        <w:rPr>
          <w:rFonts w:ascii="Times New Roman" w:hAnsi="Times New Roman" w:cs="Times New Roman"/>
          <w:i/>
          <w:sz w:val="22"/>
          <w:szCs w:val="22"/>
        </w:rPr>
        <w:t>Reinvigorating the Right to Buy and one for one replacement</w:t>
      </w:r>
      <w:r w:rsidRPr="005E299A">
        <w:rPr>
          <w:rFonts w:ascii="Times New Roman" w:hAnsi="Times New Roman" w:cs="Times New Roman"/>
          <w:sz w:val="22"/>
          <w:szCs w:val="22"/>
        </w:rPr>
        <w:t xml:space="preserve"> Consultation (2011) and </w:t>
      </w:r>
      <w:r w:rsidRPr="005E299A">
        <w:rPr>
          <w:rFonts w:ascii="Times New Roman" w:hAnsi="Times New Roman" w:cs="Times New Roman"/>
          <w:i/>
          <w:sz w:val="22"/>
          <w:szCs w:val="22"/>
        </w:rPr>
        <w:t>Reinvigorating Right to Buy and One for One Replacement Information for Local Authorities</w:t>
      </w:r>
      <w:r w:rsidRPr="005E299A">
        <w:rPr>
          <w:rFonts w:ascii="Times New Roman" w:hAnsi="Times New Roman" w:cs="Times New Roman"/>
          <w:sz w:val="22"/>
          <w:szCs w:val="22"/>
        </w:rPr>
        <w:t xml:space="preserve"> (2012).</w:t>
      </w:r>
    </w:p>
  </w:footnote>
  <w:footnote w:id="57">
    <w:p w14:paraId="58BEB2E0" w14:textId="1833098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Chartered Institute of Housing, Local Government Association and the National Federation of ALMOs, </w:t>
      </w:r>
      <w:r w:rsidRPr="005E299A">
        <w:rPr>
          <w:rFonts w:ascii="Times New Roman" w:hAnsi="Times New Roman" w:cs="Times New Roman"/>
          <w:i/>
          <w:sz w:val="22"/>
          <w:szCs w:val="22"/>
        </w:rPr>
        <w:t>Keeping Pace – replacing Right to Buy sales</w:t>
      </w:r>
      <w:r w:rsidRPr="005E299A">
        <w:rPr>
          <w:rFonts w:ascii="Times New Roman" w:hAnsi="Times New Roman" w:cs="Times New Roman"/>
          <w:sz w:val="22"/>
          <w:szCs w:val="22"/>
        </w:rPr>
        <w:t xml:space="preserve"> (2015). </w:t>
      </w:r>
    </w:p>
  </w:footnote>
  <w:footnote w:id="58">
    <w:p w14:paraId="26E11FC8" w14:textId="62803C2A"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 69.</w:t>
      </w:r>
    </w:p>
  </w:footnote>
  <w:footnote w:id="59">
    <w:p w14:paraId="2D0922A4"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Explanatory Notes to the Bill, paras 165-167.</w:t>
      </w:r>
    </w:p>
  </w:footnote>
  <w:footnote w:id="60">
    <w:p w14:paraId="5282CA43" w14:textId="354CE9A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House of Commons, Committee of Public Accounts, </w:t>
      </w:r>
      <w:r w:rsidRPr="005E299A">
        <w:rPr>
          <w:rFonts w:ascii="Times New Roman" w:hAnsi="Times New Roman" w:cs="Times New Roman"/>
          <w:i/>
          <w:sz w:val="22"/>
          <w:szCs w:val="22"/>
        </w:rPr>
        <w:t>Extending the Right to Buy to housing association tenants</w:t>
      </w:r>
      <w:r w:rsidRPr="005E299A">
        <w:rPr>
          <w:rFonts w:ascii="Times New Roman" w:hAnsi="Times New Roman" w:cs="Times New Roman"/>
          <w:sz w:val="22"/>
          <w:szCs w:val="22"/>
        </w:rPr>
        <w:t xml:space="preserve"> Thirty-eighth Report of Session 2015-16, HC 880 (25 April 2016) para 1.</w:t>
      </w:r>
    </w:p>
  </w:footnote>
  <w:footnote w:id="61">
    <w:p w14:paraId="7E9660A0" w14:textId="11795B8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para 3.</w:t>
      </w:r>
    </w:p>
  </w:footnote>
  <w:footnote w:id="62">
    <w:p w14:paraId="6A05D6BA"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Government Association briefing Housing and Planning Bill, Consideration of amendments</w:t>
      </w:r>
    </w:p>
    <w:p w14:paraId="7D0BA077" w14:textId="35CB1B6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Fonts w:ascii="Times New Roman" w:hAnsi="Times New Roman" w:cs="Times New Roman"/>
          <w:sz w:val="22"/>
          <w:szCs w:val="22"/>
        </w:rPr>
        <w:t>(May 2016).</w:t>
      </w:r>
    </w:p>
  </w:footnote>
  <w:footnote w:id="63">
    <w:p w14:paraId="421801F2" w14:textId="3E02E4E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Joseph Rowntree Foundation, Housing and Planning Bill Lords Committee Stage Briefing (5 February 2016) 9.</w:t>
      </w:r>
    </w:p>
  </w:footnote>
  <w:footnote w:id="64">
    <w:p w14:paraId="2E0F7F8D" w14:textId="0A3FE7D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65">
    <w:p w14:paraId="239D0783" w14:textId="54D68854"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B. Pattison, D. Robinson and I. Wilson, </w:t>
      </w:r>
      <w:r w:rsidRPr="005E299A">
        <w:rPr>
          <w:rFonts w:ascii="Times New Roman" w:hAnsi="Times New Roman" w:cs="Times New Roman"/>
          <w:i/>
          <w:sz w:val="22"/>
          <w:szCs w:val="22"/>
        </w:rPr>
        <w:t>Tenant Perceptions of the Right to Buy Extension: Evidence from the Big Tenant Survey</w:t>
      </w:r>
      <w:r w:rsidRPr="005E299A">
        <w:rPr>
          <w:rFonts w:ascii="Times New Roman" w:hAnsi="Times New Roman" w:cs="Times New Roman"/>
          <w:sz w:val="22"/>
          <w:szCs w:val="22"/>
        </w:rPr>
        <w:t xml:space="preserve"> (Sheffield Hallam University, Centre for Regional Economic and Social Research, and Housing Partners, February 2016).</w:t>
      </w:r>
    </w:p>
  </w:footnote>
  <w:footnote w:id="66">
    <w:p w14:paraId="5A35E469" w14:textId="338C9E3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P. Apps, ‘1% of tenants take up the Right to Buy’ </w:t>
      </w:r>
      <w:r w:rsidRPr="005E299A">
        <w:rPr>
          <w:rFonts w:ascii="Times New Roman" w:hAnsi="Times New Roman" w:cs="Times New Roman"/>
          <w:i/>
          <w:sz w:val="22"/>
          <w:szCs w:val="22"/>
        </w:rPr>
        <w:t>Inside Housing</w:t>
      </w:r>
      <w:r w:rsidRPr="005E299A">
        <w:rPr>
          <w:rFonts w:ascii="Times New Roman" w:hAnsi="Times New Roman" w:cs="Times New Roman"/>
          <w:sz w:val="22"/>
          <w:szCs w:val="22"/>
        </w:rPr>
        <w:t xml:space="preserve"> (15 April 2016) at </w:t>
      </w:r>
      <w:hyperlink r:id="rId5" w:history="1">
        <w:r w:rsidRPr="005E299A">
          <w:rPr>
            <w:rStyle w:val="Hyperlink"/>
            <w:rFonts w:ascii="Times New Roman" w:hAnsi="Times New Roman" w:cs="Times New Roman"/>
            <w:sz w:val="22"/>
            <w:szCs w:val="22"/>
          </w:rPr>
          <w:t>http://www.insidehousing.co.uk/1-of-tenants-take-up-the-right-to-buy/7014793.article</w:t>
        </w:r>
      </w:hyperlink>
      <w:r w:rsidRPr="005E299A">
        <w:rPr>
          <w:rFonts w:ascii="Times New Roman" w:hAnsi="Times New Roman" w:cs="Times New Roman"/>
          <w:sz w:val="22"/>
          <w:szCs w:val="22"/>
        </w:rPr>
        <w:t xml:space="preserve"> [last accessed 7 July 2016].</w:t>
      </w:r>
    </w:p>
  </w:footnote>
  <w:footnote w:id="67">
    <w:p w14:paraId="3F4951F9" w14:textId="0BD1C923" w:rsidR="006F07AC" w:rsidRPr="001B78F8" w:rsidRDefault="006F07AC" w:rsidP="00A216BA">
      <w:pPr>
        <w:pStyle w:val="FootnoteText"/>
        <w:spacing w:line="360" w:lineRule="auto"/>
        <w:rPr>
          <w:rFonts w:ascii="Times New Roman" w:hAnsi="Times New Roman" w:cs="Times New Roman"/>
          <w:sz w:val="22"/>
          <w:szCs w:val="22"/>
        </w:rPr>
      </w:pPr>
      <w:r w:rsidRPr="001B78F8">
        <w:rPr>
          <w:rStyle w:val="FootnoteReference"/>
          <w:rFonts w:ascii="Times New Roman" w:hAnsi="Times New Roman" w:cs="Times New Roman"/>
          <w:sz w:val="22"/>
          <w:szCs w:val="22"/>
        </w:rPr>
        <w:footnoteRef/>
      </w:r>
      <w:r w:rsidRPr="001B78F8">
        <w:rPr>
          <w:rFonts w:ascii="Times New Roman" w:hAnsi="Times New Roman" w:cs="Times New Roman"/>
          <w:sz w:val="22"/>
          <w:szCs w:val="22"/>
        </w:rPr>
        <w:t xml:space="preserve"> HM Government, </w:t>
      </w:r>
      <w:r w:rsidRPr="001B78F8">
        <w:rPr>
          <w:rFonts w:ascii="Times New Roman" w:hAnsi="Times New Roman" w:cs="Times New Roman"/>
          <w:i/>
          <w:sz w:val="22"/>
          <w:szCs w:val="22"/>
        </w:rPr>
        <w:t>Autumn Statement 2016: Policy Costings</w:t>
      </w:r>
      <w:r w:rsidRPr="001B78F8">
        <w:rPr>
          <w:rFonts w:ascii="Times New Roman" w:hAnsi="Times New Roman" w:cs="Times New Roman"/>
          <w:sz w:val="22"/>
          <w:szCs w:val="22"/>
        </w:rPr>
        <w:t xml:space="preserve"> (November 2016), 18.</w:t>
      </w:r>
    </w:p>
  </w:footnote>
  <w:footnote w:id="68">
    <w:p w14:paraId="190B3335" w14:textId="4551E506"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A point made expressly in the Conservative Party 2015 Manifesto, n.</w:t>
      </w:r>
      <w:r w:rsidR="009761FE">
        <w:rPr>
          <w:rFonts w:ascii="Times New Roman" w:hAnsi="Times New Roman" w:cs="Times New Roman"/>
          <w:sz w:val="22"/>
          <w:szCs w:val="22"/>
        </w:rPr>
        <w:t xml:space="preserve">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_Ref474417941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48</w:t>
      </w:r>
      <w:r w:rsidR="009761FE">
        <w:rPr>
          <w:rFonts w:ascii="Times New Roman" w:hAnsi="Times New Roman" w:cs="Times New Roman"/>
          <w:sz w:val="22"/>
          <w:szCs w:val="22"/>
        </w:rPr>
        <w:fldChar w:fldCharType="end"/>
      </w:r>
      <w:r w:rsidRPr="005E299A">
        <w:rPr>
          <w:rFonts w:ascii="Times New Roman" w:hAnsi="Times New Roman" w:cs="Times New Roman"/>
          <w:sz w:val="22"/>
          <w:szCs w:val="22"/>
        </w:rPr>
        <w:t>, 52.</w:t>
      </w:r>
    </w:p>
  </w:footnote>
  <w:footnote w:id="69">
    <w:p w14:paraId="0FA1204E" w14:textId="07963D9D" w:rsidR="006F07AC" w:rsidRPr="005E299A" w:rsidRDefault="006F07AC" w:rsidP="00A216BA">
      <w:pPr>
        <w:pStyle w:val="FootnoteText"/>
        <w:spacing w:line="360" w:lineRule="auto"/>
        <w:jc w:val="both"/>
        <w:rPr>
          <w:rFonts w:ascii="Times New Roman" w:hAnsi="Times New Roman" w:cs="Times New Roman"/>
          <w:color w:val="000000" w:themeColor="text1"/>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See generally R. </w:t>
      </w:r>
      <w:r w:rsidRPr="005E299A">
        <w:rPr>
          <w:rFonts w:ascii="Times New Roman" w:hAnsi="Times New Roman" w:cs="Times New Roman"/>
          <w:color w:val="000000" w:themeColor="text1"/>
          <w:sz w:val="22"/>
          <w:szCs w:val="22"/>
          <w:lang w:val="en-US"/>
        </w:rPr>
        <w:t>Hayton, ‘</w:t>
      </w:r>
      <w:r w:rsidRPr="005E299A">
        <w:rPr>
          <w:rFonts w:ascii="Times New Roman" w:hAnsi="Times New Roman" w:cs="Times New Roman"/>
          <w:iCs/>
          <w:color w:val="000000" w:themeColor="text1"/>
          <w:sz w:val="22"/>
          <w:szCs w:val="22"/>
          <w:lang w:val="en-US"/>
        </w:rPr>
        <w:t>Conservative Party Modernisation and David Cameron's Politics of the Family’ (2010)</w:t>
      </w:r>
      <w:r w:rsidRPr="005E299A">
        <w:rPr>
          <w:rFonts w:ascii="Times New Roman" w:hAnsi="Times New Roman" w:cs="Times New Roman"/>
          <w:color w:val="000000" w:themeColor="text1"/>
          <w:sz w:val="22"/>
          <w:szCs w:val="22"/>
          <w:lang w:val="en-US"/>
        </w:rPr>
        <w:t xml:space="preserve"> 81 (4) </w:t>
      </w:r>
      <w:r w:rsidRPr="005E299A">
        <w:rPr>
          <w:rFonts w:ascii="Times New Roman" w:hAnsi="Times New Roman" w:cs="Times New Roman"/>
          <w:i/>
          <w:color w:val="000000" w:themeColor="text1"/>
          <w:sz w:val="22"/>
          <w:szCs w:val="22"/>
          <w:lang w:val="en-US"/>
        </w:rPr>
        <w:t>The Political Quarterly</w:t>
      </w:r>
      <w:r w:rsidRPr="005E299A">
        <w:rPr>
          <w:rFonts w:ascii="Times New Roman" w:hAnsi="Times New Roman" w:cs="Times New Roman"/>
          <w:color w:val="000000" w:themeColor="text1"/>
          <w:sz w:val="22"/>
          <w:szCs w:val="22"/>
          <w:lang w:val="en-US"/>
        </w:rPr>
        <w:t xml:space="preserve"> 492.</w:t>
      </w:r>
    </w:p>
  </w:footnote>
  <w:footnote w:id="70">
    <w:p w14:paraId="69E983BD" w14:textId="014ADD0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See </w:t>
      </w:r>
      <w:r w:rsidRPr="005E299A">
        <w:rPr>
          <w:rFonts w:ascii="Times New Roman" w:hAnsi="Times New Roman" w:cs="Times New Roman"/>
          <w:color w:val="000000" w:themeColor="text1"/>
          <w:sz w:val="22"/>
          <w:szCs w:val="22"/>
          <w:lang w:val="en-US"/>
        </w:rPr>
        <w:t xml:space="preserve">J. Norman and J. Ganesh, </w:t>
      </w:r>
      <w:r w:rsidRPr="005E299A">
        <w:rPr>
          <w:rFonts w:ascii="Times New Roman" w:hAnsi="Times New Roman" w:cs="Times New Roman"/>
          <w:i/>
          <w:iCs/>
          <w:color w:val="000000" w:themeColor="text1"/>
          <w:sz w:val="22"/>
          <w:szCs w:val="22"/>
          <w:lang w:val="en-US"/>
        </w:rPr>
        <w:t>Compassionate Conservatism: What It Is, Why We Need It</w:t>
      </w:r>
      <w:r w:rsidRPr="005E299A">
        <w:rPr>
          <w:rFonts w:ascii="Times New Roman" w:hAnsi="Times New Roman" w:cs="Times New Roman"/>
          <w:color w:val="000000" w:themeColor="text1"/>
          <w:sz w:val="22"/>
          <w:szCs w:val="22"/>
          <w:lang w:val="en-US"/>
        </w:rPr>
        <w:t xml:space="preserve">  (Policy Exchange, 2006).</w:t>
      </w:r>
    </w:p>
  </w:footnote>
  <w:footnote w:id="71">
    <w:p w14:paraId="69950FB1" w14:textId="7323741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Bill 75, 2015-16, 13 October 2015.</w:t>
      </w:r>
    </w:p>
  </w:footnote>
  <w:footnote w:id="72">
    <w:p w14:paraId="1687DF22"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New Clauses 32 and 33 and Schedule 4.</w:t>
      </w:r>
    </w:p>
  </w:footnote>
  <w:footnote w:id="73">
    <w:p w14:paraId="7587C90E" w14:textId="1F87836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HC Deb Committee Debate 16</w:t>
      </w:r>
      <w:r w:rsidRPr="005E299A">
        <w:rPr>
          <w:rFonts w:ascii="Times New Roman" w:hAnsi="Times New Roman" w:cs="Times New Roman"/>
          <w:sz w:val="22"/>
          <w:szCs w:val="22"/>
          <w:vertAlign w:val="superscript"/>
        </w:rPr>
        <w:t>th</w:t>
      </w:r>
      <w:r w:rsidRPr="005E299A">
        <w:rPr>
          <w:rFonts w:ascii="Times New Roman" w:hAnsi="Times New Roman" w:cs="Times New Roman"/>
          <w:sz w:val="22"/>
          <w:szCs w:val="22"/>
        </w:rPr>
        <w:t xml:space="preserve"> Sitting 10 December 2015.</w:t>
      </w:r>
    </w:p>
  </w:footnote>
  <w:footnote w:id="74">
    <w:p w14:paraId="753916A5" w14:textId="1237724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col 649 Marcus Jones MP, Parliamentary Under Secretary of State, Department for Communities and Local Government.</w:t>
      </w:r>
    </w:p>
  </w:footnote>
  <w:footnote w:id="75">
    <w:p w14:paraId="2A269BD3"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 authority tenants first gained statutory security of tenure in the Housing Act 1980.</w:t>
      </w:r>
    </w:p>
  </w:footnote>
  <w:footnote w:id="76">
    <w:p w14:paraId="2634A613" w14:textId="6FE4FFE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Localism Act 2011 s 154 inserted new s 107A into the Housing Act 1985.</w:t>
      </w:r>
    </w:p>
  </w:footnote>
  <w:footnote w:id="77">
    <w:p w14:paraId="4CD3F820" w14:textId="1A299B5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‘New rules will help end prejudices about social housing’ (23 November 2011) at </w:t>
      </w:r>
      <w:hyperlink r:id="rId6" w:history="1">
        <w:r w:rsidRPr="005E299A">
          <w:rPr>
            <w:rStyle w:val="Hyperlink"/>
            <w:rFonts w:ascii="Times New Roman" w:hAnsi="Times New Roman" w:cs="Times New Roman"/>
            <w:sz w:val="22"/>
            <w:szCs w:val="22"/>
          </w:rPr>
          <w:t>https://www.gov.uk/government/news/new-rules-will-help-end-prejudices-about-social-housing--2</w:t>
        </w:r>
      </w:hyperlink>
      <w:r w:rsidRPr="005E299A">
        <w:rPr>
          <w:rFonts w:ascii="Times New Roman" w:hAnsi="Times New Roman" w:cs="Times New Roman"/>
          <w:sz w:val="22"/>
          <w:szCs w:val="22"/>
        </w:rPr>
        <w:t xml:space="preserve"> [last accessed 7 July 2016].</w:t>
      </w:r>
    </w:p>
  </w:footnote>
  <w:footnote w:id="78">
    <w:p w14:paraId="7AE2B991" w14:textId="1B45BA7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 Hills, </w:t>
      </w:r>
      <w:r w:rsidRPr="005E299A">
        <w:rPr>
          <w:rFonts w:ascii="Times New Roman" w:hAnsi="Times New Roman" w:cs="Times New Roman"/>
          <w:i/>
          <w:sz w:val="22"/>
          <w:szCs w:val="22"/>
        </w:rPr>
        <w:t>Ends and Means: The Future Roles of Social Housing in England</w:t>
      </w:r>
      <w:r w:rsidRPr="005E299A">
        <w:rPr>
          <w:rFonts w:ascii="Times New Roman" w:hAnsi="Times New Roman" w:cs="Times New Roman"/>
          <w:sz w:val="22"/>
          <w:szCs w:val="22"/>
        </w:rPr>
        <w:t xml:space="preserve"> CASEreport 34 (London: ESRC Research Centre for Analysis of Social Exclusion, February 2007).</w:t>
      </w:r>
    </w:p>
  </w:footnote>
  <w:footnote w:id="79">
    <w:p w14:paraId="66F5D6A0" w14:textId="373A298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193.</w:t>
      </w:r>
    </w:p>
  </w:footnote>
  <w:footnote w:id="80">
    <w:p w14:paraId="0037A826" w14:textId="7DDF0424"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107(B)(2).</w:t>
      </w:r>
    </w:p>
  </w:footnote>
  <w:footnote w:id="81">
    <w:p w14:paraId="723A5C1E" w14:textId="62F3904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Chartered Institute of Housing, </w:t>
      </w:r>
      <w:r w:rsidRPr="005E299A">
        <w:rPr>
          <w:rFonts w:ascii="Times New Roman" w:hAnsi="Times New Roman" w:cs="Times New Roman"/>
          <w:i/>
          <w:sz w:val="22"/>
          <w:szCs w:val="22"/>
        </w:rPr>
        <w:t xml:space="preserve">New Approaches to Fixed Term Tenancies </w:t>
      </w:r>
      <w:r w:rsidRPr="005E299A">
        <w:rPr>
          <w:rFonts w:ascii="Times New Roman" w:hAnsi="Times New Roman" w:cs="Times New Roman"/>
          <w:sz w:val="22"/>
          <w:szCs w:val="22"/>
        </w:rPr>
        <w:t xml:space="preserve"> (February 2014) 5.</w:t>
      </w:r>
    </w:p>
  </w:footnote>
  <w:footnote w:id="82">
    <w:p w14:paraId="428E5DE2" w14:textId="5C2E422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HC Deb Committee Debate 16</w:t>
      </w:r>
      <w:r w:rsidRPr="005E299A">
        <w:rPr>
          <w:rFonts w:ascii="Times New Roman" w:hAnsi="Times New Roman" w:cs="Times New Roman"/>
          <w:sz w:val="22"/>
          <w:szCs w:val="22"/>
          <w:vertAlign w:val="superscript"/>
        </w:rPr>
        <w:t>th</w:t>
      </w:r>
      <w:r w:rsidRPr="005E299A">
        <w:rPr>
          <w:rFonts w:ascii="Times New Roman" w:hAnsi="Times New Roman" w:cs="Times New Roman"/>
          <w:sz w:val="22"/>
          <w:szCs w:val="22"/>
        </w:rPr>
        <w:t xml:space="preserve"> Sitting col 650 10 December 2015.</w:t>
      </w:r>
    </w:p>
    <w:p w14:paraId="741DD7E7" w14:textId="77777777" w:rsidR="006F07AC" w:rsidRPr="005E299A" w:rsidRDefault="006F07AC" w:rsidP="00A216BA">
      <w:pPr>
        <w:pStyle w:val="FootnoteText"/>
        <w:spacing w:line="360" w:lineRule="auto"/>
        <w:jc w:val="both"/>
        <w:rPr>
          <w:rFonts w:ascii="Times New Roman" w:hAnsi="Times New Roman" w:cs="Times New Roman"/>
          <w:sz w:val="22"/>
          <w:szCs w:val="22"/>
        </w:rPr>
      </w:pPr>
    </w:p>
  </w:footnote>
  <w:footnote w:id="83">
    <w:p w14:paraId="37F0A69D" w14:textId="173830E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84">
    <w:p w14:paraId="18B1B187" w14:textId="1C74173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s 118 introduces new Sched 7, para 4.</w:t>
      </w:r>
    </w:p>
  </w:footnote>
  <w:footnote w:id="85">
    <w:p w14:paraId="2634ABE1" w14:textId="1A4E297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Sched 7, para 11 inserts new s 86A into the Housing Act 1985.</w:t>
      </w:r>
    </w:p>
  </w:footnote>
  <w:footnote w:id="86">
    <w:p w14:paraId="4DB29E38" w14:textId="5DDEC21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86A(3).</w:t>
      </w:r>
    </w:p>
  </w:footnote>
  <w:footnote w:id="87">
    <w:p w14:paraId="586CAF1F" w14:textId="2F9B1EE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81B(2).</w:t>
      </w:r>
    </w:p>
  </w:footnote>
  <w:footnote w:id="88">
    <w:p w14:paraId="5C871DDD" w14:textId="39989E9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and Planning Act 2016, Sched 7, para 4 inserts new s 86B into the Housing Act 1985.</w:t>
      </w:r>
    </w:p>
  </w:footnote>
  <w:footnote w:id="89">
    <w:p w14:paraId="46918CD0" w14:textId="0D56A8F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HC Deb Committee Debate 16</w:t>
      </w:r>
      <w:r w:rsidRPr="005E299A">
        <w:rPr>
          <w:rFonts w:ascii="Times New Roman" w:hAnsi="Times New Roman" w:cs="Times New Roman"/>
          <w:sz w:val="22"/>
          <w:szCs w:val="22"/>
          <w:vertAlign w:val="superscript"/>
        </w:rPr>
        <w:t>th</w:t>
      </w:r>
      <w:r w:rsidRPr="005E299A">
        <w:rPr>
          <w:rFonts w:ascii="Times New Roman" w:hAnsi="Times New Roman" w:cs="Times New Roman"/>
          <w:sz w:val="22"/>
          <w:szCs w:val="22"/>
        </w:rPr>
        <w:t xml:space="preserve"> Sitting col 650 10 December 2015.</w:t>
      </w:r>
    </w:p>
  </w:footnote>
  <w:footnote w:id="90">
    <w:p w14:paraId="58D3E61F" w14:textId="18FE974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86A(5).</w:t>
      </w:r>
    </w:p>
  </w:footnote>
  <w:footnote w:id="91">
    <w:p w14:paraId="543015F1" w14:textId="00A6908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1996, s 169.</w:t>
      </w:r>
    </w:p>
  </w:footnote>
  <w:footnote w:id="92">
    <w:p w14:paraId="53C6A0DB" w14:textId="3126BB1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1996, s 182.</w:t>
      </w:r>
    </w:p>
  </w:footnote>
  <w:footnote w:id="93">
    <w:p w14:paraId="0615D764" w14:textId="77777777" w:rsidR="006F07AC" w:rsidRPr="005E299A" w:rsidRDefault="006F07AC" w:rsidP="00A216BA">
      <w:pPr>
        <w:pStyle w:val="FootnoteText"/>
        <w:spacing w:line="360" w:lineRule="auto"/>
        <w:ind w:hanging="113"/>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De Falco v Crawley Borough Council</w:t>
      </w:r>
      <w:r w:rsidRPr="005E299A">
        <w:rPr>
          <w:rFonts w:ascii="Times New Roman" w:hAnsi="Times New Roman" w:cs="Times New Roman"/>
          <w:sz w:val="22"/>
          <w:szCs w:val="22"/>
        </w:rPr>
        <w:t xml:space="preserve"> [1980] 2 WLR 664, 673.</w:t>
      </w:r>
    </w:p>
  </w:footnote>
  <w:footnote w:id="94">
    <w:p w14:paraId="1766FDB9" w14:textId="1E65A14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HL Deb col 1175 27 April 2016 Baroness Evans of Bowes Park.</w:t>
      </w:r>
    </w:p>
  </w:footnote>
  <w:footnote w:id="95">
    <w:p w14:paraId="0EF4C50A" w14:textId="3B65843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81D.</w:t>
      </w:r>
    </w:p>
  </w:footnote>
  <w:footnote w:id="96">
    <w:p w14:paraId="5F37BC77" w14:textId="40BC070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81D(2).</w:t>
      </w:r>
    </w:p>
  </w:footnote>
  <w:footnote w:id="97">
    <w:p w14:paraId="78460508" w14:textId="5571728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107B(3).</w:t>
      </w:r>
    </w:p>
  </w:footnote>
  <w:footnote w:id="98">
    <w:p w14:paraId="7D18815C" w14:textId="158E7F24" w:rsidR="00B00D80" w:rsidRPr="00B00D80" w:rsidRDefault="00B00D80">
      <w:pPr>
        <w:pStyle w:val="FootnoteText"/>
        <w:rPr>
          <w:rFonts w:ascii="Times New Roman" w:hAnsi="Times New Roman" w:cs="Times New Roman"/>
          <w:sz w:val="22"/>
          <w:szCs w:val="22"/>
        </w:rPr>
      </w:pPr>
      <w:r>
        <w:rPr>
          <w:rStyle w:val="FootnoteReference"/>
        </w:rPr>
        <w:footnoteRef/>
      </w:r>
      <w:r>
        <w:t xml:space="preserve"> </w:t>
      </w:r>
      <w:r w:rsidRPr="00B00D80">
        <w:rPr>
          <w:rFonts w:ascii="Times New Roman" w:hAnsi="Times New Roman" w:cs="Times New Roman"/>
          <w:sz w:val="22"/>
          <w:szCs w:val="22"/>
        </w:rPr>
        <w:t>For example, Introductory and Demoted Tenancies.</w:t>
      </w:r>
    </w:p>
  </w:footnote>
  <w:footnote w:id="99">
    <w:p w14:paraId="732FAF6D" w14:textId="623F4C7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84.</w:t>
      </w:r>
    </w:p>
  </w:footnote>
  <w:footnote w:id="100">
    <w:p w14:paraId="0769D8EB" w14:textId="1E686AC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86E(2).</w:t>
      </w:r>
    </w:p>
  </w:footnote>
  <w:footnote w:id="101">
    <w:p w14:paraId="02B36DA4" w14:textId="305C04E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107D(6).</w:t>
      </w:r>
    </w:p>
  </w:footnote>
  <w:footnote w:id="102">
    <w:p w14:paraId="3881DDE2" w14:textId="28F5751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86E(3).</w:t>
      </w:r>
    </w:p>
  </w:footnote>
  <w:footnote w:id="103">
    <w:p w14:paraId="72AFD7AC" w14:textId="77777777" w:rsidR="006F07AC" w:rsidRPr="005E299A" w:rsidRDefault="006F07AC" w:rsidP="00A216BA">
      <w:pPr>
        <w:pStyle w:val="FootnoteText"/>
        <w:spacing w:line="360" w:lineRule="auto"/>
        <w:jc w:val="both"/>
        <w:rPr>
          <w:rFonts w:ascii="Times New Roman" w:hAnsi="Times New Roman" w:cs="Times New Roman"/>
          <w:i/>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Manchester City Council v Pinnock (Secretary of State for Communities and Local Government</w:t>
      </w:r>
    </w:p>
    <w:p w14:paraId="5EF1D3D3" w14:textId="62A2510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Fonts w:ascii="Times New Roman" w:hAnsi="Times New Roman" w:cs="Times New Roman"/>
          <w:i/>
          <w:sz w:val="22"/>
          <w:szCs w:val="22"/>
        </w:rPr>
        <w:t>and another intervening)</w:t>
      </w:r>
      <w:r w:rsidRPr="005E299A">
        <w:rPr>
          <w:rFonts w:ascii="Times New Roman" w:hAnsi="Times New Roman" w:cs="Times New Roman"/>
          <w:sz w:val="22"/>
          <w:szCs w:val="22"/>
        </w:rPr>
        <w:t xml:space="preserve"> [2010] UKSC 45; [2011] 2 AC 104.</w:t>
      </w:r>
    </w:p>
  </w:footnote>
  <w:footnote w:id="104">
    <w:p w14:paraId="7E5826AE" w14:textId="087813C6"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at [49].</w:t>
      </w:r>
    </w:p>
  </w:footnote>
  <w:footnote w:id="105">
    <w:p w14:paraId="16D0EA08" w14:textId="660F0DC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 Cowan and C. Hunter, ‘Yeah but, no but’ – Pinnock and Powell in the Supreme Court’ (2012) 75(1) MLR 78.</w:t>
      </w:r>
    </w:p>
  </w:footnote>
  <w:footnote w:id="106">
    <w:p w14:paraId="57A8BBFF" w14:textId="13070D14" w:rsidR="006F07AC" w:rsidRPr="005E299A" w:rsidRDefault="006F07AC" w:rsidP="00A216BA">
      <w:pPr>
        <w:tabs>
          <w:tab w:val="left" w:pos="-720"/>
        </w:tabs>
        <w:suppressAutoHyphens/>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For example, </w:t>
      </w:r>
      <w:r w:rsidRPr="005E299A">
        <w:rPr>
          <w:rFonts w:ascii="Times New Roman" w:eastAsia="Times New Roman" w:hAnsi="Times New Roman" w:cs="Times New Roman"/>
          <w:i/>
          <w:snapToGrid w:val="0"/>
        </w:rPr>
        <w:t>Harrow LBC v Qazi</w:t>
      </w:r>
      <w:r w:rsidRPr="005E299A">
        <w:rPr>
          <w:rFonts w:ascii="Times New Roman" w:eastAsia="Times New Roman" w:hAnsi="Times New Roman" w:cs="Times New Roman"/>
          <w:snapToGrid w:val="0"/>
        </w:rPr>
        <w:t xml:space="preserve"> [2003] UKHL 43; [2004] 1 </w:t>
      </w:r>
      <w:r w:rsidR="009761FE">
        <w:rPr>
          <w:rFonts w:ascii="Times New Roman" w:eastAsia="Times New Roman" w:hAnsi="Times New Roman" w:cs="Times New Roman"/>
          <w:snapToGrid w:val="0"/>
        </w:rPr>
        <w:t>AC</w:t>
      </w:r>
      <w:r w:rsidRPr="005E299A">
        <w:rPr>
          <w:rFonts w:ascii="Times New Roman" w:eastAsia="Times New Roman" w:hAnsi="Times New Roman" w:cs="Times New Roman"/>
          <w:snapToGrid w:val="0"/>
        </w:rPr>
        <w:t xml:space="preserve"> 983; </w:t>
      </w:r>
      <w:r w:rsidRPr="005E299A">
        <w:rPr>
          <w:rFonts w:ascii="Times New Roman" w:eastAsia="Times New Roman" w:hAnsi="Times New Roman" w:cs="Times New Roman"/>
          <w:i/>
          <w:snapToGrid w:val="0"/>
        </w:rPr>
        <w:t xml:space="preserve">Kay v Lambeth LBC; Leeds CC v Price </w:t>
      </w:r>
      <w:r w:rsidRPr="005E299A">
        <w:rPr>
          <w:rFonts w:ascii="Times New Roman" w:eastAsia="Times New Roman" w:hAnsi="Times New Roman" w:cs="Times New Roman"/>
          <w:snapToGrid w:val="0"/>
        </w:rPr>
        <w:t xml:space="preserve">[2006] UKHL 10; [2006] 2 </w:t>
      </w:r>
      <w:r w:rsidR="009761FE">
        <w:rPr>
          <w:rFonts w:ascii="Times New Roman" w:eastAsia="Times New Roman" w:hAnsi="Times New Roman" w:cs="Times New Roman"/>
          <w:snapToGrid w:val="0"/>
        </w:rPr>
        <w:t>AC</w:t>
      </w:r>
      <w:r w:rsidRPr="005E299A">
        <w:rPr>
          <w:rFonts w:ascii="Times New Roman" w:eastAsia="Times New Roman" w:hAnsi="Times New Roman" w:cs="Times New Roman"/>
          <w:snapToGrid w:val="0"/>
        </w:rPr>
        <w:t xml:space="preserve"> 465; </w:t>
      </w:r>
      <w:r w:rsidRPr="005E299A">
        <w:rPr>
          <w:rFonts w:ascii="Times New Roman" w:eastAsia="Times New Roman" w:hAnsi="Times New Roman" w:cs="Times New Roman"/>
          <w:i/>
          <w:snapToGrid w:val="0"/>
        </w:rPr>
        <w:t>Doherty v Birmingham CC</w:t>
      </w:r>
      <w:r w:rsidRPr="005E299A">
        <w:rPr>
          <w:rFonts w:ascii="Times New Roman" w:hAnsi="Times New Roman" w:cs="Times New Roman"/>
        </w:rPr>
        <w:t xml:space="preserve"> </w:t>
      </w:r>
      <w:r w:rsidRPr="005E299A">
        <w:rPr>
          <w:rFonts w:ascii="Times New Roman" w:eastAsia="Times New Roman" w:hAnsi="Times New Roman" w:cs="Times New Roman"/>
          <w:snapToGrid w:val="0"/>
        </w:rPr>
        <w:t xml:space="preserve">[2008] UKHL 57; [2009] 1 </w:t>
      </w:r>
      <w:r w:rsidR="009761FE">
        <w:rPr>
          <w:rFonts w:ascii="Times New Roman" w:eastAsia="Times New Roman" w:hAnsi="Times New Roman" w:cs="Times New Roman"/>
          <w:snapToGrid w:val="0"/>
        </w:rPr>
        <w:t>AC</w:t>
      </w:r>
      <w:r w:rsidRPr="005E299A">
        <w:rPr>
          <w:rFonts w:ascii="Times New Roman" w:eastAsia="Times New Roman" w:hAnsi="Times New Roman" w:cs="Times New Roman"/>
          <w:snapToGrid w:val="0"/>
        </w:rPr>
        <w:t xml:space="preserve"> 367.</w:t>
      </w:r>
    </w:p>
  </w:footnote>
  <w:footnote w:id="107">
    <w:p w14:paraId="67AF0274" w14:textId="302D255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For an excellent summary, see S. Nield, ‘Clash of the Titans: Article 8, Occupiers and Their Home’ in S. Bright (ed), </w:t>
      </w:r>
      <w:r w:rsidRPr="005E299A">
        <w:rPr>
          <w:rFonts w:ascii="Times New Roman" w:hAnsi="Times New Roman" w:cs="Times New Roman"/>
          <w:i/>
          <w:sz w:val="22"/>
          <w:szCs w:val="22"/>
        </w:rPr>
        <w:t>Modern Studies in Property Law</w:t>
      </w:r>
      <w:r w:rsidRPr="005E299A">
        <w:rPr>
          <w:rFonts w:ascii="Times New Roman" w:hAnsi="Times New Roman" w:cs="Times New Roman"/>
          <w:sz w:val="22"/>
          <w:szCs w:val="22"/>
        </w:rPr>
        <w:t xml:space="preserve"> (Oxford: Hart, 2011).</w:t>
      </w:r>
    </w:p>
  </w:footnote>
  <w:footnote w:id="108">
    <w:p w14:paraId="3FFE1C45"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1996, s143D.</w:t>
      </w:r>
    </w:p>
  </w:footnote>
  <w:footnote w:id="109">
    <w:p w14:paraId="128F4DC6" w14:textId="393BABC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Manchester City Council v Pinnock</w:t>
      </w:r>
      <w:r w:rsidRPr="005E299A">
        <w:rPr>
          <w:rFonts w:ascii="Times New Roman" w:hAnsi="Times New Roman" w:cs="Times New Roman"/>
          <w:sz w:val="22"/>
          <w:szCs w:val="22"/>
        </w:rPr>
        <w:t>,</w:t>
      </w:r>
      <w:r w:rsidRPr="005E299A">
        <w:rPr>
          <w:rFonts w:ascii="Times New Roman" w:hAnsi="Times New Roman" w:cs="Times New Roman"/>
          <w:i/>
          <w:sz w:val="22"/>
          <w:szCs w:val="22"/>
        </w:rPr>
        <w:t xml:space="preserve"> </w:t>
      </w:r>
      <w:r w:rsidRPr="005E299A">
        <w:rPr>
          <w:rFonts w:ascii="Times New Roman" w:hAnsi="Times New Roman" w:cs="Times New Roman"/>
          <w:sz w:val="22"/>
          <w:szCs w:val="22"/>
        </w:rPr>
        <w:t>n.</w:t>
      </w:r>
      <w:r w:rsidR="009761FE">
        <w:rPr>
          <w:rFonts w:ascii="Times New Roman" w:hAnsi="Times New Roman" w:cs="Times New Roman"/>
          <w:sz w:val="22"/>
          <w:szCs w:val="22"/>
        </w:rPr>
        <w:t xml:space="preserve">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_Ref461891144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103</w:t>
      </w:r>
      <w:r w:rsidR="009761FE">
        <w:rPr>
          <w:rFonts w:ascii="Times New Roman" w:hAnsi="Times New Roman" w:cs="Times New Roman"/>
          <w:sz w:val="22"/>
          <w:szCs w:val="22"/>
        </w:rPr>
        <w:fldChar w:fldCharType="end"/>
      </w:r>
      <w:r w:rsidRPr="005E299A">
        <w:rPr>
          <w:rFonts w:ascii="Times New Roman" w:hAnsi="Times New Roman" w:cs="Times New Roman"/>
          <w:sz w:val="22"/>
          <w:szCs w:val="22"/>
        </w:rPr>
        <w:t>, [79] and [104].</w:t>
      </w:r>
    </w:p>
  </w:footnote>
  <w:footnote w:id="110">
    <w:p w14:paraId="61C282B1" w14:textId="0FB9C369" w:rsidR="006F07AC" w:rsidRPr="005E299A" w:rsidRDefault="006F07AC" w:rsidP="007A4926">
      <w:pPr>
        <w:tabs>
          <w:tab w:val="left" w:pos="-720"/>
        </w:tabs>
        <w:suppressAutoHyphens/>
        <w:spacing w:line="360" w:lineRule="auto"/>
        <w:ind w:left="1418" w:hanging="1418"/>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i/>
        </w:rPr>
        <w:t>Hounslow LBC v Powell; Birmingham CC v Frisby</w:t>
      </w:r>
      <w:r w:rsidRPr="005E299A">
        <w:rPr>
          <w:rFonts w:ascii="Times New Roman" w:hAnsi="Times New Roman" w:cs="Times New Roman"/>
        </w:rPr>
        <w:t xml:space="preserve"> [2011] UKSC 8; [2011] 2 </w:t>
      </w:r>
      <w:r w:rsidR="009761FE">
        <w:rPr>
          <w:rFonts w:ascii="Times New Roman" w:hAnsi="Times New Roman" w:cs="Times New Roman"/>
        </w:rPr>
        <w:t>AC.</w:t>
      </w:r>
    </w:p>
  </w:footnote>
  <w:footnote w:id="111">
    <w:p w14:paraId="1EA75C14" w14:textId="7CB8A8DA"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Manchester City Council v Pinnock</w:t>
      </w:r>
      <w:r w:rsidRPr="005E299A">
        <w:rPr>
          <w:rFonts w:ascii="Times New Roman" w:hAnsi="Times New Roman" w:cs="Times New Roman"/>
          <w:sz w:val="22"/>
          <w:szCs w:val="22"/>
        </w:rPr>
        <w:t>, n.</w:t>
      </w:r>
      <w:r w:rsidR="009761FE">
        <w:rPr>
          <w:rFonts w:ascii="Times New Roman" w:hAnsi="Times New Roman" w:cs="Times New Roman"/>
          <w:sz w:val="22"/>
          <w:szCs w:val="22"/>
        </w:rPr>
        <w:t xml:space="preserve">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_Ref461891144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103</w:t>
      </w:r>
      <w:r w:rsidR="009761FE">
        <w:rPr>
          <w:rFonts w:ascii="Times New Roman" w:hAnsi="Times New Roman" w:cs="Times New Roman"/>
          <w:sz w:val="22"/>
          <w:szCs w:val="22"/>
        </w:rPr>
        <w:fldChar w:fldCharType="end"/>
      </w:r>
      <w:r w:rsidRPr="005E299A">
        <w:rPr>
          <w:rFonts w:ascii="Times New Roman" w:hAnsi="Times New Roman" w:cs="Times New Roman"/>
          <w:sz w:val="22"/>
          <w:szCs w:val="22"/>
        </w:rPr>
        <w:t>, [51]-[52].</w:t>
      </w:r>
    </w:p>
  </w:footnote>
  <w:footnote w:id="112">
    <w:p w14:paraId="6FC56860" w14:textId="0CA9D69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113">
    <w:p w14:paraId="03348511" w14:textId="081DA15A"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Hounslow LBC v Powell</w:t>
      </w:r>
      <w:r w:rsidRPr="005E299A">
        <w:rPr>
          <w:rFonts w:ascii="Times New Roman" w:hAnsi="Times New Roman" w:cs="Times New Roman"/>
          <w:sz w:val="22"/>
          <w:szCs w:val="22"/>
        </w:rPr>
        <w:t>, n.</w:t>
      </w:r>
      <w:r w:rsidR="009761FE">
        <w:rPr>
          <w:rFonts w:ascii="Times New Roman" w:hAnsi="Times New Roman" w:cs="Times New Roman"/>
          <w:sz w:val="22"/>
          <w:szCs w:val="22"/>
        </w:rPr>
        <w:t xml:space="preserve">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_Ref474335262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110</w:t>
      </w:r>
      <w:r w:rsidR="009761FE">
        <w:rPr>
          <w:rFonts w:ascii="Times New Roman" w:hAnsi="Times New Roman" w:cs="Times New Roman"/>
          <w:sz w:val="22"/>
          <w:szCs w:val="22"/>
        </w:rPr>
        <w:fldChar w:fldCharType="end"/>
      </w:r>
      <w:r w:rsidRPr="005E299A">
        <w:rPr>
          <w:rFonts w:ascii="Times New Roman" w:hAnsi="Times New Roman" w:cs="Times New Roman"/>
          <w:sz w:val="22"/>
          <w:szCs w:val="22"/>
        </w:rPr>
        <w:t>, [37].</w:t>
      </w:r>
    </w:p>
  </w:footnote>
  <w:footnote w:id="114">
    <w:p w14:paraId="47E0E5CB" w14:textId="012D0F1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Southend-on-Sea BC v Armour</w:t>
      </w:r>
      <w:r w:rsidRPr="005E299A">
        <w:rPr>
          <w:rFonts w:ascii="Times New Roman" w:hAnsi="Times New Roman" w:cs="Times New Roman"/>
          <w:sz w:val="22"/>
          <w:szCs w:val="22"/>
        </w:rPr>
        <w:t xml:space="preserve"> [2014] EWCA Civ 231; [2014] HLR23. For an early success see </w:t>
      </w:r>
      <w:r w:rsidRPr="005E299A">
        <w:rPr>
          <w:rFonts w:ascii="Times New Roman" w:hAnsi="Times New Roman" w:cs="Times New Roman"/>
          <w:i/>
          <w:sz w:val="22"/>
          <w:szCs w:val="22"/>
        </w:rPr>
        <w:t>Ghaidan v Godin-Mendoza</w:t>
      </w:r>
      <w:r w:rsidRPr="005E299A">
        <w:rPr>
          <w:rFonts w:ascii="Times New Roman" w:hAnsi="Times New Roman" w:cs="Times New Roman"/>
          <w:sz w:val="22"/>
          <w:szCs w:val="22"/>
        </w:rPr>
        <w:t xml:space="preserve"> [2004] UKHL 30; [2004] 2 </w:t>
      </w:r>
      <w:r w:rsidR="009761FE">
        <w:rPr>
          <w:rFonts w:ascii="Times New Roman" w:hAnsi="Times New Roman" w:cs="Times New Roman"/>
          <w:sz w:val="22"/>
          <w:szCs w:val="22"/>
        </w:rPr>
        <w:t>AC</w:t>
      </w:r>
      <w:r w:rsidRPr="005E299A">
        <w:rPr>
          <w:rFonts w:ascii="Times New Roman" w:hAnsi="Times New Roman" w:cs="Times New Roman"/>
          <w:sz w:val="22"/>
          <w:szCs w:val="22"/>
        </w:rPr>
        <w:t xml:space="preserve"> 557.</w:t>
      </w:r>
    </w:p>
  </w:footnote>
  <w:footnote w:id="115">
    <w:p w14:paraId="1584391E" w14:textId="0B0F86B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London Borough of Harrow v Qazi</w:t>
      </w:r>
      <w:r w:rsidRPr="005E299A">
        <w:rPr>
          <w:rFonts w:ascii="Times New Roman" w:hAnsi="Times New Roman" w:cs="Times New Roman"/>
          <w:sz w:val="22"/>
          <w:szCs w:val="22"/>
        </w:rPr>
        <w:t xml:space="preserve">, n. </w:t>
      </w:r>
      <w:r w:rsidR="009761FE">
        <w:rPr>
          <w:rFonts w:ascii="Times New Roman" w:hAnsi="Times New Roman" w:cs="Times New Roman"/>
          <w:sz w:val="22"/>
          <w:szCs w:val="22"/>
        </w:rPr>
        <w:fldChar w:fldCharType="begin"/>
      </w:r>
      <w:r w:rsidR="009761FE">
        <w:rPr>
          <w:rFonts w:ascii="Times New Roman" w:hAnsi="Times New Roman" w:cs="Times New Roman"/>
          <w:sz w:val="22"/>
          <w:szCs w:val="22"/>
        </w:rPr>
        <w:instrText xml:space="preserve"> NOTEREF _Ref474335371 \h </w:instrText>
      </w:r>
      <w:r w:rsidR="009761FE">
        <w:rPr>
          <w:rFonts w:ascii="Times New Roman" w:hAnsi="Times New Roman" w:cs="Times New Roman"/>
          <w:sz w:val="22"/>
          <w:szCs w:val="22"/>
        </w:rPr>
      </w:r>
      <w:r w:rsidR="009761FE">
        <w:rPr>
          <w:rFonts w:ascii="Times New Roman" w:hAnsi="Times New Roman" w:cs="Times New Roman"/>
          <w:sz w:val="22"/>
          <w:szCs w:val="22"/>
        </w:rPr>
        <w:fldChar w:fldCharType="separate"/>
      </w:r>
      <w:r w:rsidR="009761FE">
        <w:rPr>
          <w:rFonts w:ascii="Times New Roman" w:hAnsi="Times New Roman" w:cs="Times New Roman"/>
          <w:sz w:val="22"/>
          <w:szCs w:val="22"/>
        </w:rPr>
        <w:t>106</w:t>
      </w:r>
      <w:r w:rsidR="009761FE">
        <w:rPr>
          <w:rFonts w:ascii="Times New Roman" w:hAnsi="Times New Roman" w:cs="Times New Roman"/>
          <w:sz w:val="22"/>
          <w:szCs w:val="22"/>
        </w:rPr>
        <w:fldChar w:fldCharType="end"/>
      </w:r>
      <w:r w:rsidR="009761FE">
        <w:rPr>
          <w:rFonts w:ascii="Times New Roman" w:hAnsi="Times New Roman" w:cs="Times New Roman"/>
          <w:sz w:val="22"/>
          <w:szCs w:val="22"/>
        </w:rPr>
        <w:t xml:space="preserve">, </w:t>
      </w:r>
      <w:r w:rsidRPr="005E299A">
        <w:rPr>
          <w:rFonts w:ascii="Times New Roman" w:hAnsi="Times New Roman" w:cs="Times New Roman"/>
          <w:sz w:val="22"/>
          <w:szCs w:val="22"/>
        </w:rPr>
        <w:t>997.</w:t>
      </w:r>
    </w:p>
  </w:footnote>
  <w:footnote w:id="116">
    <w:p w14:paraId="594506A7" w14:textId="0036C3A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A. Latham, ‘Talking without speaking, hearing without listening? Evictions, the Law Lords and the European Court of Human Rights’ (2011) PL 730, 740.</w:t>
      </w:r>
    </w:p>
  </w:footnote>
  <w:footnote w:id="117">
    <w:p w14:paraId="0BD68F92" w14:textId="2FDA62C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1988, s 21.</w:t>
      </w:r>
    </w:p>
  </w:footnote>
  <w:footnote w:id="118">
    <w:p w14:paraId="414E8CAF" w14:textId="30CD4CE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HC Deb Committee Debate 16</w:t>
      </w:r>
      <w:r w:rsidRPr="005E299A">
        <w:rPr>
          <w:rFonts w:ascii="Times New Roman" w:hAnsi="Times New Roman" w:cs="Times New Roman"/>
          <w:sz w:val="22"/>
          <w:szCs w:val="22"/>
          <w:vertAlign w:val="superscript"/>
        </w:rPr>
        <w:t>th</w:t>
      </w:r>
      <w:r w:rsidRPr="005E299A">
        <w:rPr>
          <w:rFonts w:ascii="Times New Roman" w:hAnsi="Times New Roman" w:cs="Times New Roman"/>
          <w:sz w:val="22"/>
          <w:szCs w:val="22"/>
        </w:rPr>
        <w:t xml:space="preserve"> Sitting col 652 10 December 2015.</w:t>
      </w:r>
    </w:p>
  </w:footnote>
  <w:footnote w:id="119">
    <w:p w14:paraId="7D77FBB3" w14:textId="7D2198A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Office for National Statistics, Classification announcement: ‘“Private registered providers” of social housing in England’ (30 October 2015).</w:t>
      </w:r>
    </w:p>
  </w:footnote>
  <w:footnote w:id="120">
    <w:p w14:paraId="7EFFF1F7" w14:textId="7E3D650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 Spurr, ‘Housing associations reclassified as public sector’ </w:t>
      </w:r>
      <w:r w:rsidRPr="005E299A">
        <w:rPr>
          <w:rFonts w:ascii="Times New Roman" w:hAnsi="Times New Roman" w:cs="Times New Roman"/>
          <w:i/>
          <w:sz w:val="22"/>
          <w:szCs w:val="22"/>
        </w:rPr>
        <w:t xml:space="preserve">Inside Housing </w:t>
      </w:r>
      <w:r w:rsidRPr="005E299A">
        <w:rPr>
          <w:rFonts w:ascii="Times New Roman" w:hAnsi="Times New Roman" w:cs="Times New Roman"/>
          <w:sz w:val="22"/>
          <w:szCs w:val="22"/>
        </w:rPr>
        <w:t xml:space="preserve">30 October 2015 at </w:t>
      </w:r>
      <w:hyperlink r:id="rId7" w:history="1">
        <w:r w:rsidRPr="005E299A">
          <w:rPr>
            <w:rStyle w:val="Hyperlink"/>
            <w:rFonts w:ascii="Times New Roman" w:hAnsi="Times New Roman" w:cs="Times New Roman"/>
            <w:sz w:val="22"/>
            <w:szCs w:val="22"/>
          </w:rPr>
          <w:t>http://www.insidehousing.co.uk/housing-associations-reclassified-as-public-sector/7012511.article</w:t>
        </w:r>
      </w:hyperlink>
      <w:r w:rsidRPr="005E299A">
        <w:rPr>
          <w:rFonts w:ascii="Times New Roman" w:hAnsi="Times New Roman" w:cs="Times New Roman"/>
          <w:sz w:val="22"/>
          <w:szCs w:val="22"/>
        </w:rPr>
        <w:t xml:space="preserve"> [last accessed 12 July 2016].</w:t>
      </w:r>
    </w:p>
  </w:footnote>
  <w:footnote w:id="121">
    <w:p w14:paraId="3BF29F52" w14:textId="741C4F1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and The Rt Hon Greg Clark MP, ‘Housing associations and housebuilding’ speech to the Placeshapers Conference, delivered on 5 November (6 November 2015).</w:t>
      </w:r>
      <w:r w:rsidR="00E762ED">
        <w:rPr>
          <w:rFonts w:ascii="Times New Roman" w:hAnsi="Times New Roman" w:cs="Times New Roman"/>
          <w:sz w:val="22"/>
          <w:szCs w:val="22"/>
        </w:rPr>
        <w:t xml:space="preserve">  The 2017 White Paper reiterates this commitment; n. </w:t>
      </w:r>
      <w:r w:rsidR="00E762ED">
        <w:rPr>
          <w:rFonts w:ascii="Times New Roman" w:hAnsi="Times New Roman" w:cs="Times New Roman"/>
          <w:sz w:val="22"/>
          <w:szCs w:val="22"/>
        </w:rPr>
        <w:fldChar w:fldCharType="begin"/>
      </w:r>
      <w:r w:rsidR="00E762ED">
        <w:rPr>
          <w:rFonts w:ascii="Times New Roman" w:hAnsi="Times New Roman" w:cs="Times New Roman"/>
          <w:sz w:val="22"/>
          <w:szCs w:val="22"/>
        </w:rPr>
        <w:instrText xml:space="preserve"> NOTEREF _Ref474414468 \h </w:instrText>
      </w:r>
      <w:r w:rsidR="00E762ED">
        <w:rPr>
          <w:rFonts w:ascii="Times New Roman" w:hAnsi="Times New Roman" w:cs="Times New Roman"/>
          <w:sz w:val="22"/>
          <w:szCs w:val="22"/>
        </w:rPr>
      </w:r>
      <w:r w:rsidR="00E762ED">
        <w:rPr>
          <w:rFonts w:ascii="Times New Roman" w:hAnsi="Times New Roman" w:cs="Times New Roman"/>
          <w:sz w:val="22"/>
          <w:szCs w:val="22"/>
        </w:rPr>
        <w:fldChar w:fldCharType="separate"/>
      </w:r>
      <w:r w:rsidR="00E762ED">
        <w:rPr>
          <w:rFonts w:ascii="Times New Roman" w:hAnsi="Times New Roman" w:cs="Times New Roman"/>
          <w:sz w:val="22"/>
          <w:szCs w:val="22"/>
        </w:rPr>
        <w:t>1</w:t>
      </w:r>
      <w:r w:rsidR="00E762ED">
        <w:rPr>
          <w:rFonts w:ascii="Times New Roman" w:hAnsi="Times New Roman" w:cs="Times New Roman"/>
          <w:sz w:val="22"/>
          <w:szCs w:val="22"/>
        </w:rPr>
        <w:fldChar w:fldCharType="end"/>
      </w:r>
      <w:r w:rsidR="00E762ED">
        <w:rPr>
          <w:rFonts w:ascii="Times New Roman" w:hAnsi="Times New Roman" w:cs="Times New Roman"/>
          <w:sz w:val="22"/>
          <w:szCs w:val="22"/>
        </w:rPr>
        <w:t>, para 3.26.</w:t>
      </w:r>
    </w:p>
  </w:footnote>
  <w:footnote w:id="122">
    <w:p w14:paraId="65D6D9BD" w14:textId="356B05C4"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HC Deb Committee Debate 16th Sitting col 652 10 December 2015.</w:t>
      </w:r>
    </w:p>
  </w:footnote>
  <w:footnote w:id="123">
    <w:p w14:paraId="1F91411F" w14:textId="03F94FC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ibid cols 656-8.</w:t>
      </w:r>
    </w:p>
  </w:footnote>
  <w:footnote w:id="124">
    <w:p w14:paraId="227BF956" w14:textId="226F165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col 662.</w:t>
      </w:r>
    </w:p>
  </w:footnote>
  <w:footnote w:id="125">
    <w:p w14:paraId="23CBE206" w14:textId="632CECB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col 664 Matthew Pennycook .  See also, col 658 Dr Blackman-Woods.</w:t>
      </w:r>
    </w:p>
  </w:footnote>
  <w:footnote w:id="126">
    <w:p w14:paraId="05B01E58" w14:textId="31A1CD5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M. Loughlin, </w:t>
      </w:r>
      <w:r w:rsidRPr="005E299A">
        <w:rPr>
          <w:rFonts w:ascii="Times New Roman" w:hAnsi="Times New Roman" w:cs="Times New Roman"/>
          <w:i/>
          <w:sz w:val="22"/>
          <w:szCs w:val="22"/>
        </w:rPr>
        <w:t>Legality and Locality: The Role of Law in Central-Local Government Relations</w:t>
      </w:r>
      <w:r w:rsidRPr="005E299A">
        <w:rPr>
          <w:rFonts w:ascii="Times New Roman" w:hAnsi="Times New Roman" w:cs="Times New Roman"/>
          <w:sz w:val="22"/>
          <w:szCs w:val="22"/>
        </w:rPr>
        <w:t xml:space="preserve"> (Oxford: Clarendon, 1996); H. Butcher, I. Law, R. Leach and M. Mullard, </w:t>
      </w:r>
      <w:r w:rsidRPr="005E299A">
        <w:rPr>
          <w:rFonts w:ascii="Times New Roman" w:hAnsi="Times New Roman" w:cs="Times New Roman"/>
          <w:i/>
          <w:sz w:val="22"/>
          <w:szCs w:val="22"/>
        </w:rPr>
        <w:t>Local Government and Thatcherism</w:t>
      </w:r>
      <w:r w:rsidRPr="005E299A">
        <w:rPr>
          <w:rFonts w:ascii="Times New Roman" w:hAnsi="Times New Roman" w:cs="Times New Roman"/>
          <w:sz w:val="22"/>
          <w:szCs w:val="22"/>
        </w:rPr>
        <w:t xml:space="preserve"> (London: Routledge, 1990); A. Cochrane, </w:t>
      </w:r>
      <w:r w:rsidRPr="005E299A">
        <w:rPr>
          <w:rFonts w:ascii="Times New Roman" w:hAnsi="Times New Roman" w:cs="Times New Roman"/>
          <w:i/>
          <w:sz w:val="22"/>
          <w:szCs w:val="22"/>
        </w:rPr>
        <w:t>Whatever Happened to Local Government</w:t>
      </w:r>
      <w:r w:rsidRPr="005E299A">
        <w:rPr>
          <w:rFonts w:ascii="Times New Roman" w:hAnsi="Times New Roman" w:cs="Times New Roman"/>
          <w:sz w:val="22"/>
          <w:szCs w:val="22"/>
        </w:rPr>
        <w:t xml:space="preserve"> (Buckingham: Open University Press, 1993); P. John, </w:t>
      </w:r>
      <w:r w:rsidRPr="005E299A">
        <w:rPr>
          <w:rFonts w:ascii="Times New Roman" w:hAnsi="Times New Roman" w:cs="Times New Roman"/>
          <w:i/>
          <w:sz w:val="22"/>
          <w:szCs w:val="22"/>
        </w:rPr>
        <w:t>Recent Trends in Central-Local Government Relations</w:t>
      </w:r>
      <w:r w:rsidRPr="005E299A">
        <w:rPr>
          <w:rFonts w:ascii="Times New Roman" w:hAnsi="Times New Roman" w:cs="Times New Roman"/>
          <w:sz w:val="22"/>
          <w:szCs w:val="22"/>
        </w:rPr>
        <w:t xml:space="preserve"> (London:  Policy Studies Institute, 1990).</w:t>
      </w:r>
    </w:p>
  </w:footnote>
  <w:footnote w:id="127">
    <w:p w14:paraId="5088CE04" w14:textId="020FCF4D" w:rsidR="006F07AC" w:rsidRPr="005E299A" w:rsidRDefault="006F07AC" w:rsidP="00A216BA">
      <w:pPr>
        <w:tabs>
          <w:tab w:val="left" w:pos="-720"/>
          <w:tab w:val="left" w:pos="0"/>
        </w:tabs>
        <w:suppressAutoHyphens/>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E. Laurie, </w:t>
      </w:r>
      <w:r w:rsidRPr="005E299A">
        <w:rPr>
          <w:rFonts w:ascii="Times New Roman" w:eastAsia="Times New Roman" w:hAnsi="Times New Roman" w:cs="Times New Roman"/>
          <w:snapToGrid w:val="0"/>
          <w:spacing w:val="-3"/>
        </w:rPr>
        <w:t xml:space="preserve">‘Filling the accountability gap in housing allocations decision making’ (2011) 31(3) </w:t>
      </w:r>
      <w:r w:rsidRPr="005E299A">
        <w:rPr>
          <w:rFonts w:ascii="Times New Roman" w:eastAsia="Times New Roman" w:hAnsi="Times New Roman" w:cs="Times New Roman"/>
          <w:i/>
          <w:iCs/>
          <w:snapToGrid w:val="0"/>
          <w:spacing w:val="-3"/>
        </w:rPr>
        <w:t>Legal Studies</w:t>
      </w:r>
      <w:r w:rsidRPr="005E299A">
        <w:rPr>
          <w:rFonts w:ascii="Times New Roman" w:eastAsia="Times New Roman" w:hAnsi="Times New Roman" w:cs="Times New Roman"/>
          <w:snapToGrid w:val="0"/>
          <w:spacing w:val="-3"/>
        </w:rPr>
        <w:t xml:space="preserve"> 442.</w:t>
      </w:r>
    </w:p>
  </w:footnote>
  <w:footnote w:id="128">
    <w:p w14:paraId="267DAD40" w14:textId="2BF5B2D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Localism Act 2011, s 146 inserted new s 160ZA into the Housing Act 1996.</w:t>
      </w:r>
    </w:p>
  </w:footnote>
  <w:footnote w:id="129">
    <w:p w14:paraId="5AC91CB6" w14:textId="4F6C93B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i/>
          <w:sz w:val="22"/>
          <w:szCs w:val="22"/>
        </w:rPr>
        <w:t>R (Ahmad) v London Borough of Newham</w:t>
      </w:r>
      <w:r w:rsidRPr="005E299A">
        <w:rPr>
          <w:rFonts w:ascii="Times New Roman" w:hAnsi="Times New Roman" w:cs="Times New Roman"/>
          <w:sz w:val="22"/>
          <w:szCs w:val="22"/>
        </w:rPr>
        <w:t xml:space="preserve"> [2009] UKHL 14; [2009] HLR 31 at [60]; </w:t>
      </w:r>
      <w:r w:rsidRPr="005E299A">
        <w:rPr>
          <w:rFonts w:ascii="Times New Roman" w:hAnsi="Times New Roman" w:cs="Times New Roman"/>
          <w:i/>
          <w:sz w:val="22"/>
          <w:szCs w:val="22"/>
        </w:rPr>
        <w:t>Manchester City Council v Pinnock</w:t>
      </w:r>
      <w:r w:rsidRPr="005E299A">
        <w:rPr>
          <w:rFonts w:ascii="Times New Roman" w:hAnsi="Times New Roman" w:cs="Times New Roman"/>
          <w:sz w:val="22"/>
          <w:szCs w:val="22"/>
        </w:rPr>
        <w:t xml:space="preserve"> n.</w:t>
      </w:r>
      <w:r w:rsidR="00066C90">
        <w:rPr>
          <w:rFonts w:ascii="Times New Roman" w:hAnsi="Times New Roman" w:cs="Times New Roman"/>
          <w:sz w:val="22"/>
          <w:szCs w:val="22"/>
        </w:rPr>
        <w:t xml:space="preserve"> </w:t>
      </w:r>
      <w:r w:rsidR="00066C90">
        <w:rPr>
          <w:rFonts w:ascii="Times New Roman" w:hAnsi="Times New Roman" w:cs="Times New Roman"/>
          <w:sz w:val="22"/>
          <w:szCs w:val="22"/>
        </w:rPr>
        <w:fldChar w:fldCharType="begin"/>
      </w:r>
      <w:r w:rsidR="00066C90">
        <w:rPr>
          <w:rFonts w:ascii="Times New Roman" w:hAnsi="Times New Roman" w:cs="Times New Roman"/>
          <w:sz w:val="22"/>
          <w:szCs w:val="22"/>
        </w:rPr>
        <w:instrText xml:space="preserve"> NOTEREF _Ref461891144 \h </w:instrText>
      </w:r>
      <w:r w:rsidR="00066C90">
        <w:rPr>
          <w:rFonts w:ascii="Times New Roman" w:hAnsi="Times New Roman" w:cs="Times New Roman"/>
          <w:sz w:val="22"/>
          <w:szCs w:val="22"/>
        </w:rPr>
      </w:r>
      <w:r w:rsidR="00066C90">
        <w:rPr>
          <w:rFonts w:ascii="Times New Roman" w:hAnsi="Times New Roman" w:cs="Times New Roman"/>
          <w:sz w:val="22"/>
          <w:szCs w:val="22"/>
        </w:rPr>
        <w:fldChar w:fldCharType="separate"/>
      </w:r>
      <w:r w:rsidR="00066C90">
        <w:rPr>
          <w:rFonts w:ascii="Times New Roman" w:hAnsi="Times New Roman" w:cs="Times New Roman"/>
          <w:sz w:val="22"/>
          <w:szCs w:val="22"/>
        </w:rPr>
        <w:t>103</w:t>
      </w:r>
      <w:r w:rsidR="00066C90">
        <w:rPr>
          <w:rFonts w:ascii="Times New Roman" w:hAnsi="Times New Roman" w:cs="Times New Roman"/>
          <w:sz w:val="22"/>
          <w:szCs w:val="22"/>
        </w:rPr>
        <w:fldChar w:fldCharType="end"/>
      </w:r>
      <w:r w:rsidRPr="005E299A">
        <w:rPr>
          <w:rFonts w:ascii="Times New Roman" w:hAnsi="Times New Roman" w:cs="Times New Roman"/>
          <w:sz w:val="22"/>
          <w:szCs w:val="22"/>
        </w:rPr>
        <w:t xml:space="preserve">, [54] citing with approval Lord Bingham in </w:t>
      </w:r>
      <w:r w:rsidRPr="005E299A">
        <w:rPr>
          <w:rFonts w:ascii="Times New Roman" w:hAnsi="Times New Roman" w:cs="Times New Roman"/>
          <w:i/>
          <w:sz w:val="22"/>
          <w:szCs w:val="22"/>
        </w:rPr>
        <w:t>Harrow London Borough Council v Qazi</w:t>
      </w:r>
      <w:r w:rsidRPr="005E299A">
        <w:rPr>
          <w:rFonts w:ascii="Times New Roman" w:hAnsi="Times New Roman" w:cs="Times New Roman"/>
          <w:sz w:val="22"/>
          <w:szCs w:val="22"/>
        </w:rPr>
        <w:t xml:space="preserve"> [2004] 1 AC 983, 997.</w:t>
      </w:r>
    </w:p>
  </w:footnote>
  <w:footnote w:id="130">
    <w:p w14:paraId="0A90332A" w14:textId="1888E25F"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DCLG, n.</w:t>
      </w:r>
      <w:r w:rsidR="00B979BC">
        <w:rPr>
          <w:rFonts w:ascii="Times New Roman" w:hAnsi="Times New Roman" w:cs="Times New Roman"/>
          <w:sz w:val="22"/>
          <w:szCs w:val="22"/>
        </w:rPr>
        <w:t xml:space="preserve"> </w:t>
      </w:r>
      <w:r w:rsidR="00B979BC">
        <w:rPr>
          <w:rFonts w:ascii="Times New Roman" w:hAnsi="Times New Roman" w:cs="Times New Roman"/>
          <w:sz w:val="22"/>
          <w:szCs w:val="22"/>
        </w:rPr>
        <w:fldChar w:fldCharType="begin"/>
      </w:r>
      <w:r w:rsidR="00B979BC">
        <w:rPr>
          <w:rFonts w:ascii="Times New Roman" w:hAnsi="Times New Roman" w:cs="Times New Roman"/>
          <w:sz w:val="22"/>
          <w:szCs w:val="22"/>
        </w:rPr>
        <w:instrText xml:space="preserve"> NOTEREF _Ref461891319 \h </w:instrText>
      </w:r>
      <w:r w:rsidR="00B979BC">
        <w:rPr>
          <w:rFonts w:ascii="Times New Roman" w:hAnsi="Times New Roman" w:cs="Times New Roman"/>
          <w:sz w:val="22"/>
          <w:szCs w:val="22"/>
        </w:rPr>
      </w:r>
      <w:r w:rsidR="00B979BC">
        <w:rPr>
          <w:rFonts w:ascii="Times New Roman" w:hAnsi="Times New Roman" w:cs="Times New Roman"/>
          <w:sz w:val="22"/>
          <w:szCs w:val="22"/>
        </w:rPr>
        <w:fldChar w:fldCharType="separate"/>
      </w:r>
      <w:r w:rsidR="00B979BC">
        <w:rPr>
          <w:rFonts w:ascii="Times New Roman" w:hAnsi="Times New Roman" w:cs="Times New Roman"/>
          <w:sz w:val="22"/>
          <w:szCs w:val="22"/>
        </w:rPr>
        <w:t>15</w:t>
      </w:r>
      <w:r w:rsidR="00B979BC">
        <w:rPr>
          <w:rFonts w:ascii="Times New Roman" w:hAnsi="Times New Roman" w:cs="Times New Roman"/>
          <w:sz w:val="22"/>
          <w:szCs w:val="22"/>
        </w:rPr>
        <w:fldChar w:fldCharType="end"/>
      </w:r>
      <w:r w:rsidRPr="005E299A">
        <w:rPr>
          <w:rFonts w:ascii="Times New Roman" w:hAnsi="Times New Roman" w:cs="Times New Roman"/>
          <w:sz w:val="22"/>
          <w:szCs w:val="22"/>
        </w:rPr>
        <w:t>.</w:t>
      </w:r>
    </w:p>
  </w:footnote>
  <w:footnote w:id="131">
    <w:p w14:paraId="1973E1CC" w14:textId="298E3BB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Spicker defines a residualised service as one which acts as a safety net, rather than as a universal or institutional service; P. Spicker, </w:t>
      </w:r>
      <w:r w:rsidRPr="005E299A">
        <w:rPr>
          <w:rFonts w:ascii="Times New Roman" w:hAnsi="Times New Roman" w:cs="Times New Roman"/>
          <w:i/>
          <w:sz w:val="22"/>
          <w:szCs w:val="22"/>
        </w:rPr>
        <w:t>Social Housing and the Social Services</w:t>
      </w:r>
      <w:r w:rsidRPr="005E299A">
        <w:rPr>
          <w:rFonts w:ascii="Times New Roman" w:hAnsi="Times New Roman" w:cs="Times New Roman"/>
          <w:sz w:val="22"/>
          <w:szCs w:val="22"/>
        </w:rPr>
        <w:t xml:space="preserve"> (London: Longman for the Institute of Housing, 1989) 12. See also R. Forrest and A. Murie, </w:t>
      </w:r>
      <w:r w:rsidRPr="005E299A">
        <w:rPr>
          <w:rFonts w:ascii="Times New Roman" w:hAnsi="Times New Roman" w:cs="Times New Roman"/>
          <w:i/>
          <w:sz w:val="22"/>
          <w:szCs w:val="22"/>
        </w:rPr>
        <w:t>Selling the Welfare State: The Privatisation of Public Housing</w:t>
      </w:r>
      <w:r w:rsidRPr="005E299A">
        <w:rPr>
          <w:rFonts w:ascii="Times New Roman" w:hAnsi="Times New Roman" w:cs="Times New Roman"/>
          <w:sz w:val="22"/>
          <w:szCs w:val="22"/>
        </w:rPr>
        <w:t xml:space="preserve"> (London: Routledge, 1988).</w:t>
      </w:r>
    </w:p>
  </w:footnote>
  <w:footnote w:id="132">
    <w:p w14:paraId="01BD74F8" w14:textId="697F1F19"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House of Commons Library, </w:t>
      </w:r>
      <w:r w:rsidRPr="005E299A">
        <w:rPr>
          <w:rFonts w:ascii="Times New Roman" w:hAnsi="Times New Roman" w:cs="Times New Roman"/>
          <w:i/>
        </w:rPr>
        <w:t>Extending a voluntary Right to Buy to housing association tenants</w:t>
      </w:r>
      <w:r w:rsidRPr="005E299A">
        <w:rPr>
          <w:rFonts w:ascii="Times New Roman" w:hAnsi="Times New Roman" w:cs="Times New Roman"/>
        </w:rPr>
        <w:t xml:space="preserve"> </w:t>
      </w:r>
      <w:r w:rsidRPr="005E299A">
        <w:rPr>
          <w:rFonts w:ascii="Times New Roman" w:hAnsi="Times New Roman" w:cs="Times New Roman"/>
          <w:i/>
        </w:rPr>
        <w:t>(England)</w:t>
      </w:r>
      <w:r w:rsidRPr="005E299A">
        <w:rPr>
          <w:rFonts w:ascii="Times New Roman" w:hAnsi="Times New Roman" w:cs="Times New Roman"/>
        </w:rPr>
        <w:t xml:space="preserve"> Briefing Paper No. 07224 (July 2016) 3.</w:t>
      </w:r>
    </w:p>
  </w:footnote>
  <w:footnote w:id="133">
    <w:p w14:paraId="324E06FE" w14:textId="1D823FC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Statutory security of tenure was introduced by the Housing Act 1980.</w:t>
      </w:r>
    </w:p>
  </w:footnote>
  <w:footnote w:id="134">
    <w:p w14:paraId="2BA5CD63" w14:textId="2BE8BB1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82 .</w:t>
      </w:r>
    </w:p>
  </w:footnote>
  <w:footnote w:id="135">
    <w:p w14:paraId="12C51B8B" w14:textId="475096B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1988, s 19A.</w:t>
      </w:r>
    </w:p>
  </w:footnote>
  <w:footnote w:id="136">
    <w:p w14:paraId="2EBE6F66" w14:textId="0D9DCAB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S. Fitpatrick and B. Watts, Initial findings: fixed-term tenancies in social housing (February 2016) at </w:t>
      </w:r>
      <w:hyperlink r:id="rId8" w:history="1">
        <w:r w:rsidRPr="005E299A">
          <w:rPr>
            <w:rStyle w:val="Hyperlink"/>
            <w:rFonts w:ascii="Times New Roman" w:hAnsi="Times New Roman" w:cs="Times New Roman"/>
            <w:sz w:val="22"/>
            <w:szCs w:val="22"/>
          </w:rPr>
          <w:t>http://www.welfareconditionality.ac.uk/publications/first-wave-findings-social-housing/</w:t>
        </w:r>
      </w:hyperlink>
      <w:r w:rsidRPr="005E299A">
        <w:rPr>
          <w:rFonts w:ascii="Times New Roman" w:hAnsi="Times New Roman" w:cs="Times New Roman"/>
          <w:sz w:val="22"/>
          <w:szCs w:val="22"/>
        </w:rPr>
        <w:t xml:space="preserve"> [last accessed 16 September 2016].</w:t>
      </w:r>
    </w:p>
  </w:footnote>
  <w:footnote w:id="137">
    <w:p w14:paraId="12A10EDD" w14:textId="2526C17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The Introductory Tenancy created by the Housing Act 1996, s 124 and the Demoted Tenancy: Housing Act 1996, s 143A added by the Anti-social Behaviour Act 2003, Sched 1 para 1.</w:t>
      </w:r>
    </w:p>
  </w:footnote>
  <w:footnote w:id="138">
    <w:p w14:paraId="3504FE3D" w14:textId="11E29D4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C. Hunter, ‘Anti-Social Behaviour and Housing – can law be the answer?’ in D. Cowan and A. Marsh (eds.) </w:t>
      </w:r>
      <w:r w:rsidRPr="005E299A">
        <w:rPr>
          <w:rFonts w:ascii="Times New Roman" w:hAnsi="Times New Roman" w:cs="Times New Roman"/>
          <w:i/>
          <w:sz w:val="22"/>
          <w:szCs w:val="22"/>
        </w:rPr>
        <w:t>Two Steps Forward: Housing Policy into the New Millennium</w:t>
      </w:r>
      <w:r w:rsidRPr="005E299A">
        <w:rPr>
          <w:rFonts w:ascii="Times New Roman" w:hAnsi="Times New Roman" w:cs="Times New Roman"/>
          <w:sz w:val="22"/>
          <w:szCs w:val="22"/>
        </w:rPr>
        <w:t xml:space="preserve"> (The Policy Press, 2001) and House of Commons Library, </w:t>
      </w:r>
      <w:r w:rsidRPr="005E299A">
        <w:rPr>
          <w:rFonts w:ascii="Times New Roman" w:hAnsi="Times New Roman" w:cs="Times New Roman"/>
          <w:i/>
          <w:sz w:val="22"/>
          <w:szCs w:val="22"/>
        </w:rPr>
        <w:t>Anti-social behaviour in social housing (England)</w:t>
      </w:r>
      <w:r w:rsidRPr="005E299A">
        <w:rPr>
          <w:rFonts w:ascii="Times New Roman" w:hAnsi="Times New Roman" w:cs="Times New Roman"/>
          <w:sz w:val="22"/>
          <w:szCs w:val="22"/>
        </w:rPr>
        <w:t xml:space="preserve"> Standard Note: SN/SP/264</w:t>
      </w:r>
    </w:p>
    <w:p w14:paraId="02409892" w14:textId="6C2DF35C"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Fonts w:ascii="Times New Roman" w:hAnsi="Times New Roman" w:cs="Times New Roman"/>
          <w:sz w:val="22"/>
          <w:szCs w:val="22"/>
        </w:rPr>
        <w:t>(3 March 2015).</w:t>
      </w:r>
    </w:p>
  </w:footnote>
  <w:footnote w:id="139">
    <w:p w14:paraId="0329C148" w14:textId="3AB3663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Housing Act 1985, s 84A added by the Anti-social Behaviour, Crime and Policing Act 2014, s 94(1).</w:t>
      </w:r>
    </w:p>
  </w:footnote>
  <w:footnote w:id="140">
    <w:p w14:paraId="634CA634" w14:textId="19C30551"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Localism Act 2011, s 154 inserted new s 107A into the Housing Act 1985.</w:t>
      </w:r>
    </w:p>
  </w:footnote>
  <w:footnote w:id="141">
    <w:p w14:paraId="16CCEE81" w14:textId="1B365F3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Flexible tenancies could be used to control behaviour:  see Fitpatrick and Watts, n.</w:t>
      </w:r>
      <w:r w:rsidR="008E05D5">
        <w:rPr>
          <w:rFonts w:ascii="Times New Roman" w:hAnsi="Times New Roman" w:cs="Times New Roman"/>
          <w:sz w:val="22"/>
          <w:szCs w:val="22"/>
        </w:rPr>
        <w:t xml:space="preserve"> </w:t>
      </w:r>
      <w:r w:rsidR="008E05D5">
        <w:rPr>
          <w:rFonts w:ascii="Times New Roman" w:hAnsi="Times New Roman" w:cs="Times New Roman"/>
          <w:sz w:val="22"/>
          <w:szCs w:val="22"/>
        </w:rPr>
        <w:fldChar w:fldCharType="begin"/>
      </w:r>
      <w:r w:rsidR="008E05D5">
        <w:rPr>
          <w:rFonts w:ascii="Times New Roman" w:hAnsi="Times New Roman" w:cs="Times New Roman"/>
          <w:sz w:val="22"/>
          <w:szCs w:val="22"/>
        </w:rPr>
        <w:instrText xml:space="preserve"> NOTEREF _Ref461891403 \h </w:instrText>
      </w:r>
      <w:r w:rsidR="008E05D5">
        <w:rPr>
          <w:rFonts w:ascii="Times New Roman" w:hAnsi="Times New Roman" w:cs="Times New Roman"/>
          <w:sz w:val="22"/>
          <w:szCs w:val="22"/>
        </w:rPr>
      </w:r>
      <w:r w:rsidR="008E05D5">
        <w:rPr>
          <w:rFonts w:ascii="Times New Roman" w:hAnsi="Times New Roman" w:cs="Times New Roman"/>
          <w:sz w:val="22"/>
          <w:szCs w:val="22"/>
        </w:rPr>
        <w:fldChar w:fldCharType="separate"/>
      </w:r>
      <w:r w:rsidR="008E05D5">
        <w:rPr>
          <w:rFonts w:ascii="Times New Roman" w:hAnsi="Times New Roman" w:cs="Times New Roman"/>
          <w:sz w:val="22"/>
          <w:szCs w:val="22"/>
        </w:rPr>
        <w:t>136</w:t>
      </w:r>
      <w:r w:rsidR="008E05D5">
        <w:rPr>
          <w:rFonts w:ascii="Times New Roman" w:hAnsi="Times New Roman" w:cs="Times New Roman"/>
          <w:sz w:val="22"/>
          <w:szCs w:val="22"/>
        </w:rPr>
        <w:fldChar w:fldCharType="end"/>
      </w:r>
      <w:r w:rsidRPr="005E299A">
        <w:rPr>
          <w:rFonts w:ascii="Times New Roman" w:hAnsi="Times New Roman" w:cs="Times New Roman"/>
          <w:sz w:val="22"/>
          <w:szCs w:val="22"/>
        </w:rPr>
        <w:t>.</w:t>
      </w:r>
    </w:p>
  </w:footnote>
  <w:footnote w:id="142">
    <w:p w14:paraId="0E90FCB3" w14:textId="77777777"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Housing Act 1996, Part 7.</w:t>
      </w:r>
    </w:p>
  </w:footnote>
  <w:footnote w:id="143">
    <w:p w14:paraId="6B3B1067" w14:textId="77777777"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Housing Act 1996, Part 6.</w:t>
      </w:r>
    </w:p>
  </w:footnote>
  <w:footnote w:id="144">
    <w:p w14:paraId="5685F64D" w14:textId="35EC9305" w:rsidR="006F07AC" w:rsidRPr="005E299A" w:rsidRDefault="006F07AC" w:rsidP="00A216BA">
      <w:pPr>
        <w:pStyle w:val="NoSpacing"/>
        <w:spacing w:line="360" w:lineRule="auto"/>
        <w:jc w:val="both"/>
        <w:rPr>
          <w:rFonts w:ascii="Times New Roman" w:hAnsi="Times New Roman" w:cs="Times New Roman"/>
          <w:color w:val="000000" w:themeColor="text1"/>
        </w:rPr>
      </w:pPr>
      <w:r w:rsidRPr="005E299A">
        <w:rPr>
          <w:rStyle w:val="FootnoteReference"/>
          <w:rFonts w:ascii="Times New Roman" w:hAnsi="Times New Roman" w:cs="Times New Roman"/>
        </w:rPr>
        <w:footnoteRef/>
      </w:r>
      <w:r w:rsidRPr="005E299A">
        <w:rPr>
          <w:rFonts w:ascii="Times New Roman" w:hAnsi="Times New Roman" w:cs="Times New Roman"/>
        </w:rPr>
        <w:t xml:space="preserve"> S. </w:t>
      </w:r>
      <w:r w:rsidRPr="005E299A">
        <w:rPr>
          <w:rFonts w:ascii="Times New Roman" w:hAnsi="Times New Roman" w:cs="Times New Roman"/>
          <w:color w:val="000000" w:themeColor="text1"/>
        </w:rPr>
        <w:t xml:space="preserve">Fitzpatrick and H. Pawson (2013) 29(5) ‘Ending security of tenure for social renters: transitioning to ‘ambulance service’ social housing?’ </w:t>
      </w:r>
      <w:r w:rsidRPr="005E299A">
        <w:rPr>
          <w:rFonts w:ascii="Times New Roman" w:hAnsi="Times New Roman" w:cs="Times New Roman"/>
          <w:i/>
          <w:color w:val="000000" w:themeColor="text1"/>
        </w:rPr>
        <w:t>Housing Studies</w:t>
      </w:r>
      <w:r w:rsidRPr="005E299A">
        <w:rPr>
          <w:rFonts w:ascii="Times New Roman" w:hAnsi="Times New Roman" w:cs="Times New Roman"/>
          <w:color w:val="000000" w:themeColor="text1"/>
        </w:rPr>
        <w:t xml:space="preserve"> 597-615.</w:t>
      </w:r>
    </w:p>
  </w:footnote>
  <w:footnote w:id="145">
    <w:p w14:paraId="6AB2CCDE" w14:textId="441E2C79"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DCLG, n.</w:t>
      </w:r>
      <w:r w:rsidR="008E05D5">
        <w:rPr>
          <w:rFonts w:ascii="Times New Roman" w:hAnsi="Times New Roman" w:cs="Times New Roman"/>
          <w:sz w:val="22"/>
          <w:szCs w:val="22"/>
        </w:rPr>
        <w:t xml:space="preserve"> </w:t>
      </w:r>
      <w:r w:rsidR="008E05D5">
        <w:rPr>
          <w:rFonts w:ascii="Times New Roman" w:hAnsi="Times New Roman" w:cs="Times New Roman"/>
          <w:sz w:val="22"/>
          <w:szCs w:val="22"/>
        </w:rPr>
        <w:fldChar w:fldCharType="begin"/>
      </w:r>
      <w:r w:rsidR="008E05D5">
        <w:rPr>
          <w:rFonts w:ascii="Times New Roman" w:hAnsi="Times New Roman" w:cs="Times New Roman"/>
          <w:sz w:val="22"/>
          <w:szCs w:val="22"/>
        </w:rPr>
        <w:instrText xml:space="preserve"> NOTEREF _Ref461891319 \h </w:instrText>
      </w:r>
      <w:r w:rsidR="008E05D5">
        <w:rPr>
          <w:rFonts w:ascii="Times New Roman" w:hAnsi="Times New Roman" w:cs="Times New Roman"/>
          <w:sz w:val="22"/>
          <w:szCs w:val="22"/>
        </w:rPr>
      </w:r>
      <w:r w:rsidR="008E05D5">
        <w:rPr>
          <w:rFonts w:ascii="Times New Roman" w:hAnsi="Times New Roman" w:cs="Times New Roman"/>
          <w:sz w:val="22"/>
          <w:szCs w:val="22"/>
        </w:rPr>
        <w:fldChar w:fldCharType="separate"/>
      </w:r>
      <w:r w:rsidR="008E05D5">
        <w:rPr>
          <w:rFonts w:ascii="Times New Roman" w:hAnsi="Times New Roman" w:cs="Times New Roman"/>
          <w:sz w:val="22"/>
          <w:szCs w:val="22"/>
        </w:rPr>
        <w:t>15</w:t>
      </w:r>
      <w:r w:rsidR="008E05D5">
        <w:rPr>
          <w:rFonts w:ascii="Times New Roman" w:hAnsi="Times New Roman" w:cs="Times New Roman"/>
          <w:sz w:val="22"/>
          <w:szCs w:val="22"/>
        </w:rPr>
        <w:fldChar w:fldCharType="end"/>
      </w:r>
      <w:r w:rsidRPr="005E299A">
        <w:rPr>
          <w:rFonts w:ascii="Times New Roman" w:hAnsi="Times New Roman" w:cs="Times New Roman"/>
          <w:sz w:val="22"/>
          <w:szCs w:val="22"/>
        </w:rPr>
        <w:t>, section 1.1.</w:t>
      </w:r>
    </w:p>
  </w:footnote>
  <w:footnote w:id="146">
    <w:p w14:paraId="76596E0D" w14:textId="6B09E990" w:rsidR="006F07AC" w:rsidRPr="005E299A" w:rsidRDefault="006F07AC" w:rsidP="00A216BA">
      <w:pPr>
        <w:pStyle w:val="NoSpacing"/>
        <w:spacing w:line="360" w:lineRule="auto"/>
        <w:jc w:val="both"/>
        <w:rPr>
          <w:rFonts w:ascii="Times New Roman" w:hAnsi="Times New Roman" w:cs="Times New Roman"/>
          <w:color w:val="000000" w:themeColor="text1"/>
          <w:lang w:val="en-US"/>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Department for Communities and Local Government, </w:t>
      </w:r>
      <w:r w:rsidRPr="005E299A">
        <w:rPr>
          <w:rFonts w:ascii="Times New Roman" w:hAnsi="Times New Roman" w:cs="Times New Roman"/>
          <w:i/>
          <w:color w:val="000000" w:themeColor="text1"/>
        </w:rPr>
        <w:t>Decentralisation and the Localism Bill: an essential guide</w:t>
      </w:r>
      <w:r w:rsidRPr="005E299A">
        <w:rPr>
          <w:rFonts w:ascii="Times New Roman" w:hAnsi="Times New Roman" w:cs="Times New Roman"/>
          <w:color w:val="000000" w:themeColor="text1"/>
        </w:rPr>
        <w:t xml:space="preserve"> (2010), 4; see also House of Commons, Communities and Local Government Committee, </w:t>
      </w:r>
      <w:r w:rsidRPr="005E299A">
        <w:rPr>
          <w:rFonts w:ascii="Times New Roman" w:hAnsi="Times New Roman" w:cs="Times New Roman"/>
          <w:i/>
          <w:color w:val="000000" w:themeColor="text1"/>
        </w:rPr>
        <w:t>Localism: Third Report of Session 2010-12</w:t>
      </w:r>
      <w:r w:rsidRPr="005E299A">
        <w:rPr>
          <w:rFonts w:ascii="Times New Roman" w:hAnsi="Times New Roman" w:cs="Times New Roman"/>
          <w:color w:val="000000" w:themeColor="text1"/>
        </w:rPr>
        <w:t>; D. Cameron Conservative Party Conference 2009, Leader’s Speech.</w:t>
      </w:r>
    </w:p>
  </w:footnote>
  <w:footnote w:id="147">
    <w:p w14:paraId="5FDFD54B" w14:textId="29746B7B"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Department for Communities and Local Government, The Rt Hon Grant Shapps, Press Release, 22</w:t>
      </w:r>
      <w:r w:rsidRPr="005E299A">
        <w:rPr>
          <w:rFonts w:ascii="Times New Roman" w:hAnsi="Times New Roman" w:cs="Times New Roman"/>
          <w:vertAlign w:val="superscript"/>
        </w:rPr>
        <w:t xml:space="preserve"> </w:t>
      </w:r>
      <w:r w:rsidRPr="005E299A">
        <w:rPr>
          <w:rFonts w:ascii="Times New Roman" w:hAnsi="Times New Roman" w:cs="Times New Roman"/>
        </w:rPr>
        <w:t>November 2010 at &lt;https://www.gov.uk/government/news/a-fairer-future-for-social-housing&gt; [last accessed 16 September 2016].</w:t>
      </w:r>
    </w:p>
  </w:footnote>
  <w:footnote w:id="148">
    <w:p w14:paraId="7555D57D" w14:textId="4EE0235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‘A fairer future for social housing’ Announcement (22 November 2010) at </w:t>
      </w:r>
      <w:hyperlink r:id="rId9" w:history="1">
        <w:r w:rsidRPr="005E299A">
          <w:rPr>
            <w:rStyle w:val="Hyperlink"/>
            <w:rFonts w:ascii="Times New Roman" w:hAnsi="Times New Roman" w:cs="Times New Roman"/>
            <w:sz w:val="22"/>
            <w:szCs w:val="22"/>
          </w:rPr>
          <w:t>https://www.gov.uk/government/news/a-fairer-future-for-social-housing</w:t>
        </w:r>
      </w:hyperlink>
      <w:r w:rsidRPr="005E299A">
        <w:rPr>
          <w:rFonts w:ascii="Times New Roman" w:hAnsi="Times New Roman" w:cs="Times New Roman"/>
          <w:sz w:val="22"/>
          <w:szCs w:val="22"/>
        </w:rPr>
        <w:t xml:space="preserve"> [last accessed 14 September 2016].</w:t>
      </w:r>
    </w:p>
  </w:footnote>
  <w:footnote w:id="149">
    <w:p w14:paraId="641F62C5" w14:textId="76ACCD6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G. Stoker, ‘If town halls don’t pay the piper then they can’t really call the tune’ (2011) </w:t>
      </w:r>
      <w:r w:rsidRPr="005E299A">
        <w:rPr>
          <w:rFonts w:ascii="Times New Roman" w:hAnsi="Times New Roman" w:cs="Times New Roman"/>
          <w:i/>
          <w:sz w:val="22"/>
          <w:szCs w:val="22"/>
        </w:rPr>
        <w:t>Parliamentary Brief</w:t>
      </w:r>
      <w:r w:rsidRPr="005E299A">
        <w:rPr>
          <w:rFonts w:ascii="Times New Roman" w:hAnsi="Times New Roman" w:cs="Times New Roman"/>
          <w:sz w:val="22"/>
          <w:szCs w:val="22"/>
        </w:rPr>
        <w:t xml:space="preserve"> 17 January 2011.</w:t>
      </w:r>
    </w:p>
  </w:footnote>
  <w:footnote w:id="150">
    <w:p w14:paraId="231D0206" w14:textId="3441239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Bevan, n.</w:t>
      </w:r>
      <w:r w:rsidR="008E05D5">
        <w:rPr>
          <w:rFonts w:ascii="Times New Roman" w:hAnsi="Times New Roman" w:cs="Times New Roman"/>
          <w:sz w:val="22"/>
          <w:szCs w:val="22"/>
        </w:rPr>
        <w:t xml:space="preserve"> </w:t>
      </w:r>
      <w:r w:rsidR="008E05D5">
        <w:rPr>
          <w:rFonts w:ascii="Times New Roman" w:hAnsi="Times New Roman" w:cs="Times New Roman"/>
          <w:sz w:val="22"/>
          <w:szCs w:val="22"/>
        </w:rPr>
        <w:fldChar w:fldCharType="begin"/>
      </w:r>
      <w:r w:rsidR="008E05D5">
        <w:rPr>
          <w:rFonts w:ascii="Times New Roman" w:hAnsi="Times New Roman" w:cs="Times New Roman"/>
          <w:sz w:val="22"/>
          <w:szCs w:val="22"/>
        </w:rPr>
        <w:instrText xml:space="preserve"> NOTEREF _Ref461891511 \h </w:instrText>
      </w:r>
      <w:r w:rsidR="008E05D5">
        <w:rPr>
          <w:rFonts w:ascii="Times New Roman" w:hAnsi="Times New Roman" w:cs="Times New Roman"/>
          <w:sz w:val="22"/>
          <w:szCs w:val="22"/>
        </w:rPr>
      </w:r>
      <w:r w:rsidR="008E05D5">
        <w:rPr>
          <w:rFonts w:ascii="Times New Roman" w:hAnsi="Times New Roman" w:cs="Times New Roman"/>
          <w:sz w:val="22"/>
          <w:szCs w:val="22"/>
        </w:rPr>
        <w:fldChar w:fldCharType="separate"/>
      </w:r>
      <w:r w:rsidR="008E05D5">
        <w:rPr>
          <w:rFonts w:ascii="Times New Roman" w:hAnsi="Times New Roman" w:cs="Times New Roman"/>
          <w:sz w:val="22"/>
          <w:szCs w:val="22"/>
        </w:rPr>
        <w:t>14</w:t>
      </w:r>
      <w:r w:rsidR="008E05D5">
        <w:rPr>
          <w:rFonts w:ascii="Times New Roman" w:hAnsi="Times New Roman" w:cs="Times New Roman"/>
          <w:sz w:val="22"/>
          <w:szCs w:val="22"/>
        </w:rPr>
        <w:fldChar w:fldCharType="end"/>
      </w:r>
      <w:r w:rsidRPr="005E299A">
        <w:rPr>
          <w:rFonts w:ascii="Times New Roman" w:hAnsi="Times New Roman" w:cs="Times New Roman"/>
          <w:sz w:val="22"/>
          <w:szCs w:val="22"/>
        </w:rPr>
        <w:t>.</w:t>
      </w:r>
    </w:p>
  </w:footnote>
  <w:footnote w:id="151">
    <w:p w14:paraId="29067FBB" w14:textId="072C93BB"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K. </w:t>
      </w:r>
      <w:r w:rsidRPr="005E299A">
        <w:rPr>
          <w:rFonts w:ascii="Times New Roman" w:hAnsi="Times New Roman" w:cs="Times New Roman"/>
          <w:lang w:val="en-US"/>
        </w:rPr>
        <w:t xml:space="preserve">Jacobs &amp; T. Manzi, ‘New Localism, Old Retrenchment: The “Big Society”, Housing Policy and the Politics of Welfare Reform’ (2013) 30(1) </w:t>
      </w:r>
      <w:r w:rsidRPr="005E299A">
        <w:rPr>
          <w:rFonts w:ascii="Times New Roman" w:hAnsi="Times New Roman" w:cs="Times New Roman"/>
          <w:i/>
          <w:lang w:val="en-US"/>
        </w:rPr>
        <w:t>Housing, Theory and Society</w:t>
      </w:r>
      <w:r w:rsidRPr="005E299A">
        <w:rPr>
          <w:rFonts w:ascii="Times New Roman" w:hAnsi="Times New Roman" w:cs="Times New Roman"/>
          <w:lang w:val="en-US"/>
        </w:rPr>
        <w:t xml:space="preserve"> 42.</w:t>
      </w:r>
    </w:p>
  </w:footnote>
  <w:footnote w:id="152">
    <w:p w14:paraId="795EE878" w14:textId="7D5BDCFE"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As argued by D. </w:t>
      </w:r>
      <w:r w:rsidRPr="005E299A">
        <w:rPr>
          <w:rFonts w:ascii="Times New Roman" w:hAnsi="Times New Roman" w:cs="Times New Roman"/>
          <w:lang w:val="en-US"/>
        </w:rPr>
        <w:t xml:space="preserve">Harvey, </w:t>
      </w:r>
      <w:r w:rsidRPr="005E299A">
        <w:rPr>
          <w:rFonts w:ascii="Times New Roman" w:hAnsi="Times New Roman" w:cs="Times New Roman"/>
          <w:i/>
          <w:lang w:val="en-US"/>
        </w:rPr>
        <w:t>Justice, Nature and the Geography of Difference</w:t>
      </w:r>
      <w:r w:rsidRPr="005E299A">
        <w:rPr>
          <w:rFonts w:ascii="Times New Roman" w:hAnsi="Times New Roman" w:cs="Times New Roman"/>
          <w:lang w:val="en-US"/>
        </w:rPr>
        <w:t xml:space="preserve"> (Oxford: Blackwell, 1996).</w:t>
      </w:r>
    </w:p>
  </w:footnote>
  <w:footnote w:id="153">
    <w:p w14:paraId="490944FF" w14:textId="2EBDF7C1"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lang w:val="en-US"/>
        </w:rPr>
        <w:t>Ibid, 33.</w:t>
      </w:r>
    </w:p>
  </w:footnote>
  <w:footnote w:id="154">
    <w:p w14:paraId="03A8B8CA" w14:textId="60592C5C"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Conservative Party, n, </w:t>
      </w:r>
      <w:r w:rsidR="008E05D5">
        <w:rPr>
          <w:rFonts w:ascii="Times New Roman" w:hAnsi="Times New Roman" w:cs="Times New Roman"/>
        </w:rPr>
        <w:fldChar w:fldCharType="begin"/>
      </w:r>
      <w:r w:rsidR="008E05D5">
        <w:rPr>
          <w:rFonts w:ascii="Times New Roman" w:hAnsi="Times New Roman" w:cs="Times New Roman"/>
        </w:rPr>
        <w:instrText xml:space="preserve"> NOTEREF _Ref474417941 \h </w:instrText>
      </w:r>
      <w:r w:rsidR="008E05D5">
        <w:rPr>
          <w:rFonts w:ascii="Times New Roman" w:hAnsi="Times New Roman" w:cs="Times New Roman"/>
        </w:rPr>
      </w:r>
      <w:r w:rsidR="008E05D5">
        <w:rPr>
          <w:rFonts w:ascii="Times New Roman" w:hAnsi="Times New Roman" w:cs="Times New Roman"/>
        </w:rPr>
        <w:fldChar w:fldCharType="separate"/>
      </w:r>
      <w:r w:rsidR="008E05D5">
        <w:rPr>
          <w:rFonts w:ascii="Times New Roman" w:hAnsi="Times New Roman" w:cs="Times New Roman"/>
        </w:rPr>
        <w:t>48</w:t>
      </w:r>
      <w:r w:rsidR="008E05D5">
        <w:rPr>
          <w:rFonts w:ascii="Times New Roman" w:hAnsi="Times New Roman" w:cs="Times New Roman"/>
        </w:rPr>
        <w:fldChar w:fldCharType="end"/>
      </w:r>
      <w:r w:rsidRPr="005E299A">
        <w:rPr>
          <w:rFonts w:ascii="Times New Roman" w:hAnsi="Times New Roman" w:cs="Times New Roman"/>
        </w:rPr>
        <w:t>, 51.</w:t>
      </w:r>
    </w:p>
  </w:footnote>
  <w:footnote w:id="155">
    <w:p w14:paraId="7AC5E22A" w14:textId="6129596E"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For a critique of localism see M. </w:t>
      </w:r>
      <w:r w:rsidRPr="005E299A">
        <w:rPr>
          <w:rFonts w:ascii="Times New Roman" w:eastAsia="Times New Roman" w:hAnsi="Times New Roman" w:cs="Times New Roman"/>
          <w:lang w:eastAsia="en-GB"/>
        </w:rPr>
        <w:t xml:space="preserve">Purcell and J. Brown, ‘Against the local trap: scale and the study of environment and development’ (2005) 5 </w:t>
      </w:r>
      <w:r w:rsidRPr="005E299A">
        <w:rPr>
          <w:rFonts w:ascii="Times New Roman" w:eastAsia="Times New Roman" w:hAnsi="Times New Roman" w:cs="Times New Roman"/>
          <w:i/>
          <w:lang w:eastAsia="en-GB"/>
        </w:rPr>
        <w:t>Progress in Development Studies</w:t>
      </w:r>
      <w:r w:rsidRPr="005E299A">
        <w:rPr>
          <w:rFonts w:ascii="Times New Roman" w:eastAsia="Times New Roman" w:hAnsi="Times New Roman" w:cs="Times New Roman"/>
          <w:lang w:eastAsia="en-GB"/>
        </w:rPr>
        <w:t xml:space="preserve"> 279-297; </w:t>
      </w:r>
      <w:r w:rsidRPr="005E299A">
        <w:rPr>
          <w:rFonts w:ascii="Times New Roman" w:hAnsi="Times New Roman" w:cs="Times New Roman"/>
        </w:rPr>
        <w:t xml:space="preserve">M. Purcell, ‘Urban Democracy and the </w:t>
      </w:r>
      <w:r w:rsidRPr="005E299A">
        <w:rPr>
          <w:rStyle w:val="searchterm"/>
          <w:rFonts w:ascii="Times New Roman" w:hAnsi="Times New Roman" w:cs="Times New Roman"/>
        </w:rPr>
        <w:t>Local</w:t>
      </w:r>
      <w:r w:rsidRPr="005E299A">
        <w:rPr>
          <w:rFonts w:ascii="Times New Roman" w:hAnsi="Times New Roman" w:cs="Times New Roman"/>
        </w:rPr>
        <w:t xml:space="preserve"> Trap’ (2006) 43 </w:t>
      </w:r>
      <w:r w:rsidRPr="005E299A">
        <w:rPr>
          <w:rStyle w:val="Emphasis"/>
          <w:rFonts w:ascii="Times New Roman" w:hAnsi="Times New Roman" w:cs="Times New Roman"/>
        </w:rPr>
        <w:t>Urban Studies</w:t>
      </w:r>
      <w:r w:rsidRPr="005E299A">
        <w:rPr>
          <w:rFonts w:ascii="Times New Roman" w:hAnsi="Times New Roman" w:cs="Times New Roman"/>
        </w:rPr>
        <w:t xml:space="preserve"> 1921-1941; Bevan, n. </w:t>
      </w:r>
      <w:r w:rsidRPr="005E299A">
        <w:rPr>
          <w:rFonts w:ascii="Times New Roman" w:hAnsi="Times New Roman" w:cs="Times New Roman"/>
        </w:rPr>
        <w:fldChar w:fldCharType="begin"/>
      </w:r>
      <w:r w:rsidRPr="005E299A">
        <w:rPr>
          <w:rFonts w:ascii="Times New Roman" w:hAnsi="Times New Roman" w:cs="Times New Roman"/>
        </w:rPr>
        <w:instrText xml:space="preserve"> NOTEREF _Ref461891511 \h  \* MERGEFORMAT </w:instrText>
      </w:r>
      <w:r w:rsidRPr="005E299A">
        <w:rPr>
          <w:rFonts w:ascii="Times New Roman" w:hAnsi="Times New Roman" w:cs="Times New Roman"/>
        </w:rPr>
      </w:r>
      <w:r w:rsidRPr="005E299A">
        <w:rPr>
          <w:rFonts w:ascii="Times New Roman" w:hAnsi="Times New Roman" w:cs="Times New Roman"/>
        </w:rPr>
        <w:fldChar w:fldCharType="separate"/>
      </w:r>
      <w:r w:rsidRPr="005E299A">
        <w:rPr>
          <w:rFonts w:ascii="Times New Roman" w:hAnsi="Times New Roman" w:cs="Times New Roman"/>
        </w:rPr>
        <w:t>11</w:t>
      </w:r>
      <w:r w:rsidRPr="005E299A">
        <w:rPr>
          <w:rFonts w:ascii="Times New Roman" w:hAnsi="Times New Roman" w:cs="Times New Roman"/>
        </w:rPr>
        <w:fldChar w:fldCharType="end"/>
      </w:r>
      <w:r w:rsidRPr="005E299A">
        <w:rPr>
          <w:rFonts w:ascii="Times New Roman" w:hAnsi="Times New Roman" w:cs="Times New Roman"/>
          <w:lang w:val="en-US"/>
        </w:rPr>
        <w:t>;</w:t>
      </w:r>
      <w:r w:rsidRPr="005E299A">
        <w:rPr>
          <w:rFonts w:ascii="Times New Roman" w:hAnsi="Times New Roman" w:cs="Times New Roman"/>
        </w:rPr>
        <w:t xml:space="preserve"> A. Layard, ‘</w:t>
      </w:r>
      <w:r w:rsidRPr="005E299A">
        <w:rPr>
          <w:rFonts w:ascii="Times New Roman" w:hAnsi="Times New Roman" w:cs="Times New Roman"/>
          <w:bCs/>
          <w:lang w:val="en-US"/>
        </w:rPr>
        <w:t xml:space="preserve">The Localism Act 2011: what is “local” and how do we (legally) construct it?’ (2012) 14(2) </w:t>
      </w:r>
      <w:r w:rsidRPr="005E299A">
        <w:rPr>
          <w:rFonts w:ascii="Times New Roman" w:hAnsi="Times New Roman" w:cs="Times New Roman"/>
          <w:i/>
          <w:lang w:val="en-US"/>
        </w:rPr>
        <w:t>Environmental Law Review</w:t>
      </w:r>
      <w:r w:rsidRPr="005E299A">
        <w:rPr>
          <w:rFonts w:ascii="Times New Roman" w:hAnsi="Times New Roman" w:cs="Times New Roman"/>
          <w:lang w:val="en-US"/>
        </w:rPr>
        <w:t xml:space="preserve"> 134.</w:t>
      </w:r>
    </w:p>
  </w:footnote>
  <w:footnote w:id="156">
    <w:p w14:paraId="127BBB68" w14:textId="3CF670F0"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See K. Gray, ‘Property in Thin Air’ (1991) 50 C.L.J., 252-307; K. Gray and S. Gray, ‘The Idea of Property in Land’ in S. Bright and J. Dewar (eds), </w:t>
      </w:r>
      <w:r w:rsidRPr="005E299A">
        <w:rPr>
          <w:rFonts w:ascii="Times New Roman" w:hAnsi="Times New Roman" w:cs="Times New Roman"/>
          <w:i/>
          <w:iCs/>
        </w:rPr>
        <w:t xml:space="preserve">Land Law: Themes and Perspectives </w:t>
      </w:r>
      <w:r w:rsidRPr="005E299A">
        <w:rPr>
          <w:rFonts w:ascii="Times New Roman" w:hAnsi="Times New Roman" w:cs="Times New Roman"/>
        </w:rPr>
        <w:t xml:space="preserve">(Oxford University Press, 1998), 15; L.M.G. Clark, ‘Women and John Locke; or, Who Owns the Apples in the Garden of Eden?’ (1977) 7 </w:t>
      </w:r>
      <w:r w:rsidRPr="005E299A">
        <w:rPr>
          <w:rFonts w:ascii="Times New Roman" w:hAnsi="Times New Roman" w:cs="Times New Roman"/>
          <w:i/>
        </w:rPr>
        <w:t>Canadian Journal of Philosophy</w:t>
      </w:r>
      <w:r w:rsidRPr="005E299A">
        <w:rPr>
          <w:rFonts w:ascii="Times New Roman" w:hAnsi="Times New Roman" w:cs="Times New Roman"/>
        </w:rPr>
        <w:t xml:space="preserve"> 699.</w:t>
      </w:r>
    </w:p>
  </w:footnote>
  <w:footnote w:id="157">
    <w:p w14:paraId="14825BB9" w14:textId="2ABBA2A6"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The 2016 Act forms a key constituent of the Government’s ‘Productivity Plan’</w:t>
      </w:r>
      <w:r w:rsidRPr="005E299A">
        <w:rPr>
          <w:rFonts w:ascii="Times New Roman" w:hAnsi="Times New Roman" w:cs="Times New Roman"/>
          <w:i/>
          <w:sz w:val="22"/>
          <w:szCs w:val="22"/>
        </w:rPr>
        <w:t xml:space="preserve"> </w:t>
      </w:r>
      <w:r w:rsidRPr="005E299A">
        <w:rPr>
          <w:rFonts w:ascii="Times New Roman" w:hAnsi="Times New Roman" w:cs="Times New Roman"/>
          <w:sz w:val="22"/>
          <w:szCs w:val="22"/>
        </w:rPr>
        <w:t>n.</w:t>
      </w:r>
      <w:r w:rsidR="008E05D5">
        <w:rPr>
          <w:rFonts w:ascii="Times New Roman" w:hAnsi="Times New Roman" w:cs="Times New Roman"/>
          <w:sz w:val="22"/>
          <w:szCs w:val="22"/>
        </w:rPr>
        <w:t xml:space="preserve"> </w:t>
      </w:r>
      <w:r w:rsidR="008E05D5">
        <w:rPr>
          <w:rFonts w:ascii="Times New Roman" w:hAnsi="Times New Roman" w:cs="Times New Roman"/>
          <w:sz w:val="22"/>
          <w:szCs w:val="22"/>
        </w:rPr>
        <w:fldChar w:fldCharType="begin"/>
      </w:r>
      <w:r w:rsidR="008E05D5">
        <w:rPr>
          <w:rFonts w:ascii="Times New Roman" w:hAnsi="Times New Roman" w:cs="Times New Roman"/>
          <w:sz w:val="22"/>
          <w:szCs w:val="22"/>
        </w:rPr>
        <w:instrText xml:space="preserve"> NOTEREF _Ref461890897 \h </w:instrText>
      </w:r>
      <w:r w:rsidR="008E05D5">
        <w:rPr>
          <w:rFonts w:ascii="Times New Roman" w:hAnsi="Times New Roman" w:cs="Times New Roman"/>
          <w:sz w:val="22"/>
          <w:szCs w:val="22"/>
        </w:rPr>
      </w:r>
      <w:r w:rsidR="008E05D5">
        <w:rPr>
          <w:rFonts w:ascii="Times New Roman" w:hAnsi="Times New Roman" w:cs="Times New Roman"/>
          <w:sz w:val="22"/>
          <w:szCs w:val="22"/>
        </w:rPr>
        <w:fldChar w:fldCharType="separate"/>
      </w:r>
      <w:r w:rsidR="008E05D5">
        <w:rPr>
          <w:rFonts w:ascii="Times New Roman" w:hAnsi="Times New Roman" w:cs="Times New Roman"/>
          <w:sz w:val="22"/>
          <w:szCs w:val="22"/>
        </w:rPr>
        <w:t>25</w:t>
      </w:r>
      <w:r w:rsidR="008E05D5">
        <w:rPr>
          <w:rFonts w:ascii="Times New Roman" w:hAnsi="Times New Roman" w:cs="Times New Roman"/>
          <w:sz w:val="22"/>
          <w:szCs w:val="22"/>
        </w:rPr>
        <w:fldChar w:fldCharType="end"/>
      </w:r>
      <w:r w:rsidRPr="005E299A">
        <w:rPr>
          <w:rFonts w:ascii="Times New Roman" w:hAnsi="Times New Roman" w:cs="Times New Roman"/>
          <w:sz w:val="22"/>
          <w:szCs w:val="22"/>
        </w:rPr>
        <w:t>.</w:t>
      </w:r>
    </w:p>
  </w:footnote>
  <w:footnote w:id="158">
    <w:p w14:paraId="77C5D4C2" w14:textId="04D6194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sz w:val="22"/>
          <w:szCs w:val="22"/>
          <w:lang w:val="en-US"/>
        </w:rPr>
        <w:t xml:space="preserve">M. Purcell, ‘Urban Democracy and the Local Trap’ (2006) 43 </w:t>
      </w:r>
      <w:r w:rsidRPr="005E299A">
        <w:rPr>
          <w:rFonts w:ascii="Times New Roman" w:hAnsi="Times New Roman" w:cs="Times New Roman"/>
          <w:i/>
          <w:iCs/>
          <w:sz w:val="22"/>
          <w:szCs w:val="22"/>
          <w:lang w:val="en-US"/>
        </w:rPr>
        <w:t>Urban Studies</w:t>
      </w:r>
      <w:r w:rsidRPr="005E299A">
        <w:rPr>
          <w:rFonts w:ascii="Times New Roman" w:hAnsi="Times New Roman" w:cs="Times New Roman"/>
          <w:sz w:val="22"/>
          <w:szCs w:val="22"/>
          <w:lang w:val="en-US"/>
        </w:rPr>
        <w:t xml:space="preserve"> 1921-1941.</w:t>
      </w:r>
    </w:p>
  </w:footnote>
  <w:footnote w:id="159">
    <w:p w14:paraId="0965D754" w14:textId="3123E2E0"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 Kemeny, </w:t>
      </w:r>
      <w:r w:rsidRPr="005E299A">
        <w:rPr>
          <w:rFonts w:ascii="Times New Roman" w:hAnsi="Times New Roman" w:cs="Times New Roman"/>
          <w:i/>
          <w:sz w:val="22"/>
          <w:szCs w:val="22"/>
        </w:rPr>
        <w:t>The Myth of Home Ownership: Private versus Public Choices in Housing Tenure</w:t>
      </w:r>
      <w:r w:rsidRPr="005E299A">
        <w:rPr>
          <w:rFonts w:ascii="Times New Roman" w:hAnsi="Times New Roman" w:cs="Times New Roman"/>
          <w:sz w:val="22"/>
          <w:szCs w:val="22"/>
        </w:rPr>
        <w:t xml:space="preserve"> (London, Routledge, 1981), 272.</w:t>
      </w:r>
    </w:p>
  </w:footnote>
  <w:footnote w:id="160">
    <w:p w14:paraId="00C7BAC9" w14:textId="00FB685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4.</w:t>
      </w:r>
    </w:p>
  </w:footnote>
  <w:footnote w:id="161">
    <w:p w14:paraId="7B800DE9" w14:textId="7295053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Layard, n.</w:t>
      </w:r>
      <w:r w:rsidR="008E05D5">
        <w:rPr>
          <w:rFonts w:ascii="Times New Roman" w:hAnsi="Times New Roman" w:cs="Times New Roman"/>
          <w:sz w:val="22"/>
          <w:szCs w:val="22"/>
        </w:rPr>
        <w:t xml:space="preserve"> </w:t>
      </w:r>
      <w:r w:rsidR="008E05D5">
        <w:rPr>
          <w:rFonts w:ascii="Times New Roman" w:hAnsi="Times New Roman" w:cs="Times New Roman"/>
          <w:sz w:val="22"/>
          <w:szCs w:val="22"/>
        </w:rPr>
        <w:fldChar w:fldCharType="begin"/>
      </w:r>
      <w:r w:rsidR="008E05D5">
        <w:rPr>
          <w:rFonts w:ascii="Times New Roman" w:hAnsi="Times New Roman" w:cs="Times New Roman"/>
          <w:sz w:val="22"/>
          <w:szCs w:val="22"/>
        </w:rPr>
        <w:instrText xml:space="preserve"> NOTEREF _Ref461891675 \h </w:instrText>
      </w:r>
      <w:r w:rsidR="008E05D5">
        <w:rPr>
          <w:rFonts w:ascii="Times New Roman" w:hAnsi="Times New Roman" w:cs="Times New Roman"/>
          <w:sz w:val="22"/>
          <w:szCs w:val="22"/>
        </w:rPr>
      </w:r>
      <w:r w:rsidR="008E05D5">
        <w:rPr>
          <w:rFonts w:ascii="Times New Roman" w:hAnsi="Times New Roman" w:cs="Times New Roman"/>
          <w:sz w:val="22"/>
          <w:szCs w:val="22"/>
        </w:rPr>
        <w:fldChar w:fldCharType="separate"/>
      </w:r>
      <w:r w:rsidR="008E05D5">
        <w:rPr>
          <w:rFonts w:ascii="Times New Roman" w:hAnsi="Times New Roman" w:cs="Times New Roman"/>
          <w:sz w:val="22"/>
          <w:szCs w:val="22"/>
        </w:rPr>
        <w:t>155</w:t>
      </w:r>
      <w:r w:rsidR="008E05D5">
        <w:rPr>
          <w:rFonts w:ascii="Times New Roman" w:hAnsi="Times New Roman" w:cs="Times New Roman"/>
          <w:sz w:val="22"/>
          <w:szCs w:val="22"/>
        </w:rPr>
        <w:fldChar w:fldCharType="end"/>
      </w:r>
      <w:r w:rsidRPr="005E299A">
        <w:rPr>
          <w:rFonts w:ascii="Times New Roman" w:hAnsi="Times New Roman" w:cs="Times New Roman"/>
          <w:sz w:val="22"/>
          <w:szCs w:val="22"/>
          <w:lang w:val="en-US"/>
        </w:rPr>
        <w:t>.</w:t>
      </w:r>
    </w:p>
  </w:footnote>
  <w:footnote w:id="162">
    <w:p w14:paraId="7AA29229"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w:t>
      </w:r>
      <w:r w:rsidRPr="005E299A">
        <w:rPr>
          <w:rFonts w:ascii="Times New Roman" w:hAnsi="Times New Roman" w:cs="Times New Roman"/>
          <w:sz w:val="22"/>
          <w:szCs w:val="22"/>
          <w:lang w:val="en-US"/>
        </w:rPr>
        <w:t xml:space="preserve">R. Schragger, ‘The Limits of </w:t>
      </w:r>
      <w:r w:rsidRPr="005E299A">
        <w:rPr>
          <w:rFonts w:ascii="Times New Roman" w:hAnsi="Times New Roman" w:cs="Times New Roman"/>
          <w:bCs/>
          <w:sz w:val="22"/>
          <w:szCs w:val="22"/>
          <w:lang w:val="en-US"/>
        </w:rPr>
        <w:t>Localism</w:t>
      </w:r>
      <w:r w:rsidRPr="005E299A">
        <w:rPr>
          <w:rFonts w:ascii="Times New Roman" w:hAnsi="Times New Roman" w:cs="Times New Roman"/>
          <w:sz w:val="22"/>
          <w:szCs w:val="22"/>
          <w:lang w:val="en-US"/>
        </w:rPr>
        <w:t xml:space="preserve">’ (2002) 100 </w:t>
      </w:r>
      <w:r w:rsidRPr="005E299A">
        <w:rPr>
          <w:rFonts w:ascii="Times New Roman" w:hAnsi="Times New Roman" w:cs="Times New Roman"/>
          <w:i/>
          <w:iCs/>
          <w:sz w:val="22"/>
          <w:szCs w:val="22"/>
          <w:lang w:val="en-US"/>
        </w:rPr>
        <w:t>Mich L Rev</w:t>
      </w:r>
      <w:r w:rsidRPr="005E299A">
        <w:rPr>
          <w:rFonts w:ascii="Times New Roman" w:hAnsi="Times New Roman" w:cs="Times New Roman"/>
          <w:sz w:val="22"/>
          <w:szCs w:val="22"/>
          <w:lang w:val="en-US"/>
        </w:rPr>
        <w:t xml:space="preserve"> 373, 374.</w:t>
      </w:r>
    </w:p>
  </w:footnote>
  <w:footnote w:id="163">
    <w:p w14:paraId="39FDA9B3" w14:textId="345BF71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 Barlow ‘Why the UK doesn’t need a property owning democracy’ Imperial College Business School Research Blog (14 April 2015) at &lt;https://wwwf.imperial.ac.uk/business-school/intelligence/research-blog/why-the-uk-doesnt-need-a-property-owning-democracy/&gt; [last accessed 16 September 2016].</w:t>
      </w:r>
    </w:p>
  </w:footnote>
  <w:footnote w:id="164">
    <w:p w14:paraId="1B70C202" w14:textId="2F5DA045"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J. Gregory, ‘How not to be an egalitarian: the politics of homeownership and property-owning democracy’ (2016) 16(3) </w:t>
      </w:r>
      <w:r w:rsidRPr="005E299A">
        <w:rPr>
          <w:rFonts w:ascii="Times New Roman" w:hAnsi="Times New Roman" w:cs="Times New Roman"/>
          <w:i/>
          <w:sz w:val="22"/>
          <w:szCs w:val="22"/>
        </w:rPr>
        <w:t>International Journal of Housing Policy</w:t>
      </w:r>
      <w:r w:rsidRPr="005E299A">
        <w:rPr>
          <w:rFonts w:ascii="Times New Roman" w:hAnsi="Times New Roman" w:cs="Times New Roman"/>
          <w:sz w:val="22"/>
          <w:szCs w:val="22"/>
        </w:rPr>
        <w:t xml:space="preserve">, 337. </w:t>
      </w:r>
    </w:p>
  </w:footnote>
  <w:footnote w:id="165">
    <w:p w14:paraId="4FCF94CD"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Including, among others, Help to Buy, Help to Buy ISAs and Shared Equity Schemes.</w:t>
      </w:r>
    </w:p>
  </w:footnote>
  <w:footnote w:id="166">
    <w:p w14:paraId="4964BAE3" w14:textId="0284B05E"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w:t>
      </w:r>
      <w:r w:rsidRPr="005E299A">
        <w:rPr>
          <w:rFonts w:ascii="Times New Roman" w:hAnsi="Times New Roman" w:cs="Times New Roman"/>
          <w:lang w:val="en-US"/>
        </w:rPr>
        <w:t xml:space="preserve">Eurostat, ‘Distribution of population by tenure status, type of household and income group’ </w:t>
      </w:r>
      <w:r w:rsidRPr="005E299A">
        <w:rPr>
          <w:rFonts w:ascii="Times New Roman" w:hAnsi="Times New Roman" w:cs="Times New Roman"/>
          <w:color w:val="262626"/>
          <w:lang w:val="en-US"/>
        </w:rPr>
        <w:t xml:space="preserve">EU-SILC survey </w:t>
      </w:r>
      <w:r w:rsidRPr="005E299A">
        <w:rPr>
          <w:rFonts w:ascii="Times New Roman" w:hAnsi="Times New Roman" w:cs="Times New Roman"/>
          <w:lang w:val="en-US"/>
        </w:rPr>
        <w:t>2015 at &lt;http://ec.europa.eu/eurostat/web/products-datasets/-/ilc_lvho02&gt; [last accessed 16 September 2016].</w:t>
      </w:r>
    </w:p>
  </w:footnote>
  <w:footnote w:id="167">
    <w:p w14:paraId="38627699" w14:textId="77777777"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p>
  </w:footnote>
  <w:footnote w:id="168">
    <w:p w14:paraId="346CA725" w14:textId="07A74CC8"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Resolution Foundation, ‘Home ownership struggle hits Coronation Street’ 2 August 2016 at </w:t>
      </w:r>
      <w:hyperlink r:id="rId10" w:history="1">
        <w:r w:rsidRPr="005E299A">
          <w:rPr>
            <w:rStyle w:val="Hyperlink"/>
            <w:rFonts w:ascii="Times New Roman" w:hAnsi="Times New Roman" w:cs="Times New Roman"/>
            <w:sz w:val="22"/>
            <w:szCs w:val="22"/>
          </w:rPr>
          <w:t>http://www.resolutionfoundation.org/media/press-releases/home-ownership-struggle-hits-coronation-street/</w:t>
        </w:r>
      </w:hyperlink>
      <w:r w:rsidRPr="005E299A">
        <w:rPr>
          <w:rFonts w:ascii="Times New Roman" w:hAnsi="Times New Roman" w:cs="Times New Roman"/>
          <w:sz w:val="22"/>
          <w:szCs w:val="22"/>
        </w:rPr>
        <w:t xml:space="preserve"> [last accessed 17 September 2016].</w:t>
      </w:r>
    </w:p>
  </w:footnote>
  <w:footnote w:id="169">
    <w:p w14:paraId="06E836C9" w14:textId="1C815E24"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w:t>
      </w:r>
      <w:r w:rsidRPr="005E299A">
        <w:rPr>
          <w:rFonts w:ascii="Times New Roman" w:hAnsi="Times New Roman" w:cs="Times New Roman"/>
          <w:vanish/>
          <w:color w:val="FF40FF"/>
          <w:sz w:val="22"/>
          <w:szCs w:val="22"/>
          <w:lang w:val="en-US"/>
        </w:rPr>
        <w:t xml:space="preserve"> transitory,  Moved from previoseviosu section.resolutionfoundation work. I will footnote this.. </w:t>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r w:rsidRPr="005E299A">
        <w:rPr>
          <w:rFonts w:ascii="Times New Roman" w:hAnsi="Times New Roman" w:cs="Times New Roman"/>
          <w:vanish/>
          <w:color w:val="FF40FF"/>
          <w:sz w:val="22"/>
          <w:szCs w:val="22"/>
          <w:lang w:val="en-US"/>
        </w:rPr>
        <w:pgNum/>
      </w:r>
    </w:p>
  </w:footnote>
  <w:footnote w:id="170">
    <w:p w14:paraId="47550EEE" w14:textId="67DD721B"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Department for Communities and Local Government, </w:t>
      </w:r>
      <w:r w:rsidRPr="005E299A">
        <w:rPr>
          <w:rFonts w:ascii="Times New Roman" w:hAnsi="Times New Roman" w:cs="Times New Roman"/>
          <w:i/>
          <w:sz w:val="22"/>
          <w:szCs w:val="22"/>
        </w:rPr>
        <w:t>English Housing Survey First Time Buyers and Potential Home Owners Report 2014-15</w:t>
      </w:r>
      <w:r w:rsidRPr="005E299A">
        <w:rPr>
          <w:rFonts w:ascii="Times New Roman" w:hAnsi="Times New Roman" w:cs="Times New Roman"/>
          <w:sz w:val="22"/>
          <w:szCs w:val="22"/>
        </w:rPr>
        <w:t xml:space="preserve"> (2016).</w:t>
      </w:r>
    </w:p>
  </w:footnote>
  <w:footnote w:id="171">
    <w:p w14:paraId="252AAE28" w14:textId="04F62F53"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Ibid, 1, 2, 5.</w:t>
      </w:r>
    </w:p>
  </w:footnote>
  <w:footnote w:id="172">
    <w:p w14:paraId="71680B5F" w14:textId="0032B31B"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Economics Help, ‘UK Housing Market April 2016’ at &lt;http://www.economicshelp.org/blog/5709/housing/market/&gt; [last accessed 16 September 2016].</w:t>
      </w:r>
    </w:p>
  </w:footnote>
  <w:footnote w:id="173">
    <w:p w14:paraId="3F89295B" w14:textId="77777777"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The Equality Trust, ‘</w:t>
      </w:r>
      <w:r w:rsidRPr="005E299A">
        <w:rPr>
          <w:rFonts w:ascii="Times New Roman" w:hAnsi="Times New Roman" w:cs="Times New Roman"/>
          <w:bCs/>
          <w:color w:val="2D2C2D"/>
          <w:lang w:val="en-US"/>
        </w:rPr>
        <w:t>A House Divided - How Unaffordable Housing Drives UK Inequality’ (August 2016).</w:t>
      </w:r>
    </w:p>
  </w:footnote>
  <w:footnote w:id="174">
    <w:p w14:paraId="0C046CFE" w14:textId="31404E5F"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N. </w:t>
      </w:r>
      <w:r w:rsidRPr="005E299A">
        <w:rPr>
          <w:rFonts w:ascii="Times New Roman" w:hAnsi="Times New Roman" w:cs="Times New Roman"/>
          <w:lang w:val="en-US"/>
        </w:rPr>
        <w:t xml:space="preserve">Dennis, </w:t>
      </w:r>
      <w:r w:rsidRPr="005E299A">
        <w:rPr>
          <w:rFonts w:ascii="Times New Roman" w:hAnsi="Times New Roman" w:cs="Times New Roman"/>
          <w:i/>
          <w:lang w:val="en-US"/>
        </w:rPr>
        <w:t>The Invention of Permanent Poverty</w:t>
      </w:r>
      <w:r w:rsidRPr="005E299A">
        <w:rPr>
          <w:rFonts w:ascii="Times New Roman" w:hAnsi="Times New Roman" w:cs="Times New Roman"/>
          <w:lang w:val="en-US"/>
        </w:rPr>
        <w:t xml:space="preserve"> (London: Institute of Economic Affairs, 1997). </w:t>
      </w:r>
    </w:p>
  </w:footnote>
  <w:footnote w:id="175">
    <w:p w14:paraId="20D5F317" w14:textId="7EE4DF6F"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D. </w:t>
      </w:r>
      <w:r w:rsidRPr="005E299A">
        <w:rPr>
          <w:rFonts w:ascii="Times New Roman" w:hAnsi="Times New Roman" w:cs="Times New Roman"/>
          <w:lang w:val="en-US"/>
        </w:rPr>
        <w:t xml:space="preserve">Green, </w:t>
      </w:r>
      <w:r w:rsidRPr="005E299A">
        <w:rPr>
          <w:rFonts w:ascii="Times New Roman" w:hAnsi="Times New Roman" w:cs="Times New Roman"/>
          <w:i/>
          <w:lang w:val="en-US"/>
        </w:rPr>
        <w:t>Benefit Dependency: How Welfare Undermines Independence</w:t>
      </w:r>
      <w:r w:rsidRPr="005E299A">
        <w:rPr>
          <w:rFonts w:ascii="Times New Roman" w:hAnsi="Times New Roman" w:cs="Times New Roman"/>
          <w:lang w:val="en-US"/>
        </w:rPr>
        <w:t xml:space="preserve"> (London: Civitas, 1998).</w:t>
      </w:r>
    </w:p>
  </w:footnote>
  <w:footnote w:id="176">
    <w:p w14:paraId="4ADB7047" w14:textId="156121C4"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P. Saunders </w:t>
      </w:r>
      <w:r w:rsidRPr="005E299A">
        <w:rPr>
          <w:rFonts w:ascii="Times New Roman" w:hAnsi="Times New Roman" w:cs="Times New Roman"/>
          <w:i/>
        </w:rPr>
        <w:t>A Nation of Home Owners</w:t>
      </w:r>
      <w:r w:rsidRPr="005E299A">
        <w:rPr>
          <w:rFonts w:ascii="Times New Roman" w:hAnsi="Times New Roman" w:cs="Times New Roman"/>
        </w:rPr>
        <w:t xml:space="preserve"> (London: Routledge, 1990).</w:t>
      </w:r>
    </w:p>
  </w:footnote>
  <w:footnote w:id="177">
    <w:p w14:paraId="3CDD5255" w14:textId="09A0CE22"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The Resolution Foundation, ‘Low Pay Britain 2015 October 2015’ at </w:t>
      </w:r>
      <w:hyperlink r:id="rId11" w:history="1">
        <w:r w:rsidRPr="005E299A">
          <w:rPr>
            <w:rStyle w:val="Hyperlink"/>
            <w:rFonts w:ascii="Times New Roman" w:hAnsi="Times New Roman" w:cs="Times New Roman"/>
            <w:sz w:val="22"/>
            <w:szCs w:val="22"/>
          </w:rPr>
          <w:t>http://www.resolutionfoundation.org/wp-content/uploads/2015/10/Low-Pay-Britain-2015.pdf</w:t>
        </w:r>
      </w:hyperlink>
      <w:r w:rsidRPr="005E299A">
        <w:rPr>
          <w:rFonts w:ascii="Times New Roman" w:hAnsi="Times New Roman" w:cs="Times New Roman"/>
          <w:sz w:val="22"/>
          <w:szCs w:val="22"/>
        </w:rPr>
        <w:t xml:space="preserve"> [last accessed 17 September 2016].</w:t>
      </w:r>
    </w:p>
  </w:footnote>
  <w:footnote w:id="178">
    <w:p w14:paraId="4A47D037" w14:textId="22E52D1E" w:rsidR="006F07AC" w:rsidRPr="005E299A" w:rsidRDefault="006F07AC" w:rsidP="00A216BA">
      <w:pPr>
        <w:pStyle w:val="NoSpacing"/>
        <w:spacing w:line="360" w:lineRule="auto"/>
        <w:jc w:val="both"/>
        <w:rPr>
          <w:rFonts w:ascii="Times New Roman" w:hAnsi="Times New Roman" w:cs="Times New Roman"/>
          <w:color w:val="000000" w:themeColor="text1"/>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C. Bevan and D. Cowan, ‘Uses of macro social theory: a social housing case study’ (2016) 79(1) MLR 76.</w:t>
      </w:r>
    </w:p>
  </w:footnote>
  <w:footnote w:id="179">
    <w:p w14:paraId="683F7F46" w14:textId="7C9DB706" w:rsidR="006F07AC" w:rsidRPr="005E299A" w:rsidRDefault="006F07AC" w:rsidP="00A216BA">
      <w:pPr>
        <w:pStyle w:val="NoSpacing"/>
        <w:spacing w:line="360" w:lineRule="auto"/>
        <w:jc w:val="both"/>
        <w:rPr>
          <w:rFonts w:ascii="Times New Roman" w:hAnsi="Times New Roman" w:cs="Times New Roman"/>
          <w:color w:val="000000" w:themeColor="text1"/>
          <w:lang w:val="en-US"/>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w:t>
      </w:r>
      <w:r w:rsidRPr="005E299A">
        <w:rPr>
          <w:rFonts w:ascii="Times New Roman" w:hAnsi="Times New Roman" w:cs="Times New Roman"/>
          <w:color w:val="000000" w:themeColor="text1"/>
          <w:lang w:val="en-US"/>
        </w:rPr>
        <w:t xml:space="preserve">L. Hancock and G. Mooney, ‘”Welfare ghettos” and the “broken society”: Territorial stigmatization in the contemporary UK”, (2013) 30(1) </w:t>
      </w:r>
      <w:r w:rsidRPr="005E299A">
        <w:rPr>
          <w:rFonts w:ascii="Times New Roman" w:hAnsi="Times New Roman" w:cs="Times New Roman"/>
          <w:i/>
          <w:iCs/>
          <w:color w:val="000000" w:themeColor="text1"/>
          <w:lang w:val="en-US"/>
        </w:rPr>
        <w:t xml:space="preserve">Housing, Theory and Society </w:t>
      </w:r>
      <w:r w:rsidRPr="005E299A">
        <w:rPr>
          <w:rFonts w:ascii="Times New Roman" w:hAnsi="Times New Roman" w:cs="Times New Roman"/>
          <w:color w:val="000000" w:themeColor="text1"/>
          <w:lang w:val="en-US"/>
        </w:rPr>
        <w:t>46, 48.</w:t>
      </w:r>
      <w:r w:rsidRPr="005E299A">
        <w:rPr>
          <w:rFonts w:ascii="MS Mincho" w:eastAsia="MS Mincho" w:hAnsi="MS Mincho" w:cs="MS Mincho"/>
          <w:color w:val="000000" w:themeColor="text1"/>
          <w:lang w:val="en-US"/>
        </w:rPr>
        <w:t> </w:t>
      </w:r>
    </w:p>
  </w:footnote>
  <w:footnote w:id="180">
    <w:p w14:paraId="5F6F331A" w14:textId="0C3C0DC3"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Conservative Party, n.</w:t>
      </w:r>
      <w:r w:rsidR="008E05D5">
        <w:rPr>
          <w:rFonts w:ascii="Times New Roman" w:hAnsi="Times New Roman" w:cs="Times New Roman"/>
          <w:color w:val="000000" w:themeColor="text1"/>
        </w:rPr>
        <w:t xml:space="preserve"> </w:t>
      </w:r>
      <w:r w:rsidR="008E05D5">
        <w:rPr>
          <w:rFonts w:ascii="Times New Roman" w:hAnsi="Times New Roman" w:cs="Times New Roman"/>
          <w:color w:val="000000" w:themeColor="text1"/>
        </w:rPr>
        <w:fldChar w:fldCharType="begin"/>
      </w:r>
      <w:r w:rsidR="008E05D5">
        <w:rPr>
          <w:rFonts w:ascii="Times New Roman" w:hAnsi="Times New Roman" w:cs="Times New Roman"/>
          <w:color w:val="000000" w:themeColor="text1"/>
        </w:rPr>
        <w:instrText xml:space="preserve"> NOTEREF _Ref474417941 \h </w:instrText>
      </w:r>
      <w:r w:rsidR="008E05D5">
        <w:rPr>
          <w:rFonts w:ascii="Times New Roman" w:hAnsi="Times New Roman" w:cs="Times New Roman"/>
          <w:color w:val="000000" w:themeColor="text1"/>
        </w:rPr>
      </w:r>
      <w:r w:rsidR="008E05D5">
        <w:rPr>
          <w:rFonts w:ascii="Times New Roman" w:hAnsi="Times New Roman" w:cs="Times New Roman"/>
          <w:color w:val="000000" w:themeColor="text1"/>
        </w:rPr>
        <w:fldChar w:fldCharType="separate"/>
      </w:r>
      <w:r w:rsidR="008E05D5">
        <w:rPr>
          <w:rFonts w:ascii="Times New Roman" w:hAnsi="Times New Roman" w:cs="Times New Roman"/>
          <w:color w:val="000000" w:themeColor="text1"/>
        </w:rPr>
        <w:t>48</w:t>
      </w:r>
      <w:r w:rsidR="008E05D5">
        <w:rPr>
          <w:rFonts w:ascii="Times New Roman" w:hAnsi="Times New Roman" w:cs="Times New Roman"/>
          <w:color w:val="000000" w:themeColor="text1"/>
        </w:rPr>
        <w:fldChar w:fldCharType="end"/>
      </w:r>
      <w:r w:rsidRPr="005E299A">
        <w:rPr>
          <w:rFonts w:ascii="Times New Roman" w:hAnsi="Times New Roman" w:cs="Times New Roman"/>
          <w:color w:val="000000" w:themeColor="text1"/>
        </w:rPr>
        <w:t>, 51.</w:t>
      </w:r>
    </w:p>
  </w:footnote>
  <w:footnote w:id="181">
    <w:p w14:paraId="4192AB6B" w14:textId="47305DF8"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lang w:val="en-US"/>
        </w:rPr>
        <w:t>Hancock and Mooney, n.</w:t>
      </w:r>
      <w:r w:rsidR="008E05D5">
        <w:rPr>
          <w:rFonts w:ascii="Times New Roman" w:hAnsi="Times New Roman" w:cs="Times New Roman"/>
          <w:lang w:val="en-US"/>
        </w:rPr>
        <w:t xml:space="preserve"> </w:t>
      </w:r>
      <w:r w:rsidR="008E05D5">
        <w:rPr>
          <w:rFonts w:ascii="Times New Roman" w:hAnsi="Times New Roman" w:cs="Times New Roman"/>
          <w:lang w:val="en-US"/>
        </w:rPr>
        <w:fldChar w:fldCharType="begin"/>
      </w:r>
      <w:r w:rsidR="008E05D5">
        <w:rPr>
          <w:rFonts w:ascii="Times New Roman" w:hAnsi="Times New Roman" w:cs="Times New Roman"/>
          <w:lang w:val="en-US"/>
        </w:rPr>
        <w:instrText xml:space="preserve"> NOTEREF _Ref461891825 \h </w:instrText>
      </w:r>
      <w:r w:rsidR="008E05D5">
        <w:rPr>
          <w:rFonts w:ascii="Times New Roman" w:hAnsi="Times New Roman" w:cs="Times New Roman"/>
          <w:lang w:val="en-US"/>
        </w:rPr>
      </w:r>
      <w:r w:rsidR="008E05D5">
        <w:rPr>
          <w:rFonts w:ascii="Times New Roman" w:hAnsi="Times New Roman" w:cs="Times New Roman"/>
          <w:lang w:val="en-US"/>
        </w:rPr>
        <w:fldChar w:fldCharType="separate"/>
      </w:r>
      <w:r w:rsidR="008E05D5">
        <w:rPr>
          <w:rFonts w:ascii="Times New Roman" w:hAnsi="Times New Roman" w:cs="Times New Roman"/>
          <w:lang w:val="en-US"/>
        </w:rPr>
        <w:t>179</w:t>
      </w:r>
      <w:r w:rsidR="008E05D5">
        <w:rPr>
          <w:rFonts w:ascii="Times New Roman" w:hAnsi="Times New Roman" w:cs="Times New Roman"/>
          <w:lang w:val="en-US"/>
        </w:rPr>
        <w:fldChar w:fldCharType="end"/>
      </w:r>
      <w:r w:rsidRPr="005E299A">
        <w:rPr>
          <w:rFonts w:ascii="Times New Roman" w:hAnsi="Times New Roman" w:cs="Times New Roman"/>
          <w:lang w:val="en-US"/>
        </w:rPr>
        <w:t xml:space="preserve">, drawing in particular on L. Wacquant, </w:t>
      </w:r>
      <w:r w:rsidRPr="005E299A">
        <w:rPr>
          <w:rFonts w:ascii="Times New Roman" w:hAnsi="Times New Roman" w:cs="Times New Roman"/>
          <w:i/>
          <w:iCs/>
          <w:lang w:val="en-US"/>
        </w:rPr>
        <w:t>Urban Outcasts</w:t>
      </w:r>
      <w:r w:rsidRPr="005E299A">
        <w:rPr>
          <w:rFonts w:ascii="Times New Roman" w:hAnsi="Times New Roman" w:cs="Times New Roman"/>
          <w:lang w:val="en-US"/>
        </w:rPr>
        <w:t xml:space="preserve">: </w:t>
      </w:r>
      <w:r w:rsidRPr="005E299A">
        <w:rPr>
          <w:rFonts w:ascii="Times New Roman" w:hAnsi="Times New Roman" w:cs="Times New Roman"/>
          <w:i/>
          <w:iCs/>
          <w:lang w:val="en-US"/>
        </w:rPr>
        <w:t xml:space="preserve">A Comparative Sociology of Advanced Marginality </w:t>
      </w:r>
      <w:r w:rsidRPr="005E299A">
        <w:rPr>
          <w:rFonts w:ascii="Times New Roman" w:hAnsi="Times New Roman" w:cs="Times New Roman"/>
          <w:lang w:val="en-US"/>
        </w:rPr>
        <w:t>(Cambridge: Polity, 2008).</w:t>
      </w:r>
    </w:p>
  </w:footnote>
  <w:footnote w:id="182">
    <w:p w14:paraId="31F38261" w14:textId="5AE2C2D9"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Gregory, n.</w:t>
      </w:r>
      <w:r w:rsidR="000854ED">
        <w:rPr>
          <w:rFonts w:ascii="Times New Roman" w:hAnsi="Times New Roman" w:cs="Times New Roman"/>
        </w:rPr>
        <w:t xml:space="preserve"> </w:t>
      </w:r>
      <w:r w:rsidR="000854ED">
        <w:rPr>
          <w:rFonts w:ascii="Times New Roman" w:hAnsi="Times New Roman" w:cs="Times New Roman"/>
        </w:rPr>
        <w:fldChar w:fldCharType="begin"/>
      </w:r>
      <w:r w:rsidR="000854ED">
        <w:rPr>
          <w:rFonts w:ascii="Times New Roman" w:hAnsi="Times New Roman" w:cs="Times New Roman"/>
        </w:rPr>
        <w:instrText xml:space="preserve"> NOTEREF _Ref461891854 \h </w:instrText>
      </w:r>
      <w:r w:rsidR="000854ED">
        <w:rPr>
          <w:rFonts w:ascii="Times New Roman" w:hAnsi="Times New Roman" w:cs="Times New Roman"/>
        </w:rPr>
      </w:r>
      <w:r w:rsidR="000854ED">
        <w:rPr>
          <w:rFonts w:ascii="Times New Roman" w:hAnsi="Times New Roman" w:cs="Times New Roman"/>
        </w:rPr>
        <w:fldChar w:fldCharType="separate"/>
      </w:r>
      <w:r w:rsidR="000854ED">
        <w:rPr>
          <w:rFonts w:ascii="Times New Roman" w:hAnsi="Times New Roman" w:cs="Times New Roman"/>
        </w:rPr>
        <w:t>164</w:t>
      </w:r>
      <w:r w:rsidR="000854ED">
        <w:rPr>
          <w:rFonts w:ascii="Times New Roman" w:hAnsi="Times New Roman" w:cs="Times New Roman"/>
        </w:rPr>
        <w:fldChar w:fldCharType="end"/>
      </w:r>
      <w:r w:rsidRPr="005E299A">
        <w:rPr>
          <w:rFonts w:ascii="Times New Roman" w:hAnsi="Times New Roman" w:cs="Times New Roman"/>
        </w:rPr>
        <w:t>, 339.</w:t>
      </w:r>
    </w:p>
  </w:footnote>
  <w:footnote w:id="183">
    <w:p w14:paraId="368B2DD8" w14:textId="152D9DB6"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lang w:val="en-US"/>
        </w:rPr>
        <w:t xml:space="preserve">Fitzpatrick and Pawson, n. </w:t>
      </w:r>
      <w:r w:rsidRPr="005E299A">
        <w:rPr>
          <w:rFonts w:ascii="Times New Roman" w:hAnsi="Times New Roman" w:cs="Times New Roman"/>
          <w:lang w:val="en-US"/>
        </w:rPr>
        <w:fldChar w:fldCharType="begin"/>
      </w:r>
      <w:r w:rsidRPr="005E299A">
        <w:rPr>
          <w:rFonts w:ascii="Times New Roman" w:hAnsi="Times New Roman" w:cs="Times New Roman"/>
          <w:lang w:val="en-US"/>
        </w:rPr>
        <w:instrText xml:space="preserve"> NOTEREF _Ref461891891 \h  \* MERGEFORMAT </w:instrText>
      </w:r>
      <w:r w:rsidRPr="005E299A">
        <w:rPr>
          <w:rFonts w:ascii="Times New Roman" w:hAnsi="Times New Roman" w:cs="Times New Roman"/>
          <w:lang w:val="en-US"/>
        </w:rPr>
      </w:r>
      <w:r w:rsidRPr="005E299A">
        <w:rPr>
          <w:rFonts w:ascii="Times New Roman" w:hAnsi="Times New Roman" w:cs="Times New Roman"/>
          <w:lang w:val="en-US"/>
        </w:rPr>
        <w:fldChar w:fldCharType="separate"/>
      </w:r>
      <w:r w:rsidRPr="005E299A">
        <w:rPr>
          <w:rFonts w:ascii="Times New Roman" w:hAnsi="Times New Roman" w:cs="Times New Roman"/>
          <w:lang w:val="en-US"/>
        </w:rPr>
        <w:t>140</w:t>
      </w:r>
      <w:r w:rsidRPr="005E299A">
        <w:rPr>
          <w:rFonts w:ascii="Times New Roman" w:hAnsi="Times New Roman" w:cs="Times New Roman"/>
          <w:lang w:val="en-US"/>
        </w:rPr>
        <w:fldChar w:fldCharType="end"/>
      </w:r>
      <w:r w:rsidRPr="005E299A">
        <w:rPr>
          <w:rFonts w:ascii="Times New Roman" w:hAnsi="Times New Roman" w:cs="Times New Roman"/>
          <w:lang w:val="en-US"/>
        </w:rPr>
        <w:t>.</w:t>
      </w:r>
    </w:p>
  </w:footnote>
  <w:footnote w:id="184">
    <w:p w14:paraId="4C7AFD7C" w14:textId="7BF2E15D"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sz w:val="22"/>
          <w:szCs w:val="22"/>
        </w:rPr>
        <w:footnoteRef/>
      </w:r>
      <w:r w:rsidRPr="005E299A">
        <w:rPr>
          <w:rFonts w:ascii="Times New Roman" w:hAnsi="Times New Roman" w:cs="Times New Roman"/>
          <w:sz w:val="22"/>
          <w:szCs w:val="22"/>
        </w:rPr>
        <w:t xml:space="preserve"> David Cameron, ‘Fixing Our Broken Society’, Speech July 2008, Gallowgate, Glasgow at &lt;http://conservative-speeches.sayit.mysociety.org/speech/599630&gt; [last accessed 16 September 2016].</w:t>
      </w:r>
    </w:p>
  </w:footnote>
  <w:footnote w:id="185">
    <w:p w14:paraId="606DEF1E" w14:textId="663A6017"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lang w:val="en-US"/>
        </w:rPr>
        <w:t xml:space="preserve">Hancock and Mooney, n. </w:t>
      </w:r>
      <w:r w:rsidR="000854ED">
        <w:rPr>
          <w:rFonts w:ascii="Times New Roman" w:hAnsi="Times New Roman" w:cs="Times New Roman"/>
          <w:lang w:val="en-US"/>
        </w:rPr>
        <w:fldChar w:fldCharType="begin"/>
      </w:r>
      <w:r w:rsidR="000854ED">
        <w:rPr>
          <w:rFonts w:ascii="Times New Roman" w:hAnsi="Times New Roman" w:cs="Times New Roman"/>
          <w:lang w:val="en-US"/>
        </w:rPr>
        <w:instrText xml:space="preserve"> NOTEREF _Ref461891825 \h </w:instrText>
      </w:r>
      <w:r w:rsidR="000854ED">
        <w:rPr>
          <w:rFonts w:ascii="Times New Roman" w:hAnsi="Times New Roman" w:cs="Times New Roman"/>
          <w:lang w:val="en-US"/>
        </w:rPr>
      </w:r>
      <w:r w:rsidR="000854ED">
        <w:rPr>
          <w:rFonts w:ascii="Times New Roman" w:hAnsi="Times New Roman" w:cs="Times New Roman"/>
          <w:lang w:val="en-US"/>
        </w:rPr>
        <w:fldChar w:fldCharType="separate"/>
      </w:r>
      <w:r w:rsidR="000854ED">
        <w:rPr>
          <w:rFonts w:ascii="Times New Roman" w:hAnsi="Times New Roman" w:cs="Times New Roman"/>
          <w:lang w:val="en-US"/>
        </w:rPr>
        <w:t>179</w:t>
      </w:r>
      <w:r w:rsidR="000854ED">
        <w:rPr>
          <w:rFonts w:ascii="Times New Roman" w:hAnsi="Times New Roman" w:cs="Times New Roman"/>
          <w:lang w:val="en-US"/>
        </w:rPr>
        <w:fldChar w:fldCharType="end"/>
      </w:r>
      <w:r w:rsidR="000854ED">
        <w:rPr>
          <w:rFonts w:ascii="Times New Roman" w:hAnsi="Times New Roman" w:cs="Times New Roman"/>
          <w:lang w:val="en-US"/>
        </w:rPr>
        <w:t>.</w:t>
      </w:r>
    </w:p>
  </w:footnote>
  <w:footnote w:id="186">
    <w:p w14:paraId="31A8A8E0" w14:textId="1B1B57BE" w:rsidR="006F07AC" w:rsidRPr="005E299A" w:rsidRDefault="006F07AC" w:rsidP="00A216BA">
      <w:pPr>
        <w:pStyle w:val="NoSpacing"/>
        <w:spacing w:line="360" w:lineRule="auto"/>
        <w:jc w:val="both"/>
        <w:rPr>
          <w:rFonts w:ascii="Times New Roman" w:hAnsi="Times New Roman" w:cs="Times New Roman"/>
        </w:rPr>
      </w:pPr>
      <w:r w:rsidRPr="005E299A">
        <w:rPr>
          <w:rStyle w:val="FootnoteReference"/>
          <w:rFonts w:ascii="Times New Roman" w:hAnsi="Times New Roman" w:cs="Times New Roman"/>
        </w:rPr>
        <w:footnoteRef/>
      </w:r>
      <w:r w:rsidRPr="005E299A">
        <w:rPr>
          <w:rFonts w:ascii="Times New Roman" w:hAnsi="Times New Roman" w:cs="Times New Roman"/>
        </w:rPr>
        <w:t xml:space="preserve"> L. </w:t>
      </w:r>
      <w:r w:rsidRPr="005E299A">
        <w:rPr>
          <w:rFonts w:ascii="Times New Roman" w:hAnsi="Times New Roman" w:cs="Times New Roman"/>
          <w:color w:val="000000" w:themeColor="text1"/>
        </w:rPr>
        <w:t xml:space="preserve">Wacquant, </w:t>
      </w:r>
      <w:r w:rsidRPr="005E299A">
        <w:rPr>
          <w:rFonts w:ascii="Times New Roman" w:hAnsi="Times New Roman" w:cs="Times New Roman"/>
          <w:i/>
          <w:lang w:val="en-US"/>
        </w:rPr>
        <w:t>Urban Outcasts: A Comparative Sociology of Advanced Marginality</w:t>
      </w:r>
      <w:r w:rsidRPr="005E299A">
        <w:rPr>
          <w:rFonts w:ascii="Times New Roman" w:hAnsi="Times New Roman" w:cs="Times New Roman"/>
          <w:color w:val="000000" w:themeColor="text1"/>
        </w:rPr>
        <w:t xml:space="preserve"> (Cambridge: </w:t>
      </w:r>
      <w:r w:rsidRPr="005E299A">
        <w:rPr>
          <w:rFonts w:ascii="Times New Roman" w:hAnsi="Times New Roman" w:cs="Times New Roman"/>
          <w:color w:val="262626"/>
          <w:lang w:val="en-US"/>
        </w:rPr>
        <w:t>Polity, 2007).</w:t>
      </w:r>
    </w:p>
  </w:footnote>
  <w:footnote w:id="187">
    <w:p w14:paraId="138D08F3" w14:textId="1AFB2E58" w:rsidR="006F07AC" w:rsidRPr="005E299A" w:rsidRDefault="006F07AC" w:rsidP="00A216BA">
      <w:pPr>
        <w:pStyle w:val="NoSpacing"/>
        <w:spacing w:line="360" w:lineRule="auto"/>
        <w:jc w:val="both"/>
        <w:rPr>
          <w:rFonts w:ascii="Times New Roman" w:hAnsi="Times New Roman" w:cs="Times New Roman"/>
          <w:lang w:val="en-US"/>
        </w:rPr>
      </w:pPr>
      <w:r w:rsidRPr="005E299A">
        <w:rPr>
          <w:rStyle w:val="FootnoteReference"/>
          <w:rFonts w:ascii="Times New Roman" w:hAnsi="Times New Roman" w:cs="Times New Roman"/>
        </w:rPr>
        <w:footnoteRef/>
      </w:r>
      <w:r w:rsidRPr="005E299A">
        <w:rPr>
          <w:rFonts w:ascii="Times New Roman" w:hAnsi="Times New Roman" w:cs="Times New Roman"/>
        </w:rPr>
        <w:t xml:space="preserve"> </w:t>
      </w:r>
      <w:r w:rsidRPr="005E299A">
        <w:rPr>
          <w:rFonts w:ascii="Times New Roman" w:hAnsi="Times New Roman" w:cs="Times New Roman"/>
          <w:color w:val="000000" w:themeColor="text1"/>
        </w:rPr>
        <w:t xml:space="preserve">O. </w:t>
      </w:r>
      <w:r w:rsidRPr="005E299A">
        <w:rPr>
          <w:rFonts w:ascii="Times New Roman" w:hAnsi="Times New Roman" w:cs="Times New Roman"/>
          <w:lang w:val="en-US"/>
        </w:rPr>
        <w:t xml:space="preserve">Jones, </w:t>
      </w:r>
      <w:r w:rsidRPr="005E299A">
        <w:rPr>
          <w:rFonts w:ascii="Times New Roman" w:hAnsi="Times New Roman" w:cs="Times New Roman"/>
          <w:i/>
          <w:lang w:val="en-US"/>
        </w:rPr>
        <w:t>Chavs: The Demonization of the Working Class</w:t>
      </w:r>
      <w:r w:rsidRPr="005E299A">
        <w:rPr>
          <w:rFonts w:ascii="Times New Roman" w:hAnsi="Times New Roman" w:cs="Times New Roman"/>
          <w:lang w:val="en-US"/>
        </w:rPr>
        <w:t xml:space="preserve"> (London: Verso, 2011).</w:t>
      </w:r>
      <w:r w:rsidRPr="005E299A">
        <w:rPr>
          <w:rFonts w:ascii="MS Mincho" w:eastAsia="MS Mincho" w:hAnsi="MS Mincho" w:cs="MS Mincho"/>
          <w:lang w:val="en-US"/>
        </w:rPr>
        <w:t> </w:t>
      </w:r>
    </w:p>
  </w:footnote>
  <w:footnote w:id="188">
    <w:p w14:paraId="1E887C37" w14:textId="37F435BA" w:rsidR="006F07AC" w:rsidRPr="005E299A" w:rsidRDefault="006F07AC" w:rsidP="00A216BA">
      <w:pPr>
        <w:pStyle w:val="NoSpacing"/>
        <w:spacing w:line="360" w:lineRule="auto"/>
        <w:jc w:val="both"/>
        <w:rPr>
          <w:rFonts w:ascii="Times New Roman" w:hAnsi="Times New Roman" w:cs="Times New Roman"/>
          <w:color w:val="000000" w:themeColor="text1"/>
          <w:lang w:val="en-US"/>
        </w:rPr>
      </w:pPr>
      <w:r w:rsidRPr="005E299A">
        <w:rPr>
          <w:rStyle w:val="FootnoteReference"/>
          <w:rFonts w:ascii="Times New Roman" w:hAnsi="Times New Roman" w:cs="Times New Roman"/>
          <w:color w:val="000000" w:themeColor="text1"/>
        </w:rPr>
        <w:footnoteRef/>
      </w:r>
      <w:r w:rsidRPr="005E299A">
        <w:rPr>
          <w:rFonts w:ascii="Times New Roman" w:hAnsi="Times New Roman" w:cs="Times New Roman"/>
          <w:color w:val="000000" w:themeColor="text1"/>
        </w:rPr>
        <w:t xml:space="preserve"> A. </w:t>
      </w:r>
      <w:r w:rsidRPr="005E299A">
        <w:rPr>
          <w:rFonts w:ascii="Times New Roman" w:hAnsi="Times New Roman" w:cs="Times New Roman"/>
          <w:color w:val="000000" w:themeColor="text1"/>
          <w:lang w:val="en-US"/>
        </w:rPr>
        <w:t xml:space="preserve">Hastings, ‘Stigma and social housing estates: Beyond pathological explanations,’ (2004) 29 </w:t>
      </w:r>
      <w:r w:rsidRPr="005E299A">
        <w:rPr>
          <w:rFonts w:ascii="Times New Roman" w:hAnsi="Times New Roman" w:cs="Times New Roman"/>
          <w:i/>
          <w:color w:val="000000" w:themeColor="text1"/>
          <w:lang w:val="en-US"/>
        </w:rPr>
        <w:t>Journal of Housing and the Built Environment</w:t>
      </w:r>
      <w:r w:rsidRPr="005E299A">
        <w:rPr>
          <w:rFonts w:ascii="Times New Roman" w:hAnsi="Times New Roman" w:cs="Times New Roman"/>
          <w:color w:val="000000" w:themeColor="text1"/>
          <w:lang w:val="en-US"/>
        </w:rPr>
        <w:t xml:space="preserve"> 233.</w:t>
      </w:r>
    </w:p>
  </w:footnote>
  <w:footnote w:id="189">
    <w:p w14:paraId="3BEA1E42" w14:textId="5B8B242E" w:rsidR="006F07AC" w:rsidRPr="005E299A" w:rsidRDefault="006F07AC" w:rsidP="00A216BA">
      <w:pPr>
        <w:pStyle w:val="FootnoteText"/>
        <w:spacing w:line="360" w:lineRule="auto"/>
        <w:jc w:val="both"/>
        <w:rPr>
          <w:rFonts w:ascii="Times New Roman" w:hAnsi="Times New Roman" w:cs="Times New Roman"/>
          <w:sz w:val="22"/>
          <w:szCs w:val="22"/>
        </w:rPr>
      </w:pPr>
      <w:r w:rsidRPr="005E299A">
        <w:rPr>
          <w:rStyle w:val="FootnoteReference"/>
          <w:rFonts w:ascii="Times New Roman" w:hAnsi="Times New Roman" w:cs="Times New Roman"/>
          <w:color w:val="000000" w:themeColor="text1"/>
          <w:sz w:val="22"/>
          <w:szCs w:val="22"/>
        </w:rPr>
        <w:footnoteRef/>
      </w:r>
      <w:r w:rsidRPr="005E299A">
        <w:rPr>
          <w:rFonts w:ascii="Times New Roman" w:hAnsi="Times New Roman" w:cs="Times New Roman"/>
          <w:color w:val="000000" w:themeColor="text1"/>
          <w:sz w:val="22"/>
          <w:szCs w:val="22"/>
        </w:rPr>
        <w:t xml:space="preserve"> Under the </w:t>
      </w:r>
      <w:r w:rsidRPr="005E299A">
        <w:rPr>
          <w:rFonts w:ascii="Times New Roman" w:hAnsi="Times New Roman" w:cs="Times New Roman"/>
          <w:sz w:val="22"/>
          <w:szCs w:val="22"/>
          <w:lang w:val="en-US"/>
        </w:rPr>
        <w:t>Act For The Regulation of Parish Vestries, 58 Geo. III c. LXIX</w:t>
      </w:r>
      <w:r w:rsidRPr="005E299A">
        <w:rPr>
          <w:rFonts w:ascii="Times New Roman" w:hAnsi="Times New Roman" w:cs="Times New Roman"/>
          <w:color w:val="000000" w:themeColor="text1"/>
          <w:sz w:val="22"/>
          <w:szCs w:val="22"/>
        </w:rPr>
        <w:t xml:space="preserve">. See generally A. Brundage, </w:t>
      </w:r>
      <w:r w:rsidRPr="005E299A">
        <w:rPr>
          <w:rFonts w:ascii="Times New Roman" w:hAnsi="Times New Roman" w:cs="Times New Roman"/>
          <w:i/>
          <w:color w:val="000000" w:themeColor="text1"/>
          <w:sz w:val="22"/>
          <w:szCs w:val="22"/>
        </w:rPr>
        <w:t>The English Poor Laws 1700-1930</w:t>
      </w:r>
      <w:r w:rsidRPr="005E299A">
        <w:rPr>
          <w:rFonts w:ascii="Times New Roman" w:hAnsi="Times New Roman" w:cs="Times New Roman"/>
          <w:color w:val="000000" w:themeColor="text1"/>
          <w:sz w:val="22"/>
          <w:szCs w:val="22"/>
        </w:rPr>
        <w:t xml:space="preserve"> (London: Palgrave Macmillan, 2001); P. </w:t>
      </w:r>
      <w:r w:rsidRPr="005E299A">
        <w:rPr>
          <w:rFonts w:ascii="Times New Roman" w:hAnsi="Times New Roman" w:cs="Times New Roman"/>
          <w:color w:val="000000" w:themeColor="text1"/>
          <w:sz w:val="22"/>
          <w:szCs w:val="22"/>
          <w:lang w:val="en-US"/>
        </w:rPr>
        <w:t xml:space="preserve">Slack, </w:t>
      </w:r>
      <w:r w:rsidRPr="005E299A">
        <w:rPr>
          <w:rFonts w:ascii="Times New Roman" w:hAnsi="Times New Roman" w:cs="Times New Roman"/>
          <w:i/>
          <w:iCs/>
          <w:color w:val="000000" w:themeColor="text1"/>
          <w:sz w:val="22"/>
          <w:szCs w:val="22"/>
          <w:lang w:val="en-US"/>
        </w:rPr>
        <w:t>The English Poor Law, 1531–1782</w:t>
      </w:r>
      <w:r w:rsidRPr="005E299A">
        <w:rPr>
          <w:rFonts w:ascii="Times New Roman" w:hAnsi="Times New Roman" w:cs="Times New Roman"/>
          <w:color w:val="000000" w:themeColor="text1"/>
          <w:sz w:val="22"/>
          <w:szCs w:val="22"/>
          <w:lang w:val="en-US"/>
        </w:rPr>
        <w:t xml:space="preserve"> (London: Macmillan,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0361C7"/>
    <w:multiLevelType w:val="hybridMultilevel"/>
    <w:tmpl w:val="BDF2637E"/>
    <w:lvl w:ilvl="0" w:tplc="E0C0A274">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80375"/>
    <w:multiLevelType w:val="hybridMultilevel"/>
    <w:tmpl w:val="C82A85CE"/>
    <w:lvl w:ilvl="0" w:tplc="F9C6D318">
      <w:start w:val="20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3520A9"/>
    <w:multiLevelType w:val="hybridMultilevel"/>
    <w:tmpl w:val="0BE476FE"/>
    <w:lvl w:ilvl="0" w:tplc="8F8EE84A">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F932221"/>
    <w:multiLevelType w:val="multilevel"/>
    <w:tmpl w:val="192E6E9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E757A"/>
    <w:multiLevelType w:val="hybridMultilevel"/>
    <w:tmpl w:val="15BE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658"/>
    <w:multiLevelType w:val="hybridMultilevel"/>
    <w:tmpl w:val="D62E4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C1F92"/>
    <w:multiLevelType w:val="multilevel"/>
    <w:tmpl w:val="A8E8597E"/>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2295A"/>
    <w:multiLevelType w:val="hybridMultilevel"/>
    <w:tmpl w:val="8A4E5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2F49"/>
    <w:multiLevelType w:val="multilevel"/>
    <w:tmpl w:val="9DD0C1F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55E82"/>
    <w:multiLevelType w:val="hybridMultilevel"/>
    <w:tmpl w:val="5A4EB3DE"/>
    <w:lvl w:ilvl="0" w:tplc="26D057D8">
      <w:start w:val="20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8"/>
  </w:num>
  <w:num w:numId="8">
    <w:abstractNumId w:val="11"/>
  </w:num>
  <w:num w:numId="9">
    <w:abstractNumId w:val="13"/>
  </w:num>
  <w:num w:numId="10">
    <w:abstractNumId w:val="9"/>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7A"/>
    <w:rsid w:val="00000100"/>
    <w:rsid w:val="0000419B"/>
    <w:rsid w:val="00006473"/>
    <w:rsid w:val="00010601"/>
    <w:rsid w:val="000111A0"/>
    <w:rsid w:val="000123D7"/>
    <w:rsid w:val="00012BBF"/>
    <w:rsid w:val="00013AB2"/>
    <w:rsid w:val="000143AD"/>
    <w:rsid w:val="00015E53"/>
    <w:rsid w:val="0001729A"/>
    <w:rsid w:val="00020073"/>
    <w:rsid w:val="00021208"/>
    <w:rsid w:val="00021ED4"/>
    <w:rsid w:val="000238C2"/>
    <w:rsid w:val="00023FF3"/>
    <w:rsid w:val="000241C2"/>
    <w:rsid w:val="00024845"/>
    <w:rsid w:val="0002564D"/>
    <w:rsid w:val="00030398"/>
    <w:rsid w:val="00031210"/>
    <w:rsid w:val="000313E5"/>
    <w:rsid w:val="000323A9"/>
    <w:rsid w:val="00033E5B"/>
    <w:rsid w:val="00035EF6"/>
    <w:rsid w:val="000360ED"/>
    <w:rsid w:val="000368E5"/>
    <w:rsid w:val="00040394"/>
    <w:rsid w:val="000415D1"/>
    <w:rsid w:val="00041A44"/>
    <w:rsid w:val="00041E8C"/>
    <w:rsid w:val="0004474E"/>
    <w:rsid w:val="00045C94"/>
    <w:rsid w:val="00045DF4"/>
    <w:rsid w:val="000469E0"/>
    <w:rsid w:val="0004732E"/>
    <w:rsid w:val="00052166"/>
    <w:rsid w:val="00052581"/>
    <w:rsid w:val="000539DC"/>
    <w:rsid w:val="00053BAF"/>
    <w:rsid w:val="00055E91"/>
    <w:rsid w:val="0005635B"/>
    <w:rsid w:val="0005635C"/>
    <w:rsid w:val="00056BE6"/>
    <w:rsid w:val="000572ED"/>
    <w:rsid w:val="000601F9"/>
    <w:rsid w:val="00061781"/>
    <w:rsid w:val="00061BC5"/>
    <w:rsid w:val="00061CD2"/>
    <w:rsid w:val="000626E2"/>
    <w:rsid w:val="00064DAE"/>
    <w:rsid w:val="00065C5F"/>
    <w:rsid w:val="000664D9"/>
    <w:rsid w:val="00066C90"/>
    <w:rsid w:val="00067957"/>
    <w:rsid w:val="00067D34"/>
    <w:rsid w:val="00067F27"/>
    <w:rsid w:val="0007014E"/>
    <w:rsid w:val="00071F9C"/>
    <w:rsid w:val="000727F1"/>
    <w:rsid w:val="00072FA9"/>
    <w:rsid w:val="000742D0"/>
    <w:rsid w:val="00074C65"/>
    <w:rsid w:val="00074D0A"/>
    <w:rsid w:val="00076059"/>
    <w:rsid w:val="00080D20"/>
    <w:rsid w:val="0008119E"/>
    <w:rsid w:val="00083066"/>
    <w:rsid w:val="000838B0"/>
    <w:rsid w:val="000839A1"/>
    <w:rsid w:val="00084119"/>
    <w:rsid w:val="000849E6"/>
    <w:rsid w:val="000854ED"/>
    <w:rsid w:val="0008679A"/>
    <w:rsid w:val="000870BC"/>
    <w:rsid w:val="00087E7B"/>
    <w:rsid w:val="00090539"/>
    <w:rsid w:val="00095AB8"/>
    <w:rsid w:val="00097580"/>
    <w:rsid w:val="000A2243"/>
    <w:rsid w:val="000A4086"/>
    <w:rsid w:val="000A484A"/>
    <w:rsid w:val="000A58EB"/>
    <w:rsid w:val="000A5DBB"/>
    <w:rsid w:val="000B10A6"/>
    <w:rsid w:val="000B23C5"/>
    <w:rsid w:val="000B2BC6"/>
    <w:rsid w:val="000B2D09"/>
    <w:rsid w:val="000B32E4"/>
    <w:rsid w:val="000B5540"/>
    <w:rsid w:val="000B5CCE"/>
    <w:rsid w:val="000B663B"/>
    <w:rsid w:val="000C06CD"/>
    <w:rsid w:val="000C0FA1"/>
    <w:rsid w:val="000C3A9D"/>
    <w:rsid w:val="000C3A9E"/>
    <w:rsid w:val="000C6444"/>
    <w:rsid w:val="000D041B"/>
    <w:rsid w:val="000D1CB6"/>
    <w:rsid w:val="000D207D"/>
    <w:rsid w:val="000D2482"/>
    <w:rsid w:val="000D24BE"/>
    <w:rsid w:val="000D2A81"/>
    <w:rsid w:val="000D41DB"/>
    <w:rsid w:val="000D636C"/>
    <w:rsid w:val="000D6BA0"/>
    <w:rsid w:val="000D6DCB"/>
    <w:rsid w:val="000D6FF1"/>
    <w:rsid w:val="000D704B"/>
    <w:rsid w:val="000E0769"/>
    <w:rsid w:val="000E07B1"/>
    <w:rsid w:val="000E17BF"/>
    <w:rsid w:val="000E1A7F"/>
    <w:rsid w:val="000E218B"/>
    <w:rsid w:val="000E5CB7"/>
    <w:rsid w:val="000E7BBF"/>
    <w:rsid w:val="000F1F5A"/>
    <w:rsid w:val="000F238F"/>
    <w:rsid w:val="000F3ACB"/>
    <w:rsid w:val="000F3D72"/>
    <w:rsid w:val="000F3E1A"/>
    <w:rsid w:val="000F3E8A"/>
    <w:rsid w:val="000F3FF2"/>
    <w:rsid w:val="000F42F6"/>
    <w:rsid w:val="000F77CC"/>
    <w:rsid w:val="00101CF2"/>
    <w:rsid w:val="00104907"/>
    <w:rsid w:val="00105CD1"/>
    <w:rsid w:val="001061A0"/>
    <w:rsid w:val="0010767B"/>
    <w:rsid w:val="00107F60"/>
    <w:rsid w:val="00110A10"/>
    <w:rsid w:val="001114A1"/>
    <w:rsid w:val="00112D9F"/>
    <w:rsid w:val="00113492"/>
    <w:rsid w:val="00114D76"/>
    <w:rsid w:val="0011519D"/>
    <w:rsid w:val="0011596D"/>
    <w:rsid w:val="001236B7"/>
    <w:rsid w:val="00125567"/>
    <w:rsid w:val="00127F2D"/>
    <w:rsid w:val="00130386"/>
    <w:rsid w:val="00130F0F"/>
    <w:rsid w:val="001313EF"/>
    <w:rsid w:val="00131881"/>
    <w:rsid w:val="00131F52"/>
    <w:rsid w:val="00132A40"/>
    <w:rsid w:val="00133A98"/>
    <w:rsid w:val="0013565C"/>
    <w:rsid w:val="00136511"/>
    <w:rsid w:val="00136E17"/>
    <w:rsid w:val="00137304"/>
    <w:rsid w:val="0013739A"/>
    <w:rsid w:val="00137627"/>
    <w:rsid w:val="00137BE5"/>
    <w:rsid w:val="0014014D"/>
    <w:rsid w:val="0014045D"/>
    <w:rsid w:val="0014248F"/>
    <w:rsid w:val="00142FC5"/>
    <w:rsid w:val="00143772"/>
    <w:rsid w:val="001442C5"/>
    <w:rsid w:val="00144424"/>
    <w:rsid w:val="001447ED"/>
    <w:rsid w:val="001447F6"/>
    <w:rsid w:val="00147DFD"/>
    <w:rsid w:val="001533D8"/>
    <w:rsid w:val="00154714"/>
    <w:rsid w:val="00154F05"/>
    <w:rsid w:val="00156152"/>
    <w:rsid w:val="001600A6"/>
    <w:rsid w:val="00160368"/>
    <w:rsid w:val="00162C10"/>
    <w:rsid w:val="00163062"/>
    <w:rsid w:val="001634A7"/>
    <w:rsid w:val="00163847"/>
    <w:rsid w:val="00163C21"/>
    <w:rsid w:val="001649A0"/>
    <w:rsid w:val="00171A26"/>
    <w:rsid w:val="00172B16"/>
    <w:rsid w:val="001749AC"/>
    <w:rsid w:val="00175335"/>
    <w:rsid w:val="00176790"/>
    <w:rsid w:val="001774E5"/>
    <w:rsid w:val="00180A6E"/>
    <w:rsid w:val="0018108C"/>
    <w:rsid w:val="00181B5A"/>
    <w:rsid w:val="00181BA3"/>
    <w:rsid w:val="00181E81"/>
    <w:rsid w:val="00182203"/>
    <w:rsid w:val="00183A7A"/>
    <w:rsid w:val="00184041"/>
    <w:rsid w:val="00184C08"/>
    <w:rsid w:val="00184FA5"/>
    <w:rsid w:val="00185448"/>
    <w:rsid w:val="001854DC"/>
    <w:rsid w:val="00185B6C"/>
    <w:rsid w:val="00185BCD"/>
    <w:rsid w:val="00187B31"/>
    <w:rsid w:val="00190581"/>
    <w:rsid w:val="00190AFD"/>
    <w:rsid w:val="00191108"/>
    <w:rsid w:val="00191709"/>
    <w:rsid w:val="0019238F"/>
    <w:rsid w:val="0019295E"/>
    <w:rsid w:val="0019393F"/>
    <w:rsid w:val="001948F6"/>
    <w:rsid w:val="001955AF"/>
    <w:rsid w:val="00195EDB"/>
    <w:rsid w:val="001A1768"/>
    <w:rsid w:val="001A494A"/>
    <w:rsid w:val="001A4BA4"/>
    <w:rsid w:val="001A78A8"/>
    <w:rsid w:val="001A78B0"/>
    <w:rsid w:val="001B4FAB"/>
    <w:rsid w:val="001B78F8"/>
    <w:rsid w:val="001B7D1B"/>
    <w:rsid w:val="001C052B"/>
    <w:rsid w:val="001C07F1"/>
    <w:rsid w:val="001C21AF"/>
    <w:rsid w:val="001C3742"/>
    <w:rsid w:val="001C3ABF"/>
    <w:rsid w:val="001C41FC"/>
    <w:rsid w:val="001C496E"/>
    <w:rsid w:val="001C4DC2"/>
    <w:rsid w:val="001C6588"/>
    <w:rsid w:val="001C7C8E"/>
    <w:rsid w:val="001D0709"/>
    <w:rsid w:val="001D0FA9"/>
    <w:rsid w:val="001D1047"/>
    <w:rsid w:val="001D10DF"/>
    <w:rsid w:val="001D3221"/>
    <w:rsid w:val="001D3EB5"/>
    <w:rsid w:val="001D4276"/>
    <w:rsid w:val="001D4B55"/>
    <w:rsid w:val="001D5B47"/>
    <w:rsid w:val="001E1C98"/>
    <w:rsid w:val="001E2321"/>
    <w:rsid w:val="001E2AAA"/>
    <w:rsid w:val="001E3923"/>
    <w:rsid w:val="001F04C9"/>
    <w:rsid w:val="001F0E1B"/>
    <w:rsid w:val="001F2D44"/>
    <w:rsid w:val="001F4346"/>
    <w:rsid w:val="001F6208"/>
    <w:rsid w:val="002006F0"/>
    <w:rsid w:val="00200F2A"/>
    <w:rsid w:val="002019F2"/>
    <w:rsid w:val="002026FF"/>
    <w:rsid w:val="00202DAF"/>
    <w:rsid w:val="0020365F"/>
    <w:rsid w:val="00203680"/>
    <w:rsid w:val="002038A9"/>
    <w:rsid w:val="00204813"/>
    <w:rsid w:val="0020569B"/>
    <w:rsid w:val="00207ECC"/>
    <w:rsid w:val="002106B7"/>
    <w:rsid w:val="00214673"/>
    <w:rsid w:val="002146BE"/>
    <w:rsid w:val="00217EC3"/>
    <w:rsid w:val="0022070B"/>
    <w:rsid w:val="0022114B"/>
    <w:rsid w:val="002221E7"/>
    <w:rsid w:val="00222DA6"/>
    <w:rsid w:val="002239BF"/>
    <w:rsid w:val="002258A3"/>
    <w:rsid w:val="00225F64"/>
    <w:rsid w:val="00226C9B"/>
    <w:rsid w:val="00226F56"/>
    <w:rsid w:val="00230AE4"/>
    <w:rsid w:val="00230CED"/>
    <w:rsid w:val="002339BF"/>
    <w:rsid w:val="00234063"/>
    <w:rsid w:val="00234856"/>
    <w:rsid w:val="00234D23"/>
    <w:rsid w:val="002358EE"/>
    <w:rsid w:val="00235E7D"/>
    <w:rsid w:val="00236182"/>
    <w:rsid w:val="00237EDB"/>
    <w:rsid w:val="00241BEB"/>
    <w:rsid w:val="00242030"/>
    <w:rsid w:val="002430BB"/>
    <w:rsid w:val="002433BB"/>
    <w:rsid w:val="00245D54"/>
    <w:rsid w:val="00245E1E"/>
    <w:rsid w:val="00246F28"/>
    <w:rsid w:val="00247121"/>
    <w:rsid w:val="00251614"/>
    <w:rsid w:val="0025196F"/>
    <w:rsid w:val="00255073"/>
    <w:rsid w:val="00255777"/>
    <w:rsid w:val="00255BF9"/>
    <w:rsid w:val="0025610A"/>
    <w:rsid w:val="00256C69"/>
    <w:rsid w:val="002618ED"/>
    <w:rsid w:val="00261D3D"/>
    <w:rsid w:val="00261EFB"/>
    <w:rsid w:val="00263512"/>
    <w:rsid w:val="00264D3D"/>
    <w:rsid w:val="002669D0"/>
    <w:rsid w:val="002678B8"/>
    <w:rsid w:val="00267AC3"/>
    <w:rsid w:val="00267BC9"/>
    <w:rsid w:val="00270DE8"/>
    <w:rsid w:val="00272776"/>
    <w:rsid w:val="00274581"/>
    <w:rsid w:val="00274971"/>
    <w:rsid w:val="00274BB2"/>
    <w:rsid w:val="002765FF"/>
    <w:rsid w:val="002777DB"/>
    <w:rsid w:val="00277A78"/>
    <w:rsid w:val="002808D2"/>
    <w:rsid w:val="00281BC2"/>
    <w:rsid w:val="00284E3D"/>
    <w:rsid w:val="002858BF"/>
    <w:rsid w:val="00285C36"/>
    <w:rsid w:val="0028648E"/>
    <w:rsid w:val="00295D60"/>
    <w:rsid w:val="00295E50"/>
    <w:rsid w:val="00297060"/>
    <w:rsid w:val="00297469"/>
    <w:rsid w:val="002A0CE7"/>
    <w:rsid w:val="002A20DD"/>
    <w:rsid w:val="002A5432"/>
    <w:rsid w:val="002A5564"/>
    <w:rsid w:val="002A5575"/>
    <w:rsid w:val="002A58CC"/>
    <w:rsid w:val="002A5C85"/>
    <w:rsid w:val="002A5EA6"/>
    <w:rsid w:val="002A688D"/>
    <w:rsid w:val="002A7381"/>
    <w:rsid w:val="002A7A57"/>
    <w:rsid w:val="002A7FC9"/>
    <w:rsid w:val="002B02AE"/>
    <w:rsid w:val="002B1FE1"/>
    <w:rsid w:val="002B3FAA"/>
    <w:rsid w:val="002B599B"/>
    <w:rsid w:val="002B64C8"/>
    <w:rsid w:val="002B6899"/>
    <w:rsid w:val="002C160A"/>
    <w:rsid w:val="002C281E"/>
    <w:rsid w:val="002C3737"/>
    <w:rsid w:val="002C3C38"/>
    <w:rsid w:val="002C5587"/>
    <w:rsid w:val="002C73C8"/>
    <w:rsid w:val="002D1184"/>
    <w:rsid w:val="002D3643"/>
    <w:rsid w:val="002D4606"/>
    <w:rsid w:val="002D66C9"/>
    <w:rsid w:val="002D6971"/>
    <w:rsid w:val="002D74F1"/>
    <w:rsid w:val="002D76F4"/>
    <w:rsid w:val="002E0382"/>
    <w:rsid w:val="002E1CFB"/>
    <w:rsid w:val="002E1EFE"/>
    <w:rsid w:val="002E3030"/>
    <w:rsid w:val="002E3701"/>
    <w:rsid w:val="002E375B"/>
    <w:rsid w:val="002E3ED9"/>
    <w:rsid w:val="002E413B"/>
    <w:rsid w:val="002E4E59"/>
    <w:rsid w:val="002E5439"/>
    <w:rsid w:val="002E554C"/>
    <w:rsid w:val="002E60F6"/>
    <w:rsid w:val="002E654F"/>
    <w:rsid w:val="002E788F"/>
    <w:rsid w:val="002E7E43"/>
    <w:rsid w:val="002F0118"/>
    <w:rsid w:val="002F1DBD"/>
    <w:rsid w:val="002F299D"/>
    <w:rsid w:val="002F4688"/>
    <w:rsid w:val="002F4B67"/>
    <w:rsid w:val="002F4D88"/>
    <w:rsid w:val="002F5455"/>
    <w:rsid w:val="002F5493"/>
    <w:rsid w:val="002F54C0"/>
    <w:rsid w:val="002F60E4"/>
    <w:rsid w:val="00300D6B"/>
    <w:rsid w:val="0030504F"/>
    <w:rsid w:val="00305625"/>
    <w:rsid w:val="003133AE"/>
    <w:rsid w:val="00314778"/>
    <w:rsid w:val="00314B30"/>
    <w:rsid w:val="00314DC7"/>
    <w:rsid w:val="00315C45"/>
    <w:rsid w:val="003163F7"/>
    <w:rsid w:val="00317600"/>
    <w:rsid w:val="00320519"/>
    <w:rsid w:val="0032172A"/>
    <w:rsid w:val="00323DB6"/>
    <w:rsid w:val="003245FF"/>
    <w:rsid w:val="003264EB"/>
    <w:rsid w:val="003272F7"/>
    <w:rsid w:val="003305FD"/>
    <w:rsid w:val="00331341"/>
    <w:rsid w:val="00334903"/>
    <w:rsid w:val="00334A06"/>
    <w:rsid w:val="00335661"/>
    <w:rsid w:val="00335728"/>
    <w:rsid w:val="00335949"/>
    <w:rsid w:val="00335A3E"/>
    <w:rsid w:val="00336A4E"/>
    <w:rsid w:val="00336BD7"/>
    <w:rsid w:val="0034124B"/>
    <w:rsid w:val="0034258B"/>
    <w:rsid w:val="00342C22"/>
    <w:rsid w:val="00343C7E"/>
    <w:rsid w:val="00344715"/>
    <w:rsid w:val="00344A7A"/>
    <w:rsid w:val="00344EB2"/>
    <w:rsid w:val="00344EDA"/>
    <w:rsid w:val="00346E41"/>
    <w:rsid w:val="00346F2C"/>
    <w:rsid w:val="00351F2A"/>
    <w:rsid w:val="00352AD4"/>
    <w:rsid w:val="00353360"/>
    <w:rsid w:val="00353FE3"/>
    <w:rsid w:val="0035682C"/>
    <w:rsid w:val="003570EC"/>
    <w:rsid w:val="00357E3A"/>
    <w:rsid w:val="0036107C"/>
    <w:rsid w:val="00361251"/>
    <w:rsid w:val="003629E5"/>
    <w:rsid w:val="00362C65"/>
    <w:rsid w:val="0036331E"/>
    <w:rsid w:val="003643E1"/>
    <w:rsid w:val="00364F3B"/>
    <w:rsid w:val="0036503B"/>
    <w:rsid w:val="0036577D"/>
    <w:rsid w:val="0036659B"/>
    <w:rsid w:val="00366835"/>
    <w:rsid w:val="00366FAB"/>
    <w:rsid w:val="0036786B"/>
    <w:rsid w:val="00367B5B"/>
    <w:rsid w:val="0037041D"/>
    <w:rsid w:val="003714A8"/>
    <w:rsid w:val="00372D22"/>
    <w:rsid w:val="003746C8"/>
    <w:rsid w:val="0037656A"/>
    <w:rsid w:val="0037744B"/>
    <w:rsid w:val="003815F1"/>
    <w:rsid w:val="003830B6"/>
    <w:rsid w:val="00383735"/>
    <w:rsid w:val="00384A28"/>
    <w:rsid w:val="003855C5"/>
    <w:rsid w:val="00385E94"/>
    <w:rsid w:val="00386849"/>
    <w:rsid w:val="0039071D"/>
    <w:rsid w:val="00390C7E"/>
    <w:rsid w:val="00391333"/>
    <w:rsid w:val="0039350B"/>
    <w:rsid w:val="00396839"/>
    <w:rsid w:val="003A01FE"/>
    <w:rsid w:val="003A0CC1"/>
    <w:rsid w:val="003A1C43"/>
    <w:rsid w:val="003A31CF"/>
    <w:rsid w:val="003A385F"/>
    <w:rsid w:val="003A4C98"/>
    <w:rsid w:val="003A5A5A"/>
    <w:rsid w:val="003A651A"/>
    <w:rsid w:val="003A7692"/>
    <w:rsid w:val="003A795E"/>
    <w:rsid w:val="003A7B7F"/>
    <w:rsid w:val="003B1EDB"/>
    <w:rsid w:val="003B2414"/>
    <w:rsid w:val="003B412D"/>
    <w:rsid w:val="003B5E74"/>
    <w:rsid w:val="003B71A3"/>
    <w:rsid w:val="003C1264"/>
    <w:rsid w:val="003C2475"/>
    <w:rsid w:val="003C2B5A"/>
    <w:rsid w:val="003C321A"/>
    <w:rsid w:val="003C3F3D"/>
    <w:rsid w:val="003C44AC"/>
    <w:rsid w:val="003C4D42"/>
    <w:rsid w:val="003C55A2"/>
    <w:rsid w:val="003C60E0"/>
    <w:rsid w:val="003C7B57"/>
    <w:rsid w:val="003C7BBD"/>
    <w:rsid w:val="003D108C"/>
    <w:rsid w:val="003D2C7D"/>
    <w:rsid w:val="003D31E6"/>
    <w:rsid w:val="003D48AD"/>
    <w:rsid w:val="003D6965"/>
    <w:rsid w:val="003E067C"/>
    <w:rsid w:val="003E15B5"/>
    <w:rsid w:val="003E1890"/>
    <w:rsid w:val="003E1EFE"/>
    <w:rsid w:val="003E3A6D"/>
    <w:rsid w:val="003E414C"/>
    <w:rsid w:val="003E4500"/>
    <w:rsid w:val="003E537E"/>
    <w:rsid w:val="003E560C"/>
    <w:rsid w:val="003F0045"/>
    <w:rsid w:val="003F0EE9"/>
    <w:rsid w:val="003F1195"/>
    <w:rsid w:val="003F158E"/>
    <w:rsid w:val="003F1B56"/>
    <w:rsid w:val="003F1BB3"/>
    <w:rsid w:val="003F2E3F"/>
    <w:rsid w:val="003F3CEC"/>
    <w:rsid w:val="003F52F7"/>
    <w:rsid w:val="003F5C8D"/>
    <w:rsid w:val="003F5D5D"/>
    <w:rsid w:val="003F5E65"/>
    <w:rsid w:val="003F6474"/>
    <w:rsid w:val="003F751C"/>
    <w:rsid w:val="00400FEE"/>
    <w:rsid w:val="004019B7"/>
    <w:rsid w:val="00404A6F"/>
    <w:rsid w:val="00404E0C"/>
    <w:rsid w:val="0040514C"/>
    <w:rsid w:val="00405A83"/>
    <w:rsid w:val="004063E6"/>
    <w:rsid w:val="00406FA8"/>
    <w:rsid w:val="004108DA"/>
    <w:rsid w:val="00414C7A"/>
    <w:rsid w:val="0041585E"/>
    <w:rsid w:val="0041656C"/>
    <w:rsid w:val="00417677"/>
    <w:rsid w:val="00424B56"/>
    <w:rsid w:val="00425C12"/>
    <w:rsid w:val="00426C11"/>
    <w:rsid w:val="004278AF"/>
    <w:rsid w:val="00430A7B"/>
    <w:rsid w:val="00431423"/>
    <w:rsid w:val="00432C18"/>
    <w:rsid w:val="00432FBB"/>
    <w:rsid w:val="004332EF"/>
    <w:rsid w:val="004332FE"/>
    <w:rsid w:val="00433F78"/>
    <w:rsid w:val="0043433F"/>
    <w:rsid w:val="0043485D"/>
    <w:rsid w:val="00434FF6"/>
    <w:rsid w:val="004355D4"/>
    <w:rsid w:val="0043693A"/>
    <w:rsid w:val="00436E03"/>
    <w:rsid w:val="00442C9B"/>
    <w:rsid w:val="00443D32"/>
    <w:rsid w:val="00444351"/>
    <w:rsid w:val="004449B2"/>
    <w:rsid w:val="0044671D"/>
    <w:rsid w:val="00457B02"/>
    <w:rsid w:val="004615CF"/>
    <w:rsid w:val="00461A48"/>
    <w:rsid w:val="00461FFB"/>
    <w:rsid w:val="004620AB"/>
    <w:rsid w:val="004621D7"/>
    <w:rsid w:val="004638FD"/>
    <w:rsid w:val="00463AD9"/>
    <w:rsid w:val="004658BB"/>
    <w:rsid w:val="00466879"/>
    <w:rsid w:val="004701D9"/>
    <w:rsid w:val="00471CFF"/>
    <w:rsid w:val="004762B5"/>
    <w:rsid w:val="004764C3"/>
    <w:rsid w:val="004771F2"/>
    <w:rsid w:val="00477A0E"/>
    <w:rsid w:val="00480BB1"/>
    <w:rsid w:val="004831C2"/>
    <w:rsid w:val="00483364"/>
    <w:rsid w:val="00483E18"/>
    <w:rsid w:val="00485E5B"/>
    <w:rsid w:val="00486361"/>
    <w:rsid w:val="004868A4"/>
    <w:rsid w:val="00490512"/>
    <w:rsid w:val="00491357"/>
    <w:rsid w:val="00494ED3"/>
    <w:rsid w:val="00495848"/>
    <w:rsid w:val="00496AC0"/>
    <w:rsid w:val="004A0E62"/>
    <w:rsid w:val="004A1EC1"/>
    <w:rsid w:val="004A287E"/>
    <w:rsid w:val="004A2C71"/>
    <w:rsid w:val="004A50E2"/>
    <w:rsid w:val="004A5407"/>
    <w:rsid w:val="004A7FD5"/>
    <w:rsid w:val="004B0B2B"/>
    <w:rsid w:val="004B201B"/>
    <w:rsid w:val="004B2B7C"/>
    <w:rsid w:val="004B5EBB"/>
    <w:rsid w:val="004B606D"/>
    <w:rsid w:val="004B71DD"/>
    <w:rsid w:val="004C1499"/>
    <w:rsid w:val="004C36F8"/>
    <w:rsid w:val="004C6D5D"/>
    <w:rsid w:val="004D135A"/>
    <w:rsid w:val="004D1674"/>
    <w:rsid w:val="004D28BD"/>
    <w:rsid w:val="004D3E09"/>
    <w:rsid w:val="004D469D"/>
    <w:rsid w:val="004D4E3B"/>
    <w:rsid w:val="004D6541"/>
    <w:rsid w:val="004D73E6"/>
    <w:rsid w:val="004D7E5C"/>
    <w:rsid w:val="004E02B5"/>
    <w:rsid w:val="004E050F"/>
    <w:rsid w:val="004E137E"/>
    <w:rsid w:val="004E1753"/>
    <w:rsid w:val="004E1F33"/>
    <w:rsid w:val="004E27A3"/>
    <w:rsid w:val="004E2C08"/>
    <w:rsid w:val="004E5386"/>
    <w:rsid w:val="004E53DC"/>
    <w:rsid w:val="004E5591"/>
    <w:rsid w:val="004E627A"/>
    <w:rsid w:val="004E7715"/>
    <w:rsid w:val="004E7A29"/>
    <w:rsid w:val="004F01C9"/>
    <w:rsid w:val="004F1AB2"/>
    <w:rsid w:val="004F2A84"/>
    <w:rsid w:val="004F2CB2"/>
    <w:rsid w:val="004F3735"/>
    <w:rsid w:val="004F6F51"/>
    <w:rsid w:val="005022EF"/>
    <w:rsid w:val="00503833"/>
    <w:rsid w:val="005046A2"/>
    <w:rsid w:val="00505CD0"/>
    <w:rsid w:val="005114BF"/>
    <w:rsid w:val="00513744"/>
    <w:rsid w:val="00514E90"/>
    <w:rsid w:val="0051565E"/>
    <w:rsid w:val="005156C9"/>
    <w:rsid w:val="005157D2"/>
    <w:rsid w:val="005170DD"/>
    <w:rsid w:val="00517B4A"/>
    <w:rsid w:val="005211D2"/>
    <w:rsid w:val="00521D03"/>
    <w:rsid w:val="0052247D"/>
    <w:rsid w:val="00523B0D"/>
    <w:rsid w:val="00526014"/>
    <w:rsid w:val="005271AE"/>
    <w:rsid w:val="00531266"/>
    <w:rsid w:val="0053256D"/>
    <w:rsid w:val="00532655"/>
    <w:rsid w:val="00533313"/>
    <w:rsid w:val="00536357"/>
    <w:rsid w:val="005368E7"/>
    <w:rsid w:val="00540341"/>
    <w:rsid w:val="005408EF"/>
    <w:rsid w:val="00542AE2"/>
    <w:rsid w:val="00543FF3"/>
    <w:rsid w:val="00544607"/>
    <w:rsid w:val="00545A82"/>
    <w:rsid w:val="0054654A"/>
    <w:rsid w:val="0054715E"/>
    <w:rsid w:val="005474C2"/>
    <w:rsid w:val="005502CA"/>
    <w:rsid w:val="00550F9D"/>
    <w:rsid w:val="005516D9"/>
    <w:rsid w:val="0055216A"/>
    <w:rsid w:val="005527C0"/>
    <w:rsid w:val="00553633"/>
    <w:rsid w:val="0055488D"/>
    <w:rsid w:val="005555F6"/>
    <w:rsid w:val="00556430"/>
    <w:rsid w:val="00556D21"/>
    <w:rsid w:val="00560EAE"/>
    <w:rsid w:val="00562459"/>
    <w:rsid w:val="00562B5F"/>
    <w:rsid w:val="005640D6"/>
    <w:rsid w:val="0056424A"/>
    <w:rsid w:val="00564273"/>
    <w:rsid w:val="00564D16"/>
    <w:rsid w:val="00565B09"/>
    <w:rsid w:val="0056692D"/>
    <w:rsid w:val="00567B92"/>
    <w:rsid w:val="00572CF7"/>
    <w:rsid w:val="005742B5"/>
    <w:rsid w:val="00575F0D"/>
    <w:rsid w:val="00576214"/>
    <w:rsid w:val="00580074"/>
    <w:rsid w:val="00580766"/>
    <w:rsid w:val="00580BAA"/>
    <w:rsid w:val="005838BB"/>
    <w:rsid w:val="005841C2"/>
    <w:rsid w:val="0058660A"/>
    <w:rsid w:val="005901AD"/>
    <w:rsid w:val="00591314"/>
    <w:rsid w:val="005914B3"/>
    <w:rsid w:val="005914C0"/>
    <w:rsid w:val="00591DF8"/>
    <w:rsid w:val="005964A2"/>
    <w:rsid w:val="00596A13"/>
    <w:rsid w:val="00597902"/>
    <w:rsid w:val="00597B73"/>
    <w:rsid w:val="005A0B4C"/>
    <w:rsid w:val="005A19E0"/>
    <w:rsid w:val="005A292B"/>
    <w:rsid w:val="005A4214"/>
    <w:rsid w:val="005A5256"/>
    <w:rsid w:val="005A5E63"/>
    <w:rsid w:val="005B0D5D"/>
    <w:rsid w:val="005B1F2A"/>
    <w:rsid w:val="005B2E66"/>
    <w:rsid w:val="005B3318"/>
    <w:rsid w:val="005B5F8F"/>
    <w:rsid w:val="005C0DE6"/>
    <w:rsid w:val="005C0EE6"/>
    <w:rsid w:val="005C1BE4"/>
    <w:rsid w:val="005C4375"/>
    <w:rsid w:val="005C512A"/>
    <w:rsid w:val="005C532C"/>
    <w:rsid w:val="005C7651"/>
    <w:rsid w:val="005C76C3"/>
    <w:rsid w:val="005D0A06"/>
    <w:rsid w:val="005D182F"/>
    <w:rsid w:val="005D4BA9"/>
    <w:rsid w:val="005D6462"/>
    <w:rsid w:val="005D64F0"/>
    <w:rsid w:val="005D658E"/>
    <w:rsid w:val="005D6B32"/>
    <w:rsid w:val="005D6F41"/>
    <w:rsid w:val="005E1058"/>
    <w:rsid w:val="005E171D"/>
    <w:rsid w:val="005E299A"/>
    <w:rsid w:val="005E3CFD"/>
    <w:rsid w:val="005E493C"/>
    <w:rsid w:val="005E5CEE"/>
    <w:rsid w:val="005E6F8D"/>
    <w:rsid w:val="005E757B"/>
    <w:rsid w:val="005E78BB"/>
    <w:rsid w:val="005E7DB3"/>
    <w:rsid w:val="005F0573"/>
    <w:rsid w:val="005F13AE"/>
    <w:rsid w:val="005F1759"/>
    <w:rsid w:val="005F1D39"/>
    <w:rsid w:val="005F4A44"/>
    <w:rsid w:val="005F5C2B"/>
    <w:rsid w:val="005F7C87"/>
    <w:rsid w:val="006006A0"/>
    <w:rsid w:val="00602536"/>
    <w:rsid w:val="00602551"/>
    <w:rsid w:val="00603B32"/>
    <w:rsid w:val="00603BA4"/>
    <w:rsid w:val="00603EAF"/>
    <w:rsid w:val="00607893"/>
    <w:rsid w:val="00607DA4"/>
    <w:rsid w:val="006112FA"/>
    <w:rsid w:val="00611D30"/>
    <w:rsid w:val="0061428D"/>
    <w:rsid w:val="00621D06"/>
    <w:rsid w:val="00621FD8"/>
    <w:rsid w:val="00624F18"/>
    <w:rsid w:val="00624F9E"/>
    <w:rsid w:val="00626898"/>
    <w:rsid w:val="00630781"/>
    <w:rsid w:val="00633892"/>
    <w:rsid w:val="006338AC"/>
    <w:rsid w:val="006339F8"/>
    <w:rsid w:val="006376A6"/>
    <w:rsid w:val="006420D5"/>
    <w:rsid w:val="0064250D"/>
    <w:rsid w:val="006449EA"/>
    <w:rsid w:val="00644FCF"/>
    <w:rsid w:val="00645159"/>
    <w:rsid w:val="006456C8"/>
    <w:rsid w:val="00645C31"/>
    <w:rsid w:val="00646938"/>
    <w:rsid w:val="00647CC9"/>
    <w:rsid w:val="00647D89"/>
    <w:rsid w:val="00651D25"/>
    <w:rsid w:val="0065202B"/>
    <w:rsid w:val="00653492"/>
    <w:rsid w:val="00654E2A"/>
    <w:rsid w:val="00655B9E"/>
    <w:rsid w:val="00656B8E"/>
    <w:rsid w:val="006572F7"/>
    <w:rsid w:val="0066068D"/>
    <w:rsid w:val="00663DF2"/>
    <w:rsid w:val="00663F7A"/>
    <w:rsid w:val="00667349"/>
    <w:rsid w:val="00667631"/>
    <w:rsid w:val="0066783E"/>
    <w:rsid w:val="00667ED1"/>
    <w:rsid w:val="00670A40"/>
    <w:rsid w:val="00672100"/>
    <w:rsid w:val="00672344"/>
    <w:rsid w:val="006731EB"/>
    <w:rsid w:val="00674FD3"/>
    <w:rsid w:val="0067551B"/>
    <w:rsid w:val="0067596A"/>
    <w:rsid w:val="0067638C"/>
    <w:rsid w:val="006766B7"/>
    <w:rsid w:val="006767D7"/>
    <w:rsid w:val="00680415"/>
    <w:rsid w:val="006810DB"/>
    <w:rsid w:val="00682B95"/>
    <w:rsid w:val="006835A5"/>
    <w:rsid w:val="00683A02"/>
    <w:rsid w:val="0068459A"/>
    <w:rsid w:val="00684A1E"/>
    <w:rsid w:val="00684B77"/>
    <w:rsid w:val="00685880"/>
    <w:rsid w:val="0069049B"/>
    <w:rsid w:val="006914F6"/>
    <w:rsid w:val="00695235"/>
    <w:rsid w:val="006954AA"/>
    <w:rsid w:val="0069657E"/>
    <w:rsid w:val="006967F7"/>
    <w:rsid w:val="006A0E7E"/>
    <w:rsid w:val="006A167F"/>
    <w:rsid w:val="006A3267"/>
    <w:rsid w:val="006A54A6"/>
    <w:rsid w:val="006A5871"/>
    <w:rsid w:val="006A796D"/>
    <w:rsid w:val="006A7D70"/>
    <w:rsid w:val="006B13A5"/>
    <w:rsid w:val="006B2BEA"/>
    <w:rsid w:val="006B37C0"/>
    <w:rsid w:val="006B463C"/>
    <w:rsid w:val="006B5D8B"/>
    <w:rsid w:val="006B7C19"/>
    <w:rsid w:val="006C0ADD"/>
    <w:rsid w:val="006C0CC1"/>
    <w:rsid w:val="006C23F4"/>
    <w:rsid w:val="006C2855"/>
    <w:rsid w:val="006C3A92"/>
    <w:rsid w:val="006C3F40"/>
    <w:rsid w:val="006C564A"/>
    <w:rsid w:val="006C7B67"/>
    <w:rsid w:val="006D12FA"/>
    <w:rsid w:val="006D185C"/>
    <w:rsid w:val="006D417F"/>
    <w:rsid w:val="006D5415"/>
    <w:rsid w:val="006D6842"/>
    <w:rsid w:val="006E15E4"/>
    <w:rsid w:val="006E1810"/>
    <w:rsid w:val="006E2443"/>
    <w:rsid w:val="006E36AE"/>
    <w:rsid w:val="006E5352"/>
    <w:rsid w:val="006F03A6"/>
    <w:rsid w:val="006F0457"/>
    <w:rsid w:val="006F07AC"/>
    <w:rsid w:val="006F30CC"/>
    <w:rsid w:val="006F3270"/>
    <w:rsid w:val="006F3596"/>
    <w:rsid w:val="006F366C"/>
    <w:rsid w:val="006F38C3"/>
    <w:rsid w:val="006F5E87"/>
    <w:rsid w:val="006F62BF"/>
    <w:rsid w:val="006F7CC3"/>
    <w:rsid w:val="00700193"/>
    <w:rsid w:val="007009EF"/>
    <w:rsid w:val="00702802"/>
    <w:rsid w:val="007039D8"/>
    <w:rsid w:val="007045FA"/>
    <w:rsid w:val="00704A1B"/>
    <w:rsid w:val="0071025D"/>
    <w:rsid w:val="00711223"/>
    <w:rsid w:val="00712046"/>
    <w:rsid w:val="00713250"/>
    <w:rsid w:val="00713512"/>
    <w:rsid w:val="00713B93"/>
    <w:rsid w:val="00714399"/>
    <w:rsid w:val="00715FA3"/>
    <w:rsid w:val="007163BA"/>
    <w:rsid w:val="00717CD6"/>
    <w:rsid w:val="00717E85"/>
    <w:rsid w:val="00721065"/>
    <w:rsid w:val="007211A3"/>
    <w:rsid w:val="007216D3"/>
    <w:rsid w:val="00721723"/>
    <w:rsid w:val="0072233C"/>
    <w:rsid w:val="00722CAD"/>
    <w:rsid w:val="007240AE"/>
    <w:rsid w:val="00724334"/>
    <w:rsid w:val="00724BA0"/>
    <w:rsid w:val="00724E6B"/>
    <w:rsid w:val="00733DF3"/>
    <w:rsid w:val="0073410C"/>
    <w:rsid w:val="00737869"/>
    <w:rsid w:val="0074018E"/>
    <w:rsid w:val="0074023A"/>
    <w:rsid w:val="007419B3"/>
    <w:rsid w:val="007440F5"/>
    <w:rsid w:val="0074497C"/>
    <w:rsid w:val="00746E6A"/>
    <w:rsid w:val="0075069E"/>
    <w:rsid w:val="00751358"/>
    <w:rsid w:val="00754687"/>
    <w:rsid w:val="00756F2C"/>
    <w:rsid w:val="00757FBC"/>
    <w:rsid w:val="007610A7"/>
    <w:rsid w:val="007628FC"/>
    <w:rsid w:val="00762B5A"/>
    <w:rsid w:val="007657F2"/>
    <w:rsid w:val="00772AF9"/>
    <w:rsid w:val="00772DA6"/>
    <w:rsid w:val="0077393A"/>
    <w:rsid w:val="00773BA5"/>
    <w:rsid w:val="00773E83"/>
    <w:rsid w:val="007754DA"/>
    <w:rsid w:val="0077693E"/>
    <w:rsid w:val="007803CF"/>
    <w:rsid w:val="007804BA"/>
    <w:rsid w:val="00780BC9"/>
    <w:rsid w:val="00783F63"/>
    <w:rsid w:val="007845A6"/>
    <w:rsid w:val="00786022"/>
    <w:rsid w:val="0078631E"/>
    <w:rsid w:val="00786F2D"/>
    <w:rsid w:val="0079015E"/>
    <w:rsid w:val="00790CE9"/>
    <w:rsid w:val="00791294"/>
    <w:rsid w:val="00791457"/>
    <w:rsid w:val="00793306"/>
    <w:rsid w:val="00794477"/>
    <w:rsid w:val="007952F4"/>
    <w:rsid w:val="00796D56"/>
    <w:rsid w:val="00796ED4"/>
    <w:rsid w:val="00797B44"/>
    <w:rsid w:val="007A08C0"/>
    <w:rsid w:val="007A0B1C"/>
    <w:rsid w:val="007A0F1B"/>
    <w:rsid w:val="007A1204"/>
    <w:rsid w:val="007A2460"/>
    <w:rsid w:val="007A3C51"/>
    <w:rsid w:val="007A4926"/>
    <w:rsid w:val="007A5EF5"/>
    <w:rsid w:val="007B0181"/>
    <w:rsid w:val="007B154C"/>
    <w:rsid w:val="007B1B3D"/>
    <w:rsid w:val="007B3260"/>
    <w:rsid w:val="007B3835"/>
    <w:rsid w:val="007B3F88"/>
    <w:rsid w:val="007B4C17"/>
    <w:rsid w:val="007B57BC"/>
    <w:rsid w:val="007B7A85"/>
    <w:rsid w:val="007C0B97"/>
    <w:rsid w:val="007C1099"/>
    <w:rsid w:val="007C224B"/>
    <w:rsid w:val="007C3034"/>
    <w:rsid w:val="007C5028"/>
    <w:rsid w:val="007C60AC"/>
    <w:rsid w:val="007C65FF"/>
    <w:rsid w:val="007C7593"/>
    <w:rsid w:val="007C79B2"/>
    <w:rsid w:val="007D3B49"/>
    <w:rsid w:val="007D7117"/>
    <w:rsid w:val="007D7198"/>
    <w:rsid w:val="007E0726"/>
    <w:rsid w:val="007E23C6"/>
    <w:rsid w:val="007E2986"/>
    <w:rsid w:val="007E438A"/>
    <w:rsid w:val="007E7059"/>
    <w:rsid w:val="007E7135"/>
    <w:rsid w:val="007E740B"/>
    <w:rsid w:val="007F1287"/>
    <w:rsid w:val="007F328C"/>
    <w:rsid w:val="007F4C9C"/>
    <w:rsid w:val="007F504F"/>
    <w:rsid w:val="007F5CC2"/>
    <w:rsid w:val="007F7413"/>
    <w:rsid w:val="008011CB"/>
    <w:rsid w:val="008023E6"/>
    <w:rsid w:val="008035F2"/>
    <w:rsid w:val="008046F8"/>
    <w:rsid w:val="00804AC8"/>
    <w:rsid w:val="00804C9F"/>
    <w:rsid w:val="00804E0B"/>
    <w:rsid w:val="00805079"/>
    <w:rsid w:val="00805328"/>
    <w:rsid w:val="00805796"/>
    <w:rsid w:val="00806B85"/>
    <w:rsid w:val="00806DEE"/>
    <w:rsid w:val="008114A1"/>
    <w:rsid w:val="008123A7"/>
    <w:rsid w:val="008130F6"/>
    <w:rsid w:val="00813954"/>
    <w:rsid w:val="0081557E"/>
    <w:rsid w:val="00820C08"/>
    <w:rsid w:val="00820FD6"/>
    <w:rsid w:val="00821CDA"/>
    <w:rsid w:val="00824A48"/>
    <w:rsid w:val="00824D9D"/>
    <w:rsid w:val="00826605"/>
    <w:rsid w:val="00830020"/>
    <w:rsid w:val="00832026"/>
    <w:rsid w:val="00832642"/>
    <w:rsid w:val="00832DE7"/>
    <w:rsid w:val="008330BD"/>
    <w:rsid w:val="00833671"/>
    <w:rsid w:val="00833CA4"/>
    <w:rsid w:val="00834161"/>
    <w:rsid w:val="008357A2"/>
    <w:rsid w:val="00835835"/>
    <w:rsid w:val="00835908"/>
    <w:rsid w:val="00835C98"/>
    <w:rsid w:val="00835F57"/>
    <w:rsid w:val="00840C09"/>
    <w:rsid w:val="00840F8A"/>
    <w:rsid w:val="00842A2C"/>
    <w:rsid w:val="008448D7"/>
    <w:rsid w:val="008467EA"/>
    <w:rsid w:val="00846A9F"/>
    <w:rsid w:val="00851421"/>
    <w:rsid w:val="008527A0"/>
    <w:rsid w:val="00852880"/>
    <w:rsid w:val="0085318B"/>
    <w:rsid w:val="0085331B"/>
    <w:rsid w:val="00853CDA"/>
    <w:rsid w:val="00854658"/>
    <w:rsid w:val="0085476B"/>
    <w:rsid w:val="008553EA"/>
    <w:rsid w:val="0085545A"/>
    <w:rsid w:val="008555DF"/>
    <w:rsid w:val="00855B79"/>
    <w:rsid w:val="00856FF4"/>
    <w:rsid w:val="00860589"/>
    <w:rsid w:val="00860895"/>
    <w:rsid w:val="00860F91"/>
    <w:rsid w:val="0086128D"/>
    <w:rsid w:val="00862275"/>
    <w:rsid w:val="0086254D"/>
    <w:rsid w:val="00862678"/>
    <w:rsid w:val="0086269B"/>
    <w:rsid w:val="008626BB"/>
    <w:rsid w:val="00862CA9"/>
    <w:rsid w:val="00863388"/>
    <w:rsid w:val="0086393D"/>
    <w:rsid w:val="00863C11"/>
    <w:rsid w:val="00864586"/>
    <w:rsid w:val="00866547"/>
    <w:rsid w:val="00867415"/>
    <w:rsid w:val="00870384"/>
    <w:rsid w:val="0087129E"/>
    <w:rsid w:val="00871BC8"/>
    <w:rsid w:val="00873B96"/>
    <w:rsid w:val="00875818"/>
    <w:rsid w:val="00877B2F"/>
    <w:rsid w:val="00877BBE"/>
    <w:rsid w:val="00880430"/>
    <w:rsid w:val="0088071B"/>
    <w:rsid w:val="00880EC0"/>
    <w:rsid w:val="00881A9B"/>
    <w:rsid w:val="0088415F"/>
    <w:rsid w:val="008859D8"/>
    <w:rsid w:val="00885B09"/>
    <w:rsid w:val="00887958"/>
    <w:rsid w:val="00887DDF"/>
    <w:rsid w:val="00887E25"/>
    <w:rsid w:val="008903CC"/>
    <w:rsid w:val="0089103F"/>
    <w:rsid w:val="00892723"/>
    <w:rsid w:val="00893EBC"/>
    <w:rsid w:val="00893FEB"/>
    <w:rsid w:val="00895818"/>
    <w:rsid w:val="00896B05"/>
    <w:rsid w:val="0089758F"/>
    <w:rsid w:val="008A0A7F"/>
    <w:rsid w:val="008A12C4"/>
    <w:rsid w:val="008A1EB8"/>
    <w:rsid w:val="008A245B"/>
    <w:rsid w:val="008A26E9"/>
    <w:rsid w:val="008A2E25"/>
    <w:rsid w:val="008A2E32"/>
    <w:rsid w:val="008A3068"/>
    <w:rsid w:val="008A3759"/>
    <w:rsid w:val="008A449A"/>
    <w:rsid w:val="008A7326"/>
    <w:rsid w:val="008B09B2"/>
    <w:rsid w:val="008B252D"/>
    <w:rsid w:val="008B2784"/>
    <w:rsid w:val="008B2B54"/>
    <w:rsid w:val="008B41D7"/>
    <w:rsid w:val="008B4F99"/>
    <w:rsid w:val="008B7187"/>
    <w:rsid w:val="008C083D"/>
    <w:rsid w:val="008C24CE"/>
    <w:rsid w:val="008C2E7A"/>
    <w:rsid w:val="008C7A61"/>
    <w:rsid w:val="008C7D1A"/>
    <w:rsid w:val="008D29EA"/>
    <w:rsid w:val="008D422A"/>
    <w:rsid w:val="008D4398"/>
    <w:rsid w:val="008D60A4"/>
    <w:rsid w:val="008E05D5"/>
    <w:rsid w:val="008E0A1A"/>
    <w:rsid w:val="008E204B"/>
    <w:rsid w:val="008E28BF"/>
    <w:rsid w:val="008E2A06"/>
    <w:rsid w:val="008E3EF3"/>
    <w:rsid w:val="008F1689"/>
    <w:rsid w:val="008F2C7E"/>
    <w:rsid w:val="008F35F6"/>
    <w:rsid w:val="008F3DF1"/>
    <w:rsid w:val="008F45CC"/>
    <w:rsid w:val="008F4A29"/>
    <w:rsid w:val="008F5501"/>
    <w:rsid w:val="008F6607"/>
    <w:rsid w:val="0090092D"/>
    <w:rsid w:val="00901ABB"/>
    <w:rsid w:val="00902C9F"/>
    <w:rsid w:val="00903781"/>
    <w:rsid w:val="00904183"/>
    <w:rsid w:val="0090478E"/>
    <w:rsid w:val="0090574A"/>
    <w:rsid w:val="009066E7"/>
    <w:rsid w:val="00906A65"/>
    <w:rsid w:val="0090747D"/>
    <w:rsid w:val="00907A76"/>
    <w:rsid w:val="00912EE3"/>
    <w:rsid w:val="00917A23"/>
    <w:rsid w:val="00920CA9"/>
    <w:rsid w:val="0092113A"/>
    <w:rsid w:val="009221DF"/>
    <w:rsid w:val="009226C5"/>
    <w:rsid w:val="00922C1D"/>
    <w:rsid w:val="00930CF1"/>
    <w:rsid w:val="009311D0"/>
    <w:rsid w:val="0093238C"/>
    <w:rsid w:val="00933B36"/>
    <w:rsid w:val="00934F0C"/>
    <w:rsid w:val="0093720F"/>
    <w:rsid w:val="00941376"/>
    <w:rsid w:val="00941F37"/>
    <w:rsid w:val="00943CEC"/>
    <w:rsid w:val="009462A3"/>
    <w:rsid w:val="009470D1"/>
    <w:rsid w:val="009476E4"/>
    <w:rsid w:val="009501EF"/>
    <w:rsid w:val="00951BF8"/>
    <w:rsid w:val="009536BA"/>
    <w:rsid w:val="00954B0C"/>
    <w:rsid w:val="00955539"/>
    <w:rsid w:val="0096073A"/>
    <w:rsid w:val="00960C11"/>
    <w:rsid w:val="009619C5"/>
    <w:rsid w:val="009629FF"/>
    <w:rsid w:val="00962C1E"/>
    <w:rsid w:val="00963218"/>
    <w:rsid w:val="0096438E"/>
    <w:rsid w:val="00966F25"/>
    <w:rsid w:val="00967196"/>
    <w:rsid w:val="00967DD3"/>
    <w:rsid w:val="00967F15"/>
    <w:rsid w:val="00972BB3"/>
    <w:rsid w:val="00972FDC"/>
    <w:rsid w:val="00975C36"/>
    <w:rsid w:val="00976014"/>
    <w:rsid w:val="009761FE"/>
    <w:rsid w:val="00976270"/>
    <w:rsid w:val="0097635F"/>
    <w:rsid w:val="00977C10"/>
    <w:rsid w:val="009813E6"/>
    <w:rsid w:val="009855E2"/>
    <w:rsid w:val="0098624B"/>
    <w:rsid w:val="009869C6"/>
    <w:rsid w:val="0098736A"/>
    <w:rsid w:val="009925B6"/>
    <w:rsid w:val="00992FB4"/>
    <w:rsid w:val="00993845"/>
    <w:rsid w:val="00993EA2"/>
    <w:rsid w:val="009941E1"/>
    <w:rsid w:val="009945BB"/>
    <w:rsid w:val="009954CE"/>
    <w:rsid w:val="009961AC"/>
    <w:rsid w:val="00997528"/>
    <w:rsid w:val="00997927"/>
    <w:rsid w:val="009A1A60"/>
    <w:rsid w:val="009A2CAE"/>
    <w:rsid w:val="009A2FCA"/>
    <w:rsid w:val="009A4C87"/>
    <w:rsid w:val="009A614D"/>
    <w:rsid w:val="009A77E2"/>
    <w:rsid w:val="009B032B"/>
    <w:rsid w:val="009B1079"/>
    <w:rsid w:val="009B208E"/>
    <w:rsid w:val="009B2FE5"/>
    <w:rsid w:val="009B3181"/>
    <w:rsid w:val="009B39D6"/>
    <w:rsid w:val="009B4052"/>
    <w:rsid w:val="009B4B4A"/>
    <w:rsid w:val="009B5163"/>
    <w:rsid w:val="009B5260"/>
    <w:rsid w:val="009B6A78"/>
    <w:rsid w:val="009B7114"/>
    <w:rsid w:val="009C35FC"/>
    <w:rsid w:val="009C3D2F"/>
    <w:rsid w:val="009C4A5B"/>
    <w:rsid w:val="009C50B1"/>
    <w:rsid w:val="009C6719"/>
    <w:rsid w:val="009C772E"/>
    <w:rsid w:val="009D0E41"/>
    <w:rsid w:val="009D4248"/>
    <w:rsid w:val="009D432B"/>
    <w:rsid w:val="009D585B"/>
    <w:rsid w:val="009D621C"/>
    <w:rsid w:val="009D6429"/>
    <w:rsid w:val="009D6947"/>
    <w:rsid w:val="009E1D61"/>
    <w:rsid w:val="009E292E"/>
    <w:rsid w:val="009E309D"/>
    <w:rsid w:val="009E3364"/>
    <w:rsid w:val="009E373E"/>
    <w:rsid w:val="009E3785"/>
    <w:rsid w:val="009E53BC"/>
    <w:rsid w:val="009E5BDF"/>
    <w:rsid w:val="009E5FB3"/>
    <w:rsid w:val="009E604C"/>
    <w:rsid w:val="009E6C0E"/>
    <w:rsid w:val="009F0A55"/>
    <w:rsid w:val="009F1BC2"/>
    <w:rsid w:val="009F336D"/>
    <w:rsid w:val="009F4835"/>
    <w:rsid w:val="009F48B6"/>
    <w:rsid w:val="009F70E4"/>
    <w:rsid w:val="009F7CCE"/>
    <w:rsid w:val="00A00910"/>
    <w:rsid w:val="00A00DAD"/>
    <w:rsid w:val="00A0245A"/>
    <w:rsid w:val="00A04771"/>
    <w:rsid w:val="00A05C2D"/>
    <w:rsid w:val="00A06BB4"/>
    <w:rsid w:val="00A07F62"/>
    <w:rsid w:val="00A10B60"/>
    <w:rsid w:val="00A12B3C"/>
    <w:rsid w:val="00A14EA8"/>
    <w:rsid w:val="00A15364"/>
    <w:rsid w:val="00A16091"/>
    <w:rsid w:val="00A161EC"/>
    <w:rsid w:val="00A16682"/>
    <w:rsid w:val="00A173CC"/>
    <w:rsid w:val="00A20CA6"/>
    <w:rsid w:val="00A211C9"/>
    <w:rsid w:val="00A216BA"/>
    <w:rsid w:val="00A2173D"/>
    <w:rsid w:val="00A230A6"/>
    <w:rsid w:val="00A24D6B"/>
    <w:rsid w:val="00A301AD"/>
    <w:rsid w:val="00A3091D"/>
    <w:rsid w:val="00A30ECB"/>
    <w:rsid w:val="00A30F10"/>
    <w:rsid w:val="00A32013"/>
    <w:rsid w:val="00A35B79"/>
    <w:rsid w:val="00A36876"/>
    <w:rsid w:val="00A36FA9"/>
    <w:rsid w:val="00A37710"/>
    <w:rsid w:val="00A4056E"/>
    <w:rsid w:val="00A405BF"/>
    <w:rsid w:val="00A44C73"/>
    <w:rsid w:val="00A44D89"/>
    <w:rsid w:val="00A465CC"/>
    <w:rsid w:val="00A4662A"/>
    <w:rsid w:val="00A469DF"/>
    <w:rsid w:val="00A46CBD"/>
    <w:rsid w:val="00A46DBF"/>
    <w:rsid w:val="00A47FC0"/>
    <w:rsid w:val="00A500DD"/>
    <w:rsid w:val="00A50FCB"/>
    <w:rsid w:val="00A526CE"/>
    <w:rsid w:val="00A52E64"/>
    <w:rsid w:val="00A53DF4"/>
    <w:rsid w:val="00A54AD9"/>
    <w:rsid w:val="00A54F8E"/>
    <w:rsid w:val="00A55091"/>
    <w:rsid w:val="00A568C1"/>
    <w:rsid w:val="00A57330"/>
    <w:rsid w:val="00A57AE1"/>
    <w:rsid w:val="00A57F63"/>
    <w:rsid w:val="00A61E2A"/>
    <w:rsid w:val="00A641F7"/>
    <w:rsid w:val="00A64F6B"/>
    <w:rsid w:val="00A65767"/>
    <w:rsid w:val="00A67617"/>
    <w:rsid w:val="00A705E2"/>
    <w:rsid w:val="00A70983"/>
    <w:rsid w:val="00A70FE5"/>
    <w:rsid w:val="00A71FAD"/>
    <w:rsid w:val="00A7301A"/>
    <w:rsid w:val="00A73F4E"/>
    <w:rsid w:val="00A76231"/>
    <w:rsid w:val="00A76A82"/>
    <w:rsid w:val="00A77FE7"/>
    <w:rsid w:val="00A828EB"/>
    <w:rsid w:val="00A83F2F"/>
    <w:rsid w:val="00A840CA"/>
    <w:rsid w:val="00A84614"/>
    <w:rsid w:val="00A85668"/>
    <w:rsid w:val="00A86188"/>
    <w:rsid w:val="00A8619B"/>
    <w:rsid w:val="00A86D9C"/>
    <w:rsid w:val="00A86FD3"/>
    <w:rsid w:val="00A91DE6"/>
    <w:rsid w:val="00A93259"/>
    <w:rsid w:val="00A93271"/>
    <w:rsid w:val="00A93BF6"/>
    <w:rsid w:val="00A94B98"/>
    <w:rsid w:val="00A95FEC"/>
    <w:rsid w:val="00A96B12"/>
    <w:rsid w:val="00A97B59"/>
    <w:rsid w:val="00AA0812"/>
    <w:rsid w:val="00AA1595"/>
    <w:rsid w:val="00AA19A2"/>
    <w:rsid w:val="00AA220E"/>
    <w:rsid w:val="00AA3A74"/>
    <w:rsid w:val="00AA48C4"/>
    <w:rsid w:val="00AA64F9"/>
    <w:rsid w:val="00AA66BF"/>
    <w:rsid w:val="00AA6864"/>
    <w:rsid w:val="00AB00F4"/>
    <w:rsid w:val="00AB0718"/>
    <w:rsid w:val="00AB29D1"/>
    <w:rsid w:val="00AB4D82"/>
    <w:rsid w:val="00AB4FB6"/>
    <w:rsid w:val="00AB57D4"/>
    <w:rsid w:val="00AB6051"/>
    <w:rsid w:val="00AB6D7B"/>
    <w:rsid w:val="00AB6E98"/>
    <w:rsid w:val="00AC0131"/>
    <w:rsid w:val="00AC122E"/>
    <w:rsid w:val="00AC6BAF"/>
    <w:rsid w:val="00AC7920"/>
    <w:rsid w:val="00AD18D0"/>
    <w:rsid w:val="00AD1CF6"/>
    <w:rsid w:val="00AD4FD6"/>
    <w:rsid w:val="00AD5E1D"/>
    <w:rsid w:val="00AD73FB"/>
    <w:rsid w:val="00AD74D6"/>
    <w:rsid w:val="00AD7E22"/>
    <w:rsid w:val="00AE2A83"/>
    <w:rsid w:val="00AE2C17"/>
    <w:rsid w:val="00AE3542"/>
    <w:rsid w:val="00AE3B1F"/>
    <w:rsid w:val="00AE5145"/>
    <w:rsid w:val="00AE5784"/>
    <w:rsid w:val="00AE7AC4"/>
    <w:rsid w:val="00AF05E3"/>
    <w:rsid w:val="00AF05E6"/>
    <w:rsid w:val="00AF0819"/>
    <w:rsid w:val="00AF0BA4"/>
    <w:rsid w:val="00AF3E07"/>
    <w:rsid w:val="00AF55EF"/>
    <w:rsid w:val="00AF58A9"/>
    <w:rsid w:val="00AF74B0"/>
    <w:rsid w:val="00B000FF"/>
    <w:rsid w:val="00B00D80"/>
    <w:rsid w:val="00B033AA"/>
    <w:rsid w:val="00B1188B"/>
    <w:rsid w:val="00B125CB"/>
    <w:rsid w:val="00B13C8A"/>
    <w:rsid w:val="00B146C6"/>
    <w:rsid w:val="00B146E4"/>
    <w:rsid w:val="00B149EA"/>
    <w:rsid w:val="00B158E8"/>
    <w:rsid w:val="00B1605B"/>
    <w:rsid w:val="00B17D86"/>
    <w:rsid w:val="00B17F2F"/>
    <w:rsid w:val="00B20CB3"/>
    <w:rsid w:val="00B22408"/>
    <w:rsid w:val="00B24199"/>
    <w:rsid w:val="00B25785"/>
    <w:rsid w:val="00B25BF7"/>
    <w:rsid w:val="00B31359"/>
    <w:rsid w:val="00B3140E"/>
    <w:rsid w:val="00B327DC"/>
    <w:rsid w:val="00B32F0C"/>
    <w:rsid w:val="00B34720"/>
    <w:rsid w:val="00B34C8D"/>
    <w:rsid w:val="00B3659B"/>
    <w:rsid w:val="00B365AF"/>
    <w:rsid w:val="00B36AF2"/>
    <w:rsid w:val="00B374BE"/>
    <w:rsid w:val="00B4014C"/>
    <w:rsid w:val="00B42221"/>
    <w:rsid w:val="00B4303D"/>
    <w:rsid w:val="00B43EB9"/>
    <w:rsid w:val="00B441AA"/>
    <w:rsid w:val="00B447B1"/>
    <w:rsid w:val="00B45B60"/>
    <w:rsid w:val="00B47684"/>
    <w:rsid w:val="00B50632"/>
    <w:rsid w:val="00B51135"/>
    <w:rsid w:val="00B52767"/>
    <w:rsid w:val="00B52D27"/>
    <w:rsid w:val="00B5486E"/>
    <w:rsid w:val="00B54AC6"/>
    <w:rsid w:val="00B54CD1"/>
    <w:rsid w:val="00B54FC6"/>
    <w:rsid w:val="00B5538F"/>
    <w:rsid w:val="00B559BE"/>
    <w:rsid w:val="00B567E0"/>
    <w:rsid w:val="00B56F21"/>
    <w:rsid w:val="00B604D9"/>
    <w:rsid w:val="00B60A05"/>
    <w:rsid w:val="00B61417"/>
    <w:rsid w:val="00B61632"/>
    <w:rsid w:val="00B616D9"/>
    <w:rsid w:val="00B61C39"/>
    <w:rsid w:val="00B626B9"/>
    <w:rsid w:val="00B63168"/>
    <w:rsid w:val="00B64378"/>
    <w:rsid w:val="00B64822"/>
    <w:rsid w:val="00B65253"/>
    <w:rsid w:val="00B66872"/>
    <w:rsid w:val="00B66A12"/>
    <w:rsid w:val="00B66D7F"/>
    <w:rsid w:val="00B711A5"/>
    <w:rsid w:val="00B713A9"/>
    <w:rsid w:val="00B71657"/>
    <w:rsid w:val="00B7268B"/>
    <w:rsid w:val="00B74EE8"/>
    <w:rsid w:val="00B767FA"/>
    <w:rsid w:val="00B76BDF"/>
    <w:rsid w:val="00B808E7"/>
    <w:rsid w:val="00B81271"/>
    <w:rsid w:val="00B823FC"/>
    <w:rsid w:val="00B82574"/>
    <w:rsid w:val="00B84C69"/>
    <w:rsid w:val="00B86C2D"/>
    <w:rsid w:val="00B92103"/>
    <w:rsid w:val="00B92B92"/>
    <w:rsid w:val="00B942B6"/>
    <w:rsid w:val="00B951F9"/>
    <w:rsid w:val="00B96B54"/>
    <w:rsid w:val="00B9732B"/>
    <w:rsid w:val="00B974CD"/>
    <w:rsid w:val="00B979BC"/>
    <w:rsid w:val="00B97D68"/>
    <w:rsid w:val="00BA07C7"/>
    <w:rsid w:val="00BA0BD2"/>
    <w:rsid w:val="00BA0C7D"/>
    <w:rsid w:val="00BA250A"/>
    <w:rsid w:val="00BA3378"/>
    <w:rsid w:val="00BA480B"/>
    <w:rsid w:val="00BA57BC"/>
    <w:rsid w:val="00BB0E29"/>
    <w:rsid w:val="00BB1EED"/>
    <w:rsid w:val="00BB24E1"/>
    <w:rsid w:val="00BB2FB4"/>
    <w:rsid w:val="00BB35EC"/>
    <w:rsid w:val="00BB4532"/>
    <w:rsid w:val="00BB4758"/>
    <w:rsid w:val="00BB4DCC"/>
    <w:rsid w:val="00BB54C2"/>
    <w:rsid w:val="00BB5C95"/>
    <w:rsid w:val="00BB6EA1"/>
    <w:rsid w:val="00BB6F1C"/>
    <w:rsid w:val="00BB6F62"/>
    <w:rsid w:val="00BB7F54"/>
    <w:rsid w:val="00BC2887"/>
    <w:rsid w:val="00BC2AF2"/>
    <w:rsid w:val="00BC3EE8"/>
    <w:rsid w:val="00BC5EE4"/>
    <w:rsid w:val="00BC6B93"/>
    <w:rsid w:val="00BD043C"/>
    <w:rsid w:val="00BD25D0"/>
    <w:rsid w:val="00BD3D5E"/>
    <w:rsid w:val="00BD4114"/>
    <w:rsid w:val="00BD41BD"/>
    <w:rsid w:val="00BD49E9"/>
    <w:rsid w:val="00BD4F32"/>
    <w:rsid w:val="00BD5681"/>
    <w:rsid w:val="00BD5FDE"/>
    <w:rsid w:val="00BE04B2"/>
    <w:rsid w:val="00BE1EA2"/>
    <w:rsid w:val="00BE5ADD"/>
    <w:rsid w:val="00BE63D3"/>
    <w:rsid w:val="00BE6723"/>
    <w:rsid w:val="00BE67BA"/>
    <w:rsid w:val="00BF03D3"/>
    <w:rsid w:val="00BF1269"/>
    <w:rsid w:val="00BF293B"/>
    <w:rsid w:val="00BF2F13"/>
    <w:rsid w:val="00BF479A"/>
    <w:rsid w:val="00BF4883"/>
    <w:rsid w:val="00BF5F11"/>
    <w:rsid w:val="00BF616D"/>
    <w:rsid w:val="00BF716B"/>
    <w:rsid w:val="00C02976"/>
    <w:rsid w:val="00C04AF9"/>
    <w:rsid w:val="00C04D53"/>
    <w:rsid w:val="00C10DDA"/>
    <w:rsid w:val="00C11BC0"/>
    <w:rsid w:val="00C140B5"/>
    <w:rsid w:val="00C15E87"/>
    <w:rsid w:val="00C16564"/>
    <w:rsid w:val="00C20B13"/>
    <w:rsid w:val="00C215B6"/>
    <w:rsid w:val="00C230A2"/>
    <w:rsid w:val="00C241A1"/>
    <w:rsid w:val="00C27923"/>
    <w:rsid w:val="00C3092B"/>
    <w:rsid w:val="00C31F9A"/>
    <w:rsid w:val="00C323E2"/>
    <w:rsid w:val="00C33B02"/>
    <w:rsid w:val="00C33D6B"/>
    <w:rsid w:val="00C356BA"/>
    <w:rsid w:val="00C35789"/>
    <w:rsid w:val="00C35896"/>
    <w:rsid w:val="00C36183"/>
    <w:rsid w:val="00C37A1E"/>
    <w:rsid w:val="00C401BF"/>
    <w:rsid w:val="00C42BC3"/>
    <w:rsid w:val="00C42F58"/>
    <w:rsid w:val="00C433C6"/>
    <w:rsid w:val="00C44A66"/>
    <w:rsid w:val="00C457EF"/>
    <w:rsid w:val="00C46D4D"/>
    <w:rsid w:val="00C4714A"/>
    <w:rsid w:val="00C50B9C"/>
    <w:rsid w:val="00C512B6"/>
    <w:rsid w:val="00C51F31"/>
    <w:rsid w:val="00C528A2"/>
    <w:rsid w:val="00C5349D"/>
    <w:rsid w:val="00C534D3"/>
    <w:rsid w:val="00C55BE3"/>
    <w:rsid w:val="00C5699A"/>
    <w:rsid w:val="00C6131F"/>
    <w:rsid w:val="00C6158A"/>
    <w:rsid w:val="00C62F74"/>
    <w:rsid w:val="00C63141"/>
    <w:rsid w:val="00C63B20"/>
    <w:rsid w:val="00C64624"/>
    <w:rsid w:val="00C64897"/>
    <w:rsid w:val="00C65E8E"/>
    <w:rsid w:val="00C66BDD"/>
    <w:rsid w:val="00C67987"/>
    <w:rsid w:val="00C67CA5"/>
    <w:rsid w:val="00C726DA"/>
    <w:rsid w:val="00C7306E"/>
    <w:rsid w:val="00C74AD9"/>
    <w:rsid w:val="00C74F27"/>
    <w:rsid w:val="00C75650"/>
    <w:rsid w:val="00C766EC"/>
    <w:rsid w:val="00C76E1E"/>
    <w:rsid w:val="00C807E5"/>
    <w:rsid w:val="00C80E2C"/>
    <w:rsid w:val="00C80E9E"/>
    <w:rsid w:val="00C81340"/>
    <w:rsid w:val="00C81F2B"/>
    <w:rsid w:val="00C82478"/>
    <w:rsid w:val="00C82AAC"/>
    <w:rsid w:val="00C82D4D"/>
    <w:rsid w:val="00C82FDE"/>
    <w:rsid w:val="00C84BDC"/>
    <w:rsid w:val="00C85E94"/>
    <w:rsid w:val="00C86EF1"/>
    <w:rsid w:val="00C903F2"/>
    <w:rsid w:val="00C9055B"/>
    <w:rsid w:val="00C906EC"/>
    <w:rsid w:val="00C925F9"/>
    <w:rsid w:val="00C927C6"/>
    <w:rsid w:val="00C92906"/>
    <w:rsid w:val="00C92C20"/>
    <w:rsid w:val="00C93130"/>
    <w:rsid w:val="00C933C4"/>
    <w:rsid w:val="00C94673"/>
    <w:rsid w:val="00C94D30"/>
    <w:rsid w:val="00C9618E"/>
    <w:rsid w:val="00C975DA"/>
    <w:rsid w:val="00C976DD"/>
    <w:rsid w:val="00C97855"/>
    <w:rsid w:val="00CA0173"/>
    <w:rsid w:val="00CA14D9"/>
    <w:rsid w:val="00CA2193"/>
    <w:rsid w:val="00CA235A"/>
    <w:rsid w:val="00CA412B"/>
    <w:rsid w:val="00CA415B"/>
    <w:rsid w:val="00CA550D"/>
    <w:rsid w:val="00CA6174"/>
    <w:rsid w:val="00CB61EB"/>
    <w:rsid w:val="00CC03E2"/>
    <w:rsid w:val="00CC06F4"/>
    <w:rsid w:val="00CC15EE"/>
    <w:rsid w:val="00CC4216"/>
    <w:rsid w:val="00CC5BE3"/>
    <w:rsid w:val="00CD107A"/>
    <w:rsid w:val="00CD1250"/>
    <w:rsid w:val="00CD1922"/>
    <w:rsid w:val="00CD1ACD"/>
    <w:rsid w:val="00CD25FA"/>
    <w:rsid w:val="00CD307F"/>
    <w:rsid w:val="00CE44DE"/>
    <w:rsid w:val="00CE52A4"/>
    <w:rsid w:val="00CE5604"/>
    <w:rsid w:val="00CE74B0"/>
    <w:rsid w:val="00CF0BD1"/>
    <w:rsid w:val="00CF0C95"/>
    <w:rsid w:val="00CF19B9"/>
    <w:rsid w:val="00CF1E33"/>
    <w:rsid w:val="00CF2A2B"/>
    <w:rsid w:val="00CF2DCF"/>
    <w:rsid w:val="00CF30D4"/>
    <w:rsid w:val="00CF45B3"/>
    <w:rsid w:val="00CF4945"/>
    <w:rsid w:val="00CF64D5"/>
    <w:rsid w:val="00CF697D"/>
    <w:rsid w:val="00CF701C"/>
    <w:rsid w:val="00CF7367"/>
    <w:rsid w:val="00D02BDD"/>
    <w:rsid w:val="00D02F70"/>
    <w:rsid w:val="00D03CFF"/>
    <w:rsid w:val="00D053E0"/>
    <w:rsid w:val="00D06EE6"/>
    <w:rsid w:val="00D07359"/>
    <w:rsid w:val="00D0760C"/>
    <w:rsid w:val="00D0778F"/>
    <w:rsid w:val="00D07CA5"/>
    <w:rsid w:val="00D10556"/>
    <w:rsid w:val="00D11946"/>
    <w:rsid w:val="00D1236E"/>
    <w:rsid w:val="00D12556"/>
    <w:rsid w:val="00D13779"/>
    <w:rsid w:val="00D13D79"/>
    <w:rsid w:val="00D148D1"/>
    <w:rsid w:val="00D14A50"/>
    <w:rsid w:val="00D154B3"/>
    <w:rsid w:val="00D16E16"/>
    <w:rsid w:val="00D16E3B"/>
    <w:rsid w:val="00D1795C"/>
    <w:rsid w:val="00D20B8A"/>
    <w:rsid w:val="00D20BBF"/>
    <w:rsid w:val="00D20EF3"/>
    <w:rsid w:val="00D22F1C"/>
    <w:rsid w:val="00D22F2C"/>
    <w:rsid w:val="00D232FE"/>
    <w:rsid w:val="00D2415E"/>
    <w:rsid w:val="00D2702E"/>
    <w:rsid w:val="00D270F6"/>
    <w:rsid w:val="00D27286"/>
    <w:rsid w:val="00D275D5"/>
    <w:rsid w:val="00D30198"/>
    <w:rsid w:val="00D3075D"/>
    <w:rsid w:val="00D31314"/>
    <w:rsid w:val="00D32E1A"/>
    <w:rsid w:val="00D33383"/>
    <w:rsid w:val="00D33C35"/>
    <w:rsid w:val="00D34483"/>
    <w:rsid w:val="00D361FA"/>
    <w:rsid w:val="00D36E6B"/>
    <w:rsid w:val="00D37D30"/>
    <w:rsid w:val="00D37ECB"/>
    <w:rsid w:val="00D435EC"/>
    <w:rsid w:val="00D45157"/>
    <w:rsid w:val="00D456D1"/>
    <w:rsid w:val="00D46AF1"/>
    <w:rsid w:val="00D46FB6"/>
    <w:rsid w:val="00D47081"/>
    <w:rsid w:val="00D5000A"/>
    <w:rsid w:val="00D50E50"/>
    <w:rsid w:val="00D51E56"/>
    <w:rsid w:val="00D52EE3"/>
    <w:rsid w:val="00D5441E"/>
    <w:rsid w:val="00D54C17"/>
    <w:rsid w:val="00D5529D"/>
    <w:rsid w:val="00D55B75"/>
    <w:rsid w:val="00D572B9"/>
    <w:rsid w:val="00D602A2"/>
    <w:rsid w:val="00D602AC"/>
    <w:rsid w:val="00D60626"/>
    <w:rsid w:val="00D6081C"/>
    <w:rsid w:val="00D61AF7"/>
    <w:rsid w:val="00D61FEE"/>
    <w:rsid w:val="00D62420"/>
    <w:rsid w:val="00D63241"/>
    <w:rsid w:val="00D65B9E"/>
    <w:rsid w:val="00D662BD"/>
    <w:rsid w:val="00D67BFE"/>
    <w:rsid w:val="00D71A8A"/>
    <w:rsid w:val="00D73083"/>
    <w:rsid w:val="00D73BA9"/>
    <w:rsid w:val="00D73CDD"/>
    <w:rsid w:val="00D745FE"/>
    <w:rsid w:val="00D7598E"/>
    <w:rsid w:val="00D76AAF"/>
    <w:rsid w:val="00D80CBA"/>
    <w:rsid w:val="00D829E3"/>
    <w:rsid w:val="00D82DC1"/>
    <w:rsid w:val="00D831D2"/>
    <w:rsid w:val="00D83840"/>
    <w:rsid w:val="00D83ADF"/>
    <w:rsid w:val="00D84CD0"/>
    <w:rsid w:val="00D86C19"/>
    <w:rsid w:val="00D87367"/>
    <w:rsid w:val="00D90E73"/>
    <w:rsid w:val="00D91105"/>
    <w:rsid w:val="00D9202E"/>
    <w:rsid w:val="00D92086"/>
    <w:rsid w:val="00D9260C"/>
    <w:rsid w:val="00D9517A"/>
    <w:rsid w:val="00D95FBC"/>
    <w:rsid w:val="00D96734"/>
    <w:rsid w:val="00D96BED"/>
    <w:rsid w:val="00D96EBA"/>
    <w:rsid w:val="00D97FDF"/>
    <w:rsid w:val="00DA0248"/>
    <w:rsid w:val="00DA02A4"/>
    <w:rsid w:val="00DA060F"/>
    <w:rsid w:val="00DA2FA9"/>
    <w:rsid w:val="00DA346E"/>
    <w:rsid w:val="00DA4095"/>
    <w:rsid w:val="00DA4933"/>
    <w:rsid w:val="00DA4948"/>
    <w:rsid w:val="00DA4E4C"/>
    <w:rsid w:val="00DB0515"/>
    <w:rsid w:val="00DB2183"/>
    <w:rsid w:val="00DB3CE4"/>
    <w:rsid w:val="00DB4947"/>
    <w:rsid w:val="00DB7194"/>
    <w:rsid w:val="00DB7ADD"/>
    <w:rsid w:val="00DB7C71"/>
    <w:rsid w:val="00DC091C"/>
    <w:rsid w:val="00DC2303"/>
    <w:rsid w:val="00DC5AB7"/>
    <w:rsid w:val="00DC5B37"/>
    <w:rsid w:val="00DC6E99"/>
    <w:rsid w:val="00DC7696"/>
    <w:rsid w:val="00DD0489"/>
    <w:rsid w:val="00DD1191"/>
    <w:rsid w:val="00DD45B1"/>
    <w:rsid w:val="00DD47B9"/>
    <w:rsid w:val="00DD4E4A"/>
    <w:rsid w:val="00DD532B"/>
    <w:rsid w:val="00DD5418"/>
    <w:rsid w:val="00DD633E"/>
    <w:rsid w:val="00DE1C09"/>
    <w:rsid w:val="00DE26CA"/>
    <w:rsid w:val="00DE34F7"/>
    <w:rsid w:val="00DE39C1"/>
    <w:rsid w:val="00DE53DD"/>
    <w:rsid w:val="00DF2B37"/>
    <w:rsid w:val="00DF3DD0"/>
    <w:rsid w:val="00DF4548"/>
    <w:rsid w:val="00DF65D9"/>
    <w:rsid w:val="00DF67E4"/>
    <w:rsid w:val="00DF6934"/>
    <w:rsid w:val="00DF69DB"/>
    <w:rsid w:val="00DF73E8"/>
    <w:rsid w:val="00DF7F64"/>
    <w:rsid w:val="00E01294"/>
    <w:rsid w:val="00E0384D"/>
    <w:rsid w:val="00E045AD"/>
    <w:rsid w:val="00E04B1A"/>
    <w:rsid w:val="00E0503E"/>
    <w:rsid w:val="00E11990"/>
    <w:rsid w:val="00E123C4"/>
    <w:rsid w:val="00E14B79"/>
    <w:rsid w:val="00E14EE0"/>
    <w:rsid w:val="00E16D67"/>
    <w:rsid w:val="00E173EC"/>
    <w:rsid w:val="00E17516"/>
    <w:rsid w:val="00E179EA"/>
    <w:rsid w:val="00E17B1D"/>
    <w:rsid w:val="00E20E1A"/>
    <w:rsid w:val="00E22F59"/>
    <w:rsid w:val="00E24EA6"/>
    <w:rsid w:val="00E26192"/>
    <w:rsid w:val="00E31E15"/>
    <w:rsid w:val="00E32731"/>
    <w:rsid w:val="00E32D6E"/>
    <w:rsid w:val="00E332AB"/>
    <w:rsid w:val="00E339AB"/>
    <w:rsid w:val="00E34A6A"/>
    <w:rsid w:val="00E34AA3"/>
    <w:rsid w:val="00E35553"/>
    <w:rsid w:val="00E369BB"/>
    <w:rsid w:val="00E377BD"/>
    <w:rsid w:val="00E4229F"/>
    <w:rsid w:val="00E43448"/>
    <w:rsid w:val="00E4363D"/>
    <w:rsid w:val="00E43F71"/>
    <w:rsid w:val="00E44181"/>
    <w:rsid w:val="00E47390"/>
    <w:rsid w:val="00E47619"/>
    <w:rsid w:val="00E50B7D"/>
    <w:rsid w:val="00E5190B"/>
    <w:rsid w:val="00E54C6E"/>
    <w:rsid w:val="00E5510E"/>
    <w:rsid w:val="00E559A0"/>
    <w:rsid w:val="00E55C00"/>
    <w:rsid w:val="00E55E24"/>
    <w:rsid w:val="00E5725A"/>
    <w:rsid w:val="00E60577"/>
    <w:rsid w:val="00E61484"/>
    <w:rsid w:val="00E61686"/>
    <w:rsid w:val="00E61861"/>
    <w:rsid w:val="00E632A6"/>
    <w:rsid w:val="00E63581"/>
    <w:rsid w:val="00E63912"/>
    <w:rsid w:val="00E63B82"/>
    <w:rsid w:val="00E6509F"/>
    <w:rsid w:val="00E6783F"/>
    <w:rsid w:val="00E70EDE"/>
    <w:rsid w:val="00E711C1"/>
    <w:rsid w:val="00E723D9"/>
    <w:rsid w:val="00E72D81"/>
    <w:rsid w:val="00E74655"/>
    <w:rsid w:val="00E74B91"/>
    <w:rsid w:val="00E74FB9"/>
    <w:rsid w:val="00E762ED"/>
    <w:rsid w:val="00E764CB"/>
    <w:rsid w:val="00E768E4"/>
    <w:rsid w:val="00E77179"/>
    <w:rsid w:val="00E83CEE"/>
    <w:rsid w:val="00E849FE"/>
    <w:rsid w:val="00E84FE6"/>
    <w:rsid w:val="00E858B4"/>
    <w:rsid w:val="00E8768D"/>
    <w:rsid w:val="00E9129A"/>
    <w:rsid w:val="00E91338"/>
    <w:rsid w:val="00E9185D"/>
    <w:rsid w:val="00E92371"/>
    <w:rsid w:val="00E9280C"/>
    <w:rsid w:val="00E940F6"/>
    <w:rsid w:val="00E941E8"/>
    <w:rsid w:val="00E950F6"/>
    <w:rsid w:val="00EA0ADF"/>
    <w:rsid w:val="00EA0AE1"/>
    <w:rsid w:val="00EA0CF5"/>
    <w:rsid w:val="00EA2197"/>
    <w:rsid w:val="00EA225C"/>
    <w:rsid w:val="00EA3932"/>
    <w:rsid w:val="00EA5F3B"/>
    <w:rsid w:val="00EA5F53"/>
    <w:rsid w:val="00EA686E"/>
    <w:rsid w:val="00EA69E4"/>
    <w:rsid w:val="00EA7109"/>
    <w:rsid w:val="00EA79D1"/>
    <w:rsid w:val="00EA7BDD"/>
    <w:rsid w:val="00EB2F47"/>
    <w:rsid w:val="00EB31E3"/>
    <w:rsid w:val="00EB3536"/>
    <w:rsid w:val="00EB3FB7"/>
    <w:rsid w:val="00EB4787"/>
    <w:rsid w:val="00EB4CFC"/>
    <w:rsid w:val="00EB5C12"/>
    <w:rsid w:val="00EC577B"/>
    <w:rsid w:val="00EC5EB0"/>
    <w:rsid w:val="00EC7224"/>
    <w:rsid w:val="00ED0593"/>
    <w:rsid w:val="00ED06AB"/>
    <w:rsid w:val="00ED0B4A"/>
    <w:rsid w:val="00ED12FF"/>
    <w:rsid w:val="00ED30A6"/>
    <w:rsid w:val="00ED598A"/>
    <w:rsid w:val="00ED5ACC"/>
    <w:rsid w:val="00EE6D03"/>
    <w:rsid w:val="00EE7DB6"/>
    <w:rsid w:val="00EF075D"/>
    <w:rsid w:val="00EF15DA"/>
    <w:rsid w:val="00EF1824"/>
    <w:rsid w:val="00EF2A7C"/>
    <w:rsid w:val="00EF31B6"/>
    <w:rsid w:val="00EF33A4"/>
    <w:rsid w:val="00EF3B97"/>
    <w:rsid w:val="00EF3F13"/>
    <w:rsid w:val="00EF40B7"/>
    <w:rsid w:val="00EF5A8C"/>
    <w:rsid w:val="00EF64EE"/>
    <w:rsid w:val="00EF6646"/>
    <w:rsid w:val="00F00CC0"/>
    <w:rsid w:val="00F02287"/>
    <w:rsid w:val="00F02F15"/>
    <w:rsid w:val="00F03786"/>
    <w:rsid w:val="00F041BC"/>
    <w:rsid w:val="00F050C3"/>
    <w:rsid w:val="00F054F2"/>
    <w:rsid w:val="00F065BC"/>
    <w:rsid w:val="00F06988"/>
    <w:rsid w:val="00F06DC2"/>
    <w:rsid w:val="00F12FF2"/>
    <w:rsid w:val="00F16E5A"/>
    <w:rsid w:val="00F17113"/>
    <w:rsid w:val="00F1767C"/>
    <w:rsid w:val="00F20845"/>
    <w:rsid w:val="00F217BB"/>
    <w:rsid w:val="00F21D54"/>
    <w:rsid w:val="00F24506"/>
    <w:rsid w:val="00F24BC9"/>
    <w:rsid w:val="00F256BA"/>
    <w:rsid w:val="00F256FD"/>
    <w:rsid w:val="00F25A0D"/>
    <w:rsid w:val="00F273C7"/>
    <w:rsid w:val="00F30D88"/>
    <w:rsid w:val="00F30F8B"/>
    <w:rsid w:val="00F327CD"/>
    <w:rsid w:val="00F33012"/>
    <w:rsid w:val="00F333C0"/>
    <w:rsid w:val="00F36348"/>
    <w:rsid w:val="00F367C3"/>
    <w:rsid w:val="00F37020"/>
    <w:rsid w:val="00F40673"/>
    <w:rsid w:val="00F40998"/>
    <w:rsid w:val="00F40C71"/>
    <w:rsid w:val="00F42FE5"/>
    <w:rsid w:val="00F431B3"/>
    <w:rsid w:val="00F43EB4"/>
    <w:rsid w:val="00F45A56"/>
    <w:rsid w:val="00F5288F"/>
    <w:rsid w:val="00F611C1"/>
    <w:rsid w:val="00F627B6"/>
    <w:rsid w:val="00F64489"/>
    <w:rsid w:val="00F64663"/>
    <w:rsid w:val="00F65087"/>
    <w:rsid w:val="00F662C5"/>
    <w:rsid w:val="00F71333"/>
    <w:rsid w:val="00F7192D"/>
    <w:rsid w:val="00F7376D"/>
    <w:rsid w:val="00F7480B"/>
    <w:rsid w:val="00F74EC5"/>
    <w:rsid w:val="00F7739E"/>
    <w:rsid w:val="00F77862"/>
    <w:rsid w:val="00F80BA0"/>
    <w:rsid w:val="00F8102D"/>
    <w:rsid w:val="00F81219"/>
    <w:rsid w:val="00F81362"/>
    <w:rsid w:val="00F821E0"/>
    <w:rsid w:val="00F82E9D"/>
    <w:rsid w:val="00F83EAB"/>
    <w:rsid w:val="00F87336"/>
    <w:rsid w:val="00F87A92"/>
    <w:rsid w:val="00F87E13"/>
    <w:rsid w:val="00F91C55"/>
    <w:rsid w:val="00F91C8B"/>
    <w:rsid w:val="00F92E35"/>
    <w:rsid w:val="00F92F33"/>
    <w:rsid w:val="00F96EFB"/>
    <w:rsid w:val="00F97030"/>
    <w:rsid w:val="00F970DC"/>
    <w:rsid w:val="00FA0018"/>
    <w:rsid w:val="00FA0084"/>
    <w:rsid w:val="00FA0CA1"/>
    <w:rsid w:val="00FA10A0"/>
    <w:rsid w:val="00FA1815"/>
    <w:rsid w:val="00FA21F0"/>
    <w:rsid w:val="00FA3264"/>
    <w:rsid w:val="00FA3D72"/>
    <w:rsid w:val="00FA5B3D"/>
    <w:rsid w:val="00FA5FDC"/>
    <w:rsid w:val="00FA7F30"/>
    <w:rsid w:val="00FB054B"/>
    <w:rsid w:val="00FB059B"/>
    <w:rsid w:val="00FB0D26"/>
    <w:rsid w:val="00FB0F54"/>
    <w:rsid w:val="00FB1A89"/>
    <w:rsid w:val="00FB2576"/>
    <w:rsid w:val="00FB481F"/>
    <w:rsid w:val="00FB4F78"/>
    <w:rsid w:val="00FB5E5D"/>
    <w:rsid w:val="00FB6641"/>
    <w:rsid w:val="00FB7AAB"/>
    <w:rsid w:val="00FB7F75"/>
    <w:rsid w:val="00FC0AE4"/>
    <w:rsid w:val="00FC166D"/>
    <w:rsid w:val="00FC1BE5"/>
    <w:rsid w:val="00FC2094"/>
    <w:rsid w:val="00FC2591"/>
    <w:rsid w:val="00FC2D77"/>
    <w:rsid w:val="00FC40E9"/>
    <w:rsid w:val="00FC4934"/>
    <w:rsid w:val="00FC4B21"/>
    <w:rsid w:val="00FC4BA5"/>
    <w:rsid w:val="00FC5A66"/>
    <w:rsid w:val="00FD0C8A"/>
    <w:rsid w:val="00FD0D09"/>
    <w:rsid w:val="00FD156E"/>
    <w:rsid w:val="00FD31F0"/>
    <w:rsid w:val="00FD57A9"/>
    <w:rsid w:val="00FD6375"/>
    <w:rsid w:val="00FD7A2A"/>
    <w:rsid w:val="00FE05F2"/>
    <w:rsid w:val="00FE0FB5"/>
    <w:rsid w:val="00FE4161"/>
    <w:rsid w:val="00FE474E"/>
    <w:rsid w:val="00FE6D10"/>
    <w:rsid w:val="00FE6F35"/>
    <w:rsid w:val="00FF12A6"/>
    <w:rsid w:val="00FF39DA"/>
    <w:rsid w:val="00FF6A83"/>
    <w:rsid w:val="00FF6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D7"/>
  </w:style>
  <w:style w:type="paragraph" w:styleId="Heading5">
    <w:name w:val="heading 5"/>
    <w:basedOn w:val="Normal"/>
    <w:next w:val="Normal"/>
    <w:link w:val="Heading5Char"/>
    <w:uiPriority w:val="9"/>
    <w:semiHidden/>
    <w:unhideWhenUsed/>
    <w:qFormat/>
    <w:rsid w:val="005B1F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7B67"/>
    <w:pPr>
      <w:spacing w:after="0" w:line="240" w:lineRule="auto"/>
    </w:pPr>
    <w:rPr>
      <w:sz w:val="20"/>
      <w:szCs w:val="20"/>
    </w:rPr>
  </w:style>
  <w:style w:type="character" w:customStyle="1" w:styleId="FootnoteTextChar">
    <w:name w:val="Footnote Text Char"/>
    <w:basedOn w:val="DefaultParagraphFont"/>
    <w:link w:val="FootnoteText"/>
    <w:uiPriority w:val="99"/>
    <w:rsid w:val="006C7B67"/>
    <w:rPr>
      <w:sz w:val="20"/>
      <w:szCs w:val="20"/>
    </w:rPr>
  </w:style>
  <w:style w:type="character" w:styleId="FootnoteReference">
    <w:name w:val="footnote reference"/>
    <w:basedOn w:val="DefaultParagraphFont"/>
    <w:unhideWhenUsed/>
    <w:rsid w:val="006C7B67"/>
    <w:rPr>
      <w:vertAlign w:val="superscript"/>
    </w:rPr>
  </w:style>
  <w:style w:type="paragraph" w:styleId="Header">
    <w:name w:val="header"/>
    <w:basedOn w:val="Normal"/>
    <w:link w:val="HeaderChar"/>
    <w:uiPriority w:val="99"/>
    <w:unhideWhenUsed/>
    <w:rsid w:val="00E6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86"/>
  </w:style>
  <w:style w:type="paragraph" w:styleId="Footer">
    <w:name w:val="footer"/>
    <w:basedOn w:val="Normal"/>
    <w:link w:val="FooterChar"/>
    <w:uiPriority w:val="99"/>
    <w:unhideWhenUsed/>
    <w:rsid w:val="00E6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86"/>
  </w:style>
  <w:style w:type="character" w:customStyle="1" w:styleId="Heading5Char">
    <w:name w:val="Heading 5 Char"/>
    <w:basedOn w:val="DefaultParagraphFont"/>
    <w:link w:val="Heading5"/>
    <w:uiPriority w:val="9"/>
    <w:semiHidden/>
    <w:rsid w:val="005B1F2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2858BF"/>
    <w:rPr>
      <w:color w:val="0563C1" w:themeColor="hyperlink"/>
      <w:u w:val="single"/>
    </w:rPr>
  </w:style>
  <w:style w:type="character" w:styleId="CommentReference">
    <w:name w:val="annotation reference"/>
    <w:basedOn w:val="DefaultParagraphFont"/>
    <w:uiPriority w:val="99"/>
    <w:semiHidden/>
    <w:unhideWhenUsed/>
    <w:rsid w:val="00B604D9"/>
    <w:rPr>
      <w:sz w:val="16"/>
      <w:szCs w:val="16"/>
    </w:rPr>
  </w:style>
  <w:style w:type="paragraph" w:styleId="CommentText">
    <w:name w:val="annotation text"/>
    <w:basedOn w:val="Normal"/>
    <w:link w:val="CommentTextChar"/>
    <w:uiPriority w:val="99"/>
    <w:unhideWhenUsed/>
    <w:rsid w:val="00B604D9"/>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B604D9"/>
    <w:rPr>
      <w:rFonts w:eastAsiaTheme="minorEastAsia"/>
      <w:sz w:val="20"/>
      <w:szCs w:val="20"/>
      <w:lang w:eastAsia="en-GB"/>
    </w:rPr>
  </w:style>
  <w:style w:type="paragraph" w:styleId="BalloonText">
    <w:name w:val="Balloon Text"/>
    <w:basedOn w:val="Normal"/>
    <w:link w:val="BalloonTextChar"/>
    <w:uiPriority w:val="99"/>
    <w:semiHidden/>
    <w:unhideWhenUsed/>
    <w:rsid w:val="00B6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5B3D"/>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FA5B3D"/>
    <w:rPr>
      <w:rFonts w:eastAsiaTheme="minorEastAsia"/>
      <w:b/>
      <w:bCs/>
      <w:sz w:val="20"/>
      <w:szCs w:val="20"/>
      <w:lang w:eastAsia="en-GB"/>
    </w:rPr>
  </w:style>
  <w:style w:type="paragraph" w:styleId="NoSpacing">
    <w:name w:val="No Spacing"/>
    <w:uiPriority w:val="1"/>
    <w:qFormat/>
    <w:rsid w:val="00967DD3"/>
    <w:pPr>
      <w:spacing w:after="0" w:line="240" w:lineRule="auto"/>
    </w:pPr>
  </w:style>
  <w:style w:type="paragraph" w:styleId="ListParagraph">
    <w:name w:val="List Paragraph"/>
    <w:basedOn w:val="Normal"/>
    <w:uiPriority w:val="34"/>
    <w:qFormat/>
    <w:rsid w:val="001F6208"/>
    <w:pPr>
      <w:ind w:left="720"/>
      <w:contextualSpacing/>
    </w:pPr>
  </w:style>
  <w:style w:type="paragraph" w:styleId="NormalWeb">
    <w:name w:val="Normal (Web)"/>
    <w:basedOn w:val="Normal"/>
    <w:uiPriority w:val="99"/>
    <w:unhideWhenUsed/>
    <w:rsid w:val="00EA2197"/>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2339BF"/>
    <w:rPr>
      <w:i/>
      <w:iCs/>
    </w:rPr>
  </w:style>
  <w:style w:type="character" w:customStyle="1" w:styleId="searchterm">
    <w:name w:val="searchterm"/>
    <w:basedOn w:val="DefaultParagraphFont"/>
    <w:rsid w:val="002339BF"/>
  </w:style>
  <w:style w:type="paragraph" w:styleId="Revision">
    <w:name w:val="Revision"/>
    <w:hidden/>
    <w:uiPriority w:val="99"/>
    <w:semiHidden/>
    <w:rsid w:val="00C94673"/>
    <w:pPr>
      <w:spacing w:after="0" w:line="240" w:lineRule="auto"/>
    </w:pPr>
  </w:style>
  <w:style w:type="character" w:styleId="FollowedHyperlink">
    <w:name w:val="FollowedHyperlink"/>
    <w:basedOn w:val="DefaultParagraphFont"/>
    <w:uiPriority w:val="99"/>
    <w:semiHidden/>
    <w:unhideWhenUsed/>
    <w:rsid w:val="00D52EE3"/>
    <w:rPr>
      <w:color w:val="954F72" w:themeColor="followedHyperlink"/>
      <w:u w:val="single"/>
    </w:rPr>
  </w:style>
  <w:style w:type="paragraph" w:styleId="EndnoteText">
    <w:name w:val="endnote text"/>
    <w:basedOn w:val="Normal"/>
    <w:link w:val="EndnoteTextChar"/>
    <w:uiPriority w:val="99"/>
    <w:semiHidden/>
    <w:unhideWhenUsed/>
    <w:rsid w:val="009E3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0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336">
      <w:bodyDiv w:val="1"/>
      <w:marLeft w:val="0"/>
      <w:marRight w:val="0"/>
      <w:marTop w:val="0"/>
      <w:marBottom w:val="0"/>
      <w:divBdr>
        <w:top w:val="none" w:sz="0" w:space="0" w:color="auto"/>
        <w:left w:val="none" w:sz="0" w:space="0" w:color="auto"/>
        <w:bottom w:val="none" w:sz="0" w:space="0" w:color="auto"/>
        <w:right w:val="none" w:sz="0" w:space="0" w:color="auto"/>
      </w:divBdr>
      <w:divsChild>
        <w:div w:id="1891574116">
          <w:marLeft w:val="0"/>
          <w:marRight w:val="0"/>
          <w:marTop w:val="0"/>
          <w:marBottom w:val="0"/>
          <w:divBdr>
            <w:top w:val="none" w:sz="0" w:space="0" w:color="auto"/>
            <w:left w:val="none" w:sz="0" w:space="0" w:color="auto"/>
            <w:bottom w:val="none" w:sz="0" w:space="0" w:color="auto"/>
            <w:right w:val="none" w:sz="0" w:space="0" w:color="auto"/>
          </w:divBdr>
          <w:divsChild>
            <w:div w:id="61370585">
              <w:marLeft w:val="0"/>
              <w:marRight w:val="0"/>
              <w:marTop w:val="0"/>
              <w:marBottom w:val="0"/>
              <w:divBdr>
                <w:top w:val="none" w:sz="0" w:space="0" w:color="auto"/>
                <w:left w:val="none" w:sz="0" w:space="0" w:color="auto"/>
                <w:bottom w:val="none" w:sz="0" w:space="0" w:color="auto"/>
                <w:right w:val="none" w:sz="0" w:space="0" w:color="auto"/>
              </w:divBdr>
              <w:divsChild>
                <w:div w:id="16757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5659">
      <w:bodyDiv w:val="1"/>
      <w:marLeft w:val="0"/>
      <w:marRight w:val="0"/>
      <w:marTop w:val="0"/>
      <w:marBottom w:val="0"/>
      <w:divBdr>
        <w:top w:val="none" w:sz="0" w:space="0" w:color="auto"/>
        <w:left w:val="none" w:sz="0" w:space="0" w:color="auto"/>
        <w:bottom w:val="none" w:sz="0" w:space="0" w:color="auto"/>
        <w:right w:val="none" w:sz="0" w:space="0" w:color="auto"/>
      </w:divBdr>
      <w:divsChild>
        <w:div w:id="1019813587">
          <w:marLeft w:val="0"/>
          <w:marRight w:val="0"/>
          <w:marTop w:val="0"/>
          <w:marBottom w:val="0"/>
          <w:divBdr>
            <w:top w:val="none" w:sz="0" w:space="0" w:color="auto"/>
            <w:left w:val="none" w:sz="0" w:space="0" w:color="auto"/>
            <w:bottom w:val="none" w:sz="0" w:space="0" w:color="auto"/>
            <w:right w:val="none" w:sz="0" w:space="0" w:color="auto"/>
          </w:divBdr>
          <w:divsChild>
            <w:div w:id="858616888">
              <w:marLeft w:val="0"/>
              <w:marRight w:val="0"/>
              <w:marTop w:val="0"/>
              <w:marBottom w:val="0"/>
              <w:divBdr>
                <w:top w:val="none" w:sz="0" w:space="0" w:color="auto"/>
                <w:left w:val="none" w:sz="0" w:space="0" w:color="auto"/>
                <w:bottom w:val="none" w:sz="0" w:space="0" w:color="auto"/>
                <w:right w:val="none" w:sz="0" w:space="0" w:color="auto"/>
              </w:divBdr>
              <w:divsChild>
                <w:div w:id="18691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8727">
      <w:bodyDiv w:val="1"/>
      <w:marLeft w:val="0"/>
      <w:marRight w:val="0"/>
      <w:marTop w:val="0"/>
      <w:marBottom w:val="0"/>
      <w:divBdr>
        <w:top w:val="none" w:sz="0" w:space="0" w:color="auto"/>
        <w:left w:val="none" w:sz="0" w:space="0" w:color="auto"/>
        <w:bottom w:val="none" w:sz="0" w:space="0" w:color="auto"/>
        <w:right w:val="none" w:sz="0" w:space="0" w:color="auto"/>
      </w:divBdr>
      <w:divsChild>
        <w:div w:id="1625844614">
          <w:marLeft w:val="0"/>
          <w:marRight w:val="0"/>
          <w:marTop w:val="0"/>
          <w:marBottom w:val="0"/>
          <w:divBdr>
            <w:top w:val="none" w:sz="0" w:space="0" w:color="auto"/>
            <w:left w:val="none" w:sz="0" w:space="0" w:color="auto"/>
            <w:bottom w:val="none" w:sz="0" w:space="0" w:color="auto"/>
            <w:right w:val="none" w:sz="0" w:space="0" w:color="auto"/>
          </w:divBdr>
          <w:divsChild>
            <w:div w:id="1043024186">
              <w:marLeft w:val="0"/>
              <w:marRight w:val="0"/>
              <w:marTop w:val="0"/>
              <w:marBottom w:val="0"/>
              <w:divBdr>
                <w:top w:val="none" w:sz="0" w:space="0" w:color="auto"/>
                <w:left w:val="none" w:sz="0" w:space="0" w:color="auto"/>
                <w:bottom w:val="none" w:sz="0" w:space="0" w:color="auto"/>
                <w:right w:val="none" w:sz="0" w:space="0" w:color="auto"/>
              </w:divBdr>
              <w:divsChild>
                <w:div w:id="1401639533">
                  <w:marLeft w:val="0"/>
                  <w:marRight w:val="0"/>
                  <w:marTop w:val="0"/>
                  <w:marBottom w:val="0"/>
                  <w:divBdr>
                    <w:top w:val="none" w:sz="0" w:space="0" w:color="auto"/>
                    <w:left w:val="none" w:sz="0" w:space="0" w:color="auto"/>
                    <w:bottom w:val="none" w:sz="0" w:space="0" w:color="auto"/>
                    <w:right w:val="none" w:sz="0" w:space="0" w:color="auto"/>
                  </w:divBdr>
                  <w:divsChild>
                    <w:div w:id="12604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33352">
      <w:bodyDiv w:val="1"/>
      <w:marLeft w:val="0"/>
      <w:marRight w:val="0"/>
      <w:marTop w:val="0"/>
      <w:marBottom w:val="0"/>
      <w:divBdr>
        <w:top w:val="none" w:sz="0" w:space="0" w:color="auto"/>
        <w:left w:val="none" w:sz="0" w:space="0" w:color="auto"/>
        <w:bottom w:val="none" w:sz="0" w:space="0" w:color="auto"/>
        <w:right w:val="none" w:sz="0" w:space="0" w:color="auto"/>
      </w:divBdr>
      <w:divsChild>
        <w:div w:id="1725333167">
          <w:marLeft w:val="0"/>
          <w:marRight w:val="0"/>
          <w:marTop w:val="0"/>
          <w:marBottom w:val="0"/>
          <w:divBdr>
            <w:top w:val="none" w:sz="0" w:space="0" w:color="auto"/>
            <w:left w:val="none" w:sz="0" w:space="0" w:color="auto"/>
            <w:bottom w:val="none" w:sz="0" w:space="0" w:color="auto"/>
            <w:right w:val="none" w:sz="0" w:space="0" w:color="auto"/>
          </w:divBdr>
          <w:divsChild>
            <w:div w:id="2047634439">
              <w:marLeft w:val="0"/>
              <w:marRight w:val="0"/>
              <w:marTop w:val="0"/>
              <w:marBottom w:val="0"/>
              <w:divBdr>
                <w:top w:val="single" w:sz="2" w:space="0" w:color="FFFFFF"/>
                <w:left w:val="single" w:sz="6" w:space="0" w:color="FFFFFF"/>
                <w:bottom w:val="single" w:sz="6" w:space="0" w:color="FFFFFF"/>
                <w:right w:val="single" w:sz="6" w:space="0" w:color="FFFFFF"/>
              </w:divBdr>
              <w:divsChild>
                <w:div w:id="1731343423">
                  <w:marLeft w:val="0"/>
                  <w:marRight w:val="0"/>
                  <w:marTop w:val="0"/>
                  <w:marBottom w:val="0"/>
                  <w:divBdr>
                    <w:top w:val="none" w:sz="0" w:space="0" w:color="auto"/>
                    <w:left w:val="none" w:sz="0" w:space="0" w:color="auto"/>
                    <w:bottom w:val="none" w:sz="0" w:space="0" w:color="auto"/>
                    <w:right w:val="none" w:sz="0" w:space="0" w:color="auto"/>
                  </w:divBdr>
                  <w:divsChild>
                    <w:div w:id="1029993199">
                      <w:marLeft w:val="0"/>
                      <w:marRight w:val="0"/>
                      <w:marTop w:val="0"/>
                      <w:marBottom w:val="0"/>
                      <w:divBdr>
                        <w:top w:val="none" w:sz="0" w:space="0" w:color="auto"/>
                        <w:left w:val="none" w:sz="0" w:space="0" w:color="auto"/>
                        <w:bottom w:val="none" w:sz="0" w:space="0" w:color="auto"/>
                        <w:right w:val="none" w:sz="0" w:space="0" w:color="auto"/>
                      </w:divBdr>
                      <w:divsChild>
                        <w:div w:id="1494418647">
                          <w:marLeft w:val="0"/>
                          <w:marRight w:val="0"/>
                          <w:marTop w:val="0"/>
                          <w:marBottom w:val="0"/>
                          <w:divBdr>
                            <w:top w:val="none" w:sz="0" w:space="0" w:color="auto"/>
                            <w:left w:val="none" w:sz="0" w:space="0" w:color="auto"/>
                            <w:bottom w:val="none" w:sz="0" w:space="0" w:color="auto"/>
                            <w:right w:val="none" w:sz="0" w:space="0" w:color="auto"/>
                          </w:divBdr>
                          <w:divsChild>
                            <w:div w:id="1965848056">
                              <w:marLeft w:val="0"/>
                              <w:marRight w:val="0"/>
                              <w:marTop w:val="0"/>
                              <w:marBottom w:val="0"/>
                              <w:divBdr>
                                <w:top w:val="none" w:sz="0" w:space="0" w:color="auto"/>
                                <w:left w:val="none" w:sz="0" w:space="0" w:color="auto"/>
                                <w:bottom w:val="none" w:sz="0" w:space="0" w:color="auto"/>
                                <w:right w:val="none" w:sz="0" w:space="0" w:color="auto"/>
                              </w:divBdr>
                              <w:divsChild>
                                <w:div w:id="1947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97668">
      <w:bodyDiv w:val="1"/>
      <w:marLeft w:val="0"/>
      <w:marRight w:val="0"/>
      <w:marTop w:val="0"/>
      <w:marBottom w:val="0"/>
      <w:divBdr>
        <w:top w:val="none" w:sz="0" w:space="0" w:color="auto"/>
        <w:left w:val="none" w:sz="0" w:space="0" w:color="auto"/>
        <w:bottom w:val="none" w:sz="0" w:space="0" w:color="auto"/>
        <w:right w:val="none" w:sz="0" w:space="0" w:color="auto"/>
      </w:divBdr>
      <w:divsChild>
        <w:div w:id="435292211">
          <w:marLeft w:val="0"/>
          <w:marRight w:val="0"/>
          <w:marTop w:val="0"/>
          <w:marBottom w:val="0"/>
          <w:divBdr>
            <w:top w:val="none" w:sz="0" w:space="0" w:color="auto"/>
            <w:left w:val="none" w:sz="0" w:space="0" w:color="auto"/>
            <w:bottom w:val="none" w:sz="0" w:space="0" w:color="auto"/>
            <w:right w:val="none" w:sz="0" w:space="0" w:color="auto"/>
          </w:divBdr>
          <w:divsChild>
            <w:div w:id="486677683">
              <w:marLeft w:val="0"/>
              <w:marRight w:val="0"/>
              <w:marTop w:val="0"/>
              <w:marBottom w:val="0"/>
              <w:divBdr>
                <w:top w:val="none" w:sz="0" w:space="0" w:color="auto"/>
                <w:left w:val="none" w:sz="0" w:space="0" w:color="auto"/>
                <w:bottom w:val="none" w:sz="0" w:space="0" w:color="auto"/>
                <w:right w:val="none" w:sz="0" w:space="0" w:color="auto"/>
              </w:divBdr>
              <w:divsChild>
                <w:div w:id="9670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4710">
      <w:bodyDiv w:val="1"/>
      <w:marLeft w:val="0"/>
      <w:marRight w:val="0"/>
      <w:marTop w:val="0"/>
      <w:marBottom w:val="0"/>
      <w:divBdr>
        <w:top w:val="none" w:sz="0" w:space="0" w:color="auto"/>
        <w:left w:val="none" w:sz="0" w:space="0" w:color="auto"/>
        <w:bottom w:val="none" w:sz="0" w:space="0" w:color="auto"/>
        <w:right w:val="none" w:sz="0" w:space="0" w:color="auto"/>
      </w:divBdr>
      <w:divsChild>
        <w:div w:id="841428040">
          <w:marLeft w:val="0"/>
          <w:marRight w:val="0"/>
          <w:marTop w:val="0"/>
          <w:marBottom w:val="0"/>
          <w:divBdr>
            <w:top w:val="none" w:sz="0" w:space="0" w:color="auto"/>
            <w:left w:val="none" w:sz="0" w:space="0" w:color="auto"/>
            <w:bottom w:val="none" w:sz="0" w:space="0" w:color="auto"/>
            <w:right w:val="none" w:sz="0" w:space="0" w:color="auto"/>
          </w:divBdr>
          <w:divsChild>
            <w:div w:id="177239380">
              <w:marLeft w:val="0"/>
              <w:marRight w:val="0"/>
              <w:marTop w:val="0"/>
              <w:marBottom w:val="0"/>
              <w:divBdr>
                <w:top w:val="none" w:sz="0" w:space="0" w:color="auto"/>
                <w:left w:val="none" w:sz="0" w:space="0" w:color="auto"/>
                <w:bottom w:val="none" w:sz="0" w:space="0" w:color="auto"/>
                <w:right w:val="none" w:sz="0" w:space="0" w:color="auto"/>
              </w:divBdr>
              <w:divsChild>
                <w:div w:id="1285384937">
                  <w:marLeft w:val="0"/>
                  <w:marRight w:val="0"/>
                  <w:marTop w:val="0"/>
                  <w:marBottom w:val="0"/>
                  <w:divBdr>
                    <w:top w:val="none" w:sz="0" w:space="0" w:color="auto"/>
                    <w:left w:val="none" w:sz="0" w:space="0" w:color="auto"/>
                    <w:bottom w:val="none" w:sz="0" w:space="0" w:color="auto"/>
                    <w:right w:val="none" w:sz="0" w:space="0" w:color="auto"/>
                  </w:divBdr>
                  <w:divsChild>
                    <w:div w:id="13704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2686">
      <w:bodyDiv w:val="1"/>
      <w:marLeft w:val="0"/>
      <w:marRight w:val="0"/>
      <w:marTop w:val="0"/>
      <w:marBottom w:val="0"/>
      <w:divBdr>
        <w:top w:val="none" w:sz="0" w:space="0" w:color="auto"/>
        <w:left w:val="none" w:sz="0" w:space="0" w:color="auto"/>
        <w:bottom w:val="none" w:sz="0" w:space="0" w:color="auto"/>
        <w:right w:val="none" w:sz="0" w:space="0" w:color="auto"/>
      </w:divBdr>
    </w:div>
    <w:div w:id="1610821726">
      <w:bodyDiv w:val="1"/>
      <w:marLeft w:val="0"/>
      <w:marRight w:val="0"/>
      <w:marTop w:val="0"/>
      <w:marBottom w:val="0"/>
      <w:divBdr>
        <w:top w:val="none" w:sz="0" w:space="0" w:color="auto"/>
        <w:left w:val="none" w:sz="0" w:space="0" w:color="auto"/>
        <w:bottom w:val="none" w:sz="0" w:space="0" w:color="auto"/>
        <w:right w:val="none" w:sz="0" w:space="0" w:color="auto"/>
      </w:divBdr>
      <w:divsChild>
        <w:div w:id="258760867">
          <w:marLeft w:val="0"/>
          <w:marRight w:val="0"/>
          <w:marTop w:val="0"/>
          <w:marBottom w:val="0"/>
          <w:divBdr>
            <w:top w:val="none" w:sz="0" w:space="0" w:color="auto"/>
            <w:left w:val="none" w:sz="0" w:space="0" w:color="auto"/>
            <w:bottom w:val="none" w:sz="0" w:space="0" w:color="auto"/>
            <w:right w:val="none" w:sz="0" w:space="0" w:color="auto"/>
          </w:divBdr>
          <w:divsChild>
            <w:div w:id="1729717395">
              <w:marLeft w:val="0"/>
              <w:marRight w:val="0"/>
              <w:marTop w:val="0"/>
              <w:marBottom w:val="0"/>
              <w:divBdr>
                <w:top w:val="none" w:sz="0" w:space="0" w:color="auto"/>
                <w:left w:val="none" w:sz="0" w:space="0" w:color="auto"/>
                <w:bottom w:val="none" w:sz="0" w:space="0" w:color="auto"/>
                <w:right w:val="none" w:sz="0" w:space="0" w:color="auto"/>
              </w:divBdr>
              <w:divsChild>
                <w:div w:id="1014922108">
                  <w:marLeft w:val="0"/>
                  <w:marRight w:val="0"/>
                  <w:marTop w:val="0"/>
                  <w:marBottom w:val="0"/>
                  <w:divBdr>
                    <w:top w:val="none" w:sz="0" w:space="0" w:color="auto"/>
                    <w:left w:val="none" w:sz="0" w:space="0" w:color="auto"/>
                    <w:bottom w:val="none" w:sz="0" w:space="0" w:color="auto"/>
                    <w:right w:val="none" w:sz="0" w:space="0" w:color="auto"/>
                  </w:divBdr>
                </w:div>
              </w:divsChild>
            </w:div>
            <w:div w:id="1823043365">
              <w:marLeft w:val="0"/>
              <w:marRight w:val="0"/>
              <w:marTop w:val="0"/>
              <w:marBottom w:val="0"/>
              <w:divBdr>
                <w:top w:val="none" w:sz="0" w:space="0" w:color="auto"/>
                <w:left w:val="none" w:sz="0" w:space="0" w:color="auto"/>
                <w:bottom w:val="none" w:sz="0" w:space="0" w:color="auto"/>
                <w:right w:val="none" w:sz="0" w:space="0" w:color="auto"/>
              </w:divBdr>
              <w:divsChild>
                <w:div w:id="19778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785">
      <w:bodyDiv w:val="1"/>
      <w:marLeft w:val="0"/>
      <w:marRight w:val="0"/>
      <w:marTop w:val="0"/>
      <w:marBottom w:val="0"/>
      <w:divBdr>
        <w:top w:val="none" w:sz="0" w:space="0" w:color="auto"/>
        <w:left w:val="none" w:sz="0" w:space="0" w:color="auto"/>
        <w:bottom w:val="none" w:sz="0" w:space="0" w:color="auto"/>
        <w:right w:val="none" w:sz="0" w:space="0" w:color="auto"/>
      </w:divBdr>
    </w:div>
    <w:div w:id="2114520353">
      <w:bodyDiv w:val="1"/>
      <w:marLeft w:val="0"/>
      <w:marRight w:val="0"/>
      <w:marTop w:val="0"/>
      <w:marBottom w:val="0"/>
      <w:divBdr>
        <w:top w:val="none" w:sz="0" w:space="0" w:color="auto"/>
        <w:left w:val="none" w:sz="0" w:space="0" w:color="auto"/>
        <w:bottom w:val="none" w:sz="0" w:space="0" w:color="auto"/>
        <w:right w:val="none" w:sz="0" w:space="0" w:color="auto"/>
      </w:divBdr>
      <w:divsChild>
        <w:div w:id="17319317">
          <w:marLeft w:val="0"/>
          <w:marRight w:val="0"/>
          <w:marTop w:val="0"/>
          <w:marBottom w:val="0"/>
          <w:divBdr>
            <w:top w:val="none" w:sz="0" w:space="0" w:color="auto"/>
            <w:left w:val="none" w:sz="0" w:space="0" w:color="auto"/>
            <w:bottom w:val="none" w:sz="0" w:space="0" w:color="auto"/>
            <w:right w:val="none" w:sz="0" w:space="0" w:color="auto"/>
          </w:divBdr>
          <w:divsChild>
            <w:div w:id="1966542696">
              <w:marLeft w:val="0"/>
              <w:marRight w:val="0"/>
              <w:marTop w:val="0"/>
              <w:marBottom w:val="0"/>
              <w:divBdr>
                <w:top w:val="none" w:sz="0" w:space="0" w:color="auto"/>
                <w:left w:val="none" w:sz="0" w:space="0" w:color="auto"/>
                <w:bottom w:val="none" w:sz="0" w:space="0" w:color="auto"/>
                <w:right w:val="none" w:sz="0" w:space="0" w:color="auto"/>
              </w:divBdr>
              <w:divsChild>
                <w:div w:id="1919825840">
                  <w:marLeft w:val="0"/>
                  <w:marRight w:val="0"/>
                  <w:marTop w:val="0"/>
                  <w:marBottom w:val="0"/>
                  <w:divBdr>
                    <w:top w:val="none" w:sz="0" w:space="0" w:color="auto"/>
                    <w:left w:val="none" w:sz="0" w:space="0" w:color="auto"/>
                    <w:bottom w:val="none" w:sz="0" w:space="0" w:color="auto"/>
                    <w:right w:val="none" w:sz="0" w:space="0" w:color="auto"/>
                  </w:divBdr>
                </w:div>
              </w:divsChild>
            </w:div>
            <w:div w:id="830560275">
              <w:marLeft w:val="0"/>
              <w:marRight w:val="0"/>
              <w:marTop w:val="0"/>
              <w:marBottom w:val="0"/>
              <w:divBdr>
                <w:top w:val="none" w:sz="0" w:space="0" w:color="auto"/>
                <w:left w:val="none" w:sz="0" w:space="0" w:color="auto"/>
                <w:bottom w:val="none" w:sz="0" w:space="0" w:color="auto"/>
                <w:right w:val="none" w:sz="0" w:space="0" w:color="auto"/>
              </w:divBdr>
              <w:divsChild>
                <w:div w:id="5745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lfareconditionality.ac.uk/publications/first-wave-findings-social-housing/" TargetMode="External"/><Relationship Id="rId3" Type="http://schemas.openxmlformats.org/officeDocument/2006/relationships/hyperlink" Target="http://www.local.gov.uk/documents/10180/5533246/LGA+Briefing+-+Housing+and+Planning+Bill+-+Lords+-+Third+Reading+-+27+April.pdf/0b77df64-263c-479e-a6d2-d52682218a82" TargetMode="External"/><Relationship Id="rId7" Type="http://schemas.openxmlformats.org/officeDocument/2006/relationships/hyperlink" Target="http://www.insidehousing.co.uk/housing-associations-reclassified-as-public-sector/7012511.article" TargetMode="External"/><Relationship Id="rId2" Type="http://schemas.openxmlformats.org/officeDocument/2006/relationships/hyperlink" Target="http://press.conservatives.com/post/147947450370/we-can-make-britain-a-country-that-works-for" TargetMode="External"/><Relationship Id="rId1" Type="http://schemas.openxmlformats.org/officeDocument/2006/relationships/hyperlink" Target="https://www.theguardian.com/commentisfree/2016/may/08/the-guardian-view-on-the-housing-bill-ideological-overreach" TargetMode="External"/><Relationship Id="rId6" Type="http://schemas.openxmlformats.org/officeDocument/2006/relationships/hyperlink" Target="https://www.gov.uk/government/news/new-rules-will-help-end-prejudices-about-social-housing--2" TargetMode="External"/><Relationship Id="rId11" Type="http://schemas.openxmlformats.org/officeDocument/2006/relationships/hyperlink" Target="http://www.resolutionfoundation.org/wp-content/uploads/2015/10/Low-Pay-Britain-2015.pdf" TargetMode="External"/><Relationship Id="rId5" Type="http://schemas.openxmlformats.org/officeDocument/2006/relationships/hyperlink" Target="http://www.insidehousing.co.uk/1-of-tenants-take-up-the-right-to-buy/7014793.article" TargetMode="External"/><Relationship Id="rId10" Type="http://schemas.openxmlformats.org/officeDocument/2006/relationships/hyperlink" Target="http://www.resolutionfoundation.org/media/press-releases/home-ownership-struggle-hits-coronation-street/" TargetMode="External"/><Relationship Id="rId4" Type="http://schemas.openxmlformats.org/officeDocument/2006/relationships/hyperlink" Target="http://nationalhousingfederation.newsweaver.com/icfiles/1/55885/161177/5359868/a266db71336fb8bfef6fbbf2/rtb%20offer%20final%20fed_2.pdf" TargetMode="External"/><Relationship Id="rId9" Type="http://schemas.openxmlformats.org/officeDocument/2006/relationships/hyperlink" Target="https://www.gov.uk/government/news/a-fairer-future-for-social-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8DB2-CBF9-4FBA-962F-C0E11998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8648</Words>
  <Characters>49297</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2017-06-23T15:17:00Z</dcterms:created>
  <dcterms:modified xsi:type="dcterms:W3CDTF">2017-06-23T15:17:00Z</dcterms:modified>
</cp:coreProperties>
</file>