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23C931" w14:textId="794A3689" w:rsidR="0050221E" w:rsidRPr="00EA3427" w:rsidRDefault="00E502C7" w:rsidP="00B43545">
      <w:pPr>
        <w:jc w:val="center"/>
        <w:rPr>
          <w:rFonts w:asciiTheme="majorBidi" w:hAnsiTheme="majorBidi" w:cstheme="majorBidi"/>
          <w:b/>
          <w:bCs/>
          <w:sz w:val="28"/>
          <w:szCs w:val="28"/>
          <w:u w:val="single"/>
        </w:rPr>
      </w:pPr>
      <w:r w:rsidRPr="00EA3427">
        <w:rPr>
          <w:rFonts w:asciiTheme="majorBidi" w:hAnsiTheme="majorBidi" w:cstheme="majorBidi"/>
          <w:b/>
          <w:bCs/>
          <w:sz w:val="28"/>
          <w:szCs w:val="28"/>
          <w:u w:val="single"/>
        </w:rPr>
        <w:t>How far is a long distance</w:t>
      </w:r>
      <w:r w:rsidR="0050221E" w:rsidRPr="00EA3427">
        <w:rPr>
          <w:rFonts w:asciiTheme="majorBidi" w:hAnsiTheme="majorBidi" w:cstheme="majorBidi"/>
          <w:b/>
          <w:bCs/>
          <w:sz w:val="28"/>
          <w:szCs w:val="28"/>
          <w:u w:val="single"/>
        </w:rPr>
        <w:t xml:space="preserve">? </w:t>
      </w:r>
      <w:r w:rsidR="00B43545" w:rsidRPr="00EA3427">
        <w:rPr>
          <w:rFonts w:asciiTheme="majorBidi" w:hAnsiTheme="majorBidi" w:cstheme="majorBidi"/>
          <w:b/>
          <w:bCs/>
          <w:sz w:val="28"/>
          <w:szCs w:val="28"/>
          <w:u w:val="single"/>
        </w:rPr>
        <w:t>An assessment of the issue of scale in the relationship between limiting long term illness and long distance migration in England and Wales</w:t>
      </w:r>
    </w:p>
    <w:p w14:paraId="5B5937CF" w14:textId="20F852AE" w:rsidR="00A97077" w:rsidRPr="00EA3427" w:rsidRDefault="00A97077" w:rsidP="0050221E">
      <w:pPr>
        <w:jc w:val="center"/>
        <w:rPr>
          <w:rFonts w:asciiTheme="majorBidi" w:hAnsiTheme="majorBidi" w:cstheme="majorBidi"/>
          <w:b/>
          <w:bCs/>
          <w:sz w:val="28"/>
          <w:szCs w:val="28"/>
          <w:u w:val="single"/>
        </w:rPr>
      </w:pPr>
      <w:r w:rsidRPr="00EA3427">
        <w:rPr>
          <w:rFonts w:asciiTheme="majorBidi" w:hAnsiTheme="majorBidi" w:cstheme="majorBidi"/>
          <w:b/>
          <w:bCs/>
          <w:sz w:val="28"/>
          <w:szCs w:val="28"/>
          <w:u w:val="single"/>
        </w:rPr>
        <w:t>Abstract</w:t>
      </w:r>
    </w:p>
    <w:p w14:paraId="08BEF637" w14:textId="418590FD" w:rsidR="00A97077" w:rsidRPr="00EA3427" w:rsidRDefault="003803D0" w:rsidP="003B431B">
      <w:pPr>
        <w:spacing w:after="0" w:line="480" w:lineRule="auto"/>
        <w:rPr>
          <w:rFonts w:asciiTheme="majorBidi" w:hAnsiTheme="majorBidi" w:cstheme="majorBidi"/>
        </w:rPr>
      </w:pPr>
      <w:r w:rsidRPr="00EA3427">
        <w:rPr>
          <w:rFonts w:asciiTheme="majorBidi" w:hAnsiTheme="majorBidi" w:cstheme="majorBidi"/>
        </w:rPr>
        <w:t>Research consistently shows that those in poor health are less likely to migrate over long distance</w:t>
      </w:r>
      <w:r w:rsidR="00667E0E" w:rsidRPr="00EA3427">
        <w:rPr>
          <w:rFonts w:asciiTheme="majorBidi" w:hAnsiTheme="majorBidi" w:cstheme="majorBidi"/>
        </w:rPr>
        <w:t>s, but analyses rarely consider what</w:t>
      </w:r>
      <w:r w:rsidR="00277F4A" w:rsidRPr="00EA3427">
        <w:rPr>
          <w:rFonts w:asciiTheme="majorBidi" w:hAnsiTheme="majorBidi" w:cstheme="majorBidi"/>
        </w:rPr>
        <w:t xml:space="preserve"> constitutes a long distance in this context</w:t>
      </w:r>
      <w:r w:rsidR="00C5490A" w:rsidRPr="00EA3427">
        <w:rPr>
          <w:rFonts w:asciiTheme="majorBidi" w:hAnsiTheme="majorBidi" w:cstheme="majorBidi"/>
        </w:rPr>
        <w:t>.</w:t>
      </w:r>
      <w:r w:rsidR="00FD4834" w:rsidRPr="00EA3427">
        <w:rPr>
          <w:rFonts w:asciiTheme="majorBidi" w:hAnsiTheme="majorBidi" w:cstheme="majorBidi"/>
        </w:rPr>
        <w:t xml:space="preserve"> Additionally, the migration literature often fails to account for </w:t>
      </w:r>
      <w:r w:rsidR="003B431B">
        <w:rPr>
          <w:rFonts w:asciiTheme="majorBidi" w:hAnsiTheme="majorBidi" w:cstheme="majorBidi"/>
        </w:rPr>
        <w:t>place of residence effects on</w:t>
      </w:r>
      <w:r w:rsidR="00FD4834" w:rsidRPr="00EA3427">
        <w:rPr>
          <w:rFonts w:asciiTheme="majorBidi" w:hAnsiTheme="majorBidi" w:cstheme="majorBidi"/>
        </w:rPr>
        <w:t xml:space="preserve"> migration behaviour.</w:t>
      </w:r>
      <w:r w:rsidR="00C5490A" w:rsidRPr="00EA3427">
        <w:rPr>
          <w:rFonts w:asciiTheme="majorBidi" w:hAnsiTheme="majorBidi" w:cstheme="majorBidi"/>
        </w:rPr>
        <w:t xml:space="preserve"> </w:t>
      </w:r>
      <w:r w:rsidR="00A97077" w:rsidRPr="00EA3427">
        <w:rPr>
          <w:rFonts w:asciiTheme="majorBidi" w:hAnsiTheme="majorBidi" w:cstheme="majorBidi"/>
        </w:rPr>
        <w:t>This paper address</w:t>
      </w:r>
      <w:bookmarkStart w:id="0" w:name="_GoBack"/>
      <w:bookmarkEnd w:id="0"/>
      <w:r w:rsidR="00A97077" w:rsidRPr="00EA3427">
        <w:rPr>
          <w:rFonts w:asciiTheme="majorBidi" w:hAnsiTheme="majorBidi" w:cstheme="majorBidi"/>
        </w:rPr>
        <w:t>es th</w:t>
      </w:r>
      <w:r w:rsidR="00FD4834" w:rsidRPr="00EA3427">
        <w:rPr>
          <w:rFonts w:asciiTheme="majorBidi" w:hAnsiTheme="majorBidi" w:cstheme="majorBidi"/>
        </w:rPr>
        <w:t>ese</w:t>
      </w:r>
      <w:r w:rsidR="00A97077" w:rsidRPr="00EA3427">
        <w:rPr>
          <w:rFonts w:asciiTheme="majorBidi" w:hAnsiTheme="majorBidi" w:cstheme="majorBidi"/>
        </w:rPr>
        <w:t xml:space="preserve"> issue</w:t>
      </w:r>
      <w:r w:rsidR="00FD4834" w:rsidRPr="00EA3427">
        <w:rPr>
          <w:rFonts w:asciiTheme="majorBidi" w:hAnsiTheme="majorBidi" w:cstheme="majorBidi"/>
        </w:rPr>
        <w:t>s</w:t>
      </w:r>
      <w:r w:rsidR="00A97077" w:rsidRPr="00EA3427">
        <w:rPr>
          <w:rFonts w:asciiTheme="majorBidi" w:hAnsiTheme="majorBidi" w:cstheme="majorBidi"/>
        </w:rPr>
        <w:t xml:space="preserve"> </w:t>
      </w:r>
      <w:r w:rsidR="00FD4834" w:rsidRPr="00EA3427">
        <w:rPr>
          <w:rFonts w:asciiTheme="majorBidi" w:hAnsiTheme="majorBidi" w:cstheme="majorBidi"/>
        </w:rPr>
        <w:t>through analysis</w:t>
      </w:r>
      <w:r w:rsidR="00277F4A" w:rsidRPr="00EA3427">
        <w:rPr>
          <w:rFonts w:asciiTheme="majorBidi" w:hAnsiTheme="majorBidi" w:cstheme="majorBidi"/>
        </w:rPr>
        <w:t xml:space="preserve"> on </w:t>
      </w:r>
      <w:r w:rsidR="0032795E" w:rsidRPr="00EA3427">
        <w:rPr>
          <w:rFonts w:asciiTheme="majorBidi" w:hAnsiTheme="majorBidi" w:cstheme="majorBidi"/>
        </w:rPr>
        <w:t>the distance of residential moves</w:t>
      </w:r>
      <w:r w:rsidR="006C00B4" w:rsidRPr="00EA3427">
        <w:rPr>
          <w:rFonts w:asciiTheme="majorBidi" w:hAnsiTheme="majorBidi" w:cstheme="majorBidi"/>
        </w:rPr>
        <w:t xml:space="preserve"> by working age adults</w:t>
      </w:r>
      <w:r w:rsidR="0032795E" w:rsidRPr="00EA3427">
        <w:rPr>
          <w:rFonts w:asciiTheme="majorBidi" w:hAnsiTheme="majorBidi" w:cstheme="majorBidi"/>
        </w:rPr>
        <w:t xml:space="preserve"> in the year preceding the 2011 Census</w:t>
      </w:r>
      <w:r w:rsidR="00FD4834" w:rsidRPr="00EA3427">
        <w:rPr>
          <w:rFonts w:asciiTheme="majorBidi" w:hAnsiTheme="majorBidi" w:cstheme="majorBidi"/>
        </w:rPr>
        <w:t>. M</w:t>
      </w:r>
      <w:r w:rsidR="0032795E" w:rsidRPr="00EA3427">
        <w:rPr>
          <w:rFonts w:asciiTheme="majorBidi" w:hAnsiTheme="majorBidi" w:cstheme="majorBidi"/>
        </w:rPr>
        <w:t>ultilevel</w:t>
      </w:r>
      <w:r w:rsidR="00A97077" w:rsidRPr="00EA3427">
        <w:rPr>
          <w:rFonts w:asciiTheme="majorBidi" w:hAnsiTheme="majorBidi" w:cstheme="majorBidi"/>
        </w:rPr>
        <w:t xml:space="preserve"> logistic</w:t>
      </w:r>
      <w:r w:rsidR="0029056B">
        <w:rPr>
          <w:rFonts w:asciiTheme="majorBidi" w:hAnsiTheme="majorBidi" w:cstheme="majorBidi"/>
        </w:rPr>
        <w:t xml:space="preserve"> regression</w:t>
      </w:r>
      <w:r w:rsidR="00A97077" w:rsidRPr="00EA3427">
        <w:rPr>
          <w:rFonts w:asciiTheme="majorBidi" w:hAnsiTheme="majorBidi" w:cstheme="majorBidi"/>
        </w:rPr>
        <w:t xml:space="preserve"> models predict the odds of </w:t>
      </w:r>
      <w:r w:rsidR="008552ED" w:rsidRPr="00EA3427">
        <w:rPr>
          <w:rFonts w:asciiTheme="majorBidi" w:hAnsiTheme="majorBidi" w:cstheme="majorBidi"/>
        </w:rPr>
        <w:t>having moved</w:t>
      </w:r>
      <w:r w:rsidRPr="00EA3427">
        <w:rPr>
          <w:rFonts w:asciiTheme="majorBidi" w:hAnsiTheme="majorBidi" w:cstheme="majorBidi"/>
        </w:rPr>
        <w:t xml:space="preserve"> long distance</w:t>
      </w:r>
      <w:r w:rsidR="006C00B4" w:rsidRPr="00EA3427">
        <w:rPr>
          <w:rFonts w:asciiTheme="majorBidi" w:hAnsiTheme="majorBidi" w:cstheme="majorBidi"/>
        </w:rPr>
        <w:t xml:space="preserve"> relative to short distance,</w:t>
      </w:r>
      <w:r w:rsidR="00A97077" w:rsidRPr="00EA3427">
        <w:rPr>
          <w:rFonts w:asciiTheme="majorBidi" w:hAnsiTheme="majorBidi" w:cstheme="majorBidi"/>
        </w:rPr>
        <w:t xml:space="preserve"> </w:t>
      </w:r>
      <w:r w:rsidR="003C244D" w:rsidRPr="00EA3427">
        <w:rPr>
          <w:rFonts w:asciiTheme="majorBidi" w:hAnsiTheme="majorBidi" w:cstheme="majorBidi"/>
        </w:rPr>
        <w:t>for different</w:t>
      </w:r>
      <w:r w:rsidR="0032795E" w:rsidRPr="00EA3427">
        <w:rPr>
          <w:rFonts w:asciiTheme="majorBidi" w:hAnsiTheme="majorBidi" w:cstheme="majorBidi"/>
        </w:rPr>
        <w:t xml:space="preserve"> definitions of long distance</w:t>
      </w:r>
      <w:r w:rsidR="006C00B4" w:rsidRPr="00EA3427">
        <w:rPr>
          <w:rFonts w:asciiTheme="majorBidi" w:hAnsiTheme="majorBidi" w:cstheme="majorBidi"/>
        </w:rPr>
        <w:t>: 10km+, 20km+ and 50km+</w:t>
      </w:r>
      <w:r w:rsidR="0032795E" w:rsidRPr="00EA3427">
        <w:rPr>
          <w:rFonts w:asciiTheme="majorBidi" w:hAnsiTheme="majorBidi" w:cstheme="majorBidi"/>
        </w:rPr>
        <w:t>.</w:t>
      </w:r>
      <w:r w:rsidR="00A97077" w:rsidRPr="00EA3427">
        <w:rPr>
          <w:rFonts w:asciiTheme="majorBidi" w:hAnsiTheme="majorBidi" w:cstheme="majorBidi"/>
        </w:rPr>
        <w:t xml:space="preserve"> </w:t>
      </w:r>
      <w:r w:rsidR="0032795E" w:rsidRPr="00EA3427">
        <w:rPr>
          <w:rFonts w:asciiTheme="majorBidi" w:hAnsiTheme="majorBidi" w:cstheme="majorBidi"/>
        </w:rPr>
        <w:t xml:space="preserve">We test whether </w:t>
      </w:r>
      <w:r w:rsidR="0092133C" w:rsidRPr="00EA3427">
        <w:rPr>
          <w:rFonts w:asciiTheme="majorBidi" w:hAnsiTheme="majorBidi" w:cstheme="majorBidi"/>
        </w:rPr>
        <w:t xml:space="preserve">those </w:t>
      </w:r>
      <w:r w:rsidR="00930FD6">
        <w:rPr>
          <w:rFonts w:asciiTheme="majorBidi" w:hAnsiTheme="majorBidi" w:cstheme="majorBidi"/>
        </w:rPr>
        <w:t>reporting a Limiting Long Term I</w:t>
      </w:r>
      <w:r w:rsidR="00D000A1">
        <w:rPr>
          <w:rFonts w:asciiTheme="majorBidi" w:hAnsiTheme="majorBidi" w:cstheme="majorBidi"/>
        </w:rPr>
        <w:t>llness (LLTI)</w:t>
      </w:r>
      <w:r w:rsidR="0092133C" w:rsidRPr="00EA3427">
        <w:rPr>
          <w:rFonts w:asciiTheme="majorBidi" w:hAnsiTheme="majorBidi" w:cstheme="majorBidi"/>
        </w:rPr>
        <w:t xml:space="preserve"> are less likely to move long distance</w:t>
      </w:r>
      <w:r w:rsidR="0032795E" w:rsidRPr="00EA3427">
        <w:rPr>
          <w:rFonts w:asciiTheme="majorBidi" w:hAnsiTheme="majorBidi" w:cstheme="majorBidi"/>
        </w:rPr>
        <w:t xml:space="preserve"> in all models</w:t>
      </w:r>
      <w:r w:rsidR="0033303D" w:rsidRPr="00EA3427">
        <w:rPr>
          <w:rFonts w:asciiTheme="majorBidi" w:hAnsiTheme="majorBidi" w:cstheme="majorBidi"/>
        </w:rPr>
        <w:t xml:space="preserve">, </w:t>
      </w:r>
      <w:r w:rsidR="00A97077" w:rsidRPr="00EA3427">
        <w:rPr>
          <w:rFonts w:asciiTheme="majorBidi" w:hAnsiTheme="majorBidi" w:cstheme="majorBidi"/>
        </w:rPr>
        <w:t xml:space="preserve">controlling for </w:t>
      </w:r>
      <w:r w:rsidR="00FD4834" w:rsidRPr="00EA3427">
        <w:rPr>
          <w:rFonts w:asciiTheme="majorBidi" w:hAnsiTheme="majorBidi" w:cstheme="majorBidi"/>
        </w:rPr>
        <w:t>local authority at the time of the 2011 Census</w:t>
      </w:r>
      <w:r w:rsidR="00A97077" w:rsidRPr="00EA3427">
        <w:rPr>
          <w:rFonts w:asciiTheme="majorBidi" w:hAnsiTheme="majorBidi" w:cstheme="majorBidi"/>
        </w:rPr>
        <w:t xml:space="preserve">. </w:t>
      </w:r>
      <w:r w:rsidR="000E08B3" w:rsidRPr="00EA3427">
        <w:rPr>
          <w:rFonts w:asciiTheme="majorBidi" w:hAnsiTheme="majorBidi" w:cstheme="majorBidi"/>
        </w:rPr>
        <w:t>We find</w:t>
      </w:r>
      <w:r w:rsidR="006C00B4" w:rsidRPr="00EA3427">
        <w:rPr>
          <w:rFonts w:asciiTheme="majorBidi" w:hAnsiTheme="majorBidi" w:cstheme="majorBidi"/>
        </w:rPr>
        <w:t xml:space="preserve"> no evidence for health-selectivity in long distance migration in the 10 and 20km models, but uncover a significant effect in the 50km model. By age, the odds of </w:t>
      </w:r>
      <w:r w:rsidR="008552ED" w:rsidRPr="00EA3427">
        <w:rPr>
          <w:rFonts w:asciiTheme="majorBidi" w:hAnsiTheme="majorBidi" w:cstheme="majorBidi"/>
        </w:rPr>
        <w:t>having moved</w:t>
      </w:r>
      <w:r w:rsidR="006C00B4" w:rsidRPr="00EA3427">
        <w:rPr>
          <w:rFonts w:asciiTheme="majorBidi" w:hAnsiTheme="majorBidi" w:cstheme="majorBidi"/>
        </w:rPr>
        <w:t xml:space="preserve"> long distance do not vary for middle-working age adults (25-54)</w:t>
      </w:r>
      <w:r w:rsidR="000D44AA" w:rsidRPr="00EA3427">
        <w:rPr>
          <w:rFonts w:asciiTheme="majorBidi" w:hAnsiTheme="majorBidi" w:cstheme="majorBidi"/>
        </w:rPr>
        <w:t xml:space="preserve"> </w:t>
      </w:r>
      <w:r w:rsidR="00D000A1">
        <w:rPr>
          <w:rFonts w:asciiTheme="majorBidi" w:hAnsiTheme="majorBidi" w:cstheme="majorBidi"/>
        </w:rPr>
        <w:t>by LLTI</w:t>
      </w:r>
      <w:r w:rsidR="006C00B4" w:rsidRPr="00EA3427">
        <w:rPr>
          <w:rFonts w:asciiTheme="majorBidi" w:hAnsiTheme="majorBidi" w:cstheme="majorBidi"/>
        </w:rPr>
        <w:t xml:space="preserve">, whilst those </w:t>
      </w:r>
      <w:r w:rsidR="00D000A1">
        <w:rPr>
          <w:rFonts w:asciiTheme="majorBidi" w:hAnsiTheme="majorBidi" w:cstheme="majorBidi"/>
        </w:rPr>
        <w:t>with an LLTI</w:t>
      </w:r>
      <w:r w:rsidR="006C00B4" w:rsidRPr="00EA3427">
        <w:rPr>
          <w:rFonts w:asciiTheme="majorBidi" w:hAnsiTheme="majorBidi" w:cstheme="majorBidi"/>
        </w:rPr>
        <w:t xml:space="preserve"> in the pre-r</w:t>
      </w:r>
      <w:r w:rsidR="000D44AA" w:rsidRPr="00EA3427">
        <w:rPr>
          <w:rFonts w:asciiTheme="majorBidi" w:hAnsiTheme="majorBidi" w:cstheme="majorBidi"/>
        </w:rPr>
        <w:t>etirement age group (55-64) are</w:t>
      </w:r>
      <w:r w:rsidR="006C00B4" w:rsidRPr="00EA3427">
        <w:rPr>
          <w:rFonts w:asciiTheme="majorBidi" w:hAnsiTheme="majorBidi" w:cstheme="majorBidi"/>
        </w:rPr>
        <w:t xml:space="preserve"> less likely to move long distance in all models. </w:t>
      </w:r>
      <w:r w:rsidR="00930FD6">
        <w:rPr>
          <w:rFonts w:asciiTheme="majorBidi" w:hAnsiTheme="majorBidi" w:cstheme="majorBidi"/>
        </w:rPr>
        <w:t xml:space="preserve">We </w:t>
      </w:r>
      <w:r w:rsidR="006C00B4" w:rsidRPr="00EA3427">
        <w:rPr>
          <w:rFonts w:asciiTheme="majorBidi" w:hAnsiTheme="majorBidi" w:cstheme="majorBidi"/>
        </w:rPr>
        <w:t xml:space="preserve">uncover clusters of local authorities where those </w:t>
      </w:r>
      <w:r w:rsidR="00D000A1">
        <w:rPr>
          <w:rFonts w:asciiTheme="majorBidi" w:hAnsiTheme="majorBidi" w:cstheme="majorBidi"/>
        </w:rPr>
        <w:t>with an LLTI</w:t>
      </w:r>
      <w:r w:rsidR="006C00B4" w:rsidRPr="00EA3427">
        <w:rPr>
          <w:rFonts w:asciiTheme="majorBidi" w:hAnsiTheme="majorBidi" w:cstheme="majorBidi"/>
        </w:rPr>
        <w:t xml:space="preserve"> are more likely to </w:t>
      </w:r>
      <w:r w:rsidR="00711EC8" w:rsidRPr="00EA3427">
        <w:rPr>
          <w:rFonts w:asciiTheme="majorBidi" w:hAnsiTheme="majorBidi" w:cstheme="majorBidi"/>
        </w:rPr>
        <w:t xml:space="preserve">have </w:t>
      </w:r>
      <w:r w:rsidR="006C00B4" w:rsidRPr="00EA3427">
        <w:rPr>
          <w:rFonts w:asciiTheme="majorBidi" w:hAnsiTheme="majorBidi" w:cstheme="majorBidi"/>
        </w:rPr>
        <w:t>move</w:t>
      </w:r>
      <w:r w:rsidR="00711EC8" w:rsidRPr="00EA3427">
        <w:rPr>
          <w:rFonts w:asciiTheme="majorBidi" w:hAnsiTheme="majorBidi" w:cstheme="majorBidi"/>
        </w:rPr>
        <w:t>d</w:t>
      </w:r>
      <w:r w:rsidR="006C00B4" w:rsidRPr="00EA3427">
        <w:rPr>
          <w:rFonts w:asciiTheme="majorBidi" w:hAnsiTheme="majorBidi" w:cstheme="majorBidi"/>
        </w:rPr>
        <w:t xml:space="preserve"> long distance in the 10km and 20km models, but in the 50km model only two of these areas remain significantly positive. We conclude that health selection in distances moved </w:t>
      </w:r>
      <w:r w:rsidR="00C31CD8" w:rsidRPr="00EA3427">
        <w:rPr>
          <w:rFonts w:asciiTheme="majorBidi" w:hAnsiTheme="majorBidi" w:cstheme="majorBidi"/>
        </w:rPr>
        <w:t>occurs above a cut-off somewhere</w:t>
      </w:r>
      <w:r w:rsidR="00F90605" w:rsidRPr="00EA3427">
        <w:rPr>
          <w:rFonts w:asciiTheme="majorBidi" w:hAnsiTheme="majorBidi" w:cstheme="majorBidi"/>
        </w:rPr>
        <w:t xml:space="preserve"> between 20km and 50km</w:t>
      </w:r>
      <w:r w:rsidR="006C00B4" w:rsidRPr="00EA3427">
        <w:rPr>
          <w:rFonts w:asciiTheme="majorBidi" w:hAnsiTheme="majorBidi" w:cstheme="majorBidi"/>
        </w:rPr>
        <w:t xml:space="preserve">. </w:t>
      </w:r>
      <w:r w:rsidR="000E08B3" w:rsidRPr="00EA3427">
        <w:rPr>
          <w:rFonts w:asciiTheme="majorBidi" w:hAnsiTheme="majorBidi" w:cstheme="majorBidi"/>
        </w:rPr>
        <w:t xml:space="preserve"> </w:t>
      </w:r>
      <w:r w:rsidR="000D25E6" w:rsidRPr="00EA3427">
        <w:rPr>
          <w:rFonts w:asciiTheme="majorBidi" w:hAnsiTheme="majorBidi" w:cstheme="majorBidi"/>
        </w:rPr>
        <w:t xml:space="preserve"> </w:t>
      </w:r>
    </w:p>
    <w:p w14:paraId="08EA3D03" w14:textId="4EF30E0A" w:rsidR="0050221E" w:rsidRPr="00EA3427" w:rsidRDefault="0050221E" w:rsidP="00842CB7">
      <w:pPr>
        <w:pStyle w:val="Heading1"/>
      </w:pPr>
      <w:r w:rsidRPr="00EA3427">
        <w:t>Introduction</w:t>
      </w:r>
    </w:p>
    <w:p w14:paraId="671655B2" w14:textId="3C181FE3" w:rsidR="001A7C22" w:rsidRPr="00C0488C" w:rsidRDefault="00AA328F" w:rsidP="00AE5698">
      <w:pPr>
        <w:spacing w:line="480" w:lineRule="auto"/>
        <w:rPr>
          <w:rFonts w:asciiTheme="majorBidi" w:hAnsiTheme="majorBidi" w:cstheme="majorBidi"/>
        </w:rPr>
      </w:pPr>
      <w:r w:rsidRPr="00EA3427">
        <w:rPr>
          <w:rFonts w:asciiTheme="majorBidi" w:hAnsiTheme="majorBidi" w:cstheme="majorBidi"/>
        </w:rPr>
        <w:t xml:space="preserve">A large body of research is dedicated to establishing whether variations in health behaviours and outcomes are the result of ‘places’ affecting health, or a reflection of </w:t>
      </w:r>
      <w:r w:rsidR="001A7C22" w:rsidRPr="00EA3427">
        <w:rPr>
          <w:rFonts w:asciiTheme="majorBidi" w:hAnsiTheme="majorBidi" w:cstheme="majorBidi"/>
        </w:rPr>
        <w:t xml:space="preserve">varying  </w:t>
      </w:r>
      <w:r w:rsidRPr="00EA3427">
        <w:rPr>
          <w:rFonts w:asciiTheme="majorBidi" w:hAnsiTheme="majorBidi" w:cstheme="majorBidi"/>
        </w:rPr>
        <w:t>population</w:t>
      </w:r>
      <w:r w:rsidR="001A7C22" w:rsidRPr="00EA3427">
        <w:rPr>
          <w:rFonts w:asciiTheme="majorBidi" w:hAnsiTheme="majorBidi" w:cstheme="majorBidi"/>
        </w:rPr>
        <w:t xml:space="preserve"> characteristics </w:t>
      </w:r>
      <w:r w:rsidRPr="00EA3427">
        <w:rPr>
          <w:rFonts w:asciiTheme="majorBidi" w:hAnsiTheme="majorBidi" w:cstheme="majorBidi"/>
        </w:rPr>
        <w:t xml:space="preserve"> across areas </w:t>
      </w:r>
      <w:r w:rsidRPr="00C0488C">
        <w:rPr>
          <w:rFonts w:asciiTheme="majorBidi" w:hAnsiTheme="majorBidi" w:cstheme="majorBidi"/>
        </w:rPr>
        <w:fldChar w:fldCharType="begin" w:fldLock="1"/>
      </w:r>
      <w:r w:rsidR="00A328DF">
        <w:rPr>
          <w:rFonts w:asciiTheme="majorBidi" w:hAnsiTheme="majorBidi" w:cstheme="majorBidi"/>
        </w:rPr>
        <w:instrText>ADDIN CSL_CITATION { "citationItems" : [ { "id" : "ITEM-1", "itemData" : { "DOI" : "10.1191/0309132502ph389oa", "abstract" : "In this paper, we reflect on the positioning of health geography within the wider academic landscapes of geography and health-related research. Drawing on examples from a number of countries, we consider the extent to which a \u2018new geography of health\u2019 has emerged in recent years. We structure our discussion around the themes of place, theoretical engagement and critical relevancy. Changes within the subdiscipline are placed in the context of a central question: what is new about the new geography of health? ", "author" : [ { "dropping-particle" : "", "family" : "Kearns", "given" : "Robin", "non-dropping-particle" : "", "parse-names" : false, "suffix" : "" }, { "dropping-particle" : "", "family" : "Moon", "given" : "Graham", "non-dropping-particle" : "", "parse-names" : false, "suffix" : "" } ], "container-title" : "Progress in Human Geography ", "id" : "ITEM-1", "issue" : "5 ", "issued" : { "date-parts" : [ [ "2002", "10", "1" ] ] }, "note" : "Introduces the emergence of health Geography and the importance of &amp;#039;place&amp;#039; to Human Geography. Can be used in the literature review to point out the importance of place in understanding health patterns.", "page" : "605-625", "title" : "From medical to health geography: novelty, place and theory after a decade of change", "type" : "article-journal", "volume" : "26 " }, "uris" : [ "http://www.mendeley.com/documents/?uuid=7d94d514-2835-4d9e-97af-0088edae5db7" ] }, { "id" : "ITEM-2", "itemData" : { "DOI" : "10.1177/0309132507080628", "ISSN" : "0309-1325", "author" : [ { "dropping-particle" : "", "family" : "Smyth", "given" : "Fiona", "non-dropping-particle" : "", "parse-names" : false, "suffix" : "" } ], "container-title" : "Progress in Human Geography", "id" : "ITEM-2", "issue" : "1", "issued" : { "date-parts" : [ [ "2008", "2", "1" ] ] }, "note" : "10.1177/0309132507080628", "page" : "119-127", "title" : "Medical geography: understanding health inequalities", "type" : "article-journal", "volume" : "32" }, "uris" : [ "http://www.mendeley.com/documents/?uuid=bfba4a8b-97aa-47b9-a97b-58f44d95d836" ] } ], "mendeley" : { "formattedCitation" : "(Kearns and Moon, 2002; Smyth, 2008)", "plainTextFormattedCitation" : "(Kearns and Moon, 2002; Smyth, 2008)", "previouslyFormattedCitation" : "(Kearns and Moon, 2002; Smyth, 2008)" }, "properties" : { "noteIndex" : 0 }, "schema" : "https://github.com/citation-style-language/schema/raw/master/csl-citation.json" }</w:instrText>
      </w:r>
      <w:r w:rsidRPr="00C0488C">
        <w:rPr>
          <w:rFonts w:asciiTheme="majorBidi" w:hAnsiTheme="majorBidi" w:cstheme="majorBidi"/>
        </w:rPr>
        <w:fldChar w:fldCharType="separate"/>
      </w:r>
      <w:r w:rsidR="00B77576" w:rsidRPr="00C0488C">
        <w:rPr>
          <w:rFonts w:asciiTheme="majorBidi" w:hAnsiTheme="majorBidi" w:cstheme="majorBidi"/>
          <w:noProof/>
        </w:rPr>
        <w:t>(Kearns and Moon, 2002; Smyth, 2008)</w:t>
      </w:r>
      <w:r w:rsidRPr="00C0488C">
        <w:rPr>
          <w:rFonts w:asciiTheme="majorBidi" w:hAnsiTheme="majorBidi" w:cstheme="majorBidi"/>
        </w:rPr>
        <w:fldChar w:fldCharType="end"/>
      </w:r>
      <w:r w:rsidRPr="00C0488C">
        <w:rPr>
          <w:rFonts w:asciiTheme="majorBidi" w:hAnsiTheme="majorBidi" w:cstheme="majorBidi"/>
        </w:rPr>
        <w:t xml:space="preserve">. The role of internal migration is often overlooked as a driver of </w:t>
      </w:r>
      <w:r w:rsidR="001A7C22" w:rsidRPr="00C0488C">
        <w:rPr>
          <w:rFonts w:asciiTheme="majorBidi" w:hAnsiTheme="majorBidi" w:cstheme="majorBidi"/>
        </w:rPr>
        <w:t xml:space="preserve"> </w:t>
      </w:r>
      <w:r w:rsidR="00C639AD" w:rsidRPr="00C0488C">
        <w:rPr>
          <w:rFonts w:asciiTheme="majorBidi" w:hAnsiTheme="majorBidi" w:cstheme="majorBidi"/>
        </w:rPr>
        <w:t xml:space="preserve">these </w:t>
      </w:r>
      <w:r w:rsidR="001A7C22" w:rsidRPr="00C0488C">
        <w:rPr>
          <w:rFonts w:asciiTheme="majorBidi" w:hAnsiTheme="majorBidi" w:cstheme="majorBidi"/>
        </w:rPr>
        <w:t>spatial variations</w:t>
      </w:r>
      <w:r w:rsidRPr="00C0488C">
        <w:rPr>
          <w:rFonts w:asciiTheme="majorBidi" w:hAnsiTheme="majorBidi" w:cstheme="majorBidi"/>
        </w:rPr>
        <w:t xml:space="preserve"> in health </w:t>
      </w:r>
      <w:r w:rsidRPr="00C0488C">
        <w:rPr>
          <w:rFonts w:asciiTheme="majorBidi" w:hAnsiTheme="majorBidi" w:cstheme="majorBidi"/>
        </w:rPr>
        <w:fldChar w:fldCharType="begin" w:fldLock="1"/>
      </w:r>
      <w:r w:rsidR="00607727">
        <w:rPr>
          <w:rFonts w:asciiTheme="majorBidi" w:hAnsiTheme="majorBidi" w:cstheme="majorBidi"/>
        </w:rPr>
        <w:instrText>ADDIN CSL_CITATION { "citationItems" : [ { "id" : "ITEM-1", "itemData" : { "DOI" : "10.1016/j.socscimed.2004.11.008", "ISSN" : "0277-9536", "PMID" : "15820585", "abstract" : "Population migration is a major determinant of an area's age-sex structure and socio-economic characteristics. The suggestion that migration can contribute to an increase or decrease in place-specific rates of illness is not new. However, differences in health status between small geographical locations that may be affected by the inter-relationships between health, area-based deprivation and migration are under-researched. Using the Office for National Statistics (ONS) England and Wales Longitudinal Study (LS) 1971-1991, this research tracks individuals to identify any systematic sorting of people that has contributed to the area-level relationships between health (limiting long-term illness and mortality) and deprivation (Carstairs quintiles). The results demonstrate that among the young, migrants are generally healthier than non-migrants. Migrants who move from more to less deprived locations are healthier than migrants who move from less to more deprived locations. Within less deprived areas migrants are healthier than non-migrants but within deprived areas migrants are less healthy than non-migrants. Over the 20 year period, the largest absolute flow is by relatively healthy migrants moving away from more deprived areas towards less deprived areas. The effect is to raise ill-health and mortality rates in the origins and lower them in the destinations. This is reinforced by a significant group of people in poor health who move from less to more deprived locations. In contrast, a small group of unhealthy people moved away from more deprived into less deprived areas. These countercurrents of less healthy people have a slight ameliorating effect on the health-deprivation relationship. Whilst health-deprivation relationships are more marked for migrants there are also health (dis-) benefits for non-migrants if their location becomes relatively more or less deprived over time. Overall we found that between 1971 and 1991, inequalities in health increased between the least and most deprived areas, compared with the health-deprivation relationship which would have existed if peoples' locations and deprivation patterns had stayed geographically constant. Migration, rather than changes in the deprivation of the area that non-migrants live in, accounts for the large majority of change.", "author" : [ { "dropping-particle" : "", "family" : "Norman", "given" : "Paul", "non-dropping-particle" : "", "parse-names" : false, "suffix" : "" }, { "dropping-particle" : "", "family" : "Boyle", "given" : "Paul", "non-dropping-particle" : "", "parse-names" : false, "suffix" : "" }, { "dropping-particle" : "", "family" : "Rees", "given" : "Philip", "non-dropping-particle" : "", "parse-names" : false, "suffix" : "" } ], "container-title" : "Social science &amp; medicine (1982)", "id" : "ITEM-1", "issue" : "12", "issued" : { "date-parts" : [ [ "2005", "6" ] ] }, "note" : "Uses the ONS LS to understand the relationship between migration, area deprivation and LTLI. FOund that upwardly mobile migrants were healthier than downwardly mobile migrants and the stayers in areas which became more or less deprived were more or less likely to develop a LTLI.", "page" : "2755-71", "title" : "Selective migration, health and deprivation: a longitudinal analysis.", "type" : "article-journal", "volume" : "60" }, "uris" : [ "http://www.mendeley.com/documents/?uuid=fed9e45c-ddb8-4bb3-abd4-0b3ef3c6402d" ] } ], "mendeley" : { "formattedCitation" : "(Norman &lt;i&gt;et al.&lt;/i&gt;, 2005)", "plainTextFormattedCitation" : "(Norman et al., 2005)", "previouslyFormattedCitation" : "(Norman &lt;i&gt;et al.&lt;/i&gt;, 2005)" }, "properties" : { "noteIndex" : 0 }, "schema" : "https://github.com/citation-style-language/schema/raw/master/csl-citation.json" }</w:instrText>
      </w:r>
      <w:r w:rsidRPr="00C0488C">
        <w:rPr>
          <w:rFonts w:asciiTheme="majorBidi" w:hAnsiTheme="majorBidi" w:cstheme="majorBidi"/>
        </w:rPr>
        <w:fldChar w:fldCharType="separate"/>
      </w:r>
      <w:r w:rsidR="00607727" w:rsidRPr="00607727">
        <w:rPr>
          <w:rFonts w:asciiTheme="majorBidi" w:hAnsiTheme="majorBidi" w:cstheme="majorBidi"/>
          <w:noProof/>
        </w:rPr>
        <w:t xml:space="preserve">(Norman </w:t>
      </w:r>
      <w:r w:rsidR="00607727" w:rsidRPr="00607727">
        <w:rPr>
          <w:rFonts w:asciiTheme="majorBidi" w:hAnsiTheme="majorBidi" w:cstheme="majorBidi"/>
          <w:i/>
          <w:noProof/>
        </w:rPr>
        <w:t>et al.</w:t>
      </w:r>
      <w:r w:rsidR="00607727" w:rsidRPr="00607727">
        <w:rPr>
          <w:rFonts w:asciiTheme="majorBidi" w:hAnsiTheme="majorBidi" w:cstheme="majorBidi"/>
          <w:noProof/>
        </w:rPr>
        <w:t>, 2005)</w:t>
      </w:r>
      <w:r w:rsidRPr="00C0488C">
        <w:rPr>
          <w:rFonts w:asciiTheme="majorBidi" w:hAnsiTheme="majorBidi" w:cstheme="majorBidi"/>
        </w:rPr>
        <w:fldChar w:fldCharType="end"/>
      </w:r>
      <w:r w:rsidRPr="00C0488C">
        <w:rPr>
          <w:rFonts w:asciiTheme="majorBidi" w:hAnsiTheme="majorBidi" w:cstheme="majorBidi"/>
        </w:rPr>
        <w:t>.</w:t>
      </w:r>
      <w:r w:rsidR="00F90605" w:rsidRPr="00C0488C">
        <w:rPr>
          <w:rFonts w:asciiTheme="majorBidi" w:hAnsiTheme="majorBidi" w:cstheme="majorBidi"/>
        </w:rPr>
        <w:t xml:space="preserve"> </w:t>
      </w:r>
      <w:r w:rsidR="00C65114" w:rsidRPr="00C0488C">
        <w:rPr>
          <w:rFonts w:asciiTheme="majorBidi" w:hAnsiTheme="majorBidi" w:cstheme="majorBidi"/>
        </w:rPr>
        <w:t xml:space="preserve">In the UK, healthy people tend to move to less deprived </w:t>
      </w:r>
      <w:r w:rsidR="00711EC8" w:rsidRPr="00C0488C">
        <w:rPr>
          <w:rFonts w:asciiTheme="majorBidi" w:hAnsiTheme="majorBidi" w:cstheme="majorBidi"/>
        </w:rPr>
        <w:t>areas, whilst those in poor health</w:t>
      </w:r>
      <w:r w:rsidR="00C65114" w:rsidRPr="00C0488C">
        <w:rPr>
          <w:rFonts w:asciiTheme="majorBidi" w:hAnsiTheme="majorBidi" w:cstheme="majorBidi"/>
        </w:rPr>
        <w:t xml:space="preserve"> </w:t>
      </w:r>
      <w:r w:rsidR="002177F1" w:rsidRPr="00C0488C">
        <w:rPr>
          <w:rFonts w:asciiTheme="majorBidi" w:hAnsiTheme="majorBidi" w:cstheme="majorBidi"/>
        </w:rPr>
        <w:lastRenderedPageBreak/>
        <w:t xml:space="preserve">tend to move </w:t>
      </w:r>
      <w:r w:rsidR="006C055E" w:rsidRPr="00C0488C">
        <w:rPr>
          <w:rFonts w:asciiTheme="majorBidi" w:hAnsiTheme="majorBidi" w:cstheme="majorBidi"/>
        </w:rPr>
        <w:t>to more deprived areas;</w:t>
      </w:r>
      <w:r w:rsidR="00C65114" w:rsidRPr="00C0488C">
        <w:rPr>
          <w:rFonts w:asciiTheme="majorBidi" w:hAnsiTheme="majorBidi" w:cstheme="majorBidi"/>
        </w:rPr>
        <w:t xml:space="preserve"> </w:t>
      </w:r>
      <w:r w:rsidR="008B4E5D" w:rsidRPr="00C0488C">
        <w:rPr>
          <w:rFonts w:asciiTheme="majorBidi" w:hAnsiTheme="majorBidi" w:cstheme="majorBidi"/>
        </w:rPr>
        <w:t xml:space="preserve">these migration patterns widen regional health inequalities </w:t>
      </w:r>
      <w:r w:rsidR="002177F1" w:rsidRPr="00C0488C">
        <w:rPr>
          <w:rFonts w:asciiTheme="majorBidi" w:hAnsiTheme="majorBidi" w:cstheme="majorBidi"/>
        </w:rPr>
        <w:t xml:space="preserve">as some areas of the UK </w:t>
      </w:r>
      <w:r w:rsidR="006C055E" w:rsidRPr="00C0488C">
        <w:rPr>
          <w:rFonts w:asciiTheme="majorBidi" w:hAnsiTheme="majorBidi" w:cstheme="majorBidi"/>
        </w:rPr>
        <w:t>have a positive net migration for unhealthy migrants, whilst others have a negative net migration</w:t>
      </w:r>
      <w:r w:rsidR="002177F1" w:rsidRPr="00C0488C">
        <w:rPr>
          <w:rFonts w:asciiTheme="majorBidi" w:hAnsiTheme="majorBidi" w:cstheme="majorBidi"/>
        </w:rPr>
        <w:t xml:space="preserve"> </w:t>
      </w:r>
      <w:r w:rsidR="008B4E5D" w:rsidRPr="00C0488C">
        <w:rPr>
          <w:rFonts w:asciiTheme="majorBidi" w:hAnsiTheme="majorBidi" w:cstheme="majorBidi"/>
        </w:rPr>
        <w:fldChar w:fldCharType="begin" w:fldLock="1"/>
      </w:r>
      <w:r w:rsidR="00607727">
        <w:rPr>
          <w:rFonts w:asciiTheme="majorBidi" w:hAnsiTheme="majorBidi" w:cstheme="majorBidi"/>
        </w:rPr>
        <w:instrText>ADDIN CSL_CITATION { "citationItems" : [ { "id" : "ITEM-1", "itemData" : { "DOI" : "10.1016/j.socscimed.2009.02.051", "ISSN" : "0277-9536", "abstract" : "Numerous studies consider the role of social, or occupational, mobility on health inequalities. A common conclusion is that social mobility constrains, rather than widens, social class health inequalities. It is argued that such \u2018gradient constraint\u2019 occurs because movers into higher social classes tend to have poorer health than those they join, while movers into lower social classes tend to have better health than those they join. This has led to the suggestion that increasing social mobility may be an effective policy to reduce health inequalities. However, this raises a paradox as many studies also show that health inequalities are widening. We compare class mobility and deprivation mobility between 1971 and 1991 with health in 1991 in England and Wales. In both cases, the health in 1991 of the \u2018mobile\u2019 tended to fall between that of those they left and those they joined. In comparison to the socially stable, the gradient was thus constrained. However, comparing the health in 1991 of everyone by their class/deprivation position in 1991 and 1971, the overall social class health gradient was little different, while the deprivation health gap was considerably wider in 1991. These results show that a reduction in inequalities is not a necessary consequence if the health of \u2018mobile\u2019 people falls between that of those they left and those they joined and this is particularly the case for deprivation mobility.", "author" : [ { "dropping-particle" : "", "family" : "Boyle", "given" : "Paul", "non-dropping-particle" : "", "parse-names" : false, "suffix" : "" }, { "dropping-particle" : "", "family" : "Norman", "given" : "Paul", "non-dropping-particle" : "", "parse-names" : false, "suffix" : "" }, { "dropping-particle" : "", "family" : "Popham", "given" : "Frank", "non-dropping-particle" : "", "parse-names" : false, "suffix" : "" } ], "container-title" : "Social Science &amp; Medicine", "id" : "ITEM-1", "issue" : "10", "issued" : { "date-parts" : [ [ "2009", "5" ] ] }, "note" : "Uses the ONS LS to compare social class and Carstairs score to a standardised illness index generated using 1991 LTLI. Found that non-movers in Q1 &amp;amp; 2 had substantially better health than downwards movers into Q5, whom also had better health than the non-movers in Q5. The opposite was true for movers out of Q5. Used in the Titchfield paper to illustrate the breeders vs drifters hypotheses.", "page" : "1835-1842", "title" : "Social mobility: Evidence that it can widen health inequalities", "type" : "article-journal", "volume" : "68" }, "uris" : [ "http://www.mendeley.com/documents/?uuid=4d2d9427-35ba-4bfc-8362-5ca470da031f" ] }, { "id" : "ITEM-2", "itemData" : { "DOI" : "10.1016/j.healthplace.2013.12.010", "ISSN" : "1873-2054", "PMID" : "24412656", "abstract" : "The notion that mortality inequalities between differently deprived areas vary by age is logical since not all causes of death increase in risk with age and not all causes of death are related to the gradient of deprivation. In addition to the cause-age and cause-deprivation relationships, population migration may redistribute the population such that the health-deprivation relationship varies by age. We calculate cross-sectional all cause mortality and self-reported limiting long-term illness (LLTI) rate ratios of most to least deprived areas to demonstrate inequalities at different ages. We use longitudinal data to investigate whether there are changes in the distribution of cohorts between differently deprived areas over time and whether gradients of LLTI with deprivation also change. We find similar deprivation inequalities by age for all cause mortality and self-reported health with less inequality for young adults and the elderly but the greatest inequalities during mid life. Over time there are systematic movements of cohorts between differently deprived areas and associated increases and decreases in the gradient of LLTI across deprivation. It seems likely that population migration does influence inequalities by age. Further work should investigate whether the situation exists for other morbidities and, to better inform public health policy, whether restricting summary measures of area health to ages between 30 and 60 when inequalities are greatest will highlight between area differences.", "author" : [ { "dropping-particle" : "", "family" : "Norman", "given" : "Paul", "non-dropping-particle" : "", "parse-names" : false, "suffix" : "" }, { "dropping-particle" : "", "family" : "Boyle", "given" : "Paul", "non-dropping-particle" : "", "parse-names" : false, "suffix" : "" } ], "container-title" : "Health &amp; place", "id" : "ITEM-2", "issued" : { "date-parts" : [ [ "2014", "3" ] ] }, "page" : "88-93", "title" : "Are health inequalities between differently deprived areas evident at different ages? A longitudinal study of census records in England and Wales, 1991-2001.", "type" : "article-journal", "volume" : "26" }, "uris" : [ "http://www.mendeley.com/documents/?uuid=6fda0e87-368b-4c07-b9a0-762b64229f4d" ] }, { "id" : "ITEM-3", "itemData" : { "DOI" : "10.1016/S0277-9536(99)00195-1", "abstract" : "This study investigates the extent to which current geographical variations in mortality are influenced by patterns of migration since birth. It is based on a longitudinal study of migrants which consists of a representative sample of 10264 British residents born after 1890 and enumerated as part of the British Household Panel Study in 1991. Between 1991 and 1996, 527 of the study members died and these deaths were analysed by area of residence at birth and in 1991 at both the regional and local district geographical scales. These were compared with findings from the Office for National Statistics Longitudinal Study. The British Household Panel Survey sample replicates the results of work conducted on the Longitudinal Study which finds that geographical variations in age\u2013sex standardised mortality ratios at the regional scale cannot be attributed to selective migration. However, for the British Household Panel Survey sample, the major geographical variations at district level could be attributed to selective migration. Geographical variations in mortality are not well understood. Restrictions on what it is possible to analyse in the Office for National Statistics Longitudinal Study may have resulted in the underestimation of the importance of local lifetime selective migration in producing the contemporary map of mortality variation across Britain. The British Household Panel Survey is a small, recent, but very flexible study, which can be used to investigate the effects of lifetime migration on mortality patterns for all of Britain. This first report of its results on mortality shows that it produces findings which accord with the much larger Longitudinal Study, but which can be taken further to show that selective migration over the whole life-course at the local level does appear to have significantly altered the geographical pattern of mortality seen in Britain today.", "author" : [ { "dropping-particle" : "", "family" : "Brimblecombe", "given" : "Nic", "non-dropping-particle" : "", "parse-names" : false, "suffix" : "" }, { "dropping-particle" : "", "family" : "Dorling", "given" : "Danny", "non-dropping-particle" : "", "parse-names" : false, "suffix" : "" }, { "dropping-particle" : "", "family" : "Shaw", "given" : "Mary", "non-dropping-particle" : "", "parse-names" : false, "suffix" : "" } ], "container-title" : "Social Science &amp; Medicine", "id" : "ITEM-3", "issue" : "7", "issued" : { "date-parts" : [ [ "1999", "10" ] ] }, "note" : "Study using BHPS and SARs data to track the impact of migration and mortality. Took areas with high rates of mortality in SARs. In the sample there were no SRM inequalities between high and low mortality, only after the migration of individuals back into high mortality districts did regional inequalities occur. This suggests that the migration of those at risk of mortality into their districts of birth significantly alters the geographic distribution of mortality. Used in the VML paper.", "page" : "981-988", "title" : "Mortality and migration in Britain, first results from the British Household Panel Survey", "type" : "article-journal", "volume" : "49" }, "uris" : [ "http://www.mendeley.com/documents/?uuid=47c5d707-78e9-4480-a4c7-c65f6a192cdd" ] } ], "mendeley" : { "formattedCitation" : "(Brimblecombe &lt;i&gt;et al.&lt;/i&gt;, 1999; Boyle &lt;i&gt;et al.&lt;/i&gt;, 2009; Norman and Boyle, 2014)", "plainTextFormattedCitation" : "(Brimblecombe et al., 1999; Boyle et al., 2009; Norman and Boyle, 2014)", "previouslyFormattedCitation" : "(Brimblecombe &lt;i&gt;et al.&lt;/i&gt;, 1999; Boyle &lt;i&gt;et al.&lt;/i&gt;, 2009; Norman and Boyle, 2014)" }, "properties" : { "noteIndex" : 0 }, "schema" : "https://github.com/citation-style-language/schema/raw/master/csl-citation.json" }</w:instrText>
      </w:r>
      <w:r w:rsidR="008B4E5D" w:rsidRPr="00C0488C">
        <w:rPr>
          <w:rFonts w:asciiTheme="majorBidi" w:hAnsiTheme="majorBidi" w:cstheme="majorBidi"/>
        </w:rPr>
        <w:fldChar w:fldCharType="separate"/>
      </w:r>
      <w:r w:rsidR="00607727" w:rsidRPr="00607727">
        <w:rPr>
          <w:rFonts w:asciiTheme="majorBidi" w:hAnsiTheme="majorBidi" w:cstheme="majorBidi"/>
          <w:noProof/>
        </w:rPr>
        <w:t xml:space="preserve">(Brimblecombe </w:t>
      </w:r>
      <w:r w:rsidR="00607727" w:rsidRPr="00607727">
        <w:rPr>
          <w:rFonts w:asciiTheme="majorBidi" w:hAnsiTheme="majorBidi" w:cstheme="majorBidi"/>
          <w:i/>
          <w:noProof/>
        </w:rPr>
        <w:t>et al.</w:t>
      </w:r>
      <w:r w:rsidR="00607727" w:rsidRPr="00607727">
        <w:rPr>
          <w:rFonts w:asciiTheme="majorBidi" w:hAnsiTheme="majorBidi" w:cstheme="majorBidi"/>
          <w:noProof/>
        </w:rPr>
        <w:t xml:space="preserve">, 1999; Boyle </w:t>
      </w:r>
      <w:r w:rsidR="00607727" w:rsidRPr="00607727">
        <w:rPr>
          <w:rFonts w:asciiTheme="majorBidi" w:hAnsiTheme="majorBidi" w:cstheme="majorBidi"/>
          <w:i/>
          <w:noProof/>
        </w:rPr>
        <w:t>et al.</w:t>
      </w:r>
      <w:r w:rsidR="00607727" w:rsidRPr="00607727">
        <w:rPr>
          <w:rFonts w:asciiTheme="majorBidi" w:hAnsiTheme="majorBidi" w:cstheme="majorBidi"/>
          <w:noProof/>
        </w:rPr>
        <w:t>, 2009; Norman and Boyle, 2014)</w:t>
      </w:r>
      <w:r w:rsidR="008B4E5D" w:rsidRPr="00C0488C">
        <w:rPr>
          <w:rFonts w:asciiTheme="majorBidi" w:hAnsiTheme="majorBidi" w:cstheme="majorBidi"/>
        </w:rPr>
        <w:fldChar w:fldCharType="end"/>
      </w:r>
      <w:r w:rsidR="008B4E5D" w:rsidRPr="00C0488C">
        <w:rPr>
          <w:rFonts w:asciiTheme="majorBidi" w:hAnsiTheme="majorBidi" w:cstheme="majorBidi"/>
        </w:rPr>
        <w:t>.</w:t>
      </w:r>
      <w:r w:rsidR="0069735D">
        <w:rPr>
          <w:rFonts w:asciiTheme="majorBidi" w:hAnsiTheme="majorBidi" w:cstheme="majorBidi"/>
        </w:rPr>
        <w:t xml:space="preserve"> The size of this effect is small, as the majority of migrants move between areas with similar mortality patterns</w:t>
      </w:r>
      <w:r w:rsidR="00AE5698">
        <w:rPr>
          <w:rFonts w:asciiTheme="majorBidi" w:hAnsiTheme="majorBidi" w:cstheme="majorBidi"/>
        </w:rPr>
        <w:t xml:space="preserve"> </w:t>
      </w:r>
      <w:r w:rsidR="00AE5698">
        <w:rPr>
          <w:rFonts w:asciiTheme="majorBidi" w:hAnsiTheme="majorBidi" w:cstheme="majorBidi"/>
        </w:rPr>
        <w:fldChar w:fldCharType="begin" w:fldLock="1"/>
      </w:r>
      <w:r w:rsidR="00AE5698">
        <w:rPr>
          <w:rFonts w:asciiTheme="majorBidi" w:hAnsiTheme="majorBidi" w:cstheme="majorBidi"/>
        </w:rPr>
        <w:instrText>ADDIN CSL_CITATION { "citationItems" : [ { "id" : "ITEM-1", "itemData" : { "DOI" : "10.1016/j.socscimed.2015.05.011", "ISSN" : "1873-5347", "PMID" : "25978650", "abstract" : "Evidence surrounding the importance of neighbourhood on health has been mostly restricted to observational data analyses. However, observational data are often the only source of information available to test this association and can fail to accurately draw out casual effects. This study employs a pseudo-experimental design to provide a novel test for the evidence of neighbourhood effects on health, using migration as a mechanism for assessing the role of neighbourhood. Coarsened exact matching was employed on the British Household Panel Survey (2006-2008) to analyse the association between migration (by area type, measured using a classification of mortality patterns) and health. Although an overall significant positive association between migration and health was observed, once the effect was disaggregated by location and destination it disappeared. Rather, evidence of health selective migration was found whereby individuals of poorer health migrated to areas that displayed poorer health and social characteristics (and vice versa). Migration is an important process that through the social sorting of individuals in terms of their health, contributes to the growing polarisation and inequality in health patterns. The study helps to build upon previous research through providing a new and stronger form of analysis that reduces the influence of bias on results. Incorporating this under-utilised methodology and research design in future studies could help develop public health and geographical research.", "author" : [ { "dropping-particle" : "", "family" : "Green", "given" : "Mark A", "non-dropping-particle" : "", "parse-names" : false, "suffix" : "" }, { "dropping-particle" : "V", "family" : "Subramanian", "given" : "S", "non-dropping-particle" : "", "parse-names" : false, "suffix" : "" }, { "dropping-particle" : "", "family" : "Vickers", "given" : "Daniel", "non-dropping-particle" : "", "parse-names" : false, "suffix" : "" }, { "dropping-particle" : "", "family" : "Dorling", "given" : "Danny", "non-dropping-particle" : "", "parse-names" : false, "suffix" : "" } ], "container-title" : "Social science &amp; medicine (1982)", "id" : "ITEM-1", "issued" : { "date-parts" : [ [ "2015", "5", "9" ] ] }, "note" : "Used the BHPS for 2006 to 2008 to look at migration between MSOAs and their effect on the distribution of poor health. Used an MSOA AC approach where health was measured by an index of indicators e.g. life expectancy, neurodegenerative disease, mortality rates.\n\n\nFound evidence for positive effect of health on migration. When accounting for origin and destination found that health was not a significant predictor of migration. Instead there was evidence of health selective migration i.e. individuals with poor health moving into areas with high rates of poor health, and vice versa.", "page" : "27-34", "title" : "Internal migration, area effects and health: Does where you move to impact upon your health?", "type" : "article-journal", "volume" : "136-137C" }, "uris" : [ "http://www.mendeley.com/documents/?uuid=4e87769f-8cdc-4e9c-b1be-8ac43a7a19fc" ] } ], "mendeley" : { "formattedCitation" : "(Green &lt;i&gt;et al.&lt;/i&gt;, 2015)", "plainTextFormattedCitation" : "(Green et al., 2015)" }, "properties" : { "noteIndex" : 0 }, "schema" : "https://github.com/citation-style-language/schema/raw/master/csl-citation.json" }</w:instrText>
      </w:r>
      <w:r w:rsidR="00AE5698">
        <w:rPr>
          <w:rFonts w:asciiTheme="majorBidi" w:hAnsiTheme="majorBidi" w:cstheme="majorBidi"/>
        </w:rPr>
        <w:fldChar w:fldCharType="separate"/>
      </w:r>
      <w:r w:rsidR="00AE5698" w:rsidRPr="0069735D">
        <w:rPr>
          <w:rFonts w:asciiTheme="majorBidi" w:hAnsiTheme="majorBidi" w:cstheme="majorBidi"/>
          <w:noProof/>
        </w:rPr>
        <w:t xml:space="preserve">(Green </w:t>
      </w:r>
      <w:r w:rsidR="00AE5698" w:rsidRPr="0069735D">
        <w:rPr>
          <w:rFonts w:asciiTheme="majorBidi" w:hAnsiTheme="majorBidi" w:cstheme="majorBidi"/>
          <w:i/>
          <w:noProof/>
        </w:rPr>
        <w:t>et al.</w:t>
      </w:r>
      <w:r w:rsidR="00AE5698" w:rsidRPr="0069735D">
        <w:rPr>
          <w:rFonts w:asciiTheme="majorBidi" w:hAnsiTheme="majorBidi" w:cstheme="majorBidi"/>
          <w:noProof/>
        </w:rPr>
        <w:t>, 2015)</w:t>
      </w:r>
      <w:r w:rsidR="00AE5698">
        <w:rPr>
          <w:rFonts w:asciiTheme="majorBidi" w:hAnsiTheme="majorBidi" w:cstheme="majorBidi"/>
        </w:rPr>
        <w:fldChar w:fldCharType="end"/>
      </w:r>
      <w:r w:rsidR="0069735D">
        <w:rPr>
          <w:rFonts w:asciiTheme="majorBidi" w:hAnsiTheme="majorBidi" w:cstheme="majorBidi"/>
        </w:rPr>
        <w:t>,</w:t>
      </w:r>
      <w:r w:rsidR="00AE5698">
        <w:rPr>
          <w:rFonts w:asciiTheme="majorBidi" w:hAnsiTheme="majorBidi" w:cstheme="majorBidi"/>
        </w:rPr>
        <w:t xml:space="preserve"> but migration patterns do have a significant effect on geographies of health.</w:t>
      </w:r>
      <w:r w:rsidR="0069735D">
        <w:rPr>
          <w:rFonts w:asciiTheme="majorBidi" w:hAnsiTheme="majorBidi" w:cstheme="majorBidi"/>
        </w:rPr>
        <w:t xml:space="preserve"> </w:t>
      </w:r>
      <w:r w:rsidR="006C055E" w:rsidRPr="00C0488C">
        <w:rPr>
          <w:rFonts w:asciiTheme="majorBidi" w:hAnsiTheme="majorBidi" w:cstheme="majorBidi"/>
        </w:rPr>
        <w:t>This phenomenon is not particular to the UK, as s</w:t>
      </w:r>
      <w:r w:rsidR="002177F1" w:rsidRPr="00C0488C">
        <w:rPr>
          <w:rFonts w:asciiTheme="majorBidi" w:hAnsiTheme="majorBidi" w:cstheme="majorBidi"/>
        </w:rPr>
        <w:t>imilar patterns have been found for rates of smoking in New Zealand</w:t>
      </w:r>
      <w:r w:rsidR="00D32195" w:rsidRPr="00C0488C">
        <w:rPr>
          <w:rFonts w:asciiTheme="majorBidi" w:hAnsiTheme="majorBidi" w:cstheme="majorBidi"/>
        </w:rPr>
        <w:t xml:space="preserve"> </w:t>
      </w:r>
      <w:r w:rsidR="00D32195" w:rsidRPr="00C0488C">
        <w:rPr>
          <w:rFonts w:asciiTheme="majorBidi" w:hAnsiTheme="majorBidi" w:cstheme="majorBidi"/>
        </w:rPr>
        <w:fldChar w:fldCharType="begin" w:fldLock="1"/>
      </w:r>
      <w:r w:rsidR="00A328DF">
        <w:rPr>
          <w:rFonts w:asciiTheme="majorBidi" w:hAnsiTheme="majorBidi" w:cstheme="majorBidi"/>
        </w:rPr>
        <w:instrText>ADDIN CSL_CITATION { "citationItems" : [ { "id" : "ITEM-1", "itemData" : { "DOI" : "10.1080/00045601003595537", "ISSN" : "0004-5608", "abstract" : "The research reported here uses New Zealand data on smoking behavior that were collected in the 1981, 1996, and 2006 national censuses. Evaluation of the extent to which differential migration patterns among smokers, former smokers, and nonsmokers contributed toward geographical inequalities in health in New Zealand suggests that the effect of selective migration appears to be significant over the long term. This effect includes the arrival of large numbers of nonsmokers from abroad to the most affluent parts of New Zealand. The recording of these events and the high quality of the census in New Zealand provides evidence of one key mechanism whereby geographical inequalities in health between areas can be greatly exacerbated across a country\u2014differential migration by health status. This assertion has important implications for studies monitoring spatial inequalities in health over time, and research investigating \u201cplace effects\u201d on health.", "author" : [ { "dropping-particle" : "", "family" : "Pearce", "given" : "Jamie R.", "non-dropping-particle" : "", "parse-names" : false, "suffix" : "" }, { "dropping-particle" : "", "family" : "Dorling", "given" : "Danny", "non-dropping-particle" : "", "parse-names" : false, "suffix" : "" } ], "container-title" : "Annals of the Association of American Geographers", "id" : "ITEM-1", "issue" : "2", "issued" : { "date-parts" : [ [ "2010", "3", "31" ] ] }, "language" : "en", "page" : "393-408", "publisher" : "Taylor &amp; Francis Group", "title" : "The influence of selective migration patterns among smokers and nonsmokers on geographical inequalities in health", "type" : "article-journal", "volume" : "100" }, "uris" : [ "http://www.mendeley.com/documents/?uuid=3b116226-5e2a-49ba-9ee3-81c1827f8bff" ] } ], "mendeley" : { "formattedCitation" : "(Pearce and Dorling, 2010)", "plainTextFormattedCitation" : "(Pearce and Dorling, 2010)", "previouslyFormattedCitation" : "(Pearce and Dorling, 2010)" }, "properties" : { "noteIndex" : 0 }, "schema" : "https://github.com/citation-style-language/schema/raw/master/csl-citation.json" }</w:instrText>
      </w:r>
      <w:r w:rsidR="00D32195" w:rsidRPr="00C0488C">
        <w:rPr>
          <w:rFonts w:asciiTheme="majorBidi" w:hAnsiTheme="majorBidi" w:cstheme="majorBidi"/>
        </w:rPr>
        <w:fldChar w:fldCharType="separate"/>
      </w:r>
      <w:r w:rsidR="00D32195" w:rsidRPr="00C0488C">
        <w:rPr>
          <w:rFonts w:asciiTheme="majorBidi" w:hAnsiTheme="majorBidi" w:cstheme="majorBidi"/>
          <w:noProof/>
        </w:rPr>
        <w:t>(Pearce and Dorling, 2010)</w:t>
      </w:r>
      <w:r w:rsidR="00D32195" w:rsidRPr="00C0488C">
        <w:rPr>
          <w:rFonts w:asciiTheme="majorBidi" w:hAnsiTheme="majorBidi" w:cstheme="majorBidi"/>
        </w:rPr>
        <w:fldChar w:fldCharType="end"/>
      </w:r>
      <w:r w:rsidR="002177F1" w:rsidRPr="00C0488C">
        <w:rPr>
          <w:rFonts w:asciiTheme="majorBidi" w:hAnsiTheme="majorBidi" w:cstheme="majorBidi"/>
        </w:rPr>
        <w:t xml:space="preserve"> and poor self-rated health in the Netherlands </w:t>
      </w:r>
      <w:r w:rsidR="002177F1" w:rsidRPr="00C0488C">
        <w:rPr>
          <w:rFonts w:asciiTheme="majorBidi" w:hAnsiTheme="majorBidi" w:cstheme="majorBidi"/>
        </w:rPr>
        <w:fldChar w:fldCharType="begin" w:fldLock="1"/>
      </w:r>
      <w:r w:rsidR="00607727">
        <w:rPr>
          <w:rFonts w:asciiTheme="majorBidi" w:hAnsiTheme="majorBidi" w:cstheme="majorBidi"/>
        </w:rPr>
        <w:instrText>ADDIN CSL_CITATION { "citationItems" : [ { "id" : "ITEM-1", "itemData" : { "DOI" : "10.1093/eurpub/ckv192", "abstract" : "Background: Health disparities between population declining and non-declining areas have received little attention, even though population decline is an established phenomenon in Europe. Selective migration, in which healthier people move out of deprived areas, can possibly explain worse health in declining regions. We assessed whether selective migration can explain the observed worse average health in declining regions as compared with non-declining regions in the Netherlands. Methods: Combining data from the Dutch Housing and Living Survey held in 2002 and 2006 with Dutch registry data, we studied the relation between health status and migration in a 5-year period at the individual level by applying logistic regression. In our sample of 130 600 participants, we compared health status, demographic and socioeconomic factors of movers and stayers from declining and non-declining regions. Results: People in the Netherlands who migrated are healthier than those staying behind [odds ratio (OR): 1.80]. This effect is larger for persons moving out of declining regions (OR: 1.76) than those moving into declining regions (OR: 1.47). When controlled for demographic and socioeconomic characteristics, these effects are not significant. Moreover, only a small part of the population migrates out of (0.29%) or into (0.25%) declining regions in the course of 5 years. Conclusion: Despite the relation between health and migration, the effect of selective migration on health differences between declining and non-declining regions in the Netherlands is small. Both health and migration are complexly linked with socioeconomic and demographic factors. \u00a9 The Author 2015.", "author" : [ { "dropping-particle" : "", "family" : "Dijkstra", "given" : "A", "non-dropping-particle" : "", "parse-names" : false, "suffix" : "" }, { "dropping-particle" : "", "family" : "Kibele", "given" : "E U B", "non-dropping-particle" : "", "parse-names" : false, "suffix" : "" }, { "dropping-particle" : "", "family" : "Verweij", "given" : "A", "non-dropping-particle" : "", "parse-names" : false, "suffix" : "" }, { "dropping-particle" : "", "family" : "Lucht", "given" : "F", "non-dropping-particle" : "Van Der", "parse-names" : false, "suffix" : "" }, { "dropping-particle" : "", "family" : "Janssen", "given" : "F", "non-dropping-particle" : "", "parse-names" : false, "suffix" : "" } ], "container-title" : "European Journal of Public Health", "id" : "ITEM-1", "issue" : "6", "issued" : { "date-parts" : [ [ "2015" ] ] }, "note" : "Export Date: 14 October 2016", "page" : "944-950", "publisher-place" : "Unit of PharmacoEpidemiology and PharmacoEconomics, Pharmacy Department, University of Groningen, A Deusinglaan 1, Groningen, Netherlands", "title" : "Can selective migration explain why health is worse in regions with population decline?: A study on migration and self-rated health in the Netherlands", "type" : "article-journal", "volume" : "25" }, "uris" : [ "http://www.mendeley.com/documents/?uuid=de6b2e09-feb2-4a80-a790-f9bc9eb18440" ] } ], "mendeley" : { "formattedCitation" : "(Dijkstra &lt;i&gt;et al.&lt;/i&gt;, 2015)", "plainTextFormattedCitation" : "(Dijkstra et al., 2015)", "previouslyFormattedCitation" : "(Dijkstra &lt;i&gt;et al.&lt;/i&gt;, 2015)" }, "properties" : { "noteIndex" : 0 }, "schema" : "https://github.com/citation-style-language/schema/raw/master/csl-citation.json" }</w:instrText>
      </w:r>
      <w:r w:rsidR="002177F1" w:rsidRPr="00C0488C">
        <w:rPr>
          <w:rFonts w:asciiTheme="majorBidi" w:hAnsiTheme="majorBidi" w:cstheme="majorBidi"/>
        </w:rPr>
        <w:fldChar w:fldCharType="separate"/>
      </w:r>
      <w:r w:rsidR="00607727" w:rsidRPr="00607727">
        <w:rPr>
          <w:rFonts w:asciiTheme="majorBidi" w:hAnsiTheme="majorBidi" w:cstheme="majorBidi"/>
          <w:noProof/>
        </w:rPr>
        <w:t xml:space="preserve">(Dijkstra </w:t>
      </w:r>
      <w:r w:rsidR="00607727" w:rsidRPr="00607727">
        <w:rPr>
          <w:rFonts w:asciiTheme="majorBidi" w:hAnsiTheme="majorBidi" w:cstheme="majorBidi"/>
          <w:i/>
          <w:noProof/>
        </w:rPr>
        <w:t>et al.</w:t>
      </w:r>
      <w:r w:rsidR="00607727" w:rsidRPr="00607727">
        <w:rPr>
          <w:rFonts w:asciiTheme="majorBidi" w:hAnsiTheme="majorBidi" w:cstheme="majorBidi"/>
          <w:noProof/>
        </w:rPr>
        <w:t>, 2015)</w:t>
      </w:r>
      <w:r w:rsidR="002177F1" w:rsidRPr="00C0488C">
        <w:rPr>
          <w:rFonts w:asciiTheme="majorBidi" w:hAnsiTheme="majorBidi" w:cstheme="majorBidi"/>
        </w:rPr>
        <w:fldChar w:fldCharType="end"/>
      </w:r>
      <w:r w:rsidR="006C055E" w:rsidRPr="00C0488C">
        <w:rPr>
          <w:rFonts w:asciiTheme="majorBidi" w:hAnsiTheme="majorBidi" w:cstheme="majorBidi"/>
        </w:rPr>
        <w:t>.</w:t>
      </w:r>
    </w:p>
    <w:p w14:paraId="4DB0B736" w14:textId="101FD0EA" w:rsidR="00DA6AD7" w:rsidRPr="00C0488C" w:rsidRDefault="00631A24" w:rsidP="003B431B">
      <w:pPr>
        <w:spacing w:line="480" w:lineRule="auto"/>
        <w:rPr>
          <w:rFonts w:asciiTheme="majorBidi" w:hAnsiTheme="majorBidi" w:cstheme="majorBidi"/>
        </w:rPr>
      </w:pPr>
      <w:r w:rsidRPr="00C0488C">
        <w:rPr>
          <w:rFonts w:asciiTheme="majorBidi" w:hAnsiTheme="majorBidi" w:cstheme="majorBidi"/>
        </w:rPr>
        <w:t xml:space="preserve">Migration leads to a change in an individual’s environment, thus </w:t>
      </w:r>
      <w:r w:rsidR="006B40F4" w:rsidRPr="00C0488C">
        <w:rPr>
          <w:rFonts w:asciiTheme="majorBidi" w:hAnsiTheme="majorBidi" w:cstheme="majorBidi"/>
        </w:rPr>
        <w:t xml:space="preserve">migration is selective </w:t>
      </w:r>
      <w:r w:rsidRPr="00C0488C">
        <w:rPr>
          <w:rFonts w:asciiTheme="majorBidi" w:hAnsiTheme="majorBidi" w:cstheme="majorBidi"/>
        </w:rPr>
        <w:t>for characteristics which are related to adaptability</w:t>
      </w:r>
      <w:r w:rsidR="00745703" w:rsidRPr="00C0488C">
        <w:rPr>
          <w:rFonts w:asciiTheme="majorBidi" w:hAnsiTheme="majorBidi" w:cstheme="majorBidi"/>
        </w:rPr>
        <w:t xml:space="preserve"> </w:t>
      </w:r>
      <w:r w:rsidR="00745703" w:rsidRPr="00C0488C">
        <w:rPr>
          <w:rFonts w:asciiTheme="majorBidi" w:hAnsiTheme="majorBidi" w:cstheme="majorBidi"/>
        </w:rPr>
        <w:fldChar w:fldCharType="begin" w:fldLock="1"/>
      </w:r>
      <w:r w:rsidR="00A328DF">
        <w:rPr>
          <w:rFonts w:asciiTheme="majorBidi" w:hAnsiTheme="majorBidi" w:cstheme="majorBidi"/>
        </w:rPr>
        <w:instrText>ADDIN CSL_CITATION { "citationItems" : [ { "id" : "ITEM-1", "itemData" : { "DOI" : "10.1016/j.socscimed.2008.06.017", "ISSN" : "02779536", "abstract" : "Previous studies show migrants are generally healthier than the populations in receiving societies, a result generally attributed to the positive selection of migrants on health. This hypothesis, however, has not been adequately evaluated due to lack of adequate data. In this article, using high-quality longitudinal data from Indonesia, the health selectivity hypothesis, also referred to as the healthy migrant hypothesis, is examined with respect to internal migration. Specifically, this study explores whether pre-migration health status affects the likelihood of migration by comparing those from the sending population who do and do not move. Results show that migrants in Indonesia tend to be selected with respect to health and that this selection is robust to household unobserved heterogeneity. However, the strength and direction of the health-migration association vary by types of migration and dimensions of health.", "author" : [ { "dropping-particle" : "", "family" : "Lu", "given" : "Yao", "non-dropping-particle" : "", "parse-names" : false, "suffix" : "" } ], "container-title" : "Social Science &amp; Medicine", "id" : "ITEM-1", "issue" : "8", "issued" : { "date-parts" : [ [ "2008", "10" ] ] }, "page" : "1331-1339", "title" : "Test of the \u2018healthy migrant hypothesis\u2019: a longitudinal analysis of health selectivity of internal migration in Indonesia", "type" : "article-journal", "volume" : "67" }, "uris" : [ "http://www.mendeley.com/documents/?uuid=7abe7380-70e0-4c94-80e6-c86bea010938" ] } ], "mendeley" : { "formattedCitation" : "(Lu, 2008)", "plainTextFormattedCitation" : "(Lu, 2008)", "previouslyFormattedCitation" : "(Lu, 2008)" }, "properties" : { "noteIndex" : 0 }, "schema" : "https://github.com/citation-style-language/schema/raw/master/csl-citation.json" }</w:instrText>
      </w:r>
      <w:r w:rsidR="00745703" w:rsidRPr="00C0488C">
        <w:rPr>
          <w:rFonts w:asciiTheme="majorBidi" w:hAnsiTheme="majorBidi" w:cstheme="majorBidi"/>
        </w:rPr>
        <w:fldChar w:fldCharType="separate"/>
      </w:r>
      <w:r w:rsidR="00745703" w:rsidRPr="00C0488C">
        <w:rPr>
          <w:rFonts w:asciiTheme="majorBidi" w:hAnsiTheme="majorBidi" w:cstheme="majorBidi"/>
          <w:noProof/>
        </w:rPr>
        <w:t>(Lu, 2008)</w:t>
      </w:r>
      <w:r w:rsidR="00745703" w:rsidRPr="00C0488C">
        <w:rPr>
          <w:rFonts w:asciiTheme="majorBidi" w:hAnsiTheme="majorBidi" w:cstheme="majorBidi"/>
        </w:rPr>
        <w:fldChar w:fldCharType="end"/>
      </w:r>
      <w:r w:rsidRPr="00C0488C">
        <w:rPr>
          <w:rFonts w:asciiTheme="majorBidi" w:hAnsiTheme="majorBidi" w:cstheme="majorBidi"/>
        </w:rPr>
        <w:t>. In this framework, d</w:t>
      </w:r>
      <w:r w:rsidR="00AA656F" w:rsidRPr="00C0488C">
        <w:rPr>
          <w:rFonts w:asciiTheme="majorBidi" w:hAnsiTheme="majorBidi" w:cstheme="majorBidi"/>
        </w:rPr>
        <w:t>istance is as an intervening obstacle</w:t>
      </w:r>
      <w:r w:rsidR="00C772E7" w:rsidRPr="00C0488C">
        <w:rPr>
          <w:rFonts w:asciiTheme="majorBidi" w:hAnsiTheme="majorBidi" w:cstheme="majorBidi"/>
        </w:rPr>
        <w:t xml:space="preserve"> for migrants</w:t>
      </w:r>
      <w:r w:rsidR="0092133C" w:rsidRPr="00C0488C">
        <w:rPr>
          <w:rFonts w:asciiTheme="majorBidi" w:hAnsiTheme="majorBidi" w:cstheme="majorBidi"/>
        </w:rPr>
        <w:t xml:space="preserve"> </w:t>
      </w:r>
      <w:r w:rsidR="0092133C" w:rsidRPr="00C0488C">
        <w:rPr>
          <w:rFonts w:asciiTheme="majorBidi" w:hAnsiTheme="majorBidi" w:cstheme="majorBidi"/>
        </w:rPr>
        <w:fldChar w:fldCharType="begin" w:fldLock="1"/>
      </w:r>
      <w:r w:rsidR="00EA3427">
        <w:rPr>
          <w:rFonts w:asciiTheme="majorBidi" w:hAnsiTheme="majorBidi" w:cstheme="majorBidi"/>
        </w:rPr>
        <w:instrText>ADDIN CSL_CITATION { "citationItems" : [ { "id" : "ITEM-1", "itemData" : { "DOI" : "10.1068/a130327p", "ISSN" : "0308-518X", "abstract" : "Using individual records from a large and geographically detailed national research opinion survey, this paper uniquely adopts a multilevel\ufffdcross-classified statistical framework to demonstrate the relative importance of individual and simultaneous origin/destination contextual (neighbourhood and city region) variations in the distance moved by residential migrants in England and Wales. The model results confirm distinct microlevel variations in the distance moved according to certain key variables such as household income, educational attainment, and housing tenure whilst simultaneously revealing the importance of substantial origin and destination place-based macrogeographic variations. More specifically, the results indicate the extent to which those out-migrants from the main metropolitan cores, together with those in-migrants to the rural/coastal (amenity-rich) destinations, move over considerably longer distances than the average distance of\ufffdmove. Keywords: residential mobility; origin and destination context; distance moved; cross-classified multilevel model; place-based preferences", "author" : [ { "dropping-particle" : "", "family" : "Thomas", "given" : "Michael", "non-dropping-particle" : "", "parse-names" : false, "suffix" : "" }, { "dropping-particle" : "", "family" : "Stillwell", "given" : "John", "non-dropping-particle" : "", "parse-names" : false, "suffix" : "" }, { "dropping-particle" : "", "family" : "Gould", "given" : "Myles", "non-dropping-particle" : "", "parse-names" : false, "suffix" : "" } ], "container-title" : "Environment and Planning A", "id" : "ITEM-1", "issue" : "4", "issued" : { "date-parts" : [ [ "2015", "4" ] ] }, "page" : "996-1014", "publisher" : "Pion Ltd", "title" : "Modelling multilevel variations in distance moved between origins and destinations in England and Wales", "type" : "article-journal", "volume" : "47" }, "uris" : [ "http://www.mendeley.com/documents/?uuid=eb19a348-fe77-427b-bb2d-455984a90ee9" ] } ], "mendeley" : { "formattedCitation" : "(Thomas &lt;i&gt;et al.&lt;/i&gt;, 2015)", "plainTextFormattedCitation" : "(Thomas et al., 2015)", "previouslyFormattedCitation" : "(Thomas &lt;i&gt;et al.&lt;/i&gt;, 2015)" }, "properties" : { "noteIndex" : 0 }, "schema" : "https://github.com/citation-style-language/schema/raw/master/csl-citation.json" }</w:instrText>
      </w:r>
      <w:r w:rsidR="0092133C" w:rsidRPr="00C0488C">
        <w:rPr>
          <w:rFonts w:asciiTheme="majorBidi" w:hAnsiTheme="majorBidi" w:cstheme="majorBidi"/>
        </w:rPr>
        <w:fldChar w:fldCharType="separate"/>
      </w:r>
      <w:r w:rsidR="00A328DF" w:rsidRPr="00A328DF">
        <w:rPr>
          <w:rFonts w:asciiTheme="majorBidi" w:hAnsiTheme="majorBidi" w:cstheme="majorBidi"/>
          <w:noProof/>
        </w:rPr>
        <w:t xml:space="preserve">(Thomas </w:t>
      </w:r>
      <w:r w:rsidR="00A328DF" w:rsidRPr="00A328DF">
        <w:rPr>
          <w:rFonts w:asciiTheme="majorBidi" w:hAnsiTheme="majorBidi" w:cstheme="majorBidi"/>
          <w:i/>
          <w:noProof/>
        </w:rPr>
        <w:t>et al.</w:t>
      </w:r>
      <w:r w:rsidR="00A328DF" w:rsidRPr="00A328DF">
        <w:rPr>
          <w:rFonts w:asciiTheme="majorBidi" w:hAnsiTheme="majorBidi" w:cstheme="majorBidi"/>
          <w:noProof/>
        </w:rPr>
        <w:t>, 2015)</w:t>
      </w:r>
      <w:r w:rsidR="0092133C" w:rsidRPr="00C0488C">
        <w:rPr>
          <w:rFonts w:asciiTheme="majorBidi" w:hAnsiTheme="majorBidi" w:cstheme="majorBidi"/>
        </w:rPr>
        <w:fldChar w:fldCharType="end"/>
      </w:r>
      <w:r w:rsidR="00C772E7" w:rsidRPr="00C0488C">
        <w:rPr>
          <w:rFonts w:asciiTheme="majorBidi" w:hAnsiTheme="majorBidi" w:cstheme="majorBidi"/>
        </w:rPr>
        <w:t>,</w:t>
      </w:r>
      <w:r w:rsidR="00AA656F" w:rsidRPr="00C0488C">
        <w:rPr>
          <w:rFonts w:asciiTheme="majorBidi" w:hAnsiTheme="majorBidi" w:cstheme="majorBidi"/>
        </w:rPr>
        <w:t xml:space="preserve"> increasing distances are associated with loss of social networks </w:t>
      </w:r>
      <w:r w:rsidR="00AA656F" w:rsidRPr="00C0488C">
        <w:rPr>
          <w:rFonts w:asciiTheme="majorBidi" w:hAnsiTheme="majorBidi" w:cstheme="majorBidi"/>
        </w:rPr>
        <w:fldChar w:fldCharType="begin" w:fldLock="1"/>
      </w:r>
      <w:r w:rsidR="00607727">
        <w:rPr>
          <w:rFonts w:asciiTheme="majorBidi" w:hAnsiTheme="majorBidi" w:cstheme="majorBidi"/>
        </w:rPr>
        <w:instrText>ADDIN CSL_CITATION { "citationItems" : [ { "id" : "ITEM-1", "itemData" : { "DOI" : "10.1111/j.1549-0831.2002.tb00091.x", "ISSN" : "1549-0831", "author" : [ { "dropping-particle" : "", "family" : "Brown", "given" : "David L", "non-dropping-particle" : "", "parse-names" : false, "suffix" : "" } ], "container-title" : "Rural Sociology", "id" : "ITEM-1", "issue" : "1", "issued" : { "date-parts" : [ [ "2002", "3", "1" ] ] }, "page" : "1-23", "publisher" : "Blackwell Publishing Ltd", "title" : "Migration and Community: Social Networks in a Multilevel World", "type" : "article-journal", "volume" : "67" }, "uris" : [ "http://www.mendeley.com/documents/?uuid=0f096477-171b-4164-aa93-e7766171d507" ] } ], "mendeley" : { "formattedCitation" : "(Brown, 2002)", "plainTextFormattedCitation" : "(Brown, 2002)", "previouslyFormattedCitation" : "(Brown, 2002)" }, "properties" : { "noteIndex" : 0 }, "schema" : "https://github.com/citation-style-language/schema/raw/master/csl-citation.json" }</w:instrText>
      </w:r>
      <w:r w:rsidR="00AA656F" w:rsidRPr="00C0488C">
        <w:rPr>
          <w:rFonts w:asciiTheme="majorBidi" w:hAnsiTheme="majorBidi" w:cstheme="majorBidi"/>
        </w:rPr>
        <w:fldChar w:fldCharType="separate"/>
      </w:r>
      <w:r w:rsidR="00AA656F" w:rsidRPr="00C0488C">
        <w:rPr>
          <w:rFonts w:asciiTheme="majorBidi" w:hAnsiTheme="majorBidi" w:cstheme="majorBidi"/>
          <w:noProof/>
        </w:rPr>
        <w:t>(Brown, 2002)</w:t>
      </w:r>
      <w:r w:rsidR="00AA656F" w:rsidRPr="00C0488C">
        <w:rPr>
          <w:rFonts w:asciiTheme="majorBidi" w:hAnsiTheme="majorBidi" w:cstheme="majorBidi"/>
        </w:rPr>
        <w:fldChar w:fldCharType="end"/>
      </w:r>
      <w:r w:rsidR="00AA656F" w:rsidRPr="00C0488C">
        <w:rPr>
          <w:rFonts w:asciiTheme="majorBidi" w:hAnsiTheme="majorBidi" w:cstheme="majorBidi"/>
        </w:rPr>
        <w:t xml:space="preserve"> and greater financial costs due to searches and moves </w:t>
      </w:r>
      <w:r w:rsidR="00AA656F" w:rsidRPr="00C0488C">
        <w:rPr>
          <w:rFonts w:asciiTheme="majorBidi" w:hAnsiTheme="majorBidi" w:cstheme="majorBidi"/>
        </w:rPr>
        <w:fldChar w:fldCharType="begin" w:fldLock="1"/>
      </w:r>
      <w:r w:rsidR="00A328DF">
        <w:rPr>
          <w:rFonts w:asciiTheme="majorBidi" w:hAnsiTheme="majorBidi" w:cstheme="majorBidi"/>
        </w:rPr>
        <w:instrText>ADDIN CSL_CITATION { "citationItems" : [ { "id" : "ITEM-1", "itemData" : { "DOI" : "10.2307/621312", "abstract" : "After a discussion of residential search, a number of stopping-rule models are introduced and reviewed, including the 'marriage problem' and the 'house-hunting problem'. Requirements for a search and stopping-rule model in residential selection are outlined. Such a model would incorporate adaptive, systematic and hierarchical search models, and the constraining effects of discrimination and competition.", "author" : [ { "dropping-particle" : "", "family" : "Flowerdew", "given" : "Robin", "non-dropping-particle" : "", "parse-names" : false, "suffix" : "" } ], "container-title" : "Transactions of the Institute of British Geographers", "id" : "ITEM-1", "issue" : "1", "issued" : { "date-parts" : [ [ "1976" ] ] }, "page" : "47", "publisher" : "[Royal Geographical Society (with the Institute of British Geographers), Wiley]", "title" : "Search strategies and stopping rules in residential mobility", "type" : "article-journal", "volume" : "1" }, "uris" : [ "http://www.mendeley.com/documents/?uuid=a5526abb-130a-4c79-95f3-1227b5d71f16" ] } ], "mendeley" : { "formattedCitation" : "(Flowerdew, 1976)", "plainTextFormattedCitation" : "(Flowerdew, 1976)", "previouslyFormattedCitation" : "(Flowerdew, 1976)" }, "properties" : { "noteIndex" : 0 }, "schema" : "https://github.com/citation-style-language/schema/raw/master/csl-citation.json" }</w:instrText>
      </w:r>
      <w:r w:rsidR="00AA656F" w:rsidRPr="00C0488C">
        <w:rPr>
          <w:rFonts w:asciiTheme="majorBidi" w:hAnsiTheme="majorBidi" w:cstheme="majorBidi"/>
        </w:rPr>
        <w:fldChar w:fldCharType="separate"/>
      </w:r>
      <w:r w:rsidR="00AA656F" w:rsidRPr="00C0488C">
        <w:rPr>
          <w:rFonts w:asciiTheme="majorBidi" w:hAnsiTheme="majorBidi" w:cstheme="majorBidi"/>
          <w:noProof/>
        </w:rPr>
        <w:t>(Flowerdew, 1976)</w:t>
      </w:r>
      <w:r w:rsidR="00AA656F" w:rsidRPr="00C0488C">
        <w:rPr>
          <w:rFonts w:asciiTheme="majorBidi" w:hAnsiTheme="majorBidi" w:cstheme="majorBidi"/>
        </w:rPr>
        <w:fldChar w:fldCharType="end"/>
      </w:r>
      <w:r w:rsidR="00AA656F" w:rsidRPr="00C0488C">
        <w:rPr>
          <w:rFonts w:asciiTheme="majorBidi" w:hAnsiTheme="majorBidi" w:cstheme="majorBidi"/>
        </w:rPr>
        <w:t xml:space="preserve">. </w:t>
      </w:r>
      <w:r w:rsidRPr="00C0488C">
        <w:rPr>
          <w:rFonts w:asciiTheme="majorBidi" w:hAnsiTheme="majorBidi" w:cstheme="majorBidi"/>
        </w:rPr>
        <w:t>Thus there are characteristics which are not only selective for the propensity to move, but also selective of the distances moved among migrants</w:t>
      </w:r>
      <w:r w:rsidR="003B431B">
        <w:rPr>
          <w:rFonts w:asciiTheme="majorBidi" w:hAnsiTheme="majorBidi" w:cstheme="majorBidi"/>
        </w:rPr>
        <w:t>.</w:t>
      </w:r>
      <w:r w:rsidR="00745703" w:rsidRPr="00C0488C">
        <w:rPr>
          <w:rFonts w:asciiTheme="majorBidi" w:hAnsiTheme="majorBidi" w:cstheme="majorBidi"/>
        </w:rPr>
        <w:t xml:space="preserve"> </w:t>
      </w:r>
      <w:r w:rsidRPr="00C0488C">
        <w:rPr>
          <w:rFonts w:asciiTheme="majorBidi" w:hAnsiTheme="majorBidi" w:cstheme="majorBidi"/>
        </w:rPr>
        <w:t>L</w:t>
      </w:r>
      <w:r w:rsidR="00AA656F" w:rsidRPr="00C0488C">
        <w:rPr>
          <w:rFonts w:asciiTheme="majorBidi" w:hAnsiTheme="majorBidi" w:cstheme="majorBidi"/>
        </w:rPr>
        <w:t xml:space="preserve">ong distance migrants are </w:t>
      </w:r>
      <w:r w:rsidR="002F2406" w:rsidRPr="00C0488C">
        <w:rPr>
          <w:rFonts w:asciiTheme="majorBidi" w:hAnsiTheme="majorBidi" w:cstheme="majorBidi"/>
        </w:rPr>
        <w:t>younger, have higher levels of education attainment</w:t>
      </w:r>
      <w:r w:rsidR="00AA656F" w:rsidRPr="00C0488C">
        <w:rPr>
          <w:rFonts w:asciiTheme="majorBidi" w:hAnsiTheme="majorBidi" w:cstheme="majorBidi"/>
        </w:rPr>
        <w:t xml:space="preserve"> </w:t>
      </w:r>
      <w:r w:rsidR="00AA656F" w:rsidRPr="00C0488C">
        <w:rPr>
          <w:rFonts w:asciiTheme="majorBidi" w:hAnsiTheme="majorBidi" w:cstheme="majorBidi"/>
        </w:rPr>
        <w:fldChar w:fldCharType="begin" w:fldLock="1"/>
      </w:r>
      <w:r w:rsidR="00EA3427">
        <w:rPr>
          <w:rFonts w:asciiTheme="majorBidi" w:hAnsiTheme="majorBidi" w:cstheme="majorBidi"/>
        </w:rPr>
        <w:instrText>ADDIN CSL_CITATION { "citationItems" : [ { "id" : "ITEM-1", "itemData" : { "DOI" : "10.1068/a130327p", "ISSN" : "0308-518X", "abstract" : "Using individual records from a large and geographically detailed national research opinion survey, this paper uniquely adopts a multilevel\ufffdcross-classified statistical framework to demonstrate the relative importance of individual and simultaneous origin/destination contextual (neighbourhood and city region) variations in the distance moved by residential migrants in England and Wales. The model results confirm distinct microlevel variations in the distance moved according to certain key variables such as household income, educational attainment, and housing tenure whilst simultaneously revealing the importance of substantial origin and destination place-based macrogeographic variations. More specifically, the results indicate the extent to which those out-migrants from the main metropolitan cores, together with those in-migrants to the rural/coastal (amenity-rich) destinations, move over considerably longer distances than the average distance of\ufffdmove. Keywords: residential mobility; origin and destination context; distance moved; cross-classified multilevel model; place-based preferences", "author" : [ { "dropping-particle" : "", "family" : "Thomas", "given" : "Michael", "non-dropping-particle" : "", "parse-names" : false, "suffix" : "" }, { "dropping-particle" : "", "family" : "Stillwell", "given" : "John", "non-dropping-particle" : "", "parse-names" : false, "suffix" : "" }, { "dropping-particle" : "", "family" : "Gould", "given" : "Myles", "non-dropping-particle" : "", "parse-names" : false, "suffix" : "" } ], "container-title" : "Environment and Planning A", "id" : "ITEM-1", "issue" : "4", "issued" : { "date-parts" : [ [ "2015", "4" ] ] }, "page" : "996-1014", "publisher" : "Pion Ltd", "title" : "Modelling multilevel variations in distance moved between origins and destinations in England and Wales", "type" : "article-journal", "volume" : "47" }, "uris" : [ "http://www.mendeley.com/documents/?uuid=eb19a348-fe77-427b-bb2d-455984a90ee9" ] } ], "mendeley" : { "formattedCitation" : "(Thomas &lt;i&gt;et al.&lt;/i&gt;, 2015)", "plainTextFormattedCitation" : "(Thomas et al., 2015)", "previouslyFormattedCitation" : "(Thomas &lt;i&gt;et al.&lt;/i&gt;, 2015)" }, "properties" : { "noteIndex" : 0 }, "schema" : "https://github.com/citation-style-language/schema/raw/master/csl-citation.json" }</w:instrText>
      </w:r>
      <w:r w:rsidR="00AA656F" w:rsidRPr="00C0488C">
        <w:rPr>
          <w:rFonts w:asciiTheme="majorBidi" w:hAnsiTheme="majorBidi" w:cstheme="majorBidi"/>
        </w:rPr>
        <w:fldChar w:fldCharType="separate"/>
      </w:r>
      <w:r w:rsidR="00A328DF" w:rsidRPr="00A328DF">
        <w:rPr>
          <w:rFonts w:asciiTheme="majorBidi" w:hAnsiTheme="majorBidi" w:cstheme="majorBidi"/>
          <w:noProof/>
        </w:rPr>
        <w:t xml:space="preserve">(Thomas </w:t>
      </w:r>
      <w:r w:rsidR="00A328DF" w:rsidRPr="00A328DF">
        <w:rPr>
          <w:rFonts w:asciiTheme="majorBidi" w:hAnsiTheme="majorBidi" w:cstheme="majorBidi"/>
          <w:i/>
          <w:noProof/>
        </w:rPr>
        <w:t>et al.</w:t>
      </w:r>
      <w:r w:rsidR="00A328DF" w:rsidRPr="00A328DF">
        <w:rPr>
          <w:rFonts w:asciiTheme="majorBidi" w:hAnsiTheme="majorBidi" w:cstheme="majorBidi"/>
          <w:noProof/>
        </w:rPr>
        <w:t>, 2015)</w:t>
      </w:r>
      <w:r w:rsidR="00AA656F" w:rsidRPr="00C0488C">
        <w:rPr>
          <w:rFonts w:asciiTheme="majorBidi" w:hAnsiTheme="majorBidi" w:cstheme="majorBidi"/>
        </w:rPr>
        <w:fldChar w:fldCharType="end"/>
      </w:r>
      <w:r w:rsidR="00AA656F" w:rsidRPr="00C0488C">
        <w:rPr>
          <w:rFonts w:asciiTheme="majorBidi" w:hAnsiTheme="majorBidi" w:cstheme="majorBidi"/>
        </w:rPr>
        <w:t xml:space="preserve"> and </w:t>
      </w:r>
      <w:r w:rsidR="002F2406" w:rsidRPr="00C0488C">
        <w:rPr>
          <w:rFonts w:asciiTheme="majorBidi" w:hAnsiTheme="majorBidi" w:cstheme="majorBidi"/>
        </w:rPr>
        <w:t>are more likely to be in the higher social classes</w:t>
      </w:r>
      <w:r w:rsidR="00AA656F" w:rsidRPr="00C0488C">
        <w:rPr>
          <w:rFonts w:asciiTheme="majorBidi" w:hAnsiTheme="majorBidi" w:cstheme="majorBidi"/>
        </w:rPr>
        <w:t xml:space="preserve"> </w:t>
      </w:r>
      <w:r w:rsidR="00AA656F" w:rsidRPr="00C0488C">
        <w:rPr>
          <w:rFonts w:asciiTheme="majorBidi" w:hAnsiTheme="majorBidi" w:cstheme="majorBidi"/>
        </w:rPr>
        <w:fldChar w:fldCharType="begin" w:fldLock="1"/>
      </w:r>
      <w:r w:rsidR="00A328DF">
        <w:rPr>
          <w:rFonts w:asciiTheme="majorBidi" w:hAnsiTheme="majorBidi" w:cstheme="majorBidi"/>
        </w:rPr>
        <w:instrText>ADDIN CSL_CITATION { "citationItems" : [ { "id" : "ITEM-1", "itemData" : { "DOI" : "10.1002/(SICI)1099-1220(199709)3:3&lt;227::AID-IJPG69&gt;3.0.CO;2-W", "ISSN" : "1077-3495", "abstract" : "Various studies have confirmed that tenants in public (council) housing are more likely to migrate than owner-occupiers, but that they are less likely to move over long distances. This paper extends this work by considering the distance moved by one-year migrants using a multi-level modelling approach. Controlling for a range of socio-economic variables, derived from the 1991 British Census Sample of Anonymised Records (SAR), at both the individual and area level, the distance moved by household heads in public, privately rented and owner-occupied housing within Britain is assessed. Data on the proportion of households in a SAR area who live in council housing and the absolute reduction in this number between 1981 and 1991 were also examined. It is confirmed that migrants in public housing are less likely to migrate long distances than owner-occupiers and that the proportion of public housing in a SAR area, and the absolute reduction in public housing in a SAR area between 1981 and 1991, does not have a significant effect on the distance that in-migrants have moved. It appears that public housing has a significant effect on distance moved at the individual level but not at the area level. Modelling only those migrants who moved over 20 km suggests that there are no significant differences in the distance moved between those living in owner-occupied and public housing, but that area-level variables related to tenure are particularly important in explaining the distance moved. \u00a9 1997 John Wiley &amp; Sons, Ltd.", "author" : [ { "dropping-particle" : "", "family" : "Boyle", "given" : "Paul", "non-dropping-particle" : "", "parse-names" : false, "suffix" : "" }, { "dropping-particle" : "", "family" : "Shen", "given" : "Jianfa", "non-dropping-particle" : "", "parse-names" : false, "suffix" : "" } ], "container-title" : "International Journal of Population Geography", "id" : "ITEM-1", "issue" : "3", "issued" : { "date-parts" : [ [ "1997", "9", "1" ] ] }, "note" : "Uses the 1991 SARs to model distance migrated. Uses RI models, finds that middle aged (44+) are most likely to move further and those living in LA housing are moving shorter distances. HOWEVER startifying the sample to include only long distance migrants (20+km) uncovers no significant differences in the distance moved among private and LA tenants and parents/singles. The factors which determine the decision to move long distance are separate from the factors which determine the distance moved in a long distance move.", "page" : "227-242", "publisher" : "John Wiley &amp; Sons, Ltd.", "title" : "Public housing and migration: a multi-level modelling approach", "type" : "article-journal", "volume" : "3" }, "uris" : [ "http://www.mendeley.com/documents/?uuid=4d57f64b-442b-4eda-92b3-97f731f50b9b" ] } ], "mendeley" : { "formattedCitation" : "(Boyle and Shen, 1997)", "plainTextFormattedCitation" : "(Boyle and Shen, 1997)", "previouslyFormattedCitation" : "(Boyle and Shen, 1997)" }, "properties" : { "noteIndex" : 0 }, "schema" : "https://github.com/citation-style-language/schema/raw/master/csl-citation.json" }</w:instrText>
      </w:r>
      <w:r w:rsidR="00AA656F" w:rsidRPr="00C0488C">
        <w:rPr>
          <w:rFonts w:asciiTheme="majorBidi" w:hAnsiTheme="majorBidi" w:cstheme="majorBidi"/>
        </w:rPr>
        <w:fldChar w:fldCharType="separate"/>
      </w:r>
      <w:r w:rsidR="00AA656F" w:rsidRPr="00C0488C">
        <w:rPr>
          <w:rFonts w:asciiTheme="majorBidi" w:hAnsiTheme="majorBidi" w:cstheme="majorBidi"/>
          <w:noProof/>
        </w:rPr>
        <w:t>(Boyle and Shen, 1997)</w:t>
      </w:r>
      <w:r w:rsidR="00AA656F" w:rsidRPr="00C0488C">
        <w:rPr>
          <w:rFonts w:asciiTheme="majorBidi" w:hAnsiTheme="majorBidi" w:cstheme="majorBidi"/>
        </w:rPr>
        <w:fldChar w:fldCharType="end"/>
      </w:r>
      <w:r w:rsidR="002F2406" w:rsidRPr="00C0488C">
        <w:rPr>
          <w:rFonts w:asciiTheme="majorBidi" w:hAnsiTheme="majorBidi" w:cstheme="majorBidi"/>
        </w:rPr>
        <w:t xml:space="preserve"> than the general population</w:t>
      </w:r>
      <w:r w:rsidRPr="00C0488C">
        <w:rPr>
          <w:rFonts w:asciiTheme="majorBidi" w:hAnsiTheme="majorBidi" w:cstheme="majorBidi"/>
        </w:rPr>
        <w:t xml:space="preserve">, for example. </w:t>
      </w:r>
      <w:r w:rsidR="00EB4070">
        <w:rPr>
          <w:rFonts w:asciiTheme="majorBidi" w:hAnsiTheme="majorBidi" w:cstheme="majorBidi"/>
        </w:rPr>
        <w:t>Migration over long distances is relatively uncommon</w:t>
      </w:r>
      <w:r w:rsidR="00261724">
        <w:rPr>
          <w:rFonts w:asciiTheme="majorBidi" w:hAnsiTheme="majorBidi" w:cstheme="majorBidi"/>
        </w:rPr>
        <w:t>, a</w:t>
      </w:r>
      <w:r w:rsidR="00EB4070">
        <w:rPr>
          <w:rFonts w:asciiTheme="majorBidi" w:hAnsiTheme="majorBidi" w:cstheme="majorBidi"/>
        </w:rPr>
        <w:t>n estimated 9.3% of the population living in England and Wales</w:t>
      </w:r>
      <w:r w:rsidR="00261724">
        <w:rPr>
          <w:rFonts w:asciiTheme="majorBidi" w:hAnsiTheme="majorBidi" w:cstheme="majorBidi"/>
        </w:rPr>
        <w:t xml:space="preserve"> at 2001</w:t>
      </w:r>
      <w:r w:rsidR="00EB4070">
        <w:rPr>
          <w:rFonts w:asciiTheme="majorBidi" w:hAnsiTheme="majorBidi" w:cstheme="majorBidi"/>
        </w:rPr>
        <w:t xml:space="preserve"> moved to an address 50km or further away </w:t>
      </w:r>
      <w:r w:rsidR="00261724">
        <w:rPr>
          <w:rFonts w:asciiTheme="majorBidi" w:hAnsiTheme="majorBidi" w:cstheme="majorBidi"/>
        </w:rPr>
        <w:t>by 201</w:t>
      </w:r>
      <w:r w:rsidR="00EB4070">
        <w:rPr>
          <w:rFonts w:asciiTheme="majorBidi" w:hAnsiTheme="majorBidi" w:cstheme="majorBidi"/>
        </w:rPr>
        <w:t xml:space="preserve">1, compared to 27.5% moving less than 10km </w:t>
      </w:r>
      <w:r w:rsidR="00EB4070">
        <w:rPr>
          <w:rFonts w:asciiTheme="majorBidi" w:hAnsiTheme="majorBidi" w:cstheme="majorBidi"/>
        </w:rPr>
        <w:fldChar w:fldCharType="begin" w:fldLock="1"/>
      </w:r>
      <w:r w:rsidR="00261724">
        <w:rPr>
          <w:rFonts w:asciiTheme="majorBidi" w:hAnsiTheme="majorBidi" w:cstheme="majorBidi"/>
        </w:rPr>
        <w:instrText>ADDIN CSL_CITATION { "citationItems" : [ { "id" : "ITEM-1", "itemData" : { "author" : [ { "dropping-particle" : "", "family" : "Champion", "given" : "Tony", "non-dropping-particle" : "", "parse-names" : false, "suffix" : "" }, { "dropping-particle" : "", "family" : "Shuttleworth", "given" : "Ian", "non-dropping-particle" : "", "parse-names" : false, "suffix" : "" } ], "collection-title" : "SERC Discussion Paper", "id" : "ITEM-1", "issued" : { "date-parts" : [ [ "2015" ] ] }, "number" : "177", "publisher-place" : "London", "title" : "Are people moving home less? An analysis of address changing in England and Wales, 1971-2011, using the ONS Longitudinal Study", "type" : "report" }, "uris" : [ "http://www.mendeley.com/documents/?uuid=454e8b85-ed52-4e45-8f9b-7def09cbcef8" ] } ], "mendeley" : { "formattedCitation" : "(Champion and Shuttleworth, 2015)", "plainTextFormattedCitation" : "(Champion and Shuttleworth, 2015)", "previouslyFormattedCitation" : "(Champion and Shuttleworth, 2015)" }, "properties" : { "noteIndex" : 0 }, "schema" : "https://github.com/citation-style-language/schema/raw/master/csl-citation.json" }</w:instrText>
      </w:r>
      <w:r w:rsidR="00EB4070">
        <w:rPr>
          <w:rFonts w:asciiTheme="majorBidi" w:hAnsiTheme="majorBidi" w:cstheme="majorBidi"/>
        </w:rPr>
        <w:fldChar w:fldCharType="separate"/>
      </w:r>
      <w:r w:rsidR="00EB4070" w:rsidRPr="00EB4070">
        <w:rPr>
          <w:rFonts w:asciiTheme="majorBidi" w:hAnsiTheme="majorBidi" w:cstheme="majorBidi"/>
          <w:noProof/>
        </w:rPr>
        <w:t>(Champion and Shuttleworth, 2015)</w:t>
      </w:r>
      <w:r w:rsidR="00EB4070">
        <w:rPr>
          <w:rFonts w:asciiTheme="majorBidi" w:hAnsiTheme="majorBidi" w:cstheme="majorBidi"/>
        </w:rPr>
        <w:fldChar w:fldCharType="end"/>
      </w:r>
      <w:r w:rsidR="00EB4070">
        <w:rPr>
          <w:rFonts w:asciiTheme="majorBidi" w:hAnsiTheme="majorBidi" w:cstheme="majorBidi"/>
        </w:rPr>
        <w:t>. The literature suggests that these long distance moves are driven</w:t>
      </w:r>
      <w:r w:rsidR="00261724">
        <w:rPr>
          <w:rFonts w:asciiTheme="majorBidi" w:hAnsiTheme="majorBidi" w:cstheme="majorBidi"/>
        </w:rPr>
        <w:t xml:space="preserve"> primarily</w:t>
      </w:r>
      <w:r w:rsidR="00EB4070">
        <w:rPr>
          <w:rFonts w:asciiTheme="majorBidi" w:hAnsiTheme="majorBidi" w:cstheme="majorBidi"/>
        </w:rPr>
        <w:t xml:space="preserve"> by employment, housing, amenities and education </w:t>
      </w:r>
      <w:r w:rsidR="00261724">
        <w:rPr>
          <w:rFonts w:asciiTheme="majorBidi" w:hAnsiTheme="majorBidi" w:cstheme="majorBidi"/>
        </w:rPr>
        <w:fldChar w:fldCharType="begin" w:fldLock="1"/>
      </w:r>
      <w:r w:rsidR="001B23BB">
        <w:rPr>
          <w:rFonts w:asciiTheme="majorBidi" w:hAnsiTheme="majorBidi" w:cstheme="majorBidi"/>
        </w:rPr>
        <w:instrText>ADDIN CSL_CITATION { "citationItems" : [ { "id" : "ITEM-1", "itemData" : { "author" : [ { "dropping-particle" : "", "family" : "Champion", "given" : "Tony", "non-dropping-particle" : "", "parse-names" : false, "suffix" : "" }, { "dropping-particle" : "", "family" : "Fotheringham", "given" : "Stewart", "non-dropping-particle" : "", "parse-names" : false, "suffix" : "" }, { "dropping-particle" : "", "family" : "Rees", "given" : "Philip", "non-dropping-particle" : "", "parse-names" : false, "suffix" : "" }, { "dropping-particle" : "", "family" : "Boyle", "given" : "Paul", "non-dropping-particle" : "", "parse-names" : false, "suffix" : "" }, { "dropping-particle" : "", "family" : "Stillwell", "given" : "John", "non-dropping-particle" : "", "parse-names" : false, "suffix" : "" } ], "id" : "ITEM-1", "issue" : "July", "issued" : { "date-parts" : [ [ "1998" ] ] }, "publisher" : "The Department of Geography, University of Newcastle upon Tyne", "publisher-place" : "Newcastle upon Tyne", "title" : "The determinants of migration flows in England: a review of existing data and evidence: a report prepared for the Department of the Environment, Transport and the Regions", "type" : "book" }, "uris" : [ "http://www.mendeley.com/documents/?uuid=5800b43a-8c93-4e3c-a425-be25fcaa2d06" ] } ], "mendeley" : { "formattedCitation" : "(Champion &lt;i&gt;et al.&lt;/i&gt;, 1998)", "plainTextFormattedCitation" : "(Champion et al., 1998)", "previouslyFormattedCitation" : "(Champion &lt;i&gt;et al.&lt;/i&gt;, 1998)" }, "properties" : { "noteIndex" : 0 }, "schema" : "https://github.com/citation-style-language/schema/raw/master/csl-citation.json" }</w:instrText>
      </w:r>
      <w:r w:rsidR="00261724">
        <w:rPr>
          <w:rFonts w:asciiTheme="majorBidi" w:hAnsiTheme="majorBidi" w:cstheme="majorBidi"/>
        </w:rPr>
        <w:fldChar w:fldCharType="separate"/>
      </w:r>
      <w:r w:rsidR="00261724" w:rsidRPr="00261724">
        <w:rPr>
          <w:rFonts w:asciiTheme="majorBidi" w:hAnsiTheme="majorBidi" w:cstheme="majorBidi"/>
          <w:noProof/>
        </w:rPr>
        <w:t xml:space="preserve">(Champion </w:t>
      </w:r>
      <w:r w:rsidR="00261724" w:rsidRPr="00261724">
        <w:rPr>
          <w:rFonts w:asciiTheme="majorBidi" w:hAnsiTheme="majorBidi" w:cstheme="majorBidi"/>
          <w:i/>
          <w:noProof/>
        </w:rPr>
        <w:t>et al.</w:t>
      </w:r>
      <w:r w:rsidR="00261724" w:rsidRPr="00261724">
        <w:rPr>
          <w:rFonts w:asciiTheme="majorBidi" w:hAnsiTheme="majorBidi" w:cstheme="majorBidi"/>
          <w:noProof/>
        </w:rPr>
        <w:t>, 1998)</w:t>
      </w:r>
      <w:r w:rsidR="00261724">
        <w:rPr>
          <w:rFonts w:asciiTheme="majorBidi" w:hAnsiTheme="majorBidi" w:cstheme="majorBidi"/>
        </w:rPr>
        <w:fldChar w:fldCharType="end"/>
      </w:r>
      <w:r w:rsidR="00261724">
        <w:rPr>
          <w:rFonts w:asciiTheme="majorBidi" w:hAnsiTheme="majorBidi" w:cstheme="majorBidi"/>
        </w:rPr>
        <w:t>.</w:t>
      </w:r>
    </w:p>
    <w:p w14:paraId="4BAB32C3" w14:textId="40ABEB6E" w:rsidR="00DA6AD7" w:rsidRPr="00C0488C" w:rsidRDefault="00631A24" w:rsidP="00607727">
      <w:pPr>
        <w:spacing w:line="480" w:lineRule="auto"/>
        <w:rPr>
          <w:rFonts w:asciiTheme="majorBidi" w:hAnsiTheme="majorBidi" w:cstheme="majorBidi"/>
        </w:rPr>
      </w:pPr>
      <w:r w:rsidRPr="00C0488C">
        <w:rPr>
          <w:rFonts w:asciiTheme="majorBidi" w:hAnsiTheme="majorBidi" w:cstheme="majorBidi"/>
        </w:rPr>
        <w:t xml:space="preserve">The healthy migrant hypothesis posits that </w:t>
      </w:r>
      <w:r w:rsidR="003A5CE3" w:rsidRPr="00C0488C">
        <w:rPr>
          <w:rFonts w:asciiTheme="majorBidi" w:hAnsiTheme="majorBidi" w:cstheme="majorBidi"/>
        </w:rPr>
        <w:t>good health</w:t>
      </w:r>
      <w:r w:rsidRPr="00C0488C">
        <w:rPr>
          <w:rFonts w:asciiTheme="majorBidi" w:hAnsiTheme="majorBidi" w:cstheme="majorBidi"/>
        </w:rPr>
        <w:t xml:space="preserve"> is one </w:t>
      </w:r>
      <w:r w:rsidR="00317D7E" w:rsidRPr="00C0488C">
        <w:rPr>
          <w:rFonts w:asciiTheme="majorBidi" w:hAnsiTheme="majorBidi" w:cstheme="majorBidi"/>
        </w:rPr>
        <w:t>of the characteristics which relates to adaptability</w:t>
      </w:r>
      <w:r w:rsidR="00745703" w:rsidRPr="00C0488C">
        <w:rPr>
          <w:rFonts w:asciiTheme="majorBidi" w:hAnsiTheme="majorBidi" w:cstheme="majorBidi"/>
        </w:rPr>
        <w:t xml:space="preserve"> </w:t>
      </w:r>
      <w:r w:rsidR="00745703" w:rsidRPr="00C0488C">
        <w:rPr>
          <w:rFonts w:asciiTheme="majorBidi" w:hAnsiTheme="majorBidi" w:cstheme="majorBidi"/>
        </w:rPr>
        <w:fldChar w:fldCharType="begin" w:fldLock="1"/>
      </w:r>
      <w:r w:rsidR="00607727">
        <w:rPr>
          <w:rFonts w:asciiTheme="majorBidi" w:hAnsiTheme="majorBidi" w:cstheme="majorBidi"/>
        </w:rPr>
        <w:instrText>ADDIN CSL_CITATION { "citationItems" : [ { "id" : "ITEM-1", "itemData" : { "abstract" : "In many ways, first-generation immigrants to the United States are healthier than people of similar ethnic backgrounds who were born in this country. However, overtime, the newcomers' health advantages diminish dramatically. This article discusses factors that contribute to the deterioration of immigrants' health: poverty, living in substandard housing, not having access to medical care, adoption of an American diet, smoking, and substance abuse.", "author" : [ { "dropping-particle" : "", "family" : "Fennelly", "given" : "Katherine", "non-dropping-particle" : "", "parse-names" : false, "suffix" : "" } ], "container-title" : "Minnesota medicine", "id" : "ITEM-1", "issue" : "3", "issued" : { "date-parts" : [ [ "2007" ] ] }, "page" : "51-53", "title" : "The \"healthy migrant\" effect.", "type" : "article-journal", "volume" : "90" }, "uris" : [ "http://www.mendeley.com/documents/?uuid=6b2e592a-c5d1-4ebc-951f-c729cc3e7820" ] } ], "mendeley" : { "formattedCitation" : "(Fennelly, 2007)", "plainTextFormattedCitation" : "(Fennelly, 2007)", "previouslyFormattedCitation" : "(Fennelly, 2007)" }, "properties" : { "noteIndex" : 0 }, "schema" : "https://github.com/citation-style-language/schema/raw/master/csl-citation.json" }</w:instrText>
      </w:r>
      <w:r w:rsidR="00745703" w:rsidRPr="00C0488C">
        <w:rPr>
          <w:rFonts w:asciiTheme="majorBidi" w:hAnsiTheme="majorBidi" w:cstheme="majorBidi"/>
        </w:rPr>
        <w:fldChar w:fldCharType="separate"/>
      </w:r>
      <w:r w:rsidR="00745703" w:rsidRPr="00C0488C">
        <w:rPr>
          <w:rFonts w:asciiTheme="majorBidi" w:hAnsiTheme="majorBidi" w:cstheme="majorBidi"/>
          <w:noProof/>
        </w:rPr>
        <w:t>(Fennelly, 2007)</w:t>
      </w:r>
      <w:r w:rsidR="00745703" w:rsidRPr="00C0488C">
        <w:rPr>
          <w:rFonts w:asciiTheme="majorBidi" w:hAnsiTheme="majorBidi" w:cstheme="majorBidi"/>
        </w:rPr>
        <w:fldChar w:fldCharType="end"/>
      </w:r>
      <w:r w:rsidR="006B40F4" w:rsidRPr="00C0488C">
        <w:rPr>
          <w:rFonts w:asciiTheme="majorBidi" w:hAnsiTheme="majorBidi" w:cstheme="majorBidi"/>
        </w:rPr>
        <w:t>.</w:t>
      </w:r>
      <w:r w:rsidR="00317D7E" w:rsidRPr="00C0488C">
        <w:rPr>
          <w:rFonts w:asciiTheme="majorBidi" w:hAnsiTheme="majorBidi" w:cstheme="majorBidi"/>
        </w:rPr>
        <w:t xml:space="preserve"> </w:t>
      </w:r>
      <w:r w:rsidR="006B40F4" w:rsidRPr="00C0488C">
        <w:rPr>
          <w:rFonts w:asciiTheme="majorBidi" w:hAnsiTheme="majorBidi" w:cstheme="majorBidi"/>
        </w:rPr>
        <w:t>I</w:t>
      </w:r>
      <w:r w:rsidRPr="00C0488C">
        <w:rPr>
          <w:rFonts w:asciiTheme="majorBidi" w:hAnsiTheme="majorBidi" w:cstheme="majorBidi"/>
        </w:rPr>
        <w:t>ndividuals</w:t>
      </w:r>
      <w:r w:rsidR="003A5CE3" w:rsidRPr="00C0488C">
        <w:rPr>
          <w:rFonts w:asciiTheme="majorBidi" w:hAnsiTheme="majorBidi" w:cstheme="majorBidi"/>
        </w:rPr>
        <w:t xml:space="preserve"> in good health</w:t>
      </w:r>
      <w:r w:rsidRPr="00C0488C">
        <w:rPr>
          <w:rFonts w:asciiTheme="majorBidi" w:hAnsiTheme="majorBidi" w:cstheme="majorBidi"/>
        </w:rPr>
        <w:t xml:space="preserve"> are more able to move over long distances</w:t>
      </w:r>
      <w:r w:rsidR="00745703" w:rsidRPr="00C0488C">
        <w:rPr>
          <w:rFonts w:asciiTheme="majorBidi" w:hAnsiTheme="majorBidi" w:cstheme="majorBidi"/>
        </w:rPr>
        <w:t xml:space="preserve">, </w:t>
      </w:r>
      <w:r w:rsidR="00317D7E" w:rsidRPr="00C0488C">
        <w:rPr>
          <w:rFonts w:asciiTheme="majorBidi" w:hAnsiTheme="majorBidi" w:cstheme="majorBidi"/>
        </w:rPr>
        <w:t xml:space="preserve">as they are </w:t>
      </w:r>
      <w:r w:rsidR="00745703" w:rsidRPr="00C0488C">
        <w:rPr>
          <w:rFonts w:asciiTheme="majorBidi" w:hAnsiTheme="majorBidi" w:cstheme="majorBidi"/>
        </w:rPr>
        <w:t xml:space="preserve">free of constraints on physical mobility and reliance on long-term healthcare. </w:t>
      </w:r>
      <w:r w:rsidR="00DA6AD7" w:rsidRPr="00C0488C">
        <w:rPr>
          <w:rFonts w:asciiTheme="majorBidi" w:hAnsiTheme="majorBidi" w:cstheme="majorBidi"/>
        </w:rPr>
        <w:t xml:space="preserve">Conversely, the onset of poor health can lead to long distance migration. Individuals may move back to their area of origin due to place-based ties and the family </w:t>
      </w:r>
      <w:r w:rsidR="006B40F4" w:rsidRPr="00C0488C">
        <w:rPr>
          <w:rFonts w:asciiTheme="majorBidi" w:hAnsiTheme="majorBidi" w:cstheme="majorBidi"/>
        </w:rPr>
        <w:t>being</w:t>
      </w:r>
      <w:r w:rsidR="00DA6AD7" w:rsidRPr="00C0488C">
        <w:rPr>
          <w:rFonts w:asciiTheme="majorBidi" w:hAnsiTheme="majorBidi" w:cstheme="majorBidi"/>
        </w:rPr>
        <w:t xml:space="preserve"> seen as </w:t>
      </w:r>
      <w:r w:rsidR="00DA6AD7" w:rsidRPr="00C0488C">
        <w:rPr>
          <w:rFonts w:asciiTheme="majorBidi" w:hAnsiTheme="majorBidi" w:cstheme="majorBidi"/>
        </w:rPr>
        <w:lastRenderedPageBreak/>
        <w:t xml:space="preserve">factors aiding </w:t>
      </w:r>
      <w:r w:rsidR="00FC2DDC" w:rsidRPr="00C0488C">
        <w:rPr>
          <w:rFonts w:asciiTheme="majorBidi" w:hAnsiTheme="majorBidi" w:cstheme="majorBidi"/>
        </w:rPr>
        <w:t>recovery</w:t>
      </w:r>
      <w:r w:rsidR="00DA6AD7" w:rsidRPr="00C0488C">
        <w:rPr>
          <w:rFonts w:asciiTheme="majorBidi" w:hAnsiTheme="majorBidi" w:cstheme="majorBidi"/>
        </w:rPr>
        <w:t xml:space="preserve"> from ailments</w:t>
      </w:r>
      <w:r w:rsidR="0092133C" w:rsidRPr="00C0488C">
        <w:rPr>
          <w:rFonts w:asciiTheme="majorBidi" w:hAnsiTheme="majorBidi" w:cstheme="majorBidi"/>
        </w:rPr>
        <w:t>, a phenomenon known as the ‘salmon bias’</w:t>
      </w:r>
      <w:r w:rsidR="00DA6AD7" w:rsidRPr="00C0488C">
        <w:rPr>
          <w:rFonts w:asciiTheme="majorBidi" w:hAnsiTheme="majorBidi" w:cstheme="majorBidi"/>
        </w:rPr>
        <w:t xml:space="preserve"> </w:t>
      </w:r>
      <w:r w:rsidR="00DA6AD7" w:rsidRPr="00C0488C">
        <w:rPr>
          <w:rFonts w:asciiTheme="majorBidi" w:hAnsiTheme="majorBidi" w:cstheme="majorBidi"/>
        </w:rPr>
        <w:fldChar w:fldCharType="begin" w:fldLock="1"/>
      </w:r>
      <w:r w:rsidR="00607727">
        <w:rPr>
          <w:rFonts w:asciiTheme="majorBidi" w:hAnsiTheme="majorBidi" w:cstheme="majorBidi"/>
        </w:rPr>
        <w:instrText>ADDIN CSL_CITATION { "citationItems" : [ { "id" : "ITEM-1", "itemData" : { "DOI" : "10.2105/ajph.89.10.1543", "abstract" : "OBJECTIVES: Relative to non-Latino Whites, Latinos have a worse socioeconomic profile but a lower mortality rate, a finding that presents an epidemiologic paradox. This study tested the salmon bias hypothesis that Latinos engage in return migration to their country of origin and are thereby rendered \"statistically immortal\" and the alternative hypothesis that selection of healthier migrants to the United States accounts for the paradox. METHODS: National Longitudinal Mortality Study data were used to examine mortality rates of the following groups for whom the salmon hypothesis is not feasible: Cubans, who face barriers against return migration; Puerto Ricans, whose deaths in Puerto Rico are recorded in US national statistics; and US-born individuals, who are not subject to either salmon or healthy migrant effects. RESULTS: The sample included 301,718 non-Latino Whites and 17,375 Latino Whites 25 years or older. Cubans and Puerto Ricans had lower mortality than non-Latino Whites. Moreover, US-born Latinos had lower mortality than US-born non-Latino Whites. CONCLUSIONS: Neither the salmon nor the healthy migrant hypothesis explains the pattern of findings. Other factors must be operating to produce the lower mortality.", "author" : [ { "dropping-particle" : "", "family" : "Abra\u00eddo-Lanza", "given" : "A F", "non-dropping-particle" : "", "parse-names" : false, "suffix" : "" }, { "dropping-particle" : "", "family" : "Dohrenwend", "given" : "B P", "non-dropping-particle" : "", "parse-names" : false, "suffix" : "" }, { "dropping-particle" : "", "family" : "Ng-Mak", "given" : "D S", "non-dropping-particle" : "", "parse-names" : false, "suffix" : "" }, { "dropping-particle" : "", "family" : "Turner", "given" : "J B", "non-dropping-particle" : "", "parse-names" : false, "suffix" : "" } ], "container-title" : "American Journal of Public Health", "id" : "ITEM-1", "issue" : "10", "issued" : { "date-parts" : [ [ "1999", "10" ] ] }, "note" : "US study which tests the healthy migrant hypothesis by looking at measures of health for migrants to the US.", "page" : "1543-1548", "title" : "The Latino mortality paradox: a test of the \"salmon bias\" and healthy migrant hypotheses.", "type" : "article-journal", "volume" : "89" }, "uris" : [ "http://www.mendeley.com/documents/?uuid=73344540-2e8f-4bd3-86c6-f7e57154f57a" ] } ], "mendeley" : { "formattedCitation" : "(Abra\u00eddo-Lanza &lt;i&gt;et al.&lt;/i&gt;, 1999)", "plainTextFormattedCitation" : "(Abra\u00eddo-Lanza et al., 1999)", "previouslyFormattedCitation" : "(Abra\u00eddo-Lanza &lt;i&gt;et al.&lt;/i&gt;, 1999)" }, "properties" : { "noteIndex" : 0 }, "schema" : "https://github.com/citation-style-language/schema/raw/master/csl-citation.json" }</w:instrText>
      </w:r>
      <w:r w:rsidR="00DA6AD7" w:rsidRPr="00C0488C">
        <w:rPr>
          <w:rFonts w:asciiTheme="majorBidi" w:hAnsiTheme="majorBidi" w:cstheme="majorBidi"/>
        </w:rPr>
        <w:fldChar w:fldCharType="separate"/>
      </w:r>
      <w:r w:rsidR="00607727" w:rsidRPr="00607727">
        <w:rPr>
          <w:rFonts w:asciiTheme="majorBidi" w:hAnsiTheme="majorBidi" w:cstheme="majorBidi"/>
          <w:noProof/>
        </w:rPr>
        <w:t xml:space="preserve">(Abraído-Lanza </w:t>
      </w:r>
      <w:r w:rsidR="00607727" w:rsidRPr="00607727">
        <w:rPr>
          <w:rFonts w:asciiTheme="majorBidi" w:hAnsiTheme="majorBidi" w:cstheme="majorBidi"/>
          <w:i/>
          <w:noProof/>
        </w:rPr>
        <w:t>et al.</w:t>
      </w:r>
      <w:r w:rsidR="00607727" w:rsidRPr="00607727">
        <w:rPr>
          <w:rFonts w:asciiTheme="majorBidi" w:hAnsiTheme="majorBidi" w:cstheme="majorBidi"/>
          <w:noProof/>
        </w:rPr>
        <w:t>, 1999)</w:t>
      </w:r>
      <w:r w:rsidR="00DA6AD7" w:rsidRPr="00C0488C">
        <w:rPr>
          <w:rFonts w:asciiTheme="majorBidi" w:hAnsiTheme="majorBidi" w:cstheme="majorBidi"/>
        </w:rPr>
        <w:fldChar w:fldCharType="end"/>
      </w:r>
      <w:r w:rsidR="00DA6AD7" w:rsidRPr="00C0488C">
        <w:rPr>
          <w:rFonts w:asciiTheme="majorBidi" w:hAnsiTheme="majorBidi" w:cstheme="majorBidi"/>
        </w:rPr>
        <w:t xml:space="preserve">. Analysis of the British Household Panel Survey shows that individuals who died during the survey tended to </w:t>
      </w:r>
      <w:r w:rsidR="006B40F4" w:rsidRPr="00C0488C">
        <w:rPr>
          <w:rFonts w:asciiTheme="majorBidi" w:hAnsiTheme="majorBidi" w:cstheme="majorBidi"/>
        </w:rPr>
        <w:t>have recently moved</w:t>
      </w:r>
      <w:r w:rsidR="00DA6AD7" w:rsidRPr="00C0488C">
        <w:rPr>
          <w:rFonts w:asciiTheme="majorBidi" w:hAnsiTheme="majorBidi" w:cstheme="majorBidi"/>
        </w:rPr>
        <w:t xml:space="preserve"> back to their area of birth </w:t>
      </w:r>
      <w:r w:rsidR="00DA6AD7" w:rsidRPr="00C0488C">
        <w:rPr>
          <w:rFonts w:asciiTheme="majorBidi" w:hAnsiTheme="majorBidi" w:cstheme="majorBidi"/>
        </w:rPr>
        <w:fldChar w:fldCharType="begin" w:fldLock="1"/>
      </w:r>
      <w:r w:rsidR="00607727">
        <w:rPr>
          <w:rFonts w:asciiTheme="majorBidi" w:hAnsiTheme="majorBidi" w:cstheme="majorBidi"/>
        </w:rPr>
        <w:instrText>ADDIN CSL_CITATION { "citationItems" : [ { "id" : "ITEM-1", "itemData" : { "DOI" : "10.1016/S0277-9536(99)00195-1", "abstract" : "This study investigates the extent to which current geographical variations in mortality are influenced by patterns of migration since birth. It is based on a longitudinal study of migrants which consists of a representative sample of 10264 British residents born after 1890 and enumerated as part of the British Household Panel Study in 1991. Between 1991 and 1996, 527 of the study members died and these deaths were analysed by area of residence at birth and in 1991 at both the regional and local district geographical scales. These were compared with findings from the Office for National Statistics Longitudinal Study. The British Household Panel Survey sample replicates the results of work conducted on the Longitudinal Study which finds that geographical variations in age\u2013sex standardised mortality ratios at the regional scale cannot be attributed to selective migration. However, for the British Household Panel Survey sample, the major geographical variations at district level could be attributed to selective migration. Geographical variations in mortality are not well understood. Restrictions on what it is possible to analyse in the Office for National Statistics Longitudinal Study may have resulted in the underestimation of the importance of local lifetime selective migration in producing the contemporary map of mortality variation across Britain. The British Household Panel Survey is a small, recent, but very flexible study, which can be used to investigate the effects of lifetime migration on mortality patterns for all of Britain. This first report of its results on mortality shows that it produces findings which accord with the much larger Longitudinal Study, but which can be taken further to show that selective migration over the whole life-course at the local level does appear to have significantly altered the geographical pattern of mortality seen in Britain today.", "author" : [ { "dropping-particle" : "", "family" : "Brimblecombe", "given" : "Nic", "non-dropping-particle" : "", "parse-names" : false, "suffix" : "" }, { "dropping-particle" : "", "family" : "Dorling", "given" : "Danny", "non-dropping-particle" : "", "parse-names" : false, "suffix" : "" }, { "dropping-particle" : "", "family" : "Shaw", "given" : "Mary", "non-dropping-particle" : "", "parse-names" : false, "suffix" : "" } ], "container-title" : "Social Science &amp; Medicine", "id" : "ITEM-1", "issue" : "7", "issued" : { "date-parts" : [ [ "1999", "10" ] ] }, "note" : "Study using BHPS and SARs data to track the impact of migration and mortality. Took areas with high rates of mortality in SARs. In the sample there were no SRM inequalities between high and low mortality, only after the migration of individuals back into high mortality districts did regional inequalities occur. This suggests that the migration of those at risk of mortality into their districts of birth significantly alters the geographic distribution of mortality. Used in the VML paper.", "page" : "981-988", "title" : "Mortality and migration in Britain, first results from the British Household Panel Survey", "type" : "article-journal", "volume" : "49" }, "uris" : [ "http://www.mendeley.com/documents/?uuid=47c5d707-78e9-4480-a4c7-c65f6a192cdd" ] } ], "mendeley" : { "formattedCitation" : "(Brimblecombe &lt;i&gt;et al.&lt;/i&gt;, 1999)", "plainTextFormattedCitation" : "(Brimblecombe et al., 1999)", "previouslyFormattedCitation" : "(Brimblecombe &lt;i&gt;et al.&lt;/i&gt;, 1999)" }, "properties" : { "noteIndex" : 0 }, "schema" : "https://github.com/citation-style-language/schema/raw/master/csl-citation.json" }</w:instrText>
      </w:r>
      <w:r w:rsidR="00DA6AD7" w:rsidRPr="00C0488C">
        <w:rPr>
          <w:rFonts w:asciiTheme="majorBidi" w:hAnsiTheme="majorBidi" w:cstheme="majorBidi"/>
        </w:rPr>
        <w:fldChar w:fldCharType="separate"/>
      </w:r>
      <w:r w:rsidR="00607727" w:rsidRPr="00607727">
        <w:rPr>
          <w:rFonts w:asciiTheme="majorBidi" w:hAnsiTheme="majorBidi" w:cstheme="majorBidi"/>
          <w:noProof/>
        </w:rPr>
        <w:t xml:space="preserve">(Brimblecombe </w:t>
      </w:r>
      <w:r w:rsidR="00607727" w:rsidRPr="00607727">
        <w:rPr>
          <w:rFonts w:asciiTheme="majorBidi" w:hAnsiTheme="majorBidi" w:cstheme="majorBidi"/>
          <w:i/>
          <w:noProof/>
        </w:rPr>
        <w:t>et al.</w:t>
      </w:r>
      <w:r w:rsidR="00607727" w:rsidRPr="00607727">
        <w:rPr>
          <w:rFonts w:asciiTheme="majorBidi" w:hAnsiTheme="majorBidi" w:cstheme="majorBidi"/>
          <w:noProof/>
        </w:rPr>
        <w:t>, 1999)</w:t>
      </w:r>
      <w:r w:rsidR="00DA6AD7" w:rsidRPr="00C0488C">
        <w:rPr>
          <w:rFonts w:asciiTheme="majorBidi" w:hAnsiTheme="majorBidi" w:cstheme="majorBidi"/>
        </w:rPr>
        <w:fldChar w:fldCharType="end"/>
      </w:r>
      <w:r w:rsidR="00DA6AD7" w:rsidRPr="00C0488C">
        <w:rPr>
          <w:rFonts w:asciiTheme="majorBidi" w:hAnsiTheme="majorBidi" w:cstheme="majorBidi"/>
        </w:rPr>
        <w:t>.</w:t>
      </w:r>
      <w:r w:rsidR="00CD206A" w:rsidRPr="00C0488C">
        <w:rPr>
          <w:rFonts w:asciiTheme="majorBidi" w:hAnsiTheme="majorBidi" w:cstheme="majorBidi"/>
        </w:rPr>
        <w:t xml:space="preserve"> </w:t>
      </w:r>
      <w:r w:rsidR="00145B5E" w:rsidRPr="00C0488C">
        <w:rPr>
          <w:rFonts w:asciiTheme="majorBidi" w:hAnsiTheme="majorBidi" w:cstheme="majorBidi"/>
        </w:rPr>
        <w:t>Evidence for the</w:t>
      </w:r>
      <w:r w:rsidR="00EB4070">
        <w:rPr>
          <w:rFonts w:asciiTheme="majorBidi" w:hAnsiTheme="majorBidi" w:cstheme="majorBidi"/>
        </w:rPr>
        <w:t xml:space="preserve"> </w:t>
      </w:r>
      <w:r w:rsidR="00CD206A" w:rsidRPr="00C0488C">
        <w:rPr>
          <w:rFonts w:asciiTheme="majorBidi" w:hAnsiTheme="majorBidi" w:cstheme="majorBidi"/>
        </w:rPr>
        <w:t xml:space="preserve">salmon bias </w:t>
      </w:r>
      <w:r w:rsidR="00145B5E" w:rsidRPr="00C0488C">
        <w:rPr>
          <w:rFonts w:asciiTheme="majorBidi" w:hAnsiTheme="majorBidi" w:cstheme="majorBidi"/>
        </w:rPr>
        <w:t>is mixed</w:t>
      </w:r>
      <w:r w:rsidR="00CD206A" w:rsidRPr="00C0488C">
        <w:rPr>
          <w:rFonts w:asciiTheme="majorBidi" w:hAnsiTheme="majorBidi" w:cstheme="majorBidi"/>
        </w:rPr>
        <w:t xml:space="preserve">, as no evidence of such flows are found when moves between England and Scotland are considered </w:t>
      </w:r>
      <w:r w:rsidR="00CD206A" w:rsidRPr="00C0488C">
        <w:rPr>
          <w:rFonts w:asciiTheme="majorBidi" w:hAnsiTheme="majorBidi" w:cstheme="majorBidi"/>
        </w:rPr>
        <w:fldChar w:fldCharType="begin" w:fldLock="1"/>
      </w:r>
      <w:r w:rsidR="00A328DF">
        <w:rPr>
          <w:rFonts w:asciiTheme="majorBidi" w:hAnsiTheme="majorBidi" w:cstheme="majorBidi"/>
        </w:rPr>
        <w:instrText>ADDIN CSL_CITATION { "citationItems" : [ { "id" : "ITEM-1", "itemData" : { "DOI" : "10.1002/psp.1804", "ISSN" : "15448444", "abstract" : "This study examines the health of migrants between England and Scotland comparing their health patterns with those of origin and host populations. While there is a growing literature on the health and mortality of international migrants, few studies have investigated the health of people moving within a country. We use individual-level data from the UK 1991 population census and apply the technique of logistic regression to analyse health differences between migrants and non-migrants. The analysis of the prevalence of a limiting long-term illness shows that on average migrants have better health than non-migrants. Scottish migrants are origin country selective by health, whereas English migrants are host country selective by health. English men in older working ages show significant health advantages over both origin and host populations. No evidence was found to support a Salmon Bias. Copyright \u00a9 2013 John Wiley &amp; Sons, Ltd.", "author" : [ { "dropping-particle" : "", "family" : "Wallace", "given" : "Matthew", "non-dropping-particle" : "", "parse-names" : false, "suffix" : "" }, { "dropping-particle" : "", "family" : "Kulu", "given" : "Hill", "non-dropping-particle" : "", "parse-names" : false, "suffix" : "" } ], "container-title" : "Population, Space and Place", "id" : "ITEM-1", "issue" : "8", "issued" : { "date-parts" : [ [ "2014", "11", "1" ] ] }, "page" : "694-708", "title" : "Migration and health in England and Scotland: a study of migrant selectivity and salmon bias", "type" : "article-journal", "volume" : "20" }, "uris" : [ "http://www.mendeley.com/documents/?uuid=1d98b3c2-85ad-46a2-b88d-116bf45e3df5" ] } ], "mendeley" : { "formattedCitation" : "(Wallace and Kulu, 2014)", "plainTextFormattedCitation" : "(Wallace and Kulu, 2014)", "previouslyFormattedCitation" : "(Wallace and Kulu, 2014)" }, "properties" : { "noteIndex" : 0 }, "schema" : "https://github.com/citation-style-language/schema/raw/master/csl-citation.json" }</w:instrText>
      </w:r>
      <w:r w:rsidR="00CD206A" w:rsidRPr="00C0488C">
        <w:rPr>
          <w:rFonts w:asciiTheme="majorBidi" w:hAnsiTheme="majorBidi" w:cstheme="majorBidi"/>
        </w:rPr>
        <w:fldChar w:fldCharType="separate"/>
      </w:r>
      <w:r w:rsidR="00CD206A" w:rsidRPr="00C0488C">
        <w:rPr>
          <w:rFonts w:asciiTheme="majorBidi" w:hAnsiTheme="majorBidi" w:cstheme="majorBidi"/>
          <w:noProof/>
        </w:rPr>
        <w:t>(Wallace and Kulu, 2014)</w:t>
      </w:r>
      <w:r w:rsidR="00CD206A" w:rsidRPr="00C0488C">
        <w:rPr>
          <w:rFonts w:asciiTheme="majorBidi" w:hAnsiTheme="majorBidi" w:cstheme="majorBidi"/>
        </w:rPr>
        <w:fldChar w:fldCharType="end"/>
      </w:r>
      <w:r w:rsidR="00CD206A" w:rsidRPr="00C0488C">
        <w:rPr>
          <w:rFonts w:asciiTheme="majorBidi" w:hAnsiTheme="majorBidi" w:cstheme="majorBidi"/>
        </w:rPr>
        <w:t>.</w:t>
      </w:r>
      <w:r w:rsidR="00DA6AD7" w:rsidRPr="00C0488C">
        <w:rPr>
          <w:rFonts w:asciiTheme="majorBidi" w:hAnsiTheme="majorBidi" w:cstheme="majorBidi"/>
        </w:rPr>
        <w:t xml:space="preserve"> The lack of accessible rural healthcare in the UK </w:t>
      </w:r>
      <w:r w:rsidR="003A5CE3" w:rsidRPr="00C0488C">
        <w:rPr>
          <w:rFonts w:asciiTheme="majorBidi" w:hAnsiTheme="majorBidi" w:cstheme="majorBidi"/>
        </w:rPr>
        <w:fldChar w:fldCharType="begin" w:fldLock="1"/>
      </w:r>
      <w:r w:rsidR="00A328DF">
        <w:rPr>
          <w:rFonts w:asciiTheme="majorBidi" w:hAnsiTheme="majorBidi" w:cstheme="majorBidi"/>
        </w:rPr>
        <w:instrText>ADDIN CSL_CITATION { "citationItems" : [ { "id" : "ITEM-1", "itemData" : { "DOI" : "10.1186/1476-072X-3-21", "ISSN" : "1476072X", "abstract" : "BACKGROUND:This paper explores the geographical accessibility of health services in urban and rural areas of the South West of England, comparing two measures of geographical access and characterising the areas most remote from hospitals.Straight-line distance and drive-time to the nearest general practice (GP) and acute hospital (DGH) were calculated for postcodes and aggregated to 1991 Census wards. The correlation between the two measures was used to identify wards where straight-line distance was not an accurate predictor of drive-time. Wards over 25 km from a DGH were classified as 'remote', and characterised in terms of rurality, deprivation, age structure and health status of the population.RESULTS:The access measures were highly correlated (r2&gt;0.93). The greatest differences were found in coastal and rural wards of the far South West. Median straight-line distance to GPs was 1 km (IQR = 0.6-2 km) and to DGHs, 12 km (IQR = 5-19 km). Deprivation and rates of premature limiting long term illness were raised in areas most distant from hospitals, but there was no evidence of higher premature mortality rates. Half of the wards remote from a DGH were not classed as rural by the Office for National Statistics. Almost a quarter of households in the wards furthest from hospitals had no car, and the proportion of households with access to two or more cars fell in the most remote areas.CONCLUSION:Drive-time is a more accurate measure of access for peripheral and rural areas. Geographical access to health services, especially GPs, is good, but remoteness affects both rural and urban areas: studies concentrating purely on rural areas may underestimate geographical barriers to accessing health care. A sizeable minority of households still had no car in 1991, and few had more than one car, particularly in areas very close to and very distant from hospitals. Better measures of geographical access, which integrate public and private transport availability with distance and travel time, are required if an accurate reflection of the experience those without their own transport is to be obtained.", "author" : [ { "dropping-particle" : "", "family" : "Jordan", "given" : "Hannah", "non-dropping-particle" : "", "parse-names" : false, "suffix" : "" }, { "dropping-particle" : "", "family" : "Roderick", "given" : "Paul", "non-dropping-particle" : "", "parse-names" : false, "suffix" : "" }, { "dropping-particle" : "", "family" : "Martin", "given" : "David", "non-dropping-particle" : "", "parse-names" : false, "suffix" : "" }, { "dropping-particle" : "", "family" : "Barnett", "given" : "Sarah", "non-dropping-particle" : "", "parse-names" : false, "suffix" : "" } ], "container-title" : "International Journal of Health Geographics", "id" : "ITEM-1", "issue" : "1", "issued" : { "date-parts" : [ [ "2004" ] ] }, "note" : "Looks at the accessibility of health services in the SW using straight line distance and drive-time. Found straight line distance and drive time to be highly correlated, yet in rural areas drive time was significantly higher than expected from straight line distance. Generally, straight-line distance is not a good predictor of access in coastal areas as it does not reflect travel time barriers (hills, rivers etc).", "page" : "21", "title" : "Distance, rurality and the need for care: access to health services in South West England", "type" : "article-journal", "volume" : "3" }, "uris" : [ "http://www.mendeley.com/documents/?uuid=46baab10-37d9-4080-b50b-cf29fc503406" ] } ], "mendeley" : { "formattedCitation" : "(Jordan &lt;i&gt;et al.&lt;/i&gt;, 2004)", "plainTextFormattedCitation" : "(Jordan et al., 2004)", "previouslyFormattedCitation" : "(Jordan &lt;i&gt;et al.&lt;/i&gt;, 2004)" }, "properties" : { "noteIndex" : 0 }, "schema" : "https://github.com/citation-style-language/schema/raw/master/csl-citation.json" }</w:instrText>
      </w:r>
      <w:r w:rsidR="003A5CE3" w:rsidRPr="00C0488C">
        <w:rPr>
          <w:rFonts w:asciiTheme="majorBidi" w:hAnsiTheme="majorBidi" w:cstheme="majorBidi"/>
        </w:rPr>
        <w:fldChar w:fldCharType="separate"/>
      </w:r>
      <w:r w:rsidR="00607727" w:rsidRPr="00607727">
        <w:rPr>
          <w:rFonts w:asciiTheme="majorBidi" w:hAnsiTheme="majorBidi" w:cstheme="majorBidi"/>
          <w:noProof/>
        </w:rPr>
        <w:t xml:space="preserve">(Jordan </w:t>
      </w:r>
      <w:r w:rsidR="00607727" w:rsidRPr="00607727">
        <w:rPr>
          <w:rFonts w:asciiTheme="majorBidi" w:hAnsiTheme="majorBidi" w:cstheme="majorBidi"/>
          <w:i/>
          <w:noProof/>
        </w:rPr>
        <w:t>et al.</w:t>
      </w:r>
      <w:r w:rsidR="00607727" w:rsidRPr="00607727">
        <w:rPr>
          <w:rFonts w:asciiTheme="majorBidi" w:hAnsiTheme="majorBidi" w:cstheme="majorBidi"/>
          <w:noProof/>
        </w:rPr>
        <w:t>, 2004)</w:t>
      </w:r>
      <w:r w:rsidR="003A5CE3" w:rsidRPr="00C0488C">
        <w:rPr>
          <w:rFonts w:asciiTheme="majorBidi" w:hAnsiTheme="majorBidi" w:cstheme="majorBidi"/>
        </w:rPr>
        <w:fldChar w:fldCharType="end"/>
      </w:r>
      <w:r w:rsidR="003A5CE3" w:rsidRPr="00C0488C">
        <w:rPr>
          <w:rFonts w:asciiTheme="majorBidi" w:hAnsiTheme="majorBidi" w:cstheme="majorBidi"/>
        </w:rPr>
        <w:t xml:space="preserve"> </w:t>
      </w:r>
      <w:r w:rsidR="00DA6AD7" w:rsidRPr="00C0488C">
        <w:rPr>
          <w:rFonts w:asciiTheme="majorBidi" w:hAnsiTheme="majorBidi" w:cstheme="majorBidi"/>
        </w:rPr>
        <w:t xml:space="preserve">may also drive long distance migration for those </w:t>
      </w:r>
      <w:r w:rsidR="00FC2DDC" w:rsidRPr="00C0488C">
        <w:rPr>
          <w:rFonts w:asciiTheme="majorBidi" w:hAnsiTheme="majorBidi" w:cstheme="majorBidi"/>
        </w:rPr>
        <w:t>in poor health</w:t>
      </w:r>
      <w:r w:rsidR="006B40F4" w:rsidRPr="00C0488C">
        <w:rPr>
          <w:rFonts w:asciiTheme="majorBidi" w:hAnsiTheme="majorBidi" w:cstheme="majorBidi"/>
        </w:rPr>
        <w:t>.</w:t>
      </w:r>
      <w:r w:rsidR="00DA6AD7" w:rsidRPr="00C0488C">
        <w:rPr>
          <w:rFonts w:asciiTheme="majorBidi" w:hAnsiTheme="majorBidi" w:cstheme="majorBidi"/>
        </w:rPr>
        <w:t xml:space="preserve"> </w:t>
      </w:r>
      <w:r w:rsidR="006B40F4" w:rsidRPr="00C0488C">
        <w:rPr>
          <w:rFonts w:asciiTheme="majorBidi" w:hAnsiTheme="majorBidi" w:cstheme="majorBidi"/>
        </w:rPr>
        <w:t>A</w:t>
      </w:r>
      <w:r w:rsidR="00DA6AD7" w:rsidRPr="00C0488C">
        <w:rPr>
          <w:rFonts w:asciiTheme="majorBidi" w:hAnsiTheme="majorBidi" w:cstheme="majorBidi"/>
        </w:rPr>
        <w:t xml:space="preserve">dministrative records from New York and Western Australia show that the onset of mental disorder leads to rural residents moving towards urban areas surrounding hospitals </w:t>
      </w:r>
      <w:r w:rsidR="00DA6AD7" w:rsidRPr="00C0488C">
        <w:rPr>
          <w:rFonts w:asciiTheme="majorBidi" w:hAnsiTheme="majorBidi" w:cstheme="majorBidi"/>
        </w:rPr>
        <w:fldChar w:fldCharType="begin" w:fldLock="1"/>
      </w:r>
      <w:r w:rsidR="00607727">
        <w:rPr>
          <w:rFonts w:asciiTheme="majorBidi" w:hAnsiTheme="majorBidi" w:cstheme="majorBidi"/>
        </w:rPr>
        <w:instrText>ADDIN CSL_CITATION { "citationItems" : [ { "id" : "ITEM-1", "itemData" : { "DOI" : "10.1016/S0163-8343(97)00117-5", "abstract" : "This study describes 'County Drift,' the tendency of chronic psychiatric patients to move from outlying counties to the central county containing the psychiatric hospital. Changes of residence of repeat visitors to a Psychiatric Emergency Service were examined to substantiate that a higher proportion (34.2%) moved to the central county than the reverse k(5.3%). An analysis comparing patients who moved to the central county with those who did not showed that patients already connected to treatment and with schizophrenic/psychotic disorders remained in their home counties. Patients presenting complications reflected by secondary diagnoses of personality or substance use disorders were more likely to relocate to the area of the psychiatric facility.", "author" : [ { "dropping-particle" : "", "family" : "Breslow", "given" : "Richard E", "non-dropping-particle" : "", "parse-names" : false, "suffix" : "" }, { "dropping-particle" : "", "family" : "Klinger", "given" : "Burton I", "non-dropping-particle" : "", "parse-names" : false, "suffix" : "" }, { "dropping-particle" : "", "family" : "Erickson", "given" : "Bonnie J", "non-dropping-particle" : "", "parse-names" : false, "suffix" : "" } ], "container-title" : "General Hospital Psychiatry", "id" : "ITEM-1", "issue" : "1", "issued" : { "date-parts" : [ [ "1998", "1" ] ] }, "note" : "Looked at the mobility of repeat patients of a psychiatric emergency service. Found over time that patients tended to move towards the place of treatment 'County Drift'. \n\n\nCan be used to describe the pattern of mobility for MHSUs over time.", "page" : "44-47", "title" : "County drift: A type of geographic mobility of chronic psychiatric patients", "type" : "article-journal", "volume" : "20" }, "uris" : [ "http://www.mendeley.com/documents/?uuid=8cb3ba43-21c3-4f18-b0c8-95f45d907777" ] }, { "id" : "ITEM-2", "itemData" : { "DOI" : "10.1016/j.healthplace.2004.10.013", "ISSN" : "1353-8292", "PMID" : "16338629", "abstract" : "The aim of this study was to determine if the onset of serious disease triggers a different intra-state migratory response from patterns observed in the healthy population. The analysis was carried out using linked administrative data. The onset of serious disease triggered a reduction in the rate of endocentric migration in remote and rural populations. Urban drift occurred only in people with mental illness in rural locations. Rural and remote communities appear to suffer from an unhealthy selection force, with persons unable to migrate centrally to access services due to the onset of the physical illness they require treatment for.", "author" : [ { "dropping-particle" : "", "family" : "Moorin", "given" : "R E", "non-dropping-particle" : "", "parse-names" : false, "suffix" : "" }, { "dropping-particle" : "", "family" : "Holman", "given" : "C D J", "non-dropping-particle" : "", "parse-names" : false, "suffix" : "" }, { "dropping-particle" : "", "family" : "Garfield", "given" : "C", "non-dropping-particle" : "", "parse-names" : false, "suffix" : "" }, { "dropping-particle" : "", "family" : "Brameld", "given" : "K J", "non-dropping-particle" : "", "parse-names" : false, "suffix" : "" } ], "container-title" : "Health &amp; place", "id" : "ITEM-2", "issue" : "2", "issued" : { "date-parts" : [ [ "2006", "6" ] ] }, "note" : "Australian study comparing the migratory flows of those who experienced an onset of serious disease and those who did not over a 10 year period. Categorised movers are endocentric (moving to a more urban location, presumably for health services) and exocentric (moving to a more remote location). Those becoming unhealthy were less likely to move from metropolitan areas into rural or remote areas; and less likely to move from rural or remote areas into metropolitan areas; but no difference in making rural-remote moves.", "page" : "131-40", "title" : "Health related migration: evidence of reduced \"urban-drift\".", "type" : "article-journal", "volume" : "12" }, "uris" : [ "http://www.mendeley.com/documents/?uuid=2309604b-b83b-4d85-8f7c-75bfd06cd44c" ] } ], "mendeley" : { "formattedCitation" : "(Breslow &lt;i&gt;et al.&lt;/i&gt;, 1998; Moorin &lt;i&gt;et al.&lt;/i&gt;, 2006)", "plainTextFormattedCitation" : "(Breslow et al., 1998; Moorin et al., 2006)", "previouslyFormattedCitation" : "(Breslow &lt;i&gt;et al.&lt;/i&gt;, 1998; Moorin &lt;i&gt;et al.&lt;/i&gt;, 2006)" }, "properties" : { "noteIndex" : 0 }, "schema" : "https://github.com/citation-style-language/schema/raw/master/csl-citation.json" }</w:instrText>
      </w:r>
      <w:r w:rsidR="00DA6AD7" w:rsidRPr="00C0488C">
        <w:rPr>
          <w:rFonts w:asciiTheme="majorBidi" w:hAnsiTheme="majorBidi" w:cstheme="majorBidi"/>
        </w:rPr>
        <w:fldChar w:fldCharType="separate"/>
      </w:r>
      <w:r w:rsidR="00607727" w:rsidRPr="00607727">
        <w:rPr>
          <w:rFonts w:asciiTheme="majorBidi" w:hAnsiTheme="majorBidi" w:cstheme="majorBidi"/>
          <w:noProof/>
        </w:rPr>
        <w:t xml:space="preserve">(Breslow </w:t>
      </w:r>
      <w:r w:rsidR="00607727" w:rsidRPr="00607727">
        <w:rPr>
          <w:rFonts w:asciiTheme="majorBidi" w:hAnsiTheme="majorBidi" w:cstheme="majorBidi"/>
          <w:i/>
          <w:noProof/>
        </w:rPr>
        <w:t>et al.</w:t>
      </w:r>
      <w:r w:rsidR="00607727" w:rsidRPr="00607727">
        <w:rPr>
          <w:rFonts w:asciiTheme="majorBidi" w:hAnsiTheme="majorBidi" w:cstheme="majorBidi"/>
          <w:noProof/>
        </w:rPr>
        <w:t xml:space="preserve">, 1998; Moorin </w:t>
      </w:r>
      <w:r w:rsidR="00607727" w:rsidRPr="00607727">
        <w:rPr>
          <w:rFonts w:asciiTheme="majorBidi" w:hAnsiTheme="majorBidi" w:cstheme="majorBidi"/>
          <w:i/>
          <w:noProof/>
        </w:rPr>
        <w:t>et al.</w:t>
      </w:r>
      <w:r w:rsidR="00607727" w:rsidRPr="00607727">
        <w:rPr>
          <w:rFonts w:asciiTheme="majorBidi" w:hAnsiTheme="majorBidi" w:cstheme="majorBidi"/>
          <w:noProof/>
        </w:rPr>
        <w:t>, 2006)</w:t>
      </w:r>
      <w:r w:rsidR="00DA6AD7" w:rsidRPr="00C0488C">
        <w:rPr>
          <w:rFonts w:asciiTheme="majorBidi" w:hAnsiTheme="majorBidi" w:cstheme="majorBidi"/>
        </w:rPr>
        <w:fldChar w:fldCharType="end"/>
      </w:r>
      <w:r w:rsidR="00DA6AD7" w:rsidRPr="00C0488C">
        <w:rPr>
          <w:rFonts w:asciiTheme="majorBidi" w:hAnsiTheme="majorBidi" w:cstheme="majorBidi"/>
        </w:rPr>
        <w:t>, a similar effect may exist for physical health conditions.</w:t>
      </w:r>
    </w:p>
    <w:p w14:paraId="0EEC5448" w14:textId="6921108B" w:rsidR="00DA6AD7" w:rsidRPr="00C0488C" w:rsidRDefault="00745703" w:rsidP="00607727">
      <w:pPr>
        <w:spacing w:line="480" w:lineRule="auto"/>
        <w:rPr>
          <w:rFonts w:asciiTheme="majorBidi" w:hAnsiTheme="majorBidi" w:cstheme="majorBidi"/>
        </w:rPr>
      </w:pPr>
      <w:r w:rsidRPr="00C0488C">
        <w:rPr>
          <w:rFonts w:asciiTheme="majorBidi" w:hAnsiTheme="majorBidi" w:cstheme="majorBidi"/>
        </w:rPr>
        <w:t>The healthy migran</w:t>
      </w:r>
      <w:r w:rsidR="002F2406" w:rsidRPr="00C0488C">
        <w:rPr>
          <w:rFonts w:asciiTheme="majorBidi" w:hAnsiTheme="majorBidi" w:cstheme="majorBidi"/>
        </w:rPr>
        <w:t>t hypothesis for long distance migration</w:t>
      </w:r>
      <w:r w:rsidRPr="00C0488C">
        <w:rPr>
          <w:rFonts w:asciiTheme="majorBidi" w:hAnsiTheme="majorBidi" w:cstheme="majorBidi"/>
        </w:rPr>
        <w:t xml:space="preserve"> has largely been supported by research</w:t>
      </w:r>
      <w:r w:rsidR="00526852" w:rsidRPr="00C0488C">
        <w:rPr>
          <w:rFonts w:asciiTheme="majorBidi" w:hAnsiTheme="majorBidi" w:cstheme="majorBidi"/>
        </w:rPr>
        <w:t xml:space="preserve"> based in the UK</w:t>
      </w:r>
      <w:r w:rsidRPr="00C0488C">
        <w:rPr>
          <w:rFonts w:asciiTheme="majorBidi" w:hAnsiTheme="majorBidi" w:cstheme="majorBidi"/>
        </w:rPr>
        <w:t xml:space="preserve"> since the 1980s. Long distance migrants are healthier than those who do not migrate </w:t>
      </w:r>
      <w:r w:rsidRPr="00C0488C">
        <w:rPr>
          <w:rFonts w:asciiTheme="majorBidi" w:hAnsiTheme="majorBidi" w:cstheme="majorBidi"/>
        </w:rPr>
        <w:fldChar w:fldCharType="begin" w:fldLock="1"/>
      </w:r>
      <w:r w:rsidR="00A328DF">
        <w:rPr>
          <w:rFonts w:asciiTheme="majorBidi" w:hAnsiTheme="majorBidi" w:cstheme="majorBidi"/>
        </w:rPr>
        <w:instrText>ADDIN CSL_CITATION { "citationItems" : [ { "id" : "ITEM-1", "itemData" : { "DOI" : "10.1016/S0277-9536(01)00217-9", "ISSN" : "02779536", "abstract" : "Few epidemiological studies of the links between health and environmental variables account for the potentially confounding effects of population migration. Here we explore the relationship between self-reported limiting long-term illness and material deprivation, using individual-level 1991 census data extracted for Scotland. The aim is to investigate whether the migration patterns of ill individuals influences the relationship between limiting long-term illness and material deprivation. Specifically, we seek to determine whether individuals who are well are more likely to migrate away from deprived areas and whether ill individuals are more likely to migrate towards deprived areas. If true, this would suggest that the apparent relationship between deprivation and limiting long-term illness is exaggerated by the effects of migration. We then examine the issue controlling for individual-level characteristics expected to influence limiting long-term illness and pay special attention to the role of public housing in these relationships.", "author" : [ { "dropping-particle" : "", "family" : "Boyle", "given" : "Paul", "non-dropping-particle" : "", "parse-names" : false, "suffix" : "" }, { "dropping-particle" : "", "family" : "Norman", "given" : "Paul", "non-dropping-particle" : "", "parse-names" : false, "suffix" : "" }, { "dropping-particle" : "", "family" : "Rees", "given" : "Philip", "non-dropping-particle" : "", "parse-names" : false, "suffix" : "" } ], "container-title" : "Social Science &amp; Medicine", "id" : "ITEM-1", "issue" : "1", "issued" : { "date-parts" : [ [ "2002", "7" ] ] }, "note" : "Looks at the breeders vs drifters hypothesis for long-term illness in Scotland using 1991 census data.", "page" : "21-31", "title" : "Does migration exaggerate the relationship between deprivation and limiting long-term illness? A Scottish analysis", "type" : "article-journal", "volume" : "55" }, "uris" : [ "http://www.mendeley.com/documents/?uuid=700e0ae8-5647-4979-b309-28b79e891893" ] }, { "id" : "ITEM-2", "itemData" : { "DOI" : "10.1136/bmj.310.6977.423", "ISSN" : "0959-8138", "abstract" : "Objective - To investigate the extent to which geographical variations in mortality from ischaemic heart disease and stroke in Britain are influenced by factors in early life or in adulthood. Design - Longitudinal study of migrants. Subjects - 1% sample of residents in England and Wales born before October 1939 and enumerated at the 1971 census (the Office of Population Censuses and Surveys' longitudinal study). Main outcome measure - 18221 deaths from ischaemic heart disease and 9899 deaths from stroke during 1971-88 were analysed by areas of residence in 1939 and 1971. These included 2928 deaths from ischaemic heart disease and 1608 deaths from stroke among individuals moving between 14 areas defined by the major conurbations and nine standard administrative regions of England and Wales. Results - The southeast to northwest gradient in mortality from ischaemic heart disease was related significantly to both the 1939 area (\u03c72=6.09, df=1) and area in 1971 (\u03c72=5.05, df=1). Geographical variations in mortality from stroke were related significantly to the 1939 area (\u03c72=4.09, df=1) but the effect of area in 1971 was greater (\u03c72=8.07, df=1). The effect of 1971 area on mortality from stroke was largely due to a lower risk of death from stroke among individuals moving into Greater London compared with migrants to the rest of the South East region (\u03c72=4.54, df=1). Conclusions - Geographical variations in mortality from cardiovascular disease in Britain may be partly determined by genetic factors, environmental exposures, or lifestyle acquired early in life, but the risk of fatal ischaemic heart disease and stroke changes on migration between areas with differing mortality. The low risk of death from stroke associated with residence in Greater London is acquired by individuals who move there.", "author" : [ { "dropping-particle" : "", "family" : "Strachan", "given" : "D. P.", "non-dropping-particle" : "", "parse-names" : false, "suffix" : "" }, { "dropping-particle" : "", "family" : "Leon", "given" : "D. A.", "non-dropping-particle" : "", "parse-names" : false, "suffix" : "" }, { "dropping-particle" : "", "family" : "Dodgeon", "given" : "B.", "non-dropping-particle" : "", "parse-names" : false, "suffix" : "" } ], "container-title" : "BMJ", "id" : "ITEM-2", "issue" : "6977", "issued" : { "date-parts" : [ [ "1995", "2", "18" ] ] }, "note" : "Used the LS to see whether migration was related to mortality from CVD. Found no effect for migration having a 'gradient' effect. Used in the VML paper.", "page" : "423-427", "title" : "Mortality from cardiovascular disease among interregional migrants in England and Wales", "type" : "article-journal", "volume" : "310" }, "uris" : [ "http://www.mendeley.com/documents/?uuid=38da42c3-5e77-44ec-9feb-b06c9cc7f960" ] } ], "mendeley" : { "formattedCitation" : "(Strachan &lt;i&gt;et al.&lt;/i&gt;, 1995; Boyle &lt;i&gt;et al.&lt;/i&gt;, 2002)", "plainTextFormattedCitation" : "(Strachan et al., 1995; Boyle et al., 2002)", "previouslyFormattedCitation" : "(Strachan &lt;i&gt;et al.&lt;/i&gt;, 1995; Boyle &lt;i&gt;et al.&lt;/i&gt;, 2002)" }, "properties" : { "noteIndex" : 0 }, "schema" : "https://github.com/citation-style-language/schema/raw/master/csl-citation.json" }</w:instrText>
      </w:r>
      <w:r w:rsidRPr="00C0488C">
        <w:rPr>
          <w:rFonts w:asciiTheme="majorBidi" w:hAnsiTheme="majorBidi" w:cstheme="majorBidi"/>
        </w:rPr>
        <w:fldChar w:fldCharType="separate"/>
      </w:r>
      <w:r w:rsidR="00607727" w:rsidRPr="00607727">
        <w:rPr>
          <w:rFonts w:asciiTheme="majorBidi" w:hAnsiTheme="majorBidi" w:cstheme="majorBidi"/>
          <w:noProof/>
        </w:rPr>
        <w:t xml:space="preserve">(Strachan </w:t>
      </w:r>
      <w:r w:rsidR="00607727" w:rsidRPr="00607727">
        <w:rPr>
          <w:rFonts w:asciiTheme="majorBidi" w:hAnsiTheme="majorBidi" w:cstheme="majorBidi"/>
          <w:i/>
          <w:noProof/>
        </w:rPr>
        <w:t>et al.</w:t>
      </w:r>
      <w:r w:rsidR="00607727" w:rsidRPr="00607727">
        <w:rPr>
          <w:rFonts w:asciiTheme="majorBidi" w:hAnsiTheme="majorBidi" w:cstheme="majorBidi"/>
          <w:noProof/>
        </w:rPr>
        <w:t xml:space="preserve">, 1995; Boyle </w:t>
      </w:r>
      <w:r w:rsidR="00607727" w:rsidRPr="00607727">
        <w:rPr>
          <w:rFonts w:asciiTheme="majorBidi" w:hAnsiTheme="majorBidi" w:cstheme="majorBidi"/>
          <w:i/>
          <w:noProof/>
        </w:rPr>
        <w:t>et al.</w:t>
      </w:r>
      <w:r w:rsidR="00607727" w:rsidRPr="00607727">
        <w:rPr>
          <w:rFonts w:asciiTheme="majorBidi" w:hAnsiTheme="majorBidi" w:cstheme="majorBidi"/>
          <w:noProof/>
        </w:rPr>
        <w:t>, 2002)</w:t>
      </w:r>
      <w:r w:rsidRPr="00C0488C">
        <w:rPr>
          <w:rFonts w:asciiTheme="majorBidi" w:hAnsiTheme="majorBidi" w:cstheme="majorBidi"/>
        </w:rPr>
        <w:fldChar w:fldCharType="end"/>
      </w:r>
      <w:r w:rsidRPr="00C0488C">
        <w:rPr>
          <w:rFonts w:asciiTheme="majorBidi" w:hAnsiTheme="majorBidi" w:cstheme="majorBidi"/>
        </w:rPr>
        <w:t xml:space="preserve"> and are healthier than those who migrate over short distances </w:t>
      </w:r>
      <w:r w:rsidRPr="00C0488C">
        <w:rPr>
          <w:rFonts w:asciiTheme="majorBidi" w:hAnsiTheme="majorBidi" w:cstheme="majorBidi"/>
        </w:rPr>
        <w:fldChar w:fldCharType="begin" w:fldLock="1"/>
      </w:r>
      <w:r w:rsidR="00607727">
        <w:rPr>
          <w:rFonts w:asciiTheme="majorBidi" w:hAnsiTheme="majorBidi" w:cstheme="majorBidi"/>
        </w:rPr>
        <w:instrText>ADDIN CSL_CITATION { "citationItems" : [ { "id" : "ITEM-1", "itemData" : { "DOI" : "10.1016/S0277-9536(00)00373-7", "abstract" : "A previous study showed that variations in deprivation within small localities in England and Wales influenced the rates of self-reported limiting long-term illness, controlling for overall levels of deprivation. These results suggest that while morbidity is related to overall levels of material deprivation, the distribution of resources within small areas have a significant effect on health outcomes. However, it is possible that these area effects become redundant once individual-level characteristics are accounted for. This analysis examines whether area-level deprivation and variations in deprivation are significant indicators of individual-level limiting long-term illness, once individual characteristics have been accounted for.", "author" : [ { "dropping-particle" : "", "family" : "Boyle", "given" : "Paul", "non-dropping-particle" : "", "parse-names" : false, "suffix" : "" }, { "dropping-particle" : "", "family" : "Gatrell", "given" : "Anthony C", "non-dropping-particle" : "", "parse-names" : false, "suffix" : "" }, { "dropping-particle" : "", "family" : "Duke-Williams", "given" : "Oliver", "non-dropping-particle" : "", "parse-names" : false, "suffix" : "" } ], "container-title" : "Social Science &amp; Medicine", "id" : "ITEM-1", "issue" : "6", "issued" : { "date-parts" : [ [ "2001", "9" ] ] }, "note" : "Used the 1991 SARs household file to look at geographic variation in LTLI. Found evidence of individual and micro-level effects on the likelihood of LTLI. For individuals being older, male, white or blue collar, Indian, non-mover, divorced or widowed, no higher level qualifications, in the coal industry, non-owner, non-unemployed, under-crowding and no car ownership were related to higher chances of reporting LTLI. At the area level living in a deprived area increased the chances of reporting LTLI whilst there was still signfiicant within area deprivation showing that inequality withinareas is also a predictor of LTLI whilst higher proportions of in-migrants were associated with lower reporting of LTLI.", "page" : "795-799", "title" : "Do area-level population change, deprivation and variations in deprivation affect individual-level self-reported limiting long-term illness?", "type" : "article-journal", "volume" : "53" }, "uris" : [ "http://www.mendeley.com/documents/?uuid=2e655839-ea03-40f8-b2b3-154902b52f04" ] }, { "id" : "ITEM-2", "itemData" : { "ISSN" : "0143-005X", "abstract" : "The Office of Population Censuses and Surveys Longitudinal Study provides reliable mortality data by a much wider range of characteristics than are available for other national sources. Although it is based on only a 1% sample of the population, it broadens the scope of mortality analysis and permits study of changes in relationships using different aspects of the time dimension. Data from this study have made us increasingly aware of the importance of selection to the interpretation and understanding of observed mortality differentials. Here we focus on that aspect of selection called \"health-related mobility,\" which is associated with the relative health of people acquiring or losing individual characteristics. It is suggested that, for characteristics affected by health-related mobility, mortality differentials would narrow or widen with increased duration of follow-up. One of the basis of this argument the contribution of health-related mobility to mortality differentials by economic position and social class, to regional differentials, and to family and household differentials is investigated. Selection can thus be shown to operate when people change economic position, when they migrate, or when they change marital status. While the effects of these selection processes can be shown to contribute to social class gradients they do not explain regional differentials and contribute only to a limited degree to differentials by marital status. Differentials by household circumstances also reflect the product of selection processes. ", "author" : [ { "dropping-particle" : "", "family" : "Fox", "given" : "A J", "non-dropping-particle" : "", "parse-names" : false, "suffix" : "" }, { "dropping-particle" : "", "family" : "Goldblatt", "given" : "P O", "non-dropping-particle" : "", "parse-names" : false, "suffix" : "" }, { "dropping-particle" : "", "family" : "Adelstein", "given" : "A M", "non-dropping-particle" : "", "parse-names" : false, "suffix" : "" } ], "container-title" : "Journal of Epidemiology and Community Health", "id" : "ITEM-2", "issue" : "2", "issued" : { "date-parts" : [ [ "1982", "6" ] ] }, "note" : "Points to several discussions on health and long distance migration using the 1971 census. \n\n\ni) Short distance (intra-county) moves are the most common\nii) Short distance moves are associated with high SMRs\niii) Regional migrants are healthier, suggesting ill health is a barrier to regional migration\niv) On spatiality, migrants from the North and West into the South and East are healthier than non-migrants in either region, suggesting that regional migration affects the distribution of health\nv) However the paucity of regional migration means that this selection effect does not have significant impacts on regional mortality rates", "page" : "69-79", "title" : "Selection and mortality differentials.", "type" : "article-journal", "volume" : "36" }, "uris" : [ "http://www.mendeley.com/documents/?uuid=230cc766-20a3-4948-86a3-6aa3a1b1bd15" ] }, { "id" : "ITEM-3", "itemData" : { "DOI" : "10.1016/j.socscimed.2004.03.015", "ISSN" : "0277-9536", "PMID" : "15351480", "abstract" : "Health-selective migration within countries has been implicated as one of the mechanisms by which spatial disadvantage is created and maintained. However, there is conflicting evidence on the nature of the relationship between health and mobility, caused in part by diverse definitions, and age and sex differences. This paper uses the first two waves of data for the middle-aged cohort (aged 45-50 in 1996) of the Australian Longitudinal Study on Women's Health to investigate the relationship between four sets of health variables with subsequent local moves (within the same postcode), longer distance moves (between postcodes) and inter-regional migration from rural and remote areas 'up' the urban hierarchy. After adjusting for socio-economic and marital status, short and longer distance mobility among these middle-aged Australian women was positively associated with long-term and chronic poor health and being a smoker. Moves between postcodes and rural-to-urban migration were positively associated with multiple recent visits to a medical specialist. Our findings are consistent with UK and US studies that have found mobility to be more strongly associated with poor health than good health in mature adults. As the population ages, the health of receiving areas may be adversely affected by relatively unhealthy in-migrants seeking amenities not provided in their former place of residence.", "author" : [ { "dropping-particle" : "", "family" : "Larson", "given" : "Ann", "non-dropping-particle" : "", "parse-names" : false, "suffix" : "" }, { "dropping-particle" : "", "family" : "Bell", "given" : "Martin", "non-dropping-particle" : "", "parse-names" : false, "suffix" : "" }, { "dropping-particle" : "", "family" : "Young", "given" : "Anne Frances", "non-dropping-particle" : "", "parse-names" : false, "suffix" : "" } ], "container-title" : "Social science &amp; medicine (1982)", "id" : "ITEM-3", "issue" : "10", "issued" : { "date-parts" : [ [ "2004", "11" ] ] }, "page" : "2149-60", "title" : "Clarifying the relationships between health and residential mobility.", "type" : "article-journal", "volume" : "59" }, "uris" : [ "http://www.mendeley.com/documents/?uuid=cead0124-e458-4401-a978-0133efdce1cd" ] } ], "mendeley" : { "formattedCitation" : "(Fox &lt;i&gt;et al.&lt;/i&gt;, 1982; Boyle &lt;i&gt;et al.&lt;/i&gt;, 2001; Larson &lt;i&gt;et al.&lt;/i&gt;, 2004)", "manualFormatting" : "(Boyle et al., 2001; Fox et al., 1982)", "plainTextFormattedCitation" : "(Fox et al., 1982; Boyle et al., 2001; Larson et al., 2004)", "previouslyFormattedCitation" : "(Fox &lt;i&gt;et al.&lt;/i&gt;, 1982; Boyle &lt;i&gt;et al.&lt;/i&gt;, 2001; Larson &lt;i&gt;et al.&lt;/i&gt;, 2004)" }, "properties" : { "noteIndex" : 0 }, "schema" : "https://github.com/citation-style-language/schema/raw/master/csl-citation.json" }</w:instrText>
      </w:r>
      <w:r w:rsidRPr="00C0488C">
        <w:rPr>
          <w:rFonts w:asciiTheme="majorBidi" w:hAnsiTheme="majorBidi" w:cstheme="majorBidi"/>
        </w:rPr>
        <w:fldChar w:fldCharType="separate"/>
      </w:r>
      <w:r w:rsidRPr="00C0488C">
        <w:rPr>
          <w:rFonts w:asciiTheme="majorBidi" w:hAnsiTheme="majorBidi" w:cstheme="majorBidi"/>
          <w:noProof/>
        </w:rPr>
        <w:t>(Boyle et al., 2001; Fox et al., 1982)</w:t>
      </w:r>
      <w:r w:rsidRPr="00C0488C">
        <w:rPr>
          <w:rFonts w:asciiTheme="majorBidi" w:hAnsiTheme="majorBidi" w:cstheme="majorBidi"/>
        </w:rPr>
        <w:fldChar w:fldCharType="end"/>
      </w:r>
      <w:r w:rsidRPr="00C0488C">
        <w:rPr>
          <w:rFonts w:asciiTheme="majorBidi" w:hAnsiTheme="majorBidi" w:cstheme="majorBidi"/>
        </w:rPr>
        <w:t xml:space="preserve">. In addition, the association between health and </w:t>
      </w:r>
      <w:r w:rsidR="00CD206A" w:rsidRPr="00C0488C">
        <w:rPr>
          <w:rFonts w:asciiTheme="majorBidi" w:hAnsiTheme="majorBidi" w:cstheme="majorBidi"/>
        </w:rPr>
        <w:t xml:space="preserve">long distance migration </w:t>
      </w:r>
      <w:r w:rsidRPr="00C0488C">
        <w:rPr>
          <w:rFonts w:asciiTheme="majorBidi" w:hAnsiTheme="majorBidi" w:cstheme="majorBidi"/>
        </w:rPr>
        <w:t xml:space="preserve">varies by age:  sickness rates decrease </w:t>
      </w:r>
      <w:r w:rsidR="002F2406" w:rsidRPr="00C0488C">
        <w:rPr>
          <w:rFonts w:asciiTheme="majorBidi" w:hAnsiTheme="majorBidi" w:cstheme="majorBidi"/>
        </w:rPr>
        <w:t>with increasing</w:t>
      </w:r>
      <w:r w:rsidR="00526852" w:rsidRPr="00C0488C">
        <w:rPr>
          <w:rFonts w:asciiTheme="majorBidi" w:hAnsiTheme="majorBidi" w:cstheme="majorBidi"/>
        </w:rPr>
        <w:t xml:space="preserve"> </w:t>
      </w:r>
      <w:r w:rsidRPr="00C0488C">
        <w:rPr>
          <w:rFonts w:asciiTheme="majorBidi" w:hAnsiTheme="majorBidi" w:cstheme="majorBidi"/>
        </w:rPr>
        <w:t>distance</w:t>
      </w:r>
      <w:r w:rsidR="002F2406" w:rsidRPr="00C0488C">
        <w:rPr>
          <w:rFonts w:asciiTheme="majorBidi" w:hAnsiTheme="majorBidi" w:cstheme="majorBidi"/>
        </w:rPr>
        <w:t>s moved for those aged</w:t>
      </w:r>
      <w:r w:rsidRPr="00C0488C">
        <w:rPr>
          <w:rFonts w:asciiTheme="majorBidi" w:hAnsiTheme="majorBidi" w:cstheme="majorBidi"/>
        </w:rPr>
        <w:t xml:space="preserve"> 21-44, but converge for </w:t>
      </w:r>
      <w:r w:rsidR="00FC2DDC" w:rsidRPr="00C0488C">
        <w:rPr>
          <w:rFonts w:asciiTheme="majorBidi" w:hAnsiTheme="majorBidi" w:cstheme="majorBidi"/>
        </w:rPr>
        <w:t>short and long distance</w:t>
      </w:r>
      <w:r w:rsidRPr="00C0488C">
        <w:rPr>
          <w:rFonts w:asciiTheme="majorBidi" w:hAnsiTheme="majorBidi" w:cstheme="majorBidi"/>
        </w:rPr>
        <w:t xml:space="preserve"> migrants at ages 45+ </w:t>
      </w:r>
      <w:r w:rsidRPr="00C0488C">
        <w:rPr>
          <w:rFonts w:asciiTheme="majorBidi" w:hAnsiTheme="majorBidi" w:cstheme="majorBidi"/>
        </w:rPr>
        <w:fldChar w:fldCharType="begin" w:fldLock="1"/>
      </w:r>
      <w:r w:rsidR="00607727">
        <w:rPr>
          <w:rFonts w:asciiTheme="majorBidi" w:hAnsiTheme="majorBidi" w:cstheme="majorBidi"/>
        </w:rPr>
        <w:instrText>ADDIN CSL_CITATION { "citationItems" : [ { "id" : "ITEM-1", "itemData" : { "DOI" : "10.1016/0277-9536(88)90044-5", "author" : [ { "dropping-particle" : "", "family" : "Bentham", "given" : "Graham", "non-dropping-particle" : "", "parse-names" : false, "suffix" : "" } ], "container-title" : "Social science &amp; medicine", "id" : "ITEM-1", "issue" : "1", "issued" : { "date-parts" : [ [ "1988" ] ] }, "note" : "Discusses self-reported morvidity from the 1981 census. Found that young migrants moving long distances were relatively healthy - in areas with high out-migraiton we would therefore expect the young to be unhealthy and the opposite in areas with high in-migration. Amongst older people migration is negative-health selective moving shorter distance to be closer to medical care. So relatively benefiical environments with good health services might be disproportionately occupied by the sick.", "page" : "49-54", "title" : "Migration and morbidity: implications for geographical studies of disease", "type" : "article-journal", "volume" : "26" }, "uris" : [ "http://www.mendeley.com/documents/?uuid=f57c4cb0-1ae6-4cc4-b923-7f60ab98f42b" ] } ], "mendeley" : { "formattedCitation" : "(Bentham, 1988)", "plainTextFormattedCitation" : "(Bentham, 1988)", "previouslyFormattedCitation" : "(Bentham, 1988)" }, "properties" : { "noteIndex" : 0 }, "schema" : "https://github.com/citation-style-language/schema/raw/master/csl-citation.json" }</w:instrText>
      </w:r>
      <w:r w:rsidRPr="00C0488C">
        <w:rPr>
          <w:rFonts w:asciiTheme="majorBidi" w:hAnsiTheme="majorBidi" w:cstheme="majorBidi"/>
        </w:rPr>
        <w:fldChar w:fldCharType="separate"/>
      </w:r>
      <w:r w:rsidRPr="00C0488C">
        <w:rPr>
          <w:rFonts w:asciiTheme="majorBidi" w:hAnsiTheme="majorBidi" w:cstheme="majorBidi"/>
          <w:noProof/>
        </w:rPr>
        <w:t>(Bentham, 1988)</w:t>
      </w:r>
      <w:r w:rsidRPr="00C0488C">
        <w:rPr>
          <w:rFonts w:asciiTheme="majorBidi" w:hAnsiTheme="majorBidi" w:cstheme="majorBidi"/>
        </w:rPr>
        <w:fldChar w:fldCharType="end"/>
      </w:r>
      <w:r w:rsidRPr="00C0488C">
        <w:rPr>
          <w:rFonts w:asciiTheme="majorBidi" w:hAnsiTheme="majorBidi" w:cstheme="majorBidi"/>
        </w:rPr>
        <w:t>.</w:t>
      </w:r>
      <w:r w:rsidR="00526852" w:rsidRPr="00C0488C">
        <w:rPr>
          <w:rFonts w:asciiTheme="majorBidi" w:hAnsiTheme="majorBidi" w:cstheme="majorBidi"/>
        </w:rPr>
        <w:t xml:space="preserve"> Outside of the UK</w:t>
      </w:r>
      <w:r w:rsidR="00433A43" w:rsidRPr="00C0488C">
        <w:rPr>
          <w:rFonts w:asciiTheme="majorBidi" w:hAnsiTheme="majorBidi" w:cstheme="majorBidi"/>
        </w:rPr>
        <w:t xml:space="preserve"> however</w:t>
      </w:r>
      <w:r w:rsidR="00526852" w:rsidRPr="00C0488C">
        <w:rPr>
          <w:rFonts w:asciiTheme="majorBidi" w:hAnsiTheme="majorBidi" w:cstheme="majorBidi"/>
        </w:rPr>
        <w:t xml:space="preserve">, </w:t>
      </w:r>
      <w:r w:rsidR="00433A43" w:rsidRPr="00C0488C">
        <w:rPr>
          <w:rFonts w:asciiTheme="majorBidi" w:hAnsiTheme="majorBidi" w:cstheme="majorBidi"/>
        </w:rPr>
        <w:t>several measures of poor health are found to be associated with long distance migration</w:t>
      </w:r>
      <w:r w:rsidR="00526852" w:rsidRPr="00C0488C">
        <w:rPr>
          <w:rFonts w:asciiTheme="majorBidi" w:hAnsiTheme="majorBidi" w:cstheme="majorBidi"/>
        </w:rPr>
        <w:t xml:space="preserve">. </w:t>
      </w:r>
      <w:r w:rsidR="00433A43" w:rsidRPr="00C0488C">
        <w:rPr>
          <w:rFonts w:asciiTheme="majorBidi" w:hAnsiTheme="majorBidi" w:cstheme="majorBidi"/>
        </w:rPr>
        <w:t>For example,</w:t>
      </w:r>
      <w:r w:rsidR="00526852" w:rsidRPr="00C0488C">
        <w:rPr>
          <w:rFonts w:asciiTheme="majorBidi" w:hAnsiTheme="majorBidi" w:cstheme="majorBidi"/>
        </w:rPr>
        <w:t xml:space="preserve"> mental health </w:t>
      </w:r>
      <w:r w:rsidR="00CD206A" w:rsidRPr="00C0488C">
        <w:rPr>
          <w:rFonts w:asciiTheme="majorBidi" w:hAnsiTheme="majorBidi" w:cstheme="majorBidi"/>
        </w:rPr>
        <w:t>disorders</w:t>
      </w:r>
      <w:r w:rsidR="00526852" w:rsidRPr="00C0488C">
        <w:rPr>
          <w:rFonts w:asciiTheme="majorBidi" w:hAnsiTheme="majorBidi" w:cstheme="majorBidi"/>
        </w:rPr>
        <w:t xml:space="preserve"> (except schizophrenia) in the US </w:t>
      </w:r>
      <w:r w:rsidR="00526852" w:rsidRPr="00C0488C">
        <w:rPr>
          <w:rFonts w:asciiTheme="majorBidi" w:hAnsiTheme="majorBidi" w:cstheme="majorBidi"/>
        </w:rPr>
        <w:fldChar w:fldCharType="begin" w:fldLock="1"/>
      </w:r>
      <w:r w:rsidR="00607727">
        <w:rPr>
          <w:rFonts w:asciiTheme="majorBidi" w:hAnsiTheme="majorBidi" w:cstheme="majorBidi"/>
        </w:rPr>
        <w:instrText>ADDIN CSL_CITATION { "citationItems" : [ { "id" : "ITEM-1", "itemData" : { "DOI" : "10.1007/s10488-007-0130-2", "ISSN" : "0894-587X", "PMID" : "17701338", "abstract" : "This paper reports on residential mobility among patients treated in the Veterans Affairs (VA) health system. We examine mobility in relation to patients' psychiatric disorders, and we assess the impact of mobility on health system geographic accessibility and continuity of care following inpatient discharge. Subjects included 534,002 patients with schizophrenia, bipolar disorder, depression, or with none of these conditions, who received VA services in both FY 01 and FY 02. We report the frequency and predictors of residential moves; we examine distance moved and changes in the proximity of VA providers; and we evaluate associations with timely receipt of outpatient care following inpatient discharges. Approximately 25% of patients with bipolar disorder, 20% with schizophrenia, 16% with depression, and 9% of patients without these conditions completed a residential move in FY 2002. When relocating, patients with schizophrenia and bipolar disorder were more likely to move closer to providers, suggesting greater sensitivity to accessibility barriers.", "author" : [ { "dropping-particle" : "", "family" : "McCarthy", "given" : "John F", "non-dropping-particle" : "", "parse-names" : false, "suffix" : "" }, { "dropping-particle" : "", "family" : "Valenstein", "given" : "Marcia", "non-dropping-particle" : "", "parse-names" : false, "suffix" : "" }, { "dropping-particle" : "", "family" : "Blow", "given" : "Frederic C", "non-dropping-particle" : "", "parse-names" : false, "suffix" : "" } ], "container-title" : "Administration and policy in mental health", "id" : "ITEM-1", "issue" : "5", "issued" : { "date-parts" : [ [ "2007", "9" ] ] }, "note" : "Tracked hospital users with depression, bipolar disorder and schizophrenia across two years using veteran hospital data in the US. Looked at associations between residential mobility and mental health. \n\n\nFound that MHSUs were more likely to be young, female, unmarried, homeless, have substance abuse and live closer to healthcare providers. \n\n\n20.1% of Schizophrenics moved, 15.8% of depressives compared to 8.6% without dianogses. Depression and bipolar disorder were associated with further (in terms of distance) moves.\n\n\nWould be useful to copy their methods.", "page" : "448-55", "title" : "Residential mobility among patients in the VA health system: associations with psychiatric morbidity, geographic accessibility, and continuity of care.", "type" : "article-journal", "volume" : "34" }, "uris" : [ "http://www.mendeley.com/documents/?uuid=6e735028-a697-4af6-806c-997dcc35d6ba" ] } ], "mendeley" : { "formattedCitation" : "(McCarthy &lt;i&gt;et al.&lt;/i&gt;, 2007)", "plainTextFormattedCitation" : "(McCarthy et al., 2007)", "previouslyFormattedCitation" : "(McCarthy &lt;i&gt;et al.&lt;/i&gt;, 2007)" }, "properties" : { "noteIndex" : 0 }, "schema" : "https://github.com/citation-style-language/schema/raw/master/csl-citation.json" }</w:instrText>
      </w:r>
      <w:r w:rsidR="00526852" w:rsidRPr="00C0488C">
        <w:rPr>
          <w:rFonts w:asciiTheme="majorBidi" w:hAnsiTheme="majorBidi" w:cstheme="majorBidi"/>
        </w:rPr>
        <w:fldChar w:fldCharType="separate"/>
      </w:r>
      <w:r w:rsidR="00607727" w:rsidRPr="00607727">
        <w:rPr>
          <w:rFonts w:asciiTheme="majorBidi" w:hAnsiTheme="majorBidi" w:cstheme="majorBidi"/>
          <w:noProof/>
        </w:rPr>
        <w:t xml:space="preserve">(McCarthy </w:t>
      </w:r>
      <w:r w:rsidR="00607727" w:rsidRPr="00607727">
        <w:rPr>
          <w:rFonts w:asciiTheme="majorBidi" w:hAnsiTheme="majorBidi" w:cstheme="majorBidi"/>
          <w:i/>
          <w:noProof/>
        </w:rPr>
        <w:t>et al.</w:t>
      </w:r>
      <w:r w:rsidR="00607727" w:rsidRPr="00607727">
        <w:rPr>
          <w:rFonts w:asciiTheme="majorBidi" w:hAnsiTheme="majorBidi" w:cstheme="majorBidi"/>
          <w:noProof/>
        </w:rPr>
        <w:t>, 2007)</w:t>
      </w:r>
      <w:r w:rsidR="00526852" w:rsidRPr="00C0488C">
        <w:rPr>
          <w:rFonts w:asciiTheme="majorBidi" w:hAnsiTheme="majorBidi" w:cstheme="majorBidi"/>
        </w:rPr>
        <w:fldChar w:fldCharType="end"/>
      </w:r>
      <w:r w:rsidR="00526852" w:rsidRPr="00C0488C">
        <w:rPr>
          <w:rFonts w:asciiTheme="majorBidi" w:hAnsiTheme="majorBidi" w:cstheme="majorBidi"/>
        </w:rPr>
        <w:t>, chronic disease</w:t>
      </w:r>
      <w:r w:rsidR="00FC2DDC" w:rsidRPr="00C0488C">
        <w:rPr>
          <w:rFonts w:asciiTheme="majorBidi" w:hAnsiTheme="majorBidi" w:cstheme="majorBidi"/>
        </w:rPr>
        <w:t>s</w:t>
      </w:r>
      <w:r w:rsidR="00526852" w:rsidRPr="00C0488C">
        <w:rPr>
          <w:rFonts w:asciiTheme="majorBidi" w:hAnsiTheme="majorBidi" w:cstheme="majorBidi"/>
        </w:rPr>
        <w:t xml:space="preserve"> in the US </w:t>
      </w:r>
      <w:r w:rsidR="00526852" w:rsidRPr="00C0488C">
        <w:rPr>
          <w:rFonts w:asciiTheme="majorBidi" w:hAnsiTheme="majorBidi" w:cstheme="majorBidi"/>
        </w:rPr>
        <w:fldChar w:fldCharType="begin" w:fldLock="1"/>
      </w:r>
      <w:r w:rsidR="00A328DF">
        <w:rPr>
          <w:rFonts w:asciiTheme="majorBidi" w:hAnsiTheme="majorBidi" w:cstheme="majorBidi"/>
        </w:rPr>
        <w:instrText>ADDIN CSL_CITATION { "citationItems" : [ { "id" : "ITEM-1", "itemData" : { "DOI" : "10.2307/2546583", "ISSN" : "01979183", "abstract" : "Evidence regarding the effects of health status on migration are mixed, with some concluding that there is a positive relation while others conclude a negative relation. This study examines the analytical bases for conflicting findings and proposes a model of the health-migration relation which allows for age selectivity, nonlinearities, interactions, and dynamic effects. CR - Copyright &amp;#169; 1988 The Center for Migration Studies of New York, Inc.", "author" : [ { "dropping-particle" : "", "family" : "Findley", "given" : "Sally E", "non-dropping-particle" : "", "parse-names" : false, "suffix" : "" } ], "container-title" : "International Migration Review", "id" : "ITEM-1", "issue" : "3", "issued" : { "date-parts" : [ [ "1988", "10", "1" ] ] }, "note" : "Finds evidence for the drift hypothesis.", "page" : "4-29", "publisher" : "The Center for Migration Studies of New York, Inc.", "title" : "The directionality and age selectivity of the health-migration relation: evidence from sequences of disability and mobility in the United States", "type" : "article-journal", "volume" : "22" }, "uris" : [ "http://www.mendeley.com/documents/?uuid=d0b29867-3fc6-4ff8-a98a-f246126d15e7" ] } ], "mendeley" : { "formattedCitation" : "(Findley, 1988)", "plainTextFormattedCitation" : "(Findley, 1988)", "previouslyFormattedCitation" : "(Findley, 1988)" }, "properties" : { "noteIndex" : 0 }, "schema" : "https://github.com/citation-style-language/schema/raw/master/csl-citation.json" }</w:instrText>
      </w:r>
      <w:r w:rsidR="00526852" w:rsidRPr="00C0488C">
        <w:rPr>
          <w:rFonts w:asciiTheme="majorBidi" w:hAnsiTheme="majorBidi" w:cstheme="majorBidi"/>
        </w:rPr>
        <w:fldChar w:fldCharType="separate"/>
      </w:r>
      <w:r w:rsidR="00526852" w:rsidRPr="00C0488C">
        <w:rPr>
          <w:rFonts w:asciiTheme="majorBidi" w:hAnsiTheme="majorBidi" w:cstheme="majorBidi"/>
          <w:noProof/>
        </w:rPr>
        <w:t>(Findley, 1988)</w:t>
      </w:r>
      <w:r w:rsidR="00526852" w:rsidRPr="00C0488C">
        <w:rPr>
          <w:rFonts w:asciiTheme="majorBidi" w:hAnsiTheme="majorBidi" w:cstheme="majorBidi"/>
        </w:rPr>
        <w:fldChar w:fldCharType="end"/>
      </w:r>
      <w:r w:rsidR="00526852" w:rsidRPr="00C0488C">
        <w:rPr>
          <w:rFonts w:asciiTheme="majorBidi" w:hAnsiTheme="majorBidi" w:cstheme="majorBidi"/>
        </w:rPr>
        <w:t xml:space="preserve"> and health specialist usage in Australia </w:t>
      </w:r>
      <w:r w:rsidR="00526852" w:rsidRPr="00C0488C">
        <w:rPr>
          <w:rFonts w:asciiTheme="majorBidi" w:hAnsiTheme="majorBidi" w:cstheme="majorBidi"/>
        </w:rPr>
        <w:fldChar w:fldCharType="begin" w:fldLock="1"/>
      </w:r>
      <w:r w:rsidR="00607727">
        <w:rPr>
          <w:rFonts w:asciiTheme="majorBidi" w:hAnsiTheme="majorBidi" w:cstheme="majorBidi"/>
        </w:rPr>
        <w:instrText>ADDIN CSL_CITATION { "citationItems" : [ { "id" : "ITEM-1", "itemData" : { "DOI" : "10.1016/j.socscimed.2004.03.015", "ISSN" : "0277-9536", "PMID" : "15351480", "abstract" : "Health-selective migration within countries has been implicated as one of the mechanisms by which spatial disadvantage is created and maintained. However, there is conflicting evidence on the nature of the relationship between health and mobility, caused in part by diverse definitions, and age and sex differences. This paper uses the first two waves of data for the middle-aged cohort (aged 45-50 in 1996) of the Australian Longitudinal Study on Women's Health to investigate the relationship between four sets of health variables with subsequent local moves (within the same postcode), longer distance moves (between postcodes) and inter-regional migration from rural and remote areas 'up' the urban hierarchy. After adjusting for socio-economic and marital status, short and longer distance mobility among these middle-aged Australian women was positively associated with long-term and chronic poor health and being a smoker. Moves between postcodes and rural-to-urban migration were positively associated with multiple recent visits to a medical specialist. Our findings are consistent with UK and US studies that have found mobility to be more strongly associated with poor health than good health in mature adults. As the population ages, the health of receiving areas may be adversely affected by relatively unhealthy in-migrants seeking amenities not provided in their former place of residence.", "author" : [ { "dropping-particle" : "", "family" : "Larson", "given" : "Ann", "non-dropping-particle" : "", "parse-names" : false, "suffix" : "" }, { "dropping-particle" : "", "family" : "Bell", "given" : "Martin", "non-dropping-particle" : "", "parse-names" : false, "suffix" : "" }, { "dropping-particle" : "", "family" : "Young", "given" : "Anne Frances", "non-dropping-particle" : "", "parse-names" : false, "suffix" : "" } ], "container-title" : "Social science &amp; medicine (1982)", "id" : "ITEM-1", "issue" : "10", "issued" : { "date-parts" : [ [ "2004", "11" ] ] }, "page" : "2149-60", "title" : "Clarifying the relationships between health and residential mobility.", "type" : "article-journal", "volume" : "59" }, "uris" : [ "http://www.mendeley.com/documents/?uuid=cead0124-e458-4401-a978-0133efdce1cd" ] } ], "mendeley" : { "formattedCitation" : "(Larson &lt;i&gt;et al.&lt;/i&gt;, 2004)", "plainTextFormattedCitation" : "(Larson et al., 2004)", "previouslyFormattedCitation" : "(Larson &lt;i&gt;et al.&lt;/i&gt;, 2004)" }, "properties" : { "noteIndex" : 0 }, "schema" : "https://github.com/citation-style-language/schema/raw/master/csl-citation.json" }</w:instrText>
      </w:r>
      <w:r w:rsidR="00526852" w:rsidRPr="00C0488C">
        <w:rPr>
          <w:rFonts w:asciiTheme="majorBidi" w:hAnsiTheme="majorBidi" w:cstheme="majorBidi"/>
        </w:rPr>
        <w:fldChar w:fldCharType="separate"/>
      </w:r>
      <w:r w:rsidR="00607727" w:rsidRPr="00607727">
        <w:rPr>
          <w:rFonts w:asciiTheme="majorBidi" w:hAnsiTheme="majorBidi" w:cstheme="majorBidi"/>
          <w:noProof/>
        </w:rPr>
        <w:t xml:space="preserve">(Larson </w:t>
      </w:r>
      <w:r w:rsidR="00607727" w:rsidRPr="00607727">
        <w:rPr>
          <w:rFonts w:asciiTheme="majorBidi" w:hAnsiTheme="majorBidi" w:cstheme="majorBidi"/>
          <w:i/>
          <w:noProof/>
        </w:rPr>
        <w:t>et al.</w:t>
      </w:r>
      <w:r w:rsidR="00607727" w:rsidRPr="00607727">
        <w:rPr>
          <w:rFonts w:asciiTheme="majorBidi" w:hAnsiTheme="majorBidi" w:cstheme="majorBidi"/>
          <w:noProof/>
        </w:rPr>
        <w:t>, 2004)</w:t>
      </w:r>
      <w:r w:rsidR="00526852" w:rsidRPr="00C0488C">
        <w:rPr>
          <w:rFonts w:asciiTheme="majorBidi" w:hAnsiTheme="majorBidi" w:cstheme="majorBidi"/>
        </w:rPr>
        <w:fldChar w:fldCharType="end"/>
      </w:r>
      <w:r w:rsidR="00433A43" w:rsidRPr="00C0488C">
        <w:rPr>
          <w:rFonts w:asciiTheme="majorBidi" w:hAnsiTheme="majorBidi" w:cstheme="majorBidi"/>
        </w:rPr>
        <w:t xml:space="preserve"> are associated with long distance moves</w:t>
      </w:r>
      <w:r w:rsidR="00FC2DDC" w:rsidRPr="00C0488C">
        <w:rPr>
          <w:rFonts w:asciiTheme="majorBidi" w:hAnsiTheme="majorBidi" w:cstheme="majorBidi"/>
        </w:rPr>
        <w:t>.</w:t>
      </w:r>
      <w:r w:rsidR="00145B5E" w:rsidRPr="00C0488C">
        <w:rPr>
          <w:rFonts w:asciiTheme="majorBidi" w:hAnsiTheme="majorBidi" w:cstheme="majorBidi"/>
        </w:rPr>
        <w:t xml:space="preserve"> </w:t>
      </w:r>
      <w:r w:rsidR="00BB0375" w:rsidRPr="00C0488C">
        <w:rPr>
          <w:rFonts w:asciiTheme="majorBidi" w:hAnsiTheme="majorBidi" w:cstheme="majorBidi"/>
        </w:rPr>
        <w:t xml:space="preserve">It is plausible that there is an opposing ‘unhealthy migrant effect’: the onset of health conditions which require long-term health care leads to moves from rural to urban areas, where there is a greater degree of health service provision. Evidence from outside of the UK supports this explanation </w:t>
      </w:r>
      <w:r w:rsidR="00BB0375" w:rsidRPr="00C0488C">
        <w:rPr>
          <w:rFonts w:asciiTheme="majorBidi" w:hAnsiTheme="majorBidi" w:cstheme="majorBidi"/>
        </w:rPr>
        <w:fldChar w:fldCharType="begin" w:fldLock="1"/>
      </w:r>
      <w:r w:rsidR="00607727">
        <w:rPr>
          <w:rFonts w:asciiTheme="majorBidi" w:hAnsiTheme="majorBidi" w:cstheme="majorBidi"/>
        </w:rPr>
        <w:instrText>ADDIN CSL_CITATION { "citationItems" : [ { "id" : "ITEM-1", "itemData" : { "DOI" : "10.1016/S0163-8343(97)00117-5", "abstract" : "This study describes 'County Drift,' the tendency of chronic psychiatric patients to move from outlying counties to the central county containing the psychiatric hospital. Changes of residence of repeat visitors to a Psychiatric Emergency Service were examined to substantiate that a higher proportion (34.2%) moved to the central county than the reverse k(5.3%). An analysis comparing patients who moved to the central county with those who did not showed that patients already connected to treatment and with schizophrenic/psychotic disorders remained in their home counties. Patients presenting complications reflected by secondary diagnoses of personality or substance use disorders were more likely to relocate to the area of the psychiatric facility.", "author" : [ { "dropping-particle" : "", "family" : "Breslow", "given" : "Richard E", "non-dropping-particle" : "", "parse-names" : false, "suffix" : "" }, { "dropping-particle" : "", "family" : "Klinger", "given" : "Burton I", "non-dropping-particle" : "", "parse-names" : false, "suffix" : "" }, { "dropping-particle" : "", "family" : "Erickson", "given" : "Bonnie J", "non-dropping-particle" : "", "parse-names" : false, "suffix" : "" } ], "container-title" : "General Hospital Psychiatry", "id" : "ITEM-1", "issue" : "1", "issued" : { "date-parts" : [ [ "1998", "1" ] ] }, "note" : "Looked at the mobility of repeat patients of a psychiatric emergency service. Found over time that patients tended to move towards the place of treatment 'County Drift'. \n\n\nCan be used to describe the pattern of mobility for MHSUs over time.", "page" : "44-47", "title" : "County drift: A type of geographic mobility of chronic psychiatric patients", "type" : "article-journal", "volume" : "20" }, "uris" : [ "http://www.mendeley.com/documents/?uuid=8cb3ba43-21c3-4f18-b0c8-95f45d907777" ] }, { "id" : "ITEM-2", "itemData" : { "DOI" : "10.1016/j.healthplace.2004.10.013", "ISSN" : "1353-8292", "PMID" : "16338629", "abstract" : "The aim of this study was to determine if the onset of serious disease triggers a different intra-state migratory response from patterns observed in the healthy population. The analysis was carried out using linked administrative data. The onset of serious disease triggered a reduction in the rate of endocentric migration in remote and rural populations. Urban drift occurred only in people with mental illness in rural locations. Rural and remote communities appear to suffer from an unhealthy selection force, with persons unable to migrate centrally to access services due to the onset of the physical illness they require treatment for.", "author" : [ { "dropping-particle" : "", "family" : "Moorin", "given" : "R E", "non-dropping-particle" : "", "parse-names" : false, "suffix" : "" }, { "dropping-particle" : "", "family" : "Holman", "given" : "C D J", "non-dropping-particle" : "", "parse-names" : false, "suffix" : "" }, { "dropping-particle" : "", "family" : "Garfield", "given" : "C", "non-dropping-particle" : "", "parse-names" : false, "suffix" : "" }, { "dropping-particle" : "", "family" : "Brameld", "given" : "K J", "non-dropping-particle" : "", "parse-names" : false, "suffix" : "" } ], "container-title" : "Health &amp; place", "id" : "ITEM-2", "issue" : "2", "issued" : { "date-parts" : [ [ "2006", "6" ] ] }, "note" : "Australian study comparing the migratory flows of those who experienced an onset of serious disease and those who did not over a 10 year period. Categorised movers are endocentric (moving to a more urban location, presumably for health services) and exocentric (moving to a more remote location). Those becoming unhealthy were less likely to move from metropolitan areas into rural or remote areas; and less likely to move from rural or remote areas into metropolitan areas; but no difference in making rural-remote moves.", "page" : "131-40", "title" : "Health related migration: evidence of reduced \"urban-drift\".", "type" : "article-journal", "volume" : "12" }, "uris" : [ "http://www.mendeley.com/documents/?uuid=2309604b-b83b-4d85-8f7c-75bfd06cd44c" ] } ], "mendeley" : { "formattedCitation" : "(Breslow &lt;i&gt;et al.&lt;/i&gt;, 1998; Moorin &lt;i&gt;et al.&lt;/i&gt;, 2006)", "plainTextFormattedCitation" : "(Breslow et al., 1998; Moorin et al., 2006)", "previouslyFormattedCitation" : "(Breslow &lt;i&gt;et al.&lt;/i&gt;, 1998; Moorin &lt;i&gt;et al.&lt;/i&gt;, 2006)" }, "properties" : { "noteIndex" : 0 }, "schema" : "https://github.com/citation-style-language/schema/raw/master/csl-citation.json" }</w:instrText>
      </w:r>
      <w:r w:rsidR="00BB0375" w:rsidRPr="00C0488C">
        <w:rPr>
          <w:rFonts w:asciiTheme="majorBidi" w:hAnsiTheme="majorBidi" w:cstheme="majorBidi"/>
        </w:rPr>
        <w:fldChar w:fldCharType="separate"/>
      </w:r>
      <w:r w:rsidR="00607727" w:rsidRPr="00607727">
        <w:rPr>
          <w:rFonts w:asciiTheme="majorBidi" w:hAnsiTheme="majorBidi" w:cstheme="majorBidi"/>
          <w:noProof/>
        </w:rPr>
        <w:t xml:space="preserve">(Breslow </w:t>
      </w:r>
      <w:r w:rsidR="00607727" w:rsidRPr="00607727">
        <w:rPr>
          <w:rFonts w:asciiTheme="majorBidi" w:hAnsiTheme="majorBidi" w:cstheme="majorBidi"/>
          <w:i/>
          <w:noProof/>
        </w:rPr>
        <w:t>et al.</w:t>
      </w:r>
      <w:r w:rsidR="00607727" w:rsidRPr="00607727">
        <w:rPr>
          <w:rFonts w:asciiTheme="majorBidi" w:hAnsiTheme="majorBidi" w:cstheme="majorBidi"/>
          <w:noProof/>
        </w:rPr>
        <w:t xml:space="preserve">, 1998; Moorin </w:t>
      </w:r>
      <w:r w:rsidR="00607727" w:rsidRPr="00607727">
        <w:rPr>
          <w:rFonts w:asciiTheme="majorBidi" w:hAnsiTheme="majorBidi" w:cstheme="majorBidi"/>
          <w:i/>
          <w:noProof/>
        </w:rPr>
        <w:t>et al.</w:t>
      </w:r>
      <w:r w:rsidR="00607727" w:rsidRPr="00607727">
        <w:rPr>
          <w:rFonts w:asciiTheme="majorBidi" w:hAnsiTheme="majorBidi" w:cstheme="majorBidi"/>
          <w:noProof/>
        </w:rPr>
        <w:t>, 2006)</w:t>
      </w:r>
      <w:r w:rsidR="00BB0375" w:rsidRPr="00C0488C">
        <w:rPr>
          <w:rFonts w:asciiTheme="majorBidi" w:hAnsiTheme="majorBidi" w:cstheme="majorBidi"/>
        </w:rPr>
        <w:fldChar w:fldCharType="end"/>
      </w:r>
      <w:r w:rsidR="00BB0375" w:rsidRPr="00C0488C">
        <w:rPr>
          <w:rFonts w:asciiTheme="majorBidi" w:hAnsiTheme="majorBidi" w:cstheme="majorBidi"/>
        </w:rPr>
        <w:t xml:space="preserve">, whereas this idea has not been tested explicitly within the UK. </w:t>
      </w:r>
      <w:r w:rsidR="00152182" w:rsidRPr="00C0488C">
        <w:rPr>
          <w:rFonts w:asciiTheme="majorBidi" w:hAnsiTheme="majorBidi" w:cstheme="majorBidi"/>
        </w:rPr>
        <w:t xml:space="preserve">In this paper we aim to assess the healthy </w:t>
      </w:r>
      <w:r w:rsidR="00152182" w:rsidRPr="00C0488C">
        <w:rPr>
          <w:rFonts w:asciiTheme="majorBidi" w:hAnsiTheme="majorBidi" w:cstheme="majorBidi"/>
        </w:rPr>
        <w:lastRenderedPageBreak/>
        <w:t>migrant theory for distances moved. First, we draw on the literature to determine how a long distance move may be measured within the UK context.</w:t>
      </w:r>
    </w:p>
    <w:p w14:paraId="6690AF51" w14:textId="232F629A" w:rsidR="00947C6F" w:rsidRPr="00C0488C" w:rsidRDefault="00947C6F" w:rsidP="00842CB7">
      <w:pPr>
        <w:pStyle w:val="Heading2"/>
      </w:pPr>
      <w:r w:rsidRPr="00C0488C">
        <w:t xml:space="preserve">The issue of scale – how long is long </w:t>
      </w:r>
      <w:r w:rsidR="001D3936" w:rsidRPr="00C0488C">
        <w:t>distance</w:t>
      </w:r>
      <w:r w:rsidRPr="00C0488C">
        <w:t>?</w:t>
      </w:r>
    </w:p>
    <w:p w14:paraId="57A2A58B" w14:textId="6BDDD85C" w:rsidR="00947C6F" w:rsidRPr="00C0488C" w:rsidRDefault="00947C6F" w:rsidP="00125D3F">
      <w:pPr>
        <w:spacing w:line="480" w:lineRule="auto"/>
        <w:rPr>
          <w:rFonts w:asciiTheme="majorBidi" w:hAnsiTheme="majorBidi" w:cstheme="majorBidi"/>
        </w:rPr>
      </w:pPr>
      <w:r w:rsidRPr="00C0488C">
        <w:rPr>
          <w:rFonts w:asciiTheme="majorBidi" w:hAnsiTheme="majorBidi" w:cstheme="majorBidi"/>
        </w:rPr>
        <w:t xml:space="preserve">The association between good health and long distance migration is established </w:t>
      </w:r>
      <w:r w:rsidR="001D3936" w:rsidRPr="00C0488C">
        <w:rPr>
          <w:rFonts w:asciiTheme="majorBidi" w:hAnsiTheme="majorBidi" w:cstheme="majorBidi"/>
        </w:rPr>
        <w:t xml:space="preserve">in </w:t>
      </w:r>
      <w:r w:rsidRPr="00C0488C">
        <w:rPr>
          <w:rFonts w:asciiTheme="majorBidi" w:hAnsiTheme="majorBidi" w:cstheme="majorBidi"/>
        </w:rPr>
        <w:t xml:space="preserve">several </w:t>
      </w:r>
      <w:r w:rsidR="001D3936" w:rsidRPr="00C0488C">
        <w:rPr>
          <w:rFonts w:asciiTheme="majorBidi" w:hAnsiTheme="majorBidi" w:cstheme="majorBidi"/>
        </w:rPr>
        <w:t xml:space="preserve">UK </w:t>
      </w:r>
      <w:r w:rsidRPr="00C0488C">
        <w:rPr>
          <w:rFonts w:asciiTheme="majorBidi" w:hAnsiTheme="majorBidi" w:cstheme="majorBidi"/>
        </w:rPr>
        <w:t xml:space="preserve">studies (Bentham, 1988; Boyle et al., 2001, 2002; Fox et al., 1982; Strachan et al., 1995). It is common in the internal migration literature for the </w:t>
      </w:r>
      <w:r w:rsidR="000A70B0" w:rsidRPr="00C0488C">
        <w:rPr>
          <w:rFonts w:asciiTheme="majorBidi" w:hAnsiTheme="majorBidi" w:cstheme="majorBidi"/>
        </w:rPr>
        <w:t>Euclidean</w:t>
      </w:r>
      <w:r w:rsidRPr="00C0488C">
        <w:rPr>
          <w:rFonts w:asciiTheme="majorBidi" w:hAnsiTheme="majorBidi" w:cstheme="majorBidi"/>
        </w:rPr>
        <w:t xml:space="preserve"> distance moved between residences to be calculated, and those who migrate over distances greater than a certain value (cut-off) are then considered to be long</w:t>
      </w:r>
      <w:r w:rsidR="00891CE1" w:rsidRPr="00C0488C">
        <w:rPr>
          <w:rFonts w:asciiTheme="majorBidi" w:hAnsiTheme="majorBidi" w:cstheme="majorBidi"/>
        </w:rPr>
        <w:t xml:space="preserve"> </w:t>
      </w:r>
      <w:r w:rsidR="008471E6" w:rsidRPr="00C0488C">
        <w:rPr>
          <w:rFonts w:asciiTheme="majorBidi" w:hAnsiTheme="majorBidi" w:cstheme="majorBidi"/>
        </w:rPr>
        <w:t>distance</w:t>
      </w:r>
      <w:r w:rsidRPr="00C0488C">
        <w:rPr>
          <w:rFonts w:asciiTheme="majorBidi" w:hAnsiTheme="majorBidi" w:cstheme="majorBidi"/>
        </w:rPr>
        <w:t xml:space="preserve"> migrants. Alternatively</w:t>
      </w:r>
      <w:r w:rsidR="00FC2DDC" w:rsidRPr="00C0488C">
        <w:rPr>
          <w:rFonts w:asciiTheme="majorBidi" w:hAnsiTheme="majorBidi" w:cstheme="majorBidi"/>
        </w:rPr>
        <w:t>,</w:t>
      </w:r>
      <w:r w:rsidRPr="00C0488C">
        <w:rPr>
          <w:rFonts w:asciiTheme="majorBidi" w:hAnsiTheme="majorBidi" w:cstheme="majorBidi"/>
        </w:rPr>
        <w:t xml:space="preserve"> moves between administrative areas may be referred to as long</w:t>
      </w:r>
      <w:r w:rsidR="00891CE1" w:rsidRPr="00C0488C">
        <w:rPr>
          <w:rFonts w:asciiTheme="majorBidi" w:hAnsiTheme="majorBidi" w:cstheme="majorBidi"/>
        </w:rPr>
        <w:t xml:space="preserve"> </w:t>
      </w:r>
      <w:r w:rsidR="008471E6" w:rsidRPr="00C0488C">
        <w:rPr>
          <w:rFonts w:asciiTheme="majorBidi" w:hAnsiTheme="majorBidi" w:cstheme="majorBidi"/>
        </w:rPr>
        <w:t>distance</w:t>
      </w:r>
      <w:r w:rsidRPr="00C0488C">
        <w:rPr>
          <w:rFonts w:asciiTheme="majorBidi" w:hAnsiTheme="majorBidi" w:cstheme="majorBidi"/>
        </w:rPr>
        <w:t xml:space="preserve"> moves, whilst moves within such areas are referred to as short</w:t>
      </w:r>
      <w:r w:rsidR="00891CE1" w:rsidRPr="00C0488C">
        <w:rPr>
          <w:rFonts w:asciiTheme="majorBidi" w:hAnsiTheme="majorBidi" w:cstheme="majorBidi"/>
        </w:rPr>
        <w:t xml:space="preserve"> </w:t>
      </w:r>
      <w:r w:rsidR="008471E6" w:rsidRPr="00C0488C">
        <w:rPr>
          <w:rFonts w:asciiTheme="majorBidi" w:hAnsiTheme="majorBidi" w:cstheme="majorBidi"/>
        </w:rPr>
        <w:t>distance</w:t>
      </w:r>
      <w:r w:rsidRPr="00C0488C">
        <w:rPr>
          <w:rFonts w:asciiTheme="majorBidi" w:hAnsiTheme="majorBidi" w:cstheme="majorBidi"/>
        </w:rPr>
        <w:t xml:space="preserve"> moves. The</w:t>
      </w:r>
      <w:r w:rsidR="001D3936" w:rsidRPr="00C0488C">
        <w:rPr>
          <w:rFonts w:asciiTheme="majorBidi" w:hAnsiTheme="majorBidi" w:cstheme="majorBidi"/>
        </w:rPr>
        <w:t>re is</w:t>
      </w:r>
      <w:r w:rsidRPr="00C0488C">
        <w:rPr>
          <w:rFonts w:asciiTheme="majorBidi" w:hAnsiTheme="majorBidi" w:cstheme="majorBidi"/>
        </w:rPr>
        <w:t xml:space="preserve"> disagreement in the literature over which cut-off is considered to be indicative of long</w:t>
      </w:r>
      <w:r w:rsidR="00891CE1" w:rsidRPr="00C0488C">
        <w:rPr>
          <w:rFonts w:asciiTheme="majorBidi" w:hAnsiTheme="majorBidi" w:cstheme="majorBidi"/>
        </w:rPr>
        <w:t xml:space="preserve"> </w:t>
      </w:r>
      <w:r w:rsidR="008471E6" w:rsidRPr="00C0488C">
        <w:rPr>
          <w:rFonts w:asciiTheme="majorBidi" w:hAnsiTheme="majorBidi" w:cstheme="majorBidi"/>
        </w:rPr>
        <w:t>distance</w:t>
      </w:r>
      <w:r w:rsidRPr="00C0488C">
        <w:rPr>
          <w:rFonts w:asciiTheme="majorBidi" w:hAnsiTheme="majorBidi" w:cstheme="majorBidi"/>
        </w:rPr>
        <w:t xml:space="preserve"> migration</w:t>
      </w:r>
      <w:r w:rsidR="001D3936" w:rsidRPr="00C0488C">
        <w:rPr>
          <w:rFonts w:asciiTheme="majorBidi" w:hAnsiTheme="majorBidi" w:cstheme="majorBidi"/>
        </w:rPr>
        <w:t xml:space="preserve"> (Table 1)</w:t>
      </w:r>
      <w:r w:rsidRPr="00C0488C">
        <w:rPr>
          <w:rFonts w:asciiTheme="majorBidi" w:hAnsiTheme="majorBidi" w:cstheme="majorBidi"/>
        </w:rPr>
        <w:t xml:space="preserve">. </w:t>
      </w:r>
    </w:p>
    <w:p w14:paraId="185ADFA0" w14:textId="694B4C7C" w:rsidR="00947C6F" w:rsidRPr="00C0488C" w:rsidRDefault="00947C6F" w:rsidP="00BD2DCF">
      <w:pPr>
        <w:spacing w:line="480" w:lineRule="auto"/>
        <w:jc w:val="center"/>
        <w:rPr>
          <w:rFonts w:asciiTheme="majorBidi" w:hAnsiTheme="majorBidi" w:cstheme="majorBidi"/>
          <w:b/>
          <w:bCs/>
        </w:rPr>
      </w:pPr>
      <w:r w:rsidRPr="00C0488C">
        <w:rPr>
          <w:rFonts w:asciiTheme="majorBidi" w:hAnsiTheme="majorBidi" w:cstheme="majorBidi"/>
          <w:b/>
          <w:bCs/>
        </w:rPr>
        <w:t xml:space="preserve">Table 1 – </w:t>
      </w:r>
      <w:r w:rsidR="003A5CE3" w:rsidRPr="00C0488C">
        <w:rPr>
          <w:rFonts w:asciiTheme="majorBidi" w:hAnsiTheme="majorBidi" w:cstheme="majorBidi"/>
          <w:b/>
          <w:bCs/>
        </w:rPr>
        <w:t>Definitions of long distance</w:t>
      </w:r>
      <w:r w:rsidRPr="00C0488C">
        <w:rPr>
          <w:rFonts w:asciiTheme="majorBidi" w:hAnsiTheme="majorBidi" w:cstheme="majorBidi"/>
          <w:b/>
          <w:bCs/>
        </w:rPr>
        <w:t xml:space="preserve"> in selected studies investigating the association between health and long</w:t>
      </w:r>
      <w:r w:rsidR="00891CE1" w:rsidRPr="00C0488C">
        <w:rPr>
          <w:rFonts w:asciiTheme="majorBidi" w:hAnsiTheme="majorBidi" w:cstheme="majorBidi"/>
          <w:b/>
          <w:bCs/>
        </w:rPr>
        <w:t xml:space="preserve"> </w:t>
      </w:r>
      <w:r w:rsidR="008471E6" w:rsidRPr="00C0488C">
        <w:rPr>
          <w:rFonts w:asciiTheme="majorBidi" w:hAnsiTheme="majorBidi" w:cstheme="majorBidi"/>
          <w:b/>
          <w:bCs/>
        </w:rPr>
        <w:t>distance</w:t>
      </w:r>
      <w:r w:rsidRPr="00C0488C">
        <w:rPr>
          <w:rFonts w:asciiTheme="majorBidi" w:hAnsiTheme="majorBidi" w:cstheme="majorBidi"/>
          <w:b/>
          <w:bCs/>
        </w:rPr>
        <w:t xml:space="preserve"> migration</w:t>
      </w:r>
    </w:p>
    <w:p w14:paraId="79065F01" w14:textId="4629A18E" w:rsidR="00947C6F" w:rsidRPr="00996B4A" w:rsidRDefault="00F47287" w:rsidP="00947C6F">
      <w:pPr>
        <w:spacing w:line="480" w:lineRule="auto"/>
        <w:jc w:val="center"/>
        <w:rPr>
          <w:rFonts w:asciiTheme="majorBidi" w:hAnsiTheme="majorBidi" w:cstheme="majorBidi"/>
          <w:b/>
          <w:bCs/>
        </w:rPr>
      </w:pPr>
      <w:r>
        <w:rPr>
          <w:rFonts w:asciiTheme="majorBidi" w:hAnsiTheme="majorBidi" w:cstheme="majorBidi"/>
        </w:rPr>
        <w:t>&lt;Table 1 here&gt;</w:t>
      </w:r>
    </w:p>
    <w:p w14:paraId="2C2706EC" w14:textId="6BE67400" w:rsidR="00947C6F" w:rsidRPr="00996B4A" w:rsidRDefault="00176220" w:rsidP="00FC68F5">
      <w:pPr>
        <w:spacing w:line="480" w:lineRule="auto"/>
        <w:rPr>
          <w:rFonts w:asciiTheme="majorBidi" w:hAnsiTheme="majorBidi" w:cstheme="majorBidi"/>
        </w:rPr>
      </w:pPr>
      <w:r w:rsidRPr="00996B4A">
        <w:rPr>
          <w:rFonts w:asciiTheme="majorBidi" w:hAnsiTheme="majorBidi" w:cstheme="majorBidi"/>
        </w:rPr>
        <w:t xml:space="preserve">All of the studies within the UK find evidence for the healthy migrant effect regardless of the way in which poor health is measured, whilst studies from outside the UK find evidence for an ‘unhealthy migrant effect’. </w:t>
      </w:r>
      <w:r w:rsidR="00947C6F" w:rsidRPr="00996B4A">
        <w:rPr>
          <w:rFonts w:asciiTheme="majorBidi" w:hAnsiTheme="majorBidi" w:cstheme="majorBidi"/>
        </w:rPr>
        <w:t>Th</w:t>
      </w:r>
      <w:r w:rsidRPr="00996B4A">
        <w:rPr>
          <w:rFonts w:asciiTheme="majorBidi" w:hAnsiTheme="majorBidi" w:cstheme="majorBidi"/>
        </w:rPr>
        <w:t>e</w:t>
      </w:r>
      <w:r w:rsidR="00947C6F" w:rsidRPr="00996B4A">
        <w:rPr>
          <w:rFonts w:asciiTheme="majorBidi" w:hAnsiTheme="majorBidi" w:cstheme="majorBidi"/>
        </w:rPr>
        <w:t xml:space="preserve"> issue of scale is problematic for the understanding of the health and migration relationship</w:t>
      </w:r>
      <w:r w:rsidR="008649CD" w:rsidRPr="00996B4A">
        <w:rPr>
          <w:rFonts w:asciiTheme="majorBidi" w:hAnsiTheme="majorBidi" w:cstheme="majorBidi"/>
        </w:rPr>
        <w:t>, as it is unclear at which distances health selection occurs</w:t>
      </w:r>
      <w:r w:rsidR="00947C6F" w:rsidRPr="00996B4A">
        <w:rPr>
          <w:rFonts w:asciiTheme="majorBidi" w:hAnsiTheme="majorBidi" w:cstheme="majorBidi"/>
        </w:rPr>
        <w:t>.</w:t>
      </w:r>
      <w:r w:rsidR="00526852" w:rsidRPr="00996B4A">
        <w:rPr>
          <w:rFonts w:asciiTheme="majorBidi" w:hAnsiTheme="majorBidi" w:cstheme="majorBidi"/>
        </w:rPr>
        <w:t xml:space="preserve"> For</w:t>
      </w:r>
      <w:r w:rsidR="00947C6F" w:rsidRPr="00996B4A">
        <w:rPr>
          <w:rFonts w:asciiTheme="majorBidi" w:hAnsiTheme="majorBidi" w:cstheme="majorBidi"/>
        </w:rPr>
        <w:t xml:space="preserve"> example</w:t>
      </w:r>
      <w:r w:rsidR="003A5CE3" w:rsidRPr="00996B4A">
        <w:rPr>
          <w:rFonts w:asciiTheme="majorBidi" w:hAnsiTheme="majorBidi" w:cstheme="majorBidi"/>
        </w:rPr>
        <w:t>,</w:t>
      </w:r>
      <w:r w:rsidR="00EC18A7" w:rsidRPr="00996B4A">
        <w:rPr>
          <w:rFonts w:asciiTheme="majorBidi" w:hAnsiTheme="majorBidi" w:cstheme="majorBidi"/>
        </w:rPr>
        <w:t xml:space="preserve"> </w:t>
      </w:r>
      <w:r w:rsidR="00947C6F" w:rsidRPr="00996B4A">
        <w:rPr>
          <w:rFonts w:asciiTheme="majorBidi" w:hAnsiTheme="majorBidi" w:cstheme="majorBidi"/>
        </w:rPr>
        <w:t>two studies authored by Boyle and colleagues (2001; 2002) find that long</w:t>
      </w:r>
      <w:r w:rsidR="00891CE1" w:rsidRPr="00996B4A">
        <w:rPr>
          <w:rFonts w:asciiTheme="majorBidi" w:hAnsiTheme="majorBidi" w:cstheme="majorBidi"/>
        </w:rPr>
        <w:t xml:space="preserve"> </w:t>
      </w:r>
      <w:r w:rsidR="008471E6" w:rsidRPr="00996B4A">
        <w:rPr>
          <w:rFonts w:asciiTheme="majorBidi" w:hAnsiTheme="majorBidi" w:cstheme="majorBidi"/>
        </w:rPr>
        <w:t>distance</w:t>
      </w:r>
      <w:r w:rsidR="00947C6F" w:rsidRPr="00996B4A">
        <w:rPr>
          <w:rFonts w:asciiTheme="majorBidi" w:hAnsiTheme="majorBidi" w:cstheme="majorBidi"/>
        </w:rPr>
        <w:t xml:space="preserve"> migrants are healthier than short distance migrants</w:t>
      </w:r>
      <w:r w:rsidR="00FC2DDC" w:rsidRPr="00996B4A">
        <w:rPr>
          <w:rFonts w:asciiTheme="majorBidi" w:hAnsiTheme="majorBidi" w:cstheme="majorBidi"/>
        </w:rPr>
        <w:t>,</w:t>
      </w:r>
      <w:r w:rsidR="00947C6F" w:rsidRPr="00996B4A">
        <w:rPr>
          <w:rFonts w:asciiTheme="majorBidi" w:hAnsiTheme="majorBidi" w:cstheme="majorBidi"/>
        </w:rPr>
        <w:t xml:space="preserve"> using</w:t>
      </w:r>
      <w:r w:rsidR="00FC2DDC" w:rsidRPr="00996B4A">
        <w:rPr>
          <w:rFonts w:asciiTheme="majorBidi" w:hAnsiTheme="majorBidi" w:cstheme="majorBidi"/>
        </w:rPr>
        <w:t xml:space="preserve"> the</w:t>
      </w:r>
      <w:r w:rsidR="00947C6F" w:rsidRPr="00996B4A">
        <w:rPr>
          <w:rFonts w:asciiTheme="majorBidi" w:hAnsiTheme="majorBidi" w:cstheme="majorBidi"/>
        </w:rPr>
        <w:t xml:space="preserve"> 50km and 10km cut-offs respectively. The </w:t>
      </w:r>
      <w:r w:rsidR="00EC18A7" w:rsidRPr="00996B4A">
        <w:rPr>
          <w:rFonts w:asciiTheme="majorBidi" w:hAnsiTheme="majorBidi" w:cstheme="majorBidi"/>
        </w:rPr>
        <w:t xml:space="preserve">2001 </w:t>
      </w:r>
      <w:r w:rsidR="00947C6F" w:rsidRPr="00996B4A">
        <w:rPr>
          <w:rFonts w:asciiTheme="majorBidi" w:hAnsiTheme="majorBidi" w:cstheme="majorBidi"/>
        </w:rPr>
        <w:t>study use</w:t>
      </w:r>
      <w:r w:rsidR="00433A43" w:rsidRPr="00996B4A">
        <w:rPr>
          <w:rFonts w:asciiTheme="majorBidi" w:hAnsiTheme="majorBidi" w:cstheme="majorBidi"/>
        </w:rPr>
        <w:t>s</w:t>
      </w:r>
      <w:r w:rsidR="00947C6F" w:rsidRPr="00996B4A">
        <w:rPr>
          <w:rFonts w:asciiTheme="majorBidi" w:hAnsiTheme="majorBidi" w:cstheme="majorBidi"/>
        </w:rPr>
        <w:t xml:space="preserve"> microdata from the Scottish Census whilst the </w:t>
      </w:r>
      <w:r w:rsidR="00EC18A7" w:rsidRPr="00996B4A">
        <w:rPr>
          <w:rFonts w:asciiTheme="majorBidi" w:hAnsiTheme="majorBidi" w:cstheme="majorBidi"/>
        </w:rPr>
        <w:t xml:space="preserve">2002 study </w:t>
      </w:r>
      <w:r w:rsidR="00947C6F" w:rsidRPr="00996B4A">
        <w:rPr>
          <w:rFonts w:asciiTheme="majorBidi" w:hAnsiTheme="majorBidi" w:cstheme="majorBidi"/>
        </w:rPr>
        <w:t>use</w:t>
      </w:r>
      <w:r w:rsidR="00433A43" w:rsidRPr="00996B4A">
        <w:rPr>
          <w:rFonts w:asciiTheme="majorBidi" w:hAnsiTheme="majorBidi" w:cstheme="majorBidi"/>
        </w:rPr>
        <w:t>s</w:t>
      </w:r>
      <w:r w:rsidR="00947C6F" w:rsidRPr="00996B4A">
        <w:rPr>
          <w:rFonts w:asciiTheme="majorBidi" w:hAnsiTheme="majorBidi" w:cstheme="majorBidi"/>
        </w:rPr>
        <w:t xml:space="preserve"> microdata from the England and W</w:t>
      </w:r>
      <w:r w:rsidR="00FC2DDC" w:rsidRPr="00996B4A">
        <w:rPr>
          <w:rFonts w:asciiTheme="majorBidi" w:hAnsiTheme="majorBidi" w:cstheme="majorBidi"/>
        </w:rPr>
        <w:t>ales</w:t>
      </w:r>
      <w:r w:rsidR="00947C6F" w:rsidRPr="00996B4A">
        <w:rPr>
          <w:rFonts w:asciiTheme="majorBidi" w:hAnsiTheme="majorBidi" w:cstheme="majorBidi"/>
        </w:rPr>
        <w:t xml:space="preserve"> Census, so it is not </w:t>
      </w:r>
      <w:r w:rsidR="008537C4" w:rsidRPr="00996B4A">
        <w:rPr>
          <w:rFonts w:asciiTheme="majorBidi" w:hAnsiTheme="majorBidi" w:cstheme="majorBidi"/>
        </w:rPr>
        <w:t>apparent whether</w:t>
      </w:r>
      <w:r w:rsidR="00947C6F" w:rsidRPr="00996B4A">
        <w:rPr>
          <w:rFonts w:asciiTheme="majorBidi" w:hAnsiTheme="majorBidi" w:cstheme="majorBidi"/>
        </w:rPr>
        <w:t xml:space="preserve"> the association persists at </w:t>
      </w:r>
      <w:r w:rsidR="008537C4" w:rsidRPr="00996B4A">
        <w:rPr>
          <w:rFonts w:asciiTheme="majorBidi" w:hAnsiTheme="majorBidi" w:cstheme="majorBidi"/>
        </w:rPr>
        <w:t xml:space="preserve">and above </w:t>
      </w:r>
      <w:r w:rsidR="00947C6F" w:rsidRPr="00996B4A">
        <w:rPr>
          <w:rFonts w:asciiTheme="majorBidi" w:hAnsiTheme="majorBidi" w:cstheme="majorBidi"/>
        </w:rPr>
        <w:t>the 10km cut-off in England</w:t>
      </w:r>
      <w:r w:rsidR="00891CE1" w:rsidRPr="00996B4A">
        <w:rPr>
          <w:rFonts w:asciiTheme="majorBidi" w:hAnsiTheme="majorBidi" w:cstheme="majorBidi"/>
        </w:rPr>
        <w:t xml:space="preserve"> and Wales</w:t>
      </w:r>
      <w:r w:rsidR="00947C6F" w:rsidRPr="00996B4A">
        <w:rPr>
          <w:rFonts w:asciiTheme="majorBidi" w:hAnsiTheme="majorBidi" w:cstheme="majorBidi"/>
        </w:rPr>
        <w:t xml:space="preserve">, nor </w:t>
      </w:r>
      <w:r w:rsidR="008537C4" w:rsidRPr="00996B4A">
        <w:rPr>
          <w:rFonts w:asciiTheme="majorBidi" w:hAnsiTheme="majorBidi" w:cstheme="majorBidi"/>
        </w:rPr>
        <w:t xml:space="preserve">at and above the </w:t>
      </w:r>
      <w:r w:rsidR="00947C6F" w:rsidRPr="00996B4A">
        <w:rPr>
          <w:rFonts w:asciiTheme="majorBidi" w:hAnsiTheme="majorBidi" w:cstheme="majorBidi"/>
        </w:rPr>
        <w:t xml:space="preserve">50km cut-off in Scotland. Recent work </w:t>
      </w:r>
      <w:r w:rsidR="00EC18A7" w:rsidRPr="00996B4A">
        <w:rPr>
          <w:rFonts w:asciiTheme="majorBidi" w:hAnsiTheme="majorBidi" w:cstheme="majorBidi"/>
        </w:rPr>
        <w:t>on</w:t>
      </w:r>
      <w:r w:rsidR="00947C6F" w:rsidRPr="00996B4A">
        <w:rPr>
          <w:rFonts w:asciiTheme="majorBidi" w:hAnsiTheme="majorBidi" w:cstheme="majorBidi"/>
        </w:rPr>
        <w:t xml:space="preserve"> internal migration in the UK</w:t>
      </w:r>
      <w:r w:rsidR="008537C4" w:rsidRPr="00996B4A">
        <w:rPr>
          <w:rFonts w:asciiTheme="majorBidi" w:hAnsiTheme="majorBidi" w:cstheme="majorBidi"/>
        </w:rPr>
        <w:t xml:space="preserve"> which do</w:t>
      </w:r>
      <w:r w:rsidR="00FC2DDC" w:rsidRPr="00996B4A">
        <w:rPr>
          <w:rFonts w:asciiTheme="majorBidi" w:hAnsiTheme="majorBidi" w:cstheme="majorBidi"/>
        </w:rPr>
        <w:t>es</w:t>
      </w:r>
      <w:r w:rsidR="008537C4" w:rsidRPr="00996B4A">
        <w:rPr>
          <w:rFonts w:asciiTheme="majorBidi" w:hAnsiTheme="majorBidi" w:cstheme="majorBidi"/>
        </w:rPr>
        <w:t xml:space="preserve"> not include health in their analysis</w:t>
      </w:r>
      <w:r w:rsidR="00947C6F" w:rsidRPr="00996B4A">
        <w:rPr>
          <w:rFonts w:asciiTheme="majorBidi" w:hAnsiTheme="majorBidi" w:cstheme="majorBidi"/>
        </w:rPr>
        <w:t xml:space="preserve"> has</w:t>
      </w:r>
      <w:r w:rsidR="008649CD" w:rsidRPr="00996B4A">
        <w:rPr>
          <w:rFonts w:asciiTheme="majorBidi" w:hAnsiTheme="majorBidi" w:cstheme="majorBidi"/>
        </w:rPr>
        <w:t xml:space="preserve"> also</w:t>
      </w:r>
      <w:r w:rsidR="00947C6F" w:rsidRPr="00996B4A">
        <w:rPr>
          <w:rFonts w:asciiTheme="majorBidi" w:hAnsiTheme="majorBidi" w:cstheme="majorBidi"/>
        </w:rPr>
        <w:t xml:space="preserve"> defined long</w:t>
      </w:r>
      <w:r w:rsidR="00891CE1" w:rsidRPr="00996B4A">
        <w:rPr>
          <w:rFonts w:asciiTheme="majorBidi" w:hAnsiTheme="majorBidi" w:cstheme="majorBidi"/>
        </w:rPr>
        <w:t xml:space="preserve"> </w:t>
      </w:r>
      <w:r w:rsidR="008471E6" w:rsidRPr="00996B4A">
        <w:rPr>
          <w:rFonts w:asciiTheme="majorBidi" w:hAnsiTheme="majorBidi" w:cstheme="majorBidi"/>
        </w:rPr>
        <w:t>distance</w:t>
      </w:r>
      <w:r w:rsidR="00947C6F" w:rsidRPr="00996B4A">
        <w:rPr>
          <w:rFonts w:asciiTheme="majorBidi" w:hAnsiTheme="majorBidi" w:cstheme="majorBidi"/>
        </w:rPr>
        <w:t xml:space="preserve"> migration using 5 mile (8km) (Cho and Whitehead, 2013) and 20km cut-offs (Sapiro, 2016)</w:t>
      </w:r>
      <w:r w:rsidR="00EC18A7" w:rsidRPr="00996B4A">
        <w:rPr>
          <w:rFonts w:asciiTheme="majorBidi" w:hAnsiTheme="majorBidi" w:cstheme="majorBidi"/>
        </w:rPr>
        <w:t>.</w:t>
      </w:r>
      <w:r w:rsidR="00125D3F" w:rsidRPr="00996B4A">
        <w:rPr>
          <w:rFonts w:asciiTheme="majorBidi" w:hAnsiTheme="majorBidi" w:cstheme="majorBidi"/>
        </w:rPr>
        <w:t xml:space="preserve"> </w:t>
      </w:r>
      <w:r w:rsidR="00EC18A7" w:rsidRPr="00996B4A">
        <w:rPr>
          <w:rFonts w:asciiTheme="majorBidi" w:hAnsiTheme="majorBidi" w:cstheme="majorBidi"/>
        </w:rPr>
        <w:t>These</w:t>
      </w:r>
      <w:r w:rsidR="00947C6F" w:rsidRPr="00996B4A">
        <w:rPr>
          <w:rFonts w:asciiTheme="majorBidi" w:hAnsiTheme="majorBidi" w:cstheme="majorBidi"/>
        </w:rPr>
        <w:t xml:space="preserve"> </w:t>
      </w:r>
      <w:r w:rsidR="00891CE1" w:rsidRPr="00996B4A">
        <w:rPr>
          <w:rFonts w:asciiTheme="majorBidi" w:hAnsiTheme="majorBidi" w:cstheme="majorBidi"/>
        </w:rPr>
        <w:t>definitions</w:t>
      </w:r>
      <w:r w:rsidR="00947C6F" w:rsidRPr="00996B4A">
        <w:rPr>
          <w:rFonts w:asciiTheme="majorBidi" w:hAnsiTheme="majorBidi" w:cstheme="majorBidi"/>
        </w:rPr>
        <w:t xml:space="preserve"> have not been explored </w:t>
      </w:r>
      <w:r w:rsidR="00947C6F" w:rsidRPr="00996B4A">
        <w:rPr>
          <w:rFonts w:asciiTheme="majorBidi" w:hAnsiTheme="majorBidi" w:cstheme="majorBidi"/>
        </w:rPr>
        <w:lastRenderedPageBreak/>
        <w:t xml:space="preserve">in the health literature. </w:t>
      </w:r>
      <w:r w:rsidR="00433A43" w:rsidRPr="00996B4A">
        <w:rPr>
          <w:rFonts w:asciiTheme="majorBidi" w:hAnsiTheme="majorBidi" w:cstheme="majorBidi"/>
        </w:rPr>
        <w:t>Several studies define</w:t>
      </w:r>
      <w:r w:rsidR="00EC18A7" w:rsidRPr="00996B4A">
        <w:rPr>
          <w:rFonts w:asciiTheme="majorBidi" w:hAnsiTheme="majorBidi" w:cstheme="majorBidi"/>
        </w:rPr>
        <w:t xml:space="preserve"> </w:t>
      </w:r>
      <w:r w:rsidR="00891CE1" w:rsidRPr="00996B4A">
        <w:rPr>
          <w:rFonts w:asciiTheme="majorBidi" w:hAnsiTheme="majorBidi" w:cstheme="majorBidi"/>
        </w:rPr>
        <w:t xml:space="preserve">moves across administrative regions as long distance, this is also problematic as individuals living near boundaries can </w:t>
      </w:r>
      <w:r w:rsidR="00433A43" w:rsidRPr="00996B4A">
        <w:rPr>
          <w:rFonts w:asciiTheme="majorBidi" w:hAnsiTheme="majorBidi" w:cstheme="majorBidi"/>
        </w:rPr>
        <w:t>move relatively short distances to cross such boundaries and be considered a long distance migrant</w:t>
      </w:r>
      <w:r w:rsidR="00891CE1" w:rsidRPr="00996B4A">
        <w:rPr>
          <w:rFonts w:asciiTheme="majorBidi" w:hAnsiTheme="majorBidi" w:cstheme="majorBidi"/>
        </w:rPr>
        <w:t xml:space="preserve">. </w:t>
      </w:r>
      <w:r w:rsidR="00EC18A7" w:rsidRPr="00996B4A">
        <w:rPr>
          <w:rFonts w:asciiTheme="majorBidi" w:hAnsiTheme="majorBidi" w:cstheme="majorBidi"/>
        </w:rPr>
        <w:t>T</w:t>
      </w:r>
      <w:r w:rsidR="00947C6F" w:rsidRPr="00996B4A">
        <w:rPr>
          <w:rFonts w:asciiTheme="majorBidi" w:hAnsiTheme="majorBidi" w:cstheme="majorBidi"/>
        </w:rPr>
        <w:t xml:space="preserve">here is a distinct lack of justification for the use of cut-off points, </w:t>
      </w:r>
      <w:r w:rsidR="00EC18A7" w:rsidRPr="00996B4A">
        <w:rPr>
          <w:rFonts w:asciiTheme="majorBidi" w:hAnsiTheme="majorBidi" w:cstheme="majorBidi"/>
        </w:rPr>
        <w:t xml:space="preserve">and little </w:t>
      </w:r>
      <w:r w:rsidR="00947C6F" w:rsidRPr="00996B4A">
        <w:rPr>
          <w:rFonts w:asciiTheme="majorBidi" w:hAnsiTheme="majorBidi" w:cstheme="majorBidi"/>
        </w:rPr>
        <w:t xml:space="preserve">evidence of reflection on the implications this may have for findings. Of the aforementioned studies, only Sapiro (2016:16) </w:t>
      </w:r>
      <w:r w:rsidR="00EC18A7" w:rsidRPr="00996B4A">
        <w:rPr>
          <w:rFonts w:asciiTheme="majorBidi" w:hAnsiTheme="majorBidi" w:cstheme="majorBidi"/>
        </w:rPr>
        <w:t xml:space="preserve">justifies </w:t>
      </w:r>
      <w:r w:rsidR="00947C6F" w:rsidRPr="00996B4A">
        <w:rPr>
          <w:rFonts w:asciiTheme="majorBidi" w:hAnsiTheme="majorBidi" w:cstheme="majorBidi"/>
        </w:rPr>
        <w:t>the usage of a cut-off</w:t>
      </w:r>
      <w:r w:rsidR="00EC18A7" w:rsidRPr="00996B4A">
        <w:rPr>
          <w:rFonts w:asciiTheme="majorBidi" w:hAnsiTheme="majorBidi" w:cstheme="majorBidi"/>
        </w:rPr>
        <w:t xml:space="preserve">, </w:t>
      </w:r>
      <w:r w:rsidR="00947C6F" w:rsidRPr="00996B4A">
        <w:rPr>
          <w:rFonts w:asciiTheme="majorBidi" w:hAnsiTheme="majorBidi" w:cstheme="majorBidi"/>
        </w:rPr>
        <w:t>stating that “only one person in eight commut</w:t>
      </w:r>
      <w:r w:rsidR="00285D53" w:rsidRPr="00996B4A">
        <w:rPr>
          <w:rFonts w:asciiTheme="majorBidi" w:hAnsiTheme="majorBidi" w:cstheme="majorBidi"/>
        </w:rPr>
        <w:t>[es]</w:t>
      </w:r>
      <w:r w:rsidR="00947C6F" w:rsidRPr="00996B4A">
        <w:rPr>
          <w:rFonts w:asciiTheme="majorBidi" w:hAnsiTheme="majorBidi" w:cstheme="majorBidi"/>
        </w:rPr>
        <w:t xml:space="preserve"> further than [20km]”. </w:t>
      </w:r>
      <w:r w:rsidR="00FC68F5" w:rsidRPr="00996B4A">
        <w:rPr>
          <w:rFonts w:asciiTheme="majorBidi" w:hAnsiTheme="majorBidi" w:cstheme="majorBidi"/>
        </w:rPr>
        <w:t>We conclude that as there is little theoretical justification in defining long distance migration using one cut-off ove</w:t>
      </w:r>
      <w:r w:rsidR="00711EC8" w:rsidRPr="00996B4A">
        <w:rPr>
          <w:rFonts w:asciiTheme="majorBidi" w:hAnsiTheme="majorBidi" w:cstheme="majorBidi"/>
        </w:rPr>
        <w:t xml:space="preserve">r another, </w:t>
      </w:r>
      <w:r w:rsidR="00FC68F5" w:rsidRPr="00996B4A">
        <w:rPr>
          <w:rFonts w:asciiTheme="majorBidi" w:hAnsiTheme="majorBidi" w:cstheme="majorBidi"/>
        </w:rPr>
        <w:t xml:space="preserve">in this paper we will test whether there is evidence for the healthy migrant effect using the 10km, 20km and 50km cut-offs previously used to define long distance migration in the UK context. </w:t>
      </w:r>
    </w:p>
    <w:p w14:paraId="143C4A6C" w14:textId="4CACA7B5" w:rsidR="00CA044C" w:rsidRPr="00996B4A" w:rsidRDefault="008649CD" w:rsidP="00DF2A93">
      <w:pPr>
        <w:spacing w:line="480" w:lineRule="auto"/>
        <w:rPr>
          <w:rFonts w:asciiTheme="majorBidi" w:hAnsiTheme="majorBidi" w:cstheme="majorBidi"/>
        </w:rPr>
      </w:pPr>
      <w:r w:rsidRPr="00996B4A">
        <w:rPr>
          <w:rFonts w:asciiTheme="majorBidi" w:hAnsiTheme="majorBidi" w:cstheme="majorBidi"/>
        </w:rPr>
        <w:t>In addition to inconsistent definitions of long distance,</w:t>
      </w:r>
      <w:r w:rsidR="000A70B0" w:rsidRPr="00996B4A">
        <w:rPr>
          <w:rFonts w:asciiTheme="majorBidi" w:hAnsiTheme="majorBidi" w:cstheme="majorBidi"/>
        </w:rPr>
        <w:t xml:space="preserve"> research on migration and health in the UK often fails to account for multilevel structures in migration behaviour </w:t>
      </w:r>
      <w:r w:rsidR="000A70B0" w:rsidRPr="00996B4A">
        <w:rPr>
          <w:rFonts w:asciiTheme="majorBidi" w:hAnsiTheme="majorBidi" w:cstheme="majorBidi"/>
        </w:rPr>
        <w:fldChar w:fldCharType="begin" w:fldLock="1"/>
      </w:r>
      <w:r w:rsidR="00EA3427">
        <w:rPr>
          <w:rFonts w:asciiTheme="majorBidi" w:hAnsiTheme="majorBidi" w:cstheme="majorBidi"/>
        </w:rPr>
        <w:instrText>ADDIN CSL_CITATION { "citationItems" : [ { "id" : "ITEM-1", "itemData" : { "DOI" : "10.1068/a130327p", "ISSN" : "0308-518X", "abstract" : "Using individual records from a large and geographically detailed national research opinion survey, this paper uniquely adopts a multilevel\ufffdcross-classified statistical framework to demonstrate the relative importance of individual and simultaneous origin/destination contextual (neighbourhood and city region) variations in the distance moved by residential migrants in England and Wales. The model results confirm distinct microlevel variations in the distance moved according to certain key variables such as household income, educational attainment, and housing tenure whilst simultaneously revealing the importance of substantial origin and destination place-based macrogeographic variations. More specifically, the results indicate the extent to which those out-migrants from the main metropolitan cores, together with those in-migrants to the rural/coastal (amenity-rich) destinations, move over considerably longer distances than the average distance of\ufffdmove. Keywords: residential mobility; origin and destination context; distance moved; cross-classified multilevel model; place-based preferences", "author" : [ { "dropping-particle" : "", "family" : "Thomas", "given" : "Michael", "non-dropping-particle" : "", "parse-names" : false, "suffix" : "" }, { "dropping-particle" : "", "family" : "Stillwell", "given" : "John", "non-dropping-particle" : "", "parse-names" : false, "suffix" : "" }, { "dropping-particle" : "", "family" : "Gould", "given" : "Myles", "non-dropping-particle" : "", "parse-names" : false, "suffix" : "" } ], "container-title" : "Environment and Planning A", "id" : "ITEM-1", "issue" : "4", "issued" : { "date-parts" : [ [ "2015", "4" ] ] }, "page" : "996-1014", "publisher" : "Pion Ltd", "title" : "Modelling multilevel variations in distance moved between origins and destinations in England and Wales", "type" : "article-journal", "volume" : "47" }, "uris" : [ "http://www.mendeley.com/documents/?uuid=eb19a348-fe77-427b-bb2d-455984a90ee9" ] } ], "mendeley" : { "formattedCitation" : "(Thomas &lt;i&gt;et al.&lt;/i&gt;, 2015)", "plainTextFormattedCitation" : "(Thomas et al., 2015)", "previouslyFormattedCitation" : "(Thomas &lt;i&gt;et al.&lt;/i&gt;, 2015)" }, "properties" : { "noteIndex" : 0 }, "schema" : "https://github.com/citation-style-language/schema/raw/master/csl-citation.json" }</w:instrText>
      </w:r>
      <w:r w:rsidR="000A70B0" w:rsidRPr="00996B4A">
        <w:rPr>
          <w:rFonts w:asciiTheme="majorBidi" w:hAnsiTheme="majorBidi" w:cstheme="majorBidi"/>
        </w:rPr>
        <w:fldChar w:fldCharType="separate"/>
      </w:r>
      <w:r w:rsidR="00A328DF" w:rsidRPr="00A328DF">
        <w:rPr>
          <w:rFonts w:asciiTheme="majorBidi" w:hAnsiTheme="majorBidi" w:cstheme="majorBidi"/>
          <w:noProof/>
        </w:rPr>
        <w:t xml:space="preserve">(Thomas </w:t>
      </w:r>
      <w:r w:rsidR="00A328DF" w:rsidRPr="00A328DF">
        <w:rPr>
          <w:rFonts w:asciiTheme="majorBidi" w:hAnsiTheme="majorBidi" w:cstheme="majorBidi"/>
          <w:i/>
          <w:noProof/>
        </w:rPr>
        <w:t>et al.</w:t>
      </w:r>
      <w:r w:rsidR="00A328DF" w:rsidRPr="00A328DF">
        <w:rPr>
          <w:rFonts w:asciiTheme="majorBidi" w:hAnsiTheme="majorBidi" w:cstheme="majorBidi"/>
          <w:noProof/>
        </w:rPr>
        <w:t>, 2015)</w:t>
      </w:r>
      <w:r w:rsidR="000A70B0" w:rsidRPr="00996B4A">
        <w:rPr>
          <w:rFonts w:asciiTheme="majorBidi" w:hAnsiTheme="majorBidi" w:cstheme="majorBidi"/>
        </w:rPr>
        <w:fldChar w:fldCharType="end"/>
      </w:r>
      <w:r w:rsidR="000A70B0" w:rsidRPr="00996B4A">
        <w:rPr>
          <w:rFonts w:asciiTheme="majorBidi" w:hAnsiTheme="majorBidi" w:cstheme="majorBidi"/>
        </w:rPr>
        <w:t xml:space="preserve">. </w:t>
      </w:r>
      <w:r w:rsidRPr="00996B4A">
        <w:rPr>
          <w:rFonts w:asciiTheme="majorBidi" w:hAnsiTheme="majorBidi" w:cstheme="majorBidi"/>
        </w:rPr>
        <w:t>Individu</w:t>
      </w:r>
      <w:r w:rsidR="00873090" w:rsidRPr="00996B4A">
        <w:rPr>
          <w:rFonts w:asciiTheme="majorBidi" w:hAnsiTheme="majorBidi" w:cstheme="majorBidi"/>
        </w:rPr>
        <w:t xml:space="preserve">al (micro) behaviours are </w:t>
      </w:r>
      <w:r w:rsidRPr="00996B4A">
        <w:rPr>
          <w:rFonts w:asciiTheme="majorBidi" w:hAnsiTheme="majorBidi" w:cstheme="majorBidi"/>
        </w:rPr>
        <w:t xml:space="preserve">shaped by the environments in which individuals operate (macro), and controlling for these macro influences is necessary when inferences are made on the behaviours of individuals </w:t>
      </w:r>
      <w:r w:rsidR="000A70B0" w:rsidRPr="00996B4A">
        <w:rPr>
          <w:rFonts w:asciiTheme="majorBidi" w:hAnsiTheme="majorBidi" w:cstheme="majorBidi"/>
        </w:rPr>
        <w:fldChar w:fldCharType="begin" w:fldLock="1"/>
      </w:r>
      <w:r w:rsidR="000A70B0" w:rsidRPr="00996B4A">
        <w:rPr>
          <w:rFonts w:asciiTheme="majorBidi" w:hAnsiTheme="majorBidi" w:cstheme="majorBidi"/>
        </w:rPr>
        <w:instrText>ADDIN CSL_CITATION { "citationItems" : [ { "id" : "ITEM-1", "itemData" : { "author" : [ { "dropping-particle" : "", "family" : "Goldstein", "given" : "Harvey", "non-dropping-particle" : "", "parse-names" : false, "suffix" : "" } ], "edition" : "4th", "id" : "ITEM-1", "issued" : { "date-parts" : [ [ "2011" ] ] }, "publisher" : "John Wiley &amp; Sons, Ltd", "publisher-place" : "New York", "title" : "Multilevel statistical models", "type" : "book" }, "uris" : [ "http://www.mendeley.com/documents/?uuid=18cb8e03-e32e-46ae-8437-98648c0c9764" ] } ], "mendeley" : { "formattedCitation" : "(Goldstein, 2011)", "plainTextFormattedCitation" : "(Goldstein, 2011)", "previouslyFormattedCitation" : "(Goldstein, 2011)" }, "properties" : { "noteIndex" : 0 }, "schema" : "https://github.com/citation-style-language/schema/raw/master/csl-citation.json" }</w:instrText>
      </w:r>
      <w:r w:rsidR="000A70B0" w:rsidRPr="00996B4A">
        <w:rPr>
          <w:rFonts w:asciiTheme="majorBidi" w:hAnsiTheme="majorBidi" w:cstheme="majorBidi"/>
        </w:rPr>
        <w:fldChar w:fldCharType="separate"/>
      </w:r>
      <w:r w:rsidR="000A70B0" w:rsidRPr="00996B4A">
        <w:rPr>
          <w:rFonts w:asciiTheme="majorBidi" w:hAnsiTheme="majorBidi" w:cstheme="majorBidi"/>
          <w:noProof/>
        </w:rPr>
        <w:t>(Goldstein, 2011)</w:t>
      </w:r>
      <w:r w:rsidR="000A70B0" w:rsidRPr="00996B4A">
        <w:rPr>
          <w:rFonts w:asciiTheme="majorBidi" w:hAnsiTheme="majorBidi" w:cstheme="majorBidi"/>
        </w:rPr>
        <w:fldChar w:fldCharType="end"/>
      </w:r>
      <w:r w:rsidR="000A70B0" w:rsidRPr="00996B4A">
        <w:rPr>
          <w:rFonts w:asciiTheme="majorBidi" w:hAnsiTheme="majorBidi" w:cstheme="majorBidi"/>
        </w:rPr>
        <w:t xml:space="preserve">. Recent advances in methodology show regional variation in distances moved </w:t>
      </w:r>
      <w:r w:rsidR="00285D53" w:rsidRPr="00996B4A">
        <w:rPr>
          <w:rFonts w:asciiTheme="majorBidi" w:hAnsiTheme="majorBidi" w:cstheme="majorBidi"/>
        </w:rPr>
        <w:t>by</w:t>
      </w:r>
      <w:r w:rsidR="000A70B0" w:rsidRPr="00996B4A">
        <w:rPr>
          <w:rFonts w:asciiTheme="majorBidi" w:hAnsiTheme="majorBidi" w:cstheme="majorBidi"/>
        </w:rPr>
        <w:t xml:space="preserve"> destination</w:t>
      </w:r>
      <w:r w:rsidR="00285D53" w:rsidRPr="00996B4A">
        <w:rPr>
          <w:rFonts w:asciiTheme="majorBidi" w:hAnsiTheme="majorBidi" w:cstheme="majorBidi"/>
        </w:rPr>
        <w:t xml:space="preserve">s, </w:t>
      </w:r>
      <w:r w:rsidR="00D705CE" w:rsidRPr="00996B4A">
        <w:rPr>
          <w:rFonts w:asciiTheme="majorBidi" w:hAnsiTheme="majorBidi" w:cstheme="majorBidi"/>
        </w:rPr>
        <w:t xml:space="preserve">with </w:t>
      </w:r>
      <w:r w:rsidR="00285D53" w:rsidRPr="00996B4A">
        <w:rPr>
          <w:rFonts w:asciiTheme="majorBidi" w:hAnsiTheme="majorBidi" w:cstheme="majorBidi"/>
        </w:rPr>
        <w:t xml:space="preserve">movers to </w:t>
      </w:r>
      <w:r w:rsidR="00960D69" w:rsidRPr="00996B4A">
        <w:rPr>
          <w:rFonts w:asciiTheme="majorBidi" w:hAnsiTheme="majorBidi" w:cstheme="majorBidi"/>
        </w:rPr>
        <w:t xml:space="preserve">coastal and </w:t>
      </w:r>
      <w:r w:rsidR="00FC2DDC" w:rsidRPr="00996B4A">
        <w:rPr>
          <w:rFonts w:asciiTheme="majorBidi" w:hAnsiTheme="majorBidi" w:cstheme="majorBidi"/>
        </w:rPr>
        <w:t>rural</w:t>
      </w:r>
      <w:r w:rsidR="00960D69" w:rsidRPr="00996B4A">
        <w:rPr>
          <w:rFonts w:asciiTheme="majorBidi" w:hAnsiTheme="majorBidi" w:cstheme="majorBidi"/>
        </w:rPr>
        <w:t xml:space="preserve"> areas in the north of England tend</w:t>
      </w:r>
      <w:r w:rsidR="00D705CE" w:rsidRPr="00996B4A">
        <w:rPr>
          <w:rFonts w:asciiTheme="majorBidi" w:hAnsiTheme="majorBidi" w:cstheme="majorBidi"/>
        </w:rPr>
        <w:t>ing</w:t>
      </w:r>
      <w:r w:rsidR="00960D69" w:rsidRPr="00996B4A">
        <w:rPr>
          <w:rFonts w:asciiTheme="majorBidi" w:hAnsiTheme="majorBidi" w:cstheme="majorBidi"/>
        </w:rPr>
        <w:t xml:space="preserve"> to move further than average</w:t>
      </w:r>
      <w:r w:rsidR="001F3851">
        <w:rPr>
          <w:rFonts w:asciiTheme="majorBidi" w:hAnsiTheme="majorBidi" w:cstheme="majorBidi"/>
        </w:rPr>
        <w:t>,</w:t>
      </w:r>
      <w:r w:rsidR="00960D69" w:rsidRPr="00996B4A">
        <w:rPr>
          <w:rFonts w:asciiTheme="majorBidi" w:hAnsiTheme="majorBidi" w:cstheme="majorBidi"/>
        </w:rPr>
        <w:t xml:space="preserve"> whilst movers to metropolitan cores tend to move shorter distances </w:t>
      </w:r>
      <w:r w:rsidR="00960D69" w:rsidRPr="00996B4A">
        <w:rPr>
          <w:rFonts w:asciiTheme="majorBidi" w:hAnsiTheme="majorBidi" w:cstheme="majorBidi"/>
        </w:rPr>
        <w:fldChar w:fldCharType="begin" w:fldLock="1"/>
      </w:r>
      <w:r w:rsidR="00EA3427">
        <w:rPr>
          <w:rFonts w:asciiTheme="majorBidi" w:hAnsiTheme="majorBidi" w:cstheme="majorBidi"/>
        </w:rPr>
        <w:instrText>ADDIN CSL_CITATION { "citationItems" : [ { "id" : "ITEM-1", "itemData" : { "DOI" : "10.1068/a130327p", "ISSN" : "0308-518X", "abstract" : "Using individual records from a large and geographically detailed national research opinion survey, this paper uniquely adopts a multilevel\ufffdcross-classified statistical framework to demonstrate the relative importance of individual and simultaneous origin/destination contextual (neighbourhood and city region) variations in the distance moved by residential migrants in England and Wales. The model results confirm distinct microlevel variations in the distance moved according to certain key variables such as household income, educational attainment, and housing tenure whilst simultaneously revealing the importance of substantial origin and destination place-based macrogeographic variations. More specifically, the results indicate the extent to which those out-migrants from the main metropolitan cores, together with those in-migrants to the rural/coastal (amenity-rich) destinations, move over considerably longer distances than the average distance of\ufffdmove. Keywords: residential mobility; origin and destination context; distance moved; cross-classified multilevel model; place-based preferences", "author" : [ { "dropping-particle" : "", "family" : "Thomas", "given" : "Michael", "non-dropping-particle" : "", "parse-names" : false, "suffix" : "" }, { "dropping-particle" : "", "family" : "Stillwell", "given" : "John", "non-dropping-particle" : "", "parse-names" : false, "suffix" : "" }, { "dropping-particle" : "", "family" : "Gould", "given" : "Myles", "non-dropping-particle" : "", "parse-names" : false, "suffix" : "" } ], "container-title" : "Environment and Planning A", "id" : "ITEM-1", "issue" : "4", "issued" : { "date-parts" : [ [ "2015", "4" ] ] }, "page" : "996-1014", "publisher" : "Pion Ltd", "title" : "Modelling multilevel variations in distance moved between origins and destinations in England and Wales", "type" : "article-journal", "volume" : "47" }, "uris" : [ "http://www.mendeley.com/documents/?uuid=eb19a348-fe77-427b-bb2d-455984a90ee9" ] } ], "mendeley" : { "formattedCitation" : "(Thomas &lt;i&gt;et al.&lt;/i&gt;, 2015)", "plainTextFormattedCitation" : "(Thomas et al., 2015)", "previouslyFormattedCitation" : "(Thomas &lt;i&gt;et al.&lt;/i&gt;, 2015)" }, "properties" : { "noteIndex" : 0 }, "schema" : "https://github.com/citation-style-language/schema/raw/master/csl-citation.json" }</w:instrText>
      </w:r>
      <w:r w:rsidR="00960D69" w:rsidRPr="00996B4A">
        <w:rPr>
          <w:rFonts w:asciiTheme="majorBidi" w:hAnsiTheme="majorBidi" w:cstheme="majorBidi"/>
        </w:rPr>
        <w:fldChar w:fldCharType="separate"/>
      </w:r>
      <w:r w:rsidR="00A328DF" w:rsidRPr="00A328DF">
        <w:rPr>
          <w:rFonts w:asciiTheme="majorBidi" w:hAnsiTheme="majorBidi" w:cstheme="majorBidi"/>
          <w:noProof/>
        </w:rPr>
        <w:t xml:space="preserve">(Thomas </w:t>
      </w:r>
      <w:r w:rsidR="00A328DF" w:rsidRPr="00A328DF">
        <w:rPr>
          <w:rFonts w:asciiTheme="majorBidi" w:hAnsiTheme="majorBidi" w:cstheme="majorBidi"/>
          <w:i/>
          <w:noProof/>
        </w:rPr>
        <w:t>et al.</w:t>
      </w:r>
      <w:r w:rsidR="00A328DF" w:rsidRPr="00A328DF">
        <w:rPr>
          <w:rFonts w:asciiTheme="majorBidi" w:hAnsiTheme="majorBidi" w:cstheme="majorBidi"/>
          <w:noProof/>
        </w:rPr>
        <w:t>, 2015)</w:t>
      </w:r>
      <w:r w:rsidR="00960D69" w:rsidRPr="00996B4A">
        <w:rPr>
          <w:rFonts w:asciiTheme="majorBidi" w:hAnsiTheme="majorBidi" w:cstheme="majorBidi"/>
        </w:rPr>
        <w:fldChar w:fldCharType="end"/>
      </w:r>
      <w:r w:rsidR="00960D69" w:rsidRPr="00996B4A">
        <w:rPr>
          <w:rFonts w:asciiTheme="majorBidi" w:hAnsiTheme="majorBidi" w:cstheme="majorBidi"/>
        </w:rPr>
        <w:t>. This regional variation in distances moved</w:t>
      </w:r>
      <w:r w:rsidR="00B0552F" w:rsidRPr="00996B4A">
        <w:rPr>
          <w:rFonts w:asciiTheme="majorBidi" w:hAnsiTheme="majorBidi" w:cstheme="majorBidi"/>
        </w:rPr>
        <w:t xml:space="preserve"> </w:t>
      </w:r>
      <w:r w:rsidR="000A70B0" w:rsidRPr="00996B4A">
        <w:rPr>
          <w:rFonts w:asciiTheme="majorBidi" w:hAnsiTheme="majorBidi" w:cstheme="majorBidi"/>
        </w:rPr>
        <w:t>has not been linked to health</w:t>
      </w:r>
      <w:r w:rsidR="00B0552F" w:rsidRPr="00996B4A">
        <w:rPr>
          <w:rFonts w:asciiTheme="majorBidi" w:hAnsiTheme="majorBidi" w:cstheme="majorBidi"/>
        </w:rPr>
        <w:t>.</w:t>
      </w:r>
      <w:r w:rsidR="009A75E7" w:rsidRPr="00996B4A">
        <w:rPr>
          <w:rFonts w:asciiTheme="majorBidi" w:hAnsiTheme="majorBidi" w:cstheme="majorBidi"/>
        </w:rPr>
        <w:t xml:space="preserve"> We </w:t>
      </w:r>
      <w:r w:rsidR="00183C30" w:rsidRPr="00996B4A">
        <w:rPr>
          <w:rFonts w:asciiTheme="majorBidi" w:hAnsiTheme="majorBidi" w:cstheme="majorBidi"/>
        </w:rPr>
        <w:t xml:space="preserve">expect the population in poor health to be reliant on healthcare provision, and therefore less likely to move over long distances into </w:t>
      </w:r>
      <w:r w:rsidR="002128B3">
        <w:rPr>
          <w:rFonts w:asciiTheme="majorBidi" w:hAnsiTheme="majorBidi" w:cstheme="majorBidi"/>
        </w:rPr>
        <w:t xml:space="preserve">rural </w:t>
      </w:r>
      <w:r w:rsidR="00183C30" w:rsidRPr="00996B4A">
        <w:rPr>
          <w:rFonts w:asciiTheme="majorBidi" w:hAnsiTheme="majorBidi" w:cstheme="majorBidi"/>
        </w:rPr>
        <w:t>areas</w:t>
      </w:r>
      <w:r w:rsidR="001B23BB">
        <w:rPr>
          <w:rFonts w:asciiTheme="majorBidi" w:hAnsiTheme="majorBidi" w:cstheme="majorBidi"/>
        </w:rPr>
        <w:t xml:space="preserve"> </w:t>
      </w:r>
      <w:r w:rsidR="00183C30" w:rsidRPr="00996B4A">
        <w:rPr>
          <w:rFonts w:asciiTheme="majorBidi" w:hAnsiTheme="majorBidi" w:cstheme="majorBidi"/>
        </w:rPr>
        <w:t>relative to the population in good health</w:t>
      </w:r>
      <w:r w:rsidR="001B23BB">
        <w:rPr>
          <w:rFonts w:asciiTheme="majorBidi" w:hAnsiTheme="majorBidi" w:cstheme="majorBidi"/>
        </w:rPr>
        <w:t>, as healthcare provision is l</w:t>
      </w:r>
      <w:r w:rsidR="00B552C3">
        <w:rPr>
          <w:rFonts w:asciiTheme="majorBidi" w:hAnsiTheme="majorBidi" w:cstheme="majorBidi"/>
        </w:rPr>
        <w:t>ess accessible in rural areas of</w:t>
      </w:r>
      <w:r w:rsidR="001B23BB">
        <w:rPr>
          <w:rFonts w:asciiTheme="majorBidi" w:hAnsiTheme="majorBidi" w:cstheme="majorBidi"/>
        </w:rPr>
        <w:t xml:space="preserve"> the UK</w:t>
      </w:r>
      <w:r w:rsidR="00183C30" w:rsidRPr="00996B4A">
        <w:rPr>
          <w:rFonts w:asciiTheme="majorBidi" w:hAnsiTheme="majorBidi" w:cstheme="majorBidi"/>
        </w:rPr>
        <w:t>.</w:t>
      </w:r>
      <w:r w:rsidR="00B0552F" w:rsidRPr="00996B4A">
        <w:rPr>
          <w:rFonts w:asciiTheme="majorBidi" w:hAnsiTheme="majorBidi" w:cstheme="majorBidi"/>
        </w:rPr>
        <w:t xml:space="preserve"> </w:t>
      </w:r>
      <w:r w:rsidR="000A70B0" w:rsidRPr="00996B4A">
        <w:rPr>
          <w:rFonts w:asciiTheme="majorBidi" w:hAnsiTheme="majorBidi" w:cstheme="majorBidi"/>
        </w:rPr>
        <w:t xml:space="preserve">This has implications for previous studies which show that poor health is associated with short distance migration; selection may play a role, as those in poor health </w:t>
      </w:r>
      <w:r w:rsidR="00DF2A93">
        <w:rPr>
          <w:rFonts w:asciiTheme="majorBidi" w:hAnsiTheme="majorBidi" w:cstheme="majorBidi"/>
        </w:rPr>
        <w:t>are</w:t>
      </w:r>
      <w:r w:rsidR="002128B3">
        <w:rPr>
          <w:rFonts w:asciiTheme="majorBidi" w:hAnsiTheme="majorBidi" w:cstheme="majorBidi"/>
        </w:rPr>
        <w:t xml:space="preserve"> concentrated in</w:t>
      </w:r>
      <w:r w:rsidR="000A70B0" w:rsidRPr="00996B4A">
        <w:rPr>
          <w:rFonts w:asciiTheme="majorBidi" w:hAnsiTheme="majorBidi" w:cstheme="majorBidi"/>
        </w:rPr>
        <w:t xml:space="preserve"> </w:t>
      </w:r>
      <w:r w:rsidR="00DF2A93">
        <w:rPr>
          <w:rFonts w:asciiTheme="majorBidi" w:hAnsiTheme="majorBidi" w:cstheme="majorBidi"/>
        </w:rPr>
        <w:t xml:space="preserve">urban and deprived </w:t>
      </w:r>
      <w:r w:rsidR="000A70B0" w:rsidRPr="00996B4A">
        <w:rPr>
          <w:rFonts w:asciiTheme="majorBidi" w:hAnsiTheme="majorBidi" w:cstheme="majorBidi"/>
        </w:rPr>
        <w:t>areas</w:t>
      </w:r>
      <w:r w:rsidR="00DF2A93">
        <w:rPr>
          <w:rFonts w:asciiTheme="majorBidi" w:hAnsiTheme="majorBidi" w:cstheme="majorBidi"/>
        </w:rPr>
        <w:t xml:space="preserve"> </w:t>
      </w:r>
      <w:r w:rsidR="00DF2A93">
        <w:rPr>
          <w:rFonts w:asciiTheme="majorBidi" w:hAnsiTheme="majorBidi" w:cstheme="majorBidi"/>
        </w:rPr>
        <w:fldChar w:fldCharType="begin" w:fldLock="1"/>
      </w:r>
      <w:r w:rsidR="0069735D">
        <w:rPr>
          <w:rFonts w:asciiTheme="majorBidi" w:hAnsiTheme="majorBidi" w:cstheme="majorBidi"/>
        </w:rPr>
        <w:instrText>ADDIN CSL_CITATION { "citationItems" : [ { "id" : "ITEM-1", "itemData" : { "abstract" : "Health inequalities are the most important inequalities of all. In the US and the UK these inequalities have now reached an extent not seen for over a century. Most people\u2019s health is much better now than then, but the gaps in life expectancy between regions, between cities, and between neighbourhoods within cities now surpass the worst measures over the last hundred years. In almost all other affluent countries, inequalities in health are lower and people live longer. In his new book, academic and writer Danny Dorling describes the current extent of inequalities in health as the scandal of our times. He provides nine new chapters and updates a wide selection of his highly influential writings on health, including international-peer reviewed studies, annotated lectures, newspaper articles, and interview transcripts, to create an accessible collection that is both contemporary and authoritative. As a whole the book shows conclusively that inequalities in health are the scandal of our times in the most unequal of rich nations and calls for immediate action to reduce these inequalities in the near future. \u00a9 The Policy Press 2013.", "author" : [ { "dropping-particle" : "", "family" : "Dorling", "given" : "D", "non-dropping-particle" : "", "parse-names" : false, "suffix" : "" } ], "container-title" : "Unequal Health: The Scandal of our Times", "id" : "ITEM-1", "issued" : { "date-parts" : [ [ "2013" ] ] }, "note" : "Cited By :5\n\nExport Date: 25 May 2017", "number-of-pages" : "1-490", "publisher-place" : "University of Sheffield, United Kingdom", "title" : "Unequal health: The scandal of our times", "type" : "book" }, "uris" : [ "http://www.mendeley.com/documents/?uuid=54c238b9-ee7b-4577-b0fd-94a731feef61" ] } ], "mendeley" : { "formattedCitation" : "(Dorling, 2013)", "plainTextFormattedCitation" : "(Dorling, 2013)", "previouslyFormattedCitation" : "(Dorling, 2013)" }, "properties" : { "noteIndex" : 0 }, "schema" : "https://github.com/citation-style-language/schema/raw/master/csl-citation.json" }</w:instrText>
      </w:r>
      <w:r w:rsidR="00DF2A93">
        <w:rPr>
          <w:rFonts w:asciiTheme="majorBidi" w:hAnsiTheme="majorBidi" w:cstheme="majorBidi"/>
        </w:rPr>
        <w:fldChar w:fldCharType="separate"/>
      </w:r>
      <w:r w:rsidR="00DF2A93" w:rsidRPr="00DF2A93">
        <w:rPr>
          <w:rFonts w:asciiTheme="majorBidi" w:hAnsiTheme="majorBidi" w:cstheme="majorBidi"/>
          <w:noProof/>
        </w:rPr>
        <w:t>(Dorling, 2013)</w:t>
      </w:r>
      <w:r w:rsidR="00DF2A93">
        <w:rPr>
          <w:rFonts w:asciiTheme="majorBidi" w:hAnsiTheme="majorBidi" w:cstheme="majorBidi"/>
        </w:rPr>
        <w:fldChar w:fldCharType="end"/>
      </w:r>
      <w:r w:rsidR="000A70B0" w:rsidRPr="00996B4A">
        <w:rPr>
          <w:rFonts w:asciiTheme="majorBidi" w:hAnsiTheme="majorBidi" w:cstheme="majorBidi"/>
        </w:rPr>
        <w:t xml:space="preserve"> where short distance moves are more common</w:t>
      </w:r>
      <w:r w:rsidR="00DF2A93">
        <w:rPr>
          <w:rFonts w:asciiTheme="majorBidi" w:hAnsiTheme="majorBidi" w:cstheme="majorBidi"/>
        </w:rPr>
        <w:t xml:space="preserve"> </w:t>
      </w:r>
      <w:r w:rsidR="00DF2A93">
        <w:rPr>
          <w:rFonts w:asciiTheme="majorBidi" w:hAnsiTheme="majorBidi" w:cstheme="majorBidi"/>
        </w:rPr>
        <w:fldChar w:fldCharType="begin" w:fldLock="1"/>
      </w:r>
      <w:r w:rsidR="00DF2A93">
        <w:rPr>
          <w:rFonts w:asciiTheme="majorBidi" w:hAnsiTheme="majorBidi" w:cstheme="majorBidi"/>
        </w:rPr>
        <w:instrText>ADDIN CSL_CITATION { "citationItems" : [ { "id" : "ITEM-1", "itemData" : { "ISBN" : "1-4039-9327-0", "author" : [ { "dropping-particle" : "", "family" : "Champion", "given" : "Tony", "non-dropping-particle" : "", "parse-names" : false, "suffix" : "" } ], "chapter-number" : "6", "container-title" : "Focus on People and Migration", "editor" : [ { "dropping-particle" : "", "family" : "Chappell", "given" : "Roma", "non-dropping-particle" : "", "parse-names" : false, "suffix" : "" } ], "id" : "ITEM-1", "issued" : { "date-parts" : [ [ "2005" ] ] }, "publisher" : "Office for National Statistics", "publisher-place" : "London", "title" : "Population Movement Within the UK", "type" : "chapter" }, "uris" : [ "http://www.mendeley.com/documents/?uuid=fe35efff-2671-4734-abd8-752440b27560" ] }, { "id" : "ITEM-2", "itemData" : { "DOI" : "10.1080/0267303032000135456", "abstract" : " Current neighbourhood renewal and urban policies in the UK seek to improve neighbourhood conditions in poor areas and achieve greater residential stability. Using one of the few longitudinal housing datasets available in the UK, this paper analyses the influence of residential perceptions on house moving behaviour in poor and other areas. It is found that residential dissatisfaction is notably higher among residents of poor areas, and they respond to poor neighbourhood conditions in the same way as the general population. Dissatisfaction with the home itself, and unhappiness with disorder in the immediate surroundings both significantly increased the odds that someone would move home. Perceived neighbourhood decline was also found to increase the odds that someone wished to move home but to reduce the likelihood that they would actually do so. Residential mobility was found to be a particular problem for owner occupiers in declining neighbourhoods and for residents in deprived parts of inner London. ", "author" : [ { "dropping-particle" : "", "family" : "Kearns", "given" : "Ade", "non-dropping-particle" : "", "parse-names" : false, "suffix" : "" }, { "dropping-particle" : "", "family" : "Parkes", "given" : "Alison", "non-dropping-particle" : "", "parse-names" : false, "suffix" : "" } ], "container-title" : "Housing Studies", "id" : "ITEM-2", "issue" : "6", "issued" : { "date-parts" : [ [ "2003" ] ] }, "page" : "827-851", "title" : "Living in and leaving poor neighbourhood conditions in England", "type" : "article-journal", "volume" : "18" }, "uris" : [ "http://www.mendeley.com/documents/?uuid=8c5c54de-de56-4342-bd4d-faf02ab2cd03" ] } ], "mendeley" : { "formattedCitation" : "(Kearns and Parkes, 2003; Champion, 2005)", "plainTextFormattedCitation" : "(Kearns and Parkes, 2003; Champion, 2005)", "previouslyFormattedCitation" : "(Kearns and Parkes, 2003; Champion, 2005)" }, "properties" : { "noteIndex" : 0 }, "schema" : "https://github.com/citation-style-language/schema/raw/master/csl-citation.json" }</w:instrText>
      </w:r>
      <w:r w:rsidR="00DF2A93">
        <w:rPr>
          <w:rFonts w:asciiTheme="majorBidi" w:hAnsiTheme="majorBidi" w:cstheme="majorBidi"/>
        </w:rPr>
        <w:fldChar w:fldCharType="separate"/>
      </w:r>
      <w:r w:rsidR="00DF2A93" w:rsidRPr="00DF2A93">
        <w:rPr>
          <w:rFonts w:asciiTheme="majorBidi" w:hAnsiTheme="majorBidi" w:cstheme="majorBidi"/>
          <w:noProof/>
        </w:rPr>
        <w:t>(Kearns and Parkes, 2003; Champion, 2005)</w:t>
      </w:r>
      <w:r w:rsidR="00DF2A93">
        <w:rPr>
          <w:rFonts w:asciiTheme="majorBidi" w:hAnsiTheme="majorBidi" w:cstheme="majorBidi"/>
        </w:rPr>
        <w:fldChar w:fldCharType="end"/>
      </w:r>
      <w:r w:rsidR="000A70B0" w:rsidRPr="00996B4A">
        <w:rPr>
          <w:rFonts w:asciiTheme="majorBidi" w:hAnsiTheme="majorBidi" w:cstheme="majorBidi"/>
        </w:rPr>
        <w:t>, thus exaggerating the role of health in determining short</w:t>
      </w:r>
      <w:r w:rsidR="00125D3F" w:rsidRPr="00996B4A">
        <w:rPr>
          <w:rFonts w:asciiTheme="majorBidi" w:hAnsiTheme="majorBidi" w:cstheme="majorBidi"/>
        </w:rPr>
        <w:t xml:space="preserve"> </w:t>
      </w:r>
      <w:r w:rsidR="000A70B0" w:rsidRPr="00996B4A">
        <w:rPr>
          <w:rFonts w:asciiTheme="majorBidi" w:hAnsiTheme="majorBidi" w:cstheme="majorBidi"/>
        </w:rPr>
        <w:t>distance moves.</w:t>
      </w:r>
    </w:p>
    <w:p w14:paraId="2A8874DF" w14:textId="12629B6D" w:rsidR="00947C6F" w:rsidRPr="00996B4A" w:rsidRDefault="006F72B8" w:rsidP="003B431B">
      <w:pPr>
        <w:spacing w:line="480" w:lineRule="auto"/>
        <w:rPr>
          <w:rFonts w:asciiTheme="majorBidi" w:hAnsiTheme="majorBidi" w:cstheme="majorBidi"/>
        </w:rPr>
      </w:pPr>
      <w:r w:rsidRPr="00996B4A">
        <w:rPr>
          <w:rFonts w:asciiTheme="majorBidi" w:hAnsiTheme="majorBidi" w:cstheme="majorBidi"/>
        </w:rPr>
        <w:lastRenderedPageBreak/>
        <w:t>There are three</w:t>
      </w:r>
      <w:r w:rsidR="00501220" w:rsidRPr="00996B4A">
        <w:rPr>
          <w:rFonts w:asciiTheme="majorBidi" w:hAnsiTheme="majorBidi" w:cstheme="majorBidi"/>
        </w:rPr>
        <w:t xml:space="preserve"> aims of our study</w:t>
      </w:r>
      <w:r w:rsidR="00FE4F06" w:rsidRPr="00996B4A">
        <w:rPr>
          <w:rFonts w:asciiTheme="majorBidi" w:hAnsiTheme="majorBidi" w:cstheme="majorBidi"/>
        </w:rPr>
        <w:t>, drawn from the above review of the literature</w:t>
      </w:r>
      <w:r w:rsidR="00501220" w:rsidRPr="00996B4A">
        <w:rPr>
          <w:rFonts w:asciiTheme="majorBidi" w:hAnsiTheme="majorBidi" w:cstheme="majorBidi"/>
        </w:rPr>
        <w:t xml:space="preserve">. </w:t>
      </w:r>
      <w:r w:rsidR="008537C4" w:rsidRPr="00996B4A">
        <w:rPr>
          <w:rFonts w:asciiTheme="majorBidi" w:hAnsiTheme="majorBidi" w:cstheme="majorBidi"/>
        </w:rPr>
        <w:t xml:space="preserve">In models </w:t>
      </w:r>
      <w:r w:rsidR="006E78FE">
        <w:rPr>
          <w:rFonts w:asciiTheme="majorBidi" w:hAnsiTheme="majorBidi" w:cstheme="majorBidi"/>
        </w:rPr>
        <w:t>accounting</w:t>
      </w:r>
      <w:r w:rsidR="006E78FE" w:rsidRPr="00996B4A">
        <w:rPr>
          <w:rFonts w:asciiTheme="majorBidi" w:hAnsiTheme="majorBidi" w:cstheme="majorBidi"/>
        </w:rPr>
        <w:t xml:space="preserve"> </w:t>
      </w:r>
      <w:r w:rsidR="008537C4" w:rsidRPr="00996B4A">
        <w:rPr>
          <w:rFonts w:asciiTheme="majorBidi" w:hAnsiTheme="majorBidi" w:cstheme="majorBidi"/>
        </w:rPr>
        <w:t>for the areas individuals live in at the time of the 2011 Census</w:t>
      </w:r>
      <w:r w:rsidR="00501220" w:rsidRPr="00996B4A">
        <w:rPr>
          <w:rFonts w:asciiTheme="majorBidi" w:hAnsiTheme="majorBidi" w:cstheme="majorBidi"/>
        </w:rPr>
        <w:t xml:space="preserve">, we test whether there is an association between health and long distance migration </w:t>
      </w:r>
      <w:r w:rsidR="008537C4" w:rsidRPr="00996B4A">
        <w:rPr>
          <w:rFonts w:asciiTheme="majorBidi" w:hAnsiTheme="majorBidi" w:cstheme="majorBidi"/>
        </w:rPr>
        <w:t xml:space="preserve">using different </w:t>
      </w:r>
      <w:r w:rsidR="00501220" w:rsidRPr="00996B4A">
        <w:rPr>
          <w:rFonts w:asciiTheme="majorBidi" w:hAnsiTheme="majorBidi" w:cstheme="majorBidi"/>
        </w:rPr>
        <w:t>definitions of long distance found in the literature. Second, we</w:t>
      </w:r>
      <w:r w:rsidR="00974646" w:rsidRPr="00996B4A">
        <w:rPr>
          <w:rFonts w:asciiTheme="majorBidi" w:hAnsiTheme="majorBidi" w:cstheme="majorBidi"/>
        </w:rPr>
        <w:t xml:space="preserve"> test whether the association between health and long distance migration varies by age. Third, we</w:t>
      </w:r>
      <w:r w:rsidR="00501220" w:rsidRPr="00996B4A">
        <w:rPr>
          <w:rFonts w:asciiTheme="majorBidi" w:hAnsiTheme="majorBidi" w:cstheme="majorBidi"/>
        </w:rPr>
        <w:t xml:space="preserve"> assess whether there </w:t>
      </w:r>
      <w:r w:rsidR="00FE4F06" w:rsidRPr="00996B4A">
        <w:rPr>
          <w:rFonts w:asciiTheme="majorBidi" w:hAnsiTheme="majorBidi" w:cstheme="majorBidi"/>
        </w:rPr>
        <w:t>is spatial variation in</w:t>
      </w:r>
      <w:r w:rsidR="00634BF7" w:rsidRPr="00996B4A">
        <w:rPr>
          <w:rFonts w:asciiTheme="majorBidi" w:hAnsiTheme="majorBidi" w:cstheme="majorBidi"/>
        </w:rPr>
        <w:t xml:space="preserve"> the </w:t>
      </w:r>
      <w:r w:rsidR="003B431B">
        <w:rPr>
          <w:rFonts w:asciiTheme="majorBidi" w:hAnsiTheme="majorBidi" w:cstheme="majorBidi"/>
        </w:rPr>
        <w:t>likelihood of long distance migration by health status</w:t>
      </w:r>
      <w:r w:rsidR="00FE4F06" w:rsidRPr="00996B4A">
        <w:rPr>
          <w:rFonts w:asciiTheme="majorBidi" w:hAnsiTheme="majorBidi" w:cstheme="majorBidi"/>
        </w:rPr>
        <w:t xml:space="preserve">. </w:t>
      </w:r>
    </w:p>
    <w:p w14:paraId="5B094F2E" w14:textId="77777777" w:rsidR="009C1F92" w:rsidRPr="00996B4A" w:rsidRDefault="00321BE2" w:rsidP="00842CB7">
      <w:pPr>
        <w:pStyle w:val="Heading1"/>
      </w:pPr>
      <w:r w:rsidRPr="00996B4A">
        <w:t>Methods</w:t>
      </w:r>
    </w:p>
    <w:p w14:paraId="0F2F8363" w14:textId="77777777" w:rsidR="00321BE2" w:rsidRPr="00842CB7" w:rsidRDefault="00321BE2" w:rsidP="00842CB7">
      <w:pPr>
        <w:pStyle w:val="Heading2"/>
        <w:rPr>
          <w:bCs/>
        </w:rPr>
      </w:pPr>
      <w:r w:rsidRPr="00842CB7">
        <w:rPr>
          <w:bCs/>
        </w:rPr>
        <w:t>Data</w:t>
      </w:r>
    </w:p>
    <w:p w14:paraId="5D6353A7" w14:textId="505AC79D" w:rsidR="00B85491" w:rsidRPr="00996B4A" w:rsidRDefault="00321BE2">
      <w:pPr>
        <w:spacing w:after="0" w:line="480" w:lineRule="auto"/>
        <w:rPr>
          <w:rFonts w:asciiTheme="majorBidi" w:hAnsiTheme="majorBidi" w:cstheme="majorBidi"/>
        </w:rPr>
      </w:pPr>
      <w:r w:rsidRPr="00996B4A">
        <w:rPr>
          <w:rFonts w:asciiTheme="majorBidi" w:hAnsiTheme="majorBidi" w:cstheme="majorBidi"/>
        </w:rPr>
        <w:t>This analysis uses data</w:t>
      </w:r>
      <w:r w:rsidR="00A148F7" w:rsidRPr="00996B4A">
        <w:rPr>
          <w:rFonts w:asciiTheme="majorBidi" w:hAnsiTheme="majorBidi" w:cstheme="majorBidi"/>
        </w:rPr>
        <w:t xml:space="preserve"> on internal migrants living within England and Wales in 2011, drawn</w:t>
      </w:r>
      <w:r w:rsidRPr="00996B4A">
        <w:rPr>
          <w:rFonts w:asciiTheme="majorBidi" w:hAnsiTheme="majorBidi" w:cstheme="majorBidi"/>
        </w:rPr>
        <w:t xml:space="preserve"> from the </w:t>
      </w:r>
      <w:r w:rsidR="00A36A58" w:rsidRPr="00996B4A">
        <w:rPr>
          <w:rFonts w:asciiTheme="majorBidi" w:hAnsiTheme="majorBidi" w:cstheme="majorBidi"/>
        </w:rPr>
        <w:t xml:space="preserve">2011 </w:t>
      </w:r>
      <w:r w:rsidRPr="00996B4A">
        <w:rPr>
          <w:rFonts w:asciiTheme="majorBidi" w:hAnsiTheme="majorBidi" w:cstheme="majorBidi"/>
        </w:rPr>
        <w:t>Census Individual Secure Sample (CISS</w:t>
      </w:r>
      <w:r w:rsidR="00FD3591" w:rsidRPr="00996B4A">
        <w:rPr>
          <w:rFonts w:asciiTheme="majorBidi" w:hAnsiTheme="majorBidi" w:cstheme="majorBidi"/>
        </w:rPr>
        <w:t xml:space="preserve">). The UK census is a mandatory decennial questionnaire for UK residents </w:t>
      </w:r>
      <w:r w:rsidR="00FD3591" w:rsidRPr="00996B4A">
        <w:rPr>
          <w:rFonts w:asciiTheme="majorBidi" w:hAnsiTheme="majorBidi" w:cstheme="majorBidi"/>
        </w:rPr>
        <w:fldChar w:fldCharType="begin" w:fldLock="1"/>
      </w:r>
      <w:r w:rsidR="00FD3591" w:rsidRPr="00996B4A">
        <w:rPr>
          <w:rFonts w:asciiTheme="majorBidi" w:hAnsiTheme="majorBidi" w:cstheme="majorBidi"/>
        </w:rPr>
        <w:instrText>ADDIN CSL_CITATION { "citationItems" : [ { "id" : "ITEM-1", "itemData" : { "URL" : "http://www.ons.gov.uk/ons/guide-method/census/2011/the-2011-census/2011-census-questionnaire-content/2011-census-questionnaire-for-england.pdf", "accessed" : { "date-parts" : [ [ "2015", "7", "10" ] ] }, "author" : [ { "dropping-particle" : "", "family" : "Office for National Statistics", "given" : "", "non-dropping-particle" : "", "parse-names" : false, "suffix" : "" } ], "id" : "ITEM-1", "issued" : { "date-parts" : [ [ "2011" ] ] }, "title" : "2011 Census questionnaire for England", "type" : "webpage" }, "uris" : [ "http://www.mendeley.com/documents/?uuid=43ade1b0-4fda-4428-94da-f2767f0628a7" ] } ], "mendeley" : { "formattedCitation" : "(Office for National Statistics, 2011a)", "plainTextFormattedCitation" : "(Office for National Statistics, 2011a)", "previouslyFormattedCitation" : "(Office for National Statistics, 2011a)" }, "properties" : { "noteIndex" : 0 }, "schema" : "https://github.com/citation-style-language/schema/raw/master/csl-citation.json" }</w:instrText>
      </w:r>
      <w:r w:rsidR="00FD3591" w:rsidRPr="00996B4A">
        <w:rPr>
          <w:rFonts w:asciiTheme="majorBidi" w:hAnsiTheme="majorBidi" w:cstheme="majorBidi"/>
        </w:rPr>
        <w:fldChar w:fldCharType="separate"/>
      </w:r>
      <w:r w:rsidR="00FD3591" w:rsidRPr="00996B4A">
        <w:rPr>
          <w:rFonts w:asciiTheme="majorBidi" w:hAnsiTheme="majorBidi" w:cstheme="majorBidi"/>
          <w:noProof/>
        </w:rPr>
        <w:t>(Office for National Statistics, 2011a)</w:t>
      </w:r>
      <w:r w:rsidR="00FD3591" w:rsidRPr="00996B4A">
        <w:rPr>
          <w:rFonts w:asciiTheme="majorBidi" w:hAnsiTheme="majorBidi" w:cstheme="majorBidi"/>
        </w:rPr>
        <w:fldChar w:fldCharType="end"/>
      </w:r>
      <w:r w:rsidR="003B431B">
        <w:rPr>
          <w:rFonts w:asciiTheme="majorBidi" w:hAnsiTheme="majorBidi" w:cstheme="majorBidi"/>
        </w:rPr>
        <w:t>, and we use data from the England and Wales version of the census</w:t>
      </w:r>
      <w:r w:rsidR="00FD3591" w:rsidRPr="00996B4A">
        <w:rPr>
          <w:rFonts w:asciiTheme="majorBidi" w:hAnsiTheme="majorBidi" w:cstheme="majorBidi"/>
        </w:rPr>
        <w:t>.</w:t>
      </w:r>
      <w:r w:rsidR="008C20C3" w:rsidRPr="00996B4A">
        <w:rPr>
          <w:rFonts w:asciiTheme="majorBidi" w:hAnsiTheme="majorBidi" w:cstheme="majorBidi"/>
        </w:rPr>
        <w:t xml:space="preserve"> </w:t>
      </w:r>
      <w:r w:rsidRPr="00996B4A">
        <w:rPr>
          <w:rFonts w:asciiTheme="majorBidi" w:hAnsiTheme="majorBidi" w:cstheme="majorBidi"/>
        </w:rPr>
        <w:t xml:space="preserve">Ten percent of individuals within each </w:t>
      </w:r>
      <w:r w:rsidR="00FE4F06" w:rsidRPr="00996B4A">
        <w:rPr>
          <w:rFonts w:asciiTheme="majorBidi" w:hAnsiTheme="majorBidi" w:cstheme="majorBidi"/>
        </w:rPr>
        <w:t xml:space="preserve">Output Area </w:t>
      </w:r>
      <w:r w:rsidR="00F51880" w:rsidRPr="00996B4A">
        <w:rPr>
          <w:rFonts w:asciiTheme="majorBidi" w:hAnsiTheme="majorBidi" w:cstheme="majorBidi"/>
        </w:rPr>
        <w:t xml:space="preserve"> are</w:t>
      </w:r>
      <w:r w:rsidRPr="00996B4A">
        <w:rPr>
          <w:rFonts w:asciiTheme="majorBidi" w:hAnsiTheme="majorBidi" w:cstheme="majorBidi"/>
        </w:rPr>
        <w:t xml:space="preserve"> randomly selected for inclusion in the </w:t>
      </w:r>
      <w:r w:rsidR="00FD3591" w:rsidRPr="00996B4A">
        <w:rPr>
          <w:rFonts w:asciiTheme="majorBidi" w:hAnsiTheme="majorBidi" w:cstheme="majorBidi"/>
        </w:rPr>
        <w:t>CISS</w:t>
      </w:r>
      <w:r w:rsidR="008537C4" w:rsidRPr="00996B4A">
        <w:rPr>
          <w:rFonts w:asciiTheme="majorBidi" w:hAnsiTheme="majorBidi" w:cstheme="majorBidi"/>
        </w:rPr>
        <w:t xml:space="preserve"> by the O</w:t>
      </w:r>
      <w:r w:rsidR="006717DA">
        <w:rPr>
          <w:rFonts w:asciiTheme="majorBidi" w:hAnsiTheme="majorBidi" w:cstheme="majorBidi"/>
        </w:rPr>
        <w:t xml:space="preserve">ffice for </w:t>
      </w:r>
      <w:r w:rsidR="008537C4" w:rsidRPr="00996B4A">
        <w:rPr>
          <w:rFonts w:asciiTheme="majorBidi" w:hAnsiTheme="majorBidi" w:cstheme="majorBidi"/>
        </w:rPr>
        <w:t>N</w:t>
      </w:r>
      <w:r w:rsidR="006717DA">
        <w:rPr>
          <w:rFonts w:asciiTheme="majorBidi" w:hAnsiTheme="majorBidi" w:cstheme="majorBidi"/>
        </w:rPr>
        <w:t xml:space="preserve">ational </w:t>
      </w:r>
      <w:r w:rsidR="008537C4" w:rsidRPr="00996B4A">
        <w:rPr>
          <w:rFonts w:asciiTheme="majorBidi" w:hAnsiTheme="majorBidi" w:cstheme="majorBidi"/>
        </w:rPr>
        <w:t>S</w:t>
      </w:r>
      <w:r w:rsidR="006717DA">
        <w:rPr>
          <w:rFonts w:asciiTheme="majorBidi" w:hAnsiTheme="majorBidi" w:cstheme="majorBidi"/>
        </w:rPr>
        <w:t>tatistics (ONS)</w:t>
      </w:r>
      <w:r w:rsidRPr="00996B4A">
        <w:rPr>
          <w:rFonts w:asciiTheme="majorBidi" w:hAnsiTheme="majorBidi" w:cstheme="majorBidi"/>
        </w:rPr>
        <w:t xml:space="preserve"> to ensure </w:t>
      </w:r>
      <w:r w:rsidR="00FC2DDC" w:rsidRPr="00996B4A">
        <w:rPr>
          <w:rFonts w:asciiTheme="majorBidi" w:hAnsiTheme="majorBidi" w:cstheme="majorBidi"/>
        </w:rPr>
        <w:t xml:space="preserve">that </w:t>
      </w:r>
      <w:r w:rsidRPr="00996B4A">
        <w:rPr>
          <w:rFonts w:asciiTheme="majorBidi" w:hAnsiTheme="majorBidi" w:cstheme="majorBidi"/>
        </w:rPr>
        <w:t>the sample represents the usually resident population of England and Wales</w:t>
      </w:r>
      <w:r w:rsidR="00A65670" w:rsidRPr="00996B4A">
        <w:rPr>
          <w:rFonts w:asciiTheme="majorBidi" w:hAnsiTheme="majorBidi" w:cstheme="majorBidi"/>
        </w:rPr>
        <w:t xml:space="preserve"> </w:t>
      </w:r>
      <w:r w:rsidR="00A65670" w:rsidRPr="00996B4A">
        <w:rPr>
          <w:rFonts w:asciiTheme="majorBidi" w:hAnsiTheme="majorBidi" w:cstheme="majorBidi"/>
        </w:rPr>
        <w:fldChar w:fldCharType="begin" w:fldLock="1"/>
      </w:r>
      <w:r w:rsidR="00A65670" w:rsidRPr="00996B4A">
        <w:rPr>
          <w:rFonts w:asciiTheme="majorBidi" w:hAnsiTheme="majorBidi" w:cstheme="majorBidi"/>
        </w:rPr>
        <w:instrText>ADDIN CSL_CITATION { "citationItems" : [ { "id" : "ITEM-1", "itemData" : { "URL" : "http://www.ons.gov.uk/ons/guide-method/census/2011/census-data/census-microdata/census-in-the-virtual-microdata-laboratory/secure-microdata-user-guide.pdf", "accessed" : { "date-parts" : [ [ "2015", "10", "21" ] ] }, "author" : [ { "dropping-particle" : "", "family" : "Office for National Statistics", "given" : "", "non-dropping-particle" : "", "parse-names" : false, "suffix" : "" } ], "id" : "ITEM-1", "issued" : { "date-parts" : [ [ "2011" ] ] }, "title" : "Secure Microdata Files \u2013 User Guide", "type" : "webpage" }, "uris" : [ "http://www.mendeley.com/documents/?uuid=e378e822-0d09-409c-a4b8-bf2de7c8fa95" ] } ], "mendeley" : { "formattedCitation" : "(Office for National Statistics, 2011b)", "plainTextFormattedCitation" : "(Office for National Statistics, 2011b)", "previouslyFormattedCitation" : "(Office for National Statistics, 2011b)" }, "properties" : { "noteIndex" : 0 }, "schema" : "https://github.com/citation-style-language/schema/raw/master/csl-citation.json" }</w:instrText>
      </w:r>
      <w:r w:rsidR="00A65670" w:rsidRPr="00996B4A">
        <w:rPr>
          <w:rFonts w:asciiTheme="majorBidi" w:hAnsiTheme="majorBidi" w:cstheme="majorBidi"/>
        </w:rPr>
        <w:fldChar w:fldCharType="separate"/>
      </w:r>
      <w:r w:rsidR="00A65670" w:rsidRPr="00996B4A">
        <w:rPr>
          <w:rFonts w:asciiTheme="majorBidi" w:hAnsiTheme="majorBidi" w:cstheme="majorBidi"/>
          <w:noProof/>
        </w:rPr>
        <w:t>(Office for National Statistics, 2011b)</w:t>
      </w:r>
      <w:r w:rsidR="00A65670" w:rsidRPr="00996B4A">
        <w:rPr>
          <w:rFonts w:asciiTheme="majorBidi" w:hAnsiTheme="majorBidi" w:cstheme="majorBidi"/>
        </w:rPr>
        <w:fldChar w:fldCharType="end"/>
      </w:r>
      <w:r w:rsidRPr="00996B4A">
        <w:rPr>
          <w:rFonts w:asciiTheme="majorBidi" w:hAnsiTheme="majorBidi" w:cstheme="majorBidi"/>
        </w:rPr>
        <w:t>.</w:t>
      </w:r>
      <w:r w:rsidR="00CA044C" w:rsidRPr="00996B4A">
        <w:rPr>
          <w:rFonts w:asciiTheme="majorBidi" w:hAnsiTheme="majorBidi" w:cstheme="majorBidi"/>
        </w:rPr>
        <w:t xml:space="preserve"> </w:t>
      </w:r>
      <w:r w:rsidR="008A3E2E" w:rsidRPr="00996B4A">
        <w:rPr>
          <w:rFonts w:asciiTheme="majorBidi" w:hAnsiTheme="majorBidi" w:cstheme="majorBidi"/>
        </w:rPr>
        <w:t>The lowest</w:t>
      </w:r>
      <w:r w:rsidR="00FE4F06" w:rsidRPr="00996B4A">
        <w:rPr>
          <w:rFonts w:asciiTheme="majorBidi" w:hAnsiTheme="majorBidi" w:cstheme="majorBidi"/>
        </w:rPr>
        <w:t xml:space="preserve"> available</w:t>
      </w:r>
      <w:r w:rsidR="008A3E2E" w:rsidRPr="00996B4A">
        <w:rPr>
          <w:rFonts w:asciiTheme="majorBidi" w:hAnsiTheme="majorBidi" w:cstheme="majorBidi"/>
        </w:rPr>
        <w:t xml:space="preserve"> level of geography in the </w:t>
      </w:r>
      <w:r w:rsidR="00EC18A7" w:rsidRPr="00996B4A">
        <w:rPr>
          <w:rFonts w:asciiTheme="majorBidi" w:hAnsiTheme="majorBidi" w:cstheme="majorBidi"/>
        </w:rPr>
        <w:t>CISS i</w:t>
      </w:r>
      <w:r w:rsidR="008A3E2E" w:rsidRPr="00996B4A">
        <w:rPr>
          <w:rFonts w:asciiTheme="majorBidi" w:hAnsiTheme="majorBidi" w:cstheme="majorBidi"/>
        </w:rPr>
        <w:t>s Local Authorities (LAs)</w:t>
      </w:r>
      <w:r w:rsidR="00FE4F06" w:rsidRPr="00996B4A">
        <w:rPr>
          <w:rFonts w:asciiTheme="majorBidi" w:hAnsiTheme="majorBidi" w:cstheme="majorBidi"/>
        </w:rPr>
        <w:t>;</w:t>
      </w:r>
      <w:r w:rsidR="008A3E2E" w:rsidRPr="00996B4A">
        <w:rPr>
          <w:rFonts w:asciiTheme="majorBidi" w:hAnsiTheme="majorBidi" w:cstheme="majorBidi"/>
        </w:rPr>
        <w:t xml:space="preserve"> there are </w:t>
      </w:r>
      <w:r w:rsidR="00835C59" w:rsidRPr="00996B4A">
        <w:rPr>
          <w:rFonts w:asciiTheme="majorBidi" w:hAnsiTheme="majorBidi" w:cstheme="majorBidi"/>
        </w:rPr>
        <w:t>348</w:t>
      </w:r>
      <w:r w:rsidR="008A3E2E" w:rsidRPr="00996B4A">
        <w:rPr>
          <w:rFonts w:asciiTheme="majorBidi" w:hAnsiTheme="majorBidi" w:cstheme="majorBidi"/>
        </w:rPr>
        <w:t xml:space="preserve"> LAs in England</w:t>
      </w:r>
      <w:r w:rsidR="00835C59" w:rsidRPr="00996B4A">
        <w:rPr>
          <w:rFonts w:asciiTheme="majorBidi" w:hAnsiTheme="majorBidi" w:cstheme="majorBidi"/>
        </w:rPr>
        <w:t xml:space="preserve"> and Wales</w:t>
      </w:r>
      <w:r w:rsidR="008A3E2E" w:rsidRPr="00996B4A">
        <w:rPr>
          <w:rFonts w:asciiTheme="majorBidi" w:hAnsiTheme="majorBidi" w:cstheme="majorBidi"/>
        </w:rPr>
        <w:t xml:space="preserve"> each containing an average of 120,000 individuals.</w:t>
      </w:r>
      <w:r w:rsidR="00317D7E" w:rsidRPr="00996B4A">
        <w:rPr>
          <w:rFonts w:asciiTheme="majorBidi" w:hAnsiTheme="majorBidi" w:cstheme="majorBidi"/>
        </w:rPr>
        <w:t xml:space="preserve"> Due to </w:t>
      </w:r>
      <w:r w:rsidR="008537C4" w:rsidRPr="00996B4A">
        <w:rPr>
          <w:rFonts w:asciiTheme="majorBidi" w:hAnsiTheme="majorBidi" w:cstheme="majorBidi"/>
        </w:rPr>
        <w:t xml:space="preserve">small </w:t>
      </w:r>
      <w:r w:rsidR="003B4F3C" w:rsidRPr="00996B4A">
        <w:rPr>
          <w:rFonts w:asciiTheme="majorBidi" w:hAnsiTheme="majorBidi" w:cstheme="majorBidi"/>
        </w:rPr>
        <w:t xml:space="preserve">LA </w:t>
      </w:r>
      <w:r w:rsidR="008537C4" w:rsidRPr="00996B4A">
        <w:rPr>
          <w:rFonts w:asciiTheme="majorBidi" w:hAnsiTheme="majorBidi" w:cstheme="majorBidi"/>
        </w:rPr>
        <w:t>sizes</w:t>
      </w:r>
      <w:r w:rsidR="00317D7E" w:rsidRPr="00996B4A">
        <w:rPr>
          <w:rFonts w:asciiTheme="majorBidi" w:hAnsiTheme="majorBidi" w:cstheme="majorBidi"/>
        </w:rPr>
        <w:t xml:space="preserve">, we combine the Isles of Scilly </w:t>
      </w:r>
      <w:r w:rsidR="002232E1" w:rsidRPr="00996B4A">
        <w:rPr>
          <w:rFonts w:asciiTheme="majorBidi" w:hAnsiTheme="majorBidi" w:cstheme="majorBidi"/>
        </w:rPr>
        <w:t xml:space="preserve">with Cornwall, and </w:t>
      </w:r>
      <w:r w:rsidR="00634BF7" w:rsidRPr="00996B4A">
        <w:rPr>
          <w:rFonts w:asciiTheme="majorBidi" w:hAnsiTheme="majorBidi" w:cstheme="majorBidi"/>
        </w:rPr>
        <w:t>exclude</w:t>
      </w:r>
      <w:r w:rsidR="002232E1" w:rsidRPr="00996B4A">
        <w:rPr>
          <w:rFonts w:asciiTheme="majorBidi" w:hAnsiTheme="majorBidi" w:cstheme="majorBidi"/>
        </w:rPr>
        <w:t xml:space="preserve"> those living in the City of London.</w:t>
      </w:r>
      <w:r w:rsidR="002576DA" w:rsidRPr="00996B4A">
        <w:rPr>
          <w:rFonts w:asciiTheme="majorBidi" w:hAnsiTheme="majorBidi" w:cstheme="majorBidi"/>
        </w:rPr>
        <w:t xml:space="preserve"> We use LAs as an analytical level to reflect regional variations in pull factors (employment rates, access to healthcare, tenure composition) which are known to be determinants of long distance moves </w:t>
      </w:r>
      <w:r w:rsidR="002576DA" w:rsidRPr="00996B4A">
        <w:rPr>
          <w:rFonts w:asciiTheme="majorBidi" w:hAnsiTheme="majorBidi" w:cstheme="majorBidi"/>
        </w:rPr>
        <w:fldChar w:fldCharType="begin" w:fldLock="1"/>
      </w:r>
      <w:r w:rsidR="00EA3427">
        <w:rPr>
          <w:rFonts w:asciiTheme="majorBidi" w:hAnsiTheme="majorBidi" w:cstheme="majorBidi"/>
        </w:rPr>
        <w:instrText>ADDIN CSL_CITATION { "citationItems" : [ { "id" : "ITEM-1", "itemData" : { "DOI" : "10.1068/a130327p", "ISSN" : "0308-518X", "abstract" : "Using individual records from a large and geographically detailed national research opinion survey, this paper uniquely adopts a multilevel\ufffdcross-classified statistical framework to demonstrate the relative importance of individual and simultaneous origin/destination contextual (neighbourhood and city region) variations in the distance moved by residential migrants in England and Wales. The model results confirm distinct microlevel variations in the distance moved according to certain key variables such as household income, educational attainment, and housing tenure whilst simultaneously revealing the importance of substantial origin and destination place-based macrogeographic variations. More specifically, the results indicate the extent to which those out-migrants from the main metropolitan cores, together with those in-migrants to the rural/coastal (amenity-rich) destinations, move over considerably longer distances than the average distance of\ufffdmove. Keywords: residential mobility; origin and destination context; distance moved; cross-classified multilevel model; place-based preferences", "author" : [ { "dropping-particle" : "", "family" : "Thomas", "given" : "Michael", "non-dropping-particle" : "", "parse-names" : false, "suffix" : "" }, { "dropping-particle" : "", "family" : "Stillwell", "given" : "John", "non-dropping-particle" : "", "parse-names" : false, "suffix" : "" }, { "dropping-particle" : "", "family" : "Gould", "given" : "Myles", "non-dropping-particle" : "", "parse-names" : false, "suffix" : "" } ], "container-title" : "Environment and Planning A", "id" : "ITEM-1", "issue" : "4", "issued" : { "date-parts" : [ [ "2015", "4" ] ] }, "page" : "996-1014", "publisher" : "Pion Ltd", "title" : "Modelling multilevel variations in distance moved between origins and destinations in England and Wales", "type" : "article-journal", "volume" : "47" }, "uris" : [ "http://www.mendeley.com/documents/?uuid=eb19a348-fe77-427b-bb2d-455984a90ee9" ] }, { "id" : "ITEM-2", "itemData" : { "DOI" : "10.1016/S0163-8343(97)00117-5", "abstract" : "This study describes 'County Drift,' the tendency of chronic psychiatric patients to move from outlying counties to the central county containing the psychiatric hospital. Changes of residence of repeat visitors to a Psychiatric Emergency Service were examined to substantiate that a higher proportion (34.2%) moved to the central county than the reverse k(5.3%). An analysis comparing patients who moved to the central county with those who did not showed that patients already connected to treatment and with schizophrenic/psychotic disorders remained in their home counties. Patients presenting complications reflected by secondary diagnoses of personality or substance use disorders were more likely to relocate to the area of the psychiatric facility.", "author" : [ { "dropping-particle" : "", "family" : "Breslow", "given" : "Richard E", "non-dropping-particle" : "", "parse-names" : false, "suffix" : "" }, { "dropping-particle" : "", "family" : "Klinger", "given" : "Burton I", "non-dropping-particle" : "", "parse-names" : false, "suffix" : "" }, { "dropping-particle" : "", "family" : "Erickson", "given" : "Bonnie J", "non-dropping-particle" : "", "parse-names" : false, "suffix" : "" } ], "container-title" : "General Hospital Psychiatry", "id" : "ITEM-2", "issue" : "1", "issued" : { "date-parts" : [ [ "1998", "1" ] ] }, "note" : "Looked at the mobility of repeat patients of a psychiatric emergency service. Found over time that patients tended to move towards the place of treatment 'County Drift'. \n\n\nCan be used to describe the pattern of mobility for MHSUs over time.", "page" : "44-47", "title" : "County drift: A type of geographic mobility of chronic psychiatric patients", "type" : "article-journal", "volume" : "20" }, "uris" : [ "http://www.mendeley.com/documents/?uuid=8cb3ba43-21c3-4f18-b0c8-95f45d907777" ] }, { "id" : "ITEM-3", "itemData" : { "DOI" : "10.1002/(SICI)1099-1220(199709)3:3&lt;227::AID-IJPG69&gt;3.0.CO;2-W", "ISSN" : "1077-3495", "abstract" : "Various studies have confirmed that tenants in public (council) housing are more likely to migrate than owner-occupiers, but that they are less likely to move over long distances. This paper extends this work by considering the distance moved by one-year migrants using a multi-level modelling approach. Controlling for a range of socio-economic variables, derived from the 1991 British Census Sample of Anonymised Records (SAR), at both the individual and area level, the distance moved by household heads in public, privately rented and owner-occupied housing within Britain is assessed. Data on the proportion of households in a SAR area who live in council housing and the absolute reduction in this number between 1981 and 1991 were also examined. It is confirmed that migrants in public housing are less likely to migrate long distances than owner-occupiers and that the proportion of public housing in a SAR area, and the absolute reduction in public housing in a SAR area between 1981 and 1991, does not have a significant effect on the distance that in-migrants have moved. It appears that public housing has a significant effect on distance moved at the individual level but not at the area level. Modelling only those migrants who moved over 20 km suggests that there are no significant differences in the distance moved between those living in owner-occupied and public housing, but that area-level variables related to tenure are particularly important in explaining the distance moved. \u00a9 1997 John Wiley &amp; Sons, Ltd.", "author" : [ { "dropping-particle" : "", "family" : "Boyle", "given" : "Paul", "non-dropping-particle" : "", "parse-names" : false, "suffix" : "" }, { "dropping-particle" : "", "family" : "Shen", "given" : "Jianfa", "non-dropping-particle" : "", "parse-names" : false, "suffix" : "" } ], "container-title" : "International Journal of Population Geography", "id" : "ITEM-3", "issue" : "3", "issued" : { "date-parts" : [ [ "1997", "9", "1" ] ] }, "note" : "Uses the 1991 SARs to model distance migrated. Uses RI models, finds that middle aged (44+) are most likely to move further and those living in LA housing are moving shorter distances. HOWEVER startifying the sample to include only long distance migrants (20+km) uncovers no significant differences in the distance moved among private and LA tenants and parents/singles. The factors which determine the decision to move long distance are separate from the factors which determine the distance moved in a long distance move.", "page" : "227-242", "publisher" : "John Wiley &amp; Sons, Ltd.", "title" : "Public housing and migration: a multi-level modelling approach", "type" : "article-journal", "volume" : "3" }, "uris" : [ "http://www.mendeley.com/documents/?uuid=4d57f64b-442b-4eda-92b3-97f731f50b9b" ] } ], "mendeley" : { "formattedCitation" : "(Boyle and Shen, 1997; Breslow &lt;i&gt;et al.&lt;/i&gt;, 1998; Thomas &lt;i&gt;et al.&lt;/i&gt;, 2015)", "plainTextFormattedCitation" : "(Boyle and Shen, 1997; Breslow et al., 1998; Thomas et al., 2015)", "previouslyFormattedCitation" : "(Boyle and Shen, 1997; Breslow &lt;i&gt;et al.&lt;/i&gt;, 1998; Thomas &lt;i&gt;et al.&lt;/i&gt;, 2015)" }, "properties" : { "noteIndex" : 0 }, "schema" : "https://github.com/citation-style-language/schema/raw/master/csl-citation.json" }</w:instrText>
      </w:r>
      <w:r w:rsidR="002576DA" w:rsidRPr="00996B4A">
        <w:rPr>
          <w:rFonts w:asciiTheme="majorBidi" w:hAnsiTheme="majorBidi" w:cstheme="majorBidi"/>
        </w:rPr>
        <w:fldChar w:fldCharType="separate"/>
      </w:r>
      <w:r w:rsidR="00A328DF" w:rsidRPr="00A328DF">
        <w:rPr>
          <w:rFonts w:asciiTheme="majorBidi" w:hAnsiTheme="majorBidi" w:cstheme="majorBidi"/>
          <w:noProof/>
        </w:rPr>
        <w:t xml:space="preserve">(Boyle and Shen, 1997; Breslow </w:t>
      </w:r>
      <w:r w:rsidR="00A328DF" w:rsidRPr="00A328DF">
        <w:rPr>
          <w:rFonts w:asciiTheme="majorBidi" w:hAnsiTheme="majorBidi" w:cstheme="majorBidi"/>
          <w:i/>
          <w:noProof/>
        </w:rPr>
        <w:t>et al.</w:t>
      </w:r>
      <w:r w:rsidR="00A328DF" w:rsidRPr="00A328DF">
        <w:rPr>
          <w:rFonts w:asciiTheme="majorBidi" w:hAnsiTheme="majorBidi" w:cstheme="majorBidi"/>
          <w:noProof/>
        </w:rPr>
        <w:t xml:space="preserve">, 1998; Thomas </w:t>
      </w:r>
      <w:r w:rsidR="00A328DF" w:rsidRPr="00A328DF">
        <w:rPr>
          <w:rFonts w:asciiTheme="majorBidi" w:hAnsiTheme="majorBidi" w:cstheme="majorBidi"/>
          <w:i/>
          <w:noProof/>
        </w:rPr>
        <w:t>et al.</w:t>
      </w:r>
      <w:r w:rsidR="00A328DF" w:rsidRPr="00A328DF">
        <w:rPr>
          <w:rFonts w:asciiTheme="majorBidi" w:hAnsiTheme="majorBidi" w:cstheme="majorBidi"/>
          <w:noProof/>
        </w:rPr>
        <w:t>, 2015)</w:t>
      </w:r>
      <w:r w:rsidR="002576DA" w:rsidRPr="00996B4A">
        <w:rPr>
          <w:rFonts w:asciiTheme="majorBidi" w:hAnsiTheme="majorBidi" w:cstheme="majorBidi"/>
        </w:rPr>
        <w:fldChar w:fldCharType="end"/>
      </w:r>
      <w:r w:rsidR="002576DA" w:rsidRPr="00996B4A">
        <w:rPr>
          <w:rFonts w:asciiTheme="majorBidi" w:hAnsiTheme="majorBidi" w:cstheme="majorBidi"/>
        </w:rPr>
        <w:t>.</w:t>
      </w:r>
      <w:r w:rsidR="00B85491" w:rsidRPr="00996B4A">
        <w:rPr>
          <w:rFonts w:asciiTheme="majorBidi" w:hAnsiTheme="majorBidi" w:cstheme="majorBidi"/>
        </w:rPr>
        <w:t xml:space="preserve"> The LA an individual lived within one year </w:t>
      </w:r>
      <w:r w:rsidR="006E2B80">
        <w:rPr>
          <w:rFonts w:asciiTheme="majorBidi" w:hAnsiTheme="majorBidi" w:cstheme="majorBidi"/>
        </w:rPr>
        <w:t>before the Census</w:t>
      </w:r>
      <w:r w:rsidR="006E2B80" w:rsidRPr="00996B4A">
        <w:rPr>
          <w:rFonts w:asciiTheme="majorBidi" w:hAnsiTheme="majorBidi" w:cstheme="majorBidi"/>
        </w:rPr>
        <w:t xml:space="preserve"> </w:t>
      </w:r>
      <w:r w:rsidR="00B85491" w:rsidRPr="00996B4A">
        <w:rPr>
          <w:rFonts w:asciiTheme="majorBidi" w:hAnsiTheme="majorBidi" w:cstheme="majorBidi"/>
        </w:rPr>
        <w:t xml:space="preserve">(origin) and the LA they live within </w:t>
      </w:r>
      <w:r w:rsidR="006E2B80">
        <w:rPr>
          <w:rFonts w:asciiTheme="majorBidi" w:hAnsiTheme="majorBidi" w:cstheme="majorBidi"/>
        </w:rPr>
        <w:t>at the time of the Census</w:t>
      </w:r>
      <w:r w:rsidR="006E2B80" w:rsidRPr="00996B4A">
        <w:rPr>
          <w:rFonts w:asciiTheme="majorBidi" w:hAnsiTheme="majorBidi" w:cstheme="majorBidi"/>
        </w:rPr>
        <w:t xml:space="preserve"> </w:t>
      </w:r>
      <w:r w:rsidR="00B85491" w:rsidRPr="00996B4A">
        <w:rPr>
          <w:rFonts w:asciiTheme="majorBidi" w:hAnsiTheme="majorBidi" w:cstheme="majorBidi"/>
        </w:rPr>
        <w:t xml:space="preserve">(destination) are provided in the CISS. Although there is evidence of variation in distances moved both at the origin and destination </w:t>
      </w:r>
      <w:r w:rsidR="00B85491" w:rsidRPr="00996B4A">
        <w:rPr>
          <w:rFonts w:asciiTheme="majorBidi" w:hAnsiTheme="majorBidi" w:cstheme="majorBidi"/>
        </w:rPr>
        <w:fldChar w:fldCharType="begin" w:fldLock="1"/>
      </w:r>
      <w:r w:rsidR="00EA3427">
        <w:rPr>
          <w:rFonts w:asciiTheme="majorBidi" w:hAnsiTheme="majorBidi" w:cstheme="majorBidi"/>
        </w:rPr>
        <w:instrText>ADDIN CSL_CITATION { "citationItems" : [ { "id" : "ITEM-1", "itemData" : { "DOI" : "10.1068/a130327p", "ISSN" : "0308-518X", "abstract" : "Using individual records from a large and geographically detailed national research opinion survey, this paper uniquely adopts a multilevel\ufffdcross-classified statistical framework to demonstrate the relative importance of individual and simultaneous origin/destination contextual (neighbourhood and city region) variations in the distance moved by residential migrants in England and Wales. The model results confirm distinct microlevel variations in the distance moved according to certain key variables such as household income, educational attainment, and housing tenure whilst simultaneously revealing the importance of substantial origin and destination place-based macrogeographic variations. More specifically, the results indicate the extent to which those out-migrants from the main metropolitan cores, together with those in-migrants to the rural/coastal (amenity-rich) destinations, move over considerably longer distances than the average distance of\ufffdmove. Keywords: residential mobility; origin and destination context; distance moved; cross-classified multilevel model; place-based preferences", "author" : [ { "dropping-particle" : "", "family" : "Thomas", "given" : "Michael", "non-dropping-particle" : "", "parse-names" : false, "suffix" : "" }, { "dropping-particle" : "", "family" : "Stillwell", "given" : "John", "non-dropping-particle" : "", "parse-names" : false, "suffix" : "" }, { "dropping-particle" : "", "family" : "Gould", "given" : "Myles", "non-dropping-particle" : "", "parse-names" : false, "suffix" : "" } ], "container-title" : "Environment and Planning A", "id" : "ITEM-1", "issue" : "4", "issued" : { "date-parts" : [ [ "2015", "4" ] ] }, "page" : "996-1014", "publisher" : "Pion Ltd", "title" : "Modelling multilevel variations in distance moved between origins and destinations in England and Wales", "type" : "article-journal", "volume" : "47" }, "uris" : [ "http://www.mendeley.com/documents/?uuid=eb19a348-fe77-427b-bb2d-455984a90ee9" ] } ], "mendeley" : { "formattedCitation" : "(Thomas &lt;i&gt;et al.&lt;/i&gt;, 2015)", "plainTextFormattedCitation" : "(Thomas et al., 2015)", "previouslyFormattedCitation" : "(Thomas &lt;i&gt;et al.&lt;/i&gt;, 2015)" }, "properties" : { "noteIndex" : 0 }, "schema" : "https://github.com/citation-style-language/schema/raw/master/csl-citation.json" }</w:instrText>
      </w:r>
      <w:r w:rsidR="00B85491" w:rsidRPr="00996B4A">
        <w:rPr>
          <w:rFonts w:asciiTheme="majorBidi" w:hAnsiTheme="majorBidi" w:cstheme="majorBidi"/>
        </w:rPr>
        <w:fldChar w:fldCharType="separate"/>
      </w:r>
      <w:r w:rsidR="00A328DF" w:rsidRPr="00A328DF">
        <w:rPr>
          <w:rFonts w:asciiTheme="majorBidi" w:hAnsiTheme="majorBidi" w:cstheme="majorBidi"/>
          <w:noProof/>
        </w:rPr>
        <w:t xml:space="preserve">(Thomas </w:t>
      </w:r>
      <w:r w:rsidR="00A328DF" w:rsidRPr="00A328DF">
        <w:rPr>
          <w:rFonts w:asciiTheme="majorBidi" w:hAnsiTheme="majorBidi" w:cstheme="majorBidi"/>
          <w:i/>
          <w:noProof/>
        </w:rPr>
        <w:t>et al.</w:t>
      </w:r>
      <w:r w:rsidR="00A328DF" w:rsidRPr="00A328DF">
        <w:rPr>
          <w:rFonts w:asciiTheme="majorBidi" w:hAnsiTheme="majorBidi" w:cstheme="majorBidi"/>
          <w:noProof/>
        </w:rPr>
        <w:t>, 2015)</w:t>
      </w:r>
      <w:r w:rsidR="00B85491" w:rsidRPr="00996B4A">
        <w:rPr>
          <w:rFonts w:asciiTheme="majorBidi" w:hAnsiTheme="majorBidi" w:cstheme="majorBidi"/>
        </w:rPr>
        <w:fldChar w:fldCharType="end"/>
      </w:r>
      <w:r w:rsidR="00D32195" w:rsidRPr="00996B4A">
        <w:rPr>
          <w:rFonts w:asciiTheme="majorBidi" w:hAnsiTheme="majorBidi" w:cstheme="majorBidi"/>
        </w:rPr>
        <w:t xml:space="preserve">, the measure of health used in this analysis only captures health at the time of the Census (when individuals lived within their destination LA), not one year prior (when individuals lived within their origin LA). If we were to include origins as an analytical level, an unknown quantity of individuals </w:t>
      </w:r>
      <w:r w:rsidR="00D000A1">
        <w:rPr>
          <w:rFonts w:asciiTheme="majorBidi" w:hAnsiTheme="majorBidi" w:cstheme="majorBidi"/>
        </w:rPr>
        <w:t>with</w:t>
      </w:r>
      <w:r w:rsidR="005A4EFE">
        <w:rPr>
          <w:rFonts w:asciiTheme="majorBidi" w:hAnsiTheme="majorBidi" w:cstheme="majorBidi"/>
        </w:rPr>
        <w:t xml:space="preserve"> an LLTI</w:t>
      </w:r>
      <w:r w:rsidR="00D32195" w:rsidRPr="00996B4A">
        <w:rPr>
          <w:rFonts w:asciiTheme="majorBidi" w:hAnsiTheme="majorBidi" w:cstheme="majorBidi"/>
        </w:rPr>
        <w:t xml:space="preserve"> would </w:t>
      </w:r>
      <w:r w:rsidR="005A4EFE">
        <w:rPr>
          <w:rFonts w:asciiTheme="majorBidi" w:hAnsiTheme="majorBidi" w:cstheme="majorBidi"/>
        </w:rPr>
        <w:t xml:space="preserve">not have </w:t>
      </w:r>
      <w:r w:rsidR="005A4EFE">
        <w:rPr>
          <w:rFonts w:asciiTheme="majorBidi" w:hAnsiTheme="majorBidi" w:cstheme="majorBidi"/>
        </w:rPr>
        <w:lastRenderedPageBreak/>
        <w:t>reported an LLTI</w:t>
      </w:r>
      <w:r w:rsidR="006E2B80">
        <w:rPr>
          <w:rFonts w:asciiTheme="majorBidi" w:hAnsiTheme="majorBidi" w:cstheme="majorBidi"/>
        </w:rPr>
        <w:t xml:space="preserve"> </w:t>
      </w:r>
      <w:r w:rsidR="00D32195" w:rsidRPr="00996B4A">
        <w:rPr>
          <w:rFonts w:asciiTheme="majorBidi" w:hAnsiTheme="majorBidi" w:cstheme="majorBidi"/>
        </w:rPr>
        <w:t>one year prior when they lived within origin LAs and vice versa.</w:t>
      </w:r>
      <w:r w:rsidR="006E2B80">
        <w:rPr>
          <w:rFonts w:asciiTheme="majorBidi" w:hAnsiTheme="majorBidi" w:cstheme="majorBidi"/>
        </w:rPr>
        <w:t xml:space="preserve"> As a result, we </w:t>
      </w:r>
      <w:r w:rsidR="006717DA">
        <w:rPr>
          <w:rFonts w:asciiTheme="majorBidi" w:hAnsiTheme="majorBidi" w:cstheme="majorBidi"/>
        </w:rPr>
        <w:t>only include destination LAs in our analytical models.</w:t>
      </w:r>
    </w:p>
    <w:p w14:paraId="3E010F0E" w14:textId="77777777" w:rsidR="00950271" w:rsidRPr="00996B4A" w:rsidRDefault="00950271" w:rsidP="00634BF7">
      <w:pPr>
        <w:spacing w:after="0" w:line="480" w:lineRule="auto"/>
        <w:rPr>
          <w:rFonts w:asciiTheme="majorBidi" w:hAnsiTheme="majorBidi" w:cstheme="majorBidi"/>
        </w:rPr>
      </w:pPr>
    </w:p>
    <w:p w14:paraId="76FA2B9C" w14:textId="6652FBD3" w:rsidR="00321BE2" w:rsidRPr="00996B4A" w:rsidRDefault="00321BE2" w:rsidP="00FD3591">
      <w:pPr>
        <w:spacing w:line="480" w:lineRule="auto"/>
        <w:rPr>
          <w:rFonts w:asciiTheme="majorBidi" w:hAnsiTheme="majorBidi" w:cstheme="majorBidi"/>
        </w:rPr>
      </w:pPr>
      <w:r w:rsidRPr="00996B4A">
        <w:rPr>
          <w:rFonts w:asciiTheme="majorBidi" w:hAnsiTheme="majorBidi" w:cstheme="majorBidi"/>
        </w:rPr>
        <w:t xml:space="preserve">CISS microdata </w:t>
      </w:r>
      <w:r w:rsidR="00FD3591" w:rsidRPr="00996B4A">
        <w:rPr>
          <w:rFonts w:asciiTheme="majorBidi" w:hAnsiTheme="majorBidi" w:cstheme="majorBidi"/>
        </w:rPr>
        <w:t xml:space="preserve">may only be </w:t>
      </w:r>
      <w:r w:rsidRPr="00996B4A">
        <w:rPr>
          <w:rFonts w:asciiTheme="majorBidi" w:hAnsiTheme="majorBidi" w:cstheme="majorBidi"/>
        </w:rPr>
        <w:t xml:space="preserve">accessed at the </w:t>
      </w:r>
      <w:r w:rsidR="008C20C3" w:rsidRPr="00996B4A">
        <w:rPr>
          <w:rFonts w:asciiTheme="majorBidi" w:hAnsiTheme="majorBidi" w:cstheme="majorBidi"/>
        </w:rPr>
        <w:t xml:space="preserve">ONS Virtual Microdata Laboratory. Access </w:t>
      </w:r>
      <w:r w:rsidR="00FE4F06" w:rsidRPr="00996B4A">
        <w:rPr>
          <w:rFonts w:asciiTheme="majorBidi" w:hAnsiTheme="majorBidi" w:cstheme="majorBidi"/>
        </w:rPr>
        <w:t xml:space="preserve">is </w:t>
      </w:r>
      <w:r w:rsidR="00FD3591" w:rsidRPr="00996B4A">
        <w:rPr>
          <w:rFonts w:asciiTheme="majorBidi" w:hAnsiTheme="majorBidi" w:cstheme="majorBidi"/>
        </w:rPr>
        <w:t xml:space="preserve">granted for approved research projects </w:t>
      </w:r>
      <w:r w:rsidRPr="00996B4A">
        <w:rPr>
          <w:rFonts w:asciiTheme="majorBidi" w:hAnsiTheme="majorBidi" w:cstheme="majorBidi"/>
        </w:rPr>
        <w:t xml:space="preserve">conditional on </w:t>
      </w:r>
      <w:r w:rsidR="008C20C3" w:rsidRPr="00996B4A">
        <w:rPr>
          <w:rFonts w:asciiTheme="majorBidi" w:hAnsiTheme="majorBidi" w:cstheme="majorBidi"/>
        </w:rPr>
        <w:t>disclosure control training</w:t>
      </w:r>
      <w:r w:rsidRPr="00996B4A">
        <w:rPr>
          <w:rFonts w:asciiTheme="majorBidi" w:hAnsiTheme="majorBidi" w:cstheme="majorBidi"/>
        </w:rPr>
        <w:t xml:space="preserve">. Due to the risk of disclosure from sensitive individual level microdata, all </w:t>
      </w:r>
      <w:r w:rsidR="00FD3591" w:rsidRPr="00996B4A">
        <w:rPr>
          <w:rFonts w:asciiTheme="majorBidi" w:hAnsiTheme="majorBidi" w:cstheme="majorBidi"/>
        </w:rPr>
        <w:t xml:space="preserve">analytical </w:t>
      </w:r>
      <w:r w:rsidRPr="00996B4A">
        <w:rPr>
          <w:rFonts w:asciiTheme="majorBidi" w:hAnsiTheme="majorBidi" w:cstheme="majorBidi"/>
        </w:rPr>
        <w:t xml:space="preserve">outputs are vetted by the ONS before release. </w:t>
      </w:r>
    </w:p>
    <w:p w14:paraId="1A4DB630" w14:textId="36AC10C8" w:rsidR="008C20C3" w:rsidRPr="00996B4A" w:rsidRDefault="008C20C3" w:rsidP="00842CB7">
      <w:pPr>
        <w:pStyle w:val="Heading2"/>
      </w:pPr>
      <w:r w:rsidRPr="00996B4A">
        <w:t>Inclusion criteria</w:t>
      </w:r>
    </w:p>
    <w:p w14:paraId="325309CF" w14:textId="7E9D91BD" w:rsidR="008C20C3" w:rsidRPr="00996B4A" w:rsidRDefault="00FE4F06" w:rsidP="003B431B">
      <w:pPr>
        <w:spacing w:line="480" w:lineRule="auto"/>
        <w:rPr>
          <w:rFonts w:asciiTheme="majorBidi" w:hAnsiTheme="majorBidi" w:cstheme="majorBidi"/>
        </w:rPr>
      </w:pPr>
      <w:r w:rsidRPr="00996B4A">
        <w:rPr>
          <w:rFonts w:asciiTheme="majorBidi" w:hAnsiTheme="majorBidi" w:cstheme="majorBidi"/>
        </w:rPr>
        <w:t xml:space="preserve">We limit our </w:t>
      </w:r>
      <w:r w:rsidR="00FD3591" w:rsidRPr="00996B4A">
        <w:rPr>
          <w:rFonts w:asciiTheme="majorBidi" w:hAnsiTheme="majorBidi" w:cstheme="majorBidi"/>
        </w:rPr>
        <w:t xml:space="preserve">study </w:t>
      </w:r>
      <w:r w:rsidR="005229D0" w:rsidRPr="00996B4A">
        <w:rPr>
          <w:rFonts w:asciiTheme="majorBidi" w:hAnsiTheme="majorBidi" w:cstheme="majorBidi"/>
        </w:rPr>
        <w:t>t</w:t>
      </w:r>
      <w:r w:rsidR="00835C59" w:rsidRPr="00996B4A">
        <w:rPr>
          <w:rFonts w:asciiTheme="majorBidi" w:hAnsiTheme="majorBidi" w:cstheme="majorBidi"/>
        </w:rPr>
        <w:t>o working age adults (aged 16-64</w:t>
      </w:r>
      <w:r w:rsidR="005229D0" w:rsidRPr="00996B4A">
        <w:rPr>
          <w:rFonts w:asciiTheme="majorBidi" w:hAnsiTheme="majorBidi" w:cstheme="majorBidi"/>
        </w:rPr>
        <w:t>)</w:t>
      </w:r>
      <w:r w:rsidR="00634BF7" w:rsidRPr="00996B4A">
        <w:rPr>
          <w:rFonts w:asciiTheme="majorBidi" w:hAnsiTheme="majorBidi" w:cstheme="majorBidi"/>
        </w:rPr>
        <w:t xml:space="preserve"> at the time of the census</w:t>
      </w:r>
      <w:r w:rsidR="005229D0" w:rsidRPr="00996B4A">
        <w:rPr>
          <w:rFonts w:asciiTheme="majorBidi" w:hAnsiTheme="majorBidi" w:cstheme="majorBidi"/>
        </w:rPr>
        <w:t xml:space="preserve"> </w:t>
      </w:r>
      <w:r w:rsidRPr="00996B4A">
        <w:rPr>
          <w:rFonts w:asciiTheme="majorBidi" w:hAnsiTheme="majorBidi" w:cstheme="majorBidi"/>
        </w:rPr>
        <w:t xml:space="preserve">in line with previous studies on internal migration using census microdata </w:t>
      </w:r>
      <w:r w:rsidRPr="00996B4A">
        <w:rPr>
          <w:rFonts w:asciiTheme="majorBidi" w:hAnsiTheme="majorBidi" w:cstheme="majorBidi"/>
        </w:rPr>
        <w:fldChar w:fldCharType="begin" w:fldLock="1"/>
      </w:r>
      <w:r w:rsidR="00A328DF">
        <w:rPr>
          <w:rFonts w:asciiTheme="majorBidi" w:hAnsiTheme="majorBidi" w:cstheme="majorBidi"/>
        </w:rPr>
        <w:instrText>ADDIN CSL_CITATION { "citationItems" : [ { "id" : "ITEM-1", "itemData" : { "author" : [ { "dropping-particle" : "", "family" : "Bailey", "given" : "Nick", "non-dropping-particle" : "", "parse-names" : false, "suffix" : "" }, { "dropping-particle" : "", "family" : "Livingston", "given" : "Mark", "non-dropping-particle" : "", "parse-names" : false, "suffix" : "" } ], "collection-title" : "SCRSJ Working Paper", "id" : "ITEM-1", "issued" : { "date-parts" : [ [ "2005" ] ] }, "number" : "3", "publisher-place" : "Glasgow", "title" : "Determinants of individual migration : an analysis of SARs data", "type" : "report" }, "uris" : [ "http://www.mendeley.com/documents/?uuid=f8789fec-d436-4c9c-9b94-b9068c563bb9" ] }, { "id" : "ITEM-2", "itemData" : { "DOI" : "http://dx.doi.org/10.1016/j.socscimed.2016.08.046", "ISSN" : "0277-9536", "abstract" : "Abstract Previous research has suggested that poor health is associated with reduced migration; this knowledge stems from models based on past censuses, or longitudinal studies which imply that the factors influencing migration are the same between those in good and poor health. This paper addresses these issues by utilising health-stratified analyses on the 2011 Census Individual Secure Sample for England and Wales. Multilevel models predict the odds of moving for working age adults, controlling for key predictors of migration, estimating the effect of health status on the odds of moving and the destination-specific variance in migration. We find that those in poor health are less likely to move, after controlling for individual level characteristics. In contrast with expectations, economic inactivity, marriage and being in African, Caribbean, Black, Other or Mixed ethnic groups were not significant predictors of migration among the unhealthy sample, but were for the healthy sample. We conclude that migration is health-selective and propose implications for understanding area level concentrations of poor health in England and Wales.", "author" : [ { "dropping-particle" : "", "family" : "Wilding", "given" : "Sam", "non-dropping-particle" : "", "parse-names" : false, "suffix" : "" }, { "dropping-particle" : "", "family" : "Martin", "given" : "David", "non-dropping-particle" : "", "parse-names" : false, "suffix" : "" }, { "dropping-particle" : "", "family" : "Moon", "given" : "Graham", "non-dropping-particle" : "", "parse-names" : false, "suffix" : "" } ], "container-title" : "Social Science &amp; Medicine", "id" : "ITEM-2", "issued" : { "date-parts" : [ [ "2016", "10" ] ] }, "page" : "107-115", "title" : "The impact of limiting long term illness on internal migration in England and Wales: new evidence from census microdata", "type" : "article-journal", "volume" : "167" }, "uris" : [ "http://www.mendeley.com/documents/?uuid=d710b263-4128-4c6c-8e98-8da56c7cab49" ] } ], "mendeley" : { "formattedCitation" : "(Bailey and Livingston, 2005; Wilding &lt;i&gt;et al.&lt;/i&gt;, 2016)", "plainTextFormattedCitation" : "(Bailey and Livingston, 2005; Wilding et al., 2016)", "previouslyFormattedCitation" : "(Bailey and Livingston, 2005; Wilding &lt;i&gt;et al.&lt;/i&gt;, 2016)" }, "properties" : { "noteIndex" : 0 }, "schema" : "https://github.com/citation-style-language/schema/raw/master/csl-citation.json" }</w:instrText>
      </w:r>
      <w:r w:rsidRPr="00996B4A">
        <w:rPr>
          <w:rFonts w:asciiTheme="majorBidi" w:hAnsiTheme="majorBidi" w:cstheme="majorBidi"/>
        </w:rPr>
        <w:fldChar w:fldCharType="separate"/>
      </w:r>
      <w:r w:rsidR="00607727" w:rsidRPr="00607727">
        <w:rPr>
          <w:rFonts w:asciiTheme="majorBidi" w:hAnsiTheme="majorBidi" w:cstheme="majorBidi"/>
          <w:noProof/>
        </w:rPr>
        <w:t xml:space="preserve">(Bailey and Livingston, 2005; Wilding </w:t>
      </w:r>
      <w:r w:rsidR="00607727" w:rsidRPr="00607727">
        <w:rPr>
          <w:rFonts w:asciiTheme="majorBidi" w:hAnsiTheme="majorBidi" w:cstheme="majorBidi"/>
          <w:i/>
          <w:noProof/>
        </w:rPr>
        <w:t>et al.</w:t>
      </w:r>
      <w:r w:rsidR="00607727" w:rsidRPr="00607727">
        <w:rPr>
          <w:rFonts w:asciiTheme="majorBidi" w:hAnsiTheme="majorBidi" w:cstheme="majorBidi"/>
          <w:noProof/>
        </w:rPr>
        <w:t>, 2016)</w:t>
      </w:r>
      <w:r w:rsidRPr="00996B4A">
        <w:rPr>
          <w:rFonts w:asciiTheme="majorBidi" w:hAnsiTheme="majorBidi" w:cstheme="majorBidi"/>
        </w:rPr>
        <w:fldChar w:fldCharType="end"/>
      </w:r>
      <w:r w:rsidRPr="00996B4A">
        <w:rPr>
          <w:rFonts w:asciiTheme="majorBidi" w:hAnsiTheme="majorBidi" w:cstheme="majorBidi"/>
        </w:rPr>
        <w:t xml:space="preserve">, </w:t>
      </w:r>
      <w:r w:rsidR="00A148F7" w:rsidRPr="00996B4A">
        <w:rPr>
          <w:rFonts w:asciiTheme="majorBidi" w:hAnsiTheme="majorBidi" w:cstheme="majorBidi"/>
        </w:rPr>
        <w:t>as</w:t>
      </w:r>
      <w:r w:rsidRPr="00996B4A">
        <w:rPr>
          <w:rFonts w:asciiTheme="majorBidi" w:hAnsiTheme="majorBidi" w:cstheme="majorBidi"/>
        </w:rPr>
        <w:t xml:space="preserve"> recent research shows that the drivers of migration among the very young and very old differ from the working age population </w:t>
      </w:r>
      <w:r w:rsidRPr="00996B4A">
        <w:rPr>
          <w:rFonts w:asciiTheme="majorBidi" w:hAnsiTheme="majorBidi" w:cstheme="majorBidi"/>
        </w:rPr>
        <w:fldChar w:fldCharType="begin" w:fldLock="1"/>
      </w:r>
      <w:r w:rsidR="00EA3427">
        <w:rPr>
          <w:rFonts w:asciiTheme="majorBidi" w:hAnsiTheme="majorBidi" w:cstheme="majorBidi"/>
        </w:rPr>
        <w:instrText>ADDIN CSL_CITATION { "citationItems" : [ { "id" : "ITEM-1", "itemData" : { "DOI" : "10.1002/psp.1943", "ISSN" : "15448444", "author" : [ { "dropping-particle" : "", "family" : "Thomas", "given" : "Michael", "non-dropping-particle" : "", "parse-names" : false, "suffix" : "" }, { "dropping-particle" : "", "family" : "Stillwell", "given" : "John", "non-dropping-particle" : "", "parse-names" : false, "suffix" : "" }, { "dropping-particle" : "", "family" : "Gould", "given" : "Myles", "non-dropping-particle" : "", "parse-names" : false, "suffix" : "" } ], "container-title" : "Population, Space and Place", "id" : "ITEM-1", "issue" : "6", "issued" : { "date-parts" : [ [ "2016", "8" ] ] }, "note" : "Export Date: 25 May 2016\n\nArticle in Press", "page" : "584-598", "title" : "Modelling mover/stayer characteristics across the life course using a large commercial sample", "type" : "article-journal", "volume" : "22" }, "uris" : [ "http://www.mendeley.com/documents/?uuid=862de25c-d75d-4dd2-b371-b4f329e7ac1a" ] } ], "mendeley" : { "formattedCitation" : "(Thomas &lt;i&gt;et al.&lt;/i&gt;, 2016)", "plainTextFormattedCitation" : "(Thomas et al., 2016)", "previouslyFormattedCitation" : "(Thomas &lt;i&gt;et al.&lt;/i&gt;, 2016)" }, "properties" : { "noteIndex" : 0 }, "schema" : "https://github.com/citation-style-language/schema/raw/master/csl-citation.json" }</w:instrText>
      </w:r>
      <w:r w:rsidRPr="00996B4A">
        <w:rPr>
          <w:rFonts w:asciiTheme="majorBidi" w:hAnsiTheme="majorBidi" w:cstheme="majorBidi"/>
        </w:rPr>
        <w:fldChar w:fldCharType="separate"/>
      </w:r>
      <w:r w:rsidR="00A328DF" w:rsidRPr="00A328DF">
        <w:rPr>
          <w:rFonts w:asciiTheme="majorBidi" w:hAnsiTheme="majorBidi" w:cstheme="majorBidi"/>
          <w:noProof/>
        </w:rPr>
        <w:t xml:space="preserve">(Thomas </w:t>
      </w:r>
      <w:r w:rsidR="00A328DF" w:rsidRPr="00A328DF">
        <w:rPr>
          <w:rFonts w:asciiTheme="majorBidi" w:hAnsiTheme="majorBidi" w:cstheme="majorBidi"/>
          <w:i/>
          <w:noProof/>
        </w:rPr>
        <w:t>et al.</w:t>
      </w:r>
      <w:r w:rsidR="00A328DF" w:rsidRPr="00A328DF">
        <w:rPr>
          <w:rFonts w:asciiTheme="majorBidi" w:hAnsiTheme="majorBidi" w:cstheme="majorBidi"/>
          <w:noProof/>
        </w:rPr>
        <w:t>, 2016)</w:t>
      </w:r>
      <w:r w:rsidRPr="00996B4A">
        <w:rPr>
          <w:rFonts w:asciiTheme="majorBidi" w:hAnsiTheme="majorBidi" w:cstheme="majorBidi"/>
        </w:rPr>
        <w:fldChar w:fldCharType="end"/>
      </w:r>
      <w:r w:rsidRPr="00996B4A">
        <w:rPr>
          <w:rFonts w:asciiTheme="majorBidi" w:hAnsiTheme="majorBidi" w:cstheme="majorBidi"/>
        </w:rPr>
        <w:t xml:space="preserve">. </w:t>
      </w:r>
      <w:r w:rsidR="00A65670" w:rsidRPr="00996B4A">
        <w:rPr>
          <w:rFonts w:asciiTheme="majorBidi" w:hAnsiTheme="majorBidi" w:cstheme="majorBidi"/>
        </w:rPr>
        <w:t xml:space="preserve">Migration </w:t>
      </w:r>
      <w:r w:rsidR="009F56D0" w:rsidRPr="00996B4A">
        <w:rPr>
          <w:rFonts w:asciiTheme="majorBidi" w:hAnsiTheme="majorBidi" w:cstheme="majorBidi"/>
        </w:rPr>
        <w:t>is</w:t>
      </w:r>
      <w:r w:rsidR="00A65670" w:rsidRPr="00996B4A">
        <w:rPr>
          <w:rFonts w:asciiTheme="majorBidi" w:hAnsiTheme="majorBidi" w:cstheme="majorBidi"/>
        </w:rPr>
        <w:t xml:space="preserve"> measured using the question “one year ago, what was </w:t>
      </w:r>
      <w:r w:rsidR="00595F60" w:rsidRPr="00996B4A">
        <w:rPr>
          <w:rFonts w:asciiTheme="majorBidi" w:hAnsiTheme="majorBidi" w:cstheme="majorBidi"/>
        </w:rPr>
        <w:t>y</w:t>
      </w:r>
      <w:r w:rsidR="00A65670" w:rsidRPr="00996B4A">
        <w:rPr>
          <w:rFonts w:asciiTheme="majorBidi" w:hAnsiTheme="majorBidi" w:cstheme="majorBidi"/>
        </w:rPr>
        <w:t xml:space="preserve">our usual address” </w:t>
      </w:r>
      <w:r w:rsidR="00A65670" w:rsidRPr="00996B4A">
        <w:rPr>
          <w:rFonts w:asciiTheme="majorBidi" w:hAnsiTheme="majorBidi" w:cstheme="majorBidi"/>
        </w:rPr>
        <w:fldChar w:fldCharType="begin" w:fldLock="1"/>
      </w:r>
      <w:r w:rsidR="00E832AA" w:rsidRPr="00996B4A">
        <w:rPr>
          <w:rFonts w:asciiTheme="majorBidi" w:hAnsiTheme="majorBidi" w:cstheme="majorBidi"/>
        </w:rPr>
        <w:instrText>ADDIN CSL_CITATION { "citationItems" : [ { "id" : "ITEM-1", "itemData" : { "URL" : "http://www.ons.gov.uk/ons/guide-method/census/2011/the-2011-census/2011-census-questionnaire-content/2011-census-questionnaire-for-england.pdf", "accessed" : { "date-parts" : [ [ "2015", "7", "10" ] ] }, "author" : [ { "dropping-particle" : "", "family" : "Office for National Statistics", "given" : "", "non-dropping-particle" : "", "parse-names" : false, "suffix" : "" } ], "id" : "ITEM-1", "issued" : { "date-parts" : [ [ "2011" ] ] }, "title" : "2011 Census questionnaire for England", "type" : "webpage" }, "uris" : [ "http://www.mendeley.com/documents/?uuid=43ade1b0-4fda-4428-94da-f2767f0628a7" ] } ], "mendeley" : { "formattedCitation" : "(Office for National Statistics, 2011a)", "plainTextFormattedCitation" : "(Office for National Statistics, 2011a)", "previouslyFormattedCitation" : "(Office for National Statistics, 2011a)" }, "properties" : { "noteIndex" : 0 }, "schema" : "https://github.com/citation-style-language/schema/raw/master/csl-citation.json" }</w:instrText>
      </w:r>
      <w:r w:rsidR="00A65670" w:rsidRPr="00996B4A">
        <w:rPr>
          <w:rFonts w:asciiTheme="majorBidi" w:hAnsiTheme="majorBidi" w:cstheme="majorBidi"/>
        </w:rPr>
        <w:fldChar w:fldCharType="separate"/>
      </w:r>
      <w:r w:rsidR="00A65670" w:rsidRPr="00996B4A">
        <w:rPr>
          <w:rFonts w:asciiTheme="majorBidi" w:hAnsiTheme="majorBidi" w:cstheme="majorBidi"/>
          <w:noProof/>
        </w:rPr>
        <w:t>(Office for National Statistics, 2011a)</w:t>
      </w:r>
      <w:r w:rsidR="00A65670" w:rsidRPr="00996B4A">
        <w:rPr>
          <w:rFonts w:asciiTheme="majorBidi" w:hAnsiTheme="majorBidi" w:cstheme="majorBidi"/>
        </w:rPr>
        <w:fldChar w:fldCharType="end"/>
      </w:r>
      <w:r w:rsidR="00A65670" w:rsidRPr="00996B4A">
        <w:rPr>
          <w:rFonts w:asciiTheme="majorBidi" w:hAnsiTheme="majorBidi" w:cstheme="majorBidi"/>
        </w:rPr>
        <w:t xml:space="preserve">, respondents </w:t>
      </w:r>
      <w:r w:rsidR="00634BF7" w:rsidRPr="00996B4A">
        <w:rPr>
          <w:rFonts w:asciiTheme="majorBidi" w:hAnsiTheme="majorBidi" w:cstheme="majorBidi"/>
        </w:rPr>
        <w:t xml:space="preserve">may </w:t>
      </w:r>
      <w:r w:rsidR="00A65670" w:rsidRPr="00996B4A">
        <w:rPr>
          <w:rFonts w:asciiTheme="majorBidi" w:hAnsiTheme="majorBidi" w:cstheme="majorBidi"/>
        </w:rPr>
        <w:t>answer “the address on the front of this questionnaire” (non-movers)</w:t>
      </w:r>
      <w:r w:rsidR="00595F60" w:rsidRPr="00996B4A">
        <w:rPr>
          <w:rFonts w:asciiTheme="majorBidi" w:hAnsiTheme="majorBidi" w:cstheme="majorBidi"/>
        </w:rPr>
        <w:t>,</w:t>
      </w:r>
      <w:r w:rsidR="00A65670" w:rsidRPr="00996B4A">
        <w:rPr>
          <w:rFonts w:asciiTheme="majorBidi" w:hAnsiTheme="majorBidi" w:cstheme="majorBidi"/>
        </w:rPr>
        <w:t xml:space="preserve"> write in a different address</w:t>
      </w:r>
      <w:r w:rsidR="00595F60" w:rsidRPr="00996B4A">
        <w:rPr>
          <w:rFonts w:asciiTheme="majorBidi" w:hAnsiTheme="majorBidi" w:cstheme="majorBidi"/>
        </w:rPr>
        <w:t xml:space="preserve"> </w:t>
      </w:r>
      <w:r w:rsidR="003B431B">
        <w:rPr>
          <w:rFonts w:asciiTheme="majorBidi" w:hAnsiTheme="majorBidi" w:cstheme="majorBidi"/>
        </w:rPr>
        <w:t>with</w:t>
      </w:r>
      <w:r w:rsidR="00595F60" w:rsidRPr="00996B4A">
        <w:rPr>
          <w:rFonts w:asciiTheme="majorBidi" w:hAnsiTheme="majorBidi" w:cstheme="majorBidi"/>
        </w:rPr>
        <w:t xml:space="preserve">in the </w:t>
      </w:r>
      <w:r w:rsidR="003B431B">
        <w:rPr>
          <w:rFonts w:asciiTheme="majorBidi" w:hAnsiTheme="majorBidi" w:cstheme="majorBidi"/>
        </w:rPr>
        <w:t>UK</w:t>
      </w:r>
      <w:r w:rsidR="003B431B" w:rsidRPr="00996B4A">
        <w:rPr>
          <w:rFonts w:asciiTheme="majorBidi" w:hAnsiTheme="majorBidi" w:cstheme="majorBidi"/>
        </w:rPr>
        <w:t xml:space="preserve"> </w:t>
      </w:r>
      <w:r w:rsidR="00A65670" w:rsidRPr="00996B4A">
        <w:rPr>
          <w:rFonts w:asciiTheme="majorBidi" w:hAnsiTheme="majorBidi" w:cstheme="majorBidi"/>
        </w:rPr>
        <w:t>(movers)</w:t>
      </w:r>
      <w:r w:rsidR="00595F60" w:rsidRPr="00996B4A">
        <w:rPr>
          <w:rFonts w:asciiTheme="majorBidi" w:hAnsiTheme="majorBidi" w:cstheme="majorBidi"/>
        </w:rPr>
        <w:t>, or write in the country where they lived on</w:t>
      </w:r>
      <w:r w:rsidR="00A148F7" w:rsidRPr="00996B4A">
        <w:rPr>
          <w:rFonts w:asciiTheme="majorBidi" w:hAnsiTheme="majorBidi" w:cstheme="majorBidi"/>
        </w:rPr>
        <w:t>e</w:t>
      </w:r>
      <w:r w:rsidR="00595F60" w:rsidRPr="00996B4A">
        <w:rPr>
          <w:rFonts w:asciiTheme="majorBidi" w:hAnsiTheme="majorBidi" w:cstheme="majorBidi"/>
        </w:rPr>
        <w:t xml:space="preserve"> year ago (recent immigrants).</w:t>
      </w:r>
      <w:r w:rsidR="00FC59E9" w:rsidRPr="00996B4A">
        <w:rPr>
          <w:rFonts w:asciiTheme="majorBidi" w:hAnsiTheme="majorBidi" w:cstheme="majorBidi"/>
        </w:rPr>
        <w:t xml:space="preserve"> We exclude non-movers and </w:t>
      </w:r>
      <w:r w:rsidR="00960D69" w:rsidRPr="00996B4A">
        <w:rPr>
          <w:rFonts w:asciiTheme="majorBidi" w:hAnsiTheme="majorBidi" w:cstheme="majorBidi"/>
        </w:rPr>
        <w:t>those who lived outside of England and Wales 12 months prior to the Census</w:t>
      </w:r>
      <w:r w:rsidR="00A148F7" w:rsidRPr="00996B4A">
        <w:rPr>
          <w:rFonts w:asciiTheme="majorBidi" w:hAnsiTheme="majorBidi" w:cstheme="majorBidi"/>
        </w:rPr>
        <w:t xml:space="preserve">, </w:t>
      </w:r>
      <w:r w:rsidR="00960D69" w:rsidRPr="00996B4A">
        <w:rPr>
          <w:rFonts w:asciiTheme="majorBidi" w:hAnsiTheme="majorBidi" w:cstheme="majorBidi"/>
        </w:rPr>
        <w:t xml:space="preserve">as distances are calculated by the ONS only for those </w:t>
      </w:r>
      <w:r w:rsidR="008552ED" w:rsidRPr="00996B4A">
        <w:rPr>
          <w:rFonts w:asciiTheme="majorBidi" w:hAnsiTheme="majorBidi" w:cstheme="majorBidi"/>
        </w:rPr>
        <w:t>who moved</w:t>
      </w:r>
      <w:r w:rsidR="00960D69" w:rsidRPr="00996B4A">
        <w:rPr>
          <w:rFonts w:asciiTheme="majorBidi" w:hAnsiTheme="majorBidi" w:cstheme="majorBidi"/>
        </w:rPr>
        <w:t xml:space="preserve"> within England and Wales</w:t>
      </w:r>
      <w:r w:rsidR="00954D1E" w:rsidRPr="00996B4A">
        <w:rPr>
          <w:rFonts w:asciiTheme="majorBidi" w:hAnsiTheme="majorBidi" w:cstheme="majorBidi"/>
        </w:rPr>
        <w:t>.</w:t>
      </w:r>
      <w:r w:rsidR="00221413" w:rsidRPr="00996B4A">
        <w:rPr>
          <w:rFonts w:asciiTheme="majorBidi" w:hAnsiTheme="majorBidi" w:cstheme="majorBidi"/>
        </w:rPr>
        <w:t xml:space="preserve"> </w:t>
      </w:r>
      <w:r w:rsidRPr="00996B4A">
        <w:rPr>
          <w:rFonts w:asciiTheme="majorBidi" w:hAnsiTheme="majorBidi" w:cstheme="majorBidi"/>
        </w:rPr>
        <w:t>Students who move from a term-time address to another address are also excluded, as distances are not calculated for this group by the ONS.</w:t>
      </w:r>
      <w:r w:rsidR="00950271" w:rsidRPr="00996B4A">
        <w:rPr>
          <w:rFonts w:asciiTheme="majorBidi" w:hAnsiTheme="majorBidi" w:cstheme="majorBidi"/>
        </w:rPr>
        <w:t xml:space="preserve"> Those who report living rent free are also excluded from our sample, this is likely a very heterogeneous group whom experience very different drivers of migration </w:t>
      </w:r>
      <w:r w:rsidR="008D2D92" w:rsidRPr="00996B4A">
        <w:rPr>
          <w:rFonts w:asciiTheme="majorBidi" w:hAnsiTheme="majorBidi" w:cstheme="majorBidi"/>
        </w:rPr>
        <w:t>than those in other living arrangements.</w:t>
      </w:r>
      <w:r w:rsidRPr="00996B4A">
        <w:rPr>
          <w:rFonts w:asciiTheme="majorBidi" w:hAnsiTheme="majorBidi" w:cstheme="majorBidi"/>
        </w:rPr>
        <w:t xml:space="preserve"> </w:t>
      </w:r>
      <w:r w:rsidR="00466F4A" w:rsidRPr="00996B4A">
        <w:rPr>
          <w:rFonts w:asciiTheme="majorBidi" w:hAnsiTheme="majorBidi" w:cstheme="majorBidi"/>
        </w:rPr>
        <w:t>Excluding participants with missing data</w:t>
      </w:r>
      <w:r w:rsidR="00A148F7" w:rsidRPr="00996B4A">
        <w:rPr>
          <w:rFonts w:asciiTheme="majorBidi" w:hAnsiTheme="majorBidi" w:cstheme="majorBidi"/>
        </w:rPr>
        <w:t xml:space="preserve"> for family</w:t>
      </w:r>
      <w:r w:rsidR="00634BF7" w:rsidRPr="00996B4A">
        <w:rPr>
          <w:rFonts w:asciiTheme="majorBidi" w:hAnsiTheme="majorBidi" w:cstheme="majorBidi"/>
        </w:rPr>
        <w:t xml:space="preserve"> status (902), whether they are</w:t>
      </w:r>
      <w:r w:rsidR="00A148F7" w:rsidRPr="00996B4A">
        <w:rPr>
          <w:rFonts w:asciiTheme="majorBidi" w:hAnsiTheme="majorBidi" w:cstheme="majorBidi"/>
        </w:rPr>
        <w:t xml:space="preserve"> part of a wholly moving household (257) or report living rent free (5,821)</w:t>
      </w:r>
      <w:r w:rsidR="00466F4A" w:rsidRPr="00996B4A">
        <w:rPr>
          <w:rFonts w:asciiTheme="majorBidi" w:hAnsiTheme="majorBidi" w:cstheme="majorBidi"/>
        </w:rPr>
        <w:t xml:space="preserve">, </w:t>
      </w:r>
      <w:r w:rsidR="00EC18A7" w:rsidRPr="00996B4A">
        <w:rPr>
          <w:rFonts w:asciiTheme="majorBidi" w:hAnsiTheme="majorBidi" w:cstheme="majorBidi"/>
        </w:rPr>
        <w:t xml:space="preserve">our </w:t>
      </w:r>
      <w:r w:rsidR="00B16D31" w:rsidRPr="00996B4A">
        <w:rPr>
          <w:rFonts w:asciiTheme="majorBidi" w:hAnsiTheme="majorBidi" w:cstheme="majorBidi"/>
        </w:rPr>
        <w:t>final sample</w:t>
      </w:r>
      <w:r w:rsidR="00A148F7" w:rsidRPr="00996B4A">
        <w:rPr>
          <w:rFonts w:asciiTheme="majorBidi" w:hAnsiTheme="majorBidi" w:cstheme="majorBidi"/>
        </w:rPr>
        <w:t xml:space="preserve"> contains</w:t>
      </w:r>
      <w:r w:rsidR="00EC18A7" w:rsidRPr="00996B4A">
        <w:rPr>
          <w:rFonts w:asciiTheme="majorBidi" w:hAnsiTheme="majorBidi" w:cstheme="majorBidi"/>
        </w:rPr>
        <w:t xml:space="preserve"> </w:t>
      </w:r>
      <w:r w:rsidR="002232E1" w:rsidRPr="00996B4A">
        <w:rPr>
          <w:rFonts w:asciiTheme="majorBidi" w:hAnsiTheme="majorBidi" w:cstheme="majorBidi"/>
        </w:rPr>
        <w:t>442,340</w:t>
      </w:r>
      <w:r w:rsidR="00954D1E" w:rsidRPr="00996B4A">
        <w:rPr>
          <w:rFonts w:asciiTheme="majorBidi" w:hAnsiTheme="majorBidi" w:cstheme="majorBidi"/>
        </w:rPr>
        <w:t xml:space="preserve"> </w:t>
      </w:r>
      <w:r w:rsidR="005D2732">
        <w:rPr>
          <w:rFonts w:asciiTheme="majorBidi" w:hAnsiTheme="majorBidi" w:cstheme="majorBidi"/>
        </w:rPr>
        <w:t xml:space="preserve">working-age </w:t>
      </w:r>
      <w:r w:rsidR="00954D1E" w:rsidRPr="00996B4A">
        <w:rPr>
          <w:rFonts w:asciiTheme="majorBidi" w:hAnsiTheme="majorBidi" w:cstheme="majorBidi"/>
        </w:rPr>
        <w:t>adult</w:t>
      </w:r>
      <w:r w:rsidR="005D2732">
        <w:rPr>
          <w:rFonts w:asciiTheme="majorBidi" w:hAnsiTheme="majorBidi" w:cstheme="majorBidi"/>
        </w:rPr>
        <w:t xml:space="preserve"> internal migrants</w:t>
      </w:r>
      <w:r w:rsidR="005229D0" w:rsidRPr="00996B4A">
        <w:rPr>
          <w:rFonts w:asciiTheme="majorBidi" w:hAnsiTheme="majorBidi" w:cstheme="majorBidi"/>
        </w:rPr>
        <w:t xml:space="preserve">. </w:t>
      </w:r>
    </w:p>
    <w:p w14:paraId="7667F7A1" w14:textId="77777777" w:rsidR="00A10C95" w:rsidRPr="00996B4A" w:rsidRDefault="00A10C95" w:rsidP="00842CB7">
      <w:pPr>
        <w:pStyle w:val="Heading2"/>
      </w:pPr>
      <w:r w:rsidRPr="00996B4A">
        <w:t>Outcome</w:t>
      </w:r>
    </w:p>
    <w:p w14:paraId="788909AB" w14:textId="47848FC3" w:rsidR="000E08B3" w:rsidRPr="00996B4A" w:rsidRDefault="00A10C95">
      <w:pPr>
        <w:spacing w:line="480" w:lineRule="auto"/>
        <w:rPr>
          <w:rFonts w:asciiTheme="majorBidi" w:hAnsiTheme="majorBidi" w:cstheme="majorBidi"/>
        </w:rPr>
      </w:pPr>
      <w:r w:rsidRPr="00996B4A">
        <w:rPr>
          <w:rFonts w:asciiTheme="majorBidi" w:hAnsiTheme="majorBidi" w:cstheme="majorBidi"/>
        </w:rPr>
        <w:t>The outcome measure</w:t>
      </w:r>
      <w:r w:rsidR="00BA052C" w:rsidRPr="00996B4A">
        <w:rPr>
          <w:rFonts w:asciiTheme="majorBidi" w:hAnsiTheme="majorBidi" w:cstheme="majorBidi"/>
        </w:rPr>
        <w:t>s</w:t>
      </w:r>
      <w:r w:rsidRPr="00996B4A">
        <w:rPr>
          <w:rFonts w:asciiTheme="majorBidi" w:hAnsiTheme="majorBidi" w:cstheme="majorBidi"/>
        </w:rPr>
        <w:t xml:space="preserve"> in this analysis </w:t>
      </w:r>
      <w:r w:rsidR="00311080" w:rsidRPr="00996B4A">
        <w:rPr>
          <w:rFonts w:asciiTheme="majorBidi" w:hAnsiTheme="majorBidi" w:cstheme="majorBidi"/>
        </w:rPr>
        <w:t>derive from a variable containing the</w:t>
      </w:r>
      <w:r w:rsidRPr="00996B4A">
        <w:rPr>
          <w:rFonts w:asciiTheme="majorBidi" w:hAnsiTheme="majorBidi" w:cstheme="majorBidi"/>
        </w:rPr>
        <w:t xml:space="preserve"> </w:t>
      </w:r>
      <w:r w:rsidR="00C10FDF" w:rsidRPr="00996B4A">
        <w:rPr>
          <w:rFonts w:asciiTheme="majorBidi" w:hAnsiTheme="majorBidi" w:cstheme="majorBidi"/>
        </w:rPr>
        <w:t xml:space="preserve">straight line </w:t>
      </w:r>
      <w:r w:rsidR="00E931A2" w:rsidRPr="00996B4A">
        <w:rPr>
          <w:rFonts w:asciiTheme="majorBidi" w:hAnsiTheme="majorBidi" w:cstheme="majorBidi"/>
        </w:rPr>
        <w:t>distance</w:t>
      </w:r>
      <w:r w:rsidR="00FC59E9" w:rsidRPr="00996B4A">
        <w:rPr>
          <w:rFonts w:asciiTheme="majorBidi" w:hAnsiTheme="majorBidi" w:cstheme="majorBidi"/>
        </w:rPr>
        <w:t xml:space="preserve"> (in </w:t>
      </w:r>
      <w:r w:rsidR="00125D3F" w:rsidRPr="00996B4A">
        <w:rPr>
          <w:rFonts w:asciiTheme="majorBidi" w:hAnsiTheme="majorBidi" w:cstheme="majorBidi"/>
        </w:rPr>
        <w:t>k</w:t>
      </w:r>
      <w:r w:rsidR="00125D3F" w:rsidRPr="00996B4A">
        <w:rPr>
          <w:rStyle w:val="CommentReference"/>
          <w:rFonts w:asciiTheme="majorBidi" w:hAnsiTheme="majorBidi" w:cstheme="majorBidi"/>
          <w:sz w:val="22"/>
          <w:szCs w:val="22"/>
        </w:rPr>
        <w:t>ilometres</w:t>
      </w:r>
      <w:r w:rsidR="00FC59E9" w:rsidRPr="00996B4A">
        <w:rPr>
          <w:rFonts w:asciiTheme="majorBidi" w:hAnsiTheme="majorBidi" w:cstheme="majorBidi"/>
        </w:rPr>
        <w:t xml:space="preserve">) between an individual’s address at the time of the 2011 Census and </w:t>
      </w:r>
      <w:r w:rsidR="00FC59E9" w:rsidRPr="00996B4A">
        <w:rPr>
          <w:rFonts w:asciiTheme="majorBidi" w:hAnsiTheme="majorBidi" w:cstheme="majorBidi"/>
        </w:rPr>
        <w:lastRenderedPageBreak/>
        <w:t>their address 12 months prior.</w:t>
      </w:r>
      <w:r w:rsidR="00C10FDF" w:rsidRPr="00996B4A">
        <w:rPr>
          <w:rFonts w:asciiTheme="majorBidi" w:hAnsiTheme="majorBidi" w:cstheme="majorBidi"/>
        </w:rPr>
        <w:t xml:space="preserve"> T</w:t>
      </w:r>
      <w:r w:rsidR="00420E20" w:rsidRPr="00996B4A">
        <w:rPr>
          <w:rFonts w:asciiTheme="majorBidi" w:hAnsiTheme="majorBidi" w:cstheme="majorBidi"/>
        </w:rPr>
        <w:t xml:space="preserve">he Euclidean (straight line) distance between the two residences are calculated from </w:t>
      </w:r>
      <w:r w:rsidR="00F25B4D" w:rsidRPr="00996B4A">
        <w:rPr>
          <w:rFonts w:asciiTheme="majorBidi" w:hAnsiTheme="majorBidi" w:cstheme="majorBidi"/>
        </w:rPr>
        <w:t>household</w:t>
      </w:r>
      <w:r w:rsidR="00420E20" w:rsidRPr="00996B4A">
        <w:rPr>
          <w:rFonts w:asciiTheme="majorBidi" w:hAnsiTheme="majorBidi" w:cstheme="majorBidi"/>
        </w:rPr>
        <w:t xml:space="preserve"> to </w:t>
      </w:r>
      <w:r w:rsidR="00F25B4D" w:rsidRPr="00996B4A">
        <w:rPr>
          <w:rFonts w:asciiTheme="majorBidi" w:hAnsiTheme="majorBidi" w:cstheme="majorBidi"/>
        </w:rPr>
        <w:t>household</w:t>
      </w:r>
      <w:r w:rsidR="00420E20" w:rsidRPr="00996B4A">
        <w:rPr>
          <w:rFonts w:asciiTheme="majorBidi" w:hAnsiTheme="majorBidi" w:cstheme="majorBidi"/>
        </w:rPr>
        <w:t xml:space="preserve"> by the ONS </w:t>
      </w:r>
      <w:r w:rsidR="00420E20" w:rsidRPr="00996B4A">
        <w:rPr>
          <w:rFonts w:asciiTheme="majorBidi" w:hAnsiTheme="majorBidi" w:cstheme="majorBidi"/>
        </w:rPr>
        <w:fldChar w:fldCharType="begin" w:fldLock="1"/>
      </w:r>
      <w:r w:rsidR="006A5A55" w:rsidRPr="00996B4A">
        <w:rPr>
          <w:rFonts w:asciiTheme="majorBidi" w:hAnsiTheme="majorBidi" w:cstheme="majorBidi"/>
        </w:rPr>
        <w:instrText>ADDIN CSL_CITATION { "citationItems" : [ { "id" : "ITEM-1", "itemData" : { "URL" : "http://www.ons.gov.uk/ons/guide-method/census/2011/census-data/2011-census-user-guide/information-by-variable/part-3--standard-variables.pdf", "accessed" : { "date-parts" : [ [ "2015", "10", "22" ] ] }, "author" : [ { "dropping-particle" : "", "family" : "Office for National Statistics", "given" : "", "non-dropping-particle" : "", "parse-names" : false, "suffix" : "" } ], "id" : "ITEM-1", "issued" : { "date-parts" : [ [ "2014" ] ] }, "title" : "2011 census variable and classification information: part 4", "type" : "webpage" }, "uris" : [ "http://www.mendeley.com/documents/?uuid=28882b76-03cd-45da-93c3-28fed2c37351" ] } ], "mendeley" : { "formattedCitation" : "(Office for National Statistics, 2014)", "plainTextFormattedCitation" : "(Office for National Statistics, 2014)", "previouslyFormattedCitation" : "(Office for National Statistics, 2014)" }, "properties" : { "noteIndex" : 0 }, "schema" : "https://github.com/citation-style-language/schema/raw/master/csl-citation.json" }</w:instrText>
      </w:r>
      <w:r w:rsidR="00420E20" w:rsidRPr="00996B4A">
        <w:rPr>
          <w:rFonts w:asciiTheme="majorBidi" w:hAnsiTheme="majorBidi" w:cstheme="majorBidi"/>
        </w:rPr>
        <w:fldChar w:fldCharType="separate"/>
      </w:r>
      <w:r w:rsidR="006A5A55" w:rsidRPr="00996B4A">
        <w:rPr>
          <w:rFonts w:asciiTheme="majorBidi" w:hAnsiTheme="majorBidi" w:cstheme="majorBidi"/>
          <w:noProof/>
        </w:rPr>
        <w:t>(Office for National Statistics, 2014)</w:t>
      </w:r>
      <w:r w:rsidR="00420E20" w:rsidRPr="00996B4A">
        <w:rPr>
          <w:rFonts w:asciiTheme="majorBidi" w:hAnsiTheme="majorBidi" w:cstheme="majorBidi"/>
        </w:rPr>
        <w:fldChar w:fldCharType="end"/>
      </w:r>
      <w:r w:rsidR="008D2D92" w:rsidRPr="00996B4A">
        <w:rPr>
          <w:rFonts w:asciiTheme="majorBidi" w:hAnsiTheme="majorBidi" w:cstheme="majorBidi"/>
        </w:rPr>
        <w:t>, and provided as a continuous measure</w:t>
      </w:r>
      <w:r w:rsidR="00420E20" w:rsidRPr="00996B4A">
        <w:rPr>
          <w:rFonts w:asciiTheme="majorBidi" w:hAnsiTheme="majorBidi" w:cstheme="majorBidi"/>
        </w:rPr>
        <w:t>.</w:t>
      </w:r>
      <w:r w:rsidR="007A7656" w:rsidRPr="00996B4A">
        <w:rPr>
          <w:rFonts w:asciiTheme="majorBidi" w:hAnsiTheme="majorBidi" w:cstheme="majorBidi"/>
        </w:rPr>
        <w:t xml:space="preserve"> </w:t>
      </w:r>
      <w:r w:rsidR="000E08B3" w:rsidRPr="00996B4A">
        <w:rPr>
          <w:rFonts w:asciiTheme="majorBidi" w:hAnsiTheme="majorBidi" w:cstheme="majorBidi"/>
        </w:rPr>
        <w:t>To explore the issue of scale we use three definitions of long distance migration, where moves are considered long distance if an individual moved: 1) 10km or further 2) 20km or further 3) 50km or further; herein referred to as the 10km model, 20km model and 50km model respectively. These outcomes allow us to test whether the</w:t>
      </w:r>
      <w:r w:rsidR="00A36A58" w:rsidRPr="00996B4A">
        <w:rPr>
          <w:rFonts w:asciiTheme="majorBidi" w:hAnsiTheme="majorBidi" w:cstheme="majorBidi"/>
        </w:rPr>
        <w:t>re is an</w:t>
      </w:r>
      <w:r w:rsidR="000E08B3" w:rsidRPr="00996B4A">
        <w:rPr>
          <w:rFonts w:asciiTheme="majorBidi" w:hAnsiTheme="majorBidi" w:cstheme="majorBidi"/>
        </w:rPr>
        <w:t xml:space="preserve"> association between health and long distance migration across these definitions of long distance</w:t>
      </w:r>
      <w:r w:rsidR="00A36A58" w:rsidRPr="00996B4A">
        <w:rPr>
          <w:rFonts w:asciiTheme="majorBidi" w:hAnsiTheme="majorBidi" w:cstheme="majorBidi"/>
        </w:rPr>
        <w:t xml:space="preserve">, </w:t>
      </w:r>
      <w:r w:rsidR="009E1A67" w:rsidRPr="00996B4A">
        <w:rPr>
          <w:rFonts w:asciiTheme="majorBidi" w:hAnsiTheme="majorBidi" w:cstheme="majorBidi"/>
        </w:rPr>
        <w:t>drawn from the literature (see Table 1)</w:t>
      </w:r>
      <w:r w:rsidR="000E08B3" w:rsidRPr="00996B4A">
        <w:rPr>
          <w:rFonts w:asciiTheme="majorBidi" w:hAnsiTheme="majorBidi" w:cstheme="majorBidi"/>
        </w:rPr>
        <w:t>.</w:t>
      </w:r>
    </w:p>
    <w:p w14:paraId="7B4633B8" w14:textId="77777777" w:rsidR="00420E20" w:rsidRPr="00996B4A" w:rsidRDefault="00420E20" w:rsidP="00842CB7">
      <w:pPr>
        <w:pStyle w:val="Heading2"/>
      </w:pPr>
      <w:r w:rsidRPr="00996B4A">
        <w:t>Exposure variable</w:t>
      </w:r>
    </w:p>
    <w:p w14:paraId="4F3B0E6E" w14:textId="0797BDCE" w:rsidR="00420E20" w:rsidRPr="00996B4A" w:rsidRDefault="006A5A55" w:rsidP="00D000A1">
      <w:pPr>
        <w:spacing w:line="480" w:lineRule="auto"/>
        <w:rPr>
          <w:rFonts w:asciiTheme="majorBidi" w:hAnsiTheme="majorBidi" w:cstheme="majorBidi"/>
          <w:lang w:eastAsia="zh-TW"/>
        </w:rPr>
      </w:pPr>
      <w:r w:rsidRPr="00996B4A">
        <w:rPr>
          <w:rFonts w:asciiTheme="majorBidi" w:hAnsiTheme="majorBidi" w:cstheme="majorBidi"/>
        </w:rPr>
        <w:t xml:space="preserve">There are two measures of health captured by the Census, a measure of self-rated health (“how is your health in general”) and a measure of Limiting Long Term Illness (LLTI). </w:t>
      </w:r>
      <w:r w:rsidR="009D5F06" w:rsidRPr="00996B4A">
        <w:rPr>
          <w:rFonts w:asciiTheme="majorBidi" w:hAnsiTheme="majorBidi" w:cstheme="majorBidi"/>
        </w:rPr>
        <w:t>The exposure variable used in this analysis is</w:t>
      </w:r>
      <w:r w:rsidR="00420E20" w:rsidRPr="00996B4A">
        <w:rPr>
          <w:rFonts w:asciiTheme="majorBidi" w:hAnsiTheme="majorBidi" w:cstheme="majorBidi"/>
        </w:rPr>
        <w:t xml:space="preserve"> </w:t>
      </w:r>
      <w:r w:rsidR="00680BEA">
        <w:rPr>
          <w:rFonts w:asciiTheme="majorBidi" w:hAnsiTheme="majorBidi" w:cstheme="majorBidi"/>
        </w:rPr>
        <w:t xml:space="preserve">LLTI. </w:t>
      </w:r>
      <w:r w:rsidR="009D5F06" w:rsidRPr="00996B4A">
        <w:rPr>
          <w:rFonts w:asciiTheme="majorBidi" w:hAnsiTheme="majorBidi" w:cstheme="majorBidi"/>
          <w:lang w:eastAsia="zh-TW"/>
        </w:rPr>
        <w:t>LLTI is</w:t>
      </w:r>
      <w:r w:rsidR="00420E20" w:rsidRPr="00996B4A">
        <w:rPr>
          <w:rFonts w:asciiTheme="majorBidi" w:hAnsiTheme="majorBidi" w:cstheme="majorBidi"/>
          <w:lang w:eastAsia="zh-TW"/>
        </w:rPr>
        <w:t xml:space="preserve"> measured by the question: “Are your day-to-day activities limited because of a health problem or disability which has lasted, or is expected to last, at least 12 months? Include problems related to old age” (recoded as 0= no and 1= yes, limited a little or yes, limited a lot) </w:t>
      </w:r>
      <w:r w:rsidR="00E931A2" w:rsidRPr="00996B4A">
        <w:rPr>
          <w:rFonts w:asciiTheme="majorBidi" w:hAnsiTheme="majorBidi" w:cstheme="majorBidi"/>
        </w:rPr>
        <w:t>in line with other studies</w:t>
      </w:r>
      <w:r w:rsidR="009E1A67" w:rsidRPr="00996B4A">
        <w:rPr>
          <w:rFonts w:asciiTheme="majorBidi" w:hAnsiTheme="majorBidi" w:cstheme="majorBidi"/>
        </w:rPr>
        <w:t xml:space="preserve"> exploring the relationship between health and migration</w:t>
      </w:r>
      <w:r w:rsidR="00E931A2" w:rsidRPr="00996B4A">
        <w:rPr>
          <w:rFonts w:asciiTheme="majorBidi" w:hAnsiTheme="majorBidi" w:cstheme="majorBidi"/>
        </w:rPr>
        <w:t xml:space="preserve"> </w:t>
      </w:r>
      <w:r w:rsidR="00420E20" w:rsidRPr="00996B4A">
        <w:rPr>
          <w:rFonts w:asciiTheme="majorBidi" w:hAnsiTheme="majorBidi" w:cstheme="majorBidi"/>
        </w:rPr>
        <w:fldChar w:fldCharType="begin" w:fldLock="1"/>
      </w:r>
      <w:r w:rsidR="00607727">
        <w:rPr>
          <w:rFonts w:asciiTheme="majorBidi" w:hAnsiTheme="majorBidi" w:cstheme="majorBidi"/>
        </w:rPr>
        <w:instrText>ADDIN CSL_CITATION { "citationItems" : [ { "id" : "ITEM-1", "itemData" : { "DOI" : "10.1016/j.socscimed.2004.11.008", "ISSN" : "0277-9536", "PMID" : "15820585", "abstract" : "Population migration is a major determinant of an area's age-sex structure and socio-economic characteristics. The suggestion that migration can contribute to an increase or decrease in place-specific rates of illness is not new. However, differences in health status between small geographical locations that may be affected by the inter-relationships between health, area-based deprivation and migration are under-researched. Using the Office for National Statistics (ONS) England and Wales Longitudinal Study (LS) 1971-1991, this research tracks individuals to identify any systematic sorting of people that has contributed to the area-level relationships between health (limiting long-term illness and mortality) and deprivation (Carstairs quintiles). The results demonstrate that among the young, migrants are generally healthier than non-migrants. Migrants who move from more to less deprived locations are healthier than migrants who move from less to more deprived locations. Within less deprived areas migrants are healthier than non-migrants but within deprived areas migrants are less healthy than non-migrants. Over the 20 year period, the largest absolute flow is by relatively healthy migrants moving away from more deprived areas towards less deprived areas. The effect is to raise ill-health and mortality rates in the origins and lower them in the destinations. This is reinforced by a significant group of people in poor health who move from less to more deprived locations. In contrast, a small group of unhealthy people moved away from more deprived into less deprived areas. These countercurrents of less healthy people have a slight ameliorating effect on the health-deprivation relationship. Whilst health-deprivation relationships are more marked for migrants there are also health (dis-) benefits for non-migrants if their location becomes relatively more or less deprived over time. Overall we found that between 1971 and 1991, inequalities in health increased between the least and most deprived areas, compared with the health-deprivation relationship which would have existed if peoples' locations and deprivation patterns had stayed geographically constant. Migration, rather than changes in the deprivation of the area that non-migrants live in, accounts for the large majority of change.", "author" : [ { "dropping-particle" : "", "family" : "Norman", "given" : "Paul", "non-dropping-particle" : "", "parse-names" : false, "suffix" : "" }, { "dropping-particle" : "", "family" : "Boyle", "given" : "Paul", "non-dropping-particle" : "", "parse-names" : false, "suffix" : "" }, { "dropping-particle" : "", "family" : "Rees", "given" : "Philip", "non-dropping-particle" : "", "parse-names" : false, "suffix" : "" } ], "container-title" : "Social science &amp; medicine (1982)", "id" : "ITEM-1", "issue" : "12", "issued" : { "date-parts" : [ [ "2005", "6" ] ] }, "note" : "Uses the ONS LS to understand the relationship between migration, area deprivation and LTLI. FOund that upwardly mobile migrants were healthier than downwardly mobile migrants and the stayers in areas which became more or less deprived were more or less likely to develop a LTLI.", "page" : "2755-71", "title" : "Selective migration, health and deprivation: a longitudinal analysis.", "type" : "article-journal", "volume" : "60" }, "uris" : [ "http://www.mendeley.com/documents/?uuid=fed9e45c-ddb8-4bb3-abd4-0b3ef3c6402d" ] } ], "mendeley" : { "formattedCitation" : "(Norman &lt;i&gt;et al.&lt;/i&gt;, 2005)", "manualFormatting" : "(e.g. Norman et al., 2005)", "plainTextFormattedCitation" : "(Norman et al., 2005)", "previouslyFormattedCitation" : "(Norman &lt;i&gt;et al.&lt;/i&gt;, 2005)" }, "properties" : { "noteIndex" : 0 }, "schema" : "https://github.com/citation-style-language/schema/raw/master/csl-citation.json" }</w:instrText>
      </w:r>
      <w:r w:rsidR="00420E20" w:rsidRPr="00996B4A">
        <w:rPr>
          <w:rFonts w:asciiTheme="majorBidi" w:hAnsiTheme="majorBidi" w:cstheme="majorBidi"/>
        </w:rPr>
        <w:fldChar w:fldCharType="separate"/>
      </w:r>
      <w:r w:rsidR="009E1A67" w:rsidRPr="00996B4A">
        <w:rPr>
          <w:rFonts w:asciiTheme="majorBidi" w:hAnsiTheme="majorBidi" w:cstheme="majorBidi"/>
          <w:noProof/>
        </w:rPr>
        <w:t>(e.g. Norman et al., 2005)</w:t>
      </w:r>
      <w:r w:rsidR="00420E20" w:rsidRPr="00996B4A">
        <w:rPr>
          <w:rFonts w:asciiTheme="majorBidi" w:hAnsiTheme="majorBidi" w:cstheme="majorBidi"/>
        </w:rPr>
        <w:fldChar w:fldCharType="end"/>
      </w:r>
      <w:r w:rsidR="00420E20" w:rsidRPr="00996B4A">
        <w:rPr>
          <w:rFonts w:asciiTheme="majorBidi" w:hAnsiTheme="majorBidi" w:cstheme="majorBidi"/>
          <w:lang w:eastAsia="zh-TW"/>
        </w:rPr>
        <w:t xml:space="preserve">. We expect those </w:t>
      </w:r>
      <w:r w:rsidR="00D000A1">
        <w:rPr>
          <w:rFonts w:asciiTheme="majorBidi" w:hAnsiTheme="majorBidi" w:cstheme="majorBidi"/>
          <w:lang w:eastAsia="zh-TW"/>
        </w:rPr>
        <w:t>with</w:t>
      </w:r>
      <w:r w:rsidR="005A4EFE">
        <w:rPr>
          <w:rFonts w:asciiTheme="majorBidi" w:hAnsiTheme="majorBidi" w:cstheme="majorBidi"/>
          <w:lang w:eastAsia="zh-TW"/>
        </w:rPr>
        <w:t xml:space="preserve"> an LLTI</w:t>
      </w:r>
      <w:r w:rsidR="00420E20" w:rsidRPr="00996B4A">
        <w:rPr>
          <w:rFonts w:asciiTheme="majorBidi" w:hAnsiTheme="majorBidi" w:cstheme="majorBidi"/>
          <w:lang w:eastAsia="zh-TW"/>
        </w:rPr>
        <w:t xml:space="preserve"> to be </w:t>
      </w:r>
      <w:r w:rsidR="009C1B08" w:rsidRPr="00996B4A">
        <w:rPr>
          <w:rFonts w:asciiTheme="majorBidi" w:hAnsiTheme="majorBidi" w:cstheme="majorBidi"/>
          <w:lang w:eastAsia="zh-TW"/>
        </w:rPr>
        <w:t>less likely</w:t>
      </w:r>
      <w:r w:rsidR="00420E20" w:rsidRPr="00996B4A">
        <w:rPr>
          <w:rFonts w:asciiTheme="majorBidi" w:hAnsiTheme="majorBidi" w:cstheme="majorBidi"/>
          <w:lang w:eastAsia="zh-TW"/>
        </w:rPr>
        <w:t xml:space="preserve"> to move </w:t>
      </w:r>
      <w:r w:rsidR="009C1B08" w:rsidRPr="00996B4A">
        <w:rPr>
          <w:rFonts w:asciiTheme="majorBidi" w:hAnsiTheme="majorBidi" w:cstheme="majorBidi"/>
          <w:lang w:eastAsia="zh-TW"/>
        </w:rPr>
        <w:t>long</w:t>
      </w:r>
      <w:r w:rsidR="00420E20" w:rsidRPr="00996B4A">
        <w:rPr>
          <w:rFonts w:asciiTheme="majorBidi" w:hAnsiTheme="majorBidi" w:cstheme="majorBidi"/>
          <w:lang w:eastAsia="zh-TW"/>
        </w:rPr>
        <w:t xml:space="preserve"> distance </w:t>
      </w:r>
      <w:r w:rsidR="00420E20" w:rsidRPr="00996B4A">
        <w:rPr>
          <w:rFonts w:asciiTheme="majorBidi" w:hAnsiTheme="majorBidi" w:cstheme="majorBidi"/>
          <w:lang w:eastAsia="zh-TW"/>
        </w:rPr>
        <w:fldChar w:fldCharType="begin" w:fldLock="1"/>
      </w:r>
      <w:r w:rsidR="00607727">
        <w:rPr>
          <w:rFonts w:asciiTheme="majorBidi" w:hAnsiTheme="majorBidi" w:cstheme="majorBidi"/>
          <w:lang w:eastAsia="zh-TW"/>
        </w:rPr>
        <w:instrText>ADDIN CSL_CITATION { "citationItems" : [ { "id" : "ITEM-1", "itemData" : { "DOI" : "10.1016/0277-9536(88)90044-5", "author" : [ { "dropping-particle" : "", "family" : "Bentham", "given" : "Graham", "non-dropping-particle" : "", "parse-names" : false, "suffix" : "" } ], "container-title" : "Social science &amp; medicine", "id" : "ITEM-1", "issue" : "1", "issued" : { "date-parts" : [ [ "1988" ] ] }, "note" : "Discusses self-reported morvidity from the 1981 census. Found that young migrants moving long distances were relatively healthy - in areas with high out-migraiton we would therefore expect the young to be unhealthy and the opposite in areas with high in-migration. Amongst older people migration is negative-health selective moving shorter distance to be closer to medical care. So relatively benefiical environments with good health services might be disproportionately occupied by the sick.", "page" : "49-54", "title" : "Migration and morbidity: implications for geographical studies of disease", "type" : "article-journal", "volume" : "26" }, "uris" : [ "http://www.mendeley.com/documents/?uuid=f57c4cb0-1ae6-4cc4-b923-7f60ab98f42b" ] }, { "id" : "ITEM-2", "itemData" : { "ISSN" : "0143-005X", "abstract" : "The Office of Population Censuses and Surveys Longitudinal Study provides reliable mortality data by a much wider range of characteristics than are available for other national sources. Although it is based on only a 1% sample of the population, it broadens the scope of mortality analysis and permits study of changes in relationships using different aspects of the time dimension. Data from this study have made us increasingly aware of the importance of selection to the interpretation and understanding of observed mortality differentials. Here we focus on that aspect of selection called \"health-related mobility,\" which is associated with the relative health of people acquiring or losing individual characteristics. It is suggested that, for characteristics affected by health-related mobility, mortality differentials would narrow or widen with increased duration of follow-up. One of the basis of this argument the contribution of health-related mobility to mortality differentials by economic position and social class, to regional differentials, and to family and household differentials is investigated. Selection can thus be shown to operate when people change economic position, when they migrate, or when they change marital status. While the effects of these selection processes can be shown to contribute to social class gradients they do not explain regional differentials and contribute only to a limited degree to differentials by marital status. Differentials by household circumstances also reflect the product of selection processes. ", "author" : [ { "dropping-particle" : "", "family" : "Fox", "given" : "A J", "non-dropping-particle" : "", "parse-names" : false, "suffix" : "" }, { "dropping-particle" : "", "family" : "Goldblatt", "given" : "P O", "non-dropping-particle" : "", "parse-names" : false, "suffix" : "" }, { "dropping-particle" : "", "family" : "Adelstein", "given" : "A M", "non-dropping-particle" : "", "parse-names" : false, "suffix" : "" } ], "container-title" : "Journal of Epidemiology and Community Health", "id" : "ITEM-2", "issue" : "2", "issued" : { "date-parts" : [ [ "1982", "6" ] ] }, "note" : "Points to several discussions on health and long distance migration using the 1971 census. \n\n\ni) Short distance (intra-county) moves are the most common\nii) Short distance moves are associated with high SMRs\niii) Regional migrants are healthier, suggesting ill health is a barrier to regional migration\niv) On spatiality, migrants from the North and West into the South and East are healthier than non-migrants in either region, suggesting that regional migration affects the distribution of health\nv) However the paucity of regional migration means that this selection effect does not have significant impacts on regional mortality rates", "page" : "69-79", "title" : "Selection and mortality differentials.", "type" : "article-journal", "volume" : "36" }, "uris" : [ "http://www.mendeley.com/documents/?uuid=230cc766-20a3-4948-86a3-6aa3a1b1bd15" ] }, { "id" : "ITEM-3", "itemData" : { "DOI" : "10.1016/S0277-9536(00)00373-7", "abstract" : "A previous study showed that variations in deprivation within small localities in England and Wales influenced the rates of self-reported limiting long-term illness, controlling for overall levels of deprivation. These results suggest that while morbidity is related to overall levels of material deprivation, the distribution of resources within small areas have a significant effect on health outcomes. However, it is possible that these area effects become redundant once individual-level characteristics are accounted for. This analysis examines whether area-level deprivation and variations in deprivation are significant indicators of individual-level limiting long-term illness, once individual characteristics have been accounted for.", "author" : [ { "dropping-particle" : "", "family" : "Boyle", "given" : "Paul", "non-dropping-particle" : "", "parse-names" : false, "suffix" : "" }, { "dropping-particle" : "", "family" : "Gatrell", "given" : "Anthony C", "non-dropping-particle" : "", "parse-names" : false, "suffix" : "" }, { "dropping-particle" : "", "family" : "Duke-Williams", "given" : "Oliver", "non-dropping-particle" : "", "parse-names" : false, "suffix" : "" } ], "container-title" : "Social Science &amp; Medicine", "id" : "ITEM-3", "issue" : "6", "issued" : { "date-parts" : [ [ "2001", "9" ] ] }, "note" : "Used the 1991 SARs household file to look at geographic variation in LTLI. Found evidence of individual and micro-level effects on the likelihood of LTLI. For individuals being older, male, white or blue collar, Indian, non-mover, divorced or widowed, no higher level qualifications, in the coal industry, non-owner, non-unemployed, under-crowding and no car ownership were related to higher chances of reporting LTLI. At the area level living in a deprived area increased the chances of reporting LTLI whilst there was still signfiicant within area deprivation showing that inequality withinareas is also a predictor of LTLI whilst higher proportions of in-migrants were associated with lower reporting of LTLI.", "page" : "795-799", "title" : "Do area-level population change, deprivation and variations in deprivation affect individual-level self-reported limiting long-term illness?", "type" : "article-journal", "volume" : "53" }, "uris" : [ "http://www.mendeley.com/documents/?uuid=2e655839-ea03-40f8-b2b3-154902b52f04" ] } ], "mendeley" : { "formattedCitation" : "(Fox &lt;i&gt;et al.&lt;/i&gt;, 1982; Bentham, 1988; Boyle &lt;i&gt;et al.&lt;/i&gt;, 2001)", "manualFormatting" : "(Bentham, 1988; Boyle et al., 2001; Fox et al., 1982)", "plainTextFormattedCitation" : "(Fox et al., 1982; Bentham, 1988; Boyle et al., 2001)", "previouslyFormattedCitation" : "(Fox &lt;i&gt;et al.&lt;/i&gt;, 1982; Bentham, 1988; Boyle &lt;i&gt;et al.&lt;/i&gt;, 2001)" }, "properties" : { "noteIndex" : 0 }, "schema" : "https://github.com/citation-style-language/schema/raw/master/csl-citation.json" }</w:instrText>
      </w:r>
      <w:r w:rsidR="00420E20" w:rsidRPr="00996B4A">
        <w:rPr>
          <w:rFonts w:asciiTheme="majorBidi" w:hAnsiTheme="majorBidi" w:cstheme="majorBidi"/>
          <w:lang w:eastAsia="zh-TW"/>
        </w:rPr>
        <w:fldChar w:fldCharType="separate"/>
      </w:r>
      <w:r w:rsidR="00420E20" w:rsidRPr="00996B4A">
        <w:rPr>
          <w:rFonts w:asciiTheme="majorBidi" w:hAnsiTheme="majorBidi" w:cstheme="majorBidi"/>
          <w:noProof/>
          <w:lang w:eastAsia="zh-TW"/>
        </w:rPr>
        <w:t>(Bentham, 1988; Boyle et al., 2001; Fox et al., 1982)</w:t>
      </w:r>
      <w:r w:rsidR="00420E20" w:rsidRPr="00996B4A">
        <w:rPr>
          <w:rFonts w:asciiTheme="majorBidi" w:hAnsiTheme="majorBidi" w:cstheme="majorBidi"/>
          <w:lang w:eastAsia="zh-TW"/>
        </w:rPr>
        <w:fldChar w:fldCharType="end"/>
      </w:r>
      <w:r w:rsidR="00420E20" w:rsidRPr="00996B4A">
        <w:rPr>
          <w:rFonts w:asciiTheme="majorBidi" w:hAnsiTheme="majorBidi" w:cstheme="majorBidi"/>
          <w:lang w:eastAsia="zh-TW"/>
        </w:rPr>
        <w:t>.</w:t>
      </w:r>
      <w:r w:rsidR="0069020F" w:rsidRPr="00996B4A">
        <w:rPr>
          <w:rFonts w:asciiTheme="majorBidi" w:hAnsiTheme="majorBidi" w:cstheme="majorBidi"/>
        </w:rPr>
        <w:t xml:space="preserve"> We </w:t>
      </w:r>
      <w:r w:rsidR="007D3C08" w:rsidRPr="00996B4A">
        <w:rPr>
          <w:rFonts w:asciiTheme="majorBidi" w:hAnsiTheme="majorBidi" w:cstheme="majorBidi"/>
        </w:rPr>
        <w:t xml:space="preserve">find </w:t>
      </w:r>
      <w:r w:rsidR="00E770EC" w:rsidRPr="00996B4A">
        <w:rPr>
          <w:rFonts w:asciiTheme="majorBidi" w:hAnsiTheme="majorBidi" w:cstheme="majorBidi"/>
        </w:rPr>
        <w:t>no significant</w:t>
      </w:r>
      <w:r w:rsidR="007D3C08" w:rsidRPr="00996B4A">
        <w:rPr>
          <w:rFonts w:asciiTheme="majorBidi" w:hAnsiTheme="majorBidi" w:cstheme="majorBidi"/>
        </w:rPr>
        <w:t xml:space="preserve"> differences </w:t>
      </w:r>
      <w:r w:rsidR="00E770EC" w:rsidRPr="00996B4A">
        <w:rPr>
          <w:rFonts w:asciiTheme="majorBidi" w:hAnsiTheme="majorBidi" w:cstheme="majorBidi"/>
        </w:rPr>
        <w:t>if self-rated health is used instead of LLTI in fully adjusted models. W</w:t>
      </w:r>
      <w:r w:rsidR="007D3C08" w:rsidRPr="00996B4A">
        <w:rPr>
          <w:rFonts w:asciiTheme="majorBidi" w:hAnsiTheme="majorBidi" w:cstheme="majorBidi"/>
        </w:rPr>
        <w:t xml:space="preserve">e proceed with LLTI as </w:t>
      </w:r>
      <w:r w:rsidR="00E770EC" w:rsidRPr="00996B4A">
        <w:rPr>
          <w:rFonts w:asciiTheme="majorBidi" w:hAnsiTheme="majorBidi" w:cstheme="majorBidi"/>
        </w:rPr>
        <w:t>our exposure variable</w:t>
      </w:r>
      <w:r w:rsidR="009D13BC">
        <w:rPr>
          <w:rFonts w:asciiTheme="majorBidi" w:hAnsiTheme="majorBidi" w:cstheme="majorBidi"/>
        </w:rPr>
        <w:t>,</w:t>
      </w:r>
      <w:r w:rsidR="007D3C08" w:rsidRPr="00996B4A">
        <w:rPr>
          <w:rFonts w:asciiTheme="majorBidi" w:hAnsiTheme="majorBidi" w:cstheme="majorBidi"/>
        </w:rPr>
        <w:t xml:space="preserve"> as LLTI has been used in previous studies based on Census microdata </w:t>
      </w:r>
      <w:r w:rsidR="007D3C08" w:rsidRPr="00996B4A">
        <w:rPr>
          <w:rFonts w:asciiTheme="majorBidi" w:hAnsiTheme="majorBidi" w:cstheme="majorBidi"/>
        </w:rPr>
        <w:fldChar w:fldCharType="begin" w:fldLock="1"/>
      </w:r>
      <w:r w:rsidR="00607727">
        <w:rPr>
          <w:rFonts w:asciiTheme="majorBidi" w:hAnsiTheme="majorBidi" w:cstheme="majorBidi"/>
        </w:rPr>
        <w:instrText>ADDIN CSL_CITATION { "citationItems" : [ { "id" : "ITEM-1", "itemData" : { "DOI" : "10.1016/j.healthplace.2013.12.010", "ISSN" : "1873-2054", "PMID" : "24412656", "abstract" : "The notion that mortality inequalities between differently deprived areas vary by age is logical since not all causes of death increase in risk with age and not all causes of death are related to the gradient of deprivation. In addition to the cause-age and cause-deprivation relationships, population migration may redistribute the population such that the health-deprivation relationship varies by age. We calculate cross-sectional all cause mortality and self-reported limiting long-term illness (LLTI) rate ratios of most to least deprived areas to demonstrate inequalities at different ages. We use longitudinal data to investigate whether there are changes in the distribution of cohorts between differently deprived areas over time and whether gradients of LLTI with deprivation also change. We find similar deprivation inequalities by age for all cause mortality and self-reported health with less inequality for young adults and the elderly but the greatest inequalities during mid life. Over time there are systematic movements of cohorts between differently deprived areas and associated increases and decreases in the gradient of LLTI across deprivation. It seems likely that population migration does influence inequalities by age. Further work should investigate whether the situation exists for other morbidities and, to better inform public health policy, whether restricting summary measures of area health to ages between 30 and 60 when inequalities are greatest will highlight between area differences.", "author" : [ { "dropping-particle" : "", "family" : "Norman", "given" : "Paul", "non-dropping-particle" : "", "parse-names" : false, "suffix" : "" }, { "dropping-particle" : "", "family" : "Boyle", "given" : "Paul", "non-dropping-particle" : "", "parse-names" : false, "suffix" : "" } ], "container-title" : "Health &amp; place", "id" : "ITEM-1", "issued" : { "date-parts" : [ [ "2014", "3" ] ] }, "page" : "88-93", "title" : "Are health inequalities between differently deprived areas evident at different ages? A longitudinal study of census records in England and Wales, 1991-2001.", "type" : "article-journal", "volume" : "26" }, "uris" : [ "http://www.mendeley.com/documents/?uuid=6fda0e87-368b-4c07-b9a0-762b64229f4d" ] }, { "id" : "ITEM-2", "itemData" : { "DOI" : "http://dx.doi.org/10.1016/j.socscimed.2003.09.011", "ISSN" : "0277-9536", "abstract" : "Numerous studies have investigated the relative importance of contextual (place) and compositional (person) factors in explaining health and mortality variations. Commonly, these studies control for a range of individual characteristics before testing whether one or more contextual variables have a significant impact on the health or mortality outcome. The findings have been inconsistent, although the growing consensus is, first, that contextual effects are significant but are less important than compositional factors and, second, that contextual effects have a stronger impact in studies of morbidity than in studies of mortality. Here we use longitudinal data to examine a related, but rather different, question. Extracting a select group of people from the ONS Longitudinal Study for England and Wales who had not moved house between 1971 and 1991 and who were living in non-deprived households throughout the 20-year period, we tested whether a change in the relative deprivation of the area in which they were living influenced their health and mortality status. The results demonstrate that changes in the relative deprivation of areas are related to health and mortality outcomes in a consistent way for both outcomes, although the results were more significant for morbidity. These findings suggest that neighbourhood-based public health and regeneration programmes may have demonstrable effects on the health of the residents who live there.", "author" : [ { "dropping-particle" : "", "family" : "Boyle", "given" : "Paul", "non-dropping-particle" : "", "parse-names" : false, "suffix" : "" }, { "dropping-particle" : "", "family" : "Norman", "given" : "Paul", "non-dropping-particle" : "", "parse-names" : false, "suffix" : "" }, { "dropping-particle" : "", "family" : "Rees", "given" : "Philip", "non-dropping-particle" : "", "parse-names" : false, "suffix" : "" } ], "container-title" : "Social Science &amp; Medicine", "id" : "ITEM-2", "issue" : "12", "issued" : { "date-parts" : [ [ "2004", "6" ] ] }, "note" : "Study of the relationship between deprivation status and mortality using the LS and accounting for changes in relative deprivation from 1971-1991. Looked at non-movers. Found a strong relationship between deprivation LLTI and mortality, those living in areas which became less-deprived over time were less likely to report an LLTI and less likely to experience mortality. Used in the literature review section on deprivation.", "page" : "2459-2471", "title" : "Changing places. Do changes in the relative deprivation of areas influence limiting long-term illness and mortality among non-migrant people living in non-deprived households?", "type" : "article-journal", "volume" : "58" }, "uris" : [ "http://www.mendeley.com/documents/?uuid=81b3db44-b66a-43f4-9ef5-f00b00627ec5" ] }, { "id" : "ITEM-3", "itemData" : { "DOI" : "10.1016/j.socscimed.2004.11.008", "ISSN" : "0277-9536", "PMID" : "15820585", "abstract" : "Population migration is a major determinant of an area's age-sex structure and socio-economic characteristics. The suggestion that migration can contribute to an increase or decrease in place-specific rates of illness is not new. However, differences in health status between small geographical locations that may be affected by the inter-relationships between health, area-based deprivation and migration are under-researched. Using the Office for National Statistics (ONS) England and Wales Longitudinal Study (LS) 1971-1991, this research tracks individuals to identify any systematic sorting of people that has contributed to the area-level relationships between health (limiting long-term illness and mortality) and deprivation (Carstairs quintiles). The results demonstrate that among the young, migrants are generally healthier than non-migrants. Migrants who move from more to less deprived locations are healthier than migrants who move from less to more deprived locations. Within less deprived areas migrants are healthier than non-migrants but within deprived areas migrants are less healthy than non-migrants. Over the 20 year period, the largest absolute flow is by relatively healthy migrants moving away from more deprived areas towards less deprived areas. The effect is to raise ill-health and mortality rates in the origins and lower them in the destinations. This is reinforced by a significant group of people in poor health who move from less to more deprived locations. In contrast, a small group of unhealthy people moved away from more deprived into less deprived areas. These countercurrents of less healthy people have a slight ameliorating effect on the health-deprivation relationship. Whilst health-deprivation relationships are more marked for migrants there are also health (dis-) benefits for non-migrants if their location becomes relatively more or less deprived over time. Overall we found that between 1971 and 1991, inequalities in health increased between the least and most deprived areas, compared with the health-deprivation relationship which would have existed if peoples' locations and deprivation patterns had stayed geographically constant. Migration, rather than changes in the deprivation of the area that non-migrants live in, accounts for the large majority of change.", "author" : [ { "dropping-particle" : "", "family" : "Norman", "given" : "Paul", "non-dropping-particle" : "", "parse-names" : false, "suffix" : "" }, { "dropping-particle" : "", "family" : "Boyle", "given" : "Paul", "non-dropping-particle" : "", "parse-names" : false, "suffix" : "" }, { "dropping-particle" : "", "family" : "Rees", "given" : "Philip", "non-dropping-particle" : "", "parse-names" : false, "suffix" : "" } ], "container-title" : "Social science &amp; medicine (1982)", "id" : "ITEM-3", "issue" : "12", "issued" : { "date-parts" : [ [ "2005", "6" ] ] }, "note" : "Uses the ONS LS to understand the relationship between migration, area deprivation and LTLI. FOund that upwardly mobile migrants were healthier than downwardly mobile migrants and the stayers in areas which became more or less deprived were more or less likely to develop a LTLI.", "page" : "2755-71", "title" : "Selective migration, health and deprivation: a longitudinal analysis.", "type" : "article-journal", "volume" : "60" }, "uris" : [ "http://www.mendeley.com/documents/?uuid=fed9e45c-ddb8-4bb3-abd4-0b3ef3c6402d" ] }, { "id" : "ITEM-4", "itemData" : { "DOI" : "10.1016/S0277-9536(01)00217-9", "ISSN" : "02779536", "abstract" : "Few epidemiological studies of the links between health and environmental variables account for the potentially confounding effects of population migration. Here we explore the relationship between self-reported limiting long-term illness and material deprivation, using individual-level 1991 census data extracted for Scotland. The aim is to investigate whether the migration patterns of ill individuals influences the relationship between limiting long-term illness and material deprivation. Specifically, we seek to determine whether individuals who are well are more likely to migrate away from deprived areas and whether ill individuals are more likely to migrate towards deprived areas. If true, this would suggest that the apparent relationship between deprivation and limiting long-term illness is exaggerated by the effects of migration. We then examine the issue controlling for individual-level characteristics expected to influence limiting long-term illness and pay special attention to the role of public housing in these relationships.", "author" : [ { "dropping-particle" : "", "family" : "Boyle", "given" : "Paul", "non-dropping-particle" : "", "parse-names" : false, "suffix" : "" }, { "dropping-particle" : "", "family" : "Norman", "given" : "Paul", "non-dropping-particle" : "", "parse-names" : false, "suffix" : "" }, { "dropping-particle" : "", "family" : "Rees", "given" : "Philip", "non-dropping-particle" : "", "parse-names" : false, "suffix" : "" } ], "container-title" : "Social Science &amp; Medicine", "id" : "ITEM-4", "issue" : "1", "issued" : { "date-parts" : [ [ "2002", "7" ] ] }, "note" : "Looks at the breeders vs drifters hypothesis for long-term illness in Scotland using 1991 census data.", "page" : "21-31", "title" : "Does migration exaggerate the relationship between deprivation and limiting long-term illness? A Scottish analysis", "type" : "article-journal", "volume" : "55" }, "uris" : [ "http://www.mendeley.com/documents/?uuid=700e0ae8-5647-4979-b309-28b79e891893" ] } ], "mendeley" : { "formattedCitation" : "(Boyle &lt;i&gt;et al.&lt;/i&gt;, 2002, 2004; Norman &lt;i&gt;et al.&lt;/i&gt;, 2005; Norman and Boyle, 2014)", "plainTextFormattedCitation" : "(Boyle et al., 2002, 2004; Norman et al., 2005; Norman and Boyle, 2014)", "previouslyFormattedCitation" : "(Boyle &lt;i&gt;et al.&lt;/i&gt;, 2002, 2004; Norman &lt;i&gt;et al.&lt;/i&gt;, 2005; Norman and Boyle, 2014)" }, "properties" : { "noteIndex" : 0 }, "schema" : "https://github.com/citation-style-language/schema/raw/master/csl-citation.json" }</w:instrText>
      </w:r>
      <w:r w:rsidR="007D3C08" w:rsidRPr="00996B4A">
        <w:rPr>
          <w:rFonts w:asciiTheme="majorBidi" w:hAnsiTheme="majorBidi" w:cstheme="majorBidi"/>
        </w:rPr>
        <w:fldChar w:fldCharType="separate"/>
      </w:r>
      <w:r w:rsidR="00607727" w:rsidRPr="00607727">
        <w:rPr>
          <w:rFonts w:asciiTheme="majorBidi" w:hAnsiTheme="majorBidi" w:cstheme="majorBidi"/>
          <w:noProof/>
        </w:rPr>
        <w:t xml:space="preserve">(Boyle </w:t>
      </w:r>
      <w:r w:rsidR="00607727" w:rsidRPr="00607727">
        <w:rPr>
          <w:rFonts w:asciiTheme="majorBidi" w:hAnsiTheme="majorBidi" w:cstheme="majorBidi"/>
          <w:i/>
          <w:noProof/>
        </w:rPr>
        <w:t>et al.</w:t>
      </w:r>
      <w:r w:rsidR="00607727" w:rsidRPr="00607727">
        <w:rPr>
          <w:rFonts w:asciiTheme="majorBidi" w:hAnsiTheme="majorBidi" w:cstheme="majorBidi"/>
          <w:noProof/>
        </w:rPr>
        <w:t xml:space="preserve">, 2002, 2004; Norman </w:t>
      </w:r>
      <w:r w:rsidR="00607727" w:rsidRPr="00607727">
        <w:rPr>
          <w:rFonts w:asciiTheme="majorBidi" w:hAnsiTheme="majorBidi" w:cstheme="majorBidi"/>
          <w:i/>
          <w:noProof/>
        </w:rPr>
        <w:t>et al.</w:t>
      </w:r>
      <w:r w:rsidR="00607727" w:rsidRPr="00607727">
        <w:rPr>
          <w:rFonts w:asciiTheme="majorBidi" w:hAnsiTheme="majorBidi" w:cstheme="majorBidi"/>
          <w:noProof/>
        </w:rPr>
        <w:t>, 2005; Norman and Boyle, 2014)</w:t>
      </w:r>
      <w:r w:rsidR="007D3C08" w:rsidRPr="00996B4A">
        <w:rPr>
          <w:rFonts w:asciiTheme="majorBidi" w:hAnsiTheme="majorBidi" w:cstheme="majorBidi"/>
        </w:rPr>
        <w:fldChar w:fldCharType="end"/>
      </w:r>
      <w:r w:rsidR="00E770EC" w:rsidRPr="00996B4A">
        <w:rPr>
          <w:rFonts w:asciiTheme="majorBidi" w:hAnsiTheme="majorBidi" w:cstheme="majorBidi"/>
        </w:rPr>
        <w:t>.</w:t>
      </w:r>
    </w:p>
    <w:p w14:paraId="7B3BFDF5" w14:textId="19631D46" w:rsidR="006E7508" w:rsidRPr="00996B4A" w:rsidRDefault="00770686" w:rsidP="00607727">
      <w:pPr>
        <w:spacing w:line="480" w:lineRule="auto"/>
        <w:rPr>
          <w:rFonts w:asciiTheme="majorBidi" w:hAnsiTheme="majorBidi" w:cstheme="majorBidi"/>
          <w:lang w:eastAsia="zh-TW"/>
        </w:rPr>
      </w:pPr>
      <w:r w:rsidRPr="00996B4A">
        <w:rPr>
          <w:rFonts w:asciiTheme="majorBidi" w:hAnsiTheme="majorBidi" w:cstheme="majorBidi"/>
          <w:lang w:eastAsia="zh-TW"/>
        </w:rPr>
        <w:t>Self-reported measures of health are often used as proxies</w:t>
      </w:r>
      <w:r w:rsidR="009C1B08" w:rsidRPr="00996B4A">
        <w:rPr>
          <w:rFonts w:asciiTheme="majorBidi" w:hAnsiTheme="majorBidi" w:cstheme="majorBidi"/>
          <w:lang w:eastAsia="zh-TW"/>
        </w:rPr>
        <w:t xml:space="preserve"> for</w:t>
      </w:r>
      <w:r w:rsidRPr="00996B4A">
        <w:rPr>
          <w:rFonts w:asciiTheme="majorBidi" w:hAnsiTheme="majorBidi" w:cstheme="majorBidi"/>
          <w:lang w:eastAsia="zh-TW"/>
        </w:rPr>
        <w:t xml:space="preserve"> morbidity in social science research </w:t>
      </w:r>
      <w:r w:rsidRPr="00996B4A">
        <w:rPr>
          <w:rFonts w:asciiTheme="majorBidi" w:hAnsiTheme="majorBidi" w:cstheme="majorBidi"/>
          <w:lang w:eastAsia="zh-TW"/>
        </w:rPr>
        <w:fldChar w:fldCharType="begin" w:fldLock="1"/>
      </w:r>
      <w:r w:rsidR="00607727">
        <w:rPr>
          <w:rFonts w:asciiTheme="majorBidi" w:hAnsiTheme="majorBidi" w:cstheme="majorBidi"/>
          <w:lang w:eastAsia="zh-TW"/>
        </w:rPr>
        <w:instrText>ADDIN CSL_CITATION { "citationItems" : [ { "id" : "ITEM-1", "itemData" : { "DOI" : "10.1016/j.socscimed.2009.08.004", "ISSN" : "1873-5347", "PMID" : "19822386", "abstract" : "The paper reviews arguments that associations between small area socio-economic conditions and individual health are likely to vary according to the type of health condition considered. We comment on the importance of longitudinal research to examine how far area conditions predict later health outcomes, and also how far area variations in health may result from selective migration processes predicted by health status. Using data for 1996 and 2002, from the National Population Health Survey of Canada, linked to small area data on social and on material deprivation in the area of residence for 6950 survey respondents at the two time points, we report on analyses to address these questions. The area measures of material and social deprivation were previously developed by Pampalon and colleagues at the Institut National de Sant\u00e9 Publique de Qu\u00e9bec and related to the dissemination area matching the informant's postal code. The health outcomes considered were restriction of activity due to chronic conditions and psychological distress. Our findings suggest that individuals living in materially deprived areas in 2002 were more likely to be affected by health conditions resulting in restriction of activity. Prevalence of psychological distress was higher in areas with greater social deprivation in 2002. Most of these area differences were attenuated when adjustment was made for individual socio-demographic characteristics. Measures recorded in 1996 of individual characteristics and measures of deprivation for area of residence were used to predict change in health outcomes by 2002. Several individual factors (sex, age group, income, household composition) in 1996 were predictive of later health outcomes. After controlling for these individual characteristics the only significant association between health change and area deprivation was with development of restricted activity, which was more common among people who, in 1996, had lived in areas that ranked moderately high on material deprivation. We also report some evidence for selective migration effects, though these mainly seem to operate indirectly via socio-economic characteristics that predict both health outcomes and differential migration patterns. The clearest evidence on this point is for those in with psychological distress in 1996, who were particularly likely to move to an area which was more socially or materially deprived by 2002. This supports the idea that area differences in psychological dis\u2026", "author" : [ { "dropping-particle" : "", "family" : "Curtis", "given" : "Sarah", "non-dropping-particle" : "", "parse-names" : false, "suffix" : "" }, { "dropping-particle" : "", "family" : "Setia", "given" : "Maninder S", "non-dropping-particle" : "", "parse-names" : false, "suffix" : "" }, { "dropping-particle" : "", "family" : "Quesnel-Vallee", "given" : "Amelie", "non-dropping-particle" : "", "parse-names" : false, "suffix" : "" } ], "container-title" : "Social science &amp; medicine (1982)", "id" : "ITEM-1", "issue" : "12", "issued" : { "date-parts" : [ [ "2009", "12" ] ] }, "note" : "Looked at Canadian migrants between 1996 and 2002. Found that sex, age, income and household composition were significant predictors of health status in 2002. For those with psychological distress in 1996, they were significantly more likely to move into a deprived area by 2002.\n\nCan be used to describe the residential (downwards) trajectory of MHSUs.", "page" : "1845-53", "title" : "Socio-geographic mobility and health status: a longitudinal analysis using the National Population Health Survey of Canada.", "type" : "article-journal", "volume" : "69" }, "uris" : [ "http://www.mendeley.com/documents/?uuid=d8717c2f-ba1b-4ff6-873d-6147b9ce537c" ] } ], "mendeley" : { "formattedCitation" : "(Curtis &lt;i&gt;et al.&lt;/i&gt;, 2009)", "plainTextFormattedCitation" : "(Curtis et al., 2009)", "previouslyFormattedCitation" : "(Curtis &lt;i&gt;et al.&lt;/i&gt;, 2009)" }, "properties" : { "noteIndex" : 0 }, "schema" : "https://github.com/citation-style-language/schema/raw/master/csl-citation.json" }</w:instrText>
      </w:r>
      <w:r w:rsidRPr="00996B4A">
        <w:rPr>
          <w:rFonts w:asciiTheme="majorBidi" w:hAnsiTheme="majorBidi" w:cstheme="majorBidi"/>
          <w:lang w:eastAsia="zh-TW"/>
        </w:rPr>
        <w:fldChar w:fldCharType="separate"/>
      </w:r>
      <w:r w:rsidR="00607727" w:rsidRPr="00607727">
        <w:rPr>
          <w:rFonts w:asciiTheme="majorBidi" w:hAnsiTheme="majorBidi" w:cstheme="majorBidi"/>
          <w:noProof/>
          <w:lang w:eastAsia="zh-TW"/>
        </w:rPr>
        <w:t xml:space="preserve">(Curtis </w:t>
      </w:r>
      <w:r w:rsidR="00607727" w:rsidRPr="00607727">
        <w:rPr>
          <w:rFonts w:asciiTheme="majorBidi" w:hAnsiTheme="majorBidi" w:cstheme="majorBidi"/>
          <w:i/>
          <w:noProof/>
          <w:lang w:eastAsia="zh-TW"/>
        </w:rPr>
        <w:t>et al.</w:t>
      </w:r>
      <w:r w:rsidR="00607727" w:rsidRPr="00607727">
        <w:rPr>
          <w:rFonts w:asciiTheme="majorBidi" w:hAnsiTheme="majorBidi" w:cstheme="majorBidi"/>
          <w:noProof/>
          <w:lang w:eastAsia="zh-TW"/>
        </w:rPr>
        <w:t>, 2009)</w:t>
      </w:r>
      <w:r w:rsidRPr="00996B4A">
        <w:rPr>
          <w:rFonts w:asciiTheme="majorBidi" w:hAnsiTheme="majorBidi" w:cstheme="majorBidi"/>
          <w:lang w:eastAsia="zh-TW"/>
        </w:rPr>
        <w:fldChar w:fldCharType="end"/>
      </w:r>
      <w:r w:rsidRPr="00996B4A">
        <w:rPr>
          <w:rFonts w:asciiTheme="majorBidi" w:hAnsiTheme="majorBidi" w:cstheme="majorBidi"/>
          <w:lang w:eastAsia="zh-TW"/>
        </w:rPr>
        <w:t xml:space="preserve">. </w:t>
      </w:r>
      <w:r w:rsidR="006E7508" w:rsidRPr="00996B4A">
        <w:rPr>
          <w:rFonts w:asciiTheme="majorBidi" w:hAnsiTheme="majorBidi" w:cstheme="majorBidi"/>
          <w:lang w:eastAsia="zh-TW"/>
        </w:rPr>
        <w:t xml:space="preserve">Although LLTI is a </w:t>
      </w:r>
      <w:r w:rsidR="00A36A58" w:rsidRPr="00996B4A">
        <w:rPr>
          <w:rFonts w:asciiTheme="majorBidi" w:hAnsiTheme="majorBidi" w:cstheme="majorBidi"/>
          <w:lang w:eastAsia="zh-TW"/>
        </w:rPr>
        <w:t>subjective valuation of health</w:t>
      </w:r>
      <w:r w:rsidR="006E7508" w:rsidRPr="00996B4A">
        <w:rPr>
          <w:rFonts w:asciiTheme="majorBidi" w:hAnsiTheme="majorBidi" w:cstheme="majorBidi"/>
          <w:lang w:eastAsia="zh-TW"/>
        </w:rPr>
        <w:t>, those reporting an LLTI</w:t>
      </w:r>
      <w:r w:rsidRPr="00996B4A">
        <w:rPr>
          <w:rFonts w:asciiTheme="majorBidi" w:hAnsiTheme="majorBidi" w:cstheme="majorBidi"/>
          <w:lang w:eastAsia="zh-TW"/>
        </w:rPr>
        <w:t xml:space="preserve"> have higher rates of mortality, </w:t>
      </w:r>
      <w:r w:rsidR="006E7508" w:rsidRPr="00996B4A">
        <w:rPr>
          <w:rFonts w:asciiTheme="majorBidi" w:hAnsiTheme="majorBidi" w:cstheme="majorBidi"/>
          <w:lang w:eastAsia="zh-TW"/>
        </w:rPr>
        <w:t>hospitalisation</w:t>
      </w:r>
      <w:r w:rsidRPr="00996B4A">
        <w:rPr>
          <w:rFonts w:asciiTheme="majorBidi" w:hAnsiTheme="majorBidi" w:cstheme="majorBidi"/>
          <w:lang w:eastAsia="zh-TW"/>
        </w:rPr>
        <w:t xml:space="preserve"> and serious conditions</w:t>
      </w:r>
      <w:r w:rsidR="006E7508" w:rsidRPr="00996B4A">
        <w:rPr>
          <w:rFonts w:asciiTheme="majorBidi" w:hAnsiTheme="majorBidi" w:cstheme="majorBidi"/>
          <w:lang w:eastAsia="zh-TW"/>
        </w:rPr>
        <w:t xml:space="preserve"> than those who do not report an LLTI </w:t>
      </w:r>
      <w:r w:rsidR="006E7508" w:rsidRPr="00996B4A">
        <w:rPr>
          <w:rFonts w:asciiTheme="majorBidi" w:hAnsiTheme="majorBidi" w:cstheme="majorBidi"/>
          <w:lang w:eastAsia="zh-TW"/>
        </w:rPr>
        <w:fldChar w:fldCharType="begin" w:fldLock="1"/>
      </w:r>
      <w:r w:rsidR="00EA3427">
        <w:rPr>
          <w:rFonts w:asciiTheme="majorBidi" w:hAnsiTheme="majorBidi" w:cstheme="majorBidi"/>
          <w:lang w:eastAsia="zh-TW"/>
        </w:rPr>
        <w:instrText>ADDIN CSL_CITATION { "citationItems" : [ { "id" : "ITEM-1", "itemData" : { "DOI" : "10.1093/pubmed/22.3.324", "ISSN" : "1741-3842", "abstract" : "Background: The aim of this study was to examine the relationships between self-reported limiting long-term illness and other disease-specific symptoms, mortality and use of hospital services. Methods: A cohort generated by population health survey was linked to information on mortality and health service use, in Sheffield, England, 1994-1998. Limiting long-term illness was assessed using the 1991 Census question wording; specific symptoms were assessed using standard instruments; other outcomes were admission to hospital and mortality. Results: Limiting long-term illness is stated more commonly than in the Census, especially in males and in the young. It is commoner in the presence of some conditions such as angina much more than in others such as gastrointestinal disease. For all age groups, both mortality and, to a lesser extent, hospital admission rates are higher in those responding yes to the long-term illness question. Conclusions: Limiting long-term illness assessment from the Census acts as a better proxy for some aspects of population health than others although it may underestimate the absolute prevalence. Although it may be of use in identifying relative needs, mortality is associated more strongly with differences in limiting long-term illness than is health service utilization. This may be as much a result of mismatch between use and need as of any deficiency of the measure itself.", "author" : [ { "dropping-particle" : "", "family" : "Payne", "given" : "N", "non-dropping-particle" : "", "parse-names" : false, "suffix" : "" }, { "dropping-particle" : "", "family" : "Saul", "given" : "C", "non-dropping-particle" : "", "parse-names" : false, "suffix" : "" } ], "container-title" : "Journal of Public Health", "id" : "ITEM-1", "issue" : "3", "issued" : { "date-parts" : [ [ "2000", "9", "1" ] ] }, "page" : "324-329", "title" : "What common disorders do those reporting limiting long-term illness experience, and what is their survival and health service utilization experience?", "type" : "article-journal", "volume" : "22" }, "uris" : [ "http://www.mendeley.com/documents/?uuid=1c7fb595-f7b1-4092-ac79-63c7f408d925" ] }, { "id" : "ITEM-2", "itemData" : { "DOI" : "10.1093/ije/30.3.600", "ISSN" : "14643685", "author" : [ { "dropping-particle" : "", "family" : "Manor", "given" : "O", "non-dropping-particle" : "", "parse-names" : false, "suffix" : "" } ], "container-title" : "International Journal of Epidemiology", "id" : "ITEM-2", "issue" : "3", "issued" : { "date-parts" : [ [ "2001", "6", "1" ] ] }, "page" : "600-607", "title" : "Self-rated health and limiting longstanding illness: inter-relationships with morbidity in early adulthood", "type" : "article-journal", "volume" : "30" }, "uris" : [ "http://www.mendeley.com/documents/?uuid=09ee2bf8-28aa-46eb-808e-bede8915ef13" ] } ], "mendeley" : { "formattedCitation" : "(Payne and Saul, 2000; Manor, 2001)", "plainTextFormattedCitation" : "(Payne and Saul, 2000; Manor, 2001)", "previouslyFormattedCitation" : "(Payne and Saul, 2000; Manor, 2001)" }, "properties" : { "noteIndex" : 0 }, "schema" : "https://github.com/citation-style-language/schema/raw/master/csl-citation.json" }</w:instrText>
      </w:r>
      <w:r w:rsidR="006E7508" w:rsidRPr="00996B4A">
        <w:rPr>
          <w:rFonts w:asciiTheme="majorBidi" w:hAnsiTheme="majorBidi" w:cstheme="majorBidi"/>
          <w:lang w:eastAsia="zh-TW"/>
        </w:rPr>
        <w:fldChar w:fldCharType="separate"/>
      </w:r>
      <w:r w:rsidR="00A328DF" w:rsidRPr="00A328DF">
        <w:rPr>
          <w:rFonts w:asciiTheme="majorBidi" w:hAnsiTheme="majorBidi" w:cstheme="majorBidi"/>
          <w:noProof/>
          <w:lang w:eastAsia="zh-TW"/>
        </w:rPr>
        <w:t>(Payne and Saul, 2000; Manor, 2001)</w:t>
      </w:r>
      <w:r w:rsidR="006E7508" w:rsidRPr="00996B4A">
        <w:rPr>
          <w:rFonts w:asciiTheme="majorBidi" w:hAnsiTheme="majorBidi" w:cstheme="majorBidi"/>
          <w:lang w:eastAsia="zh-TW"/>
        </w:rPr>
        <w:fldChar w:fldCharType="end"/>
      </w:r>
      <w:r w:rsidR="0019705F" w:rsidRPr="00996B4A">
        <w:rPr>
          <w:rFonts w:asciiTheme="majorBidi" w:hAnsiTheme="majorBidi" w:cstheme="majorBidi"/>
          <w:lang w:eastAsia="zh-TW"/>
        </w:rPr>
        <w:t xml:space="preserve"> and are more likely to access health services in the future </w:t>
      </w:r>
      <w:r w:rsidR="0019705F" w:rsidRPr="00996B4A">
        <w:rPr>
          <w:rFonts w:asciiTheme="majorBidi" w:hAnsiTheme="majorBidi" w:cstheme="majorBidi"/>
          <w:lang w:eastAsia="zh-TW"/>
        </w:rPr>
        <w:fldChar w:fldCharType="begin" w:fldLock="1"/>
      </w:r>
      <w:r w:rsidR="00EA3427">
        <w:rPr>
          <w:rFonts w:asciiTheme="majorBidi" w:hAnsiTheme="majorBidi" w:cstheme="majorBidi"/>
          <w:lang w:eastAsia="zh-TW"/>
        </w:rPr>
        <w:instrText>ADDIN CSL_CITATION { "citationItems" : [ { "id" : "ITEM-1", "itemData" : { "DOI" : "10.1136/jech.57.2.109", "ISSN" : "0143005X", "abstract" : "Study objective: There has been little prospective investigation of what predicts general practice consultation. The objective of this study was to investigate the extent to which previous primary care consultation and self reported health status are predictors of future primary care consultation.Design: Population based cohort study in two phases. Firstly, a baseline survey (1995/96) to identify the cohort and to obtain self reported health status using the UK census limiting long term illness (LLI) question and the Short Form-36 (SF-36) health profile. Secondly, analysis of general practice medical records for two years (1994/1995) before the survey and for two years (1997/1998) after the survey. Analysis was performed on: (a) all contacts coded by the GP, (b) the subgroup of contacts given a diagnostic morbidity code by the GP.Setting: One general practice in North Staffordshire, UK.Participants: 738 survey respondents who had consented to viewing of medical records including all those who reported LLI together with an age-gender matched control group of those who reported no LLI.Main results: High frequency consulters in 1994/95 were more likely than non-consulters or average consulters in that year to be high consulters in 1997/98 (odds ratio 5.6, 95% confidence interval 3.82 to 8.25, for all contacts; 4.4 for diagnostic coded consultations). Self reported role disability and physical limitation from the SF-36 at baseline increased the probability of being a future high consulter but the effects were weaker than for previous consultation. Previous consultation within a diagnostic group was the main predictor for future consultation within that group with weaker but significant prediction by self reported health status.Conclusions: Reliable morbidity coding in general practice provides the best available basis for predicting future demand in primary care. Self reported health status survey instruments add to this information but on their own are weaker predictors of future consultation.", "author" : [ { "dropping-particle" : "", "family" : "Jordan", "given" : "K", "non-dropping-particle" : "", "parse-names" : false, "suffix" : "" } ], "container-title" : "Journal of Epidemiology &amp; Community Health", "id" : "ITEM-1", "issue" : "2", "issued" : { "date-parts" : [ [ "2003", "2", "1" ] ] }, "note" : "10.1136/jech.57.2.109", "page" : "109-113", "title" : "Previous consultation and self reported health status as predictors of future demand for primary care", "type" : "article-journal", "volume" : "57" }, "uris" : [ "http://www.mendeley.com/documents/?uuid=b211ab8e-f748-409e-bd8e-8e47c0ee7112" ] } ], "mendeley" : { "formattedCitation" : "(Jordan, 2003)", "plainTextFormattedCitation" : "(Jordan, 2003)", "previouslyFormattedCitation" : "(Jordan, 2003)" }, "properties" : { "noteIndex" : 0 }, "schema" : "https://github.com/citation-style-language/schema/raw/master/csl-citation.json" }</w:instrText>
      </w:r>
      <w:r w:rsidR="0019705F" w:rsidRPr="00996B4A">
        <w:rPr>
          <w:rFonts w:asciiTheme="majorBidi" w:hAnsiTheme="majorBidi" w:cstheme="majorBidi"/>
          <w:lang w:eastAsia="zh-TW"/>
        </w:rPr>
        <w:fldChar w:fldCharType="separate"/>
      </w:r>
      <w:r w:rsidR="00A328DF" w:rsidRPr="00A328DF">
        <w:rPr>
          <w:rFonts w:asciiTheme="majorBidi" w:hAnsiTheme="majorBidi" w:cstheme="majorBidi"/>
          <w:noProof/>
          <w:lang w:eastAsia="zh-TW"/>
        </w:rPr>
        <w:t>(Jordan, 2003)</w:t>
      </w:r>
      <w:r w:rsidR="0019705F" w:rsidRPr="00996B4A">
        <w:rPr>
          <w:rFonts w:asciiTheme="majorBidi" w:hAnsiTheme="majorBidi" w:cstheme="majorBidi"/>
          <w:lang w:eastAsia="zh-TW"/>
        </w:rPr>
        <w:fldChar w:fldCharType="end"/>
      </w:r>
      <w:r w:rsidR="006E7508" w:rsidRPr="00996B4A">
        <w:rPr>
          <w:rFonts w:asciiTheme="majorBidi" w:hAnsiTheme="majorBidi" w:cstheme="majorBidi"/>
          <w:lang w:eastAsia="zh-TW"/>
        </w:rPr>
        <w:t xml:space="preserve">. </w:t>
      </w:r>
      <w:r w:rsidRPr="00996B4A">
        <w:rPr>
          <w:rFonts w:asciiTheme="majorBidi" w:hAnsiTheme="majorBidi" w:cstheme="majorBidi"/>
          <w:lang w:eastAsia="zh-TW"/>
        </w:rPr>
        <w:t xml:space="preserve">Comparisons of different dimensions of health show that LLTI is closely aligned with physical limitations, and less associated with mental and social </w:t>
      </w:r>
      <w:r w:rsidRPr="00996B4A">
        <w:rPr>
          <w:rFonts w:asciiTheme="majorBidi" w:hAnsiTheme="majorBidi" w:cstheme="majorBidi"/>
          <w:lang w:eastAsia="zh-TW"/>
        </w:rPr>
        <w:lastRenderedPageBreak/>
        <w:t xml:space="preserve">wellbeing </w:t>
      </w:r>
      <w:r w:rsidRPr="00996B4A">
        <w:rPr>
          <w:rFonts w:asciiTheme="majorBidi" w:hAnsiTheme="majorBidi" w:cstheme="majorBidi"/>
          <w:lang w:eastAsia="zh-TW"/>
        </w:rPr>
        <w:fldChar w:fldCharType="begin" w:fldLock="1"/>
      </w:r>
      <w:r w:rsidR="00607727">
        <w:rPr>
          <w:rFonts w:asciiTheme="majorBidi" w:hAnsiTheme="majorBidi" w:cstheme="majorBidi"/>
          <w:lang w:eastAsia="zh-TW"/>
        </w:rPr>
        <w:instrText>ADDIN CSL_CITATION { "citationItems" : [ { "id" : "ITEM-1", "itemData" : { "DOI" : "10.1136/bmj.311.7007.722", "ISSN" : "0959-8138", "abstract" : "Objective:To examine the association between self reported limiting long term illness and other dimensions of self reported health. Design:Stratified random sample of general population. Setting:Lothian region, Scotland, in 1993. Subjects:6212 men and women aged 16 and over. Main outcome measures:Limiting long term illness was assessed by the same question as used in the 1991 United Kingdom census. The short form 36 health survey was used to assess other dimensions of health. Results:Rates of limiting long term illness were much higher than reported in the census. Scores on general and physical health scales had strong associations with limiting long term illness, but after adjustment for these associations psychosocial health measures had little influence on limiting long term illness. Being at the lower rather than the upper quartile on the physical functioning scale more than doubled the odds of having limiting long term illness. Reported prevalence of many common illnesses was between two and three times higher among those with limiting long term illness. Conclusions:A positive response to the question used by the census to define limiting long term illness was strongly associated with physical limitations on activity and less strongly influenced by scores on scales of mental and social wellbeing. Socioeconomic effects on limiting long term illness seem largely mediated through measures of general health and physical limitations on health.", "author" : [ { "dropping-particle" : "", "family" : "Cohen", "given" : "Geoff", "non-dropping-particle" : "", "parse-names" : false, "suffix" : "" }, { "dropping-particle" : "", "family" : "Forbes", "given" : "John", "non-dropping-particle" : "", "parse-names" : false, "suffix" : "" }, { "dropping-particle" : "", "family" : "Garraway", "given" : "Michael", "non-dropping-particle" : "", "parse-names" : false, "suffix" : "" } ], "container-title" : "BMJ", "id" : "ITEM-1", "issue" : "7007", "issued" : { "date-parts" : [ [ "1995", "9", "16" ] ] }, "page" : "722-724", "title" : "Interpreting self reported limiting long term illness", "type" : "article-journal", "volume" : "311" }, "uris" : [ "http://www.mendeley.com/documents/?uuid=6af2f75d-de63-4e00-8406-d979a387d4da" ] } ], "mendeley" : { "formattedCitation" : "(Cohen &lt;i&gt;et al.&lt;/i&gt;, 1995)", "plainTextFormattedCitation" : "(Cohen et al., 1995)", "previouslyFormattedCitation" : "(Cohen &lt;i&gt;et al.&lt;/i&gt;, 1995)" }, "properties" : { "noteIndex" : 0 }, "schema" : "https://github.com/citation-style-language/schema/raw/master/csl-citation.json" }</w:instrText>
      </w:r>
      <w:r w:rsidRPr="00996B4A">
        <w:rPr>
          <w:rFonts w:asciiTheme="majorBidi" w:hAnsiTheme="majorBidi" w:cstheme="majorBidi"/>
          <w:lang w:eastAsia="zh-TW"/>
        </w:rPr>
        <w:fldChar w:fldCharType="separate"/>
      </w:r>
      <w:r w:rsidR="00607727" w:rsidRPr="00607727">
        <w:rPr>
          <w:rFonts w:asciiTheme="majorBidi" w:hAnsiTheme="majorBidi" w:cstheme="majorBidi"/>
          <w:noProof/>
          <w:lang w:eastAsia="zh-TW"/>
        </w:rPr>
        <w:t xml:space="preserve">(Cohen </w:t>
      </w:r>
      <w:r w:rsidR="00607727" w:rsidRPr="00607727">
        <w:rPr>
          <w:rFonts w:asciiTheme="majorBidi" w:hAnsiTheme="majorBidi" w:cstheme="majorBidi"/>
          <w:i/>
          <w:noProof/>
          <w:lang w:eastAsia="zh-TW"/>
        </w:rPr>
        <w:t>et al.</w:t>
      </w:r>
      <w:r w:rsidR="00607727" w:rsidRPr="00607727">
        <w:rPr>
          <w:rFonts w:asciiTheme="majorBidi" w:hAnsiTheme="majorBidi" w:cstheme="majorBidi"/>
          <w:noProof/>
          <w:lang w:eastAsia="zh-TW"/>
        </w:rPr>
        <w:t>, 1995)</w:t>
      </w:r>
      <w:r w:rsidRPr="00996B4A">
        <w:rPr>
          <w:rFonts w:asciiTheme="majorBidi" w:hAnsiTheme="majorBidi" w:cstheme="majorBidi"/>
          <w:lang w:eastAsia="zh-TW"/>
        </w:rPr>
        <w:fldChar w:fldCharType="end"/>
      </w:r>
      <w:r w:rsidR="0019705F" w:rsidRPr="00996B4A">
        <w:rPr>
          <w:rFonts w:asciiTheme="majorBidi" w:hAnsiTheme="majorBidi" w:cstheme="majorBidi"/>
          <w:lang w:eastAsia="zh-TW"/>
        </w:rPr>
        <w:t xml:space="preserve">, whilst area rates of LLTI correlate with the number of cases of chronic heart disease and hypertension </w:t>
      </w:r>
      <w:r w:rsidR="0019705F" w:rsidRPr="00996B4A">
        <w:rPr>
          <w:rFonts w:asciiTheme="majorBidi" w:hAnsiTheme="majorBidi" w:cstheme="majorBidi"/>
          <w:lang w:eastAsia="zh-TW"/>
        </w:rPr>
        <w:fldChar w:fldCharType="begin" w:fldLock="1"/>
      </w:r>
      <w:r w:rsidR="008B4E5D" w:rsidRPr="00996B4A">
        <w:rPr>
          <w:rFonts w:asciiTheme="majorBidi" w:hAnsiTheme="majorBidi" w:cstheme="majorBidi"/>
          <w:lang w:eastAsia="zh-TW"/>
        </w:rPr>
        <w:instrText>ADDIN CSL_CITATION { "citationItems" : [ { "id" : "ITEM-1", "itemData" : { "DOI" : "http://dx.doi.org/10.1016/j.socscimed.2008.10.021", "ISSN" : "0277-9536", "abstract" : "The Quality and Outcomes Framework (QOF) is a UK system for monitoring general practitioner (GP) activity and performance, introduced in 2004. The objective of this paper is to explore the potential of QOF datasets as a basis for better understanding geographical variations in disease prevalence in England.  In an ecological study, prevalence estimates for four common disease domains (coronary heart disease (CHD), asthma, hypertension and diabetes) were derived from the 2004\u20132005 QOF primary care disease registers for 354 English Local Authority Districts (LADs). These were compared with synthetic estimates from four prevalence models and with self-reported measures of general health from the 2001 census. Prevalence models were recalculated for LADs using demographic and deprivation data from the census. Results were mapped spatially and cross-tabulated against a national classification of local authorities.  The four disease domains display different spatial distributions and different spatial relationships with the corresponding prevalence model. For example, the prevalence model for CHD under-estimated QOF cases in northern England, but this north-south pattern was not evident for the other disease domains. The census-derived health measures were strongly correlated with CHD, but not with the other disease domains.  The relationship between modelled prevalence and QOF disease registers differs by disease domain, implying that there is no simple cross-domain effect of the QOF process on prevalence figures. Given reliable synthetic estimates of small area prevalence for the QOF disease domains, one potential application of the QOF dataset may be in assessing the geographical extent of under-diagnosis for each domain.", "author" : [ { "dropping-particle" : "", "family" : "Martin", "given" : "David", "non-dropping-particle" : "", "parse-names" : false, "suffix" : "" }, { "dropping-particle" : "", "family" : "Wright", "given" : "James A", "non-dropping-particle" : "", "parse-names" : false, "suffix" : "" } ], "container-title" : "Social Science &amp; Medicine", "id" : "ITEM-1", "issue" : "2", "issued" : { "date-parts" : [ [ "2009", "1" ] ] }, "page" : "266-274", "title" : "Disease prevalence in the English population: A comparison of primary care registers and prevalence models", "type" : "article-journal", "volume" : "68" }, "uris" : [ "http://www.mendeley.com/documents/?uuid=872c76bd-6950-4fa7-8d5d-80c41c89260f" ] } ], "mendeley" : { "formattedCitation" : "(Martin and Wright, 2009)", "plainTextFormattedCitation" : "(Martin and Wright, 2009)", "previouslyFormattedCitation" : "(Martin and Wright, 2009)" }, "properties" : { "noteIndex" : 0 }, "schema" : "https://github.com/citation-style-language/schema/raw/master/csl-citation.json" }</w:instrText>
      </w:r>
      <w:r w:rsidR="0019705F" w:rsidRPr="00996B4A">
        <w:rPr>
          <w:rFonts w:asciiTheme="majorBidi" w:hAnsiTheme="majorBidi" w:cstheme="majorBidi"/>
          <w:lang w:eastAsia="zh-TW"/>
        </w:rPr>
        <w:fldChar w:fldCharType="separate"/>
      </w:r>
      <w:r w:rsidR="0019705F" w:rsidRPr="00996B4A">
        <w:rPr>
          <w:rFonts w:asciiTheme="majorBidi" w:hAnsiTheme="majorBidi" w:cstheme="majorBidi"/>
          <w:noProof/>
          <w:lang w:eastAsia="zh-TW"/>
        </w:rPr>
        <w:t>(Martin and Wright, 2009)</w:t>
      </w:r>
      <w:r w:rsidR="0019705F" w:rsidRPr="00996B4A">
        <w:rPr>
          <w:rFonts w:asciiTheme="majorBidi" w:hAnsiTheme="majorBidi" w:cstheme="majorBidi"/>
          <w:lang w:eastAsia="zh-TW"/>
        </w:rPr>
        <w:fldChar w:fldCharType="end"/>
      </w:r>
      <w:r w:rsidR="0019705F" w:rsidRPr="00996B4A">
        <w:rPr>
          <w:rFonts w:asciiTheme="majorBidi" w:hAnsiTheme="majorBidi" w:cstheme="majorBidi"/>
          <w:lang w:eastAsia="zh-TW"/>
        </w:rPr>
        <w:t xml:space="preserve">. </w:t>
      </w:r>
      <w:r w:rsidR="007F350D" w:rsidRPr="00996B4A">
        <w:rPr>
          <w:rFonts w:asciiTheme="majorBidi" w:hAnsiTheme="majorBidi" w:cstheme="majorBidi"/>
          <w:lang w:eastAsia="zh-TW"/>
        </w:rPr>
        <w:t xml:space="preserve">It is important to note that LLTI is measured at the time of the Census, and migration in the year preceding the Census, so it is not possible to ascertain whether </w:t>
      </w:r>
      <w:r w:rsidR="005A5D07" w:rsidRPr="00996B4A">
        <w:rPr>
          <w:rFonts w:asciiTheme="majorBidi" w:hAnsiTheme="majorBidi" w:cstheme="majorBidi"/>
          <w:lang w:eastAsia="zh-TW"/>
        </w:rPr>
        <w:t>there is a difference in pre and post move health status</w:t>
      </w:r>
      <w:r w:rsidR="007F350D" w:rsidRPr="00996B4A">
        <w:rPr>
          <w:rFonts w:asciiTheme="majorBidi" w:hAnsiTheme="majorBidi" w:cstheme="majorBidi"/>
          <w:lang w:eastAsia="zh-TW"/>
        </w:rPr>
        <w:t>.</w:t>
      </w:r>
    </w:p>
    <w:p w14:paraId="2F0BD036" w14:textId="733F7DB5" w:rsidR="009D5F06" w:rsidRPr="00996B4A" w:rsidRDefault="009D5F06" w:rsidP="00842CB7">
      <w:pPr>
        <w:pStyle w:val="Heading2"/>
        <w:rPr>
          <w:lang w:eastAsia="zh-TW"/>
        </w:rPr>
      </w:pPr>
      <w:r w:rsidRPr="00996B4A">
        <w:rPr>
          <w:lang w:eastAsia="zh-TW"/>
        </w:rPr>
        <w:t>Covariates</w:t>
      </w:r>
    </w:p>
    <w:p w14:paraId="27A58414" w14:textId="4AF28A3D" w:rsidR="00420E20" w:rsidRPr="00996B4A" w:rsidRDefault="00F51880" w:rsidP="009D5F06">
      <w:pPr>
        <w:spacing w:line="480" w:lineRule="auto"/>
        <w:rPr>
          <w:rFonts w:asciiTheme="majorBidi" w:hAnsiTheme="majorBidi" w:cstheme="majorBidi"/>
          <w:lang w:eastAsia="zh-TW"/>
        </w:rPr>
      </w:pPr>
      <w:r w:rsidRPr="00996B4A">
        <w:rPr>
          <w:rFonts w:asciiTheme="majorBidi" w:hAnsiTheme="majorBidi" w:cstheme="majorBidi"/>
          <w:lang w:eastAsia="zh-TW"/>
        </w:rPr>
        <w:t>We include</w:t>
      </w:r>
      <w:r w:rsidR="00420E20" w:rsidRPr="00996B4A">
        <w:rPr>
          <w:rFonts w:asciiTheme="majorBidi" w:hAnsiTheme="majorBidi" w:cstheme="majorBidi"/>
          <w:lang w:eastAsia="zh-TW"/>
        </w:rPr>
        <w:t xml:space="preserve"> </w:t>
      </w:r>
      <w:r w:rsidR="00F71586" w:rsidRPr="00996B4A">
        <w:rPr>
          <w:rFonts w:asciiTheme="majorBidi" w:hAnsiTheme="majorBidi" w:cstheme="majorBidi"/>
          <w:lang w:eastAsia="zh-TW"/>
        </w:rPr>
        <w:t>twelve</w:t>
      </w:r>
      <w:r w:rsidR="00420E20" w:rsidRPr="00996B4A">
        <w:rPr>
          <w:rFonts w:asciiTheme="majorBidi" w:hAnsiTheme="majorBidi" w:cstheme="majorBidi"/>
          <w:lang w:eastAsia="zh-TW"/>
        </w:rPr>
        <w:t xml:space="preserve"> covariates in o</w:t>
      </w:r>
      <w:r w:rsidR="00A7498C" w:rsidRPr="00996B4A">
        <w:rPr>
          <w:rFonts w:asciiTheme="majorBidi" w:hAnsiTheme="majorBidi" w:cstheme="majorBidi"/>
          <w:lang w:eastAsia="zh-TW"/>
        </w:rPr>
        <w:t>ur analysis</w:t>
      </w:r>
      <w:r w:rsidR="00420E20" w:rsidRPr="00996B4A">
        <w:rPr>
          <w:rFonts w:asciiTheme="majorBidi" w:hAnsiTheme="majorBidi" w:cstheme="majorBidi"/>
          <w:lang w:eastAsia="zh-TW"/>
        </w:rPr>
        <w:t>, to control for factors confounding the association between dis</w:t>
      </w:r>
      <w:r w:rsidR="000F6C62" w:rsidRPr="00996B4A">
        <w:rPr>
          <w:rFonts w:asciiTheme="majorBidi" w:hAnsiTheme="majorBidi" w:cstheme="majorBidi"/>
          <w:lang w:eastAsia="zh-TW"/>
        </w:rPr>
        <w:t>tance moved and LLTI, shown in t</w:t>
      </w:r>
      <w:r w:rsidR="00420E20" w:rsidRPr="00996B4A">
        <w:rPr>
          <w:rFonts w:asciiTheme="majorBidi" w:hAnsiTheme="majorBidi" w:cstheme="majorBidi"/>
          <w:lang w:eastAsia="zh-TW"/>
        </w:rPr>
        <w:t>able 2.</w:t>
      </w:r>
    </w:p>
    <w:p w14:paraId="13C8BF3F" w14:textId="12055D28" w:rsidR="00420E20" w:rsidRDefault="00420E20" w:rsidP="005A5D07">
      <w:pPr>
        <w:jc w:val="center"/>
        <w:rPr>
          <w:rFonts w:asciiTheme="majorBidi" w:hAnsiTheme="majorBidi" w:cstheme="majorBidi"/>
          <w:b/>
          <w:bCs/>
        </w:rPr>
      </w:pPr>
      <w:r w:rsidRPr="00996B4A">
        <w:rPr>
          <w:rFonts w:asciiTheme="majorBidi" w:hAnsiTheme="majorBidi" w:cstheme="majorBidi"/>
          <w:b/>
          <w:bCs/>
        </w:rPr>
        <w:t xml:space="preserve">Table 2 – Covariates included in the analysis and their relationship to </w:t>
      </w:r>
      <w:r w:rsidR="005A5D07" w:rsidRPr="00996B4A">
        <w:rPr>
          <w:rFonts w:asciiTheme="majorBidi" w:hAnsiTheme="majorBidi" w:cstheme="majorBidi"/>
          <w:b/>
          <w:bCs/>
        </w:rPr>
        <w:t>distances moved</w:t>
      </w:r>
    </w:p>
    <w:p w14:paraId="133B272E" w14:textId="626618AF" w:rsidR="00F47287" w:rsidRPr="00842CB7" w:rsidRDefault="00F47287" w:rsidP="005A5D07">
      <w:pPr>
        <w:jc w:val="center"/>
        <w:rPr>
          <w:rFonts w:asciiTheme="majorBidi" w:hAnsiTheme="majorBidi" w:cstheme="majorBidi"/>
        </w:rPr>
      </w:pPr>
      <w:r w:rsidRPr="00842CB7">
        <w:rPr>
          <w:rFonts w:asciiTheme="majorBidi" w:hAnsiTheme="majorBidi" w:cstheme="majorBidi"/>
        </w:rPr>
        <w:t>&lt;Table 2 here&gt;</w:t>
      </w:r>
    </w:p>
    <w:p w14:paraId="2222A4DC" w14:textId="77777777" w:rsidR="00420E20" w:rsidRPr="00996B4A" w:rsidRDefault="00420E20" w:rsidP="00420E20">
      <w:pPr>
        <w:rPr>
          <w:rFonts w:asciiTheme="majorBidi" w:hAnsiTheme="majorBidi" w:cstheme="majorBidi"/>
        </w:rPr>
      </w:pPr>
    </w:p>
    <w:p w14:paraId="2133226A" w14:textId="61CD09E6" w:rsidR="006F6EA2" w:rsidRPr="00996B4A" w:rsidRDefault="006F6EA2" w:rsidP="00842CB7">
      <w:pPr>
        <w:pStyle w:val="Heading2"/>
      </w:pPr>
      <w:r w:rsidRPr="00996B4A">
        <w:t>Modelling strategy</w:t>
      </w:r>
    </w:p>
    <w:p w14:paraId="7EA37CC5" w14:textId="21AA01AF" w:rsidR="00991FAA" w:rsidRPr="00996B4A" w:rsidRDefault="00F25B4D" w:rsidP="00A328DF">
      <w:pPr>
        <w:spacing w:line="480" w:lineRule="auto"/>
        <w:rPr>
          <w:rFonts w:asciiTheme="majorBidi" w:hAnsiTheme="majorBidi" w:cstheme="majorBidi"/>
        </w:rPr>
      </w:pPr>
      <w:r w:rsidRPr="00996B4A">
        <w:rPr>
          <w:rFonts w:asciiTheme="majorBidi" w:hAnsiTheme="majorBidi" w:cstheme="majorBidi"/>
        </w:rPr>
        <w:t>All models</w:t>
      </w:r>
      <w:r w:rsidR="00BD1BD9" w:rsidRPr="00996B4A">
        <w:rPr>
          <w:rFonts w:asciiTheme="majorBidi" w:hAnsiTheme="majorBidi" w:cstheme="majorBidi"/>
        </w:rPr>
        <w:t xml:space="preserve"> </w:t>
      </w:r>
      <w:r w:rsidRPr="00996B4A">
        <w:rPr>
          <w:rFonts w:asciiTheme="majorBidi" w:hAnsiTheme="majorBidi" w:cstheme="majorBidi"/>
        </w:rPr>
        <w:t xml:space="preserve">are </w:t>
      </w:r>
      <w:r w:rsidR="00BD1BD9" w:rsidRPr="00996B4A">
        <w:rPr>
          <w:rFonts w:asciiTheme="majorBidi" w:hAnsiTheme="majorBidi" w:cstheme="majorBidi"/>
        </w:rPr>
        <w:t xml:space="preserve">estimated using </w:t>
      </w:r>
      <w:r w:rsidR="0094129E" w:rsidRPr="00996B4A">
        <w:rPr>
          <w:rFonts w:asciiTheme="majorBidi" w:hAnsiTheme="majorBidi" w:cstheme="majorBidi"/>
        </w:rPr>
        <w:t>multilevel</w:t>
      </w:r>
      <w:r w:rsidR="009D5F06" w:rsidRPr="00996B4A">
        <w:rPr>
          <w:rFonts w:asciiTheme="majorBidi" w:hAnsiTheme="majorBidi" w:cstheme="majorBidi"/>
        </w:rPr>
        <w:t xml:space="preserve"> </w:t>
      </w:r>
      <w:r w:rsidR="00A148F7" w:rsidRPr="00996B4A">
        <w:rPr>
          <w:rFonts w:asciiTheme="majorBidi" w:hAnsiTheme="majorBidi" w:cstheme="majorBidi"/>
        </w:rPr>
        <w:t>logistic</w:t>
      </w:r>
      <w:r w:rsidR="0094129E" w:rsidRPr="00996B4A">
        <w:rPr>
          <w:rFonts w:asciiTheme="majorBidi" w:hAnsiTheme="majorBidi" w:cstheme="majorBidi"/>
        </w:rPr>
        <w:t xml:space="preserve"> regression</w:t>
      </w:r>
      <w:r w:rsidR="003B36E2" w:rsidRPr="00996B4A">
        <w:rPr>
          <w:rFonts w:asciiTheme="majorBidi" w:hAnsiTheme="majorBidi" w:cstheme="majorBidi"/>
        </w:rPr>
        <w:t xml:space="preserve"> with individuals nested within LA at destination,</w:t>
      </w:r>
      <w:r w:rsidR="00565191" w:rsidRPr="00996B4A">
        <w:rPr>
          <w:rFonts w:asciiTheme="majorBidi" w:hAnsiTheme="majorBidi" w:cstheme="majorBidi"/>
        </w:rPr>
        <w:t xml:space="preserve"> as we expect the average distance moved to vary by destination </w:t>
      </w:r>
      <w:r w:rsidR="00565191" w:rsidRPr="00996B4A">
        <w:rPr>
          <w:rFonts w:asciiTheme="majorBidi" w:hAnsiTheme="majorBidi" w:cstheme="majorBidi"/>
        </w:rPr>
        <w:fldChar w:fldCharType="begin" w:fldLock="1"/>
      </w:r>
      <w:r w:rsidR="00EA3427">
        <w:rPr>
          <w:rFonts w:asciiTheme="majorBidi" w:hAnsiTheme="majorBidi" w:cstheme="majorBidi"/>
        </w:rPr>
        <w:instrText>ADDIN CSL_CITATION { "citationItems" : [ { "id" : "ITEM-1", "itemData" : { "DOI" : "10.1068/a130327p", "ISSN" : "0308-518X", "abstract" : "Using individual records from a large and geographically detailed national research opinion survey, this paper uniquely adopts a multilevel\ufffdcross-classified statistical framework to demonstrate the relative importance of individual and simultaneous origin/destination contextual (neighbourhood and city region) variations in the distance moved by residential migrants in England and Wales. The model results confirm distinct microlevel variations in the distance moved according to certain key variables such as household income, educational attainment, and housing tenure whilst simultaneously revealing the importance of substantial origin and destination place-based macrogeographic variations. More specifically, the results indicate the extent to which those out-migrants from the main metropolitan cores, together with those in-migrants to the rural/coastal (amenity-rich) destinations, move over considerably longer distances than the average distance of\ufffdmove. Keywords: residential mobility; origin and destination context; distance moved; cross-classified multilevel model; place-based preferences", "author" : [ { "dropping-particle" : "", "family" : "Thomas", "given" : "Michael", "non-dropping-particle" : "", "parse-names" : false, "suffix" : "" }, { "dropping-particle" : "", "family" : "Stillwell", "given" : "John", "non-dropping-particle" : "", "parse-names" : false, "suffix" : "" }, { "dropping-particle" : "", "family" : "Gould", "given" : "Myles", "non-dropping-particle" : "", "parse-names" : false, "suffix" : "" } ], "container-title" : "Environment and Planning A", "id" : "ITEM-1", "issue" : "4", "issued" : { "date-parts" : [ [ "2015", "4" ] ] }, "page" : "996-1014", "publisher" : "Pion Ltd", "title" : "Modelling multilevel variations in distance moved between origins and destinations in England and Wales", "type" : "article-journal", "volume" : "47" }, "uris" : [ "http://www.mendeley.com/documents/?uuid=eb19a348-fe77-427b-bb2d-455984a90ee9" ] } ], "mendeley" : { "formattedCitation" : "(Thomas &lt;i&gt;et al.&lt;/i&gt;, 2015)", "plainTextFormattedCitation" : "(Thomas et al., 2015)", "previouslyFormattedCitation" : "(Thomas &lt;i&gt;et al.&lt;/i&gt;, 2015)" }, "properties" : { "noteIndex" : 0 }, "schema" : "https://github.com/citation-style-language/schema/raw/master/csl-citation.json" }</w:instrText>
      </w:r>
      <w:r w:rsidR="00565191" w:rsidRPr="00996B4A">
        <w:rPr>
          <w:rFonts w:asciiTheme="majorBidi" w:hAnsiTheme="majorBidi" w:cstheme="majorBidi"/>
        </w:rPr>
        <w:fldChar w:fldCharType="separate"/>
      </w:r>
      <w:r w:rsidR="00A328DF" w:rsidRPr="00A328DF">
        <w:rPr>
          <w:rFonts w:asciiTheme="majorBidi" w:hAnsiTheme="majorBidi" w:cstheme="majorBidi"/>
          <w:noProof/>
        </w:rPr>
        <w:t xml:space="preserve">(Thomas </w:t>
      </w:r>
      <w:r w:rsidR="00A328DF" w:rsidRPr="00A328DF">
        <w:rPr>
          <w:rFonts w:asciiTheme="majorBidi" w:hAnsiTheme="majorBidi" w:cstheme="majorBidi"/>
          <w:i/>
          <w:noProof/>
        </w:rPr>
        <w:t>et al.</w:t>
      </w:r>
      <w:r w:rsidR="00A328DF" w:rsidRPr="00A328DF">
        <w:rPr>
          <w:rFonts w:asciiTheme="majorBidi" w:hAnsiTheme="majorBidi" w:cstheme="majorBidi"/>
          <w:noProof/>
        </w:rPr>
        <w:t>, 2015)</w:t>
      </w:r>
      <w:r w:rsidR="00565191" w:rsidRPr="00996B4A">
        <w:rPr>
          <w:rFonts w:asciiTheme="majorBidi" w:hAnsiTheme="majorBidi" w:cstheme="majorBidi"/>
        </w:rPr>
        <w:fldChar w:fldCharType="end"/>
      </w:r>
      <w:r w:rsidR="003E5338" w:rsidRPr="00996B4A">
        <w:rPr>
          <w:rFonts w:asciiTheme="majorBidi" w:hAnsiTheme="majorBidi" w:cstheme="majorBidi"/>
        </w:rPr>
        <w:t xml:space="preserve">. We allow the effect of LLTI to vary randomly across destination LAs, to test whether </w:t>
      </w:r>
      <w:r w:rsidR="002861B3" w:rsidRPr="00996B4A">
        <w:rPr>
          <w:rFonts w:asciiTheme="majorBidi" w:hAnsiTheme="majorBidi" w:cstheme="majorBidi"/>
        </w:rPr>
        <w:t>those with an LLTI are less likely to have moved long distance in all LAs</w:t>
      </w:r>
      <w:r w:rsidR="003E5338" w:rsidRPr="00996B4A">
        <w:rPr>
          <w:rFonts w:asciiTheme="majorBidi" w:hAnsiTheme="majorBidi" w:cstheme="majorBidi"/>
        </w:rPr>
        <w:t>.</w:t>
      </w:r>
    </w:p>
    <w:p w14:paraId="7AC15D7E" w14:textId="45E3D5F5" w:rsidR="005673CC" w:rsidRPr="00996B4A" w:rsidRDefault="005673CC" w:rsidP="00EA3427">
      <w:pPr>
        <w:spacing w:line="480" w:lineRule="auto"/>
        <w:rPr>
          <w:rFonts w:asciiTheme="majorBidi" w:hAnsiTheme="majorBidi" w:cstheme="majorBidi"/>
        </w:rPr>
      </w:pPr>
      <w:r w:rsidRPr="00996B4A">
        <w:rPr>
          <w:rFonts w:asciiTheme="majorBidi" w:hAnsiTheme="majorBidi" w:cstheme="majorBidi"/>
        </w:rPr>
        <w:t xml:space="preserve">We model the </w:t>
      </w:r>
      <w:r w:rsidR="00DB7AD6" w:rsidRPr="00996B4A">
        <w:rPr>
          <w:rFonts w:asciiTheme="majorBidi" w:hAnsiTheme="majorBidi" w:cstheme="majorBidi"/>
        </w:rPr>
        <w:t xml:space="preserve">log </w:t>
      </w:r>
      <w:r w:rsidRPr="00996B4A">
        <w:rPr>
          <w:rFonts w:asciiTheme="majorBidi" w:hAnsiTheme="majorBidi" w:cstheme="majorBidi"/>
        </w:rPr>
        <w:t xml:space="preserve">odds of having moved long distance (P = 1|X) relative to the odds of having moved short distance (P = 0|X) for migrant i living in LA j as follows </w:t>
      </w:r>
      <w:r w:rsidRPr="00996B4A">
        <w:rPr>
          <w:rFonts w:asciiTheme="majorBidi" w:hAnsiTheme="majorBidi" w:cstheme="majorBidi"/>
        </w:rPr>
        <w:fldChar w:fldCharType="begin" w:fldLock="1"/>
      </w:r>
      <w:r w:rsidR="00EA3427">
        <w:rPr>
          <w:rFonts w:asciiTheme="majorBidi" w:hAnsiTheme="majorBidi" w:cstheme="majorBidi"/>
        </w:rPr>
        <w:instrText>ADDIN CSL_CITATION { "citationItems" : [ { "id" : "ITEM-1", "itemData" : { "DOI" : "10.1068/a33164", "ISSN" : "0308-518X", "abstract" : "We review some of the work of the past ten years that applied the multi-level logit model. We attempt to provide a brief description of the hypothesis tested, the hierarchical data structure analyzed, and the multilevel data source for each piece of work we have reviewed. We have also reviewed the technical literature and worked out two examples on multilevel models for binary outcomes. The review and examples serve two purposes: First, they are designed to assist in all aspects of working with multilevel models for binary outcomes, including model conceptualization, model description for a research report, understanding of the structure of required multilevel data, estimation of the model via a generally available statistical package, and interpretation of the results. Second, our examples contribute to the evaluation of the approximation procedures for binary multilevel models that have been implemented for general public use. CR - Copyright &amp;#169; 2000 Annual Reviews", "author" : [ { "dropping-particle" : "", "family" : "Ham", "given" : "Maarten", "non-dropping-particle" : "van", "parse-names" : false, "suffix" : "" }, { "dropping-particle" : "", "family" : "Mulder", "given" : "Clara H", "non-dropping-particle" : "", "parse-names" : false, "suffix" : "" }, { "dropping-particle" : "", "family" : "Hooimeijer", "given" : "Pieter", "non-dropping-particle" : "", "parse-names" : false, "suffix" : "" } ], "container-title" : "Environment and Planning A", "id" : "ITEM-1", "issue" : "5", "issued" : { "date-parts" : [ [ "2001", "5", "1" ] ] }, "page" : "921-940", "publisher" : "Annual Reviews", "title" : "Spatial flexibility in job mobility: macrolevel opportunities and microlevel restrictions", "type" : "article-journal", "volume" : "33" }, "uris" : [ "http://www.mendeley.com/documents/?uuid=bc1c1200-93df-4c58-b84d-a4e0cee7af56" ] } ], "mendeley" : { "formattedCitation" : "(van Ham &lt;i&gt;et al.&lt;/i&gt;, 2001)", "plainTextFormattedCitation" : "(van Ham et al., 2001)", "previouslyFormattedCitation" : "(van Ham &lt;i&gt;et al.&lt;/i&gt;, 2001)" }, "properties" : { "noteIndex" : 0 }, "schema" : "https://github.com/citation-style-language/schema/raw/master/csl-citation.json" }</w:instrText>
      </w:r>
      <w:r w:rsidRPr="00996B4A">
        <w:rPr>
          <w:rFonts w:asciiTheme="majorBidi" w:hAnsiTheme="majorBidi" w:cstheme="majorBidi"/>
        </w:rPr>
        <w:fldChar w:fldCharType="separate"/>
      </w:r>
      <w:r w:rsidR="00EA3427" w:rsidRPr="00EA3427">
        <w:rPr>
          <w:rFonts w:asciiTheme="majorBidi" w:hAnsiTheme="majorBidi" w:cstheme="majorBidi"/>
          <w:noProof/>
        </w:rPr>
        <w:t xml:space="preserve">(van Ham </w:t>
      </w:r>
      <w:r w:rsidR="00EA3427" w:rsidRPr="00EA3427">
        <w:rPr>
          <w:rFonts w:asciiTheme="majorBidi" w:hAnsiTheme="majorBidi" w:cstheme="majorBidi"/>
          <w:i/>
          <w:noProof/>
        </w:rPr>
        <w:t>et al.</w:t>
      </w:r>
      <w:r w:rsidR="00EA3427" w:rsidRPr="00EA3427">
        <w:rPr>
          <w:rFonts w:asciiTheme="majorBidi" w:hAnsiTheme="majorBidi" w:cstheme="majorBidi"/>
          <w:noProof/>
        </w:rPr>
        <w:t>, 2001)</w:t>
      </w:r>
      <w:r w:rsidRPr="00996B4A">
        <w:rPr>
          <w:rFonts w:asciiTheme="majorBidi" w:hAnsiTheme="majorBidi" w:cstheme="majorBidi"/>
        </w:rPr>
        <w:fldChar w:fldCharType="end"/>
      </w:r>
      <w:r w:rsidRPr="00996B4A">
        <w:rPr>
          <w:rFonts w:asciiTheme="majorBidi" w:hAnsiTheme="majorBidi" w:cstheme="majorBidi"/>
        </w:rPr>
        <w:t>:</w:t>
      </w:r>
    </w:p>
    <w:p w14:paraId="672CA0B5" w14:textId="582A4439" w:rsidR="005673CC" w:rsidRPr="00996B4A" w:rsidRDefault="00DB7AD6" w:rsidP="005673CC">
      <w:pPr>
        <w:jc w:val="center"/>
        <w:rPr>
          <w:rFonts w:asciiTheme="majorBidi" w:hAnsiTheme="majorBidi" w:cstheme="majorBidi"/>
        </w:rPr>
      </w:pPr>
      <m:oMath>
        <m:r>
          <m:rPr>
            <m:sty m:val="p"/>
          </m:rPr>
          <w:rPr>
            <w:rFonts w:ascii="Cambria Math" w:hAnsi="Cambria Math" w:cstheme="majorBidi"/>
          </w:rPr>
          <m:t>log⁡</m:t>
        </m:r>
        <m:r>
          <w:rPr>
            <w:rFonts w:ascii="Cambria Math" w:hAnsi="Cambria Math" w:cstheme="majorBidi" w:hint="eastAsia"/>
          </w:rPr>
          <m:t>(</m:t>
        </m:r>
        <m:sSub>
          <m:sSubPr>
            <m:ctrlPr>
              <w:rPr>
                <w:rFonts w:ascii="Cambria Math" w:hAnsi="Cambria Math" w:cstheme="majorBidi"/>
                <w:i/>
              </w:rPr>
            </m:ctrlPr>
          </m:sSubPr>
          <m:e>
            <m:r>
              <w:rPr>
                <w:rFonts w:ascii="Cambria Math" w:hAnsi="Cambria Math" w:cstheme="majorBidi" w:hint="eastAsia"/>
              </w:rPr>
              <m:t>odds)</m:t>
            </m:r>
          </m:e>
          <m:sub>
            <m:r>
              <w:rPr>
                <w:rFonts w:ascii="Cambria Math" w:hAnsi="Cambria Math" w:cstheme="majorBidi" w:hint="eastAsia"/>
              </w:rPr>
              <m:t>ij</m:t>
            </m:r>
          </m:sub>
        </m:sSub>
        <m:r>
          <w:rPr>
            <w:rFonts w:ascii="Cambria Math" w:hAnsi="Cambria Math" w:cstheme="majorBidi" w:hint="eastAsia"/>
          </w:rPr>
          <m:t>=</m:t>
        </m:r>
        <m:sSub>
          <m:sSubPr>
            <m:ctrlPr>
              <w:rPr>
                <w:rFonts w:ascii="Cambria Math" w:hAnsi="Cambria Math" w:cstheme="majorBidi"/>
                <w:i/>
              </w:rPr>
            </m:ctrlPr>
          </m:sSubPr>
          <m:e>
            <m:r>
              <w:rPr>
                <w:rFonts w:ascii="Cambria Math" w:hAnsi="Cambria Math" w:cstheme="majorBidi" w:hint="eastAsia"/>
              </w:rPr>
              <m:t>β</m:t>
            </m:r>
          </m:e>
          <m:sub>
            <m:r>
              <w:rPr>
                <w:rFonts w:ascii="Cambria Math" w:hAnsi="Cambria Math" w:cstheme="majorBidi" w:hint="eastAsia"/>
              </w:rPr>
              <m:t>0</m:t>
            </m:r>
          </m:sub>
        </m:sSub>
        <m:r>
          <w:rPr>
            <w:rFonts w:ascii="Cambria Math" w:hAnsi="Cambria Math" w:cstheme="majorBidi" w:hint="eastAsia"/>
          </w:rPr>
          <m:t>+</m:t>
        </m:r>
        <m:sSub>
          <m:sSubPr>
            <m:ctrlPr>
              <w:rPr>
                <w:rFonts w:ascii="Cambria Math" w:hAnsi="Cambria Math" w:cstheme="majorBidi"/>
                <w:i/>
              </w:rPr>
            </m:ctrlPr>
          </m:sSubPr>
          <m:e>
            <m:r>
              <w:rPr>
                <w:rFonts w:ascii="Cambria Math" w:hAnsi="Cambria Math" w:cstheme="majorBidi" w:hint="eastAsia"/>
              </w:rPr>
              <m:t>β</m:t>
            </m:r>
          </m:e>
          <m:sub>
            <m:r>
              <w:rPr>
                <w:rFonts w:ascii="Cambria Math" w:hAnsi="Cambria Math" w:cstheme="majorBidi" w:hint="eastAsia"/>
              </w:rPr>
              <m:t>n</m:t>
            </m:r>
          </m:sub>
        </m:sSub>
        <m:sSub>
          <m:sSubPr>
            <m:ctrlPr>
              <w:rPr>
                <w:rFonts w:ascii="Cambria Math" w:hAnsi="Cambria Math" w:cstheme="majorBidi"/>
                <w:i/>
              </w:rPr>
            </m:ctrlPr>
          </m:sSubPr>
          <m:e>
            <m:r>
              <w:rPr>
                <w:rFonts w:ascii="Cambria Math" w:hAnsi="Cambria Math" w:cstheme="majorBidi" w:hint="eastAsia"/>
              </w:rPr>
              <m:t>X</m:t>
            </m:r>
          </m:e>
          <m:sub>
            <m:r>
              <w:rPr>
                <w:rFonts w:ascii="Cambria Math" w:hAnsi="Cambria Math" w:cstheme="majorBidi" w:hint="eastAsia"/>
              </w:rPr>
              <m:t>n</m:t>
            </m:r>
          </m:sub>
        </m:sSub>
        <m:r>
          <w:rPr>
            <w:rFonts w:ascii="Cambria Math" w:hAnsi="Cambria Math" w:cstheme="majorBidi" w:hint="eastAsia"/>
          </w:rPr>
          <m:t>+</m:t>
        </m:r>
        <m:sSub>
          <m:sSubPr>
            <m:ctrlPr>
              <w:rPr>
                <w:rFonts w:ascii="Cambria Math" w:hAnsi="Cambria Math" w:cstheme="majorBidi"/>
                <w:i/>
              </w:rPr>
            </m:ctrlPr>
          </m:sSubPr>
          <m:e>
            <m:r>
              <w:rPr>
                <w:rFonts w:ascii="Cambria Math" w:hAnsi="Cambria Math" w:cstheme="majorBidi" w:hint="eastAsia"/>
              </w:rPr>
              <m:t>LLTI</m:t>
            </m:r>
          </m:e>
          <m:sub>
            <m:r>
              <w:rPr>
                <w:rFonts w:ascii="Cambria Math" w:hAnsi="Cambria Math" w:cstheme="majorBidi" w:hint="eastAsia"/>
              </w:rPr>
              <m:t>i</m:t>
            </m:r>
          </m:sub>
        </m:sSub>
        <m:r>
          <w:rPr>
            <w:rFonts w:ascii="Cambria Math" w:hAnsi="Cambria Math" w:cstheme="majorBidi" w:hint="eastAsia"/>
          </w:rPr>
          <m:t>+</m:t>
        </m:r>
        <m:sSub>
          <m:sSubPr>
            <m:ctrlPr>
              <w:rPr>
                <w:rFonts w:ascii="Cambria Math" w:hAnsi="Cambria Math" w:cstheme="majorBidi"/>
                <w:i/>
              </w:rPr>
            </m:ctrlPr>
          </m:sSubPr>
          <m:e>
            <m:r>
              <w:rPr>
                <w:rFonts w:ascii="Cambria Math" w:hAnsi="Cambria Math" w:cstheme="majorBidi" w:hint="eastAsia"/>
              </w:rPr>
              <m:t>μ</m:t>
            </m:r>
          </m:e>
          <m:sub>
            <m:r>
              <w:rPr>
                <w:rFonts w:ascii="Cambria Math" w:hAnsi="Cambria Math" w:cstheme="majorBidi" w:hint="eastAsia"/>
              </w:rPr>
              <m:t>0j</m:t>
            </m:r>
          </m:sub>
        </m:sSub>
        <m:r>
          <w:rPr>
            <w:rFonts w:ascii="Cambria Math" w:hAnsi="Cambria Math" w:cstheme="majorBidi" w:hint="eastAsia"/>
          </w:rPr>
          <m:t>+</m:t>
        </m:r>
        <m:sSub>
          <m:sSubPr>
            <m:ctrlPr>
              <w:rPr>
                <w:rFonts w:ascii="Cambria Math" w:hAnsi="Cambria Math" w:cstheme="majorBidi"/>
                <w:i/>
              </w:rPr>
            </m:ctrlPr>
          </m:sSubPr>
          <m:e>
            <m:r>
              <w:rPr>
                <w:rFonts w:ascii="Cambria Math" w:hAnsi="Cambria Math" w:cstheme="majorBidi" w:hint="eastAsia"/>
              </w:rPr>
              <m:t>μ</m:t>
            </m:r>
          </m:e>
          <m:sub>
            <m:r>
              <w:rPr>
                <w:rFonts w:ascii="Cambria Math" w:hAnsi="Cambria Math" w:cstheme="majorBidi" w:hint="eastAsia"/>
              </w:rPr>
              <m:t>1j</m:t>
            </m:r>
          </m:sub>
        </m:sSub>
        <m:r>
          <w:rPr>
            <w:rFonts w:ascii="Cambria Math" w:hAnsi="Cambria Math" w:cstheme="majorBidi" w:hint="eastAsia"/>
          </w:rPr>
          <m:t>+</m:t>
        </m:r>
        <m:sSub>
          <m:sSubPr>
            <m:ctrlPr>
              <w:rPr>
                <w:rFonts w:ascii="Cambria Math" w:hAnsi="Cambria Math" w:cstheme="majorBidi"/>
                <w:i/>
              </w:rPr>
            </m:ctrlPr>
          </m:sSubPr>
          <m:e>
            <m:r>
              <w:rPr>
                <w:rFonts w:ascii="Cambria Math" w:hAnsi="Cambria Math" w:cstheme="majorBidi" w:hint="eastAsia"/>
              </w:rPr>
              <m:t>e</m:t>
            </m:r>
          </m:e>
          <m:sub>
            <m:r>
              <w:rPr>
                <w:rFonts w:ascii="Cambria Math" w:hAnsi="Cambria Math" w:cstheme="majorBidi" w:hint="eastAsia"/>
              </w:rPr>
              <m:t>i</m:t>
            </m:r>
          </m:sub>
        </m:sSub>
      </m:oMath>
      <w:r w:rsidR="005673CC" w:rsidRPr="00996B4A">
        <w:rPr>
          <w:rFonts w:asciiTheme="majorBidi" w:hAnsiTheme="majorBidi" w:cstheme="majorBidi"/>
        </w:rPr>
        <w:t xml:space="preserve"> (1)</w:t>
      </w:r>
    </w:p>
    <w:p w14:paraId="6BA5962E" w14:textId="362F46B0" w:rsidR="004C0B73" w:rsidRPr="00996B4A" w:rsidRDefault="0094129E" w:rsidP="004C0B73">
      <w:pPr>
        <w:spacing w:line="480" w:lineRule="auto"/>
        <w:rPr>
          <w:rFonts w:asciiTheme="majorBidi" w:hAnsiTheme="majorBidi" w:cstheme="majorBidi"/>
        </w:rPr>
      </w:pPr>
      <w:r w:rsidRPr="00996B4A">
        <w:rPr>
          <w:rFonts w:asciiTheme="majorBidi" w:hAnsiTheme="majorBidi" w:cstheme="majorBidi"/>
        </w:rPr>
        <w:t xml:space="preserve">Where </w:t>
      </w:r>
      <m:oMath>
        <m:sSub>
          <m:sSubPr>
            <m:ctrlPr>
              <w:rPr>
                <w:rFonts w:ascii="Cambria Math" w:hAnsi="Cambria Math" w:cstheme="majorBidi"/>
                <w:i/>
              </w:rPr>
            </m:ctrlPr>
          </m:sSubPr>
          <m:e>
            <m:r>
              <w:rPr>
                <w:rFonts w:ascii="Cambria Math" w:hAnsi="Cambria Math" w:cstheme="majorBidi" w:hint="eastAsia"/>
              </w:rPr>
              <m:t>β</m:t>
            </m:r>
          </m:e>
          <m:sub>
            <m:r>
              <w:rPr>
                <w:rFonts w:ascii="Cambria Math" w:hAnsi="Cambria Math" w:cstheme="majorBidi" w:hint="eastAsia"/>
              </w:rPr>
              <m:t>0</m:t>
            </m:r>
          </m:sub>
        </m:sSub>
      </m:oMath>
      <w:r w:rsidRPr="00996B4A">
        <w:rPr>
          <w:rFonts w:asciiTheme="majorBidi" w:hAnsiTheme="majorBidi" w:cstheme="majorBidi"/>
        </w:rPr>
        <w:t xml:space="preserve"> is a fixed constant, </w:t>
      </w:r>
      <m:oMath>
        <m:sSub>
          <m:sSubPr>
            <m:ctrlPr>
              <w:rPr>
                <w:rFonts w:ascii="Cambria Math" w:hAnsi="Cambria Math" w:cstheme="majorBidi"/>
                <w:i/>
              </w:rPr>
            </m:ctrlPr>
          </m:sSubPr>
          <m:e>
            <m:r>
              <w:rPr>
                <w:rFonts w:ascii="Cambria Math" w:hAnsi="Cambria Math" w:cstheme="majorBidi" w:hint="eastAsia"/>
              </w:rPr>
              <m:t>β</m:t>
            </m:r>
          </m:e>
          <m:sub>
            <m:r>
              <w:rPr>
                <w:rFonts w:ascii="Cambria Math" w:hAnsi="Cambria Math" w:cstheme="majorBidi" w:hint="eastAsia"/>
              </w:rPr>
              <m:t>n</m:t>
            </m:r>
          </m:sub>
        </m:sSub>
        <m:sSub>
          <m:sSubPr>
            <m:ctrlPr>
              <w:rPr>
                <w:rFonts w:ascii="Cambria Math" w:hAnsi="Cambria Math" w:cstheme="majorBidi"/>
                <w:i/>
              </w:rPr>
            </m:ctrlPr>
          </m:sSubPr>
          <m:e>
            <m:r>
              <w:rPr>
                <w:rFonts w:ascii="Cambria Math" w:hAnsi="Cambria Math" w:cstheme="majorBidi" w:hint="eastAsia"/>
              </w:rPr>
              <m:t>X</m:t>
            </m:r>
          </m:e>
          <m:sub>
            <m:r>
              <w:rPr>
                <w:rFonts w:ascii="Cambria Math" w:hAnsi="Cambria Math" w:cstheme="majorBidi" w:hint="eastAsia"/>
              </w:rPr>
              <m:t>n</m:t>
            </m:r>
          </m:sub>
        </m:sSub>
      </m:oMath>
      <w:r w:rsidRPr="00996B4A">
        <w:rPr>
          <w:rFonts w:asciiTheme="majorBidi" w:hAnsiTheme="majorBidi" w:cstheme="majorBidi"/>
        </w:rPr>
        <w:t xml:space="preserve"> is the </w:t>
      </w:r>
      <w:r w:rsidR="00953930" w:rsidRPr="00996B4A">
        <w:rPr>
          <w:rFonts w:asciiTheme="majorBidi" w:hAnsiTheme="majorBidi" w:cstheme="majorBidi"/>
        </w:rPr>
        <w:t xml:space="preserve">matrix </w:t>
      </w:r>
      <w:r w:rsidRPr="00996B4A">
        <w:rPr>
          <w:rFonts w:asciiTheme="majorBidi" w:hAnsiTheme="majorBidi" w:cstheme="majorBidi"/>
        </w:rPr>
        <w:t xml:space="preserve">of </w:t>
      </w:r>
      <w:r w:rsidR="00953930" w:rsidRPr="00996B4A">
        <w:rPr>
          <w:rFonts w:asciiTheme="majorBidi" w:hAnsiTheme="majorBidi" w:cstheme="majorBidi"/>
        </w:rPr>
        <w:t xml:space="preserve">fixed </w:t>
      </w:r>
      <w:r w:rsidRPr="00996B4A">
        <w:rPr>
          <w:rFonts w:asciiTheme="majorBidi" w:hAnsiTheme="majorBidi" w:cstheme="majorBidi"/>
        </w:rPr>
        <w:t xml:space="preserve">covariates defined in table 2, </w:t>
      </w:r>
      <m:oMath>
        <m:sSub>
          <m:sSubPr>
            <m:ctrlPr>
              <w:rPr>
                <w:rFonts w:ascii="Cambria Math" w:hAnsi="Cambria Math" w:cstheme="majorBidi"/>
                <w:i/>
              </w:rPr>
            </m:ctrlPr>
          </m:sSubPr>
          <m:e>
            <m:r>
              <w:rPr>
                <w:rFonts w:ascii="Cambria Math" w:hAnsi="Cambria Math" w:cstheme="majorBidi" w:hint="eastAsia"/>
              </w:rPr>
              <m:t>LLTI</m:t>
            </m:r>
          </m:e>
          <m:sub>
            <m:r>
              <w:rPr>
                <w:rFonts w:ascii="Cambria Math" w:hAnsi="Cambria Math" w:cstheme="majorBidi" w:hint="eastAsia"/>
              </w:rPr>
              <m:t>i</m:t>
            </m:r>
          </m:sub>
        </m:sSub>
      </m:oMath>
      <w:r w:rsidRPr="00996B4A">
        <w:rPr>
          <w:rFonts w:asciiTheme="majorBidi" w:hAnsiTheme="majorBidi" w:cstheme="majorBidi"/>
        </w:rPr>
        <w:t xml:space="preserve"> is the fixed coefficient for individuals with an LLTI, </w:t>
      </w:r>
      <m:oMath>
        <m:sSub>
          <m:sSubPr>
            <m:ctrlPr>
              <w:rPr>
                <w:rFonts w:ascii="Cambria Math" w:hAnsi="Cambria Math" w:cstheme="majorBidi"/>
                <w:i/>
              </w:rPr>
            </m:ctrlPr>
          </m:sSubPr>
          <m:e>
            <m:r>
              <w:rPr>
                <w:rFonts w:ascii="Cambria Math" w:hAnsi="Cambria Math" w:cstheme="majorBidi" w:hint="eastAsia"/>
              </w:rPr>
              <m:t>μ</m:t>
            </m:r>
          </m:e>
          <m:sub>
            <m:r>
              <w:rPr>
                <w:rFonts w:ascii="Cambria Math" w:hAnsi="Cambria Math" w:cstheme="majorBidi" w:hint="eastAsia"/>
              </w:rPr>
              <m:t>0j</m:t>
            </m:r>
          </m:sub>
        </m:sSub>
      </m:oMath>
      <w:r w:rsidRPr="00996B4A">
        <w:rPr>
          <w:rFonts w:asciiTheme="majorBidi" w:hAnsiTheme="majorBidi" w:cstheme="majorBidi"/>
        </w:rPr>
        <w:t xml:space="preserve"> is the random </w:t>
      </w:r>
      <w:r w:rsidR="00953930" w:rsidRPr="00996B4A">
        <w:rPr>
          <w:rFonts w:asciiTheme="majorBidi" w:hAnsiTheme="majorBidi" w:cstheme="majorBidi"/>
        </w:rPr>
        <w:t>inte</w:t>
      </w:r>
      <w:r w:rsidR="00C5490A" w:rsidRPr="00996B4A">
        <w:rPr>
          <w:rFonts w:asciiTheme="majorBidi" w:hAnsiTheme="majorBidi" w:cstheme="majorBidi"/>
        </w:rPr>
        <w:t>r</w:t>
      </w:r>
      <w:r w:rsidR="00953930" w:rsidRPr="00996B4A">
        <w:rPr>
          <w:rFonts w:asciiTheme="majorBidi" w:hAnsiTheme="majorBidi" w:cstheme="majorBidi"/>
        </w:rPr>
        <w:t xml:space="preserve">cept </w:t>
      </w:r>
      <w:r w:rsidRPr="00996B4A">
        <w:rPr>
          <w:rFonts w:asciiTheme="majorBidi" w:hAnsiTheme="majorBidi" w:cstheme="majorBidi"/>
        </w:rPr>
        <w:t xml:space="preserve">associated with LA j, </w:t>
      </w:r>
      <m:oMath>
        <m:sSub>
          <m:sSubPr>
            <m:ctrlPr>
              <w:rPr>
                <w:rFonts w:ascii="Cambria Math" w:hAnsi="Cambria Math" w:cstheme="majorBidi"/>
                <w:i/>
              </w:rPr>
            </m:ctrlPr>
          </m:sSubPr>
          <m:e>
            <m:r>
              <w:rPr>
                <w:rFonts w:ascii="Cambria Math" w:hAnsi="Cambria Math" w:cstheme="majorBidi" w:hint="eastAsia"/>
              </w:rPr>
              <m:t>μ</m:t>
            </m:r>
          </m:e>
          <m:sub>
            <m:r>
              <w:rPr>
                <w:rFonts w:ascii="Cambria Math" w:hAnsi="Cambria Math" w:cstheme="majorBidi" w:hint="eastAsia"/>
              </w:rPr>
              <m:t>1j</m:t>
            </m:r>
          </m:sub>
        </m:sSub>
      </m:oMath>
      <w:r w:rsidRPr="00996B4A">
        <w:rPr>
          <w:rFonts w:asciiTheme="majorBidi" w:hAnsiTheme="majorBidi" w:cstheme="majorBidi"/>
        </w:rPr>
        <w:t xml:space="preserve"> is the random </w:t>
      </w:r>
      <w:r w:rsidR="00953930" w:rsidRPr="00996B4A">
        <w:rPr>
          <w:rFonts w:asciiTheme="majorBidi" w:hAnsiTheme="majorBidi" w:cstheme="majorBidi"/>
        </w:rPr>
        <w:t xml:space="preserve">slope </w:t>
      </w:r>
      <w:r w:rsidRPr="00996B4A">
        <w:rPr>
          <w:rFonts w:asciiTheme="majorBidi" w:hAnsiTheme="majorBidi" w:cstheme="majorBidi"/>
        </w:rPr>
        <w:t>for individuals with an LLTI in LA j</w:t>
      </w:r>
      <w:r w:rsidR="004F19DE" w:rsidRPr="00996B4A">
        <w:rPr>
          <w:rFonts w:asciiTheme="majorBidi" w:hAnsiTheme="majorBidi" w:cstheme="majorBidi"/>
        </w:rPr>
        <w:t>, an additional effect for the population with an LLTI</w:t>
      </w:r>
      <w:r w:rsidRPr="00996B4A">
        <w:rPr>
          <w:rFonts w:asciiTheme="majorBidi" w:hAnsiTheme="majorBidi" w:cstheme="majorBidi"/>
        </w:rPr>
        <w:t xml:space="preserve"> and </w:t>
      </w:r>
      <m:oMath>
        <m:sSub>
          <m:sSubPr>
            <m:ctrlPr>
              <w:rPr>
                <w:rFonts w:ascii="Cambria Math" w:hAnsi="Cambria Math" w:cstheme="majorBidi"/>
                <w:i/>
              </w:rPr>
            </m:ctrlPr>
          </m:sSubPr>
          <m:e>
            <m:r>
              <w:rPr>
                <w:rFonts w:ascii="Cambria Math" w:hAnsi="Cambria Math" w:cstheme="majorBidi" w:hint="eastAsia"/>
              </w:rPr>
              <m:t>e</m:t>
            </m:r>
          </m:e>
          <m:sub>
            <m:r>
              <w:rPr>
                <w:rFonts w:ascii="Cambria Math" w:hAnsi="Cambria Math" w:cstheme="majorBidi" w:hint="eastAsia"/>
              </w:rPr>
              <m:t>i</m:t>
            </m:r>
          </m:sub>
        </m:sSub>
      </m:oMath>
      <w:r w:rsidRPr="00996B4A">
        <w:rPr>
          <w:rFonts w:asciiTheme="majorBidi" w:hAnsiTheme="majorBidi" w:cstheme="majorBidi"/>
        </w:rPr>
        <w:t xml:space="preserve"> </w:t>
      </w:r>
      <w:r w:rsidR="00F066F9" w:rsidRPr="00996B4A">
        <w:rPr>
          <w:rFonts w:asciiTheme="majorBidi" w:hAnsiTheme="majorBidi" w:cstheme="majorBidi"/>
        </w:rPr>
        <w:t xml:space="preserve"> an error term for individual i</w:t>
      </w:r>
      <w:r w:rsidRPr="00996B4A">
        <w:rPr>
          <w:rFonts w:asciiTheme="majorBidi" w:hAnsiTheme="majorBidi" w:cstheme="majorBidi"/>
        </w:rPr>
        <w:t xml:space="preserve">. We use the random effects approach, such that </w:t>
      </w:r>
      <m:oMath>
        <m:sSub>
          <m:sSubPr>
            <m:ctrlPr>
              <w:rPr>
                <w:rFonts w:ascii="Cambria Math" w:hAnsi="Cambria Math" w:cstheme="majorBidi"/>
                <w:i/>
              </w:rPr>
            </m:ctrlPr>
          </m:sSubPr>
          <m:e>
            <m:r>
              <w:rPr>
                <w:rFonts w:ascii="Cambria Math" w:hAnsi="Cambria Math" w:cstheme="majorBidi" w:hint="eastAsia"/>
              </w:rPr>
              <m:t>μ</m:t>
            </m:r>
          </m:e>
          <m:sub>
            <m:r>
              <w:rPr>
                <w:rFonts w:ascii="Cambria Math" w:hAnsi="Cambria Math" w:cstheme="majorBidi" w:hint="eastAsia"/>
              </w:rPr>
              <m:t>0j</m:t>
            </m:r>
          </m:sub>
        </m:sSub>
      </m:oMath>
      <w:r w:rsidR="005673CC" w:rsidRPr="00996B4A">
        <w:rPr>
          <w:rFonts w:asciiTheme="majorBidi" w:hAnsiTheme="majorBidi" w:cstheme="majorBidi"/>
        </w:rPr>
        <w:t xml:space="preserve"> and</w:t>
      </w:r>
      <w:r w:rsidRPr="00996B4A">
        <w:rPr>
          <w:rFonts w:asciiTheme="majorBidi" w:hAnsiTheme="majorBidi" w:cstheme="majorBidi"/>
        </w:rPr>
        <w:t xml:space="preserve"> </w:t>
      </w:r>
      <m:oMath>
        <m:sSub>
          <m:sSubPr>
            <m:ctrlPr>
              <w:rPr>
                <w:rFonts w:ascii="Cambria Math" w:hAnsi="Cambria Math" w:cstheme="majorBidi"/>
                <w:i/>
              </w:rPr>
            </m:ctrlPr>
          </m:sSubPr>
          <m:e>
            <m:r>
              <w:rPr>
                <w:rFonts w:ascii="Cambria Math" w:hAnsi="Cambria Math" w:cstheme="majorBidi" w:hint="eastAsia"/>
              </w:rPr>
              <m:t>μ</m:t>
            </m:r>
          </m:e>
          <m:sub>
            <m:r>
              <w:rPr>
                <w:rFonts w:ascii="Cambria Math" w:hAnsi="Cambria Math" w:cstheme="majorBidi" w:hint="eastAsia"/>
              </w:rPr>
              <m:t>1j</m:t>
            </m:r>
          </m:sub>
        </m:sSub>
      </m:oMath>
      <w:r w:rsidR="00B83208" w:rsidRPr="00996B4A">
        <w:rPr>
          <w:rFonts w:asciiTheme="majorBidi" w:hAnsiTheme="majorBidi" w:cstheme="majorBidi"/>
        </w:rPr>
        <w:t xml:space="preserve"> </w:t>
      </w:r>
      <w:r w:rsidRPr="00996B4A">
        <w:rPr>
          <w:rFonts w:asciiTheme="majorBidi" w:hAnsiTheme="majorBidi" w:cstheme="majorBidi"/>
        </w:rPr>
        <w:t xml:space="preserve">have a mean of 0 and a standard deviation equal to </w:t>
      </w:r>
      <m:oMath>
        <m:sSubSup>
          <m:sSubSupPr>
            <m:ctrlPr>
              <w:rPr>
                <w:rFonts w:ascii="Cambria Math" w:hAnsi="Cambria Math" w:cstheme="majorBidi"/>
                <w:i/>
              </w:rPr>
            </m:ctrlPr>
          </m:sSubSupPr>
          <m:e>
            <m:r>
              <w:rPr>
                <w:rFonts w:ascii="Cambria Math" w:hAnsi="Cambria Math" w:cstheme="majorBidi" w:hint="eastAsia"/>
              </w:rPr>
              <m:t>σ</m:t>
            </m:r>
          </m:e>
          <m:sub>
            <m:sSub>
              <m:sSubPr>
                <m:ctrlPr>
                  <w:rPr>
                    <w:rFonts w:ascii="Cambria Math" w:hAnsi="Cambria Math" w:cstheme="majorBidi"/>
                    <w:i/>
                  </w:rPr>
                </m:ctrlPr>
              </m:sSubPr>
              <m:e>
                <m:r>
                  <w:rPr>
                    <w:rFonts w:ascii="Cambria Math" w:hAnsi="Cambria Math" w:cstheme="majorBidi" w:hint="eastAsia"/>
                  </w:rPr>
                  <m:t>u</m:t>
                </m:r>
              </m:e>
              <m:sub>
                <m:r>
                  <w:rPr>
                    <w:rFonts w:ascii="Cambria Math" w:hAnsi="Cambria Math" w:cstheme="majorBidi" w:hint="eastAsia"/>
                  </w:rPr>
                  <m:t>0j</m:t>
                </m:r>
              </m:sub>
            </m:sSub>
          </m:sub>
          <m:sup>
            <m:r>
              <w:rPr>
                <w:rFonts w:ascii="Cambria Math" w:hAnsi="Cambria Math" w:cstheme="majorBidi" w:hint="eastAsia"/>
              </w:rPr>
              <m:t>2</m:t>
            </m:r>
          </m:sup>
        </m:sSubSup>
      </m:oMath>
      <w:r w:rsidRPr="00996B4A">
        <w:rPr>
          <w:rFonts w:asciiTheme="majorBidi" w:hAnsiTheme="majorBidi" w:cstheme="majorBidi"/>
        </w:rPr>
        <w:t xml:space="preserve"> and </w:t>
      </w:r>
      <m:oMath>
        <m:sSubSup>
          <m:sSubSupPr>
            <m:ctrlPr>
              <w:rPr>
                <w:rFonts w:ascii="Cambria Math" w:hAnsi="Cambria Math" w:cstheme="majorBidi"/>
                <w:i/>
              </w:rPr>
            </m:ctrlPr>
          </m:sSubSupPr>
          <m:e>
            <m:r>
              <w:rPr>
                <w:rFonts w:ascii="Cambria Math" w:hAnsi="Cambria Math" w:cstheme="majorBidi" w:hint="eastAsia"/>
              </w:rPr>
              <m:t>σ</m:t>
            </m:r>
          </m:e>
          <m:sub>
            <m:sSub>
              <m:sSubPr>
                <m:ctrlPr>
                  <w:rPr>
                    <w:rFonts w:ascii="Cambria Math" w:hAnsi="Cambria Math" w:cstheme="majorBidi"/>
                    <w:i/>
                  </w:rPr>
                </m:ctrlPr>
              </m:sSubPr>
              <m:e>
                <m:r>
                  <w:rPr>
                    <w:rFonts w:ascii="Cambria Math" w:hAnsi="Cambria Math" w:cstheme="majorBidi" w:hint="eastAsia"/>
                  </w:rPr>
                  <m:t>u</m:t>
                </m:r>
              </m:e>
              <m:sub>
                <m:r>
                  <w:rPr>
                    <w:rFonts w:ascii="Cambria Math" w:hAnsi="Cambria Math" w:cstheme="majorBidi" w:hint="eastAsia"/>
                  </w:rPr>
                  <m:t>1j</m:t>
                </m:r>
              </m:sub>
            </m:sSub>
          </m:sub>
          <m:sup>
            <m:r>
              <w:rPr>
                <w:rFonts w:ascii="Cambria Math" w:hAnsi="Cambria Math" w:cstheme="majorBidi" w:hint="eastAsia"/>
              </w:rPr>
              <m:t>2</m:t>
            </m:r>
          </m:sup>
        </m:sSubSup>
      </m:oMath>
      <w:r w:rsidR="005673CC" w:rsidRPr="00996B4A">
        <w:rPr>
          <w:rFonts w:asciiTheme="majorBidi" w:hAnsiTheme="majorBidi" w:cstheme="majorBidi"/>
        </w:rPr>
        <w:t xml:space="preserve"> </w:t>
      </w:r>
      <w:r w:rsidRPr="00996B4A">
        <w:rPr>
          <w:rFonts w:asciiTheme="majorBidi" w:hAnsiTheme="majorBidi" w:cstheme="majorBidi"/>
        </w:rPr>
        <w:t>respectively.</w:t>
      </w:r>
      <w:r w:rsidR="004C0B73" w:rsidRPr="00996B4A">
        <w:rPr>
          <w:rFonts w:asciiTheme="majorBidi" w:hAnsiTheme="majorBidi" w:cstheme="majorBidi"/>
        </w:rPr>
        <w:t xml:space="preserve"> Utilising random intercepts </w:t>
      </w:r>
      <m:oMath>
        <m:sSub>
          <m:sSubPr>
            <m:ctrlPr>
              <w:rPr>
                <w:rFonts w:ascii="Cambria Math" w:eastAsiaTheme="minorHAnsi" w:hAnsi="Cambria Math" w:cstheme="majorBidi"/>
                <w:i/>
                <w:lang w:eastAsia="en-US"/>
              </w:rPr>
            </m:ctrlPr>
          </m:sSubPr>
          <m:e>
            <m:r>
              <w:rPr>
                <w:rFonts w:ascii="Cambria Math" w:hAnsi="Cambria Math" w:cstheme="majorBidi" w:hint="eastAsia"/>
              </w:rPr>
              <m:t>U</m:t>
            </m:r>
          </m:e>
          <m:sub>
            <m:r>
              <w:rPr>
                <w:rFonts w:ascii="Cambria Math" w:hAnsi="Cambria Math" w:cstheme="majorBidi" w:hint="eastAsia"/>
              </w:rPr>
              <m:t>oj</m:t>
            </m:r>
          </m:sub>
        </m:sSub>
      </m:oMath>
      <w:r w:rsidR="004C0B73" w:rsidRPr="00996B4A">
        <w:rPr>
          <w:rFonts w:asciiTheme="majorBidi" w:hAnsiTheme="majorBidi" w:cstheme="majorBidi"/>
        </w:rPr>
        <w:t xml:space="preserve"> and slopes </w:t>
      </w:r>
      <m:oMath>
        <m:sSub>
          <m:sSubPr>
            <m:ctrlPr>
              <w:rPr>
                <w:rFonts w:ascii="Cambria Math" w:hAnsi="Cambria Math" w:cstheme="majorBidi"/>
                <w:i/>
                <w:lang w:eastAsia="en-US"/>
              </w:rPr>
            </m:ctrlPr>
          </m:sSubPr>
          <m:e>
            <m:r>
              <w:rPr>
                <w:rFonts w:ascii="Cambria Math" w:hAnsi="Cambria Math" w:cstheme="majorBidi" w:hint="eastAsia"/>
              </w:rPr>
              <m:t>U</m:t>
            </m:r>
          </m:e>
          <m:sub>
            <m:r>
              <w:rPr>
                <w:rFonts w:ascii="Cambria Math" w:hAnsi="Cambria Math" w:cstheme="majorBidi" w:hint="eastAsia"/>
              </w:rPr>
              <m:t>1j</m:t>
            </m:r>
          </m:sub>
        </m:sSub>
      </m:oMath>
      <w:r w:rsidR="004C0B73" w:rsidRPr="00996B4A">
        <w:rPr>
          <w:rFonts w:asciiTheme="majorBidi" w:hAnsiTheme="majorBidi" w:cstheme="majorBidi"/>
        </w:rPr>
        <w:t xml:space="preserve"> we investigate whether health-differences in the log-odds of having moved long distance vary across LAs and definitions of long distance. The average log-odds of having moved long distance for an individual without an </w:t>
      </w:r>
      <w:r w:rsidR="004C0B73" w:rsidRPr="00996B4A">
        <w:rPr>
          <w:rFonts w:asciiTheme="majorBidi" w:hAnsiTheme="majorBidi" w:cstheme="majorBidi"/>
        </w:rPr>
        <w:lastRenderedPageBreak/>
        <w:t xml:space="preserve">LLTI is given by the parameter </w:t>
      </w:r>
      <m:oMath>
        <m:sSub>
          <m:sSubPr>
            <m:ctrlPr>
              <w:rPr>
                <w:rFonts w:ascii="Cambria Math" w:hAnsi="Cambria Math" w:cstheme="majorBidi"/>
                <w:i/>
                <w:lang w:eastAsia="en-US"/>
              </w:rPr>
            </m:ctrlPr>
          </m:sSubPr>
          <m:e>
            <m:r>
              <w:rPr>
                <w:rFonts w:ascii="Cambria Math" w:hAnsi="Cambria Math" w:cstheme="majorBidi" w:hint="eastAsia"/>
              </w:rPr>
              <m:t>β</m:t>
            </m:r>
          </m:e>
          <m:sub>
            <m:r>
              <w:rPr>
                <w:rFonts w:ascii="Cambria Math" w:hAnsi="Cambria Math" w:cstheme="majorBidi" w:hint="eastAsia"/>
              </w:rPr>
              <m:t>0</m:t>
            </m:r>
          </m:sub>
        </m:sSub>
      </m:oMath>
      <w:r w:rsidR="004C0B73" w:rsidRPr="00996B4A">
        <w:rPr>
          <w:rFonts w:asciiTheme="majorBidi" w:hAnsiTheme="majorBidi" w:cstheme="majorBidi"/>
        </w:rPr>
        <w:t xml:space="preserve">, the average log-odds of having moved long distance for an individual without an LLTI in LA j is given by the parameters </w:t>
      </w:r>
      <m:oMath>
        <m:sSub>
          <m:sSubPr>
            <m:ctrlPr>
              <w:rPr>
                <w:rFonts w:ascii="Cambria Math" w:hAnsi="Cambria Math" w:cstheme="majorBidi"/>
                <w:i/>
                <w:lang w:eastAsia="en-US"/>
              </w:rPr>
            </m:ctrlPr>
          </m:sSubPr>
          <m:e>
            <m:r>
              <w:rPr>
                <w:rFonts w:ascii="Cambria Math" w:hAnsi="Cambria Math" w:cstheme="majorBidi" w:hint="eastAsia"/>
              </w:rPr>
              <m:t>β</m:t>
            </m:r>
          </m:e>
          <m:sub>
            <m:r>
              <w:rPr>
                <w:rFonts w:ascii="Cambria Math" w:hAnsi="Cambria Math" w:cstheme="majorBidi" w:hint="eastAsia"/>
              </w:rPr>
              <m:t>0</m:t>
            </m:r>
          </m:sub>
        </m:sSub>
        <m:r>
          <w:rPr>
            <w:rFonts w:ascii="Cambria Math" w:hAnsi="Cambria Math" w:cstheme="majorBidi" w:hint="eastAsia"/>
          </w:rPr>
          <m:t>+</m:t>
        </m:r>
        <m:sSub>
          <m:sSubPr>
            <m:ctrlPr>
              <w:rPr>
                <w:rFonts w:ascii="Cambria Math" w:hAnsi="Cambria Math" w:cstheme="majorBidi"/>
                <w:i/>
                <w:lang w:eastAsia="en-US"/>
              </w:rPr>
            </m:ctrlPr>
          </m:sSubPr>
          <m:e>
            <m:r>
              <w:rPr>
                <w:rFonts w:ascii="Cambria Math" w:hAnsi="Cambria Math" w:cstheme="majorBidi" w:hint="eastAsia"/>
              </w:rPr>
              <m:t>U</m:t>
            </m:r>
          </m:e>
          <m:sub>
            <m:r>
              <w:rPr>
                <w:rFonts w:ascii="Cambria Math" w:hAnsi="Cambria Math" w:cstheme="majorBidi" w:hint="eastAsia"/>
              </w:rPr>
              <m:t>0j</m:t>
            </m:r>
          </m:sub>
        </m:sSub>
      </m:oMath>
      <w:r w:rsidR="004C0B73" w:rsidRPr="00996B4A">
        <w:rPr>
          <w:rFonts w:asciiTheme="majorBidi" w:hAnsiTheme="majorBidi" w:cstheme="majorBidi"/>
        </w:rPr>
        <w:t xml:space="preserve"> and the average log-odds of having moved long distance for an individual with an LLTI in LA j is given by the parameters </w:t>
      </w:r>
      <m:oMath>
        <m:sSub>
          <m:sSubPr>
            <m:ctrlPr>
              <w:rPr>
                <w:rFonts w:ascii="Cambria Math" w:hAnsi="Cambria Math" w:cstheme="majorBidi"/>
                <w:i/>
                <w:lang w:eastAsia="en-US"/>
              </w:rPr>
            </m:ctrlPr>
          </m:sSubPr>
          <m:e>
            <m:r>
              <w:rPr>
                <w:rFonts w:ascii="Cambria Math" w:hAnsi="Cambria Math" w:cstheme="majorBidi" w:hint="eastAsia"/>
              </w:rPr>
              <m:t>β</m:t>
            </m:r>
          </m:e>
          <m:sub>
            <m:r>
              <w:rPr>
                <w:rFonts w:ascii="Cambria Math" w:hAnsi="Cambria Math" w:cstheme="majorBidi" w:hint="eastAsia"/>
              </w:rPr>
              <m:t>0</m:t>
            </m:r>
          </m:sub>
        </m:sSub>
        <m:r>
          <w:rPr>
            <w:rFonts w:ascii="Cambria Math" w:hAnsi="Cambria Math" w:cstheme="majorBidi" w:hint="eastAsia"/>
          </w:rPr>
          <m:t>+</m:t>
        </m:r>
        <m:sSub>
          <m:sSubPr>
            <m:ctrlPr>
              <w:rPr>
                <w:rFonts w:ascii="Cambria Math" w:hAnsi="Cambria Math" w:cstheme="majorBidi"/>
                <w:i/>
                <w:lang w:eastAsia="en-US"/>
              </w:rPr>
            </m:ctrlPr>
          </m:sSubPr>
          <m:e>
            <m:r>
              <w:rPr>
                <w:rFonts w:ascii="Cambria Math" w:hAnsi="Cambria Math" w:cstheme="majorBidi" w:hint="eastAsia"/>
              </w:rPr>
              <m:t>LLTI</m:t>
            </m:r>
          </m:e>
          <m:sub>
            <m:r>
              <w:rPr>
                <w:rFonts w:ascii="Cambria Math" w:hAnsi="Cambria Math" w:cstheme="majorBidi" w:hint="eastAsia"/>
              </w:rPr>
              <m:t>i</m:t>
            </m:r>
          </m:sub>
        </m:sSub>
        <m:r>
          <w:rPr>
            <w:rFonts w:ascii="Cambria Math" w:hAnsi="Cambria Math" w:cstheme="majorBidi" w:hint="eastAsia"/>
          </w:rPr>
          <m:t>+</m:t>
        </m:r>
        <m:sSub>
          <m:sSubPr>
            <m:ctrlPr>
              <w:rPr>
                <w:rFonts w:ascii="Cambria Math" w:hAnsi="Cambria Math" w:cstheme="majorBidi"/>
                <w:i/>
                <w:lang w:eastAsia="en-US"/>
              </w:rPr>
            </m:ctrlPr>
          </m:sSubPr>
          <m:e>
            <m:r>
              <w:rPr>
                <w:rFonts w:ascii="Cambria Math" w:hAnsi="Cambria Math" w:cstheme="majorBidi" w:hint="eastAsia"/>
              </w:rPr>
              <m:t>U</m:t>
            </m:r>
          </m:e>
          <m:sub>
            <m:r>
              <w:rPr>
                <w:rFonts w:ascii="Cambria Math" w:hAnsi="Cambria Math" w:cstheme="majorBidi" w:hint="eastAsia"/>
              </w:rPr>
              <m:t>0j</m:t>
            </m:r>
          </m:sub>
        </m:sSub>
        <m:r>
          <w:rPr>
            <w:rFonts w:ascii="Cambria Math" w:hAnsi="Cambria Math" w:cstheme="majorBidi" w:hint="eastAsia"/>
          </w:rPr>
          <m:t>+</m:t>
        </m:r>
        <m:sSub>
          <m:sSubPr>
            <m:ctrlPr>
              <w:rPr>
                <w:rFonts w:ascii="Cambria Math" w:hAnsi="Cambria Math" w:cstheme="majorBidi"/>
                <w:i/>
                <w:lang w:eastAsia="en-US"/>
              </w:rPr>
            </m:ctrlPr>
          </m:sSubPr>
          <m:e>
            <m:r>
              <w:rPr>
                <w:rFonts w:ascii="Cambria Math" w:hAnsi="Cambria Math" w:cstheme="majorBidi" w:hint="eastAsia"/>
              </w:rPr>
              <m:t>U</m:t>
            </m:r>
          </m:e>
          <m:sub>
            <m:r>
              <w:rPr>
                <w:rFonts w:ascii="Cambria Math" w:hAnsi="Cambria Math" w:cstheme="majorBidi" w:hint="eastAsia"/>
              </w:rPr>
              <m:t>1j</m:t>
            </m:r>
          </m:sub>
        </m:sSub>
      </m:oMath>
      <w:r w:rsidR="004C0B73" w:rsidRPr="00996B4A">
        <w:rPr>
          <w:rFonts w:asciiTheme="majorBidi" w:hAnsiTheme="majorBidi" w:cstheme="majorBidi"/>
        </w:rPr>
        <w:t>.</w:t>
      </w:r>
    </w:p>
    <w:p w14:paraId="6C79EDA3" w14:textId="77777777" w:rsidR="004F19DE" w:rsidRPr="00996B4A" w:rsidRDefault="004F19DE" w:rsidP="00701AA9">
      <w:pPr>
        <w:spacing w:line="480" w:lineRule="auto"/>
        <w:rPr>
          <w:rFonts w:asciiTheme="majorBidi" w:hAnsiTheme="majorBidi" w:cstheme="majorBidi"/>
        </w:rPr>
      </w:pPr>
      <w:r w:rsidRPr="00996B4A">
        <w:rPr>
          <w:rFonts w:asciiTheme="majorBidi" w:hAnsiTheme="majorBidi" w:cstheme="majorBidi"/>
        </w:rPr>
        <w:t>The odds are then converted into a percentage using the following transformation:</w:t>
      </w:r>
    </w:p>
    <w:p w14:paraId="074A17A0" w14:textId="1BF212AE" w:rsidR="004F19DE" w:rsidRPr="00996B4A" w:rsidRDefault="002749B5" w:rsidP="00C02468">
      <w:pPr>
        <w:spacing w:line="480" w:lineRule="auto"/>
        <w:jc w:val="center"/>
        <w:rPr>
          <w:rFonts w:asciiTheme="majorBidi" w:hAnsiTheme="majorBidi" w:cstheme="majorBidi"/>
        </w:rPr>
      </w:pPr>
      <m:oMath>
        <m:sSub>
          <m:sSubPr>
            <m:ctrlPr>
              <w:rPr>
                <w:rFonts w:ascii="Cambria Math" w:hAnsi="Cambria Math" w:cstheme="majorBidi"/>
                <w:i/>
              </w:rPr>
            </m:ctrlPr>
          </m:sSubPr>
          <m:e>
            <m:r>
              <w:rPr>
                <w:rFonts w:ascii="Cambria Math" w:hAnsi="Cambria Math" w:cstheme="majorBidi" w:hint="eastAsia"/>
              </w:rPr>
              <m:t>% moved long distance</m:t>
            </m:r>
          </m:e>
          <m:sub>
            <m:r>
              <w:rPr>
                <w:rFonts w:ascii="Cambria Math" w:hAnsi="Cambria Math" w:cstheme="majorBidi" w:hint="eastAsia"/>
              </w:rPr>
              <m:t>ij</m:t>
            </m:r>
          </m:sub>
        </m:sSub>
        <m:r>
          <w:rPr>
            <w:rFonts w:ascii="Cambria Math" w:hAnsi="Cambria Math" w:cstheme="majorBidi" w:hint="eastAsia"/>
          </w:rPr>
          <m:t>=</m:t>
        </m:r>
        <m:f>
          <m:fPr>
            <m:ctrlPr>
              <w:rPr>
                <w:rFonts w:ascii="Cambria Math" w:hAnsi="Cambria Math" w:cstheme="majorBidi"/>
                <w:i/>
              </w:rPr>
            </m:ctrlPr>
          </m:fPr>
          <m:num>
            <m:r>
              <m:rPr>
                <m:sty m:val="p"/>
              </m:rPr>
              <w:rPr>
                <w:rFonts w:ascii="Cambria Math" w:hAnsi="Cambria Math" w:cstheme="majorBidi"/>
              </w:rPr>
              <m:t>exp⁡(log</m:t>
            </m:r>
            <m:r>
              <w:rPr>
                <w:rFonts w:ascii="Cambria Math" w:hAnsi="Cambria Math" w:cstheme="majorBidi" w:hint="eastAsia"/>
              </w:rPr>
              <m:t>(</m:t>
            </m:r>
            <m:sSub>
              <m:sSubPr>
                <m:ctrlPr>
                  <w:rPr>
                    <w:rFonts w:ascii="Cambria Math" w:hAnsi="Cambria Math" w:cstheme="majorBidi"/>
                    <w:i/>
                  </w:rPr>
                </m:ctrlPr>
              </m:sSubPr>
              <m:e>
                <m:r>
                  <w:rPr>
                    <w:rFonts w:ascii="Cambria Math" w:hAnsi="Cambria Math" w:cstheme="majorBidi" w:hint="eastAsia"/>
                  </w:rPr>
                  <m:t>odds</m:t>
                </m:r>
              </m:e>
              <m:sub>
                <m:r>
                  <w:rPr>
                    <w:rFonts w:ascii="Cambria Math" w:hAnsi="Cambria Math" w:cstheme="majorBidi" w:hint="eastAsia"/>
                  </w:rPr>
                  <m:t>ij</m:t>
                </m:r>
              </m:sub>
            </m:sSub>
            <m:r>
              <w:rPr>
                <w:rFonts w:ascii="Cambria Math" w:hAnsi="Cambria Math" w:cstheme="majorBidi" w:hint="eastAsia"/>
              </w:rPr>
              <m:t>))</m:t>
            </m:r>
          </m:num>
          <m:den>
            <m:r>
              <w:rPr>
                <w:rFonts w:ascii="Cambria Math" w:hAnsi="Cambria Math" w:cstheme="majorBidi" w:hint="eastAsia"/>
              </w:rPr>
              <m:t>(1+</m:t>
            </m:r>
            <m:r>
              <m:rPr>
                <m:sty m:val="p"/>
              </m:rPr>
              <w:rPr>
                <w:rFonts w:ascii="Cambria Math" w:hAnsi="Cambria Math" w:cstheme="majorBidi"/>
              </w:rPr>
              <m:t>exp⁡(log</m:t>
            </m:r>
            <m:d>
              <m:dPr>
                <m:ctrlPr>
                  <w:rPr>
                    <w:rFonts w:ascii="Cambria Math" w:hAnsi="Cambria Math" w:cstheme="majorBidi"/>
                  </w:rPr>
                </m:ctrlPr>
              </m:dPr>
              <m:e>
                <m:sSub>
                  <m:sSubPr>
                    <m:ctrlPr>
                      <w:rPr>
                        <w:rFonts w:ascii="Cambria Math" w:hAnsi="Cambria Math" w:cstheme="majorBidi"/>
                        <w:i/>
                      </w:rPr>
                    </m:ctrlPr>
                  </m:sSubPr>
                  <m:e>
                    <m:r>
                      <w:rPr>
                        <w:rFonts w:ascii="Cambria Math" w:hAnsi="Cambria Math" w:cstheme="majorBidi" w:hint="eastAsia"/>
                      </w:rPr>
                      <m:t>odds</m:t>
                    </m:r>
                  </m:e>
                  <m:sub>
                    <m:r>
                      <w:rPr>
                        <w:rFonts w:ascii="Cambria Math" w:hAnsi="Cambria Math" w:cstheme="majorBidi" w:hint="eastAsia"/>
                      </w:rPr>
                      <m:t>ij</m:t>
                    </m:r>
                  </m:sub>
                </m:sSub>
                <m:ctrlPr>
                  <w:rPr>
                    <w:rFonts w:ascii="Cambria Math" w:hAnsi="Cambria Math" w:cstheme="majorBidi"/>
                    <w:i/>
                  </w:rPr>
                </m:ctrlPr>
              </m:e>
            </m:d>
            <m:r>
              <w:rPr>
                <w:rFonts w:ascii="Cambria Math" w:hAnsi="Cambria Math" w:cstheme="majorBidi" w:hint="eastAsia"/>
              </w:rPr>
              <m:t>)</m:t>
            </m:r>
          </m:den>
        </m:f>
        <m:r>
          <w:rPr>
            <w:rFonts w:ascii="Cambria Math" w:hAnsi="Cambria Math" w:cstheme="majorBidi"/>
          </w:rPr>
          <m:t>*100</m:t>
        </m:r>
      </m:oMath>
      <w:r w:rsidR="005673CC" w:rsidRPr="00996B4A">
        <w:rPr>
          <w:rFonts w:asciiTheme="majorBidi" w:hAnsiTheme="majorBidi" w:cstheme="majorBidi"/>
        </w:rPr>
        <w:t xml:space="preserve"> (2)</w:t>
      </w:r>
    </w:p>
    <w:p w14:paraId="3E3C98FC" w14:textId="01A4452F" w:rsidR="00D549C4" w:rsidRPr="00996B4A" w:rsidRDefault="00B83208" w:rsidP="005673CC">
      <w:pPr>
        <w:spacing w:line="480" w:lineRule="auto"/>
        <w:rPr>
          <w:rFonts w:asciiTheme="majorBidi" w:hAnsiTheme="majorBidi" w:cstheme="majorBidi"/>
        </w:rPr>
      </w:pPr>
      <w:r w:rsidRPr="00996B4A">
        <w:rPr>
          <w:rFonts w:asciiTheme="majorBidi" w:hAnsiTheme="majorBidi" w:cstheme="majorBidi"/>
        </w:rPr>
        <w:t>We estimate model</w:t>
      </w:r>
      <w:r w:rsidR="005673CC" w:rsidRPr="00996B4A">
        <w:rPr>
          <w:rFonts w:asciiTheme="majorBidi" w:hAnsiTheme="majorBidi" w:cstheme="majorBidi"/>
        </w:rPr>
        <w:t>s</w:t>
      </w:r>
      <w:r w:rsidR="00D549C4" w:rsidRPr="00996B4A">
        <w:rPr>
          <w:rFonts w:asciiTheme="majorBidi" w:hAnsiTheme="majorBidi" w:cstheme="majorBidi"/>
        </w:rPr>
        <w:t xml:space="preserve"> using the </w:t>
      </w:r>
      <w:r w:rsidRPr="00996B4A">
        <w:rPr>
          <w:rFonts w:asciiTheme="majorBidi" w:hAnsiTheme="majorBidi" w:cstheme="majorBidi"/>
          <w:iCs/>
        </w:rPr>
        <w:t xml:space="preserve">xtmelogit </w:t>
      </w:r>
      <w:r w:rsidRPr="00996B4A">
        <w:rPr>
          <w:rFonts w:asciiTheme="majorBidi" w:hAnsiTheme="majorBidi" w:cstheme="majorBidi"/>
        </w:rPr>
        <w:t>command</w:t>
      </w:r>
      <w:r w:rsidR="00BD2DCF" w:rsidRPr="00996B4A">
        <w:rPr>
          <w:rFonts w:asciiTheme="majorBidi" w:hAnsiTheme="majorBidi" w:cstheme="majorBidi"/>
        </w:rPr>
        <w:t xml:space="preserve"> in Stata 12.1</w:t>
      </w:r>
      <w:r w:rsidR="00D549C4" w:rsidRPr="00996B4A">
        <w:rPr>
          <w:rFonts w:asciiTheme="majorBidi" w:hAnsiTheme="majorBidi" w:cstheme="majorBidi"/>
        </w:rPr>
        <w:t xml:space="preserve"> </w:t>
      </w:r>
      <w:r w:rsidR="00D549C4" w:rsidRPr="00996B4A">
        <w:rPr>
          <w:rFonts w:asciiTheme="majorBidi" w:hAnsiTheme="majorBidi" w:cstheme="majorBidi"/>
        </w:rPr>
        <w:fldChar w:fldCharType="begin" w:fldLock="1"/>
      </w:r>
      <w:r w:rsidR="00AA656F" w:rsidRPr="00996B4A">
        <w:rPr>
          <w:rFonts w:asciiTheme="majorBidi" w:hAnsiTheme="majorBidi" w:cstheme="majorBidi"/>
        </w:rPr>
        <w:instrText>ADDIN CSL_CITATION { "citationItems" : [ { "id" : "ITEM-1", "itemData" : { "author" : [ { "dropping-particle" : "", "family" : "Statacorp LP", "given" : "", "non-dropping-particle" : "", "parse-names" : false, "suffix" : "" } ], "id" : "ITEM-1", "issued" : { "date-parts" : [ [ "2013" ] ] }, "publisher" : "StataCorp LP", "publisher-place" : "College Station (TX)", "title" : "Stata statistical software: release 12", "type" : "article" }, "uris" : [ "http://www.mendeley.com/documents/?uuid=0ce84faf-33d9-4594-aca0-826632f37c6a" ] } ], "mendeley" : { "formattedCitation" : "(Statacorp LP, 2013)", "plainTextFormattedCitation" : "(Statacorp LP, 2013)", "previouslyFormattedCitation" : "(Statacorp LP, 2013)" }, "properties" : { "noteIndex" : 0 }, "schema" : "https://github.com/citation-style-language/schema/raw/master/csl-citation.json" }</w:instrText>
      </w:r>
      <w:r w:rsidR="00D549C4" w:rsidRPr="00996B4A">
        <w:rPr>
          <w:rFonts w:asciiTheme="majorBidi" w:hAnsiTheme="majorBidi" w:cstheme="majorBidi"/>
        </w:rPr>
        <w:fldChar w:fldCharType="separate"/>
      </w:r>
      <w:r w:rsidR="00D549C4" w:rsidRPr="00996B4A">
        <w:rPr>
          <w:rFonts w:asciiTheme="majorBidi" w:hAnsiTheme="majorBidi" w:cstheme="majorBidi"/>
          <w:noProof/>
        </w:rPr>
        <w:t>(Statacorp LP, 2013)</w:t>
      </w:r>
      <w:r w:rsidR="00D549C4" w:rsidRPr="00996B4A">
        <w:rPr>
          <w:rFonts w:asciiTheme="majorBidi" w:hAnsiTheme="majorBidi" w:cstheme="majorBidi"/>
        </w:rPr>
        <w:fldChar w:fldCharType="end"/>
      </w:r>
      <w:r w:rsidR="00D549C4" w:rsidRPr="00996B4A">
        <w:rPr>
          <w:rFonts w:asciiTheme="majorBidi" w:hAnsiTheme="majorBidi" w:cstheme="majorBidi"/>
        </w:rPr>
        <w:t>. Fixed effect coefficients are estimated in a similar manner to standard logistic regression whilst random effect</w:t>
      </w:r>
      <w:r w:rsidR="00EA1153" w:rsidRPr="00996B4A">
        <w:rPr>
          <w:rFonts w:asciiTheme="majorBidi" w:hAnsiTheme="majorBidi" w:cstheme="majorBidi"/>
        </w:rPr>
        <w:t xml:space="preserve"> </w:t>
      </w:r>
      <w:r w:rsidR="00D549C4" w:rsidRPr="00996B4A">
        <w:rPr>
          <w:rFonts w:asciiTheme="majorBidi" w:hAnsiTheme="majorBidi" w:cstheme="majorBidi"/>
        </w:rPr>
        <w:t xml:space="preserve">coefficients and log-likelihood values are estimated using Laplacian approximation (adaptive quadrature), the distribution of which is assumed to be Gaussian </w:t>
      </w:r>
      <w:r w:rsidR="00D549C4" w:rsidRPr="00996B4A">
        <w:rPr>
          <w:rFonts w:asciiTheme="majorBidi" w:hAnsiTheme="majorBidi" w:cstheme="majorBidi"/>
        </w:rPr>
        <w:fldChar w:fldCharType="begin" w:fldLock="1"/>
      </w:r>
      <w:r w:rsidR="00D549C4" w:rsidRPr="00996B4A">
        <w:rPr>
          <w:rFonts w:asciiTheme="majorBidi" w:hAnsiTheme="majorBidi" w:cstheme="majorBidi"/>
        </w:rPr>
        <w:instrText>ADDIN CSL_CITATION { "citationItems" : [ { "id" : "ITEM-1", "itemData" : { "URL" : "http://www.stata.com/help.cgi?xtmelogit", "accessed" : { "date-parts" : [ [ "2015", "10", "7" ] ] }, "author" : [ { "dropping-particle" : "", "family" : "Statacorp LP", "given" : "", "non-dropping-particle" : "", "parse-names" : false, "suffix" : "" } ], "id" : "ITEM-1", "issued" : { "date-parts" : [ [ "2015" ] ] }, "title" : "Stata help for xtmelogit", "type" : "webpage" }, "uris" : [ "http://www.mendeley.com/documents/?uuid=f8b1ee88-e7b5-49ee-9c26-48afb61e98fb" ] } ], "mendeley" : { "formattedCitation" : "(Statacorp LP, 2015)", "plainTextFormattedCitation" : "(Statacorp LP, 2015)", "previouslyFormattedCitation" : "(Statacorp LP, 2015)" }, "properties" : { "noteIndex" : 0 }, "schema" : "https://github.com/citation-style-language/schema/raw/master/csl-citation.json" }</w:instrText>
      </w:r>
      <w:r w:rsidR="00D549C4" w:rsidRPr="00996B4A">
        <w:rPr>
          <w:rFonts w:asciiTheme="majorBidi" w:hAnsiTheme="majorBidi" w:cstheme="majorBidi"/>
        </w:rPr>
        <w:fldChar w:fldCharType="separate"/>
      </w:r>
      <w:r w:rsidR="00D549C4" w:rsidRPr="00996B4A">
        <w:rPr>
          <w:rFonts w:asciiTheme="majorBidi" w:hAnsiTheme="majorBidi" w:cstheme="majorBidi"/>
          <w:noProof/>
        </w:rPr>
        <w:t>(Statacorp LP, 2015)</w:t>
      </w:r>
      <w:r w:rsidR="00D549C4" w:rsidRPr="00996B4A">
        <w:rPr>
          <w:rFonts w:asciiTheme="majorBidi" w:hAnsiTheme="majorBidi" w:cstheme="majorBidi"/>
        </w:rPr>
        <w:fldChar w:fldCharType="end"/>
      </w:r>
      <w:r w:rsidR="00D549C4" w:rsidRPr="00996B4A">
        <w:rPr>
          <w:rFonts w:asciiTheme="majorBidi" w:hAnsiTheme="majorBidi" w:cstheme="majorBidi"/>
        </w:rPr>
        <w:t>.</w:t>
      </w:r>
    </w:p>
    <w:p w14:paraId="12255057" w14:textId="6CC056A2" w:rsidR="005A60D6" w:rsidRPr="00996B4A" w:rsidRDefault="00385CCA" w:rsidP="00385CCA">
      <w:pPr>
        <w:spacing w:line="480" w:lineRule="auto"/>
        <w:rPr>
          <w:rFonts w:asciiTheme="majorBidi" w:hAnsiTheme="majorBidi" w:cstheme="majorBidi"/>
        </w:rPr>
      </w:pPr>
      <w:r w:rsidRPr="00996B4A">
        <w:rPr>
          <w:rFonts w:asciiTheme="majorBidi" w:hAnsiTheme="majorBidi" w:cstheme="majorBidi"/>
        </w:rPr>
        <w:t xml:space="preserve">We include interaction terms between age and LLTI to test whether the relationship between health and long distance migration differs across age groups. </w:t>
      </w:r>
      <w:r w:rsidR="005A60D6" w:rsidRPr="00996B4A">
        <w:rPr>
          <w:rFonts w:asciiTheme="majorBidi" w:hAnsiTheme="majorBidi" w:cstheme="majorBidi"/>
        </w:rPr>
        <w:t xml:space="preserve">In order to calculate confidence intervals for the log odds </w:t>
      </w:r>
      <w:r w:rsidRPr="00996B4A">
        <w:rPr>
          <w:rFonts w:asciiTheme="majorBidi" w:hAnsiTheme="majorBidi" w:cstheme="majorBidi"/>
        </w:rPr>
        <w:t xml:space="preserve">for each age group by LLTI, we use the lincom command in STATA. As the 16-24 age group are used as a reference category, the log odds for an individual without an LLTI are given by the parameter </w:t>
      </w:r>
      <m:oMath>
        <m:sSub>
          <m:sSubPr>
            <m:ctrlPr>
              <w:rPr>
                <w:rFonts w:ascii="Cambria Math" w:hAnsi="Cambria Math" w:cstheme="majorBidi"/>
                <w:i/>
              </w:rPr>
            </m:ctrlPr>
          </m:sSubPr>
          <m:e>
            <m:r>
              <w:rPr>
                <w:rFonts w:ascii="Cambria Math" w:hAnsi="Cambria Math" w:cstheme="majorBidi" w:hint="eastAsia"/>
              </w:rPr>
              <m:t>β</m:t>
            </m:r>
          </m:e>
          <m:sub>
            <m:r>
              <w:rPr>
                <w:rFonts w:ascii="Cambria Math" w:hAnsi="Cambria Math" w:cstheme="majorBidi" w:hint="eastAsia"/>
              </w:rPr>
              <m:t>0</m:t>
            </m:r>
          </m:sub>
        </m:sSub>
      </m:oMath>
      <w:r w:rsidRPr="00996B4A">
        <w:rPr>
          <w:rFonts w:asciiTheme="majorBidi" w:hAnsiTheme="majorBidi" w:cstheme="majorBidi"/>
        </w:rPr>
        <w:t xml:space="preserve"> and </w:t>
      </w:r>
      <w:r w:rsidR="00EA1153" w:rsidRPr="00996B4A">
        <w:rPr>
          <w:rFonts w:asciiTheme="majorBidi" w:hAnsiTheme="majorBidi" w:cstheme="majorBidi"/>
        </w:rPr>
        <w:t xml:space="preserve">for those with an LLTI by </w:t>
      </w:r>
      <w:r w:rsidRPr="00996B4A">
        <w:rPr>
          <w:rFonts w:asciiTheme="majorBidi" w:hAnsiTheme="majorBidi" w:cstheme="majorBidi"/>
        </w:rPr>
        <w:t xml:space="preserve">the </w:t>
      </w:r>
      <w:r w:rsidR="00EA1153" w:rsidRPr="00996B4A">
        <w:rPr>
          <w:rFonts w:asciiTheme="majorBidi" w:hAnsiTheme="majorBidi" w:cstheme="majorBidi"/>
        </w:rPr>
        <w:t xml:space="preserve">parameters </w:t>
      </w:r>
      <m:oMath>
        <m:sSub>
          <m:sSubPr>
            <m:ctrlPr>
              <w:rPr>
                <w:rFonts w:ascii="Cambria Math" w:hAnsi="Cambria Math" w:cstheme="majorBidi"/>
                <w:i/>
              </w:rPr>
            </m:ctrlPr>
          </m:sSubPr>
          <m:e>
            <m:r>
              <w:rPr>
                <w:rFonts w:ascii="Cambria Math" w:hAnsi="Cambria Math" w:cstheme="majorBidi" w:hint="eastAsia"/>
              </w:rPr>
              <m:t>β</m:t>
            </m:r>
          </m:e>
          <m:sub>
            <m:r>
              <w:rPr>
                <w:rFonts w:ascii="Cambria Math" w:hAnsi="Cambria Math" w:cstheme="majorBidi" w:hint="eastAsia"/>
              </w:rPr>
              <m:t>0</m:t>
            </m:r>
          </m:sub>
        </m:sSub>
        <m:r>
          <w:rPr>
            <w:rFonts w:ascii="Cambria Math" w:hAnsi="Cambria Math" w:cstheme="majorBidi" w:hint="eastAsia"/>
          </w:rPr>
          <m:t>+</m:t>
        </m:r>
        <m:sSub>
          <m:sSubPr>
            <m:ctrlPr>
              <w:rPr>
                <w:rFonts w:ascii="Cambria Math" w:hAnsi="Cambria Math" w:cstheme="majorBidi"/>
                <w:i/>
              </w:rPr>
            </m:ctrlPr>
          </m:sSubPr>
          <m:e>
            <m:r>
              <w:rPr>
                <w:rFonts w:ascii="Cambria Math" w:hAnsi="Cambria Math" w:cstheme="majorBidi" w:hint="eastAsia"/>
              </w:rPr>
              <m:t>LLTI</m:t>
            </m:r>
          </m:e>
          <m:sub>
            <m:r>
              <w:rPr>
                <w:rFonts w:ascii="Cambria Math" w:hAnsi="Cambria Math" w:cstheme="majorBidi" w:hint="eastAsia"/>
              </w:rPr>
              <m:t>i</m:t>
            </m:r>
          </m:sub>
        </m:sSub>
      </m:oMath>
      <w:r w:rsidRPr="00996B4A">
        <w:rPr>
          <w:rFonts w:asciiTheme="majorBidi" w:hAnsiTheme="majorBidi" w:cstheme="majorBidi"/>
        </w:rPr>
        <w:t xml:space="preserve">. Thus the difference in log odds for the 16-24 age group shows the overall effect of LLTI on long distance migration. For all other age groups, the log odds for an individual without an LLTI are given by the parameters </w:t>
      </w:r>
      <m:oMath>
        <m:sSub>
          <m:sSubPr>
            <m:ctrlPr>
              <w:rPr>
                <w:rFonts w:ascii="Cambria Math" w:hAnsi="Cambria Math" w:cstheme="majorBidi"/>
                <w:i/>
              </w:rPr>
            </m:ctrlPr>
          </m:sSubPr>
          <m:e>
            <m:r>
              <w:rPr>
                <w:rFonts w:ascii="Cambria Math" w:hAnsi="Cambria Math" w:cstheme="majorBidi" w:hint="eastAsia"/>
              </w:rPr>
              <m:t>β</m:t>
            </m:r>
          </m:e>
          <m:sub>
            <m:r>
              <w:rPr>
                <w:rFonts w:ascii="Cambria Math" w:hAnsi="Cambria Math" w:cstheme="majorBidi" w:hint="eastAsia"/>
              </w:rPr>
              <m:t>0</m:t>
            </m:r>
          </m:sub>
        </m:sSub>
        <m:r>
          <w:rPr>
            <w:rFonts w:ascii="Cambria Math" w:hAnsi="Cambria Math" w:cstheme="majorBidi" w:hint="eastAsia"/>
          </w:rPr>
          <m:t>+</m:t>
        </m:r>
        <m:sSub>
          <m:sSubPr>
            <m:ctrlPr>
              <w:rPr>
                <w:rFonts w:ascii="Cambria Math" w:hAnsi="Cambria Math" w:cstheme="majorBidi"/>
                <w:i/>
              </w:rPr>
            </m:ctrlPr>
          </m:sSubPr>
          <m:e>
            <m:r>
              <w:rPr>
                <w:rFonts w:ascii="Cambria Math" w:hAnsi="Cambria Math" w:cstheme="majorBidi" w:hint="eastAsia"/>
              </w:rPr>
              <m:t>AGE</m:t>
            </m:r>
          </m:e>
          <m:sub>
            <m:r>
              <w:rPr>
                <w:rFonts w:ascii="Cambria Math" w:hAnsi="Cambria Math" w:cstheme="majorBidi" w:hint="eastAsia"/>
              </w:rPr>
              <m:t>i</m:t>
            </m:r>
          </m:sub>
        </m:sSub>
      </m:oMath>
      <w:r w:rsidRPr="00996B4A">
        <w:rPr>
          <w:rFonts w:asciiTheme="majorBidi" w:hAnsiTheme="majorBidi" w:cstheme="majorBidi"/>
        </w:rPr>
        <w:t xml:space="preserve"> and </w:t>
      </w:r>
      <w:r w:rsidR="00EA1153" w:rsidRPr="00996B4A">
        <w:rPr>
          <w:rFonts w:asciiTheme="majorBidi" w:hAnsiTheme="majorBidi" w:cstheme="majorBidi"/>
        </w:rPr>
        <w:t xml:space="preserve">for those with an LLTI by </w:t>
      </w:r>
      <w:r w:rsidRPr="00996B4A">
        <w:rPr>
          <w:rFonts w:asciiTheme="majorBidi" w:hAnsiTheme="majorBidi" w:cstheme="majorBidi"/>
        </w:rPr>
        <w:t xml:space="preserve">the parameters </w:t>
      </w:r>
      <m:oMath>
        <m:sSub>
          <m:sSubPr>
            <m:ctrlPr>
              <w:rPr>
                <w:rFonts w:ascii="Cambria Math" w:hAnsi="Cambria Math" w:cstheme="majorBidi"/>
                <w:i/>
              </w:rPr>
            </m:ctrlPr>
          </m:sSubPr>
          <m:e>
            <m:r>
              <w:rPr>
                <w:rFonts w:ascii="Cambria Math" w:hAnsi="Cambria Math" w:cstheme="majorBidi" w:hint="eastAsia"/>
              </w:rPr>
              <m:t>β</m:t>
            </m:r>
          </m:e>
          <m:sub>
            <m:r>
              <w:rPr>
                <w:rFonts w:ascii="Cambria Math" w:hAnsi="Cambria Math" w:cstheme="majorBidi" w:hint="eastAsia"/>
              </w:rPr>
              <m:t>0</m:t>
            </m:r>
          </m:sub>
        </m:sSub>
        <m:r>
          <w:rPr>
            <w:rFonts w:ascii="Cambria Math" w:hAnsi="Cambria Math" w:cstheme="majorBidi" w:hint="eastAsia"/>
          </w:rPr>
          <m:t>+</m:t>
        </m:r>
        <m:sSub>
          <m:sSubPr>
            <m:ctrlPr>
              <w:rPr>
                <w:rFonts w:ascii="Cambria Math" w:hAnsi="Cambria Math" w:cstheme="majorBidi"/>
                <w:i/>
              </w:rPr>
            </m:ctrlPr>
          </m:sSubPr>
          <m:e>
            <m:r>
              <w:rPr>
                <w:rFonts w:ascii="Cambria Math" w:hAnsi="Cambria Math" w:cstheme="majorBidi" w:hint="eastAsia"/>
              </w:rPr>
              <m:t>LLTI</m:t>
            </m:r>
          </m:e>
          <m:sub>
            <m:r>
              <w:rPr>
                <w:rFonts w:ascii="Cambria Math" w:hAnsi="Cambria Math" w:cstheme="majorBidi" w:hint="eastAsia"/>
              </w:rPr>
              <m:t>i</m:t>
            </m:r>
          </m:sub>
        </m:sSub>
        <m:r>
          <w:rPr>
            <w:rFonts w:ascii="Cambria Math" w:hAnsi="Cambria Math" w:cstheme="majorBidi" w:hint="eastAsia"/>
          </w:rPr>
          <m:t>+</m:t>
        </m:r>
        <m:sSub>
          <m:sSubPr>
            <m:ctrlPr>
              <w:rPr>
                <w:rFonts w:ascii="Cambria Math" w:hAnsi="Cambria Math" w:cstheme="majorBidi"/>
                <w:i/>
              </w:rPr>
            </m:ctrlPr>
          </m:sSubPr>
          <m:e>
            <m:r>
              <w:rPr>
                <w:rFonts w:ascii="Cambria Math" w:hAnsi="Cambria Math" w:cstheme="majorBidi" w:hint="eastAsia"/>
              </w:rPr>
              <m:t>AGE</m:t>
            </m:r>
          </m:e>
          <m:sub>
            <m:r>
              <w:rPr>
                <w:rFonts w:ascii="Cambria Math" w:hAnsi="Cambria Math" w:cstheme="majorBidi" w:hint="eastAsia"/>
              </w:rPr>
              <m:t>i</m:t>
            </m:r>
          </m:sub>
        </m:sSub>
        <m:r>
          <w:rPr>
            <w:rFonts w:ascii="Cambria Math" w:hAnsi="Cambria Math" w:cstheme="majorBidi" w:hint="eastAsia"/>
          </w:rPr>
          <m:t>+</m:t>
        </m:r>
        <m:sSub>
          <m:sSubPr>
            <m:ctrlPr>
              <w:rPr>
                <w:rFonts w:ascii="Cambria Math" w:hAnsi="Cambria Math" w:cstheme="majorBidi"/>
                <w:i/>
              </w:rPr>
            </m:ctrlPr>
          </m:sSubPr>
          <m:e>
            <m:r>
              <w:rPr>
                <w:rFonts w:ascii="Cambria Math" w:hAnsi="Cambria Math" w:cstheme="majorBidi"/>
              </w:rPr>
              <m:t>LLTI*AGE</m:t>
            </m:r>
          </m:e>
          <m:sub>
            <m:r>
              <w:rPr>
                <w:rFonts w:ascii="Cambria Math" w:hAnsi="Cambria Math" w:cstheme="majorBidi" w:hint="eastAsia"/>
              </w:rPr>
              <m:t>i</m:t>
            </m:r>
          </m:sub>
        </m:sSub>
      </m:oMath>
      <w:r w:rsidRPr="00996B4A">
        <w:rPr>
          <w:rFonts w:asciiTheme="majorBidi" w:hAnsiTheme="majorBidi" w:cstheme="majorBidi"/>
        </w:rPr>
        <w:t>.</w:t>
      </w:r>
    </w:p>
    <w:p w14:paraId="261B4CA9" w14:textId="77777777" w:rsidR="001A3B7E" w:rsidRPr="00996B4A" w:rsidRDefault="001A3B7E" w:rsidP="00842CB7">
      <w:pPr>
        <w:pStyle w:val="Heading1"/>
      </w:pPr>
      <w:r w:rsidRPr="00996B4A">
        <w:t>Results</w:t>
      </w:r>
    </w:p>
    <w:p w14:paraId="3B21EAA5" w14:textId="55B617CB" w:rsidR="00B971BD" w:rsidRPr="00996B4A" w:rsidRDefault="003E1FC0" w:rsidP="0065311A">
      <w:pPr>
        <w:spacing w:line="480" w:lineRule="auto"/>
        <w:rPr>
          <w:rFonts w:asciiTheme="majorBidi" w:hAnsiTheme="majorBidi" w:cstheme="majorBidi"/>
        </w:rPr>
      </w:pPr>
      <w:r w:rsidRPr="00996B4A">
        <w:rPr>
          <w:rFonts w:asciiTheme="majorBidi" w:hAnsiTheme="majorBidi" w:cstheme="majorBidi"/>
        </w:rPr>
        <w:t xml:space="preserve">In this section we </w:t>
      </w:r>
      <w:r w:rsidR="00086E22" w:rsidRPr="00996B4A">
        <w:rPr>
          <w:rFonts w:asciiTheme="majorBidi" w:hAnsiTheme="majorBidi" w:cstheme="majorBidi"/>
        </w:rPr>
        <w:t xml:space="preserve">examine the relationship between health status and long distance </w:t>
      </w:r>
      <w:r w:rsidR="0065311A">
        <w:rPr>
          <w:rFonts w:asciiTheme="majorBidi" w:hAnsiTheme="majorBidi" w:cstheme="majorBidi"/>
        </w:rPr>
        <w:t>migration</w:t>
      </w:r>
      <w:r w:rsidR="00086E22" w:rsidRPr="00996B4A">
        <w:rPr>
          <w:rFonts w:asciiTheme="majorBidi" w:hAnsiTheme="majorBidi" w:cstheme="majorBidi"/>
        </w:rPr>
        <w:t>.</w:t>
      </w:r>
      <w:r w:rsidR="003C48B3" w:rsidRPr="00996B4A">
        <w:rPr>
          <w:rFonts w:asciiTheme="majorBidi" w:hAnsiTheme="majorBidi" w:cstheme="majorBidi"/>
        </w:rPr>
        <w:t xml:space="preserve"> </w:t>
      </w:r>
      <w:r w:rsidR="009F5F20" w:rsidRPr="00996B4A">
        <w:rPr>
          <w:rFonts w:asciiTheme="majorBidi" w:hAnsiTheme="majorBidi" w:cstheme="majorBidi"/>
        </w:rPr>
        <w:t xml:space="preserve">In our sample, </w:t>
      </w:r>
      <w:r w:rsidR="00EA1153" w:rsidRPr="00996B4A">
        <w:rPr>
          <w:rFonts w:asciiTheme="majorBidi" w:hAnsiTheme="majorBidi" w:cstheme="majorBidi"/>
        </w:rPr>
        <w:t>404,004</w:t>
      </w:r>
      <w:r w:rsidR="009F5F20" w:rsidRPr="00996B4A">
        <w:rPr>
          <w:rFonts w:asciiTheme="majorBidi" w:hAnsiTheme="majorBidi" w:cstheme="majorBidi"/>
        </w:rPr>
        <w:t xml:space="preserve"> movers (9</w:t>
      </w:r>
      <w:r w:rsidR="00B33AB6" w:rsidRPr="00996B4A">
        <w:rPr>
          <w:rFonts w:asciiTheme="majorBidi" w:hAnsiTheme="majorBidi" w:cstheme="majorBidi"/>
        </w:rPr>
        <w:t>1.3</w:t>
      </w:r>
      <w:r w:rsidR="009F5F20" w:rsidRPr="00996B4A">
        <w:rPr>
          <w:rFonts w:asciiTheme="majorBidi" w:hAnsiTheme="majorBidi" w:cstheme="majorBidi"/>
        </w:rPr>
        <w:t>%) do not report an LLTI whilst the remaining 38,</w:t>
      </w:r>
      <w:r w:rsidR="00EA1153" w:rsidRPr="00996B4A">
        <w:rPr>
          <w:rFonts w:asciiTheme="majorBidi" w:hAnsiTheme="majorBidi" w:cstheme="majorBidi"/>
        </w:rPr>
        <w:t>336</w:t>
      </w:r>
      <w:r w:rsidR="009F5F20" w:rsidRPr="00996B4A">
        <w:rPr>
          <w:rFonts w:asciiTheme="majorBidi" w:hAnsiTheme="majorBidi" w:cstheme="majorBidi"/>
        </w:rPr>
        <w:t xml:space="preserve"> (</w:t>
      </w:r>
      <w:r w:rsidR="00B33AB6" w:rsidRPr="00996B4A">
        <w:rPr>
          <w:rFonts w:asciiTheme="majorBidi" w:hAnsiTheme="majorBidi" w:cstheme="majorBidi"/>
        </w:rPr>
        <w:t>8.7</w:t>
      </w:r>
      <w:r w:rsidR="009F5F20" w:rsidRPr="00996B4A">
        <w:rPr>
          <w:rFonts w:asciiTheme="majorBidi" w:hAnsiTheme="majorBidi" w:cstheme="majorBidi"/>
        </w:rPr>
        <w:t xml:space="preserve">%) report an LLTI. </w:t>
      </w:r>
      <w:r w:rsidR="003C48B3" w:rsidRPr="00996B4A">
        <w:rPr>
          <w:rFonts w:asciiTheme="majorBidi" w:hAnsiTheme="majorBidi" w:cstheme="majorBidi"/>
        </w:rPr>
        <w:t xml:space="preserve">Individuals without an LLTI </w:t>
      </w:r>
      <w:r w:rsidR="0065311A">
        <w:rPr>
          <w:rFonts w:asciiTheme="majorBidi" w:hAnsiTheme="majorBidi" w:cstheme="majorBidi"/>
        </w:rPr>
        <w:t xml:space="preserve">have a higher mean and median for distances </w:t>
      </w:r>
      <w:r w:rsidR="0065311A">
        <w:rPr>
          <w:rFonts w:asciiTheme="majorBidi" w:hAnsiTheme="majorBidi" w:cstheme="majorBidi"/>
        </w:rPr>
        <w:lastRenderedPageBreak/>
        <w:t>moved, as well as greater variation as indicated by the standard deviation.</w:t>
      </w:r>
      <w:r w:rsidR="0065311A" w:rsidRPr="00996B4A">
        <w:rPr>
          <w:rFonts w:asciiTheme="majorBidi" w:hAnsiTheme="majorBidi" w:cstheme="majorBidi"/>
        </w:rPr>
        <w:t xml:space="preserve"> </w:t>
      </w:r>
      <w:r w:rsidR="0065311A">
        <w:rPr>
          <w:rFonts w:asciiTheme="majorBidi" w:hAnsiTheme="majorBidi" w:cstheme="majorBidi"/>
        </w:rPr>
        <w:t>T</w:t>
      </w:r>
      <w:r w:rsidR="00E00355" w:rsidRPr="00996B4A">
        <w:rPr>
          <w:rFonts w:asciiTheme="majorBidi" w:hAnsiTheme="majorBidi" w:cstheme="majorBidi"/>
        </w:rPr>
        <w:t>he</w:t>
      </w:r>
      <w:r w:rsidR="0065311A">
        <w:rPr>
          <w:rFonts w:asciiTheme="majorBidi" w:hAnsiTheme="majorBidi" w:cstheme="majorBidi"/>
        </w:rPr>
        <w:t>se</w:t>
      </w:r>
      <w:r w:rsidR="00E00355" w:rsidRPr="00996B4A">
        <w:rPr>
          <w:rFonts w:asciiTheme="majorBidi" w:hAnsiTheme="majorBidi" w:cstheme="majorBidi"/>
        </w:rPr>
        <w:t xml:space="preserve"> difference</w:t>
      </w:r>
      <w:r w:rsidR="0065311A">
        <w:rPr>
          <w:rFonts w:asciiTheme="majorBidi" w:hAnsiTheme="majorBidi" w:cstheme="majorBidi"/>
        </w:rPr>
        <w:t>s</w:t>
      </w:r>
      <w:r w:rsidR="00E00355" w:rsidRPr="00996B4A">
        <w:rPr>
          <w:rFonts w:asciiTheme="majorBidi" w:hAnsiTheme="majorBidi" w:cstheme="majorBidi"/>
        </w:rPr>
        <w:t xml:space="preserve"> in continuous distance moved </w:t>
      </w:r>
      <w:r w:rsidR="0065311A">
        <w:rPr>
          <w:rFonts w:asciiTheme="majorBidi" w:hAnsiTheme="majorBidi" w:cstheme="majorBidi"/>
        </w:rPr>
        <w:t>are</w:t>
      </w:r>
      <w:r w:rsidR="00E00355" w:rsidRPr="00996B4A">
        <w:rPr>
          <w:rFonts w:asciiTheme="majorBidi" w:hAnsiTheme="majorBidi" w:cstheme="majorBidi"/>
        </w:rPr>
        <w:t xml:space="preserve"> statistically significant at the 99% level</w:t>
      </w:r>
      <w:r w:rsidR="003C48B3" w:rsidRPr="00996B4A">
        <w:rPr>
          <w:rFonts w:asciiTheme="majorBidi" w:hAnsiTheme="majorBidi" w:cstheme="majorBidi"/>
        </w:rPr>
        <w:t xml:space="preserve"> </w:t>
      </w:r>
      <w:r w:rsidR="00E00355" w:rsidRPr="00996B4A">
        <w:rPr>
          <w:rFonts w:asciiTheme="majorBidi" w:hAnsiTheme="majorBidi" w:cstheme="majorBidi"/>
        </w:rPr>
        <w:t>(Table 3). Turning to the distance cut-offs, the percentages suggest increasing health-selectiv</w:t>
      </w:r>
      <w:r w:rsidR="00DB7AD6" w:rsidRPr="00996B4A">
        <w:rPr>
          <w:rFonts w:asciiTheme="majorBidi" w:hAnsiTheme="majorBidi" w:cstheme="majorBidi"/>
        </w:rPr>
        <w:t>ity</w:t>
      </w:r>
      <w:r w:rsidR="00E00355" w:rsidRPr="00996B4A">
        <w:rPr>
          <w:rFonts w:asciiTheme="majorBidi" w:hAnsiTheme="majorBidi" w:cstheme="majorBidi"/>
        </w:rPr>
        <w:t xml:space="preserve"> over greater distances, as the ratio of probabilities shifts further from one.</w:t>
      </w:r>
    </w:p>
    <w:p w14:paraId="1808F6B6" w14:textId="4DC16FE5" w:rsidR="00B971BD" w:rsidRDefault="000F6C62" w:rsidP="00B971BD">
      <w:pPr>
        <w:spacing w:after="0" w:line="480" w:lineRule="auto"/>
        <w:jc w:val="center"/>
        <w:rPr>
          <w:rFonts w:asciiTheme="majorBidi" w:hAnsiTheme="majorBidi" w:cstheme="majorBidi"/>
          <w:b/>
          <w:bCs/>
        </w:rPr>
      </w:pPr>
      <w:r w:rsidRPr="00996B4A">
        <w:rPr>
          <w:rFonts w:asciiTheme="majorBidi" w:hAnsiTheme="majorBidi" w:cstheme="majorBidi"/>
          <w:b/>
          <w:bCs/>
        </w:rPr>
        <w:t>Table 3</w:t>
      </w:r>
      <w:r w:rsidR="00B971BD" w:rsidRPr="00996B4A">
        <w:rPr>
          <w:rFonts w:asciiTheme="majorBidi" w:hAnsiTheme="majorBidi" w:cstheme="majorBidi"/>
          <w:b/>
          <w:bCs/>
        </w:rPr>
        <w:t xml:space="preserve"> – Cross-tabulation of long distance migration and LLTI</w:t>
      </w:r>
    </w:p>
    <w:p w14:paraId="0F54C110" w14:textId="6977AC16" w:rsidR="00F47287" w:rsidRPr="00996B4A" w:rsidRDefault="00F47287" w:rsidP="00B971BD">
      <w:pPr>
        <w:spacing w:after="0" w:line="480" w:lineRule="auto"/>
        <w:jc w:val="center"/>
        <w:rPr>
          <w:rFonts w:asciiTheme="majorBidi" w:hAnsiTheme="majorBidi" w:cstheme="majorBidi"/>
          <w:b/>
          <w:bCs/>
        </w:rPr>
      </w:pPr>
      <w:r>
        <w:rPr>
          <w:rFonts w:asciiTheme="majorBidi" w:hAnsiTheme="majorBidi" w:cstheme="majorBidi"/>
          <w:b/>
          <w:bCs/>
        </w:rPr>
        <w:t>&lt;Table 3 here&gt;</w:t>
      </w:r>
    </w:p>
    <w:p w14:paraId="5529AEC0" w14:textId="77777777" w:rsidR="00B971BD" w:rsidRPr="00996B4A" w:rsidRDefault="00B971BD" w:rsidP="00B971BD">
      <w:pPr>
        <w:rPr>
          <w:rFonts w:asciiTheme="majorBidi" w:hAnsiTheme="majorBidi" w:cstheme="majorBidi"/>
          <w:sz w:val="18"/>
          <w:szCs w:val="18"/>
        </w:rPr>
      </w:pPr>
    </w:p>
    <w:p w14:paraId="0058C6D7" w14:textId="4D8D43D0" w:rsidR="00086E22" w:rsidRPr="00996B4A" w:rsidRDefault="0058396C" w:rsidP="0065311A">
      <w:pPr>
        <w:spacing w:line="480" w:lineRule="auto"/>
        <w:rPr>
          <w:rFonts w:asciiTheme="majorBidi" w:hAnsiTheme="majorBidi" w:cstheme="majorBidi"/>
        </w:rPr>
      </w:pPr>
      <w:r w:rsidRPr="00996B4A">
        <w:rPr>
          <w:rFonts w:asciiTheme="majorBidi" w:hAnsiTheme="majorBidi" w:cstheme="majorBidi"/>
        </w:rPr>
        <w:t xml:space="preserve">Having </w:t>
      </w:r>
      <w:r w:rsidR="00565191" w:rsidRPr="00996B4A">
        <w:rPr>
          <w:rFonts w:asciiTheme="majorBidi" w:hAnsiTheme="majorBidi" w:cstheme="majorBidi"/>
        </w:rPr>
        <w:t xml:space="preserve">established </w:t>
      </w:r>
      <w:r w:rsidR="00B971BD" w:rsidRPr="00996B4A">
        <w:rPr>
          <w:rFonts w:asciiTheme="majorBidi" w:hAnsiTheme="majorBidi" w:cstheme="majorBidi"/>
        </w:rPr>
        <w:t xml:space="preserve">that </w:t>
      </w:r>
      <w:r w:rsidR="0065311A">
        <w:rPr>
          <w:rFonts w:asciiTheme="majorBidi" w:hAnsiTheme="majorBidi" w:cstheme="majorBidi"/>
        </w:rPr>
        <w:t>LLTI</w:t>
      </w:r>
      <w:r w:rsidR="00B971BD" w:rsidRPr="00996B4A">
        <w:rPr>
          <w:rFonts w:asciiTheme="majorBidi" w:hAnsiTheme="majorBidi" w:cstheme="majorBidi"/>
        </w:rPr>
        <w:t xml:space="preserve"> is associated with</w:t>
      </w:r>
      <w:r w:rsidR="0065311A">
        <w:rPr>
          <w:rFonts w:asciiTheme="majorBidi" w:hAnsiTheme="majorBidi" w:cstheme="majorBidi"/>
        </w:rPr>
        <w:t xml:space="preserve"> lower odds of</w:t>
      </w:r>
      <w:r w:rsidR="00B971BD" w:rsidRPr="00996B4A">
        <w:rPr>
          <w:rFonts w:asciiTheme="majorBidi" w:hAnsiTheme="majorBidi" w:cstheme="majorBidi"/>
        </w:rPr>
        <w:t xml:space="preserve"> long distance </w:t>
      </w:r>
      <w:r w:rsidR="0065311A">
        <w:rPr>
          <w:rFonts w:asciiTheme="majorBidi" w:hAnsiTheme="majorBidi" w:cstheme="majorBidi"/>
        </w:rPr>
        <w:t>migration</w:t>
      </w:r>
      <w:r w:rsidR="00B971BD" w:rsidRPr="00996B4A">
        <w:rPr>
          <w:rFonts w:asciiTheme="majorBidi" w:hAnsiTheme="majorBidi" w:cstheme="majorBidi"/>
        </w:rPr>
        <w:t>, we consider whether there are variations</w:t>
      </w:r>
      <w:r w:rsidR="009A589D" w:rsidRPr="00996B4A">
        <w:rPr>
          <w:rFonts w:asciiTheme="majorBidi" w:hAnsiTheme="majorBidi" w:cstheme="majorBidi"/>
        </w:rPr>
        <w:t xml:space="preserve"> in the relationship between health an</w:t>
      </w:r>
      <w:r w:rsidR="000A6EA9" w:rsidRPr="00996B4A">
        <w:rPr>
          <w:rFonts w:asciiTheme="majorBidi" w:hAnsiTheme="majorBidi" w:cstheme="majorBidi"/>
        </w:rPr>
        <w:t>d definitions of long distance,</w:t>
      </w:r>
      <w:r w:rsidR="00565191" w:rsidRPr="00996B4A">
        <w:rPr>
          <w:rFonts w:asciiTheme="majorBidi" w:hAnsiTheme="majorBidi" w:cstheme="majorBidi"/>
        </w:rPr>
        <w:t xml:space="preserve"> after controlling for demographic characteristics</w:t>
      </w:r>
      <w:r w:rsidR="00B971BD" w:rsidRPr="00996B4A">
        <w:rPr>
          <w:rFonts w:asciiTheme="majorBidi" w:hAnsiTheme="majorBidi" w:cstheme="majorBidi"/>
        </w:rPr>
        <w:t xml:space="preserve">. </w:t>
      </w:r>
      <w:r w:rsidR="000F6C62" w:rsidRPr="00996B4A">
        <w:rPr>
          <w:rFonts w:asciiTheme="majorBidi" w:hAnsiTheme="majorBidi" w:cstheme="majorBidi"/>
        </w:rPr>
        <w:t xml:space="preserve">Table </w:t>
      </w:r>
      <w:r w:rsidR="00E00355" w:rsidRPr="00996B4A">
        <w:rPr>
          <w:rFonts w:asciiTheme="majorBidi" w:hAnsiTheme="majorBidi" w:cstheme="majorBidi"/>
        </w:rPr>
        <w:t>4 shows th</w:t>
      </w:r>
      <w:r w:rsidR="00DB7AD6" w:rsidRPr="00996B4A">
        <w:rPr>
          <w:rFonts w:asciiTheme="majorBidi" w:hAnsiTheme="majorBidi" w:cstheme="majorBidi"/>
        </w:rPr>
        <w:t>e</w:t>
      </w:r>
      <w:r w:rsidR="00E00355" w:rsidRPr="00996B4A">
        <w:rPr>
          <w:rFonts w:asciiTheme="majorBidi" w:hAnsiTheme="majorBidi" w:cstheme="majorBidi"/>
        </w:rPr>
        <w:t xml:space="preserve"> results of </w:t>
      </w:r>
      <w:r w:rsidR="00974646" w:rsidRPr="00996B4A">
        <w:rPr>
          <w:rFonts w:asciiTheme="majorBidi" w:hAnsiTheme="majorBidi" w:cstheme="majorBidi"/>
        </w:rPr>
        <w:t xml:space="preserve">multilevel </w:t>
      </w:r>
      <w:r w:rsidR="00E00355" w:rsidRPr="00996B4A">
        <w:rPr>
          <w:rFonts w:asciiTheme="majorBidi" w:hAnsiTheme="majorBidi" w:cstheme="majorBidi"/>
        </w:rPr>
        <w:t xml:space="preserve">logistic regressions for the </w:t>
      </w:r>
      <w:r w:rsidR="009A589D" w:rsidRPr="00996B4A">
        <w:rPr>
          <w:rFonts w:asciiTheme="majorBidi" w:hAnsiTheme="majorBidi" w:cstheme="majorBidi"/>
        </w:rPr>
        <w:t xml:space="preserve">10km, 20km and 50km </w:t>
      </w:r>
      <w:r w:rsidR="00E00355" w:rsidRPr="00996B4A">
        <w:rPr>
          <w:rFonts w:asciiTheme="majorBidi" w:hAnsiTheme="majorBidi" w:cstheme="majorBidi"/>
        </w:rPr>
        <w:t>models</w:t>
      </w:r>
      <w:r w:rsidR="009A589D" w:rsidRPr="00996B4A">
        <w:rPr>
          <w:rFonts w:asciiTheme="majorBidi" w:hAnsiTheme="majorBidi" w:cstheme="majorBidi"/>
        </w:rPr>
        <w:t>.</w:t>
      </w:r>
      <w:r w:rsidR="00A514EB" w:rsidRPr="00996B4A">
        <w:rPr>
          <w:rFonts w:asciiTheme="majorBidi" w:hAnsiTheme="majorBidi" w:cstheme="majorBidi"/>
        </w:rPr>
        <w:t xml:space="preserve"> </w:t>
      </w:r>
      <w:r w:rsidR="000C0E50" w:rsidRPr="00996B4A">
        <w:rPr>
          <w:rFonts w:asciiTheme="majorBidi" w:hAnsiTheme="majorBidi" w:cstheme="majorBidi"/>
        </w:rPr>
        <w:t xml:space="preserve">All coefficients are shown </w:t>
      </w:r>
      <w:r w:rsidR="00DB7AD6" w:rsidRPr="00996B4A">
        <w:rPr>
          <w:rFonts w:asciiTheme="majorBidi" w:hAnsiTheme="majorBidi" w:cstheme="majorBidi"/>
        </w:rPr>
        <w:t xml:space="preserve">as additive effects on the log odds of </w:t>
      </w:r>
      <w:r w:rsidR="008552ED" w:rsidRPr="00996B4A">
        <w:rPr>
          <w:rFonts w:asciiTheme="majorBidi" w:hAnsiTheme="majorBidi" w:cstheme="majorBidi"/>
        </w:rPr>
        <w:t>having moved</w:t>
      </w:r>
      <w:r w:rsidR="00DB7AD6" w:rsidRPr="00996B4A">
        <w:rPr>
          <w:rFonts w:asciiTheme="majorBidi" w:hAnsiTheme="majorBidi" w:cstheme="majorBidi"/>
        </w:rPr>
        <w:t xml:space="preserve"> long distance</w:t>
      </w:r>
      <w:r w:rsidR="00FB4443" w:rsidRPr="00996B4A">
        <w:rPr>
          <w:rFonts w:asciiTheme="majorBidi" w:hAnsiTheme="majorBidi" w:cstheme="majorBidi"/>
        </w:rPr>
        <w:t xml:space="preserve"> (see equation 1)</w:t>
      </w:r>
      <w:r w:rsidR="000C0E50" w:rsidRPr="00996B4A">
        <w:rPr>
          <w:rFonts w:asciiTheme="majorBidi" w:hAnsiTheme="majorBidi" w:cstheme="majorBidi"/>
        </w:rPr>
        <w:t>.</w:t>
      </w:r>
      <w:r w:rsidR="009F5F20" w:rsidRPr="00996B4A">
        <w:rPr>
          <w:rFonts w:asciiTheme="majorBidi" w:hAnsiTheme="majorBidi" w:cstheme="majorBidi"/>
        </w:rPr>
        <w:t xml:space="preserve"> Coefficients greater than zero indicate that this characteristic is associated with greater odds of </w:t>
      </w:r>
      <w:r w:rsidR="008552ED" w:rsidRPr="00996B4A">
        <w:rPr>
          <w:rFonts w:asciiTheme="majorBidi" w:hAnsiTheme="majorBidi" w:cstheme="majorBidi"/>
        </w:rPr>
        <w:t>having moved</w:t>
      </w:r>
      <w:r w:rsidR="009F5F20" w:rsidRPr="00996B4A">
        <w:rPr>
          <w:rFonts w:asciiTheme="majorBidi" w:hAnsiTheme="majorBidi" w:cstheme="majorBidi"/>
        </w:rPr>
        <w:t xml:space="preserve"> long distance in each model, whilst the inverse is true of coefficients lower than zero. The estimate and confidence intervals for the standard deviation of the random intercept (</w:t>
      </w:r>
      <m:oMath>
        <m:sSub>
          <m:sSubPr>
            <m:ctrlPr>
              <w:rPr>
                <w:rFonts w:ascii="Cambria Math" w:hAnsi="Cambria Math" w:cstheme="majorBidi"/>
                <w:i/>
              </w:rPr>
            </m:ctrlPr>
          </m:sSubPr>
          <m:e>
            <m:r>
              <w:rPr>
                <w:rFonts w:ascii="Cambria Math" w:hAnsi="Cambria Math" w:cstheme="majorBidi" w:hint="eastAsia"/>
              </w:rPr>
              <m:t>μ</m:t>
            </m:r>
          </m:e>
          <m:sub>
            <m:r>
              <w:rPr>
                <w:rFonts w:ascii="Cambria Math" w:hAnsi="Cambria Math" w:cstheme="majorBidi" w:hint="eastAsia"/>
              </w:rPr>
              <m:t>0j</m:t>
            </m:r>
          </m:sub>
        </m:sSub>
        <m:r>
          <w:rPr>
            <w:rFonts w:ascii="Cambria Math" w:hAnsi="Cambria Math" w:cstheme="majorBidi" w:hint="eastAsia"/>
          </w:rPr>
          <m:t>)</m:t>
        </m:r>
      </m:oMath>
      <w:r w:rsidR="009F5F20" w:rsidRPr="00996B4A">
        <w:rPr>
          <w:rFonts w:asciiTheme="majorBidi" w:hAnsiTheme="majorBidi" w:cstheme="majorBidi"/>
        </w:rPr>
        <w:t xml:space="preserve"> and slope (</w:t>
      </w:r>
      <m:oMath>
        <m:sSub>
          <m:sSubPr>
            <m:ctrlPr>
              <w:rPr>
                <w:rFonts w:ascii="Cambria Math" w:hAnsi="Cambria Math" w:cstheme="majorBidi"/>
                <w:i/>
              </w:rPr>
            </m:ctrlPr>
          </m:sSubPr>
          <m:e>
            <m:r>
              <w:rPr>
                <w:rFonts w:ascii="Cambria Math" w:hAnsi="Cambria Math" w:cstheme="majorBidi" w:hint="eastAsia"/>
              </w:rPr>
              <m:t>μ</m:t>
            </m:r>
          </m:e>
          <m:sub>
            <m:r>
              <w:rPr>
                <w:rFonts w:ascii="Cambria Math" w:hAnsi="Cambria Math" w:cstheme="majorBidi" w:hint="eastAsia"/>
              </w:rPr>
              <m:t>1j</m:t>
            </m:r>
          </m:sub>
        </m:sSub>
        <m:r>
          <w:rPr>
            <w:rFonts w:ascii="Cambria Math" w:hAnsi="Cambria Math" w:cstheme="majorBidi" w:hint="eastAsia"/>
          </w:rPr>
          <m:t xml:space="preserve">) </m:t>
        </m:r>
      </m:oMath>
      <w:r w:rsidR="000B3C68" w:rsidRPr="00996B4A">
        <w:rPr>
          <w:rFonts w:asciiTheme="majorBidi" w:hAnsiTheme="majorBidi" w:cstheme="majorBidi"/>
        </w:rPr>
        <w:t xml:space="preserve">are also shown. </w:t>
      </w:r>
    </w:p>
    <w:p w14:paraId="4BC97FC7" w14:textId="62E3EE34" w:rsidR="00C55B8A" w:rsidRDefault="008B012C" w:rsidP="00974646">
      <w:pPr>
        <w:jc w:val="center"/>
        <w:rPr>
          <w:rFonts w:asciiTheme="majorBidi" w:hAnsiTheme="majorBidi" w:cstheme="majorBidi"/>
          <w:b/>
          <w:bCs/>
        </w:rPr>
      </w:pPr>
      <w:r w:rsidRPr="00996B4A">
        <w:rPr>
          <w:rFonts w:asciiTheme="majorBidi" w:hAnsiTheme="majorBidi" w:cstheme="majorBidi"/>
          <w:b/>
          <w:bCs/>
        </w:rPr>
        <w:t xml:space="preserve">Table </w:t>
      </w:r>
      <w:r w:rsidR="00FB4443" w:rsidRPr="00996B4A">
        <w:rPr>
          <w:rFonts w:asciiTheme="majorBidi" w:hAnsiTheme="majorBidi" w:cstheme="majorBidi"/>
          <w:b/>
          <w:bCs/>
        </w:rPr>
        <w:t>4</w:t>
      </w:r>
      <w:r w:rsidRPr="00996B4A">
        <w:rPr>
          <w:rFonts w:asciiTheme="majorBidi" w:hAnsiTheme="majorBidi" w:cstheme="majorBidi"/>
          <w:b/>
          <w:bCs/>
        </w:rPr>
        <w:t xml:space="preserve"> – Multilevel logistic regressions predicting the </w:t>
      </w:r>
      <w:r w:rsidR="00974646" w:rsidRPr="00996B4A">
        <w:rPr>
          <w:rFonts w:asciiTheme="majorBidi" w:hAnsiTheme="majorBidi" w:cstheme="majorBidi"/>
          <w:b/>
          <w:bCs/>
        </w:rPr>
        <w:t xml:space="preserve">log-odds of </w:t>
      </w:r>
      <w:r w:rsidR="008552ED" w:rsidRPr="00996B4A">
        <w:rPr>
          <w:rFonts w:asciiTheme="majorBidi" w:hAnsiTheme="majorBidi" w:cstheme="majorBidi"/>
          <w:b/>
          <w:bCs/>
        </w:rPr>
        <w:t>having moved</w:t>
      </w:r>
      <w:r w:rsidR="00974646" w:rsidRPr="00996B4A">
        <w:rPr>
          <w:rFonts w:asciiTheme="majorBidi" w:hAnsiTheme="majorBidi" w:cstheme="majorBidi"/>
          <w:b/>
          <w:bCs/>
        </w:rPr>
        <w:t xml:space="preserve"> long distance</w:t>
      </w:r>
      <w:r w:rsidR="00FF6320" w:rsidRPr="00996B4A">
        <w:rPr>
          <w:rFonts w:asciiTheme="majorBidi" w:hAnsiTheme="majorBidi" w:cstheme="majorBidi"/>
          <w:b/>
          <w:bCs/>
        </w:rPr>
        <w:t xml:space="preserve"> relative to short distance</w:t>
      </w:r>
    </w:p>
    <w:p w14:paraId="0D264757" w14:textId="0FEFED42" w:rsidR="00F47287" w:rsidRPr="00996B4A" w:rsidRDefault="00F47287" w:rsidP="00974646">
      <w:pPr>
        <w:jc w:val="center"/>
        <w:rPr>
          <w:rFonts w:asciiTheme="majorBidi" w:hAnsiTheme="majorBidi" w:cstheme="majorBidi"/>
          <w:b/>
          <w:bCs/>
        </w:rPr>
      </w:pPr>
      <w:r>
        <w:rPr>
          <w:rFonts w:asciiTheme="majorBidi" w:hAnsiTheme="majorBidi" w:cstheme="majorBidi"/>
          <w:b/>
          <w:bCs/>
        </w:rPr>
        <w:t>&lt;Table 4 here&gt;</w:t>
      </w:r>
    </w:p>
    <w:p w14:paraId="3F6D2552" w14:textId="7FA3E204" w:rsidR="008A0AFC" w:rsidRPr="00996B4A" w:rsidRDefault="008A0AFC">
      <w:pPr>
        <w:rPr>
          <w:rFonts w:asciiTheme="majorBidi" w:hAnsiTheme="majorBidi" w:cstheme="majorBidi"/>
        </w:rPr>
      </w:pPr>
    </w:p>
    <w:p w14:paraId="0E4397E6" w14:textId="12F46BB8" w:rsidR="000B3726" w:rsidRPr="00996B4A" w:rsidRDefault="000C0E50" w:rsidP="008552ED">
      <w:pPr>
        <w:spacing w:line="480" w:lineRule="auto"/>
        <w:rPr>
          <w:rFonts w:asciiTheme="majorBidi" w:hAnsiTheme="majorBidi" w:cstheme="majorBidi"/>
        </w:rPr>
      </w:pPr>
      <w:r w:rsidRPr="00996B4A">
        <w:rPr>
          <w:rFonts w:asciiTheme="majorBidi" w:hAnsiTheme="majorBidi" w:cstheme="majorBidi"/>
        </w:rPr>
        <w:t xml:space="preserve">Comparing </w:t>
      </w:r>
      <w:r w:rsidR="008C51EF" w:rsidRPr="00996B4A">
        <w:rPr>
          <w:rFonts w:asciiTheme="majorBidi" w:hAnsiTheme="majorBidi" w:cstheme="majorBidi"/>
        </w:rPr>
        <w:t>coefficients</w:t>
      </w:r>
      <w:r w:rsidRPr="00996B4A">
        <w:rPr>
          <w:rFonts w:asciiTheme="majorBidi" w:hAnsiTheme="majorBidi" w:cstheme="majorBidi"/>
        </w:rPr>
        <w:t xml:space="preserve"> across the three models, the direction of effects is consistent in the majority of cases and conforms to our expectations (Table 2), thus many of the characteristics we control for are scale invariant. </w:t>
      </w:r>
      <w:r w:rsidR="003E5338" w:rsidRPr="00996B4A">
        <w:rPr>
          <w:rFonts w:asciiTheme="majorBidi" w:hAnsiTheme="majorBidi" w:cstheme="majorBidi"/>
        </w:rPr>
        <w:t xml:space="preserve">Figure 1 presents the estimates by health and age across the three models, transformed into percentages predicted to move long distance (equation 2), and their associated 95% confidence intervals. Comparing the difference in probabilities by health for the 16-24 age group, LLTI is associated with a lower likelihood of </w:t>
      </w:r>
      <w:r w:rsidR="008552ED" w:rsidRPr="00996B4A">
        <w:rPr>
          <w:rFonts w:asciiTheme="majorBidi" w:hAnsiTheme="majorBidi" w:cstheme="majorBidi"/>
        </w:rPr>
        <w:t>having moved</w:t>
      </w:r>
      <w:r w:rsidR="003E5338" w:rsidRPr="00996B4A">
        <w:rPr>
          <w:rFonts w:asciiTheme="majorBidi" w:hAnsiTheme="majorBidi" w:cstheme="majorBidi"/>
        </w:rPr>
        <w:t xml:space="preserve"> long distance only in the 50km model, as the odds for those with and without an LLTI overlap in the </w:t>
      </w:r>
      <w:r w:rsidR="003E5338" w:rsidRPr="00996B4A">
        <w:rPr>
          <w:rFonts w:asciiTheme="majorBidi" w:hAnsiTheme="majorBidi" w:cstheme="majorBidi"/>
        </w:rPr>
        <w:lastRenderedPageBreak/>
        <w:t>10 and 20km models</w:t>
      </w:r>
      <w:r w:rsidR="00870353" w:rsidRPr="00996B4A">
        <w:rPr>
          <w:rFonts w:asciiTheme="majorBidi" w:hAnsiTheme="majorBidi" w:cstheme="majorBidi"/>
        </w:rPr>
        <w:t>, despite a p value &lt;.01 in the latter model</w:t>
      </w:r>
      <w:r w:rsidR="003E5338" w:rsidRPr="00996B4A">
        <w:rPr>
          <w:rFonts w:asciiTheme="majorBidi" w:hAnsiTheme="majorBidi" w:cstheme="majorBidi"/>
        </w:rPr>
        <w:t xml:space="preserve">. After taking the uncertainty in the estimate of the constant into account </w:t>
      </w:r>
      <w:r w:rsidR="003E5338" w:rsidRPr="00996B4A">
        <w:rPr>
          <w:rFonts w:asciiTheme="majorBidi" w:hAnsiTheme="majorBidi" w:cstheme="majorBidi"/>
        </w:rPr>
        <w:fldChar w:fldCharType="begin" w:fldLock="1"/>
      </w:r>
      <w:r w:rsidR="008B4E5D" w:rsidRPr="00996B4A">
        <w:rPr>
          <w:rFonts w:asciiTheme="majorBidi" w:hAnsiTheme="majorBidi" w:cstheme="majorBidi"/>
        </w:rPr>
        <w:instrText>ADDIN CSL_CITATION { "citationItems" : [ { "id" : "ITEM-1", "itemData" : { "author" : [ { "dropping-particle" : "", "family" : "Wolfe", "given" : "Rory", "non-dropping-particle" : "", "parse-names" : false, "suffix" : "" }, { "dropping-particle" : "", "family" : "Hanley", "given" : "James", "non-dropping-particle" : "", "parse-names" : false, "suffix" : "" } ], "container-title" : "Canadian Medical Association Journal ", "id" : "ITEM-1", "issue" : "1 ", "issued" : { "date-parts" : [ [ "2002", "1", "8" ] ] }, "page" : "65-66", "title" : "If we're so different, why do we keep overlapping? When 1 plus 1 doesn't make 2", "type" : "article-journal", "volume" : "166 " }, "uris" : [ "http://www.mendeley.com/documents/?uuid=a1d08bb2-3dec-4e08-ae66-f7ffc5927e93" ] } ], "mendeley" : { "formattedCitation" : "(Wolfe and Hanley, 2002)", "plainTextFormattedCitation" : "(Wolfe and Hanley, 2002)", "previouslyFormattedCitation" : "(Wolfe and Hanley, 2002)" }, "properties" : { "noteIndex" : 0 }, "schema" : "https://github.com/citation-style-language/schema/raw/master/csl-citation.json" }</w:instrText>
      </w:r>
      <w:r w:rsidR="003E5338" w:rsidRPr="00996B4A">
        <w:rPr>
          <w:rFonts w:asciiTheme="majorBidi" w:hAnsiTheme="majorBidi" w:cstheme="majorBidi"/>
        </w:rPr>
        <w:fldChar w:fldCharType="separate"/>
      </w:r>
      <w:r w:rsidR="003E5338" w:rsidRPr="00996B4A">
        <w:rPr>
          <w:rFonts w:asciiTheme="majorBidi" w:hAnsiTheme="majorBidi" w:cstheme="majorBidi"/>
          <w:noProof/>
        </w:rPr>
        <w:t>(Wolfe and Hanley, 2002)</w:t>
      </w:r>
      <w:r w:rsidR="003E5338" w:rsidRPr="00996B4A">
        <w:rPr>
          <w:rFonts w:asciiTheme="majorBidi" w:hAnsiTheme="majorBidi" w:cstheme="majorBidi"/>
        </w:rPr>
        <w:fldChar w:fldCharType="end"/>
      </w:r>
      <w:r w:rsidR="003E5338" w:rsidRPr="00996B4A">
        <w:rPr>
          <w:rFonts w:asciiTheme="majorBidi" w:hAnsiTheme="majorBidi" w:cstheme="majorBidi"/>
        </w:rPr>
        <w:t xml:space="preserve">, health selection occurs above a cut-off somewhere between 20 and 50kms, as the </w:t>
      </w:r>
      <w:r w:rsidR="00870353" w:rsidRPr="00996B4A">
        <w:rPr>
          <w:rFonts w:asciiTheme="majorBidi" w:hAnsiTheme="majorBidi" w:cstheme="majorBidi"/>
        </w:rPr>
        <w:t>confidence intervals for those with and without an LLTI overlap in</w:t>
      </w:r>
      <w:r w:rsidR="003E5338" w:rsidRPr="00996B4A">
        <w:rPr>
          <w:rFonts w:asciiTheme="majorBidi" w:hAnsiTheme="majorBidi" w:cstheme="majorBidi"/>
        </w:rPr>
        <w:t xml:space="preserve"> </w:t>
      </w:r>
      <w:r w:rsidR="00870353" w:rsidRPr="00996B4A">
        <w:rPr>
          <w:rFonts w:asciiTheme="majorBidi" w:hAnsiTheme="majorBidi" w:cstheme="majorBidi"/>
        </w:rPr>
        <w:t xml:space="preserve">the </w:t>
      </w:r>
      <w:r w:rsidR="003E5338" w:rsidRPr="00996B4A">
        <w:rPr>
          <w:rFonts w:asciiTheme="majorBidi" w:hAnsiTheme="majorBidi" w:cstheme="majorBidi"/>
        </w:rPr>
        <w:t xml:space="preserve">20km model, but </w:t>
      </w:r>
      <w:r w:rsidR="00870353" w:rsidRPr="00996B4A">
        <w:rPr>
          <w:rFonts w:asciiTheme="majorBidi" w:hAnsiTheme="majorBidi" w:cstheme="majorBidi"/>
        </w:rPr>
        <w:t>do not</w:t>
      </w:r>
      <w:r w:rsidR="003E5338" w:rsidRPr="00996B4A">
        <w:rPr>
          <w:rFonts w:asciiTheme="majorBidi" w:hAnsiTheme="majorBidi" w:cstheme="majorBidi"/>
        </w:rPr>
        <w:t xml:space="preserve"> in the 50km model. Looking at the differences for other age groups, the only significant difference is found in the 55-64 age group, where </w:t>
      </w:r>
      <w:r w:rsidR="00573D2E">
        <w:rPr>
          <w:rFonts w:asciiTheme="majorBidi" w:hAnsiTheme="majorBidi" w:cstheme="majorBidi"/>
        </w:rPr>
        <w:t xml:space="preserve">having an </w:t>
      </w:r>
      <w:r w:rsidR="003E5338" w:rsidRPr="00996B4A">
        <w:rPr>
          <w:rFonts w:asciiTheme="majorBidi" w:hAnsiTheme="majorBidi" w:cstheme="majorBidi"/>
        </w:rPr>
        <w:t xml:space="preserve">LLTI is associated with a lower likelihood of </w:t>
      </w:r>
      <w:r w:rsidR="008552ED" w:rsidRPr="00996B4A">
        <w:rPr>
          <w:rFonts w:asciiTheme="majorBidi" w:hAnsiTheme="majorBidi" w:cstheme="majorBidi"/>
        </w:rPr>
        <w:t>having moved</w:t>
      </w:r>
      <w:r w:rsidR="003E5338" w:rsidRPr="00996B4A">
        <w:rPr>
          <w:rFonts w:asciiTheme="majorBidi" w:hAnsiTheme="majorBidi" w:cstheme="majorBidi"/>
        </w:rPr>
        <w:t xml:space="preserve"> long distance in all models.</w:t>
      </w:r>
      <w:r w:rsidR="008552ED" w:rsidRPr="00996B4A">
        <w:rPr>
          <w:rFonts w:asciiTheme="majorBidi" w:hAnsiTheme="majorBidi" w:cstheme="majorBidi"/>
        </w:rPr>
        <w:t xml:space="preserve"> This suggests that the healthy migrant effect for long distance migration is specific to the youngest and oldest working age groups.</w:t>
      </w:r>
    </w:p>
    <w:p w14:paraId="6C18CC0B" w14:textId="27C167BA" w:rsidR="00E502C7" w:rsidRPr="00996B4A" w:rsidRDefault="00E502C7" w:rsidP="00E502C7">
      <w:pPr>
        <w:spacing w:line="480" w:lineRule="auto"/>
        <w:jc w:val="center"/>
        <w:rPr>
          <w:rFonts w:asciiTheme="majorBidi" w:hAnsiTheme="majorBidi" w:cstheme="majorBidi"/>
          <w:b/>
          <w:bCs/>
          <w:u w:val="single"/>
        </w:rPr>
      </w:pPr>
      <w:r w:rsidRPr="00996B4A">
        <w:rPr>
          <w:rFonts w:asciiTheme="majorBidi" w:hAnsiTheme="majorBidi" w:cstheme="majorBidi"/>
          <w:b/>
          <w:bCs/>
          <w:u w:val="single"/>
        </w:rPr>
        <w:t>Figure 1: Percentage predicted to have moved long distance by model, age and LLTI status</w:t>
      </w:r>
    </w:p>
    <w:p w14:paraId="2A8C8E46" w14:textId="1401F386" w:rsidR="000B3C68" w:rsidRPr="00996B4A" w:rsidRDefault="000B3C68" w:rsidP="00842CB7">
      <w:pPr>
        <w:spacing w:line="480" w:lineRule="auto"/>
        <w:jc w:val="center"/>
        <w:rPr>
          <w:rFonts w:asciiTheme="majorBidi" w:hAnsiTheme="majorBidi" w:cstheme="majorBidi"/>
        </w:rPr>
      </w:pPr>
      <w:r w:rsidRPr="00996B4A">
        <w:rPr>
          <w:rFonts w:asciiTheme="majorBidi" w:hAnsiTheme="majorBidi" w:cstheme="majorBidi"/>
        </w:rPr>
        <w:t>&lt;Figure 1 here&gt;</w:t>
      </w:r>
    </w:p>
    <w:p w14:paraId="3546F3DF" w14:textId="2A723FCA" w:rsidR="00BE5D21" w:rsidRPr="000E4805" w:rsidRDefault="00BE5D21" w:rsidP="00842CB7">
      <w:pPr>
        <w:spacing w:line="480" w:lineRule="auto"/>
        <w:rPr>
          <w:rFonts w:asciiTheme="majorBidi" w:hAnsiTheme="majorBidi" w:cstheme="majorBidi"/>
        </w:rPr>
      </w:pPr>
    </w:p>
    <w:p w14:paraId="088AE90C" w14:textId="3F6F6E89" w:rsidR="00F143BD" w:rsidRPr="000E4805" w:rsidRDefault="008C51EF" w:rsidP="006E78FE">
      <w:pPr>
        <w:spacing w:line="480" w:lineRule="auto"/>
        <w:rPr>
          <w:rFonts w:asciiTheme="majorBidi" w:hAnsiTheme="majorBidi" w:cstheme="majorBidi"/>
        </w:rPr>
      </w:pPr>
      <w:r w:rsidRPr="000E4805">
        <w:rPr>
          <w:rFonts w:asciiTheme="majorBidi" w:hAnsiTheme="majorBidi" w:cstheme="majorBidi"/>
        </w:rPr>
        <w:t>Comparing probabilities across age and model, for the population with and without an LLTI we observe that the relationship between age and long distance migration is u-shaped. Adults in the youngest and oldest age groups (16-24 and 55-64) and more likely to move long distance relative to those in the 25-34, 35-44 and 45-54 age groups. For the population without an LLTI, the predicted percentages are significantly higher for the 16-24 and 55-64 age groups relative to all other age groups in the 10, 20 and 50km models; except adults aged 45-54 are not significantly less likely to move long distance in the 10km model. For the population with an LLTI the u-shaped distribution is less pronounced, those aged 25-34 are less likely to move long distance than those aged 16-24 or 55-64 in the 50km model, whereas all other age differences overlap.</w:t>
      </w:r>
      <w:r w:rsidR="00F343FA" w:rsidRPr="000E4805">
        <w:rPr>
          <w:rFonts w:asciiTheme="majorBidi" w:hAnsiTheme="majorBidi" w:cstheme="majorBidi"/>
        </w:rPr>
        <w:t xml:space="preserve"> The Variance Partition Coefficient </w:t>
      </w:r>
      <w:r w:rsidR="00F343FA" w:rsidRPr="000E4805">
        <w:rPr>
          <w:rFonts w:asciiTheme="majorBidi" w:hAnsiTheme="majorBidi" w:cstheme="majorBidi"/>
        </w:rPr>
        <w:fldChar w:fldCharType="begin" w:fldLock="1"/>
      </w:r>
      <w:r w:rsidR="00607727">
        <w:rPr>
          <w:rFonts w:asciiTheme="majorBidi" w:hAnsiTheme="majorBidi" w:cstheme="majorBidi"/>
        </w:rPr>
        <w:instrText>ADDIN CSL_CITATION { "citationItems" : [ { "id" : "ITEM-1", "itemData" : { "DOI" : "10.1111/j.1467-985X.2004.00365.x", "ISSN" : "1467-985X", "abstract" : "Summary.\u2002 A common application of multilevel models is to apportion the variance in the response according to the different levels of the data. Whereas partitioning variances is straightforward in models with a continuous response variable with a normal error distribution at each level, the extension of this partitioning to models with binary responses or to proportions or counts is less obvious. We describe methodology due to Goldstein and co-workers for apportioning variance that is attributable to higher levels in multilevel binomial logistic models. This partitioning they referred to as the variance partition coefficient. We consider extending the variance partition coefficient concept to data sets when the response is a proportion and where the binomial assumption may not be appropriate owing to overdispersion in the response variable. Using the literacy data from the 1991 Indian census we estimate simple and complex variance partition coefficients at multiple levels of geography in models with significant overdispersion and thereby establish the relative importance of different geographic levels that influence educational disparities in India.", "author" : [ { "dropping-particle" : "", "family" : "Browne", "given" : "W J", "non-dropping-particle" : "", "parse-names" : false, "suffix" : "" }, { "dropping-particle" : "V", "family" : "Subramanian", "given" : "S", "non-dropping-particle" : "", "parse-names" : false, "suffix" : "" }, { "dropping-particle" : "", "family" : "Jones", "given" : "K", "non-dropping-particle" : "", "parse-names" : false, "suffix" : "" }, { "dropping-particle" : "", "family" : "Goldstein", "given" : "H", "non-dropping-particle" : "", "parse-names" : false, "suffix" : "" } ], "container-title" : "Journal of the Royal Statistical Society: Series A (Statistics in Society)", "id" : "ITEM-1", "issue" : "3", "issued" : { "date-parts" : [ [ "2005", "7", "1" ] ] }, "page" : "599-613", "publisher" : "Blackwell Publishing Ltd", "title" : "Variance partitioning in multilevel logistic models that exhibit overdispersion", "type" : "article-journal", "volume" : "168" }, "uris" : [ "http://www.mendeley.com/documents/?uuid=a5ff0e69-8632-4e4e-a1ef-1b8bd14783c8" ] } ], "mendeley" : { "formattedCitation" : "(Browne &lt;i&gt;et al.&lt;/i&gt;, 2005)", "plainTextFormattedCitation" : "(Browne et al., 2005)", "previouslyFormattedCitation" : "(Browne &lt;i&gt;et al.&lt;/i&gt;, 2005)" }, "properties" : { "noteIndex" : 0 }, "schema" : "https://github.com/citation-style-language/schema/raw/master/csl-citation.json" }</w:instrText>
      </w:r>
      <w:r w:rsidR="00F343FA" w:rsidRPr="000E4805">
        <w:rPr>
          <w:rFonts w:asciiTheme="majorBidi" w:hAnsiTheme="majorBidi" w:cstheme="majorBidi"/>
        </w:rPr>
        <w:fldChar w:fldCharType="separate"/>
      </w:r>
      <w:r w:rsidR="00607727" w:rsidRPr="00607727">
        <w:rPr>
          <w:rFonts w:asciiTheme="majorBidi" w:hAnsiTheme="majorBidi" w:cstheme="majorBidi"/>
          <w:noProof/>
        </w:rPr>
        <w:t xml:space="preserve">(Browne </w:t>
      </w:r>
      <w:r w:rsidR="00607727" w:rsidRPr="00607727">
        <w:rPr>
          <w:rFonts w:asciiTheme="majorBidi" w:hAnsiTheme="majorBidi" w:cstheme="majorBidi"/>
          <w:i/>
          <w:noProof/>
        </w:rPr>
        <w:t>et al.</w:t>
      </w:r>
      <w:r w:rsidR="00607727" w:rsidRPr="00607727">
        <w:rPr>
          <w:rFonts w:asciiTheme="majorBidi" w:hAnsiTheme="majorBidi" w:cstheme="majorBidi"/>
          <w:noProof/>
        </w:rPr>
        <w:t>, 2005)</w:t>
      </w:r>
      <w:r w:rsidR="00F343FA" w:rsidRPr="000E4805">
        <w:rPr>
          <w:rFonts w:asciiTheme="majorBidi" w:hAnsiTheme="majorBidi" w:cstheme="majorBidi"/>
        </w:rPr>
        <w:fldChar w:fldCharType="end"/>
      </w:r>
      <w:r w:rsidR="00F343FA" w:rsidRPr="000E4805">
        <w:rPr>
          <w:rFonts w:asciiTheme="majorBidi" w:hAnsiTheme="majorBidi" w:cstheme="majorBidi"/>
        </w:rPr>
        <w:t xml:space="preserve"> shows that a relatively small proportion of the variance in long distance migration is explained at the destination LA level (6% in the 10km model and 5% in the 20 and 50km models)</w:t>
      </w:r>
      <w:r w:rsidR="006E78FE">
        <w:rPr>
          <w:rFonts w:asciiTheme="majorBidi" w:hAnsiTheme="majorBidi" w:cstheme="majorBidi"/>
        </w:rPr>
        <w:t>, with the remainder explained at the individual level</w:t>
      </w:r>
      <w:r w:rsidR="00F343FA" w:rsidRPr="000E4805">
        <w:rPr>
          <w:rFonts w:asciiTheme="majorBidi" w:hAnsiTheme="majorBidi" w:cstheme="majorBidi"/>
        </w:rPr>
        <w:t>.</w:t>
      </w:r>
    </w:p>
    <w:p w14:paraId="37C57362" w14:textId="19C7B270" w:rsidR="004F19DE" w:rsidRPr="000E4805" w:rsidRDefault="004F19DE" w:rsidP="00842CB7">
      <w:pPr>
        <w:pStyle w:val="Heading2"/>
      </w:pPr>
      <w:r w:rsidRPr="000E4805">
        <w:lastRenderedPageBreak/>
        <w:t>Random intercepts and slopes</w:t>
      </w:r>
    </w:p>
    <w:p w14:paraId="2CE837CA" w14:textId="30F04DCB" w:rsidR="004F19DE" w:rsidRPr="000E4805" w:rsidRDefault="00F343FA" w:rsidP="00D000A1">
      <w:pPr>
        <w:spacing w:after="120" w:line="480" w:lineRule="auto"/>
        <w:rPr>
          <w:rFonts w:asciiTheme="majorBidi" w:hAnsiTheme="majorBidi" w:cstheme="majorBidi"/>
        </w:rPr>
      </w:pPr>
      <w:r w:rsidRPr="000E4805">
        <w:rPr>
          <w:rFonts w:asciiTheme="majorBidi" w:hAnsiTheme="majorBidi" w:cstheme="majorBidi"/>
        </w:rPr>
        <w:t xml:space="preserve">Having explored effects at the individual level, we turn to effects at the destination LA level. </w:t>
      </w:r>
      <w:r w:rsidR="004F19DE" w:rsidRPr="000E4805">
        <w:rPr>
          <w:rFonts w:asciiTheme="majorBidi" w:hAnsiTheme="majorBidi" w:cstheme="majorBidi"/>
        </w:rPr>
        <w:t xml:space="preserve">Figure </w:t>
      </w:r>
      <w:r w:rsidR="00175886" w:rsidRPr="000E4805">
        <w:rPr>
          <w:rFonts w:asciiTheme="majorBidi" w:hAnsiTheme="majorBidi" w:cstheme="majorBidi"/>
        </w:rPr>
        <w:t>2</w:t>
      </w:r>
      <w:r w:rsidR="004F19DE" w:rsidRPr="000E4805">
        <w:rPr>
          <w:rFonts w:asciiTheme="majorBidi" w:hAnsiTheme="majorBidi" w:cstheme="majorBidi"/>
        </w:rPr>
        <w:t xml:space="preserve"> (a-</w:t>
      </w:r>
      <w:r w:rsidR="00175886" w:rsidRPr="000E4805">
        <w:rPr>
          <w:rFonts w:asciiTheme="majorBidi" w:hAnsiTheme="majorBidi" w:cstheme="majorBidi"/>
        </w:rPr>
        <w:t>c</w:t>
      </w:r>
      <w:r w:rsidR="004F19DE" w:rsidRPr="000E4805">
        <w:rPr>
          <w:rFonts w:asciiTheme="majorBidi" w:hAnsiTheme="majorBidi" w:cstheme="majorBidi"/>
        </w:rPr>
        <w:t>) illustrate</w:t>
      </w:r>
      <w:r w:rsidR="00204354" w:rsidRPr="000E4805">
        <w:rPr>
          <w:rFonts w:asciiTheme="majorBidi" w:hAnsiTheme="majorBidi" w:cstheme="majorBidi"/>
        </w:rPr>
        <w:t>s</w:t>
      </w:r>
      <w:r w:rsidR="004F19DE" w:rsidRPr="000E4805">
        <w:rPr>
          <w:rFonts w:asciiTheme="majorBidi" w:hAnsiTheme="majorBidi" w:cstheme="majorBidi"/>
        </w:rPr>
        <w:t xml:space="preserve"> the</w:t>
      </w:r>
      <w:r w:rsidR="00204354" w:rsidRPr="000E4805">
        <w:rPr>
          <w:rFonts w:asciiTheme="majorBidi" w:hAnsiTheme="majorBidi" w:cstheme="majorBidi"/>
        </w:rPr>
        <w:t>se</w:t>
      </w:r>
      <w:r w:rsidR="004F19DE" w:rsidRPr="000E4805">
        <w:rPr>
          <w:rFonts w:asciiTheme="majorBidi" w:hAnsiTheme="majorBidi" w:cstheme="majorBidi"/>
        </w:rPr>
        <w:t xml:space="preserve"> transformed parameters. </w:t>
      </w:r>
      <w:r w:rsidR="00B70FFF" w:rsidRPr="000E4805">
        <w:rPr>
          <w:rFonts w:asciiTheme="majorBidi" w:hAnsiTheme="majorBidi" w:cstheme="majorBidi"/>
        </w:rPr>
        <w:t>T</w:t>
      </w:r>
      <w:r w:rsidR="004F19DE" w:rsidRPr="000E4805">
        <w:rPr>
          <w:rFonts w:asciiTheme="majorBidi" w:hAnsiTheme="majorBidi" w:cstheme="majorBidi"/>
        </w:rPr>
        <w:t xml:space="preserve">he percentage predicted to </w:t>
      </w:r>
      <w:r w:rsidR="008552ED" w:rsidRPr="000E4805">
        <w:rPr>
          <w:rFonts w:asciiTheme="majorBidi" w:hAnsiTheme="majorBidi" w:cstheme="majorBidi"/>
        </w:rPr>
        <w:t xml:space="preserve">have </w:t>
      </w:r>
      <w:r w:rsidR="004F19DE" w:rsidRPr="000E4805">
        <w:rPr>
          <w:rFonts w:asciiTheme="majorBidi" w:hAnsiTheme="majorBidi" w:cstheme="majorBidi"/>
        </w:rPr>
        <w:t>move</w:t>
      </w:r>
      <w:r w:rsidR="008552ED" w:rsidRPr="000E4805">
        <w:rPr>
          <w:rFonts w:asciiTheme="majorBidi" w:hAnsiTheme="majorBidi" w:cstheme="majorBidi"/>
        </w:rPr>
        <w:t>d</w:t>
      </w:r>
      <w:r w:rsidR="004F19DE" w:rsidRPr="000E4805">
        <w:rPr>
          <w:rFonts w:asciiTheme="majorBidi" w:hAnsiTheme="majorBidi" w:cstheme="majorBidi"/>
        </w:rPr>
        <w:t xml:space="preserve"> long distance for each LA is represented on the y axis, and the ratio of predicted percentages for those with an LLTI relative to those without an LLTI on the x axis.</w:t>
      </w:r>
      <w:r w:rsidR="00204354" w:rsidRPr="000E4805">
        <w:rPr>
          <w:rFonts w:asciiTheme="majorBidi" w:hAnsiTheme="majorBidi" w:cstheme="majorBidi"/>
        </w:rPr>
        <w:t xml:space="preserve"> If the ratio is greater than one, this indicates that those </w:t>
      </w:r>
      <w:r w:rsidR="00D000A1">
        <w:rPr>
          <w:rFonts w:asciiTheme="majorBidi" w:hAnsiTheme="majorBidi" w:cstheme="majorBidi"/>
        </w:rPr>
        <w:t>with an LLTI</w:t>
      </w:r>
      <w:r w:rsidR="00204354" w:rsidRPr="000E4805">
        <w:rPr>
          <w:rFonts w:asciiTheme="majorBidi" w:hAnsiTheme="majorBidi" w:cstheme="majorBidi"/>
        </w:rPr>
        <w:t xml:space="preserve"> are more likely to </w:t>
      </w:r>
      <w:r w:rsidR="00870353" w:rsidRPr="000E4805">
        <w:rPr>
          <w:rFonts w:asciiTheme="majorBidi" w:hAnsiTheme="majorBidi" w:cstheme="majorBidi"/>
        </w:rPr>
        <w:t>move</w:t>
      </w:r>
      <w:r w:rsidR="00204354" w:rsidRPr="000E4805">
        <w:rPr>
          <w:rFonts w:asciiTheme="majorBidi" w:hAnsiTheme="majorBidi" w:cstheme="majorBidi"/>
        </w:rPr>
        <w:t xml:space="preserve"> long distance in this LA, whilst the inverse is true if the ratio is less than one.</w:t>
      </w:r>
      <w:r w:rsidR="004F19DE" w:rsidRPr="000E4805">
        <w:rPr>
          <w:rFonts w:asciiTheme="majorBidi" w:hAnsiTheme="majorBidi" w:cstheme="majorBidi"/>
        </w:rPr>
        <w:t xml:space="preserve"> Reference lines illustrate the global mean for the percentage predicted to move long distance (30.8</w:t>
      </w:r>
      <w:r w:rsidR="006E78FE">
        <w:rPr>
          <w:rFonts w:asciiTheme="majorBidi" w:hAnsiTheme="majorBidi" w:cstheme="majorBidi"/>
        </w:rPr>
        <w:t>%</w:t>
      </w:r>
      <w:r w:rsidR="004F19DE" w:rsidRPr="000E4805">
        <w:rPr>
          <w:rFonts w:asciiTheme="majorBidi" w:hAnsiTheme="majorBidi" w:cstheme="majorBidi"/>
        </w:rPr>
        <w:t>, 20.3</w:t>
      </w:r>
      <w:r w:rsidR="006E78FE">
        <w:rPr>
          <w:rFonts w:asciiTheme="majorBidi" w:hAnsiTheme="majorBidi" w:cstheme="majorBidi"/>
        </w:rPr>
        <w:t>%</w:t>
      </w:r>
      <w:r w:rsidR="004F19DE" w:rsidRPr="000E4805">
        <w:rPr>
          <w:rFonts w:asciiTheme="majorBidi" w:hAnsiTheme="majorBidi" w:cstheme="majorBidi"/>
        </w:rPr>
        <w:t xml:space="preserve"> and 12.5</w:t>
      </w:r>
      <w:r w:rsidR="006E78FE">
        <w:rPr>
          <w:rFonts w:asciiTheme="majorBidi" w:hAnsiTheme="majorBidi" w:cstheme="majorBidi"/>
        </w:rPr>
        <w:t>%</w:t>
      </w:r>
      <w:r w:rsidR="004F19DE" w:rsidRPr="000E4805">
        <w:rPr>
          <w:rFonts w:asciiTheme="majorBidi" w:hAnsiTheme="majorBidi" w:cstheme="majorBidi"/>
        </w:rPr>
        <w:t>) in the 10, 20 and 50km models respectively.</w:t>
      </w:r>
    </w:p>
    <w:p w14:paraId="022BA1D0" w14:textId="10C34F56" w:rsidR="004F19DE" w:rsidRPr="000E4805" w:rsidRDefault="004F19DE" w:rsidP="00870353">
      <w:pPr>
        <w:spacing w:after="120" w:line="480" w:lineRule="auto"/>
        <w:rPr>
          <w:rFonts w:asciiTheme="majorBidi" w:hAnsiTheme="majorBidi" w:cstheme="majorBidi"/>
        </w:rPr>
      </w:pPr>
      <w:r w:rsidRPr="000E4805">
        <w:rPr>
          <w:rFonts w:asciiTheme="majorBidi" w:hAnsiTheme="majorBidi" w:cstheme="majorBidi"/>
        </w:rPr>
        <w:t xml:space="preserve">In the </w:t>
      </w:r>
      <w:r w:rsidR="009D05CD" w:rsidRPr="000E4805">
        <w:rPr>
          <w:rFonts w:asciiTheme="majorBidi" w:hAnsiTheme="majorBidi" w:cstheme="majorBidi"/>
        </w:rPr>
        <w:t>10</w:t>
      </w:r>
      <w:r w:rsidRPr="000E4805">
        <w:rPr>
          <w:rFonts w:asciiTheme="majorBidi" w:hAnsiTheme="majorBidi" w:cstheme="majorBidi"/>
        </w:rPr>
        <w:t xml:space="preserve">km model we observe that the population with an LLTI </w:t>
      </w:r>
      <w:r w:rsidR="00870353" w:rsidRPr="000E4805">
        <w:rPr>
          <w:rFonts w:asciiTheme="majorBidi" w:hAnsiTheme="majorBidi" w:cstheme="majorBidi"/>
        </w:rPr>
        <w:t xml:space="preserve">are more likely to </w:t>
      </w:r>
      <w:r w:rsidR="008552ED" w:rsidRPr="000E4805">
        <w:rPr>
          <w:rFonts w:asciiTheme="majorBidi" w:hAnsiTheme="majorBidi" w:cstheme="majorBidi"/>
        </w:rPr>
        <w:t xml:space="preserve">have </w:t>
      </w:r>
      <w:r w:rsidR="00870353" w:rsidRPr="000E4805">
        <w:rPr>
          <w:rFonts w:asciiTheme="majorBidi" w:hAnsiTheme="majorBidi" w:cstheme="majorBidi"/>
        </w:rPr>
        <w:t>move</w:t>
      </w:r>
      <w:r w:rsidR="008552ED" w:rsidRPr="000E4805">
        <w:rPr>
          <w:rFonts w:asciiTheme="majorBidi" w:hAnsiTheme="majorBidi" w:cstheme="majorBidi"/>
        </w:rPr>
        <w:t>d</w:t>
      </w:r>
      <w:r w:rsidR="009D05CD" w:rsidRPr="000E4805">
        <w:rPr>
          <w:rFonts w:asciiTheme="majorBidi" w:hAnsiTheme="majorBidi" w:cstheme="majorBidi"/>
        </w:rPr>
        <w:t xml:space="preserve"> long distance</w:t>
      </w:r>
      <w:r w:rsidRPr="000E4805">
        <w:rPr>
          <w:rFonts w:asciiTheme="majorBidi" w:hAnsiTheme="majorBidi" w:cstheme="majorBidi"/>
        </w:rPr>
        <w:t xml:space="preserve"> than those without an LLTI in </w:t>
      </w:r>
      <w:r w:rsidR="00870353" w:rsidRPr="000E4805">
        <w:rPr>
          <w:rFonts w:asciiTheme="majorBidi" w:hAnsiTheme="majorBidi" w:cstheme="majorBidi"/>
        </w:rPr>
        <w:t>destinations</w:t>
      </w:r>
      <w:r w:rsidRPr="000E4805">
        <w:rPr>
          <w:rFonts w:asciiTheme="majorBidi" w:hAnsiTheme="majorBidi" w:cstheme="majorBidi"/>
        </w:rPr>
        <w:t xml:space="preserve"> with higher than</w:t>
      </w:r>
      <w:r w:rsidR="000A6EA9" w:rsidRPr="000E4805">
        <w:rPr>
          <w:rFonts w:asciiTheme="majorBidi" w:hAnsiTheme="majorBidi" w:cstheme="majorBidi"/>
        </w:rPr>
        <w:t xml:space="preserve"> average</w:t>
      </w:r>
      <w:r w:rsidRPr="000E4805">
        <w:rPr>
          <w:rFonts w:asciiTheme="majorBidi" w:hAnsiTheme="majorBidi" w:cstheme="majorBidi"/>
        </w:rPr>
        <w:t xml:space="preserve"> </w:t>
      </w:r>
      <w:r w:rsidR="009D05CD" w:rsidRPr="000E4805">
        <w:rPr>
          <w:rFonts w:asciiTheme="majorBidi" w:hAnsiTheme="majorBidi" w:cstheme="majorBidi"/>
        </w:rPr>
        <w:t>rates of long distance migration</w:t>
      </w:r>
      <w:r w:rsidRPr="000E4805">
        <w:rPr>
          <w:rFonts w:asciiTheme="majorBidi" w:hAnsiTheme="majorBidi" w:cstheme="majorBidi"/>
        </w:rPr>
        <w:t xml:space="preserve"> (top-right quadrant).  In the 20km model the same trend is found, however the distribution of ratios shift</w:t>
      </w:r>
      <w:r w:rsidR="000A6EA9" w:rsidRPr="000E4805">
        <w:rPr>
          <w:rFonts w:asciiTheme="majorBidi" w:hAnsiTheme="majorBidi" w:cstheme="majorBidi"/>
        </w:rPr>
        <w:t xml:space="preserve">s </w:t>
      </w:r>
      <w:r w:rsidRPr="000E4805">
        <w:rPr>
          <w:rFonts w:asciiTheme="majorBidi" w:hAnsiTheme="majorBidi" w:cstheme="majorBidi"/>
        </w:rPr>
        <w:t>to the left, such that there are few</w:t>
      </w:r>
      <w:r w:rsidR="00870353" w:rsidRPr="000E4805">
        <w:rPr>
          <w:rFonts w:asciiTheme="majorBidi" w:hAnsiTheme="majorBidi" w:cstheme="majorBidi"/>
        </w:rPr>
        <w:t>er</w:t>
      </w:r>
      <w:r w:rsidRPr="000E4805">
        <w:rPr>
          <w:rFonts w:asciiTheme="majorBidi" w:hAnsiTheme="majorBidi" w:cstheme="majorBidi"/>
        </w:rPr>
        <w:t xml:space="preserve"> areas where the population with an LLTI are more likely to </w:t>
      </w:r>
      <w:r w:rsidR="008552ED" w:rsidRPr="000E4805">
        <w:rPr>
          <w:rFonts w:asciiTheme="majorBidi" w:hAnsiTheme="majorBidi" w:cstheme="majorBidi"/>
        </w:rPr>
        <w:t xml:space="preserve">have </w:t>
      </w:r>
      <w:r w:rsidRPr="000E4805">
        <w:rPr>
          <w:rFonts w:asciiTheme="majorBidi" w:hAnsiTheme="majorBidi" w:cstheme="majorBidi"/>
        </w:rPr>
        <w:t>move</w:t>
      </w:r>
      <w:r w:rsidR="008552ED" w:rsidRPr="000E4805">
        <w:rPr>
          <w:rFonts w:asciiTheme="majorBidi" w:hAnsiTheme="majorBidi" w:cstheme="majorBidi"/>
        </w:rPr>
        <w:t>d</w:t>
      </w:r>
      <w:r w:rsidRPr="000E4805">
        <w:rPr>
          <w:rFonts w:asciiTheme="majorBidi" w:hAnsiTheme="majorBidi" w:cstheme="majorBidi"/>
        </w:rPr>
        <w:t xml:space="preserve"> long distance. Finally, in the 50km model the distribution of ratios shifts further to the left, the population with an LLTI are more likely to </w:t>
      </w:r>
      <w:r w:rsidR="008552ED" w:rsidRPr="000E4805">
        <w:rPr>
          <w:rFonts w:asciiTheme="majorBidi" w:hAnsiTheme="majorBidi" w:cstheme="majorBidi"/>
        </w:rPr>
        <w:t xml:space="preserve">have </w:t>
      </w:r>
      <w:r w:rsidRPr="000E4805">
        <w:rPr>
          <w:rFonts w:asciiTheme="majorBidi" w:hAnsiTheme="majorBidi" w:cstheme="majorBidi"/>
        </w:rPr>
        <w:t>move</w:t>
      </w:r>
      <w:r w:rsidR="008552ED" w:rsidRPr="000E4805">
        <w:rPr>
          <w:rFonts w:asciiTheme="majorBidi" w:hAnsiTheme="majorBidi" w:cstheme="majorBidi"/>
        </w:rPr>
        <w:t>d</w:t>
      </w:r>
      <w:r w:rsidRPr="000E4805">
        <w:rPr>
          <w:rFonts w:asciiTheme="majorBidi" w:hAnsiTheme="majorBidi" w:cstheme="majorBidi"/>
        </w:rPr>
        <w:t xml:space="preserve"> long distance only in two LAs (of a total of 346). </w:t>
      </w:r>
      <w:r w:rsidR="00ED65DC" w:rsidRPr="000E4805">
        <w:rPr>
          <w:rFonts w:asciiTheme="majorBidi" w:hAnsiTheme="majorBidi" w:cstheme="majorBidi"/>
        </w:rPr>
        <w:t>Thus there is no evidence of health selection in the 10km model, but the effect is present in the 20km model and strongest in the 50km model.</w:t>
      </w:r>
    </w:p>
    <w:p w14:paraId="4BD0D215" w14:textId="596F711A" w:rsidR="00066D2E" w:rsidRPr="000E4805" w:rsidRDefault="00066D2E" w:rsidP="00066D2E">
      <w:pPr>
        <w:spacing w:after="120" w:line="480" w:lineRule="auto"/>
        <w:jc w:val="center"/>
        <w:rPr>
          <w:rFonts w:asciiTheme="majorBidi" w:hAnsiTheme="majorBidi" w:cstheme="majorBidi"/>
          <w:b/>
          <w:bCs/>
          <w:u w:val="single"/>
        </w:rPr>
      </w:pPr>
      <w:r w:rsidRPr="000E4805">
        <w:rPr>
          <w:rFonts w:asciiTheme="majorBidi" w:hAnsiTheme="majorBidi" w:cstheme="majorBidi"/>
          <w:b/>
          <w:bCs/>
          <w:u w:val="single"/>
        </w:rPr>
        <w:t xml:space="preserve">Figure </w:t>
      </w:r>
      <w:r w:rsidR="009D05CD" w:rsidRPr="000E4805">
        <w:rPr>
          <w:rFonts w:asciiTheme="majorBidi" w:hAnsiTheme="majorBidi" w:cstheme="majorBidi"/>
          <w:b/>
          <w:bCs/>
          <w:u w:val="single"/>
        </w:rPr>
        <w:t>2</w:t>
      </w:r>
      <w:r w:rsidRPr="000E4805">
        <w:rPr>
          <w:rFonts w:asciiTheme="majorBidi" w:hAnsiTheme="majorBidi" w:cstheme="majorBidi"/>
          <w:b/>
          <w:bCs/>
          <w:u w:val="single"/>
        </w:rPr>
        <w:t>: Ratio of health differences in long distance migration by LA and model</w:t>
      </w:r>
    </w:p>
    <w:p w14:paraId="68FD682D" w14:textId="50CAC039" w:rsidR="00BE5D21" w:rsidRDefault="000B3C68" w:rsidP="001F1073">
      <w:pPr>
        <w:jc w:val="center"/>
        <w:rPr>
          <w:rFonts w:asciiTheme="majorBidi" w:hAnsiTheme="majorBidi" w:cstheme="majorBidi"/>
        </w:rPr>
      </w:pPr>
      <w:r w:rsidRPr="000E4805">
        <w:rPr>
          <w:rFonts w:asciiTheme="majorBidi" w:hAnsiTheme="majorBidi" w:cstheme="majorBidi"/>
        </w:rPr>
        <w:t>&lt;Figure 2a-c here&gt;</w:t>
      </w:r>
    </w:p>
    <w:p w14:paraId="4AFCA68B" w14:textId="76E0BFE1" w:rsidR="003B34DE" w:rsidRPr="000E4805" w:rsidRDefault="003B34DE" w:rsidP="001F1073">
      <w:pPr>
        <w:jc w:val="center"/>
        <w:rPr>
          <w:rFonts w:asciiTheme="majorBidi" w:hAnsiTheme="majorBidi" w:cstheme="majorBidi"/>
          <w:noProof/>
        </w:rPr>
      </w:pPr>
    </w:p>
    <w:p w14:paraId="1DEF83E8" w14:textId="64D7C715" w:rsidR="00F143BD" w:rsidRPr="000E4805" w:rsidRDefault="009D05CD">
      <w:pPr>
        <w:spacing w:line="480" w:lineRule="auto"/>
        <w:rPr>
          <w:rFonts w:asciiTheme="majorBidi" w:hAnsiTheme="majorBidi" w:cstheme="majorBidi"/>
        </w:rPr>
      </w:pPr>
      <w:r w:rsidRPr="000E4805">
        <w:rPr>
          <w:rFonts w:asciiTheme="majorBidi" w:hAnsiTheme="majorBidi" w:cstheme="majorBidi"/>
        </w:rPr>
        <w:t>To explore the spatial pattern of these residuals</w:t>
      </w:r>
      <w:r w:rsidR="00870353" w:rsidRPr="000E4805">
        <w:rPr>
          <w:rFonts w:asciiTheme="majorBidi" w:hAnsiTheme="majorBidi" w:cstheme="majorBidi"/>
        </w:rPr>
        <w:t xml:space="preserve"> for destination areas</w:t>
      </w:r>
      <w:r w:rsidRPr="000E4805">
        <w:rPr>
          <w:rFonts w:asciiTheme="majorBidi" w:hAnsiTheme="majorBidi" w:cstheme="majorBidi"/>
        </w:rPr>
        <w:t xml:space="preserve">, we plot </w:t>
      </w:r>
      <w:r w:rsidR="00970CE5" w:rsidRPr="000E4805">
        <w:rPr>
          <w:rFonts w:asciiTheme="majorBidi" w:hAnsiTheme="majorBidi" w:cstheme="majorBidi"/>
        </w:rPr>
        <w:t xml:space="preserve">the values for LAs using ArcMap 10.4.1 </w:t>
      </w:r>
      <w:r w:rsidR="00970CE5" w:rsidRPr="000E4805">
        <w:rPr>
          <w:rFonts w:asciiTheme="majorBidi" w:hAnsiTheme="majorBidi" w:cstheme="majorBidi"/>
        </w:rPr>
        <w:fldChar w:fldCharType="begin" w:fldLock="1"/>
      </w:r>
      <w:r w:rsidR="00BC63FD" w:rsidRPr="000E4805">
        <w:rPr>
          <w:rFonts w:asciiTheme="majorBidi" w:hAnsiTheme="majorBidi" w:cstheme="majorBidi"/>
        </w:rPr>
        <w:instrText>ADDIN CSL_CITATION { "citationItems" : [ { "id" : "ITEM-1", "itemData" : { "URL" : "http://resources.arcgis.com/EN/HELP/MAIN/10.2/index.html#//016w0000005w000000", "accessed" : { "date-parts" : [ [ "2015", "10", "26" ] ] }, "author" : [ { "dropping-particle" : "", "family" : "ESRI", "given" : "", "non-dropping-particle" : "", "parse-names" : false, "suffix" : "" } ], "id" : "ITEM-1", "issued" : { "date-parts" : [ [ "2014" ] ] }, "title" : "ArcGIS Help", "type" : "webpage" }, "uris" : [ "http://www.mendeley.com/documents/?uuid=0ee5683c-dd4f-4452-b882-502095587a20" ] } ], "mendeley" : { "formattedCitation" : "(ESRI, 2014)", "plainTextFormattedCitation" : "(ESRI, 2014)", "previouslyFormattedCitation" : "(ESRI, 2014)" }, "properties" : { "noteIndex" : 0 }, "schema" : "https://github.com/citation-style-language/schema/raw/master/csl-citation.json" }</w:instrText>
      </w:r>
      <w:r w:rsidR="00970CE5" w:rsidRPr="000E4805">
        <w:rPr>
          <w:rFonts w:asciiTheme="majorBidi" w:hAnsiTheme="majorBidi" w:cstheme="majorBidi"/>
        </w:rPr>
        <w:fldChar w:fldCharType="separate"/>
      </w:r>
      <w:r w:rsidR="00970CE5" w:rsidRPr="000E4805">
        <w:rPr>
          <w:rFonts w:asciiTheme="majorBidi" w:hAnsiTheme="majorBidi" w:cstheme="majorBidi"/>
          <w:noProof/>
        </w:rPr>
        <w:t>(ESRI, 2014)</w:t>
      </w:r>
      <w:r w:rsidR="00970CE5" w:rsidRPr="000E4805">
        <w:rPr>
          <w:rFonts w:asciiTheme="majorBidi" w:hAnsiTheme="majorBidi" w:cstheme="majorBidi"/>
        </w:rPr>
        <w:fldChar w:fldCharType="end"/>
      </w:r>
      <w:r w:rsidR="00970CE5" w:rsidRPr="000E4805">
        <w:rPr>
          <w:rFonts w:asciiTheme="majorBidi" w:hAnsiTheme="majorBidi" w:cstheme="majorBidi"/>
        </w:rPr>
        <w:t xml:space="preserve">. </w:t>
      </w:r>
      <w:r w:rsidR="00175886" w:rsidRPr="000E4805">
        <w:rPr>
          <w:rFonts w:asciiTheme="majorBidi" w:hAnsiTheme="majorBidi" w:cstheme="majorBidi"/>
        </w:rPr>
        <w:t xml:space="preserve"> </w:t>
      </w:r>
      <w:r w:rsidR="00E42BD7" w:rsidRPr="000E4805">
        <w:rPr>
          <w:rFonts w:asciiTheme="majorBidi" w:hAnsiTheme="majorBidi" w:cstheme="majorBidi"/>
        </w:rPr>
        <w:t xml:space="preserve">The ratio of predicted percentages from Figure 2 are shown for the 10km, 20km and 50km models in Figures 3a, 3b and 3c respectively. </w:t>
      </w:r>
      <w:r w:rsidR="00870353" w:rsidRPr="000E4805">
        <w:rPr>
          <w:rFonts w:asciiTheme="majorBidi" w:hAnsiTheme="majorBidi" w:cstheme="majorBidi"/>
        </w:rPr>
        <w:t>Destinations</w:t>
      </w:r>
      <w:r w:rsidR="00E42BD7" w:rsidRPr="000E4805">
        <w:rPr>
          <w:rFonts w:asciiTheme="majorBidi" w:hAnsiTheme="majorBidi" w:cstheme="majorBidi"/>
        </w:rPr>
        <w:t xml:space="preserve"> where those </w:t>
      </w:r>
      <w:r w:rsidR="00D000A1">
        <w:rPr>
          <w:rFonts w:asciiTheme="majorBidi" w:hAnsiTheme="majorBidi" w:cstheme="majorBidi"/>
        </w:rPr>
        <w:t>with an LLTI</w:t>
      </w:r>
      <w:r w:rsidR="00E42BD7" w:rsidRPr="000E4805">
        <w:rPr>
          <w:rFonts w:asciiTheme="majorBidi" w:hAnsiTheme="majorBidi" w:cstheme="majorBidi"/>
        </w:rPr>
        <w:t xml:space="preserve"> are more likely to </w:t>
      </w:r>
      <w:r w:rsidR="00870353" w:rsidRPr="000E4805">
        <w:rPr>
          <w:rFonts w:asciiTheme="majorBidi" w:hAnsiTheme="majorBidi" w:cstheme="majorBidi"/>
        </w:rPr>
        <w:t xml:space="preserve">have </w:t>
      </w:r>
      <w:r w:rsidR="00E42BD7" w:rsidRPr="000E4805">
        <w:rPr>
          <w:rFonts w:asciiTheme="majorBidi" w:hAnsiTheme="majorBidi" w:cstheme="majorBidi"/>
        </w:rPr>
        <w:t>move</w:t>
      </w:r>
      <w:r w:rsidR="00870353" w:rsidRPr="000E4805">
        <w:rPr>
          <w:rFonts w:asciiTheme="majorBidi" w:hAnsiTheme="majorBidi" w:cstheme="majorBidi"/>
        </w:rPr>
        <w:t>d</w:t>
      </w:r>
      <w:r w:rsidR="00E42BD7" w:rsidRPr="000E4805">
        <w:rPr>
          <w:rFonts w:asciiTheme="majorBidi" w:hAnsiTheme="majorBidi" w:cstheme="majorBidi"/>
        </w:rPr>
        <w:t xml:space="preserve"> long distance are </w:t>
      </w:r>
      <w:r w:rsidR="004C0B73" w:rsidRPr="000E4805">
        <w:rPr>
          <w:rFonts w:asciiTheme="majorBidi" w:hAnsiTheme="majorBidi" w:cstheme="majorBidi"/>
        </w:rPr>
        <w:t>hatched</w:t>
      </w:r>
      <w:r w:rsidR="00E42BD7" w:rsidRPr="000E4805">
        <w:rPr>
          <w:rFonts w:asciiTheme="majorBidi" w:hAnsiTheme="majorBidi" w:cstheme="majorBidi"/>
        </w:rPr>
        <w:t xml:space="preserve">, whilst </w:t>
      </w:r>
      <w:r w:rsidR="00870353" w:rsidRPr="000E4805">
        <w:rPr>
          <w:rFonts w:asciiTheme="majorBidi" w:hAnsiTheme="majorBidi" w:cstheme="majorBidi"/>
        </w:rPr>
        <w:t>destinations</w:t>
      </w:r>
      <w:r w:rsidR="00E42BD7" w:rsidRPr="000E4805">
        <w:rPr>
          <w:rFonts w:asciiTheme="majorBidi" w:hAnsiTheme="majorBidi" w:cstheme="majorBidi"/>
        </w:rPr>
        <w:t xml:space="preserve"> where those </w:t>
      </w:r>
      <w:r w:rsidR="00D000A1">
        <w:rPr>
          <w:rFonts w:asciiTheme="majorBidi" w:hAnsiTheme="majorBidi" w:cstheme="majorBidi"/>
        </w:rPr>
        <w:t>without an LLTI</w:t>
      </w:r>
      <w:r w:rsidR="00E42BD7" w:rsidRPr="000E4805">
        <w:rPr>
          <w:rFonts w:asciiTheme="majorBidi" w:hAnsiTheme="majorBidi" w:cstheme="majorBidi"/>
        </w:rPr>
        <w:t xml:space="preserve"> are more likely to </w:t>
      </w:r>
      <w:r w:rsidR="00870353" w:rsidRPr="000E4805">
        <w:rPr>
          <w:rFonts w:asciiTheme="majorBidi" w:hAnsiTheme="majorBidi" w:cstheme="majorBidi"/>
        </w:rPr>
        <w:t xml:space="preserve">have </w:t>
      </w:r>
      <w:r w:rsidR="00E42BD7" w:rsidRPr="000E4805">
        <w:rPr>
          <w:rFonts w:asciiTheme="majorBidi" w:hAnsiTheme="majorBidi" w:cstheme="majorBidi"/>
        </w:rPr>
        <w:t>move</w:t>
      </w:r>
      <w:r w:rsidR="00870353" w:rsidRPr="000E4805">
        <w:rPr>
          <w:rFonts w:asciiTheme="majorBidi" w:hAnsiTheme="majorBidi" w:cstheme="majorBidi"/>
        </w:rPr>
        <w:t>d</w:t>
      </w:r>
      <w:r w:rsidR="00E42BD7" w:rsidRPr="000E4805">
        <w:rPr>
          <w:rFonts w:asciiTheme="majorBidi" w:hAnsiTheme="majorBidi" w:cstheme="majorBidi"/>
        </w:rPr>
        <w:t xml:space="preserve"> long distance are </w:t>
      </w:r>
      <w:r w:rsidR="004C0B73" w:rsidRPr="000E4805">
        <w:rPr>
          <w:rFonts w:asciiTheme="majorBidi" w:hAnsiTheme="majorBidi" w:cstheme="majorBidi"/>
        </w:rPr>
        <w:t>shaded in grey</w:t>
      </w:r>
      <w:r w:rsidR="00E42BD7" w:rsidRPr="000E4805">
        <w:rPr>
          <w:rFonts w:asciiTheme="majorBidi" w:hAnsiTheme="majorBidi" w:cstheme="majorBidi"/>
        </w:rPr>
        <w:t xml:space="preserve">. </w:t>
      </w:r>
      <w:r w:rsidR="00E42BD7" w:rsidRPr="000E4805">
        <w:rPr>
          <w:rFonts w:asciiTheme="majorBidi" w:hAnsiTheme="majorBidi" w:cstheme="majorBidi"/>
        </w:rPr>
        <w:lastRenderedPageBreak/>
        <w:t>Areas with a random intercept (</w:t>
      </w:r>
      <m:oMath>
        <m:sSub>
          <m:sSubPr>
            <m:ctrlPr>
              <w:rPr>
                <w:rFonts w:ascii="Cambria Math" w:hAnsi="Cambria Math" w:cstheme="majorBidi"/>
                <w:i/>
                <w:lang w:eastAsia="en-US"/>
              </w:rPr>
            </m:ctrlPr>
          </m:sSubPr>
          <m:e>
            <m:r>
              <w:rPr>
                <w:rFonts w:ascii="Cambria Math" w:hAnsi="Cambria Math" w:cstheme="majorBidi" w:hint="eastAsia"/>
              </w:rPr>
              <m:t>U</m:t>
            </m:r>
          </m:e>
          <m:sub>
            <m:r>
              <w:rPr>
                <w:rFonts w:ascii="Cambria Math" w:hAnsi="Cambria Math" w:cstheme="majorBidi" w:hint="eastAsia"/>
              </w:rPr>
              <m:t>0j</m:t>
            </m:r>
          </m:sub>
        </m:sSub>
      </m:oMath>
      <w:r w:rsidR="00E42BD7" w:rsidRPr="000E4805">
        <w:rPr>
          <w:rFonts w:asciiTheme="majorBidi" w:hAnsiTheme="majorBidi" w:cstheme="majorBidi"/>
        </w:rPr>
        <w:t xml:space="preserve">) </w:t>
      </w:r>
      <w:r w:rsidR="000A6EA9" w:rsidRPr="000E4805">
        <w:rPr>
          <w:rFonts w:asciiTheme="majorBidi" w:hAnsiTheme="majorBidi" w:cstheme="majorBidi"/>
        </w:rPr>
        <w:t>within</w:t>
      </w:r>
      <w:r w:rsidR="00E42BD7" w:rsidRPr="000E4805">
        <w:rPr>
          <w:rFonts w:asciiTheme="majorBidi" w:hAnsiTheme="majorBidi" w:cstheme="majorBidi"/>
        </w:rPr>
        <w:t xml:space="preserve"> 1SD from the mean are unshaded, to </w:t>
      </w:r>
      <w:r w:rsidR="00CA1CCA" w:rsidRPr="000E4805">
        <w:rPr>
          <w:rFonts w:asciiTheme="majorBidi" w:hAnsiTheme="majorBidi" w:cstheme="majorBidi"/>
        </w:rPr>
        <w:t>investigate</w:t>
      </w:r>
      <w:r w:rsidR="00E42BD7" w:rsidRPr="000E4805">
        <w:rPr>
          <w:rFonts w:asciiTheme="majorBidi" w:hAnsiTheme="majorBidi" w:cstheme="majorBidi"/>
        </w:rPr>
        <w:t xml:space="preserve"> the relationship between health and destination specific </w:t>
      </w:r>
      <w:r w:rsidR="000A6EA9" w:rsidRPr="000E4805">
        <w:rPr>
          <w:rFonts w:asciiTheme="majorBidi" w:hAnsiTheme="majorBidi" w:cstheme="majorBidi"/>
        </w:rPr>
        <w:t>probabilities</w:t>
      </w:r>
      <w:r w:rsidR="00E42BD7" w:rsidRPr="000E4805">
        <w:rPr>
          <w:rFonts w:asciiTheme="majorBidi" w:hAnsiTheme="majorBidi" w:cstheme="majorBidi"/>
        </w:rPr>
        <w:t xml:space="preserve"> in the more extreme </w:t>
      </w:r>
      <w:r w:rsidR="009D13BC">
        <w:rPr>
          <w:rFonts w:asciiTheme="majorBidi" w:hAnsiTheme="majorBidi" w:cstheme="majorBidi"/>
        </w:rPr>
        <w:t>ends of the distribution</w:t>
      </w:r>
      <w:r w:rsidR="00E42BD7" w:rsidRPr="000E4805">
        <w:rPr>
          <w:rFonts w:asciiTheme="majorBidi" w:hAnsiTheme="majorBidi" w:cstheme="majorBidi"/>
        </w:rPr>
        <w:t xml:space="preserve">. </w:t>
      </w:r>
    </w:p>
    <w:p w14:paraId="27421545" w14:textId="60CFE604" w:rsidR="00E42BD7" w:rsidRDefault="00737284" w:rsidP="00D000A1">
      <w:pPr>
        <w:spacing w:line="480" w:lineRule="auto"/>
        <w:rPr>
          <w:rFonts w:asciiTheme="majorBidi" w:hAnsiTheme="majorBidi" w:cstheme="majorBidi"/>
        </w:rPr>
      </w:pPr>
      <w:r w:rsidRPr="000E4805">
        <w:rPr>
          <w:rFonts w:asciiTheme="majorBidi" w:hAnsiTheme="majorBidi" w:cstheme="majorBidi"/>
        </w:rPr>
        <w:t xml:space="preserve">Figure 3a shows that </w:t>
      </w:r>
      <w:r w:rsidR="00CA1CCA" w:rsidRPr="000E4805">
        <w:rPr>
          <w:rFonts w:asciiTheme="majorBidi" w:hAnsiTheme="majorBidi" w:cstheme="majorBidi"/>
        </w:rPr>
        <w:t xml:space="preserve">there are a greater number of areas where those </w:t>
      </w:r>
      <w:r w:rsidR="00D000A1">
        <w:rPr>
          <w:rFonts w:asciiTheme="majorBidi" w:hAnsiTheme="majorBidi" w:cstheme="majorBidi"/>
        </w:rPr>
        <w:t>with an LLTI</w:t>
      </w:r>
      <w:r w:rsidR="00CA1CCA" w:rsidRPr="000E4805">
        <w:rPr>
          <w:rFonts w:asciiTheme="majorBidi" w:hAnsiTheme="majorBidi" w:cstheme="majorBidi"/>
        </w:rPr>
        <w:t xml:space="preserve"> have higher odds to </w:t>
      </w:r>
      <w:r w:rsidR="00870353" w:rsidRPr="000E4805">
        <w:rPr>
          <w:rFonts w:asciiTheme="majorBidi" w:hAnsiTheme="majorBidi" w:cstheme="majorBidi"/>
        </w:rPr>
        <w:t xml:space="preserve">have </w:t>
      </w:r>
      <w:r w:rsidR="00CA1CCA" w:rsidRPr="000E4805">
        <w:rPr>
          <w:rFonts w:asciiTheme="majorBidi" w:hAnsiTheme="majorBidi" w:cstheme="majorBidi"/>
        </w:rPr>
        <w:t>move</w:t>
      </w:r>
      <w:r w:rsidR="00870353" w:rsidRPr="000E4805">
        <w:rPr>
          <w:rFonts w:asciiTheme="majorBidi" w:hAnsiTheme="majorBidi" w:cstheme="majorBidi"/>
        </w:rPr>
        <w:t>d</w:t>
      </w:r>
      <w:r w:rsidR="00CA1CCA" w:rsidRPr="000E4805">
        <w:rPr>
          <w:rFonts w:asciiTheme="majorBidi" w:hAnsiTheme="majorBidi" w:cstheme="majorBidi"/>
        </w:rPr>
        <w:t xml:space="preserve"> long distance (55%)</w:t>
      </w:r>
      <w:r w:rsidRPr="000E4805">
        <w:rPr>
          <w:rFonts w:asciiTheme="majorBidi" w:hAnsiTheme="majorBidi" w:cstheme="majorBidi"/>
        </w:rPr>
        <w:t xml:space="preserve"> in the 10km model</w:t>
      </w:r>
      <w:r w:rsidR="00C01E18" w:rsidRPr="000E4805">
        <w:rPr>
          <w:rFonts w:asciiTheme="majorBidi" w:hAnsiTheme="majorBidi" w:cstheme="majorBidi"/>
        </w:rPr>
        <w:t>,</w:t>
      </w:r>
      <w:r w:rsidR="00CA1CCA" w:rsidRPr="000E4805">
        <w:rPr>
          <w:rFonts w:asciiTheme="majorBidi" w:hAnsiTheme="majorBidi" w:cstheme="majorBidi"/>
        </w:rPr>
        <w:t xml:space="preserve"> clustered in London, southern Wales and eastern England. Areas with higher odds for those </w:t>
      </w:r>
      <w:r w:rsidR="00D000A1">
        <w:rPr>
          <w:rFonts w:asciiTheme="majorBidi" w:hAnsiTheme="majorBidi" w:cstheme="majorBidi"/>
        </w:rPr>
        <w:t>without an LLTI</w:t>
      </w:r>
      <w:r w:rsidR="00CA1CCA" w:rsidRPr="000E4805">
        <w:rPr>
          <w:rFonts w:asciiTheme="majorBidi" w:hAnsiTheme="majorBidi" w:cstheme="majorBidi"/>
        </w:rPr>
        <w:t xml:space="preserve"> are clustered in the South of England, south east from London and north from London. </w:t>
      </w:r>
      <w:r w:rsidRPr="000E4805">
        <w:rPr>
          <w:rFonts w:asciiTheme="majorBidi" w:hAnsiTheme="majorBidi" w:cstheme="majorBidi"/>
        </w:rPr>
        <w:t>Figure 3b shows that there is a clearer spatial pattern in the 20km</w:t>
      </w:r>
      <w:r w:rsidR="00940AD6" w:rsidRPr="000E4805">
        <w:rPr>
          <w:rFonts w:asciiTheme="majorBidi" w:hAnsiTheme="majorBidi" w:cstheme="majorBidi"/>
        </w:rPr>
        <w:t xml:space="preserve"> model</w:t>
      </w:r>
      <w:r w:rsidRPr="000E4805">
        <w:rPr>
          <w:rFonts w:asciiTheme="majorBidi" w:hAnsiTheme="majorBidi" w:cstheme="majorBidi"/>
        </w:rPr>
        <w:t>.</w:t>
      </w:r>
      <w:r w:rsidR="00CA1CCA" w:rsidRPr="000E4805">
        <w:rPr>
          <w:rFonts w:asciiTheme="majorBidi" w:hAnsiTheme="majorBidi" w:cstheme="majorBidi"/>
        </w:rPr>
        <w:t xml:space="preserve"> </w:t>
      </w:r>
      <w:r w:rsidRPr="000E4805">
        <w:rPr>
          <w:rFonts w:asciiTheme="majorBidi" w:hAnsiTheme="majorBidi" w:cstheme="majorBidi"/>
        </w:rPr>
        <w:t>A</w:t>
      </w:r>
      <w:r w:rsidR="00CA1CCA" w:rsidRPr="000E4805">
        <w:rPr>
          <w:rFonts w:asciiTheme="majorBidi" w:hAnsiTheme="majorBidi" w:cstheme="majorBidi"/>
        </w:rPr>
        <w:t xml:space="preserve">reas where those </w:t>
      </w:r>
      <w:r w:rsidR="00D000A1">
        <w:rPr>
          <w:rFonts w:asciiTheme="majorBidi" w:hAnsiTheme="majorBidi" w:cstheme="majorBidi"/>
        </w:rPr>
        <w:t>with an LLTI</w:t>
      </w:r>
      <w:r w:rsidR="00CA1CCA" w:rsidRPr="000E4805">
        <w:rPr>
          <w:rFonts w:asciiTheme="majorBidi" w:hAnsiTheme="majorBidi" w:cstheme="majorBidi"/>
        </w:rPr>
        <w:t xml:space="preserve"> have higher odds are fewer in number (22%)</w:t>
      </w:r>
      <w:r w:rsidR="00684C19" w:rsidRPr="000E4805">
        <w:rPr>
          <w:rFonts w:asciiTheme="majorBidi" w:hAnsiTheme="majorBidi" w:cstheme="majorBidi"/>
        </w:rPr>
        <w:t xml:space="preserve">, and these are now clustered in London and south Wales, whilst areas with higher odds for </w:t>
      </w:r>
      <w:r w:rsidR="00D000A1">
        <w:rPr>
          <w:rFonts w:asciiTheme="majorBidi" w:hAnsiTheme="majorBidi" w:cstheme="majorBidi"/>
        </w:rPr>
        <w:t>those without an LLTI</w:t>
      </w:r>
      <w:r w:rsidR="00684C19" w:rsidRPr="000E4805">
        <w:rPr>
          <w:rFonts w:asciiTheme="majorBidi" w:hAnsiTheme="majorBidi" w:cstheme="majorBidi"/>
        </w:rPr>
        <w:t xml:space="preserve"> are spread across the South, North and East of England. </w:t>
      </w:r>
      <w:r w:rsidRPr="000E4805">
        <w:rPr>
          <w:rFonts w:asciiTheme="majorBidi" w:hAnsiTheme="majorBidi" w:cstheme="majorBidi"/>
        </w:rPr>
        <w:t>Figure 3</w:t>
      </w:r>
      <w:r w:rsidR="00940AD6" w:rsidRPr="000E4805">
        <w:rPr>
          <w:rFonts w:asciiTheme="majorBidi" w:hAnsiTheme="majorBidi" w:cstheme="majorBidi"/>
        </w:rPr>
        <w:t>c</w:t>
      </w:r>
      <w:r w:rsidRPr="000E4805">
        <w:rPr>
          <w:rFonts w:asciiTheme="majorBidi" w:hAnsiTheme="majorBidi" w:cstheme="majorBidi"/>
        </w:rPr>
        <w:t xml:space="preserve"> shows that i</w:t>
      </w:r>
      <w:r w:rsidR="00684C19" w:rsidRPr="000E4805">
        <w:rPr>
          <w:rFonts w:asciiTheme="majorBidi" w:hAnsiTheme="majorBidi" w:cstheme="majorBidi"/>
        </w:rPr>
        <w:t xml:space="preserve">n the 50km model there are only two areas (2%) where those </w:t>
      </w:r>
      <w:r w:rsidR="00D000A1">
        <w:rPr>
          <w:rFonts w:asciiTheme="majorBidi" w:hAnsiTheme="majorBidi" w:cstheme="majorBidi"/>
        </w:rPr>
        <w:t>with an LLTI</w:t>
      </w:r>
      <w:r w:rsidR="00684C19" w:rsidRPr="000E4805">
        <w:rPr>
          <w:rFonts w:asciiTheme="majorBidi" w:hAnsiTheme="majorBidi" w:cstheme="majorBidi"/>
        </w:rPr>
        <w:t xml:space="preserve"> have higher odds, Powys and Methyr Tydfil in south Wales</w:t>
      </w:r>
      <w:r w:rsidR="006F72B8" w:rsidRPr="000E4805">
        <w:rPr>
          <w:rFonts w:asciiTheme="majorBidi" w:hAnsiTheme="majorBidi" w:cstheme="majorBidi"/>
        </w:rPr>
        <w:t xml:space="preserve">. </w:t>
      </w:r>
    </w:p>
    <w:p w14:paraId="746DCCF8" w14:textId="0B391291" w:rsidR="009143F5" w:rsidRPr="000E4805" w:rsidRDefault="009143F5" w:rsidP="000E4805">
      <w:pPr>
        <w:spacing w:line="480" w:lineRule="auto"/>
        <w:jc w:val="center"/>
        <w:rPr>
          <w:rFonts w:asciiTheme="majorBidi" w:hAnsiTheme="majorBidi" w:cstheme="majorBidi"/>
          <w:b/>
          <w:bCs/>
          <w:u w:val="single"/>
        </w:rPr>
      </w:pPr>
      <w:r w:rsidRPr="000E4805">
        <w:rPr>
          <w:rFonts w:asciiTheme="majorBidi" w:hAnsiTheme="majorBidi" w:cstheme="majorBidi"/>
          <w:b/>
          <w:bCs/>
          <w:u w:val="single"/>
        </w:rPr>
        <w:t>Figure 3: Ratio of predicted odds to have moved long distance by model and LLTI</w:t>
      </w:r>
    </w:p>
    <w:p w14:paraId="671A7A27" w14:textId="31BA54C8" w:rsidR="00BE5D21" w:rsidRPr="000E4805" w:rsidRDefault="00241FB2" w:rsidP="001F1073">
      <w:pPr>
        <w:spacing w:line="480" w:lineRule="auto"/>
        <w:jc w:val="center"/>
        <w:rPr>
          <w:rFonts w:asciiTheme="majorBidi" w:hAnsiTheme="majorBidi" w:cstheme="majorBidi"/>
        </w:rPr>
      </w:pPr>
      <w:r w:rsidRPr="000E4805">
        <w:rPr>
          <w:rFonts w:asciiTheme="majorBidi" w:hAnsiTheme="majorBidi" w:cstheme="majorBidi"/>
        </w:rPr>
        <w:t>&lt;Figure 3a-c here&gt;</w:t>
      </w:r>
    </w:p>
    <w:p w14:paraId="08720DAF" w14:textId="6C7E595C" w:rsidR="00D54390" w:rsidRPr="000E4805" w:rsidRDefault="00970CE5" w:rsidP="001F1073">
      <w:pPr>
        <w:pStyle w:val="Heading1"/>
      </w:pPr>
      <w:r w:rsidRPr="000E4805">
        <w:rPr>
          <w:noProof/>
        </w:rPr>
        <w:t xml:space="preserve"> </w:t>
      </w:r>
      <w:r w:rsidR="00D54390" w:rsidRPr="000E4805">
        <w:t>Discussion</w:t>
      </w:r>
    </w:p>
    <w:p w14:paraId="057EACF5" w14:textId="0CA6333E" w:rsidR="00DE3538" w:rsidRPr="000E4805" w:rsidRDefault="00DE3538" w:rsidP="00607727">
      <w:pPr>
        <w:spacing w:line="480" w:lineRule="auto"/>
        <w:rPr>
          <w:rFonts w:asciiTheme="majorBidi" w:hAnsiTheme="majorBidi" w:cstheme="majorBidi"/>
        </w:rPr>
      </w:pPr>
      <w:r w:rsidRPr="000E4805">
        <w:rPr>
          <w:rFonts w:asciiTheme="majorBidi" w:hAnsiTheme="majorBidi" w:cstheme="majorBidi"/>
        </w:rPr>
        <w:t xml:space="preserve">The work here must be placed in context of its shortfalls. Our measure of health (LLTI) is a self-reported measure, </w:t>
      </w:r>
      <w:r w:rsidR="00940AD6" w:rsidRPr="000E4805">
        <w:rPr>
          <w:rFonts w:asciiTheme="majorBidi" w:hAnsiTheme="majorBidi" w:cstheme="majorBidi"/>
        </w:rPr>
        <w:t xml:space="preserve">whilst </w:t>
      </w:r>
      <w:r w:rsidRPr="000E4805">
        <w:rPr>
          <w:rFonts w:asciiTheme="majorBidi" w:hAnsiTheme="majorBidi" w:cstheme="majorBidi"/>
        </w:rPr>
        <w:t xml:space="preserve">the healthy migrant theory is mainly drawn from research on mortality </w:t>
      </w:r>
      <w:r w:rsidRPr="000E4805">
        <w:rPr>
          <w:rFonts w:asciiTheme="majorBidi" w:hAnsiTheme="majorBidi" w:cstheme="majorBidi"/>
        </w:rPr>
        <w:fldChar w:fldCharType="begin" w:fldLock="1"/>
      </w:r>
      <w:r w:rsidR="00607727">
        <w:rPr>
          <w:rFonts w:asciiTheme="majorBidi" w:hAnsiTheme="majorBidi" w:cstheme="majorBidi"/>
        </w:rPr>
        <w:instrText>ADDIN CSL_CITATION { "citationItems" : [ { "id" : "ITEM-1", "itemData" : { "DOI" : "10.2105/ajph.89.10.1543", "abstract" : "OBJECTIVES: Relative to non-Latino Whites, Latinos have a worse socioeconomic profile but a lower mortality rate, a finding that presents an epidemiologic paradox. This study tested the salmon bias hypothesis that Latinos engage in return migration to their country of origin and are thereby rendered \"statistically immortal\" and the alternative hypothesis that selection of healthier migrants to the United States accounts for the paradox. METHODS: National Longitudinal Mortality Study data were used to examine mortality rates of the following groups for whom the salmon hypothesis is not feasible: Cubans, who face barriers against return migration; Puerto Ricans, whose deaths in Puerto Rico are recorded in US national statistics; and US-born individuals, who are not subject to either salmon or healthy migrant effects. RESULTS: The sample included 301,718 non-Latino Whites and 17,375 Latino Whites 25 years or older. Cubans and Puerto Ricans had lower mortality than non-Latino Whites. Moreover, US-born Latinos had lower mortality than US-born non-Latino Whites. CONCLUSIONS: Neither the salmon nor the healthy migrant hypothesis explains the pattern of findings. Other factors must be operating to produce the lower mortality.", "author" : [ { "dropping-particle" : "", "family" : "Abra\u00eddo-Lanza", "given" : "A F", "non-dropping-particle" : "", "parse-names" : false, "suffix" : "" }, { "dropping-particle" : "", "family" : "Dohrenwend", "given" : "B P", "non-dropping-particle" : "", "parse-names" : false, "suffix" : "" }, { "dropping-particle" : "", "family" : "Ng-Mak", "given" : "D S", "non-dropping-particle" : "", "parse-names" : false, "suffix" : "" }, { "dropping-particle" : "", "family" : "Turner", "given" : "J B", "non-dropping-particle" : "", "parse-names" : false, "suffix" : "" } ], "container-title" : "American Journal of Public Health", "id" : "ITEM-1", "issue" : "10", "issued" : { "date-parts" : [ [ "1999", "10" ] ] }, "note" : "US study which tests the healthy migrant hypothesis by looking at measures of health for migrants to the US.", "page" : "1543-1548", "title" : "The Latino mortality paradox: a test of the \"salmon bias\" and healthy migrant hypotheses.", "type" : "article-journal", "volume" : "89" }, "uris" : [ "http://www.mendeley.com/documents/?uuid=73344540-2e8f-4bd3-86c6-f7e57154f57a" ] } ], "mendeley" : { "formattedCitation" : "(Abra\u00eddo-Lanza &lt;i&gt;et al.&lt;/i&gt;, 1999)", "plainTextFormattedCitation" : "(Abra\u00eddo-Lanza et al., 1999)", "previouslyFormattedCitation" : "(Abra\u00eddo-Lanza &lt;i&gt;et al.&lt;/i&gt;, 1999)" }, "properties" : { "noteIndex" : 0 }, "schema" : "https://github.com/citation-style-language/schema/raw/master/csl-citation.json" }</w:instrText>
      </w:r>
      <w:r w:rsidRPr="000E4805">
        <w:rPr>
          <w:rFonts w:asciiTheme="majorBidi" w:hAnsiTheme="majorBidi" w:cstheme="majorBidi"/>
        </w:rPr>
        <w:fldChar w:fldCharType="separate"/>
      </w:r>
      <w:r w:rsidR="00607727" w:rsidRPr="00607727">
        <w:rPr>
          <w:rFonts w:asciiTheme="majorBidi" w:hAnsiTheme="majorBidi" w:cstheme="majorBidi"/>
          <w:noProof/>
        </w:rPr>
        <w:t xml:space="preserve">(Abraído-Lanza </w:t>
      </w:r>
      <w:r w:rsidR="00607727" w:rsidRPr="00607727">
        <w:rPr>
          <w:rFonts w:asciiTheme="majorBidi" w:hAnsiTheme="majorBidi" w:cstheme="majorBidi"/>
          <w:i/>
          <w:noProof/>
        </w:rPr>
        <w:t>et al.</w:t>
      </w:r>
      <w:r w:rsidR="00607727" w:rsidRPr="00607727">
        <w:rPr>
          <w:rFonts w:asciiTheme="majorBidi" w:hAnsiTheme="majorBidi" w:cstheme="majorBidi"/>
          <w:noProof/>
        </w:rPr>
        <w:t>, 1999)</w:t>
      </w:r>
      <w:r w:rsidRPr="000E4805">
        <w:rPr>
          <w:rFonts w:asciiTheme="majorBidi" w:hAnsiTheme="majorBidi" w:cstheme="majorBidi"/>
        </w:rPr>
        <w:fldChar w:fldCharType="end"/>
      </w:r>
      <w:r w:rsidR="00FC68F5" w:rsidRPr="000E4805">
        <w:rPr>
          <w:rFonts w:asciiTheme="majorBidi" w:hAnsiTheme="majorBidi" w:cstheme="majorBidi"/>
        </w:rPr>
        <w:t>, which find</w:t>
      </w:r>
      <w:r w:rsidR="00FF6320" w:rsidRPr="000E4805">
        <w:rPr>
          <w:rFonts w:asciiTheme="majorBidi" w:hAnsiTheme="majorBidi" w:cstheme="majorBidi"/>
        </w:rPr>
        <w:t xml:space="preserve"> that individuals who move have lower future mortality rates than those who do not move</w:t>
      </w:r>
      <w:r w:rsidRPr="000E4805">
        <w:rPr>
          <w:rFonts w:asciiTheme="majorBidi" w:hAnsiTheme="majorBidi" w:cstheme="majorBidi"/>
        </w:rPr>
        <w:t>. It is plausible that conditions which are conducive to mortality in working age adults are barriers to long distance migration, whilst our measure does not have enough specificity to distinguish forms of poor health</w:t>
      </w:r>
      <w:r w:rsidR="00870353" w:rsidRPr="000E4805">
        <w:rPr>
          <w:rFonts w:asciiTheme="majorBidi" w:hAnsiTheme="majorBidi" w:cstheme="majorBidi"/>
        </w:rPr>
        <w:t xml:space="preserve"> which drive long distance moves</w:t>
      </w:r>
      <w:r w:rsidRPr="000E4805">
        <w:rPr>
          <w:rFonts w:asciiTheme="majorBidi" w:hAnsiTheme="majorBidi" w:cstheme="majorBidi"/>
        </w:rPr>
        <w:t xml:space="preserve">. The focus on working age adults is in contrast with the fact that rates of LLTI are much higher at post-retirement ages, the relationships between health and long distance migration may differ in this older age group. Additional cut-off points are found in the wider migration literature, but are beyond the scope of the present paper. The issue of scale in the health and </w:t>
      </w:r>
      <w:r w:rsidRPr="000E4805">
        <w:rPr>
          <w:rFonts w:asciiTheme="majorBidi" w:hAnsiTheme="majorBidi" w:cstheme="majorBidi"/>
        </w:rPr>
        <w:lastRenderedPageBreak/>
        <w:t>long distance migration relationship may be unique to the data source used here, or to England and Wales, thus further work is needed from other countries to assess the robustness of the association.</w:t>
      </w:r>
    </w:p>
    <w:p w14:paraId="787F8826" w14:textId="1DBF35F8" w:rsidR="00412F75" w:rsidRPr="000E4805" w:rsidRDefault="006F72B8" w:rsidP="00607727">
      <w:pPr>
        <w:spacing w:line="480" w:lineRule="auto"/>
        <w:rPr>
          <w:rFonts w:asciiTheme="majorBidi" w:hAnsiTheme="majorBidi" w:cstheme="majorBidi"/>
        </w:rPr>
      </w:pPr>
      <w:r w:rsidRPr="000E4805">
        <w:rPr>
          <w:rFonts w:asciiTheme="majorBidi" w:hAnsiTheme="majorBidi" w:cstheme="majorBidi"/>
        </w:rPr>
        <w:t>Our first aim in this analysis is to test whether there is an association between health and long distance migration across</w:t>
      </w:r>
      <w:r w:rsidR="00864812" w:rsidRPr="000E4805">
        <w:rPr>
          <w:rFonts w:asciiTheme="majorBidi" w:hAnsiTheme="majorBidi" w:cstheme="majorBidi"/>
        </w:rPr>
        <w:t xml:space="preserve"> a range of</w:t>
      </w:r>
      <w:r w:rsidRPr="000E4805">
        <w:rPr>
          <w:rFonts w:asciiTheme="majorBidi" w:hAnsiTheme="majorBidi" w:cstheme="majorBidi"/>
        </w:rPr>
        <w:t xml:space="preserve"> definitions of </w:t>
      </w:r>
      <w:r w:rsidR="00864812" w:rsidRPr="000E4805">
        <w:rPr>
          <w:rFonts w:asciiTheme="majorBidi" w:hAnsiTheme="majorBidi" w:cstheme="majorBidi"/>
        </w:rPr>
        <w:t>‘</w:t>
      </w:r>
      <w:r w:rsidRPr="000E4805">
        <w:rPr>
          <w:rFonts w:asciiTheme="majorBidi" w:hAnsiTheme="majorBidi" w:cstheme="majorBidi"/>
        </w:rPr>
        <w:t>long distance</w:t>
      </w:r>
      <w:r w:rsidR="00864812" w:rsidRPr="000E4805">
        <w:rPr>
          <w:rFonts w:asciiTheme="majorBidi" w:hAnsiTheme="majorBidi" w:cstheme="majorBidi"/>
        </w:rPr>
        <w:t>’</w:t>
      </w:r>
      <w:r w:rsidRPr="000E4805">
        <w:rPr>
          <w:rFonts w:asciiTheme="majorBidi" w:hAnsiTheme="majorBidi" w:cstheme="majorBidi"/>
        </w:rPr>
        <w:t xml:space="preserve">. Adjusting for mediators and taking into account the uncertainty present in the models, we find </w:t>
      </w:r>
      <w:r w:rsidR="00864812" w:rsidRPr="000E4805">
        <w:rPr>
          <w:rFonts w:asciiTheme="majorBidi" w:hAnsiTheme="majorBidi" w:cstheme="majorBidi"/>
        </w:rPr>
        <w:t xml:space="preserve">evidence of </w:t>
      </w:r>
      <w:r w:rsidRPr="000E4805">
        <w:rPr>
          <w:rFonts w:asciiTheme="majorBidi" w:hAnsiTheme="majorBidi" w:cstheme="majorBidi"/>
        </w:rPr>
        <w:t xml:space="preserve">health </w:t>
      </w:r>
      <w:r w:rsidR="00864812" w:rsidRPr="000E4805">
        <w:rPr>
          <w:rFonts w:asciiTheme="majorBidi" w:hAnsiTheme="majorBidi" w:cstheme="majorBidi"/>
        </w:rPr>
        <w:t>selection</w:t>
      </w:r>
      <w:r w:rsidRPr="000E4805">
        <w:rPr>
          <w:rFonts w:asciiTheme="majorBidi" w:hAnsiTheme="majorBidi" w:cstheme="majorBidi"/>
        </w:rPr>
        <w:t xml:space="preserve"> on the propensity to </w:t>
      </w:r>
      <w:r w:rsidR="00831FA9" w:rsidRPr="000E4805">
        <w:rPr>
          <w:rFonts w:asciiTheme="majorBidi" w:hAnsiTheme="majorBidi" w:cstheme="majorBidi"/>
        </w:rPr>
        <w:t xml:space="preserve">have </w:t>
      </w:r>
      <w:r w:rsidRPr="000E4805">
        <w:rPr>
          <w:rFonts w:asciiTheme="majorBidi" w:hAnsiTheme="majorBidi" w:cstheme="majorBidi"/>
        </w:rPr>
        <w:t>move</w:t>
      </w:r>
      <w:r w:rsidR="00831FA9" w:rsidRPr="000E4805">
        <w:rPr>
          <w:rFonts w:asciiTheme="majorBidi" w:hAnsiTheme="majorBidi" w:cstheme="majorBidi"/>
        </w:rPr>
        <w:t>d</w:t>
      </w:r>
      <w:r w:rsidRPr="000E4805">
        <w:rPr>
          <w:rFonts w:asciiTheme="majorBidi" w:hAnsiTheme="majorBidi" w:cstheme="majorBidi"/>
        </w:rPr>
        <w:t xml:space="preserve"> long distance </w:t>
      </w:r>
      <w:r w:rsidR="00864812" w:rsidRPr="000E4805">
        <w:rPr>
          <w:rFonts w:asciiTheme="majorBidi" w:hAnsiTheme="majorBidi" w:cstheme="majorBidi"/>
        </w:rPr>
        <w:t xml:space="preserve">only </w:t>
      </w:r>
      <w:r w:rsidRPr="000E4805">
        <w:rPr>
          <w:rFonts w:asciiTheme="majorBidi" w:hAnsiTheme="majorBidi" w:cstheme="majorBidi"/>
        </w:rPr>
        <w:t xml:space="preserve">when </w:t>
      </w:r>
      <w:r w:rsidR="00864812" w:rsidRPr="000E4805">
        <w:rPr>
          <w:rFonts w:asciiTheme="majorBidi" w:hAnsiTheme="majorBidi" w:cstheme="majorBidi"/>
        </w:rPr>
        <w:t>the definition of 50km or more is used</w:t>
      </w:r>
      <w:r w:rsidRPr="000E4805">
        <w:rPr>
          <w:rFonts w:asciiTheme="majorBidi" w:hAnsiTheme="majorBidi" w:cstheme="majorBidi"/>
        </w:rPr>
        <w:t xml:space="preserve">. </w:t>
      </w:r>
      <w:r w:rsidR="00BC63FD" w:rsidRPr="000E4805">
        <w:rPr>
          <w:rFonts w:asciiTheme="majorBidi" w:hAnsiTheme="majorBidi" w:cstheme="majorBidi"/>
        </w:rPr>
        <w:t xml:space="preserve">This finding contradicts research from Scotland </w:t>
      </w:r>
      <w:r w:rsidR="00BC63FD" w:rsidRPr="000E4805">
        <w:rPr>
          <w:rFonts w:asciiTheme="majorBidi" w:hAnsiTheme="majorBidi" w:cstheme="majorBidi"/>
        </w:rPr>
        <w:fldChar w:fldCharType="begin" w:fldLock="1"/>
      </w:r>
      <w:r w:rsidR="00607727">
        <w:rPr>
          <w:rFonts w:asciiTheme="majorBidi" w:hAnsiTheme="majorBidi" w:cstheme="majorBidi"/>
        </w:rPr>
        <w:instrText>ADDIN CSL_CITATION { "citationItems" : [ { "id" : "ITEM-1", "itemData" : { "DOI" : "10.1016/S0277-9536(01)00217-9", "ISSN" : "02779536", "abstract" : "Few epidemiological studies of the links between health and environmental variables account for the potentially confounding effects of population migration. Here we explore the relationship between self-reported limiting long-term illness and material deprivation, using individual-level 1991 census data extracted for Scotland. The aim is to investigate whether the migration patterns of ill individuals influences the relationship between limiting long-term illness and material deprivation. Specifically, we seek to determine whether individuals who are well are more likely to migrate away from deprived areas and whether ill individuals are more likely to migrate towards deprived areas. If true, this would suggest that the apparent relationship between deprivation and limiting long-term illness is exaggerated by the effects of migration. We then examine the issue controlling for individual-level characteristics expected to influence limiting long-term illness and pay special attention to the role of public housing in these relationships.", "author" : [ { "dropping-particle" : "", "family" : "Boyle", "given" : "Paul", "non-dropping-particle" : "", "parse-names" : false, "suffix" : "" }, { "dropping-particle" : "", "family" : "Norman", "given" : "Paul", "non-dropping-particle" : "", "parse-names" : false, "suffix" : "" }, { "dropping-particle" : "", "family" : "Rees", "given" : "Philip", "non-dropping-particle" : "", "parse-names" : false, "suffix" : "" } ], "container-title" : "Social Science &amp; Medicine", "id" : "ITEM-1", "issue" : "1", "issued" : { "date-parts" : [ [ "2002", "7" ] ] }, "note" : "Looks at the breeders vs drifters hypothesis for long-term illness in Scotland using 1991 census data.", "page" : "21-31", "title" : "Does migration exaggerate the relationship between deprivation and limiting long-term illness? A Scottish analysis", "type" : "article-journal", "volume" : "55" }, "uris" : [ "http://www.mendeley.com/documents/?uuid=700e0ae8-5647-4979-b309-28b79e891893" ] } ], "mendeley" : { "formattedCitation" : "(Boyle &lt;i&gt;et al.&lt;/i&gt;, 2002)", "plainTextFormattedCitation" : "(Boyle et al., 2002)", "previouslyFormattedCitation" : "(Boyle &lt;i&gt;et al.&lt;/i&gt;, 2002)" }, "properties" : { "noteIndex" : 0 }, "schema" : "https://github.com/citation-style-language/schema/raw/master/csl-citation.json" }</w:instrText>
      </w:r>
      <w:r w:rsidR="00BC63FD" w:rsidRPr="000E4805">
        <w:rPr>
          <w:rFonts w:asciiTheme="majorBidi" w:hAnsiTheme="majorBidi" w:cstheme="majorBidi"/>
        </w:rPr>
        <w:fldChar w:fldCharType="separate"/>
      </w:r>
      <w:r w:rsidR="00607727" w:rsidRPr="00607727">
        <w:rPr>
          <w:rFonts w:asciiTheme="majorBidi" w:hAnsiTheme="majorBidi" w:cstheme="majorBidi"/>
          <w:noProof/>
        </w:rPr>
        <w:t xml:space="preserve">(Boyle </w:t>
      </w:r>
      <w:r w:rsidR="00607727" w:rsidRPr="00607727">
        <w:rPr>
          <w:rFonts w:asciiTheme="majorBidi" w:hAnsiTheme="majorBidi" w:cstheme="majorBidi"/>
          <w:i/>
          <w:noProof/>
        </w:rPr>
        <w:t>et al.</w:t>
      </w:r>
      <w:r w:rsidR="00607727" w:rsidRPr="00607727">
        <w:rPr>
          <w:rFonts w:asciiTheme="majorBidi" w:hAnsiTheme="majorBidi" w:cstheme="majorBidi"/>
          <w:noProof/>
        </w:rPr>
        <w:t>, 2002)</w:t>
      </w:r>
      <w:r w:rsidR="00BC63FD" w:rsidRPr="000E4805">
        <w:rPr>
          <w:rFonts w:asciiTheme="majorBidi" w:hAnsiTheme="majorBidi" w:cstheme="majorBidi"/>
        </w:rPr>
        <w:fldChar w:fldCharType="end"/>
      </w:r>
      <w:r w:rsidR="00BC63FD" w:rsidRPr="000E4805">
        <w:rPr>
          <w:rFonts w:asciiTheme="majorBidi" w:hAnsiTheme="majorBidi" w:cstheme="majorBidi"/>
        </w:rPr>
        <w:t xml:space="preserve"> and Great Britain </w:t>
      </w:r>
      <w:r w:rsidR="00BC63FD" w:rsidRPr="000E4805">
        <w:rPr>
          <w:rFonts w:asciiTheme="majorBidi" w:hAnsiTheme="majorBidi" w:cstheme="majorBidi"/>
        </w:rPr>
        <w:fldChar w:fldCharType="begin" w:fldLock="1"/>
      </w:r>
      <w:r w:rsidR="00607727">
        <w:rPr>
          <w:rFonts w:asciiTheme="majorBidi" w:hAnsiTheme="majorBidi" w:cstheme="majorBidi"/>
        </w:rPr>
        <w:instrText>ADDIN CSL_CITATION { "citationItems" : [ { "id" : "ITEM-1", "itemData" : { "DOI" : "10.1016/0277-9536(88)90044-5", "author" : [ { "dropping-particle" : "", "family" : "Bentham", "given" : "Graham", "non-dropping-particle" : "", "parse-names" : false, "suffix" : "" } ], "container-title" : "Social science &amp; medicine", "id" : "ITEM-1", "issue" : "1", "issued" : { "date-parts" : [ [ "1988" ] ] }, "note" : "Discusses self-reported morvidity from the 1981 census. Found that young migrants moving long distances were relatively healthy - in areas with high out-migraiton we would therefore expect the young to be unhealthy and the opposite in areas with high in-migration. Amongst older people migration is negative-health selective moving shorter distance to be closer to medical care. So relatively benefiical environments with good health services might be disproportionately occupied by the sick.", "page" : "49-54", "title" : "Migration and morbidity: implications for geographical studies of disease", "type" : "article-journal", "volume" : "26" }, "uris" : [ "http://www.mendeley.com/documents/?uuid=f57c4cb0-1ae6-4cc4-b923-7f60ab98f42b" ] } ], "mendeley" : { "formattedCitation" : "(Bentham, 1988)", "plainTextFormattedCitation" : "(Bentham, 1988)", "previouslyFormattedCitation" : "(Bentham, 1988)" }, "properties" : { "noteIndex" : 0 }, "schema" : "https://github.com/citation-style-language/schema/raw/master/csl-citation.json" }</w:instrText>
      </w:r>
      <w:r w:rsidR="00BC63FD" w:rsidRPr="000E4805">
        <w:rPr>
          <w:rFonts w:asciiTheme="majorBidi" w:hAnsiTheme="majorBidi" w:cstheme="majorBidi"/>
        </w:rPr>
        <w:fldChar w:fldCharType="separate"/>
      </w:r>
      <w:r w:rsidR="00BC63FD" w:rsidRPr="000E4805">
        <w:rPr>
          <w:rFonts w:asciiTheme="majorBidi" w:hAnsiTheme="majorBidi" w:cstheme="majorBidi"/>
          <w:noProof/>
        </w:rPr>
        <w:t>(Bentham, 1988)</w:t>
      </w:r>
      <w:r w:rsidR="00BC63FD" w:rsidRPr="000E4805">
        <w:rPr>
          <w:rFonts w:asciiTheme="majorBidi" w:hAnsiTheme="majorBidi" w:cstheme="majorBidi"/>
        </w:rPr>
        <w:fldChar w:fldCharType="end"/>
      </w:r>
      <w:r w:rsidR="00BC63FD" w:rsidRPr="000E4805">
        <w:rPr>
          <w:rFonts w:asciiTheme="majorBidi" w:hAnsiTheme="majorBidi" w:cstheme="majorBidi"/>
        </w:rPr>
        <w:t xml:space="preserve"> which find evidence of health selection at the 10km and inter-district </w:t>
      </w:r>
      <w:r w:rsidR="00596479" w:rsidRPr="000E4805">
        <w:rPr>
          <w:rFonts w:asciiTheme="majorBidi" w:hAnsiTheme="majorBidi" w:cstheme="majorBidi"/>
        </w:rPr>
        <w:t>cut-offs</w:t>
      </w:r>
      <w:r w:rsidR="00BC63FD" w:rsidRPr="000E4805">
        <w:rPr>
          <w:rFonts w:asciiTheme="majorBidi" w:hAnsiTheme="majorBidi" w:cstheme="majorBidi"/>
        </w:rPr>
        <w:t xml:space="preserve"> respectively, but confirms research on England and Wales using 1991 data </w:t>
      </w:r>
      <w:r w:rsidR="00BC63FD" w:rsidRPr="000E4805">
        <w:rPr>
          <w:rFonts w:asciiTheme="majorBidi" w:hAnsiTheme="majorBidi" w:cstheme="majorBidi"/>
        </w:rPr>
        <w:fldChar w:fldCharType="begin" w:fldLock="1"/>
      </w:r>
      <w:r w:rsidR="00607727">
        <w:rPr>
          <w:rFonts w:asciiTheme="majorBidi" w:hAnsiTheme="majorBidi" w:cstheme="majorBidi"/>
        </w:rPr>
        <w:instrText>ADDIN CSL_CITATION { "citationItems" : [ { "id" : "ITEM-1", "itemData" : { "DOI" : "10.1016/S0277-9536(00)00373-7", "abstract" : "A previous study showed that variations in deprivation within small localities in England and Wales influenced the rates of self-reported limiting long-term illness, controlling for overall levels of deprivation. These results suggest that while morbidity is related to overall levels of material deprivation, the distribution of resources within small areas have a significant effect on health outcomes. However, it is possible that these area effects become redundant once individual-level characteristics are accounted for. This analysis examines whether area-level deprivation and variations in deprivation are significant indicators of individual-level limiting long-term illness, once individual characteristics have been accounted for.", "author" : [ { "dropping-particle" : "", "family" : "Boyle", "given" : "Paul", "non-dropping-particle" : "", "parse-names" : false, "suffix" : "" }, { "dropping-particle" : "", "family" : "Gatrell", "given" : "Anthony C", "non-dropping-particle" : "", "parse-names" : false, "suffix" : "" }, { "dropping-particle" : "", "family" : "Duke-Williams", "given" : "Oliver", "non-dropping-particle" : "", "parse-names" : false, "suffix" : "" } ], "container-title" : "Social Science &amp; Medicine", "id" : "ITEM-1", "issue" : "6", "issued" : { "date-parts" : [ [ "2001", "9" ] ] }, "note" : "Used the 1991 SARs household file to look at geographic variation in LTLI. Found evidence of individual and micro-level effects on the likelihood of LTLI. For individuals being older, male, white or blue collar, Indian, non-mover, divorced or widowed, no higher level qualifications, in the coal industry, non-owner, non-unemployed, under-crowding and no car ownership were related to higher chances of reporting LTLI. At the area level living in a deprived area increased the chances of reporting LTLI whilst there was still signfiicant within area deprivation showing that inequality withinareas is also a predictor of LTLI whilst higher proportions of in-migrants were associated with lower reporting of LTLI.", "page" : "795-799", "title" : "Do area-level population change, deprivation and variations in deprivation affect individual-level self-reported limiting long-term illness?", "type" : "article-journal", "volume" : "53" }, "uris" : [ "http://www.mendeley.com/documents/?uuid=2e655839-ea03-40f8-b2b3-154902b52f04" ] } ], "mendeley" : { "formattedCitation" : "(Boyle &lt;i&gt;et al.&lt;/i&gt;, 2001)", "plainTextFormattedCitation" : "(Boyle et al., 2001)", "previouslyFormattedCitation" : "(Boyle &lt;i&gt;et al.&lt;/i&gt;, 2001)" }, "properties" : { "noteIndex" : 0 }, "schema" : "https://github.com/citation-style-language/schema/raw/master/csl-citation.json" }</w:instrText>
      </w:r>
      <w:r w:rsidR="00BC63FD" w:rsidRPr="000E4805">
        <w:rPr>
          <w:rFonts w:asciiTheme="majorBidi" w:hAnsiTheme="majorBidi" w:cstheme="majorBidi"/>
        </w:rPr>
        <w:fldChar w:fldCharType="separate"/>
      </w:r>
      <w:r w:rsidR="00607727" w:rsidRPr="00607727">
        <w:rPr>
          <w:rFonts w:asciiTheme="majorBidi" w:hAnsiTheme="majorBidi" w:cstheme="majorBidi"/>
          <w:noProof/>
        </w:rPr>
        <w:t xml:space="preserve">(Boyle </w:t>
      </w:r>
      <w:r w:rsidR="00607727" w:rsidRPr="00607727">
        <w:rPr>
          <w:rFonts w:asciiTheme="majorBidi" w:hAnsiTheme="majorBidi" w:cstheme="majorBidi"/>
          <w:i/>
          <w:noProof/>
        </w:rPr>
        <w:t>et al.</w:t>
      </w:r>
      <w:r w:rsidR="00607727" w:rsidRPr="00607727">
        <w:rPr>
          <w:rFonts w:asciiTheme="majorBidi" w:hAnsiTheme="majorBidi" w:cstheme="majorBidi"/>
          <w:noProof/>
        </w:rPr>
        <w:t>, 2001)</w:t>
      </w:r>
      <w:r w:rsidR="00BC63FD" w:rsidRPr="000E4805">
        <w:rPr>
          <w:rFonts w:asciiTheme="majorBidi" w:hAnsiTheme="majorBidi" w:cstheme="majorBidi"/>
        </w:rPr>
        <w:fldChar w:fldCharType="end"/>
      </w:r>
      <w:r w:rsidR="00BC63FD" w:rsidRPr="000E4805">
        <w:rPr>
          <w:rFonts w:asciiTheme="majorBidi" w:hAnsiTheme="majorBidi" w:cstheme="majorBidi"/>
        </w:rPr>
        <w:t xml:space="preserve">. </w:t>
      </w:r>
      <w:r w:rsidR="00412F75" w:rsidRPr="000E4805">
        <w:rPr>
          <w:rFonts w:asciiTheme="majorBidi" w:hAnsiTheme="majorBidi" w:cstheme="majorBidi"/>
        </w:rPr>
        <w:t>We conclude that for migration within England and Wales, the healthy migrant effect occurs</w:t>
      </w:r>
      <w:r w:rsidR="00CD6D50" w:rsidRPr="000E4805">
        <w:rPr>
          <w:rFonts w:asciiTheme="majorBidi" w:hAnsiTheme="majorBidi" w:cstheme="majorBidi"/>
        </w:rPr>
        <w:t xml:space="preserve"> above a cut-off</w:t>
      </w:r>
      <w:r w:rsidR="00412F75" w:rsidRPr="000E4805">
        <w:rPr>
          <w:rFonts w:asciiTheme="majorBidi" w:hAnsiTheme="majorBidi" w:cstheme="majorBidi"/>
        </w:rPr>
        <w:t xml:space="preserve"> somewhere between the 20 and 50km </w:t>
      </w:r>
      <w:r w:rsidR="00596479" w:rsidRPr="000E4805">
        <w:rPr>
          <w:rFonts w:asciiTheme="majorBidi" w:hAnsiTheme="majorBidi" w:cstheme="majorBidi"/>
        </w:rPr>
        <w:t>cut-offs</w:t>
      </w:r>
      <w:r w:rsidR="00412F75" w:rsidRPr="000E4805">
        <w:rPr>
          <w:rFonts w:asciiTheme="majorBidi" w:hAnsiTheme="majorBidi" w:cstheme="majorBidi"/>
        </w:rPr>
        <w:t xml:space="preserve">. </w:t>
      </w:r>
    </w:p>
    <w:p w14:paraId="6AEB0EC9" w14:textId="50D21793" w:rsidR="006F72B8" w:rsidRPr="00EE5EFD" w:rsidRDefault="00BC63FD" w:rsidP="00FC68F5">
      <w:pPr>
        <w:spacing w:line="480" w:lineRule="auto"/>
        <w:rPr>
          <w:rFonts w:asciiTheme="majorBidi" w:hAnsiTheme="majorBidi" w:cstheme="majorBidi"/>
        </w:rPr>
      </w:pPr>
      <w:r w:rsidRPr="000E4805">
        <w:rPr>
          <w:rFonts w:asciiTheme="majorBidi" w:hAnsiTheme="majorBidi" w:cstheme="majorBidi"/>
        </w:rPr>
        <w:t xml:space="preserve">There are several plausible explanations for </w:t>
      </w:r>
      <w:r w:rsidR="00412F75" w:rsidRPr="000E4805">
        <w:rPr>
          <w:rFonts w:asciiTheme="majorBidi" w:hAnsiTheme="majorBidi" w:cstheme="majorBidi"/>
        </w:rPr>
        <w:t xml:space="preserve">the lack of healthy migrant </w:t>
      </w:r>
      <w:r w:rsidR="00596479" w:rsidRPr="000E4805">
        <w:rPr>
          <w:rFonts w:asciiTheme="majorBidi" w:hAnsiTheme="majorBidi" w:cstheme="majorBidi"/>
        </w:rPr>
        <w:t>effect at the 10 and 20km cut-offs</w:t>
      </w:r>
      <w:r w:rsidRPr="000E4805">
        <w:rPr>
          <w:rFonts w:asciiTheme="majorBidi" w:hAnsiTheme="majorBidi" w:cstheme="majorBidi"/>
        </w:rPr>
        <w:t>. First, covariates in our model which are not present in previous research (nativity and whether the individual moved as part of a wholly moving household) may explain the heterogeneity in migration behaviour of those in good and poor health</w:t>
      </w:r>
      <w:r w:rsidR="00412F75" w:rsidRPr="000E4805">
        <w:rPr>
          <w:rFonts w:asciiTheme="majorBidi" w:hAnsiTheme="majorBidi" w:cstheme="majorBidi"/>
        </w:rPr>
        <w:t xml:space="preserve">. Second, the healthy migrant effect may not be present at the 10 and 20km </w:t>
      </w:r>
      <w:r w:rsidR="00596479" w:rsidRPr="000E4805">
        <w:rPr>
          <w:rFonts w:asciiTheme="majorBidi" w:hAnsiTheme="majorBidi" w:cstheme="majorBidi"/>
        </w:rPr>
        <w:t>cut-offs</w:t>
      </w:r>
      <w:r w:rsidR="00412F75" w:rsidRPr="000E4805">
        <w:rPr>
          <w:rFonts w:asciiTheme="majorBidi" w:hAnsiTheme="majorBidi" w:cstheme="majorBidi"/>
        </w:rPr>
        <w:t xml:space="preserve"> specifically in England and Wales, with studies showing contrary results being drawn from Great Britain and Scotland data. </w:t>
      </w:r>
      <w:r w:rsidR="00785196" w:rsidRPr="000E4805">
        <w:rPr>
          <w:rFonts w:asciiTheme="majorBidi" w:hAnsiTheme="majorBidi" w:cstheme="majorBidi"/>
        </w:rPr>
        <w:t>Third, t</w:t>
      </w:r>
      <w:r w:rsidR="00412F75" w:rsidRPr="000E4805">
        <w:rPr>
          <w:rFonts w:asciiTheme="majorBidi" w:hAnsiTheme="majorBidi" w:cstheme="majorBidi"/>
        </w:rPr>
        <w:t>he inclusion of multilevel modelling may also influence the direction of the relationship, as the error of the health effect is partitioned into the individual and destination LA levels, and the variance e</w:t>
      </w:r>
      <w:r w:rsidR="00204354" w:rsidRPr="000E4805">
        <w:rPr>
          <w:rFonts w:asciiTheme="majorBidi" w:hAnsiTheme="majorBidi" w:cstheme="majorBidi"/>
        </w:rPr>
        <w:t>xplained by individual health may be</w:t>
      </w:r>
      <w:r w:rsidR="00412F75" w:rsidRPr="000E4805">
        <w:rPr>
          <w:rFonts w:asciiTheme="majorBidi" w:hAnsiTheme="majorBidi" w:cstheme="majorBidi"/>
        </w:rPr>
        <w:t xml:space="preserve"> too small at the 10 and 20km </w:t>
      </w:r>
      <w:r w:rsidR="00596479" w:rsidRPr="000E4805">
        <w:rPr>
          <w:rFonts w:asciiTheme="majorBidi" w:hAnsiTheme="majorBidi" w:cstheme="majorBidi"/>
        </w:rPr>
        <w:t>cut-offs</w:t>
      </w:r>
      <w:r w:rsidR="00412F75" w:rsidRPr="000E4805">
        <w:rPr>
          <w:rFonts w:asciiTheme="majorBidi" w:hAnsiTheme="majorBidi" w:cstheme="majorBidi"/>
        </w:rPr>
        <w:t xml:space="preserve"> to remain significant. </w:t>
      </w:r>
      <w:r w:rsidR="00785196" w:rsidRPr="000E4805">
        <w:rPr>
          <w:rFonts w:asciiTheme="majorBidi" w:hAnsiTheme="majorBidi" w:cstheme="majorBidi"/>
        </w:rPr>
        <w:t xml:space="preserve">Finally, this is an analysis of individuals and their migration behaviour, whilst the characteristics of one’s family also influence migration behaviour. For instance, if an individual’s partner is unwell then they may be particularly reluctant to move over long distances, despite being coded as ‘healthy’ in our design. It is not possible to control for this in the CISS as not all household relationships are preserved, although an analysis of ‘unhealthy </w:t>
      </w:r>
      <w:r w:rsidR="00785196" w:rsidRPr="000E4805">
        <w:rPr>
          <w:rFonts w:asciiTheme="majorBidi" w:hAnsiTheme="majorBidi" w:cstheme="majorBidi"/>
        </w:rPr>
        <w:lastRenderedPageBreak/>
        <w:t xml:space="preserve">households’ and their migration behaviour could be conducted using the household counterpart of the dataset. </w:t>
      </w:r>
    </w:p>
    <w:p w14:paraId="1753BAA2" w14:textId="7C9A8322" w:rsidR="00402738" w:rsidRPr="00EE5EFD" w:rsidRDefault="00402738" w:rsidP="0088283E">
      <w:pPr>
        <w:spacing w:line="480" w:lineRule="auto"/>
        <w:rPr>
          <w:rFonts w:asciiTheme="majorBidi" w:hAnsiTheme="majorBidi" w:cstheme="majorBidi"/>
        </w:rPr>
      </w:pPr>
      <w:r w:rsidRPr="00EE5EFD">
        <w:rPr>
          <w:rFonts w:asciiTheme="majorBidi" w:hAnsiTheme="majorBidi" w:cstheme="majorBidi"/>
        </w:rPr>
        <w:t>Our second a</w:t>
      </w:r>
      <w:r w:rsidR="00037535" w:rsidRPr="00EE5EFD">
        <w:rPr>
          <w:rFonts w:asciiTheme="majorBidi" w:hAnsiTheme="majorBidi" w:cstheme="majorBidi"/>
        </w:rPr>
        <w:t xml:space="preserve">im </w:t>
      </w:r>
      <w:r w:rsidR="00412F75" w:rsidRPr="00EE5EFD">
        <w:rPr>
          <w:rFonts w:asciiTheme="majorBidi" w:hAnsiTheme="majorBidi" w:cstheme="majorBidi"/>
        </w:rPr>
        <w:t>is</w:t>
      </w:r>
      <w:r w:rsidR="00037535" w:rsidRPr="00EE5EFD">
        <w:rPr>
          <w:rFonts w:asciiTheme="majorBidi" w:hAnsiTheme="majorBidi" w:cstheme="majorBidi"/>
        </w:rPr>
        <w:t xml:space="preserve"> to test </w:t>
      </w:r>
      <w:r w:rsidR="002E2081" w:rsidRPr="00EE5EFD">
        <w:rPr>
          <w:rFonts w:asciiTheme="majorBidi" w:hAnsiTheme="majorBidi" w:cstheme="majorBidi"/>
        </w:rPr>
        <w:t>whether the association between health and long distance migration varies by age across definitions of long distance.</w:t>
      </w:r>
      <w:r w:rsidR="00037535" w:rsidRPr="00EE5EFD">
        <w:rPr>
          <w:rFonts w:asciiTheme="majorBidi" w:hAnsiTheme="majorBidi" w:cstheme="majorBidi"/>
        </w:rPr>
        <w:t xml:space="preserve"> </w:t>
      </w:r>
      <w:r w:rsidR="00AC356D" w:rsidRPr="00EE5EFD">
        <w:rPr>
          <w:rFonts w:asciiTheme="majorBidi" w:hAnsiTheme="majorBidi" w:cstheme="majorBidi"/>
        </w:rPr>
        <w:t>Our findings contradict past research showing that poor health is associated with moves over shorter distances in all working age groups (Bentham, 1988)</w:t>
      </w:r>
      <w:r w:rsidR="0088283E" w:rsidRPr="00EE5EFD">
        <w:rPr>
          <w:rFonts w:asciiTheme="majorBidi" w:hAnsiTheme="majorBidi" w:cstheme="majorBidi"/>
        </w:rPr>
        <w:t>, as w</w:t>
      </w:r>
      <w:r w:rsidR="008552ED" w:rsidRPr="00EE5EFD">
        <w:rPr>
          <w:rFonts w:asciiTheme="majorBidi" w:hAnsiTheme="majorBidi" w:cstheme="majorBidi"/>
        </w:rPr>
        <w:t>e find evidence for the healthy migrant effect only in the youngest (16-24) and oldest (55-64) working age groups</w:t>
      </w:r>
      <w:r w:rsidR="0088283E" w:rsidRPr="00EE5EFD">
        <w:rPr>
          <w:rFonts w:asciiTheme="majorBidi" w:hAnsiTheme="majorBidi" w:cstheme="majorBidi"/>
        </w:rPr>
        <w:t>. We</w:t>
      </w:r>
      <w:r w:rsidR="00AC356D" w:rsidRPr="00EE5EFD">
        <w:rPr>
          <w:rFonts w:asciiTheme="majorBidi" w:hAnsiTheme="majorBidi" w:cstheme="majorBidi"/>
        </w:rPr>
        <w:t xml:space="preserve"> identify a scale dimension </w:t>
      </w:r>
      <w:r w:rsidR="0088283E" w:rsidRPr="00EE5EFD">
        <w:rPr>
          <w:rFonts w:asciiTheme="majorBidi" w:hAnsiTheme="majorBidi" w:cstheme="majorBidi"/>
        </w:rPr>
        <w:t>to the health and long distance migration relationship,</w:t>
      </w:r>
      <w:r w:rsidR="00AC356D" w:rsidRPr="00EE5EFD">
        <w:rPr>
          <w:rFonts w:asciiTheme="majorBidi" w:hAnsiTheme="majorBidi" w:cstheme="majorBidi"/>
        </w:rPr>
        <w:t xml:space="preserve"> </w:t>
      </w:r>
      <w:r w:rsidR="00CD6D50" w:rsidRPr="00EE5EFD">
        <w:rPr>
          <w:rFonts w:asciiTheme="majorBidi" w:hAnsiTheme="majorBidi" w:cstheme="majorBidi"/>
        </w:rPr>
        <w:t xml:space="preserve">LLTI is associated with reduced odds of </w:t>
      </w:r>
      <w:r w:rsidR="008552ED" w:rsidRPr="00EE5EFD">
        <w:rPr>
          <w:rFonts w:asciiTheme="majorBidi" w:hAnsiTheme="majorBidi" w:cstheme="majorBidi"/>
        </w:rPr>
        <w:t>having moved</w:t>
      </w:r>
      <w:r w:rsidR="00CD6D50" w:rsidRPr="00EE5EFD">
        <w:rPr>
          <w:rFonts w:asciiTheme="majorBidi" w:hAnsiTheme="majorBidi" w:cstheme="majorBidi"/>
        </w:rPr>
        <w:t xml:space="preserve"> long distance for the 16-24 age group at the 50km cut-off</w:t>
      </w:r>
      <w:r w:rsidR="002E2081" w:rsidRPr="00EE5EFD">
        <w:rPr>
          <w:rFonts w:asciiTheme="majorBidi" w:hAnsiTheme="majorBidi" w:cstheme="majorBidi"/>
        </w:rPr>
        <w:t xml:space="preserve">, whilst this difference is not significant at the 10 and 20km </w:t>
      </w:r>
      <w:r w:rsidR="00CD6D50" w:rsidRPr="00EE5EFD">
        <w:rPr>
          <w:rFonts w:asciiTheme="majorBidi" w:hAnsiTheme="majorBidi" w:cstheme="majorBidi"/>
        </w:rPr>
        <w:t>cut-offs</w:t>
      </w:r>
      <w:r w:rsidR="00AC356D" w:rsidRPr="00EE5EFD">
        <w:rPr>
          <w:rFonts w:asciiTheme="majorBidi" w:hAnsiTheme="majorBidi" w:cstheme="majorBidi"/>
        </w:rPr>
        <w:t xml:space="preserve">. There is one effect which is consistent across all models, </w:t>
      </w:r>
      <w:r w:rsidR="002E2081" w:rsidRPr="00EE5EFD">
        <w:rPr>
          <w:rFonts w:asciiTheme="majorBidi" w:hAnsiTheme="majorBidi" w:cstheme="majorBidi"/>
        </w:rPr>
        <w:t xml:space="preserve">among </w:t>
      </w:r>
      <w:r w:rsidR="00AC356D" w:rsidRPr="00EE5EFD">
        <w:rPr>
          <w:rFonts w:asciiTheme="majorBidi" w:hAnsiTheme="majorBidi" w:cstheme="majorBidi"/>
        </w:rPr>
        <w:t xml:space="preserve">the oldest age group (55-64) </w:t>
      </w:r>
      <w:r w:rsidR="002E2081" w:rsidRPr="00EE5EFD">
        <w:rPr>
          <w:rFonts w:asciiTheme="majorBidi" w:hAnsiTheme="majorBidi" w:cstheme="majorBidi"/>
        </w:rPr>
        <w:t xml:space="preserve">those </w:t>
      </w:r>
      <w:r w:rsidR="00AC356D" w:rsidRPr="00EE5EFD">
        <w:rPr>
          <w:rFonts w:asciiTheme="majorBidi" w:hAnsiTheme="majorBidi" w:cstheme="majorBidi"/>
        </w:rPr>
        <w:t xml:space="preserve">without an LLTI are more likely to move long distance. We conclude that </w:t>
      </w:r>
      <w:r w:rsidR="002E2081" w:rsidRPr="00EE5EFD">
        <w:rPr>
          <w:rFonts w:asciiTheme="majorBidi" w:hAnsiTheme="majorBidi" w:cstheme="majorBidi"/>
        </w:rPr>
        <w:t xml:space="preserve">the healthy migrant effect is scale-invariant at pre-retirement ages (55-64), observable only over great distances for the youngest age group (16-24), </w:t>
      </w:r>
      <w:r w:rsidR="00CD6D50" w:rsidRPr="00EE5EFD">
        <w:rPr>
          <w:rFonts w:asciiTheme="majorBidi" w:hAnsiTheme="majorBidi" w:cstheme="majorBidi"/>
        </w:rPr>
        <w:t xml:space="preserve">and is </w:t>
      </w:r>
      <w:r w:rsidR="002E2081" w:rsidRPr="00EE5EFD">
        <w:rPr>
          <w:rFonts w:asciiTheme="majorBidi" w:hAnsiTheme="majorBidi" w:cstheme="majorBidi"/>
        </w:rPr>
        <w:t xml:space="preserve">not present for adults </w:t>
      </w:r>
      <w:r w:rsidR="00CD6D50" w:rsidRPr="00EE5EFD">
        <w:rPr>
          <w:rFonts w:asciiTheme="majorBidi" w:hAnsiTheme="majorBidi" w:cstheme="majorBidi"/>
        </w:rPr>
        <w:t>of</w:t>
      </w:r>
      <w:r w:rsidR="002E2081" w:rsidRPr="00EE5EFD">
        <w:rPr>
          <w:rFonts w:asciiTheme="majorBidi" w:hAnsiTheme="majorBidi" w:cstheme="majorBidi"/>
        </w:rPr>
        <w:t xml:space="preserve"> mid working-age (25-54). This reinforces recent calls for age differences in the health and migration relationship to be accounted for </w:t>
      </w:r>
      <w:r w:rsidR="002E2081" w:rsidRPr="000E4805">
        <w:rPr>
          <w:rFonts w:asciiTheme="majorBidi" w:hAnsiTheme="majorBidi" w:cstheme="majorBidi"/>
        </w:rPr>
        <w:fldChar w:fldCharType="begin" w:fldLock="1"/>
      </w:r>
      <w:r w:rsidR="002E2081" w:rsidRPr="00EE5EFD">
        <w:rPr>
          <w:rFonts w:asciiTheme="majorBidi" w:hAnsiTheme="majorBidi" w:cstheme="majorBidi"/>
        </w:rPr>
        <w:instrText>ADDIN CSL_CITATION { "citationItems" : [ { "id" : "ITEM-1", "itemData" : { "DOI" : "10.1016/j.healthplace.2013.12.010", "ISSN" : "1873-2054", "PMID" : "24412656", "abstract" : "The notion that mortality inequalities between differently deprived areas vary by age is logical since not all causes of death increase in risk with age and not all causes of death are related to the gradient of deprivation. In addition to the cause-age and cause-deprivation relationships, population migration may redistribute the population such that the health-deprivation relationship varies by age. We calculate cross-sectional all cause mortality and self-reported limiting long-term illness (LLTI) rate ratios of most to least deprived areas to demonstrate inequalities at different ages. We use longitudinal data to investigate whether there are changes in the distribution of cohorts between differently deprived areas over time and whether gradients of LLTI with deprivation also change. We find similar deprivation inequalities by age for all cause mortality and self-reported health with less inequality for young adults and the elderly but the greatest inequalities during mid life. Over time there are systematic movements of cohorts between differently deprived areas and associated increases and decreases in the gradient of LLTI across deprivation. It seems likely that population migration does influence inequalities by age. Further work should investigate whether the situation exists for other morbidities and, to better inform public health policy, whether restricting summary measures of area health to ages between 30 and 60 when inequalities are greatest will highlight between area differences.", "author" : [ { "dropping-particle" : "", "family" : "Norman", "given" : "Paul", "non-dropping-particle" : "", "parse-names" : false, "suffix" : "" }, { "dropping-particle" : "", "family" : "Boyle", "given" : "Paul", "non-dropping-particle" : "", "parse-names" : false, "suffix" : "" } ], "container-title" : "Health &amp; place", "id" : "ITEM-1", "issued" : { "date-parts" : [ [ "2014", "3" ] ] }, "page" : "88-93", "title" : "Are health inequalities between differently deprived areas evident at different ages? A longitudinal study of census records in England and Wales, 1991-2001.", "type" : "article-journal", "volume" : "26" }, "uris" : [ "http://www.mendeley.com/documents/?uuid=6fda0e87-368b-4c07-b9a0-762b64229f4d" ] } ], "mendeley" : { "formattedCitation" : "(Norman and Boyle, 2014)", "plainTextFormattedCitation" : "(Norman and Boyle, 2014)", "previouslyFormattedCitation" : "(Norman and Boyle, 2014)" }, "properties" : { "noteIndex" : 0 }, "schema" : "https://github.com/citation-style-language/schema/raw/master/csl-citation.json" }</w:instrText>
      </w:r>
      <w:r w:rsidR="002E2081" w:rsidRPr="000E4805">
        <w:rPr>
          <w:rFonts w:asciiTheme="majorBidi" w:hAnsiTheme="majorBidi" w:cstheme="majorBidi"/>
        </w:rPr>
        <w:fldChar w:fldCharType="separate"/>
      </w:r>
      <w:r w:rsidR="002E2081" w:rsidRPr="00EE5EFD">
        <w:rPr>
          <w:rFonts w:asciiTheme="majorBidi" w:hAnsiTheme="majorBidi" w:cstheme="majorBidi"/>
          <w:noProof/>
        </w:rPr>
        <w:t>(Norman and Boyle, 2014)</w:t>
      </w:r>
      <w:r w:rsidR="002E2081" w:rsidRPr="000E4805">
        <w:rPr>
          <w:rFonts w:asciiTheme="majorBidi" w:hAnsiTheme="majorBidi" w:cstheme="majorBidi"/>
        </w:rPr>
        <w:fldChar w:fldCharType="end"/>
      </w:r>
      <w:r w:rsidR="00CD6D50" w:rsidRPr="00EE5EFD">
        <w:rPr>
          <w:rFonts w:asciiTheme="majorBidi" w:hAnsiTheme="majorBidi" w:cstheme="majorBidi"/>
        </w:rPr>
        <w:t>.</w:t>
      </w:r>
    </w:p>
    <w:p w14:paraId="4735DB31" w14:textId="300EE920" w:rsidR="002E2081" w:rsidRPr="00EE5EFD" w:rsidRDefault="00277897" w:rsidP="00D000A1">
      <w:pPr>
        <w:spacing w:line="480" w:lineRule="auto"/>
        <w:rPr>
          <w:rFonts w:asciiTheme="majorBidi" w:hAnsiTheme="majorBidi" w:cstheme="majorBidi"/>
        </w:rPr>
      </w:pPr>
      <w:r w:rsidRPr="00EE5EFD">
        <w:rPr>
          <w:rFonts w:asciiTheme="majorBidi" w:hAnsiTheme="majorBidi" w:cstheme="majorBidi"/>
        </w:rPr>
        <w:t>Our third aim is</w:t>
      </w:r>
      <w:r w:rsidR="002E2081" w:rsidRPr="00EE5EFD">
        <w:rPr>
          <w:rFonts w:asciiTheme="majorBidi" w:hAnsiTheme="majorBidi" w:cstheme="majorBidi"/>
        </w:rPr>
        <w:t xml:space="preserve"> to assess whether there is spatial variation in long distance migration by health status. We identify that those </w:t>
      </w:r>
      <w:r w:rsidR="00D000A1">
        <w:rPr>
          <w:rFonts w:asciiTheme="majorBidi" w:hAnsiTheme="majorBidi" w:cstheme="majorBidi"/>
        </w:rPr>
        <w:t>with an LLTI</w:t>
      </w:r>
      <w:r w:rsidR="002E2081" w:rsidRPr="00EE5EFD">
        <w:rPr>
          <w:rFonts w:asciiTheme="majorBidi" w:hAnsiTheme="majorBidi" w:cstheme="majorBidi"/>
        </w:rPr>
        <w:t xml:space="preserve"> who moved to </w:t>
      </w:r>
      <w:r w:rsidRPr="00EE5EFD">
        <w:rPr>
          <w:rFonts w:asciiTheme="majorBidi" w:hAnsiTheme="majorBidi" w:cstheme="majorBidi"/>
        </w:rPr>
        <w:t xml:space="preserve">London, south Wales and eastern England are more likely to have moved long distance, relative to those </w:t>
      </w:r>
      <w:r w:rsidR="00D000A1">
        <w:rPr>
          <w:rFonts w:asciiTheme="majorBidi" w:hAnsiTheme="majorBidi" w:cstheme="majorBidi"/>
        </w:rPr>
        <w:t>without an LLTI</w:t>
      </w:r>
      <w:r w:rsidRPr="00EE5EFD">
        <w:rPr>
          <w:rFonts w:asciiTheme="majorBidi" w:hAnsiTheme="majorBidi" w:cstheme="majorBidi"/>
        </w:rPr>
        <w:t xml:space="preserve"> in the 10km model. Over greater distances however, long distance migration becomes increasingly health selective, and for the furthest moves those </w:t>
      </w:r>
      <w:r w:rsidR="00D000A1">
        <w:rPr>
          <w:rFonts w:asciiTheme="majorBidi" w:hAnsiTheme="majorBidi" w:cstheme="majorBidi"/>
        </w:rPr>
        <w:t>with an LLTI</w:t>
      </w:r>
      <w:r w:rsidR="00056FC6">
        <w:rPr>
          <w:rFonts w:asciiTheme="majorBidi" w:hAnsiTheme="majorBidi" w:cstheme="majorBidi"/>
        </w:rPr>
        <w:t xml:space="preserve"> </w:t>
      </w:r>
      <w:r w:rsidRPr="00EE5EFD">
        <w:rPr>
          <w:rFonts w:asciiTheme="majorBidi" w:hAnsiTheme="majorBidi" w:cstheme="majorBidi"/>
        </w:rPr>
        <w:t xml:space="preserve">are more likely to move long distance to only two LAs in southern Wales. These findings show that those </w:t>
      </w:r>
      <w:r w:rsidR="00D000A1">
        <w:rPr>
          <w:rFonts w:asciiTheme="majorBidi" w:hAnsiTheme="majorBidi" w:cstheme="majorBidi"/>
        </w:rPr>
        <w:t>with and without an LLTI</w:t>
      </w:r>
      <w:r w:rsidRPr="00EE5EFD">
        <w:rPr>
          <w:rFonts w:asciiTheme="majorBidi" w:hAnsiTheme="majorBidi" w:cstheme="majorBidi"/>
        </w:rPr>
        <w:t xml:space="preserve"> are attracted to different areas over distances less than 20km, but those </w:t>
      </w:r>
      <w:r w:rsidR="00D000A1">
        <w:rPr>
          <w:rFonts w:asciiTheme="majorBidi" w:hAnsiTheme="majorBidi" w:cstheme="majorBidi"/>
        </w:rPr>
        <w:t>with an LLTI</w:t>
      </w:r>
      <w:r w:rsidRPr="00EE5EFD">
        <w:rPr>
          <w:rFonts w:asciiTheme="majorBidi" w:hAnsiTheme="majorBidi" w:cstheme="majorBidi"/>
        </w:rPr>
        <w:t xml:space="preserve"> are not more likely to move further than 20km to most areas relative to those </w:t>
      </w:r>
      <w:r w:rsidR="00D000A1">
        <w:rPr>
          <w:rFonts w:asciiTheme="majorBidi" w:hAnsiTheme="majorBidi" w:cstheme="majorBidi"/>
        </w:rPr>
        <w:t>without an LLTI</w:t>
      </w:r>
      <w:r w:rsidRPr="00EE5EFD">
        <w:rPr>
          <w:rFonts w:asciiTheme="majorBidi" w:hAnsiTheme="majorBidi" w:cstheme="majorBidi"/>
        </w:rPr>
        <w:t xml:space="preserve">. We conclude that, the healthy migrant effect </w:t>
      </w:r>
      <w:r w:rsidR="00413C3D" w:rsidRPr="00EE5EFD">
        <w:rPr>
          <w:rFonts w:asciiTheme="majorBidi" w:hAnsiTheme="majorBidi" w:cstheme="majorBidi"/>
        </w:rPr>
        <w:t>is apparent in destination LAs for residential moves of 20km or further</w:t>
      </w:r>
      <w:r w:rsidR="00DE3538" w:rsidRPr="00EE5EFD">
        <w:rPr>
          <w:rFonts w:asciiTheme="majorBidi" w:hAnsiTheme="majorBidi" w:cstheme="majorBidi"/>
        </w:rPr>
        <w:t>, and</w:t>
      </w:r>
      <w:r w:rsidR="00413C3D" w:rsidRPr="00EE5EFD">
        <w:rPr>
          <w:rFonts w:asciiTheme="majorBidi" w:hAnsiTheme="majorBidi" w:cstheme="majorBidi"/>
        </w:rPr>
        <w:t xml:space="preserve"> the effect is even stronger when only moves of 50km or further are considered to be long distance.</w:t>
      </w:r>
    </w:p>
    <w:p w14:paraId="2B91FB78" w14:textId="64D92E8A" w:rsidR="00B146F5" w:rsidRDefault="00B146F5" w:rsidP="0029056B">
      <w:pPr>
        <w:spacing w:line="480" w:lineRule="auto"/>
        <w:rPr>
          <w:rFonts w:asciiTheme="majorBidi" w:hAnsiTheme="majorBidi" w:cstheme="majorBidi"/>
        </w:rPr>
      </w:pPr>
      <w:r w:rsidRPr="00EE5EFD">
        <w:rPr>
          <w:rFonts w:asciiTheme="majorBidi" w:hAnsiTheme="majorBidi" w:cstheme="majorBidi"/>
        </w:rPr>
        <w:lastRenderedPageBreak/>
        <w:t xml:space="preserve">In terms of policy, we find health differences in the spatial pattern of long distance migration. </w:t>
      </w:r>
      <w:r w:rsidR="001A7CEC" w:rsidRPr="00EE5EFD">
        <w:rPr>
          <w:rFonts w:asciiTheme="majorBidi" w:hAnsiTheme="majorBidi" w:cstheme="majorBidi"/>
        </w:rPr>
        <w:t xml:space="preserve">We find that </w:t>
      </w:r>
      <w:r w:rsidR="002D47CF" w:rsidRPr="00EE5EFD">
        <w:rPr>
          <w:rFonts w:asciiTheme="majorBidi" w:hAnsiTheme="majorBidi" w:cstheme="majorBidi"/>
        </w:rPr>
        <w:t>the youngest (16-24) and oldest (55-64) working age adults</w:t>
      </w:r>
      <w:r w:rsidR="001A7CEC" w:rsidRPr="00EE5EFD">
        <w:rPr>
          <w:rFonts w:asciiTheme="majorBidi" w:hAnsiTheme="majorBidi" w:cstheme="majorBidi"/>
        </w:rPr>
        <w:t xml:space="preserve"> </w:t>
      </w:r>
      <w:r w:rsidR="005B1CC8">
        <w:rPr>
          <w:rFonts w:asciiTheme="majorBidi" w:hAnsiTheme="majorBidi" w:cstheme="majorBidi"/>
        </w:rPr>
        <w:t>with an LLTI</w:t>
      </w:r>
      <w:r w:rsidR="001A7CEC" w:rsidRPr="00EE5EFD">
        <w:rPr>
          <w:rFonts w:asciiTheme="majorBidi" w:hAnsiTheme="majorBidi" w:cstheme="majorBidi"/>
        </w:rPr>
        <w:t xml:space="preserve"> are less likely to move o</w:t>
      </w:r>
      <w:r w:rsidR="009143F5">
        <w:rPr>
          <w:rFonts w:asciiTheme="majorBidi" w:hAnsiTheme="majorBidi" w:cstheme="majorBidi"/>
        </w:rPr>
        <w:t>ver very long distances (50km+),</w:t>
      </w:r>
      <w:r w:rsidR="001A7CEC" w:rsidRPr="00EE5EFD">
        <w:rPr>
          <w:rFonts w:asciiTheme="majorBidi" w:hAnsiTheme="majorBidi" w:cstheme="majorBidi"/>
        </w:rPr>
        <w:t xml:space="preserve"> health services can adequately plan long term provision for those </w:t>
      </w:r>
      <w:r w:rsidR="00D000A1">
        <w:rPr>
          <w:rFonts w:asciiTheme="majorBidi" w:hAnsiTheme="majorBidi" w:cstheme="majorBidi"/>
        </w:rPr>
        <w:t>with an LLTI</w:t>
      </w:r>
      <w:r w:rsidR="002D47CF" w:rsidRPr="00EE5EFD">
        <w:rPr>
          <w:rFonts w:asciiTheme="majorBidi" w:hAnsiTheme="majorBidi" w:cstheme="majorBidi"/>
        </w:rPr>
        <w:t xml:space="preserve"> in these age groups</w:t>
      </w:r>
      <w:r w:rsidR="001A7CEC" w:rsidRPr="00EE5EFD">
        <w:rPr>
          <w:rFonts w:asciiTheme="majorBidi" w:hAnsiTheme="majorBidi" w:cstheme="majorBidi"/>
        </w:rPr>
        <w:t xml:space="preserve"> w</w:t>
      </w:r>
      <w:r w:rsidR="002D47CF" w:rsidRPr="00EE5EFD">
        <w:rPr>
          <w:rFonts w:asciiTheme="majorBidi" w:hAnsiTheme="majorBidi" w:cstheme="majorBidi"/>
        </w:rPr>
        <w:t>ith the knowledge that when these</w:t>
      </w:r>
      <w:r w:rsidR="001A7CEC" w:rsidRPr="00EE5EFD">
        <w:rPr>
          <w:rFonts w:asciiTheme="majorBidi" w:hAnsiTheme="majorBidi" w:cstheme="majorBidi"/>
        </w:rPr>
        <w:t xml:space="preserve"> population</w:t>
      </w:r>
      <w:r w:rsidR="002D47CF" w:rsidRPr="00EE5EFD">
        <w:rPr>
          <w:rFonts w:asciiTheme="majorBidi" w:hAnsiTheme="majorBidi" w:cstheme="majorBidi"/>
        </w:rPr>
        <w:t>s change</w:t>
      </w:r>
      <w:r w:rsidR="001A7CEC" w:rsidRPr="00EE5EFD">
        <w:rPr>
          <w:rFonts w:asciiTheme="majorBidi" w:hAnsiTheme="majorBidi" w:cstheme="majorBidi"/>
        </w:rPr>
        <w:t xml:space="preserve"> residence, these moves are likely to be of distances less than 50km</w:t>
      </w:r>
      <w:r w:rsidR="00886EEC" w:rsidRPr="00EE5EFD">
        <w:rPr>
          <w:rFonts w:asciiTheme="majorBidi" w:hAnsiTheme="majorBidi" w:cstheme="majorBidi"/>
        </w:rPr>
        <w:t>.</w:t>
      </w:r>
      <w:r w:rsidR="009143F5">
        <w:rPr>
          <w:rFonts w:asciiTheme="majorBidi" w:hAnsiTheme="majorBidi" w:cstheme="majorBidi"/>
        </w:rPr>
        <w:t xml:space="preserve"> </w:t>
      </w:r>
      <w:r w:rsidR="00B26A9A" w:rsidRPr="00EE5EFD">
        <w:rPr>
          <w:rFonts w:asciiTheme="majorBidi" w:hAnsiTheme="majorBidi" w:cstheme="majorBidi"/>
        </w:rPr>
        <w:t xml:space="preserve">The population </w:t>
      </w:r>
      <w:r w:rsidR="005B1CC8">
        <w:rPr>
          <w:rFonts w:asciiTheme="majorBidi" w:hAnsiTheme="majorBidi" w:cstheme="majorBidi"/>
        </w:rPr>
        <w:t>without an LLTI</w:t>
      </w:r>
      <w:r w:rsidR="005763D1" w:rsidRPr="00EE5EFD">
        <w:rPr>
          <w:rFonts w:asciiTheme="majorBidi" w:hAnsiTheme="majorBidi" w:cstheme="majorBidi"/>
        </w:rPr>
        <w:t xml:space="preserve"> appear to be drawn over long distances to rural areas of England and </w:t>
      </w:r>
      <w:r w:rsidR="005B1CC8">
        <w:rPr>
          <w:rFonts w:asciiTheme="majorBidi" w:hAnsiTheme="majorBidi" w:cstheme="majorBidi"/>
        </w:rPr>
        <w:t>to</w:t>
      </w:r>
      <w:r w:rsidR="005763D1" w:rsidRPr="00EE5EFD">
        <w:rPr>
          <w:rFonts w:asciiTheme="majorBidi" w:hAnsiTheme="majorBidi" w:cstheme="majorBidi"/>
        </w:rPr>
        <w:t xml:space="preserve"> Inner London</w:t>
      </w:r>
      <w:r w:rsidR="005B1CC8">
        <w:rPr>
          <w:rFonts w:asciiTheme="majorBidi" w:hAnsiTheme="majorBidi" w:cstheme="majorBidi"/>
        </w:rPr>
        <w:t>:</w:t>
      </w:r>
      <w:r w:rsidR="00050E49" w:rsidRPr="00EE5EFD">
        <w:rPr>
          <w:rFonts w:asciiTheme="majorBidi" w:hAnsiTheme="majorBidi" w:cstheme="majorBidi"/>
        </w:rPr>
        <w:t xml:space="preserve"> t</w:t>
      </w:r>
      <w:r w:rsidR="005763D1" w:rsidRPr="00EE5EFD">
        <w:rPr>
          <w:rFonts w:asciiTheme="majorBidi" w:hAnsiTheme="majorBidi" w:cstheme="majorBidi"/>
        </w:rPr>
        <w:t xml:space="preserve">his reflects wider trends of counter-urbanisation in the UK </w:t>
      </w:r>
      <w:r w:rsidR="005763D1" w:rsidRPr="00EE5EFD">
        <w:rPr>
          <w:rFonts w:asciiTheme="majorBidi" w:hAnsiTheme="majorBidi" w:cstheme="majorBidi"/>
        </w:rPr>
        <w:fldChar w:fldCharType="begin" w:fldLock="1"/>
      </w:r>
      <w:r w:rsidR="00A328DF">
        <w:rPr>
          <w:rFonts w:asciiTheme="majorBidi" w:hAnsiTheme="majorBidi" w:cstheme="majorBidi"/>
        </w:rPr>
        <w:instrText>ADDIN CSL_CITATION { "citationItems" : [ { "id" : "ITEM-1", "itemData" : { "DOI" : "10.1002/psp.1947", "abstract" : "This paper questions the ongoing dominant coverage given to counterurbanisation in the rural population literature. It is argued that this provides only a partial account of the true diversity of contemporary migration processes operating in rural areas and has the potential to fuse together different in-migration processes. Specifically, lateral rural migration has been under-researched to date. Using empirical data from a survey of 260 migrant households to 3 UK case study areas (in Scotland, Wales, and Northern Ireland), the significance of lateral rural migration is revealed and compared with counterurban migration and migrants. The last change of address shows that 59% relocated from an urban area (participating in a counterurban flow) whilst 41% moved from another rural location (lateral rural flow). The boundary between migration processes can, however, be blurred: Some moves are an example of both counterurbanisation and lateral rural flows. Incorporating lifetime migration histories data demonstrates the contemporary complexity and messiness of rural in-migration processes. For example, 26% of these migrant households only ever undertook a lateral rural move during their lifetime. For others, the direction of migration has changed numerous times and intertwined with each move are aspects of life course, return, and inter-regional migration. Comparing the survey characteristics and motivations of counterurban and lateral rural migrants, alongside interview material, highlights important similarities and differences. The paper concludes by calling on rural population geographers to more fully engage with the complexity, totality, and indeed messiness of contemporary rural in-migration processes.", "author" : [ { "dropping-particle" : "", "family" : "Stockdale", "given" : "Aileen", "non-dropping-particle" : "", "parse-names" : false, "suffix" : "" } ], "container-title" : "Population, Space and Place", "id" : "ITEM-1", "issue" : "6", "issued" : { "date-parts" : [ [ "2015", "6", "1" ] ] }, "note" : "Evidence of rural-to-rural migration undermining the dominance of rural migration research.", "page" : "599-616", "publisher" : "John Wiley and Sons Ltd", "title" : "Contemporary and \u2018messy\u2019 rural in-migration processes: comparing counterurban and lateral rural migration", "type" : "article-journal", "volume" : "22" }, "uris" : [ "http://www.mendeley.com/documents/?uuid=9d01cd7a-6657-40f5-ac69-87a30e8a5ba6" ] } ], "mendeley" : { "formattedCitation" : "(Stockdale, 2015)", "plainTextFormattedCitation" : "(Stockdale, 2015)", "previouslyFormattedCitation" : "(Stockdale, 2015)" }, "properties" : { "noteIndex" : 0 }, "schema" : "https://github.com/citation-style-language/schema/raw/master/csl-citation.json" }</w:instrText>
      </w:r>
      <w:r w:rsidR="005763D1" w:rsidRPr="00EE5EFD">
        <w:rPr>
          <w:rFonts w:asciiTheme="majorBidi" w:hAnsiTheme="majorBidi" w:cstheme="majorBidi"/>
        </w:rPr>
        <w:fldChar w:fldCharType="separate"/>
      </w:r>
      <w:r w:rsidR="005763D1" w:rsidRPr="00EE5EFD">
        <w:rPr>
          <w:rFonts w:asciiTheme="majorBidi" w:hAnsiTheme="majorBidi" w:cstheme="majorBidi"/>
          <w:noProof/>
        </w:rPr>
        <w:t>(Stockdale, 2015)</w:t>
      </w:r>
      <w:r w:rsidR="005763D1" w:rsidRPr="00EE5EFD">
        <w:rPr>
          <w:rFonts w:asciiTheme="majorBidi" w:hAnsiTheme="majorBidi" w:cstheme="majorBidi"/>
        </w:rPr>
        <w:fldChar w:fldCharType="end"/>
      </w:r>
      <w:r w:rsidR="005B1CC8">
        <w:rPr>
          <w:rFonts w:asciiTheme="majorBidi" w:hAnsiTheme="majorBidi" w:cstheme="majorBidi"/>
        </w:rPr>
        <w:t xml:space="preserve"> and the migration of healthy young people to London</w:t>
      </w:r>
      <w:r w:rsidR="0068388A">
        <w:rPr>
          <w:rFonts w:asciiTheme="majorBidi" w:hAnsiTheme="majorBidi" w:cstheme="majorBidi"/>
        </w:rPr>
        <w:t xml:space="preserve"> </w:t>
      </w:r>
      <w:r w:rsidR="0068388A">
        <w:rPr>
          <w:rFonts w:asciiTheme="majorBidi" w:hAnsiTheme="majorBidi" w:cstheme="majorBidi"/>
        </w:rPr>
        <w:fldChar w:fldCharType="begin" w:fldLock="1"/>
      </w:r>
      <w:r w:rsidR="00607727">
        <w:rPr>
          <w:rFonts w:asciiTheme="majorBidi" w:hAnsiTheme="majorBidi" w:cstheme="majorBidi"/>
        </w:rPr>
        <w:instrText>ADDIN CSL_CITATION { "citationItems" : [ { "id" : "ITEM-1", "itemData" : { "DOI" : "10.1016/j.healthplace.2013.12.010", "ISSN" : "1873-2054", "PMID" : "24412656", "abstract" : "The notion that mortality inequalities between differently deprived areas vary by age is logical since not all causes of death increase in risk with age and not all causes of death are related to the gradient of deprivation. In addition to the cause-age and cause-deprivation relationships, population migration may redistribute the population such that the health-deprivation relationship varies by age. We calculate cross-sectional all cause mortality and self-reported limiting long-term illness (LLTI) rate ratios of most to least deprived areas to demonstrate inequalities at different ages. We use longitudinal data to investigate whether there are changes in the distribution of cohorts between differently deprived areas over time and whether gradients of LLTI with deprivation also change. We find similar deprivation inequalities by age for all cause mortality and self-reported health with less inequality for young adults and the elderly but the greatest inequalities during mid life. Over time there are systematic movements of cohorts between differently deprived areas and associated increases and decreases in the gradient of LLTI across deprivation. It seems likely that population migration does influence inequalities by age. Further work should investigate whether the situation exists for other morbidities and, to better inform public health policy, whether restricting summary measures of area health to ages between 30 and 60 when inequalities are greatest will highlight between area differences.", "author" : [ { "dropping-particle" : "", "family" : "Norman", "given" : "Paul", "non-dropping-particle" : "", "parse-names" : false, "suffix" : "" }, { "dropping-particle" : "", "family" : "Boyle", "given" : "Paul", "non-dropping-particle" : "", "parse-names" : false, "suffix" : "" } ], "container-title" : "Health &amp; place", "id" : "ITEM-1", "issued" : { "date-parts" : [ [ "2014", "3" ] ] }, "page" : "88-93", "title" : "Are health inequalities between differently deprived areas evident at different ages? A longitudinal study of census records in England and Wales, 1991-2001.", "type" : "article-journal", "volume" : "26" }, "uris" : [ "http://www.mendeley.com/documents/?uuid=6fda0e87-368b-4c07-b9a0-762b64229f4d" ] } ], "mendeley" : { "formattedCitation" : "(Norman and Boyle, 2014)", "plainTextFormattedCitation" : "(Norman and Boyle, 2014)", "previouslyFormattedCitation" : "(Norman and Boyle, 2014)" }, "properties" : { "noteIndex" : 0 }, "schema" : "https://github.com/citation-style-language/schema/raw/master/csl-citation.json" }</w:instrText>
      </w:r>
      <w:r w:rsidR="0068388A">
        <w:rPr>
          <w:rFonts w:asciiTheme="majorBidi" w:hAnsiTheme="majorBidi" w:cstheme="majorBidi"/>
        </w:rPr>
        <w:fldChar w:fldCharType="separate"/>
      </w:r>
      <w:r w:rsidR="0068388A" w:rsidRPr="0068388A">
        <w:rPr>
          <w:rFonts w:asciiTheme="majorBidi" w:hAnsiTheme="majorBidi" w:cstheme="majorBidi"/>
          <w:noProof/>
        </w:rPr>
        <w:t>(Norman and Boyle, 2014)</w:t>
      </w:r>
      <w:r w:rsidR="0068388A">
        <w:rPr>
          <w:rFonts w:asciiTheme="majorBidi" w:hAnsiTheme="majorBidi" w:cstheme="majorBidi"/>
        </w:rPr>
        <w:fldChar w:fldCharType="end"/>
      </w:r>
      <w:r w:rsidR="00050E49" w:rsidRPr="00EE5EFD">
        <w:rPr>
          <w:rFonts w:asciiTheme="majorBidi" w:hAnsiTheme="majorBidi" w:cstheme="majorBidi"/>
        </w:rPr>
        <w:t>.</w:t>
      </w:r>
      <w:r w:rsidR="00313927" w:rsidRPr="00EE5EFD">
        <w:rPr>
          <w:rFonts w:asciiTheme="majorBidi" w:hAnsiTheme="majorBidi" w:cstheme="majorBidi"/>
        </w:rPr>
        <w:t xml:space="preserve"> The relative lack of very long distance migration </w:t>
      </w:r>
      <w:r w:rsidR="000E4805" w:rsidRPr="00EE5EFD">
        <w:rPr>
          <w:rFonts w:asciiTheme="majorBidi" w:hAnsiTheme="majorBidi" w:cstheme="majorBidi"/>
        </w:rPr>
        <w:t>into rural</w:t>
      </w:r>
      <w:r w:rsidR="00313927" w:rsidRPr="00EE5EFD">
        <w:rPr>
          <w:rFonts w:asciiTheme="majorBidi" w:hAnsiTheme="majorBidi" w:cstheme="majorBidi"/>
        </w:rPr>
        <w:t xml:space="preserve"> areas by the population </w:t>
      </w:r>
      <w:r w:rsidR="00D000A1">
        <w:rPr>
          <w:rFonts w:asciiTheme="majorBidi" w:hAnsiTheme="majorBidi" w:cstheme="majorBidi"/>
        </w:rPr>
        <w:t>with an LLTI</w:t>
      </w:r>
      <w:r w:rsidR="00313927" w:rsidRPr="00EE5EFD">
        <w:rPr>
          <w:rFonts w:asciiTheme="majorBidi" w:hAnsiTheme="majorBidi" w:cstheme="majorBidi"/>
        </w:rPr>
        <w:t xml:space="preserve"> may be the result of poor rural healthcare provision failing to ‘pull’ </w:t>
      </w:r>
      <w:r w:rsidR="00D000A1">
        <w:rPr>
          <w:rFonts w:asciiTheme="majorBidi" w:hAnsiTheme="majorBidi" w:cstheme="majorBidi"/>
        </w:rPr>
        <w:t>this population</w:t>
      </w:r>
      <w:r w:rsidR="00313927" w:rsidRPr="00EE5EFD">
        <w:rPr>
          <w:rFonts w:asciiTheme="majorBidi" w:hAnsiTheme="majorBidi" w:cstheme="majorBidi"/>
        </w:rPr>
        <w:t xml:space="preserve"> towards these areas, whilst this factor is considered less important for the population in good health.</w:t>
      </w:r>
      <w:r w:rsidR="00050E49" w:rsidRPr="00EE5EFD">
        <w:rPr>
          <w:rFonts w:asciiTheme="majorBidi" w:hAnsiTheme="majorBidi" w:cstheme="majorBidi"/>
        </w:rPr>
        <w:t xml:space="preserve"> G</w:t>
      </w:r>
      <w:r w:rsidR="005763D1" w:rsidRPr="00EE5EFD">
        <w:rPr>
          <w:rFonts w:asciiTheme="majorBidi" w:hAnsiTheme="majorBidi" w:cstheme="majorBidi"/>
        </w:rPr>
        <w:t xml:space="preserve">iven that the incumbent Government is pushing for </w:t>
      </w:r>
      <w:r w:rsidR="00050E49" w:rsidRPr="00EE5EFD">
        <w:rPr>
          <w:rFonts w:asciiTheme="majorBidi" w:hAnsiTheme="majorBidi" w:cstheme="majorBidi"/>
        </w:rPr>
        <w:t xml:space="preserve">the </w:t>
      </w:r>
      <w:r w:rsidR="005763D1" w:rsidRPr="00EE5EFD">
        <w:rPr>
          <w:rFonts w:asciiTheme="majorBidi" w:hAnsiTheme="majorBidi" w:cstheme="majorBidi"/>
        </w:rPr>
        <w:t>devolution of healthcare planning</w:t>
      </w:r>
      <w:r w:rsidR="002128B3">
        <w:rPr>
          <w:rFonts w:asciiTheme="majorBidi" w:hAnsiTheme="majorBidi" w:cstheme="majorBidi"/>
        </w:rPr>
        <w:t xml:space="preserve"> and provision</w:t>
      </w:r>
      <w:r w:rsidR="005763D1" w:rsidRPr="00EE5EFD">
        <w:rPr>
          <w:rFonts w:asciiTheme="majorBidi" w:hAnsiTheme="majorBidi" w:cstheme="majorBidi"/>
        </w:rPr>
        <w:t xml:space="preserve"> to Local Authorities</w:t>
      </w:r>
      <w:r w:rsidR="002128B3">
        <w:rPr>
          <w:rFonts w:asciiTheme="majorBidi" w:hAnsiTheme="majorBidi" w:cstheme="majorBidi"/>
        </w:rPr>
        <w:t xml:space="preserve"> with the 2016 Cities and Devolution Act </w:t>
      </w:r>
      <w:r w:rsidR="00050E49" w:rsidRPr="00EE5EFD">
        <w:rPr>
          <w:rFonts w:asciiTheme="majorBidi" w:hAnsiTheme="majorBidi" w:cstheme="majorBidi"/>
        </w:rPr>
        <w:fldChar w:fldCharType="begin" w:fldLock="1"/>
      </w:r>
      <w:r w:rsidR="007D3C08" w:rsidRPr="00EE5EFD">
        <w:rPr>
          <w:rFonts w:asciiTheme="majorBidi" w:hAnsiTheme="majorBidi" w:cstheme="majorBidi"/>
        </w:rPr>
        <w:instrText>ADDIN CSL_CITATION { "citationItems" : [ { "id" : "ITEM-1", "itemData" : { "author" : [ { "dropping-particle" : "", "family" : "Sandford", "given" : "Mark", "non-dropping-particle" : "", "parse-names" : false, "suffix" : "" } ], "collection-title" : "Briefing paper", "id" : "ITEM-1", "issued" : { "date-parts" : [ [ "2016" ] ] }, "number" : "07029", "publisher-place" : "London", "title" : "Devolution to local government in England", "type" : "report" }, "uris" : [ "http://www.mendeley.com/documents/?uuid=2243eb4e-809a-411c-b203-97b6f6a03a7f" ] } ], "mendeley" : { "formattedCitation" : "(Sandford, 2016)", "plainTextFormattedCitation" : "(Sandford, 2016)", "previouslyFormattedCitation" : "(Sandford, 2016)" }, "properties" : { "noteIndex" : 0 }, "schema" : "https://github.com/citation-style-language/schema/raw/master/csl-citation.json" }</w:instrText>
      </w:r>
      <w:r w:rsidR="00050E49" w:rsidRPr="00EE5EFD">
        <w:rPr>
          <w:rFonts w:asciiTheme="majorBidi" w:hAnsiTheme="majorBidi" w:cstheme="majorBidi"/>
        </w:rPr>
        <w:fldChar w:fldCharType="separate"/>
      </w:r>
      <w:r w:rsidR="00050E49" w:rsidRPr="00EE5EFD">
        <w:rPr>
          <w:rFonts w:asciiTheme="majorBidi" w:hAnsiTheme="majorBidi" w:cstheme="majorBidi"/>
          <w:noProof/>
        </w:rPr>
        <w:t>(Sandford, 2016)</w:t>
      </w:r>
      <w:r w:rsidR="00050E49" w:rsidRPr="00EE5EFD">
        <w:rPr>
          <w:rFonts w:asciiTheme="majorBidi" w:hAnsiTheme="majorBidi" w:cstheme="majorBidi"/>
        </w:rPr>
        <w:fldChar w:fldCharType="end"/>
      </w:r>
      <w:r w:rsidR="00050E49" w:rsidRPr="00EE5EFD">
        <w:rPr>
          <w:rFonts w:asciiTheme="majorBidi" w:hAnsiTheme="majorBidi" w:cstheme="majorBidi"/>
        </w:rPr>
        <w:t>, rural LAs will need to account for the needs of incoming long distance migrants</w:t>
      </w:r>
      <w:r w:rsidR="0068388A">
        <w:rPr>
          <w:rFonts w:asciiTheme="majorBidi" w:hAnsiTheme="majorBidi" w:cstheme="majorBidi"/>
        </w:rPr>
        <w:t>, whom may require health services in future as they age</w:t>
      </w:r>
      <w:r w:rsidR="001A7CEC" w:rsidRPr="00EE5EFD">
        <w:rPr>
          <w:rFonts w:asciiTheme="majorBidi" w:hAnsiTheme="majorBidi" w:cstheme="majorBidi"/>
        </w:rPr>
        <w:t>.</w:t>
      </w:r>
    </w:p>
    <w:p w14:paraId="63D7DB64" w14:textId="77777777" w:rsidR="00EB0AD6" w:rsidRDefault="00EB0AD6" w:rsidP="0029056B">
      <w:pPr>
        <w:spacing w:line="480" w:lineRule="auto"/>
        <w:rPr>
          <w:rFonts w:asciiTheme="majorBidi" w:hAnsiTheme="majorBidi" w:cstheme="majorBidi"/>
        </w:rPr>
      </w:pPr>
    </w:p>
    <w:p w14:paraId="0CDC518F" w14:textId="4E09DDF9" w:rsidR="00EB0AD6" w:rsidRDefault="00EB0AD6" w:rsidP="00EB0AD6">
      <w:pPr>
        <w:pStyle w:val="Heading2"/>
      </w:pPr>
      <w:r>
        <w:t>Disclaimer and acknowledgements</w:t>
      </w:r>
    </w:p>
    <w:p w14:paraId="65AA7D52" w14:textId="77777777" w:rsidR="00EB0AD6" w:rsidRDefault="00EB0AD6" w:rsidP="00EB0AD6">
      <w:pPr>
        <w:pStyle w:val="NormalWeb"/>
      </w:pPr>
      <w:r>
        <w:t>This work contains statistical data from ONS which is Crown Copyright. The use of the ONS statistical data in this work does not imply the endorsement of the ONS in relation to the interpretation or analysis of the statistical data. This work uses research datasets which may not exactly reproduce National Statistics aggregates.</w:t>
      </w:r>
    </w:p>
    <w:p w14:paraId="276936F1" w14:textId="77777777" w:rsidR="00EB0AD6" w:rsidRDefault="00EB0AD6" w:rsidP="00EB0AD6">
      <w:pPr>
        <w:pStyle w:val="NormalWeb"/>
      </w:pPr>
      <w:r>
        <w:t xml:space="preserve">This work was supported by the Economic and Social Research Council (grant number </w:t>
      </w:r>
      <w:hyperlink r:id="rId7" w:anchor="gs1" w:history="1">
        <w:r>
          <w:rPr>
            <w:rStyle w:val="Hyperlink"/>
          </w:rPr>
          <w:t>ES/J500161/1</w:t>
        </w:r>
      </w:hyperlink>
      <w:r>
        <w:t>) and the Administrative Data Research Centre for England. Data used in this study were provided through the ONS′ Virtual Microdata Laboratory in Titchfield.</w:t>
      </w:r>
    </w:p>
    <w:p w14:paraId="289DAC22" w14:textId="77777777" w:rsidR="00EB0AD6" w:rsidRPr="00EB0AD6" w:rsidRDefault="00EB0AD6" w:rsidP="00EB0AD6"/>
    <w:p w14:paraId="35DA5200" w14:textId="13888A4B" w:rsidR="001B2B36" w:rsidRPr="00EE5EFD" w:rsidRDefault="001B2B36" w:rsidP="001F1073">
      <w:pPr>
        <w:pStyle w:val="Heading1"/>
      </w:pPr>
      <w:r w:rsidRPr="00EE5EFD">
        <w:t>References</w:t>
      </w:r>
    </w:p>
    <w:p w14:paraId="2B3579D7" w14:textId="0D59E2FB" w:rsidR="0069735D" w:rsidRPr="0069735D" w:rsidRDefault="00A328DF" w:rsidP="0069735D">
      <w:pPr>
        <w:widowControl w:val="0"/>
        <w:autoSpaceDE w:val="0"/>
        <w:autoSpaceDN w:val="0"/>
        <w:adjustRightInd w:val="0"/>
        <w:spacing w:line="240" w:lineRule="auto"/>
        <w:ind w:left="480" w:hanging="480"/>
        <w:rPr>
          <w:rFonts w:ascii="Times New Roman" w:hAnsi="Times New Roman" w:cs="Times New Roman"/>
          <w:noProof/>
          <w:szCs w:val="24"/>
        </w:rPr>
      </w:pPr>
      <w:r>
        <w:rPr>
          <w:rFonts w:asciiTheme="majorBidi" w:hAnsiTheme="majorBidi" w:cstheme="majorBidi"/>
        </w:rPr>
        <w:fldChar w:fldCharType="begin" w:fldLock="1"/>
      </w:r>
      <w:r>
        <w:rPr>
          <w:rFonts w:asciiTheme="majorBidi" w:hAnsiTheme="majorBidi" w:cstheme="majorBidi"/>
        </w:rPr>
        <w:instrText xml:space="preserve">ADDIN Mendeley Bibliography CSL_BIBLIOGRAPHY </w:instrText>
      </w:r>
      <w:r>
        <w:rPr>
          <w:rFonts w:asciiTheme="majorBidi" w:hAnsiTheme="majorBidi" w:cstheme="majorBidi"/>
        </w:rPr>
        <w:fldChar w:fldCharType="separate"/>
      </w:r>
      <w:r w:rsidR="0069735D" w:rsidRPr="0069735D">
        <w:rPr>
          <w:rFonts w:ascii="Times New Roman" w:hAnsi="Times New Roman" w:cs="Times New Roman"/>
          <w:noProof/>
          <w:szCs w:val="24"/>
        </w:rPr>
        <w:t xml:space="preserve">Abraído-Lanza AF, Dohrenwend BP, Ng-Mak DS, Turner JB. 1999. The Latino mortality paradox: a test of the ‘salmon bias’ and healthy migrant hypotheses. </w:t>
      </w:r>
      <w:r w:rsidR="0069735D" w:rsidRPr="0069735D">
        <w:rPr>
          <w:rFonts w:ascii="Times New Roman" w:hAnsi="Times New Roman" w:cs="Times New Roman"/>
          <w:i/>
          <w:iCs/>
          <w:noProof/>
          <w:szCs w:val="24"/>
        </w:rPr>
        <w:t>American Journal of Public Health</w:t>
      </w:r>
      <w:r w:rsidR="0069735D" w:rsidRPr="0069735D">
        <w:rPr>
          <w:rFonts w:ascii="Times New Roman" w:hAnsi="Times New Roman" w:cs="Times New Roman"/>
          <w:noProof/>
          <w:szCs w:val="24"/>
        </w:rPr>
        <w:t xml:space="preserve"> </w:t>
      </w:r>
      <w:r w:rsidR="0069735D" w:rsidRPr="0069735D">
        <w:rPr>
          <w:rFonts w:ascii="Times New Roman" w:hAnsi="Times New Roman" w:cs="Times New Roman"/>
          <w:b/>
          <w:bCs/>
          <w:noProof/>
          <w:szCs w:val="24"/>
        </w:rPr>
        <w:t>89</w:t>
      </w:r>
      <w:r w:rsidR="0069735D" w:rsidRPr="0069735D">
        <w:rPr>
          <w:rFonts w:ascii="Times New Roman" w:hAnsi="Times New Roman" w:cs="Times New Roman"/>
          <w:noProof/>
          <w:szCs w:val="24"/>
        </w:rPr>
        <w:t>: 1543–1548 DOI: 10.2105/ajph.89.10.1543</w:t>
      </w:r>
    </w:p>
    <w:p w14:paraId="3D8FF018" w14:textId="77777777" w:rsidR="0069735D" w:rsidRPr="0069735D" w:rsidRDefault="0069735D" w:rsidP="0069735D">
      <w:pPr>
        <w:widowControl w:val="0"/>
        <w:autoSpaceDE w:val="0"/>
        <w:autoSpaceDN w:val="0"/>
        <w:adjustRightInd w:val="0"/>
        <w:spacing w:line="240" w:lineRule="auto"/>
        <w:ind w:left="480" w:hanging="480"/>
        <w:rPr>
          <w:rFonts w:ascii="Times New Roman" w:hAnsi="Times New Roman" w:cs="Times New Roman"/>
          <w:noProof/>
          <w:szCs w:val="24"/>
        </w:rPr>
      </w:pPr>
      <w:r w:rsidRPr="0069735D">
        <w:rPr>
          <w:rFonts w:ascii="Times New Roman" w:hAnsi="Times New Roman" w:cs="Times New Roman"/>
          <w:noProof/>
          <w:szCs w:val="24"/>
        </w:rPr>
        <w:lastRenderedPageBreak/>
        <w:t>Bailey N, Livingston M. 2005. Determinants of individual migration : an analysis of SARs data. 3. Glasgow.</w:t>
      </w:r>
    </w:p>
    <w:p w14:paraId="55FA8B07" w14:textId="77777777" w:rsidR="0069735D" w:rsidRPr="0069735D" w:rsidRDefault="0069735D" w:rsidP="0069735D">
      <w:pPr>
        <w:widowControl w:val="0"/>
        <w:autoSpaceDE w:val="0"/>
        <w:autoSpaceDN w:val="0"/>
        <w:adjustRightInd w:val="0"/>
        <w:spacing w:line="240" w:lineRule="auto"/>
        <w:ind w:left="480" w:hanging="480"/>
        <w:rPr>
          <w:rFonts w:ascii="Times New Roman" w:hAnsi="Times New Roman" w:cs="Times New Roman"/>
          <w:noProof/>
          <w:szCs w:val="24"/>
        </w:rPr>
      </w:pPr>
      <w:r w:rsidRPr="0069735D">
        <w:rPr>
          <w:rFonts w:ascii="Times New Roman" w:hAnsi="Times New Roman" w:cs="Times New Roman"/>
          <w:noProof/>
          <w:szCs w:val="24"/>
        </w:rPr>
        <w:t xml:space="preserve">Bentham G. 1988. Migration and morbidity: implications for geographical studies of disease. </w:t>
      </w:r>
      <w:r w:rsidRPr="0069735D">
        <w:rPr>
          <w:rFonts w:ascii="Times New Roman" w:hAnsi="Times New Roman" w:cs="Times New Roman"/>
          <w:i/>
          <w:iCs/>
          <w:noProof/>
          <w:szCs w:val="24"/>
        </w:rPr>
        <w:t>Social science &amp; medicine</w:t>
      </w:r>
      <w:r w:rsidRPr="0069735D">
        <w:rPr>
          <w:rFonts w:ascii="Times New Roman" w:hAnsi="Times New Roman" w:cs="Times New Roman"/>
          <w:noProof/>
          <w:szCs w:val="24"/>
        </w:rPr>
        <w:t xml:space="preserve"> </w:t>
      </w:r>
      <w:r w:rsidRPr="0069735D">
        <w:rPr>
          <w:rFonts w:ascii="Times New Roman" w:hAnsi="Times New Roman" w:cs="Times New Roman"/>
          <w:b/>
          <w:bCs/>
          <w:noProof/>
          <w:szCs w:val="24"/>
        </w:rPr>
        <w:t>26</w:t>
      </w:r>
      <w:r w:rsidRPr="0069735D">
        <w:rPr>
          <w:rFonts w:ascii="Times New Roman" w:hAnsi="Times New Roman" w:cs="Times New Roman"/>
          <w:noProof/>
          <w:szCs w:val="24"/>
        </w:rPr>
        <w:t>: 49–54 DOI: 10.1016/0277-9536(88)90044-5</w:t>
      </w:r>
    </w:p>
    <w:p w14:paraId="07B4823C" w14:textId="77777777" w:rsidR="0069735D" w:rsidRPr="0069735D" w:rsidRDefault="0069735D" w:rsidP="0069735D">
      <w:pPr>
        <w:widowControl w:val="0"/>
        <w:autoSpaceDE w:val="0"/>
        <w:autoSpaceDN w:val="0"/>
        <w:adjustRightInd w:val="0"/>
        <w:spacing w:line="240" w:lineRule="auto"/>
        <w:ind w:left="480" w:hanging="480"/>
        <w:rPr>
          <w:rFonts w:ascii="Times New Roman" w:hAnsi="Times New Roman" w:cs="Times New Roman"/>
          <w:noProof/>
          <w:szCs w:val="24"/>
        </w:rPr>
      </w:pPr>
      <w:r w:rsidRPr="0069735D">
        <w:rPr>
          <w:rFonts w:ascii="Times New Roman" w:hAnsi="Times New Roman" w:cs="Times New Roman"/>
          <w:noProof/>
          <w:szCs w:val="24"/>
        </w:rPr>
        <w:t xml:space="preserve">Boyle P, Shen J. 1997. Public housing and migration: a multi-level modelling approach. </w:t>
      </w:r>
      <w:r w:rsidRPr="0069735D">
        <w:rPr>
          <w:rFonts w:ascii="Times New Roman" w:hAnsi="Times New Roman" w:cs="Times New Roman"/>
          <w:i/>
          <w:iCs/>
          <w:noProof/>
          <w:szCs w:val="24"/>
        </w:rPr>
        <w:t>International Journal of Population Geography</w:t>
      </w:r>
      <w:r w:rsidRPr="0069735D">
        <w:rPr>
          <w:rFonts w:ascii="Times New Roman" w:hAnsi="Times New Roman" w:cs="Times New Roman"/>
          <w:noProof/>
          <w:szCs w:val="24"/>
        </w:rPr>
        <w:t xml:space="preserve"> </w:t>
      </w:r>
      <w:r w:rsidRPr="0069735D">
        <w:rPr>
          <w:rFonts w:ascii="Times New Roman" w:hAnsi="Times New Roman" w:cs="Times New Roman"/>
          <w:b/>
          <w:bCs/>
          <w:noProof/>
          <w:szCs w:val="24"/>
        </w:rPr>
        <w:t>3</w:t>
      </w:r>
      <w:r w:rsidRPr="0069735D">
        <w:rPr>
          <w:rFonts w:ascii="Times New Roman" w:hAnsi="Times New Roman" w:cs="Times New Roman"/>
          <w:noProof/>
          <w:szCs w:val="24"/>
        </w:rPr>
        <w:t>: 227–242 DOI: 10.1002/(SICI)1099-1220(199709)3:3&lt;227::AID-IJPG69&gt;3.0.CO;2-W</w:t>
      </w:r>
    </w:p>
    <w:p w14:paraId="32F4E07C" w14:textId="77777777" w:rsidR="0069735D" w:rsidRPr="0069735D" w:rsidRDefault="0069735D" w:rsidP="0069735D">
      <w:pPr>
        <w:widowControl w:val="0"/>
        <w:autoSpaceDE w:val="0"/>
        <w:autoSpaceDN w:val="0"/>
        <w:adjustRightInd w:val="0"/>
        <w:spacing w:line="240" w:lineRule="auto"/>
        <w:ind w:left="480" w:hanging="480"/>
        <w:rPr>
          <w:rFonts w:ascii="Times New Roman" w:hAnsi="Times New Roman" w:cs="Times New Roman"/>
          <w:noProof/>
          <w:szCs w:val="24"/>
        </w:rPr>
      </w:pPr>
      <w:r w:rsidRPr="0069735D">
        <w:rPr>
          <w:rFonts w:ascii="Times New Roman" w:hAnsi="Times New Roman" w:cs="Times New Roman"/>
          <w:noProof/>
          <w:szCs w:val="24"/>
        </w:rPr>
        <w:t xml:space="preserve">Boyle P, Gatrell AC, Duke-Williams O. 2001. Do area-level population change, deprivation and variations in deprivation affect individual-level self-reported limiting long-term illness? </w:t>
      </w:r>
      <w:r w:rsidRPr="0069735D">
        <w:rPr>
          <w:rFonts w:ascii="Times New Roman" w:hAnsi="Times New Roman" w:cs="Times New Roman"/>
          <w:i/>
          <w:iCs/>
          <w:noProof/>
          <w:szCs w:val="24"/>
        </w:rPr>
        <w:t>Social Science &amp; Medicine</w:t>
      </w:r>
      <w:r w:rsidRPr="0069735D">
        <w:rPr>
          <w:rFonts w:ascii="Times New Roman" w:hAnsi="Times New Roman" w:cs="Times New Roman"/>
          <w:noProof/>
          <w:szCs w:val="24"/>
        </w:rPr>
        <w:t xml:space="preserve"> </w:t>
      </w:r>
      <w:r w:rsidRPr="0069735D">
        <w:rPr>
          <w:rFonts w:ascii="Times New Roman" w:hAnsi="Times New Roman" w:cs="Times New Roman"/>
          <w:b/>
          <w:bCs/>
          <w:noProof/>
          <w:szCs w:val="24"/>
        </w:rPr>
        <w:t>53</w:t>
      </w:r>
      <w:r w:rsidRPr="0069735D">
        <w:rPr>
          <w:rFonts w:ascii="Times New Roman" w:hAnsi="Times New Roman" w:cs="Times New Roman"/>
          <w:noProof/>
          <w:szCs w:val="24"/>
        </w:rPr>
        <w:t>: 795–799 DOI: 10.1016/S0277-9536(00)00373-7</w:t>
      </w:r>
    </w:p>
    <w:p w14:paraId="7754C0B9" w14:textId="77777777" w:rsidR="0069735D" w:rsidRPr="0069735D" w:rsidRDefault="0069735D" w:rsidP="0069735D">
      <w:pPr>
        <w:widowControl w:val="0"/>
        <w:autoSpaceDE w:val="0"/>
        <w:autoSpaceDN w:val="0"/>
        <w:adjustRightInd w:val="0"/>
        <w:spacing w:line="240" w:lineRule="auto"/>
        <w:ind w:left="480" w:hanging="480"/>
        <w:rPr>
          <w:rFonts w:ascii="Times New Roman" w:hAnsi="Times New Roman" w:cs="Times New Roman"/>
          <w:noProof/>
          <w:szCs w:val="24"/>
        </w:rPr>
      </w:pPr>
      <w:r w:rsidRPr="0069735D">
        <w:rPr>
          <w:rFonts w:ascii="Times New Roman" w:hAnsi="Times New Roman" w:cs="Times New Roman"/>
          <w:noProof/>
          <w:szCs w:val="24"/>
        </w:rPr>
        <w:t xml:space="preserve">Boyle P, Norman P, Popham F. 2009. Social mobility: Evidence that it can widen health inequalities. </w:t>
      </w:r>
      <w:r w:rsidRPr="0069735D">
        <w:rPr>
          <w:rFonts w:ascii="Times New Roman" w:hAnsi="Times New Roman" w:cs="Times New Roman"/>
          <w:i/>
          <w:iCs/>
          <w:noProof/>
          <w:szCs w:val="24"/>
        </w:rPr>
        <w:t>Social Science &amp; Medicine</w:t>
      </w:r>
      <w:r w:rsidRPr="0069735D">
        <w:rPr>
          <w:rFonts w:ascii="Times New Roman" w:hAnsi="Times New Roman" w:cs="Times New Roman"/>
          <w:noProof/>
          <w:szCs w:val="24"/>
        </w:rPr>
        <w:t xml:space="preserve"> </w:t>
      </w:r>
      <w:r w:rsidRPr="0069735D">
        <w:rPr>
          <w:rFonts w:ascii="Times New Roman" w:hAnsi="Times New Roman" w:cs="Times New Roman"/>
          <w:b/>
          <w:bCs/>
          <w:noProof/>
          <w:szCs w:val="24"/>
        </w:rPr>
        <w:t>68</w:t>
      </w:r>
      <w:r w:rsidRPr="0069735D">
        <w:rPr>
          <w:rFonts w:ascii="Times New Roman" w:hAnsi="Times New Roman" w:cs="Times New Roman"/>
          <w:noProof/>
          <w:szCs w:val="24"/>
        </w:rPr>
        <w:t>: 1835–1842 DOI: 10.1016/j.socscimed.2009.02.051</w:t>
      </w:r>
    </w:p>
    <w:p w14:paraId="09726495" w14:textId="77777777" w:rsidR="0069735D" w:rsidRPr="0069735D" w:rsidRDefault="0069735D" w:rsidP="0069735D">
      <w:pPr>
        <w:widowControl w:val="0"/>
        <w:autoSpaceDE w:val="0"/>
        <w:autoSpaceDN w:val="0"/>
        <w:adjustRightInd w:val="0"/>
        <w:spacing w:line="240" w:lineRule="auto"/>
        <w:ind w:left="480" w:hanging="480"/>
        <w:rPr>
          <w:rFonts w:ascii="Times New Roman" w:hAnsi="Times New Roman" w:cs="Times New Roman"/>
          <w:noProof/>
          <w:szCs w:val="24"/>
        </w:rPr>
      </w:pPr>
      <w:r w:rsidRPr="0069735D">
        <w:rPr>
          <w:rFonts w:ascii="Times New Roman" w:hAnsi="Times New Roman" w:cs="Times New Roman"/>
          <w:noProof/>
          <w:szCs w:val="24"/>
        </w:rPr>
        <w:t xml:space="preserve">Boyle P, Norman P, Rees P. 2002. Does migration exaggerate the relationship between deprivation and limiting long-term illness? A Scottish analysis. </w:t>
      </w:r>
      <w:r w:rsidRPr="0069735D">
        <w:rPr>
          <w:rFonts w:ascii="Times New Roman" w:hAnsi="Times New Roman" w:cs="Times New Roman"/>
          <w:i/>
          <w:iCs/>
          <w:noProof/>
          <w:szCs w:val="24"/>
        </w:rPr>
        <w:t>Social Science &amp; Medicine</w:t>
      </w:r>
      <w:r w:rsidRPr="0069735D">
        <w:rPr>
          <w:rFonts w:ascii="Times New Roman" w:hAnsi="Times New Roman" w:cs="Times New Roman"/>
          <w:noProof/>
          <w:szCs w:val="24"/>
        </w:rPr>
        <w:t xml:space="preserve"> </w:t>
      </w:r>
      <w:r w:rsidRPr="0069735D">
        <w:rPr>
          <w:rFonts w:ascii="Times New Roman" w:hAnsi="Times New Roman" w:cs="Times New Roman"/>
          <w:b/>
          <w:bCs/>
          <w:noProof/>
          <w:szCs w:val="24"/>
        </w:rPr>
        <w:t>55</w:t>
      </w:r>
      <w:r w:rsidRPr="0069735D">
        <w:rPr>
          <w:rFonts w:ascii="Times New Roman" w:hAnsi="Times New Roman" w:cs="Times New Roman"/>
          <w:noProof/>
          <w:szCs w:val="24"/>
        </w:rPr>
        <w:t>: 21–31 DOI: 10.1016/S0277-9536(01)00217-9</w:t>
      </w:r>
    </w:p>
    <w:p w14:paraId="048966D9" w14:textId="77777777" w:rsidR="0069735D" w:rsidRPr="0069735D" w:rsidRDefault="0069735D" w:rsidP="0069735D">
      <w:pPr>
        <w:widowControl w:val="0"/>
        <w:autoSpaceDE w:val="0"/>
        <w:autoSpaceDN w:val="0"/>
        <w:adjustRightInd w:val="0"/>
        <w:spacing w:line="240" w:lineRule="auto"/>
        <w:ind w:left="480" w:hanging="480"/>
        <w:rPr>
          <w:rFonts w:ascii="Times New Roman" w:hAnsi="Times New Roman" w:cs="Times New Roman"/>
          <w:noProof/>
          <w:szCs w:val="24"/>
        </w:rPr>
      </w:pPr>
      <w:r w:rsidRPr="0069735D">
        <w:rPr>
          <w:rFonts w:ascii="Times New Roman" w:hAnsi="Times New Roman" w:cs="Times New Roman"/>
          <w:noProof/>
          <w:szCs w:val="24"/>
        </w:rPr>
        <w:t xml:space="preserve">Boyle P, Norman P, Rees P. 2004. Changing places. Do changes in the relative deprivation of areas influence limiting long-term illness and mortality among non-migrant people living in non-deprived households? </w:t>
      </w:r>
      <w:r w:rsidRPr="0069735D">
        <w:rPr>
          <w:rFonts w:ascii="Times New Roman" w:hAnsi="Times New Roman" w:cs="Times New Roman"/>
          <w:i/>
          <w:iCs/>
          <w:noProof/>
          <w:szCs w:val="24"/>
        </w:rPr>
        <w:t>Social Science &amp; Medicine</w:t>
      </w:r>
      <w:r w:rsidRPr="0069735D">
        <w:rPr>
          <w:rFonts w:ascii="Times New Roman" w:hAnsi="Times New Roman" w:cs="Times New Roman"/>
          <w:noProof/>
          <w:szCs w:val="24"/>
        </w:rPr>
        <w:t xml:space="preserve"> </w:t>
      </w:r>
      <w:r w:rsidRPr="0069735D">
        <w:rPr>
          <w:rFonts w:ascii="Times New Roman" w:hAnsi="Times New Roman" w:cs="Times New Roman"/>
          <w:b/>
          <w:bCs/>
          <w:noProof/>
          <w:szCs w:val="24"/>
        </w:rPr>
        <w:t>58</w:t>
      </w:r>
      <w:r w:rsidRPr="0069735D">
        <w:rPr>
          <w:rFonts w:ascii="Times New Roman" w:hAnsi="Times New Roman" w:cs="Times New Roman"/>
          <w:noProof/>
          <w:szCs w:val="24"/>
        </w:rPr>
        <w:t>: 2459–2471 DOI: http://dx.doi.org/10.1016/j.socscimed.2003.09.011</w:t>
      </w:r>
    </w:p>
    <w:p w14:paraId="263B4795" w14:textId="77777777" w:rsidR="0069735D" w:rsidRPr="0069735D" w:rsidRDefault="0069735D" w:rsidP="0069735D">
      <w:pPr>
        <w:widowControl w:val="0"/>
        <w:autoSpaceDE w:val="0"/>
        <w:autoSpaceDN w:val="0"/>
        <w:adjustRightInd w:val="0"/>
        <w:spacing w:line="240" w:lineRule="auto"/>
        <w:ind w:left="480" w:hanging="480"/>
        <w:rPr>
          <w:rFonts w:ascii="Times New Roman" w:hAnsi="Times New Roman" w:cs="Times New Roman"/>
          <w:noProof/>
          <w:szCs w:val="24"/>
        </w:rPr>
      </w:pPr>
      <w:r w:rsidRPr="0069735D">
        <w:rPr>
          <w:rFonts w:ascii="Times New Roman" w:hAnsi="Times New Roman" w:cs="Times New Roman"/>
          <w:noProof/>
          <w:szCs w:val="24"/>
        </w:rPr>
        <w:t xml:space="preserve">Breslow RE, Klinger BI, Erickson BJ. 1998. County drift: A type of geographic mobility of chronic psychiatric patients. </w:t>
      </w:r>
      <w:r w:rsidRPr="0069735D">
        <w:rPr>
          <w:rFonts w:ascii="Times New Roman" w:hAnsi="Times New Roman" w:cs="Times New Roman"/>
          <w:i/>
          <w:iCs/>
          <w:noProof/>
          <w:szCs w:val="24"/>
        </w:rPr>
        <w:t>General Hospital Psychiatry</w:t>
      </w:r>
      <w:r w:rsidRPr="0069735D">
        <w:rPr>
          <w:rFonts w:ascii="Times New Roman" w:hAnsi="Times New Roman" w:cs="Times New Roman"/>
          <w:noProof/>
          <w:szCs w:val="24"/>
        </w:rPr>
        <w:t xml:space="preserve"> </w:t>
      </w:r>
      <w:r w:rsidRPr="0069735D">
        <w:rPr>
          <w:rFonts w:ascii="Times New Roman" w:hAnsi="Times New Roman" w:cs="Times New Roman"/>
          <w:b/>
          <w:bCs/>
          <w:noProof/>
          <w:szCs w:val="24"/>
        </w:rPr>
        <w:t>20</w:t>
      </w:r>
      <w:r w:rsidRPr="0069735D">
        <w:rPr>
          <w:rFonts w:ascii="Times New Roman" w:hAnsi="Times New Roman" w:cs="Times New Roman"/>
          <w:noProof/>
          <w:szCs w:val="24"/>
        </w:rPr>
        <w:t>: 44–47 DOI: 10.1016/S0163-8343(97)00117-5</w:t>
      </w:r>
    </w:p>
    <w:p w14:paraId="4B35F42C" w14:textId="77777777" w:rsidR="0069735D" w:rsidRPr="0069735D" w:rsidRDefault="0069735D" w:rsidP="0069735D">
      <w:pPr>
        <w:widowControl w:val="0"/>
        <w:autoSpaceDE w:val="0"/>
        <w:autoSpaceDN w:val="0"/>
        <w:adjustRightInd w:val="0"/>
        <w:spacing w:line="240" w:lineRule="auto"/>
        <w:ind w:left="480" w:hanging="480"/>
        <w:rPr>
          <w:rFonts w:ascii="Times New Roman" w:hAnsi="Times New Roman" w:cs="Times New Roman"/>
          <w:noProof/>
          <w:szCs w:val="24"/>
        </w:rPr>
      </w:pPr>
      <w:r w:rsidRPr="0069735D">
        <w:rPr>
          <w:rFonts w:ascii="Times New Roman" w:hAnsi="Times New Roman" w:cs="Times New Roman"/>
          <w:noProof/>
          <w:szCs w:val="24"/>
        </w:rPr>
        <w:t xml:space="preserve">Brimblecombe N, Dorling D, Shaw M. 1999. Mortality and migration in Britain, first results from the British Household Panel Survey. </w:t>
      </w:r>
      <w:r w:rsidRPr="0069735D">
        <w:rPr>
          <w:rFonts w:ascii="Times New Roman" w:hAnsi="Times New Roman" w:cs="Times New Roman"/>
          <w:i/>
          <w:iCs/>
          <w:noProof/>
          <w:szCs w:val="24"/>
        </w:rPr>
        <w:t>Social Science &amp; Medicine</w:t>
      </w:r>
      <w:r w:rsidRPr="0069735D">
        <w:rPr>
          <w:rFonts w:ascii="Times New Roman" w:hAnsi="Times New Roman" w:cs="Times New Roman"/>
          <w:noProof/>
          <w:szCs w:val="24"/>
        </w:rPr>
        <w:t xml:space="preserve"> </w:t>
      </w:r>
      <w:r w:rsidRPr="0069735D">
        <w:rPr>
          <w:rFonts w:ascii="Times New Roman" w:hAnsi="Times New Roman" w:cs="Times New Roman"/>
          <w:b/>
          <w:bCs/>
          <w:noProof/>
          <w:szCs w:val="24"/>
        </w:rPr>
        <w:t>49</w:t>
      </w:r>
      <w:r w:rsidRPr="0069735D">
        <w:rPr>
          <w:rFonts w:ascii="Times New Roman" w:hAnsi="Times New Roman" w:cs="Times New Roman"/>
          <w:noProof/>
          <w:szCs w:val="24"/>
        </w:rPr>
        <w:t>: 981–988 DOI: 10.1016/S0277-9536(99)00195-1</w:t>
      </w:r>
    </w:p>
    <w:p w14:paraId="6FE51C0A" w14:textId="77777777" w:rsidR="0069735D" w:rsidRPr="0069735D" w:rsidRDefault="0069735D" w:rsidP="0069735D">
      <w:pPr>
        <w:widowControl w:val="0"/>
        <w:autoSpaceDE w:val="0"/>
        <w:autoSpaceDN w:val="0"/>
        <w:adjustRightInd w:val="0"/>
        <w:spacing w:line="240" w:lineRule="auto"/>
        <w:ind w:left="480" w:hanging="480"/>
        <w:rPr>
          <w:rFonts w:ascii="Times New Roman" w:hAnsi="Times New Roman" w:cs="Times New Roman"/>
          <w:noProof/>
          <w:szCs w:val="24"/>
        </w:rPr>
      </w:pPr>
      <w:r w:rsidRPr="0069735D">
        <w:rPr>
          <w:rFonts w:ascii="Times New Roman" w:hAnsi="Times New Roman" w:cs="Times New Roman"/>
          <w:noProof/>
          <w:szCs w:val="24"/>
        </w:rPr>
        <w:t xml:space="preserve">Brown DL. 2002. Migration and Community: Social Networks in a Multilevel World. </w:t>
      </w:r>
      <w:r w:rsidRPr="0069735D">
        <w:rPr>
          <w:rFonts w:ascii="Times New Roman" w:hAnsi="Times New Roman" w:cs="Times New Roman"/>
          <w:i/>
          <w:iCs/>
          <w:noProof/>
          <w:szCs w:val="24"/>
        </w:rPr>
        <w:t>Rural Sociology</w:t>
      </w:r>
      <w:r w:rsidRPr="0069735D">
        <w:rPr>
          <w:rFonts w:ascii="Times New Roman" w:hAnsi="Times New Roman" w:cs="Times New Roman"/>
          <w:noProof/>
          <w:szCs w:val="24"/>
        </w:rPr>
        <w:t xml:space="preserve"> </w:t>
      </w:r>
      <w:r w:rsidRPr="0069735D">
        <w:rPr>
          <w:rFonts w:ascii="Times New Roman" w:hAnsi="Times New Roman" w:cs="Times New Roman"/>
          <w:b/>
          <w:bCs/>
          <w:noProof/>
          <w:szCs w:val="24"/>
        </w:rPr>
        <w:t>67</w:t>
      </w:r>
      <w:r w:rsidRPr="0069735D">
        <w:rPr>
          <w:rFonts w:ascii="Times New Roman" w:hAnsi="Times New Roman" w:cs="Times New Roman"/>
          <w:noProof/>
          <w:szCs w:val="24"/>
        </w:rPr>
        <w:t>: 1–23 DOI: 10.1111/j.1549-0831.2002.tb00091.x</w:t>
      </w:r>
    </w:p>
    <w:p w14:paraId="4371A697" w14:textId="77777777" w:rsidR="0069735D" w:rsidRPr="0069735D" w:rsidRDefault="0069735D" w:rsidP="0069735D">
      <w:pPr>
        <w:widowControl w:val="0"/>
        <w:autoSpaceDE w:val="0"/>
        <w:autoSpaceDN w:val="0"/>
        <w:adjustRightInd w:val="0"/>
        <w:spacing w:line="240" w:lineRule="auto"/>
        <w:ind w:left="480" w:hanging="480"/>
        <w:rPr>
          <w:rFonts w:ascii="Times New Roman" w:hAnsi="Times New Roman" w:cs="Times New Roman"/>
          <w:noProof/>
          <w:szCs w:val="24"/>
        </w:rPr>
      </w:pPr>
      <w:r w:rsidRPr="0069735D">
        <w:rPr>
          <w:rFonts w:ascii="Times New Roman" w:hAnsi="Times New Roman" w:cs="Times New Roman"/>
          <w:noProof/>
          <w:szCs w:val="24"/>
        </w:rPr>
        <w:t xml:space="preserve">Browne WJ, Subramanian S V, Jones K, Goldstein H. 2005. Variance partitioning in multilevel logistic models that exhibit overdispersion. </w:t>
      </w:r>
      <w:r w:rsidRPr="0069735D">
        <w:rPr>
          <w:rFonts w:ascii="Times New Roman" w:hAnsi="Times New Roman" w:cs="Times New Roman"/>
          <w:i/>
          <w:iCs/>
          <w:noProof/>
          <w:szCs w:val="24"/>
        </w:rPr>
        <w:t>Journal of the Royal Statistical Society: Series A (Statistics in Society)</w:t>
      </w:r>
      <w:r w:rsidRPr="0069735D">
        <w:rPr>
          <w:rFonts w:ascii="Times New Roman" w:hAnsi="Times New Roman" w:cs="Times New Roman"/>
          <w:noProof/>
          <w:szCs w:val="24"/>
        </w:rPr>
        <w:t xml:space="preserve"> </w:t>
      </w:r>
      <w:r w:rsidRPr="0069735D">
        <w:rPr>
          <w:rFonts w:ascii="Times New Roman" w:hAnsi="Times New Roman" w:cs="Times New Roman"/>
          <w:b/>
          <w:bCs/>
          <w:noProof/>
          <w:szCs w:val="24"/>
        </w:rPr>
        <w:t>168</w:t>
      </w:r>
      <w:r w:rsidRPr="0069735D">
        <w:rPr>
          <w:rFonts w:ascii="Times New Roman" w:hAnsi="Times New Roman" w:cs="Times New Roman"/>
          <w:noProof/>
          <w:szCs w:val="24"/>
        </w:rPr>
        <w:t>: 599–613 DOI: 10.1111/j.1467-985X.2004.00365.x</w:t>
      </w:r>
    </w:p>
    <w:p w14:paraId="7A10CB8A" w14:textId="77777777" w:rsidR="0069735D" w:rsidRPr="0069735D" w:rsidRDefault="0069735D" w:rsidP="0069735D">
      <w:pPr>
        <w:widowControl w:val="0"/>
        <w:autoSpaceDE w:val="0"/>
        <w:autoSpaceDN w:val="0"/>
        <w:adjustRightInd w:val="0"/>
        <w:spacing w:line="240" w:lineRule="auto"/>
        <w:ind w:left="480" w:hanging="480"/>
        <w:rPr>
          <w:rFonts w:ascii="Times New Roman" w:hAnsi="Times New Roman" w:cs="Times New Roman"/>
          <w:noProof/>
          <w:szCs w:val="24"/>
        </w:rPr>
      </w:pPr>
      <w:r w:rsidRPr="0069735D">
        <w:rPr>
          <w:rFonts w:ascii="Times New Roman" w:hAnsi="Times New Roman" w:cs="Times New Roman"/>
          <w:noProof/>
          <w:szCs w:val="24"/>
        </w:rPr>
        <w:t xml:space="preserve">Champion T. 2005. Population Movement Within the UK. In </w:t>
      </w:r>
      <w:r w:rsidRPr="0069735D">
        <w:rPr>
          <w:rFonts w:ascii="Times New Roman" w:hAnsi="Times New Roman" w:cs="Times New Roman"/>
          <w:i/>
          <w:iCs/>
          <w:noProof/>
          <w:szCs w:val="24"/>
        </w:rPr>
        <w:t>Focus on People and Migration</w:t>
      </w:r>
      <w:r w:rsidRPr="0069735D">
        <w:rPr>
          <w:rFonts w:ascii="Times New Roman" w:hAnsi="Times New Roman" w:cs="Times New Roman"/>
          <w:noProof/>
          <w:szCs w:val="24"/>
        </w:rPr>
        <w:t>, Chappell R (ed.).Office for National Statistics: London.</w:t>
      </w:r>
    </w:p>
    <w:p w14:paraId="715D616B" w14:textId="77777777" w:rsidR="0069735D" w:rsidRPr="0069735D" w:rsidRDefault="0069735D" w:rsidP="0069735D">
      <w:pPr>
        <w:widowControl w:val="0"/>
        <w:autoSpaceDE w:val="0"/>
        <w:autoSpaceDN w:val="0"/>
        <w:adjustRightInd w:val="0"/>
        <w:spacing w:line="240" w:lineRule="auto"/>
        <w:ind w:left="480" w:hanging="480"/>
        <w:rPr>
          <w:rFonts w:ascii="Times New Roman" w:hAnsi="Times New Roman" w:cs="Times New Roman"/>
          <w:noProof/>
          <w:szCs w:val="24"/>
        </w:rPr>
      </w:pPr>
      <w:r w:rsidRPr="0069735D">
        <w:rPr>
          <w:rFonts w:ascii="Times New Roman" w:hAnsi="Times New Roman" w:cs="Times New Roman"/>
          <w:noProof/>
          <w:szCs w:val="24"/>
        </w:rPr>
        <w:t>Champion T, Shuttleworth I. 2015. Are people moving home less? An analysis of address changing in England and Wales, 1971-2011, using the ONS Longitudinal Study. 177. London.</w:t>
      </w:r>
    </w:p>
    <w:p w14:paraId="266F427B" w14:textId="77777777" w:rsidR="0069735D" w:rsidRPr="0069735D" w:rsidRDefault="0069735D" w:rsidP="0069735D">
      <w:pPr>
        <w:widowControl w:val="0"/>
        <w:autoSpaceDE w:val="0"/>
        <w:autoSpaceDN w:val="0"/>
        <w:adjustRightInd w:val="0"/>
        <w:spacing w:line="240" w:lineRule="auto"/>
        <w:ind w:left="480" w:hanging="480"/>
        <w:rPr>
          <w:rFonts w:ascii="Times New Roman" w:hAnsi="Times New Roman" w:cs="Times New Roman"/>
          <w:noProof/>
          <w:szCs w:val="24"/>
        </w:rPr>
      </w:pPr>
      <w:r w:rsidRPr="0069735D">
        <w:rPr>
          <w:rFonts w:ascii="Times New Roman" w:hAnsi="Times New Roman" w:cs="Times New Roman"/>
          <w:noProof/>
          <w:szCs w:val="24"/>
        </w:rPr>
        <w:t xml:space="preserve">Champion T, Fotheringham S, Rees P, Boyle P, Stillwell J. 1998. </w:t>
      </w:r>
      <w:r w:rsidRPr="0069735D">
        <w:rPr>
          <w:rFonts w:ascii="Times New Roman" w:hAnsi="Times New Roman" w:cs="Times New Roman"/>
          <w:i/>
          <w:iCs/>
          <w:noProof/>
          <w:szCs w:val="24"/>
        </w:rPr>
        <w:t>The determinants of migration flows in England: a review of existing data and evidence: a report prepared for the Department of the Environment, Transport and the Regions</w:t>
      </w:r>
      <w:r w:rsidRPr="0069735D">
        <w:rPr>
          <w:rFonts w:ascii="Times New Roman" w:hAnsi="Times New Roman" w:cs="Times New Roman"/>
          <w:noProof/>
          <w:szCs w:val="24"/>
        </w:rPr>
        <w:t>. The Department of Geography, University of Newcastle upon Tyne: Newcastle upon Tyne.</w:t>
      </w:r>
    </w:p>
    <w:p w14:paraId="15561EDC" w14:textId="77777777" w:rsidR="0069735D" w:rsidRPr="0069735D" w:rsidRDefault="0069735D" w:rsidP="0069735D">
      <w:pPr>
        <w:widowControl w:val="0"/>
        <w:autoSpaceDE w:val="0"/>
        <w:autoSpaceDN w:val="0"/>
        <w:adjustRightInd w:val="0"/>
        <w:spacing w:line="240" w:lineRule="auto"/>
        <w:ind w:left="480" w:hanging="480"/>
        <w:rPr>
          <w:rFonts w:ascii="Times New Roman" w:hAnsi="Times New Roman" w:cs="Times New Roman"/>
          <w:noProof/>
          <w:szCs w:val="24"/>
        </w:rPr>
      </w:pPr>
      <w:r w:rsidRPr="0069735D">
        <w:rPr>
          <w:rFonts w:ascii="Times New Roman" w:hAnsi="Times New Roman" w:cs="Times New Roman"/>
          <w:noProof/>
          <w:szCs w:val="24"/>
        </w:rPr>
        <w:t xml:space="preserve">Cho Y, Whitehead C. 2013. The immobility of social tenants: is it true? Does it matter? </w:t>
      </w:r>
      <w:r w:rsidRPr="0069735D">
        <w:rPr>
          <w:rFonts w:ascii="Times New Roman" w:hAnsi="Times New Roman" w:cs="Times New Roman"/>
          <w:i/>
          <w:iCs/>
          <w:noProof/>
          <w:szCs w:val="24"/>
        </w:rPr>
        <w:t>Journal of Housing and the Built Environment</w:t>
      </w:r>
      <w:r w:rsidRPr="0069735D">
        <w:rPr>
          <w:rFonts w:ascii="Times New Roman" w:hAnsi="Times New Roman" w:cs="Times New Roman"/>
          <w:noProof/>
          <w:szCs w:val="24"/>
        </w:rPr>
        <w:t xml:space="preserve"> </w:t>
      </w:r>
      <w:r w:rsidRPr="0069735D">
        <w:rPr>
          <w:rFonts w:ascii="Times New Roman" w:hAnsi="Times New Roman" w:cs="Times New Roman"/>
          <w:b/>
          <w:bCs/>
          <w:noProof/>
          <w:szCs w:val="24"/>
        </w:rPr>
        <w:t>28</w:t>
      </w:r>
      <w:r w:rsidRPr="0069735D">
        <w:rPr>
          <w:rFonts w:ascii="Times New Roman" w:hAnsi="Times New Roman" w:cs="Times New Roman"/>
          <w:noProof/>
          <w:szCs w:val="24"/>
        </w:rPr>
        <w:t>: 705–726 DOI: 10.1007/s10901-012-9331-4</w:t>
      </w:r>
    </w:p>
    <w:p w14:paraId="23EA9DEA" w14:textId="77777777" w:rsidR="0069735D" w:rsidRPr="0069735D" w:rsidRDefault="0069735D" w:rsidP="0069735D">
      <w:pPr>
        <w:widowControl w:val="0"/>
        <w:autoSpaceDE w:val="0"/>
        <w:autoSpaceDN w:val="0"/>
        <w:adjustRightInd w:val="0"/>
        <w:spacing w:line="240" w:lineRule="auto"/>
        <w:ind w:left="480" w:hanging="480"/>
        <w:rPr>
          <w:rFonts w:ascii="Times New Roman" w:hAnsi="Times New Roman" w:cs="Times New Roman"/>
          <w:noProof/>
          <w:szCs w:val="24"/>
        </w:rPr>
      </w:pPr>
      <w:r w:rsidRPr="0069735D">
        <w:rPr>
          <w:rFonts w:ascii="Times New Roman" w:hAnsi="Times New Roman" w:cs="Times New Roman"/>
          <w:noProof/>
          <w:szCs w:val="24"/>
        </w:rPr>
        <w:t xml:space="preserve">Cohen G, Forbes J, Garraway M. 1995. Interpreting self reported limiting long term illness. </w:t>
      </w:r>
      <w:r w:rsidRPr="0069735D">
        <w:rPr>
          <w:rFonts w:ascii="Times New Roman" w:hAnsi="Times New Roman" w:cs="Times New Roman"/>
          <w:i/>
          <w:iCs/>
          <w:noProof/>
          <w:szCs w:val="24"/>
        </w:rPr>
        <w:lastRenderedPageBreak/>
        <w:t>BMJ</w:t>
      </w:r>
      <w:r w:rsidRPr="0069735D">
        <w:rPr>
          <w:rFonts w:ascii="Times New Roman" w:hAnsi="Times New Roman" w:cs="Times New Roman"/>
          <w:noProof/>
          <w:szCs w:val="24"/>
        </w:rPr>
        <w:t xml:space="preserve"> </w:t>
      </w:r>
      <w:r w:rsidRPr="0069735D">
        <w:rPr>
          <w:rFonts w:ascii="Times New Roman" w:hAnsi="Times New Roman" w:cs="Times New Roman"/>
          <w:b/>
          <w:bCs/>
          <w:noProof/>
          <w:szCs w:val="24"/>
        </w:rPr>
        <w:t>311</w:t>
      </w:r>
      <w:r w:rsidRPr="0069735D">
        <w:rPr>
          <w:rFonts w:ascii="Times New Roman" w:hAnsi="Times New Roman" w:cs="Times New Roman"/>
          <w:noProof/>
          <w:szCs w:val="24"/>
        </w:rPr>
        <w:t>: 722–724 DOI: 10.1136/bmj.311.7007.722</w:t>
      </w:r>
    </w:p>
    <w:p w14:paraId="7AB8D220" w14:textId="77777777" w:rsidR="0069735D" w:rsidRPr="0069735D" w:rsidRDefault="0069735D" w:rsidP="0069735D">
      <w:pPr>
        <w:widowControl w:val="0"/>
        <w:autoSpaceDE w:val="0"/>
        <w:autoSpaceDN w:val="0"/>
        <w:adjustRightInd w:val="0"/>
        <w:spacing w:line="240" w:lineRule="auto"/>
        <w:ind w:left="480" w:hanging="480"/>
        <w:rPr>
          <w:rFonts w:ascii="Times New Roman" w:hAnsi="Times New Roman" w:cs="Times New Roman"/>
          <w:noProof/>
          <w:szCs w:val="24"/>
        </w:rPr>
      </w:pPr>
      <w:r w:rsidRPr="0069735D">
        <w:rPr>
          <w:rFonts w:ascii="Times New Roman" w:hAnsi="Times New Roman" w:cs="Times New Roman"/>
          <w:noProof/>
          <w:szCs w:val="24"/>
        </w:rPr>
        <w:t xml:space="preserve">Curtis S, Setia MS, Quesnel-Vallee A. 2009. Socio-geographic mobility and health status: a longitudinal analysis using the National Population Health Survey of Canada. </w:t>
      </w:r>
      <w:r w:rsidRPr="0069735D">
        <w:rPr>
          <w:rFonts w:ascii="Times New Roman" w:hAnsi="Times New Roman" w:cs="Times New Roman"/>
          <w:i/>
          <w:iCs/>
          <w:noProof/>
          <w:szCs w:val="24"/>
        </w:rPr>
        <w:t>Social science &amp; medicine (1982)</w:t>
      </w:r>
      <w:r w:rsidRPr="0069735D">
        <w:rPr>
          <w:rFonts w:ascii="Times New Roman" w:hAnsi="Times New Roman" w:cs="Times New Roman"/>
          <w:noProof/>
          <w:szCs w:val="24"/>
        </w:rPr>
        <w:t xml:space="preserve"> </w:t>
      </w:r>
      <w:r w:rsidRPr="0069735D">
        <w:rPr>
          <w:rFonts w:ascii="Times New Roman" w:hAnsi="Times New Roman" w:cs="Times New Roman"/>
          <w:b/>
          <w:bCs/>
          <w:noProof/>
          <w:szCs w:val="24"/>
        </w:rPr>
        <w:t>69</w:t>
      </w:r>
      <w:r w:rsidRPr="0069735D">
        <w:rPr>
          <w:rFonts w:ascii="Times New Roman" w:hAnsi="Times New Roman" w:cs="Times New Roman"/>
          <w:noProof/>
          <w:szCs w:val="24"/>
        </w:rPr>
        <w:t>: 1845–53 DOI: 10.1016/j.socscimed.2009.08.004</w:t>
      </w:r>
    </w:p>
    <w:p w14:paraId="1F6217B4" w14:textId="77777777" w:rsidR="0069735D" w:rsidRPr="0069735D" w:rsidRDefault="0069735D" w:rsidP="0069735D">
      <w:pPr>
        <w:widowControl w:val="0"/>
        <w:autoSpaceDE w:val="0"/>
        <w:autoSpaceDN w:val="0"/>
        <w:adjustRightInd w:val="0"/>
        <w:spacing w:line="240" w:lineRule="auto"/>
        <w:ind w:left="480" w:hanging="480"/>
        <w:rPr>
          <w:rFonts w:ascii="Times New Roman" w:hAnsi="Times New Roman" w:cs="Times New Roman"/>
          <w:noProof/>
          <w:szCs w:val="24"/>
        </w:rPr>
      </w:pPr>
      <w:r w:rsidRPr="0069735D">
        <w:rPr>
          <w:rFonts w:ascii="Times New Roman" w:hAnsi="Times New Roman" w:cs="Times New Roman"/>
          <w:noProof/>
          <w:szCs w:val="24"/>
        </w:rPr>
        <w:t xml:space="preserve">Dijkstra A, Kibele EUB, Verweij A, Van Der Lucht F, Janssen F. 2015. Can selective migration explain why health is worse in regions with population decline?: A study on migration and self-rated health in the Netherlands. </w:t>
      </w:r>
      <w:r w:rsidRPr="0069735D">
        <w:rPr>
          <w:rFonts w:ascii="Times New Roman" w:hAnsi="Times New Roman" w:cs="Times New Roman"/>
          <w:i/>
          <w:iCs/>
          <w:noProof/>
          <w:szCs w:val="24"/>
        </w:rPr>
        <w:t>European Journal of Public Health</w:t>
      </w:r>
      <w:r w:rsidRPr="0069735D">
        <w:rPr>
          <w:rFonts w:ascii="Times New Roman" w:hAnsi="Times New Roman" w:cs="Times New Roman"/>
          <w:noProof/>
          <w:szCs w:val="24"/>
        </w:rPr>
        <w:t xml:space="preserve"> </w:t>
      </w:r>
      <w:r w:rsidRPr="0069735D">
        <w:rPr>
          <w:rFonts w:ascii="Times New Roman" w:hAnsi="Times New Roman" w:cs="Times New Roman"/>
          <w:b/>
          <w:bCs/>
          <w:noProof/>
          <w:szCs w:val="24"/>
        </w:rPr>
        <w:t>25</w:t>
      </w:r>
      <w:r w:rsidRPr="0069735D">
        <w:rPr>
          <w:rFonts w:ascii="Times New Roman" w:hAnsi="Times New Roman" w:cs="Times New Roman"/>
          <w:noProof/>
          <w:szCs w:val="24"/>
        </w:rPr>
        <w:t>: 944–950 DOI: 10.1093/eurpub/ckv192</w:t>
      </w:r>
    </w:p>
    <w:p w14:paraId="11341475" w14:textId="77777777" w:rsidR="0069735D" w:rsidRPr="0069735D" w:rsidRDefault="0069735D" w:rsidP="0069735D">
      <w:pPr>
        <w:widowControl w:val="0"/>
        <w:autoSpaceDE w:val="0"/>
        <w:autoSpaceDN w:val="0"/>
        <w:adjustRightInd w:val="0"/>
        <w:spacing w:line="240" w:lineRule="auto"/>
        <w:ind w:left="480" w:hanging="480"/>
        <w:rPr>
          <w:rFonts w:ascii="Times New Roman" w:hAnsi="Times New Roman" w:cs="Times New Roman"/>
          <w:noProof/>
          <w:szCs w:val="24"/>
        </w:rPr>
      </w:pPr>
      <w:r w:rsidRPr="0069735D">
        <w:rPr>
          <w:rFonts w:ascii="Times New Roman" w:hAnsi="Times New Roman" w:cs="Times New Roman"/>
          <w:noProof/>
          <w:szCs w:val="24"/>
        </w:rPr>
        <w:t xml:space="preserve">Dorling D. 2013. </w:t>
      </w:r>
      <w:r w:rsidRPr="0069735D">
        <w:rPr>
          <w:rFonts w:ascii="Times New Roman" w:hAnsi="Times New Roman" w:cs="Times New Roman"/>
          <w:i/>
          <w:iCs/>
          <w:noProof/>
          <w:szCs w:val="24"/>
        </w:rPr>
        <w:t>Unequal health: The scandal of our times</w:t>
      </w:r>
      <w:r w:rsidRPr="0069735D">
        <w:rPr>
          <w:rFonts w:ascii="Times New Roman" w:hAnsi="Times New Roman" w:cs="Times New Roman"/>
          <w:noProof/>
          <w:szCs w:val="24"/>
        </w:rPr>
        <w:t>. University of Sheffield, United Kingdom.</w:t>
      </w:r>
    </w:p>
    <w:p w14:paraId="16018B99" w14:textId="77777777" w:rsidR="0069735D" w:rsidRPr="0069735D" w:rsidRDefault="0069735D" w:rsidP="0069735D">
      <w:pPr>
        <w:widowControl w:val="0"/>
        <w:autoSpaceDE w:val="0"/>
        <w:autoSpaceDN w:val="0"/>
        <w:adjustRightInd w:val="0"/>
        <w:spacing w:line="240" w:lineRule="auto"/>
        <w:ind w:left="480" w:hanging="480"/>
        <w:rPr>
          <w:rFonts w:ascii="Times New Roman" w:hAnsi="Times New Roman" w:cs="Times New Roman"/>
          <w:noProof/>
          <w:szCs w:val="24"/>
        </w:rPr>
      </w:pPr>
      <w:r w:rsidRPr="0069735D">
        <w:rPr>
          <w:rFonts w:ascii="Times New Roman" w:hAnsi="Times New Roman" w:cs="Times New Roman"/>
          <w:noProof/>
          <w:szCs w:val="24"/>
        </w:rPr>
        <w:t>ESRI. 2014. ArcGIS Help Available at: http://resources.arcgis.com/EN/HELP/MAIN/10.2/index.html#//016w0000005w000000 [Accessed 26 October 2015]</w:t>
      </w:r>
    </w:p>
    <w:p w14:paraId="54551DCF" w14:textId="77777777" w:rsidR="0069735D" w:rsidRPr="0069735D" w:rsidRDefault="0069735D" w:rsidP="0069735D">
      <w:pPr>
        <w:widowControl w:val="0"/>
        <w:autoSpaceDE w:val="0"/>
        <w:autoSpaceDN w:val="0"/>
        <w:adjustRightInd w:val="0"/>
        <w:spacing w:line="240" w:lineRule="auto"/>
        <w:ind w:left="480" w:hanging="480"/>
        <w:rPr>
          <w:rFonts w:ascii="Times New Roman" w:hAnsi="Times New Roman" w:cs="Times New Roman"/>
          <w:noProof/>
          <w:szCs w:val="24"/>
        </w:rPr>
      </w:pPr>
      <w:r w:rsidRPr="0069735D">
        <w:rPr>
          <w:rFonts w:ascii="Times New Roman" w:hAnsi="Times New Roman" w:cs="Times New Roman"/>
          <w:noProof/>
          <w:szCs w:val="24"/>
        </w:rPr>
        <w:t xml:space="preserve">Fennelly K. 2007. The ‘healthy migrant’ effect. </w:t>
      </w:r>
      <w:r w:rsidRPr="0069735D">
        <w:rPr>
          <w:rFonts w:ascii="Times New Roman" w:hAnsi="Times New Roman" w:cs="Times New Roman"/>
          <w:i/>
          <w:iCs/>
          <w:noProof/>
          <w:szCs w:val="24"/>
        </w:rPr>
        <w:t>Minnesota medicine</w:t>
      </w:r>
      <w:r w:rsidRPr="0069735D">
        <w:rPr>
          <w:rFonts w:ascii="Times New Roman" w:hAnsi="Times New Roman" w:cs="Times New Roman"/>
          <w:noProof/>
          <w:szCs w:val="24"/>
        </w:rPr>
        <w:t xml:space="preserve"> </w:t>
      </w:r>
      <w:r w:rsidRPr="0069735D">
        <w:rPr>
          <w:rFonts w:ascii="Times New Roman" w:hAnsi="Times New Roman" w:cs="Times New Roman"/>
          <w:b/>
          <w:bCs/>
          <w:noProof/>
          <w:szCs w:val="24"/>
        </w:rPr>
        <w:t>90</w:t>
      </w:r>
      <w:r w:rsidRPr="0069735D">
        <w:rPr>
          <w:rFonts w:ascii="Times New Roman" w:hAnsi="Times New Roman" w:cs="Times New Roman"/>
          <w:noProof/>
          <w:szCs w:val="24"/>
        </w:rPr>
        <w:t>: 51–53</w:t>
      </w:r>
    </w:p>
    <w:p w14:paraId="60657500" w14:textId="77777777" w:rsidR="0069735D" w:rsidRPr="0069735D" w:rsidRDefault="0069735D" w:rsidP="0069735D">
      <w:pPr>
        <w:widowControl w:val="0"/>
        <w:autoSpaceDE w:val="0"/>
        <w:autoSpaceDN w:val="0"/>
        <w:adjustRightInd w:val="0"/>
        <w:spacing w:line="240" w:lineRule="auto"/>
        <w:ind w:left="480" w:hanging="480"/>
        <w:rPr>
          <w:rFonts w:ascii="Times New Roman" w:hAnsi="Times New Roman" w:cs="Times New Roman"/>
          <w:noProof/>
          <w:szCs w:val="24"/>
        </w:rPr>
      </w:pPr>
      <w:r w:rsidRPr="0069735D">
        <w:rPr>
          <w:rFonts w:ascii="Times New Roman" w:hAnsi="Times New Roman" w:cs="Times New Roman"/>
          <w:noProof/>
          <w:szCs w:val="24"/>
        </w:rPr>
        <w:t xml:space="preserve">Fielding T. 2012. </w:t>
      </w:r>
      <w:r w:rsidRPr="0069735D">
        <w:rPr>
          <w:rFonts w:ascii="Times New Roman" w:hAnsi="Times New Roman" w:cs="Times New Roman"/>
          <w:i/>
          <w:iCs/>
          <w:noProof/>
          <w:szCs w:val="24"/>
        </w:rPr>
        <w:t>Migration in Britain: paradoxes of the present prospects for the future</w:t>
      </w:r>
      <w:r w:rsidRPr="0069735D">
        <w:rPr>
          <w:rFonts w:ascii="Times New Roman" w:hAnsi="Times New Roman" w:cs="Times New Roman"/>
          <w:noProof/>
          <w:szCs w:val="24"/>
        </w:rPr>
        <w:t>. Edward Elgar Publishing Ltd: Cheltenham.</w:t>
      </w:r>
    </w:p>
    <w:p w14:paraId="2F4662EF" w14:textId="77777777" w:rsidR="0069735D" w:rsidRPr="0069735D" w:rsidRDefault="0069735D" w:rsidP="0069735D">
      <w:pPr>
        <w:widowControl w:val="0"/>
        <w:autoSpaceDE w:val="0"/>
        <w:autoSpaceDN w:val="0"/>
        <w:adjustRightInd w:val="0"/>
        <w:spacing w:line="240" w:lineRule="auto"/>
        <w:ind w:left="480" w:hanging="480"/>
        <w:rPr>
          <w:rFonts w:ascii="Times New Roman" w:hAnsi="Times New Roman" w:cs="Times New Roman"/>
          <w:noProof/>
          <w:szCs w:val="24"/>
        </w:rPr>
      </w:pPr>
      <w:r w:rsidRPr="0069735D">
        <w:rPr>
          <w:rFonts w:ascii="Times New Roman" w:hAnsi="Times New Roman" w:cs="Times New Roman"/>
          <w:noProof/>
          <w:szCs w:val="24"/>
        </w:rPr>
        <w:t xml:space="preserve">Findley SE. 1988. The directionality and age selectivity of the health-migration relation: evidence from sequences of disability and mobility in the United States. </w:t>
      </w:r>
      <w:r w:rsidRPr="0069735D">
        <w:rPr>
          <w:rFonts w:ascii="Times New Roman" w:hAnsi="Times New Roman" w:cs="Times New Roman"/>
          <w:i/>
          <w:iCs/>
          <w:noProof/>
          <w:szCs w:val="24"/>
        </w:rPr>
        <w:t>International Migration Review</w:t>
      </w:r>
      <w:r w:rsidRPr="0069735D">
        <w:rPr>
          <w:rFonts w:ascii="Times New Roman" w:hAnsi="Times New Roman" w:cs="Times New Roman"/>
          <w:noProof/>
          <w:szCs w:val="24"/>
        </w:rPr>
        <w:t xml:space="preserve"> </w:t>
      </w:r>
      <w:r w:rsidRPr="0069735D">
        <w:rPr>
          <w:rFonts w:ascii="Times New Roman" w:hAnsi="Times New Roman" w:cs="Times New Roman"/>
          <w:b/>
          <w:bCs/>
          <w:noProof/>
          <w:szCs w:val="24"/>
        </w:rPr>
        <w:t>22</w:t>
      </w:r>
      <w:r w:rsidRPr="0069735D">
        <w:rPr>
          <w:rFonts w:ascii="Times New Roman" w:hAnsi="Times New Roman" w:cs="Times New Roman"/>
          <w:noProof/>
          <w:szCs w:val="24"/>
        </w:rPr>
        <w:t>: 4–29 DOI: 10.2307/2546583</w:t>
      </w:r>
    </w:p>
    <w:p w14:paraId="3A4E2DD0" w14:textId="77777777" w:rsidR="0069735D" w:rsidRPr="0069735D" w:rsidRDefault="0069735D" w:rsidP="0069735D">
      <w:pPr>
        <w:widowControl w:val="0"/>
        <w:autoSpaceDE w:val="0"/>
        <w:autoSpaceDN w:val="0"/>
        <w:adjustRightInd w:val="0"/>
        <w:spacing w:line="240" w:lineRule="auto"/>
        <w:ind w:left="480" w:hanging="480"/>
        <w:rPr>
          <w:rFonts w:ascii="Times New Roman" w:hAnsi="Times New Roman" w:cs="Times New Roman"/>
          <w:noProof/>
          <w:szCs w:val="24"/>
        </w:rPr>
      </w:pPr>
      <w:r w:rsidRPr="0069735D">
        <w:rPr>
          <w:rFonts w:ascii="Times New Roman" w:hAnsi="Times New Roman" w:cs="Times New Roman"/>
          <w:noProof/>
          <w:szCs w:val="24"/>
        </w:rPr>
        <w:t xml:space="preserve">Finney N. 2011. Educational constraints of immobility? Examining ethnic differences in student migration in Britain using Census microdata. </w:t>
      </w:r>
      <w:r w:rsidRPr="0069735D">
        <w:rPr>
          <w:rFonts w:ascii="Times New Roman" w:hAnsi="Times New Roman" w:cs="Times New Roman"/>
          <w:i/>
          <w:iCs/>
          <w:noProof/>
          <w:szCs w:val="24"/>
        </w:rPr>
        <w:t>Documents d’Anàlisi Geogràfica</w:t>
      </w:r>
      <w:r w:rsidRPr="0069735D">
        <w:rPr>
          <w:rFonts w:ascii="Times New Roman" w:hAnsi="Times New Roman" w:cs="Times New Roman"/>
          <w:noProof/>
          <w:szCs w:val="24"/>
        </w:rPr>
        <w:t xml:space="preserve"> </w:t>
      </w:r>
      <w:r w:rsidRPr="0069735D">
        <w:rPr>
          <w:rFonts w:ascii="Times New Roman" w:hAnsi="Times New Roman" w:cs="Times New Roman"/>
          <w:b/>
          <w:bCs/>
          <w:noProof/>
          <w:szCs w:val="24"/>
        </w:rPr>
        <w:t>57</w:t>
      </w:r>
      <w:r w:rsidRPr="0069735D">
        <w:rPr>
          <w:rFonts w:ascii="Times New Roman" w:hAnsi="Times New Roman" w:cs="Times New Roman"/>
          <w:noProof/>
          <w:szCs w:val="24"/>
        </w:rPr>
        <w:t>: 413 DOI: 10.5565/rev/dag.235</w:t>
      </w:r>
    </w:p>
    <w:p w14:paraId="644046DF" w14:textId="77777777" w:rsidR="0069735D" w:rsidRPr="0069735D" w:rsidRDefault="0069735D" w:rsidP="0069735D">
      <w:pPr>
        <w:widowControl w:val="0"/>
        <w:autoSpaceDE w:val="0"/>
        <w:autoSpaceDN w:val="0"/>
        <w:adjustRightInd w:val="0"/>
        <w:spacing w:line="240" w:lineRule="auto"/>
        <w:ind w:left="480" w:hanging="480"/>
        <w:rPr>
          <w:rFonts w:ascii="Times New Roman" w:hAnsi="Times New Roman" w:cs="Times New Roman"/>
          <w:noProof/>
          <w:szCs w:val="24"/>
        </w:rPr>
      </w:pPr>
      <w:r w:rsidRPr="0069735D">
        <w:rPr>
          <w:rFonts w:ascii="Times New Roman" w:hAnsi="Times New Roman" w:cs="Times New Roman"/>
          <w:noProof/>
          <w:szCs w:val="24"/>
        </w:rPr>
        <w:t xml:space="preserve">Finney N, Simpson L. 2008. Internal migration and ethnic groups: evidence for Britain from the 2001 Census. </w:t>
      </w:r>
      <w:r w:rsidRPr="0069735D">
        <w:rPr>
          <w:rFonts w:ascii="Times New Roman" w:hAnsi="Times New Roman" w:cs="Times New Roman"/>
          <w:i/>
          <w:iCs/>
          <w:noProof/>
          <w:szCs w:val="24"/>
        </w:rPr>
        <w:t>Population, Space and Place</w:t>
      </w:r>
      <w:r w:rsidRPr="0069735D">
        <w:rPr>
          <w:rFonts w:ascii="Times New Roman" w:hAnsi="Times New Roman" w:cs="Times New Roman"/>
          <w:noProof/>
          <w:szCs w:val="24"/>
        </w:rPr>
        <w:t xml:space="preserve"> </w:t>
      </w:r>
      <w:r w:rsidRPr="0069735D">
        <w:rPr>
          <w:rFonts w:ascii="Times New Roman" w:hAnsi="Times New Roman" w:cs="Times New Roman"/>
          <w:b/>
          <w:bCs/>
          <w:noProof/>
          <w:szCs w:val="24"/>
        </w:rPr>
        <w:t>14</w:t>
      </w:r>
      <w:r w:rsidRPr="0069735D">
        <w:rPr>
          <w:rFonts w:ascii="Times New Roman" w:hAnsi="Times New Roman" w:cs="Times New Roman"/>
          <w:noProof/>
          <w:szCs w:val="24"/>
        </w:rPr>
        <w:t>: 63–83 DOI: 10.1002/psp.481</w:t>
      </w:r>
    </w:p>
    <w:p w14:paraId="10EBCFB4" w14:textId="77777777" w:rsidR="0069735D" w:rsidRPr="0069735D" w:rsidRDefault="0069735D" w:rsidP="0069735D">
      <w:pPr>
        <w:widowControl w:val="0"/>
        <w:autoSpaceDE w:val="0"/>
        <w:autoSpaceDN w:val="0"/>
        <w:adjustRightInd w:val="0"/>
        <w:spacing w:line="240" w:lineRule="auto"/>
        <w:ind w:left="480" w:hanging="480"/>
        <w:rPr>
          <w:rFonts w:ascii="Times New Roman" w:hAnsi="Times New Roman" w:cs="Times New Roman"/>
          <w:noProof/>
          <w:szCs w:val="24"/>
        </w:rPr>
      </w:pPr>
      <w:r w:rsidRPr="0069735D">
        <w:rPr>
          <w:rFonts w:ascii="Times New Roman" w:hAnsi="Times New Roman" w:cs="Times New Roman"/>
          <w:noProof/>
          <w:szCs w:val="24"/>
        </w:rPr>
        <w:t xml:space="preserve">Flowerdew R. 1976. Search strategies and stopping rules in residential mobility. </w:t>
      </w:r>
      <w:r w:rsidRPr="0069735D">
        <w:rPr>
          <w:rFonts w:ascii="Times New Roman" w:hAnsi="Times New Roman" w:cs="Times New Roman"/>
          <w:i/>
          <w:iCs/>
          <w:noProof/>
          <w:szCs w:val="24"/>
        </w:rPr>
        <w:t>Transactions of the Institute of British Geographers</w:t>
      </w:r>
      <w:r w:rsidRPr="0069735D">
        <w:rPr>
          <w:rFonts w:ascii="Times New Roman" w:hAnsi="Times New Roman" w:cs="Times New Roman"/>
          <w:noProof/>
          <w:szCs w:val="24"/>
        </w:rPr>
        <w:t xml:space="preserve"> </w:t>
      </w:r>
      <w:r w:rsidRPr="0069735D">
        <w:rPr>
          <w:rFonts w:ascii="Times New Roman" w:hAnsi="Times New Roman" w:cs="Times New Roman"/>
          <w:b/>
          <w:bCs/>
          <w:noProof/>
          <w:szCs w:val="24"/>
        </w:rPr>
        <w:t>1</w:t>
      </w:r>
      <w:r w:rsidRPr="0069735D">
        <w:rPr>
          <w:rFonts w:ascii="Times New Roman" w:hAnsi="Times New Roman" w:cs="Times New Roman"/>
          <w:noProof/>
          <w:szCs w:val="24"/>
        </w:rPr>
        <w:t>: 47 DOI: 10.2307/621312</w:t>
      </w:r>
    </w:p>
    <w:p w14:paraId="418BD514" w14:textId="77777777" w:rsidR="0069735D" w:rsidRPr="0069735D" w:rsidRDefault="0069735D" w:rsidP="0069735D">
      <w:pPr>
        <w:widowControl w:val="0"/>
        <w:autoSpaceDE w:val="0"/>
        <w:autoSpaceDN w:val="0"/>
        <w:adjustRightInd w:val="0"/>
        <w:spacing w:line="240" w:lineRule="auto"/>
        <w:ind w:left="480" w:hanging="480"/>
        <w:rPr>
          <w:rFonts w:ascii="Times New Roman" w:hAnsi="Times New Roman" w:cs="Times New Roman"/>
          <w:noProof/>
          <w:szCs w:val="24"/>
        </w:rPr>
      </w:pPr>
      <w:r w:rsidRPr="0069735D">
        <w:rPr>
          <w:rFonts w:ascii="Times New Roman" w:hAnsi="Times New Roman" w:cs="Times New Roman"/>
          <w:noProof/>
          <w:szCs w:val="24"/>
        </w:rPr>
        <w:t xml:space="preserve">Fox AJ, Goldblatt PO, Adelstein AM. 1982. Selection and mortality differentials. </w:t>
      </w:r>
      <w:r w:rsidRPr="0069735D">
        <w:rPr>
          <w:rFonts w:ascii="Times New Roman" w:hAnsi="Times New Roman" w:cs="Times New Roman"/>
          <w:i/>
          <w:iCs/>
          <w:noProof/>
          <w:szCs w:val="24"/>
        </w:rPr>
        <w:t>Journal of Epidemiology and Community Health</w:t>
      </w:r>
      <w:r w:rsidRPr="0069735D">
        <w:rPr>
          <w:rFonts w:ascii="Times New Roman" w:hAnsi="Times New Roman" w:cs="Times New Roman"/>
          <w:noProof/>
          <w:szCs w:val="24"/>
        </w:rPr>
        <w:t xml:space="preserve"> </w:t>
      </w:r>
      <w:r w:rsidRPr="0069735D">
        <w:rPr>
          <w:rFonts w:ascii="Times New Roman" w:hAnsi="Times New Roman" w:cs="Times New Roman"/>
          <w:b/>
          <w:bCs/>
          <w:noProof/>
          <w:szCs w:val="24"/>
        </w:rPr>
        <w:t>36</w:t>
      </w:r>
      <w:r w:rsidRPr="0069735D">
        <w:rPr>
          <w:rFonts w:ascii="Times New Roman" w:hAnsi="Times New Roman" w:cs="Times New Roman"/>
          <w:noProof/>
          <w:szCs w:val="24"/>
        </w:rPr>
        <w:t>: 69–79</w:t>
      </w:r>
    </w:p>
    <w:p w14:paraId="2C7A2BF2" w14:textId="77777777" w:rsidR="0069735D" w:rsidRPr="0069735D" w:rsidRDefault="0069735D" w:rsidP="0069735D">
      <w:pPr>
        <w:widowControl w:val="0"/>
        <w:autoSpaceDE w:val="0"/>
        <w:autoSpaceDN w:val="0"/>
        <w:adjustRightInd w:val="0"/>
        <w:spacing w:line="240" w:lineRule="auto"/>
        <w:ind w:left="480" w:hanging="480"/>
        <w:rPr>
          <w:rFonts w:ascii="Times New Roman" w:hAnsi="Times New Roman" w:cs="Times New Roman"/>
          <w:noProof/>
          <w:szCs w:val="24"/>
        </w:rPr>
      </w:pPr>
      <w:r w:rsidRPr="0069735D">
        <w:rPr>
          <w:rFonts w:ascii="Times New Roman" w:hAnsi="Times New Roman" w:cs="Times New Roman"/>
          <w:noProof/>
          <w:szCs w:val="24"/>
        </w:rPr>
        <w:t xml:space="preserve">Goldstein H. 2011. </w:t>
      </w:r>
      <w:r w:rsidRPr="0069735D">
        <w:rPr>
          <w:rFonts w:ascii="Times New Roman" w:hAnsi="Times New Roman" w:cs="Times New Roman"/>
          <w:i/>
          <w:iCs/>
          <w:noProof/>
          <w:szCs w:val="24"/>
        </w:rPr>
        <w:t>Multilevel statistical models</w:t>
      </w:r>
      <w:r w:rsidRPr="0069735D">
        <w:rPr>
          <w:rFonts w:ascii="Times New Roman" w:hAnsi="Times New Roman" w:cs="Times New Roman"/>
          <w:noProof/>
          <w:szCs w:val="24"/>
        </w:rPr>
        <w:t>. John Wiley &amp; Sons, Ltd: New York.</w:t>
      </w:r>
    </w:p>
    <w:p w14:paraId="65F4A7EC" w14:textId="77777777" w:rsidR="0069735D" w:rsidRPr="0069735D" w:rsidRDefault="0069735D" w:rsidP="0069735D">
      <w:pPr>
        <w:widowControl w:val="0"/>
        <w:autoSpaceDE w:val="0"/>
        <w:autoSpaceDN w:val="0"/>
        <w:adjustRightInd w:val="0"/>
        <w:spacing w:line="240" w:lineRule="auto"/>
        <w:ind w:left="480" w:hanging="480"/>
        <w:rPr>
          <w:rFonts w:ascii="Times New Roman" w:hAnsi="Times New Roman" w:cs="Times New Roman"/>
          <w:noProof/>
          <w:szCs w:val="24"/>
        </w:rPr>
      </w:pPr>
      <w:r w:rsidRPr="0069735D">
        <w:rPr>
          <w:rFonts w:ascii="Times New Roman" w:hAnsi="Times New Roman" w:cs="Times New Roman"/>
          <w:noProof/>
          <w:szCs w:val="24"/>
        </w:rPr>
        <w:t xml:space="preserve">Green MA, Subramanian S V, Vickers D, Dorling D. 2015. Internal migration, area effects and health: Does where you move to impact upon your health? </w:t>
      </w:r>
      <w:r w:rsidRPr="0069735D">
        <w:rPr>
          <w:rFonts w:ascii="Times New Roman" w:hAnsi="Times New Roman" w:cs="Times New Roman"/>
          <w:i/>
          <w:iCs/>
          <w:noProof/>
          <w:szCs w:val="24"/>
        </w:rPr>
        <w:t>Social science &amp; medicine (1982)</w:t>
      </w:r>
      <w:r w:rsidRPr="0069735D">
        <w:rPr>
          <w:rFonts w:ascii="Times New Roman" w:hAnsi="Times New Roman" w:cs="Times New Roman"/>
          <w:noProof/>
          <w:szCs w:val="24"/>
        </w:rPr>
        <w:t xml:space="preserve"> </w:t>
      </w:r>
      <w:r w:rsidRPr="0069735D">
        <w:rPr>
          <w:rFonts w:ascii="Times New Roman" w:hAnsi="Times New Roman" w:cs="Times New Roman"/>
          <w:b/>
          <w:bCs/>
          <w:noProof/>
          <w:szCs w:val="24"/>
        </w:rPr>
        <w:t>136</w:t>
      </w:r>
      <w:r w:rsidRPr="0069735D">
        <w:rPr>
          <w:rFonts w:ascii="Times New Roman" w:hAnsi="Times New Roman" w:cs="Times New Roman"/>
          <w:noProof/>
          <w:szCs w:val="24"/>
        </w:rPr>
        <w:t>–</w:t>
      </w:r>
      <w:r w:rsidRPr="0069735D">
        <w:rPr>
          <w:rFonts w:ascii="Times New Roman" w:hAnsi="Times New Roman" w:cs="Times New Roman"/>
          <w:b/>
          <w:bCs/>
          <w:noProof/>
          <w:szCs w:val="24"/>
        </w:rPr>
        <w:t>137C</w:t>
      </w:r>
      <w:r w:rsidRPr="0069735D">
        <w:rPr>
          <w:rFonts w:ascii="Times New Roman" w:hAnsi="Times New Roman" w:cs="Times New Roman"/>
          <w:noProof/>
          <w:szCs w:val="24"/>
        </w:rPr>
        <w:t>: 27–34 DOI: 10.1016/j.socscimed.2015.05.011</w:t>
      </w:r>
    </w:p>
    <w:p w14:paraId="75DAEDBC" w14:textId="77777777" w:rsidR="0069735D" w:rsidRPr="0069735D" w:rsidRDefault="0069735D" w:rsidP="0069735D">
      <w:pPr>
        <w:widowControl w:val="0"/>
        <w:autoSpaceDE w:val="0"/>
        <w:autoSpaceDN w:val="0"/>
        <w:adjustRightInd w:val="0"/>
        <w:spacing w:line="240" w:lineRule="auto"/>
        <w:ind w:left="480" w:hanging="480"/>
        <w:rPr>
          <w:rFonts w:ascii="Times New Roman" w:hAnsi="Times New Roman" w:cs="Times New Roman"/>
          <w:noProof/>
          <w:szCs w:val="24"/>
        </w:rPr>
      </w:pPr>
      <w:r w:rsidRPr="0069735D">
        <w:rPr>
          <w:rFonts w:ascii="Times New Roman" w:hAnsi="Times New Roman" w:cs="Times New Roman"/>
          <w:noProof/>
          <w:szCs w:val="24"/>
        </w:rPr>
        <w:t xml:space="preserve">van Ham M, Mulder CH, Hooimeijer P. 2001. Spatial flexibility in job mobility: macrolevel opportunities and microlevel restrictions. </w:t>
      </w:r>
      <w:r w:rsidRPr="0069735D">
        <w:rPr>
          <w:rFonts w:ascii="Times New Roman" w:hAnsi="Times New Roman" w:cs="Times New Roman"/>
          <w:i/>
          <w:iCs/>
          <w:noProof/>
          <w:szCs w:val="24"/>
        </w:rPr>
        <w:t>Environment and Planning A</w:t>
      </w:r>
      <w:r w:rsidRPr="0069735D">
        <w:rPr>
          <w:rFonts w:ascii="Times New Roman" w:hAnsi="Times New Roman" w:cs="Times New Roman"/>
          <w:noProof/>
          <w:szCs w:val="24"/>
        </w:rPr>
        <w:t xml:space="preserve"> </w:t>
      </w:r>
      <w:r w:rsidRPr="0069735D">
        <w:rPr>
          <w:rFonts w:ascii="Times New Roman" w:hAnsi="Times New Roman" w:cs="Times New Roman"/>
          <w:b/>
          <w:bCs/>
          <w:noProof/>
          <w:szCs w:val="24"/>
        </w:rPr>
        <w:t>33</w:t>
      </w:r>
      <w:r w:rsidRPr="0069735D">
        <w:rPr>
          <w:rFonts w:ascii="Times New Roman" w:hAnsi="Times New Roman" w:cs="Times New Roman"/>
          <w:noProof/>
          <w:szCs w:val="24"/>
        </w:rPr>
        <w:t>: 921–940 DOI: 10.1068/a33164</w:t>
      </w:r>
    </w:p>
    <w:p w14:paraId="6ADF3FCD" w14:textId="77777777" w:rsidR="0069735D" w:rsidRPr="0069735D" w:rsidRDefault="0069735D" w:rsidP="0069735D">
      <w:pPr>
        <w:widowControl w:val="0"/>
        <w:autoSpaceDE w:val="0"/>
        <w:autoSpaceDN w:val="0"/>
        <w:adjustRightInd w:val="0"/>
        <w:spacing w:line="240" w:lineRule="auto"/>
        <w:ind w:left="480" w:hanging="480"/>
        <w:rPr>
          <w:rFonts w:ascii="Times New Roman" w:hAnsi="Times New Roman" w:cs="Times New Roman"/>
          <w:noProof/>
          <w:szCs w:val="24"/>
        </w:rPr>
      </w:pPr>
      <w:r w:rsidRPr="0069735D">
        <w:rPr>
          <w:rFonts w:ascii="Times New Roman" w:hAnsi="Times New Roman" w:cs="Times New Roman"/>
          <w:noProof/>
          <w:szCs w:val="24"/>
        </w:rPr>
        <w:t xml:space="preserve">Jordan H, Roderick P, Martin D, Barnett S. 2004. Distance, rurality and the need for care: access to health services in South West England. </w:t>
      </w:r>
      <w:r w:rsidRPr="0069735D">
        <w:rPr>
          <w:rFonts w:ascii="Times New Roman" w:hAnsi="Times New Roman" w:cs="Times New Roman"/>
          <w:i/>
          <w:iCs/>
          <w:noProof/>
          <w:szCs w:val="24"/>
        </w:rPr>
        <w:t>International Journal of Health Geographics</w:t>
      </w:r>
      <w:r w:rsidRPr="0069735D">
        <w:rPr>
          <w:rFonts w:ascii="Times New Roman" w:hAnsi="Times New Roman" w:cs="Times New Roman"/>
          <w:noProof/>
          <w:szCs w:val="24"/>
        </w:rPr>
        <w:t xml:space="preserve"> </w:t>
      </w:r>
      <w:r w:rsidRPr="0069735D">
        <w:rPr>
          <w:rFonts w:ascii="Times New Roman" w:hAnsi="Times New Roman" w:cs="Times New Roman"/>
          <w:b/>
          <w:bCs/>
          <w:noProof/>
          <w:szCs w:val="24"/>
        </w:rPr>
        <w:t>3</w:t>
      </w:r>
      <w:r w:rsidRPr="0069735D">
        <w:rPr>
          <w:rFonts w:ascii="Times New Roman" w:hAnsi="Times New Roman" w:cs="Times New Roman"/>
          <w:noProof/>
          <w:szCs w:val="24"/>
        </w:rPr>
        <w:t>: 21 DOI: 10.1186/1476-072X-3-21</w:t>
      </w:r>
    </w:p>
    <w:p w14:paraId="119F9B14" w14:textId="77777777" w:rsidR="0069735D" w:rsidRPr="0069735D" w:rsidRDefault="0069735D" w:rsidP="0069735D">
      <w:pPr>
        <w:widowControl w:val="0"/>
        <w:autoSpaceDE w:val="0"/>
        <w:autoSpaceDN w:val="0"/>
        <w:adjustRightInd w:val="0"/>
        <w:spacing w:line="240" w:lineRule="auto"/>
        <w:ind w:left="480" w:hanging="480"/>
        <w:rPr>
          <w:rFonts w:ascii="Times New Roman" w:hAnsi="Times New Roman" w:cs="Times New Roman"/>
          <w:noProof/>
          <w:szCs w:val="24"/>
        </w:rPr>
      </w:pPr>
      <w:r w:rsidRPr="0069735D">
        <w:rPr>
          <w:rFonts w:ascii="Times New Roman" w:hAnsi="Times New Roman" w:cs="Times New Roman"/>
          <w:noProof/>
          <w:szCs w:val="24"/>
        </w:rPr>
        <w:t xml:space="preserve">Jordan K. 2003. Previous consultation and self reported health status as predictors of future demand for primary care. </w:t>
      </w:r>
      <w:r w:rsidRPr="0069735D">
        <w:rPr>
          <w:rFonts w:ascii="Times New Roman" w:hAnsi="Times New Roman" w:cs="Times New Roman"/>
          <w:i/>
          <w:iCs/>
          <w:noProof/>
          <w:szCs w:val="24"/>
        </w:rPr>
        <w:t>Journal of Epidemiology &amp; Community Health</w:t>
      </w:r>
      <w:r w:rsidRPr="0069735D">
        <w:rPr>
          <w:rFonts w:ascii="Times New Roman" w:hAnsi="Times New Roman" w:cs="Times New Roman"/>
          <w:noProof/>
          <w:szCs w:val="24"/>
        </w:rPr>
        <w:t xml:space="preserve"> </w:t>
      </w:r>
      <w:r w:rsidRPr="0069735D">
        <w:rPr>
          <w:rFonts w:ascii="Times New Roman" w:hAnsi="Times New Roman" w:cs="Times New Roman"/>
          <w:b/>
          <w:bCs/>
          <w:noProof/>
          <w:szCs w:val="24"/>
        </w:rPr>
        <w:t>57</w:t>
      </w:r>
      <w:r w:rsidRPr="0069735D">
        <w:rPr>
          <w:rFonts w:ascii="Times New Roman" w:hAnsi="Times New Roman" w:cs="Times New Roman"/>
          <w:noProof/>
          <w:szCs w:val="24"/>
        </w:rPr>
        <w:t>: 109–113 DOI: 10.1136/jech.57.2.109</w:t>
      </w:r>
    </w:p>
    <w:p w14:paraId="330D0EA1" w14:textId="77777777" w:rsidR="0069735D" w:rsidRPr="0069735D" w:rsidRDefault="0069735D" w:rsidP="0069735D">
      <w:pPr>
        <w:widowControl w:val="0"/>
        <w:autoSpaceDE w:val="0"/>
        <w:autoSpaceDN w:val="0"/>
        <w:adjustRightInd w:val="0"/>
        <w:spacing w:line="240" w:lineRule="auto"/>
        <w:ind w:left="480" w:hanging="480"/>
        <w:rPr>
          <w:rFonts w:ascii="Times New Roman" w:hAnsi="Times New Roman" w:cs="Times New Roman"/>
          <w:noProof/>
          <w:szCs w:val="24"/>
        </w:rPr>
      </w:pPr>
      <w:r w:rsidRPr="0069735D">
        <w:rPr>
          <w:rFonts w:ascii="Times New Roman" w:hAnsi="Times New Roman" w:cs="Times New Roman"/>
          <w:noProof/>
          <w:szCs w:val="24"/>
        </w:rPr>
        <w:t xml:space="preserve">Kearns A, Parkes A. 2003. Living in and leaving poor neighbourhood conditions in England. </w:t>
      </w:r>
      <w:r w:rsidRPr="0069735D">
        <w:rPr>
          <w:rFonts w:ascii="Times New Roman" w:hAnsi="Times New Roman" w:cs="Times New Roman"/>
          <w:i/>
          <w:iCs/>
          <w:noProof/>
          <w:szCs w:val="24"/>
        </w:rPr>
        <w:lastRenderedPageBreak/>
        <w:t>Housing Studies</w:t>
      </w:r>
      <w:r w:rsidRPr="0069735D">
        <w:rPr>
          <w:rFonts w:ascii="Times New Roman" w:hAnsi="Times New Roman" w:cs="Times New Roman"/>
          <w:noProof/>
          <w:szCs w:val="24"/>
        </w:rPr>
        <w:t xml:space="preserve"> </w:t>
      </w:r>
      <w:r w:rsidRPr="0069735D">
        <w:rPr>
          <w:rFonts w:ascii="Times New Roman" w:hAnsi="Times New Roman" w:cs="Times New Roman"/>
          <w:b/>
          <w:bCs/>
          <w:noProof/>
          <w:szCs w:val="24"/>
        </w:rPr>
        <w:t>18</w:t>
      </w:r>
      <w:r w:rsidRPr="0069735D">
        <w:rPr>
          <w:rFonts w:ascii="Times New Roman" w:hAnsi="Times New Roman" w:cs="Times New Roman"/>
          <w:noProof/>
          <w:szCs w:val="24"/>
        </w:rPr>
        <w:t>: 827–851 DOI: 10.1080/0267303032000135456</w:t>
      </w:r>
    </w:p>
    <w:p w14:paraId="16F71174" w14:textId="77777777" w:rsidR="0069735D" w:rsidRPr="0069735D" w:rsidRDefault="0069735D" w:rsidP="0069735D">
      <w:pPr>
        <w:widowControl w:val="0"/>
        <w:autoSpaceDE w:val="0"/>
        <w:autoSpaceDN w:val="0"/>
        <w:adjustRightInd w:val="0"/>
        <w:spacing w:line="240" w:lineRule="auto"/>
        <w:ind w:left="480" w:hanging="480"/>
        <w:rPr>
          <w:rFonts w:ascii="Times New Roman" w:hAnsi="Times New Roman" w:cs="Times New Roman"/>
          <w:noProof/>
          <w:szCs w:val="24"/>
        </w:rPr>
      </w:pPr>
      <w:r w:rsidRPr="0069735D">
        <w:rPr>
          <w:rFonts w:ascii="Times New Roman" w:hAnsi="Times New Roman" w:cs="Times New Roman"/>
          <w:noProof/>
          <w:szCs w:val="24"/>
        </w:rPr>
        <w:t xml:space="preserve">Kearns R, Moon G. 2002. From medical to health geography: novelty, place and theory after a decade of change. </w:t>
      </w:r>
      <w:r w:rsidRPr="0069735D">
        <w:rPr>
          <w:rFonts w:ascii="Times New Roman" w:hAnsi="Times New Roman" w:cs="Times New Roman"/>
          <w:i/>
          <w:iCs/>
          <w:noProof/>
          <w:szCs w:val="24"/>
        </w:rPr>
        <w:t xml:space="preserve">Progress in Human Geography </w:t>
      </w:r>
      <w:r w:rsidRPr="0069735D">
        <w:rPr>
          <w:rFonts w:ascii="Times New Roman" w:hAnsi="Times New Roman" w:cs="Times New Roman"/>
          <w:noProof/>
          <w:szCs w:val="24"/>
        </w:rPr>
        <w:t xml:space="preserve"> </w:t>
      </w:r>
      <w:r w:rsidRPr="0069735D">
        <w:rPr>
          <w:rFonts w:ascii="Times New Roman" w:hAnsi="Times New Roman" w:cs="Times New Roman"/>
          <w:b/>
          <w:bCs/>
          <w:noProof/>
          <w:szCs w:val="24"/>
        </w:rPr>
        <w:t>26</w:t>
      </w:r>
      <w:r w:rsidRPr="0069735D">
        <w:rPr>
          <w:rFonts w:ascii="Times New Roman" w:hAnsi="Times New Roman" w:cs="Times New Roman"/>
          <w:noProof/>
          <w:szCs w:val="24"/>
        </w:rPr>
        <w:t>: 605–625 DOI: 10.1191/0309132502ph389oa</w:t>
      </w:r>
    </w:p>
    <w:p w14:paraId="1F655640" w14:textId="77777777" w:rsidR="0069735D" w:rsidRPr="0069735D" w:rsidRDefault="0069735D" w:rsidP="0069735D">
      <w:pPr>
        <w:widowControl w:val="0"/>
        <w:autoSpaceDE w:val="0"/>
        <w:autoSpaceDN w:val="0"/>
        <w:adjustRightInd w:val="0"/>
        <w:spacing w:line="240" w:lineRule="auto"/>
        <w:ind w:left="480" w:hanging="480"/>
        <w:rPr>
          <w:rFonts w:ascii="Times New Roman" w:hAnsi="Times New Roman" w:cs="Times New Roman"/>
          <w:noProof/>
          <w:szCs w:val="24"/>
        </w:rPr>
      </w:pPr>
      <w:r w:rsidRPr="0069735D">
        <w:rPr>
          <w:rFonts w:ascii="Times New Roman" w:hAnsi="Times New Roman" w:cs="Times New Roman"/>
          <w:noProof/>
          <w:szCs w:val="24"/>
        </w:rPr>
        <w:t xml:space="preserve">Larson A, Bell M, Young AF. 2004. Clarifying the relationships between health and residential mobility. </w:t>
      </w:r>
      <w:r w:rsidRPr="0069735D">
        <w:rPr>
          <w:rFonts w:ascii="Times New Roman" w:hAnsi="Times New Roman" w:cs="Times New Roman"/>
          <w:i/>
          <w:iCs/>
          <w:noProof/>
          <w:szCs w:val="24"/>
        </w:rPr>
        <w:t>Social science &amp; medicine (1982)</w:t>
      </w:r>
      <w:r w:rsidRPr="0069735D">
        <w:rPr>
          <w:rFonts w:ascii="Times New Roman" w:hAnsi="Times New Roman" w:cs="Times New Roman"/>
          <w:noProof/>
          <w:szCs w:val="24"/>
        </w:rPr>
        <w:t xml:space="preserve"> </w:t>
      </w:r>
      <w:r w:rsidRPr="0069735D">
        <w:rPr>
          <w:rFonts w:ascii="Times New Roman" w:hAnsi="Times New Roman" w:cs="Times New Roman"/>
          <w:b/>
          <w:bCs/>
          <w:noProof/>
          <w:szCs w:val="24"/>
        </w:rPr>
        <w:t>59</w:t>
      </w:r>
      <w:r w:rsidRPr="0069735D">
        <w:rPr>
          <w:rFonts w:ascii="Times New Roman" w:hAnsi="Times New Roman" w:cs="Times New Roman"/>
          <w:noProof/>
          <w:szCs w:val="24"/>
        </w:rPr>
        <w:t>: 2149–60 DOI: 10.1016/j.socscimed.2004.03.015</w:t>
      </w:r>
    </w:p>
    <w:p w14:paraId="0DAA9731" w14:textId="77777777" w:rsidR="0069735D" w:rsidRPr="0069735D" w:rsidRDefault="0069735D" w:rsidP="0069735D">
      <w:pPr>
        <w:widowControl w:val="0"/>
        <w:autoSpaceDE w:val="0"/>
        <w:autoSpaceDN w:val="0"/>
        <w:adjustRightInd w:val="0"/>
        <w:spacing w:line="240" w:lineRule="auto"/>
        <w:ind w:left="480" w:hanging="480"/>
        <w:rPr>
          <w:rFonts w:ascii="Times New Roman" w:hAnsi="Times New Roman" w:cs="Times New Roman"/>
          <w:noProof/>
          <w:szCs w:val="24"/>
        </w:rPr>
      </w:pPr>
      <w:r w:rsidRPr="0069735D">
        <w:rPr>
          <w:rFonts w:ascii="Times New Roman" w:hAnsi="Times New Roman" w:cs="Times New Roman"/>
          <w:noProof/>
          <w:szCs w:val="24"/>
        </w:rPr>
        <w:t xml:space="preserve">Lu Y. 2008. Test of the ‘healthy migrant hypothesis’: a longitudinal analysis of health selectivity of internal migration in Indonesia. </w:t>
      </w:r>
      <w:r w:rsidRPr="0069735D">
        <w:rPr>
          <w:rFonts w:ascii="Times New Roman" w:hAnsi="Times New Roman" w:cs="Times New Roman"/>
          <w:i/>
          <w:iCs/>
          <w:noProof/>
          <w:szCs w:val="24"/>
        </w:rPr>
        <w:t>Social Science &amp; Medicine</w:t>
      </w:r>
      <w:r w:rsidRPr="0069735D">
        <w:rPr>
          <w:rFonts w:ascii="Times New Roman" w:hAnsi="Times New Roman" w:cs="Times New Roman"/>
          <w:noProof/>
          <w:szCs w:val="24"/>
        </w:rPr>
        <w:t xml:space="preserve"> </w:t>
      </w:r>
      <w:r w:rsidRPr="0069735D">
        <w:rPr>
          <w:rFonts w:ascii="Times New Roman" w:hAnsi="Times New Roman" w:cs="Times New Roman"/>
          <w:b/>
          <w:bCs/>
          <w:noProof/>
          <w:szCs w:val="24"/>
        </w:rPr>
        <w:t>67</w:t>
      </w:r>
      <w:r w:rsidRPr="0069735D">
        <w:rPr>
          <w:rFonts w:ascii="Times New Roman" w:hAnsi="Times New Roman" w:cs="Times New Roman"/>
          <w:noProof/>
          <w:szCs w:val="24"/>
        </w:rPr>
        <w:t>: 1331–1339 DOI: 10.1016/j.socscimed.2008.06.017</w:t>
      </w:r>
    </w:p>
    <w:p w14:paraId="6476E048" w14:textId="77777777" w:rsidR="0069735D" w:rsidRPr="0069735D" w:rsidRDefault="0069735D" w:rsidP="0069735D">
      <w:pPr>
        <w:widowControl w:val="0"/>
        <w:autoSpaceDE w:val="0"/>
        <w:autoSpaceDN w:val="0"/>
        <w:adjustRightInd w:val="0"/>
        <w:spacing w:line="240" w:lineRule="auto"/>
        <w:ind w:left="480" w:hanging="480"/>
        <w:rPr>
          <w:rFonts w:ascii="Times New Roman" w:hAnsi="Times New Roman" w:cs="Times New Roman"/>
          <w:noProof/>
          <w:szCs w:val="24"/>
        </w:rPr>
      </w:pPr>
      <w:r w:rsidRPr="0069735D">
        <w:rPr>
          <w:rFonts w:ascii="Times New Roman" w:hAnsi="Times New Roman" w:cs="Times New Roman"/>
          <w:noProof/>
          <w:szCs w:val="24"/>
        </w:rPr>
        <w:t xml:space="preserve">Manor O. 2001. Self-rated health and limiting longstanding illness: inter-relationships with morbidity in early adulthood. </w:t>
      </w:r>
      <w:r w:rsidRPr="0069735D">
        <w:rPr>
          <w:rFonts w:ascii="Times New Roman" w:hAnsi="Times New Roman" w:cs="Times New Roman"/>
          <w:i/>
          <w:iCs/>
          <w:noProof/>
          <w:szCs w:val="24"/>
        </w:rPr>
        <w:t>International Journal of Epidemiology</w:t>
      </w:r>
      <w:r w:rsidRPr="0069735D">
        <w:rPr>
          <w:rFonts w:ascii="Times New Roman" w:hAnsi="Times New Roman" w:cs="Times New Roman"/>
          <w:noProof/>
          <w:szCs w:val="24"/>
        </w:rPr>
        <w:t xml:space="preserve"> </w:t>
      </w:r>
      <w:r w:rsidRPr="0069735D">
        <w:rPr>
          <w:rFonts w:ascii="Times New Roman" w:hAnsi="Times New Roman" w:cs="Times New Roman"/>
          <w:b/>
          <w:bCs/>
          <w:noProof/>
          <w:szCs w:val="24"/>
        </w:rPr>
        <w:t>30</w:t>
      </w:r>
      <w:r w:rsidRPr="0069735D">
        <w:rPr>
          <w:rFonts w:ascii="Times New Roman" w:hAnsi="Times New Roman" w:cs="Times New Roman"/>
          <w:noProof/>
          <w:szCs w:val="24"/>
        </w:rPr>
        <w:t>: 600–607 DOI: 10.1093/ije/30.3.600</w:t>
      </w:r>
    </w:p>
    <w:p w14:paraId="3F870DD0" w14:textId="77777777" w:rsidR="0069735D" w:rsidRPr="0069735D" w:rsidRDefault="0069735D" w:rsidP="0069735D">
      <w:pPr>
        <w:widowControl w:val="0"/>
        <w:autoSpaceDE w:val="0"/>
        <w:autoSpaceDN w:val="0"/>
        <w:adjustRightInd w:val="0"/>
        <w:spacing w:line="240" w:lineRule="auto"/>
        <w:ind w:left="480" w:hanging="480"/>
        <w:rPr>
          <w:rFonts w:ascii="Times New Roman" w:hAnsi="Times New Roman" w:cs="Times New Roman"/>
          <w:noProof/>
          <w:szCs w:val="24"/>
        </w:rPr>
      </w:pPr>
      <w:r w:rsidRPr="0069735D">
        <w:rPr>
          <w:rFonts w:ascii="Times New Roman" w:hAnsi="Times New Roman" w:cs="Times New Roman"/>
          <w:noProof/>
          <w:szCs w:val="24"/>
        </w:rPr>
        <w:t xml:space="preserve">Martin D, Wright JA. 2009. Disease prevalence in the English population: A comparison of primary care registers and prevalence models. </w:t>
      </w:r>
      <w:r w:rsidRPr="0069735D">
        <w:rPr>
          <w:rFonts w:ascii="Times New Roman" w:hAnsi="Times New Roman" w:cs="Times New Roman"/>
          <w:i/>
          <w:iCs/>
          <w:noProof/>
          <w:szCs w:val="24"/>
        </w:rPr>
        <w:t>Social Science &amp; Medicine</w:t>
      </w:r>
      <w:r w:rsidRPr="0069735D">
        <w:rPr>
          <w:rFonts w:ascii="Times New Roman" w:hAnsi="Times New Roman" w:cs="Times New Roman"/>
          <w:noProof/>
          <w:szCs w:val="24"/>
        </w:rPr>
        <w:t xml:space="preserve"> </w:t>
      </w:r>
      <w:r w:rsidRPr="0069735D">
        <w:rPr>
          <w:rFonts w:ascii="Times New Roman" w:hAnsi="Times New Roman" w:cs="Times New Roman"/>
          <w:b/>
          <w:bCs/>
          <w:noProof/>
          <w:szCs w:val="24"/>
        </w:rPr>
        <w:t>68</w:t>
      </w:r>
      <w:r w:rsidRPr="0069735D">
        <w:rPr>
          <w:rFonts w:ascii="Times New Roman" w:hAnsi="Times New Roman" w:cs="Times New Roman"/>
          <w:noProof/>
          <w:szCs w:val="24"/>
        </w:rPr>
        <w:t>: 266–274 DOI: http://dx.doi.org/10.1016/j.socscimed.2008.10.021</w:t>
      </w:r>
    </w:p>
    <w:p w14:paraId="3B29AE5E" w14:textId="77777777" w:rsidR="0069735D" w:rsidRPr="0069735D" w:rsidRDefault="0069735D" w:rsidP="0069735D">
      <w:pPr>
        <w:widowControl w:val="0"/>
        <w:autoSpaceDE w:val="0"/>
        <w:autoSpaceDN w:val="0"/>
        <w:adjustRightInd w:val="0"/>
        <w:spacing w:line="240" w:lineRule="auto"/>
        <w:ind w:left="480" w:hanging="480"/>
        <w:rPr>
          <w:rFonts w:ascii="Times New Roman" w:hAnsi="Times New Roman" w:cs="Times New Roman"/>
          <w:noProof/>
          <w:szCs w:val="24"/>
        </w:rPr>
      </w:pPr>
      <w:r w:rsidRPr="0069735D">
        <w:rPr>
          <w:rFonts w:ascii="Times New Roman" w:hAnsi="Times New Roman" w:cs="Times New Roman"/>
          <w:noProof/>
          <w:szCs w:val="24"/>
        </w:rPr>
        <w:t xml:space="preserve">McCarthy JF, Valenstein M, Blow FC. 2007. Residential mobility among patients in the VA health system: associations with psychiatric morbidity, geographic accessibility, and continuity of care. </w:t>
      </w:r>
      <w:r w:rsidRPr="0069735D">
        <w:rPr>
          <w:rFonts w:ascii="Times New Roman" w:hAnsi="Times New Roman" w:cs="Times New Roman"/>
          <w:i/>
          <w:iCs/>
          <w:noProof/>
          <w:szCs w:val="24"/>
        </w:rPr>
        <w:t>Administration and policy in mental health</w:t>
      </w:r>
      <w:r w:rsidRPr="0069735D">
        <w:rPr>
          <w:rFonts w:ascii="Times New Roman" w:hAnsi="Times New Roman" w:cs="Times New Roman"/>
          <w:noProof/>
          <w:szCs w:val="24"/>
        </w:rPr>
        <w:t xml:space="preserve"> </w:t>
      </w:r>
      <w:r w:rsidRPr="0069735D">
        <w:rPr>
          <w:rFonts w:ascii="Times New Roman" w:hAnsi="Times New Roman" w:cs="Times New Roman"/>
          <w:b/>
          <w:bCs/>
          <w:noProof/>
          <w:szCs w:val="24"/>
        </w:rPr>
        <w:t>34</w:t>
      </w:r>
      <w:r w:rsidRPr="0069735D">
        <w:rPr>
          <w:rFonts w:ascii="Times New Roman" w:hAnsi="Times New Roman" w:cs="Times New Roman"/>
          <w:noProof/>
          <w:szCs w:val="24"/>
        </w:rPr>
        <w:t>: 448–55 DOI: 10.1007/s10488-007-0130-2</w:t>
      </w:r>
    </w:p>
    <w:p w14:paraId="491322C4" w14:textId="77777777" w:rsidR="0069735D" w:rsidRPr="0069735D" w:rsidRDefault="0069735D" w:rsidP="0069735D">
      <w:pPr>
        <w:widowControl w:val="0"/>
        <w:autoSpaceDE w:val="0"/>
        <w:autoSpaceDN w:val="0"/>
        <w:adjustRightInd w:val="0"/>
        <w:spacing w:line="240" w:lineRule="auto"/>
        <w:ind w:left="480" w:hanging="480"/>
        <w:rPr>
          <w:rFonts w:ascii="Times New Roman" w:hAnsi="Times New Roman" w:cs="Times New Roman"/>
          <w:noProof/>
          <w:szCs w:val="24"/>
        </w:rPr>
      </w:pPr>
      <w:r w:rsidRPr="0069735D">
        <w:rPr>
          <w:rFonts w:ascii="Times New Roman" w:hAnsi="Times New Roman" w:cs="Times New Roman"/>
          <w:noProof/>
          <w:szCs w:val="24"/>
        </w:rPr>
        <w:t xml:space="preserve">Moorin RE, Holman CDJ, Garfield C, Brameld KJ. 2006. Health related migration: evidence of reduced ‘urban-drift’. </w:t>
      </w:r>
      <w:r w:rsidRPr="0069735D">
        <w:rPr>
          <w:rFonts w:ascii="Times New Roman" w:hAnsi="Times New Roman" w:cs="Times New Roman"/>
          <w:i/>
          <w:iCs/>
          <w:noProof/>
          <w:szCs w:val="24"/>
        </w:rPr>
        <w:t>Health &amp; place</w:t>
      </w:r>
      <w:r w:rsidRPr="0069735D">
        <w:rPr>
          <w:rFonts w:ascii="Times New Roman" w:hAnsi="Times New Roman" w:cs="Times New Roman"/>
          <w:noProof/>
          <w:szCs w:val="24"/>
        </w:rPr>
        <w:t xml:space="preserve"> </w:t>
      </w:r>
      <w:r w:rsidRPr="0069735D">
        <w:rPr>
          <w:rFonts w:ascii="Times New Roman" w:hAnsi="Times New Roman" w:cs="Times New Roman"/>
          <w:b/>
          <w:bCs/>
          <w:noProof/>
          <w:szCs w:val="24"/>
        </w:rPr>
        <w:t>12</w:t>
      </w:r>
      <w:r w:rsidRPr="0069735D">
        <w:rPr>
          <w:rFonts w:ascii="Times New Roman" w:hAnsi="Times New Roman" w:cs="Times New Roman"/>
          <w:noProof/>
          <w:szCs w:val="24"/>
        </w:rPr>
        <w:t>: 131–40 DOI: 10.1016/j.healthplace.2004.10.013</w:t>
      </w:r>
    </w:p>
    <w:p w14:paraId="7E299224" w14:textId="77777777" w:rsidR="0069735D" w:rsidRPr="0069735D" w:rsidRDefault="0069735D" w:rsidP="0069735D">
      <w:pPr>
        <w:widowControl w:val="0"/>
        <w:autoSpaceDE w:val="0"/>
        <w:autoSpaceDN w:val="0"/>
        <w:adjustRightInd w:val="0"/>
        <w:spacing w:line="240" w:lineRule="auto"/>
        <w:ind w:left="480" w:hanging="480"/>
        <w:rPr>
          <w:rFonts w:ascii="Times New Roman" w:hAnsi="Times New Roman" w:cs="Times New Roman"/>
          <w:noProof/>
          <w:szCs w:val="24"/>
        </w:rPr>
      </w:pPr>
      <w:r w:rsidRPr="0069735D">
        <w:rPr>
          <w:rFonts w:ascii="Times New Roman" w:hAnsi="Times New Roman" w:cs="Times New Roman"/>
          <w:noProof/>
          <w:szCs w:val="24"/>
        </w:rPr>
        <w:t xml:space="preserve">Norman P, Boyle P. 2014. Are health inequalities between differently deprived areas evident at different ages? A longitudinal study of census records in England and Wales, 1991-2001. </w:t>
      </w:r>
      <w:r w:rsidRPr="0069735D">
        <w:rPr>
          <w:rFonts w:ascii="Times New Roman" w:hAnsi="Times New Roman" w:cs="Times New Roman"/>
          <w:i/>
          <w:iCs/>
          <w:noProof/>
          <w:szCs w:val="24"/>
        </w:rPr>
        <w:t>Health &amp; place</w:t>
      </w:r>
      <w:r w:rsidRPr="0069735D">
        <w:rPr>
          <w:rFonts w:ascii="Times New Roman" w:hAnsi="Times New Roman" w:cs="Times New Roman"/>
          <w:noProof/>
          <w:szCs w:val="24"/>
        </w:rPr>
        <w:t xml:space="preserve"> </w:t>
      </w:r>
      <w:r w:rsidRPr="0069735D">
        <w:rPr>
          <w:rFonts w:ascii="Times New Roman" w:hAnsi="Times New Roman" w:cs="Times New Roman"/>
          <w:b/>
          <w:bCs/>
          <w:noProof/>
          <w:szCs w:val="24"/>
        </w:rPr>
        <w:t>26</w:t>
      </w:r>
      <w:r w:rsidRPr="0069735D">
        <w:rPr>
          <w:rFonts w:ascii="Times New Roman" w:hAnsi="Times New Roman" w:cs="Times New Roman"/>
          <w:noProof/>
          <w:szCs w:val="24"/>
        </w:rPr>
        <w:t>: 88–93 DOI: 10.1016/j.healthplace.2013.12.010</w:t>
      </w:r>
    </w:p>
    <w:p w14:paraId="1BD86039" w14:textId="77777777" w:rsidR="0069735D" w:rsidRPr="0069735D" w:rsidRDefault="0069735D" w:rsidP="0069735D">
      <w:pPr>
        <w:widowControl w:val="0"/>
        <w:autoSpaceDE w:val="0"/>
        <w:autoSpaceDN w:val="0"/>
        <w:adjustRightInd w:val="0"/>
        <w:spacing w:line="240" w:lineRule="auto"/>
        <w:ind w:left="480" w:hanging="480"/>
        <w:rPr>
          <w:rFonts w:ascii="Times New Roman" w:hAnsi="Times New Roman" w:cs="Times New Roman"/>
          <w:noProof/>
          <w:szCs w:val="24"/>
        </w:rPr>
      </w:pPr>
      <w:r w:rsidRPr="0069735D">
        <w:rPr>
          <w:rFonts w:ascii="Times New Roman" w:hAnsi="Times New Roman" w:cs="Times New Roman"/>
          <w:noProof/>
          <w:szCs w:val="24"/>
        </w:rPr>
        <w:t xml:space="preserve">Norman P, Boyle P, Rees P. 2005. Selective migration, health and deprivation: a longitudinal analysis. </w:t>
      </w:r>
      <w:r w:rsidRPr="0069735D">
        <w:rPr>
          <w:rFonts w:ascii="Times New Roman" w:hAnsi="Times New Roman" w:cs="Times New Roman"/>
          <w:i/>
          <w:iCs/>
          <w:noProof/>
          <w:szCs w:val="24"/>
        </w:rPr>
        <w:t>Social science &amp; medicine (1982)</w:t>
      </w:r>
      <w:r w:rsidRPr="0069735D">
        <w:rPr>
          <w:rFonts w:ascii="Times New Roman" w:hAnsi="Times New Roman" w:cs="Times New Roman"/>
          <w:noProof/>
          <w:szCs w:val="24"/>
        </w:rPr>
        <w:t xml:space="preserve"> </w:t>
      </w:r>
      <w:r w:rsidRPr="0069735D">
        <w:rPr>
          <w:rFonts w:ascii="Times New Roman" w:hAnsi="Times New Roman" w:cs="Times New Roman"/>
          <w:b/>
          <w:bCs/>
          <w:noProof/>
          <w:szCs w:val="24"/>
        </w:rPr>
        <w:t>60</w:t>
      </w:r>
      <w:r w:rsidRPr="0069735D">
        <w:rPr>
          <w:rFonts w:ascii="Times New Roman" w:hAnsi="Times New Roman" w:cs="Times New Roman"/>
          <w:noProof/>
          <w:szCs w:val="24"/>
        </w:rPr>
        <w:t>: 2755–71 DOI: 10.1016/j.socscimed.2004.11.008</w:t>
      </w:r>
    </w:p>
    <w:p w14:paraId="56F028F9" w14:textId="77777777" w:rsidR="0069735D" w:rsidRPr="0069735D" w:rsidRDefault="0069735D" w:rsidP="0069735D">
      <w:pPr>
        <w:widowControl w:val="0"/>
        <w:autoSpaceDE w:val="0"/>
        <w:autoSpaceDN w:val="0"/>
        <w:adjustRightInd w:val="0"/>
        <w:spacing w:line="240" w:lineRule="auto"/>
        <w:ind w:left="480" w:hanging="480"/>
        <w:rPr>
          <w:rFonts w:ascii="Times New Roman" w:hAnsi="Times New Roman" w:cs="Times New Roman"/>
          <w:noProof/>
          <w:szCs w:val="24"/>
        </w:rPr>
      </w:pPr>
      <w:r w:rsidRPr="0069735D">
        <w:rPr>
          <w:rFonts w:ascii="Times New Roman" w:hAnsi="Times New Roman" w:cs="Times New Roman"/>
          <w:noProof/>
          <w:szCs w:val="24"/>
        </w:rPr>
        <w:t>Office for National Statistics. 2011a. 2011 Census questionnaire for England Available at: http://www.ons.gov.uk/ons/guide-method/census/2011/the-2011-census/2011-census-questionnaire-content/2011-census-questionnaire-for-england.pdf [Accessed 10 July 2015]</w:t>
      </w:r>
    </w:p>
    <w:p w14:paraId="5660B01F" w14:textId="77777777" w:rsidR="0069735D" w:rsidRPr="0069735D" w:rsidRDefault="0069735D" w:rsidP="0069735D">
      <w:pPr>
        <w:widowControl w:val="0"/>
        <w:autoSpaceDE w:val="0"/>
        <w:autoSpaceDN w:val="0"/>
        <w:adjustRightInd w:val="0"/>
        <w:spacing w:line="240" w:lineRule="auto"/>
        <w:ind w:left="480" w:hanging="480"/>
        <w:rPr>
          <w:rFonts w:ascii="Times New Roman" w:hAnsi="Times New Roman" w:cs="Times New Roman"/>
          <w:noProof/>
          <w:szCs w:val="24"/>
        </w:rPr>
      </w:pPr>
      <w:r w:rsidRPr="0069735D">
        <w:rPr>
          <w:rFonts w:ascii="Times New Roman" w:hAnsi="Times New Roman" w:cs="Times New Roman"/>
          <w:noProof/>
          <w:szCs w:val="24"/>
        </w:rPr>
        <w:t>Office for National Statistics. 2011b. Secure Microdata Files – User Guide Available at: http://www.ons.gov.uk/ons/guide-method/census/2011/census-data/census-microdata/census-in-the-virtual-microdata-laboratory/secure-microdata-user-guide.pdf [Accessed 21 October 2015]</w:t>
      </w:r>
    </w:p>
    <w:p w14:paraId="56518308" w14:textId="77777777" w:rsidR="0069735D" w:rsidRPr="0069735D" w:rsidRDefault="0069735D" w:rsidP="0069735D">
      <w:pPr>
        <w:widowControl w:val="0"/>
        <w:autoSpaceDE w:val="0"/>
        <w:autoSpaceDN w:val="0"/>
        <w:adjustRightInd w:val="0"/>
        <w:spacing w:line="240" w:lineRule="auto"/>
        <w:ind w:left="480" w:hanging="480"/>
        <w:rPr>
          <w:rFonts w:ascii="Times New Roman" w:hAnsi="Times New Roman" w:cs="Times New Roman"/>
          <w:noProof/>
          <w:szCs w:val="24"/>
        </w:rPr>
      </w:pPr>
      <w:r w:rsidRPr="0069735D">
        <w:rPr>
          <w:rFonts w:ascii="Times New Roman" w:hAnsi="Times New Roman" w:cs="Times New Roman"/>
          <w:noProof/>
          <w:szCs w:val="24"/>
        </w:rPr>
        <w:t>Office for National Statistics. 2014. 2011 census variable and classification information: part 4 Available at: http://www.ons.gov.uk/ons/guide-method/census/2011/census-data/2011-census-user-guide/information-by-variable/part-3--standard-variables.pdf [Accessed 22 October 2015]</w:t>
      </w:r>
    </w:p>
    <w:p w14:paraId="101CA7B8" w14:textId="77777777" w:rsidR="0069735D" w:rsidRPr="0069735D" w:rsidRDefault="0069735D" w:rsidP="0069735D">
      <w:pPr>
        <w:widowControl w:val="0"/>
        <w:autoSpaceDE w:val="0"/>
        <w:autoSpaceDN w:val="0"/>
        <w:adjustRightInd w:val="0"/>
        <w:spacing w:line="240" w:lineRule="auto"/>
        <w:ind w:left="480" w:hanging="480"/>
        <w:rPr>
          <w:rFonts w:ascii="Times New Roman" w:hAnsi="Times New Roman" w:cs="Times New Roman"/>
          <w:noProof/>
          <w:szCs w:val="24"/>
        </w:rPr>
      </w:pPr>
      <w:r w:rsidRPr="0069735D">
        <w:rPr>
          <w:rFonts w:ascii="Times New Roman" w:hAnsi="Times New Roman" w:cs="Times New Roman"/>
          <w:noProof/>
          <w:szCs w:val="24"/>
        </w:rPr>
        <w:t xml:space="preserve">Paksarian D, Eaton WW, Mortensen PB, Pedersen CB. 2015. Childhood residential mobility, schizophrenia, and bipolar disorder: a population-based study in Denmark. </w:t>
      </w:r>
      <w:r w:rsidRPr="0069735D">
        <w:rPr>
          <w:rFonts w:ascii="Times New Roman" w:hAnsi="Times New Roman" w:cs="Times New Roman"/>
          <w:i/>
          <w:iCs/>
          <w:noProof/>
          <w:szCs w:val="24"/>
        </w:rPr>
        <w:t>Schizophrenia Bulletin</w:t>
      </w:r>
      <w:r w:rsidRPr="0069735D">
        <w:rPr>
          <w:rFonts w:ascii="Times New Roman" w:hAnsi="Times New Roman" w:cs="Times New Roman"/>
          <w:noProof/>
          <w:szCs w:val="24"/>
        </w:rPr>
        <w:t xml:space="preserve"> </w:t>
      </w:r>
      <w:r w:rsidRPr="0069735D">
        <w:rPr>
          <w:rFonts w:ascii="Times New Roman" w:hAnsi="Times New Roman" w:cs="Times New Roman"/>
          <w:b/>
          <w:bCs/>
          <w:noProof/>
          <w:szCs w:val="24"/>
        </w:rPr>
        <w:t>41</w:t>
      </w:r>
      <w:r w:rsidRPr="0069735D">
        <w:rPr>
          <w:rFonts w:ascii="Times New Roman" w:hAnsi="Times New Roman" w:cs="Times New Roman"/>
          <w:noProof/>
          <w:szCs w:val="24"/>
        </w:rPr>
        <w:t>: 346–354 DOI: 10.1093/schbul/sbu074</w:t>
      </w:r>
    </w:p>
    <w:p w14:paraId="365B0135" w14:textId="77777777" w:rsidR="0069735D" w:rsidRPr="0069735D" w:rsidRDefault="0069735D" w:rsidP="0069735D">
      <w:pPr>
        <w:widowControl w:val="0"/>
        <w:autoSpaceDE w:val="0"/>
        <w:autoSpaceDN w:val="0"/>
        <w:adjustRightInd w:val="0"/>
        <w:spacing w:line="240" w:lineRule="auto"/>
        <w:ind w:left="480" w:hanging="480"/>
        <w:rPr>
          <w:rFonts w:ascii="Times New Roman" w:hAnsi="Times New Roman" w:cs="Times New Roman"/>
          <w:noProof/>
          <w:szCs w:val="24"/>
        </w:rPr>
      </w:pPr>
      <w:r w:rsidRPr="0069735D">
        <w:rPr>
          <w:rFonts w:ascii="Times New Roman" w:hAnsi="Times New Roman" w:cs="Times New Roman"/>
          <w:noProof/>
          <w:szCs w:val="24"/>
        </w:rPr>
        <w:t xml:space="preserve">Payne N, Saul C. 2000. What common disorders do those reporting limiting long-term illness experience, and what is their survival and health service utilization experience? </w:t>
      </w:r>
      <w:r w:rsidRPr="0069735D">
        <w:rPr>
          <w:rFonts w:ascii="Times New Roman" w:hAnsi="Times New Roman" w:cs="Times New Roman"/>
          <w:i/>
          <w:iCs/>
          <w:noProof/>
          <w:szCs w:val="24"/>
        </w:rPr>
        <w:t xml:space="preserve">Journal of </w:t>
      </w:r>
      <w:r w:rsidRPr="0069735D">
        <w:rPr>
          <w:rFonts w:ascii="Times New Roman" w:hAnsi="Times New Roman" w:cs="Times New Roman"/>
          <w:i/>
          <w:iCs/>
          <w:noProof/>
          <w:szCs w:val="24"/>
        </w:rPr>
        <w:lastRenderedPageBreak/>
        <w:t>Public Health</w:t>
      </w:r>
      <w:r w:rsidRPr="0069735D">
        <w:rPr>
          <w:rFonts w:ascii="Times New Roman" w:hAnsi="Times New Roman" w:cs="Times New Roman"/>
          <w:noProof/>
          <w:szCs w:val="24"/>
        </w:rPr>
        <w:t xml:space="preserve"> </w:t>
      </w:r>
      <w:r w:rsidRPr="0069735D">
        <w:rPr>
          <w:rFonts w:ascii="Times New Roman" w:hAnsi="Times New Roman" w:cs="Times New Roman"/>
          <w:b/>
          <w:bCs/>
          <w:noProof/>
          <w:szCs w:val="24"/>
        </w:rPr>
        <w:t>22</w:t>
      </w:r>
      <w:r w:rsidRPr="0069735D">
        <w:rPr>
          <w:rFonts w:ascii="Times New Roman" w:hAnsi="Times New Roman" w:cs="Times New Roman"/>
          <w:noProof/>
          <w:szCs w:val="24"/>
        </w:rPr>
        <w:t>: 324–329 DOI: 10.1093/pubmed/22.3.324</w:t>
      </w:r>
    </w:p>
    <w:p w14:paraId="5C4A0D0B" w14:textId="77777777" w:rsidR="0069735D" w:rsidRPr="0069735D" w:rsidRDefault="0069735D" w:rsidP="0069735D">
      <w:pPr>
        <w:widowControl w:val="0"/>
        <w:autoSpaceDE w:val="0"/>
        <w:autoSpaceDN w:val="0"/>
        <w:adjustRightInd w:val="0"/>
        <w:spacing w:line="240" w:lineRule="auto"/>
        <w:ind w:left="480" w:hanging="480"/>
        <w:rPr>
          <w:rFonts w:ascii="Times New Roman" w:hAnsi="Times New Roman" w:cs="Times New Roman"/>
          <w:noProof/>
          <w:szCs w:val="24"/>
        </w:rPr>
      </w:pPr>
      <w:r w:rsidRPr="0069735D">
        <w:rPr>
          <w:rFonts w:ascii="Times New Roman" w:hAnsi="Times New Roman" w:cs="Times New Roman"/>
          <w:noProof/>
          <w:szCs w:val="24"/>
        </w:rPr>
        <w:t xml:space="preserve">Pearce JR, Dorling D. 2010. The influence of selective migration patterns among smokers and nonsmokers on geographical inequalities in health. </w:t>
      </w:r>
      <w:r w:rsidRPr="0069735D">
        <w:rPr>
          <w:rFonts w:ascii="Times New Roman" w:hAnsi="Times New Roman" w:cs="Times New Roman"/>
          <w:i/>
          <w:iCs/>
          <w:noProof/>
          <w:szCs w:val="24"/>
        </w:rPr>
        <w:t>Annals of the Association of American Geographers</w:t>
      </w:r>
      <w:r w:rsidRPr="0069735D">
        <w:rPr>
          <w:rFonts w:ascii="Times New Roman" w:hAnsi="Times New Roman" w:cs="Times New Roman"/>
          <w:noProof/>
          <w:szCs w:val="24"/>
        </w:rPr>
        <w:t xml:space="preserve"> </w:t>
      </w:r>
      <w:r w:rsidRPr="0069735D">
        <w:rPr>
          <w:rFonts w:ascii="Times New Roman" w:hAnsi="Times New Roman" w:cs="Times New Roman"/>
          <w:b/>
          <w:bCs/>
          <w:noProof/>
          <w:szCs w:val="24"/>
        </w:rPr>
        <w:t>100</w:t>
      </w:r>
      <w:r w:rsidRPr="0069735D">
        <w:rPr>
          <w:rFonts w:ascii="Times New Roman" w:hAnsi="Times New Roman" w:cs="Times New Roman"/>
          <w:noProof/>
          <w:szCs w:val="24"/>
        </w:rPr>
        <w:t>: 393–408 DOI: 10.1080/00045601003595537</w:t>
      </w:r>
    </w:p>
    <w:p w14:paraId="1FE34114" w14:textId="77777777" w:rsidR="0069735D" w:rsidRPr="0069735D" w:rsidRDefault="0069735D" w:rsidP="0069735D">
      <w:pPr>
        <w:widowControl w:val="0"/>
        <w:autoSpaceDE w:val="0"/>
        <w:autoSpaceDN w:val="0"/>
        <w:adjustRightInd w:val="0"/>
        <w:spacing w:line="240" w:lineRule="auto"/>
        <w:ind w:left="480" w:hanging="480"/>
        <w:rPr>
          <w:rFonts w:ascii="Times New Roman" w:hAnsi="Times New Roman" w:cs="Times New Roman"/>
          <w:noProof/>
          <w:szCs w:val="24"/>
        </w:rPr>
      </w:pPr>
      <w:r w:rsidRPr="0069735D">
        <w:rPr>
          <w:rFonts w:ascii="Times New Roman" w:hAnsi="Times New Roman" w:cs="Times New Roman"/>
          <w:noProof/>
          <w:szCs w:val="24"/>
        </w:rPr>
        <w:t>Sandford M. 2016. Devolution to local government in England. 7029. London.</w:t>
      </w:r>
    </w:p>
    <w:p w14:paraId="6C446D30" w14:textId="77777777" w:rsidR="0069735D" w:rsidRPr="0069735D" w:rsidRDefault="0069735D" w:rsidP="0069735D">
      <w:pPr>
        <w:widowControl w:val="0"/>
        <w:autoSpaceDE w:val="0"/>
        <w:autoSpaceDN w:val="0"/>
        <w:adjustRightInd w:val="0"/>
        <w:spacing w:line="240" w:lineRule="auto"/>
        <w:ind w:left="480" w:hanging="480"/>
        <w:rPr>
          <w:rFonts w:ascii="Times New Roman" w:hAnsi="Times New Roman" w:cs="Times New Roman"/>
          <w:noProof/>
          <w:szCs w:val="24"/>
        </w:rPr>
      </w:pPr>
      <w:r w:rsidRPr="0069735D">
        <w:rPr>
          <w:rFonts w:ascii="Times New Roman" w:hAnsi="Times New Roman" w:cs="Times New Roman"/>
          <w:noProof/>
          <w:szCs w:val="24"/>
        </w:rPr>
        <w:t xml:space="preserve">Smyth F. 2008. Medical geography: understanding health inequalities. </w:t>
      </w:r>
      <w:r w:rsidRPr="0069735D">
        <w:rPr>
          <w:rFonts w:ascii="Times New Roman" w:hAnsi="Times New Roman" w:cs="Times New Roman"/>
          <w:i/>
          <w:iCs/>
          <w:noProof/>
          <w:szCs w:val="24"/>
        </w:rPr>
        <w:t>Progress in Human Geography</w:t>
      </w:r>
      <w:r w:rsidRPr="0069735D">
        <w:rPr>
          <w:rFonts w:ascii="Times New Roman" w:hAnsi="Times New Roman" w:cs="Times New Roman"/>
          <w:noProof/>
          <w:szCs w:val="24"/>
        </w:rPr>
        <w:t xml:space="preserve"> </w:t>
      </w:r>
      <w:r w:rsidRPr="0069735D">
        <w:rPr>
          <w:rFonts w:ascii="Times New Roman" w:hAnsi="Times New Roman" w:cs="Times New Roman"/>
          <w:b/>
          <w:bCs/>
          <w:noProof/>
          <w:szCs w:val="24"/>
        </w:rPr>
        <w:t>32</w:t>
      </w:r>
      <w:r w:rsidRPr="0069735D">
        <w:rPr>
          <w:rFonts w:ascii="Times New Roman" w:hAnsi="Times New Roman" w:cs="Times New Roman"/>
          <w:noProof/>
          <w:szCs w:val="24"/>
        </w:rPr>
        <w:t>: 119–127 DOI: 10.1177/0309132507080628</w:t>
      </w:r>
    </w:p>
    <w:p w14:paraId="181DAADF" w14:textId="77777777" w:rsidR="0069735D" w:rsidRPr="0069735D" w:rsidRDefault="0069735D" w:rsidP="0069735D">
      <w:pPr>
        <w:widowControl w:val="0"/>
        <w:autoSpaceDE w:val="0"/>
        <w:autoSpaceDN w:val="0"/>
        <w:adjustRightInd w:val="0"/>
        <w:spacing w:line="240" w:lineRule="auto"/>
        <w:ind w:left="480" w:hanging="480"/>
        <w:rPr>
          <w:rFonts w:ascii="Times New Roman" w:hAnsi="Times New Roman" w:cs="Times New Roman"/>
          <w:noProof/>
          <w:szCs w:val="24"/>
        </w:rPr>
      </w:pPr>
      <w:r w:rsidRPr="0069735D">
        <w:rPr>
          <w:rFonts w:ascii="Times New Roman" w:hAnsi="Times New Roman" w:cs="Times New Roman"/>
          <w:noProof/>
          <w:szCs w:val="24"/>
        </w:rPr>
        <w:t>Statacorp LP. 2013. Stata statistical software: release 12</w:t>
      </w:r>
    </w:p>
    <w:p w14:paraId="4530FE29" w14:textId="77777777" w:rsidR="0069735D" w:rsidRPr="0069735D" w:rsidRDefault="0069735D" w:rsidP="0069735D">
      <w:pPr>
        <w:widowControl w:val="0"/>
        <w:autoSpaceDE w:val="0"/>
        <w:autoSpaceDN w:val="0"/>
        <w:adjustRightInd w:val="0"/>
        <w:spacing w:line="240" w:lineRule="auto"/>
        <w:ind w:left="480" w:hanging="480"/>
        <w:rPr>
          <w:rFonts w:ascii="Times New Roman" w:hAnsi="Times New Roman" w:cs="Times New Roman"/>
          <w:noProof/>
          <w:szCs w:val="24"/>
        </w:rPr>
      </w:pPr>
      <w:r w:rsidRPr="0069735D">
        <w:rPr>
          <w:rFonts w:ascii="Times New Roman" w:hAnsi="Times New Roman" w:cs="Times New Roman"/>
          <w:noProof/>
          <w:szCs w:val="24"/>
        </w:rPr>
        <w:t>Statacorp LP. 2015. Stata help for xtmelogit Available at: http://www.stata.com/help.cgi?xtmelogit [Accessed 7 October 2015]</w:t>
      </w:r>
    </w:p>
    <w:p w14:paraId="039339DF" w14:textId="77777777" w:rsidR="0069735D" w:rsidRPr="0069735D" w:rsidRDefault="0069735D" w:rsidP="0069735D">
      <w:pPr>
        <w:widowControl w:val="0"/>
        <w:autoSpaceDE w:val="0"/>
        <w:autoSpaceDN w:val="0"/>
        <w:adjustRightInd w:val="0"/>
        <w:spacing w:line="240" w:lineRule="auto"/>
        <w:ind w:left="480" w:hanging="480"/>
        <w:rPr>
          <w:rFonts w:ascii="Times New Roman" w:hAnsi="Times New Roman" w:cs="Times New Roman"/>
          <w:noProof/>
          <w:szCs w:val="24"/>
        </w:rPr>
      </w:pPr>
      <w:r w:rsidRPr="0069735D">
        <w:rPr>
          <w:rFonts w:ascii="Times New Roman" w:hAnsi="Times New Roman" w:cs="Times New Roman"/>
          <w:noProof/>
          <w:szCs w:val="24"/>
        </w:rPr>
        <w:t xml:space="preserve">Stockdale A. 2015. Contemporary and ‘messy’ rural in-migration processes: comparing counterurban and lateral rural migration. </w:t>
      </w:r>
      <w:r w:rsidRPr="0069735D">
        <w:rPr>
          <w:rFonts w:ascii="Times New Roman" w:hAnsi="Times New Roman" w:cs="Times New Roman"/>
          <w:i/>
          <w:iCs/>
          <w:noProof/>
          <w:szCs w:val="24"/>
        </w:rPr>
        <w:t>Population, Space and Place</w:t>
      </w:r>
      <w:r w:rsidRPr="0069735D">
        <w:rPr>
          <w:rFonts w:ascii="Times New Roman" w:hAnsi="Times New Roman" w:cs="Times New Roman"/>
          <w:noProof/>
          <w:szCs w:val="24"/>
        </w:rPr>
        <w:t xml:space="preserve"> </w:t>
      </w:r>
      <w:r w:rsidRPr="0069735D">
        <w:rPr>
          <w:rFonts w:ascii="Times New Roman" w:hAnsi="Times New Roman" w:cs="Times New Roman"/>
          <w:b/>
          <w:bCs/>
          <w:noProof/>
          <w:szCs w:val="24"/>
        </w:rPr>
        <w:t>22</w:t>
      </w:r>
      <w:r w:rsidRPr="0069735D">
        <w:rPr>
          <w:rFonts w:ascii="Times New Roman" w:hAnsi="Times New Roman" w:cs="Times New Roman"/>
          <w:noProof/>
          <w:szCs w:val="24"/>
        </w:rPr>
        <w:t>: 599–616 DOI: 10.1002/psp.1947</w:t>
      </w:r>
    </w:p>
    <w:p w14:paraId="421FE4B9" w14:textId="77777777" w:rsidR="0069735D" w:rsidRPr="0069735D" w:rsidRDefault="0069735D" w:rsidP="0069735D">
      <w:pPr>
        <w:widowControl w:val="0"/>
        <w:autoSpaceDE w:val="0"/>
        <w:autoSpaceDN w:val="0"/>
        <w:adjustRightInd w:val="0"/>
        <w:spacing w:line="240" w:lineRule="auto"/>
        <w:ind w:left="480" w:hanging="480"/>
        <w:rPr>
          <w:rFonts w:ascii="Times New Roman" w:hAnsi="Times New Roman" w:cs="Times New Roman"/>
          <w:noProof/>
          <w:szCs w:val="24"/>
        </w:rPr>
      </w:pPr>
      <w:r w:rsidRPr="0069735D">
        <w:rPr>
          <w:rFonts w:ascii="Times New Roman" w:hAnsi="Times New Roman" w:cs="Times New Roman"/>
          <w:noProof/>
          <w:szCs w:val="24"/>
        </w:rPr>
        <w:t xml:space="preserve">Strachan DP, Leon DA, Dodgeon B. 1995. Mortality from cardiovascular disease among interregional migrants in England and Wales. </w:t>
      </w:r>
      <w:r w:rsidRPr="0069735D">
        <w:rPr>
          <w:rFonts w:ascii="Times New Roman" w:hAnsi="Times New Roman" w:cs="Times New Roman"/>
          <w:i/>
          <w:iCs/>
          <w:noProof/>
          <w:szCs w:val="24"/>
        </w:rPr>
        <w:t>BMJ</w:t>
      </w:r>
      <w:r w:rsidRPr="0069735D">
        <w:rPr>
          <w:rFonts w:ascii="Times New Roman" w:hAnsi="Times New Roman" w:cs="Times New Roman"/>
          <w:noProof/>
          <w:szCs w:val="24"/>
        </w:rPr>
        <w:t xml:space="preserve"> </w:t>
      </w:r>
      <w:r w:rsidRPr="0069735D">
        <w:rPr>
          <w:rFonts w:ascii="Times New Roman" w:hAnsi="Times New Roman" w:cs="Times New Roman"/>
          <w:b/>
          <w:bCs/>
          <w:noProof/>
          <w:szCs w:val="24"/>
        </w:rPr>
        <w:t>310</w:t>
      </w:r>
      <w:r w:rsidRPr="0069735D">
        <w:rPr>
          <w:rFonts w:ascii="Times New Roman" w:hAnsi="Times New Roman" w:cs="Times New Roman"/>
          <w:noProof/>
          <w:szCs w:val="24"/>
        </w:rPr>
        <w:t>: 423–427 DOI: 10.1136/bmj.310.6977.423</w:t>
      </w:r>
    </w:p>
    <w:p w14:paraId="5C965656" w14:textId="77777777" w:rsidR="0069735D" w:rsidRPr="0069735D" w:rsidRDefault="0069735D" w:rsidP="0069735D">
      <w:pPr>
        <w:widowControl w:val="0"/>
        <w:autoSpaceDE w:val="0"/>
        <w:autoSpaceDN w:val="0"/>
        <w:adjustRightInd w:val="0"/>
        <w:spacing w:line="240" w:lineRule="auto"/>
        <w:ind w:left="480" w:hanging="480"/>
        <w:rPr>
          <w:rFonts w:ascii="Times New Roman" w:hAnsi="Times New Roman" w:cs="Times New Roman"/>
          <w:noProof/>
          <w:szCs w:val="24"/>
        </w:rPr>
      </w:pPr>
      <w:r w:rsidRPr="0069735D">
        <w:rPr>
          <w:rFonts w:ascii="Times New Roman" w:hAnsi="Times New Roman" w:cs="Times New Roman"/>
          <w:noProof/>
          <w:szCs w:val="24"/>
        </w:rPr>
        <w:t xml:space="preserve">Thomas M, Stillwell J, Gould M. 2015. Modelling multilevel variations in distance moved between origins and destinations in England and Wales. </w:t>
      </w:r>
      <w:r w:rsidRPr="0069735D">
        <w:rPr>
          <w:rFonts w:ascii="Times New Roman" w:hAnsi="Times New Roman" w:cs="Times New Roman"/>
          <w:i/>
          <w:iCs/>
          <w:noProof/>
          <w:szCs w:val="24"/>
        </w:rPr>
        <w:t>Environment and Planning A</w:t>
      </w:r>
      <w:r w:rsidRPr="0069735D">
        <w:rPr>
          <w:rFonts w:ascii="Times New Roman" w:hAnsi="Times New Roman" w:cs="Times New Roman"/>
          <w:noProof/>
          <w:szCs w:val="24"/>
        </w:rPr>
        <w:t xml:space="preserve"> </w:t>
      </w:r>
      <w:r w:rsidRPr="0069735D">
        <w:rPr>
          <w:rFonts w:ascii="Times New Roman" w:hAnsi="Times New Roman" w:cs="Times New Roman"/>
          <w:b/>
          <w:bCs/>
          <w:noProof/>
          <w:szCs w:val="24"/>
        </w:rPr>
        <w:t>47</w:t>
      </w:r>
      <w:r w:rsidRPr="0069735D">
        <w:rPr>
          <w:rFonts w:ascii="Times New Roman" w:hAnsi="Times New Roman" w:cs="Times New Roman"/>
          <w:noProof/>
          <w:szCs w:val="24"/>
        </w:rPr>
        <w:t>: 996–1014 DOI: 10.1068/a130327p</w:t>
      </w:r>
    </w:p>
    <w:p w14:paraId="0E7B05E0" w14:textId="77777777" w:rsidR="0069735D" w:rsidRPr="0069735D" w:rsidRDefault="0069735D" w:rsidP="0069735D">
      <w:pPr>
        <w:widowControl w:val="0"/>
        <w:autoSpaceDE w:val="0"/>
        <w:autoSpaceDN w:val="0"/>
        <w:adjustRightInd w:val="0"/>
        <w:spacing w:line="240" w:lineRule="auto"/>
        <w:ind w:left="480" w:hanging="480"/>
        <w:rPr>
          <w:rFonts w:ascii="Times New Roman" w:hAnsi="Times New Roman" w:cs="Times New Roman"/>
          <w:noProof/>
          <w:szCs w:val="24"/>
        </w:rPr>
      </w:pPr>
      <w:r w:rsidRPr="0069735D">
        <w:rPr>
          <w:rFonts w:ascii="Times New Roman" w:hAnsi="Times New Roman" w:cs="Times New Roman"/>
          <w:noProof/>
          <w:szCs w:val="24"/>
        </w:rPr>
        <w:t xml:space="preserve">Thomas M, Stillwell J, Gould M. 2016. Modelling mover/stayer characteristics across the life course using a large commercial sample. </w:t>
      </w:r>
      <w:r w:rsidRPr="0069735D">
        <w:rPr>
          <w:rFonts w:ascii="Times New Roman" w:hAnsi="Times New Roman" w:cs="Times New Roman"/>
          <w:i/>
          <w:iCs/>
          <w:noProof/>
          <w:szCs w:val="24"/>
        </w:rPr>
        <w:t>Population, Space and Place</w:t>
      </w:r>
      <w:r w:rsidRPr="0069735D">
        <w:rPr>
          <w:rFonts w:ascii="Times New Roman" w:hAnsi="Times New Roman" w:cs="Times New Roman"/>
          <w:noProof/>
          <w:szCs w:val="24"/>
        </w:rPr>
        <w:t xml:space="preserve"> </w:t>
      </w:r>
      <w:r w:rsidRPr="0069735D">
        <w:rPr>
          <w:rFonts w:ascii="Times New Roman" w:hAnsi="Times New Roman" w:cs="Times New Roman"/>
          <w:b/>
          <w:bCs/>
          <w:noProof/>
          <w:szCs w:val="24"/>
        </w:rPr>
        <w:t>22</w:t>
      </w:r>
      <w:r w:rsidRPr="0069735D">
        <w:rPr>
          <w:rFonts w:ascii="Times New Roman" w:hAnsi="Times New Roman" w:cs="Times New Roman"/>
          <w:noProof/>
          <w:szCs w:val="24"/>
        </w:rPr>
        <w:t>: 584–598 DOI: 10.1002/psp.1943</w:t>
      </w:r>
    </w:p>
    <w:p w14:paraId="209D13AE" w14:textId="77777777" w:rsidR="0069735D" w:rsidRPr="0069735D" w:rsidRDefault="0069735D" w:rsidP="0069735D">
      <w:pPr>
        <w:widowControl w:val="0"/>
        <w:autoSpaceDE w:val="0"/>
        <w:autoSpaceDN w:val="0"/>
        <w:adjustRightInd w:val="0"/>
        <w:spacing w:line="240" w:lineRule="auto"/>
        <w:ind w:left="480" w:hanging="480"/>
        <w:rPr>
          <w:rFonts w:ascii="Times New Roman" w:hAnsi="Times New Roman" w:cs="Times New Roman"/>
          <w:noProof/>
          <w:szCs w:val="24"/>
        </w:rPr>
      </w:pPr>
      <w:r w:rsidRPr="0069735D">
        <w:rPr>
          <w:rFonts w:ascii="Times New Roman" w:hAnsi="Times New Roman" w:cs="Times New Roman"/>
          <w:noProof/>
          <w:szCs w:val="24"/>
        </w:rPr>
        <w:t xml:space="preserve">Wallace M, Kulu H. 2014. Migration and health in England and Scotland: a study of migrant selectivity and salmon bias. </w:t>
      </w:r>
      <w:r w:rsidRPr="0069735D">
        <w:rPr>
          <w:rFonts w:ascii="Times New Roman" w:hAnsi="Times New Roman" w:cs="Times New Roman"/>
          <w:i/>
          <w:iCs/>
          <w:noProof/>
          <w:szCs w:val="24"/>
        </w:rPr>
        <w:t>Population, Space and Place</w:t>
      </w:r>
      <w:r w:rsidRPr="0069735D">
        <w:rPr>
          <w:rFonts w:ascii="Times New Roman" w:hAnsi="Times New Roman" w:cs="Times New Roman"/>
          <w:noProof/>
          <w:szCs w:val="24"/>
        </w:rPr>
        <w:t xml:space="preserve"> </w:t>
      </w:r>
      <w:r w:rsidRPr="0069735D">
        <w:rPr>
          <w:rFonts w:ascii="Times New Roman" w:hAnsi="Times New Roman" w:cs="Times New Roman"/>
          <w:b/>
          <w:bCs/>
          <w:noProof/>
          <w:szCs w:val="24"/>
        </w:rPr>
        <w:t>20</w:t>
      </w:r>
      <w:r w:rsidRPr="0069735D">
        <w:rPr>
          <w:rFonts w:ascii="Times New Roman" w:hAnsi="Times New Roman" w:cs="Times New Roman"/>
          <w:noProof/>
          <w:szCs w:val="24"/>
        </w:rPr>
        <w:t>: 694–708 DOI: 10.1002/psp.1804</w:t>
      </w:r>
    </w:p>
    <w:p w14:paraId="4508C19E" w14:textId="77777777" w:rsidR="0069735D" w:rsidRPr="0069735D" w:rsidRDefault="0069735D" w:rsidP="0069735D">
      <w:pPr>
        <w:widowControl w:val="0"/>
        <w:autoSpaceDE w:val="0"/>
        <w:autoSpaceDN w:val="0"/>
        <w:adjustRightInd w:val="0"/>
        <w:spacing w:line="240" w:lineRule="auto"/>
        <w:ind w:left="480" w:hanging="480"/>
        <w:rPr>
          <w:rFonts w:ascii="Times New Roman" w:hAnsi="Times New Roman" w:cs="Times New Roman"/>
          <w:noProof/>
          <w:szCs w:val="24"/>
        </w:rPr>
      </w:pPr>
      <w:r w:rsidRPr="0069735D">
        <w:rPr>
          <w:rFonts w:ascii="Times New Roman" w:hAnsi="Times New Roman" w:cs="Times New Roman"/>
          <w:noProof/>
          <w:szCs w:val="24"/>
        </w:rPr>
        <w:t xml:space="preserve">Wilding S, Martin D, Moon G. 2016. The impact of limiting long term illness on internal migration in England and Wales: new evidence from census microdata. </w:t>
      </w:r>
      <w:r w:rsidRPr="0069735D">
        <w:rPr>
          <w:rFonts w:ascii="Times New Roman" w:hAnsi="Times New Roman" w:cs="Times New Roman"/>
          <w:i/>
          <w:iCs/>
          <w:noProof/>
          <w:szCs w:val="24"/>
        </w:rPr>
        <w:t>Social Science &amp; Medicine</w:t>
      </w:r>
      <w:r w:rsidRPr="0069735D">
        <w:rPr>
          <w:rFonts w:ascii="Times New Roman" w:hAnsi="Times New Roman" w:cs="Times New Roman"/>
          <w:noProof/>
          <w:szCs w:val="24"/>
        </w:rPr>
        <w:t xml:space="preserve"> </w:t>
      </w:r>
      <w:r w:rsidRPr="0069735D">
        <w:rPr>
          <w:rFonts w:ascii="Times New Roman" w:hAnsi="Times New Roman" w:cs="Times New Roman"/>
          <w:b/>
          <w:bCs/>
          <w:noProof/>
          <w:szCs w:val="24"/>
        </w:rPr>
        <w:t>167</w:t>
      </w:r>
      <w:r w:rsidRPr="0069735D">
        <w:rPr>
          <w:rFonts w:ascii="Times New Roman" w:hAnsi="Times New Roman" w:cs="Times New Roman"/>
          <w:noProof/>
          <w:szCs w:val="24"/>
        </w:rPr>
        <w:t>: 107–115 DOI: http://dx.doi.org/10.1016/j.socscimed.2016.08.046</w:t>
      </w:r>
    </w:p>
    <w:p w14:paraId="7BF8A835" w14:textId="77777777" w:rsidR="0069735D" w:rsidRPr="0069735D" w:rsidRDefault="0069735D" w:rsidP="0069735D">
      <w:pPr>
        <w:widowControl w:val="0"/>
        <w:autoSpaceDE w:val="0"/>
        <w:autoSpaceDN w:val="0"/>
        <w:adjustRightInd w:val="0"/>
        <w:spacing w:line="240" w:lineRule="auto"/>
        <w:ind w:left="480" w:hanging="480"/>
        <w:rPr>
          <w:rFonts w:ascii="Times New Roman" w:hAnsi="Times New Roman" w:cs="Times New Roman"/>
          <w:noProof/>
        </w:rPr>
      </w:pPr>
      <w:r w:rsidRPr="0069735D">
        <w:rPr>
          <w:rFonts w:ascii="Times New Roman" w:hAnsi="Times New Roman" w:cs="Times New Roman"/>
          <w:noProof/>
          <w:szCs w:val="24"/>
        </w:rPr>
        <w:t xml:space="preserve">Wolfe R, Hanley J. 2002. If we’re so different, why do we keep overlapping? When 1 plus 1 doesn’t make 2. </w:t>
      </w:r>
      <w:r w:rsidRPr="0069735D">
        <w:rPr>
          <w:rFonts w:ascii="Times New Roman" w:hAnsi="Times New Roman" w:cs="Times New Roman"/>
          <w:i/>
          <w:iCs/>
          <w:noProof/>
          <w:szCs w:val="24"/>
        </w:rPr>
        <w:t xml:space="preserve">Canadian Medical Association Journal </w:t>
      </w:r>
      <w:r w:rsidRPr="0069735D">
        <w:rPr>
          <w:rFonts w:ascii="Times New Roman" w:hAnsi="Times New Roman" w:cs="Times New Roman"/>
          <w:noProof/>
          <w:szCs w:val="24"/>
        </w:rPr>
        <w:t xml:space="preserve"> </w:t>
      </w:r>
      <w:r w:rsidRPr="0069735D">
        <w:rPr>
          <w:rFonts w:ascii="Times New Roman" w:hAnsi="Times New Roman" w:cs="Times New Roman"/>
          <w:b/>
          <w:bCs/>
          <w:noProof/>
          <w:szCs w:val="24"/>
        </w:rPr>
        <w:t>166</w:t>
      </w:r>
      <w:r w:rsidRPr="0069735D">
        <w:rPr>
          <w:rFonts w:ascii="Times New Roman" w:hAnsi="Times New Roman" w:cs="Times New Roman"/>
          <w:noProof/>
          <w:szCs w:val="24"/>
        </w:rPr>
        <w:t>: 65–66</w:t>
      </w:r>
    </w:p>
    <w:p w14:paraId="5CDD44DF" w14:textId="21DE2570" w:rsidR="001B2B36" w:rsidRPr="00F47287" w:rsidRDefault="00A328DF" w:rsidP="001F1073">
      <w:pPr>
        <w:pStyle w:val="Heading1"/>
      </w:pPr>
      <w:r>
        <w:fldChar w:fldCharType="end"/>
      </w:r>
      <w:r w:rsidR="00A71398" w:rsidRPr="00F47287">
        <w:t>Table 1</w:t>
      </w:r>
    </w:p>
    <w:tbl>
      <w:tblPr>
        <w:tblStyle w:val="TableGrid"/>
        <w:tblW w:w="5000" w:type="pct"/>
        <w:tblLook w:val="04A0" w:firstRow="1" w:lastRow="0" w:firstColumn="1" w:lastColumn="0" w:noHBand="0" w:noVBand="1"/>
      </w:tblPr>
      <w:tblGrid>
        <w:gridCol w:w="1182"/>
        <w:gridCol w:w="1034"/>
        <w:gridCol w:w="1531"/>
        <w:gridCol w:w="1483"/>
        <w:gridCol w:w="1353"/>
        <w:gridCol w:w="1911"/>
      </w:tblGrid>
      <w:tr w:rsidR="00F47287" w:rsidRPr="00E26635" w14:paraId="0E90B7E3" w14:textId="77777777" w:rsidTr="00842CB7">
        <w:tc>
          <w:tcPr>
            <w:tcW w:w="696" w:type="pct"/>
          </w:tcPr>
          <w:p w14:paraId="6B2EBF10" w14:textId="77777777" w:rsidR="00F47287" w:rsidRPr="00C0488C" w:rsidRDefault="00F47287" w:rsidP="00842CB7">
            <w:pPr>
              <w:rPr>
                <w:rFonts w:asciiTheme="majorBidi" w:hAnsiTheme="majorBidi" w:cstheme="majorBidi"/>
              </w:rPr>
            </w:pPr>
            <w:r w:rsidRPr="00C0488C">
              <w:rPr>
                <w:rFonts w:asciiTheme="majorBidi" w:hAnsiTheme="majorBidi" w:cstheme="majorBidi"/>
              </w:rPr>
              <w:t>Study</w:t>
            </w:r>
          </w:p>
        </w:tc>
        <w:tc>
          <w:tcPr>
            <w:tcW w:w="609" w:type="pct"/>
          </w:tcPr>
          <w:p w14:paraId="7B64A87E" w14:textId="77777777" w:rsidR="00F47287" w:rsidRPr="00C0488C" w:rsidRDefault="00F47287" w:rsidP="00842CB7">
            <w:pPr>
              <w:rPr>
                <w:rFonts w:asciiTheme="majorBidi" w:hAnsiTheme="majorBidi" w:cstheme="majorBidi"/>
              </w:rPr>
            </w:pPr>
            <w:r w:rsidRPr="00C0488C">
              <w:rPr>
                <w:rFonts w:asciiTheme="majorBidi" w:hAnsiTheme="majorBidi" w:cstheme="majorBidi"/>
              </w:rPr>
              <w:t>Country</w:t>
            </w:r>
          </w:p>
        </w:tc>
        <w:tc>
          <w:tcPr>
            <w:tcW w:w="901" w:type="pct"/>
          </w:tcPr>
          <w:p w14:paraId="5FA0E853" w14:textId="77777777" w:rsidR="00F47287" w:rsidRPr="00C0488C" w:rsidRDefault="00F47287" w:rsidP="00842CB7">
            <w:pPr>
              <w:rPr>
                <w:rFonts w:asciiTheme="majorBidi" w:hAnsiTheme="majorBidi" w:cstheme="majorBidi"/>
              </w:rPr>
            </w:pPr>
            <w:r w:rsidRPr="00C0488C">
              <w:rPr>
                <w:rFonts w:asciiTheme="majorBidi" w:hAnsiTheme="majorBidi" w:cstheme="majorBidi"/>
              </w:rPr>
              <w:t>Measure of health</w:t>
            </w:r>
          </w:p>
        </w:tc>
        <w:tc>
          <w:tcPr>
            <w:tcW w:w="873" w:type="pct"/>
          </w:tcPr>
          <w:p w14:paraId="3AFDB06A" w14:textId="77777777" w:rsidR="00F47287" w:rsidRPr="00C0488C" w:rsidRDefault="00F47287" w:rsidP="00842CB7">
            <w:pPr>
              <w:rPr>
                <w:rFonts w:asciiTheme="majorBidi" w:hAnsiTheme="majorBidi" w:cstheme="majorBidi"/>
              </w:rPr>
            </w:pPr>
            <w:r w:rsidRPr="00C0488C">
              <w:rPr>
                <w:rFonts w:asciiTheme="majorBidi" w:hAnsiTheme="majorBidi" w:cstheme="majorBidi"/>
              </w:rPr>
              <w:t>Distance cut-off</w:t>
            </w:r>
          </w:p>
        </w:tc>
        <w:tc>
          <w:tcPr>
            <w:tcW w:w="796" w:type="pct"/>
          </w:tcPr>
          <w:p w14:paraId="31659A71" w14:textId="77777777" w:rsidR="00F47287" w:rsidRPr="00C0488C" w:rsidRDefault="00F47287" w:rsidP="00842CB7">
            <w:pPr>
              <w:rPr>
                <w:rFonts w:asciiTheme="majorBidi" w:hAnsiTheme="majorBidi" w:cstheme="majorBidi"/>
              </w:rPr>
            </w:pPr>
            <w:r w:rsidRPr="00C0488C">
              <w:rPr>
                <w:rFonts w:asciiTheme="majorBidi" w:hAnsiTheme="majorBidi" w:cstheme="majorBidi"/>
              </w:rPr>
              <w:t>Sample</w:t>
            </w:r>
          </w:p>
        </w:tc>
        <w:tc>
          <w:tcPr>
            <w:tcW w:w="1125" w:type="pct"/>
          </w:tcPr>
          <w:p w14:paraId="21E2A2EA" w14:textId="77777777" w:rsidR="00F47287" w:rsidRPr="00C0488C" w:rsidRDefault="00F47287" w:rsidP="00842CB7">
            <w:pPr>
              <w:rPr>
                <w:rFonts w:asciiTheme="majorBidi" w:hAnsiTheme="majorBidi" w:cstheme="majorBidi"/>
              </w:rPr>
            </w:pPr>
            <w:r w:rsidRPr="00C0488C">
              <w:rPr>
                <w:rFonts w:asciiTheme="majorBidi" w:hAnsiTheme="majorBidi" w:cstheme="majorBidi"/>
              </w:rPr>
              <w:t>Finding</w:t>
            </w:r>
          </w:p>
        </w:tc>
      </w:tr>
      <w:tr w:rsidR="00F47287" w:rsidRPr="00E26635" w14:paraId="2C776E83" w14:textId="77777777" w:rsidTr="00842CB7">
        <w:trPr>
          <w:trHeight w:val="844"/>
        </w:trPr>
        <w:tc>
          <w:tcPr>
            <w:tcW w:w="696" w:type="pct"/>
          </w:tcPr>
          <w:p w14:paraId="60EB40E0" w14:textId="77777777" w:rsidR="00F47287" w:rsidRPr="00996B4A" w:rsidRDefault="00F47287" w:rsidP="00842CB7">
            <w:pPr>
              <w:rPr>
                <w:rFonts w:asciiTheme="majorBidi" w:hAnsiTheme="majorBidi" w:cstheme="majorBidi"/>
              </w:rPr>
            </w:pPr>
            <w:r w:rsidRPr="00996B4A">
              <w:rPr>
                <w:rFonts w:asciiTheme="majorBidi" w:hAnsiTheme="majorBidi" w:cstheme="majorBidi"/>
              </w:rPr>
              <w:fldChar w:fldCharType="begin" w:fldLock="1"/>
            </w:r>
            <w:r>
              <w:rPr>
                <w:rFonts w:asciiTheme="majorBidi" w:hAnsiTheme="majorBidi" w:cstheme="majorBidi"/>
              </w:rPr>
              <w:instrText>ADDIN CSL_CITATION { "citationItems" : [ { "id" : "ITEM-1", "itemData" : { "DOI" : "10.1016/S0277-9536(00)00373-7", "abstract" : "A previous study showed that variations in deprivation within small localities in England and Wales influenced the rates of self-reported limiting long-term illness, controlling for overall levels of deprivation. These results suggest that while morbidity is related to overall levels of material deprivation, the distribution of resources within small areas have a significant effect on health outcomes. However, it is possible that these area effects become redundant once individual-level characteristics are accounted for. This analysis examines whether area-level deprivation and variations in deprivation are significant indicators of individual-level limiting long-term illness, once individual characteristics have been accounted for.", "author" : [ { "dropping-particle" : "", "family" : "Boyle", "given" : "Paul", "non-dropping-particle" : "", "parse-names" : false, "suffix" : "" }, { "dropping-particle" : "", "family" : "Gatrell", "given" : "Anthony C", "non-dropping-particle" : "", "parse-names" : false, "suffix" : "" }, { "dropping-particle" : "", "family" : "Duke-Williams", "given" : "Oliver", "non-dropping-particle" : "", "parse-names" : false, "suffix" : "" } ], "container-title" : "Social Science &amp; Medicine", "id" : "ITEM-1", "issue" : "6", "issued" : { "date-parts" : [ [ "2001", "9" ] ] }, "note" : "Used the 1991 SARs household file to look at geographic variation in LTLI. Found evidence of individual and micro-level effects on the likelihood of LTLI. For individuals being older, male, white or blue collar, Indian, non-mover, divorced or widowed, no higher level qualifications, in the coal industry, non-owner, non-unemployed, under-crowding and no car ownership were related to higher chances of reporting LTLI. At the area level living in a deprived area increased the chances of reporting LTLI whilst there was still signfiicant within area deprivation showing that inequality withinareas is also a predictor of LTLI whilst higher proportions of in-migrants were associated with lower reporting of LTLI.", "page" : "795-799", "title" : "Do area-level population change, deprivation and variations in deprivation affect individual-level self-reported limiting long-term illness?", "type" : "article-journal", "volume" : "53" }, "uris" : [ "http://www.mendeley.com/documents/?uuid=2e655839-ea03-40f8-b2b3-154902b52f04" ] } ], "mendeley" : { "formattedCitation" : "(Boyle &lt;i&gt;et al.&lt;/i&gt;, 2001)", "plainTextFormattedCitation" : "(Boyle et al., 2001)", "previouslyFormattedCitation" : "(Boyle &lt;i&gt;et al.&lt;/i&gt;, 2001)" }, "properties" : { "noteIndex" : 0 }, "schema" : "https://github.com/citation-style-language/schema/raw/master/csl-citation.json" }</w:instrText>
            </w:r>
            <w:r w:rsidRPr="00996B4A">
              <w:rPr>
                <w:rFonts w:asciiTheme="majorBidi" w:hAnsiTheme="majorBidi" w:cstheme="majorBidi"/>
              </w:rPr>
              <w:fldChar w:fldCharType="separate"/>
            </w:r>
            <w:r w:rsidRPr="00607727">
              <w:rPr>
                <w:rFonts w:asciiTheme="majorBidi" w:hAnsiTheme="majorBidi" w:cstheme="majorBidi"/>
                <w:noProof/>
              </w:rPr>
              <w:t xml:space="preserve">(Boyle </w:t>
            </w:r>
            <w:r w:rsidRPr="00607727">
              <w:rPr>
                <w:rFonts w:asciiTheme="majorBidi" w:hAnsiTheme="majorBidi" w:cstheme="majorBidi"/>
                <w:i/>
                <w:noProof/>
              </w:rPr>
              <w:t>et al.</w:t>
            </w:r>
            <w:r w:rsidRPr="00607727">
              <w:rPr>
                <w:rFonts w:asciiTheme="majorBidi" w:hAnsiTheme="majorBidi" w:cstheme="majorBidi"/>
                <w:noProof/>
              </w:rPr>
              <w:t>, 2001)</w:t>
            </w:r>
            <w:r w:rsidRPr="00996B4A">
              <w:rPr>
                <w:rFonts w:asciiTheme="majorBidi" w:hAnsiTheme="majorBidi" w:cstheme="majorBidi"/>
              </w:rPr>
              <w:fldChar w:fldCharType="end"/>
            </w:r>
          </w:p>
        </w:tc>
        <w:tc>
          <w:tcPr>
            <w:tcW w:w="609" w:type="pct"/>
          </w:tcPr>
          <w:p w14:paraId="3C24C12B" w14:textId="77777777" w:rsidR="00F47287" w:rsidRPr="00996B4A" w:rsidRDefault="00F47287" w:rsidP="00842CB7">
            <w:pPr>
              <w:rPr>
                <w:rFonts w:asciiTheme="majorBidi" w:hAnsiTheme="majorBidi" w:cstheme="majorBidi"/>
              </w:rPr>
            </w:pPr>
            <w:r w:rsidRPr="00996B4A">
              <w:rPr>
                <w:rFonts w:asciiTheme="majorBidi" w:hAnsiTheme="majorBidi" w:cstheme="majorBidi"/>
              </w:rPr>
              <w:t>England and Wales</w:t>
            </w:r>
          </w:p>
        </w:tc>
        <w:tc>
          <w:tcPr>
            <w:tcW w:w="901" w:type="pct"/>
          </w:tcPr>
          <w:p w14:paraId="691368C2" w14:textId="77777777" w:rsidR="00F47287" w:rsidRPr="00996B4A" w:rsidRDefault="00F47287" w:rsidP="00842CB7">
            <w:pPr>
              <w:rPr>
                <w:rFonts w:asciiTheme="majorBidi" w:hAnsiTheme="majorBidi" w:cstheme="majorBidi"/>
              </w:rPr>
            </w:pPr>
            <w:r w:rsidRPr="00996B4A">
              <w:rPr>
                <w:rFonts w:asciiTheme="majorBidi" w:hAnsiTheme="majorBidi" w:cstheme="majorBidi"/>
              </w:rPr>
              <w:t>LLTI</w:t>
            </w:r>
          </w:p>
        </w:tc>
        <w:tc>
          <w:tcPr>
            <w:tcW w:w="873" w:type="pct"/>
          </w:tcPr>
          <w:p w14:paraId="28A6C806" w14:textId="77777777" w:rsidR="00F47287" w:rsidRPr="00996B4A" w:rsidRDefault="00F47287" w:rsidP="00842CB7">
            <w:pPr>
              <w:rPr>
                <w:rFonts w:asciiTheme="majorBidi" w:hAnsiTheme="majorBidi" w:cstheme="majorBidi"/>
              </w:rPr>
            </w:pPr>
            <w:r w:rsidRPr="00996B4A">
              <w:rPr>
                <w:rFonts w:asciiTheme="majorBidi" w:hAnsiTheme="majorBidi" w:cstheme="majorBidi"/>
              </w:rPr>
              <w:t>50km</w:t>
            </w:r>
          </w:p>
        </w:tc>
        <w:tc>
          <w:tcPr>
            <w:tcW w:w="796" w:type="pct"/>
          </w:tcPr>
          <w:p w14:paraId="21545716" w14:textId="77777777" w:rsidR="00F47287" w:rsidRPr="00996B4A" w:rsidRDefault="00F47287" w:rsidP="00842CB7">
            <w:pPr>
              <w:rPr>
                <w:rFonts w:asciiTheme="majorBidi" w:hAnsiTheme="majorBidi" w:cstheme="majorBidi"/>
              </w:rPr>
            </w:pPr>
            <w:r w:rsidRPr="00996B4A">
              <w:rPr>
                <w:rFonts w:asciiTheme="majorBidi" w:hAnsiTheme="majorBidi" w:cstheme="majorBidi"/>
              </w:rPr>
              <w:t>1991 England and Wales Census microdata</w:t>
            </w:r>
          </w:p>
        </w:tc>
        <w:tc>
          <w:tcPr>
            <w:tcW w:w="1125" w:type="pct"/>
          </w:tcPr>
          <w:p w14:paraId="3B9DB6B7" w14:textId="77777777" w:rsidR="00F47287" w:rsidRPr="00996B4A" w:rsidRDefault="00F47287" w:rsidP="00842CB7">
            <w:pPr>
              <w:rPr>
                <w:rFonts w:asciiTheme="majorBidi" w:hAnsiTheme="majorBidi" w:cstheme="majorBidi"/>
              </w:rPr>
            </w:pPr>
            <w:r w:rsidRPr="00996B4A">
              <w:rPr>
                <w:rFonts w:asciiTheme="majorBidi" w:hAnsiTheme="majorBidi" w:cstheme="majorBidi"/>
              </w:rPr>
              <w:t>Long distance migrants are less likely to report an LLTI (OR .86) than short distance and non-movers.</w:t>
            </w:r>
          </w:p>
        </w:tc>
      </w:tr>
      <w:tr w:rsidR="00F47287" w:rsidRPr="00E26635" w14:paraId="0CF1BB40" w14:textId="77777777" w:rsidTr="00842CB7">
        <w:trPr>
          <w:trHeight w:val="844"/>
        </w:trPr>
        <w:tc>
          <w:tcPr>
            <w:tcW w:w="696" w:type="pct"/>
          </w:tcPr>
          <w:p w14:paraId="7CD75DDF" w14:textId="77777777" w:rsidR="00F47287" w:rsidRPr="00C0488C" w:rsidRDefault="00F47287" w:rsidP="00842CB7">
            <w:pPr>
              <w:rPr>
                <w:rFonts w:asciiTheme="majorBidi" w:hAnsiTheme="majorBidi" w:cstheme="majorBidi"/>
              </w:rPr>
            </w:pPr>
            <w:r w:rsidRPr="00996B4A">
              <w:rPr>
                <w:rFonts w:asciiTheme="majorBidi" w:hAnsiTheme="majorBidi" w:cstheme="majorBidi"/>
              </w:rPr>
              <w:fldChar w:fldCharType="begin" w:fldLock="1"/>
            </w:r>
            <w:r>
              <w:rPr>
                <w:rFonts w:asciiTheme="majorBidi" w:hAnsiTheme="majorBidi" w:cstheme="majorBidi"/>
              </w:rPr>
              <w:instrText>ADDIN CSL_CITATION { "citationItems" : [ { "id" : "ITEM-1", "itemData" : { "DOI" : "10.1136/bmj.310.6977.423", "ISSN" : "0959-8138", "abstract" : "Objective - To investigate the extent to which geographical variations in mortality from ischaemic heart disease and stroke in Britain are influenced by factors in early life or in adulthood. Design - Longitudinal study of migrants. Subjects - 1% sample of residents in England and Wales born before October 1939 and enumerated at the 1971 census (the Office of Population Censuses and Surveys' longitudinal study). Main outcome measure - 18221 deaths from ischaemic heart disease and 9899 deaths from stroke during 1971-88 were analysed by areas of residence in 1939 and 1971. These included 2928 deaths from ischaemic heart disease and 1608 deaths from stroke among individuals moving between 14 areas defined by the major conurbations and nine standard administrative regions of England and Wales. Results - The southeast to northwest gradient in mortality from ischaemic heart disease was related significantly to both the 1939 area (\u03c72=6.09, df=1) and area in 1971 (\u03c72=5.05, df=1). Geographical variations in mortality from stroke were related significantly to the 1939 area (\u03c72=4.09, df=1) but the effect of area in 1971 was greater (\u03c72=8.07, df=1). The effect of 1971 area on mortality from stroke was largely due to a lower risk of death from stroke among individuals moving into Greater London compared with migrants to the rest of the South East region (\u03c72=4.54, df=1). Conclusions - Geographical variations in mortality from cardiovascular disease in Britain may be partly determined by genetic factors, environmental exposures, or lifestyle acquired early in life, but the risk of fatal ischaemic heart disease and stroke changes on migration between areas with differing mortality. The low risk of death from stroke associated with residence in Greater London is acquired by individuals who move there.", "author" : [ { "dropping-particle" : "", "family" : "Strachan", "given" : "D. P.", "non-dropping-particle" : "", "parse-names" : false, "suffix" : "" }, { "dropping-particle" : "", "family" : "Leon", "given" : "D. A.", "non-dropping-particle" : "", "parse-names" : false, "suffix" : "" }, { "dropping-particle" : "", "family" : "Dodgeon", "given" : "B.", "non-dropping-particle" : "", "parse-names" : false, "suffix" : "" } ], "container-title" : "BMJ", "id" : "ITEM-1", "issue" : "6977", "issued" : { "date-parts" : [ [ "1995", "2", "18" ] ] }, "note" : "Used the LS to see whether migration was related to mortality from CVD. Found no effect for migration having a 'gradient' effect. Used in the VML paper.", "page" : "423-427", "title" : "Mortality from cardiovascular disease among interregional migrants in England and Wales", "type" : "article-journal", "volume" : "310" }, "uris" : [ "http://www.mendeley.com/documents/?uuid=38da42c3-5e77-44ec-9feb-b06c9cc7f960" ] } ], "mendeley" : { "formattedCitation" : "(Strachan &lt;i&gt;et al.&lt;/i&gt;, 1995)", "plainTextFormattedCitation" : "(Strachan et al., 1995)", "previouslyFormattedCitation" : "(Strachan &lt;i&gt;et al.&lt;/i&gt;, 1995)" }, "properties" : { "noteIndex" : 0 }, "schema" : "https://github.com/citation-style-language/schema/raw/master/csl-citation.json" }</w:instrText>
            </w:r>
            <w:r w:rsidRPr="00996B4A">
              <w:rPr>
                <w:rFonts w:asciiTheme="majorBidi" w:hAnsiTheme="majorBidi" w:cstheme="majorBidi"/>
              </w:rPr>
              <w:fldChar w:fldCharType="separate"/>
            </w:r>
            <w:r w:rsidRPr="00607727">
              <w:rPr>
                <w:rFonts w:asciiTheme="majorBidi" w:hAnsiTheme="majorBidi" w:cstheme="majorBidi"/>
                <w:noProof/>
              </w:rPr>
              <w:t xml:space="preserve">(Strachan </w:t>
            </w:r>
            <w:r w:rsidRPr="00607727">
              <w:rPr>
                <w:rFonts w:asciiTheme="majorBidi" w:hAnsiTheme="majorBidi" w:cstheme="majorBidi"/>
                <w:i/>
                <w:noProof/>
              </w:rPr>
              <w:t>et al.</w:t>
            </w:r>
            <w:r w:rsidRPr="00607727">
              <w:rPr>
                <w:rFonts w:asciiTheme="majorBidi" w:hAnsiTheme="majorBidi" w:cstheme="majorBidi"/>
                <w:noProof/>
              </w:rPr>
              <w:t>, 1995)</w:t>
            </w:r>
            <w:r w:rsidRPr="00996B4A">
              <w:rPr>
                <w:rFonts w:asciiTheme="majorBidi" w:hAnsiTheme="majorBidi" w:cstheme="majorBidi"/>
              </w:rPr>
              <w:fldChar w:fldCharType="end"/>
            </w:r>
          </w:p>
        </w:tc>
        <w:tc>
          <w:tcPr>
            <w:tcW w:w="609" w:type="pct"/>
          </w:tcPr>
          <w:p w14:paraId="6D391C62" w14:textId="77777777" w:rsidR="00F47287" w:rsidRPr="00C0488C" w:rsidRDefault="00F47287" w:rsidP="00842CB7">
            <w:pPr>
              <w:rPr>
                <w:rFonts w:asciiTheme="majorBidi" w:hAnsiTheme="majorBidi" w:cstheme="majorBidi"/>
              </w:rPr>
            </w:pPr>
            <w:r w:rsidRPr="00C0488C">
              <w:rPr>
                <w:rFonts w:asciiTheme="majorBidi" w:hAnsiTheme="majorBidi" w:cstheme="majorBidi"/>
              </w:rPr>
              <w:t>England and Wales</w:t>
            </w:r>
          </w:p>
        </w:tc>
        <w:tc>
          <w:tcPr>
            <w:tcW w:w="901" w:type="pct"/>
          </w:tcPr>
          <w:p w14:paraId="4302DCDA" w14:textId="77777777" w:rsidR="00F47287" w:rsidRPr="00C0488C" w:rsidRDefault="00F47287" w:rsidP="00842CB7">
            <w:pPr>
              <w:rPr>
                <w:rFonts w:asciiTheme="majorBidi" w:hAnsiTheme="majorBidi" w:cstheme="majorBidi"/>
              </w:rPr>
            </w:pPr>
            <w:r w:rsidRPr="00C0488C">
              <w:rPr>
                <w:rFonts w:asciiTheme="majorBidi" w:hAnsiTheme="majorBidi" w:cstheme="majorBidi"/>
              </w:rPr>
              <w:t>Stroke</w:t>
            </w:r>
          </w:p>
        </w:tc>
        <w:tc>
          <w:tcPr>
            <w:tcW w:w="873" w:type="pct"/>
          </w:tcPr>
          <w:p w14:paraId="5FDF7DC5" w14:textId="77777777" w:rsidR="00F47287" w:rsidRPr="00C0488C" w:rsidRDefault="00F47287" w:rsidP="00842CB7">
            <w:pPr>
              <w:rPr>
                <w:rFonts w:asciiTheme="majorBidi" w:hAnsiTheme="majorBidi" w:cstheme="majorBidi"/>
              </w:rPr>
            </w:pPr>
            <w:r w:rsidRPr="00C0488C">
              <w:rPr>
                <w:rFonts w:asciiTheme="majorBidi" w:hAnsiTheme="majorBidi" w:cstheme="majorBidi"/>
              </w:rPr>
              <w:t>Regional</w:t>
            </w:r>
          </w:p>
        </w:tc>
        <w:tc>
          <w:tcPr>
            <w:tcW w:w="796" w:type="pct"/>
          </w:tcPr>
          <w:p w14:paraId="1BE8E1F5" w14:textId="77777777" w:rsidR="00F47287" w:rsidRPr="00C0488C" w:rsidRDefault="00F47287" w:rsidP="00842CB7">
            <w:pPr>
              <w:rPr>
                <w:rFonts w:asciiTheme="majorBidi" w:hAnsiTheme="majorBidi" w:cstheme="majorBidi"/>
              </w:rPr>
            </w:pPr>
            <w:r w:rsidRPr="00C0488C">
              <w:rPr>
                <w:rFonts w:asciiTheme="majorBidi" w:hAnsiTheme="majorBidi" w:cstheme="majorBidi"/>
              </w:rPr>
              <w:t>1991 ONS LS for England and Wales</w:t>
            </w:r>
          </w:p>
        </w:tc>
        <w:tc>
          <w:tcPr>
            <w:tcW w:w="1125" w:type="pct"/>
          </w:tcPr>
          <w:p w14:paraId="5031435A" w14:textId="77777777" w:rsidR="00F47287" w:rsidRPr="00C0488C" w:rsidRDefault="00F47287" w:rsidP="00842CB7">
            <w:pPr>
              <w:rPr>
                <w:rFonts w:asciiTheme="majorBidi" w:hAnsiTheme="majorBidi" w:cstheme="majorBidi"/>
              </w:rPr>
            </w:pPr>
            <w:r w:rsidRPr="00C0488C">
              <w:rPr>
                <w:rFonts w:asciiTheme="majorBidi" w:hAnsiTheme="majorBidi" w:cstheme="majorBidi"/>
              </w:rPr>
              <w:t xml:space="preserve">Migrants into Greater London have lower rates of stroke-related </w:t>
            </w:r>
            <w:r w:rsidRPr="00C0488C">
              <w:rPr>
                <w:rFonts w:asciiTheme="majorBidi" w:hAnsiTheme="majorBidi" w:cstheme="majorBidi"/>
              </w:rPr>
              <w:lastRenderedPageBreak/>
              <w:t>mortality than non</w:t>
            </w:r>
            <w:r>
              <w:rPr>
                <w:rFonts w:asciiTheme="majorBidi" w:hAnsiTheme="majorBidi" w:cstheme="majorBidi"/>
              </w:rPr>
              <w:t>-</w:t>
            </w:r>
            <w:r w:rsidRPr="00C0488C">
              <w:rPr>
                <w:rFonts w:asciiTheme="majorBidi" w:hAnsiTheme="majorBidi" w:cstheme="majorBidi"/>
              </w:rPr>
              <w:t>movers.</w:t>
            </w:r>
          </w:p>
        </w:tc>
      </w:tr>
      <w:tr w:rsidR="00F47287" w:rsidRPr="00E26635" w14:paraId="5C082D71" w14:textId="77777777" w:rsidTr="00842CB7">
        <w:trPr>
          <w:trHeight w:val="844"/>
        </w:trPr>
        <w:tc>
          <w:tcPr>
            <w:tcW w:w="696" w:type="pct"/>
          </w:tcPr>
          <w:p w14:paraId="30A93AC7" w14:textId="77777777" w:rsidR="00F47287" w:rsidRPr="00C0488C" w:rsidRDefault="00F47287" w:rsidP="00842CB7">
            <w:pPr>
              <w:rPr>
                <w:rFonts w:asciiTheme="majorBidi" w:hAnsiTheme="majorBidi" w:cstheme="majorBidi"/>
              </w:rPr>
            </w:pPr>
            <w:r w:rsidRPr="00C0488C">
              <w:rPr>
                <w:rFonts w:asciiTheme="majorBidi" w:hAnsiTheme="majorBidi" w:cstheme="majorBidi"/>
              </w:rPr>
              <w:lastRenderedPageBreak/>
              <w:fldChar w:fldCharType="begin" w:fldLock="1"/>
            </w:r>
            <w:r>
              <w:rPr>
                <w:rFonts w:asciiTheme="majorBidi" w:hAnsiTheme="majorBidi" w:cstheme="majorBidi"/>
              </w:rPr>
              <w:instrText>ADDIN CSL_CITATION { "citationItems" : [ { "id" : "ITEM-1", "itemData" : { "DOI" : "10.1016/S0277-9536(01)00217-9", "ISSN" : "02779536", "abstract" : "Few epidemiological studies of the links between health and environmental variables account for the potentially confounding effects of population migration. Here we explore the relationship between self-reported limiting long-term illness and material deprivation, using individual-level 1991 census data extracted for Scotland. The aim is to investigate whether the migration patterns of ill individuals influences the relationship between limiting long-term illness and material deprivation. Specifically, we seek to determine whether individuals who are well are more likely to migrate away from deprived areas and whether ill individuals are more likely to migrate towards deprived areas. If true, this would suggest that the apparent relationship between deprivation and limiting long-term illness is exaggerated by the effects of migration. We then examine the issue controlling for individual-level characteristics expected to influence limiting long-term illness and pay special attention to the role of public housing in these relationships.", "author" : [ { "dropping-particle" : "", "family" : "Boyle", "given" : "Paul", "non-dropping-particle" : "", "parse-names" : false, "suffix" : "" }, { "dropping-particle" : "", "family" : "Norman", "given" : "Paul", "non-dropping-particle" : "", "parse-names" : false, "suffix" : "" }, { "dropping-particle" : "", "family" : "Rees", "given" : "Philip", "non-dropping-particle" : "", "parse-names" : false, "suffix" : "" } ], "container-title" : "Social Science &amp; Medicine", "id" : "ITEM-1", "issue" : "1", "issued" : { "date-parts" : [ [ "2002", "7" ] ] }, "note" : "Looks at the breeders vs drifters hypothesis for long-term illness in Scotland using 1991 census data.", "page" : "21-31", "title" : "Does migration exaggerate the relationship between deprivation and limiting long-term illness? A Scottish analysis", "type" : "article-journal", "volume" : "55" }, "uris" : [ "http://www.mendeley.com/documents/?uuid=700e0ae8-5647-4979-b309-28b79e891893" ] } ], "mendeley" : { "formattedCitation" : "(Boyle &lt;i&gt;et al.&lt;/i&gt;, 2002)", "plainTextFormattedCitation" : "(Boyle et al., 2002)", "previouslyFormattedCitation" : "(Boyle &lt;i&gt;et al.&lt;/i&gt;, 2002)" }, "properties" : { "noteIndex" : 0 }, "schema" : "https://github.com/citation-style-language/schema/raw/master/csl-citation.json" }</w:instrText>
            </w:r>
            <w:r w:rsidRPr="00C0488C">
              <w:rPr>
                <w:rFonts w:asciiTheme="majorBidi" w:hAnsiTheme="majorBidi" w:cstheme="majorBidi"/>
              </w:rPr>
              <w:fldChar w:fldCharType="separate"/>
            </w:r>
            <w:r w:rsidRPr="00607727">
              <w:rPr>
                <w:rFonts w:asciiTheme="majorBidi" w:hAnsiTheme="majorBidi" w:cstheme="majorBidi"/>
                <w:noProof/>
              </w:rPr>
              <w:t xml:space="preserve">(Boyle </w:t>
            </w:r>
            <w:r w:rsidRPr="00607727">
              <w:rPr>
                <w:rFonts w:asciiTheme="majorBidi" w:hAnsiTheme="majorBidi" w:cstheme="majorBidi"/>
                <w:i/>
                <w:noProof/>
              </w:rPr>
              <w:t>et al.</w:t>
            </w:r>
            <w:r w:rsidRPr="00607727">
              <w:rPr>
                <w:rFonts w:asciiTheme="majorBidi" w:hAnsiTheme="majorBidi" w:cstheme="majorBidi"/>
                <w:noProof/>
              </w:rPr>
              <w:t>, 2002)</w:t>
            </w:r>
            <w:r w:rsidRPr="00C0488C">
              <w:rPr>
                <w:rFonts w:asciiTheme="majorBidi" w:hAnsiTheme="majorBidi" w:cstheme="majorBidi"/>
              </w:rPr>
              <w:fldChar w:fldCharType="end"/>
            </w:r>
          </w:p>
        </w:tc>
        <w:tc>
          <w:tcPr>
            <w:tcW w:w="609" w:type="pct"/>
          </w:tcPr>
          <w:p w14:paraId="6740A46E" w14:textId="77777777" w:rsidR="00F47287" w:rsidRPr="00C0488C" w:rsidRDefault="00F47287" w:rsidP="00842CB7">
            <w:pPr>
              <w:rPr>
                <w:rFonts w:asciiTheme="majorBidi" w:hAnsiTheme="majorBidi" w:cstheme="majorBidi"/>
              </w:rPr>
            </w:pPr>
            <w:r w:rsidRPr="00C0488C">
              <w:rPr>
                <w:rFonts w:asciiTheme="majorBidi" w:hAnsiTheme="majorBidi" w:cstheme="majorBidi"/>
              </w:rPr>
              <w:t>Scotland</w:t>
            </w:r>
          </w:p>
        </w:tc>
        <w:tc>
          <w:tcPr>
            <w:tcW w:w="901" w:type="pct"/>
          </w:tcPr>
          <w:p w14:paraId="35F0FC62" w14:textId="77777777" w:rsidR="00F47287" w:rsidRPr="00C0488C" w:rsidRDefault="00F47287" w:rsidP="00842CB7">
            <w:pPr>
              <w:rPr>
                <w:rFonts w:asciiTheme="majorBidi" w:hAnsiTheme="majorBidi" w:cstheme="majorBidi"/>
              </w:rPr>
            </w:pPr>
            <w:r w:rsidRPr="00C0488C">
              <w:rPr>
                <w:rFonts w:asciiTheme="majorBidi" w:hAnsiTheme="majorBidi" w:cstheme="majorBidi"/>
              </w:rPr>
              <w:t>LLTI</w:t>
            </w:r>
          </w:p>
        </w:tc>
        <w:tc>
          <w:tcPr>
            <w:tcW w:w="873" w:type="pct"/>
          </w:tcPr>
          <w:p w14:paraId="790F0F12" w14:textId="77777777" w:rsidR="00F47287" w:rsidRPr="00C0488C" w:rsidRDefault="00F47287" w:rsidP="00842CB7">
            <w:pPr>
              <w:rPr>
                <w:rFonts w:asciiTheme="majorBidi" w:hAnsiTheme="majorBidi" w:cstheme="majorBidi"/>
              </w:rPr>
            </w:pPr>
            <w:r w:rsidRPr="00C0488C">
              <w:rPr>
                <w:rFonts w:asciiTheme="majorBidi" w:hAnsiTheme="majorBidi" w:cstheme="majorBidi"/>
              </w:rPr>
              <w:t>10km</w:t>
            </w:r>
          </w:p>
        </w:tc>
        <w:tc>
          <w:tcPr>
            <w:tcW w:w="796" w:type="pct"/>
          </w:tcPr>
          <w:p w14:paraId="51C20CB7" w14:textId="77777777" w:rsidR="00F47287" w:rsidRPr="00C0488C" w:rsidRDefault="00F47287" w:rsidP="00842CB7">
            <w:pPr>
              <w:rPr>
                <w:rFonts w:asciiTheme="majorBidi" w:hAnsiTheme="majorBidi" w:cstheme="majorBidi"/>
              </w:rPr>
            </w:pPr>
            <w:r w:rsidRPr="00C0488C">
              <w:rPr>
                <w:rFonts w:asciiTheme="majorBidi" w:hAnsiTheme="majorBidi" w:cstheme="majorBidi"/>
              </w:rPr>
              <w:t>1991 Scotland Census microdata</w:t>
            </w:r>
          </w:p>
        </w:tc>
        <w:tc>
          <w:tcPr>
            <w:tcW w:w="1125" w:type="pct"/>
          </w:tcPr>
          <w:p w14:paraId="1C6EA6F8" w14:textId="77777777" w:rsidR="00F47287" w:rsidRPr="00C0488C" w:rsidRDefault="00F47287" w:rsidP="00842CB7">
            <w:pPr>
              <w:rPr>
                <w:rFonts w:asciiTheme="majorBidi" w:hAnsiTheme="majorBidi" w:cstheme="majorBidi"/>
              </w:rPr>
            </w:pPr>
            <w:r w:rsidRPr="00C0488C">
              <w:rPr>
                <w:rFonts w:asciiTheme="majorBidi" w:hAnsiTheme="majorBidi" w:cstheme="majorBidi"/>
              </w:rPr>
              <w:t>Long distance migrants have lower rates of LLTI than short distance migrants.</w:t>
            </w:r>
          </w:p>
        </w:tc>
      </w:tr>
      <w:tr w:rsidR="00F47287" w:rsidRPr="00E26635" w14:paraId="6B95B175" w14:textId="77777777" w:rsidTr="00842CB7">
        <w:tc>
          <w:tcPr>
            <w:tcW w:w="696" w:type="pct"/>
          </w:tcPr>
          <w:p w14:paraId="40C42E7A" w14:textId="77777777" w:rsidR="00F47287" w:rsidRPr="00C0488C" w:rsidRDefault="00F47287" w:rsidP="00842CB7">
            <w:pPr>
              <w:rPr>
                <w:rFonts w:asciiTheme="majorBidi" w:hAnsiTheme="majorBidi" w:cstheme="majorBidi"/>
              </w:rPr>
            </w:pPr>
            <w:r w:rsidRPr="00C0488C">
              <w:rPr>
                <w:rFonts w:asciiTheme="majorBidi" w:hAnsiTheme="majorBidi" w:cstheme="majorBidi"/>
              </w:rPr>
              <w:fldChar w:fldCharType="begin" w:fldLock="1"/>
            </w:r>
            <w:r>
              <w:rPr>
                <w:rFonts w:asciiTheme="majorBidi" w:hAnsiTheme="majorBidi" w:cstheme="majorBidi"/>
              </w:rPr>
              <w:instrText>ADDIN CSL_CITATION { "citationItems" : [ { "id" : "ITEM-1", "itemData" : { "DOI" : "10.1016/0277-9536(88)90044-5", "author" : [ { "dropping-particle" : "", "family" : "Bentham", "given" : "Graham", "non-dropping-particle" : "", "parse-names" : false, "suffix" : "" } ], "container-title" : "Social science &amp; medicine", "id" : "ITEM-1", "issue" : "1", "issued" : { "date-parts" : [ [ "1988" ] ] }, "note" : "Discusses self-reported morvidity from the 1981 census. Found that young migrants moving long distances were relatively healthy - in areas with high out-migraiton we would therefore expect the young to be unhealthy and the opposite in areas with high in-migration. Amongst older people migration is negative-health selective moving shorter distance to be closer to medical care. So relatively benefiical environments with good health services might be disproportionately occupied by the sick.", "page" : "49-54", "title" : "Migration and morbidity: implications for geographical studies of disease", "type" : "article-journal", "volume" : "26" }, "uris" : [ "http://www.mendeley.com/documents/?uuid=f57c4cb0-1ae6-4cc4-b923-7f60ab98f42b" ] } ], "mendeley" : { "formattedCitation" : "(Bentham, 1988)", "plainTextFormattedCitation" : "(Bentham, 1988)", "previouslyFormattedCitation" : "(Bentham, 1988)" }, "properties" : { "noteIndex" : 0 }, "schema" : "https://github.com/citation-style-language/schema/raw/master/csl-citation.json" }</w:instrText>
            </w:r>
            <w:r w:rsidRPr="00C0488C">
              <w:rPr>
                <w:rFonts w:asciiTheme="majorBidi" w:hAnsiTheme="majorBidi" w:cstheme="majorBidi"/>
              </w:rPr>
              <w:fldChar w:fldCharType="separate"/>
            </w:r>
            <w:r w:rsidRPr="00C0488C">
              <w:rPr>
                <w:rFonts w:asciiTheme="majorBidi" w:hAnsiTheme="majorBidi" w:cstheme="majorBidi"/>
                <w:noProof/>
              </w:rPr>
              <w:t>(Bentham, 1988)</w:t>
            </w:r>
            <w:r w:rsidRPr="00C0488C">
              <w:rPr>
                <w:rFonts w:asciiTheme="majorBidi" w:hAnsiTheme="majorBidi" w:cstheme="majorBidi"/>
              </w:rPr>
              <w:fldChar w:fldCharType="end"/>
            </w:r>
          </w:p>
        </w:tc>
        <w:tc>
          <w:tcPr>
            <w:tcW w:w="609" w:type="pct"/>
          </w:tcPr>
          <w:p w14:paraId="4137E3C6" w14:textId="77777777" w:rsidR="00F47287" w:rsidRPr="00C0488C" w:rsidRDefault="00F47287" w:rsidP="00842CB7">
            <w:pPr>
              <w:rPr>
                <w:rFonts w:asciiTheme="majorBidi" w:hAnsiTheme="majorBidi" w:cstheme="majorBidi"/>
              </w:rPr>
            </w:pPr>
            <w:r w:rsidRPr="00C0488C">
              <w:rPr>
                <w:rFonts w:asciiTheme="majorBidi" w:hAnsiTheme="majorBidi" w:cstheme="majorBidi"/>
              </w:rPr>
              <w:t>UK</w:t>
            </w:r>
          </w:p>
        </w:tc>
        <w:tc>
          <w:tcPr>
            <w:tcW w:w="901" w:type="pct"/>
          </w:tcPr>
          <w:p w14:paraId="1829FA86" w14:textId="77777777" w:rsidR="00F47287" w:rsidRPr="00C0488C" w:rsidRDefault="00F47287" w:rsidP="00842CB7">
            <w:pPr>
              <w:rPr>
                <w:rFonts w:asciiTheme="majorBidi" w:hAnsiTheme="majorBidi" w:cstheme="majorBidi"/>
              </w:rPr>
            </w:pPr>
            <w:r w:rsidRPr="00C0488C">
              <w:rPr>
                <w:rFonts w:asciiTheme="majorBidi" w:hAnsiTheme="majorBidi" w:cstheme="majorBidi"/>
              </w:rPr>
              <w:t>Self-report permanent and temporary ‘sickness’</w:t>
            </w:r>
          </w:p>
        </w:tc>
        <w:tc>
          <w:tcPr>
            <w:tcW w:w="873" w:type="pct"/>
          </w:tcPr>
          <w:p w14:paraId="1D7CA71F" w14:textId="77777777" w:rsidR="00F47287" w:rsidRPr="00C0488C" w:rsidRDefault="00F47287" w:rsidP="00842CB7">
            <w:pPr>
              <w:rPr>
                <w:rFonts w:asciiTheme="majorBidi" w:hAnsiTheme="majorBidi" w:cstheme="majorBidi"/>
              </w:rPr>
            </w:pPr>
            <w:r w:rsidRPr="00C0488C">
              <w:rPr>
                <w:rFonts w:asciiTheme="majorBidi" w:hAnsiTheme="majorBidi" w:cstheme="majorBidi"/>
              </w:rPr>
              <w:t>Within district vs between district vs between region</w:t>
            </w:r>
          </w:p>
        </w:tc>
        <w:tc>
          <w:tcPr>
            <w:tcW w:w="796" w:type="pct"/>
          </w:tcPr>
          <w:p w14:paraId="52240BD4" w14:textId="77777777" w:rsidR="00F47287" w:rsidRPr="00C0488C" w:rsidRDefault="00F47287" w:rsidP="00842CB7">
            <w:pPr>
              <w:rPr>
                <w:rFonts w:asciiTheme="majorBidi" w:hAnsiTheme="majorBidi" w:cstheme="majorBidi"/>
              </w:rPr>
            </w:pPr>
            <w:r w:rsidRPr="00C0488C">
              <w:rPr>
                <w:rFonts w:asciiTheme="majorBidi" w:hAnsiTheme="majorBidi" w:cstheme="majorBidi"/>
              </w:rPr>
              <w:t>1981 Census</w:t>
            </w:r>
          </w:p>
        </w:tc>
        <w:tc>
          <w:tcPr>
            <w:tcW w:w="1125" w:type="pct"/>
          </w:tcPr>
          <w:p w14:paraId="4BE6AD5D" w14:textId="77777777" w:rsidR="00F47287" w:rsidRPr="00C0488C" w:rsidRDefault="00F47287" w:rsidP="00842CB7">
            <w:pPr>
              <w:rPr>
                <w:rFonts w:asciiTheme="majorBidi" w:hAnsiTheme="majorBidi" w:cstheme="majorBidi"/>
              </w:rPr>
            </w:pPr>
            <w:r w:rsidRPr="00C0488C">
              <w:rPr>
                <w:rFonts w:asciiTheme="majorBidi" w:hAnsiTheme="majorBidi" w:cstheme="majorBidi"/>
              </w:rPr>
              <w:t>Between district and region migrants have lower rates of permanent sickness than within district migrants. Between region migrants have lower rates of temporary sickness than between and within district migrants.</w:t>
            </w:r>
          </w:p>
        </w:tc>
      </w:tr>
      <w:tr w:rsidR="00F47287" w:rsidRPr="00E26635" w14:paraId="2EED1AE2" w14:textId="77777777" w:rsidTr="00842CB7">
        <w:tc>
          <w:tcPr>
            <w:tcW w:w="696" w:type="pct"/>
          </w:tcPr>
          <w:p w14:paraId="68C5CC30" w14:textId="77777777" w:rsidR="00F47287" w:rsidRPr="00C0488C" w:rsidRDefault="00F47287" w:rsidP="00842CB7">
            <w:pPr>
              <w:rPr>
                <w:rFonts w:asciiTheme="majorBidi" w:hAnsiTheme="majorBidi" w:cstheme="majorBidi"/>
              </w:rPr>
            </w:pPr>
            <w:r w:rsidRPr="00C0488C">
              <w:rPr>
                <w:rFonts w:asciiTheme="majorBidi" w:hAnsiTheme="majorBidi" w:cstheme="majorBidi"/>
              </w:rPr>
              <w:fldChar w:fldCharType="begin" w:fldLock="1"/>
            </w:r>
            <w:r>
              <w:rPr>
                <w:rFonts w:asciiTheme="majorBidi" w:hAnsiTheme="majorBidi" w:cstheme="majorBidi"/>
              </w:rPr>
              <w:instrText>ADDIN CSL_CITATION { "citationItems" : [ { "id" : "ITEM-1", "itemData" : { "DOI" : "10.1016/j.socscimed.2004.03.015", "ISSN" : "0277-9536", "PMID" : "15351480", "abstract" : "Health-selective migration within countries has been implicated as one of the mechanisms by which spatial disadvantage is created and maintained. However, there is conflicting evidence on the nature of the relationship between health and mobility, caused in part by diverse definitions, and age and sex differences. This paper uses the first two waves of data for the middle-aged cohort (aged 45-50 in 1996) of the Australian Longitudinal Study on Women's Health to investigate the relationship between four sets of health variables with subsequent local moves (within the same postcode), longer distance moves (between postcodes) and inter-regional migration from rural and remote areas 'up' the urban hierarchy. After adjusting for socio-economic and marital status, short and longer distance mobility among these middle-aged Australian women was positively associated with long-term and chronic poor health and being a smoker. Moves between postcodes and rural-to-urban migration were positively associated with multiple recent visits to a medical specialist. Our findings are consistent with UK and US studies that have found mobility to be more strongly associated with poor health than good health in mature adults. As the population ages, the health of receiving areas may be adversely affected by relatively unhealthy in-migrants seeking amenities not provided in their former place of residence.", "author" : [ { "dropping-particle" : "", "family" : "Larson", "given" : "Ann", "non-dropping-particle" : "", "parse-names" : false, "suffix" : "" }, { "dropping-particle" : "", "family" : "Bell", "given" : "Martin", "non-dropping-particle" : "", "parse-names" : false, "suffix" : "" }, { "dropping-particle" : "", "family" : "Young", "given" : "Anne Frances", "non-dropping-particle" : "", "parse-names" : false, "suffix" : "" } ], "container-title" : "Social science &amp; medicine (1982)", "id" : "ITEM-1", "issue" : "10", "issued" : { "date-parts" : [ [ "2004", "11" ] ] }, "page" : "2149-60", "title" : "Clarifying the relationships between health and residential mobility.", "type" : "article-journal", "volume" : "59" }, "uris" : [ "http://www.mendeley.com/documents/?uuid=cead0124-e458-4401-a978-0133efdce1cd" ] } ], "mendeley" : { "formattedCitation" : "(Larson &lt;i&gt;et al.&lt;/i&gt;, 2004)", "plainTextFormattedCitation" : "(Larson et al., 2004)", "previouslyFormattedCitation" : "(Larson &lt;i&gt;et al.&lt;/i&gt;, 2004)" }, "properties" : { "noteIndex" : 0 }, "schema" : "https://github.com/citation-style-language/schema/raw/master/csl-citation.json" }</w:instrText>
            </w:r>
            <w:r w:rsidRPr="00C0488C">
              <w:rPr>
                <w:rFonts w:asciiTheme="majorBidi" w:hAnsiTheme="majorBidi" w:cstheme="majorBidi"/>
              </w:rPr>
              <w:fldChar w:fldCharType="separate"/>
            </w:r>
            <w:r w:rsidRPr="00607727">
              <w:rPr>
                <w:rFonts w:asciiTheme="majorBidi" w:hAnsiTheme="majorBidi" w:cstheme="majorBidi"/>
                <w:noProof/>
              </w:rPr>
              <w:t xml:space="preserve">(Larson </w:t>
            </w:r>
            <w:r w:rsidRPr="00607727">
              <w:rPr>
                <w:rFonts w:asciiTheme="majorBidi" w:hAnsiTheme="majorBidi" w:cstheme="majorBidi"/>
                <w:i/>
                <w:noProof/>
              </w:rPr>
              <w:t>et al.</w:t>
            </w:r>
            <w:r w:rsidRPr="00607727">
              <w:rPr>
                <w:rFonts w:asciiTheme="majorBidi" w:hAnsiTheme="majorBidi" w:cstheme="majorBidi"/>
                <w:noProof/>
              </w:rPr>
              <w:t>, 2004)</w:t>
            </w:r>
            <w:r w:rsidRPr="00C0488C">
              <w:rPr>
                <w:rFonts w:asciiTheme="majorBidi" w:hAnsiTheme="majorBidi" w:cstheme="majorBidi"/>
              </w:rPr>
              <w:fldChar w:fldCharType="end"/>
            </w:r>
          </w:p>
        </w:tc>
        <w:tc>
          <w:tcPr>
            <w:tcW w:w="609" w:type="pct"/>
          </w:tcPr>
          <w:p w14:paraId="073742DB" w14:textId="77777777" w:rsidR="00F47287" w:rsidRPr="00C0488C" w:rsidRDefault="00F47287" w:rsidP="00842CB7">
            <w:pPr>
              <w:rPr>
                <w:rFonts w:asciiTheme="majorBidi" w:hAnsiTheme="majorBidi" w:cstheme="majorBidi"/>
              </w:rPr>
            </w:pPr>
            <w:r w:rsidRPr="00C0488C">
              <w:rPr>
                <w:rFonts w:asciiTheme="majorBidi" w:hAnsiTheme="majorBidi" w:cstheme="majorBidi"/>
              </w:rPr>
              <w:t>Australia</w:t>
            </w:r>
          </w:p>
        </w:tc>
        <w:tc>
          <w:tcPr>
            <w:tcW w:w="901" w:type="pct"/>
          </w:tcPr>
          <w:p w14:paraId="6E0C70DF" w14:textId="77777777" w:rsidR="00F47287" w:rsidRPr="00C0488C" w:rsidRDefault="00F47287" w:rsidP="00842CB7">
            <w:pPr>
              <w:rPr>
                <w:rFonts w:asciiTheme="majorBidi" w:hAnsiTheme="majorBidi" w:cstheme="majorBidi"/>
              </w:rPr>
            </w:pPr>
            <w:r w:rsidRPr="00C0488C">
              <w:rPr>
                <w:rFonts w:asciiTheme="majorBidi" w:hAnsiTheme="majorBidi" w:cstheme="majorBidi"/>
              </w:rPr>
              <w:t>Numerous self-reported measures</w:t>
            </w:r>
          </w:p>
        </w:tc>
        <w:tc>
          <w:tcPr>
            <w:tcW w:w="873" w:type="pct"/>
          </w:tcPr>
          <w:p w14:paraId="6E530662" w14:textId="77777777" w:rsidR="00F47287" w:rsidRPr="00C0488C" w:rsidRDefault="00F47287" w:rsidP="00842CB7">
            <w:pPr>
              <w:rPr>
                <w:rFonts w:asciiTheme="majorBidi" w:hAnsiTheme="majorBidi" w:cstheme="majorBidi"/>
              </w:rPr>
            </w:pPr>
            <w:r w:rsidRPr="00C0488C">
              <w:rPr>
                <w:rFonts w:asciiTheme="majorBidi" w:hAnsiTheme="majorBidi" w:cstheme="majorBidi"/>
              </w:rPr>
              <w:t>Within postcode mover vs stayer, between postcodes mover vs stayer</w:t>
            </w:r>
          </w:p>
        </w:tc>
        <w:tc>
          <w:tcPr>
            <w:tcW w:w="796" w:type="pct"/>
          </w:tcPr>
          <w:p w14:paraId="0228C2AF" w14:textId="77777777" w:rsidR="00F47287" w:rsidRPr="00C0488C" w:rsidRDefault="00F47287" w:rsidP="00842CB7">
            <w:pPr>
              <w:rPr>
                <w:rFonts w:asciiTheme="majorBidi" w:hAnsiTheme="majorBidi" w:cstheme="majorBidi"/>
              </w:rPr>
            </w:pPr>
            <w:r w:rsidRPr="00C0488C">
              <w:rPr>
                <w:rFonts w:asciiTheme="majorBidi" w:hAnsiTheme="majorBidi" w:cstheme="majorBidi"/>
              </w:rPr>
              <w:t>Australian Longitudinal Study on Women’s Health 1996 &amp; 1998 (NB study included data on women aged 45-50 in 1996)</w:t>
            </w:r>
          </w:p>
          <w:p w14:paraId="70C16865" w14:textId="77777777" w:rsidR="00F47287" w:rsidRPr="00C0488C" w:rsidRDefault="00F47287" w:rsidP="00842CB7">
            <w:pPr>
              <w:rPr>
                <w:rFonts w:asciiTheme="majorBidi" w:hAnsiTheme="majorBidi" w:cstheme="majorBidi"/>
              </w:rPr>
            </w:pPr>
          </w:p>
          <w:p w14:paraId="46CEED12" w14:textId="77777777" w:rsidR="00F47287" w:rsidRPr="00C0488C" w:rsidRDefault="00F47287" w:rsidP="00842CB7">
            <w:pPr>
              <w:rPr>
                <w:rFonts w:asciiTheme="majorBidi" w:hAnsiTheme="majorBidi" w:cstheme="majorBidi"/>
              </w:rPr>
            </w:pPr>
          </w:p>
          <w:p w14:paraId="0B699832" w14:textId="77777777" w:rsidR="00F47287" w:rsidRPr="00C0488C" w:rsidRDefault="00F47287" w:rsidP="00842CB7">
            <w:pPr>
              <w:rPr>
                <w:rFonts w:asciiTheme="majorBidi" w:hAnsiTheme="majorBidi" w:cstheme="majorBidi"/>
              </w:rPr>
            </w:pPr>
          </w:p>
          <w:p w14:paraId="6D0062AB" w14:textId="77777777" w:rsidR="00F47287" w:rsidRPr="00C0488C" w:rsidRDefault="00F47287" w:rsidP="00842CB7">
            <w:pPr>
              <w:rPr>
                <w:rFonts w:asciiTheme="majorBidi" w:hAnsiTheme="majorBidi" w:cstheme="majorBidi"/>
              </w:rPr>
            </w:pPr>
          </w:p>
        </w:tc>
        <w:tc>
          <w:tcPr>
            <w:tcW w:w="1125" w:type="pct"/>
          </w:tcPr>
          <w:p w14:paraId="42D63647" w14:textId="77777777" w:rsidR="00F47287" w:rsidRPr="00C0488C" w:rsidRDefault="00F47287" w:rsidP="00842CB7">
            <w:pPr>
              <w:rPr>
                <w:rFonts w:asciiTheme="majorBidi" w:hAnsiTheme="majorBidi" w:cstheme="majorBidi"/>
              </w:rPr>
            </w:pPr>
            <w:r w:rsidRPr="00C0488C">
              <w:rPr>
                <w:rFonts w:asciiTheme="majorBidi" w:hAnsiTheme="majorBidi" w:cstheme="majorBidi"/>
              </w:rPr>
              <w:t>Those who expect their health to deteriorate and experience several symptoms are more likely to move over short distances, those with several visits to health specialists are more likely to move long distance. Chronic diseases and smoking are associated with short and long distance moves.</w:t>
            </w:r>
          </w:p>
        </w:tc>
      </w:tr>
      <w:tr w:rsidR="00F47287" w:rsidRPr="00E26635" w14:paraId="334DAE77" w14:textId="77777777" w:rsidTr="00842CB7">
        <w:tc>
          <w:tcPr>
            <w:tcW w:w="696" w:type="pct"/>
          </w:tcPr>
          <w:p w14:paraId="592D28D1" w14:textId="77777777" w:rsidR="00F47287" w:rsidRPr="00996B4A" w:rsidRDefault="00F47287" w:rsidP="00842CB7">
            <w:pPr>
              <w:rPr>
                <w:rFonts w:asciiTheme="majorBidi" w:hAnsiTheme="majorBidi" w:cstheme="majorBidi"/>
              </w:rPr>
            </w:pPr>
            <w:r w:rsidRPr="00996B4A">
              <w:rPr>
                <w:rFonts w:asciiTheme="majorBidi" w:hAnsiTheme="majorBidi" w:cstheme="majorBidi"/>
              </w:rPr>
              <w:fldChar w:fldCharType="begin" w:fldLock="1"/>
            </w:r>
            <w:r>
              <w:rPr>
                <w:rFonts w:asciiTheme="majorBidi" w:hAnsiTheme="majorBidi" w:cstheme="majorBidi"/>
              </w:rPr>
              <w:instrText>ADDIN CSL_CITATION { "citationItems" : [ { "id" : "ITEM-1", "itemData" : { "DOI" : "10.1007/s10488-007-0130-2", "ISSN" : "0894-587X", "PMID" : "17701338", "abstract" : "This paper reports on residential mobility among patients treated in the Veterans Affairs (VA) health system. We examine mobility in relation to patients' psychiatric disorders, and we assess the impact of mobility on health system geographic accessibility and continuity of care following inpatient discharge. Subjects included 534,002 patients with schizophrenia, bipolar disorder, depression, or with none of these conditions, who received VA services in both FY 01 and FY 02. We report the frequency and predictors of residential moves; we examine distance moved and changes in the proximity of VA providers; and we evaluate associations with timely receipt of outpatient care following inpatient discharges. Approximately 25% of patients with bipolar disorder, 20% with schizophrenia, 16% with depression, and 9% of patients without these conditions completed a residential move in FY 2002. When relocating, patients with schizophrenia and bipolar disorder were more likely to move closer to providers, suggesting greater sensitivity to accessibility barriers.", "author" : [ { "dropping-particle" : "", "family" : "McCarthy", "given" : "John F", "non-dropping-particle" : "", "parse-names" : false, "suffix" : "" }, { "dropping-particle" : "", "family" : "Valenstein", "given" : "Marcia", "non-dropping-particle" : "", "parse-names" : false, "suffix" : "" }, { "dropping-particle" : "", "family" : "Blow", "given" : "Frederic C", "non-dropping-particle" : "", "parse-names" : false, "suffix" : "" } ], "container-title" : "Administration and policy in mental health", "id" : "ITEM-1", "issue" : "5", "issued" : { "date-parts" : [ [ "2007", "9" ] ] }, "note" : "Tracked hospital users with depression, bipolar disorder and schizophrenia across two years using veteran hospital data in the US. Looked at associations between residential mobility and mental health. \n\n\nFound that MHSUs were more likely to be young, female, unmarried, homeless, have substance abuse and live closer to healthcare providers. \n\n\n20.1% of Schizophrenics moved, 15.8% of depressives compared to 8.6% without dianogses. Depression and bipolar disorder were associated with further (in terms of distance) moves.\n\n\nWould be useful to copy their methods.", "page" : "448-55", "title" : "Residential mobility among patients in the VA health system: associations with psychiatric morbidity, geographic accessibility, and continuity of care.", "type" : "article-journal", "volume" : "34" }, "uris" : [ "http://www.mendeley.com/documents/?uuid=6e735028-a697-4af6-806c-997dcc35d6ba" ] } ], "mendeley" : { "formattedCitation" : "(McCarthy &lt;i&gt;et al.&lt;/i&gt;, 2007)", "plainTextFormattedCitation" : "(McCarthy et al., 2007)", "previouslyFormattedCitation" : "(McCarthy &lt;i&gt;et al.&lt;/i&gt;, 2007)" }, "properties" : { "noteIndex" : 0 }, "schema" : "https://github.com/citation-style-language/schema/raw/master/csl-citation.json" }</w:instrText>
            </w:r>
            <w:r w:rsidRPr="00996B4A">
              <w:rPr>
                <w:rFonts w:asciiTheme="majorBidi" w:hAnsiTheme="majorBidi" w:cstheme="majorBidi"/>
              </w:rPr>
              <w:fldChar w:fldCharType="separate"/>
            </w:r>
            <w:r w:rsidRPr="00607727">
              <w:rPr>
                <w:rFonts w:asciiTheme="majorBidi" w:hAnsiTheme="majorBidi" w:cstheme="majorBidi"/>
                <w:noProof/>
              </w:rPr>
              <w:t xml:space="preserve">(McCarthy </w:t>
            </w:r>
            <w:r w:rsidRPr="00607727">
              <w:rPr>
                <w:rFonts w:asciiTheme="majorBidi" w:hAnsiTheme="majorBidi" w:cstheme="majorBidi"/>
                <w:i/>
                <w:noProof/>
              </w:rPr>
              <w:t>et al.</w:t>
            </w:r>
            <w:r w:rsidRPr="00607727">
              <w:rPr>
                <w:rFonts w:asciiTheme="majorBidi" w:hAnsiTheme="majorBidi" w:cstheme="majorBidi"/>
                <w:noProof/>
              </w:rPr>
              <w:t>, 2007)</w:t>
            </w:r>
            <w:r w:rsidRPr="00996B4A">
              <w:rPr>
                <w:rFonts w:asciiTheme="majorBidi" w:hAnsiTheme="majorBidi" w:cstheme="majorBidi"/>
              </w:rPr>
              <w:fldChar w:fldCharType="end"/>
            </w:r>
          </w:p>
        </w:tc>
        <w:tc>
          <w:tcPr>
            <w:tcW w:w="609" w:type="pct"/>
          </w:tcPr>
          <w:p w14:paraId="3483B62A" w14:textId="77777777" w:rsidR="00F47287" w:rsidRPr="00996B4A" w:rsidRDefault="00F47287" w:rsidP="00842CB7">
            <w:pPr>
              <w:rPr>
                <w:rFonts w:asciiTheme="majorBidi" w:hAnsiTheme="majorBidi" w:cstheme="majorBidi"/>
              </w:rPr>
            </w:pPr>
            <w:r w:rsidRPr="00996B4A">
              <w:rPr>
                <w:rFonts w:asciiTheme="majorBidi" w:hAnsiTheme="majorBidi" w:cstheme="majorBidi"/>
              </w:rPr>
              <w:t>US</w:t>
            </w:r>
          </w:p>
        </w:tc>
        <w:tc>
          <w:tcPr>
            <w:tcW w:w="901" w:type="pct"/>
          </w:tcPr>
          <w:p w14:paraId="3BF033BD" w14:textId="77777777" w:rsidR="00F47287" w:rsidRPr="00996B4A" w:rsidRDefault="00F47287" w:rsidP="00842CB7">
            <w:pPr>
              <w:rPr>
                <w:rFonts w:asciiTheme="majorBidi" w:hAnsiTheme="majorBidi" w:cstheme="majorBidi"/>
              </w:rPr>
            </w:pPr>
            <w:r w:rsidRPr="00996B4A">
              <w:rPr>
                <w:rFonts w:asciiTheme="majorBidi" w:hAnsiTheme="majorBidi" w:cstheme="majorBidi"/>
              </w:rPr>
              <w:t>Disability, substance abuse, Schizophrenia, dipolar disorder, depression</w:t>
            </w:r>
          </w:p>
        </w:tc>
        <w:tc>
          <w:tcPr>
            <w:tcW w:w="873" w:type="pct"/>
          </w:tcPr>
          <w:p w14:paraId="08FDA245" w14:textId="77777777" w:rsidR="00F47287" w:rsidRPr="00996B4A" w:rsidRDefault="00F47287" w:rsidP="00842CB7">
            <w:pPr>
              <w:rPr>
                <w:rFonts w:asciiTheme="majorBidi" w:hAnsiTheme="majorBidi" w:cstheme="majorBidi"/>
              </w:rPr>
            </w:pPr>
            <w:r w:rsidRPr="00996B4A">
              <w:rPr>
                <w:rFonts w:asciiTheme="majorBidi" w:hAnsiTheme="majorBidi" w:cstheme="majorBidi"/>
              </w:rPr>
              <w:t>Linear distance</w:t>
            </w:r>
          </w:p>
        </w:tc>
        <w:tc>
          <w:tcPr>
            <w:tcW w:w="796" w:type="pct"/>
          </w:tcPr>
          <w:p w14:paraId="0546E4EC" w14:textId="77777777" w:rsidR="00F47287" w:rsidRPr="00996B4A" w:rsidRDefault="00F47287" w:rsidP="00842CB7">
            <w:pPr>
              <w:rPr>
                <w:rFonts w:asciiTheme="majorBidi" w:hAnsiTheme="majorBidi" w:cstheme="majorBidi"/>
              </w:rPr>
            </w:pPr>
            <w:r w:rsidRPr="00996B4A">
              <w:rPr>
                <w:rFonts w:asciiTheme="majorBidi" w:hAnsiTheme="majorBidi" w:cstheme="majorBidi"/>
              </w:rPr>
              <w:t>US Veterans’ Association data</w:t>
            </w:r>
          </w:p>
        </w:tc>
        <w:tc>
          <w:tcPr>
            <w:tcW w:w="1125" w:type="pct"/>
          </w:tcPr>
          <w:p w14:paraId="0BC8D986" w14:textId="77777777" w:rsidR="00F47287" w:rsidRPr="00996B4A" w:rsidRDefault="00F47287" w:rsidP="00842CB7">
            <w:pPr>
              <w:rPr>
                <w:rFonts w:asciiTheme="majorBidi" w:hAnsiTheme="majorBidi" w:cstheme="majorBidi"/>
              </w:rPr>
            </w:pPr>
            <w:r w:rsidRPr="00996B4A">
              <w:rPr>
                <w:rFonts w:asciiTheme="majorBidi" w:hAnsiTheme="majorBidi" w:cstheme="majorBidi"/>
              </w:rPr>
              <w:t>Disability, substance abuse, bipolar disorder and depression are associated with moves over longer distances, whilst schizophrenia is associated with moves over shorter distances.</w:t>
            </w:r>
          </w:p>
        </w:tc>
      </w:tr>
      <w:tr w:rsidR="00F47287" w:rsidRPr="00E26635" w14:paraId="3D3EC321" w14:textId="77777777" w:rsidTr="00842CB7">
        <w:tc>
          <w:tcPr>
            <w:tcW w:w="696" w:type="pct"/>
          </w:tcPr>
          <w:p w14:paraId="462ADB54" w14:textId="77777777" w:rsidR="00F47287" w:rsidRPr="00996B4A" w:rsidRDefault="00F47287" w:rsidP="00842CB7">
            <w:pPr>
              <w:rPr>
                <w:rFonts w:asciiTheme="majorBidi" w:hAnsiTheme="majorBidi" w:cstheme="majorBidi"/>
              </w:rPr>
            </w:pPr>
            <w:r w:rsidRPr="00996B4A">
              <w:rPr>
                <w:rFonts w:asciiTheme="majorBidi" w:hAnsiTheme="majorBidi" w:cstheme="majorBidi"/>
              </w:rPr>
              <w:lastRenderedPageBreak/>
              <w:fldChar w:fldCharType="begin" w:fldLock="1"/>
            </w:r>
            <w:r>
              <w:rPr>
                <w:rFonts w:asciiTheme="majorBidi" w:hAnsiTheme="majorBidi" w:cstheme="majorBidi"/>
              </w:rPr>
              <w:instrText>ADDIN CSL_CITATION { "citationItems" : [ { "id" : "ITEM-1", "itemData" : { "DOI" : "10.2307/2546583", "ISSN" : "01979183", "abstract" : "Evidence regarding the effects of health status on migration are mixed, with some concluding that there is a positive relation while others conclude a negative relation. This study examines the analytical bases for conflicting findings and proposes a model of the health-migration relation which allows for age selectivity, nonlinearities, interactions, and dynamic effects. CR - Copyright &amp;#169; 1988 The Center for Migration Studies of New York, Inc.", "author" : [ { "dropping-particle" : "", "family" : "Findley", "given" : "Sally E", "non-dropping-particle" : "", "parse-names" : false, "suffix" : "" } ], "container-title" : "International Migration Review", "id" : "ITEM-1", "issue" : "3", "issued" : { "date-parts" : [ [ "1988", "10", "1" ] ] }, "note" : "Finds evidence for the drift hypothesis.", "page" : "4-29", "publisher" : "The Center for Migration Studies of New York, Inc.", "title" : "The directionality and age selectivity of the health-migration relation: evidence from sequences of disability and mobility in the United States", "type" : "article-journal", "volume" : "22" }, "uris" : [ "http://www.mendeley.com/documents/?uuid=d0b29867-3fc6-4ff8-a98a-f246126d15e7" ] } ], "mendeley" : { "formattedCitation" : "(Findley, 1988)", "plainTextFormattedCitation" : "(Findley, 1988)", "previouslyFormattedCitation" : "(Findley, 1988)" }, "properties" : { "noteIndex" : 0 }, "schema" : "https://github.com/citation-style-language/schema/raw/master/csl-citation.json" }</w:instrText>
            </w:r>
            <w:r w:rsidRPr="00996B4A">
              <w:rPr>
                <w:rFonts w:asciiTheme="majorBidi" w:hAnsiTheme="majorBidi" w:cstheme="majorBidi"/>
              </w:rPr>
              <w:fldChar w:fldCharType="separate"/>
            </w:r>
            <w:r w:rsidRPr="00996B4A">
              <w:rPr>
                <w:rFonts w:asciiTheme="majorBidi" w:hAnsiTheme="majorBidi" w:cstheme="majorBidi"/>
                <w:noProof/>
              </w:rPr>
              <w:t>(Findley, 1988)</w:t>
            </w:r>
            <w:r w:rsidRPr="00996B4A">
              <w:rPr>
                <w:rFonts w:asciiTheme="majorBidi" w:hAnsiTheme="majorBidi" w:cstheme="majorBidi"/>
              </w:rPr>
              <w:fldChar w:fldCharType="end"/>
            </w:r>
          </w:p>
        </w:tc>
        <w:tc>
          <w:tcPr>
            <w:tcW w:w="609" w:type="pct"/>
          </w:tcPr>
          <w:p w14:paraId="752D0605" w14:textId="77777777" w:rsidR="00F47287" w:rsidRPr="00996B4A" w:rsidRDefault="00F47287" w:rsidP="00842CB7">
            <w:pPr>
              <w:rPr>
                <w:rFonts w:asciiTheme="majorBidi" w:hAnsiTheme="majorBidi" w:cstheme="majorBidi"/>
              </w:rPr>
            </w:pPr>
            <w:r w:rsidRPr="00996B4A">
              <w:rPr>
                <w:rFonts w:asciiTheme="majorBidi" w:hAnsiTheme="majorBidi" w:cstheme="majorBidi"/>
              </w:rPr>
              <w:t>US</w:t>
            </w:r>
          </w:p>
        </w:tc>
        <w:tc>
          <w:tcPr>
            <w:tcW w:w="901" w:type="pct"/>
          </w:tcPr>
          <w:p w14:paraId="5B4CEC38" w14:textId="77777777" w:rsidR="00F47287" w:rsidRPr="00996B4A" w:rsidRDefault="00F47287" w:rsidP="00842CB7">
            <w:pPr>
              <w:rPr>
                <w:rFonts w:asciiTheme="majorBidi" w:hAnsiTheme="majorBidi" w:cstheme="majorBidi"/>
              </w:rPr>
            </w:pPr>
            <w:r w:rsidRPr="00996B4A">
              <w:rPr>
                <w:rFonts w:asciiTheme="majorBidi" w:hAnsiTheme="majorBidi" w:cstheme="majorBidi"/>
              </w:rPr>
              <w:t>Onset of chronic disease</w:t>
            </w:r>
          </w:p>
        </w:tc>
        <w:tc>
          <w:tcPr>
            <w:tcW w:w="873" w:type="pct"/>
          </w:tcPr>
          <w:p w14:paraId="310F0AAB" w14:textId="77777777" w:rsidR="00F47287" w:rsidRPr="00996B4A" w:rsidRDefault="00F47287" w:rsidP="00842CB7">
            <w:pPr>
              <w:rPr>
                <w:rFonts w:asciiTheme="majorBidi" w:hAnsiTheme="majorBidi" w:cstheme="majorBidi"/>
              </w:rPr>
            </w:pPr>
            <w:r w:rsidRPr="00996B4A">
              <w:rPr>
                <w:rFonts w:asciiTheme="majorBidi" w:hAnsiTheme="majorBidi" w:cstheme="majorBidi"/>
              </w:rPr>
              <w:t>500 miles</w:t>
            </w:r>
          </w:p>
        </w:tc>
        <w:tc>
          <w:tcPr>
            <w:tcW w:w="796" w:type="pct"/>
          </w:tcPr>
          <w:p w14:paraId="2919124C" w14:textId="77777777" w:rsidR="00F47287" w:rsidRPr="00996B4A" w:rsidRDefault="00F47287" w:rsidP="00842CB7">
            <w:pPr>
              <w:rPr>
                <w:rFonts w:asciiTheme="majorBidi" w:hAnsiTheme="majorBidi" w:cstheme="majorBidi"/>
              </w:rPr>
            </w:pPr>
            <w:r w:rsidRPr="00996B4A">
              <w:rPr>
                <w:rFonts w:asciiTheme="majorBidi" w:hAnsiTheme="majorBidi" w:cstheme="majorBidi"/>
              </w:rPr>
              <w:t>National Health Interview Survey 1979 &amp; 1980</w:t>
            </w:r>
          </w:p>
        </w:tc>
        <w:tc>
          <w:tcPr>
            <w:tcW w:w="1125" w:type="pct"/>
          </w:tcPr>
          <w:p w14:paraId="41DFAEB9" w14:textId="77777777" w:rsidR="00F47287" w:rsidRPr="00996B4A" w:rsidRDefault="00F47287" w:rsidP="00842CB7">
            <w:pPr>
              <w:rPr>
                <w:rFonts w:asciiTheme="majorBidi" w:hAnsiTheme="majorBidi" w:cstheme="majorBidi"/>
              </w:rPr>
            </w:pPr>
            <w:r w:rsidRPr="00996B4A">
              <w:rPr>
                <w:rFonts w:asciiTheme="majorBidi" w:hAnsiTheme="majorBidi" w:cstheme="majorBidi"/>
              </w:rPr>
              <w:t>Those who are diagnosed with a chronic disease are more likely to move long distance, this effect is strengthened for those who had a pre-existing condition</w:t>
            </w:r>
          </w:p>
        </w:tc>
      </w:tr>
    </w:tbl>
    <w:p w14:paraId="64621575" w14:textId="77777777" w:rsidR="00A71398" w:rsidRDefault="00A71398" w:rsidP="00F47287"/>
    <w:p w14:paraId="6B39DE76" w14:textId="48E7BCD8" w:rsidR="00F47287" w:rsidRDefault="00F47287" w:rsidP="001F1073">
      <w:pPr>
        <w:pStyle w:val="Heading1"/>
      </w:pPr>
      <w:r>
        <w:t>Table 2</w:t>
      </w:r>
    </w:p>
    <w:tbl>
      <w:tblPr>
        <w:tblStyle w:val="TableGrid"/>
        <w:tblW w:w="0" w:type="auto"/>
        <w:tblLook w:val="04A0" w:firstRow="1" w:lastRow="0" w:firstColumn="1" w:lastColumn="0" w:noHBand="0" w:noVBand="1"/>
      </w:tblPr>
      <w:tblGrid>
        <w:gridCol w:w="1414"/>
        <w:gridCol w:w="3321"/>
        <w:gridCol w:w="3759"/>
      </w:tblGrid>
      <w:tr w:rsidR="00F47287" w:rsidRPr="00E26635" w14:paraId="709E6653" w14:textId="77777777" w:rsidTr="00842CB7">
        <w:tc>
          <w:tcPr>
            <w:tcW w:w="0" w:type="auto"/>
          </w:tcPr>
          <w:p w14:paraId="518AC682" w14:textId="77777777" w:rsidR="00F47287" w:rsidRPr="00996B4A" w:rsidRDefault="00F47287" w:rsidP="00842CB7">
            <w:pPr>
              <w:rPr>
                <w:rFonts w:asciiTheme="majorBidi" w:hAnsiTheme="majorBidi" w:cstheme="majorBidi"/>
              </w:rPr>
            </w:pPr>
            <w:r w:rsidRPr="00996B4A">
              <w:rPr>
                <w:rFonts w:asciiTheme="majorBidi" w:hAnsiTheme="majorBidi" w:cstheme="majorBidi"/>
              </w:rPr>
              <w:t>Variables</w:t>
            </w:r>
          </w:p>
        </w:tc>
        <w:tc>
          <w:tcPr>
            <w:tcW w:w="3442" w:type="dxa"/>
          </w:tcPr>
          <w:p w14:paraId="53EE3966" w14:textId="77777777" w:rsidR="00F47287" w:rsidRPr="00996B4A" w:rsidRDefault="00F47287" w:rsidP="00842CB7">
            <w:pPr>
              <w:rPr>
                <w:rFonts w:asciiTheme="majorBidi" w:hAnsiTheme="majorBidi" w:cstheme="majorBidi"/>
              </w:rPr>
            </w:pPr>
            <w:r w:rsidRPr="00996B4A">
              <w:rPr>
                <w:rFonts w:asciiTheme="majorBidi" w:hAnsiTheme="majorBidi" w:cstheme="majorBidi"/>
              </w:rPr>
              <w:t>Groupings</w:t>
            </w:r>
          </w:p>
        </w:tc>
        <w:tc>
          <w:tcPr>
            <w:tcW w:w="3918" w:type="dxa"/>
          </w:tcPr>
          <w:p w14:paraId="751CE587" w14:textId="77777777" w:rsidR="00F47287" w:rsidRPr="00996B4A" w:rsidRDefault="00F47287" w:rsidP="00842CB7">
            <w:pPr>
              <w:rPr>
                <w:rFonts w:asciiTheme="majorBidi" w:hAnsiTheme="majorBidi" w:cstheme="majorBidi"/>
              </w:rPr>
            </w:pPr>
            <w:r w:rsidRPr="00996B4A">
              <w:rPr>
                <w:rFonts w:asciiTheme="majorBidi" w:hAnsiTheme="majorBidi" w:cstheme="majorBidi"/>
              </w:rPr>
              <w:t>Which group(s) are more likely to move long distance</w:t>
            </w:r>
          </w:p>
        </w:tc>
      </w:tr>
      <w:tr w:rsidR="00F47287" w:rsidRPr="00E26635" w14:paraId="413BFADF" w14:textId="77777777" w:rsidTr="00842CB7">
        <w:tc>
          <w:tcPr>
            <w:tcW w:w="0" w:type="auto"/>
          </w:tcPr>
          <w:p w14:paraId="07C868C7" w14:textId="77777777" w:rsidR="00F47287" w:rsidRPr="00996B4A" w:rsidRDefault="00F47287" w:rsidP="00842CB7">
            <w:pPr>
              <w:rPr>
                <w:rFonts w:asciiTheme="majorBidi" w:hAnsiTheme="majorBidi" w:cstheme="majorBidi"/>
              </w:rPr>
            </w:pPr>
            <w:r w:rsidRPr="00996B4A">
              <w:rPr>
                <w:rFonts w:asciiTheme="majorBidi" w:hAnsiTheme="majorBidi" w:cstheme="majorBidi"/>
              </w:rPr>
              <w:t>Age</w:t>
            </w:r>
          </w:p>
        </w:tc>
        <w:tc>
          <w:tcPr>
            <w:tcW w:w="3442" w:type="dxa"/>
          </w:tcPr>
          <w:p w14:paraId="2E68600D" w14:textId="77777777" w:rsidR="00F47287" w:rsidRPr="00996B4A" w:rsidRDefault="00F47287" w:rsidP="00842CB7">
            <w:pPr>
              <w:rPr>
                <w:rFonts w:asciiTheme="majorBidi" w:hAnsiTheme="majorBidi" w:cstheme="majorBidi"/>
              </w:rPr>
            </w:pPr>
            <w:r w:rsidRPr="00996B4A">
              <w:rPr>
                <w:rFonts w:asciiTheme="majorBidi" w:hAnsiTheme="majorBidi" w:cstheme="majorBidi"/>
              </w:rPr>
              <w:t>0=16-24 1=25-34 2=35-44 3= 45-54 &amp; 4=55-64</w:t>
            </w:r>
          </w:p>
        </w:tc>
        <w:tc>
          <w:tcPr>
            <w:tcW w:w="3918" w:type="dxa"/>
          </w:tcPr>
          <w:p w14:paraId="7539B0AE" w14:textId="77777777" w:rsidR="00F47287" w:rsidRPr="00996B4A" w:rsidRDefault="00F47287" w:rsidP="00842CB7">
            <w:pPr>
              <w:rPr>
                <w:rFonts w:asciiTheme="majorBidi" w:hAnsiTheme="majorBidi" w:cstheme="majorBidi"/>
              </w:rPr>
            </w:pPr>
            <w:r w:rsidRPr="00996B4A">
              <w:rPr>
                <w:rFonts w:asciiTheme="majorBidi" w:hAnsiTheme="majorBidi" w:cstheme="majorBidi"/>
              </w:rPr>
              <w:t xml:space="preserve">Those aged 30 and over </w:t>
            </w:r>
            <w:r w:rsidRPr="00996B4A">
              <w:rPr>
                <w:rFonts w:asciiTheme="majorBidi" w:hAnsiTheme="majorBidi" w:cstheme="majorBidi"/>
              </w:rPr>
              <w:fldChar w:fldCharType="begin" w:fldLock="1"/>
            </w:r>
            <w:r>
              <w:rPr>
                <w:rFonts w:asciiTheme="majorBidi" w:hAnsiTheme="majorBidi" w:cstheme="majorBidi"/>
              </w:rPr>
              <w:instrText>ADDIN CSL_CITATION { "citationItems" : [ { "id" : "ITEM-1", "itemData" : { "DOI" : "10.1068/a130327p", "ISSN" : "0308-518X", "abstract" : "Using individual records from a large and geographically detailed national research opinion survey, this paper uniquely adopts a multilevel\ufffdcross-classified statistical framework to demonstrate the relative importance of individual and simultaneous origin/destination contextual (neighbourhood and city region) variations in the distance moved by residential migrants in England and Wales. The model results confirm distinct microlevel variations in the distance moved according to certain key variables such as household income, educational attainment, and housing tenure whilst simultaneously revealing the importance of substantial origin and destination place-based macrogeographic variations. More specifically, the results indicate the extent to which those out-migrants from the main metropolitan cores, together with those in-migrants to the rural/coastal (amenity-rich) destinations, move over considerably longer distances than the average distance of\ufffdmove. Keywords: residential mobility; origin and destination context; distance moved; cross-classified multilevel model; place-based preferences", "author" : [ { "dropping-particle" : "", "family" : "Thomas", "given" : "Michael", "non-dropping-particle" : "", "parse-names" : false, "suffix" : "" }, { "dropping-particle" : "", "family" : "Stillwell", "given" : "John", "non-dropping-particle" : "", "parse-names" : false, "suffix" : "" }, { "dropping-particle" : "", "family" : "Gould", "given" : "Myles", "non-dropping-particle" : "", "parse-names" : false, "suffix" : "" } ], "container-title" : "Environment and Planning A", "id" : "ITEM-1", "issue" : "4", "issued" : { "date-parts" : [ [ "2015", "4" ] ] }, "page" : "996-1014", "publisher" : "Pion Ltd", "title" : "Modelling multilevel variations in distance moved between origins and destinations in England and Wales", "type" : "article-journal", "volume" : "47" }, "uris" : [ "http://www.mendeley.com/documents/?uuid=eb19a348-fe77-427b-bb2d-455984a90ee9" ] }, { "id" : "ITEM-2", "itemData" : { "DOI" : "10.1002/(SICI)1099-1220(199709)3:3&lt;227::AID-IJPG69&gt;3.0.CO;2-W", "ISSN" : "1077-3495", "abstract" : "Various studies have confirmed that tenants in public (council) housing are more likely to migrate than owner-occupiers, but that they are less likely to move over long distances. This paper extends this work by considering the distance moved by one-year migrants using a multi-level modelling approach. Controlling for a range of socio-economic variables, derived from the 1991 British Census Sample of Anonymised Records (SAR), at both the individual and area level, the distance moved by household heads in public, privately rented and owner-occupied housing within Britain is assessed. Data on the proportion of households in a SAR area who live in council housing and the absolute reduction in this number between 1981 and 1991 were also examined. It is confirmed that migrants in public housing are less likely to migrate long distances than owner-occupiers and that the proportion of public housing in a SAR area, and the absolute reduction in public housing in a SAR area between 1981 and 1991, does not have a significant effect on the distance that in-migrants have moved. It appears that public housing has a significant effect on distance moved at the individual level but not at the area level. Modelling only those migrants who moved over 20 km suggests that there are no significant differences in the distance moved between those living in owner-occupied and public housing, but that area-level variables related to tenure are particularly important in explaining the distance moved. \u00a9 1997 John Wiley &amp; Sons, Ltd.", "author" : [ { "dropping-particle" : "", "family" : "Boyle", "given" : "Paul", "non-dropping-particle" : "", "parse-names" : false, "suffix" : "" }, { "dropping-particle" : "", "family" : "Shen", "given" : "Jianfa", "non-dropping-particle" : "", "parse-names" : false, "suffix" : "" } ], "container-title" : "International Journal of Population Geography", "id" : "ITEM-2", "issue" : "3", "issued" : { "date-parts" : [ [ "1997", "9", "1" ] ] }, "note" : "Uses the 1991 SARs to model distance migrated. Uses RI models, finds that middle aged (44+) are most likely to move further and those living in LA housing are moving shorter distances. HOWEVER startifying the sample to include only long distance migrants (20+km) uncovers no significant differences in the distance moved among private and LA tenants and parents/singles. The factors which determine the decision to move long distance are separate from the factors which determine the distance moved in a long distance move.", "page" : "227-242", "publisher" : "John Wiley &amp; Sons, Ltd.", "title" : "Public housing and migration: a multi-level modelling approach", "type" : "article-journal", "volume" : "3" }, "uris" : [ "http://www.mendeley.com/documents/?uuid=4d57f64b-442b-4eda-92b3-97f731f50b9b" ] } ], "mendeley" : { "formattedCitation" : "(Boyle and Shen, 1997; Thomas &lt;i&gt;et al.&lt;/i&gt;, 2015)", "plainTextFormattedCitation" : "(Boyle and Shen, 1997; Thomas et al., 2015)", "previouslyFormattedCitation" : "(Boyle and Shen, 1997; Thomas &lt;i&gt;et al.&lt;/i&gt;, 2015)" }, "properties" : { "noteIndex" : 0 }, "schema" : "https://github.com/citation-style-language/schema/raw/master/csl-citation.json" }</w:instrText>
            </w:r>
            <w:r w:rsidRPr="00996B4A">
              <w:rPr>
                <w:rFonts w:asciiTheme="majorBidi" w:hAnsiTheme="majorBidi" w:cstheme="majorBidi"/>
              </w:rPr>
              <w:fldChar w:fldCharType="separate"/>
            </w:r>
            <w:r w:rsidRPr="00A328DF">
              <w:rPr>
                <w:rFonts w:asciiTheme="majorBidi" w:hAnsiTheme="majorBidi" w:cstheme="majorBidi"/>
                <w:noProof/>
              </w:rPr>
              <w:t xml:space="preserve">(Boyle and Shen, 1997; Thomas </w:t>
            </w:r>
            <w:r w:rsidRPr="00A328DF">
              <w:rPr>
                <w:rFonts w:asciiTheme="majorBidi" w:hAnsiTheme="majorBidi" w:cstheme="majorBidi"/>
                <w:i/>
                <w:noProof/>
              </w:rPr>
              <w:t>et al.</w:t>
            </w:r>
            <w:r w:rsidRPr="00A328DF">
              <w:rPr>
                <w:rFonts w:asciiTheme="majorBidi" w:hAnsiTheme="majorBidi" w:cstheme="majorBidi"/>
                <w:noProof/>
              </w:rPr>
              <w:t>, 2015)</w:t>
            </w:r>
            <w:r w:rsidRPr="00996B4A">
              <w:rPr>
                <w:rFonts w:asciiTheme="majorBidi" w:hAnsiTheme="majorBidi" w:cstheme="majorBidi"/>
              </w:rPr>
              <w:fldChar w:fldCharType="end"/>
            </w:r>
            <w:r w:rsidRPr="00996B4A">
              <w:rPr>
                <w:rFonts w:asciiTheme="majorBidi" w:hAnsiTheme="majorBidi" w:cstheme="majorBidi"/>
              </w:rPr>
              <w:t>.</w:t>
            </w:r>
          </w:p>
        </w:tc>
      </w:tr>
      <w:tr w:rsidR="00F47287" w:rsidRPr="00E26635" w14:paraId="299F2660" w14:textId="77777777" w:rsidTr="00842CB7">
        <w:tc>
          <w:tcPr>
            <w:tcW w:w="0" w:type="auto"/>
          </w:tcPr>
          <w:p w14:paraId="35141A00" w14:textId="77777777" w:rsidR="00F47287" w:rsidRPr="00996B4A" w:rsidRDefault="00F47287" w:rsidP="00842CB7">
            <w:pPr>
              <w:rPr>
                <w:rFonts w:asciiTheme="majorBidi" w:hAnsiTheme="majorBidi" w:cstheme="majorBidi"/>
              </w:rPr>
            </w:pPr>
            <w:r w:rsidRPr="00996B4A">
              <w:rPr>
                <w:rFonts w:asciiTheme="majorBidi" w:hAnsiTheme="majorBidi" w:cstheme="majorBidi"/>
              </w:rPr>
              <w:t>Sex</w:t>
            </w:r>
          </w:p>
        </w:tc>
        <w:tc>
          <w:tcPr>
            <w:tcW w:w="3442" w:type="dxa"/>
          </w:tcPr>
          <w:p w14:paraId="5F36356F" w14:textId="77777777" w:rsidR="00F47287" w:rsidRPr="00996B4A" w:rsidRDefault="00F47287" w:rsidP="00842CB7">
            <w:pPr>
              <w:rPr>
                <w:rFonts w:asciiTheme="majorBidi" w:hAnsiTheme="majorBidi" w:cstheme="majorBidi"/>
              </w:rPr>
            </w:pPr>
            <w:r w:rsidRPr="00996B4A">
              <w:rPr>
                <w:rFonts w:asciiTheme="majorBidi" w:hAnsiTheme="majorBidi" w:cstheme="majorBidi"/>
              </w:rPr>
              <w:t>0= male &amp; 1= female</w:t>
            </w:r>
          </w:p>
        </w:tc>
        <w:tc>
          <w:tcPr>
            <w:tcW w:w="3918" w:type="dxa"/>
          </w:tcPr>
          <w:p w14:paraId="3DACCF72" w14:textId="77777777" w:rsidR="00F47287" w:rsidRPr="00996B4A" w:rsidRDefault="00F47287" w:rsidP="00842CB7">
            <w:pPr>
              <w:rPr>
                <w:rFonts w:asciiTheme="majorBidi" w:hAnsiTheme="majorBidi" w:cstheme="majorBidi"/>
              </w:rPr>
            </w:pPr>
            <w:r w:rsidRPr="00996B4A">
              <w:rPr>
                <w:rFonts w:asciiTheme="majorBidi" w:hAnsiTheme="majorBidi" w:cstheme="majorBidi"/>
              </w:rPr>
              <w:t xml:space="preserve">Men </w:t>
            </w:r>
            <w:r w:rsidRPr="00996B4A">
              <w:rPr>
                <w:rFonts w:asciiTheme="majorBidi" w:hAnsiTheme="majorBidi" w:cstheme="majorBidi"/>
              </w:rPr>
              <w:fldChar w:fldCharType="begin" w:fldLock="1"/>
            </w:r>
            <w:r>
              <w:rPr>
                <w:rFonts w:asciiTheme="majorBidi" w:hAnsiTheme="majorBidi" w:cstheme="majorBidi"/>
              </w:rPr>
              <w:instrText>ADDIN CSL_CITATION { "citationItems" : [ { "id" : "ITEM-1", "itemData" : { "DOI" : "10.1002/(SICI)1099-1220(199709)3:3&lt;227::AID-IJPG69&gt;3.0.CO;2-W", "ISSN" : "1077-3495", "abstract" : "Various studies have confirmed that tenants in public (council) housing are more likely to migrate than owner-occupiers, but that they are less likely to move over long distances. This paper extends this work by considering the distance moved by one-year migrants using a multi-level modelling approach. Controlling for a range of socio-economic variables, derived from the 1991 British Census Sample of Anonymised Records (SAR), at both the individual and area level, the distance moved by household heads in public, privately rented and owner-occupied housing within Britain is assessed. Data on the proportion of households in a SAR area who live in council housing and the absolute reduction in this number between 1981 and 1991 were also examined. It is confirmed that migrants in public housing are less likely to migrate long distances than owner-occupiers and that the proportion of public housing in a SAR area, and the absolute reduction in public housing in a SAR area between 1981 and 1991, does not have a significant effect on the distance that in-migrants have moved. It appears that public housing has a significant effect on distance moved at the individual level but not at the area level. Modelling only those migrants who moved over 20 km suggests that there are no significant differences in the distance moved between those living in owner-occupied and public housing, but that area-level variables related to tenure are particularly important in explaining the distance moved. \u00a9 1997 John Wiley &amp; Sons, Ltd.", "author" : [ { "dropping-particle" : "", "family" : "Boyle", "given" : "Paul", "non-dropping-particle" : "", "parse-names" : false, "suffix" : "" }, { "dropping-particle" : "", "family" : "Shen", "given" : "Jianfa", "non-dropping-particle" : "", "parse-names" : false, "suffix" : "" } ], "container-title" : "International Journal of Population Geography", "id" : "ITEM-1", "issue" : "3", "issued" : { "date-parts" : [ [ "1997", "9", "1" ] ] }, "note" : "Uses the 1991 SARs to model distance migrated. Uses RI models, finds that middle aged (44+) are most likely to move further and those living in LA housing are moving shorter distances. HOWEVER startifying the sample to include only long distance migrants (20+km) uncovers no significant differences in the distance moved among private and LA tenants and parents/singles. The factors which determine the decision to move long distance are separate from the factors which determine the distance moved in a long distance move.", "page" : "227-242", "publisher" : "John Wiley &amp; Sons, Ltd.", "title" : "Public housing and migration: a multi-level modelling approach", "type" : "article-journal", "volume" : "3" }, "uris" : [ "http://www.mendeley.com/documents/?uuid=4d57f64b-442b-4eda-92b3-97f731f50b9b" ] }, { "id" : "ITEM-2", "itemData" : { "DOI" : "10.1068/a130327p", "ISSN" : "0308-518X", "abstract" : "Using individual records from a large and geographically detailed national research opinion survey, this paper uniquely adopts a multilevel\ufffdcross-classified statistical framework to demonstrate the relative importance of individual and simultaneous origin/destination contextual (neighbourhood and city region) variations in the distance moved by residential migrants in England and Wales. The model results confirm distinct microlevel variations in the distance moved according to certain key variables such as household income, educational attainment, and housing tenure whilst simultaneously revealing the importance of substantial origin and destination place-based macrogeographic variations. More specifically, the results indicate the extent to which those out-migrants from the main metropolitan cores, together with those in-migrants to the rural/coastal (amenity-rich) destinations, move over considerably longer distances than the average distance of\ufffdmove. Keywords: residential mobility; origin and destination context; distance moved; cross-classified multilevel model; place-based preferences", "author" : [ { "dropping-particle" : "", "family" : "Thomas", "given" : "Michael", "non-dropping-particle" : "", "parse-names" : false, "suffix" : "" }, { "dropping-particle" : "", "family" : "Stillwell", "given" : "John", "non-dropping-particle" : "", "parse-names" : false, "suffix" : "" }, { "dropping-particle" : "", "family" : "Gould", "given" : "Myles", "non-dropping-particle" : "", "parse-names" : false, "suffix" : "" } ], "container-title" : "Environment and Planning A", "id" : "ITEM-2", "issue" : "4", "issued" : { "date-parts" : [ [ "2015", "4" ] ] }, "page" : "996-1014", "publisher" : "Pion Ltd", "title" : "Modelling multilevel variations in distance moved between origins and destinations in England and Wales", "type" : "article-journal", "volume" : "47" }, "uris" : [ "http://www.mendeley.com/documents/?uuid=eb19a348-fe77-427b-bb2d-455984a90ee9" ] } ], "mendeley" : { "formattedCitation" : "(Boyle and Shen, 1997; Thomas &lt;i&gt;et al.&lt;/i&gt;, 2015)", "plainTextFormattedCitation" : "(Boyle and Shen, 1997; Thomas et al., 2015)", "previouslyFormattedCitation" : "(Boyle and Shen, 1997; Thomas &lt;i&gt;et al.&lt;/i&gt;, 2015)" }, "properties" : { "noteIndex" : 0 }, "schema" : "https://github.com/citation-style-language/schema/raw/master/csl-citation.json" }</w:instrText>
            </w:r>
            <w:r w:rsidRPr="00996B4A">
              <w:rPr>
                <w:rFonts w:asciiTheme="majorBidi" w:hAnsiTheme="majorBidi" w:cstheme="majorBidi"/>
              </w:rPr>
              <w:fldChar w:fldCharType="separate"/>
            </w:r>
            <w:r w:rsidRPr="00A328DF">
              <w:rPr>
                <w:rFonts w:asciiTheme="majorBidi" w:hAnsiTheme="majorBidi" w:cstheme="majorBidi"/>
                <w:noProof/>
              </w:rPr>
              <w:t xml:space="preserve">(Boyle and Shen, 1997; Thomas </w:t>
            </w:r>
            <w:r w:rsidRPr="00A328DF">
              <w:rPr>
                <w:rFonts w:asciiTheme="majorBidi" w:hAnsiTheme="majorBidi" w:cstheme="majorBidi"/>
                <w:i/>
                <w:noProof/>
              </w:rPr>
              <w:t>et al.</w:t>
            </w:r>
            <w:r w:rsidRPr="00A328DF">
              <w:rPr>
                <w:rFonts w:asciiTheme="majorBidi" w:hAnsiTheme="majorBidi" w:cstheme="majorBidi"/>
                <w:noProof/>
              </w:rPr>
              <w:t>, 2015)</w:t>
            </w:r>
            <w:r w:rsidRPr="00996B4A">
              <w:rPr>
                <w:rFonts w:asciiTheme="majorBidi" w:hAnsiTheme="majorBidi" w:cstheme="majorBidi"/>
              </w:rPr>
              <w:fldChar w:fldCharType="end"/>
            </w:r>
            <w:r w:rsidRPr="00996B4A">
              <w:rPr>
                <w:rFonts w:asciiTheme="majorBidi" w:hAnsiTheme="majorBidi" w:cstheme="majorBidi"/>
              </w:rPr>
              <w:t>.</w:t>
            </w:r>
          </w:p>
        </w:tc>
      </w:tr>
      <w:tr w:rsidR="00F47287" w:rsidRPr="00E26635" w14:paraId="0F35B210" w14:textId="77777777" w:rsidTr="00842CB7">
        <w:tc>
          <w:tcPr>
            <w:tcW w:w="0" w:type="auto"/>
          </w:tcPr>
          <w:p w14:paraId="5990022C" w14:textId="77777777" w:rsidR="00F47287" w:rsidRPr="00996B4A" w:rsidRDefault="00F47287" w:rsidP="00842CB7">
            <w:pPr>
              <w:rPr>
                <w:rFonts w:asciiTheme="majorBidi" w:hAnsiTheme="majorBidi" w:cstheme="majorBidi"/>
              </w:rPr>
            </w:pPr>
            <w:r w:rsidRPr="00996B4A">
              <w:rPr>
                <w:rFonts w:asciiTheme="majorBidi" w:hAnsiTheme="majorBidi" w:cstheme="majorBidi"/>
              </w:rPr>
              <w:t>Ethnicity</w:t>
            </w:r>
          </w:p>
        </w:tc>
        <w:tc>
          <w:tcPr>
            <w:tcW w:w="3442" w:type="dxa"/>
          </w:tcPr>
          <w:p w14:paraId="04B02EE6" w14:textId="77777777" w:rsidR="00F47287" w:rsidRPr="00996B4A" w:rsidRDefault="00F47287" w:rsidP="00842CB7">
            <w:pPr>
              <w:rPr>
                <w:rFonts w:asciiTheme="majorBidi" w:hAnsiTheme="majorBidi" w:cstheme="majorBidi"/>
              </w:rPr>
            </w:pPr>
            <w:r w:rsidRPr="00996B4A">
              <w:rPr>
                <w:rFonts w:asciiTheme="majorBidi" w:hAnsiTheme="majorBidi" w:cstheme="majorBidi"/>
              </w:rPr>
              <w:t>0= White, 1= Indian, Pakistani or Bangladeshi, 2= Chinese or other Asian, 3= African, Caribbean or Black, 4= Other or Mixed</w:t>
            </w:r>
          </w:p>
        </w:tc>
        <w:tc>
          <w:tcPr>
            <w:tcW w:w="3918" w:type="dxa"/>
          </w:tcPr>
          <w:p w14:paraId="7603EA05" w14:textId="77777777" w:rsidR="00F47287" w:rsidRPr="00996B4A" w:rsidRDefault="00F47287" w:rsidP="00842CB7">
            <w:pPr>
              <w:rPr>
                <w:rFonts w:asciiTheme="majorBidi" w:hAnsiTheme="majorBidi" w:cstheme="majorBidi"/>
              </w:rPr>
            </w:pPr>
            <w:r w:rsidRPr="00996B4A">
              <w:rPr>
                <w:rFonts w:asciiTheme="majorBidi" w:hAnsiTheme="majorBidi" w:cstheme="majorBidi"/>
              </w:rPr>
              <w:t xml:space="preserve">One study finds that all minority ethnic groups move shorter distances </w:t>
            </w:r>
            <w:r w:rsidRPr="00996B4A">
              <w:rPr>
                <w:rFonts w:asciiTheme="majorBidi" w:hAnsiTheme="majorBidi" w:cstheme="majorBidi"/>
              </w:rPr>
              <w:fldChar w:fldCharType="begin" w:fldLock="1"/>
            </w:r>
            <w:r>
              <w:rPr>
                <w:rFonts w:asciiTheme="majorBidi" w:hAnsiTheme="majorBidi" w:cstheme="majorBidi"/>
              </w:rPr>
              <w:instrText>ADDIN CSL_CITATION { "citationItems" : [ { "id" : "ITEM-1", "itemData" : { "DOI" : "10.1002/psp.481", "ISSN" : "1544-8452", "abstract" : "Relatively little is known about the internal migration behaviour of different ethnic groups. This paper reviews existing evidence, and analyses 2001 Census data for Britain to provide an overview of patterns in the level of migration and the distance migrated, according to the characteristics of migrants and for diverse ethnic groups. Those who migrate in each ethnic group have similar characteristics, leading to the assertion that differences in levels of migration result mainly from differing socio-economic and age compositions of ethnic groups. This is confirmed through regression analysis. Differences in distance migrated, however, are not explained by the composition of ethnic groups, but may be explained by their primarily urban current areas of residence. Exceptions to the general patterns are highlighted as avenues for further investigation. Copyright \u00a9 2008 John Wiley &amp; Sons, Ltd.", "author" : [ { "dropping-particle" : "", "family" : "Finney", "given" : "Nissa", "non-dropping-particle" : "", "parse-names" : false, "suffix" : "" }, { "dropping-particle" : "", "family" : "Simpson", "given" : "Ludi", "non-dropping-particle" : "", "parse-names" : false, "suffix" : "" } ], "container-title" : "Population, Space and Place", "id" : "ITEM-1", "issue" : "2", "issued" : { "date-parts" : [ [ "2008", "3", "1" ] ] }, "page" : "63-83", "publisher" : "John Wiley &amp; Sons, Ltd.", "title" : "Internal migration and ethnic groups: evidence for Britain from the 2001 Census", "type" : "article-journal", "volume" : "14" }, "uris" : [ "http://www.mendeley.com/documents/?uuid=33f05d48-5944-4e3f-8d5d-d6fbff6f51ce" ] }, { "id" : "ITEM-2", "itemData" : { "DOI" : "10.1068/a130327p", "ISSN" : "0308-518X", "abstract" : "Using individual records from a large and geographically detailed national research opinion survey, this paper uniquely adopts a multilevel\ufffdcross-classified statistical framework to demonstrate the relative importance of individual and simultaneous origin/destination contextual (neighbourhood and city region) variations in the distance moved by residential migrants in England and Wales. The model results confirm distinct microlevel variations in the distance moved according to certain key variables such as household income, educational attainment, and housing tenure whilst simultaneously revealing the importance of substantial origin and destination place-based macrogeographic variations. More specifically, the results indicate the extent to which those out-migrants from the main metropolitan cores, together with those in-migrants to the rural/coastal (amenity-rich) destinations, move over considerably longer distances than the average distance of\ufffdmove. Keywords: residential mobility; origin and destination context; distance moved; cross-classified multilevel model; place-based preferences", "author" : [ { "dropping-particle" : "", "family" : "Thomas", "given" : "Michael", "non-dropping-particle" : "", "parse-names" : false, "suffix" : "" }, { "dropping-particle" : "", "family" : "Stillwell", "given" : "John", "non-dropping-particle" : "", "parse-names" : false, "suffix" : "" }, { "dropping-particle" : "", "family" : "Gould", "given" : "Myles", "non-dropping-particle" : "", "parse-names" : false, "suffix" : "" } ], "container-title" : "Environment and Planning A", "id" : "ITEM-2", "issue" : "4", "issued" : { "date-parts" : [ [ "2015", "4" ] ] }, "page" : "996-1014", "publisher" : "Pion Ltd", "title" : "Modelling multilevel variations in distance moved between origins and destinations in England and Wales", "type" : "article-journal", "volume" : "47" }, "uris" : [ "http://www.mendeley.com/documents/?uuid=eb19a348-fe77-427b-bb2d-455984a90ee9" ] } ], "mendeley" : { "formattedCitation" : "(Finney and Simpson, 2008; Thomas &lt;i&gt;et al.&lt;/i&gt;, 2015)", "manualFormatting" : "(Finney &amp; Simpson, 2008)", "plainTextFormattedCitation" : "(Finney and Simpson, 2008; Thomas et al., 2015)", "previouslyFormattedCitation" : "(Finney and Simpson, 2008; Thomas &lt;i&gt;et al.&lt;/i&gt;, 2015)" }, "properties" : { "noteIndex" : 0 }, "schema" : "https://github.com/citation-style-language/schema/raw/master/csl-citation.json" }</w:instrText>
            </w:r>
            <w:r w:rsidRPr="00996B4A">
              <w:rPr>
                <w:rFonts w:asciiTheme="majorBidi" w:hAnsiTheme="majorBidi" w:cstheme="majorBidi"/>
              </w:rPr>
              <w:fldChar w:fldCharType="separate"/>
            </w:r>
            <w:r w:rsidRPr="00996B4A">
              <w:rPr>
                <w:rFonts w:asciiTheme="majorBidi" w:hAnsiTheme="majorBidi" w:cstheme="majorBidi"/>
                <w:noProof/>
              </w:rPr>
              <w:t>(Finney &amp; Simpson, 2008)</w:t>
            </w:r>
            <w:r w:rsidRPr="00996B4A">
              <w:rPr>
                <w:rFonts w:asciiTheme="majorBidi" w:hAnsiTheme="majorBidi" w:cstheme="majorBidi"/>
              </w:rPr>
              <w:fldChar w:fldCharType="end"/>
            </w:r>
            <w:r w:rsidRPr="00996B4A">
              <w:rPr>
                <w:rFonts w:asciiTheme="majorBidi" w:hAnsiTheme="majorBidi" w:cstheme="majorBidi"/>
              </w:rPr>
              <w:t xml:space="preserve"> whilst others report that only the Asian group to move shorter distances than other ethnic groups </w:t>
            </w:r>
            <w:r w:rsidRPr="00996B4A">
              <w:rPr>
                <w:rFonts w:asciiTheme="majorBidi" w:hAnsiTheme="majorBidi" w:cstheme="majorBidi"/>
              </w:rPr>
              <w:fldChar w:fldCharType="begin" w:fldLock="1"/>
            </w:r>
            <w:r>
              <w:rPr>
                <w:rFonts w:asciiTheme="majorBidi" w:hAnsiTheme="majorBidi" w:cstheme="majorBidi"/>
              </w:rPr>
              <w:instrText>ADDIN CSL_CITATION { "citationItems" : [ { "id" : "ITEM-1", "itemData" : { "DOI" : "10.1068/a130327p", "ISSN" : "0308-518X", "abstract" : "Using individual records from a large and geographically detailed national research opinion survey, this paper uniquely adopts a multilevel\ufffdcross-classified statistical framework to demonstrate the relative importance of individual and simultaneous origin/destination contextual (neighbourhood and city region) variations in the distance moved by residential migrants in England and Wales. The model results confirm distinct microlevel variations in the distance moved according to certain key variables such as household income, educational attainment, and housing tenure whilst simultaneously revealing the importance of substantial origin and destination place-based macrogeographic variations. More specifically, the results indicate the extent to which those out-migrants from the main metropolitan cores, together with those in-migrants to the rural/coastal (amenity-rich) destinations, move over considerably longer distances than the average distance of\ufffdmove. Keywords: residential mobility; origin and destination context; distance moved; cross-classified multilevel model; place-based preferences", "author" : [ { "dropping-particle" : "", "family" : "Thomas", "given" : "Michael", "non-dropping-particle" : "", "parse-names" : false, "suffix" : "" }, { "dropping-particle" : "", "family" : "Stillwell", "given" : "John", "non-dropping-particle" : "", "parse-names" : false, "suffix" : "" }, { "dropping-particle" : "", "family" : "Gould", "given" : "Myles", "non-dropping-particle" : "", "parse-names" : false, "suffix" : "" } ], "container-title" : "Environment and Planning A", "id" : "ITEM-1", "issue" : "4", "issued" : { "date-parts" : [ [ "2015", "4" ] ] }, "page" : "996-1014", "publisher" : "Pion Ltd", "title" : "Modelling multilevel variations in distance moved between origins and destinations in England and Wales", "type" : "article-journal", "volume" : "47" }, "uris" : [ "http://www.mendeley.com/documents/?uuid=eb19a348-fe77-427b-bb2d-455984a90ee9" ] }, { "id" : "ITEM-2", "itemData" : { "DOI" : "10.1007/s10901-012-9331-4", "ISSN" : "1566-4910", "author" : [ { "dropping-particle" : "", "family" : "Cho", "given" : "Youngha", "non-dropping-particle" : "", "parse-names" : false, "suffix" : "" }, { "dropping-particle" : "", "family" : "Whitehead", "given" : "Christine", "non-dropping-particle" : "", "parse-names" : false, "suffix" : "" } ], "container-title" : "Journal of Housing and the Built Environment", "id" : "ITEM-2", "issue" : "4", "issued" : { "date-parts" : [ [ "2013" ] ] }, "language" : "English", "note" : "Looks at the different factors predicting short (&amp;lt;5m) and long (&amp;gt;5m) distance migration, focusing on tenancy. Finds age and tenancy to be the two primary predictors of mobility. Used in the tVML paper justifying variable selection.", "page" : "705-726", "publisher" : "Springer Netherlands", "title" : "The immobility of social tenants: is it true? Does it matter?", "type" : "article-journal", "volume" : "28" }, "uris" : [ "http://www.mendeley.com/documents/?uuid=8d3e1188-bc22-4db1-ac40-db9e0b92fb49" ] } ], "mendeley" : { "formattedCitation" : "(Cho and Whitehead, 2013; Thomas &lt;i&gt;et al.&lt;/i&gt;, 2015)", "plainTextFormattedCitation" : "(Cho and Whitehead, 2013; Thomas et al., 2015)", "previouslyFormattedCitation" : "(Cho and Whitehead, 2013; Thomas &lt;i&gt;et al.&lt;/i&gt;, 2015)" }, "properties" : { "noteIndex" : 0 }, "schema" : "https://github.com/citation-style-language/schema/raw/master/csl-citation.json" }</w:instrText>
            </w:r>
            <w:r w:rsidRPr="00996B4A">
              <w:rPr>
                <w:rFonts w:asciiTheme="majorBidi" w:hAnsiTheme="majorBidi" w:cstheme="majorBidi"/>
              </w:rPr>
              <w:fldChar w:fldCharType="separate"/>
            </w:r>
            <w:r w:rsidRPr="00A328DF">
              <w:rPr>
                <w:rFonts w:asciiTheme="majorBidi" w:hAnsiTheme="majorBidi" w:cstheme="majorBidi"/>
                <w:noProof/>
              </w:rPr>
              <w:t xml:space="preserve">(Cho and Whitehead, 2013; Thomas </w:t>
            </w:r>
            <w:r w:rsidRPr="00A328DF">
              <w:rPr>
                <w:rFonts w:asciiTheme="majorBidi" w:hAnsiTheme="majorBidi" w:cstheme="majorBidi"/>
                <w:i/>
                <w:noProof/>
              </w:rPr>
              <w:t>et al.</w:t>
            </w:r>
            <w:r w:rsidRPr="00A328DF">
              <w:rPr>
                <w:rFonts w:asciiTheme="majorBidi" w:hAnsiTheme="majorBidi" w:cstheme="majorBidi"/>
                <w:noProof/>
              </w:rPr>
              <w:t>, 2015)</w:t>
            </w:r>
            <w:r w:rsidRPr="00996B4A">
              <w:rPr>
                <w:rFonts w:asciiTheme="majorBidi" w:hAnsiTheme="majorBidi" w:cstheme="majorBidi"/>
              </w:rPr>
              <w:fldChar w:fldCharType="end"/>
            </w:r>
            <w:r w:rsidRPr="00996B4A">
              <w:rPr>
                <w:rFonts w:asciiTheme="majorBidi" w:hAnsiTheme="majorBidi" w:cstheme="majorBidi"/>
              </w:rPr>
              <w:t>.</w:t>
            </w:r>
          </w:p>
        </w:tc>
      </w:tr>
      <w:tr w:rsidR="00F47287" w:rsidRPr="00E26635" w14:paraId="6A2D2696" w14:textId="77777777" w:rsidTr="00842CB7">
        <w:tc>
          <w:tcPr>
            <w:tcW w:w="0" w:type="auto"/>
          </w:tcPr>
          <w:p w14:paraId="19FCC730" w14:textId="77777777" w:rsidR="00F47287" w:rsidRPr="00996B4A" w:rsidRDefault="00F47287" w:rsidP="00842CB7">
            <w:pPr>
              <w:rPr>
                <w:rFonts w:asciiTheme="majorBidi" w:hAnsiTheme="majorBidi" w:cstheme="majorBidi"/>
              </w:rPr>
            </w:pPr>
            <w:r w:rsidRPr="00996B4A">
              <w:rPr>
                <w:rFonts w:asciiTheme="majorBidi" w:hAnsiTheme="majorBidi" w:cstheme="majorBidi"/>
              </w:rPr>
              <w:t xml:space="preserve">Marital status </w:t>
            </w:r>
          </w:p>
        </w:tc>
        <w:tc>
          <w:tcPr>
            <w:tcW w:w="3442" w:type="dxa"/>
          </w:tcPr>
          <w:p w14:paraId="117238D5" w14:textId="77777777" w:rsidR="00F47287" w:rsidRPr="00996B4A" w:rsidRDefault="00F47287" w:rsidP="00842CB7">
            <w:pPr>
              <w:rPr>
                <w:rFonts w:asciiTheme="majorBidi" w:hAnsiTheme="majorBidi" w:cstheme="majorBidi"/>
              </w:rPr>
            </w:pPr>
            <w:r w:rsidRPr="00996B4A">
              <w:rPr>
                <w:rFonts w:asciiTheme="majorBidi" w:hAnsiTheme="majorBidi" w:cstheme="majorBidi"/>
              </w:rPr>
              <w:t>0= single, 1=married or civil partners, 2=divorced, separated or widowed</w:t>
            </w:r>
          </w:p>
        </w:tc>
        <w:tc>
          <w:tcPr>
            <w:tcW w:w="3918" w:type="dxa"/>
          </w:tcPr>
          <w:p w14:paraId="65FB064A" w14:textId="77777777" w:rsidR="00F47287" w:rsidRPr="00996B4A" w:rsidRDefault="00F47287" w:rsidP="00842CB7">
            <w:pPr>
              <w:rPr>
                <w:rFonts w:asciiTheme="majorBidi" w:hAnsiTheme="majorBidi" w:cstheme="majorBidi"/>
              </w:rPr>
            </w:pPr>
            <w:r w:rsidRPr="00996B4A">
              <w:rPr>
                <w:rFonts w:asciiTheme="majorBidi" w:hAnsiTheme="majorBidi" w:cstheme="majorBidi"/>
              </w:rPr>
              <w:t xml:space="preserve">One study finds that the divorced and separated move shorter distances, with no difference between single and married </w:t>
            </w:r>
            <w:r w:rsidRPr="00996B4A">
              <w:rPr>
                <w:rFonts w:asciiTheme="majorBidi" w:hAnsiTheme="majorBidi" w:cstheme="majorBidi"/>
              </w:rPr>
              <w:fldChar w:fldCharType="begin" w:fldLock="1"/>
            </w:r>
            <w:r>
              <w:rPr>
                <w:rFonts w:asciiTheme="majorBidi" w:hAnsiTheme="majorBidi" w:cstheme="majorBidi"/>
              </w:rPr>
              <w:instrText>ADDIN CSL_CITATION { "citationItems" : [ { "id" : "ITEM-1", "itemData" : { "DOI" : "10.1068/a130327p", "ISSN" : "0308-518X", "abstract" : "Using individual records from a large and geographically detailed national research opinion survey, this paper uniquely adopts a multilevel\ufffdcross-classified statistical framework to demonstrate the relative importance of individual and simultaneous origin/destination contextual (neighbourhood and city region) variations in the distance moved by residential migrants in England and Wales. The model results confirm distinct microlevel variations in the distance moved according to certain key variables such as household income, educational attainment, and housing tenure whilst simultaneously revealing the importance of substantial origin and destination place-based macrogeographic variations. More specifically, the results indicate the extent to which those out-migrants from the main metropolitan cores, together with those in-migrants to the rural/coastal (amenity-rich) destinations, move over considerably longer distances than the average distance of\ufffdmove. Keywords: residential mobility; origin and destination context; distance moved; cross-classified multilevel model; place-based preferences", "author" : [ { "dropping-particle" : "", "family" : "Thomas", "given" : "Michael", "non-dropping-particle" : "", "parse-names" : false, "suffix" : "" }, { "dropping-particle" : "", "family" : "Stillwell", "given" : "John", "non-dropping-particle" : "", "parse-names" : false, "suffix" : "" }, { "dropping-particle" : "", "family" : "Gould", "given" : "Myles", "non-dropping-particle" : "", "parse-names" : false, "suffix" : "" } ], "container-title" : "Environment and Planning A", "id" : "ITEM-1", "issue" : "4", "issued" : { "date-parts" : [ [ "2015", "4" ] ] }, "page" : "996-1014", "publisher" : "Pion Ltd", "title" : "Modelling multilevel variations in distance moved between origins and destinations in England and Wales", "type" : "article-journal", "volume" : "47" }, "uris" : [ "http://www.mendeley.com/documents/?uuid=eb19a348-fe77-427b-bb2d-455984a90ee9" ] } ], "mendeley" : { "formattedCitation" : "(Thomas &lt;i&gt;et al.&lt;/i&gt;, 2015)", "plainTextFormattedCitation" : "(Thomas et al., 2015)", "previouslyFormattedCitation" : "(Thomas &lt;i&gt;et al.&lt;/i&gt;, 2015)" }, "properties" : { "noteIndex" : 0 }, "schema" : "https://github.com/citation-style-language/schema/raw/master/csl-citation.json" }</w:instrText>
            </w:r>
            <w:r w:rsidRPr="00996B4A">
              <w:rPr>
                <w:rFonts w:asciiTheme="majorBidi" w:hAnsiTheme="majorBidi" w:cstheme="majorBidi"/>
              </w:rPr>
              <w:fldChar w:fldCharType="separate"/>
            </w:r>
            <w:r w:rsidRPr="00A328DF">
              <w:rPr>
                <w:rFonts w:asciiTheme="majorBidi" w:hAnsiTheme="majorBidi" w:cstheme="majorBidi"/>
                <w:noProof/>
              </w:rPr>
              <w:t xml:space="preserve">(Thomas </w:t>
            </w:r>
            <w:r w:rsidRPr="00A328DF">
              <w:rPr>
                <w:rFonts w:asciiTheme="majorBidi" w:hAnsiTheme="majorBidi" w:cstheme="majorBidi"/>
                <w:i/>
                <w:noProof/>
              </w:rPr>
              <w:t>et al.</w:t>
            </w:r>
            <w:r w:rsidRPr="00A328DF">
              <w:rPr>
                <w:rFonts w:asciiTheme="majorBidi" w:hAnsiTheme="majorBidi" w:cstheme="majorBidi"/>
                <w:noProof/>
              </w:rPr>
              <w:t>, 2015)</w:t>
            </w:r>
            <w:r w:rsidRPr="00996B4A">
              <w:rPr>
                <w:rFonts w:asciiTheme="majorBidi" w:hAnsiTheme="majorBidi" w:cstheme="majorBidi"/>
              </w:rPr>
              <w:fldChar w:fldCharType="end"/>
            </w:r>
            <w:r w:rsidRPr="00996B4A">
              <w:rPr>
                <w:rFonts w:asciiTheme="majorBidi" w:hAnsiTheme="majorBidi" w:cstheme="majorBidi"/>
              </w:rPr>
              <w:t xml:space="preserve"> whilst another finds that the divorced and separated move longer distances </w:t>
            </w:r>
            <w:r w:rsidRPr="00996B4A">
              <w:rPr>
                <w:rFonts w:asciiTheme="majorBidi" w:hAnsiTheme="majorBidi" w:cstheme="majorBidi"/>
              </w:rPr>
              <w:fldChar w:fldCharType="begin" w:fldLock="1"/>
            </w:r>
            <w:r w:rsidRPr="00996B4A">
              <w:rPr>
                <w:rFonts w:asciiTheme="majorBidi" w:hAnsiTheme="majorBidi" w:cstheme="majorBidi"/>
              </w:rPr>
              <w:instrText>ADDIN CSL_CITATION { "citationItems" : [ { "id" : "ITEM-1", "itemData" : { "DOI" : "10.1007/s10901-012-9331-4", "ISSN" : "1566-4910", "author" : [ { "dropping-particle" : "", "family" : "Cho", "given" : "Youngha", "non-dropping-particle" : "", "parse-names" : false, "suffix" : "" }, { "dropping-particle" : "", "family" : "Whitehead", "given" : "Christine", "non-dropping-particle" : "", "parse-names" : false, "suffix" : "" } ], "container-title" : "Journal of Housing and the Built Environment", "id" : "ITEM-1", "issue" : "4", "issued" : { "date-parts" : [ [ "2013" ] ] }, "language" : "English", "note" : "Looks at the different factors predicting short (&amp;lt;5m) and long (&amp;gt;5m) distance migration, focusing on tenancy. Finds age and tenancy to be the two primary predictors of mobility. Used in the tVML paper justifying variable selection.", "page" : "705-726", "publisher" : "Springer Netherlands", "title" : "The immobility of social tenants: is it true? Does it matter?", "type" : "article-journal", "volume" : "28" }, "uris" : [ "http://www.mendeley.com/documents/?uuid=8d3e1188-bc22-4db1-ac40-db9e0b92fb49" ] } ], "mendeley" : { "formattedCitation" : "(Cho and Whitehead, 2013)", "plainTextFormattedCitation" : "(Cho and Whitehead, 2013)", "previouslyFormattedCitation" : "(Cho and Whitehead, 2013)" }, "properties" : { "noteIndex" : 0 }, "schema" : "https://github.com/citation-style-language/schema/raw/master/csl-citation.json" }</w:instrText>
            </w:r>
            <w:r w:rsidRPr="00996B4A">
              <w:rPr>
                <w:rFonts w:asciiTheme="majorBidi" w:hAnsiTheme="majorBidi" w:cstheme="majorBidi"/>
              </w:rPr>
              <w:fldChar w:fldCharType="separate"/>
            </w:r>
            <w:r w:rsidRPr="00996B4A">
              <w:rPr>
                <w:rFonts w:asciiTheme="majorBidi" w:hAnsiTheme="majorBidi" w:cstheme="majorBidi"/>
                <w:noProof/>
              </w:rPr>
              <w:t>(Cho and Whitehead, 2013)</w:t>
            </w:r>
            <w:r w:rsidRPr="00996B4A">
              <w:rPr>
                <w:rFonts w:asciiTheme="majorBidi" w:hAnsiTheme="majorBidi" w:cstheme="majorBidi"/>
              </w:rPr>
              <w:fldChar w:fldCharType="end"/>
            </w:r>
            <w:r w:rsidRPr="00996B4A">
              <w:rPr>
                <w:rFonts w:asciiTheme="majorBidi" w:hAnsiTheme="majorBidi" w:cstheme="majorBidi"/>
              </w:rPr>
              <w:t>.</w:t>
            </w:r>
          </w:p>
        </w:tc>
      </w:tr>
      <w:tr w:rsidR="00F47287" w:rsidRPr="00E26635" w14:paraId="3A1F287A" w14:textId="77777777" w:rsidTr="00842CB7">
        <w:tc>
          <w:tcPr>
            <w:tcW w:w="0" w:type="auto"/>
          </w:tcPr>
          <w:p w14:paraId="612E434C" w14:textId="77777777" w:rsidR="00F47287" w:rsidRPr="00996B4A" w:rsidRDefault="00F47287" w:rsidP="00842CB7">
            <w:pPr>
              <w:rPr>
                <w:rFonts w:asciiTheme="majorBidi" w:hAnsiTheme="majorBidi" w:cstheme="majorBidi"/>
              </w:rPr>
            </w:pPr>
            <w:r w:rsidRPr="00996B4A">
              <w:rPr>
                <w:rFonts w:asciiTheme="majorBidi" w:hAnsiTheme="majorBidi" w:cstheme="majorBidi"/>
              </w:rPr>
              <w:t>Family status</w:t>
            </w:r>
          </w:p>
        </w:tc>
        <w:tc>
          <w:tcPr>
            <w:tcW w:w="3442" w:type="dxa"/>
          </w:tcPr>
          <w:p w14:paraId="46D8AFA6" w14:textId="77777777" w:rsidR="00F47287" w:rsidRPr="00996B4A" w:rsidRDefault="00F47287" w:rsidP="00842CB7">
            <w:pPr>
              <w:rPr>
                <w:rFonts w:asciiTheme="majorBidi" w:hAnsiTheme="majorBidi" w:cstheme="majorBidi"/>
              </w:rPr>
            </w:pPr>
            <w:r w:rsidRPr="00996B4A">
              <w:rPr>
                <w:rFonts w:asciiTheme="majorBidi" w:hAnsiTheme="majorBidi" w:cstheme="majorBidi"/>
              </w:rPr>
              <w:t>0= no family or household, 1= in a couple or married family, 2= in a lone parent family</w:t>
            </w:r>
          </w:p>
        </w:tc>
        <w:tc>
          <w:tcPr>
            <w:tcW w:w="3918" w:type="dxa"/>
          </w:tcPr>
          <w:p w14:paraId="01D74282" w14:textId="77777777" w:rsidR="00F47287" w:rsidRPr="00996B4A" w:rsidRDefault="00F47287" w:rsidP="00842CB7">
            <w:pPr>
              <w:rPr>
                <w:rFonts w:asciiTheme="majorBidi" w:hAnsiTheme="majorBidi" w:cstheme="majorBidi"/>
              </w:rPr>
            </w:pPr>
            <w:r w:rsidRPr="00996B4A">
              <w:rPr>
                <w:rFonts w:asciiTheme="majorBidi" w:hAnsiTheme="majorBidi" w:cstheme="majorBidi"/>
              </w:rPr>
              <w:t xml:space="preserve">Those living without children </w:t>
            </w:r>
            <w:r w:rsidRPr="00996B4A">
              <w:rPr>
                <w:rFonts w:asciiTheme="majorBidi" w:hAnsiTheme="majorBidi" w:cstheme="majorBidi"/>
              </w:rPr>
              <w:fldChar w:fldCharType="begin" w:fldLock="1"/>
            </w:r>
            <w:r>
              <w:rPr>
                <w:rFonts w:asciiTheme="majorBidi" w:hAnsiTheme="majorBidi" w:cstheme="majorBidi"/>
              </w:rPr>
              <w:instrText>ADDIN CSL_CITATION { "citationItems" : [ { "id" : "ITEM-1", "itemData" : { "DOI" : "10.1002/(SICI)1099-1220(199709)3:3&lt;227::AID-IJPG69&gt;3.0.CO;2-W", "ISSN" : "1077-3495", "abstract" : "Various studies have confirmed that tenants in public (council) housing are more likely to migrate than owner-occupiers, but that they are less likely to move over long distances. This paper extends this work by considering the distance moved by one-year migrants using a multi-level modelling approach. Controlling for a range of socio-economic variables, derived from the 1991 British Census Sample of Anonymised Records (SAR), at both the individual and area level, the distance moved by household heads in public, privately rented and owner-occupied housing within Britain is assessed. Data on the proportion of households in a SAR area who live in council housing and the absolute reduction in this number between 1981 and 1991 were also examined. It is confirmed that migrants in public housing are less likely to migrate long distances than owner-occupiers and that the proportion of public housing in a SAR area, and the absolute reduction in public housing in a SAR area between 1981 and 1991, does not have a significant effect on the distance that in-migrants have moved. It appears that public housing has a significant effect on distance moved at the individual level but not at the area level. Modelling only those migrants who moved over 20 km suggests that there are no significant differences in the distance moved between those living in owner-occupied and public housing, but that area-level variables related to tenure are particularly important in explaining the distance moved. \u00a9 1997 John Wiley &amp; Sons, Ltd.", "author" : [ { "dropping-particle" : "", "family" : "Boyle", "given" : "Paul", "non-dropping-particle" : "", "parse-names" : false, "suffix" : "" }, { "dropping-particle" : "", "family" : "Shen", "given" : "Jianfa", "non-dropping-particle" : "", "parse-names" : false, "suffix" : "" } ], "container-title" : "International Journal of Population Geography", "id" : "ITEM-1", "issue" : "3", "issued" : { "date-parts" : [ [ "1997", "9", "1" ] ] }, "note" : "Uses the 1991 SARs to model distance migrated. Uses RI models, finds that middle aged (44+) are most likely to move further and those living in LA housing are moving shorter distances. HOWEVER startifying the sample to include only long distance migrants (20+km) uncovers no significant differences in the distance moved among private and LA tenants and parents/singles. The factors which determine the decision to move long distance are separate from the factors which determine the distance moved in a long distance move.", "page" : "227-242", "publisher" : "John Wiley &amp; Sons, Ltd.", "title" : "Public housing and migration: a multi-level modelling approach", "type" : "article-journal", "volume" : "3" }, "uris" : [ "http://www.mendeley.com/documents/?uuid=4d57f64b-442b-4eda-92b3-97f731f50b9b" ] } ], "mendeley" : { "formattedCitation" : "(Boyle and Shen, 1997)", "plainTextFormattedCitation" : "(Boyle and Shen, 1997)", "previouslyFormattedCitation" : "(Boyle and Shen, 1997)" }, "properties" : { "noteIndex" : 0 }, "schema" : "https://github.com/citation-style-language/schema/raw/master/csl-citation.json" }</w:instrText>
            </w:r>
            <w:r w:rsidRPr="00996B4A">
              <w:rPr>
                <w:rFonts w:asciiTheme="majorBidi" w:hAnsiTheme="majorBidi" w:cstheme="majorBidi"/>
              </w:rPr>
              <w:fldChar w:fldCharType="separate"/>
            </w:r>
            <w:r w:rsidRPr="00996B4A">
              <w:rPr>
                <w:rFonts w:asciiTheme="majorBidi" w:hAnsiTheme="majorBidi" w:cstheme="majorBidi"/>
                <w:noProof/>
              </w:rPr>
              <w:t>(Boyle and Shen, 1997)</w:t>
            </w:r>
            <w:r w:rsidRPr="00996B4A">
              <w:rPr>
                <w:rFonts w:asciiTheme="majorBidi" w:hAnsiTheme="majorBidi" w:cstheme="majorBidi"/>
              </w:rPr>
              <w:fldChar w:fldCharType="end"/>
            </w:r>
            <w:r w:rsidRPr="00996B4A">
              <w:rPr>
                <w:rFonts w:asciiTheme="majorBidi" w:hAnsiTheme="majorBidi" w:cstheme="majorBidi"/>
              </w:rPr>
              <w:t>.</w:t>
            </w:r>
          </w:p>
        </w:tc>
      </w:tr>
      <w:tr w:rsidR="00F47287" w:rsidRPr="00E26635" w14:paraId="18336BFB" w14:textId="77777777" w:rsidTr="00842CB7">
        <w:tc>
          <w:tcPr>
            <w:tcW w:w="0" w:type="auto"/>
          </w:tcPr>
          <w:p w14:paraId="5860B374" w14:textId="77777777" w:rsidR="00F47287" w:rsidRPr="00996B4A" w:rsidRDefault="00F47287" w:rsidP="00842CB7">
            <w:pPr>
              <w:rPr>
                <w:rFonts w:asciiTheme="majorBidi" w:hAnsiTheme="majorBidi" w:cstheme="majorBidi"/>
              </w:rPr>
            </w:pPr>
            <w:r w:rsidRPr="00996B4A">
              <w:rPr>
                <w:rFonts w:asciiTheme="majorBidi" w:hAnsiTheme="majorBidi" w:cstheme="majorBidi"/>
              </w:rPr>
              <w:t>Country of birth</w:t>
            </w:r>
          </w:p>
        </w:tc>
        <w:tc>
          <w:tcPr>
            <w:tcW w:w="3442" w:type="dxa"/>
          </w:tcPr>
          <w:p w14:paraId="10D13F89" w14:textId="77777777" w:rsidR="00F47287" w:rsidRPr="00996B4A" w:rsidRDefault="00F47287" w:rsidP="00842CB7">
            <w:pPr>
              <w:rPr>
                <w:rFonts w:asciiTheme="majorBidi" w:hAnsiTheme="majorBidi" w:cstheme="majorBidi"/>
              </w:rPr>
            </w:pPr>
            <w:r w:rsidRPr="00996B4A">
              <w:rPr>
                <w:rFonts w:asciiTheme="majorBidi" w:hAnsiTheme="majorBidi" w:cstheme="majorBidi"/>
              </w:rPr>
              <w:t>0= UK born 1=born outside of the UK</w:t>
            </w:r>
          </w:p>
        </w:tc>
        <w:tc>
          <w:tcPr>
            <w:tcW w:w="3918" w:type="dxa"/>
          </w:tcPr>
          <w:p w14:paraId="467F2ECE" w14:textId="77777777" w:rsidR="00F47287" w:rsidRPr="00996B4A" w:rsidRDefault="00F47287" w:rsidP="00842CB7">
            <w:pPr>
              <w:rPr>
                <w:rFonts w:asciiTheme="majorBidi" w:hAnsiTheme="majorBidi" w:cstheme="majorBidi"/>
              </w:rPr>
            </w:pPr>
            <w:r w:rsidRPr="00996B4A">
              <w:rPr>
                <w:rFonts w:asciiTheme="majorBidi" w:hAnsiTheme="majorBidi" w:cstheme="majorBidi"/>
              </w:rPr>
              <w:t xml:space="preserve">Non-UK born </w:t>
            </w:r>
            <w:r w:rsidRPr="00996B4A">
              <w:rPr>
                <w:rFonts w:asciiTheme="majorBidi" w:hAnsiTheme="majorBidi" w:cstheme="majorBidi"/>
              </w:rPr>
              <w:fldChar w:fldCharType="begin" w:fldLock="1"/>
            </w:r>
            <w:r w:rsidRPr="00996B4A">
              <w:rPr>
                <w:rFonts w:asciiTheme="majorBidi" w:hAnsiTheme="majorBidi" w:cstheme="majorBidi"/>
              </w:rPr>
              <w:instrText>ADDIN CSL_CITATION { "citationItems" : [ { "id" : "ITEM-1", "itemData" : { "DOI" : "10.1002/psp.481", "ISSN" : "1544-8452", "abstract" : "Relatively little is known about the internal migration behaviour of different ethnic groups. This paper reviews existing evidence, and analyses 2001 Census data for Britain to provide an overview of patterns in the level of migration and the distance migrated, according to the characteristics of migrants and for diverse ethnic groups. Those who migrate in each ethnic group have similar characteristics, leading to the assertion that differences in levels of migration result mainly from differing socio-economic and age compositions of ethnic groups. This is confirmed through regression analysis. Differences in distance migrated, however, are not explained by the composition of ethnic groups, but may be explained by their primarily urban current areas of residence. Exceptions to the general patterns are highlighted as avenues for further investigation. Copyright \u00a9 2008 John Wiley &amp; Sons, Ltd.", "author" : [ { "dropping-particle" : "", "family" : "Finney", "given" : "Nissa", "non-dropping-particle" : "", "parse-names" : false, "suffix" : "" }, { "dropping-particle" : "", "family" : "Simpson", "given" : "Ludi", "non-dropping-particle" : "", "parse-names" : false, "suffix" : "" } ], "container-title" : "Population, Space and Place", "id" : "ITEM-1", "issue" : "2", "issued" : { "date-parts" : [ [ "2008", "3", "1" ] ] }, "page" : "63-83", "publisher" : "John Wiley &amp; Sons, Ltd.", "title" : "Internal migration and ethnic groups: evidence for Britain from the 2001 Census", "type" : "article-journal", "volume" : "14" }, "uris" : [ "http://www.mendeley.com/documents/?uuid=33f05d48-5944-4e3f-8d5d-d6fbff6f51ce" ] } ], "mendeley" : { "formattedCitation" : "(Finney and Simpson, 2008)", "plainTextFormattedCitation" : "(Finney and Simpson, 2008)", "previouslyFormattedCitation" : "(Finney and Simpson, 2008)" }, "properties" : { "noteIndex" : 0 }, "schema" : "https://github.com/citation-style-language/schema/raw/master/csl-citation.json" }</w:instrText>
            </w:r>
            <w:r w:rsidRPr="00996B4A">
              <w:rPr>
                <w:rFonts w:asciiTheme="majorBidi" w:hAnsiTheme="majorBidi" w:cstheme="majorBidi"/>
              </w:rPr>
              <w:fldChar w:fldCharType="separate"/>
            </w:r>
            <w:r w:rsidRPr="00996B4A">
              <w:rPr>
                <w:rFonts w:asciiTheme="majorBidi" w:hAnsiTheme="majorBidi" w:cstheme="majorBidi"/>
                <w:noProof/>
              </w:rPr>
              <w:t>(Finney and Simpson, 2008)</w:t>
            </w:r>
            <w:r w:rsidRPr="00996B4A">
              <w:rPr>
                <w:rFonts w:asciiTheme="majorBidi" w:hAnsiTheme="majorBidi" w:cstheme="majorBidi"/>
              </w:rPr>
              <w:fldChar w:fldCharType="end"/>
            </w:r>
            <w:r w:rsidRPr="00996B4A">
              <w:rPr>
                <w:rFonts w:asciiTheme="majorBidi" w:hAnsiTheme="majorBidi" w:cstheme="majorBidi"/>
              </w:rPr>
              <w:t>.</w:t>
            </w:r>
          </w:p>
        </w:tc>
      </w:tr>
      <w:tr w:rsidR="00F47287" w:rsidRPr="00E26635" w14:paraId="095AFBA8" w14:textId="77777777" w:rsidTr="00842CB7">
        <w:tc>
          <w:tcPr>
            <w:tcW w:w="0" w:type="auto"/>
          </w:tcPr>
          <w:p w14:paraId="07C2392E" w14:textId="77777777" w:rsidR="00F47287" w:rsidRPr="00996B4A" w:rsidRDefault="00F47287" w:rsidP="00842CB7">
            <w:pPr>
              <w:rPr>
                <w:rFonts w:asciiTheme="majorBidi" w:hAnsiTheme="majorBidi" w:cstheme="majorBidi"/>
              </w:rPr>
            </w:pPr>
            <w:r w:rsidRPr="00996B4A">
              <w:rPr>
                <w:rFonts w:asciiTheme="majorBidi" w:hAnsiTheme="majorBidi" w:cstheme="majorBidi"/>
              </w:rPr>
              <w:t>Educational qualifications</w:t>
            </w:r>
          </w:p>
        </w:tc>
        <w:tc>
          <w:tcPr>
            <w:tcW w:w="3442" w:type="dxa"/>
          </w:tcPr>
          <w:p w14:paraId="411847A4" w14:textId="77777777" w:rsidR="00F47287" w:rsidRPr="00996B4A" w:rsidRDefault="00F47287" w:rsidP="00842CB7">
            <w:pPr>
              <w:rPr>
                <w:rFonts w:asciiTheme="majorBidi" w:hAnsiTheme="majorBidi" w:cstheme="majorBidi"/>
              </w:rPr>
            </w:pPr>
            <w:r w:rsidRPr="00996B4A">
              <w:rPr>
                <w:rFonts w:asciiTheme="majorBidi" w:hAnsiTheme="majorBidi" w:cstheme="majorBidi"/>
              </w:rPr>
              <w:t>0= none, 1= GCSE or apprenticeship, 2= A level, 3=Degree or higher</w:t>
            </w:r>
          </w:p>
        </w:tc>
        <w:tc>
          <w:tcPr>
            <w:tcW w:w="3918" w:type="dxa"/>
          </w:tcPr>
          <w:p w14:paraId="5B8145AE" w14:textId="77777777" w:rsidR="00F47287" w:rsidRPr="00996B4A" w:rsidRDefault="00F47287" w:rsidP="00842CB7">
            <w:pPr>
              <w:rPr>
                <w:rFonts w:asciiTheme="majorBidi" w:hAnsiTheme="majorBidi" w:cstheme="majorBidi"/>
              </w:rPr>
            </w:pPr>
            <w:r w:rsidRPr="00996B4A">
              <w:rPr>
                <w:rFonts w:asciiTheme="majorBidi" w:hAnsiTheme="majorBidi" w:cstheme="majorBidi"/>
              </w:rPr>
              <w:t xml:space="preserve">Higher educated </w:t>
            </w:r>
            <w:r w:rsidRPr="00996B4A">
              <w:rPr>
                <w:rFonts w:asciiTheme="majorBidi" w:hAnsiTheme="majorBidi" w:cstheme="majorBidi"/>
              </w:rPr>
              <w:fldChar w:fldCharType="begin" w:fldLock="1"/>
            </w:r>
            <w:r>
              <w:rPr>
                <w:rFonts w:asciiTheme="majorBidi" w:hAnsiTheme="majorBidi" w:cstheme="majorBidi"/>
              </w:rPr>
              <w:instrText>ADDIN CSL_CITATION { "citationItems" : [ { "id" : "ITEM-1", "itemData" : { "author" : [ { "dropping-particle" : "", "family" : "Fielding", "given" : "Tony", "non-dropping-particle" : "", "parse-names" : false, "suffix" : "" } ], "id" : "ITEM-1", "issued" : { "date-parts" : [ [ "2012" ] ] }, "publisher" : "Edward Elgar Publishing Ltd", "publisher-place" : "Cheltenham", "title" : "Migration in Britain: paradoxes of the present prospects for the future", "type" : "book" }, "uris" : [ "http://www.mendeley.com/documents/?uuid=dba10b68-dc99-4699-bbb1-99806eb4eca0" ] }, { "id" : "ITEM-2", "itemData" : { "DOI" : "10.1068/a130327p", "ISSN" : "0308-518X", "abstract" : "Using individual records from a large and geographically detailed national research opinion survey, this paper uniquely adopts a multilevel\ufffdcross-classified statistical framework to demonstrate the relative importance of individual and simultaneous origin/destination contextual (neighbourhood and city region) variations in the distance moved by residential migrants in England and Wales. The model results confirm distinct microlevel variations in the distance moved according to certain key variables such as household income, educational attainment, and housing tenure whilst simultaneously revealing the importance of substantial origin and destination place-based macrogeographic variations. More specifically, the results indicate the extent to which those out-migrants from the main metropolitan cores, together with those in-migrants to the rural/coastal (amenity-rich) destinations, move over considerably longer distances than the average distance of\ufffdmove. Keywords: residential mobility; origin and destination context; distance moved; cross-classified multilevel model; place-based preferences", "author" : [ { "dropping-particle" : "", "family" : "Thomas", "given" : "Michael", "non-dropping-particle" : "", "parse-names" : false, "suffix" : "" }, { "dropping-particle" : "", "family" : "Stillwell", "given" : "John", "non-dropping-particle" : "", "parse-names" : false, "suffix" : "" }, { "dropping-particle" : "", "family" : "Gould", "given" : "Myles", "non-dropping-particle" : "", "parse-names" : false, "suffix" : "" } ], "container-title" : "Environment and Planning A", "id" : "ITEM-2", "issue" : "4", "issued" : { "date-parts" : [ [ "2015", "4" ] ] }, "page" : "996-1014", "publisher" : "Pion Ltd", "title" : "Modelling multilevel variations in distance moved between origins and destinations in England and Wales", "type" : "article-journal", "volume" : "47" }, "uris" : [ "http://www.mendeley.com/documents/?uuid=eb19a348-fe77-427b-bb2d-455984a90ee9" ] }, { "id" : "ITEM-3", "itemData" : { "DOI" : "10.1002/(SICI)1099-1220(199709)3:3&lt;227::AID-IJPG69&gt;3.0.CO;2-W", "ISSN" : "1077-3495", "abstract" : "Various studies have confirmed that tenants in public (council) housing are more likely to migrate than owner-occupiers, but that they are less likely to move over long distances. This paper extends this work by considering the distance moved by one-year migrants using a multi-level modelling approach. Controlling for a range of socio-economic variables, derived from the 1991 British Census Sample of Anonymised Records (SAR), at both the individual and area level, the distance moved by household heads in public, privately rented and owner-occupied housing within Britain is assessed. Data on the proportion of households in a SAR area who live in council housing and the absolute reduction in this number between 1981 and 1991 were also examined. It is confirmed that migrants in public housing are less likely to migrate long distances than owner-occupiers and that the proportion of public housing in a SAR area, and the absolute reduction in public housing in a SAR area between 1981 and 1991, does not have a significant effect on the distance that in-migrants have moved. It appears that public housing has a significant effect on distance moved at the individual level but not at the area level. Modelling only those migrants who moved over 20 km suggests that there are no significant differences in the distance moved between those living in owner-occupied and public housing, but that area-level variables related to tenure are particularly important in explaining the distance moved. \u00a9 1997 John Wiley &amp; Sons, Ltd.", "author" : [ { "dropping-particle" : "", "family" : "Boyle", "given" : "Paul", "non-dropping-particle" : "", "parse-names" : false, "suffix" : "" }, { "dropping-particle" : "", "family" : "Shen", "given" : "Jianfa", "non-dropping-particle" : "", "parse-names" : false, "suffix" : "" } ], "container-title" : "International Journal of Population Geography", "id" : "ITEM-3", "issue" : "3", "issued" : { "date-parts" : [ [ "1997", "9", "1" ] ] }, "note" : "Uses the 1991 SARs to model distance migrated. Uses RI models, finds that middle aged (44+) are most likely to move further and those living in LA housing are moving shorter distances. HOWEVER startifying the sample to include only long distance migrants (20+km) uncovers no significant differences in the distance moved among private and LA tenants and parents/singles. The factors which determine the decision to move long distance are separate from the factors which determine the distance moved in a long distance move.", "page" : "227-242", "publisher" : "John Wiley &amp; Sons, Ltd.", "title" : "Public housing and migration: a multi-level modelling approach", "type" : "article-journal", "volume" : "3" }, "uris" : [ "http://www.mendeley.com/documents/?uuid=4d57f64b-442b-4eda-92b3-97f731f50b9b" ] }, { "id" : "ITEM-4", "itemData" : { "DOI" : "10.1068/a33164", "ISSN" : "0308-518X", "abstract" : "We review some of the work of the past ten years that applied the multi-level logit model. We attempt to provide a brief description of the hypothesis tested, the hierarchical data structure analyzed, and the multilevel data source for each piece of work we have reviewed. We have also reviewed the technical literature and worked out two examples on multilevel models for binary outcomes. The review and examples serve two purposes: First, they are designed to assist in all aspects of working with multilevel models for binary outcomes, including model conceptualization, model description for a research report, understanding of the structure of required multilevel data, estimation of the model via a generally available statistical package, and interpretation of the results. Second, our examples contribute to the evaluation of the approximation procedures for binary multilevel models that have been implemented for general public use. CR - Copyright &amp;#169; 2000 Annual Reviews", "author" : [ { "dropping-particle" : "", "family" : "Ham", "given" : "Maarten", "non-dropping-particle" : "van", "parse-names" : false, "suffix" : "" }, { "dropping-particle" : "", "family" : "Mulder", "given" : "Clara H", "non-dropping-particle" : "", "parse-names" : false, "suffix" : "" }, { "dropping-particle" : "", "family" : "Hooimeijer", "given" : "Pieter", "non-dropping-particle" : "", "parse-names" : false, "suffix" : "" } ], "container-title" : "Environment and Planning A", "id" : "ITEM-4", "issue" : "5", "issued" : { "date-parts" : [ [ "2001", "5", "1" ] ] }, "page" : "921-940", "publisher" : "Annual Reviews", "title" : "Spatial flexibility in job mobility: macrolevel opportunities and microlevel restrictions", "type" : "article-journal", "volume" : "33" }, "uris" : [ "http://www.mendeley.com/documents/?uuid=bc1c1200-93df-4c58-b84d-a4e0cee7af56" ] } ], "mendeley" : { "formattedCitation" : "(Boyle and Shen, 1997; van Ham &lt;i&gt;et al.&lt;/i&gt;, 2001; Fielding, 2012; Thomas &lt;i&gt;et al.&lt;/i&gt;, 2015)", "plainTextFormattedCitation" : "(Boyle and Shen, 1997; van Ham et al., 2001; Fielding, 2012; Thomas et al., 2015)", "previouslyFormattedCitation" : "(Boyle and Shen, 1997; van Ham &lt;i&gt;et al.&lt;/i&gt;, 2001; Fielding, 2012; Thomas &lt;i&gt;et al.&lt;/i&gt;, 2015)" }, "properties" : { "noteIndex" : 0 }, "schema" : "https://github.com/citation-style-language/schema/raw/master/csl-citation.json" }</w:instrText>
            </w:r>
            <w:r w:rsidRPr="00996B4A">
              <w:rPr>
                <w:rFonts w:asciiTheme="majorBidi" w:hAnsiTheme="majorBidi" w:cstheme="majorBidi"/>
              </w:rPr>
              <w:fldChar w:fldCharType="separate"/>
            </w:r>
            <w:r w:rsidRPr="00EA3427">
              <w:rPr>
                <w:rFonts w:asciiTheme="majorBidi" w:hAnsiTheme="majorBidi" w:cstheme="majorBidi"/>
                <w:noProof/>
              </w:rPr>
              <w:t xml:space="preserve">(Boyle and Shen, 1997; van Ham </w:t>
            </w:r>
            <w:r w:rsidRPr="00EA3427">
              <w:rPr>
                <w:rFonts w:asciiTheme="majorBidi" w:hAnsiTheme="majorBidi" w:cstheme="majorBidi"/>
                <w:i/>
                <w:noProof/>
              </w:rPr>
              <w:t>et al.</w:t>
            </w:r>
            <w:r w:rsidRPr="00EA3427">
              <w:rPr>
                <w:rFonts w:asciiTheme="majorBidi" w:hAnsiTheme="majorBidi" w:cstheme="majorBidi"/>
                <w:noProof/>
              </w:rPr>
              <w:t xml:space="preserve">, 2001; Fielding, 2012; Thomas </w:t>
            </w:r>
            <w:r w:rsidRPr="00EA3427">
              <w:rPr>
                <w:rFonts w:asciiTheme="majorBidi" w:hAnsiTheme="majorBidi" w:cstheme="majorBidi"/>
                <w:i/>
                <w:noProof/>
              </w:rPr>
              <w:t>et al.</w:t>
            </w:r>
            <w:r w:rsidRPr="00EA3427">
              <w:rPr>
                <w:rFonts w:asciiTheme="majorBidi" w:hAnsiTheme="majorBidi" w:cstheme="majorBidi"/>
                <w:noProof/>
              </w:rPr>
              <w:t>, 2015)</w:t>
            </w:r>
            <w:r w:rsidRPr="00996B4A">
              <w:rPr>
                <w:rFonts w:asciiTheme="majorBidi" w:hAnsiTheme="majorBidi" w:cstheme="majorBidi"/>
              </w:rPr>
              <w:fldChar w:fldCharType="end"/>
            </w:r>
            <w:r w:rsidRPr="00996B4A">
              <w:rPr>
                <w:rFonts w:asciiTheme="majorBidi" w:hAnsiTheme="majorBidi" w:cstheme="majorBidi"/>
              </w:rPr>
              <w:t>.</w:t>
            </w:r>
          </w:p>
        </w:tc>
      </w:tr>
      <w:tr w:rsidR="00F47287" w:rsidRPr="00E26635" w14:paraId="0BDA1D82" w14:textId="77777777" w:rsidTr="00842CB7">
        <w:tc>
          <w:tcPr>
            <w:tcW w:w="0" w:type="auto"/>
          </w:tcPr>
          <w:p w14:paraId="02750E89" w14:textId="77777777" w:rsidR="00F47287" w:rsidRPr="00996B4A" w:rsidRDefault="00F47287" w:rsidP="00842CB7">
            <w:pPr>
              <w:rPr>
                <w:rFonts w:asciiTheme="majorBidi" w:hAnsiTheme="majorBidi" w:cstheme="majorBidi"/>
              </w:rPr>
            </w:pPr>
            <w:r w:rsidRPr="00996B4A">
              <w:rPr>
                <w:rFonts w:asciiTheme="majorBidi" w:hAnsiTheme="majorBidi" w:cstheme="majorBidi"/>
              </w:rPr>
              <w:t>Tenure</w:t>
            </w:r>
          </w:p>
        </w:tc>
        <w:tc>
          <w:tcPr>
            <w:tcW w:w="3442" w:type="dxa"/>
          </w:tcPr>
          <w:p w14:paraId="5FBB6194" w14:textId="77777777" w:rsidR="00F47287" w:rsidRPr="00996B4A" w:rsidRDefault="00F47287" w:rsidP="00842CB7">
            <w:pPr>
              <w:rPr>
                <w:rFonts w:asciiTheme="majorBidi" w:hAnsiTheme="majorBidi" w:cstheme="majorBidi"/>
              </w:rPr>
            </w:pPr>
            <w:r w:rsidRPr="00996B4A">
              <w:rPr>
                <w:rFonts w:asciiTheme="majorBidi" w:hAnsiTheme="majorBidi" w:cstheme="majorBidi"/>
              </w:rPr>
              <w:t>0= private renter, 1= LA or Housing Association renter, 2= owner</w:t>
            </w:r>
          </w:p>
        </w:tc>
        <w:tc>
          <w:tcPr>
            <w:tcW w:w="3918" w:type="dxa"/>
          </w:tcPr>
          <w:p w14:paraId="329B535E" w14:textId="77777777" w:rsidR="00F47287" w:rsidRPr="00996B4A" w:rsidRDefault="00F47287" w:rsidP="00842CB7">
            <w:pPr>
              <w:rPr>
                <w:rFonts w:asciiTheme="majorBidi" w:hAnsiTheme="majorBidi" w:cstheme="majorBidi"/>
              </w:rPr>
            </w:pPr>
            <w:r w:rsidRPr="00996B4A">
              <w:rPr>
                <w:rFonts w:asciiTheme="majorBidi" w:hAnsiTheme="majorBidi" w:cstheme="majorBidi"/>
              </w:rPr>
              <w:t xml:space="preserve">Those in LA housing to move shorter distances </w:t>
            </w:r>
            <w:r w:rsidRPr="00996B4A">
              <w:rPr>
                <w:rFonts w:asciiTheme="majorBidi" w:hAnsiTheme="majorBidi" w:cstheme="majorBidi"/>
              </w:rPr>
              <w:fldChar w:fldCharType="begin" w:fldLock="1"/>
            </w:r>
            <w:r>
              <w:rPr>
                <w:rFonts w:asciiTheme="majorBidi" w:hAnsiTheme="majorBidi" w:cstheme="majorBidi"/>
              </w:rPr>
              <w:instrText>ADDIN CSL_CITATION { "citationItems" : [ { "id" : "ITEM-1", "itemData" : { "DOI" : "10.1007/s10901-012-9331-4", "ISSN" : "1566-4910", "author" : [ { "dropping-particle" : "", "family" : "Cho", "given" : "Youngha", "non-dropping-particle" : "", "parse-names" : false, "suffix" : "" }, { "dropping-particle" : "", "family" : "Whitehead", "given" : "Christine", "non-dropping-particle" : "", "parse-names" : false, "suffix" : "" } ], "container-title" : "Journal of Housing and the Built Environment", "id" : "ITEM-1", "issue" : "4", "issued" : { "date-parts" : [ [ "2013" ] ] }, "language" : "English", "note" : "Looks at the different factors predicting short (&amp;lt;5m) and long (&amp;gt;5m) distance migration, focusing on tenancy. Finds age and tenancy to be the two primary predictors of mobility. Used in the tVML paper justifying variable selection.", "page" : "705-726", "publisher" : "Springer Netherlands", "title" : "The immobility of social tenants: is it true? Does it matter?", "type" : "article-journal", "volume" : "28" }, "uris" : [ "http://www.mendeley.com/documents/?uuid=8d3e1188-bc22-4db1-ac40-db9e0b92fb49" ] }, { "id" : "ITEM-2", "itemData" : { "DOI" : "10.1068/a130327p", "ISSN" : "0308-518X", "abstract" : "Using individual records from a large and geographically detailed national research opinion survey, this paper uniquely adopts a multilevel\ufffdcross-classified statistical framework to demonstrate the relative importance of individual and simultaneous origin/destination contextual (neighbourhood and city region) variations in the distance moved by residential migrants in England and Wales. The model results confirm distinct microlevel variations in the distance moved according to certain key variables such as household income, educational attainment, and housing tenure whilst simultaneously revealing the importance of substantial origin and destination place-based macrogeographic variations. More specifically, the results indicate the extent to which those out-migrants from the main metropolitan cores, together with those in-migrants to the rural/coastal (amenity-rich) destinations, move over considerably longer distances than the average distance of\ufffdmove. Keywords: residential mobility; origin and destination context; distance moved; cross-classified multilevel model; place-based preferences", "author" : [ { "dropping-particle" : "", "family" : "Thomas", "given" : "Michael", "non-dropping-particle" : "", "parse-names" : false, "suffix" : "" }, { "dropping-particle" : "", "family" : "Stillwell", "given" : "John", "non-dropping-particle" : "", "parse-names" : false, "suffix" : "" }, { "dropping-particle" : "", "family" : "Gould", "given" : "Myles", "non-dropping-particle" : "", "parse-names" : false, "suffix" : "" } ], "container-title" : "Environment and Planning A", "id" : "ITEM-2", "issue" : "4", "issued" : { "date-parts" : [ [ "2015", "4" ] ] }, "page" : "996-1014", "publisher" : "Pion Ltd", "title" : "Modelling multilevel variations in distance moved between origins and destinations in England and Wales", "type" : "article-journal", "volume" : "47" }, "uris" : [ "http://www.mendeley.com/documents/?uuid=eb19a348-fe77-427b-bb2d-455984a90ee9" ] } ], "mendeley" : { "formattedCitation" : "(Cho and Whitehead, 2013; Thomas &lt;i&gt;et al.&lt;/i&gt;, 2015)", "plainTextFormattedCitation" : "(Cho and Whitehead, 2013; Thomas et al., 2015)", "previouslyFormattedCitation" : "(Cho and Whitehead, 2013; Thomas &lt;i&gt;et al.&lt;/i&gt;, 2015)" }, "properties" : { "noteIndex" : 0 }, "schema" : "https://github.com/citation-style-language/schema/raw/master/csl-citation.json" }</w:instrText>
            </w:r>
            <w:r w:rsidRPr="00996B4A">
              <w:rPr>
                <w:rFonts w:asciiTheme="majorBidi" w:hAnsiTheme="majorBidi" w:cstheme="majorBidi"/>
              </w:rPr>
              <w:fldChar w:fldCharType="separate"/>
            </w:r>
            <w:r w:rsidRPr="00A328DF">
              <w:rPr>
                <w:rFonts w:asciiTheme="majorBidi" w:hAnsiTheme="majorBidi" w:cstheme="majorBidi"/>
                <w:noProof/>
              </w:rPr>
              <w:t xml:space="preserve">(Cho and Whitehead, 2013; Thomas </w:t>
            </w:r>
            <w:r w:rsidRPr="00A328DF">
              <w:rPr>
                <w:rFonts w:asciiTheme="majorBidi" w:hAnsiTheme="majorBidi" w:cstheme="majorBidi"/>
                <w:i/>
                <w:noProof/>
              </w:rPr>
              <w:t>et al.</w:t>
            </w:r>
            <w:r w:rsidRPr="00A328DF">
              <w:rPr>
                <w:rFonts w:asciiTheme="majorBidi" w:hAnsiTheme="majorBidi" w:cstheme="majorBidi"/>
                <w:noProof/>
              </w:rPr>
              <w:t>, 2015)</w:t>
            </w:r>
            <w:r w:rsidRPr="00996B4A">
              <w:rPr>
                <w:rFonts w:asciiTheme="majorBidi" w:hAnsiTheme="majorBidi" w:cstheme="majorBidi"/>
              </w:rPr>
              <w:fldChar w:fldCharType="end"/>
            </w:r>
            <w:r w:rsidRPr="00996B4A">
              <w:rPr>
                <w:rFonts w:asciiTheme="majorBidi" w:hAnsiTheme="majorBidi" w:cstheme="majorBidi"/>
              </w:rPr>
              <w:t xml:space="preserve"> and private renters to move further </w:t>
            </w:r>
            <w:r w:rsidRPr="00996B4A">
              <w:rPr>
                <w:rFonts w:asciiTheme="majorBidi" w:hAnsiTheme="majorBidi" w:cstheme="majorBidi"/>
              </w:rPr>
              <w:fldChar w:fldCharType="begin" w:fldLock="1"/>
            </w:r>
            <w:r>
              <w:rPr>
                <w:rFonts w:asciiTheme="majorBidi" w:hAnsiTheme="majorBidi" w:cstheme="majorBidi"/>
              </w:rPr>
              <w:instrText>ADDIN CSL_CITATION { "citationItems" : [ { "id" : "ITEM-1", "itemData" : { "DOI" : "10.1002/(SICI)1099-1220(199709)3:3&lt;227::AID-IJPG69&gt;3.0.CO;2-W", "ISSN" : "1077-3495", "abstract" : "Various studies have confirmed that tenants in public (council) housing are more likely to migrate than owner-occupiers, but that they are less likely to move over long distances. This paper extends this work by considering the distance moved by one-year migrants using a multi-level modelling approach. Controlling for a range of socio-economic variables, derived from the 1991 British Census Sample of Anonymised Records (SAR), at both the individual and area level, the distance moved by household heads in public, privately rented and owner-occupied housing within Britain is assessed. Data on the proportion of households in a SAR area who live in council housing and the absolute reduction in this number between 1981 and 1991 were also examined. It is confirmed that migrants in public housing are less likely to migrate long distances than owner-occupiers and that the proportion of public housing in a SAR area, and the absolute reduction in public housing in a SAR area between 1981 and 1991, does not have a significant effect on the distance that in-migrants have moved. It appears that public housing has a significant effect on distance moved at the individual level but not at the area level. Modelling only those migrants who moved over 20 km suggests that there are no significant differences in the distance moved between those living in owner-occupied and public housing, but that area-level variables related to tenure are particularly important in explaining the distance moved. \u00a9 1997 John Wiley &amp; Sons, Ltd.", "author" : [ { "dropping-particle" : "", "family" : "Boyle", "given" : "Paul", "non-dropping-particle" : "", "parse-names" : false, "suffix" : "" }, { "dropping-particle" : "", "family" : "Shen", "given" : "Jianfa", "non-dropping-particle" : "", "parse-names" : false, "suffix" : "" } ], "container-title" : "International Journal of Population Geography", "id" : "ITEM-1", "issue" : "3", "issued" : { "date-parts" : [ [ "1997", "9", "1" ] ] }, "note" : "Uses the 1991 SARs to model distance migrated. Uses RI models, finds that middle aged (44+) are most likely to move further and those living in LA housing are moving shorter distances. HOWEVER startifying the sample to include only long distance migrants (20+km) uncovers no significant differences in the distance moved among private and LA tenants and parents/singles. The factors which determine the decision to move long distance are separate from the factors which determine the distance moved in a long distance move.", "page" : "227-242", "publisher" : "John Wiley &amp; Sons, Ltd.", "title" : "Public housing and migration: a multi-level modelling approach", "type" : "article-journal", "volume" : "3" }, "uris" : [ "http://www.mendeley.com/documents/?uuid=4d57f64b-442b-4eda-92b3-97f731f50b9b" ] }, { "id" : "ITEM-2", "itemData" : { "DOI" : "10.1007/s10901-012-9331-4", "ISSN" : "1566-4910", "author" : [ { "dropping-particle" : "", "family" : "Cho", "given" : "Youngha", "non-dropping-particle" : "", "parse-names" : false, "suffix" : "" }, { "dropping-particle" : "", "family" : "Whitehead", "given" : "Christine", "non-dropping-particle" : "", "parse-names" : false, "suffix" : "" } ], "container-title" : "Journal of Housing and the Built Environment", "id" : "ITEM-2", "issue" : "4", "issued" : { "date-parts" : [ [ "2013" ] ] }, "language" : "English", "note" : "Looks at the different factors predicting short (&amp;lt;5m) and long (&amp;gt;5m) distance migration, focusing on tenancy. Finds age and tenancy to be the two primary predictors of mobility. Used in the tVML paper justifying variable selection.", "page" : "705-726", "publisher" : "Springer Netherlands", "title" : "The immobility of social tenants: is it true? Does it matter?", "type" : "article-journal", "volume" : "28" }, "uris" : [ "http://www.mendeley.com/documents/?uuid=8d3e1188-bc22-4db1-ac40-db9e0b92fb49" ] } ], "mendeley" : { "formattedCitation" : "(Boyle and Shen, 1997; Cho and Whitehead, 2013)", "plainTextFormattedCitation" : "(Boyle and Shen, 1997; Cho and Whitehead, 2013)", "previouslyFormattedCitation" : "(Boyle and Shen, 1997; Cho and Whitehead, 2013)" }, "properties" : { "noteIndex" : 0 }, "schema" : "https://github.com/citation-style-language/schema/raw/master/csl-citation.json" }</w:instrText>
            </w:r>
            <w:r w:rsidRPr="00996B4A">
              <w:rPr>
                <w:rFonts w:asciiTheme="majorBidi" w:hAnsiTheme="majorBidi" w:cstheme="majorBidi"/>
              </w:rPr>
              <w:fldChar w:fldCharType="separate"/>
            </w:r>
            <w:r w:rsidRPr="00996B4A">
              <w:rPr>
                <w:rFonts w:asciiTheme="majorBidi" w:hAnsiTheme="majorBidi" w:cstheme="majorBidi"/>
                <w:noProof/>
              </w:rPr>
              <w:t>(Boyle and Shen, 1997; Cho and Whitehead, 2013)</w:t>
            </w:r>
            <w:r w:rsidRPr="00996B4A">
              <w:rPr>
                <w:rFonts w:asciiTheme="majorBidi" w:hAnsiTheme="majorBidi" w:cstheme="majorBidi"/>
              </w:rPr>
              <w:fldChar w:fldCharType="end"/>
            </w:r>
          </w:p>
        </w:tc>
      </w:tr>
      <w:tr w:rsidR="00F47287" w:rsidRPr="00E26635" w14:paraId="636A0F59" w14:textId="77777777" w:rsidTr="00842CB7">
        <w:tc>
          <w:tcPr>
            <w:tcW w:w="0" w:type="auto"/>
          </w:tcPr>
          <w:p w14:paraId="49AACE55" w14:textId="77777777" w:rsidR="00F47287" w:rsidRPr="00996B4A" w:rsidRDefault="00F47287" w:rsidP="00842CB7">
            <w:pPr>
              <w:rPr>
                <w:rFonts w:asciiTheme="majorBidi" w:hAnsiTheme="majorBidi" w:cstheme="majorBidi"/>
              </w:rPr>
            </w:pPr>
            <w:r w:rsidRPr="00996B4A">
              <w:rPr>
                <w:rFonts w:asciiTheme="majorBidi" w:hAnsiTheme="majorBidi" w:cstheme="majorBidi"/>
              </w:rPr>
              <w:t>Car access</w:t>
            </w:r>
          </w:p>
        </w:tc>
        <w:tc>
          <w:tcPr>
            <w:tcW w:w="3442" w:type="dxa"/>
          </w:tcPr>
          <w:p w14:paraId="38BA5F02" w14:textId="77777777" w:rsidR="00F47287" w:rsidRPr="00996B4A" w:rsidRDefault="00F47287" w:rsidP="00842CB7">
            <w:pPr>
              <w:rPr>
                <w:rFonts w:asciiTheme="majorBidi" w:hAnsiTheme="majorBidi" w:cstheme="majorBidi"/>
              </w:rPr>
            </w:pPr>
            <w:r w:rsidRPr="00996B4A">
              <w:rPr>
                <w:rFonts w:asciiTheme="majorBidi" w:hAnsiTheme="majorBidi" w:cstheme="majorBidi"/>
              </w:rPr>
              <w:t>0= none, 1= one car, 2= two or more cars</w:t>
            </w:r>
          </w:p>
        </w:tc>
        <w:tc>
          <w:tcPr>
            <w:tcW w:w="3918" w:type="dxa"/>
          </w:tcPr>
          <w:p w14:paraId="60DB982E" w14:textId="77777777" w:rsidR="00F47287" w:rsidRPr="00996B4A" w:rsidRDefault="00F47287" w:rsidP="00842CB7">
            <w:pPr>
              <w:rPr>
                <w:rFonts w:asciiTheme="majorBidi" w:hAnsiTheme="majorBidi" w:cstheme="majorBidi"/>
              </w:rPr>
            </w:pPr>
            <w:r w:rsidRPr="00996B4A">
              <w:rPr>
                <w:rFonts w:asciiTheme="majorBidi" w:hAnsiTheme="majorBidi" w:cstheme="majorBidi"/>
              </w:rPr>
              <w:t xml:space="preserve">Those with access to a car, as a proxy for wealth </w:t>
            </w:r>
            <w:r w:rsidRPr="00996B4A">
              <w:rPr>
                <w:rFonts w:asciiTheme="majorBidi" w:hAnsiTheme="majorBidi" w:cstheme="majorBidi"/>
              </w:rPr>
              <w:fldChar w:fldCharType="begin" w:fldLock="1"/>
            </w:r>
            <w:r>
              <w:rPr>
                <w:rFonts w:asciiTheme="majorBidi" w:hAnsiTheme="majorBidi" w:cstheme="majorBidi"/>
              </w:rPr>
              <w:instrText>ADDIN CSL_CITATION { "citationItems" : [ { "id" : "ITEM-1", "itemData" : { "DOI" : "10.1002/(SICI)1099-1220(199709)3:3&lt;227::AID-IJPG69&gt;3.0.CO;2-W", "ISSN" : "1077-3495", "abstract" : "Various studies have confirmed that tenants in public (council) housing are more likely to migrate than owner-occupiers, but that they are less likely to move over long distances. This paper extends this work by considering the distance moved by one-year migrants using a multi-level modelling approach. Controlling for a range of socio-economic variables, derived from the 1991 British Census Sample of Anonymised Records (SAR), at both the individual and area level, the distance moved by household heads in public, privately rented and owner-occupied housing within Britain is assessed. Data on the proportion of households in a SAR area who live in council housing and the absolute reduction in this number between 1981 and 1991 were also examined. It is confirmed that migrants in public housing are less likely to migrate long distances than owner-occupiers and that the proportion of public housing in a SAR area, and the absolute reduction in public housing in a SAR area between 1981 and 1991, does not have a significant effect on the distance that in-migrants have moved. It appears that public housing has a significant effect on distance moved at the individual level but not at the area level. Modelling only those migrants who moved over 20 km suggests that there are no significant differences in the distance moved between those living in owner-occupied and public housing, but that area-level variables related to tenure are particularly important in explaining the distance moved. \u00a9 1997 John Wiley &amp; Sons, Ltd.", "author" : [ { "dropping-particle" : "", "family" : "Boyle", "given" : "Paul", "non-dropping-particle" : "", "parse-names" : false, "suffix" : "" }, { "dropping-particle" : "", "family" : "Shen", "given" : "Jianfa", "non-dropping-particle" : "", "parse-names" : false, "suffix" : "" } ], "container-title" : "International Journal of Population Geography", "id" : "ITEM-1", "issue" : "3", "issued" : { "date-parts" : [ [ "1997", "9", "1" ] ] }, "note" : "Uses the 1991 SARs to model distance migrated. Uses RI models, finds that middle aged (44+) are most likely to move further and those living in LA housing are moving shorter distances. HOWEVER startifying the sample to include only long distance migrants (20+km) uncovers no significant differences in the distance moved among private and LA tenants and parents/singles. The factors which determine the decision to move long distance are separate from the factors which determine the distance moved in a long distance move.", "page" : "227-242", "publisher" : "John Wiley &amp; Sons, Ltd.", "title" : "Public housing and migration: a multi-level modelling approach", "type" : "article-journal", "volume" : "3" }, "uris" : [ "http://www.mendeley.com/documents/?uuid=4d57f64b-442b-4eda-92b3-97f731f50b9b" ] } ], "mendeley" : { "formattedCitation" : "(Boyle and Shen, 1997)", "plainTextFormattedCitation" : "(Boyle and Shen, 1997)", "previouslyFormattedCitation" : "(Boyle and Shen, 1997)" }, "properties" : { "noteIndex" : 0 }, "schema" : "https://github.com/citation-style-language/schema/raw/master/csl-citation.json" }</w:instrText>
            </w:r>
            <w:r w:rsidRPr="00996B4A">
              <w:rPr>
                <w:rFonts w:asciiTheme="majorBidi" w:hAnsiTheme="majorBidi" w:cstheme="majorBidi"/>
              </w:rPr>
              <w:fldChar w:fldCharType="separate"/>
            </w:r>
            <w:r w:rsidRPr="00996B4A">
              <w:rPr>
                <w:rFonts w:asciiTheme="majorBidi" w:hAnsiTheme="majorBidi" w:cstheme="majorBidi"/>
                <w:noProof/>
              </w:rPr>
              <w:t>(Boyle and Shen, 1997)</w:t>
            </w:r>
            <w:r w:rsidRPr="00996B4A">
              <w:rPr>
                <w:rFonts w:asciiTheme="majorBidi" w:hAnsiTheme="majorBidi" w:cstheme="majorBidi"/>
              </w:rPr>
              <w:fldChar w:fldCharType="end"/>
            </w:r>
          </w:p>
        </w:tc>
      </w:tr>
      <w:tr w:rsidR="00F47287" w:rsidRPr="00E26635" w14:paraId="4E1FC9F3" w14:textId="77777777" w:rsidTr="00842CB7">
        <w:tc>
          <w:tcPr>
            <w:tcW w:w="0" w:type="auto"/>
          </w:tcPr>
          <w:p w14:paraId="76DBC616" w14:textId="77777777" w:rsidR="00F47287" w:rsidRPr="00996B4A" w:rsidRDefault="00F47287" w:rsidP="00842CB7">
            <w:pPr>
              <w:rPr>
                <w:rFonts w:asciiTheme="majorBidi" w:hAnsiTheme="majorBidi" w:cstheme="majorBidi"/>
              </w:rPr>
            </w:pPr>
            <w:r w:rsidRPr="00996B4A">
              <w:rPr>
                <w:rFonts w:asciiTheme="majorBidi" w:hAnsiTheme="majorBidi" w:cstheme="majorBidi"/>
              </w:rPr>
              <w:t>Employment status</w:t>
            </w:r>
          </w:p>
        </w:tc>
        <w:tc>
          <w:tcPr>
            <w:tcW w:w="3442" w:type="dxa"/>
          </w:tcPr>
          <w:p w14:paraId="684B2463" w14:textId="77777777" w:rsidR="00F47287" w:rsidRPr="00996B4A" w:rsidRDefault="00F47287" w:rsidP="00842CB7">
            <w:pPr>
              <w:rPr>
                <w:rFonts w:asciiTheme="majorBidi" w:hAnsiTheme="majorBidi" w:cstheme="majorBidi"/>
              </w:rPr>
            </w:pPr>
            <w:r w:rsidRPr="00996B4A">
              <w:rPr>
                <w:rFonts w:asciiTheme="majorBidi" w:hAnsiTheme="majorBidi" w:cstheme="majorBidi"/>
              </w:rPr>
              <w:t>0= employed, 1= unemployed, 2= economically inactive</w:t>
            </w:r>
          </w:p>
        </w:tc>
        <w:tc>
          <w:tcPr>
            <w:tcW w:w="3918" w:type="dxa"/>
          </w:tcPr>
          <w:p w14:paraId="25BFE779" w14:textId="77777777" w:rsidR="00F47287" w:rsidRPr="00996B4A" w:rsidRDefault="00F47287" w:rsidP="00842CB7">
            <w:pPr>
              <w:rPr>
                <w:rFonts w:asciiTheme="majorBidi" w:hAnsiTheme="majorBidi" w:cstheme="majorBidi"/>
              </w:rPr>
            </w:pPr>
            <w:r w:rsidRPr="00996B4A">
              <w:rPr>
                <w:rFonts w:asciiTheme="majorBidi" w:hAnsiTheme="majorBidi" w:cstheme="majorBidi"/>
              </w:rPr>
              <w:t xml:space="preserve">Economically inactive move further than the employed, whilst the </w:t>
            </w:r>
            <w:r w:rsidRPr="00996B4A">
              <w:rPr>
                <w:rFonts w:asciiTheme="majorBidi" w:hAnsiTheme="majorBidi" w:cstheme="majorBidi"/>
              </w:rPr>
              <w:lastRenderedPageBreak/>
              <w:t xml:space="preserve">unemployed move the furthest </w:t>
            </w:r>
            <w:r w:rsidRPr="00996B4A">
              <w:rPr>
                <w:rFonts w:asciiTheme="majorBidi" w:hAnsiTheme="majorBidi" w:cstheme="majorBidi"/>
              </w:rPr>
              <w:fldChar w:fldCharType="begin" w:fldLock="1"/>
            </w:r>
            <w:r>
              <w:rPr>
                <w:rFonts w:asciiTheme="majorBidi" w:hAnsiTheme="majorBidi" w:cstheme="majorBidi"/>
              </w:rPr>
              <w:instrText>ADDIN CSL_CITATION { "citationItems" : [ { "id" : "ITEM-1", "itemData" : { "DOI" : "10.1068/a130327p", "ISSN" : "0308-518X", "abstract" : "Using individual records from a large and geographically detailed national research opinion survey, this paper uniquely adopts a multilevel\ufffdcross-classified statistical framework to demonstrate the relative importance of individual and simultaneous origin/destination contextual (neighbourhood and city region) variations in the distance moved by residential migrants in England and Wales. The model results confirm distinct microlevel variations in the distance moved according to certain key variables such as household income, educational attainment, and housing tenure whilst simultaneously revealing the importance of substantial origin and destination place-based macrogeographic variations. More specifically, the results indicate the extent to which those out-migrants from the main metropolitan cores, together with those in-migrants to the rural/coastal (amenity-rich) destinations, move over considerably longer distances than the average distance of\ufffdmove. Keywords: residential mobility; origin and destination context; distance moved; cross-classified multilevel model; place-based preferences", "author" : [ { "dropping-particle" : "", "family" : "Thomas", "given" : "Michael", "non-dropping-particle" : "", "parse-names" : false, "suffix" : "" }, { "dropping-particle" : "", "family" : "Stillwell", "given" : "John", "non-dropping-particle" : "", "parse-names" : false, "suffix" : "" }, { "dropping-particle" : "", "family" : "Gould", "given" : "Myles", "non-dropping-particle" : "", "parse-names" : false, "suffix" : "" } ], "container-title" : "Environment and Planning A", "id" : "ITEM-1", "issue" : "4", "issued" : { "date-parts" : [ [ "2015", "4" ] ] }, "page" : "996-1014", "publisher" : "Pion Ltd", "title" : "Modelling multilevel variations in distance moved between origins and destinations in England and Wales", "type" : "article-journal", "volume" : "47" }, "uris" : [ "http://www.mendeley.com/documents/?uuid=eb19a348-fe77-427b-bb2d-455984a90ee9" ] }, { "id" : "ITEM-2", "itemData" : { "DOI" : "10.1002/(SICI)1099-1220(199709)3:3&lt;227::AID-IJPG69&gt;3.0.CO;2-W", "ISSN" : "1077-3495", "abstract" : "Various studies have confirmed that tenants in public (council) housing are more likely to migrate than owner-occupiers, but that they are less likely to move over long distances. This paper extends this work by considering the distance moved by one-year migrants using a multi-level modelling approach. Controlling for a range of socio-economic variables, derived from the 1991 British Census Sample of Anonymised Records (SAR), at both the individual and area level, the distance moved by household heads in public, privately rented and owner-occupied housing within Britain is assessed. Data on the proportion of households in a SAR area who live in council housing and the absolute reduction in this number between 1981 and 1991 were also examined. It is confirmed that migrants in public housing are less likely to migrate long distances than owner-occupiers and that the proportion of public housing in a SAR area, and the absolute reduction in public housing in a SAR area between 1981 and 1991, does not have a significant effect on the distance that in-migrants have moved. It appears that public housing has a significant effect on distance moved at the individual level but not at the area level. Modelling only those migrants who moved over 20 km suggests that there are no significant differences in the distance moved between those living in owner-occupied and public housing, but that area-level variables related to tenure are particularly important in explaining the distance moved. \u00a9 1997 John Wiley &amp; Sons, Ltd.", "author" : [ { "dropping-particle" : "", "family" : "Boyle", "given" : "Paul", "non-dropping-particle" : "", "parse-names" : false, "suffix" : "" }, { "dropping-particle" : "", "family" : "Shen", "given" : "Jianfa", "non-dropping-particle" : "", "parse-names" : false, "suffix" : "" } ], "container-title" : "International Journal of Population Geography", "id" : "ITEM-2", "issue" : "3", "issued" : { "date-parts" : [ [ "1997", "9", "1" ] ] }, "note" : "Uses the 1991 SARs to model distance migrated. Uses RI models, finds that middle aged (44+) are most likely to move further and those living in LA housing are moving shorter distances. HOWEVER startifying the sample to include only long distance migrants (20+km) uncovers no significant differences in the distance moved among private and LA tenants and parents/singles. The factors which determine the decision to move long distance are separate from the factors which determine the distance moved in a long distance move.", "page" : "227-242", "publisher" : "John Wiley &amp; Sons, Ltd.", "title" : "Public housing and migration: a multi-level modelling approach", "type" : "article-journal", "volume" : "3" }, "uris" : [ "http://www.mendeley.com/documents/?uuid=4d57f64b-442b-4eda-92b3-97f731f50b9b" ] } ], "mendeley" : { "formattedCitation" : "(Boyle and Shen, 1997; Thomas &lt;i&gt;et al.&lt;/i&gt;, 2015)", "plainTextFormattedCitation" : "(Boyle and Shen, 1997; Thomas et al., 2015)", "previouslyFormattedCitation" : "(Boyle and Shen, 1997; Thomas &lt;i&gt;et al.&lt;/i&gt;, 2015)" }, "properties" : { "noteIndex" : 0 }, "schema" : "https://github.com/citation-style-language/schema/raw/master/csl-citation.json" }</w:instrText>
            </w:r>
            <w:r w:rsidRPr="00996B4A">
              <w:rPr>
                <w:rFonts w:asciiTheme="majorBidi" w:hAnsiTheme="majorBidi" w:cstheme="majorBidi"/>
              </w:rPr>
              <w:fldChar w:fldCharType="separate"/>
            </w:r>
            <w:r w:rsidRPr="00A328DF">
              <w:rPr>
                <w:rFonts w:asciiTheme="majorBidi" w:hAnsiTheme="majorBidi" w:cstheme="majorBidi"/>
                <w:noProof/>
              </w:rPr>
              <w:t xml:space="preserve">(Boyle and Shen, 1997; Thomas </w:t>
            </w:r>
            <w:r w:rsidRPr="00A328DF">
              <w:rPr>
                <w:rFonts w:asciiTheme="majorBidi" w:hAnsiTheme="majorBidi" w:cstheme="majorBidi"/>
                <w:i/>
                <w:noProof/>
              </w:rPr>
              <w:t>et al.</w:t>
            </w:r>
            <w:r w:rsidRPr="00A328DF">
              <w:rPr>
                <w:rFonts w:asciiTheme="majorBidi" w:hAnsiTheme="majorBidi" w:cstheme="majorBidi"/>
                <w:noProof/>
              </w:rPr>
              <w:t>, 2015)</w:t>
            </w:r>
            <w:r w:rsidRPr="00996B4A">
              <w:rPr>
                <w:rFonts w:asciiTheme="majorBidi" w:hAnsiTheme="majorBidi" w:cstheme="majorBidi"/>
              </w:rPr>
              <w:fldChar w:fldCharType="end"/>
            </w:r>
            <w:r w:rsidRPr="00996B4A">
              <w:rPr>
                <w:rFonts w:asciiTheme="majorBidi" w:hAnsiTheme="majorBidi" w:cstheme="majorBidi"/>
              </w:rPr>
              <w:t>.</w:t>
            </w:r>
          </w:p>
        </w:tc>
      </w:tr>
      <w:tr w:rsidR="00F47287" w:rsidRPr="00E26635" w14:paraId="25D7EA2F" w14:textId="77777777" w:rsidTr="00842CB7">
        <w:tc>
          <w:tcPr>
            <w:tcW w:w="0" w:type="auto"/>
          </w:tcPr>
          <w:p w14:paraId="34934393" w14:textId="77777777" w:rsidR="00F47287" w:rsidRPr="00996B4A" w:rsidRDefault="00F47287" w:rsidP="00842CB7">
            <w:pPr>
              <w:rPr>
                <w:rFonts w:asciiTheme="majorBidi" w:hAnsiTheme="majorBidi" w:cstheme="majorBidi"/>
              </w:rPr>
            </w:pPr>
            <w:r w:rsidRPr="00996B4A">
              <w:rPr>
                <w:rFonts w:asciiTheme="majorBidi" w:hAnsiTheme="majorBidi" w:cstheme="majorBidi"/>
              </w:rPr>
              <w:lastRenderedPageBreak/>
              <w:t>Wholly moving households</w:t>
            </w:r>
          </w:p>
        </w:tc>
        <w:tc>
          <w:tcPr>
            <w:tcW w:w="3442" w:type="dxa"/>
          </w:tcPr>
          <w:p w14:paraId="10941F25" w14:textId="77777777" w:rsidR="00F47287" w:rsidRPr="00996B4A" w:rsidRDefault="00F47287" w:rsidP="00842CB7">
            <w:pPr>
              <w:rPr>
                <w:rFonts w:asciiTheme="majorBidi" w:hAnsiTheme="majorBidi" w:cstheme="majorBidi"/>
              </w:rPr>
            </w:pPr>
            <w:r w:rsidRPr="00996B4A">
              <w:rPr>
                <w:rFonts w:asciiTheme="majorBidi" w:hAnsiTheme="majorBidi" w:cstheme="majorBidi"/>
              </w:rPr>
              <w:t>0= partially moving household 1= wholly moving household</w:t>
            </w:r>
          </w:p>
        </w:tc>
        <w:tc>
          <w:tcPr>
            <w:tcW w:w="3918" w:type="dxa"/>
          </w:tcPr>
          <w:p w14:paraId="1D7B7F86" w14:textId="77777777" w:rsidR="00F47287" w:rsidRPr="00996B4A" w:rsidRDefault="00F47287" w:rsidP="00842CB7">
            <w:pPr>
              <w:rPr>
                <w:rFonts w:asciiTheme="majorBidi" w:hAnsiTheme="majorBidi" w:cstheme="majorBidi"/>
              </w:rPr>
            </w:pPr>
            <w:r w:rsidRPr="00996B4A">
              <w:rPr>
                <w:rFonts w:asciiTheme="majorBidi" w:hAnsiTheme="majorBidi" w:cstheme="majorBidi"/>
              </w:rPr>
              <w:t xml:space="preserve">Partial movers </w:t>
            </w:r>
            <w:r w:rsidRPr="00996B4A">
              <w:rPr>
                <w:rFonts w:asciiTheme="majorBidi" w:hAnsiTheme="majorBidi" w:cstheme="majorBidi"/>
              </w:rPr>
              <w:fldChar w:fldCharType="begin" w:fldLock="1"/>
            </w:r>
            <w:r w:rsidRPr="00996B4A">
              <w:rPr>
                <w:rFonts w:asciiTheme="majorBidi" w:hAnsiTheme="majorBidi" w:cstheme="majorBidi"/>
              </w:rPr>
              <w:instrText>ADDIN CSL_CITATION { "citationItems" : [ { "id" : "ITEM-1", "itemData" : { "DOI" : "10.1007/s10901-012-9331-4", "ISSN" : "1566-4910", "author" : [ { "dropping-particle" : "", "family" : "Cho", "given" : "Youngha", "non-dropping-particle" : "", "parse-names" : false, "suffix" : "" }, { "dropping-particle" : "", "family" : "Whitehead", "given" : "Christine", "non-dropping-particle" : "", "parse-names" : false, "suffix" : "" } ], "container-title" : "Journal of Housing and the Built Environment", "id" : "ITEM-1", "issue" : "4", "issued" : { "date-parts" : [ [ "2013" ] ] }, "language" : "English", "note" : "Looks at the different factors predicting short (&amp;lt;5m) and long (&amp;gt;5m) distance migration, focusing on tenancy. Finds age and tenancy to be the two primary predictors of mobility. Used in the tVML paper justifying variable selection.", "page" : "705-726", "publisher" : "Springer Netherlands", "title" : "The immobility of social tenants: is it true? Does it matter?", "type" : "article-journal", "volume" : "28" }, "uris" : [ "http://www.mendeley.com/documents/?uuid=8d3e1188-bc22-4db1-ac40-db9e0b92fb49" ] } ], "mendeley" : { "formattedCitation" : "(Cho and Whitehead, 2013)", "plainTextFormattedCitation" : "(Cho and Whitehead, 2013)", "previouslyFormattedCitation" : "(Cho and Whitehead, 2013)" }, "properties" : { "noteIndex" : 0 }, "schema" : "https://github.com/citation-style-language/schema/raw/master/csl-citation.json" }</w:instrText>
            </w:r>
            <w:r w:rsidRPr="00996B4A">
              <w:rPr>
                <w:rFonts w:asciiTheme="majorBidi" w:hAnsiTheme="majorBidi" w:cstheme="majorBidi"/>
              </w:rPr>
              <w:fldChar w:fldCharType="separate"/>
            </w:r>
            <w:r w:rsidRPr="00996B4A">
              <w:rPr>
                <w:rFonts w:asciiTheme="majorBidi" w:hAnsiTheme="majorBidi" w:cstheme="majorBidi"/>
                <w:noProof/>
              </w:rPr>
              <w:t>(Cho and Whitehead, 2013)</w:t>
            </w:r>
            <w:r w:rsidRPr="00996B4A">
              <w:rPr>
                <w:rFonts w:asciiTheme="majorBidi" w:hAnsiTheme="majorBidi" w:cstheme="majorBidi"/>
              </w:rPr>
              <w:fldChar w:fldCharType="end"/>
            </w:r>
            <w:r w:rsidRPr="00996B4A">
              <w:rPr>
                <w:rFonts w:asciiTheme="majorBidi" w:hAnsiTheme="majorBidi" w:cstheme="majorBidi"/>
              </w:rPr>
              <w:t>.</w:t>
            </w:r>
          </w:p>
        </w:tc>
      </w:tr>
      <w:tr w:rsidR="00F47287" w:rsidRPr="00E26635" w14:paraId="18B3BD26" w14:textId="77777777" w:rsidTr="00842CB7">
        <w:tc>
          <w:tcPr>
            <w:tcW w:w="0" w:type="auto"/>
          </w:tcPr>
          <w:p w14:paraId="673FD0E2" w14:textId="77777777" w:rsidR="00F47287" w:rsidRPr="00996B4A" w:rsidRDefault="00F47287" w:rsidP="00842CB7">
            <w:pPr>
              <w:rPr>
                <w:rFonts w:asciiTheme="majorBidi" w:hAnsiTheme="majorBidi" w:cstheme="majorBidi"/>
              </w:rPr>
            </w:pPr>
            <w:r w:rsidRPr="00996B4A">
              <w:rPr>
                <w:rFonts w:asciiTheme="majorBidi" w:hAnsiTheme="majorBidi" w:cstheme="majorBidi"/>
              </w:rPr>
              <w:t>Interactions</w:t>
            </w:r>
          </w:p>
        </w:tc>
        <w:tc>
          <w:tcPr>
            <w:tcW w:w="3442" w:type="dxa"/>
          </w:tcPr>
          <w:p w14:paraId="163D56B4" w14:textId="77777777" w:rsidR="00F47287" w:rsidRPr="00996B4A" w:rsidRDefault="00F47287" w:rsidP="00842CB7">
            <w:pPr>
              <w:rPr>
                <w:rFonts w:asciiTheme="majorBidi" w:hAnsiTheme="majorBidi" w:cstheme="majorBidi"/>
              </w:rPr>
            </w:pPr>
            <w:r w:rsidRPr="00996B4A">
              <w:rPr>
                <w:rFonts w:asciiTheme="majorBidi" w:hAnsiTheme="majorBidi" w:cstheme="majorBidi"/>
              </w:rPr>
              <w:t>Age and gender interactions</w:t>
            </w:r>
          </w:p>
          <w:p w14:paraId="4A3400BF" w14:textId="77777777" w:rsidR="00F47287" w:rsidRPr="00996B4A" w:rsidRDefault="00F47287" w:rsidP="00842CB7">
            <w:pPr>
              <w:rPr>
                <w:rFonts w:asciiTheme="majorBidi" w:hAnsiTheme="majorBidi" w:cstheme="majorBidi"/>
              </w:rPr>
            </w:pPr>
            <w:r w:rsidRPr="00996B4A">
              <w:rPr>
                <w:rFonts w:asciiTheme="majorBidi" w:hAnsiTheme="majorBidi" w:cstheme="majorBidi"/>
              </w:rPr>
              <w:t>Age and LLTI interactions</w:t>
            </w:r>
          </w:p>
        </w:tc>
        <w:tc>
          <w:tcPr>
            <w:tcW w:w="3918" w:type="dxa"/>
          </w:tcPr>
          <w:p w14:paraId="480D728F" w14:textId="77777777" w:rsidR="00F47287" w:rsidRPr="00996B4A" w:rsidRDefault="00F47287" w:rsidP="00842CB7">
            <w:pPr>
              <w:rPr>
                <w:rFonts w:asciiTheme="majorBidi" w:hAnsiTheme="majorBidi" w:cstheme="majorBidi"/>
              </w:rPr>
            </w:pPr>
            <w:r w:rsidRPr="00996B4A">
              <w:rPr>
                <w:rFonts w:asciiTheme="majorBidi" w:hAnsiTheme="majorBidi" w:cstheme="majorBidi"/>
              </w:rPr>
              <w:t xml:space="preserve">Younger women to be more likely to move long distance </w:t>
            </w:r>
            <w:r w:rsidRPr="00996B4A">
              <w:rPr>
                <w:rFonts w:asciiTheme="majorBidi" w:hAnsiTheme="majorBidi" w:cstheme="majorBidi"/>
              </w:rPr>
              <w:fldChar w:fldCharType="begin" w:fldLock="1"/>
            </w:r>
            <w:r>
              <w:rPr>
                <w:rFonts w:asciiTheme="majorBidi" w:hAnsiTheme="majorBidi" w:cstheme="majorBidi"/>
              </w:rPr>
              <w:instrText>ADDIN CSL_CITATION { "citationItems" : [ { "id" : "ITEM-1", "itemData" : { "DOI" : "10.5565/rev/dag.235", "ISSN" : "2014-4512", "abstract" : "This paper is situated in the emerging literature on minority/immigrant internal migration which grew from questions about the population dynamics behind ethnic residential segregation. This work has revealed both that migration within Britain is creating ethnic mixing and that there are considerable ethnic differences in levels and geographies of residential mobility. This paper contributes to our understanding of these differences by examining how being a student is related to residential mobility for different ethnic groups. It suggests that different residential decisions and migration norms at the point of entry into higher education partly explain ethnic differences in mobility. Using 2001 Census microdata (Sample of Anonymised Records), the paper finds that minority ethnic students are less mobile than their White counterparts, that being a student increases the probability of migrating for White British and Chinese young adults but decreases the probability of migrating for Pakistani and Black African young adults, and particularly so for Pakistani females. Given that it is common to migrate away from home for University study in Britain, this raises questions about equality of access to Higher Education. The examination of mobility in relation to key life events in young adulthood enables debates about ethnic geographies to move beyond the concern with segregation. The paper concludes with challenges for further research and a discussion of the policy implications of the findings in the context of current changes to Higher Education funding in the UK.", "author" : [ { "dropping-particle" : "", "family" : "Finney", "given" : "Nissa", "non-dropping-particle" : "", "parse-names" : false, "suffix" : "" } ], "container-title" : "Documents d'An\u00e0lisi Geogr\u00e0fica", "id" : "ITEM-1", "issue" : "3", "issued" : { "date-parts" : [ [ "2011", "10", "17" ] ] }, "note" : "Uses the 2001 Census SARs to quantify student mobility according to ethnic group. Reviews the mobility decision making of students and differentiates 'contingent' and 'embedded', the former being constrained by finance short term narratives and a lack of social capital. Compared the mobility rates of the sample and the mobility rates of students.", "page" : "413", "title" : "Educational constraints of immobility? Examining ethnic differences in student migration in Britain using Census microdata", "type" : "article-journal", "volume" : "57" }, "uris" : [ "http://www.mendeley.com/documents/?uuid=ab4b8f03-a2c3-4a7c-a668-2c97d74b10e0" ] } ], "mendeley" : { "formattedCitation" : "(Finney, 2011)", "plainTextFormattedCitation" : "(Finney, 2011)", "previouslyFormattedCitation" : "(Finney, 2011)" }, "properties" : { "noteIndex" : 0 }, "schema" : "https://github.com/citation-style-language/schema/raw/master/csl-citation.json" }</w:instrText>
            </w:r>
            <w:r w:rsidRPr="00996B4A">
              <w:rPr>
                <w:rFonts w:asciiTheme="majorBidi" w:hAnsiTheme="majorBidi" w:cstheme="majorBidi"/>
              </w:rPr>
              <w:fldChar w:fldCharType="separate"/>
            </w:r>
            <w:r w:rsidRPr="00996B4A">
              <w:rPr>
                <w:rFonts w:asciiTheme="majorBidi" w:hAnsiTheme="majorBidi" w:cstheme="majorBidi"/>
                <w:noProof/>
              </w:rPr>
              <w:t>(Finney, 2011)</w:t>
            </w:r>
            <w:r w:rsidRPr="00996B4A">
              <w:rPr>
                <w:rFonts w:asciiTheme="majorBidi" w:hAnsiTheme="majorBidi" w:cstheme="majorBidi"/>
              </w:rPr>
              <w:fldChar w:fldCharType="end"/>
            </w:r>
            <w:r w:rsidRPr="00996B4A">
              <w:rPr>
                <w:rFonts w:asciiTheme="majorBidi" w:hAnsiTheme="majorBidi" w:cstheme="majorBidi"/>
              </w:rPr>
              <w:t>.</w:t>
            </w:r>
          </w:p>
          <w:p w14:paraId="46F0A341" w14:textId="77777777" w:rsidR="00F47287" w:rsidRPr="00996B4A" w:rsidRDefault="00F47287" w:rsidP="00842CB7">
            <w:pPr>
              <w:rPr>
                <w:rFonts w:asciiTheme="majorBidi" w:hAnsiTheme="majorBidi" w:cstheme="majorBidi"/>
              </w:rPr>
            </w:pPr>
            <w:r w:rsidRPr="00996B4A">
              <w:rPr>
                <w:rFonts w:asciiTheme="majorBidi" w:hAnsiTheme="majorBidi" w:cstheme="majorBidi"/>
              </w:rPr>
              <w:t xml:space="preserve">Young adults without an LLTI to be more likely to move long distance </w:t>
            </w:r>
            <w:r w:rsidRPr="00996B4A">
              <w:rPr>
                <w:rFonts w:asciiTheme="majorBidi" w:hAnsiTheme="majorBidi" w:cstheme="majorBidi"/>
              </w:rPr>
              <w:fldChar w:fldCharType="begin" w:fldLock="1"/>
            </w:r>
            <w:r>
              <w:rPr>
                <w:rFonts w:asciiTheme="majorBidi" w:hAnsiTheme="majorBidi" w:cstheme="majorBidi"/>
              </w:rPr>
              <w:instrText>ADDIN CSL_CITATION { "citationItems" : [ { "id" : "ITEM-1", "itemData" : { "DOI" : "10.1016/0277-9536(88)90044-5", "author" : [ { "dropping-particle" : "", "family" : "Bentham", "given" : "Graham", "non-dropping-particle" : "", "parse-names" : false, "suffix" : "" } ], "container-title" : "Social science &amp; medicine", "id" : "ITEM-1", "issue" : "1", "issued" : { "date-parts" : [ [ "1988" ] ] }, "note" : "Discusses self-reported morvidity from the 1981 census. Found that young migrants moving long distances were relatively healthy - in areas with high out-migraiton we would therefore expect the young to be unhealthy and the opposite in areas with high in-migration. Amongst older people migration is negative-health selective moving shorter distance to be closer to medical care. So relatively benefiical environments with good health services might be disproportionately occupied by the sick.", "page" : "49-54", "title" : "Migration and morbidity: implications for geographical studies of disease", "type" : "article-journal", "volume" : "26" }, "uris" : [ "http://www.mendeley.com/documents/?uuid=f57c4cb0-1ae6-4cc4-b923-7f60ab98f42b" ] } ], "mendeley" : { "formattedCitation" : "(Bentham, 1988)", "plainTextFormattedCitation" : "(Bentham, 1988)", "previouslyFormattedCitation" : "(Bentham, 1988)" }, "properties" : { "noteIndex" : 0 }, "schema" : "https://github.com/citation-style-language/schema/raw/master/csl-citation.json" }</w:instrText>
            </w:r>
            <w:r w:rsidRPr="00996B4A">
              <w:rPr>
                <w:rFonts w:asciiTheme="majorBidi" w:hAnsiTheme="majorBidi" w:cstheme="majorBidi"/>
              </w:rPr>
              <w:fldChar w:fldCharType="separate"/>
            </w:r>
            <w:r w:rsidRPr="00996B4A">
              <w:rPr>
                <w:rFonts w:asciiTheme="majorBidi" w:hAnsiTheme="majorBidi" w:cstheme="majorBidi"/>
                <w:noProof/>
              </w:rPr>
              <w:t>(Bentham, 1988)</w:t>
            </w:r>
            <w:r w:rsidRPr="00996B4A">
              <w:rPr>
                <w:rFonts w:asciiTheme="majorBidi" w:hAnsiTheme="majorBidi" w:cstheme="majorBidi"/>
              </w:rPr>
              <w:fldChar w:fldCharType="end"/>
            </w:r>
            <w:r w:rsidRPr="00996B4A">
              <w:rPr>
                <w:rFonts w:asciiTheme="majorBidi" w:hAnsiTheme="majorBidi" w:cstheme="majorBidi"/>
              </w:rPr>
              <w:t>.</w:t>
            </w:r>
          </w:p>
        </w:tc>
      </w:tr>
    </w:tbl>
    <w:p w14:paraId="210B4877" w14:textId="77777777" w:rsidR="00F47287" w:rsidRDefault="00F47287" w:rsidP="00F47287"/>
    <w:p w14:paraId="37E5206C" w14:textId="4B4F32A7" w:rsidR="00F47287" w:rsidRDefault="00F47287" w:rsidP="001F1073">
      <w:pPr>
        <w:pStyle w:val="Heading1"/>
      </w:pPr>
      <w:r>
        <w:t>Table 3</w:t>
      </w:r>
    </w:p>
    <w:tbl>
      <w:tblPr>
        <w:tblStyle w:val="PlainTable42"/>
        <w:tblW w:w="0" w:type="auto"/>
        <w:jc w:val="center"/>
        <w:tblLook w:val="04A0" w:firstRow="1" w:lastRow="0" w:firstColumn="1" w:lastColumn="0" w:noHBand="0" w:noVBand="1"/>
      </w:tblPr>
      <w:tblGrid>
        <w:gridCol w:w="1631"/>
        <w:gridCol w:w="1102"/>
        <w:gridCol w:w="1381"/>
        <w:gridCol w:w="1026"/>
        <w:gridCol w:w="1206"/>
      </w:tblGrid>
      <w:tr w:rsidR="00F47287" w:rsidRPr="00E26635" w14:paraId="68EB4944" w14:textId="77777777" w:rsidTr="00842CB7">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noWrap/>
            <w:hideMark/>
          </w:tcPr>
          <w:p w14:paraId="73B2033C" w14:textId="77777777" w:rsidR="00F47287" w:rsidRPr="00996B4A" w:rsidRDefault="00F47287" w:rsidP="00842CB7">
            <w:pPr>
              <w:jc w:val="center"/>
              <w:rPr>
                <w:rFonts w:eastAsia="Times New Roman" w:cstheme="majorBidi"/>
                <w:sz w:val="24"/>
                <w:szCs w:val="24"/>
                <w:lang w:eastAsia="en-GB"/>
              </w:rPr>
            </w:pPr>
          </w:p>
        </w:tc>
        <w:tc>
          <w:tcPr>
            <w:tcW w:w="0" w:type="auto"/>
            <w:tcBorders>
              <w:top w:val="single" w:sz="4" w:space="0" w:color="auto"/>
              <w:bottom w:val="single" w:sz="4" w:space="0" w:color="auto"/>
            </w:tcBorders>
          </w:tcPr>
          <w:p w14:paraId="0F330711" w14:textId="77777777" w:rsidR="00F47287" w:rsidRPr="00996B4A" w:rsidRDefault="00F47287" w:rsidP="00842CB7">
            <w:pPr>
              <w:jc w:val="center"/>
              <w:cnfStyle w:val="100000000000" w:firstRow="1" w:lastRow="0" w:firstColumn="0" w:lastColumn="0" w:oddVBand="0" w:evenVBand="0" w:oddHBand="0" w:evenHBand="0" w:firstRowFirstColumn="0" w:firstRowLastColumn="0" w:lastRowFirstColumn="0" w:lastRowLastColumn="0"/>
              <w:rPr>
                <w:rFonts w:eastAsia="Times New Roman" w:cstheme="majorBidi"/>
                <w:color w:val="000000"/>
                <w:lang w:eastAsia="en-GB"/>
              </w:rPr>
            </w:pPr>
            <w:r w:rsidRPr="00996B4A">
              <w:rPr>
                <w:rFonts w:eastAsia="Times New Roman" w:cstheme="majorBidi"/>
                <w:color w:val="000000"/>
                <w:lang w:eastAsia="en-GB"/>
              </w:rPr>
              <w:t>Overall</w:t>
            </w:r>
          </w:p>
        </w:tc>
        <w:tc>
          <w:tcPr>
            <w:tcW w:w="0" w:type="auto"/>
            <w:tcBorders>
              <w:top w:val="single" w:sz="4" w:space="0" w:color="auto"/>
              <w:bottom w:val="single" w:sz="4" w:space="0" w:color="auto"/>
            </w:tcBorders>
            <w:noWrap/>
            <w:hideMark/>
          </w:tcPr>
          <w:p w14:paraId="33A2CACD" w14:textId="77777777" w:rsidR="00F47287" w:rsidRPr="00996B4A" w:rsidRDefault="00F47287" w:rsidP="00842CB7">
            <w:pPr>
              <w:jc w:val="center"/>
              <w:cnfStyle w:val="100000000000" w:firstRow="1" w:lastRow="0" w:firstColumn="0" w:lastColumn="0" w:oddVBand="0" w:evenVBand="0" w:oddHBand="0" w:evenHBand="0" w:firstRowFirstColumn="0" w:firstRowLastColumn="0" w:lastRowFirstColumn="0" w:lastRowLastColumn="0"/>
              <w:rPr>
                <w:rFonts w:eastAsia="Times New Roman" w:cstheme="majorBidi"/>
                <w:color w:val="000000"/>
                <w:lang w:eastAsia="en-GB"/>
              </w:rPr>
            </w:pPr>
            <w:r w:rsidRPr="00996B4A">
              <w:rPr>
                <w:rFonts w:eastAsia="Times New Roman" w:cstheme="majorBidi"/>
                <w:color w:val="000000"/>
                <w:lang w:eastAsia="en-GB"/>
              </w:rPr>
              <w:t>No LLTI (a)</w:t>
            </w:r>
          </w:p>
        </w:tc>
        <w:tc>
          <w:tcPr>
            <w:tcW w:w="0" w:type="auto"/>
            <w:tcBorders>
              <w:top w:val="single" w:sz="4" w:space="0" w:color="auto"/>
              <w:bottom w:val="single" w:sz="4" w:space="0" w:color="auto"/>
            </w:tcBorders>
            <w:noWrap/>
            <w:hideMark/>
          </w:tcPr>
          <w:p w14:paraId="074AFA16" w14:textId="77777777" w:rsidR="00F47287" w:rsidRPr="00996B4A" w:rsidRDefault="00F47287" w:rsidP="00842CB7">
            <w:pPr>
              <w:jc w:val="center"/>
              <w:cnfStyle w:val="100000000000" w:firstRow="1" w:lastRow="0" w:firstColumn="0" w:lastColumn="0" w:oddVBand="0" w:evenVBand="0" w:oddHBand="0" w:evenHBand="0" w:firstRowFirstColumn="0" w:firstRowLastColumn="0" w:lastRowFirstColumn="0" w:lastRowLastColumn="0"/>
              <w:rPr>
                <w:rFonts w:eastAsia="Times New Roman" w:cstheme="majorBidi"/>
                <w:color w:val="000000"/>
                <w:lang w:eastAsia="en-GB"/>
              </w:rPr>
            </w:pPr>
            <w:r w:rsidRPr="00996B4A">
              <w:rPr>
                <w:rFonts w:eastAsia="Times New Roman" w:cstheme="majorBidi"/>
                <w:color w:val="000000"/>
                <w:lang w:eastAsia="en-GB"/>
              </w:rPr>
              <w:t>LLTI (b)</w:t>
            </w:r>
          </w:p>
        </w:tc>
        <w:tc>
          <w:tcPr>
            <w:tcW w:w="0" w:type="auto"/>
            <w:tcBorders>
              <w:top w:val="single" w:sz="4" w:space="0" w:color="auto"/>
              <w:bottom w:val="single" w:sz="4" w:space="0" w:color="auto"/>
            </w:tcBorders>
          </w:tcPr>
          <w:p w14:paraId="6268C8C6" w14:textId="77777777" w:rsidR="00F47287" w:rsidRPr="00996B4A" w:rsidRDefault="00F47287" w:rsidP="00842CB7">
            <w:pPr>
              <w:jc w:val="center"/>
              <w:cnfStyle w:val="100000000000" w:firstRow="1" w:lastRow="0" w:firstColumn="0" w:lastColumn="0" w:oddVBand="0" w:evenVBand="0" w:oddHBand="0" w:evenHBand="0" w:firstRowFirstColumn="0" w:firstRowLastColumn="0" w:lastRowFirstColumn="0" w:lastRowLastColumn="0"/>
              <w:rPr>
                <w:rFonts w:eastAsia="Times New Roman" w:cstheme="majorBidi"/>
                <w:color w:val="000000"/>
                <w:lang w:eastAsia="en-GB"/>
              </w:rPr>
            </w:pPr>
            <w:r w:rsidRPr="00996B4A">
              <w:rPr>
                <w:rFonts w:eastAsia="Times New Roman" w:cstheme="majorBidi"/>
                <w:color w:val="000000"/>
                <w:lang w:eastAsia="en-GB"/>
              </w:rPr>
              <w:t>Ratio (b/a)</w:t>
            </w:r>
          </w:p>
        </w:tc>
      </w:tr>
      <w:tr w:rsidR="00F47287" w:rsidRPr="00E26635" w14:paraId="24597336" w14:textId="77777777" w:rsidTr="00842CB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noWrap/>
            <w:hideMark/>
          </w:tcPr>
          <w:p w14:paraId="2566A0C7" w14:textId="77777777" w:rsidR="00F47287" w:rsidRPr="00996B4A" w:rsidRDefault="00F47287" w:rsidP="00842CB7">
            <w:pPr>
              <w:jc w:val="center"/>
              <w:rPr>
                <w:rFonts w:eastAsia="Times New Roman" w:cstheme="majorBidi"/>
                <w:color w:val="000000"/>
                <w:lang w:eastAsia="en-GB"/>
              </w:rPr>
            </w:pPr>
            <w:r w:rsidRPr="00996B4A">
              <w:rPr>
                <w:rFonts w:eastAsia="Times New Roman" w:cstheme="majorBidi"/>
                <w:color w:val="000000"/>
                <w:lang w:eastAsia="en-GB"/>
              </w:rPr>
              <w:t>Mean (km)</w:t>
            </w:r>
          </w:p>
        </w:tc>
        <w:tc>
          <w:tcPr>
            <w:tcW w:w="0" w:type="auto"/>
            <w:tcBorders>
              <w:top w:val="single" w:sz="4" w:space="0" w:color="auto"/>
            </w:tcBorders>
          </w:tcPr>
          <w:p w14:paraId="6D32BB6C" w14:textId="77777777" w:rsidR="00F47287" w:rsidRPr="00996B4A" w:rsidRDefault="00F47287" w:rsidP="00842CB7">
            <w:pPr>
              <w:jc w:val="cente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lang w:eastAsia="en-GB"/>
              </w:rPr>
            </w:pPr>
            <w:r w:rsidRPr="00996B4A">
              <w:rPr>
                <w:rFonts w:eastAsia="Times New Roman" w:cstheme="majorBidi"/>
                <w:color w:val="000000"/>
                <w:lang w:eastAsia="en-GB"/>
              </w:rPr>
              <w:t>30.1</w:t>
            </w:r>
          </w:p>
        </w:tc>
        <w:tc>
          <w:tcPr>
            <w:tcW w:w="0" w:type="auto"/>
            <w:tcBorders>
              <w:top w:val="single" w:sz="4" w:space="0" w:color="auto"/>
            </w:tcBorders>
            <w:noWrap/>
            <w:hideMark/>
          </w:tcPr>
          <w:p w14:paraId="4E4D02DD" w14:textId="77777777" w:rsidR="00F47287" w:rsidRPr="00996B4A" w:rsidRDefault="00F47287" w:rsidP="00842CB7">
            <w:pPr>
              <w:jc w:val="cente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lang w:eastAsia="en-GB"/>
              </w:rPr>
            </w:pPr>
            <w:r w:rsidRPr="00996B4A">
              <w:rPr>
                <w:rFonts w:eastAsia="Times New Roman" w:cstheme="majorBidi"/>
                <w:color w:val="000000"/>
                <w:lang w:eastAsia="en-GB"/>
              </w:rPr>
              <w:t>30.4</w:t>
            </w:r>
          </w:p>
        </w:tc>
        <w:tc>
          <w:tcPr>
            <w:tcW w:w="0" w:type="auto"/>
            <w:tcBorders>
              <w:top w:val="single" w:sz="4" w:space="0" w:color="auto"/>
            </w:tcBorders>
            <w:noWrap/>
            <w:hideMark/>
          </w:tcPr>
          <w:p w14:paraId="7B73B006" w14:textId="77777777" w:rsidR="00F47287" w:rsidRPr="00996B4A" w:rsidRDefault="00F47287" w:rsidP="00842CB7">
            <w:pPr>
              <w:jc w:val="cente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lang w:eastAsia="en-GB"/>
              </w:rPr>
            </w:pPr>
            <w:r w:rsidRPr="00996B4A">
              <w:rPr>
                <w:rFonts w:eastAsia="Times New Roman" w:cstheme="majorBidi"/>
                <w:color w:val="000000"/>
                <w:lang w:eastAsia="en-GB"/>
              </w:rPr>
              <w:t>25.7</w:t>
            </w:r>
          </w:p>
        </w:tc>
        <w:tc>
          <w:tcPr>
            <w:tcW w:w="0" w:type="auto"/>
            <w:tcBorders>
              <w:top w:val="single" w:sz="4" w:space="0" w:color="auto"/>
            </w:tcBorders>
          </w:tcPr>
          <w:p w14:paraId="2034CAEC" w14:textId="77777777" w:rsidR="00F47287" w:rsidRPr="00996B4A" w:rsidRDefault="00F47287" w:rsidP="00842CB7">
            <w:pPr>
              <w:jc w:val="cente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lang w:eastAsia="en-GB"/>
              </w:rPr>
            </w:pPr>
            <w:r w:rsidRPr="00996B4A">
              <w:rPr>
                <w:rFonts w:eastAsia="Times New Roman" w:cstheme="majorBidi"/>
                <w:color w:val="000000"/>
                <w:lang w:eastAsia="en-GB"/>
              </w:rPr>
              <w:t>0.84</w:t>
            </w:r>
          </w:p>
        </w:tc>
      </w:tr>
      <w:tr w:rsidR="00F47287" w:rsidRPr="00E26635" w14:paraId="493C0864" w14:textId="77777777" w:rsidTr="00842CB7">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16A5B04B" w14:textId="77777777" w:rsidR="00F47287" w:rsidRPr="00996B4A" w:rsidRDefault="00F47287" w:rsidP="00842CB7">
            <w:pPr>
              <w:jc w:val="center"/>
              <w:rPr>
                <w:rFonts w:eastAsia="Times New Roman" w:cstheme="majorBidi"/>
                <w:color w:val="000000"/>
                <w:lang w:eastAsia="en-GB"/>
              </w:rPr>
            </w:pPr>
            <w:r w:rsidRPr="00996B4A">
              <w:rPr>
                <w:rFonts w:eastAsia="Times New Roman" w:cstheme="majorBidi"/>
                <w:color w:val="000000"/>
                <w:lang w:eastAsia="en-GB"/>
              </w:rPr>
              <w:t>SD (km)</w:t>
            </w:r>
          </w:p>
        </w:tc>
        <w:tc>
          <w:tcPr>
            <w:tcW w:w="0" w:type="auto"/>
          </w:tcPr>
          <w:p w14:paraId="6D68E045" w14:textId="77777777" w:rsidR="00F47287" w:rsidRPr="00996B4A" w:rsidRDefault="00F47287" w:rsidP="00842CB7">
            <w:pPr>
              <w:jc w:val="cente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lang w:eastAsia="en-GB"/>
              </w:rPr>
            </w:pPr>
            <w:r w:rsidRPr="00996B4A">
              <w:rPr>
                <w:rFonts w:eastAsia="Times New Roman" w:cstheme="majorBidi"/>
                <w:color w:val="000000"/>
                <w:lang w:eastAsia="en-GB"/>
              </w:rPr>
              <w:t>66.3</w:t>
            </w:r>
          </w:p>
        </w:tc>
        <w:tc>
          <w:tcPr>
            <w:tcW w:w="0" w:type="auto"/>
            <w:noWrap/>
            <w:hideMark/>
          </w:tcPr>
          <w:p w14:paraId="6B70ABA7" w14:textId="77777777" w:rsidR="00F47287" w:rsidRPr="00996B4A" w:rsidRDefault="00F47287" w:rsidP="00842CB7">
            <w:pPr>
              <w:jc w:val="cente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lang w:eastAsia="en-GB"/>
              </w:rPr>
            </w:pPr>
            <w:r w:rsidRPr="00996B4A">
              <w:rPr>
                <w:rFonts w:eastAsia="Times New Roman" w:cstheme="majorBidi"/>
                <w:color w:val="000000"/>
                <w:lang w:eastAsia="en-GB"/>
              </w:rPr>
              <w:t>66.5</w:t>
            </w:r>
          </w:p>
        </w:tc>
        <w:tc>
          <w:tcPr>
            <w:tcW w:w="0" w:type="auto"/>
            <w:noWrap/>
            <w:hideMark/>
          </w:tcPr>
          <w:p w14:paraId="5C7617C8" w14:textId="77777777" w:rsidR="00F47287" w:rsidRPr="00996B4A" w:rsidRDefault="00F47287" w:rsidP="00842CB7">
            <w:pPr>
              <w:jc w:val="cente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lang w:eastAsia="en-GB"/>
              </w:rPr>
            </w:pPr>
            <w:r w:rsidRPr="00996B4A">
              <w:rPr>
                <w:rFonts w:eastAsia="Times New Roman" w:cstheme="majorBidi"/>
                <w:color w:val="000000"/>
                <w:lang w:eastAsia="en-GB"/>
              </w:rPr>
              <w:t>61.8</w:t>
            </w:r>
          </w:p>
        </w:tc>
        <w:tc>
          <w:tcPr>
            <w:tcW w:w="0" w:type="auto"/>
          </w:tcPr>
          <w:p w14:paraId="397B4613" w14:textId="77777777" w:rsidR="00F47287" w:rsidRPr="00996B4A" w:rsidRDefault="00F47287" w:rsidP="00842CB7">
            <w:pPr>
              <w:jc w:val="cente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lang w:eastAsia="en-GB"/>
              </w:rPr>
            </w:pPr>
          </w:p>
        </w:tc>
      </w:tr>
      <w:tr w:rsidR="00F47287" w:rsidRPr="00E26635" w14:paraId="56B0686B" w14:textId="77777777" w:rsidTr="00842CB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1F1AB4BB" w14:textId="77777777" w:rsidR="00F47287" w:rsidRPr="00996B4A" w:rsidRDefault="00F47287" w:rsidP="00842CB7">
            <w:pPr>
              <w:jc w:val="center"/>
              <w:rPr>
                <w:rFonts w:eastAsia="Times New Roman" w:cstheme="majorBidi"/>
                <w:color w:val="000000"/>
                <w:lang w:eastAsia="en-GB"/>
              </w:rPr>
            </w:pPr>
            <w:r w:rsidRPr="00996B4A">
              <w:rPr>
                <w:rFonts w:eastAsia="Times New Roman" w:cstheme="majorBidi"/>
                <w:color w:val="000000"/>
                <w:lang w:eastAsia="en-GB"/>
              </w:rPr>
              <w:t>Median (km)</w:t>
            </w:r>
          </w:p>
        </w:tc>
        <w:tc>
          <w:tcPr>
            <w:tcW w:w="0" w:type="auto"/>
          </w:tcPr>
          <w:p w14:paraId="5E941996" w14:textId="77777777" w:rsidR="00F47287" w:rsidRPr="00996B4A" w:rsidRDefault="00F47287" w:rsidP="00842CB7">
            <w:pPr>
              <w:jc w:val="cente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lang w:eastAsia="en-GB"/>
              </w:rPr>
            </w:pPr>
            <w:r w:rsidRPr="00996B4A">
              <w:rPr>
                <w:rFonts w:eastAsia="Times New Roman" w:cstheme="majorBidi"/>
                <w:color w:val="000000"/>
                <w:lang w:eastAsia="en-GB"/>
              </w:rPr>
              <w:t>4.1</w:t>
            </w:r>
          </w:p>
        </w:tc>
        <w:tc>
          <w:tcPr>
            <w:tcW w:w="0" w:type="auto"/>
            <w:noWrap/>
            <w:hideMark/>
          </w:tcPr>
          <w:p w14:paraId="72A67D69" w14:textId="77777777" w:rsidR="00F47287" w:rsidRPr="00996B4A" w:rsidRDefault="00F47287" w:rsidP="00842CB7">
            <w:pPr>
              <w:jc w:val="cente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lang w:eastAsia="en-GB"/>
              </w:rPr>
            </w:pPr>
            <w:r w:rsidRPr="00996B4A">
              <w:rPr>
                <w:rFonts w:eastAsia="Times New Roman" w:cstheme="majorBidi"/>
                <w:color w:val="000000"/>
                <w:lang w:eastAsia="en-GB"/>
              </w:rPr>
              <w:t>4.1</w:t>
            </w:r>
          </w:p>
        </w:tc>
        <w:tc>
          <w:tcPr>
            <w:tcW w:w="0" w:type="auto"/>
            <w:noWrap/>
            <w:hideMark/>
          </w:tcPr>
          <w:p w14:paraId="782610E3" w14:textId="77777777" w:rsidR="00F47287" w:rsidRPr="00996B4A" w:rsidRDefault="00F47287" w:rsidP="00842CB7">
            <w:pPr>
              <w:jc w:val="cente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lang w:eastAsia="en-GB"/>
              </w:rPr>
            </w:pPr>
            <w:r w:rsidRPr="00996B4A">
              <w:rPr>
                <w:rFonts w:eastAsia="Times New Roman" w:cstheme="majorBidi"/>
                <w:color w:val="000000"/>
                <w:lang w:eastAsia="en-GB"/>
              </w:rPr>
              <w:t>3.7</w:t>
            </w:r>
          </w:p>
        </w:tc>
        <w:tc>
          <w:tcPr>
            <w:tcW w:w="0" w:type="auto"/>
          </w:tcPr>
          <w:p w14:paraId="6762DC75" w14:textId="77777777" w:rsidR="00F47287" w:rsidRPr="00996B4A" w:rsidRDefault="00F47287" w:rsidP="00842CB7">
            <w:pPr>
              <w:jc w:val="cente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lang w:eastAsia="en-GB"/>
              </w:rPr>
            </w:pPr>
            <w:r w:rsidRPr="00996B4A">
              <w:rPr>
                <w:rFonts w:eastAsia="Times New Roman" w:cstheme="majorBidi"/>
                <w:color w:val="000000"/>
                <w:lang w:eastAsia="en-GB"/>
              </w:rPr>
              <w:t>0.90</w:t>
            </w:r>
          </w:p>
        </w:tc>
      </w:tr>
      <w:tr w:rsidR="00F47287" w:rsidRPr="00E26635" w14:paraId="1AF00FFE" w14:textId="77777777" w:rsidTr="00842CB7">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48A2AAA3" w14:textId="77777777" w:rsidR="00F47287" w:rsidRPr="00996B4A" w:rsidRDefault="00F47287" w:rsidP="00842CB7">
            <w:pPr>
              <w:jc w:val="center"/>
              <w:rPr>
                <w:rFonts w:eastAsia="Times New Roman" w:cstheme="majorBidi"/>
                <w:color w:val="000000"/>
                <w:lang w:eastAsia="en-GB"/>
              </w:rPr>
            </w:pPr>
            <w:r w:rsidRPr="00996B4A">
              <w:rPr>
                <w:rFonts w:eastAsia="Times New Roman" w:cstheme="majorBidi"/>
                <w:color w:val="000000"/>
                <w:lang w:eastAsia="en-GB"/>
              </w:rPr>
              <w:t>T-test (b=a)</w:t>
            </w:r>
          </w:p>
        </w:tc>
        <w:tc>
          <w:tcPr>
            <w:tcW w:w="0" w:type="auto"/>
          </w:tcPr>
          <w:p w14:paraId="2378F9EC" w14:textId="77777777" w:rsidR="00F47287" w:rsidRPr="00996B4A" w:rsidRDefault="00F47287" w:rsidP="00842CB7">
            <w:pPr>
              <w:jc w:val="cente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lang w:eastAsia="en-GB"/>
              </w:rPr>
            </w:pPr>
          </w:p>
        </w:tc>
        <w:tc>
          <w:tcPr>
            <w:tcW w:w="0" w:type="auto"/>
            <w:gridSpan w:val="2"/>
            <w:noWrap/>
          </w:tcPr>
          <w:p w14:paraId="731889E1" w14:textId="77777777" w:rsidR="00F47287" w:rsidRPr="00996B4A" w:rsidRDefault="00F47287" w:rsidP="00842CB7">
            <w:pPr>
              <w:jc w:val="cente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lang w:eastAsia="en-GB"/>
              </w:rPr>
            </w:pPr>
            <w:r w:rsidRPr="00996B4A">
              <w:rPr>
                <w:rFonts w:eastAsia="Times New Roman" w:cstheme="majorBidi"/>
                <w:color w:val="000000"/>
                <w:lang w:eastAsia="en-GB"/>
              </w:rPr>
              <w:t>4.8, p&lt;.01</w:t>
            </w:r>
          </w:p>
        </w:tc>
        <w:tc>
          <w:tcPr>
            <w:tcW w:w="0" w:type="auto"/>
          </w:tcPr>
          <w:p w14:paraId="0F6E70F5" w14:textId="77777777" w:rsidR="00F47287" w:rsidRPr="00996B4A" w:rsidRDefault="00F47287" w:rsidP="00842CB7">
            <w:pPr>
              <w:jc w:val="cente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lang w:eastAsia="en-GB"/>
              </w:rPr>
            </w:pPr>
          </w:p>
        </w:tc>
      </w:tr>
      <w:tr w:rsidR="00F47287" w:rsidRPr="00E26635" w14:paraId="595778A2" w14:textId="77777777" w:rsidTr="00842CB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6A24477" w14:textId="77777777" w:rsidR="00F47287" w:rsidRPr="00996B4A" w:rsidRDefault="00F47287" w:rsidP="00842CB7">
            <w:pPr>
              <w:jc w:val="center"/>
              <w:rPr>
                <w:rFonts w:eastAsia="Times New Roman" w:cstheme="majorBidi"/>
                <w:color w:val="000000"/>
                <w:lang w:eastAsia="en-GB"/>
              </w:rPr>
            </w:pPr>
            <w:r w:rsidRPr="00996B4A">
              <w:rPr>
                <w:rFonts w:eastAsia="Times New Roman" w:cstheme="majorBidi"/>
                <w:color w:val="000000"/>
                <w:lang w:eastAsia="en-GB"/>
              </w:rPr>
              <w:t>10km+ (%)</w:t>
            </w:r>
          </w:p>
        </w:tc>
        <w:tc>
          <w:tcPr>
            <w:tcW w:w="0" w:type="auto"/>
          </w:tcPr>
          <w:p w14:paraId="1A293DC2" w14:textId="77777777" w:rsidR="00F47287" w:rsidRPr="00996B4A" w:rsidRDefault="00F47287" w:rsidP="00842CB7">
            <w:pPr>
              <w:jc w:val="cente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lang w:eastAsia="en-GB"/>
              </w:rPr>
            </w:pPr>
            <w:r w:rsidRPr="00996B4A">
              <w:rPr>
                <w:rFonts w:eastAsia="Times New Roman" w:cstheme="majorBidi"/>
                <w:color w:val="000000"/>
                <w:lang w:eastAsia="en-GB"/>
              </w:rPr>
              <w:t>32.3</w:t>
            </w:r>
          </w:p>
        </w:tc>
        <w:tc>
          <w:tcPr>
            <w:tcW w:w="0" w:type="auto"/>
            <w:noWrap/>
            <w:hideMark/>
          </w:tcPr>
          <w:p w14:paraId="3B32FB9E" w14:textId="77777777" w:rsidR="00F47287" w:rsidRPr="00996B4A" w:rsidRDefault="00F47287" w:rsidP="00842CB7">
            <w:pPr>
              <w:jc w:val="cente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lang w:eastAsia="en-GB"/>
              </w:rPr>
            </w:pPr>
            <w:r w:rsidRPr="00996B4A">
              <w:rPr>
                <w:rFonts w:eastAsia="Times New Roman" w:cstheme="majorBidi"/>
                <w:color w:val="000000"/>
                <w:lang w:eastAsia="en-GB"/>
              </w:rPr>
              <w:t>32.9</w:t>
            </w:r>
          </w:p>
        </w:tc>
        <w:tc>
          <w:tcPr>
            <w:tcW w:w="0" w:type="auto"/>
            <w:noWrap/>
            <w:hideMark/>
          </w:tcPr>
          <w:p w14:paraId="2DEBA275" w14:textId="77777777" w:rsidR="00F47287" w:rsidRPr="00996B4A" w:rsidRDefault="00F47287" w:rsidP="00842CB7">
            <w:pPr>
              <w:jc w:val="cente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lang w:eastAsia="en-GB"/>
              </w:rPr>
            </w:pPr>
            <w:r w:rsidRPr="00996B4A">
              <w:rPr>
                <w:rFonts w:eastAsia="Times New Roman" w:cstheme="majorBidi"/>
                <w:color w:val="000000"/>
                <w:lang w:eastAsia="en-GB"/>
              </w:rPr>
              <w:t>28.9</w:t>
            </w:r>
          </w:p>
        </w:tc>
        <w:tc>
          <w:tcPr>
            <w:tcW w:w="0" w:type="auto"/>
          </w:tcPr>
          <w:p w14:paraId="43C435F9" w14:textId="77777777" w:rsidR="00F47287" w:rsidRPr="00996B4A" w:rsidRDefault="00F47287" w:rsidP="00842CB7">
            <w:pPr>
              <w:jc w:val="cente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lang w:eastAsia="en-GB"/>
              </w:rPr>
            </w:pPr>
            <w:r w:rsidRPr="00996B4A">
              <w:rPr>
                <w:rFonts w:eastAsia="Times New Roman" w:cstheme="majorBidi"/>
                <w:color w:val="000000"/>
                <w:lang w:eastAsia="en-GB"/>
              </w:rPr>
              <w:t>0.88</w:t>
            </w:r>
          </w:p>
        </w:tc>
      </w:tr>
      <w:tr w:rsidR="00F47287" w:rsidRPr="00E26635" w14:paraId="4F73DE29" w14:textId="77777777" w:rsidTr="00842CB7">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BBBBD44" w14:textId="77777777" w:rsidR="00F47287" w:rsidRPr="00996B4A" w:rsidRDefault="00F47287" w:rsidP="00842CB7">
            <w:pPr>
              <w:jc w:val="center"/>
              <w:rPr>
                <w:rFonts w:eastAsia="Times New Roman" w:cstheme="majorBidi"/>
                <w:color w:val="000000"/>
                <w:lang w:eastAsia="en-GB"/>
              </w:rPr>
            </w:pPr>
            <w:r w:rsidRPr="00996B4A">
              <w:rPr>
                <w:rFonts w:eastAsia="Times New Roman" w:cstheme="majorBidi"/>
                <w:color w:val="000000"/>
                <w:lang w:eastAsia="en-GB"/>
              </w:rPr>
              <w:t>20km+ (%)</w:t>
            </w:r>
          </w:p>
        </w:tc>
        <w:tc>
          <w:tcPr>
            <w:tcW w:w="0" w:type="auto"/>
          </w:tcPr>
          <w:p w14:paraId="3C588816" w14:textId="77777777" w:rsidR="00F47287" w:rsidRPr="00996B4A" w:rsidRDefault="00F47287" w:rsidP="00842CB7">
            <w:pPr>
              <w:jc w:val="cente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lang w:eastAsia="en-GB"/>
              </w:rPr>
            </w:pPr>
            <w:r w:rsidRPr="00996B4A">
              <w:rPr>
                <w:rFonts w:eastAsia="Times New Roman" w:cstheme="majorBidi"/>
                <w:color w:val="000000"/>
                <w:lang w:eastAsia="en-GB"/>
              </w:rPr>
              <w:t>22.8</w:t>
            </w:r>
          </w:p>
        </w:tc>
        <w:tc>
          <w:tcPr>
            <w:tcW w:w="0" w:type="auto"/>
            <w:noWrap/>
            <w:hideMark/>
          </w:tcPr>
          <w:p w14:paraId="2B69782E" w14:textId="77777777" w:rsidR="00F47287" w:rsidRPr="00996B4A" w:rsidRDefault="00F47287" w:rsidP="00842CB7">
            <w:pPr>
              <w:jc w:val="cente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lang w:eastAsia="en-GB"/>
              </w:rPr>
            </w:pPr>
            <w:r w:rsidRPr="00996B4A">
              <w:rPr>
                <w:rFonts w:eastAsia="Times New Roman" w:cstheme="majorBidi"/>
                <w:color w:val="000000"/>
                <w:lang w:eastAsia="en-GB"/>
              </w:rPr>
              <w:t>23.3</w:t>
            </w:r>
          </w:p>
        </w:tc>
        <w:tc>
          <w:tcPr>
            <w:tcW w:w="0" w:type="auto"/>
            <w:noWrap/>
            <w:hideMark/>
          </w:tcPr>
          <w:p w14:paraId="08343B6E" w14:textId="77777777" w:rsidR="00F47287" w:rsidRPr="00996B4A" w:rsidRDefault="00F47287" w:rsidP="00842CB7">
            <w:pPr>
              <w:jc w:val="cente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lang w:eastAsia="en-GB"/>
              </w:rPr>
            </w:pPr>
            <w:r w:rsidRPr="00996B4A">
              <w:rPr>
                <w:rFonts w:eastAsia="Times New Roman" w:cstheme="majorBidi"/>
                <w:color w:val="000000"/>
                <w:lang w:eastAsia="en-GB"/>
              </w:rPr>
              <w:t>19.4</w:t>
            </w:r>
          </w:p>
        </w:tc>
        <w:tc>
          <w:tcPr>
            <w:tcW w:w="0" w:type="auto"/>
          </w:tcPr>
          <w:p w14:paraId="56D89FB6" w14:textId="77777777" w:rsidR="00F47287" w:rsidRPr="00996B4A" w:rsidRDefault="00F47287" w:rsidP="00842CB7">
            <w:pPr>
              <w:jc w:val="cente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lang w:eastAsia="en-GB"/>
              </w:rPr>
            </w:pPr>
            <w:r w:rsidRPr="00996B4A">
              <w:rPr>
                <w:rFonts w:eastAsia="Times New Roman" w:cstheme="majorBidi"/>
                <w:color w:val="000000"/>
                <w:lang w:eastAsia="en-GB"/>
              </w:rPr>
              <w:t>0.83</w:t>
            </w:r>
          </w:p>
        </w:tc>
      </w:tr>
      <w:tr w:rsidR="00F47287" w:rsidRPr="00E26635" w14:paraId="76A43848" w14:textId="77777777" w:rsidTr="00842CB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2B1EAAF4" w14:textId="77777777" w:rsidR="00F47287" w:rsidRPr="00996B4A" w:rsidRDefault="00F47287" w:rsidP="00842CB7">
            <w:pPr>
              <w:jc w:val="center"/>
              <w:rPr>
                <w:rFonts w:eastAsia="Times New Roman" w:cstheme="majorBidi"/>
                <w:color w:val="000000"/>
                <w:lang w:eastAsia="en-GB"/>
              </w:rPr>
            </w:pPr>
            <w:r w:rsidRPr="00996B4A">
              <w:rPr>
                <w:rFonts w:eastAsia="Times New Roman" w:cstheme="majorBidi"/>
                <w:color w:val="000000"/>
                <w:lang w:eastAsia="en-GB"/>
              </w:rPr>
              <w:t>50km+ (%)</w:t>
            </w:r>
          </w:p>
        </w:tc>
        <w:tc>
          <w:tcPr>
            <w:tcW w:w="0" w:type="auto"/>
          </w:tcPr>
          <w:p w14:paraId="5291273C" w14:textId="77777777" w:rsidR="00F47287" w:rsidRPr="00996B4A" w:rsidRDefault="00F47287" w:rsidP="00842CB7">
            <w:pPr>
              <w:jc w:val="cente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lang w:eastAsia="en-GB"/>
              </w:rPr>
            </w:pPr>
            <w:r w:rsidRPr="00996B4A">
              <w:rPr>
                <w:rFonts w:eastAsia="Times New Roman" w:cstheme="majorBidi"/>
                <w:color w:val="000000"/>
                <w:lang w:eastAsia="en-GB"/>
              </w:rPr>
              <w:t>15.2</w:t>
            </w:r>
          </w:p>
        </w:tc>
        <w:tc>
          <w:tcPr>
            <w:tcW w:w="0" w:type="auto"/>
            <w:noWrap/>
            <w:hideMark/>
          </w:tcPr>
          <w:p w14:paraId="259B0569" w14:textId="77777777" w:rsidR="00F47287" w:rsidRPr="00996B4A" w:rsidRDefault="00F47287" w:rsidP="00842CB7">
            <w:pPr>
              <w:jc w:val="cente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lang w:eastAsia="en-GB"/>
              </w:rPr>
            </w:pPr>
            <w:r w:rsidRPr="00996B4A">
              <w:rPr>
                <w:rFonts w:eastAsia="Times New Roman" w:cstheme="majorBidi"/>
                <w:color w:val="000000"/>
                <w:lang w:eastAsia="en-GB"/>
              </w:rPr>
              <w:t>15.6</w:t>
            </w:r>
          </w:p>
        </w:tc>
        <w:tc>
          <w:tcPr>
            <w:tcW w:w="0" w:type="auto"/>
            <w:noWrap/>
            <w:hideMark/>
          </w:tcPr>
          <w:p w14:paraId="472B541A" w14:textId="77777777" w:rsidR="00F47287" w:rsidRPr="00996B4A" w:rsidRDefault="00F47287" w:rsidP="00842CB7">
            <w:pPr>
              <w:jc w:val="cente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lang w:eastAsia="en-GB"/>
              </w:rPr>
            </w:pPr>
            <w:r w:rsidRPr="00996B4A">
              <w:rPr>
                <w:rFonts w:eastAsia="Times New Roman" w:cstheme="majorBidi"/>
                <w:color w:val="000000"/>
                <w:lang w:eastAsia="en-GB"/>
              </w:rPr>
              <w:t>12.5</w:t>
            </w:r>
          </w:p>
        </w:tc>
        <w:tc>
          <w:tcPr>
            <w:tcW w:w="0" w:type="auto"/>
          </w:tcPr>
          <w:p w14:paraId="644643CF" w14:textId="77777777" w:rsidR="00F47287" w:rsidRPr="00996B4A" w:rsidRDefault="00F47287" w:rsidP="00842CB7">
            <w:pPr>
              <w:jc w:val="cente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lang w:eastAsia="en-GB"/>
              </w:rPr>
            </w:pPr>
            <w:r w:rsidRPr="00996B4A">
              <w:rPr>
                <w:rFonts w:eastAsia="Times New Roman" w:cstheme="majorBidi"/>
                <w:color w:val="000000"/>
                <w:lang w:eastAsia="en-GB"/>
              </w:rPr>
              <w:t>0.80</w:t>
            </w:r>
          </w:p>
        </w:tc>
      </w:tr>
      <w:tr w:rsidR="00F47287" w:rsidRPr="00E26635" w14:paraId="2564F3DC" w14:textId="77777777" w:rsidTr="00F47287">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noWrap/>
          </w:tcPr>
          <w:p w14:paraId="15102B6E" w14:textId="77777777" w:rsidR="00F47287" w:rsidRPr="00996B4A" w:rsidRDefault="00F47287" w:rsidP="00842CB7">
            <w:pPr>
              <w:jc w:val="center"/>
              <w:rPr>
                <w:rFonts w:eastAsia="Times New Roman" w:cstheme="majorBidi"/>
                <w:color w:val="000000"/>
                <w:lang w:eastAsia="en-GB"/>
              </w:rPr>
            </w:pPr>
            <w:r w:rsidRPr="00996B4A">
              <w:rPr>
                <w:rFonts w:eastAsia="Times New Roman" w:cstheme="majorBidi"/>
                <w:color w:val="000000"/>
                <w:lang w:eastAsia="en-GB"/>
              </w:rPr>
              <w:t>N</w:t>
            </w:r>
          </w:p>
        </w:tc>
        <w:tc>
          <w:tcPr>
            <w:tcW w:w="0" w:type="auto"/>
            <w:tcBorders>
              <w:bottom w:val="single" w:sz="4" w:space="0" w:color="auto"/>
            </w:tcBorders>
          </w:tcPr>
          <w:p w14:paraId="285EC572" w14:textId="77777777" w:rsidR="00F47287" w:rsidRPr="00996B4A" w:rsidRDefault="00F47287" w:rsidP="00842CB7">
            <w:pPr>
              <w:jc w:val="cente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lang w:eastAsia="en-GB"/>
              </w:rPr>
            </w:pPr>
            <w:r w:rsidRPr="00996B4A">
              <w:rPr>
                <w:rFonts w:eastAsia="Times New Roman" w:cstheme="majorBidi"/>
                <w:color w:val="000000"/>
                <w:lang w:eastAsia="en-GB"/>
              </w:rPr>
              <w:t>442,340</w:t>
            </w:r>
          </w:p>
        </w:tc>
        <w:tc>
          <w:tcPr>
            <w:tcW w:w="0" w:type="auto"/>
            <w:tcBorders>
              <w:bottom w:val="single" w:sz="4" w:space="0" w:color="auto"/>
            </w:tcBorders>
            <w:noWrap/>
          </w:tcPr>
          <w:p w14:paraId="56C97FE1" w14:textId="77777777" w:rsidR="00F47287" w:rsidRPr="00996B4A" w:rsidRDefault="00F47287" w:rsidP="00842CB7">
            <w:pPr>
              <w:jc w:val="cente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lang w:eastAsia="en-GB"/>
              </w:rPr>
            </w:pPr>
            <w:r w:rsidRPr="00996B4A">
              <w:rPr>
                <w:rFonts w:eastAsia="Times New Roman" w:cstheme="majorBidi"/>
                <w:color w:val="000000"/>
                <w:lang w:eastAsia="en-GB"/>
              </w:rPr>
              <w:t>404,004</w:t>
            </w:r>
          </w:p>
        </w:tc>
        <w:tc>
          <w:tcPr>
            <w:tcW w:w="0" w:type="auto"/>
            <w:tcBorders>
              <w:bottom w:val="single" w:sz="4" w:space="0" w:color="auto"/>
            </w:tcBorders>
            <w:noWrap/>
          </w:tcPr>
          <w:p w14:paraId="0B3BAFEF" w14:textId="77777777" w:rsidR="00F47287" w:rsidRPr="00996B4A" w:rsidRDefault="00F47287" w:rsidP="00842CB7">
            <w:pPr>
              <w:jc w:val="cente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lang w:eastAsia="en-GB"/>
              </w:rPr>
            </w:pPr>
            <w:r w:rsidRPr="00996B4A">
              <w:rPr>
                <w:rFonts w:eastAsia="Times New Roman" w:cstheme="majorBidi"/>
                <w:color w:val="000000"/>
                <w:lang w:eastAsia="en-GB"/>
              </w:rPr>
              <w:t>38,336</w:t>
            </w:r>
          </w:p>
        </w:tc>
        <w:tc>
          <w:tcPr>
            <w:tcW w:w="0" w:type="auto"/>
            <w:tcBorders>
              <w:bottom w:val="single" w:sz="4" w:space="0" w:color="auto"/>
            </w:tcBorders>
          </w:tcPr>
          <w:p w14:paraId="0BD92B76" w14:textId="77777777" w:rsidR="00F47287" w:rsidRPr="00996B4A" w:rsidRDefault="00F47287" w:rsidP="00842CB7">
            <w:pPr>
              <w:jc w:val="cente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lang w:eastAsia="en-GB"/>
              </w:rPr>
            </w:pPr>
          </w:p>
        </w:tc>
      </w:tr>
      <w:tr w:rsidR="00F47287" w:rsidRPr="00E26635" w14:paraId="759E4B38" w14:textId="77777777" w:rsidTr="00F4728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gridSpan w:val="5"/>
            <w:tcBorders>
              <w:top w:val="single" w:sz="4" w:space="0" w:color="auto"/>
            </w:tcBorders>
            <w:shd w:val="clear" w:color="auto" w:fill="auto"/>
            <w:noWrap/>
          </w:tcPr>
          <w:p w14:paraId="3A699AAF" w14:textId="6DE580D5" w:rsidR="00F47287" w:rsidRPr="00996B4A" w:rsidRDefault="00F47287" w:rsidP="00F47287">
            <w:pPr>
              <w:jc w:val="center"/>
              <w:rPr>
                <w:rFonts w:asciiTheme="majorBidi" w:hAnsiTheme="majorBidi" w:cstheme="majorBidi"/>
                <w:sz w:val="18"/>
                <w:szCs w:val="18"/>
              </w:rPr>
            </w:pPr>
            <w:r w:rsidRPr="00996B4A">
              <w:rPr>
                <w:rFonts w:asciiTheme="majorBidi" w:hAnsiTheme="majorBidi" w:cstheme="majorBidi"/>
                <w:sz w:val="18"/>
                <w:szCs w:val="18"/>
              </w:rPr>
              <w:t xml:space="preserve">Source: CISS </w:t>
            </w:r>
            <w:r w:rsidRPr="00996B4A">
              <w:rPr>
                <w:rFonts w:asciiTheme="majorBidi" w:hAnsiTheme="majorBidi" w:cstheme="majorBidi"/>
                <w:sz w:val="18"/>
                <w:szCs w:val="18"/>
              </w:rPr>
              <w:fldChar w:fldCharType="begin" w:fldLock="1"/>
            </w:r>
            <w:r w:rsidRPr="00996B4A">
              <w:rPr>
                <w:rFonts w:asciiTheme="majorBidi" w:hAnsiTheme="majorBidi" w:cstheme="majorBidi"/>
                <w:sz w:val="18"/>
                <w:szCs w:val="18"/>
              </w:rPr>
              <w:instrText>ADDIN CSL_CITATION { "citationItems" : [ { "id" : "ITEM-1", "itemData" : { "URL" : "http://www.ons.gov.uk/ons/guide-method/census/2011/census-data/census-microdata/census-in-the-virtual-microdata-laboratory/secure-microdata-user-guide.pdf", "accessed" : { "date-parts" : [ [ "2015", "10", "21" ] ] }, "author" : [ { "dropping-particle" : "", "family" : "Office for National Statistics", "given" : "", "non-dropping-particle" : "", "parse-names" : false, "suffix" : "" } ], "id" : "ITEM-1", "issued" : { "date-parts" : [ [ "2011" ] ] }, "title" : "Secure Microdata Files \u2013 User Guide", "type" : "webpage" }, "uris" : [ "http://www.mendeley.com/documents/?uuid=e378e822-0d09-409c-a4b8-bf2de7c8fa95" ] } ], "mendeley" : { "formattedCitation" : "(Office for National Statistics, 2011b)", "plainTextFormattedCitation" : "(Office for National Statistics, 2011b)", "previouslyFormattedCitation" : "(Office for National Statistics, 2011b)" }, "properties" : { "noteIndex" : 0 }, "schema" : "https://github.com/citation-style-language/schema/raw/master/csl-citation.json" }</w:instrText>
            </w:r>
            <w:r w:rsidRPr="00996B4A">
              <w:rPr>
                <w:rFonts w:asciiTheme="majorBidi" w:hAnsiTheme="majorBidi" w:cstheme="majorBidi"/>
                <w:sz w:val="18"/>
                <w:szCs w:val="18"/>
              </w:rPr>
              <w:fldChar w:fldCharType="separate"/>
            </w:r>
            <w:r w:rsidRPr="00996B4A">
              <w:rPr>
                <w:rFonts w:asciiTheme="majorBidi" w:hAnsiTheme="majorBidi" w:cstheme="majorBidi"/>
                <w:noProof/>
                <w:sz w:val="18"/>
                <w:szCs w:val="18"/>
              </w:rPr>
              <w:t>(Office for National Statistics, 2011b)</w:t>
            </w:r>
            <w:r w:rsidRPr="00996B4A">
              <w:rPr>
                <w:rFonts w:asciiTheme="majorBidi" w:hAnsiTheme="majorBidi" w:cstheme="majorBidi"/>
                <w:sz w:val="18"/>
                <w:szCs w:val="18"/>
              </w:rPr>
              <w:fldChar w:fldCharType="end"/>
            </w:r>
            <w:r w:rsidRPr="00996B4A">
              <w:rPr>
                <w:rFonts w:asciiTheme="majorBidi" w:hAnsiTheme="majorBidi" w:cstheme="majorBidi"/>
                <w:sz w:val="18"/>
                <w:szCs w:val="18"/>
              </w:rPr>
              <w:t>, authors’ own calculations</w:t>
            </w:r>
            <w:r>
              <w:rPr>
                <w:rFonts w:asciiTheme="majorBidi" w:hAnsiTheme="majorBidi" w:cstheme="majorBidi"/>
                <w:sz w:val="18"/>
                <w:szCs w:val="18"/>
              </w:rPr>
              <w:t>.</w:t>
            </w:r>
          </w:p>
          <w:p w14:paraId="67384AE6" w14:textId="77777777" w:rsidR="00F47287" w:rsidRPr="00996B4A" w:rsidRDefault="00F47287" w:rsidP="00842CB7">
            <w:pPr>
              <w:jc w:val="center"/>
              <w:rPr>
                <w:rFonts w:eastAsia="Times New Roman" w:cstheme="majorBidi"/>
                <w:color w:val="000000"/>
                <w:lang w:eastAsia="en-GB"/>
              </w:rPr>
            </w:pPr>
          </w:p>
        </w:tc>
      </w:tr>
    </w:tbl>
    <w:p w14:paraId="389871B6" w14:textId="77777777" w:rsidR="00F47287" w:rsidRDefault="00F47287" w:rsidP="00F47287"/>
    <w:p w14:paraId="71BF08AE" w14:textId="6BD89A10" w:rsidR="00F47287" w:rsidRDefault="00F47287" w:rsidP="001F1073">
      <w:pPr>
        <w:pStyle w:val="Heading1"/>
      </w:pPr>
      <w:r>
        <w:t>Table 4</w:t>
      </w:r>
    </w:p>
    <w:tbl>
      <w:tblPr>
        <w:tblStyle w:val="PlainTable4"/>
        <w:tblW w:w="5000" w:type="pct"/>
        <w:jc w:val="center"/>
        <w:tblLayout w:type="fixed"/>
        <w:tblLook w:val="04A0" w:firstRow="1" w:lastRow="0" w:firstColumn="1" w:lastColumn="0" w:noHBand="0" w:noVBand="1"/>
      </w:tblPr>
      <w:tblGrid>
        <w:gridCol w:w="1846"/>
        <w:gridCol w:w="850"/>
        <w:gridCol w:w="706"/>
        <w:gridCol w:w="709"/>
        <w:gridCol w:w="850"/>
        <w:gridCol w:w="708"/>
        <w:gridCol w:w="709"/>
        <w:gridCol w:w="850"/>
        <w:gridCol w:w="674"/>
        <w:gridCol w:w="602"/>
      </w:tblGrid>
      <w:tr w:rsidR="00F47287" w:rsidRPr="00E26635" w14:paraId="33ABA658" w14:textId="77777777" w:rsidTr="00842CB7">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85" w:type="pct"/>
            <w:tcBorders>
              <w:top w:val="single" w:sz="4" w:space="0" w:color="auto"/>
              <w:bottom w:val="single" w:sz="4" w:space="0" w:color="auto"/>
            </w:tcBorders>
            <w:noWrap/>
            <w:hideMark/>
          </w:tcPr>
          <w:p w14:paraId="7C55400B" w14:textId="77777777" w:rsidR="00F47287" w:rsidRPr="00996B4A" w:rsidRDefault="00F47287" w:rsidP="00842CB7">
            <w:pPr>
              <w:ind w:firstLine="720"/>
              <w:rPr>
                <w:rFonts w:eastAsia="Times New Roman" w:cstheme="majorBidi"/>
                <w:sz w:val="18"/>
                <w:szCs w:val="18"/>
              </w:rPr>
            </w:pPr>
          </w:p>
        </w:tc>
        <w:tc>
          <w:tcPr>
            <w:tcW w:w="500" w:type="pct"/>
            <w:tcBorders>
              <w:top w:val="single" w:sz="4" w:space="0" w:color="auto"/>
              <w:bottom w:val="single" w:sz="4" w:space="0" w:color="auto"/>
            </w:tcBorders>
            <w:noWrap/>
            <w:hideMark/>
          </w:tcPr>
          <w:p w14:paraId="6D86E333" w14:textId="77777777" w:rsidR="00F47287" w:rsidRPr="00996B4A" w:rsidRDefault="00F47287" w:rsidP="00842CB7">
            <w:pPr>
              <w:cnfStyle w:val="100000000000" w:firstRow="1"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10km</w:t>
            </w:r>
          </w:p>
        </w:tc>
        <w:tc>
          <w:tcPr>
            <w:tcW w:w="415" w:type="pct"/>
            <w:tcBorders>
              <w:top w:val="single" w:sz="4" w:space="0" w:color="auto"/>
              <w:bottom w:val="single" w:sz="4" w:space="0" w:color="auto"/>
            </w:tcBorders>
            <w:noWrap/>
            <w:hideMark/>
          </w:tcPr>
          <w:p w14:paraId="6AC70972" w14:textId="77777777" w:rsidR="00F47287" w:rsidRPr="00996B4A" w:rsidRDefault="00F47287" w:rsidP="00842CB7">
            <w:pPr>
              <w:cnfStyle w:val="100000000000" w:firstRow="1" w:lastRow="0" w:firstColumn="0" w:lastColumn="0" w:oddVBand="0" w:evenVBand="0" w:oddHBand="0" w:evenHBand="0" w:firstRowFirstColumn="0" w:firstRowLastColumn="0" w:lastRowFirstColumn="0" w:lastRowLastColumn="0"/>
              <w:rPr>
                <w:rFonts w:eastAsia="Times New Roman" w:cstheme="majorBidi"/>
                <w:sz w:val="18"/>
                <w:szCs w:val="18"/>
              </w:rPr>
            </w:pPr>
          </w:p>
        </w:tc>
        <w:tc>
          <w:tcPr>
            <w:tcW w:w="417" w:type="pct"/>
            <w:tcBorders>
              <w:top w:val="single" w:sz="4" w:space="0" w:color="auto"/>
              <w:bottom w:val="single" w:sz="4" w:space="0" w:color="auto"/>
            </w:tcBorders>
            <w:noWrap/>
            <w:hideMark/>
          </w:tcPr>
          <w:p w14:paraId="70C2463C" w14:textId="77777777" w:rsidR="00F47287" w:rsidRPr="00996B4A" w:rsidRDefault="00F47287" w:rsidP="00842CB7">
            <w:pPr>
              <w:cnfStyle w:val="100000000000" w:firstRow="1" w:lastRow="0" w:firstColumn="0" w:lastColumn="0" w:oddVBand="0" w:evenVBand="0" w:oddHBand="0" w:evenHBand="0" w:firstRowFirstColumn="0" w:firstRowLastColumn="0" w:lastRowFirstColumn="0" w:lastRowLastColumn="0"/>
              <w:rPr>
                <w:rFonts w:eastAsia="Times New Roman" w:cstheme="majorBidi"/>
                <w:sz w:val="18"/>
                <w:szCs w:val="18"/>
              </w:rPr>
            </w:pPr>
          </w:p>
        </w:tc>
        <w:tc>
          <w:tcPr>
            <w:tcW w:w="500" w:type="pct"/>
            <w:tcBorders>
              <w:top w:val="single" w:sz="4" w:space="0" w:color="auto"/>
              <w:bottom w:val="single" w:sz="4" w:space="0" w:color="auto"/>
            </w:tcBorders>
            <w:noWrap/>
            <w:hideMark/>
          </w:tcPr>
          <w:p w14:paraId="680D5452" w14:textId="77777777" w:rsidR="00F47287" w:rsidRPr="00996B4A" w:rsidRDefault="00F47287" w:rsidP="00842CB7">
            <w:pPr>
              <w:cnfStyle w:val="100000000000" w:firstRow="1"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20km</w:t>
            </w:r>
          </w:p>
        </w:tc>
        <w:tc>
          <w:tcPr>
            <w:tcW w:w="416" w:type="pct"/>
            <w:tcBorders>
              <w:top w:val="single" w:sz="4" w:space="0" w:color="auto"/>
              <w:bottom w:val="single" w:sz="4" w:space="0" w:color="auto"/>
            </w:tcBorders>
            <w:noWrap/>
            <w:hideMark/>
          </w:tcPr>
          <w:p w14:paraId="6268B69D" w14:textId="77777777" w:rsidR="00F47287" w:rsidRPr="00996B4A" w:rsidRDefault="00F47287" w:rsidP="00842CB7">
            <w:pPr>
              <w:cnfStyle w:val="100000000000" w:firstRow="1" w:lastRow="0" w:firstColumn="0" w:lastColumn="0" w:oddVBand="0" w:evenVBand="0" w:oddHBand="0" w:evenHBand="0" w:firstRowFirstColumn="0" w:firstRowLastColumn="0" w:lastRowFirstColumn="0" w:lastRowLastColumn="0"/>
              <w:rPr>
                <w:rFonts w:eastAsia="Times New Roman" w:cstheme="majorBidi"/>
                <w:sz w:val="18"/>
                <w:szCs w:val="18"/>
              </w:rPr>
            </w:pPr>
          </w:p>
        </w:tc>
        <w:tc>
          <w:tcPr>
            <w:tcW w:w="417" w:type="pct"/>
            <w:tcBorders>
              <w:top w:val="single" w:sz="4" w:space="0" w:color="auto"/>
              <w:bottom w:val="single" w:sz="4" w:space="0" w:color="auto"/>
            </w:tcBorders>
            <w:noWrap/>
            <w:hideMark/>
          </w:tcPr>
          <w:p w14:paraId="6632834B" w14:textId="77777777" w:rsidR="00F47287" w:rsidRPr="00996B4A" w:rsidRDefault="00F47287" w:rsidP="00842CB7">
            <w:pPr>
              <w:cnfStyle w:val="100000000000" w:firstRow="1" w:lastRow="0" w:firstColumn="0" w:lastColumn="0" w:oddVBand="0" w:evenVBand="0" w:oddHBand="0" w:evenHBand="0" w:firstRowFirstColumn="0" w:firstRowLastColumn="0" w:lastRowFirstColumn="0" w:lastRowLastColumn="0"/>
              <w:rPr>
                <w:rFonts w:eastAsia="Times New Roman" w:cstheme="majorBidi"/>
                <w:sz w:val="18"/>
                <w:szCs w:val="18"/>
              </w:rPr>
            </w:pPr>
          </w:p>
        </w:tc>
        <w:tc>
          <w:tcPr>
            <w:tcW w:w="500" w:type="pct"/>
            <w:tcBorders>
              <w:top w:val="single" w:sz="4" w:space="0" w:color="auto"/>
              <w:bottom w:val="single" w:sz="4" w:space="0" w:color="auto"/>
            </w:tcBorders>
            <w:noWrap/>
            <w:hideMark/>
          </w:tcPr>
          <w:p w14:paraId="3AE3C16B" w14:textId="77777777" w:rsidR="00F47287" w:rsidRPr="00996B4A" w:rsidRDefault="00F47287" w:rsidP="00842CB7">
            <w:pPr>
              <w:cnfStyle w:val="100000000000" w:firstRow="1"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50km</w:t>
            </w:r>
          </w:p>
        </w:tc>
        <w:tc>
          <w:tcPr>
            <w:tcW w:w="396" w:type="pct"/>
            <w:tcBorders>
              <w:top w:val="single" w:sz="4" w:space="0" w:color="auto"/>
              <w:bottom w:val="single" w:sz="4" w:space="0" w:color="auto"/>
            </w:tcBorders>
            <w:noWrap/>
            <w:hideMark/>
          </w:tcPr>
          <w:p w14:paraId="4E7FF24C" w14:textId="77777777" w:rsidR="00F47287" w:rsidRPr="00996B4A" w:rsidRDefault="00F47287" w:rsidP="00842CB7">
            <w:pPr>
              <w:cnfStyle w:val="100000000000" w:firstRow="1" w:lastRow="0" w:firstColumn="0" w:lastColumn="0" w:oddVBand="0" w:evenVBand="0" w:oddHBand="0" w:evenHBand="0" w:firstRowFirstColumn="0" w:firstRowLastColumn="0" w:lastRowFirstColumn="0" w:lastRowLastColumn="0"/>
              <w:rPr>
                <w:rFonts w:eastAsia="Times New Roman" w:cstheme="majorBidi"/>
                <w:sz w:val="18"/>
                <w:szCs w:val="18"/>
              </w:rPr>
            </w:pPr>
          </w:p>
        </w:tc>
        <w:tc>
          <w:tcPr>
            <w:tcW w:w="354" w:type="pct"/>
            <w:tcBorders>
              <w:top w:val="single" w:sz="4" w:space="0" w:color="auto"/>
              <w:bottom w:val="single" w:sz="4" w:space="0" w:color="auto"/>
            </w:tcBorders>
            <w:noWrap/>
            <w:hideMark/>
          </w:tcPr>
          <w:p w14:paraId="1D7F31F1" w14:textId="77777777" w:rsidR="00F47287" w:rsidRPr="00996B4A" w:rsidRDefault="00F47287" w:rsidP="00842CB7">
            <w:pPr>
              <w:cnfStyle w:val="100000000000" w:firstRow="1" w:lastRow="0" w:firstColumn="0" w:lastColumn="0" w:oddVBand="0" w:evenVBand="0" w:oddHBand="0" w:evenHBand="0" w:firstRowFirstColumn="0" w:firstRowLastColumn="0" w:lastRowFirstColumn="0" w:lastRowLastColumn="0"/>
              <w:rPr>
                <w:rFonts w:eastAsia="Times New Roman" w:cstheme="majorBidi"/>
                <w:sz w:val="18"/>
                <w:szCs w:val="18"/>
              </w:rPr>
            </w:pPr>
          </w:p>
        </w:tc>
      </w:tr>
      <w:tr w:rsidR="00F47287" w:rsidRPr="00E26635" w14:paraId="2F372EA8" w14:textId="77777777" w:rsidTr="00842CB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85" w:type="pct"/>
            <w:tcBorders>
              <w:top w:val="single" w:sz="4" w:space="0" w:color="auto"/>
              <w:bottom w:val="single" w:sz="4" w:space="0" w:color="auto"/>
            </w:tcBorders>
            <w:noWrap/>
            <w:hideMark/>
          </w:tcPr>
          <w:p w14:paraId="5B1955DC" w14:textId="77777777" w:rsidR="00F47287" w:rsidRPr="00996B4A" w:rsidRDefault="00F47287" w:rsidP="00842CB7">
            <w:pPr>
              <w:rPr>
                <w:rFonts w:eastAsia="Times New Roman" w:cstheme="majorBidi"/>
                <w:sz w:val="18"/>
                <w:szCs w:val="18"/>
              </w:rPr>
            </w:pPr>
          </w:p>
        </w:tc>
        <w:tc>
          <w:tcPr>
            <w:tcW w:w="500" w:type="pct"/>
            <w:tcBorders>
              <w:top w:val="single" w:sz="4" w:space="0" w:color="auto"/>
              <w:bottom w:val="single" w:sz="4" w:space="0" w:color="auto"/>
            </w:tcBorders>
            <w:noWrap/>
            <w:hideMark/>
          </w:tcPr>
          <w:p w14:paraId="75FFB53B"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b/>
                <w:bCs/>
                <w:color w:val="000000"/>
                <w:sz w:val="18"/>
                <w:szCs w:val="18"/>
              </w:rPr>
            </w:pPr>
            <w:r w:rsidRPr="00996B4A">
              <w:rPr>
                <w:rFonts w:eastAsia="Times New Roman" w:cstheme="majorBidi"/>
                <w:b/>
                <w:bCs/>
                <w:color w:val="000000"/>
                <w:sz w:val="18"/>
                <w:szCs w:val="18"/>
              </w:rPr>
              <w:t>Logit</w:t>
            </w:r>
          </w:p>
        </w:tc>
        <w:tc>
          <w:tcPr>
            <w:tcW w:w="415" w:type="pct"/>
            <w:tcBorders>
              <w:top w:val="single" w:sz="4" w:space="0" w:color="auto"/>
              <w:bottom w:val="single" w:sz="4" w:space="0" w:color="auto"/>
            </w:tcBorders>
            <w:noWrap/>
            <w:hideMark/>
          </w:tcPr>
          <w:p w14:paraId="6DD8903E"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b/>
                <w:bCs/>
                <w:color w:val="000000"/>
                <w:sz w:val="18"/>
                <w:szCs w:val="18"/>
              </w:rPr>
            </w:pPr>
            <w:r w:rsidRPr="00996B4A">
              <w:rPr>
                <w:rFonts w:eastAsia="Times New Roman" w:cstheme="majorBidi"/>
                <w:b/>
                <w:bCs/>
                <w:color w:val="000000"/>
                <w:sz w:val="18"/>
                <w:szCs w:val="18"/>
              </w:rPr>
              <w:t>LB</w:t>
            </w:r>
          </w:p>
        </w:tc>
        <w:tc>
          <w:tcPr>
            <w:tcW w:w="417" w:type="pct"/>
            <w:tcBorders>
              <w:top w:val="single" w:sz="4" w:space="0" w:color="auto"/>
              <w:bottom w:val="single" w:sz="4" w:space="0" w:color="auto"/>
            </w:tcBorders>
            <w:noWrap/>
            <w:hideMark/>
          </w:tcPr>
          <w:p w14:paraId="28228573"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b/>
                <w:bCs/>
                <w:color w:val="000000"/>
                <w:sz w:val="18"/>
                <w:szCs w:val="18"/>
              </w:rPr>
            </w:pPr>
            <w:r w:rsidRPr="00996B4A">
              <w:rPr>
                <w:rFonts w:eastAsia="Times New Roman" w:cstheme="majorBidi"/>
                <w:b/>
                <w:bCs/>
                <w:color w:val="000000"/>
                <w:sz w:val="18"/>
                <w:szCs w:val="18"/>
              </w:rPr>
              <w:t>UB</w:t>
            </w:r>
          </w:p>
        </w:tc>
        <w:tc>
          <w:tcPr>
            <w:tcW w:w="500" w:type="pct"/>
            <w:tcBorders>
              <w:top w:val="single" w:sz="4" w:space="0" w:color="auto"/>
              <w:bottom w:val="single" w:sz="4" w:space="0" w:color="auto"/>
            </w:tcBorders>
            <w:noWrap/>
            <w:hideMark/>
          </w:tcPr>
          <w:p w14:paraId="4F66480C"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b/>
                <w:bCs/>
                <w:color w:val="000000"/>
                <w:sz w:val="18"/>
                <w:szCs w:val="18"/>
              </w:rPr>
            </w:pPr>
            <w:r w:rsidRPr="00996B4A">
              <w:rPr>
                <w:rFonts w:eastAsia="Times New Roman" w:cstheme="majorBidi"/>
                <w:b/>
                <w:bCs/>
                <w:color w:val="000000"/>
                <w:sz w:val="18"/>
                <w:szCs w:val="18"/>
              </w:rPr>
              <w:t>Logit</w:t>
            </w:r>
          </w:p>
        </w:tc>
        <w:tc>
          <w:tcPr>
            <w:tcW w:w="416" w:type="pct"/>
            <w:tcBorders>
              <w:top w:val="single" w:sz="4" w:space="0" w:color="auto"/>
              <w:bottom w:val="single" w:sz="4" w:space="0" w:color="auto"/>
            </w:tcBorders>
            <w:noWrap/>
            <w:hideMark/>
          </w:tcPr>
          <w:p w14:paraId="21E6C1D6"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b/>
                <w:bCs/>
                <w:color w:val="000000"/>
                <w:sz w:val="18"/>
                <w:szCs w:val="18"/>
              </w:rPr>
            </w:pPr>
            <w:r w:rsidRPr="00996B4A">
              <w:rPr>
                <w:rFonts w:eastAsia="Times New Roman" w:cstheme="majorBidi"/>
                <w:b/>
                <w:bCs/>
                <w:color w:val="000000"/>
                <w:sz w:val="18"/>
                <w:szCs w:val="18"/>
              </w:rPr>
              <w:t>LB</w:t>
            </w:r>
          </w:p>
        </w:tc>
        <w:tc>
          <w:tcPr>
            <w:tcW w:w="417" w:type="pct"/>
            <w:tcBorders>
              <w:top w:val="single" w:sz="4" w:space="0" w:color="auto"/>
              <w:bottom w:val="single" w:sz="4" w:space="0" w:color="auto"/>
            </w:tcBorders>
            <w:noWrap/>
            <w:hideMark/>
          </w:tcPr>
          <w:p w14:paraId="2CA7018A"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b/>
                <w:bCs/>
                <w:color w:val="000000"/>
                <w:sz w:val="18"/>
                <w:szCs w:val="18"/>
              </w:rPr>
            </w:pPr>
            <w:r w:rsidRPr="00996B4A">
              <w:rPr>
                <w:rFonts w:eastAsia="Times New Roman" w:cstheme="majorBidi"/>
                <w:b/>
                <w:bCs/>
                <w:color w:val="000000"/>
                <w:sz w:val="18"/>
                <w:szCs w:val="18"/>
              </w:rPr>
              <w:t>UB</w:t>
            </w:r>
          </w:p>
        </w:tc>
        <w:tc>
          <w:tcPr>
            <w:tcW w:w="500" w:type="pct"/>
            <w:tcBorders>
              <w:top w:val="single" w:sz="4" w:space="0" w:color="auto"/>
              <w:bottom w:val="single" w:sz="4" w:space="0" w:color="auto"/>
            </w:tcBorders>
            <w:noWrap/>
            <w:hideMark/>
          </w:tcPr>
          <w:p w14:paraId="1DF2D9F6"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b/>
                <w:bCs/>
                <w:color w:val="000000"/>
                <w:sz w:val="18"/>
                <w:szCs w:val="18"/>
              </w:rPr>
            </w:pPr>
            <w:r w:rsidRPr="00996B4A">
              <w:rPr>
                <w:rFonts w:eastAsia="Times New Roman" w:cstheme="majorBidi"/>
                <w:b/>
                <w:bCs/>
                <w:color w:val="000000"/>
                <w:sz w:val="18"/>
                <w:szCs w:val="18"/>
              </w:rPr>
              <w:t>Logit</w:t>
            </w:r>
          </w:p>
        </w:tc>
        <w:tc>
          <w:tcPr>
            <w:tcW w:w="396" w:type="pct"/>
            <w:tcBorders>
              <w:top w:val="single" w:sz="4" w:space="0" w:color="auto"/>
              <w:bottom w:val="single" w:sz="4" w:space="0" w:color="auto"/>
            </w:tcBorders>
            <w:noWrap/>
            <w:hideMark/>
          </w:tcPr>
          <w:p w14:paraId="08A06925"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b/>
                <w:bCs/>
                <w:color w:val="000000"/>
                <w:sz w:val="18"/>
                <w:szCs w:val="18"/>
              </w:rPr>
            </w:pPr>
            <w:r w:rsidRPr="00996B4A">
              <w:rPr>
                <w:rFonts w:eastAsia="Times New Roman" w:cstheme="majorBidi"/>
                <w:b/>
                <w:bCs/>
                <w:color w:val="000000"/>
                <w:sz w:val="18"/>
                <w:szCs w:val="18"/>
              </w:rPr>
              <w:t>LB</w:t>
            </w:r>
          </w:p>
        </w:tc>
        <w:tc>
          <w:tcPr>
            <w:tcW w:w="354" w:type="pct"/>
            <w:tcBorders>
              <w:top w:val="single" w:sz="4" w:space="0" w:color="auto"/>
              <w:bottom w:val="single" w:sz="4" w:space="0" w:color="auto"/>
            </w:tcBorders>
            <w:noWrap/>
            <w:hideMark/>
          </w:tcPr>
          <w:p w14:paraId="0CEE5B74"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b/>
                <w:bCs/>
                <w:color w:val="000000"/>
                <w:sz w:val="18"/>
                <w:szCs w:val="18"/>
              </w:rPr>
            </w:pPr>
            <w:r w:rsidRPr="00996B4A">
              <w:rPr>
                <w:rFonts w:eastAsia="Times New Roman" w:cstheme="majorBidi"/>
                <w:b/>
                <w:bCs/>
                <w:color w:val="000000"/>
                <w:sz w:val="18"/>
                <w:szCs w:val="18"/>
              </w:rPr>
              <w:t>UB</w:t>
            </w:r>
          </w:p>
        </w:tc>
      </w:tr>
      <w:tr w:rsidR="00F47287" w:rsidRPr="00E26635" w14:paraId="19603EC7" w14:textId="77777777" w:rsidTr="00842CB7">
        <w:trPr>
          <w:trHeight w:val="300"/>
          <w:jc w:val="center"/>
        </w:trPr>
        <w:tc>
          <w:tcPr>
            <w:cnfStyle w:val="001000000000" w:firstRow="0" w:lastRow="0" w:firstColumn="1" w:lastColumn="0" w:oddVBand="0" w:evenVBand="0" w:oddHBand="0" w:evenHBand="0" w:firstRowFirstColumn="0" w:firstRowLastColumn="0" w:lastRowFirstColumn="0" w:lastRowLastColumn="0"/>
            <w:tcW w:w="1085" w:type="pct"/>
            <w:tcBorders>
              <w:top w:val="single" w:sz="4" w:space="0" w:color="auto"/>
            </w:tcBorders>
            <w:noWrap/>
            <w:hideMark/>
          </w:tcPr>
          <w:p w14:paraId="7305C1BD" w14:textId="77777777" w:rsidR="00F47287" w:rsidRPr="00996B4A" w:rsidRDefault="00F47287" w:rsidP="00842CB7">
            <w:pPr>
              <w:rPr>
                <w:rFonts w:eastAsia="Times New Roman" w:cstheme="majorBidi"/>
                <w:color w:val="000000"/>
                <w:sz w:val="18"/>
                <w:szCs w:val="18"/>
              </w:rPr>
            </w:pPr>
            <w:r w:rsidRPr="00996B4A">
              <w:rPr>
                <w:rFonts w:eastAsia="Times New Roman" w:cstheme="majorBidi"/>
                <w:color w:val="000000"/>
                <w:sz w:val="18"/>
                <w:szCs w:val="18"/>
              </w:rPr>
              <w:t>Constant</w:t>
            </w:r>
          </w:p>
        </w:tc>
        <w:tc>
          <w:tcPr>
            <w:tcW w:w="500" w:type="pct"/>
            <w:tcBorders>
              <w:top w:val="single" w:sz="4" w:space="0" w:color="auto"/>
            </w:tcBorders>
            <w:noWrap/>
            <w:hideMark/>
          </w:tcPr>
          <w:p w14:paraId="3EE66047"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-0.81**</w:t>
            </w:r>
          </w:p>
        </w:tc>
        <w:tc>
          <w:tcPr>
            <w:tcW w:w="415" w:type="pct"/>
            <w:tcBorders>
              <w:top w:val="single" w:sz="4" w:space="0" w:color="auto"/>
            </w:tcBorders>
            <w:noWrap/>
            <w:hideMark/>
          </w:tcPr>
          <w:p w14:paraId="27085DEF"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-0.87</w:t>
            </w:r>
          </w:p>
        </w:tc>
        <w:tc>
          <w:tcPr>
            <w:tcW w:w="417" w:type="pct"/>
            <w:tcBorders>
              <w:top w:val="single" w:sz="4" w:space="0" w:color="auto"/>
            </w:tcBorders>
            <w:noWrap/>
            <w:hideMark/>
          </w:tcPr>
          <w:p w14:paraId="07086103"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-0.75</w:t>
            </w:r>
          </w:p>
        </w:tc>
        <w:tc>
          <w:tcPr>
            <w:tcW w:w="500" w:type="pct"/>
            <w:tcBorders>
              <w:top w:val="single" w:sz="4" w:space="0" w:color="auto"/>
            </w:tcBorders>
            <w:noWrap/>
            <w:hideMark/>
          </w:tcPr>
          <w:p w14:paraId="677E52A1"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-1.37**</w:t>
            </w:r>
          </w:p>
        </w:tc>
        <w:tc>
          <w:tcPr>
            <w:tcW w:w="416" w:type="pct"/>
            <w:tcBorders>
              <w:top w:val="single" w:sz="4" w:space="0" w:color="auto"/>
            </w:tcBorders>
            <w:noWrap/>
            <w:hideMark/>
          </w:tcPr>
          <w:p w14:paraId="7434E093"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-1.43</w:t>
            </w:r>
          </w:p>
        </w:tc>
        <w:tc>
          <w:tcPr>
            <w:tcW w:w="417" w:type="pct"/>
            <w:tcBorders>
              <w:top w:val="single" w:sz="4" w:space="0" w:color="auto"/>
            </w:tcBorders>
            <w:noWrap/>
            <w:hideMark/>
          </w:tcPr>
          <w:p w14:paraId="2B984B6F"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-1.31</w:t>
            </w:r>
          </w:p>
        </w:tc>
        <w:tc>
          <w:tcPr>
            <w:tcW w:w="500" w:type="pct"/>
            <w:tcBorders>
              <w:top w:val="single" w:sz="4" w:space="0" w:color="auto"/>
            </w:tcBorders>
            <w:noWrap/>
            <w:hideMark/>
          </w:tcPr>
          <w:p w14:paraId="0C92A7AF"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-1.94**</w:t>
            </w:r>
          </w:p>
        </w:tc>
        <w:tc>
          <w:tcPr>
            <w:tcW w:w="396" w:type="pct"/>
            <w:tcBorders>
              <w:top w:val="single" w:sz="4" w:space="0" w:color="auto"/>
            </w:tcBorders>
            <w:noWrap/>
            <w:hideMark/>
          </w:tcPr>
          <w:p w14:paraId="7137AD8D"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-2.01</w:t>
            </w:r>
          </w:p>
        </w:tc>
        <w:tc>
          <w:tcPr>
            <w:tcW w:w="354" w:type="pct"/>
            <w:tcBorders>
              <w:top w:val="single" w:sz="4" w:space="0" w:color="auto"/>
            </w:tcBorders>
            <w:noWrap/>
            <w:hideMark/>
          </w:tcPr>
          <w:p w14:paraId="0009F748"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-1.88</w:t>
            </w:r>
          </w:p>
        </w:tc>
      </w:tr>
      <w:tr w:rsidR="00F47287" w:rsidRPr="00E26635" w14:paraId="745C40A0" w14:textId="77777777" w:rsidTr="00842CB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85" w:type="pct"/>
            <w:noWrap/>
            <w:hideMark/>
          </w:tcPr>
          <w:p w14:paraId="1C5525EC" w14:textId="77777777" w:rsidR="00F47287" w:rsidRPr="00996B4A" w:rsidRDefault="00F47287" w:rsidP="00842CB7">
            <w:pPr>
              <w:rPr>
                <w:rFonts w:eastAsia="Times New Roman" w:cstheme="majorBidi"/>
                <w:color w:val="000000"/>
                <w:sz w:val="18"/>
                <w:szCs w:val="18"/>
              </w:rPr>
            </w:pPr>
            <w:r w:rsidRPr="00996B4A">
              <w:rPr>
                <w:rFonts w:eastAsia="Times New Roman" w:cstheme="majorBidi"/>
                <w:color w:val="000000"/>
                <w:sz w:val="18"/>
                <w:szCs w:val="18"/>
              </w:rPr>
              <w:t>Age (ref 16-24)</w:t>
            </w:r>
          </w:p>
        </w:tc>
        <w:tc>
          <w:tcPr>
            <w:tcW w:w="500" w:type="pct"/>
          </w:tcPr>
          <w:p w14:paraId="099C96C3"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p>
        </w:tc>
        <w:tc>
          <w:tcPr>
            <w:tcW w:w="415" w:type="pct"/>
            <w:noWrap/>
            <w:hideMark/>
          </w:tcPr>
          <w:p w14:paraId="575077CD"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sz w:val="18"/>
                <w:szCs w:val="18"/>
              </w:rPr>
            </w:pPr>
          </w:p>
        </w:tc>
        <w:tc>
          <w:tcPr>
            <w:tcW w:w="417" w:type="pct"/>
            <w:noWrap/>
            <w:hideMark/>
          </w:tcPr>
          <w:p w14:paraId="4510DFD2"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sz w:val="18"/>
                <w:szCs w:val="18"/>
              </w:rPr>
            </w:pPr>
          </w:p>
        </w:tc>
        <w:tc>
          <w:tcPr>
            <w:tcW w:w="500" w:type="pct"/>
            <w:noWrap/>
            <w:hideMark/>
          </w:tcPr>
          <w:p w14:paraId="336747CB"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sz w:val="18"/>
                <w:szCs w:val="18"/>
              </w:rPr>
            </w:pPr>
          </w:p>
        </w:tc>
        <w:tc>
          <w:tcPr>
            <w:tcW w:w="416" w:type="pct"/>
            <w:noWrap/>
            <w:hideMark/>
          </w:tcPr>
          <w:p w14:paraId="1C39FBAF"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sz w:val="18"/>
                <w:szCs w:val="18"/>
              </w:rPr>
            </w:pPr>
          </w:p>
        </w:tc>
        <w:tc>
          <w:tcPr>
            <w:tcW w:w="417" w:type="pct"/>
            <w:noWrap/>
            <w:hideMark/>
          </w:tcPr>
          <w:p w14:paraId="7779203E"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sz w:val="18"/>
                <w:szCs w:val="18"/>
              </w:rPr>
            </w:pPr>
          </w:p>
        </w:tc>
        <w:tc>
          <w:tcPr>
            <w:tcW w:w="500" w:type="pct"/>
            <w:noWrap/>
            <w:hideMark/>
          </w:tcPr>
          <w:p w14:paraId="7CD6E926"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sz w:val="18"/>
                <w:szCs w:val="18"/>
              </w:rPr>
            </w:pPr>
          </w:p>
        </w:tc>
        <w:tc>
          <w:tcPr>
            <w:tcW w:w="396" w:type="pct"/>
            <w:noWrap/>
            <w:hideMark/>
          </w:tcPr>
          <w:p w14:paraId="5BBB561B"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sz w:val="18"/>
                <w:szCs w:val="18"/>
              </w:rPr>
            </w:pPr>
          </w:p>
        </w:tc>
        <w:tc>
          <w:tcPr>
            <w:tcW w:w="354" w:type="pct"/>
            <w:noWrap/>
            <w:hideMark/>
          </w:tcPr>
          <w:p w14:paraId="3CE33B07"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sz w:val="18"/>
                <w:szCs w:val="18"/>
              </w:rPr>
            </w:pPr>
          </w:p>
        </w:tc>
      </w:tr>
      <w:tr w:rsidR="00F47287" w:rsidRPr="00E26635" w14:paraId="7EB5B779" w14:textId="77777777" w:rsidTr="00842CB7">
        <w:trPr>
          <w:trHeight w:val="300"/>
          <w:jc w:val="center"/>
        </w:trPr>
        <w:tc>
          <w:tcPr>
            <w:cnfStyle w:val="001000000000" w:firstRow="0" w:lastRow="0" w:firstColumn="1" w:lastColumn="0" w:oddVBand="0" w:evenVBand="0" w:oddHBand="0" w:evenHBand="0" w:firstRowFirstColumn="0" w:firstRowLastColumn="0" w:lastRowFirstColumn="0" w:lastRowLastColumn="0"/>
            <w:tcW w:w="1085" w:type="pct"/>
            <w:noWrap/>
            <w:hideMark/>
          </w:tcPr>
          <w:p w14:paraId="1228261A" w14:textId="77777777" w:rsidR="00F47287" w:rsidRPr="00996B4A" w:rsidRDefault="00F47287" w:rsidP="00842CB7">
            <w:pPr>
              <w:rPr>
                <w:rFonts w:eastAsia="Times New Roman" w:cstheme="majorBidi"/>
                <w:b w:val="0"/>
                <w:bCs w:val="0"/>
                <w:color w:val="000000"/>
                <w:sz w:val="18"/>
                <w:szCs w:val="18"/>
              </w:rPr>
            </w:pPr>
            <w:r w:rsidRPr="00996B4A">
              <w:rPr>
                <w:rFonts w:eastAsia="Times New Roman" w:cstheme="majorBidi"/>
                <w:color w:val="000000"/>
                <w:sz w:val="18"/>
                <w:szCs w:val="18"/>
              </w:rPr>
              <w:t>25-34</w:t>
            </w:r>
          </w:p>
        </w:tc>
        <w:tc>
          <w:tcPr>
            <w:tcW w:w="500" w:type="pct"/>
            <w:noWrap/>
            <w:hideMark/>
          </w:tcPr>
          <w:p w14:paraId="294A5D2F"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-0.18**</w:t>
            </w:r>
          </w:p>
        </w:tc>
        <w:tc>
          <w:tcPr>
            <w:tcW w:w="415" w:type="pct"/>
            <w:noWrap/>
            <w:hideMark/>
          </w:tcPr>
          <w:p w14:paraId="24E58E38"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-0.20</w:t>
            </w:r>
          </w:p>
        </w:tc>
        <w:tc>
          <w:tcPr>
            <w:tcW w:w="417" w:type="pct"/>
            <w:noWrap/>
            <w:hideMark/>
          </w:tcPr>
          <w:p w14:paraId="158DD263"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-0.15</w:t>
            </w:r>
          </w:p>
        </w:tc>
        <w:tc>
          <w:tcPr>
            <w:tcW w:w="500" w:type="pct"/>
            <w:noWrap/>
            <w:hideMark/>
          </w:tcPr>
          <w:p w14:paraId="7CCCE3D9"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-0.32**</w:t>
            </w:r>
          </w:p>
        </w:tc>
        <w:tc>
          <w:tcPr>
            <w:tcW w:w="416" w:type="pct"/>
            <w:noWrap/>
            <w:hideMark/>
          </w:tcPr>
          <w:p w14:paraId="5B4DEB66"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-0.35</w:t>
            </w:r>
          </w:p>
        </w:tc>
        <w:tc>
          <w:tcPr>
            <w:tcW w:w="417" w:type="pct"/>
            <w:noWrap/>
            <w:hideMark/>
          </w:tcPr>
          <w:p w14:paraId="574C93BA"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-0.30</w:t>
            </w:r>
          </w:p>
        </w:tc>
        <w:tc>
          <w:tcPr>
            <w:tcW w:w="500" w:type="pct"/>
            <w:noWrap/>
            <w:hideMark/>
          </w:tcPr>
          <w:p w14:paraId="2FCC2116"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-0.50**</w:t>
            </w:r>
          </w:p>
        </w:tc>
        <w:tc>
          <w:tcPr>
            <w:tcW w:w="396" w:type="pct"/>
            <w:noWrap/>
            <w:hideMark/>
          </w:tcPr>
          <w:p w14:paraId="451E0CA7"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-0.53</w:t>
            </w:r>
          </w:p>
        </w:tc>
        <w:tc>
          <w:tcPr>
            <w:tcW w:w="354" w:type="pct"/>
            <w:noWrap/>
            <w:hideMark/>
          </w:tcPr>
          <w:p w14:paraId="2CD83D55"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-0.46</w:t>
            </w:r>
          </w:p>
        </w:tc>
      </w:tr>
      <w:tr w:rsidR="00F47287" w:rsidRPr="00E26635" w14:paraId="27BA400C" w14:textId="77777777" w:rsidTr="00842CB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85" w:type="pct"/>
            <w:noWrap/>
            <w:hideMark/>
          </w:tcPr>
          <w:p w14:paraId="1C4C95BE" w14:textId="77777777" w:rsidR="00F47287" w:rsidRPr="00996B4A" w:rsidRDefault="00F47287" w:rsidP="00842CB7">
            <w:pPr>
              <w:rPr>
                <w:rFonts w:eastAsia="Times New Roman" w:cstheme="majorBidi"/>
                <w:b w:val="0"/>
                <w:bCs w:val="0"/>
                <w:color w:val="000000"/>
                <w:sz w:val="18"/>
                <w:szCs w:val="18"/>
              </w:rPr>
            </w:pPr>
            <w:r w:rsidRPr="00996B4A">
              <w:rPr>
                <w:rFonts w:eastAsia="Times New Roman" w:cstheme="majorBidi"/>
                <w:color w:val="000000"/>
                <w:sz w:val="18"/>
                <w:szCs w:val="18"/>
              </w:rPr>
              <w:t>35-44</w:t>
            </w:r>
          </w:p>
        </w:tc>
        <w:tc>
          <w:tcPr>
            <w:tcW w:w="500" w:type="pct"/>
            <w:noWrap/>
            <w:hideMark/>
          </w:tcPr>
          <w:p w14:paraId="41196C5F"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-0.12**</w:t>
            </w:r>
          </w:p>
        </w:tc>
        <w:tc>
          <w:tcPr>
            <w:tcW w:w="415" w:type="pct"/>
            <w:noWrap/>
            <w:hideMark/>
          </w:tcPr>
          <w:p w14:paraId="075F43E5"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-0.15</w:t>
            </w:r>
          </w:p>
        </w:tc>
        <w:tc>
          <w:tcPr>
            <w:tcW w:w="417" w:type="pct"/>
            <w:noWrap/>
            <w:hideMark/>
          </w:tcPr>
          <w:p w14:paraId="6CBC5153"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-0.09</w:t>
            </w:r>
          </w:p>
        </w:tc>
        <w:tc>
          <w:tcPr>
            <w:tcW w:w="500" w:type="pct"/>
            <w:noWrap/>
            <w:hideMark/>
          </w:tcPr>
          <w:p w14:paraId="0F88D2A5"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-0.23**</w:t>
            </w:r>
          </w:p>
        </w:tc>
        <w:tc>
          <w:tcPr>
            <w:tcW w:w="416" w:type="pct"/>
            <w:noWrap/>
            <w:hideMark/>
          </w:tcPr>
          <w:p w14:paraId="0F05B03A"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-0.27</w:t>
            </w:r>
          </w:p>
        </w:tc>
        <w:tc>
          <w:tcPr>
            <w:tcW w:w="417" w:type="pct"/>
            <w:noWrap/>
            <w:hideMark/>
          </w:tcPr>
          <w:p w14:paraId="684661F5"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-0.20</w:t>
            </w:r>
          </w:p>
        </w:tc>
        <w:tc>
          <w:tcPr>
            <w:tcW w:w="500" w:type="pct"/>
            <w:noWrap/>
            <w:hideMark/>
          </w:tcPr>
          <w:p w14:paraId="6F28D961"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-0.42**</w:t>
            </w:r>
          </w:p>
        </w:tc>
        <w:tc>
          <w:tcPr>
            <w:tcW w:w="396" w:type="pct"/>
            <w:noWrap/>
            <w:hideMark/>
          </w:tcPr>
          <w:p w14:paraId="0D28553A"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-0.46</w:t>
            </w:r>
          </w:p>
        </w:tc>
        <w:tc>
          <w:tcPr>
            <w:tcW w:w="354" w:type="pct"/>
            <w:noWrap/>
            <w:hideMark/>
          </w:tcPr>
          <w:p w14:paraId="5F5A56A1"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-0.37</w:t>
            </w:r>
          </w:p>
        </w:tc>
      </w:tr>
      <w:tr w:rsidR="00F47287" w:rsidRPr="00E26635" w14:paraId="6B9B6B2B" w14:textId="77777777" w:rsidTr="00842CB7">
        <w:trPr>
          <w:trHeight w:val="300"/>
          <w:jc w:val="center"/>
        </w:trPr>
        <w:tc>
          <w:tcPr>
            <w:cnfStyle w:val="001000000000" w:firstRow="0" w:lastRow="0" w:firstColumn="1" w:lastColumn="0" w:oddVBand="0" w:evenVBand="0" w:oddHBand="0" w:evenHBand="0" w:firstRowFirstColumn="0" w:firstRowLastColumn="0" w:lastRowFirstColumn="0" w:lastRowLastColumn="0"/>
            <w:tcW w:w="1085" w:type="pct"/>
            <w:noWrap/>
            <w:hideMark/>
          </w:tcPr>
          <w:p w14:paraId="2F37D2DE" w14:textId="77777777" w:rsidR="00F47287" w:rsidRPr="00996B4A" w:rsidRDefault="00F47287" w:rsidP="00842CB7">
            <w:pPr>
              <w:rPr>
                <w:rFonts w:eastAsia="Times New Roman" w:cstheme="majorBidi"/>
                <w:b w:val="0"/>
                <w:bCs w:val="0"/>
                <w:color w:val="000000"/>
                <w:sz w:val="18"/>
                <w:szCs w:val="18"/>
              </w:rPr>
            </w:pPr>
            <w:r w:rsidRPr="00996B4A">
              <w:rPr>
                <w:rFonts w:eastAsia="Times New Roman" w:cstheme="majorBidi"/>
                <w:color w:val="000000"/>
                <w:sz w:val="18"/>
                <w:szCs w:val="18"/>
              </w:rPr>
              <w:t>45-54</w:t>
            </w:r>
          </w:p>
        </w:tc>
        <w:tc>
          <w:tcPr>
            <w:tcW w:w="500" w:type="pct"/>
            <w:noWrap/>
            <w:hideMark/>
          </w:tcPr>
          <w:p w14:paraId="0BA16592"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-0.05*</w:t>
            </w:r>
          </w:p>
        </w:tc>
        <w:tc>
          <w:tcPr>
            <w:tcW w:w="415" w:type="pct"/>
            <w:noWrap/>
            <w:hideMark/>
          </w:tcPr>
          <w:p w14:paraId="49C23A20"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-0.09</w:t>
            </w:r>
          </w:p>
        </w:tc>
        <w:tc>
          <w:tcPr>
            <w:tcW w:w="417" w:type="pct"/>
            <w:noWrap/>
            <w:hideMark/>
          </w:tcPr>
          <w:p w14:paraId="3B3CBE48"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-0.01</w:t>
            </w:r>
          </w:p>
        </w:tc>
        <w:tc>
          <w:tcPr>
            <w:tcW w:w="500" w:type="pct"/>
            <w:noWrap/>
            <w:hideMark/>
          </w:tcPr>
          <w:p w14:paraId="245CB623"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-0.15**</w:t>
            </w:r>
          </w:p>
        </w:tc>
        <w:tc>
          <w:tcPr>
            <w:tcW w:w="416" w:type="pct"/>
            <w:noWrap/>
            <w:hideMark/>
          </w:tcPr>
          <w:p w14:paraId="13C4185C"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-0.19</w:t>
            </w:r>
          </w:p>
        </w:tc>
        <w:tc>
          <w:tcPr>
            <w:tcW w:w="417" w:type="pct"/>
            <w:noWrap/>
            <w:hideMark/>
          </w:tcPr>
          <w:p w14:paraId="64E74B60"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-0.10</w:t>
            </w:r>
          </w:p>
        </w:tc>
        <w:tc>
          <w:tcPr>
            <w:tcW w:w="500" w:type="pct"/>
            <w:noWrap/>
            <w:hideMark/>
          </w:tcPr>
          <w:p w14:paraId="1843866E"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-0.28**</w:t>
            </w:r>
          </w:p>
        </w:tc>
        <w:tc>
          <w:tcPr>
            <w:tcW w:w="396" w:type="pct"/>
            <w:noWrap/>
            <w:hideMark/>
          </w:tcPr>
          <w:p w14:paraId="7188FAA8"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-0.33</w:t>
            </w:r>
          </w:p>
        </w:tc>
        <w:tc>
          <w:tcPr>
            <w:tcW w:w="354" w:type="pct"/>
            <w:noWrap/>
            <w:hideMark/>
          </w:tcPr>
          <w:p w14:paraId="2F04F0EC"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-0.23</w:t>
            </w:r>
          </w:p>
        </w:tc>
      </w:tr>
      <w:tr w:rsidR="00F47287" w:rsidRPr="00E26635" w14:paraId="2D413426" w14:textId="77777777" w:rsidTr="00842CB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85" w:type="pct"/>
            <w:noWrap/>
            <w:hideMark/>
          </w:tcPr>
          <w:p w14:paraId="446B3DDE" w14:textId="77777777" w:rsidR="00F47287" w:rsidRPr="00996B4A" w:rsidRDefault="00F47287" w:rsidP="00842CB7">
            <w:pPr>
              <w:rPr>
                <w:rFonts w:eastAsia="Times New Roman" w:cstheme="majorBidi"/>
                <w:b w:val="0"/>
                <w:bCs w:val="0"/>
                <w:color w:val="000000"/>
                <w:sz w:val="18"/>
                <w:szCs w:val="18"/>
              </w:rPr>
            </w:pPr>
            <w:r w:rsidRPr="00996B4A">
              <w:rPr>
                <w:rFonts w:eastAsia="Times New Roman" w:cstheme="majorBidi"/>
                <w:color w:val="000000"/>
                <w:sz w:val="18"/>
                <w:szCs w:val="18"/>
              </w:rPr>
              <w:t>55-64</w:t>
            </w:r>
          </w:p>
        </w:tc>
        <w:tc>
          <w:tcPr>
            <w:tcW w:w="500" w:type="pct"/>
            <w:noWrap/>
            <w:hideMark/>
          </w:tcPr>
          <w:p w14:paraId="61314131"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0.22**</w:t>
            </w:r>
          </w:p>
        </w:tc>
        <w:tc>
          <w:tcPr>
            <w:tcW w:w="415" w:type="pct"/>
            <w:noWrap/>
            <w:hideMark/>
          </w:tcPr>
          <w:p w14:paraId="399EE2F2"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0.17</w:t>
            </w:r>
          </w:p>
        </w:tc>
        <w:tc>
          <w:tcPr>
            <w:tcW w:w="417" w:type="pct"/>
            <w:noWrap/>
            <w:hideMark/>
          </w:tcPr>
          <w:p w14:paraId="1F753834"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0.27</w:t>
            </w:r>
          </w:p>
        </w:tc>
        <w:tc>
          <w:tcPr>
            <w:tcW w:w="500" w:type="pct"/>
            <w:noWrap/>
            <w:hideMark/>
          </w:tcPr>
          <w:p w14:paraId="6EF9F802"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0.15**</w:t>
            </w:r>
          </w:p>
        </w:tc>
        <w:tc>
          <w:tcPr>
            <w:tcW w:w="416" w:type="pct"/>
            <w:noWrap/>
            <w:hideMark/>
          </w:tcPr>
          <w:p w14:paraId="06AC4BC2"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0.10</w:t>
            </w:r>
          </w:p>
        </w:tc>
        <w:tc>
          <w:tcPr>
            <w:tcW w:w="417" w:type="pct"/>
            <w:noWrap/>
            <w:hideMark/>
          </w:tcPr>
          <w:p w14:paraId="1AE2FBAA"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0.20</w:t>
            </w:r>
          </w:p>
        </w:tc>
        <w:tc>
          <w:tcPr>
            <w:tcW w:w="500" w:type="pct"/>
            <w:noWrap/>
            <w:hideMark/>
          </w:tcPr>
          <w:p w14:paraId="10DD665A"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0.11**</w:t>
            </w:r>
          </w:p>
        </w:tc>
        <w:tc>
          <w:tcPr>
            <w:tcW w:w="396" w:type="pct"/>
            <w:noWrap/>
            <w:hideMark/>
          </w:tcPr>
          <w:p w14:paraId="18AC4A03"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0.05</w:t>
            </w:r>
          </w:p>
        </w:tc>
        <w:tc>
          <w:tcPr>
            <w:tcW w:w="354" w:type="pct"/>
            <w:noWrap/>
            <w:hideMark/>
          </w:tcPr>
          <w:p w14:paraId="24A01B3A"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0.16</w:t>
            </w:r>
          </w:p>
        </w:tc>
      </w:tr>
      <w:tr w:rsidR="00F47287" w:rsidRPr="00E26635" w14:paraId="5A674C7E" w14:textId="77777777" w:rsidTr="00842CB7">
        <w:trPr>
          <w:trHeight w:val="300"/>
          <w:jc w:val="center"/>
        </w:trPr>
        <w:tc>
          <w:tcPr>
            <w:cnfStyle w:val="001000000000" w:firstRow="0" w:lastRow="0" w:firstColumn="1" w:lastColumn="0" w:oddVBand="0" w:evenVBand="0" w:oddHBand="0" w:evenHBand="0" w:firstRowFirstColumn="0" w:firstRowLastColumn="0" w:lastRowFirstColumn="0" w:lastRowLastColumn="0"/>
            <w:tcW w:w="1085" w:type="pct"/>
            <w:noWrap/>
          </w:tcPr>
          <w:p w14:paraId="397A527F" w14:textId="77777777" w:rsidR="00F47287" w:rsidRDefault="00F47287" w:rsidP="00842CB7">
            <w:pPr>
              <w:rPr>
                <w:rFonts w:eastAsia="Times New Roman" w:cstheme="majorBidi"/>
                <w:color w:val="000000"/>
                <w:sz w:val="18"/>
                <w:szCs w:val="18"/>
              </w:rPr>
            </w:pPr>
            <w:r w:rsidRPr="00996B4A">
              <w:rPr>
                <w:rFonts w:eastAsia="Times New Roman" w:cstheme="majorBidi"/>
                <w:color w:val="000000"/>
                <w:sz w:val="18"/>
                <w:szCs w:val="18"/>
              </w:rPr>
              <w:t>LLTI (ref None)</w:t>
            </w:r>
          </w:p>
        </w:tc>
        <w:tc>
          <w:tcPr>
            <w:tcW w:w="500" w:type="pct"/>
            <w:noWrap/>
          </w:tcPr>
          <w:p w14:paraId="24BBB0EC"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0.03</w:t>
            </w:r>
          </w:p>
        </w:tc>
        <w:tc>
          <w:tcPr>
            <w:tcW w:w="415" w:type="pct"/>
            <w:noWrap/>
          </w:tcPr>
          <w:p w14:paraId="4F7F1EF5"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-0.03</w:t>
            </w:r>
          </w:p>
        </w:tc>
        <w:tc>
          <w:tcPr>
            <w:tcW w:w="417" w:type="pct"/>
            <w:noWrap/>
          </w:tcPr>
          <w:p w14:paraId="5AD372F2"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0.09</w:t>
            </w:r>
          </w:p>
        </w:tc>
        <w:tc>
          <w:tcPr>
            <w:tcW w:w="500" w:type="pct"/>
            <w:noWrap/>
          </w:tcPr>
          <w:p w14:paraId="7CED94DD"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-0.10**</w:t>
            </w:r>
          </w:p>
        </w:tc>
        <w:tc>
          <w:tcPr>
            <w:tcW w:w="416" w:type="pct"/>
            <w:noWrap/>
          </w:tcPr>
          <w:p w14:paraId="4174D227"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-0.17</w:t>
            </w:r>
          </w:p>
        </w:tc>
        <w:tc>
          <w:tcPr>
            <w:tcW w:w="417" w:type="pct"/>
            <w:noWrap/>
          </w:tcPr>
          <w:p w14:paraId="39AF035A"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-0.04</w:t>
            </w:r>
          </w:p>
        </w:tc>
        <w:tc>
          <w:tcPr>
            <w:tcW w:w="500" w:type="pct"/>
            <w:noWrap/>
          </w:tcPr>
          <w:p w14:paraId="0A205DBA"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-0.24**</w:t>
            </w:r>
          </w:p>
        </w:tc>
        <w:tc>
          <w:tcPr>
            <w:tcW w:w="396" w:type="pct"/>
            <w:noWrap/>
          </w:tcPr>
          <w:p w14:paraId="16B86DBB"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-0.32</w:t>
            </w:r>
          </w:p>
        </w:tc>
        <w:tc>
          <w:tcPr>
            <w:tcW w:w="354" w:type="pct"/>
            <w:noWrap/>
          </w:tcPr>
          <w:p w14:paraId="3C566B83"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-0.16</w:t>
            </w:r>
          </w:p>
        </w:tc>
      </w:tr>
      <w:tr w:rsidR="00F47287" w:rsidRPr="00E26635" w14:paraId="70410420" w14:textId="77777777" w:rsidTr="00842CB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85" w:type="pct"/>
            <w:noWrap/>
          </w:tcPr>
          <w:p w14:paraId="47EE57B0" w14:textId="77777777" w:rsidR="00F47287" w:rsidRPr="00996B4A" w:rsidRDefault="00F47287" w:rsidP="00842CB7">
            <w:pPr>
              <w:rPr>
                <w:rFonts w:eastAsia="Times New Roman" w:cstheme="majorBidi"/>
                <w:color w:val="000000"/>
                <w:sz w:val="18"/>
                <w:szCs w:val="18"/>
              </w:rPr>
            </w:pPr>
            <w:r>
              <w:rPr>
                <w:rFonts w:eastAsia="Times New Roman" w:cstheme="majorBidi"/>
                <w:color w:val="000000"/>
                <w:sz w:val="18"/>
                <w:szCs w:val="18"/>
              </w:rPr>
              <w:t>LLTI and age interactions</w:t>
            </w:r>
          </w:p>
        </w:tc>
        <w:tc>
          <w:tcPr>
            <w:tcW w:w="500" w:type="pct"/>
            <w:noWrap/>
          </w:tcPr>
          <w:p w14:paraId="1DA6D395"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p>
        </w:tc>
        <w:tc>
          <w:tcPr>
            <w:tcW w:w="415" w:type="pct"/>
            <w:noWrap/>
          </w:tcPr>
          <w:p w14:paraId="240FAA09"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p>
        </w:tc>
        <w:tc>
          <w:tcPr>
            <w:tcW w:w="417" w:type="pct"/>
            <w:noWrap/>
          </w:tcPr>
          <w:p w14:paraId="07FAE9E0"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p>
        </w:tc>
        <w:tc>
          <w:tcPr>
            <w:tcW w:w="500" w:type="pct"/>
            <w:noWrap/>
          </w:tcPr>
          <w:p w14:paraId="3FEAD83E"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p>
        </w:tc>
        <w:tc>
          <w:tcPr>
            <w:tcW w:w="416" w:type="pct"/>
            <w:noWrap/>
          </w:tcPr>
          <w:p w14:paraId="2F76A043"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p>
        </w:tc>
        <w:tc>
          <w:tcPr>
            <w:tcW w:w="417" w:type="pct"/>
            <w:noWrap/>
          </w:tcPr>
          <w:p w14:paraId="74EEE6BB"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p>
        </w:tc>
        <w:tc>
          <w:tcPr>
            <w:tcW w:w="500" w:type="pct"/>
            <w:noWrap/>
          </w:tcPr>
          <w:p w14:paraId="0C167D36"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p>
        </w:tc>
        <w:tc>
          <w:tcPr>
            <w:tcW w:w="396" w:type="pct"/>
            <w:noWrap/>
          </w:tcPr>
          <w:p w14:paraId="55CE3C09"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p>
        </w:tc>
        <w:tc>
          <w:tcPr>
            <w:tcW w:w="354" w:type="pct"/>
            <w:noWrap/>
          </w:tcPr>
          <w:p w14:paraId="63E200AE"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p>
        </w:tc>
      </w:tr>
      <w:tr w:rsidR="00F47287" w:rsidRPr="00E26635" w14:paraId="7EF8ABE5" w14:textId="77777777" w:rsidTr="00842CB7">
        <w:trPr>
          <w:trHeight w:val="300"/>
          <w:jc w:val="center"/>
        </w:trPr>
        <w:tc>
          <w:tcPr>
            <w:cnfStyle w:val="001000000000" w:firstRow="0" w:lastRow="0" w:firstColumn="1" w:lastColumn="0" w:oddVBand="0" w:evenVBand="0" w:oddHBand="0" w:evenHBand="0" w:firstRowFirstColumn="0" w:firstRowLastColumn="0" w:lastRowFirstColumn="0" w:lastRowLastColumn="0"/>
            <w:tcW w:w="1085" w:type="pct"/>
            <w:noWrap/>
            <w:hideMark/>
          </w:tcPr>
          <w:p w14:paraId="09483591" w14:textId="77777777" w:rsidR="00F47287" w:rsidRPr="00996B4A" w:rsidRDefault="00F47287" w:rsidP="00842CB7">
            <w:pPr>
              <w:rPr>
                <w:rFonts w:eastAsia="Times New Roman" w:cstheme="majorBidi"/>
                <w:b w:val="0"/>
                <w:bCs w:val="0"/>
                <w:color w:val="000000"/>
                <w:sz w:val="18"/>
                <w:szCs w:val="18"/>
              </w:rPr>
            </w:pPr>
            <w:r w:rsidRPr="00996B4A">
              <w:rPr>
                <w:rFonts w:eastAsia="Times New Roman" w:cstheme="majorBidi"/>
                <w:color w:val="000000"/>
                <w:sz w:val="18"/>
                <w:szCs w:val="18"/>
              </w:rPr>
              <w:t>LLTI</w:t>
            </w:r>
            <w:r>
              <w:rPr>
                <w:rFonts w:eastAsia="Times New Roman" w:cstheme="majorBidi"/>
                <w:color w:val="000000"/>
                <w:sz w:val="18"/>
                <w:szCs w:val="18"/>
              </w:rPr>
              <w:t xml:space="preserve"> &amp;</w:t>
            </w:r>
            <w:r w:rsidRPr="00996B4A">
              <w:rPr>
                <w:rFonts w:eastAsia="Times New Roman" w:cstheme="majorBidi"/>
                <w:color w:val="000000"/>
                <w:sz w:val="18"/>
                <w:szCs w:val="18"/>
              </w:rPr>
              <w:t xml:space="preserve"> 25-34</w:t>
            </w:r>
          </w:p>
        </w:tc>
        <w:tc>
          <w:tcPr>
            <w:tcW w:w="500" w:type="pct"/>
            <w:noWrap/>
            <w:hideMark/>
          </w:tcPr>
          <w:p w14:paraId="323BAB8E"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0.06</w:t>
            </w:r>
          </w:p>
        </w:tc>
        <w:tc>
          <w:tcPr>
            <w:tcW w:w="415" w:type="pct"/>
            <w:noWrap/>
            <w:hideMark/>
          </w:tcPr>
          <w:p w14:paraId="3631430C"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-0.02</w:t>
            </w:r>
          </w:p>
        </w:tc>
        <w:tc>
          <w:tcPr>
            <w:tcW w:w="417" w:type="pct"/>
            <w:noWrap/>
            <w:hideMark/>
          </w:tcPr>
          <w:p w14:paraId="1AE602BF"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0.14</w:t>
            </w:r>
          </w:p>
        </w:tc>
        <w:tc>
          <w:tcPr>
            <w:tcW w:w="500" w:type="pct"/>
            <w:noWrap/>
            <w:hideMark/>
          </w:tcPr>
          <w:p w14:paraId="050415A2"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0.16**</w:t>
            </w:r>
          </w:p>
        </w:tc>
        <w:tc>
          <w:tcPr>
            <w:tcW w:w="416" w:type="pct"/>
            <w:noWrap/>
            <w:hideMark/>
          </w:tcPr>
          <w:p w14:paraId="08BE9CD4"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0.08</w:t>
            </w:r>
          </w:p>
        </w:tc>
        <w:tc>
          <w:tcPr>
            <w:tcW w:w="417" w:type="pct"/>
            <w:noWrap/>
            <w:hideMark/>
          </w:tcPr>
          <w:p w14:paraId="1393349B"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0.25</w:t>
            </w:r>
          </w:p>
        </w:tc>
        <w:tc>
          <w:tcPr>
            <w:tcW w:w="500" w:type="pct"/>
            <w:noWrap/>
            <w:hideMark/>
          </w:tcPr>
          <w:p w14:paraId="1155CBA5"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0.28**</w:t>
            </w:r>
          </w:p>
        </w:tc>
        <w:tc>
          <w:tcPr>
            <w:tcW w:w="396" w:type="pct"/>
            <w:noWrap/>
            <w:hideMark/>
          </w:tcPr>
          <w:p w14:paraId="2372284C"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0.17</w:t>
            </w:r>
          </w:p>
        </w:tc>
        <w:tc>
          <w:tcPr>
            <w:tcW w:w="354" w:type="pct"/>
            <w:noWrap/>
            <w:hideMark/>
          </w:tcPr>
          <w:p w14:paraId="6D80BDA7"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0.38</w:t>
            </w:r>
          </w:p>
        </w:tc>
      </w:tr>
      <w:tr w:rsidR="00F47287" w:rsidRPr="00E26635" w14:paraId="1EED4442" w14:textId="77777777" w:rsidTr="00842CB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85" w:type="pct"/>
            <w:noWrap/>
            <w:hideMark/>
          </w:tcPr>
          <w:p w14:paraId="24E776B1" w14:textId="77777777" w:rsidR="00F47287" w:rsidRPr="00996B4A" w:rsidRDefault="00F47287" w:rsidP="00842CB7">
            <w:pPr>
              <w:rPr>
                <w:rFonts w:eastAsia="Times New Roman" w:cstheme="majorBidi"/>
                <w:b w:val="0"/>
                <w:bCs w:val="0"/>
                <w:color w:val="000000"/>
                <w:sz w:val="18"/>
                <w:szCs w:val="18"/>
              </w:rPr>
            </w:pPr>
            <w:r w:rsidRPr="00996B4A">
              <w:rPr>
                <w:rFonts w:eastAsia="Times New Roman" w:cstheme="majorBidi"/>
                <w:color w:val="000000"/>
                <w:sz w:val="18"/>
                <w:szCs w:val="18"/>
              </w:rPr>
              <w:t>LLTI</w:t>
            </w:r>
            <w:r>
              <w:rPr>
                <w:rFonts w:eastAsia="Times New Roman" w:cstheme="majorBidi"/>
                <w:color w:val="000000"/>
                <w:sz w:val="18"/>
                <w:szCs w:val="18"/>
              </w:rPr>
              <w:t xml:space="preserve"> &amp;</w:t>
            </w:r>
            <w:r w:rsidRPr="00996B4A">
              <w:rPr>
                <w:rFonts w:eastAsia="Times New Roman" w:cstheme="majorBidi"/>
                <w:color w:val="000000"/>
                <w:sz w:val="18"/>
                <w:szCs w:val="18"/>
              </w:rPr>
              <w:t xml:space="preserve"> 35-44</w:t>
            </w:r>
          </w:p>
        </w:tc>
        <w:tc>
          <w:tcPr>
            <w:tcW w:w="500" w:type="pct"/>
            <w:noWrap/>
            <w:hideMark/>
          </w:tcPr>
          <w:p w14:paraId="5EC11993"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0.03</w:t>
            </w:r>
          </w:p>
        </w:tc>
        <w:tc>
          <w:tcPr>
            <w:tcW w:w="415" w:type="pct"/>
            <w:noWrap/>
            <w:hideMark/>
          </w:tcPr>
          <w:p w14:paraId="30FEFBDD"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-0.05</w:t>
            </w:r>
          </w:p>
        </w:tc>
        <w:tc>
          <w:tcPr>
            <w:tcW w:w="417" w:type="pct"/>
            <w:noWrap/>
            <w:hideMark/>
          </w:tcPr>
          <w:p w14:paraId="4111107F"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0.11</w:t>
            </w:r>
          </w:p>
        </w:tc>
        <w:tc>
          <w:tcPr>
            <w:tcW w:w="500" w:type="pct"/>
            <w:noWrap/>
            <w:hideMark/>
          </w:tcPr>
          <w:p w14:paraId="46B2AF5A"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0.14**</w:t>
            </w:r>
          </w:p>
        </w:tc>
        <w:tc>
          <w:tcPr>
            <w:tcW w:w="416" w:type="pct"/>
            <w:noWrap/>
            <w:hideMark/>
          </w:tcPr>
          <w:p w14:paraId="4FFDFA05"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0.05</w:t>
            </w:r>
          </w:p>
        </w:tc>
        <w:tc>
          <w:tcPr>
            <w:tcW w:w="417" w:type="pct"/>
            <w:noWrap/>
            <w:hideMark/>
          </w:tcPr>
          <w:p w14:paraId="5D6D61FD"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0.23</w:t>
            </w:r>
          </w:p>
        </w:tc>
        <w:tc>
          <w:tcPr>
            <w:tcW w:w="500" w:type="pct"/>
            <w:noWrap/>
            <w:hideMark/>
          </w:tcPr>
          <w:p w14:paraId="48550E63"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0.30**</w:t>
            </w:r>
          </w:p>
        </w:tc>
        <w:tc>
          <w:tcPr>
            <w:tcW w:w="396" w:type="pct"/>
            <w:noWrap/>
            <w:hideMark/>
          </w:tcPr>
          <w:p w14:paraId="0215BFE3"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0.19</w:t>
            </w:r>
          </w:p>
        </w:tc>
        <w:tc>
          <w:tcPr>
            <w:tcW w:w="354" w:type="pct"/>
            <w:noWrap/>
            <w:hideMark/>
          </w:tcPr>
          <w:p w14:paraId="176F2BBA"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0.40</w:t>
            </w:r>
          </w:p>
        </w:tc>
      </w:tr>
      <w:tr w:rsidR="00F47287" w:rsidRPr="00E26635" w14:paraId="601D7002" w14:textId="77777777" w:rsidTr="00842CB7">
        <w:trPr>
          <w:trHeight w:val="300"/>
          <w:jc w:val="center"/>
        </w:trPr>
        <w:tc>
          <w:tcPr>
            <w:cnfStyle w:val="001000000000" w:firstRow="0" w:lastRow="0" w:firstColumn="1" w:lastColumn="0" w:oddVBand="0" w:evenVBand="0" w:oddHBand="0" w:evenHBand="0" w:firstRowFirstColumn="0" w:firstRowLastColumn="0" w:lastRowFirstColumn="0" w:lastRowLastColumn="0"/>
            <w:tcW w:w="1085" w:type="pct"/>
            <w:noWrap/>
            <w:hideMark/>
          </w:tcPr>
          <w:p w14:paraId="0F605F9C" w14:textId="77777777" w:rsidR="00F47287" w:rsidRPr="00996B4A" w:rsidRDefault="00F47287" w:rsidP="00842CB7">
            <w:pPr>
              <w:rPr>
                <w:rFonts w:eastAsia="Times New Roman" w:cstheme="majorBidi"/>
                <w:b w:val="0"/>
                <w:bCs w:val="0"/>
                <w:color w:val="000000"/>
                <w:sz w:val="18"/>
                <w:szCs w:val="18"/>
              </w:rPr>
            </w:pPr>
            <w:r w:rsidRPr="00996B4A">
              <w:rPr>
                <w:rFonts w:eastAsia="Times New Roman" w:cstheme="majorBidi"/>
                <w:color w:val="000000"/>
                <w:sz w:val="18"/>
                <w:szCs w:val="18"/>
              </w:rPr>
              <w:t>LLTI</w:t>
            </w:r>
            <w:r>
              <w:rPr>
                <w:rFonts w:eastAsia="Times New Roman" w:cstheme="majorBidi"/>
                <w:color w:val="000000"/>
                <w:sz w:val="18"/>
                <w:szCs w:val="18"/>
              </w:rPr>
              <w:t xml:space="preserve"> &amp;</w:t>
            </w:r>
            <w:r w:rsidRPr="00996B4A">
              <w:rPr>
                <w:rFonts w:eastAsia="Times New Roman" w:cstheme="majorBidi"/>
                <w:color w:val="000000"/>
                <w:sz w:val="18"/>
                <w:szCs w:val="18"/>
              </w:rPr>
              <w:t xml:space="preserve"> 45-54</w:t>
            </w:r>
          </w:p>
        </w:tc>
        <w:tc>
          <w:tcPr>
            <w:tcW w:w="500" w:type="pct"/>
            <w:noWrap/>
            <w:hideMark/>
          </w:tcPr>
          <w:p w14:paraId="7F40B005"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-0.05</w:t>
            </w:r>
          </w:p>
        </w:tc>
        <w:tc>
          <w:tcPr>
            <w:tcW w:w="415" w:type="pct"/>
            <w:noWrap/>
            <w:hideMark/>
          </w:tcPr>
          <w:p w14:paraId="6FADB38A"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-0.13</w:t>
            </w:r>
          </w:p>
        </w:tc>
        <w:tc>
          <w:tcPr>
            <w:tcW w:w="417" w:type="pct"/>
            <w:noWrap/>
            <w:hideMark/>
          </w:tcPr>
          <w:p w14:paraId="75CD9B8F"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0.04</w:t>
            </w:r>
          </w:p>
        </w:tc>
        <w:tc>
          <w:tcPr>
            <w:tcW w:w="500" w:type="pct"/>
            <w:noWrap/>
            <w:hideMark/>
          </w:tcPr>
          <w:p w14:paraId="6BD5A27A"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0.01</w:t>
            </w:r>
          </w:p>
        </w:tc>
        <w:tc>
          <w:tcPr>
            <w:tcW w:w="416" w:type="pct"/>
            <w:noWrap/>
            <w:hideMark/>
          </w:tcPr>
          <w:p w14:paraId="7DC700F4"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-0.09</w:t>
            </w:r>
          </w:p>
        </w:tc>
        <w:tc>
          <w:tcPr>
            <w:tcW w:w="417" w:type="pct"/>
            <w:noWrap/>
            <w:hideMark/>
          </w:tcPr>
          <w:p w14:paraId="567C7A5D"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0.10</w:t>
            </w:r>
          </w:p>
        </w:tc>
        <w:tc>
          <w:tcPr>
            <w:tcW w:w="500" w:type="pct"/>
            <w:noWrap/>
            <w:hideMark/>
          </w:tcPr>
          <w:p w14:paraId="006F2704"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0.10</w:t>
            </w:r>
          </w:p>
        </w:tc>
        <w:tc>
          <w:tcPr>
            <w:tcW w:w="396" w:type="pct"/>
            <w:noWrap/>
            <w:hideMark/>
          </w:tcPr>
          <w:p w14:paraId="43388724"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-0.01</w:t>
            </w:r>
          </w:p>
        </w:tc>
        <w:tc>
          <w:tcPr>
            <w:tcW w:w="354" w:type="pct"/>
            <w:noWrap/>
            <w:hideMark/>
          </w:tcPr>
          <w:p w14:paraId="6AA53CE1"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0.21</w:t>
            </w:r>
          </w:p>
        </w:tc>
      </w:tr>
      <w:tr w:rsidR="00F47287" w:rsidRPr="00E26635" w14:paraId="6FEA23AD" w14:textId="77777777" w:rsidTr="00842CB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85" w:type="pct"/>
            <w:noWrap/>
            <w:hideMark/>
          </w:tcPr>
          <w:p w14:paraId="645EE89F" w14:textId="77777777" w:rsidR="00F47287" w:rsidRPr="00996B4A" w:rsidRDefault="00F47287" w:rsidP="00842CB7">
            <w:pPr>
              <w:rPr>
                <w:rFonts w:eastAsia="Times New Roman" w:cstheme="majorBidi"/>
                <w:b w:val="0"/>
                <w:bCs w:val="0"/>
                <w:color w:val="000000"/>
                <w:sz w:val="18"/>
                <w:szCs w:val="18"/>
              </w:rPr>
            </w:pPr>
            <w:r w:rsidRPr="00996B4A">
              <w:rPr>
                <w:rFonts w:eastAsia="Times New Roman" w:cstheme="majorBidi"/>
                <w:color w:val="000000"/>
                <w:sz w:val="18"/>
                <w:szCs w:val="18"/>
              </w:rPr>
              <w:t>LLTI</w:t>
            </w:r>
            <w:r>
              <w:rPr>
                <w:rFonts w:eastAsia="Times New Roman" w:cstheme="majorBidi"/>
                <w:color w:val="000000"/>
                <w:sz w:val="18"/>
                <w:szCs w:val="18"/>
              </w:rPr>
              <w:t xml:space="preserve"> &amp;</w:t>
            </w:r>
            <w:r w:rsidRPr="00996B4A">
              <w:rPr>
                <w:rFonts w:eastAsia="Times New Roman" w:cstheme="majorBidi"/>
                <w:color w:val="000000"/>
                <w:sz w:val="18"/>
                <w:szCs w:val="18"/>
              </w:rPr>
              <w:t xml:space="preserve"> 55-64</w:t>
            </w:r>
          </w:p>
        </w:tc>
        <w:tc>
          <w:tcPr>
            <w:tcW w:w="500" w:type="pct"/>
            <w:noWrap/>
            <w:hideMark/>
          </w:tcPr>
          <w:p w14:paraId="280F0B2F"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-0.23**</w:t>
            </w:r>
          </w:p>
        </w:tc>
        <w:tc>
          <w:tcPr>
            <w:tcW w:w="415" w:type="pct"/>
            <w:noWrap/>
            <w:hideMark/>
          </w:tcPr>
          <w:p w14:paraId="642CC15F"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-0.32</w:t>
            </w:r>
          </w:p>
        </w:tc>
        <w:tc>
          <w:tcPr>
            <w:tcW w:w="417" w:type="pct"/>
            <w:noWrap/>
            <w:hideMark/>
          </w:tcPr>
          <w:p w14:paraId="2403354D"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-0.15</w:t>
            </w:r>
          </w:p>
        </w:tc>
        <w:tc>
          <w:tcPr>
            <w:tcW w:w="500" w:type="pct"/>
            <w:noWrap/>
            <w:hideMark/>
          </w:tcPr>
          <w:p w14:paraId="2A209202"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-0.14*</w:t>
            </w:r>
          </w:p>
        </w:tc>
        <w:tc>
          <w:tcPr>
            <w:tcW w:w="416" w:type="pct"/>
            <w:noWrap/>
            <w:hideMark/>
          </w:tcPr>
          <w:p w14:paraId="3E8E11B2"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-0.23</w:t>
            </w:r>
          </w:p>
        </w:tc>
        <w:tc>
          <w:tcPr>
            <w:tcW w:w="417" w:type="pct"/>
            <w:noWrap/>
            <w:hideMark/>
          </w:tcPr>
          <w:p w14:paraId="6B49B1A1"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-0.04</w:t>
            </w:r>
          </w:p>
        </w:tc>
        <w:tc>
          <w:tcPr>
            <w:tcW w:w="500" w:type="pct"/>
            <w:noWrap/>
            <w:hideMark/>
          </w:tcPr>
          <w:p w14:paraId="053050C6"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-0.01</w:t>
            </w:r>
          </w:p>
        </w:tc>
        <w:tc>
          <w:tcPr>
            <w:tcW w:w="396" w:type="pct"/>
            <w:noWrap/>
            <w:hideMark/>
          </w:tcPr>
          <w:p w14:paraId="299762F8"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-0.12</w:t>
            </w:r>
          </w:p>
        </w:tc>
        <w:tc>
          <w:tcPr>
            <w:tcW w:w="354" w:type="pct"/>
            <w:noWrap/>
            <w:hideMark/>
          </w:tcPr>
          <w:p w14:paraId="2FBC8FEC"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0.10</w:t>
            </w:r>
          </w:p>
        </w:tc>
      </w:tr>
      <w:tr w:rsidR="00F47287" w:rsidRPr="00E26635" w14:paraId="05B8B3C5" w14:textId="77777777" w:rsidTr="00842CB7">
        <w:trPr>
          <w:trHeight w:val="300"/>
          <w:jc w:val="center"/>
        </w:trPr>
        <w:tc>
          <w:tcPr>
            <w:cnfStyle w:val="001000000000" w:firstRow="0" w:lastRow="0" w:firstColumn="1" w:lastColumn="0" w:oddVBand="0" w:evenVBand="0" w:oddHBand="0" w:evenHBand="0" w:firstRowFirstColumn="0" w:firstRowLastColumn="0" w:lastRowFirstColumn="0" w:lastRowLastColumn="0"/>
            <w:tcW w:w="1085" w:type="pct"/>
            <w:noWrap/>
          </w:tcPr>
          <w:p w14:paraId="0467A6FA" w14:textId="77777777" w:rsidR="00F47287" w:rsidRPr="00996B4A" w:rsidRDefault="00F47287" w:rsidP="00842CB7">
            <w:pPr>
              <w:rPr>
                <w:rFonts w:eastAsia="Times New Roman" w:cstheme="majorBidi"/>
                <w:color w:val="000000"/>
                <w:sz w:val="18"/>
                <w:szCs w:val="18"/>
              </w:rPr>
            </w:pPr>
            <w:r w:rsidRPr="00996B4A">
              <w:rPr>
                <w:rFonts w:eastAsia="Times New Roman" w:cstheme="majorBidi"/>
                <w:color w:val="000000"/>
                <w:sz w:val="18"/>
                <w:szCs w:val="18"/>
              </w:rPr>
              <w:t>Sex (ref Male)</w:t>
            </w:r>
          </w:p>
        </w:tc>
        <w:tc>
          <w:tcPr>
            <w:tcW w:w="500" w:type="pct"/>
            <w:noWrap/>
          </w:tcPr>
          <w:p w14:paraId="177D7381"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-0.13**</w:t>
            </w:r>
          </w:p>
        </w:tc>
        <w:tc>
          <w:tcPr>
            <w:tcW w:w="415" w:type="pct"/>
            <w:noWrap/>
          </w:tcPr>
          <w:p w14:paraId="42C4D58F"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-0.15</w:t>
            </w:r>
          </w:p>
        </w:tc>
        <w:tc>
          <w:tcPr>
            <w:tcW w:w="417" w:type="pct"/>
            <w:noWrap/>
          </w:tcPr>
          <w:p w14:paraId="1441A38C"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-0.10</w:t>
            </w:r>
          </w:p>
        </w:tc>
        <w:tc>
          <w:tcPr>
            <w:tcW w:w="500" w:type="pct"/>
            <w:noWrap/>
          </w:tcPr>
          <w:p w14:paraId="352BE81C"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-0.15**</w:t>
            </w:r>
          </w:p>
        </w:tc>
        <w:tc>
          <w:tcPr>
            <w:tcW w:w="416" w:type="pct"/>
            <w:noWrap/>
          </w:tcPr>
          <w:p w14:paraId="70744120"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-0.18</w:t>
            </w:r>
          </w:p>
        </w:tc>
        <w:tc>
          <w:tcPr>
            <w:tcW w:w="417" w:type="pct"/>
            <w:noWrap/>
          </w:tcPr>
          <w:p w14:paraId="36F3695A"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-0.13</w:t>
            </w:r>
          </w:p>
        </w:tc>
        <w:tc>
          <w:tcPr>
            <w:tcW w:w="500" w:type="pct"/>
            <w:noWrap/>
          </w:tcPr>
          <w:p w14:paraId="331D7DEF"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-0.17**</w:t>
            </w:r>
          </w:p>
        </w:tc>
        <w:tc>
          <w:tcPr>
            <w:tcW w:w="396" w:type="pct"/>
            <w:noWrap/>
          </w:tcPr>
          <w:p w14:paraId="0D75044E"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-0.20</w:t>
            </w:r>
          </w:p>
        </w:tc>
        <w:tc>
          <w:tcPr>
            <w:tcW w:w="354" w:type="pct"/>
            <w:noWrap/>
          </w:tcPr>
          <w:p w14:paraId="5D32ECF1"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-0.14</w:t>
            </w:r>
          </w:p>
        </w:tc>
      </w:tr>
      <w:tr w:rsidR="00F47287" w:rsidRPr="00E26635" w14:paraId="6122C363" w14:textId="77777777" w:rsidTr="00842CB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85" w:type="pct"/>
            <w:noWrap/>
          </w:tcPr>
          <w:p w14:paraId="19D5345B" w14:textId="77777777" w:rsidR="00F47287" w:rsidRPr="00996B4A" w:rsidRDefault="00F47287" w:rsidP="00842CB7">
            <w:pPr>
              <w:rPr>
                <w:rFonts w:eastAsia="Times New Roman" w:cstheme="majorBidi"/>
                <w:color w:val="000000"/>
                <w:sz w:val="18"/>
                <w:szCs w:val="18"/>
              </w:rPr>
            </w:pPr>
            <w:r>
              <w:rPr>
                <w:rFonts w:eastAsia="Times New Roman" w:cstheme="majorBidi"/>
                <w:color w:val="000000"/>
                <w:sz w:val="18"/>
                <w:szCs w:val="18"/>
              </w:rPr>
              <w:t>Sex and age interactions</w:t>
            </w:r>
          </w:p>
        </w:tc>
        <w:tc>
          <w:tcPr>
            <w:tcW w:w="500" w:type="pct"/>
            <w:noWrap/>
          </w:tcPr>
          <w:p w14:paraId="23464BD8"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p>
        </w:tc>
        <w:tc>
          <w:tcPr>
            <w:tcW w:w="415" w:type="pct"/>
            <w:noWrap/>
          </w:tcPr>
          <w:p w14:paraId="5AD86D91"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p>
        </w:tc>
        <w:tc>
          <w:tcPr>
            <w:tcW w:w="417" w:type="pct"/>
            <w:noWrap/>
          </w:tcPr>
          <w:p w14:paraId="3BF0342F"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p>
        </w:tc>
        <w:tc>
          <w:tcPr>
            <w:tcW w:w="500" w:type="pct"/>
            <w:noWrap/>
          </w:tcPr>
          <w:p w14:paraId="090EC71E"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p>
        </w:tc>
        <w:tc>
          <w:tcPr>
            <w:tcW w:w="416" w:type="pct"/>
            <w:noWrap/>
          </w:tcPr>
          <w:p w14:paraId="16F98DC9"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p>
        </w:tc>
        <w:tc>
          <w:tcPr>
            <w:tcW w:w="417" w:type="pct"/>
            <w:noWrap/>
          </w:tcPr>
          <w:p w14:paraId="7EC12139"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p>
        </w:tc>
        <w:tc>
          <w:tcPr>
            <w:tcW w:w="500" w:type="pct"/>
            <w:noWrap/>
          </w:tcPr>
          <w:p w14:paraId="5224734E"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p>
        </w:tc>
        <w:tc>
          <w:tcPr>
            <w:tcW w:w="396" w:type="pct"/>
            <w:noWrap/>
          </w:tcPr>
          <w:p w14:paraId="5B684AE1"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p>
        </w:tc>
        <w:tc>
          <w:tcPr>
            <w:tcW w:w="354" w:type="pct"/>
            <w:noWrap/>
          </w:tcPr>
          <w:p w14:paraId="4B0D87E2"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p>
        </w:tc>
      </w:tr>
      <w:tr w:rsidR="00F47287" w:rsidRPr="00E26635" w14:paraId="2F902641" w14:textId="77777777" w:rsidTr="00842CB7">
        <w:trPr>
          <w:trHeight w:val="300"/>
          <w:jc w:val="center"/>
        </w:trPr>
        <w:tc>
          <w:tcPr>
            <w:cnfStyle w:val="001000000000" w:firstRow="0" w:lastRow="0" w:firstColumn="1" w:lastColumn="0" w:oddVBand="0" w:evenVBand="0" w:oddHBand="0" w:evenHBand="0" w:firstRowFirstColumn="0" w:firstRowLastColumn="0" w:lastRowFirstColumn="0" w:lastRowLastColumn="0"/>
            <w:tcW w:w="1085" w:type="pct"/>
            <w:noWrap/>
            <w:hideMark/>
          </w:tcPr>
          <w:p w14:paraId="0DAEA873" w14:textId="77777777" w:rsidR="00F47287" w:rsidRPr="00996B4A" w:rsidRDefault="00F47287" w:rsidP="00842CB7">
            <w:pPr>
              <w:rPr>
                <w:rFonts w:eastAsia="Times New Roman" w:cstheme="majorBidi"/>
                <w:b w:val="0"/>
                <w:bCs w:val="0"/>
                <w:color w:val="000000"/>
                <w:sz w:val="18"/>
                <w:szCs w:val="18"/>
              </w:rPr>
            </w:pPr>
            <w:r w:rsidRPr="00996B4A">
              <w:rPr>
                <w:rFonts w:eastAsia="Times New Roman" w:cstheme="majorBidi"/>
                <w:color w:val="000000"/>
                <w:sz w:val="18"/>
                <w:szCs w:val="18"/>
              </w:rPr>
              <w:t>Female</w:t>
            </w:r>
            <w:r>
              <w:rPr>
                <w:rFonts w:eastAsia="Times New Roman" w:cstheme="majorBidi"/>
                <w:color w:val="000000"/>
                <w:sz w:val="18"/>
                <w:szCs w:val="18"/>
              </w:rPr>
              <w:t xml:space="preserve"> &amp;</w:t>
            </w:r>
            <w:r w:rsidRPr="00996B4A">
              <w:rPr>
                <w:rFonts w:eastAsia="Times New Roman" w:cstheme="majorBidi"/>
                <w:color w:val="000000"/>
                <w:sz w:val="18"/>
                <w:szCs w:val="18"/>
              </w:rPr>
              <w:t xml:space="preserve"> 25-34</w:t>
            </w:r>
          </w:p>
        </w:tc>
        <w:tc>
          <w:tcPr>
            <w:tcW w:w="500" w:type="pct"/>
            <w:noWrap/>
            <w:hideMark/>
          </w:tcPr>
          <w:p w14:paraId="00810472"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0.10**</w:t>
            </w:r>
          </w:p>
        </w:tc>
        <w:tc>
          <w:tcPr>
            <w:tcW w:w="415" w:type="pct"/>
            <w:noWrap/>
            <w:hideMark/>
          </w:tcPr>
          <w:p w14:paraId="70943385"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0.06</w:t>
            </w:r>
          </w:p>
        </w:tc>
        <w:tc>
          <w:tcPr>
            <w:tcW w:w="417" w:type="pct"/>
            <w:noWrap/>
            <w:hideMark/>
          </w:tcPr>
          <w:p w14:paraId="008978AC"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0.13</w:t>
            </w:r>
          </w:p>
        </w:tc>
        <w:tc>
          <w:tcPr>
            <w:tcW w:w="500" w:type="pct"/>
            <w:noWrap/>
            <w:hideMark/>
          </w:tcPr>
          <w:p w14:paraId="34E7072C"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0.10**</w:t>
            </w:r>
          </w:p>
        </w:tc>
        <w:tc>
          <w:tcPr>
            <w:tcW w:w="416" w:type="pct"/>
            <w:noWrap/>
            <w:hideMark/>
          </w:tcPr>
          <w:p w14:paraId="1E0AEEAA"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0.06</w:t>
            </w:r>
          </w:p>
        </w:tc>
        <w:tc>
          <w:tcPr>
            <w:tcW w:w="417" w:type="pct"/>
            <w:noWrap/>
            <w:hideMark/>
          </w:tcPr>
          <w:p w14:paraId="2472C045"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0.13</w:t>
            </w:r>
          </w:p>
        </w:tc>
        <w:tc>
          <w:tcPr>
            <w:tcW w:w="500" w:type="pct"/>
            <w:noWrap/>
            <w:hideMark/>
          </w:tcPr>
          <w:p w14:paraId="6146E45A"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0.09**</w:t>
            </w:r>
          </w:p>
        </w:tc>
        <w:tc>
          <w:tcPr>
            <w:tcW w:w="396" w:type="pct"/>
            <w:noWrap/>
            <w:hideMark/>
          </w:tcPr>
          <w:p w14:paraId="77B34B9D"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0.05</w:t>
            </w:r>
          </w:p>
        </w:tc>
        <w:tc>
          <w:tcPr>
            <w:tcW w:w="354" w:type="pct"/>
            <w:noWrap/>
            <w:hideMark/>
          </w:tcPr>
          <w:p w14:paraId="3468B262"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0.14</w:t>
            </w:r>
          </w:p>
        </w:tc>
      </w:tr>
      <w:tr w:rsidR="00F47287" w:rsidRPr="00E26635" w14:paraId="707117BB" w14:textId="77777777" w:rsidTr="00842CB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85" w:type="pct"/>
            <w:noWrap/>
            <w:hideMark/>
          </w:tcPr>
          <w:p w14:paraId="48185E7C" w14:textId="77777777" w:rsidR="00F47287" w:rsidRPr="00996B4A" w:rsidRDefault="00F47287" w:rsidP="00842CB7">
            <w:pPr>
              <w:rPr>
                <w:rFonts w:eastAsia="Times New Roman" w:cstheme="majorBidi"/>
                <w:b w:val="0"/>
                <w:bCs w:val="0"/>
                <w:color w:val="000000"/>
                <w:sz w:val="18"/>
                <w:szCs w:val="18"/>
              </w:rPr>
            </w:pPr>
            <w:r w:rsidRPr="00996B4A">
              <w:rPr>
                <w:rFonts w:eastAsia="Times New Roman" w:cstheme="majorBidi"/>
                <w:color w:val="000000"/>
                <w:sz w:val="18"/>
                <w:szCs w:val="18"/>
              </w:rPr>
              <w:t>Female</w:t>
            </w:r>
            <w:r>
              <w:rPr>
                <w:rFonts w:eastAsia="Times New Roman" w:cstheme="majorBidi"/>
                <w:color w:val="000000"/>
                <w:sz w:val="18"/>
                <w:szCs w:val="18"/>
              </w:rPr>
              <w:t xml:space="preserve"> &amp; </w:t>
            </w:r>
            <w:r w:rsidRPr="00996B4A">
              <w:rPr>
                <w:rFonts w:eastAsia="Times New Roman" w:cstheme="majorBidi"/>
                <w:color w:val="000000"/>
                <w:sz w:val="18"/>
                <w:szCs w:val="18"/>
              </w:rPr>
              <w:t>35-44</w:t>
            </w:r>
          </w:p>
        </w:tc>
        <w:tc>
          <w:tcPr>
            <w:tcW w:w="500" w:type="pct"/>
            <w:noWrap/>
            <w:hideMark/>
          </w:tcPr>
          <w:p w14:paraId="69ED90D6"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-0.01</w:t>
            </w:r>
          </w:p>
        </w:tc>
        <w:tc>
          <w:tcPr>
            <w:tcW w:w="415" w:type="pct"/>
            <w:noWrap/>
            <w:hideMark/>
          </w:tcPr>
          <w:p w14:paraId="59DA611E"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-0.05</w:t>
            </w:r>
          </w:p>
        </w:tc>
        <w:tc>
          <w:tcPr>
            <w:tcW w:w="417" w:type="pct"/>
            <w:noWrap/>
            <w:hideMark/>
          </w:tcPr>
          <w:p w14:paraId="29CCB403"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0.03</w:t>
            </w:r>
          </w:p>
        </w:tc>
        <w:tc>
          <w:tcPr>
            <w:tcW w:w="500" w:type="pct"/>
            <w:noWrap/>
            <w:hideMark/>
          </w:tcPr>
          <w:p w14:paraId="2D229116"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0.01</w:t>
            </w:r>
          </w:p>
        </w:tc>
        <w:tc>
          <w:tcPr>
            <w:tcW w:w="416" w:type="pct"/>
            <w:noWrap/>
            <w:hideMark/>
          </w:tcPr>
          <w:p w14:paraId="2224C319"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-0.03</w:t>
            </w:r>
          </w:p>
        </w:tc>
        <w:tc>
          <w:tcPr>
            <w:tcW w:w="417" w:type="pct"/>
            <w:noWrap/>
            <w:hideMark/>
          </w:tcPr>
          <w:p w14:paraId="775D6235"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0.06</w:t>
            </w:r>
          </w:p>
        </w:tc>
        <w:tc>
          <w:tcPr>
            <w:tcW w:w="500" w:type="pct"/>
            <w:noWrap/>
            <w:hideMark/>
          </w:tcPr>
          <w:p w14:paraId="548D7A12"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0.06*</w:t>
            </w:r>
          </w:p>
        </w:tc>
        <w:tc>
          <w:tcPr>
            <w:tcW w:w="396" w:type="pct"/>
            <w:noWrap/>
            <w:hideMark/>
          </w:tcPr>
          <w:p w14:paraId="5290F741"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0.00</w:t>
            </w:r>
          </w:p>
        </w:tc>
        <w:tc>
          <w:tcPr>
            <w:tcW w:w="354" w:type="pct"/>
            <w:noWrap/>
            <w:hideMark/>
          </w:tcPr>
          <w:p w14:paraId="1E6A55FA"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0.11</w:t>
            </w:r>
          </w:p>
        </w:tc>
      </w:tr>
      <w:tr w:rsidR="00F47287" w:rsidRPr="00E26635" w14:paraId="71DD6333" w14:textId="77777777" w:rsidTr="00842CB7">
        <w:trPr>
          <w:trHeight w:val="300"/>
          <w:jc w:val="center"/>
        </w:trPr>
        <w:tc>
          <w:tcPr>
            <w:cnfStyle w:val="001000000000" w:firstRow="0" w:lastRow="0" w:firstColumn="1" w:lastColumn="0" w:oddVBand="0" w:evenVBand="0" w:oddHBand="0" w:evenHBand="0" w:firstRowFirstColumn="0" w:firstRowLastColumn="0" w:lastRowFirstColumn="0" w:lastRowLastColumn="0"/>
            <w:tcW w:w="1085" w:type="pct"/>
            <w:noWrap/>
            <w:hideMark/>
          </w:tcPr>
          <w:p w14:paraId="3DA85ED0" w14:textId="77777777" w:rsidR="00F47287" w:rsidRPr="00996B4A" w:rsidRDefault="00F47287" w:rsidP="00842CB7">
            <w:pPr>
              <w:rPr>
                <w:rFonts w:eastAsia="Times New Roman" w:cstheme="majorBidi"/>
                <w:b w:val="0"/>
                <w:bCs w:val="0"/>
                <w:color w:val="000000"/>
                <w:sz w:val="18"/>
                <w:szCs w:val="18"/>
              </w:rPr>
            </w:pPr>
            <w:r w:rsidRPr="00996B4A">
              <w:rPr>
                <w:rFonts w:eastAsia="Times New Roman" w:cstheme="majorBidi"/>
                <w:color w:val="000000"/>
                <w:sz w:val="18"/>
                <w:szCs w:val="18"/>
              </w:rPr>
              <w:lastRenderedPageBreak/>
              <w:t>Female</w:t>
            </w:r>
            <w:r>
              <w:rPr>
                <w:rFonts w:eastAsia="Times New Roman" w:cstheme="majorBidi"/>
                <w:color w:val="000000"/>
                <w:sz w:val="18"/>
                <w:szCs w:val="18"/>
              </w:rPr>
              <w:t xml:space="preserve"> &amp;</w:t>
            </w:r>
            <w:r w:rsidRPr="00996B4A">
              <w:rPr>
                <w:rFonts w:eastAsia="Times New Roman" w:cstheme="majorBidi"/>
                <w:color w:val="000000"/>
                <w:sz w:val="18"/>
                <w:szCs w:val="18"/>
              </w:rPr>
              <w:t xml:space="preserve"> 45-54</w:t>
            </w:r>
          </w:p>
        </w:tc>
        <w:tc>
          <w:tcPr>
            <w:tcW w:w="500" w:type="pct"/>
            <w:noWrap/>
            <w:hideMark/>
          </w:tcPr>
          <w:p w14:paraId="7F4A3164"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0.03</w:t>
            </w:r>
          </w:p>
        </w:tc>
        <w:tc>
          <w:tcPr>
            <w:tcW w:w="415" w:type="pct"/>
            <w:noWrap/>
            <w:hideMark/>
          </w:tcPr>
          <w:p w14:paraId="5C55D5BE"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-0.01</w:t>
            </w:r>
          </w:p>
        </w:tc>
        <w:tc>
          <w:tcPr>
            <w:tcW w:w="417" w:type="pct"/>
            <w:noWrap/>
            <w:hideMark/>
          </w:tcPr>
          <w:p w14:paraId="63F5C325"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0.08</w:t>
            </w:r>
          </w:p>
        </w:tc>
        <w:tc>
          <w:tcPr>
            <w:tcW w:w="500" w:type="pct"/>
            <w:noWrap/>
            <w:hideMark/>
          </w:tcPr>
          <w:p w14:paraId="664C5C93"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0.07*</w:t>
            </w:r>
          </w:p>
        </w:tc>
        <w:tc>
          <w:tcPr>
            <w:tcW w:w="416" w:type="pct"/>
            <w:noWrap/>
            <w:hideMark/>
          </w:tcPr>
          <w:p w14:paraId="1A885017"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0.01</w:t>
            </w:r>
          </w:p>
        </w:tc>
        <w:tc>
          <w:tcPr>
            <w:tcW w:w="417" w:type="pct"/>
            <w:noWrap/>
            <w:hideMark/>
          </w:tcPr>
          <w:p w14:paraId="7A755047"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0.12</w:t>
            </w:r>
          </w:p>
        </w:tc>
        <w:tc>
          <w:tcPr>
            <w:tcW w:w="500" w:type="pct"/>
            <w:noWrap/>
            <w:hideMark/>
          </w:tcPr>
          <w:p w14:paraId="0195B067"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0.11**</w:t>
            </w:r>
          </w:p>
        </w:tc>
        <w:tc>
          <w:tcPr>
            <w:tcW w:w="396" w:type="pct"/>
            <w:noWrap/>
            <w:hideMark/>
          </w:tcPr>
          <w:p w14:paraId="669D1597"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0.05</w:t>
            </w:r>
          </w:p>
        </w:tc>
        <w:tc>
          <w:tcPr>
            <w:tcW w:w="354" w:type="pct"/>
            <w:noWrap/>
            <w:hideMark/>
          </w:tcPr>
          <w:p w14:paraId="33522836"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0.17</w:t>
            </w:r>
          </w:p>
        </w:tc>
      </w:tr>
      <w:tr w:rsidR="00F47287" w:rsidRPr="00E26635" w14:paraId="0511F583" w14:textId="77777777" w:rsidTr="00842CB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85" w:type="pct"/>
            <w:noWrap/>
            <w:hideMark/>
          </w:tcPr>
          <w:p w14:paraId="55339596" w14:textId="77777777" w:rsidR="00F47287" w:rsidRPr="00996B4A" w:rsidRDefault="00F47287" w:rsidP="00842CB7">
            <w:pPr>
              <w:rPr>
                <w:rFonts w:eastAsia="Times New Roman" w:cstheme="majorBidi"/>
                <w:b w:val="0"/>
                <w:bCs w:val="0"/>
                <w:color w:val="000000"/>
                <w:sz w:val="18"/>
                <w:szCs w:val="18"/>
              </w:rPr>
            </w:pPr>
            <w:r w:rsidRPr="00996B4A">
              <w:rPr>
                <w:rFonts w:eastAsia="Times New Roman" w:cstheme="majorBidi"/>
                <w:color w:val="000000"/>
                <w:sz w:val="18"/>
                <w:szCs w:val="18"/>
              </w:rPr>
              <w:t>Female</w:t>
            </w:r>
            <w:r>
              <w:rPr>
                <w:rFonts w:eastAsia="Times New Roman" w:cstheme="majorBidi"/>
                <w:color w:val="000000"/>
                <w:sz w:val="18"/>
                <w:szCs w:val="18"/>
              </w:rPr>
              <w:t xml:space="preserve"> &amp;</w:t>
            </w:r>
            <w:r w:rsidRPr="00996B4A">
              <w:rPr>
                <w:rFonts w:eastAsia="Times New Roman" w:cstheme="majorBidi"/>
                <w:color w:val="000000"/>
                <w:sz w:val="18"/>
                <w:szCs w:val="18"/>
              </w:rPr>
              <w:t xml:space="preserve"> 55-64</w:t>
            </w:r>
          </w:p>
        </w:tc>
        <w:tc>
          <w:tcPr>
            <w:tcW w:w="500" w:type="pct"/>
            <w:noWrap/>
            <w:hideMark/>
          </w:tcPr>
          <w:p w14:paraId="36FE7149"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0.11**</w:t>
            </w:r>
          </w:p>
        </w:tc>
        <w:tc>
          <w:tcPr>
            <w:tcW w:w="415" w:type="pct"/>
            <w:noWrap/>
            <w:hideMark/>
          </w:tcPr>
          <w:p w14:paraId="5A4CD688"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0.05</w:t>
            </w:r>
          </w:p>
        </w:tc>
        <w:tc>
          <w:tcPr>
            <w:tcW w:w="417" w:type="pct"/>
            <w:noWrap/>
            <w:hideMark/>
          </w:tcPr>
          <w:p w14:paraId="50CF1784"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0.17</w:t>
            </w:r>
          </w:p>
        </w:tc>
        <w:tc>
          <w:tcPr>
            <w:tcW w:w="500" w:type="pct"/>
            <w:noWrap/>
            <w:hideMark/>
          </w:tcPr>
          <w:p w14:paraId="33C60350"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0.14**</w:t>
            </w:r>
          </w:p>
        </w:tc>
        <w:tc>
          <w:tcPr>
            <w:tcW w:w="416" w:type="pct"/>
            <w:noWrap/>
            <w:hideMark/>
          </w:tcPr>
          <w:p w14:paraId="4E79DE2B"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0.08</w:t>
            </w:r>
          </w:p>
        </w:tc>
        <w:tc>
          <w:tcPr>
            <w:tcW w:w="417" w:type="pct"/>
            <w:noWrap/>
            <w:hideMark/>
          </w:tcPr>
          <w:p w14:paraId="344CE3C0"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0.21</w:t>
            </w:r>
          </w:p>
        </w:tc>
        <w:tc>
          <w:tcPr>
            <w:tcW w:w="500" w:type="pct"/>
            <w:noWrap/>
            <w:hideMark/>
          </w:tcPr>
          <w:p w14:paraId="04CA0536"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0.20**</w:t>
            </w:r>
          </w:p>
        </w:tc>
        <w:tc>
          <w:tcPr>
            <w:tcW w:w="396" w:type="pct"/>
            <w:noWrap/>
            <w:hideMark/>
          </w:tcPr>
          <w:p w14:paraId="55368E88"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0.13</w:t>
            </w:r>
          </w:p>
        </w:tc>
        <w:tc>
          <w:tcPr>
            <w:tcW w:w="354" w:type="pct"/>
            <w:noWrap/>
            <w:hideMark/>
          </w:tcPr>
          <w:p w14:paraId="2906CDCD"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0.27</w:t>
            </w:r>
          </w:p>
        </w:tc>
      </w:tr>
      <w:tr w:rsidR="00F47287" w:rsidRPr="00E26635" w14:paraId="1EFC3697" w14:textId="77777777" w:rsidTr="00842CB7">
        <w:trPr>
          <w:trHeight w:val="300"/>
          <w:jc w:val="center"/>
        </w:trPr>
        <w:tc>
          <w:tcPr>
            <w:cnfStyle w:val="001000000000" w:firstRow="0" w:lastRow="0" w:firstColumn="1" w:lastColumn="0" w:oddVBand="0" w:evenVBand="0" w:oddHBand="0" w:evenHBand="0" w:firstRowFirstColumn="0" w:firstRowLastColumn="0" w:lastRowFirstColumn="0" w:lastRowLastColumn="0"/>
            <w:tcW w:w="1085" w:type="pct"/>
            <w:noWrap/>
            <w:hideMark/>
          </w:tcPr>
          <w:p w14:paraId="1D04535F" w14:textId="77777777" w:rsidR="00F47287" w:rsidRPr="00996B4A" w:rsidRDefault="00F47287" w:rsidP="00842CB7">
            <w:pPr>
              <w:rPr>
                <w:rFonts w:eastAsia="Times New Roman" w:cstheme="majorBidi"/>
                <w:sz w:val="18"/>
                <w:szCs w:val="18"/>
              </w:rPr>
            </w:pPr>
            <w:r w:rsidRPr="00996B4A">
              <w:rPr>
                <w:rFonts w:eastAsia="Times New Roman" w:cstheme="majorBidi"/>
                <w:sz w:val="18"/>
                <w:szCs w:val="18"/>
              </w:rPr>
              <w:t>Ethnicity (ref White)</w:t>
            </w:r>
          </w:p>
        </w:tc>
        <w:tc>
          <w:tcPr>
            <w:tcW w:w="500" w:type="pct"/>
            <w:noWrap/>
            <w:hideMark/>
          </w:tcPr>
          <w:p w14:paraId="49FF2081"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sz w:val="18"/>
                <w:szCs w:val="18"/>
              </w:rPr>
            </w:pPr>
          </w:p>
        </w:tc>
        <w:tc>
          <w:tcPr>
            <w:tcW w:w="415" w:type="pct"/>
            <w:noWrap/>
            <w:hideMark/>
          </w:tcPr>
          <w:p w14:paraId="5B8EC928"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sz w:val="18"/>
                <w:szCs w:val="18"/>
              </w:rPr>
            </w:pPr>
          </w:p>
        </w:tc>
        <w:tc>
          <w:tcPr>
            <w:tcW w:w="417" w:type="pct"/>
            <w:noWrap/>
            <w:hideMark/>
          </w:tcPr>
          <w:p w14:paraId="0FC7EAA3"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sz w:val="18"/>
                <w:szCs w:val="18"/>
              </w:rPr>
            </w:pPr>
          </w:p>
        </w:tc>
        <w:tc>
          <w:tcPr>
            <w:tcW w:w="500" w:type="pct"/>
            <w:noWrap/>
            <w:hideMark/>
          </w:tcPr>
          <w:p w14:paraId="0381204C"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sz w:val="18"/>
                <w:szCs w:val="18"/>
              </w:rPr>
            </w:pPr>
          </w:p>
        </w:tc>
        <w:tc>
          <w:tcPr>
            <w:tcW w:w="416" w:type="pct"/>
            <w:noWrap/>
            <w:hideMark/>
          </w:tcPr>
          <w:p w14:paraId="0BC0B61D"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sz w:val="18"/>
                <w:szCs w:val="18"/>
              </w:rPr>
            </w:pPr>
          </w:p>
        </w:tc>
        <w:tc>
          <w:tcPr>
            <w:tcW w:w="417" w:type="pct"/>
          </w:tcPr>
          <w:p w14:paraId="7B173A58"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sz w:val="18"/>
                <w:szCs w:val="18"/>
              </w:rPr>
            </w:pPr>
          </w:p>
        </w:tc>
        <w:tc>
          <w:tcPr>
            <w:tcW w:w="500" w:type="pct"/>
          </w:tcPr>
          <w:p w14:paraId="45262A92"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sz w:val="18"/>
                <w:szCs w:val="18"/>
              </w:rPr>
            </w:pPr>
          </w:p>
        </w:tc>
        <w:tc>
          <w:tcPr>
            <w:tcW w:w="396" w:type="pct"/>
          </w:tcPr>
          <w:p w14:paraId="643BEC64"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sz w:val="18"/>
                <w:szCs w:val="18"/>
              </w:rPr>
            </w:pPr>
          </w:p>
        </w:tc>
        <w:tc>
          <w:tcPr>
            <w:tcW w:w="354" w:type="pct"/>
          </w:tcPr>
          <w:p w14:paraId="69E8B1DC"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sz w:val="18"/>
                <w:szCs w:val="18"/>
              </w:rPr>
            </w:pPr>
          </w:p>
        </w:tc>
      </w:tr>
      <w:tr w:rsidR="00F47287" w:rsidRPr="00E26635" w14:paraId="06C30777" w14:textId="77777777" w:rsidTr="00842CB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85" w:type="pct"/>
            <w:noWrap/>
            <w:hideMark/>
          </w:tcPr>
          <w:p w14:paraId="4CC70763" w14:textId="77777777" w:rsidR="00F47287" w:rsidRPr="00996B4A" w:rsidRDefault="00F47287" w:rsidP="00842CB7">
            <w:pPr>
              <w:rPr>
                <w:rFonts w:eastAsia="Times New Roman" w:cstheme="majorBidi"/>
                <w:b w:val="0"/>
                <w:bCs w:val="0"/>
                <w:color w:val="000000"/>
                <w:sz w:val="18"/>
                <w:szCs w:val="18"/>
              </w:rPr>
            </w:pPr>
            <w:r w:rsidRPr="00996B4A">
              <w:rPr>
                <w:rFonts w:eastAsia="Times New Roman" w:cstheme="majorBidi"/>
                <w:color w:val="000000"/>
                <w:sz w:val="18"/>
                <w:szCs w:val="18"/>
              </w:rPr>
              <w:t>Indian, Pakistani or Bangladeshi</w:t>
            </w:r>
          </w:p>
        </w:tc>
        <w:tc>
          <w:tcPr>
            <w:tcW w:w="500" w:type="pct"/>
            <w:noWrap/>
            <w:hideMark/>
          </w:tcPr>
          <w:p w14:paraId="0A733437"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0.13**</w:t>
            </w:r>
          </w:p>
        </w:tc>
        <w:tc>
          <w:tcPr>
            <w:tcW w:w="415" w:type="pct"/>
            <w:noWrap/>
            <w:hideMark/>
          </w:tcPr>
          <w:p w14:paraId="00A6CDE5"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0.10</w:t>
            </w:r>
          </w:p>
        </w:tc>
        <w:tc>
          <w:tcPr>
            <w:tcW w:w="417" w:type="pct"/>
            <w:noWrap/>
            <w:hideMark/>
          </w:tcPr>
          <w:p w14:paraId="1A35683E"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0.17</w:t>
            </w:r>
          </w:p>
        </w:tc>
        <w:tc>
          <w:tcPr>
            <w:tcW w:w="500" w:type="pct"/>
            <w:noWrap/>
            <w:hideMark/>
          </w:tcPr>
          <w:p w14:paraId="0DECBFC9"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0.26**</w:t>
            </w:r>
          </w:p>
        </w:tc>
        <w:tc>
          <w:tcPr>
            <w:tcW w:w="416" w:type="pct"/>
            <w:noWrap/>
            <w:hideMark/>
          </w:tcPr>
          <w:p w14:paraId="4E8635E8"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0.23</w:t>
            </w:r>
          </w:p>
        </w:tc>
        <w:tc>
          <w:tcPr>
            <w:tcW w:w="417" w:type="pct"/>
            <w:noWrap/>
            <w:hideMark/>
          </w:tcPr>
          <w:p w14:paraId="0DCEEA1A"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0.30</w:t>
            </w:r>
          </w:p>
        </w:tc>
        <w:tc>
          <w:tcPr>
            <w:tcW w:w="500" w:type="pct"/>
            <w:noWrap/>
            <w:hideMark/>
          </w:tcPr>
          <w:p w14:paraId="55F796F3"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0.30**</w:t>
            </w:r>
          </w:p>
        </w:tc>
        <w:tc>
          <w:tcPr>
            <w:tcW w:w="396" w:type="pct"/>
            <w:noWrap/>
            <w:hideMark/>
          </w:tcPr>
          <w:p w14:paraId="1666C843"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0.25</w:t>
            </w:r>
          </w:p>
        </w:tc>
        <w:tc>
          <w:tcPr>
            <w:tcW w:w="354" w:type="pct"/>
            <w:noWrap/>
            <w:hideMark/>
          </w:tcPr>
          <w:p w14:paraId="001D7FF8"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0.34</w:t>
            </w:r>
          </w:p>
        </w:tc>
      </w:tr>
      <w:tr w:rsidR="00F47287" w:rsidRPr="00E26635" w14:paraId="50A9A361" w14:textId="77777777" w:rsidTr="00842CB7">
        <w:trPr>
          <w:trHeight w:val="300"/>
          <w:jc w:val="center"/>
        </w:trPr>
        <w:tc>
          <w:tcPr>
            <w:cnfStyle w:val="001000000000" w:firstRow="0" w:lastRow="0" w:firstColumn="1" w:lastColumn="0" w:oddVBand="0" w:evenVBand="0" w:oddHBand="0" w:evenHBand="0" w:firstRowFirstColumn="0" w:firstRowLastColumn="0" w:lastRowFirstColumn="0" w:lastRowLastColumn="0"/>
            <w:tcW w:w="1085" w:type="pct"/>
            <w:noWrap/>
            <w:hideMark/>
          </w:tcPr>
          <w:p w14:paraId="030226D2" w14:textId="77777777" w:rsidR="00F47287" w:rsidRPr="00996B4A" w:rsidRDefault="00F47287" w:rsidP="00842CB7">
            <w:pPr>
              <w:rPr>
                <w:rFonts w:eastAsia="Times New Roman" w:cstheme="majorBidi"/>
                <w:b w:val="0"/>
                <w:bCs w:val="0"/>
                <w:color w:val="000000"/>
                <w:sz w:val="18"/>
                <w:szCs w:val="18"/>
              </w:rPr>
            </w:pPr>
            <w:r w:rsidRPr="00996B4A">
              <w:rPr>
                <w:rFonts w:eastAsia="Times New Roman" w:cstheme="majorBidi"/>
                <w:color w:val="000000"/>
                <w:sz w:val="18"/>
                <w:szCs w:val="18"/>
              </w:rPr>
              <w:t>Chinese or other Asian</w:t>
            </w:r>
          </w:p>
        </w:tc>
        <w:tc>
          <w:tcPr>
            <w:tcW w:w="500" w:type="pct"/>
            <w:noWrap/>
            <w:hideMark/>
          </w:tcPr>
          <w:p w14:paraId="0497E5D4"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0.18**</w:t>
            </w:r>
          </w:p>
        </w:tc>
        <w:tc>
          <w:tcPr>
            <w:tcW w:w="415" w:type="pct"/>
            <w:noWrap/>
            <w:hideMark/>
          </w:tcPr>
          <w:p w14:paraId="5258AC4B"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0.14</w:t>
            </w:r>
          </w:p>
        </w:tc>
        <w:tc>
          <w:tcPr>
            <w:tcW w:w="417" w:type="pct"/>
            <w:noWrap/>
            <w:hideMark/>
          </w:tcPr>
          <w:p w14:paraId="2ED69E9B"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0.22</w:t>
            </w:r>
          </w:p>
        </w:tc>
        <w:tc>
          <w:tcPr>
            <w:tcW w:w="500" w:type="pct"/>
            <w:noWrap/>
            <w:hideMark/>
          </w:tcPr>
          <w:p w14:paraId="7A8F78CC"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0.19**</w:t>
            </w:r>
          </w:p>
        </w:tc>
        <w:tc>
          <w:tcPr>
            <w:tcW w:w="416" w:type="pct"/>
            <w:noWrap/>
            <w:hideMark/>
          </w:tcPr>
          <w:p w14:paraId="6D1A17CD"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0.15</w:t>
            </w:r>
          </w:p>
        </w:tc>
        <w:tc>
          <w:tcPr>
            <w:tcW w:w="417" w:type="pct"/>
            <w:noWrap/>
            <w:hideMark/>
          </w:tcPr>
          <w:p w14:paraId="1D1010AE"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0.24</w:t>
            </w:r>
          </w:p>
        </w:tc>
        <w:tc>
          <w:tcPr>
            <w:tcW w:w="500" w:type="pct"/>
            <w:noWrap/>
            <w:hideMark/>
          </w:tcPr>
          <w:p w14:paraId="0C5CAAC5"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0.20**</w:t>
            </w:r>
          </w:p>
        </w:tc>
        <w:tc>
          <w:tcPr>
            <w:tcW w:w="396" w:type="pct"/>
            <w:noWrap/>
            <w:hideMark/>
          </w:tcPr>
          <w:p w14:paraId="5A100CF3"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0.15</w:t>
            </w:r>
          </w:p>
        </w:tc>
        <w:tc>
          <w:tcPr>
            <w:tcW w:w="354" w:type="pct"/>
            <w:noWrap/>
            <w:hideMark/>
          </w:tcPr>
          <w:p w14:paraId="34CDA7C3"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0.25</w:t>
            </w:r>
          </w:p>
        </w:tc>
      </w:tr>
      <w:tr w:rsidR="00F47287" w:rsidRPr="00E26635" w14:paraId="0870E903" w14:textId="77777777" w:rsidTr="00842CB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85" w:type="pct"/>
            <w:noWrap/>
            <w:hideMark/>
          </w:tcPr>
          <w:p w14:paraId="16ED9B47" w14:textId="77777777" w:rsidR="00F47287" w:rsidRPr="00996B4A" w:rsidRDefault="00F47287" w:rsidP="00842CB7">
            <w:pPr>
              <w:rPr>
                <w:rFonts w:eastAsia="Times New Roman" w:cstheme="majorBidi"/>
                <w:b w:val="0"/>
                <w:bCs w:val="0"/>
                <w:color w:val="000000"/>
                <w:sz w:val="18"/>
                <w:szCs w:val="18"/>
              </w:rPr>
            </w:pPr>
            <w:r w:rsidRPr="00996B4A">
              <w:rPr>
                <w:rFonts w:eastAsia="Times New Roman" w:cstheme="majorBidi"/>
                <w:color w:val="000000"/>
                <w:sz w:val="18"/>
                <w:szCs w:val="18"/>
              </w:rPr>
              <w:t>African, Caribbean or Black</w:t>
            </w:r>
          </w:p>
        </w:tc>
        <w:tc>
          <w:tcPr>
            <w:tcW w:w="500" w:type="pct"/>
            <w:noWrap/>
            <w:hideMark/>
          </w:tcPr>
          <w:p w14:paraId="346AC0DF"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0.21**</w:t>
            </w:r>
          </w:p>
        </w:tc>
        <w:tc>
          <w:tcPr>
            <w:tcW w:w="415" w:type="pct"/>
            <w:noWrap/>
            <w:hideMark/>
          </w:tcPr>
          <w:p w14:paraId="7E75E8D3"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0.17</w:t>
            </w:r>
          </w:p>
        </w:tc>
        <w:tc>
          <w:tcPr>
            <w:tcW w:w="417" w:type="pct"/>
            <w:noWrap/>
            <w:hideMark/>
          </w:tcPr>
          <w:p w14:paraId="0C71E13D"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0.25</w:t>
            </w:r>
          </w:p>
        </w:tc>
        <w:tc>
          <w:tcPr>
            <w:tcW w:w="500" w:type="pct"/>
            <w:noWrap/>
            <w:hideMark/>
          </w:tcPr>
          <w:p w14:paraId="07DA9AEF"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0.24**</w:t>
            </w:r>
          </w:p>
        </w:tc>
        <w:tc>
          <w:tcPr>
            <w:tcW w:w="416" w:type="pct"/>
            <w:noWrap/>
            <w:hideMark/>
          </w:tcPr>
          <w:p w14:paraId="68767805"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0.19</w:t>
            </w:r>
          </w:p>
        </w:tc>
        <w:tc>
          <w:tcPr>
            <w:tcW w:w="417" w:type="pct"/>
            <w:noWrap/>
            <w:hideMark/>
          </w:tcPr>
          <w:p w14:paraId="23E756AC"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0.28</w:t>
            </w:r>
          </w:p>
        </w:tc>
        <w:tc>
          <w:tcPr>
            <w:tcW w:w="500" w:type="pct"/>
            <w:noWrap/>
            <w:hideMark/>
          </w:tcPr>
          <w:p w14:paraId="7CF4CBD0"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0.25**</w:t>
            </w:r>
          </w:p>
        </w:tc>
        <w:tc>
          <w:tcPr>
            <w:tcW w:w="396" w:type="pct"/>
            <w:noWrap/>
            <w:hideMark/>
          </w:tcPr>
          <w:p w14:paraId="563BE7C4"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0.20</w:t>
            </w:r>
          </w:p>
        </w:tc>
        <w:tc>
          <w:tcPr>
            <w:tcW w:w="354" w:type="pct"/>
            <w:noWrap/>
            <w:hideMark/>
          </w:tcPr>
          <w:p w14:paraId="5337381F"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0.30</w:t>
            </w:r>
          </w:p>
        </w:tc>
      </w:tr>
      <w:tr w:rsidR="00F47287" w:rsidRPr="00E26635" w14:paraId="7844FD35" w14:textId="77777777" w:rsidTr="00842CB7">
        <w:trPr>
          <w:trHeight w:val="300"/>
          <w:jc w:val="center"/>
        </w:trPr>
        <w:tc>
          <w:tcPr>
            <w:cnfStyle w:val="001000000000" w:firstRow="0" w:lastRow="0" w:firstColumn="1" w:lastColumn="0" w:oddVBand="0" w:evenVBand="0" w:oddHBand="0" w:evenHBand="0" w:firstRowFirstColumn="0" w:firstRowLastColumn="0" w:lastRowFirstColumn="0" w:lastRowLastColumn="0"/>
            <w:tcW w:w="1085" w:type="pct"/>
            <w:noWrap/>
            <w:hideMark/>
          </w:tcPr>
          <w:p w14:paraId="6EA7D335" w14:textId="77777777" w:rsidR="00F47287" w:rsidRPr="00996B4A" w:rsidRDefault="00F47287" w:rsidP="00842CB7">
            <w:pPr>
              <w:rPr>
                <w:rFonts w:eastAsia="Times New Roman" w:cstheme="majorBidi"/>
                <w:b w:val="0"/>
                <w:bCs w:val="0"/>
                <w:color w:val="000000"/>
                <w:sz w:val="18"/>
                <w:szCs w:val="18"/>
              </w:rPr>
            </w:pPr>
            <w:r w:rsidRPr="00996B4A">
              <w:rPr>
                <w:rFonts w:eastAsia="Times New Roman" w:cstheme="majorBidi"/>
                <w:color w:val="000000"/>
                <w:sz w:val="18"/>
                <w:szCs w:val="18"/>
              </w:rPr>
              <w:t>Other or Mixed</w:t>
            </w:r>
          </w:p>
        </w:tc>
        <w:tc>
          <w:tcPr>
            <w:tcW w:w="500" w:type="pct"/>
            <w:noWrap/>
            <w:hideMark/>
          </w:tcPr>
          <w:p w14:paraId="375E7E28"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0.20**</w:t>
            </w:r>
          </w:p>
        </w:tc>
        <w:tc>
          <w:tcPr>
            <w:tcW w:w="415" w:type="pct"/>
            <w:noWrap/>
            <w:hideMark/>
          </w:tcPr>
          <w:p w14:paraId="3F1A9F92"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0.16</w:t>
            </w:r>
          </w:p>
        </w:tc>
        <w:tc>
          <w:tcPr>
            <w:tcW w:w="417" w:type="pct"/>
            <w:noWrap/>
            <w:hideMark/>
          </w:tcPr>
          <w:p w14:paraId="7B68721C"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0.23</w:t>
            </w:r>
          </w:p>
        </w:tc>
        <w:tc>
          <w:tcPr>
            <w:tcW w:w="500" w:type="pct"/>
            <w:noWrap/>
            <w:hideMark/>
          </w:tcPr>
          <w:p w14:paraId="70EEA6B6"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0.21**</w:t>
            </w:r>
          </w:p>
        </w:tc>
        <w:tc>
          <w:tcPr>
            <w:tcW w:w="416" w:type="pct"/>
            <w:noWrap/>
            <w:hideMark/>
          </w:tcPr>
          <w:p w14:paraId="0E7E8EC7"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0.17</w:t>
            </w:r>
          </w:p>
        </w:tc>
        <w:tc>
          <w:tcPr>
            <w:tcW w:w="417" w:type="pct"/>
            <w:noWrap/>
            <w:hideMark/>
          </w:tcPr>
          <w:p w14:paraId="2838291C"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0.25</w:t>
            </w:r>
          </w:p>
        </w:tc>
        <w:tc>
          <w:tcPr>
            <w:tcW w:w="500" w:type="pct"/>
            <w:noWrap/>
            <w:hideMark/>
          </w:tcPr>
          <w:p w14:paraId="0D8DCF39"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0.21**</w:t>
            </w:r>
          </w:p>
        </w:tc>
        <w:tc>
          <w:tcPr>
            <w:tcW w:w="396" w:type="pct"/>
            <w:noWrap/>
            <w:hideMark/>
          </w:tcPr>
          <w:p w14:paraId="14536C17"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0.17</w:t>
            </w:r>
          </w:p>
        </w:tc>
        <w:tc>
          <w:tcPr>
            <w:tcW w:w="354" w:type="pct"/>
            <w:noWrap/>
            <w:hideMark/>
          </w:tcPr>
          <w:p w14:paraId="5F66728A"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0.26</w:t>
            </w:r>
          </w:p>
        </w:tc>
      </w:tr>
      <w:tr w:rsidR="00F47287" w:rsidRPr="00E26635" w14:paraId="15DDB44D" w14:textId="77777777" w:rsidTr="00842CB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85" w:type="pct"/>
            <w:noWrap/>
            <w:hideMark/>
          </w:tcPr>
          <w:p w14:paraId="09B2DBBC" w14:textId="77777777" w:rsidR="00F47287" w:rsidRPr="00996B4A" w:rsidRDefault="00F47287" w:rsidP="00842CB7">
            <w:pPr>
              <w:rPr>
                <w:rFonts w:eastAsia="Times New Roman" w:cstheme="majorBidi"/>
                <w:sz w:val="18"/>
                <w:szCs w:val="18"/>
              </w:rPr>
            </w:pPr>
            <w:r w:rsidRPr="00996B4A">
              <w:rPr>
                <w:rFonts w:eastAsia="Times New Roman" w:cstheme="majorBidi"/>
                <w:sz w:val="18"/>
                <w:szCs w:val="18"/>
              </w:rPr>
              <w:t>Marital status (ref Single)</w:t>
            </w:r>
          </w:p>
        </w:tc>
        <w:tc>
          <w:tcPr>
            <w:tcW w:w="500" w:type="pct"/>
            <w:noWrap/>
            <w:hideMark/>
          </w:tcPr>
          <w:p w14:paraId="2DA469FB"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sz w:val="18"/>
                <w:szCs w:val="18"/>
              </w:rPr>
            </w:pPr>
          </w:p>
        </w:tc>
        <w:tc>
          <w:tcPr>
            <w:tcW w:w="415" w:type="pct"/>
            <w:noWrap/>
            <w:hideMark/>
          </w:tcPr>
          <w:p w14:paraId="17827BE2"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sz w:val="18"/>
                <w:szCs w:val="18"/>
              </w:rPr>
            </w:pPr>
          </w:p>
        </w:tc>
        <w:tc>
          <w:tcPr>
            <w:tcW w:w="417" w:type="pct"/>
            <w:noWrap/>
            <w:hideMark/>
          </w:tcPr>
          <w:p w14:paraId="03D73B56"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sz w:val="18"/>
                <w:szCs w:val="18"/>
              </w:rPr>
            </w:pPr>
          </w:p>
        </w:tc>
        <w:tc>
          <w:tcPr>
            <w:tcW w:w="500" w:type="pct"/>
            <w:noWrap/>
            <w:hideMark/>
          </w:tcPr>
          <w:p w14:paraId="730C087D"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sz w:val="18"/>
                <w:szCs w:val="18"/>
              </w:rPr>
            </w:pPr>
          </w:p>
        </w:tc>
        <w:tc>
          <w:tcPr>
            <w:tcW w:w="416" w:type="pct"/>
            <w:noWrap/>
            <w:hideMark/>
          </w:tcPr>
          <w:p w14:paraId="2FAE90BB"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sz w:val="18"/>
                <w:szCs w:val="18"/>
              </w:rPr>
            </w:pPr>
          </w:p>
        </w:tc>
        <w:tc>
          <w:tcPr>
            <w:tcW w:w="417" w:type="pct"/>
          </w:tcPr>
          <w:p w14:paraId="56F3305F"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sz w:val="18"/>
                <w:szCs w:val="18"/>
              </w:rPr>
            </w:pPr>
          </w:p>
        </w:tc>
        <w:tc>
          <w:tcPr>
            <w:tcW w:w="500" w:type="pct"/>
          </w:tcPr>
          <w:p w14:paraId="4A938F91"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sz w:val="18"/>
                <w:szCs w:val="18"/>
              </w:rPr>
            </w:pPr>
          </w:p>
        </w:tc>
        <w:tc>
          <w:tcPr>
            <w:tcW w:w="396" w:type="pct"/>
          </w:tcPr>
          <w:p w14:paraId="19F78C76"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sz w:val="18"/>
                <w:szCs w:val="18"/>
              </w:rPr>
            </w:pPr>
          </w:p>
        </w:tc>
        <w:tc>
          <w:tcPr>
            <w:tcW w:w="354" w:type="pct"/>
          </w:tcPr>
          <w:p w14:paraId="48D45C17"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sz w:val="18"/>
                <w:szCs w:val="18"/>
              </w:rPr>
            </w:pPr>
          </w:p>
        </w:tc>
      </w:tr>
      <w:tr w:rsidR="00F47287" w:rsidRPr="00E26635" w14:paraId="522A1D0A" w14:textId="77777777" w:rsidTr="00842CB7">
        <w:trPr>
          <w:trHeight w:val="300"/>
          <w:jc w:val="center"/>
        </w:trPr>
        <w:tc>
          <w:tcPr>
            <w:cnfStyle w:val="001000000000" w:firstRow="0" w:lastRow="0" w:firstColumn="1" w:lastColumn="0" w:oddVBand="0" w:evenVBand="0" w:oddHBand="0" w:evenHBand="0" w:firstRowFirstColumn="0" w:firstRowLastColumn="0" w:lastRowFirstColumn="0" w:lastRowLastColumn="0"/>
            <w:tcW w:w="1085" w:type="pct"/>
            <w:noWrap/>
            <w:hideMark/>
          </w:tcPr>
          <w:p w14:paraId="755AAE8F" w14:textId="77777777" w:rsidR="00F47287" w:rsidRPr="00996B4A" w:rsidRDefault="00F47287" w:rsidP="00842CB7">
            <w:pPr>
              <w:rPr>
                <w:rFonts w:eastAsia="Times New Roman" w:cstheme="majorBidi"/>
                <w:b w:val="0"/>
                <w:bCs w:val="0"/>
                <w:color w:val="000000"/>
                <w:sz w:val="18"/>
                <w:szCs w:val="18"/>
              </w:rPr>
            </w:pPr>
            <w:r w:rsidRPr="00996B4A">
              <w:rPr>
                <w:rFonts w:eastAsia="Times New Roman" w:cstheme="majorBidi"/>
                <w:color w:val="000000"/>
                <w:sz w:val="18"/>
                <w:szCs w:val="18"/>
              </w:rPr>
              <w:t>Married or Civil Partners</w:t>
            </w:r>
          </w:p>
        </w:tc>
        <w:tc>
          <w:tcPr>
            <w:tcW w:w="500" w:type="pct"/>
            <w:noWrap/>
            <w:hideMark/>
          </w:tcPr>
          <w:p w14:paraId="32E793D1"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0.06**</w:t>
            </w:r>
          </w:p>
        </w:tc>
        <w:tc>
          <w:tcPr>
            <w:tcW w:w="415" w:type="pct"/>
            <w:noWrap/>
            <w:hideMark/>
          </w:tcPr>
          <w:p w14:paraId="791E9A1B"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0.04</w:t>
            </w:r>
          </w:p>
        </w:tc>
        <w:tc>
          <w:tcPr>
            <w:tcW w:w="417" w:type="pct"/>
            <w:noWrap/>
            <w:hideMark/>
          </w:tcPr>
          <w:p w14:paraId="260AEE34"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0.08</w:t>
            </w:r>
          </w:p>
        </w:tc>
        <w:tc>
          <w:tcPr>
            <w:tcW w:w="500" w:type="pct"/>
            <w:noWrap/>
            <w:hideMark/>
          </w:tcPr>
          <w:p w14:paraId="0C61060E"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0.15**</w:t>
            </w:r>
          </w:p>
        </w:tc>
        <w:tc>
          <w:tcPr>
            <w:tcW w:w="416" w:type="pct"/>
            <w:noWrap/>
            <w:hideMark/>
          </w:tcPr>
          <w:p w14:paraId="0131ED4E"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0.12</w:t>
            </w:r>
          </w:p>
        </w:tc>
        <w:tc>
          <w:tcPr>
            <w:tcW w:w="417" w:type="pct"/>
            <w:noWrap/>
            <w:hideMark/>
          </w:tcPr>
          <w:p w14:paraId="73696EDF"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0.17</w:t>
            </w:r>
          </w:p>
        </w:tc>
        <w:tc>
          <w:tcPr>
            <w:tcW w:w="500" w:type="pct"/>
            <w:noWrap/>
            <w:hideMark/>
          </w:tcPr>
          <w:p w14:paraId="2ECF614B"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0.22**</w:t>
            </w:r>
          </w:p>
        </w:tc>
        <w:tc>
          <w:tcPr>
            <w:tcW w:w="396" w:type="pct"/>
            <w:noWrap/>
            <w:hideMark/>
          </w:tcPr>
          <w:p w14:paraId="64D4380F"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0.20</w:t>
            </w:r>
          </w:p>
        </w:tc>
        <w:tc>
          <w:tcPr>
            <w:tcW w:w="354" w:type="pct"/>
            <w:noWrap/>
            <w:hideMark/>
          </w:tcPr>
          <w:p w14:paraId="3C779208"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0.25</w:t>
            </w:r>
          </w:p>
        </w:tc>
      </w:tr>
      <w:tr w:rsidR="00F47287" w:rsidRPr="00E26635" w14:paraId="5222A56C" w14:textId="77777777" w:rsidTr="00842CB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85" w:type="pct"/>
            <w:noWrap/>
            <w:hideMark/>
          </w:tcPr>
          <w:p w14:paraId="34A8E432" w14:textId="77777777" w:rsidR="00F47287" w:rsidRPr="00996B4A" w:rsidRDefault="00F47287" w:rsidP="00842CB7">
            <w:pPr>
              <w:rPr>
                <w:rFonts w:eastAsia="Times New Roman" w:cstheme="majorBidi"/>
                <w:b w:val="0"/>
                <w:bCs w:val="0"/>
                <w:color w:val="000000"/>
                <w:sz w:val="18"/>
                <w:szCs w:val="18"/>
              </w:rPr>
            </w:pPr>
            <w:r w:rsidRPr="00996B4A">
              <w:rPr>
                <w:rFonts w:eastAsia="Times New Roman" w:cstheme="majorBidi"/>
                <w:color w:val="000000"/>
                <w:sz w:val="18"/>
                <w:szCs w:val="18"/>
              </w:rPr>
              <w:t>Separated or Widowed</w:t>
            </w:r>
          </w:p>
        </w:tc>
        <w:tc>
          <w:tcPr>
            <w:tcW w:w="500" w:type="pct"/>
            <w:noWrap/>
            <w:hideMark/>
          </w:tcPr>
          <w:p w14:paraId="4E472AA7"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0.00</w:t>
            </w:r>
          </w:p>
        </w:tc>
        <w:tc>
          <w:tcPr>
            <w:tcW w:w="415" w:type="pct"/>
            <w:noWrap/>
            <w:hideMark/>
          </w:tcPr>
          <w:p w14:paraId="1B3C365E"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-0.02</w:t>
            </w:r>
          </w:p>
        </w:tc>
        <w:tc>
          <w:tcPr>
            <w:tcW w:w="417" w:type="pct"/>
            <w:noWrap/>
            <w:hideMark/>
          </w:tcPr>
          <w:p w14:paraId="6FFE64A0"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0.03</w:t>
            </w:r>
          </w:p>
        </w:tc>
        <w:tc>
          <w:tcPr>
            <w:tcW w:w="500" w:type="pct"/>
            <w:noWrap/>
            <w:hideMark/>
          </w:tcPr>
          <w:p w14:paraId="0D673BF9"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-0.07**</w:t>
            </w:r>
          </w:p>
        </w:tc>
        <w:tc>
          <w:tcPr>
            <w:tcW w:w="416" w:type="pct"/>
            <w:noWrap/>
            <w:hideMark/>
          </w:tcPr>
          <w:p w14:paraId="4C747E06"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-0.10</w:t>
            </w:r>
          </w:p>
        </w:tc>
        <w:tc>
          <w:tcPr>
            <w:tcW w:w="417" w:type="pct"/>
            <w:noWrap/>
            <w:hideMark/>
          </w:tcPr>
          <w:p w14:paraId="2C13795B"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-0.04</w:t>
            </w:r>
          </w:p>
        </w:tc>
        <w:tc>
          <w:tcPr>
            <w:tcW w:w="500" w:type="pct"/>
            <w:noWrap/>
            <w:hideMark/>
          </w:tcPr>
          <w:p w14:paraId="02237559"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-0.16**</w:t>
            </w:r>
          </w:p>
        </w:tc>
        <w:tc>
          <w:tcPr>
            <w:tcW w:w="396" w:type="pct"/>
            <w:noWrap/>
            <w:hideMark/>
          </w:tcPr>
          <w:p w14:paraId="25599048"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-0.20</w:t>
            </w:r>
          </w:p>
        </w:tc>
        <w:tc>
          <w:tcPr>
            <w:tcW w:w="354" w:type="pct"/>
            <w:noWrap/>
            <w:hideMark/>
          </w:tcPr>
          <w:p w14:paraId="7800CF6E"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-0.13</w:t>
            </w:r>
          </w:p>
        </w:tc>
      </w:tr>
      <w:tr w:rsidR="00F47287" w:rsidRPr="00E26635" w14:paraId="05C54700" w14:textId="77777777" w:rsidTr="00842CB7">
        <w:trPr>
          <w:trHeight w:val="300"/>
          <w:jc w:val="center"/>
        </w:trPr>
        <w:tc>
          <w:tcPr>
            <w:cnfStyle w:val="001000000000" w:firstRow="0" w:lastRow="0" w:firstColumn="1" w:lastColumn="0" w:oddVBand="0" w:evenVBand="0" w:oddHBand="0" w:evenHBand="0" w:firstRowFirstColumn="0" w:firstRowLastColumn="0" w:lastRowFirstColumn="0" w:lastRowLastColumn="0"/>
            <w:tcW w:w="1085" w:type="pct"/>
            <w:noWrap/>
            <w:hideMark/>
          </w:tcPr>
          <w:p w14:paraId="163100D2" w14:textId="77777777" w:rsidR="00F47287" w:rsidRPr="00996B4A" w:rsidRDefault="00F47287" w:rsidP="00842CB7">
            <w:pPr>
              <w:rPr>
                <w:rFonts w:eastAsia="Times New Roman" w:cstheme="majorBidi"/>
                <w:sz w:val="18"/>
                <w:szCs w:val="18"/>
              </w:rPr>
            </w:pPr>
            <w:r w:rsidRPr="00996B4A">
              <w:rPr>
                <w:rFonts w:eastAsia="Times New Roman" w:cstheme="majorBidi"/>
                <w:sz w:val="18"/>
                <w:szCs w:val="18"/>
              </w:rPr>
              <w:t>Family status (ref None)</w:t>
            </w:r>
          </w:p>
        </w:tc>
        <w:tc>
          <w:tcPr>
            <w:tcW w:w="500" w:type="pct"/>
            <w:noWrap/>
            <w:hideMark/>
          </w:tcPr>
          <w:p w14:paraId="70F930EF"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sz w:val="18"/>
                <w:szCs w:val="18"/>
              </w:rPr>
            </w:pPr>
          </w:p>
        </w:tc>
        <w:tc>
          <w:tcPr>
            <w:tcW w:w="415" w:type="pct"/>
            <w:noWrap/>
            <w:hideMark/>
          </w:tcPr>
          <w:p w14:paraId="22D726F4"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sz w:val="18"/>
                <w:szCs w:val="18"/>
              </w:rPr>
            </w:pPr>
          </w:p>
        </w:tc>
        <w:tc>
          <w:tcPr>
            <w:tcW w:w="417" w:type="pct"/>
            <w:noWrap/>
            <w:hideMark/>
          </w:tcPr>
          <w:p w14:paraId="32FE284C"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sz w:val="18"/>
                <w:szCs w:val="18"/>
              </w:rPr>
            </w:pPr>
          </w:p>
        </w:tc>
        <w:tc>
          <w:tcPr>
            <w:tcW w:w="500" w:type="pct"/>
            <w:noWrap/>
            <w:hideMark/>
          </w:tcPr>
          <w:p w14:paraId="5B5CB44A"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sz w:val="18"/>
                <w:szCs w:val="18"/>
              </w:rPr>
            </w:pPr>
          </w:p>
        </w:tc>
        <w:tc>
          <w:tcPr>
            <w:tcW w:w="416" w:type="pct"/>
            <w:noWrap/>
            <w:hideMark/>
          </w:tcPr>
          <w:p w14:paraId="0E7D5C11"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sz w:val="18"/>
                <w:szCs w:val="18"/>
              </w:rPr>
            </w:pPr>
          </w:p>
        </w:tc>
        <w:tc>
          <w:tcPr>
            <w:tcW w:w="417" w:type="pct"/>
          </w:tcPr>
          <w:p w14:paraId="7A41C234"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sz w:val="18"/>
                <w:szCs w:val="18"/>
              </w:rPr>
            </w:pPr>
          </w:p>
        </w:tc>
        <w:tc>
          <w:tcPr>
            <w:tcW w:w="500" w:type="pct"/>
          </w:tcPr>
          <w:p w14:paraId="47C4306A"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sz w:val="18"/>
                <w:szCs w:val="18"/>
              </w:rPr>
            </w:pPr>
          </w:p>
        </w:tc>
        <w:tc>
          <w:tcPr>
            <w:tcW w:w="396" w:type="pct"/>
          </w:tcPr>
          <w:p w14:paraId="4C821F29"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sz w:val="18"/>
                <w:szCs w:val="18"/>
              </w:rPr>
            </w:pPr>
          </w:p>
        </w:tc>
        <w:tc>
          <w:tcPr>
            <w:tcW w:w="354" w:type="pct"/>
          </w:tcPr>
          <w:p w14:paraId="36F23AC4"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sz w:val="18"/>
                <w:szCs w:val="18"/>
              </w:rPr>
            </w:pPr>
          </w:p>
        </w:tc>
      </w:tr>
      <w:tr w:rsidR="00F47287" w:rsidRPr="00E26635" w14:paraId="0135B888" w14:textId="77777777" w:rsidTr="00842CB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85" w:type="pct"/>
            <w:noWrap/>
            <w:hideMark/>
          </w:tcPr>
          <w:p w14:paraId="7C417DA6" w14:textId="77777777" w:rsidR="00F47287" w:rsidRPr="00996B4A" w:rsidRDefault="00F47287" w:rsidP="00842CB7">
            <w:pPr>
              <w:rPr>
                <w:rFonts w:eastAsia="Times New Roman" w:cstheme="majorBidi"/>
                <w:b w:val="0"/>
                <w:bCs w:val="0"/>
                <w:color w:val="000000"/>
                <w:sz w:val="18"/>
                <w:szCs w:val="18"/>
              </w:rPr>
            </w:pPr>
            <w:r w:rsidRPr="00996B4A">
              <w:rPr>
                <w:rFonts w:eastAsia="Times New Roman" w:cstheme="majorBidi"/>
                <w:color w:val="000000"/>
                <w:sz w:val="18"/>
                <w:szCs w:val="18"/>
              </w:rPr>
              <w:t>In a couple or married family</w:t>
            </w:r>
          </w:p>
        </w:tc>
        <w:tc>
          <w:tcPr>
            <w:tcW w:w="500" w:type="pct"/>
            <w:noWrap/>
            <w:hideMark/>
          </w:tcPr>
          <w:p w14:paraId="777E4169"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-0.14**</w:t>
            </w:r>
          </w:p>
        </w:tc>
        <w:tc>
          <w:tcPr>
            <w:tcW w:w="415" w:type="pct"/>
            <w:noWrap/>
            <w:hideMark/>
          </w:tcPr>
          <w:p w14:paraId="41A05FF1"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-0.17</w:t>
            </w:r>
          </w:p>
        </w:tc>
        <w:tc>
          <w:tcPr>
            <w:tcW w:w="417" w:type="pct"/>
            <w:noWrap/>
            <w:hideMark/>
          </w:tcPr>
          <w:p w14:paraId="408D71B3"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-0.11</w:t>
            </w:r>
          </w:p>
        </w:tc>
        <w:tc>
          <w:tcPr>
            <w:tcW w:w="500" w:type="pct"/>
            <w:noWrap/>
            <w:hideMark/>
          </w:tcPr>
          <w:p w14:paraId="0D4FAF01"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-0.10**</w:t>
            </w:r>
          </w:p>
        </w:tc>
        <w:tc>
          <w:tcPr>
            <w:tcW w:w="416" w:type="pct"/>
            <w:noWrap/>
            <w:hideMark/>
          </w:tcPr>
          <w:p w14:paraId="44F97E13"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-0.13</w:t>
            </w:r>
          </w:p>
        </w:tc>
        <w:tc>
          <w:tcPr>
            <w:tcW w:w="417" w:type="pct"/>
            <w:noWrap/>
            <w:hideMark/>
          </w:tcPr>
          <w:p w14:paraId="32666809"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-0.07</w:t>
            </w:r>
          </w:p>
        </w:tc>
        <w:tc>
          <w:tcPr>
            <w:tcW w:w="500" w:type="pct"/>
            <w:noWrap/>
            <w:hideMark/>
          </w:tcPr>
          <w:p w14:paraId="1DB1DF8A"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-0.03</w:t>
            </w:r>
          </w:p>
        </w:tc>
        <w:tc>
          <w:tcPr>
            <w:tcW w:w="396" w:type="pct"/>
            <w:noWrap/>
            <w:hideMark/>
          </w:tcPr>
          <w:p w14:paraId="4BD9626F"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-0.06</w:t>
            </w:r>
          </w:p>
        </w:tc>
        <w:tc>
          <w:tcPr>
            <w:tcW w:w="354" w:type="pct"/>
            <w:noWrap/>
            <w:hideMark/>
          </w:tcPr>
          <w:p w14:paraId="6DA22A17"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0.01</w:t>
            </w:r>
          </w:p>
        </w:tc>
      </w:tr>
      <w:tr w:rsidR="00F47287" w:rsidRPr="00E26635" w14:paraId="064B907B" w14:textId="77777777" w:rsidTr="00842CB7">
        <w:trPr>
          <w:trHeight w:val="300"/>
          <w:jc w:val="center"/>
        </w:trPr>
        <w:tc>
          <w:tcPr>
            <w:cnfStyle w:val="001000000000" w:firstRow="0" w:lastRow="0" w:firstColumn="1" w:lastColumn="0" w:oddVBand="0" w:evenVBand="0" w:oddHBand="0" w:evenHBand="0" w:firstRowFirstColumn="0" w:firstRowLastColumn="0" w:lastRowFirstColumn="0" w:lastRowLastColumn="0"/>
            <w:tcW w:w="1085" w:type="pct"/>
            <w:noWrap/>
            <w:hideMark/>
          </w:tcPr>
          <w:p w14:paraId="04F4FCC5" w14:textId="77777777" w:rsidR="00F47287" w:rsidRPr="00996B4A" w:rsidRDefault="00F47287" w:rsidP="00842CB7">
            <w:pPr>
              <w:rPr>
                <w:rFonts w:eastAsia="Times New Roman" w:cstheme="majorBidi"/>
                <w:b w:val="0"/>
                <w:bCs w:val="0"/>
                <w:color w:val="000000"/>
                <w:sz w:val="18"/>
                <w:szCs w:val="18"/>
              </w:rPr>
            </w:pPr>
            <w:r w:rsidRPr="00996B4A">
              <w:rPr>
                <w:rFonts w:eastAsia="Times New Roman" w:cstheme="majorBidi"/>
                <w:color w:val="000000"/>
                <w:sz w:val="18"/>
                <w:szCs w:val="18"/>
              </w:rPr>
              <w:t>In a lone parent family</w:t>
            </w:r>
          </w:p>
        </w:tc>
        <w:tc>
          <w:tcPr>
            <w:tcW w:w="500" w:type="pct"/>
            <w:noWrap/>
            <w:hideMark/>
          </w:tcPr>
          <w:p w14:paraId="4591D05C"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0.13**</w:t>
            </w:r>
          </w:p>
        </w:tc>
        <w:tc>
          <w:tcPr>
            <w:tcW w:w="415" w:type="pct"/>
            <w:noWrap/>
            <w:hideMark/>
          </w:tcPr>
          <w:p w14:paraId="05F320A4"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0.12</w:t>
            </w:r>
          </w:p>
        </w:tc>
        <w:tc>
          <w:tcPr>
            <w:tcW w:w="417" w:type="pct"/>
            <w:noWrap/>
            <w:hideMark/>
          </w:tcPr>
          <w:p w14:paraId="5B37E52E"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0.15</w:t>
            </w:r>
          </w:p>
        </w:tc>
        <w:tc>
          <w:tcPr>
            <w:tcW w:w="500" w:type="pct"/>
            <w:noWrap/>
            <w:hideMark/>
          </w:tcPr>
          <w:p w14:paraId="0A5FF8FF"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0.19**</w:t>
            </w:r>
          </w:p>
        </w:tc>
        <w:tc>
          <w:tcPr>
            <w:tcW w:w="416" w:type="pct"/>
            <w:noWrap/>
            <w:hideMark/>
          </w:tcPr>
          <w:p w14:paraId="1EDFF59A"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0.17</w:t>
            </w:r>
          </w:p>
        </w:tc>
        <w:tc>
          <w:tcPr>
            <w:tcW w:w="417" w:type="pct"/>
            <w:noWrap/>
            <w:hideMark/>
          </w:tcPr>
          <w:p w14:paraId="10DDD9CF"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0.21</w:t>
            </w:r>
          </w:p>
        </w:tc>
        <w:tc>
          <w:tcPr>
            <w:tcW w:w="500" w:type="pct"/>
            <w:noWrap/>
            <w:hideMark/>
          </w:tcPr>
          <w:p w14:paraId="29F98AE7"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0.21**</w:t>
            </w:r>
          </w:p>
        </w:tc>
        <w:tc>
          <w:tcPr>
            <w:tcW w:w="396" w:type="pct"/>
            <w:noWrap/>
            <w:hideMark/>
          </w:tcPr>
          <w:p w14:paraId="65529C4D"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0.19</w:t>
            </w:r>
          </w:p>
        </w:tc>
        <w:tc>
          <w:tcPr>
            <w:tcW w:w="354" w:type="pct"/>
            <w:noWrap/>
            <w:hideMark/>
          </w:tcPr>
          <w:p w14:paraId="2D4334C1"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0.24</w:t>
            </w:r>
          </w:p>
        </w:tc>
      </w:tr>
      <w:tr w:rsidR="00F47287" w:rsidRPr="00E26635" w14:paraId="0FC490C6" w14:textId="77777777" w:rsidTr="00842CB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85" w:type="pct"/>
            <w:noWrap/>
            <w:hideMark/>
          </w:tcPr>
          <w:p w14:paraId="1BF27349" w14:textId="77777777" w:rsidR="00F47287" w:rsidRPr="00996B4A" w:rsidRDefault="00F47287" w:rsidP="00842CB7">
            <w:pPr>
              <w:rPr>
                <w:rFonts w:eastAsia="Times New Roman" w:cstheme="majorBidi"/>
                <w:color w:val="000000"/>
                <w:sz w:val="18"/>
                <w:szCs w:val="18"/>
              </w:rPr>
            </w:pPr>
            <w:r w:rsidRPr="00996B4A">
              <w:rPr>
                <w:rFonts w:eastAsia="Times New Roman" w:cstheme="majorBidi"/>
                <w:color w:val="000000"/>
                <w:sz w:val="18"/>
                <w:szCs w:val="18"/>
              </w:rPr>
              <w:t>Nativity (ref UK born)</w:t>
            </w:r>
          </w:p>
        </w:tc>
        <w:tc>
          <w:tcPr>
            <w:tcW w:w="500" w:type="pct"/>
            <w:noWrap/>
            <w:hideMark/>
          </w:tcPr>
          <w:p w14:paraId="3F3D7EA0"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-0.24**</w:t>
            </w:r>
          </w:p>
        </w:tc>
        <w:tc>
          <w:tcPr>
            <w:tcW w:w="415" w:type="pct"/>
            <w:noWrap/>
            <w:hideMark/>
          </w:tcPr>
          <w:p w14:paraId="352FA86D"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-0.26</w:t>
            </w:r>
          </w:p>
        </w:tc>
        <w:tc>
          <w:tcPr>
            <w:tcW w:w="417" w:type="pct"/>
            <w:noWrap/>
            <w:hideMark/>
          </w:tcPr>
          <w:p w14:paraId="005D3172"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-0.22</w:t>
            </w:r>
          </w:p>
        </w:tc>
        <w:tc>
          <w:tcPr>
            <w:tcW w:w="500" w:type="pct"/>
            <w:noWrap/>
            <w:hideMark/>
          </w:tcPr>
          <w:p w14:paraId="123E9FB5"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-0.26**</w:t>
            </w:r>
          </w:p>
        </w:tc>
        <w:tc>
          <w:tcPr>
            <w:tcW w:w="416" w:type="pct"/>
            <w:noWrap/>
            <w:hideMark/>
          </w:tcPr>
          <w:p w14:paraId="0781AC90"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-0.28</w:t>
            </w:r>
          </w:p>
        </w:tc>
        <w:tc>
          <w:tcPr>
            <w:tcW w:w="417" w:type="pct"/>
            <w:noWrap/>
            <w:hideMark/>
          </w:tcPr>
          <w:p w14:paraId="14C5CEF0"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-0.24</w:t>
            </w:r>
          </w:p>
        </w:tc>
        <w:tc>
          <w:tcPr>
            <w:tcW w:w="500" w:type="pct"/>
            <w:noWrap/>
            <w:hideMark/>
          </w:tcPr>
          <w:p w14:paraId="03A082D2"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-0.27**</w:t>
            </w:r>
          </w:p>
        </w:tc>
        <w:tc>
          <w:tcPr>
            <w:tcW w:w="396" w:type="pct"/>
            <w:noWrap/>
            <w:hideMark/>
          </w:tcPr>
          <w:p w14:paraId="3FC76FB6"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-0.30</w:t>
            </w:r>
          </w:p>
        </w:tc>
        <w:tc>
          <w:tcPr>
            <w:tcW w:w="354" w:type="pct"/>
            <w:noWrap/>
            <w:hideMark/>
          </w:tcPr>
          <w:p w14:paraId="611578B5"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-0.24</w:t>
            </w:r>
          </w:p>
        </w:tc>
      </w:tr>
      <w:tr w:rsidR="00F47287" w:rsidRPr="00E26635" w14:paraId="668FC738" w14:textId="77777777" w:rsidTr="00842CB7">
        <w:trPr>
          <w:trHeight w:val="300"/>
          <w:jc w:val="center"/>
        </w:trPr>
        <w:tc>
          <w:tcPr>
            <w:cnfStyle w:val="001000000000" w:firstRow="0" w:lastRow="0" w:firstColumn="1" w:lastColumn="0" w:oddVBand="0" w:evenVBand="0" w:oddHBand="0" w:evenHBand="0" w:firstRowFirstColumn="0" w:firstRowLastColumn="0" w:lastRowFirstColumn="0" w:lastRowLastColumn="0"/>
            <w:tcW w:w="1085" w:type="pct"/>
            <w:noWrap/>
            <w:hideMark/>
          </w:tcPr>
          <w:p w14:paraId="02F2A751" w14:textId="77777777" w:rsidR="00F47287" w:rsidRPr="00996B4A" w:rsidRDefault="00F47287" w:rsidP="00842CB7">
            <w:pPr>
              <w:rPr>
                <w:rFonts w:eastAsia="Times New Roman" w:cstheme="majorBidi"/>
                <w:sz w:val="18"/>
                <w:szCs w:val="18"/>
              </w:rPr>
            </w:pPr>
            <w:r w:rsidRPr="00996B4A">
              <w:rPr>
                <w:rFonts w:eastAsia="Times New Roman" w:cstheme="majorBidi"/>
                <w:sz w:val="18"/>
                <w:szCs w:val="18"/>
              </w:rPr>
              <w:t>Education (ref None)</w:t>
            </w:r>
          </w:p>
        </w:tc>
        <w:tc>
          <w:tcPr>
            <w:tcW w:w="500" w:type="pct"/>
            <w:noWrap/>
            <w:hideMark/>
          </w:tcPr>
          <w:p w14:paraId="3209886C"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sz w:val="18"/>
                <w:szCs w:val="18"/>
              </w:rPr>
            </w:pPr>
          </w:p>
        </w:tc>
        <w:tc>
          <w:tcPr>
            <w:tcW w:w="415" w:type="pct"/>
            <w:noWrap/>
            <w:hideMark/>
          </w:tcPr>
          <w:p w14:paraId="32C36158"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sz w:val="18"/>
                <w:szCs w:val="18"/>
              </w:rPr>
            </w:pPr>
          </w:p>
        </w:tc>
        <w:tc>
          <w:tcPr>
            <w:tcW w:w="417" w:type="pct"/>
            <w:noWrap/>
            <w:hideMark/>
          </w:tcPr>
          <w:p w14:paraId="0C7A29BD"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sz w:val="18"/>
                <w:szCs w:val="18"/>
              </w:rPr>
            </w:pPr>
          </w:p>
        </w:tc>
        <w:tc>
          <w:tcPr>
            <w:tcW w:w="500" w:type="pct"/>
            <w:noWrap/>
            <w:hideMark/>
          </w:tcPr>
          <w:p w14:paraId="459FF70D"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sz w:val="18"/>
                <w:szCs w:val="18"/>
              </w:rPr>
            </w:pPr>
          </w:p>
        </w:tc>
        <w:tc>
          <w:tcPr>
            <w:tcW w:w="416" w:type="pct"/>
            <w:noWrap/>
            <w:hideMark/>
          </w:tcPr>
          <w:p w14:paraId="24D57AD3"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sz w:val="18"/>
                <w:szCs w:val="18"/>
              </w:rPr>
            </w:pPr>
          </w:p>
        </w:tc>
        <w:tc>
          <w:tcPr>
            <w:tcW w:w="417" w:type="pct"/>
          </w:tcPr>
          <w:p w14:paraId="2CD5C6F9"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sz w:val="18"/>
                <w:szCs w:val="18"/>
              </w:rPr>
            </w:pPr>
          </w:p>
        </w:tc>
        <w:tc>
          <w:tcPr>
            <w:tcW w:w="500" w:type="pct"/>
          </w:tcPr>
          <w:p w14:paraId="203EFB87"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sz w:val="18"/>
                <w:szCs w:val="18"/>
              </w:rPr>
            </w:pPr>
          </w:p>
        </w:tc>
        <w:tc>
          <w:tcPr>
            <w:tcW w:w="396" w:type="pct"/>
          </w:tcPr>
          <w:p w14:paraId="2B441EF2"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sz w:val="18"/>
                <w:szCs w:val="18"/>
              </w:rPr>
            </w:pPr>
          </w:p>
        </w:tc>
        <w:tc>
          <w:tcPr>
            <w:tcW w:w="354" w:type="pct"/>
          </w:tcPr>
          <w:p w14:paraId="6F63E687"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sz w:val="18"/>
                <w:szCs w:val="18"/>
              </w:rPr>
            </w:pPr>
          </w:p>
        </w:tc>
      </w:tr>
      <w:tr w:rsidR="00F47287" w:rsidRPr="00E26635" w14:paraId="3E0E530A" w14:textId="77777777" w:rsidTr="00842CB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85" w:type="pct"/>
            <w:noWrap/>
            <w:hideMark/>
          </w:tcPr>
          <w:p w14:paraId="34DAAB0D" w14:textId="77777777" w:rsidR="00F47287" w:rsidRPr="000E4805" w:rsidRDefault="00F47287" w:rsidP="00842CB7">
            <w:pPr>
              <w:rPr>
                <w:rFonts w:eastAsia="Times New Roman" w:cstheme="majorBidi"/>
                <w:b w:val="0"/>
                <w:bCs w:val="0"/>
                <w:color w:val="000000"/>
                <w:sz w:val="18"/>
                <w:szCs w:val="18"/>
              </w:rPr>
            </w:pPr>
            <w:r w:rsidRPr="000E4805">
              <w:rPr>
                <w:rFonts w:eastAsia="Times New Roman" w:cstheme="majorBidi"/>
                <w:color w:val="000000"/>
                <w:sz w:val="18"/>
                <w:szCs w:val="18"/>
              </w:rPr>
              <w:t>GCSE or apprenticeship</w:t>
            </w:r>
          </w:p>
        </w:tc>
        <w:tc>
          <w:tcPr>
            <w:tcW w:w="500" w:type="pct"/>
            <w:noWrap/>
            <w:hideMark/>
          </w:tcPr>
          <w:p w14:paraId="43E0E74A" w14:textId="77777777" w:rsidR="00F47287" w:rsidRPr="000E4805"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0E4805">
              <w:rPr>
                <w:rFonts w:eastAsia="Times New Roman" w:cstheme="majorBidi"/>
                <w:color w:val="000000"/>
                <w:sz w:val="18"/>
                <w:szCs w:val="18"/>
              </w:rPr>
              <w:t>0.14**</w:t>
            </w:r>
          </w:p>
        </w:tc>
        <w:tc>
          <w:tcPr>
            <w:tcW w:w="415" w:type="pct"/>
            <w:noWrap/>
            <w:hideMark/>
          </w:tcPr>
          <w:p w14:paraId="2615EC5C" w14:textId="77777777" w:rsidR="00F47287" w:rsidRPr="000E4805"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0E4805">
              <w:rPr>
                <w:rFonts w:eastAsia="Times New Roman" w:cstheme="majorBidi"/>
                <w:color w:val="000000"/>
                <w:sz w:val="18"/>
                <w:szCs w:val="18"/>
              </w:rPr>
              <w:t>0.11</w:t>
            </w:r>
          </w:p>
        </w:tc>
        <w:tc>
          <w:tcPr>
            <w:tcW w:w="417" w:type="pct"/>
            <w:noWrap/>
            <w:hideMark/>
          </w:tcPr>
          <w:p w14:paraId="32193D2B" w14:textId="77777777" w:rsidR="00F47287" w:rsidRPr="000E4805"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0E4805">
              <w:rPr>
                <w:rFonts w:eastAsia="Times New Roman" w:cstheme="majorBidi"/>
                <w:color w:val="000000"/>
                <w:sz w:val="18"/>
                <w:szCs w:val="18"/>
              </w:rPr>
              <w:t>0.17</w:t>
            </w:r>
          </w:p>
        </w:tc>
        <w:tc>
          <w:tcPr>
            <w:tcW w:w="500" w:type="pct"/>
            <w:noWrap/>
            <w:hideMark/>
          </w:tcPr>
          <w:p w14:paraId="0D4C79DC" w14:textId="77777777" w:rsidR="00F47287" w:rsidRPr="000E4805"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0E4805">
              <w:rPr>
                <w:rFonts w:eastAsia="Times New Roman" w:cstheme="majorBidi"/>
                <w:color w:val="000000"/>
                <w:sz w:val="18"/>
                <w:szCs w:val="18"/>
              </w:rPr>
              <w:t>0.16**</w:t>
            </w:r>
          </w:p>
        </w:tc>
        <w:tc>
          <w:tcPr>
            <w:tcW w:w="416" w:type="pct"/>
            <w:noWrap/>
            <w:hideMark/>
          </w:tcPr>
          <w:p w14:paraId="49EB9B3A" w14:textId="77777777" w:rsidR="00F47287" w:rsidRPr="000E4805"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0E4805">
              <w:rPr>
                <w:rFonts w:eastAsia="Times New Roman" w:cstheme="majorBidi"/>
                <w:color w:val="000000"/>
                <w:sz w:val="18"/>
                <w:szCs w:val="18"/>
              </w:rPr>
              <w:t>0.13</w:t>
            </w:r>
          </w:p>
        </w:tc>
        <w:tc>
          <w:tcPr>
            <w:tcW w:w="417" w:type="pct"/>
            <w:noWrap/>
            <w:hideMark/>
          </w:tcPr>
          <w:p w14:paraId="6EAEE3A6" w14:textId="77777777" w:rsidR="00F47287" w:rsidRPr="000E4805"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0E4805">
              <w:rPr>
                <w:rFonts w:eastAsia="Times New Roman" w:cstheme="majorBidi"/>
                <w:color w:val="000000"/>
                <w:sz w:val="18"/>
                <w:szCs w:val="18"/>
              </w:rPr>
              <w:t>0.19</w:t>
            </w:r>
          </w:p>
        </w:tc>
        <w:tc>
          <w:tcPr>
            <w:tcW w:w="500" w:type="pct"/>
            <w:noWrap/>
            <w:hideMark/>
          </w:tcPr>
          <w:p w14:paraId="46604081" w14:textId="77777777" w:rsidR="00F47287" w:rsidRPr="000E4805"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0E4805">
              <w:rPr>
                <w:rFonts w:eastAsia="Times New Roman" w:cstheme="majorBidi"/>
                <w:color w:val="000000"/>
                <w:sz w:val="18"/>
                <w:szCs w:val="18"/>
              </w:rPr>
              <w:t>0.18**</w:t>
            </w:r>
          </w:p>
        </w:tc>
        <w:tc>
          <w:tcPr>
            <w:tcW w:w="396" w:type="pct"/>
            <w:noWrap/>
            <w:hideMark/>
          </w:tcPr>
          <w:p w14:paraId="75976F99" w14:textId="77777777" w:rsidR="00F47287" w:rsidRPr="000E4805"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0E4805">
              <w:rPr>
                <w:rFonts w:eastAsia="Times New Roman" w:cstheme="majorBidi"/>
                <w:color w:val="000000"/>
                <w:sz w:val="18"/>
                <w:szCs w:val="18"/>
              </w:rPr>
              <w:t>0.14</w:t>
            </w:r>
          </w:p>
        </w:tc>
        <w:tc>
          <w:tcPr>
            <w:tcW w:w="354" w:type="pct"/>
            <w:noWrap/>
            <w:hideMark/>
          </w:tcPr>
          <w:p w14:paraId="4DA13F83" w14:textId="77777777" w:rsidR="00F47287" w:rsidRPr="000E4805"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0E4805">
              <w:rPr>
                <w:rFonts w:eastAsia="Times New Roman" w:cstheme="majorBidi"/>
                <w:color w:val="000000"/>
                <w:sz w:val="18"/>
                <w:szCs w:val="18"/>
              </w:rPr>
              <w:t>0.22</w:t>
            </w:r>
          </w:p>
        </w:tc>
      </w:tr>
      <w:tr w:rsidR="00F47287" w:rsidRPr="00E26635" w14:paraId="1304D836" w14:textId="77777777" w:rsidTr="00842CB7">
        <w:trPr>
          <w:trHeight w:val="300"/>
          <w:jc w:val="center"/>
        </w:trPr>
        <w:tc>
          <w:tcPr>
            <w:cnfStyle w:val="001000000000" w:firstRow="0" w:lastRow="0" w:firstColumn="1" w:lastColumn="0" w:oddVBand="0" w:evenVBand="0" w:oddHBand="0" w:evenHBand="0" w:firstRowFirstColumn="0" w:firstRowLastColumn="0" w:lastRowFirstColumn="0" w:lastRowLastColumn="0"/>
            <w:tcW w:w="1085" w:type="pct"/>
            <w:noWrap/>
            <w:hideMark/>
          </w:tcPr>
          <w:p w14:paraId="4694874A" w14:textId="77777777" w:rsidR="00F47287" w:rsidRPr="000E4805" w:rsidRDefault="00F47287" w:rsidP="00842CB7">
            <w:pPr>
              <w:rPr>
                <w:rFonts w:eastAsia="Times New Roman" w:cstheme="majorBidi"/>
                <w:b w:val="0"/>
                <w:bCs w:val="0"/>
                <w:color w:val="000000"/>
                <w:sz w:val="18"/>
                <w:szCs w:val="18"/>
              </w:rPr>
            </w:pPr>
            <w:r w:rsidRPr="000E4805">
              <w:rPr>
                <w:rFonts w:eastAsia="Times New Roman" w:cstheme="majorBidi"/>
                <w:color w:val="000000"/>
                <w:sz w:val="18"/>
                <w:szCs w:val="18"/>
              </w:rPr>
              <w:t>A Level</w:t>
            </w:r>
          </w:p>
        </w:tc>
        <w:tc>
          <w:tcPr>
            <w:tcW w:w="500" w:type="pct"/>
            <w:noWrap/>
            <w:hideMark/>
          </w:tcPr>
          <w:p w14:paraId="4B1707DC" w14:textId="77777777" w:rsidR="00F47287" w:rsidRPr="000E4805"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0E4805">
              <w:rPr>
                <w:rFonts w:eastAsia="Times New Roman" w:cstheme="majorBidi"/>
                <w:color w:val="000000"/>
                <w:sz w:val="18"/>
                <w:szCs w:val="18"/>
              </w:rPr>
              <w:t>0.30**</w:t>
            </w:r>
          </w:p>
        </w:tc>
        <w:tc>
          <w:tcPr>
            <w:tcW w:w="415" w:type="pct"/>
            <w:noWrap/>
            <w:hideMark/>
          </w:tcPr>
          <w:p w14:paraId="4D9564ED" w14:textId="77777777" w:rsidR="00F47287" w:rsidRPr="000E4805"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0E4805">
              <w:rPr>
                <w:rFonts w:eastAsia="Times New Roman" w:cstheme="majorBidi"/>
                <w:color w:val="000000"/>
                <w:sz w:val="18"/>
                <w:szCs w:val="18"/>
              </w:rPr>
              <w:t>0.27</w:t>
            </w:r>
          </w:p>
        </w:tc>
        <w:tc>
          <w:tcPr>
            <w:tcW w:w="417" w:type="pct"/>
            <w:noWrap/>
            <w:hideMark/>
          </w:tcPr>
          <w:p w14:paraId="774DC86A" w14:textId="77777777" w:rsidR="00F47287" w:rsidRPr="000E4805"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0E4805">
              <w:rPr>
                <w:rFonts w:eastAsia="Times New Roman" w:cstheme="majorBidi"/>
                <w:color w:val="000000"/>
                <w:sz w:val="18"/>
                <w:szCs w:val="18"/>
              </w:rPr>
              <w:t>0.33</w:t>
            </w:r>
          </w:p>
        </w:tc>
        <w:tc>
          <w:tcPr>
            <w:tcW w:w="500" w:type="pct"/>
            <w:noWrap/>
            <w:hideMark/>
          </w:tcPr>
          <w:p w14:paraId="7E0E6F0F" w14:textId="77777777" w:rsidR="00F47287" w:rsidRPr="000E4805"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0E4805">
              <w:rPr>
                <w:rFonts w:eastAsia="Times New Roman" w:cstheme="majorBidi"/>
                <w:color w:val="000000"/>
                <w:sz w:val="18"/>
                <w:szCs w:val="18"/>
              </w:rPr>
              <w:t>0.39**</w:t>
            </w:r>
          </w:p>
        </w:tc>
        <w:tc>
          <w:tcPr>
            <w:tcW w:w="416" w:type="pct"/>
            <w:noWrap/>
            <w:hideMark/>
          </w:tcPr>
          <w:p w14:paraId="0AC789AA" w14:textId="77777777" w:rsidR="00F47287" w:rsidRPr="000E4805"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0E4805">
              <w:rPr>
                <w:rFonts w:eastAsia="Times New Roman" w:cstheme="majorBidi"/>
                <w:color w:val="000000"/>
                <w:sz w:val="18"/>
                <w:szCs w:val="18"/>
              </w:rPr>
              <w:t>0.35</w:t>
            </w:r>
          </w:p>
        </w:tc>
        <w:tc>
          <w:tcPr>
            <w:tcW w:w="417" w:type="pct"/>
            <w:noWrap/>
            <w:hideMark/>
          </w:tcPr>
          <w:p w14:paraId="23F8F1F0" w14:textId="77777777" w:rsidR="00F47287" w:rsidRPr="000E4805"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0E4805">
              <w:rPr>
                <w:rFonts w:eastAsia="Times New Roman" w:cstheme="majorBidi"/>
                <w:color w:val="000000"/>
                <w:sz w:val="18"/>
                <w:szCs w:val="18"/>
              </w:rPr>
              <w:t>0.42</w:t>
            </w:r>
          </w:p>
        </w:tc>
        <w:tc>
          <w:tcPr>
            <w:tcW w:w="500" w:type="pct"/>
            <w:noWrap/>
            <w:hideMark/>
          </w:tcPr>
          <w:p w14:paraId="206639FD" w14:textId="77777777" w:rsidR="00F47287" w:rsidRPr="000E4805"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0E4805">
              <w:rPr>
                <w:rFonts w:eastAsia="Times New Roman" w:cstheme="majorBidi"/>
                <w:color w:val="000000"/>
                <w:sz w:val="18"/>
                <w:szCs w:val="18"/>
              </w:rPr>
              <w:t>0.47**</w:t>
            </w:r>
          </w:p>
        </w:tc>
        <w:tc>
          <w:tcPr>
            <w:tcW w:w="396" w:type="pct"/>
            <w:noWrap/>
            <w:hideMark/>
          </w:tcPr>
          <w:p w14:paraId="0CCB626D" w14:textId="77777777" w:rsidR="00F47287" w:rsidRPr="000E4805"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0E4805">
              <w:rPr>
                <w:rFonts w:eastAsia="Times New Roman" w:cstheme="majorBidi"/>
                <w:color w:val="000000"/>
                <w:sz w:val="18"/>
                <w:szCs w:val="18"/>
              </w:rPr>
              <w:t>0.43</w:t>
            </w:r>
          </w:p>
        </w:tc>
        <w:tc>
          <w:tcPr>
            <w:tcW w:w="354" w:type="pct"/>
            <w:noWrap/>
            <w:hideMark/>
          </w:tcPr>
          <w:p w14:paraId="718B95F5" w14:textId="77777777" w:rsidR="00F47287" w:rsidRPr="000E4805"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0E4805">
              <w:rPr>
                <w:rFonts w:eastAsia="Times New Roman" w:cstheme="majorBidi"/>
                <w:color w:val="000000"/>
                <w:sz w:val="18"/>
                <w:szCs w:val="18"/>
              </w:rPr>
              <w:t>0.51</w:t>
            </w:r>
          </w:p>
        </w:tc>
      </w:tr>
      <w:tr w:rsidR="00F47287" w:rsidRPr="00E26635" w14:paraId="51928D89" w14:textId="77777777" w:rsidTr="00842CB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85" w:type="pct"/>
            <w:noWrap/>
            <w:hideMark/>
          </w:tcPr>
          <w:p w14:paraId="3BE73B00" w14:textId="77777777" w:rsidR="00F47287" w:rsidRPr="000E4805" w:rsidRDefault="00F47287" w:rsidP="00842CB7">
            <w:pPr>
              <w:rPr>
                <w:rFonts w:eastAsia="Times New Roman" w:cstheme="majorBidi"/>
                <w:b w:val="0"/>
                <w:bCs w:val="0"/>
                <w:color w:val="000000"/>
                <w:sz w:val="18"/>
                <w:szCs w:val="18"/>
              </w:rPr>
            </w:pPr>
            <w:r w:rsidRPr="000E4805">
              <w:rPr>
                <w:rFonts w:eastAsia="Times New Roman" w:cstheme="majorBidi"/>
                <w:color w:val="000000"/>
                <w:sz w:val="18"/>
                <w:szCs w:val="18"/>
              </w:rPr>
              <w:t>Degree</w:t>
            </w:r>
          </w:p>
        </w:tc>
        <w:tc>
          <w:tcPr>
            <w:tcW w:w="500" w:type="pct"/>
            <w:noWrap/>
            <w:hideMark/>
          </w:tcPr>
          <w:p w14:paraId="30CF4F5C" w14:textId="77777777" w:rsidR="00F47287" w:rsidRPr="000E4805"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0E4805">
              <w:rPr>
                <w:rFonts w:eastAsia="Times New Roman" w:cstheme="majorBidi"/>
                <w:color w:val="000000"/>
                <w:sz w:val="18"/>
                <w:szCs w:val="18"/>
              </w:rPr>
              <w:t>0.84**</w:t>
            </w:r>
          </w:p>
        </w:tc>
        <w:tc>
          <w:tcPr>
            <w:tcW w:w="415" w:type="pct"/>
            <w:noWrap/>
            <w:hideMark/>
          </w:tcPr>
          <w:p w14:paraId="1C244687" w14:textId="77777777" w:rsidR="00F47287" w:rsidRPr="000E4805"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0E4805">
              <w:rPr>
                <w:rFonts w:eastAsia="Times New Roman" w:cstheme="majorBidi"/>
                <w:color w:val="000000"/>
                <w:sz w:val="18"/>
                <w:szCs w:val="18"/>
              </w:rPr>
              <w:t>0.82</w:t>
            </w:r>
          </w:p>
        </w:tc>
        <w:tc>
          <w:tcPr>
            <w:tcW w:w="417" w:type="pct"/>
            <w:noWrap/>
            <w:hideMark/>
          </w:tcPr>
          <w:p w14:paraId="36B2752C" w14:textId="77777777" w:rsidR="00F47287" w:rsidRPr="000E4805"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0E4805">
              <w:rPr>
                <w:rFonts w:eastAsia="Times New Roman" w:cstheme="majorBidi"/>
                <w:color w:val="000000"/>
                <w:sz w:val="18"/>
                <w:szCs w:val="18"/>
              </w:rPr>
              <w:t>0.87</w:t>
            </w:r>
          </w:p>
        </w:tc>
        <w:tc>
          <w:tcPr>
            <w:tcW w:w="500" w:type="pct"/>
            <w:noWrap/>
            <w:hideMark/>
          </w:tcPr>
          <w:p w14:paraId="7745E170" w14:textId="77777777" w:rsidR="00F47287" w:rsidRPr="000E4805"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0E4805">
              <w:rPr>
                <w:rFonts w:eastAsia="Times New Roman" w:cstheme="majorBidi"/>
                <w:color w:val="000000"/>
                <w:sz w:val="18"/>
                <w:szCs w:val="18"/>
              </w:rPr>
              <w:t>1.01**</w:t>
            </w:r>
          </w:p>
        </w:tc>
        <w:tc>
          <w:tcPr>
            <w:tcW w:w="416" w:type="pct"/>
            <w:noWrap/>
            <w:hideMark/>
          </w:tcPr>
          <w:p w14:paraId="4EE67854" w14:textId="77777777" w:rsidR="00F47287" w:rsidRPr="000E4805"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0E4805">
              <w:rPr>
                <w:rFonts w:eastAsia="Times New Roman" w:cstheme="majorBidi"/>
                <w:color w:val="000000"/>
                <w:sz w:val="18"/>
                <w:szCs w:val="18"/>
              </w:rPr>
              <w:t>0.98</w:t>
            </w:r>
          </w:p>
        </w:tc>
        <w:tc>
          <w:tcPr>
            <w:tcW w:w="417" w:type="pct"/>
            <w:noWrap/>
            <w:hideMark/>
          </w:tcPr>
          <w:p w14:paraId="7AA3050E" w14:textId="77777777" w:rsidR="00F47287" w:rsidRPr="000E4805"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0E4805">
              <w:rPr>
                <w:rFonts w:eastAsia="Times New Roman" w:cstheme="majorBidi"/>
                <w:color w:val="000000"/>
                <w:sz w:val="18"/>
                <w:szCs w:val="18"/>
              </w:rPr>
              <w:t>1.04</w:t>
            </w:r>
          </w:p>
        </w:tc>
        <w:tc>
          <w:tcPr>
            <w:tcW w:w="500" w:type="pct"/>
            <w:noWrap/>
            <w:hideMark/>
          </w:tcPr>
          <w:p w14:paraId="5B05E26B" w14:textId="77777777" w:rsidR="00F47287" w:rsidRPr="000E4805"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0E4805">
              <w:rPr>
                <w:rFonts w:eastAsia="Times New Roman" w:cstheme="majorBidi"/>
                <w:color w:val="000000"/>
                <w:sz w:val="18"/>
                <w:szCs w:val="18"/>
              </w:rPr>
              <w:t>1.14**</w:t>
            </w:r>
          </w:p>
        </w:tc>
        <w:tc>
          <w:tcPr>
            <w:tcW w:w="396" w:type="pct"/>
            <w:noWrap/>
            <w:hideMark/>
          </w:tcPr>
          <w:p w14:paraId="0BCC184A" w14:textId="77777777" w:rsidR="00F47287" w:rsidRPr="000E4805"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0E4805">
              <w:rPr>
                <w:rFonts w:eastAsia="Times New Roman" w:cstheme="majorBidi"/>
                <w:color w:val="000000"/>
                <w:sz w:val="18"/>
                <w:szCs w:val="18"/>
              </w:rPr>
              <w:t>1.10</w:t>
            </w:r>
          </w:p>
        </w:tc>
        <w:tc>
          <w:tcPr>
            <w:tcW w:w="354" w:type="pct"/>
            <w:noWrap/>
            <w:hideMark/>
          </w:tcPr>
          <w:p w14:paraId="2FCC7433" w14:textId="77777777" w:rsidR="00F47287" w:rsidRPr="000E4805"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0E4805">
              <w:rPr>
                <w:rFonts w:eastAsia="Times New Roman" w:cstheme="majorBidi"/>
                <w:color w:val="000000"/>
                <w:sz w:val="18"/>
                <w:szCs w:val="18"/>
              </w:rPr>
              <w:t>1.18</w:t>
            </w:r>
          </w:p>
        </w:tc>
      </w:tr>
      <w:tr w:rsidR="00F47287" w:rsidRPr="00E26635" w14:paraId="1AB07C89" w14:textId="77777777" w:rsidTr="00842CB7">
        <w:trPr>
          <w:trHeight w:val="300"/>
          <w:jc w:val="center"/>
        </w:trPr>
        <w:tc>
          <w:tcPr>
            <w:cnfStyle w:val="001000000000" w:firstRow="0" w:lastRow="0" w:firstColumn="1" w:lastColumn="0" w:oddVBand="0" w:evenVBand="0" w:oddHBand="0" w:evenHBand="0" w:firstRowFirstColumn="0" w:firstRowLastColumn="0" w:lastRowFirstColumn="0" w:lastRowLastColumn="0"/>
            <w:tcW w:w="1085" w:type="pct"/>
            <w:noWrap/>
            <w:hideMark/>
          </w:tcPr>
          <w:p w14:paraId="7E4CA5C5" w14:textId="77777777" w:rsidR="00F47287" w:rsidRPr="000E4805" w:rsidRDefault="00F47287" w:rsidP="00842CB7">
            <w:pPr>
              <w:rPr>
                <w:rFonts w:eastAsia="Times New Roman" w:cstheme="majorBidi"/>
                <w:sz w:val="18"/>
                <w:szCs w:val="18"/>
              </w:rPr>
            </w:pPr>
            <w:r w:rsidRPr="000E4805">
              <w:rPr>
                <w:rFonts w:eastAsia="Times New Roman" w:cstheme="majorBidi"/>
                <w:sz w:val="18"/>
                <w:szCs w:val="18"/>
              </w:rPr>
              <w:t>Tenure (ref Private renter)</w:t>
            </w:r>
          </w:p>
        </w:tc>
        <w:tc>
          <w:tcPr>
            <w:tcW w:w="500" w:type="pct"/>
            <w:noWrap/>
            <w:hideMark/>
          </w:tcPr>
          <w:p w14:paraId="5D807113" w14:textId="77777777" w:rsidR="00F47287" w:rsidRPr="000E4805"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sz w:val="18"/>
                <w:szCs w:val="18"/>
              </w:rPr>
            </w:pPr>
          </w:p>
        </w:tc>
        <w:tc>
          <w:tcPr>
            <w:tcW w:w="415" w:type="pct"/>
            <w:noWrap/>
            <w:hideMark/>
          </w:tcPr>
          <w:p w14:paraId="237EBF25" w14:textId="77777777" w:rsidR="00F47287" w:rsidRPr="000E4805"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sz w:val="18"/>
                <w:szCs w:val="18"/>
              </w:rPr>
            </w:pPr>
          </w:p>
        </w:tc>
        <w:tc>
          <w:tcPr>
            <w:tcW w:w="417" w:type="pct"/>
            <w:noWrap/>
            <w:hideMark/>
          </w:tcPr>
          <w:p w14:paraId="5077AEBB" w14:textId="77777777" w:rsidR="00F47287" w:rsidRPr="000E4805"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sz w:val="18"/>
                <w:szCs w:val="18"/>
              </w:rPr>
            </w:pPr>
          </w:p>
        </w:tc>
        <w:tc>
          <w:tcPr>
            <w:tcW w:w="500" w:type="pct"/>
            <w:noWrap/>
            <w:hideMark/>
          </w:tcPr>
          <w:p w14:paraId="1A770FEE" w14:textId="77777777" w:rsidR="00F47287" w:rsidRPr="000E4805"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sz w:val="18"/>
                <w:szCs w:val="18"/>
              </w:rPr>
            </w:pPr>
          </w:p>
        </w:tc>
        <w:tc>
          <w:tcPr>
            <w:tcW w:w="416" w:type="pct"/>
            <w:noWrap/>
            <w:hideMark/>
          </w:tcPr>
          <w:p w14:paraId="64AAE8B0" w14:textId="77777777" w:rsidR="00F47287" w:rsidRPr="000E4805"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sz w:val="18"/>
                <w:szCs w:val="18"/>
              </w:rPr>
            </w:pPr>
          </w:p>
        </w:tc>
        <w:tc>
          <w:tcPr>
            <w:tcW w:w="417" w:type="pct"/>
          </w:tcPr>
          <w:p w14:paraId="0BAD8FDE" w14:textId="77777777" w:rsidR="00F47287" w:rsidRPr="000E4805"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sz w:val="18"/>
                <w:szCs w:val="18"/>
              </w:rPr>
            </w:pPr>
          </w:p>
        </w:tc>
        <w:tc>
          <w:tcPr>
            <w:tcW w:w="500" w:type="pct"/>
          </w:tcPr>
          <w:p w14:paraId="1C74E8A7" w14:textId="77777777" w:rsidR="00F47287" w:rsidRPr="000E4805"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sz w:val="18"/>
                <w:szCs w:val="18"/>
              </w:rPr>
            </w:pPr>
          </w:p>
        </w:tc>
        <w:tc>
          <w:tcPr>
            <w:tcW w:w="396" w:type="pct"/>
          </w:tcPr>
          <w:p w14:paraId="4C0E2090" w14:textId="77777777" w:rsidR="00F47287" w:rsidRPr="000E4805"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sz w:val="18"/>
                <w:szCs w:val="18"/>
              </w:rPr>
            </w:pPr>
          </w:p>
        </w:tc>
        <w:tc>
          <w:tcPr>
            <w:tcW w:w="354" w:type="pct"/>
          </w:tcPr>
          <w:p w14:paraId="5504229B" w14:textId="77777777" w:rsidR="00F47287" w:rsidRPr="000E4805"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sz w:val="18"/>
                <w:szCs w:val="18"/>
              </w:rPr>
            </w:pPr>
          </w:p>
        </w:tc>
      </w:tr>
      <w:tr w:rsidR="00F47287" w:rsidRPr="00E26635" w14:paraId="56CDCDA6" w14:textId="77777777" w:rsidTr="00842CB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85" w:type="pct"/>
            <w:noWrap/>
            <w:hideMark/>
          </w:tcPr>
          <w:p w14:paraId="7FA660A4" w14:textId="77777777" w:rsidR="00F47287" w:rsidRPr="000E4805" w:rsidRDefault="00F47287" w:rsidP="00842CB7">
            <w:pPr>
              <w:rPr>
                <w:rFonts w:eastAsia="Times New Roman" w:cstheme="majorBidi"/>
                <w:b w:val="0"/>
                <w:bCs w:val="0"/>
                <w:color w:val="000000"/>
                <w:sz w:val="18"/>
                <w:szCs w:val="18"/>
              </w:rPr>
            </w:pPr>
            <w:r w:rsidRPr="000E4805">
              <w:rPr>
                <w:rFonts w:eastAsia="Times New Roman" w:cstheme="majorBidi"/>
                <w:color w:val="000000"/>
                <w:sz w:val="18"/>
                <w:szCs w:val="18"/>
              </w:rPr>
              <w:t>LA or charity renter</w:t>
            </w:r>
          </w:p>
        </w:tc>
        <w:tc>
          <w:tcPr>
            <w:tcW w:w="500" w:type="pct"/>
            <w:noWrap/>
            <w:hideMark/>
          </w:tcPr>
          <w:p w14:paraId="2CD681B8" w14:textId="77777777" w:rsidR="00F47287" w:rsidRPr="000E4805"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0E4805">
              <w:rPr>
                <w:rFonts w:eastAsia="Times New Roman" w:cstheme="majorBidi"/>
                <w:color w:val="000000"/>
                <w:sz w:val="18"/>
                <w:szCs w:val="18"/>
              </w:rPr>
              <w:t>-0.31**</w:t>
            </w:r>
          </w:p>
        </w:tc>
        <w:tc>
          <w:tcPr>
            <w:tcW w:w="415" w:type="pct"/>
            <w:noWrap/>
            <w:hideMark/>
          </w:tcPr>
          <w:p w14:paraId="3C3B3959" w14:textId="77777777" w:rsidR="00F47287" w:rsidRPr="000E4805"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0E4805">
              <w:rPr>
                <w:rFonts w:eastAsia="Times New Roman" w:cstheme="majorBidi"/>
                <w:color w:val="000000"/>
                <w:sz w:val="18"/>
                <w:szCs w:val="18"/>
              </w:rPr>
              <w:t>-0.33</w:t>
            </w:r>
          </w:p>
        </w:tc>
        <w:tc>
          <w:tcPr>
            <w:tcW w:w="417" w:type="pct"/>
            <w:noWrap/>
            <w:hideMark/>
          </w:tcPr>
          <w:p w14:paraId="4713EC70" w14:textId="77777777" w:rsidR="00F47287" w:rsidRPr="000E4805"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0E4805">
              <w:rPr>
                <w:rFonts w:eastAsia="Times New Roman" w:cstheme="majorBidi"/>
                <w:color w:val="000000"/>
                <w:sz w:val="18"/>
                <w:szCs w:val="18"/>
              </w:rPr>
              <w:t>-0.29</w:t>
            </w:r>
          </w:p>
        </w:tc>
        <w:tc>
          <w:tcPr>
            <w:tcW w:w="500" w:type="pct"/>
            <w:noWrap/>
            <w:hideMark/>
          </w:tcPr>
          <w:p w14:paraId="62626E1C" w14:textId="77777777" w:rsidR="00F47287" w:rsidRPr="000E4805"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0E4805">
              <w:rPr>
                <w:rFonts w:eastAsia="Times New Roman" w:cstheme="majorBidi"/>
                <w:color w:val="000000"/>
                <w:sz w:val="18"/>
                <w:szCs w:val="18"/>
              </w:rPr>
              <w:t>-0.42**</w:t>
            </w:r>
          </w:p>
        </w:tc>
        <w:tc>
          <w:tcPr>
            <w:tcW w:w="416" w:type="pct"/>
            <w:noWrap/>
            <w:hideMark/>
          </w:tcPr>
          <w:p w14:paraId="752717D0" w14:textId="77777777" w:rsidR="00F47287" w:rsidRPr="000E4805"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0E4805">
              <w:rPr>
                <w:rFonts w:eastAsia="Times New Roman" w:cstheme="majorBidi"/>
                <w:color w:val="000000"/>
                <w:sz w:val="18"/>
                <w:szCs w:val="18"/>
              </w:rPr>
              <w:t>-0.45</w:t>
            </w:r>
          </w:p>
        </w:tc>
        <w:tc>
          <w:tcPr>
            <w:tcW w:w="417" w:type="pct"/>
            <w:noWrap/>
            <w:hideMark/>
          </w:tcPr>
          <w:p w14:paraId="77C97920" w14:textId="77777777" w:rsidR="00F47287" w:rsidRPr="000E4805"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0E4805">
              <w:rPr>
                <w:rFonts w:eastAsia="Times New Roman" w:cstheme="majorBidi"/>
                <w:color w:val="000000"/>
                <w:sz w:val="18"/>
                <w:szCs w:val="18"/>
              </w:rPr>
              <w:t>-0.39</w:t>
            </w:r>
          </w:p>
        </w:tc>
        <w:tc>
          <w:tcPr>
            <w:tcW w:w="500" w:type="pct"/>
            <w:noWrap/>
            <w:hideMark/>
          </w:tcPr>
          <w:p w14:paraId="0738B67E" w14:textId="77777777" w:rsidR="00F47287" w:rsidRPr="000E4805"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0E4805">
              <w:rPr>
                <w:rFonts w:eastAsia="Times New Roman" w:cstheme="majorBidi"/>
                <w:color w:val="000000"/>
                <w:sz w:val="18"/>
                <w:szCs w:val="18"/>
              </w:rPr>
              <w:t>-0.51**</w:t>
            </w:r>
          </w:p>
        </w:tc>
        <w:tc>
          <w:tcPr>
            <w:tcW w:w="396" w:type="pct"/>
            <w:noWrap/>
            <w:hideMark/>
          </w:tcPr>
          <w:p w14:paraId="25BDA89C" w14:textId="77777777" w:rsidR="00F47287" w:rsidRPr="000E4805"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0E4805">
              <w:rPr>
                <w:rFonts w:eastAsia="Times New Roman" w:cstheme="majorBidi"/>
                <w:color w:val="000000"/>
                <w:sz w:val="18"/>
                <w:szCs w:val="18"/>
              </w:rPr>
              <w:t>-0.55</w:t>
            </w:r>
          </w:p>
        </w:tc>
        <w:tc>
          <w:tcPr>
            <w:tcW w:w="354" w:type="pct"/>
            <w:noWrap/>
            <w:hideMark/>
          </w:tcPr>
          <w:p w14:paraId="77FA4248" w14:textId="77777777" w:rsidR="00F47287" w:rsidRPr="000E4805"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0E4805">
              <w:rPr>
                <w:rFonts w:eastAsia="Times New Roman" w:cstheme="majorBidi"/>
                <w:color w:val="000000"/>
                <w:sz w:val="18"/>
                <w:szCs w:val="18"/>
              </w:rPr>
              <w:t>-0.48</w:t>
            </w:r>
          </w:p>
        </w:tc>
      </w:tr>
      <w:tr w:rsidR="00F47287" w:rsidRPr="00E26635" w14:paraId="470304FF" w14:textId="77777777" w:rsidTr="00842CB7">
        <w:trPr>
          <w:trHeight w:val="300"/>
          <w:jc w:val="center"/>
        </w:trPr>
        <w:tc>
          <w:tcPr>
            <w:cnfStyle w:val="001000000000" w:firstRow="0" w:lastRow="0" w:firstColumn="1" w:lastColumn="0" w:oddVBand="0" w:evenVBand="0" w:oddHBand="0" w:evenHBand="0" w:firstRowFirstColumn="0" w:firstRowLastColumn="0" w:lastRowFirstColumn="0" w:lastRowLastColumn="0"/>
            <w:tcW w:w="1085" w:type="pct"/>
            <w:noWrap/>
            <w:hideMark/>
          </w:tcPr>
          <w:p w14:paraId="30573F22" w14:textId="77777777" w:rsidR="00F47287" w:rsidRPr="000E4805" w:rsidRDefault="00F47287" w:rsidP="00842CB7">
            <w:pPr>
              <w:rPr>
                <w:rFonts w:eastAsia="Times New Roman" w:cstheme="majorBidi"/>
                <w:b w:val="0"/>
                <w:bCs w:val="0"/>
                <w:color w:val="000000"/>
                <w:sz w:val="18"/>
                <w:szCs w:val="18"/>
              </w:rPr>
            </w:pPr>
            <w:r w:rsidRPr="000E4805">
              <w:rPr>
                <w:rFonts w:eastAsia="Times New Roman" w:cstheme="majorBidi"/>
                <w:color w:val="000000"/>
                <w:sz w:val="18"/>
                <w:szCs w:val="18"/>
              </w:rPr>
              <w:t>Owns</w:t>
            </w:r>
          </w:p>
        </w:tc>
        <w:tc>
          <w:tcPr>
            <w:tcW w:w="500" w:type="pct"/>
            <w:noWrap/>
            <w:hideMark/>
          </w:tcPr>
          <w:p w14:paraId="1E1DCF6C" w14:textId="77777777" w:rsidR="00F47287" w:rsidRPr="000E4805"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0E4805">
              <w:rPr>
                <w:rFonts w:eastAsia="Times New Roman" w:cstheme="majorBidi"/>
                <w:color w:val="000000"/>
                <w:sz w:val="18"/>
                <w:szCs w:val="18"/>
              </w:rPr>
              <w:t>0.08**</w:t>
            </w:r>
          </w:p>
        </w:tc>
        <w:tc>
          <w:tcPr>
            <w:tcW w:w="415" w:type="pct"/>
            <w:noWrap/>
            <w:hideMark/>
          </w:tcPr>
          <w:p w14:paraId="78AB346D" w14:textId="77777777" w:rsidR="00F47287" w:rsidRPr="000E4805"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0E4805">
              <w:rPr>
                <w:rFonts w:eastAsia="Times New Roman" w:cstheme="majorBidi"/>
                <w:color w:val="000000"/>
                <w:sz w:val="18"/>
                <w:szCs w:val="18"/>
              </w:rPr>
              <w:t>0.07</w:t>
            </w:r>
          </w:p>
        </w:tc>
        <w:tc>
          <w:tcPr>
            <w:tcW w:w="417" w:type="pct"/>
            <w:noWrap/>
            <w:hideMark/>
          </w:tcPr>
          <w:p w14:paraId="5B0743C4" w14:textId="77777777" w:rsidR="00F47287" w:rsidRPr="000E4805"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0E4805">
              <w:rPr>
                <w:rFonts w:eastAsia="Times New Roman" w:cstheme="majorBidi"/>
                <w:color w:val="000000"/>
                <w:sz w:val="18"/>
                <w:szCs w:val="18"/>
              </w:rPr>
              <w:t>0.10</w:t>
            </w:r>
          </w:p>
        </w:tc>
        <w:tc>
          <w:tcPr>
            <w:tcW w:w="500" w:type="pct"/>
            <w:noWrap/>
            <w:hideMark/>
          </w:tcPr>
          <w:p w14:paraId="40BF8DF2" w14:textId="77777777" w:rsidR="00F47287" w:rsidRPr="000E4805"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0E4805">
              <w:rPr>
                <w:rFonts w:eastAsia="Times New Roman" w:cstheme="majorBidi"/>
                <w:color w:val="000000"/>
                <w:sz w:val="18"/>
                <w:szCs w:val="18"/>
              </w:rPr>
              <w:t>0.07**</w:t>
            </w:r>
          </w:p>
        </w:tc>
        <w:tc>
          <w:tcPr>
            <w:tcW w:w="416" w:type="pct"/>
            <w:noWrap/>
            <w:hideMark/>
          </w:tcPr>
          <w:p w14:paraId="0FB54B4B" w14:textId="77777777" w:rsidR="00F47287" w:rsidRPr="000E4805"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0E4805">
              <w:rPr>
                <w:rFonts w:eastAsia="Times New Roman" w:cstheme="majorBidi"/>
                <w:color w:val="000000"/>
                <w:sz w:val="18"/>
                <w:szCs w:val="18"/>
              </w:rPr>
              <w:t>0.05</w:t>
            </w:r>
          </w:p>
        </w:tc>
        <w:tc>
          <w:tcPr>
            <w:tcW w:w="417" w:type="pct"/>
            <w:noWrap/>
            <w:hideMark/>
          </w:tcPr>
          <w:p w14:paraId="39162F93" w14:textId="77777777" w:rsidR="00F47287" w:rsidRPr="000E4805"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0E4805">
              <w:rPr>
                <w:rFonts w:eastAsia="Times New Roman" w:cstheme="majorBidi"/>
                <w:color w:val="000000"/>
                <w:sz w:val="18"/>
                <w:szCs w:val="18"/>
              </w:rPr>
              <w:t>0.09</w:t>
            </w:r>
          </w:p>
        </w:tc>
        <w:tc>
          <w:tcPr>
            <w:tcW w:w="500" w:type="pct"/>
            <w:noWrap/>
            <w:hideMark/>
          </w:tcPr>
          <w:p w14:paraId="232BDE24" w14:textId="77777777" w:rsidR="00F47287" w:rsidRPr="000E4805"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0E4805">
              <w:rPr>
                <w:rFonts w:eastAsia="Times New Roman" w:cstheme="majorBidi"/>
                <w:color w:val="000000"/>
                <w:sz w:val="18"/>
                <w:szCs w:val="18"/>
              </w:rPr>
              <w:t>0.06**</w:t>
            </w:r>
          </w:p>
        </w:tc>
        <w:tc>
          <w:tcPr>
            <w:tcW w:w="396" w:type="pct"/>
            <w:noWrap/>
            <w:hideMark/>
          </w:tcPr>
          <w:p w14:paraId="64F5C658" w14:textId="77777777" w:rsidR="00F47287" w:rsidRPr="000E4805"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0E4805">
              <w:rPr>
                <w:rFonts w:eastAsia="Times New Roman" w:cstheme="majorBidi"/>
                <w:color w:val="000000"/>
                <w:sz w:val="18"/>
                <w:szCs w:val="18"/>
              </w:rPr>
              <w:t>0.03</w:t>
            </w:r>
          </w:p>
        </w:tc>
        <w:tc>
          <w:tcPr>
            <w:tcW w:w="354" w:type="pct"/>
            <w:noWrap/>
            <w:hideMark/>
          </w:tcPr>
          <w:p w14:paraId="43C711CF" w14:textId="77777777" w:rsidR="00F47287" w:rsidRPr="000E4805"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0E4805">
              <w:rPr>
                <w:rFonts w:eastAsia="Times New Roman" w:cstheme="majorBidi"/>
                <w:color w:val="000000"/>
                <w:sz w:val="18"/>
                <w:szCs w:val="18"/>
              </w:rPr>
              <w:t>0.08</w:t>
            </w:r>
          </w:p>
        </w:tc>
      </w:tr>
      <w:tr w:rsidR="00F47287" w:rsidRPr="00E26635" w14:paraId="14492A58" w14:textId="77777777" w:rsidTr="00842CB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85" w:type="pct"/>
            <w:noWrap/>
            <w:hideMark/>
          </w:tcPr>
          <w:p w14:paraId="59E37976" w14:textId="77777777" w:rsidR="00F47287" w:rsidRPr="000E4805" w:rsidRDefault="00F47287" w:rsidP="00842CB7">
            <w:pPr>
              <w:rPr>
                <w:rFonts w:eastAsia="Times New Roman" w:cstheme="majorBidi"/>
                <w:sz w:val="18"/>
                <w:szCs w:val="18"/>
              </w:rPr>
            </w:pPr>
            <w:r w:rsidRPr="000E4805">
              <w:rPr>
                <w:rFonts w:eastAsia="Times New Roman" w:cstheme="majorBidi"/>
                <w:sz w:val="18"/>
                <w:szCs w:val="18"/>
              </w:rPr>
              <w:t>Car access (ref None)</w:t>
            </w:r>
          </w:p>
        </w:tc>
        <w:tc>
          <w:tcPr>
            <w:tcW w:w="500" w:type="pct"/>
            <w:noWrap/>
            <w:hideMark/>
          </w:tcPr>
          <w:p w14:paraId="06B78102" w14:textId="77777777" w:rsidR="00F47287" w:rsidRPr="000E4805"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sz w:val="18"/>
                <w:szCs w:val="18"/>
              </w:rPr>
            </w:pPr>
          </w:p>
        </w:tc>
        <w:tc>
          <w:tcPr>
            <w:tcW w:w="415" w:type="pct"/>
            <w:noWrap/>
            <w:hideMark/>
          </w:tcPr>
          <w:p w14:paraId="48DCD4BC" w14:textId="77777777" w:rsidR="00F47287" w:rsidRPr="000E4805"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sz w:val="18"/>
                <w:szCs w:val="18"/>
              </w:rPr>
            </w:pPr>
          </w:p>
        </w:tc>
        <w:tc>
          <w:tcPr>
            <w:tcW w:w="417" w:type="pct"/>
            <w:noWrap/>
            <w:hideMark/>
          </w:tcPr>
          <w:p w14:paraId="5ADA142D" w14:textId="77777777" w:rsidR="00F47287" w:rsidRPr="000E4805"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sz w:val="18"/>
                <w:szCs w:val="18"/>
              </w:rPr>
            </w:pPr>
          </w:p>
        </w:tc>
        <w:tc>
          <w:tcPr>
            <w:tcW w:w="500" w:type="pct"/>
            <w:noWrap/>
            <w:hideMark/>
          </w:tcPr>
          <w:p w14:paraId="7B44E10E" w14:textId="77777777" w:rsidR="00F47287" w:rsidRPr="000E4805"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sz w:val="18"/>
                <w:szCs w:val="18"/>
              </w:rPr>
            </w:pPr>
          </w:p>
        </w:tc>
        <w:tc>
          <w:tcPr>
            <w:tcW w:w="416" w:type="pct"/>
            <w:noWrap/>
            <w:hideMark/>
          </w:tcPr>
          <w:p w14:paraId="1C7AC6B5" w14:textId="77777777" w:rsidR="00F47287" w:rsidRPr="000E4805"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sz w:val="18"/>
                <w:szCs w:val="18"/>
              </w:rPr>
            </w:pPr>
          </w:p>
        </w:tc>
        <w:tc>
          <w:tcPr>
            <w:tcW w:w="417" w:type="pct"/>
          </w:tcPr>
          <w:p w14:paraId="2D25C188" w14:textId="77777777" w:rsidR="00F47287" w:rsidRPr="000E4805"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sz w:val="18"/>
                <w:szCs w:val="18"/>
              </w:rPr>
            </w:pPr>
          </w:p>
        </w:tc>
        <w:tc>
          <w:tcPr>
            <w:tcW w:w="500" w:type="pct"/>
          </w:tcPr>
          <w:p w14:paraId="1C7E4597" w14:textId="77777777" w:rsidR="00F47287" w:rsidRPr="000E4805"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sz w:val="18"/>
                <w:szCs w:val="18"/>
              </w:rPr>
            </w:pPr>
          </w:p>
        </w:tc>
        <w:tc>
          <w:tcPr>
            <w:tcW w:w="396" w:type="pct"/>
          </w:tcPr>
          <w:p w14:paraId="33407AC3" w14:textId="77777777" w:rsidR="00F47287" w:rsidRPr="000E4805"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sz w:val="18"/>
                <w:szCs w:val="18"/>
              </w:rPr>
            </w:pPr>
          </w:p>
        </w:tc>
        <w:tc>
          <w:tcPr>
            <w:tcW w:w="354" w:type="pct"/>
          </w:tcPr>
          <w:p w14:paraId="4BB25A90" w14:textId="77777777" w:rsidR="00F47287" w:rsidRPr="000E4805"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sz w:val="18"/>
                <w:szCs w:val="18"/>
              </w:rPr>
            </w:pPr>
          </w:p>
        </w:tc>
      </w:tr>
      <w:tr w:rsidR="00F47287" w:rsidRPr="00E26635" w14:paraId="7F54E149" w14:textId="77777777" w:rsidTr="00842CB7">
        <w:trPr>
          <w:trHeight w:val="300"/>
          <w:jc w:val="center"/>
        </w:trPr>
        <w:tc>
          <w:tcPr>
            <w:cnfStyle w:val="001000000000" w:firstRow="0" w:lastRow="0" w:firstColumn="1" w:lastColumn="0" w:oddVBand="0" w:evenVBand="0" w:oddHBand="0" w:evenHBand="0" w:firstRowFirstColumn="0" w:firstRowLastColumn="0" w:lastRowFirstColumn="0" w:lastRowLastColumn="0"/>
            <w:tcW w:w="1085" w:type="pct"/>
            <w:noWrap/>
            <w:hideMark/>
          </w:tcPr>
          <w:p w14:paraId="55EA3840" w14:textId="77777777" w:rsidR="00F47287" w:rsidRPr="000E4805" w:rsidRDefault="00F47287" w:rsidP="00842CB7">
            <w:pPr>
              <w:rPr>
                <w:rFonts w:eastAsia="Times New Roman" w:cstheme="majorBidi"/>
                <w:b w:val="0"/>
                <w:bCs w:val="0"/>
                <w:color w:val="000000"/>
                <w:sz w:val="18"/>
                <w:szCs w:val="18"/>
              </w:rPr>
            </w:pPr>
            <w:r w:rsidRPr="000E4805">
              <w:rPr>
                <w:rFonts w:eastAsia="Times New Roman" w:cstheme="majorBidi"/>
                <w:color w:val="000000"/>
                <w:sz w:val="18"/>
                <w:szCs w:val="18"/>
              </w:rPr>
              <w:t>One</w:t>
            </w:r>
          </w:p>
        </w:tc>
        <w:tc>
          <w:tcPr>
            <w:tcW w:w="500" w:type="pct"/>
            <w:noWrap/>
            <w:hideMark/>
          </w:tcPr>
          <w:p w14:paraId="157CD7A1" w14:textId="77777777" w:rsidR="00F47287" w:rsidRPr="000E4805"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0E4805">
              <w:rPr>
                <w:rFonts w:eastAsia="Times New Roman" w:cstheme="majorBidi"/>
                <w:color w:val="000000"/>
                <w:sz w:val="18"/>
                <w:szCs w:val="18"/>
              </w:rPr>
              <w:t>0.12**</w:t>
            </w:r>
          </w:p>
        </w:tc>
        <w:tc>
          <w:tcPr>
            <w:tcW w:w="415" w:type="pct"/>
            <w:noWrap/>
            <w:hideMark/>
          </w:tcPr>
          <w:p w14:paraId="7168EFEF" w14:textId="77777777" w:rsidR="00F47287" w:rsidRPr="000E4805"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0E4805">
              <w:rPr>
                <w:rFonts w:eastAsia="Times New Roman" w:cstheme="majorBidi"/>
                <w:color w:val="000000"/>
                <w:sz w:val="18"/>
                <w:szCs w:val="18"/>
              </w:rPr>
              <w:t>0.10</w:t>
            </w:r>
          </w:p>
        </w:tc>
        <w:tc>
          <w:tcPr>
            <w:tcW w:w="417" w:type="pct"/>
            <w:noWrap/>
            <w:hideMark/>
          </w:tcPr>
          <w:p w14:paraId="61C9A9B8" w14:textId="77777777" w:rsidR="00F47287" w:rsidRPr="000E4805"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0E4805">
              <w:rPr>
                <w:rFonts w:eastAsia="Times New Roman" w:cstheme="majorBidi"/>
                <w:color w:val="000000"/>
                <w:sz w:val="18"/>
                <w:szCs w:val="18"/>
              </w:rPr>
              <w:t>0.14</w:t>
            </w:r>
          </w:p>
        </w:tc>
        <w:tc>
          <w:tcPr>
            <w:tcW w:w="500" w:type="pct"/>
            <w:noWrap/>
            <w:hideMark/>
          </w:tcPr>
          <w:p w14:paraId="1080E877" w14:textId="77777777" w:rsidR="00F47287" w:rsidRPr="000E4805"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0E4805">
              <w:rPr>
                <w:rFonts w:eastAsia="Times New Roman" w:cstheme="majorBidi"/>
                <w:color w:val="000000"/>
                <w:sz w:val="18"/>
                <w:szCs w:val="18"/>
              </w:rPr>
              <w:t>0.11**</w:t>
            </w:r>
          </w:p>
        </w:tc>
        <w:tc>
          <w:tcPr>
            <w:tcW w:w="416" w:type="pct"/>
            <w:noWrap/>
            <w:hideMark/>
          </w:tcPr>
          <w:p w14:paraId="3C62D0EE" w14:textId="77777777" w:rsidR="00F47287" w:rsidRPr="000E4805"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0E4805">
              <w:rPr>
                <w:rFonts w:eastAsia="Times New Roman" w:cstheme="majorBidi"/>
                <w:color w:val="000000"/>
                <w:sz w:val="18"/>
                <w:szCs w:val="18"/>
              </w:rPr>
              <w:t>0.09</w:t>
            </w:r>
          </w:p>
        </w:tc>
        <w:tc>
          <w:tcPr>
            <w:tcW w:w="417" w:type="pct"/>
            <w:noWrap/>
            <w:hideMark/>
          </w:tcPr>
          <w:p w14:paraId="35F6210A" w14:textId="77777777" w:rsidR="00F47287" w:rsidRPr="000E4805"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0E4805">
              <w:rPr>
                <w:rFonts w:eastAsia="Times New Roman" w:cstheme="majorBidi"/>
                <w:color w:val="000000"/>
                <w:sz w:val="18"/>
                <w:szCs w:val="18"/>
              </w:rPr>
              <w:t>0.13</w:t>
            </w:r>
          </w:p>
        </w:tc>
        <w:tc>
          <w:tcPr>
            <w:tcW w:w="500" w:type="pct"/>
            <w:noWrap/>
            <w:hideMark/>
          </w:tcPr>
          <w:p w14:paraId="3E5E49A9" w14:textId="77777777" w:rsidR="00F47287" w:rsidRPr="000E4805"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0E4805">
              <w:rPr>
                <w:rFonts w:eastAsia="Times New Roman" w:cstheme="majorBidi"/>
                <w:color w:val="000000"/>
                <w:sz w:val="18"/>
                <w:szCs w:val="18"/>
              </w:rPr>
              <w:t>0.08**</w:t>
            </w:r>
          </w:p>
        </w:tc>
        <w:tc>
          <w:tcPr>
            <w:tcW w:w="396" w:type="pct"/>
            <w:noWrap/>
            <w:hideMark/>
          </w:tcPr>
          <w:p w14:paraId="423CA7BE" w14:textId="77777777" w:rsidR="00F47287" w:rsidRPr="000E4805"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0E4805">
              <w:rPr>
                <w:rFonts w:eastAsia="Times New Roman" w:cstheme="majorBidi"/>
                <w:color w:val="000000"/>
                <w:sz w:val="18"/>
                <w:szCs w:val="18"/>
              </w:rPr>
              <w:t>0.06</w:t>
            </w:r>
          </w:p>
        </w:tc>
        <w:tc>
          <w:tcPr>
            <w:tcW w:w="354" w:type="pct"/>
            <w:noWrap/>
            <w:hideMark/>
          </w:tcPr>
          <w:p w14:paraId="2BFC0B93" w14:textId="77777777" w:rsidR="00F47287" w:rsidRPr="000E4805"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0E4805">
              <w:rPr>
                <w:rFonts w:eastAsia="Times New Roman" w:cstheme="majorBidi"/>
                <w:color w:val="000000"/>
                <w:sz w:val="18"/>
                <w:szCs w:val="18"/>
              </w:rPr>
              <w:t>0.10</w:t>
            </w:r>
          </w:p>
        </w:tc>
      </w:tr>
      <w:tr w:rsidR="00F47287" w:rsidRPr="00E26635" w14:paraId="30F6CE8D" w14:textId="77777777" w:rsidTr="00842CB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85" w:type="pct"/>
            <w:noWrap/>
            <w:hideMark/>
          </w:tcPr>
          <w:p w14:paraId="7653BA62" w14:textId="77777777" w:rsidR="00F47287" w:rsidRPr="000E4805" w:rsidRDefault="00F47287" w:rsidP="00842CB7">
            <w:pPr>
              <w:rPr>
                <w:rFonts w:eastAsia="Times New Roman" w:cstheme="majorBidi"/>
                <w:b w:val="0"/>
                <w:bCs w:val="0"/>
                <w:color w:val="000000"/>
                <w:sz w:val="18"/>
                <w:szCs w:val="18"/>
              </w:rPr>
            </w:pPr>
            <w:r w:rsidRPr="000E4805">
              <w:rPr>
                <w:rFonts w:eastAsia="Times New Roman" w:cstheme="majorBidi"/>
                <w:color w:val="000000"/>
                <w:sz w:val="18"/>
                <w:szCs w:val="18"/>
              </w:rPr>
              <w:t>Two or more</w:t>
            </w:r>
          </w:p>
        </w:tc>
        <w:tc>
          <w:tcPr>
            <w:tcW w:w="500" w:type="pct"/>
            <w:noWrap/>
            <w:hideMark/>
          </w:tcPr>
          <w:p w14:paraId="05222E07" w14:textId="77777777" w:rsidR="00F47287" w:rsidRPr="000E4805"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0E4805">
              <w:rPr>
                <w:rFonts w:eastAsia="Times New Roman" w:cstheme="majorBidi"/>
                <w:color w:val="000000"/>
                <w:sz w:val="18"/>
                <w:szCs w:val="18"/>
              </w:rPr>
              <w:t>0.16**</w:t>
            </w:r>
          </w:p>
        </w:tc>
        <w:tc>
          <w:tcPr>
            <w:tcW w:w="415" w:type="pct"/>
            <w:noWrap/>
            <w:hideMark/>
          </w:tcPr>
          <w:p w14:paraId="0B4C6FBA" w14:textId="77777777" w:rsidR="00F47287" w:rsidRPr="000E4805"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0E4805">
              <w:rPr>
                <w:rFonts w:eastAsia="Times New Roman" w:cstheme="majorBidi"/>
                <w:color w:val="000000"/>
                <w:sz w:val="18"/>
                <w:szCs w:val="18"/>
              </w:rPr>
              <w:t>0.14</w:t>
            </w:r>
          </w:p>
        </w:tc>
        <w:tc>
          <w:tcPr>
            <w:tcW w:w="417" w:type="pct"/>
            <w:noWrap/>
            <w:hideMark/>
          </w:tcPr>
          <w:p w14:paraId="0E66FA5B" w14:textId="77777777" w:rsidR="00F47287" w:rsidRPr="000E4805"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0E4805">
              <w:rPr>
                <w:rFonts w:eastAsia="Times New Roman" w:cstheme="majorBidi"/>
                <w:color w:val="000000"/>
                <w:sz w:val="18"/>
                <w:szCs w:val="18"/>
              </w:rPr>
              <w:t>0.18</w:t>
            </w:r>
          </w:p>
        </w:tc>
        <w:tc>
          <w:tcPr>
            <w:tcW w:w="500" w:type="pct"/>
            <w:noWrap/>
            <w:hideMark/>
          </w:tcPr>
          <w:p w14:paraId="1F9F28FC" w14:textId="77777777" w:rsidR="00F47287" w:rsidRPr="000E4805"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0E4805">
              <w:rPr>
                <w:rFonts w:eastAsia="Times New Roman" w:cstheme="majorBidi"/>
                <w:color w:val="000000"/>
                <w:sz w:val="18"/>
                <w:szCs w:val="18"/>
              </w:rPr>
              <w:t>0.08**</w:t>
            </w:r>
          </w:p>
        </w:tc>
        <w:tc>
          <w:tcPr>
            <w:tcW w:w="416" w:type="pct"/>
            <w:noWrap/>
            <w:hideMark/>
          </w:tcPr>
          <w:p w14:paraId="37F420AB" w14:textId="77777777" w:rsidR="00F47287" w:rsidRPr="000E4805"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0E4805">
              <w:rPr>
                <w:rFonts w:eastAsia="Times New Roman" w:cstheme="majorBidi"/>
                <w:color w:val="000000"/>
                <w:sz w:val="18"/>
                <w:szCs w:val="18"/>
              </w:rPr>
              <w:t>0.06</w:t>
            </w:r>
          </w:p>
        </w:tc>
        <w:tc>
          <w:tcPr>
            <w:tcW w:w="417" w:type="pct"/>
            <w:noWrap/>
            <w:hideMark/>
          </w:tcPr>
          <w:p w14:paraId="2B9600C9" w14:textId="77777777" w:rsidR="00F47287" w:rsidRPr="000E4805"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0E4805">
              <w:rPr>
                <w:rFonts w:eastAsia="Times New Roman" w:cstheme="majorBidi"/>
                <w:color w:val="000000"/>
                <w:sz w:val="18"/>
                <w:szCs w:val="18"/>
              </w:rPr>
              <w:t>0.10</w:t>
            </w:r>
          </w:p>
        </w:tc>
        <w:tc>
          <w:tcPr>
            <w:tcW w:w="500" w:type="pct"/>
            <w:noWrap/>
            <w:hideMark/>
          </w:tcPr>
          <w:p w14:paraId="34A8EF7E" w14:textId="77777777" w:rsidR="00F47287" w:rsidRPr="000E4805"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0E4805">
              <w:rPr>
                <w:rFonts w:eastAsia="Times New Roman" w:cstheme="majorBidi"/>
                <w:color w:val="000000"/>
                <w:sz w:val="18"/>
                <w:szCs w:val="18"/>
              </w:rPr>
              <w:t>0.02</w:t>
            </w:r>
          </w:p>
        </w:tc>
        <w:tc>
          <w:tcPr>
            <w:tcW w:w="396" w:type="pct"/>
            <w:noWrap/>
            <w:hideMark/>
          </w:tcPr>
          <w:p w14:paraId="4FF891C2" w14:textId="77777777" w:rsidR="00F47287" w:rsidRPr="000E4805"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0E4805">
              <w:rPr>
                <w:rFonts w:eastAsia="Times New Roman" w:cstheme="majorBidi"/>
                <w:color w:val="000000"/>
                <w:sz w:val="18"/>
                <w:szCs w:val="18"/>
              </w:rPr>
              <w:t>0.00</w:t>
            </w:r>
          </w:p>
        </w:tc>
        <w:tc>
          <w:tcPr>
            <w:tcW w:w="354" w:type="pct"/>
            <w:noWrap/>
            <w:hideMark/>
          </w:tcPr>
          <w:p w14:paraId="0DFCA947" w14:textId="77777777" w:rsidR="00F47287" w:rsidRPr="000E4805"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0E4805">
              <w:rPr>
                <w:rFonts w:eastAsia="Times New Roman" w:cstheme="majorBidi"/>
                <w:color w:val="000000"/>
                <w:sz w:val="18"/>
                <w:szCs w:val="18"/>
              </w:rPr>
              <w:t>0.05</w:t>
            </w:r>
          </w:p>
        </w:tc>
      </w:tr>
      <w:tr w:rsidR="00F47287" w:rsidRPr="00E26635" w14:paraId="6087198D" w14:textId="77777777" w:rsidTr="00842CB7">
        <w:trPr>
          <w:trHeight w:val="300"/>
          <w:jc w:val="center"/>
        </w:trPr>
        <w:tc>
          <w:tcPr>
            <w:cnfStyle w:val="001000000000" w:firstRow="0" w:lastRow="0" w:firstColumn="1" w:lastColumn="0" w:oddVBand="0" w:evenVBand="0" w:oddHBand="0" w:evenHBand="0" w:firstRowFirstColumn="0" w:firstRowLastColumn="0" w:lastRowFirstColumn="0" w:lastRowLastColumn="0"/>
            <w:tcW w:w="1085" w:type="pct"/>
            <w:noWrap/>
            <w:hideMark/>
          </w:tcPr>
          <w:p w14:paraId="075ED530" w14:textId="77777777" w:rsidR="00F47287" w:rsidRPr="000E4805" w:rsidRDefault="00F47287" w:rsidP="00842CB7">
            <w:pPr>
              <w:rPr>
                <w:rFonts w:eastAsia="Times New Roman" w:cstheme="majorBidi"/>
                <w:sz w:val="18"/>
                <w:szCs w:val="18"/>
              </w:rPr>
            </w:pPr>
            <w:r w:rsidRPr="000E4805">
              <w:rPr>
                <w:rFonts w:eastAsia="Times New Roman" w:cstheme="majorBidi"/>
                <w:sz w:val="18"/>
                <w:szCs w:val="18"/>
              </w:rPr>
              <w:t>Employment status (ref employed)</w:t>
            </w:r>
          </w:p>
        </w:tc>
        <w:tc>
          <w:tcPr>
            <w:tcW w:w="500" w:type="pct"/>
            <w:noWrap/>
            <w:hideMark/>
          </w:tcPr>
          <w:p w14:paraId="5C253D5F" w14:textId="77777777" w:rsidR="00F47287" w:rsidRPr="000E4805"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sz w:val="18"/>
                <w:szCs w:val="18"/>
              </w:rPr>
            </w:pPr>
          </w:p>
        </w:tc>
        <w:tc>
          <w:tcPr>
            <w:tcW w:w="415" w:type="pct"/>
            <w:noWrap/>
            <w:hideMark/>
          </w:tcPr>
          <w:p w14:paraId="1BB0426D" w14:textId="77777777" w:rsidR="00F47287" w:rsidRPr="000E4805"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sz w:val="18"/>
                <w:szCs w:val="18"/>
              </w:rPr>
            </w:pPr>
          </w:p>
        </w:tc>
        <w:tc>
          <w:tcPr>
            <w:tcW w:w="417" w:type="pct"/>
            <w:noWrap/>
            <w:hideMark/>
          </w:tcPr>
          <w:p w14:paraId="53F10C10" w14:textId="77777777" w:rsidR="00F47287" w:rsidRPr="000E4805"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sz w:val="18"/>
                <w:szCs w:val="18"/>
              </w:rPr>
            </w:pPr>
          </w:p>
        </w:tc>
        <w:tc>
          <w:tcPr>
            <w:tcW w:w="500" w:type="pct"/>
            <w:noWrap/>
            <w:hideMark/>
          </w:tcPr>
          <w:p w14:paraId="6168B20E" w14:textId="77777777" w:rsidR="00F47287" w:rsidRPr="000E4805"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sz w:val="18"/>
                <w:szCs w:val="18"/>
              </w:rPr>
            </w:pPr>
          </w:p>
        </w:tc>
        <w:tc>
          <w:tcPr>
            <w:tcW w:w="416" w:type="pct"/>
            <w:noWrap/>
            <w:hideMark/>
          </w:tcPr>
          <w:p w14:paraId="0883A0AD" w14:textId="77777777" w:rsidR="00F47287" w:rsidRPr="000E4805"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sz w:val="18"/>
                <w:szCs w:val="18"/>
              </w:rPr>
            </w:pPr>
          </w:p>
        </w:tc>
        <w:tc>
          <w:tcPr>
            <w:tcW w:w="417" w:type="pct"/>
          </w:tcPr>
          <w:p w14:paraId="3CB7BB4E" w14:textId="77777777" w:rsidR="00F47287" w:rsidRPr="000E4805"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sz w:val="18"/>
                <w:szCs w:val="18"/>
              </w:rPr>
            </w:pPr>
          </w:p>
        </w:tc>
        <w:tc>
          <w:tcPr>
            <w:tcW w:w="500" w:type="pct"/>
          </w:tcPr>
          <w:p w14:paraId="6F996A7D" w14:textId="77777777" w:rsidR="00F47287" w:rsidRPr="000E4805"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sz w:val="18"/>
                <w:szCs w:val="18"/>
              </w:rPr>
            </w:pPr>
          </w:p>
        </w:tc>
        <w:tc>
          <w:tcPr>
            <w:tcW w:w="396" w:type="pct"/>
          </w:tcPr>
          <w:p w14:paraId="6B971E5D" w14:textId="77777777" w:rsidR="00F47287" w:rsidRPr="000E4805"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sz w:val="18"/>
                <w:szCs w:val="18"/>
              </w:rPr>
            </w:pPr>
          </w:p>
        </w:tc>
        <w:tc>
          <w:tcPr>
            <w:tcW w:w="354" w:type="pct"/>
          </w:tcPr>
          <w:p w14:paraId="1F74D7CA" w14:textId="77777777" w:rsidR="00F47287" w:rsidRPr="000E4805"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sz w:val="18"/>
                <w:szCs w:val="18"/>
              </w:rPr>
            </w:pPr>
          </w:p>
        </w:tc>
      </w:tr>
      <w:tr w:rsidR="00F47287" w:rsidRPr="00E26635" w14:paraId="10FB6A43" w14:textId="77777777" w:rsidTr="00842CB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85" w:type="pct"/>
            <w:noWrap/>
            <w:hideMark/>
          </w:tcPr>
          <w:p w14:paraId="39EC26C4" w14:textId="77777777" w:rsidR="00F47287" w:rsidRPr="000E4805" w:rsidRDefault="00F47287" w:rsidP="00842CB7">
            <w:pPr>
              <w:rPr>
                <w:rFonts w:eastAsia="Times New Roman" w:cstheme="majorBidi"/>
                <w:b w:val="0"/>
                <w:bCs w:val="0"/>
                <w:color w:val="000000"/>
                <w:sz w:val="18"/>
                <w:szCs w:val="18"/>
              </w:rPr>
            </w:pPr>
            <w:r w:rsidRPr="000E4805">
              <w:rPr>
                <w:rFonts w:eastAsia="Times New Roman" w:cstheme="majorBidi"/>
                <w:color w:val="000000"/>
                <w:sz w:val="18"/>
                <w:szCs w:val="18"/>
              </w:rPr>
              <w:t>Unemployed</w:t>
            </w:r>
          </w:p>
        </w:tc>
        <w:tc>
          <w:tcPr>
            <w:tcW w:w="500" w:type="pct"/>
            <w:noWrap/>
            <w:hideMark/>
          </w:tcPr>
          <w:p w14:paraId="3398004D" w14:textId="77777777" w:rsidR="00F47287" w:rsidRPr="000E4805"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0E4805">
              <w:rPr>
                <w:rFonts w:eastAsia="Times New Roman" w:cstheme="majorBidi"/>
                <w:color w:val="000000"/>
                <w:sz w:val="18"/>
                <w:szCs w:val="18"/>
              </w:rPr>
              <w:t>0.42**</w:t>
            </w:r>
          </w:p>
        </w:tc>
        <w:tc>
          <w:tcPr>
            <w:tcW w:w="415" w:type="pct"/>
            <w:noWrap/>
            <w:hideMark/>
          </w:tcPr>
          <w:p w14:paraId="69504E4E" w14:textId="77777777" w:rsidR="00F47287" w:rsidRPr="000E4805"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0E4805">
              <w:rPr>
                <w:rFonts w:eastAsia="Times New Roman" w:cstheme="majorBidi"/>
                <w:color w:val="000000"/>
                <w:sz w:val="18"/>
                <w:szCs w:val="18"/>
              </w:rPr>
              <w:t>0.39</w:t>
            </w:r>
          </w:p>
        </w:tc>
        <w:tc>
          <w:tcPr>
            <w:tcW w:w="417" w:type="pct"/>
            <w:noWrap/>
            <w:hideMark/>
          </w:tcPr>
          <w:p w14:paraId="48D8F95A" w14:textId="77777777" w:rsidR="00F47287" w:rsidRPr="000E4805"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0E4805">
              <w:rPr>
                <w:rFonts w:eastAsia="Times New Roman" w:cstheme="majorBidi"/>
                <w:color w:val="000000"/>
                <w:sz w:val="18"/>
                <w:szCs w:val="18"/>
              </w:rPr>
              <w:t>0.45</w:t>
            </w:r>
          </w:p>
        </w:tc>
        <w:tc>
          <w:tcPr>
            <w:tcW w:w="500" w:type="pct"/>
            <w:noWrap/>
            <w:hideMark/>
          </w:tcPr>
          <w:p w14:paraId="46E2C491" w14:textId="77777777" w:rsidR="00F47287" w:rsidRPr="000E4805"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0E4805">
              <w:rPr>
                <w:rFonts w:eastAsia="Times New Roman" w:cstheme="majorBidi"/>
                <w:color w:val="000000"/>
                <w:sz w:val="18"/>
                <w:szCs w:val="18"/>
              </w:rPr>
              <w:t>0.56**</w:t>
            </w:r>
          </w:p>
        </w:tc>
        <w:tc>
          <w:tcPr>
            <w:tcW w:w="416" w:type="pct"/>
            <w:noWrap/>
            <w:hideMark/>
          </w:tcPr>
          <w:p w14:paraId="049BC479" w14:textId="77777777" w:rsidR="00F47287" w:rsidRPr="000E4805"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0E4805">
              <w:rPr>
                <w:rFonts w:eastAsia="Times New Roman" w:cstheme="majorBidi"/>
                <w:color w:val="000000"/>
                <w:sz w:val="18"/>
                <w:szCs w:val="18"/>
              </w:rPr>
              <w:t>0.53</w:t>
            </w:r>
          </w:p>
        </w:tc>
        <w:tc>
          <w:tcPr>
            <w:tcW w:w="417" w:type="pct"/>
            <w:noWrap/>
            <w:hideMark/>
          </w:tcPr>
          <w:p w14:paraId="66CD089B" w14:textId="77777777" w:rsidR="00F47287" w:rsidRPr="000E4805"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0E4805">
              <w:rPr>
                <w:rFonts w:eastAsia="Times New Roman" w:cstheme="majorBidi"/>
                <w:color w:val="000000"/>
                <w:sz w:val="18"/>
                <w:szCs w:val="18"/>
              </w:rPr>
              <w:t>0.60</w:t>
            </w:r>
          </w:p>
        </w:tc>
        <w:tc>
          <w:tcPr>
            <w:tcW w:w="500" w:type="pct"/>
            <w:noWrap/>
            <w:hideMark/>
          </w:tcPr>
          <w:p w14:paraId="62D01A6B" w14:textId="77777777" w:rsidR="00F47287" w:rsidRPr="000E4805"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0E4805">
              <w:rPr>
                <w:rFonts w:eastAsia="Times New Roman" w:cstheme="majorBidi"/>
                <w:color w:val="000000"/>
                <w:sz w:val="18"/>
                <w:szCs w:val="18"/>
              </w:rPr>
              <w:t>0.67**</w:t>
            </w:r>
          </w:p>
        </w:tc>
        <w:tc>
          <w:tcPr>
            <w:tcW w:w="396" w:type="pct"/>
            <w:noWrap/>
            <w:hideMark/>
          </w:tcPr>
          <w:p w14:paraId="64925B3A" w14:textId="77777777" w:rsidR="00F47287" w:rsidRPr="000E4805"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0E4805">
              <w:rPr>
                <w:rFonts w:eastAsia="Times New Roman" w:cstheme="majorBidi"/>
                <w:color w:val="000000"/>
                <w:sz w:val="18"/>
                <w:szCs w:val="18"/>
              </w:rPr>
              <w:t>0.64</w:t>
            </w:r>
          </w:p>
        </w:tc>
        <w:tc>
          <w:tcPr>
            <w:tcW w:w="354" w:type="pct"/>
            <w:noWrap/>
            <w:hideMark/>
          </w:tcPr>
          <w:p w14:paraId="5DC2B089" w14:textId="77777777" w:rsidR="00F47287" w:rsidRPr="000E4805"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0E4805">
              <w:rPr>
                <w:rFonts w:eastAsia="Times New Roman" w:cstheme="majorBidi"/>
                <w:color w:val="000000"/>
                <w:sz w:val="18"/>
                <w:szCs w:val="18"/>
              </w:rPr>
              <w:t>0.71</w:t>
            </w:r>
          </w:p>
        </w:tc>
      </w:tr>
      <w:tr w:rsidR="00F47287" w:rsidRPr="00E26635" w14:paraId="24FA3448" w14:textId="77777777" w:rsidTr="00842CB7">
        <w:trPr>
          <w:trHeight w:val="300"/>
          <w:jc w:val="center"/>
        </w:trPr>
        <w:tc>
          <w:tcPr>
            <w:cnfStyle w:val="001000000000" w:firstRow="0" w:lastRow="0" w:firstColumn="1" w:lastColumn="0" w:oddVBand="0" w:evenVBand="0" w:oddHBand="0" w:evenHBand="0" w:firstRowFirstColumn="0" w:firstRowLastColumn="0" w:lastRowFirstColumn="0" w:lastRowLastColumn="0"/>
            <w:tcW w:w="1085" w:type="pct"/>
            <w:noWrap/>
            <w:hideMark/>
          </w:tcPr>
          <w:p w14:paraId="182854CC" w14:textId="77777777" w:rsidR="00F47287" w:rsidRPr="000E4805" w:rsidRDefault="00F47287" w:rsidP="00842CB7">
            <w:pPr>
              <w:rPr>
                <w:rFonts w:eastAsia="Times New Roman" w:cstheme="majorBidi"/>
                <w:b w:val="0"/>
                <w:bCs w:val="0"/>
                <w:color w:val="000000"/>
                <w:sz w:val="18"/>
                <w:szCs w:val="18"/>
              </w:rPr>
            </w:pPr>
            <w:r w:rsidRPr="000E4805">
              <w:rPr>
                <w:rFonts w:eastAsia="Times New Roman" w:cstheme="majorBidi"/>
                <w:color w:val="000000"/>
                <w:sz w:val="18"/>
                <w:szCs w:val="18"/>
              </w:rPr>
              <w:t>Economically inactive</w:t>
            </w:r>
          </w:p>
        </w:tc>
        <w:tc>
          <w:tcPr>
            <w:tcW w:w="500" w:type="pct"/>
            <w:noWrap/>
            <w:hideMark/>
          </w:tcPr>
          <w:p w14:paraId="5E49E263" w14:textId="77777777" w:rsidR="00F47287" w:rsidRPr="000E4805"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0E4805">
              <w:rPr>
                <w:rFonts w:eastAsia="Times New Roman" w:cstheme="majorBidi"/>
                <w:color w:val="000000"/>
                <w:sz w:val="18"/>
                <w:szCs w:val="18"/>
              </w:rPr>
              <w:t>0.32**</w:t>
            </w:r>
          </w:p>
        </w:tc>
        <w:tc>
          <w:tcPr>
            <w:tcW w:w="415" w:type="pct"/>
            <w:noWrap/>
            <w:hideMark/>
          </w:tcPr>
          <w:p w14:paraId="537EC65B" w14:textId="77777777" w:rsidR="00F47287" w:rsidRPr="000E4805"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0E4805">
              <w:rPr>
                <w:rFonts w:eastAsia="Times New Roman" w:cstheme="majorBidi"/>
                <w:color w:val="000000"/>
                <w:sz w:val="18"/>
                <w:szCs w:val="18"/>
              </w:rPr>
              <w:t>0.30</w:t>
            </w:r>
          </w:p>
        </w:tc>
        <w:tc>
          <w:tcPr>
            <w:tcW w:w="417" w:type="pct"/>
            <w:noWrap/>
            <w:hideMark/>
          </w:tcPr>
          <w:p w14:paraId="418C7B75" w14:textId="77777777" w:rsidR="00F47287" w:rsidRPr="000E4805"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0E4805">
              <w:rPr>
                <w:rFonts w:eastAsia="Times New Roman" w:cstheme="majorBidi"/>
                <w:color w:val="000000"/>
                <w:sz w:val="18"/>
                <w:szCs w:val="18"/>
              </w:rPr>
              <w:t>0.35</w:t>
            </w:r>
          </w:p>
        </w:tc>
        <w:tc>
          <w:tcPr>
            <w:tcW w:w="500" w:type="pct"/>
            <w:noWrap/>
            <w:hideMark/>
          </w:tcPr>
          <w:p w14:paraId="45690EA5" w14:textId="77777777" w:rsidR="00F47287" w:rsidRPr="000E4805"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0E4805">
              <w:rPr>
                <w:rFonts w:eastAsia="Times New Roman" w:cstheme="majorBidi"/>
                <w:color w:val="000000"/>
                <w:sz w:val="18"/>
                <w:szCs w:val="18"/>
              </w:rPr>
              <w:t>0.47**</w:t>
            </w:r>
          </w:p>
        </w:tc>
        <w:tc>
          <w:tcPr>
            <w:tcW w:w="416" w:type="pct"/>
            <w:noWrap/>
            <w:hideMark/>
          </w:tcPr>
          <w:p w14:paraId="6A63B34B" w14:textId="77777777" w:rsidR="00F47287" w:rsidRPr="000E4805"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0E4805">
              <w:rPr>
                <w:rFonts w:eastAsia="Times New Roman" w:cstheme="majorBidi"/>
                <w:color w:val="000000"/>
                <w:sz w:val="18"/>
                <w:szCs w:val="18"/>
              </w:rPr>
              <w:t>0.44</w:t>
            </w:r>
          </w:p>
        </w:tc>
        <w:tc>
          <w:tcPr>
            <w:tcW w:w="417" w:type="pct"/>
            <w:noWrap/>
            <w:hideMark/>
          </w:tcPr>
          <w:p w14:paraId="0DE23EE8" w14:textId="77777777" w:rsidR="00F47287" w:rsidRPr="000E4805"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0E4805">
              <w:rPr>
                <w:rFonts w:eastAsia="Times New Roman" w:cstheme="majorBidi"/>
                <w:color w:val="000000"/>
                <w:sz w:val="18"/>
                <w:szCs w:val="18"/>
              </w:rPr>
              <w:t>0.50</w:t>
            </w:r>
          </w:p>
        </w:tc>
        <w:tc>
          <w:tcPr>
            <w:tcW w:w="500" w:type="pct"/>
            <w:noWrap/>
            <w:hideMark/>
          </w:tcPr>
          <w:p w14:paraId="3B940B05" w14:textId="77777777" w:rsidR="00F47287" w:rsidRPr="000E4805"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0E4805">
              <w:rPr>
                <w:rFonts w:eastAsia="Times New Roman" w:cstheme="majorBidi"/>
                <w:color w:val="000000"/>
                <w:sz w:val="18"/>
                <w:szCs w:val="18"/>
              </w:rPr>
              <w:t>0.55**</w:t>
            </w:r>
          </w:p>
        </w:tc>
        <w:tc>
          <w:tcPr>
            <w:tcW w:w="396" w:type="pct"/>
            <w:noWrap/>
            <w:hideMark/>
          </w:tcPr>
          <w:p w14:paraId="39779642" w14:textId="77777777" w:rsidR="00F47287" w:rsidRPr="000E4805"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0E4805">
              <w:rPr>
                <w:rFonts w:eastAsia="Times New Roman" w:cstheme="majorBidi"/>
                <w:color w:val="000000"/>
                <w:sz w:val="18"/>
                <w:szCs w:val="18"/>
              </w:rPr>
              <w:t>0.51</w:t>
            </w:r>
          </w:p>
        </w:tc>
        <w:tc>
          <w:tcPr>
            <w:tcW w:w="354" w:type="pct"/>
            <w:noWrap/>
            <w:hideMark/>
          </w:tcPr>
          <w:p w14:paraId="3BCC3AD8" w14:textId="77777777" w:rsidR="00F47287" w:rsidRPr="000E4805"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0E4805">
              <w:rPr>
                <w:rFonts w:eastAsia="Times New Roman" w:cstheme="majorBidi"/>
                <w:color w:val="000000"/>
                <w:sz w:val="18"/>
                <w:szCs w:val="18"/>
              </w:rPr>
              <w:t>0.58</w:t>
            </w:r>
          </w:p>
        </w:tc>
      </w:tr>
      <w:tr w:rsidR="00F47287" w:rsidRPr="00E26635" w14:paraId="5B1EF456" w14:textId="77777777" w:rsidTr="00842CB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85" w:type="pct"/>
            <w:noWrap/>
            <w:hideMark/>
          </w:tcPr>
          <w:p w14:paraId="2DB47065" w14:textId="77777777" w:rsidR="00F47287" w:rsidRPr="00996B4A" w:rsidRDefault="00F47287" w:rsidP="00842CB7">
            <w:pPr>
              <w:rPr>
                <w:rFonts w:eastAsia="Times New Roman" w:cstheme="majorBidi"/>
                <w:b w:val="0"/>
                <w:bCs w:val="0"/>
                <w:color w:val="000000"/>
                <w:sz w:val="18"/>
                <w:szCs w:val="18"/>
              </w:rPr>
            </w:pPr>
            <w:r w:rsidRPr="00996B4A">
              <w:rPr>
                <w:rFonts w:eastAsia="Times New Roman" w:cstheme="majorBidi"/>
                <w:color w:val="000000"/>
                <w:sz w:val="18"/>
                <w:szCs w:val="18"/>
              </w:rPr>
              <w:t>Student</w:t>
            </w:r>
          </w:p>
        </w:tc>
        <w:tc>
          <w:tcPr>
            <w:tcW w:w="500" w:type="pct"/>
            <w:noWrap/>
            <w:hideMark/>
          </w:tcPr>
          <w:p w14:paraId="7E489C0B"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0.05**</w:t>
            </w:r>
          </w:p>
        </w:tc>
        <w:tc>
          <w:tcPr>
            <w:tcW w:w="415" w:type="pct"/>
            <w:noWrap/>
            <w:hideMark/>
          </w:tcPr>
          <w:p w14:paraId="42974B88"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0.02</w:t>
            </w:r>
          </w:p>
        </w:tc>
        <w:tc>
          <w:tcPr>
            <w:tcW w:w="417" w:type="pct"/>
            <w:noWrap/>
            <w:hideMark/>
          </w:tcPr>
          <w:p w14:paraId="41396BDC"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0.07</w:t>
            </w:r>
          </w:p>
        </w:tc>
        <w:tc>
          <w:tcPr>
            <w:tcW w:w="500" w:type="pct"/>
            <w:noWrap/>
            <w:hideMark/>
          </w:tcPr>
          <w:p w14:paraId="52EBAD63"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0.16**</w:t>
            </w:r>
          </w:p>
        </w:tc>
        <w:tc>
          <w:tcPr>
            <w:tcW w:w="416" w:type="pct"/>
            <w:noWrap/>
            <w:hideMark/>
          </w:tcPr>
          <w:p w14:paraId="3667A055"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0.13</w:t>
            </w:r>
          </w:p>
        </w:tc>
        <w:tc>
          <w:tcPr>
            <w:tcW w:w="417" w:type="pct"/>
            <w:noWrap/>
            <w:hideMark/>
          </w:tcPr>
          <w:p w14:paraId="407EAFE6"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0.18</w:t>
            </w:r>
          </w:p>
        </w:tc>
        <w:tc>
          <w:tcPr>
            <w:tcW w:w="500" w:type="pct"/>
            <w:noWrap/>
            <w:hideMark/>
          </w:tcPr>
          <w:p w14:paraId="572EEE48"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0.18**</w:t>
            </w:r>
          </w:p>
        </w:tc>
        <w:tc>
          <w:tcPr>
            <w:tcW w:w="396" w:type="pct"/>
            <w:noWrap/>
            <w:hideMark/>
          </w:tcPr>
          <w:p w14:paraId="3E78374B"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0.16</w:t>
            </w:r>
          </w:p>
        </w:tc>
        <w:tc>
          <w:tcPr>
            <w:tcW w:w="354" w:type="pct"/>
            <w:noWrap/>
            <w:hideMark/>
          </w:tcPr>
          <w:p w14:paraId="24EE0ABE"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0.21</w:t>
            </w:r>
          </w:p>
        </w:tc>
      </w:tr>
      <w:tr w:rsidR="00F47287" w:rsidRPr="00E26635" w14:paraId="4D6DD538" w14:textId="77777777" w:rsidTr="00842CB7">
        <w:trPr>
          <w:trHeight w:val="300"/>
          <w:jc w:val="center"/>
        </w:trPr>
        <w:tc>
          <w:tcPr>
            <w:cnfStyle w:val="001000000000" w:firstRow="0" w:lastRow="0" w:firstColumn="1" w:lastColumn="0" w:oddVBand="0" w:evenVBand="0" w:oddHBand="0" w:evenHBand="0" w:firstRowFirstColumn="0" w:firstRowLastColumn="0" w:lastRowFirstColumn="0" w:lastRowLastColumn="0"/>
            <w:tcW w:w="1085" w:type="pct"/>
            <w:tcBorders>
              <w:bottom w:val="single" w:sz="4" w:space="0" w:color="auto"/>
            </w:tcBorders>
            <w:noWrap/>
            <w:hideMark/>
          </w:tcPr>
          <w:p w14:paraId="4D9074DD" w14:textId="77777777" w:rsidR="00F47287" w:rsidRPr="00996B4A" w:rsidRDefault="00F47287" w:rsidP="00842CB7">
            <w:pPr>
              <w:rPr>
                <w:rFonts w:eastAsia="Times New Roman" w:cstheme="majorBidi"/>
                <w:color w:val="000000"/>
                <w:sz w:val="18"/>
                <w:szCs w:val="18"/>
              </w:rPr>
            </w:pPr>
            <w:r>
              <w:rPr>
                <w:rFonts w:eastAsia="Times New Roman" w:cstheme="majorBidi"/>
                <w:color w:val="000000"/>
                <w:sz w:val="18"/>
                <w:szCs w:val="18"/>
              </w:rPr>
              <w:t>Whole h</w:t>
            </w:r>
            <w:r w:rsidRPr="00996B4A">
              <w:rPr>
                <w:rFonts w:eastAsia="Times New Roman" w:cstheme="majorBidi"/>
                <w:color w:val="000000"/>
                <w:sz w:val="18"/>
                <w:szCs w:val="18"/>
              </w:rPr>
              <w:t>ousehold mov</w:t>
            </w:r>
            <w:r>
              <w:rPr>
                <w:rFonts w:eastAsia="Times New Roman" w:cstheme="majorBidi"/>
                <w:color w:val="000000"/>
                <w:sz w:val="18"/>
                <w:szCs w:val="18"/>
              </w:rPr>
              <w:t>ed</w:t>
            </w:r>
            <w:r w:rsidRPr="00996B4A">
              <w:rPr>
                <w:rFonts w:eastAsia="Times New Roman" w:cstheme="majorBidi"/>
                <w:color w:val="000000"/>
                <w:sz w:val="18"/>
                <w:szCs w:val="18"/>
              </w:rPr>
              <w:t xml:space="preserve"> (ref </w:t>
            </w:r>
            <w:r>
              <w:rPr>
                <w:rFonts w:eastAsia="Times New Roman" w:cstheme="majorBidi"/>
                <w:color w:val="000000"/>
                <w:sz w:val="18"/>
                <w:szCs w:val="18"/>
              </w:rPr>
              <w:t>no</w:t>
            </w:r>
            <w:r w:rsidRPr="00996B4A">
              <w:rPr>
                <w:rFonts w:eastAsia="Times New Roman" w:cstheme="majorBidi"/>
                <w:color w:val="000000"/>
                <w:sz w:val="18"/>
                <w:szCs w:val="18"/>
              </w:rPr>
              <w:t>l)</w:t>
            </w:r>
          </w:p>
        </w:tc>
        <w:tc>
          <w:tcPr>
            <w:tcW w:w="500" w:type="pct"/>
            <w:tcBorders>
              <w:bottom w:val="single" w:sz="4" w:space="0" w:color="auto"/>
            </w:tcBorders>
            <w:noWrap/>
            <w:hideMark/>
          </w:tcPr>
          <w:p w14:paraId="39E01229"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-0.58**</w:t>
            </w:r>
          </w:p>
        </w:tc>
        <w:tc>
          <w:tcPr>
            <w:tcW w:w="415" w:type="pct"/>
            <w:tcBorders>
              <w:bottom w:val="single" w:sz="4" w:space="0" w:color="auto"/>
            </w:tcBorders>
            <w:noWrap/>
            <w:hideMark/>
          </w:tcPr>
          <w:p w14:paraId="64257A7F"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-0.59</w:t>
            </w:r>
          </w:p>
        </w:tc>
        <w:tc>
          <w:tcPr>
            <w:tcW w:w="417" w:type="pct"/>
            <w:tcBorders>
              <w:bottom w:val="single" w:sz="4" w:space="0" w:color="auto"/>
            </w:tcBorders>
            <w:noWrap/>
            <w:hideMark/>
          </w:tcPr>
          <w:p w14:paraId="0CD93E8B"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-0.56</w:t>
            </w:r>
          </w:p>
        </w:tc>
        <w:tc>
          <w:tcPr>
            <w:tcW w:w="500" w:type="pct"/>
            <w:tcBorders>
              <w:bottom w:val="single" w:sz="4" w:space="0" w:color="auto"/>
            </w:tcBorders>
            <w:noWrap/>
            <w:hideMark/>
          </w:tcPr>
          <w:p w14:paraId="05411D43"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-0.64**</w:t>
            </w:r>
          </w:p>
        </w:tc>
        <w:tc>
          <w:tcPr>
            <w:tcW w:w="416" w:type="pct"/>
            <w:tcBorders>
              <w:bottom w:val="single" w:sz="4" w:space="0" w:color="auto"/>
            </w:tcBorders>
            <w:noWrap/>
            <w:hideMark/>
          </w:tcPr>
          <w:p w14:paraId="2E0C40BF"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-0.65</w:t>
            </w:r>
          </w:p>
        </w:tc>
        <w:tc>
          <w:tcPr>
            <w:tcW w:w="417" w:type="pct"/>
            <w:tcBorders>
              <w:bottom w:val="single" w:sz="4" w:space="0" w:color="auto"/>
            </w:tcBorders>
            <w:noWrap/>
            <w:hideMark/>
          </w:tcPr>
          <w:p w14:paraId="271CBC13"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-0.62</w:t>
            </w:r>
          </w:p>
        </w:tc>
        <w:tc>
          <w:tcPr>
            <w:tcW w:w="500" w:type="pct"/>
            <w:tcBorders>
              <w:bottom w:val="single" w:sz="4" w:space="0" w:color="auto"/>
            </w:tcBorders>
            <w:noWrap/>
            <w:hideMark/>
          </w:tcPr>
          <w:p w14:paraId="1467F2D5"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-0.65**</w:t>
            </w:r>
          </w:p>
        </w:tc>
        <w:tc>
          <w:tcPr>
            <w:tcW w:w="396" w:type="pct"/>
            <w:tcBorders>
              <w:bottom w:val="single" w:sz="4" w:space="0" w:color="auto"/>
            </w:tcBorders>
            <w:noWrap/>
            <w:hideMark/>
          </w:tcPr>
          <w:p w14:paraId="72DB8541"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-0.67</w:t>
            </w:r>
          </w:p>
        </w:tc>
        <w:tc>
          <w:tcPr>
            <w:tcW w:w="354" w:type="pct"/>
            <w:tcBorders>
              <w:bottom w:val="single" w:sz="4" w:space="0" w:color="auto"/>
            </w:tcBorders>
            <w:noWrap/>
            <w:hideMark/>
          </w:tcPr>
          <w:p w14:paraId="6A941170"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-0.63</w:t>
            </w:r>
          </w:p>
        </w:tc>
      </w:tr>
      <w:tr w:rsidR="00F47287" w:rsidRPr="00E26635" w14:paraId="1C824B48" w14:textId="77777777" w:rsidTr="00842CB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85" w:type="pct"/>
            <w:tcBorders>
              <w:top w:val="single" w:sz="4" w:space="0" w:color="auto"/>
            </w:tcBorders>
            <w:noWrap/>
            <w:hideMark/>
          </w:tcPr>
          <w:p w14:paraId="0999B5E4" w14:textId="77777777" w:rsidR="00F47287" w:rsidRPr="00996B4A" w:rsidRDefault="00F47287" w:rsidP="00842CB7">
            <w:pPr>
              <w:rPr>
                <w:rFonts w:eastAsia="Times New Roman" w:cstheme="majorBidi"/>
                <w:color w:val="000000"/>
                <w:sz w:val="18"/>
                <w:szCs w:val="18"/>
              </w:rPr>
            </w:pPr>
            <w:r w:rsidRPr="00996B4A">
              <w:rPr>
                <w:rFonts w:eastAsia="Times New Roman" w:cstheme="majorBidi"/>
                <w:color w:val="000000"/>
                <w:sz w:val="18"/>
                <w:szCs w:val="18"/>
              </w:rPr>
              <w:t>Random effects</w:t>
            </w:r>
          </w:p>
        </w:tc>
        <w:tc>
          <w:tcPr>
            <w:tcW w:w="500" w:type="pct"/>
            <w:tcBorders>
              <w:top w:val="single" w:sz="4" w:space="0" w:color="auto"/>
            </w:tcBorders>
          </w:tcPr>
          <w:p w14:paraId="68E3988F"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p>
        </w:tc>
        <w:tc>
          <w:tcPr>
            <w:tcW w:w="415" w:type="pct"/>
            <w:tcBorders>
              <w:top w:val="single" w:sz="4" w:space="0" w:color="auto"/>
            </w:tcBorders>
            <w:noWrap/>
            <w:hideMark/>
          </w:tcPr>
          <w:p w14:paraId="7E6090A5"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sz w:val="18"/>
                <w:szCs w:val="18"/>
              </w:rPr>
            </w:pPr>
          </w:p>
        </w:tc>
        <w:tc>
          <w:tcPr>
            <w:tcW w:w="417" w:type="pct"/>
            <w:tcBorders>
              <w:top w:val="single" w:sz="4" w:space="0" w:color="auto"/>
            </w:tcBorders>
            <w:noWrap/>
            <w:hideMark/>
          </w:tcPr>
          <w:p w14:paraId="5999FCF5"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sz w:val="18"/>
                <w:szCs w:val="18"/>
              </w:rPr>
            </w:pPr>
          </w:p>
        </w:tc>
        <w:tc>
          <w:tcPr>
            <w:tcW w:w="500" w:type="pct"/>
            <w:tcBorders>
              <w:top w:val="single" w:sz="4" w:space="0" w:color="auto"/>
            </w:tcBorders>
            <w:noWrap/>
            <w:hideMark/>
          </w:tcPr>
          <w:p w14:paraId="038A15F4"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sz w:val="18"/>
                <w:szCs w:val="18"/>
              </w:rPr>
            </w:pPr>
          </w:p>
        </w:tc>
        <w:tc>
          <w:tcPr>
            <w:tcW w:w="416" w:type="pct"/>
            <w:tcBorders>
              <w:top w:val="single" w:sz="4" w:space="0" w:color="auto"/>
            </w:tcBorders>
            <w:noWrap/>
            <w:hideMark/>
          </w:tcPr>
          <w:p w14:paraId="6378E809"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sz w:val="18"/>
                <w:szCs w:val="18"/>
              </w:rPr>
            </w:pPr>
          </w:p>
        </w:tc>
        <w:tc>
          <w:tcPr>
            <w:tcW w:w="417" w:type="pct"/>
            <w:tcBorders>
              <w:top w:val="single" w:sz="4" w:space="0" w:color="auto"/>
            </w:tcBorders>
            <w:noWrap/>
            <w:hideMark/>
          </w:tcPr>
          <w:p w14:paraId="306A9C87"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sz w:val="18"/>
                <w:szCs w:val="18"/>
              </w:rPr>
            </w:pPr>
          </w:p>
        </w:tc>
        <w:tc>
          <w:tcPr>
            <w:tcW w:w="500" w:type="pct"/>
            <w:tcBorders>
              <w:top w:val="single" w:sz="4" w:space="0" w:color="auto"/>
            </w:tcBorders>
            <w:noWrap/>
            <w:hideMark/>
          </w:tcPr>
          <w:p w14:paraId="0503B92B"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sz w:val="18"/>
                <w:szCs w:val="18"/>
              </w:rPr>
            </w:pPr>
          </w:p>
        </w:tc>
        <w:tc>
          <w:tcPr>
            <w:tcW w:w="396" w:type="pct"/>
            <w:tcBorders>
              <w:top w:val="single" w:sz="4" w:space="0" w:color="auto"/>
            </w:tcBorders>
            <w:noWrap/>
            <w:hideMark/>
          </w:tcPr>
          <w:p w14:paraId="7AE35D17"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sz w:val="18"/>
                <w:szCs w:val="18"/>
              </w:rPr>
            </w:pPr>
          </w:p>
        </w:tc>
        <w:tc>
          <w:tcPr>
            <w:tcW w:w="354" w:type="pct"/>
            <w:tcBorders>
              <w:top w:val="single" w:sz="4" w:space="0" w:color="auto"/>
            </w:tcBorders>
            <w:noWrap/>
            <w:hideMark/>
          </w:tcPr>
          <w:p w14:paraId="7F773D94"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sz w:val="18"/>
                <w:szCs w:val="18"/>
              </w:rPr>
            </w:pPr>
          </w:p>
        </w:tc>
      </w:tr>
      <w:tr w:rsidR="00F47287" w:rsidRPr="00E26635" w14:paraId="1320A010" w14:textId="77777777" w:rsidTr="00842CB7">
        <w:trPr>
          <w:trHeight w:val="300"/>
          <w:jc w:val="center"/>
        </w:trPr>
        <w:tc>
          <w:tcPr>
            <w:cnfStyle w:val="001000000000" w:firstRow="0" w:lastRow="0" w:firstColumn="1" w:lastColumn="0" w:oddVBand="0" w:evenVBand="0" w:oddHBand="0" w:evenHBand="0" w:firstRowFirstColumn="0" w:firstRowLastColumn="0" w:lastRowFirstColumn="0" w:lastRowLastColumn="0"/>
            <w:tcW w:w="1085" w:type="pct"/>
            <w:noWrap/>
          </w:tcPr>
          <w:p w14:paraId="4D8ECE04" w14:textId="77777777" w:rsidR="00F47287" w:rsidRPr="00996B4A" w:rsidRDefault="002749B5" w:rsidP="00842CB7">
            <w:pPr>
              <w:rPr>
                <w:rFonts w:eastAsia="Times New Roman" w:cstheme="majorBidi"/>
                <w:color w:val="000000"/>
                <w:sz w:val="18"/>
                <w:szCs w:val="18"/>
              </w:rPr>
            </w:pPr>
            <m:oMathPara>
              <m:oMathParaPr>
                <m:jc m:val="left"/>
              </m:oMathParaPr>
              <m:oMath>
                <m:sSubSup>
                  <m:sSubSupPr>
                    <m:ctrlPr>
                      <w:rPr>
                        <w:rFonts w:ascii="Cambria Math" w:eastAsia="Times New Roman" w:hAnsi="Cambria Math" w:cstheme="majorBidi"/>
                        <w:i/>
                        <w:color w:val="000000"/>
                        <w:sz w:val="18"/>
                        <w:szCs w:val="18"/>
                      </w:rPr>
                    </m:ctrlPr>
                  </m:sSubSupPr>
                  <m:e>
                    <m:r>
                      <m:rPr>
                        <m:sty m:val="bi"/>
                      </m:rPr>
                      <w:rPr>
                        <w:rFonts w:ascii="Cambria Math" w:eastAsia="Times New Roman" w:hAnsi="Cambria Math" w:cstheme="majorBidi"/>
                        <w:color w:val="000000"/>
                        <w:sz w:val="18"/>
                        <w:szCs w:val="18"/>
                      </w:rPr>
                      <m:t>σ</m:t>
                    </m:r>
                  </m:e>
                  <m:sub>
                    <m:r>
                      <m:rPr>
                        <m:sty m:val="bi"/>
                      </m:rPr>
                      <w:rPr>
                        <w:rFonts w:ascii="Cambria Math" w:eastAsia="Times New Roman" w:hAnsi="Cambria Math" w:cstheme="majorBidi"/>
                        <w:color w:val="000000"/>
                        <w:sz w:val="18"/>
                        <w:szCs w:val="18"/>
                      </w:rPr>
                      <m:t>u</m:t>
                    </m:r>
                    <m:r>
                      <m:rPr>
                        <m:sty m:val="bi"/>
                      </m:rPr>
                      <w:rPr>
                        <w:rFonts w:ascii="Cambria Math" w:eastAsia="Times New Roman" w:hAnsi="Cambria Math" w:cstheme="majorBidi"/>
                        <w:color w:val="000000"/>
                        <w:sz w:val="18"/>
                        <w:szCs w:val="18"/>
                      </w:rPr>
                      <m:t>0</m:t>
                    </m:r>
                    <m:r>
                      <m:rPr>
                        <m:sty m:val="bi"/>
                      </m:rPr>
                      <w:rPr>
                        <w:rFonts w:ascii="Cambria Math" w:eastAsia="Times New Roman" w:hAnsi="Cambria Math" w:cstheme="majorBidi"/>
                        <w:color w:val="000000"/>
                        <w:sz w:val="18"/>
                        <w:szCs w:val="18"/>
                      </w:rPr>
                      <m:t>j</m:t>
                    </m:r>
                  </m:sub>
                  <m:sup>
                    <m:r>
                      <m:rPr>
                        <m:sty m:val="bi"/>
                      </m:rPr>
                      <w:rPr>
                        <w:rFonts w:ascii="Cambria Math" w:eastAsia="Times New Roman" w:hAnsi="Cambria Math" w:cstheme="majorBidi"/>
                        <w:color w:val="000000"/>
                        <w:sz w:val="18"/>
                        <w:szCs w:val="18"/>
                      </w:rPr>
                      <m:t>2</m:t>
                    </m:r>
                  </m:sup>
                </m:sSubSup>
              </m:oMath>
            </m:oMathPara>
          </w:p>
        </w:tc>
        <w:tc>
          <w:tcPr>
            <w:tcW w:w="500" w:type="pct"/>
          </w:tcPr>
          <w:p w14:paraId="7A824684"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0.19</w:t>
            </w:r>
          </w:p>
        </w:tc>
        <w:tc>
          <w:tcPr>
            <w:tcW w:w="415" w:type="pct"/>
            <w:noWrap/>
          </w:tcPr>
          <w:p w14:paraId="72D838B3"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sz w:val="18"/>
                <w:szCs w:val="18"/>
              </w:rPr>
            </w:pPr>
            <w:r w:rsidRPr="00996B4A">
              <w:rPr>
                <w:rFonts w:eastAsia="Times New Roman" w:cstheme="majorBidi"/>
                <w:color w:val="000000"/>
                <w:sz w:val="18"/>
                <w:szCs w:val="18"/>
              </w:rPr>
              <w:t>0.16</w:t>
            </w:r>
          </w:p>
        </w:tc>
        <w:tc>
          <w:tcPr>
            <w:tcW w:w="417" w:type="pct"/>
            <w:noWrap/>
          </w:tcPr>
          <w:p w14:paraId="6C0429E1"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sz w:val="18"/>
                <w:szCs w:val="18"/>
              </w:rPr>
            </w:pPr>
            <w:r w:rsidRPr="00996B4A">
              <w:rPr>
                <w:rFonts w:eastAsia="Times New Roman" w:cstheme="majorBidi"/>
                <w:color w:val="000000"/>
                <w:sz w:val="18"/>
                <w:szCs w:val="18"/>
              </w:rPr>
              <w:t>0.22</w:t>
            </w:r>
          </w:p>
        </w:tc>
        <w:tc>
          <w:tcPr>
            <w:tcW w:w="500" w:type="pct"/>
            <w:noWrap/>
          </w:tcPr>
          <w:p w14:paraId="76C78A81"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sz w:val="18"/>
                <w:szCs w:val="18"/>
              </w:rPr>
            </w:pPr>
            <w:r w:rsidRPr="00996B4A">
              <w:rPr>
                <w:rFonts w:eastAsia="Times New Roman" w:cstheme="majorBidi"/>
                <w:color w:val="000000"/>
                <w:sz w:val="18"/>
                <w:szCs w:val="18"/>
              </w:rPr>
              <w:t>0.18</w:t>
            </w:r>
          </w:p>
        </w:tc>
        <w:tc>
          <w:tcPr>
            <w:tcW w:w="416" w:type="pct"/>
            <w:noWrap/>
          </w:tcPr>
          <w:p w14:paraId="60197B1C"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sz w:val="18"/>
                <w:szCs w:val="18"/>
              </w:rPr>
            </w:pPr>
            <w:r w:rsidRPr="00996B4A">
              <w:rPr>
                <w:rFonts w:eastAsia="Times New Roman" w:cstheme="majorBidi"/>
                <w:color w:val="000000"/>
                <w:sz w:val="18"/>
                <w:szCs w:val="18"/>
              </w:rPr>
              <w:t>0.15</w:t>
            </w:r>
          </w:p>
        </w:tc>
        <w:tc>
          <w:tcPr>
            <w:tcW w:w="417" w:type="pct"/>
            <w:noWrap/>
          </w:tcPr>
          <w:p w14:paraId="4C94D1F0"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sz w:val="18"/>
                <w:szCs w:val="18"/>
              </w:rPr>
            </w:pPr>
            <w:r w:rsidRPr="00996B4A">
              <w:rPr>
                <w:rFonts w:eastAsia="Times New Roman" w:cstheme="majorBidi"/>
                <w:color w:val="000000"/>
                <w:sz w:val="18"/>
                <w:szCs w:val="18"/>
              </w:rPr>
              <w:t>0.21</w:t>
            </w:r>
          </w:p>
        </w:tc>
        <w:tc>
          <w:tcPr>
            <w:tcW w:w="500" w:type="pct"/>
            <w:noWrap/>
          </w:tcPr>
          <w:p w14:paraId="0446CC31"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sz w:val="18"/>
                <w:szCs w:val="18"/>
              </w:rPr>
            </w:pPr>
            <w:r w:rsidRPr="00996B4A">
              <w:rPr>
                <w:rFonts w:eastAsia="Times New Roman" w:cstheme="majorBidi"/>
                <w:color w:val="000000"/>
                <w:sz w:val="18"/>
                <w:szCs w:val="18"/>
              </w:rPr>
              <w:t>0.17</w:t>
            </w:r>
          </w:p>
        </w:tc>
        <w:tc>
          <w:tcPr>
            <w:tcW w:w="396" w:type="pct"/>
            <w:noWrap/>
          </w:tcPr>
          <w:p w14:paraId="2B142BC6"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sz w:val="18"/>
                <w:szCs w:val="18"/>
              </w:rPr>
            </w:pPr>
            <w:r w:rsidRPr="00996B4A">
              <w:rPr>
                <w:rFonts w:eastAsia="Times New Roman" w:cstheme="majorBidi"/>
                <w:color w:val="000000"/>
                <w:sz w:val="18"/>
                <w:szCs w:val="18"/>
              </w:rPr>
              <w:t>0.15</w:t>
            </w:r>
          </w:p>
        </w:tc>
        <w:tc>
          <w:tcPr>
            <w:tcW w:w="354" w:type="pct"/>
            <w:noWrap/>
          </w:tcPr>
          <w:p w14:paraId="3FE018B5"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sz w:val="18"/>
                <w:szCs w:val="18"/>
              </w:rPr>
            </w:pPr>
            <w:r w:rsidRPr="00996B4A">
              <w:rPr>
                <w:rFonts w:eastAsia="Times New Roman" w:cstheme="majorBidi"/>
                <w:color w:val="000000"/>
                <w:sz w:val="18"/>
                <w:szCs w:val="18"/>
              </w:rPr>
              <w:t>0.20</w:t>
            </w:r>
          </w:p>
        </w:tc>
      </w:tr>
      <w:tr w:rsidR="00F47287" w:rsidRPr="00E26635" w14:paraId="5510D239" w14:textId="77777777" w:rsidTr="00842CB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85" w:type="pct"/>
            <w:noWrap/>
            <w:hideMark/>
          </w:tcPr>
          <w:p w14:paraId="65A94427" w14:textId="77777777" w:rsidR="00F47287" w:rsidRPr="00996B4A" w:rsidRDefault="002749B5" w:rsidP="00842CB7">
            <w:pPr>
              <w:rPr>
                <w:rFonts w:eastAsia="Times New Roman" w:cstheme="majorBidi"/>
                <w:color w:val="000000"/>
                <w:sz w:val="18"/>
                <w:szCs w:val="18"/>
              </w:rPr>
            </w:pPr>
            <m:oMathPara>
              <m:oMathParaPr>
                <m:jc m:val="left"/>
              </m:oMathParaPr>
              <m:oMath>
                <m:sSubSup>
                  <m:sSubSupPr>
                    <m:ctrlPr>
                      <w:rPr>
                        <w:rFonts w:ascii="Cambria Math" w:eastAsia="Times New Roman" w:hAnsi="Cambria Math" w:cstheme="majorBidi"/>
                        <w:i/>
                        <w:color w:val="000000"/>
                        <w:sz w:val="18"/>
                        <w:szCs w:val="18"/>
                      </w:rPr>
                    </m:ctrlPr>
                  </m:sSubSupPr>
                  <m:e>
                    <m:r>
                      <m:rPr>
                        <m:sty m:val="bi"/>
                      </m:rPr>
                      <w:rPr>
                        <w:rFonts w:ascii="Cambria Math" w:eastAsia="Times New Roman" w:hAnsi="Cambria Math" w:cstheme="majorBidi"/>
                        <w:color w:val="000000"/>
                        <w:sz w:val="18"/>
                        <w:szCs w:val="18"/>
                      </w:rPr>
                      <m:t>σ</m:t>
                    </m:r>
                  </m:e>
                  <m:sub>
                    <m:r>
                      <m:rPr>
                        <m:sty m:val="bi"/>
                      </m:rPr>
                      <w:rPr>
                        <w:rFonts w:ascii="Cambria Math" w:eastAsia="Times New Roman" w:hAnsi="Cambria Math" w:cstheme="majorBidi"/>
                        <w:color w:val="000000"/>
                        <w:sz w:val="18"/>
                        <w:szCs w:val="18"/>
                      </w:rPr>
                      <m:t>u</m:t>
                    </m:r>
                    <m:r>
                      <m:rPr>
                        <m:sty m:val="bi"/>
                      </m:rPr>
                      <w:rPr>
                        <w:rFonts w:ascii="Cambria Math" w:eastAsia="Times New Roman" w:hAnsi="Cambria Math" w:cstheme="majorBidi"/>
                        <w:color w:val="000000"/>
                        <w:sz w:val="18"/>
                        <w:szCs w:val="18"/>
                      </w:rPr>
                      <m:t>1</m:t>
                    </m:r>
                    <m:r>
                      <m:rPr>
                        <m:sty m:val="bi"/>
                      </m:rPr>
                      <w:rPr>
                        <w:rFonts w:ascii="Cambria Math" w:eastAsia="Times New Roman" w:hAnsi="Cambria Math" w:cstheme="majorBidi"/>
                        <w:color w:val="000000"/>
                        <w:sz w:val="18"/>
                        <w:szCs w:val="18"/>
                      </w:rPr>
                      <m:t>j</m:t>
                    </m:r>
                  </m:sub>
                  <m:sup>
                    <m:r>
                      <m:rPr>
                        <m:sty m:val="bi"/>
                      </m:rPr>
                      <w:rPr>
                        <w:rFonts w:ascii="Cambria Math" w:eastAsia="Times New Roman" w:hAnsi="Cambria Math" w:cstheme="majorBidi"/>
                        <w:color w:val="000000"/>
                        <w:sz w:val="18"/>
                        <w:szCs w:val="18"/>
                      </w:rPr>
                      <m:t>2</m:t>
                    </m:r>
                  </m:sup>
                </m:sSubSup>
              </m:oMath>
            </m:oMathPara>
          </w:p>
        </w:tc>
        <w:tc>
          <w:tcPr>
            <w:tcW w:w="500" w:type="pct"/>
            <w:noWrap/>
            <w:hideMark/>
          </w:tcPr>
          <w:p w14:paraId="29A86ACE"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0.03</w:t>
            </w:r>
          </w:p>
        </w:tc>
        <w:tc>
          <w:tcPr>
            <w:tcW w:w="415" w:type="pct"/>
            <w:noWrap/>
            <w:hideMark/>
          </w:tcPr>
          <w:p w14:paraId="3D16241F"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0.02</w:t>
            </w:r>
          </w:p>
        </w:tc>
        <w:tc>
          <w:tcPr>
            <w:tcW w:w="417" w:type="pct"/>
            <w:noWrap/>
            <w:hideMark/>
          </w:tcPr>
          <w:p w14:paraId="15749773"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0.04</w:t>
            </w:r>
          </w:p>
        </w:tc>
        <w:tc>
          <w:tcPr>
            <w:tcW w:w="500" w:type="pct"/>
            <w:noWrap/>
            <w:hideMark/>
          </w:tcPr>
          <w:p w14:paraId="34E2D69E"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0.01</w:t>
            </w:r>
          </w:p>
        </w:tc>
        <w:tc>
          <w:tcPr>
            <w:tcW w:w="416" w:type="pct"/>
            <w:noWrap/>
            <w:hideMark/>
          </w:tcPr>
          <w:p w14:paraId="7D503BF1"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0.00</w:t>
            </w:r>
          </w:p>
        </w:tc>
        <w:tc>
          <w:tcPr>
            <w:tcW w:w="417" w:type="pct"/>
            <w:noWrap/>
            <w:hideMark/>
          </w:tcPr>
          <w:p w14:paraId="0A1896DF"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0.03</w:t>
            </w:r>
          </w:p>
        </w:tc>
        <w:tc>
          <w:tcPr>
            <w:tcW w:w="500" w:type="pct"/>
            <w:noWrap/>
            <w:hideMark/>
          </w:tcPr>
          <w:p w14:paraId="6C60A879"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0.02</w:t>
            </w:r>
          </w:p>
        </w:tc>
        <w:tc>
          <w:tcPr>
            <w:tcW w:w="396" w:type="pct"/>
            <w:noWrap/>
            <w:hideMark/>
          </w:tcPr>
          <w:p w14:paraId="532C2464"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0.00</w:t>
            </w:r>
          </w:p>
        </w:tc>
        <w:tc>
          <w:tcPr>
            <w:tcW w:w="354" w:type="pct"/>
            <w:noWrap/>
            <w:hideMark/>
          </w:tcPr>
          <w:p w14:paraId="5F7CE2AC"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0.03</w:t>
            </w:r>
          </w:p>
        </w:tc>
      </w:tr>
      <w:tr w:rsidR="00F47287" w:rsidRPr="00E26635" w14:paraId="0A83A814" w14:textId="77777777" w:rsidTr="00842CB7">
        <w:trPr>
          <w:trHeight w:val="300"/>
          <w:jc w:val="center"/>
        </w:trPr>
        <w:tc>
          <w:tcPr>
            <w:cnfStyle w:val="001000000000" w:firstRow="0" w:lastRow="0" w:firstColumn="1" w:lastColumn="0" w:oddVBand="0" w:evenVBand="0" w:oddHBand="0" w:evenHBand="0" w:firstRowFirstColumn="0" w:firstRowLastColumn="0" w:lastRowFirstColumn="0" w:lastRowLastColumn="0"/>
            <w:tcW w:w="1085" w:type="pct"/>
            <w:noWrap/>
            <w:hideMark/>
          </w:tcPr>
          <w:p w14:paraId="015DCA93" w14:textId="77777777" w:rsidR="00F47287" w:rsidRPr="00996B4A" w:rsidRDefault="00F47287" w:rsidP="00842CB7">
            <w:pPr>
              <w:rPr>
                <w:rFonts w:eastAsia="Times New Roman" w:cstheme="majorBidi"/>
                <w:color w:val="000000"/>
                <w:sz w:val="18"/>
                <w:szCs w:val="18"/>
              </w:rPr>
            </w:pPr>
            <w:r w:rsidRPr="00996B4A">
              <w:rPr>
                <w:rFonts w:cstheme="majorBidi"/>
                <w:color w:val="000000"/>
                <w:sz w:val="18"/>
                <w:szCs w:val="18"/>
              </w:rPr>
              <w:t xml:space="preserve">Covariance </w:t>
            </w:r>
            <m:oMath>
              <m:sSubSup>
                <m:sSubSupPr>
                  <m:ctrlPr>
                    <w:rPr>
                      <w:rFonts w:ascii="Cambria Math" w:eastAsia="Times New Roman" w:hAnsi="Cambria Math" w:cstheme="majorBidi"/>
                      <w:i/>
                      <w:color w:val="000000"/>
                      <w:sz w:val="18"/>
                      <w:szCs w:val="18"/>
                    </w:rPr>
                  </m:ctrlPr>
                </m:sSubSupPr>
                <m:e>
                  <m:r>
                    <m:rPr>
                      <m:sty m:val="bi"/>
                    </m:rPr>
                    <w:rPr>
                      <w:rFonts w:ascii="Cambria Math" w:eastAsia="Times New Roman" w:hAnsi="Cambria Math" w:cstheme="majorBidi"/>
                      <w:color w:val="000000"/>
                      <w:sz w:val="18"/>
                      <w:szCs w:val="18"/>
                    </w:rPr>
                    <m:t>σ</m:t>
                  </m:r>
                </m:e>
                <m:sub>
                  <m:r>
                    <m:rPr>
                      <m:sty m:val="bi"/>
                    </m:rPr>
                    <w:rPr>
                      <w:rFonts w:ascii="Cambria Math" w:eastAsia="Times New Roman" w:hAnsi="Cambria Math" w:cstheme="majorBidi"/>
                      <w:color w:val="000000"/>
                      <w:sz w:val="18"/>
                      <w:szCs w:val="18"/>
                    </w:rPr>
                    <m:t>u</m:t>
                  </m:r>
                  <m:r>
                    <m:rPr>
                      <m:sty m:val="bi"/>
                    </m:rPr>
                    <w:rPr>
                      <w:rFonts w:ascii="Cambria Math" w:eastAsia="Times New Roman" w:hAnsi="Cambria Math" w:cstheme="majorBidi"/>
                      <w:color w:val="000000"/>
                      <w:sz w:val="18"/>
                      <w:szCs w:val="18"/>
                    </w:rPr>
                    <m:t>0</m:t>
                  </m:r>
                  <m:r>
                    <m:rPr>
                      <m:sty m:val="bi"/>
                    </m:rPr>
                    <w:rPr>
                      <w:rFonts w:ascii="Cambria Math" w:eastAsia="Times New Roman" w:hAnsi="Cambria Math" w:cstheme="majorBidi"/>
                      <w:color w:val="000000"/>
                      <w:sz w:val="18"/>
                      <w:szCs w:val="18"/>
                    </w:rPr>
                    <m:t>j</m:t>
                  </m:r>
                </m:sub>
                <m:sup>
                  <m:r>
                    <m:rPr>
                      <m:sty m:val="bi"/>
                    </m:rPr>
                    <w:rPr>
                      <w:rFonts w:ascii="Cambria Math" w:eastAsia="Times New Roman" w:hAnsi="Cambria Math" w:cstheme="majorBidi"/>
                      <w:color w:val="000000"/>
                      <w:sz w:val="18"/>
                      <w:szCs w:val="18"/>
                    </w:rPr>
                    <m:t>2</m:t>
                  </m:r>
                </m:sup>
              </m:sSubSup>
            </m:oMath>
            <w:r w:rsidRPr="00996B4A">
              <w:rPr>
                <w:rFonts w:eastAsia="Times New Roman" w:cstheme="majorBidi"/>
                <w:color w:val="000000"/>
                <w:sz w:val="18"/>
                <w:szCs w:val="18"/>
              </w:rPr>
              <w:t xml:space="preserve">, </w:t>
            </w:r>
            <m:oMath>
              <m:sSubSup>
                <m:sSubSupPr>
                  <m:ctrlPr>
                    <w:rPr>
                      <w:rFonts w:ascii="Cambria Math" w:eastAsia="Times New Roman" w:hAnsi="Cambria Math" w:cstheme="majorBidi"/>
                      <w:i/>
                      <w:color w:val="000000"/>
                      <w:sz w:val="18"/>
                      <w:szCs w:val="18"/>
                    </w:rPr>
                  </m:ctrlPr>
                </m:sSubSupPr>
                <m:e>
                  <m:r>
                    <m:rPr>
                      <m:sty m:val="bi"/>
                    </m:rPr>
                    <w:rPr>
                      <w:rFonts w:ascii="Cambria Math" w:eastAsia="Times New Roman" w:hAnsi="Cambria Math" w:cstheme="majorBidi"/>
                      <w:color w:val="000000"/>
                      <w:sz w:val="18"/>
                      <w:szCs w:val="18"/>
                    </w:rPr>
                    <m:t>σ</m:t>
                  </m:r>
                </m:e>
                <m:sub>
                  <m:r>
                    <m:rPr>
                      <m:sty m:val="bi"/>
                    </m:rPr>
                    <w:rPr>
                      <w:rFonts w:ascii="Cambria Math" w:eastAsia="Times New Roman" w:hAnsi="Cambria Math" w:cstheme="majorBidi"/>
                      <w:color w:val="000000"/>
                      <w:sz w:val="18"/>
                      <w:szCs w:val="18"/>
                    </w:rPr>
                    <m:t>u</m:t>
                  </m:r>
                  <m:r>
                    <m:rPr>
                      <m:sty m:val="bi"/>
                    </m:rPr>
                    <w:rPr>
                      <w:rFonts w:ascii="Cambria Math" w:eastAsia="Times New Roman" w:hAnsi="Cambria Math" w:cstheme="majorBidi"/>
                      <w:color w:val="000000"/>
                      <w:sz w:val="18"/>
                      <w:szCs w:val="18"/>
                    </w:rPr>
                    <m:t>1</m:t>
                  </m:r>
                  <m:r>
                    <m:rPr>
                      <m:sty m:val="bi"/>
                    </m:rPr>
                    <w:rPr>
                      <w:rFonts w:ascii="Cambria Math" w:eastAsia="Times New Roman" w:hAnsi="Cambria Math" w:cstheme="majorBidi"/>
                      <w:color w:val="000000"/>
                      <w:sz w:val="18"/>
                      <w:szCs w:val="18"/>
                    </w:rPr>
                    <m:t>j</m:t>
                  </m:r>
                </m:sub>
                <m:sup>
                  <m:r>
                    <m:rPr>
                      <m:sty m:val="bi"/>
                    </m:rPr>
                    <w:rPr>
                      <w:rFonts w:ascii="Cambria Math" w:eastAsia="Times New Roman" w:hAnsi="Cambria Math" w:cstheme="majorBidi"/>
                      <w:color w:val="000000"/>
                      <w:sz w:val="18"/>
                      <w:szCs w:val="18"/>
                    </w:rPr>
                    <m:t>2</m:t>
                  </m:r>
                </m:sup>
              </m:sSubSup>
            </m:oMath>
          </w:p>
        </w:tc>
        <w:tc>
          <w:tcPr>
            <w:tcW w:w="500" w:type="pct"/>
            <w:noWrap/>
            <w:hideMark/>
          </w:tcPr>
          <w:p w14:paraId="0631122B"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0.05</w:t>
            </w:r>
          </w:p>
        </w:tc>
        <w:tc>
          <w:tcPr>
            <w:tcW w:w="415" w:type="pct"/>
            <w:noWrap/>
            <w:hideMark/>
          </w:tcPr>
          <w:p w14:paraId="2392A7E8"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0.03</w:t>
            </w:r>
          </w:p>
        </w:tc>
        <w:tc>
          <w:tcPr>
            <w:tcW w:w="417" w:type="pct"/>
            <w:noWrap/>
            <w:hideMark/>
          </w:tcPr>
          <w:p w14:paraId="4C403BAA"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0.06</w:t>
            </w:r>
          </w:p>
        </w:tc>
        <w:tc>
          <w:tcPr>
            <w:tcW w:w="500" w:type="pct"/>
            <w:noWrap/>
            <w:hideMark/>
          </w:tcPr>
          <w:p w14:paraId="573DD524"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0.04</w:t>
            </w:r>
          </w:p>
        </w:tc>
        <w:tc>
          <w:tcPr>
            <w:tcW w:w="416" w:type="pct"/>
            <w:noWrap/>
            <w:hideMark/>
          </w:tcPr>
          <w:p w14:paraId="7A26A948"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0.03</w:t>
            </w:r>
          </w:p>
        </w:tc>
        <w:tc>
          <w:tcPr>
            <w:tcW w:w="417" w:type="pct"/>
            <w:noWrap/>
            <w:hideMark/>
          </w:tcPr>
          <w:p w14:paraId="38391BE1"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0.05</w:t>
            </w:r>
          </w:p>
        </w:tc>
        <w:tc>
          <w:tcPr>
            <w:tcW w:w="500" w:type="pct"/>
            <w:noWrap/>
            <w:hideMark/>
          </w:tcPr>
          <w:p w14:paraId="01EF4FCC"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0.03</w:t>
            </w:r>
          </w:p>
        </w:tc>
        <w:tc>
          <w:tcPr>
            <w:tcW w:w="396" w:type="pct"/>
            <w:noWrap/>
            <w:hideMark/>
          </w:tcPr>
          <w:p w14:paraId="54D4FC68"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0.01</w:t>
            </w:r>
          </w:p>
        </w:tc>
        <w:tc>
          <w:tcPr>
            <w:tcW w:w="354" w:type="pct"/>
            <w:noWrap/>
            <w:hideMark/>
          </w:tcPr>
          <w:p w14:paraId="09E3FD93" w14:textId="77777777" w:rsidR="00F47287" w:rsidRPr="00996B4A" w:rsidRDefault="00F47287" w:rsidP="00842CB7">
            <w:pPr>
              <w:cnfStyle w:val="000000000000" w:firstRow="0" w:lastRow="0" w:firstColumn="0" w:lastColumn="0" w:oddVBand="0" w:evenVBand="0" w:oddHBand="0"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0.05</w:t>
            </w:r>
          </w:p>
        </w:tc>
      </w:tr>
      <w:tr w:rsidR="00F47287" w:rsidRPr="00E26635" w14:paraId="10B6B54F" w14:textId="77777777" w:rsidTr="00842CB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85" w:type="pct"/>
            <w:noWrap/>
          </w:tcPr>
          <w:p w14:paraId="77D3B92A" w14:textId="77777777" w:rsidR="00F47287" w:rsidRPr="00996B4A" w:rsidRDefault="00F47287" w:rsidP="00842CB7">
            <w:pPr>
              <w:rPr>
                <w:rFonts w:cstheme="majorBidi"/>
                <w:color w:val="000000"/>
                <w:sz w:val="18"/>
                <w:szCs w:val="18"/>
              </w:rPr>
            </w:pPr>
            <w:r w:rsidRPr="00996B4A">
              <w:rPr>
                <w:rFonts w:cstheme="majorBidi"/>
                <w:color w:val="000000"/>
                <w:sz w:val="18"/>
                <w:szCs w:val="18"/>
              </w:rPr>
              <w:t>VPC</w:t>
            </w:r>
          </w:p>
        </w:tc>
        <w:tc>
          <w:tcPr>
            <w:tcW w:w="500" w:type="pct"/>
            <w:noWrap/>
          </w:tcPr>
          <w:p w14:paraId="10737F6A"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0.06</w:t>
            </w:r>
          </w:p>
        </w:tc>
        <w:tc>
          <w:tcPr>
            <w:tcW w:w="415" w:type="pct"/>
            <w:noWrap/>
          </w:tcPr>
          <w:p w14:paraId="39EBC26D"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p>
        </w:tc>
        <w:tc>
          <w:tcPr>
            <w:tcW w:w="417" w:type="pct"/>
            <w:noWrap/>
          </w:tcPr>
          <w:p w14:paraId="248E9CED"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p>
        </w:tc>
        <w:tc>
          <w:tcPr>
            <w:tcW w:w="500" w:type="pct"/>
            <w:noWrap/>
          </w:tcPr>
          <w:p w14:paraId="0E26F4F6"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0.05</w:t>
            </w:r>
          </w:p>
        </w:tc>
        <w:tc>
          <w:tcPr>
            <w:tcW w:w="416" w:type="pct"/>
            <w:noWrap/>
          </w:tcPr>
          <w:p w14:paraId="07903213"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p>
        </w:tc>
        <w:tc>
          <w:tcPr>
            <w:tcW w:w="417" w:type="pct"/>
            <w:noWrap/>
          </w:tcPr>
          <w:p w14:paraId="41DDB8ED"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p>
        </w:tc>
        <w:tc>
          <w:tcPr>
            <w:tcW w:w="500" w:type="pct"/>
            <w:noWrap/>
          </w:tcPr>
          <w:p w14:paraId="720C3483"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r w:rsidRPr="00996B4A">
              <w:rPr>
                <w:rFonts w:eastAsia="Times New Roman" w:cstheme="majorBidi"/>
                <w:color w:val="000000"/>
                <w:sz w:val="18"/>
                <w:szCs w:val="18"/>
              </w:rPr>
              <w:t>0.05</w:t>
            </w:r>
          </w:p>
        </w:tc>
        <w:tc>
          <w:tcPr>
            <w:tcW w:w="396" w:type="pct"/>
            <w:noWrap/>
          </w:tcPr>
          <w:p w14:paraId="59476C51"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p>
        </w:tc>
        <w:tc>
          <w:tcPr>
            <w:tcW w:w="354" w:type="pct"/>
            <w:noWrap/>
          </w:tcPr>
          <w:p w14:paraId="24133A77" w14:textId="77777777" w:rsidR="00F47287" w:rsidRPr="00996B4A" w:rsidRDefault="00F47287" w:rsidP="00842CB7">
            <w:pPr>
              <w:cnfStyle w:val="000000100000" w:firstRow="0" w:lastRow="0" w:firstColumn="0" w:lastColumn="0" w:oddVBand="0" w:evenVBand="0" w:oddHBand="1" w:evenHBand="0" w:firstRowFirstColumn="0" w:firstRowLastColumn="0" w:lastRowFirstColumn="0" w:lastRowLastColumn="0"/>
              <w:rPr>
                <w:rFonts w:eastAsia="Times New Roman" w:cstheme="majorBidi"/>
                <w:color w:val="000000"/>
                <w:sz w:val="18"/>
                <w:szCs w:val="18"/>
              </w:rPr>
            </w:pPr>
          </w:p>
        </w:tc>
      </w:tr>
      <w:tr w:rsidR="00F47287" w:rsidRPr="00E26635" w14:paraId="71DAE25B" w14:textId="77777777" w:rsidTr="00842CB7">
        <w:trPr>
          <w:trHeight w:val="300"/>
          <w:jc w:val="center"/>
        </w:trPr>
        <w:tc>
          <w:tcPr>
            <w:cnfStyle w:val="001000000000" w:firstRow="0" w:lastRow="0" w:firstColumn="1" w:lastColumn="0" w:oddVBand="0" w:evenVBand="0" w:oddHBand="0" w:evenHBand="0" w:firstRowFirstColumn="0" w:firstRowLastColumn="0" w:lastRowFirstColumn="0" w:lastRowLastColumn="0"/>
            <w:tcW w:w="1085" w:type="pct"/>
            <w:noWrap/>
            <w:hideMark/>
          </w:tcPr>
          <w:p w14:paraId="4C565584" w14:textId="77777777" w:rsidR="00F47287" w:rsidRPr="00996B4A" w:rsidRDefault="00F47287" w:rsidP="00842CB7">
            <w:pPr>
              <w:rPr>
                <w:rFonts w:eastAsia="Times New Roman" w:cstheme="majorBidi"/>
                <w:color w:val="000000"/>
                <w:sz w:val="18"/>
                <w:szCs w:val="18"/>
              </w:rPr>
            </w:pPr>
            <w:r w:rsidRPr="00996B4A">
              <w:rPr>
                <w:rFonts w:eastAsia="Times New Roman" w:cstheme="majorBidi"/>
                <w:color w:val="000000"/>
                <w:sz w:val="18"/>
                <w:szCs w:val="18"/>
              </w:rPr>
              <w:t>Log likelihood</w:t>
            </w:r>
          </w:p>
        </w:tc>
        <w:tc>
          <w:tcPr>
            <w:tcW w:w="1332" w:type="pct"/>
            <w:gridSpan w:val="3"/>
            <w:noWrap/>
            <w:hideMark/>
          </w:tcPr>
          <w:p w14:paraId="271B7D2D" w14:textId="77777777" w:rsidR="00F47287" w:rsidRPr="00996B4A" w:rsidRDefault="00F47287" w:rsidP="00842CB7">
            <w:pPr>
              <w:jc w:val="center"/>
              <w:cnfStyle w:val="000000000000" w:firstRow="0" w:lastRow="0" w:firstColumn="0" w:lastColumn="0" w:oddVBand="0" w:evenVBand="0" w:oddHBand="0" w:evenHBand="0" w:firstRowFirstColumn="0" w:firstRowLastColumn="0" w:lastRowFirstColumn="0" w:lastRowLastColumn="0"/>
              <w:rPr>
                <w:rFonts w:eastAsia="Times New Roman" w:cstheme="majorBidi"/>
                <w:sz w:val="18"/>
                <w:szCs w:val="18"/>
              </w:rPr>
            </w:pPr>
            <w:r w:rsidRPr="00996B4A">
              <w:rPr>
                <w:rFonts w:eastAsia="Times New Roman" w:cstheme="majorBidi"/>
                <w:color w:val="000000"/>
                <w:sz w:val="18"/>
                <w:szCs w:val="18"/>
              </w:rPr>
              <w:t>-259862</w:t>
            </w:r>
          </w:p>
        </w:tc>
        <w:tc>
          <w:tcPr>
            <w:tcW w:w="1333" w:type="pct"/>
            <w:gridSpan w:val="3"/>
            <w:noWrap/>
            <w:hideMark/>
          </w:tcPr>
          <w:p w14:paraId="649DE11E" w14:textId="77777777" w:rsidR="00F47287" w:rsidRPr="00996B4A" w:rsidRDefault="00F47287" w:rsidP="00842CB7">
            <w:pPr>
              <w:jc w:val="center"/>
              <w:cnfStyle w:val="000000000000" w:firstRow="0" w:lastRow="0" w:firstColumn="0" w:lastColumn="0" w:oddVBand="0" w:evenVBand="0" w:oddHBand="0" w:evenHBand="0" w:firstRowFirstColumn="0" w:firstRowLastColumn="0" w:lastRowFirstColumn="0" w:lastRowLastColumn="0"/>
              <w:rPr>
                <w:rFonts w:eastAsia="Times New Roman" w:cstheme="majorBidi"/>
                <w:sz w:val="18"/>
                <w:szCs w:val="18"/>
              </w:rPr>
            </w:pPr>
            <w:r w:rsidRPr="00996B4A">
              <w:rPr>
                <w:rFonts w:eastAsia="Times New Roman" w:cstheme="majorBidi"/>
                <w:color w:val="000000"/>
                <w:sz w:val="18"/>
                <w:szCs w:val="18"/>
              </w:rPr>
              <w:t>-220140</w:t>
            </w:r>
          </w:p>
        </w:tc>
        <w:tc>
          <w:tcPr>
            <w:tcW w:w="1250" w:type="pct"/>
            <w:gridSpan w:val="3"/>
            <w:noWrap/>
            <w:hideMark/>
          </w:tcPr>
          <w:p w14:paraId="17D21777" w14:textId="77777777" w:rsidR="00F47287" w:rsidRPr="00996B4A" w:rsidRDefault="00F47287" w:rsidP="00842CB7">
            <w:pPr>
              <w:jc w:val="center"/>
              <w:cnfStyle w:val="000000000000" w:firstRow="0" w:lastRow="0" w:firstColumn="0" w:lastColumn="0" w:oddVBand="0" w:evenVBand="0" w:oddHBand="0" w:evenHBand="0" w:firstRowFirstColumn="0" w:firstRowLastColumn="0" w:lastRowFirstColumn="0" w:lastRowLastColumn="0"/>
              <w:rPr>
                <w:rFonts w:eastAsia="Times New Roman" w:cstheme="majorBidi"/>
                <w:sz w:val="18"/>
                <w:szCs w:val="18"/>
              </w:rPr>
            </w:pPr>
            <w:r w:rsidRPr="00996B4A">
              <w:rPr>
                <w:rFonts w:eastAsia="Times New Roman" w:cstheme="majorBidi"/>
                <w:color w:val="000000"/>
                <w:sz w:val="18"/>
                <w:szCs w:val="18"/>
              </w:rPr>
              <w:t>-173869</w:t>
            </w:r>
          </w:p>
        </w:tc>
      </w:tr>
      <w:tr w:rsidR="00F47287" w:rsidRPr="00E26635" w14:paraId="155570A6" w14:textId="77777777" w:rsidTr="00842CB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85" w:type="pct"/>
            <w:tcBorders>
              <w:bottom w:val="single" w:sz="4" w:space="0" w:color="auto"/>
            </w:tcBorders>
            <w:noWrap/>
            <w:hideMark/>
          </w:tcPr>
          <w:p w14:paraId="752AAAC0" w14:textId="77777777" w:rsidR="00F47287" w:rsidRPr="00996B4A" w:rsidRDefault="00F47287" w:rsidP="00842CB7">
            <w:pPr>
              <w:rPr>
                <w:rFonts w:eastAsia="Times New Roman" w:cstheme="majorBidi"/>
                <w:color w:val="000000"/>
                <w:sz w:val="18"/>
                <w:szCs w:val="18"/>
              </w:rPr>
            </w:pPr>
            <w:r w:rsidRPr="00996B4A">
              <w:rPr>
                <w:rFonts w:eastAsia="Times New Roman" w:cstheme="majorBidi"/>
                <w:color w:val="000000"/>
                <w:sz w:val="18"/>
                <w:szCs w:val="18"/>
              </w:rPr>
              <w:t>N</w:t>
            </w:r>
          </w:p>
        </w:tc>
        <w:tc>
          <w:tcPr>
            <w:tcW w:w="1332" w:type="pct"/>
            <w:gridSpan w:val="3"/>
            <w:tcBorders>
              <w:bottom w:val="single" w:sz="4" w:space="0" w:color="auto"/>
            </w:tcBorders>
            <w:noWrap/>
            <w:hideMark/>
          </w:tcPr>
          <w:p w14:paraId="00E584F6" w14:textId="77777777" w:rsidR="00F47287" w:rsidRPr="00996B4A" w:rsidRDefault="00F47287" w:rsidP="00842CB7">
            <w:pPr>
              <w:jc w:val="center"/>
              <w:cnfStyle w:val="000000100000" w:firstRow="0" w:lastRow="0" w:firstColumn="0" w:lastColumn="0" w:oddVBand="0" w:evenVBand="0" w:oddHBand="1" w:evenHBand="0" w:firstRowFirstColumn="0" w:firstRowLastColumn="0" w:lastRowFirstColumn="0" w:lastRowLastColumn="0"/>
              <w:rPr>
                <w:rFonts w:eastAsia="Times New Roman" w:cstheme="majorBidi"/>
                <w:sz w:val="18"/>
                <w:szCs w:val="18"/>
              </w:rPr>
            </w:pPr>
            <w:r w:rsidRPr="00996B4A">
              <w:rPr>
                <w:rFonts w:eastAsia="Times New Roman" w:cstheme="majorBidi"/>
                <w:color w:val="000000"/>
                <w:sz w:val="18"/>
                <w:szCs w:val="18"/>
              </w:rPr>
              <w:t>442340</w:t>
            </w:r>
          </w:p>
        </w:tc>
        <w:tc>
          <w:tcPr>
            <w:tcW w:w="1333" w:type="pct"/>
            <w:gridSpan w:val="3"/>
            <w:tcBorders>
              <w:bottom w:val="single" w:sz="4" w:space="0" w:color="auto"/>
            </w:tcBorders>
            <w:noWrap/>
            <w:hideMark/>
          </w:tcPr>
          <w:p w14:paraId="002A7291" w14:textId="77777777" w:rsidR="00F47287" w:rsidRPr="00996B4A" w:rsidRDefault="00F47287" w:rsidP="00842CB7">
            <w:pPr>
              <w:jc w:val="center"/>
              <w:cnfStyle w:val="000000100000" w:firstRow="0" w:lastRow="0" w:firstColumn="0" w:lastColumn="0" w:oddVBand="0" w:evenVBand="0" w:oddHBand="1" w:evenHBand="0" w:firstRowFirstColumn="0" w:firstRowLastColumn="0" w:lastRowFirstColumn="0" w:lastRowLastColumn="0"/>
              <w:rPr>
                <w:rFonts w:eastAsia="Times New Roman" w:cstheme="majorBidi"/>
                <w:sz w:val="18"/>
                <w:szCs w:val="18"/>
              </w:rPr>
            </w:pPr>
            <w:r w:rsidRPr="00996B4A">
              <w:rPr>
                <w:rFonts w:eastAsia="Times New Roman" w:cstheme="majorBidi"/>
                <w:color w:val="000000"/>
                <w:sz w:val="18"/>
                <w:szCs w:val="18"/>
              </w:rPr>
              <w:t>442340</w:t>
            </w:r>
          </w:p>
        </w:tc>
        <w:tc>
          <w:tcPr>
            <w:tcW w:w="1250" w:type="pct"/>
            <w:gridSpan w:val="3"/>
            <w:tcBorders>
              <w:bottom w:val="single" w:sz="4" w:space="0" w:color="auto"/>
            </w:tcBorders>
            <w:noWrap/>
            <w:hideMark/>
          </w:tcPr>
          <w:p w14:paraId="7779C3B2" w14:textId="77777777" w:rsidR="00F47287" w:rsidRPr="00996B4A" w:rsidRDefault="00F47287" w:rsidP="00842CB7">
            <w:pPr>
              <w:jc w:val="center"/>
              <w:cnfStyle w:val="000000100000" w:firstRow="0" w:lastRow="0" w:firstColumn="0" w:lastColumn="0" w:oddVBand="0" w:evenVBand="0" w:oddHBand="1" w:evenHBand="0" w:firstRowFirstColumn="0" w:firstRowLastColumn="0" w:lastRowFirstColumn="0" w:lastRowLastColumn="0"/>
              <w:rPr>
                <w:rFonts w:eastAsia="Times New Roman" w:cstheme="majorBidi"/>
                <w:sz w:val="18"/>
                <w:szCs w:val="18"/>
              </w:rPr>
            </w:pPr>
            <w:r w:rsidRPr="00996B4A">
              <w:rPr>
                <w:rFonts w:eastAsia="Times New Roman" w:cstheme="majorBidi"/>
                <w:color w:val="000000"/>
                <w:sz w:val="18"/>
                <w:szCs w:val="18"/>
              </w:rPr>
              <w:t>442340</w:t>
            </w:r>
          </w:p>
        </w:tc>
      </w:tr>
      <w:tr w:rsidR="00F47287" w:rsidRPr="00E26635" w14:paraId="706515F2" w14:textId="77777777" w:rsidTr="00842CB7">
        <w:trPr>
          <w:trHeight w:val="300"/>
          <w:jc w:val="center"/>
        </w:trPr>
        <w:tc>
          <w:tcPr>
            <w:cnfStyle w:val="001000000000" w:firstRow="0" w:lastRow="0" w:firstColumn="1" w:lastColumn="0" w:oddVBand="0" w:evenVBand="0" w:oddHBand="0" w:evenHBand="0" w:firstRowFirstColumn="0" w:firstRowLastColumn="0" w:lastRowFirstColumn="0" w:lastRowLastColumn="0"/>
            <w:tcW w:w="5000" w:type="pct"/>
            <w:gridSpan w:val="10"/>
            <w:tcBorders>
              <w:top w:val="single" w:sz="4" w:space="0" w:color="auto"/>
            </w:tcBorders>
            <w:shd w:val="clear" w:color="auto" w:fill="auto"/>
            <w:noWrap/>
          </w:tcPr>
          <w:p w14:paraId="09CF4A61" w14:textId="77777777" w:rsidR="00F47287" w:rsidRPr="00996B4A" w:rsidRDefault="00F47287" w:rsidP="00842CB7">
            <w:pPr>
              <w:rPr>
                <w:rFonts w:asciiTheme="majorBidi" w:eastAsia="Times New Roman" w:hAnsiTheme="majorBidi" w:cstheme="majorBidi"/>
                <w:b w:val="0"/>
                <w:bCs w:val="0"/>
                <w:color w:val="000000"/>
                <w:sz w:val="18"/>
                <w:szCs w:val="18"/>
              </w:rPr>
            </w:pPr>
            <w:r w:rsidRPr="00996B4A">
              <w:rPr>
                <w:rFonts w:asciiTheme="majorBidi" w:eastAsia="Times New Roman" w:hAnsiTheme="majorBidi" w:cstheme="majorBidi"/>
                <w:color w:val="000000"/>
                <w:sz w:val="18"/>
                <w:szCs w:val="18"/>
              </w:rPr>
              <w:t>**,* = significant at the .99 and .95 levels respectively. LB = 95% confidence interval lower bound; UB = 95% confidence interval upper bound; VPC = Variance Partition Coefficient. Source: CISS (Office for National Statistics, 2011b), authors’ own calculations</w:t>
            </w:r>
            <w:r>
              <w:rPr>
                <w:rFonts w:asciiTheme="majorBidi" w:eastAsia="Times New Roman" w:hAnsiTheme="majorBidi" w:cstheme="majorBidi"/>
                <w:color w:val="000000"/>
                <w:sz w:val="18"/>
                <w:szCs w:val="18"/>
              </w:rPr>
              <w:t>.</w:t>
            </w:r>
          </w:p>
        </w:tc>
      </w:tr>
    </w:tbl>
    <w:p w14:paraId="1DDF49DF" w14:textId="77777777" w:rsidR="00F47287" w:rsidRPr="00F47287" w:rsidRDefault="00F47287" w:rsidP="00507068"/>
    <w:sectPr w:rsidR="00F47287" w:rsidRPr="00F47287" w:rsidSect="009A7DCA">
      <w:footerReference w:type="default" r:id="rId8"/>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F57F89" w14:textId="77777777" w:rsidR="002749B5" w:rsidRDefault="002749B5" w:rsidP="0000005F">
      <w:pPr>
        <w:spacing w:after="0" w:line="240" w:lineRule="auto"/>
      </w:pPr>
      <w:r>
        <w:separator/>
      </w:r>
    </w:p>
    <w:p w14:paraId="072A69DD" w14:textId="77777777" w:rsidR="002749B5" w:rsidRDefault="002749B5"/>
  </w:endnote>
  <w:endnote w:type="continuationSeparator" w:id="0">
    <w:p w14:paraId="0E502C65" w14:textId="77777777" w:rsidR="002749B5" w:rsidRDefault="002749B5" w:rsidP="0000005F">
      <w:pPr>
        <w:spacing w:after="0" w:line="240" w:lineRule="auto"/>
      </w:pPr>
      <w:r>
        <w:continuationSeparator/>
      </w:r>
    </w:p>
    <w:p w14:paraId="34C3DA43" w14:textId="77777777" w:rsidR="002749B5" w:rsidRDefault="002749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vanish/>
        <w:highlight w:val="yellow"/>
      </w:rPr>
      <w:id w:val="-685451638"/>
      <w:docPartObj>
        <w:docPartGallery w:val="Page Numbers (Bottom of Page)"/>
        <w:docPartUnique/>
      </w:docPartObj>
    </w:sdtPr>
    <w:sdtEndPr>
      <w:rPr>
        <w:noProof/>
      </w:rPr>
    </w:sdtEndPr>
    <w:sdtContent>
      <w:p w14:paraId="207C032E" w14:textId="19A4CC1D" w:rsidR="00842CB7" w:rsidRDefault="00842CB7">
        <w:pPr>
          <w:pStyle w:val="Footer"/>
          <w:jc w:val="right"/>
        </w:pPr>
        <w:r>
          <w:fldChar w:fldCharType="begin"/>
        </w:r>
        <w:r>
          <w:instrText xml:space="preserve"> PAGE   \* MERGEFORMAT </w:instrText>
        </w:r>
        <w:r>
          <w:fldChar w:fldCharType="separate"/>
        </w:r>
        <w:r w:rsidR="009A7DCA">
          <w:rPr>
            <w:noProof/>
          </w:rPr>
          <w:t>6</w:t>
        </w:r>
        <w:r>
          <w:rPr>
            <w:noProof/>
          </w:rPr>
          <w:fldChar w:fldCharType="end"/>
        </w:r>
      </w:p>
    </w:sdtContent>
  </w:sdt>
  <w:p w14:paraId="60436FC7" w14:textId="77777777" w:rsidR="00842CB7" w:rsidRDefault="00842CB7">
    <w:pPr>
      <w:pStyle w:val="Footer"/>
    </w:pPr>
  </w:p>
  <w:p w14:paraId="27222ACC" w14:textId="77777777" w:rsidR="00842CB7" w:rsidRDefault="00842CB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CC138D" w14:textId="77777777" w:rsidR="002749B5" w:rsidRDefault="002749B5" w:rsidP="0000005F">
      <w:pPr>
        <w:spacing w:after="0" w:line="240" w:lineRule="auto"/>
      </w:pPr>
      <w:r>
        <w:separator/>
      </w:r>
    </w:p>
    <w:p w14:paraId="5517080D" w14:textId="77777777" w:rsidR="002749B5" w:rsidRDefault="002749B5"/>
  </w:footnote>
  <w:footnote w:type="continuationSeparator" w:id="0">
    <w:p w14:paraId="69159200" w14:textId="77777777" w:rsidR="002749B5" w:rsidRDefault="002749B5" w:rsidP="0000005F">
      <w:pPr>
        <w:spacing w:after="0" w:line="240" w:lineRule="auto"/>
      </w:pPr>
      <w:r>
        <w:continuationSeparator/>
      </w:r>
    </w:p>
    <w:p w14:paraId="7B8EFCB6" w14:textId="77777777" w:rsidR="002749B5" w:rsidRDefault="002749B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A0tzAxNzAxNjMytjBW0lEKTi0uzszPAykwrwUAMK+bzCwAAAA="/>
  </w:docVars>
  <w:rsids>
    <w:rsidRoot w:val="00EE18D2"/>
    <w:rsid w:val="0000005F"/>
    <w:rsid w:val="00016428"/>
    <w:rsid w:val="000310FF"/>
    <w:rsid w:val="00037535"/>
    <w:rsid w:val="00042BB8"/>
    <w:rsid w:val="00044A09"/>
    <w:rsid w:val="00050E49"/>
    <w:rsid w:val="00056FC6"/>
    <w:rsid w:val="00066D2E"/>
    <w:rsid w:val="00076A67"/>
    <w:rsid w:val="0007737D"/>
    <w:rsid w:val="00084B94"/>
    <w:rsid w:val="00084BAD"/>
    <w:rsid w:val="00086E22"/>
    <w:rsid w:val="000A1861"/>
    <w:rsid w:val="000A6EA9"/>
    <w:rsid w:val="000A6EAD"/>
    <w:rsid w:val="000A70B0"/>
    <w:rsid w:val="000B275E"/>
    <w:rsid w:val="000B3726"/>
    <w:rsid w:val="000B3C68"/>
    <w:rsid w:val="000B6457"/>
    <w:rsid w:val="000C0E50"/>
    <w:rsid w:val="000D25E6"/>
    <w:rsid w:val="000D44AA"/>
    <w:rsid w:val="000E08B3"/>
    <w:rsid w:val="000E4805"/>
    <w:rsid w:val="000F1FF9"/>
    <w:rsid w:val="000F6C62"/>
    <w:rsid w:val="00125233"/>
    <w:rsid w:val="00125D3F"/>
    <w:rsid w:val="00144F73"/>
    <w:rsid w:val="00145B5E"/>
    <w:rsid w:val="001508C9"/>
    <w:rsid w:val="00150CAB"/>
    <w:rsid w:val="00152182"/>
    <w:rsid w:val="00152BBD"/>
    <w:rsid w:val="00161D28"/>
    <w:rsid w:val="00175886"/>
    <w:rsid w:val="00176220"/>
    <w:rsid w:val="0017667B"/>
    <w:rsid w:val="00183C30"/>
    <w:rsid w:val="0019705F"/>
    <w:rsid w:val="001A08A6"/>
    <w:rsid w:val="001A1968"/>
    <w:rsid w:val="001A3B7E"/>
    <w:rsid w:val="001A7C22"/>
    <w:rsid w:val="001A7CEC"/>
    <w:rsid w:val="001B23BB"/>
    <w:rsid w:val="001B2B36"/>
    <w:rsid w:val="001B43D9"/>
    <w:rsid w:val="001B6BE5"/>
    <w:rsid w:val="001D3936"/>
    <w:rsid w:val="001F1073"/>
    <w:rsid w:val="001F3851"/>
    <w:rsid w:val="001F449C"/>
    <w:rsid w:val="00204354"/>
    <w:rsid w:val="002052BB"/>
    <w:rsid w:val="00211A6E"/>
    <w:rsid w:val="002128B3"/>
    <w:rsid w:val="0021295F"/>
    <w:rsid w:val="00215D5B"/>
    <w:rsid w:val="0021647B"/>
    <w:rsid w:val="002177F1"/>
    <w:rsid w:val="00221413"/>
    <w:rsid w:val="00222506"/>
    <w:rsid w:val="002232E1"/>
    <w:rsid w:val="002301E2"/>
    <w:rsid w:val="00231F20"/>
    <w:rsid w:val="00234830"/>
    <w:rsid w:val="00241FB2"/>
    <w:rsid w:val="002576DA"/>
    <w:rsid w:val="00257814"/>
    <w:rsid w:val="00261724"/>
    <w:rsid w:val="002749B5"/>
    <w:rsid w:val="00277897"/>
    <w:rsid w:val="00277F4A"/>
    <w:rsid w:val="002814D6"/>
    <w:rsid w:val="00285D53"/>
    <w:rsid w:val="002861B3"/>
    <w:rsid w:val="00286CD5"/>
    <w:rsid w:val="0029056B"/>
    <w:rsid w:val="00292A67"/>
    <w:rsid w:val="002C553B"/>
    <w:rsid w:val="002D21C5"/>
    <w:rsid w:val="002D47CF"/>
    <w:rsid w:val="002D50A4"/>
    <w:rsid w:val="002E16A6"/>
    <w:rsid w:val="002E2081"/>
    <w:rsid w:val="002E46D7"/>
    <w:rsid w:val="002F2406"/>
    <w:rsid w:val="00300DC9"/>
    <w:rsid w:val="00311080"/>
    <w:rsid w:val="00313577"/>
    <w:rsid w:val="00313927"/>
    <w:rsid w:val="00317D7E"/>
    <w:rsid w:val="00321BE2"/>
    <w:rsid w:val="0032795E"/>
    <w:rsid w:val="0033303D"/>
    <w:rsid w:val="0034452D"/>
    <w:rsid w:val="00376DD0"/>
    <w:rsid w:val="003803D0"/>
    <w:rsid w:val="003829BD"/>
    <w:rsid w:val="00385CCA"/>
    <w:rsid w:val="00392AE9"/>
    <w:rsid w:val="003A5CE3"/>
    <w:rsid w:val="003B34DE"/>
    <w:rsid w:val="003B36E2"/>
    <w:rsid w:val="003B431B"/>
    <w:rsid w:val="003B4F3C"/>
    <w:rsid w:val="003B6993"/>
    <w:rsid w:val="003C244D"/>
    <w:rsid w:val="003C48B3"/>
    <w:rsid w:val="003D45F9"/>
    <w:rsid w:val="003E1FC0"/>
    <w:rsid w:val="003E5338"/>
    <w:rsid w:val="003E67A6"/>
    <w:rsid w:val="004012AF"/>
    <w:rsid w:val="00402722"/>
    <w:rsid w:val="00402738"/>
    <w:rsid w:val="0040513C"/>
    <w:rsid w:val="00406FF2"/>
    <w:rsid w:val="00407B35"/>
    <w:rsid w:val="00411C18"/>
    <w:rsid w:val="00412F75"/>
    <w:rsid w:val="00413C3D"/>
    <w:rsid w:val="00420E20"/>
    <w:rsid w:val="00423C47"/>
    <w:rsid w:val="00426BE7"/>
    <w:rsid w:val="00433A43"/>
    <w:rsid w:val="00433DCE"/>
    <w:rsid w:val="00436923"/>
    <w:rsid w:val="0044314C"/>
    <w:rsid w:val="00450022"/>
    <w:rsid w:val="00466F4A"/>
    <w:rsid w:val="00492390"/>
    <w:rsid w:val="004A5D22"/>
    <w:rsid w:val="004B0B8B"/>
    <w:rsid w:val="004B2BF4"/>
    <w:rsid w:val="004C0B73"/>
    <w:rsid w:val="004C2DE3"/>
    <w:rsid w:val="004C6264"/>
    <w:rsid w:val="004C7C68"/>
    <w:rsid w:val="004D00A5"/>
    <w:rsid w:val="004D0AF0"/>
    <w:rsid w:val="004D11AB"/>
    <w:rsid w:val="004D5377"/>
    <w:rsid w:val="004E174B"/>
    <w:rsid w:val="004E71C8"/>
    <w:rsid w:val="004F19DE"/>
    <w:rsid w:val="004F256E"/>
    <w:rsid w:val="00501220"/>
    <w:rsid w:val="0050221E"/>
    <w:rsid w:val="00503787"/>
    <w:rsid w:val="00507068"/>
    <w:rsid w:val="005158D8"/>
    <w:rsid w:val="005218F4"/>
    <w:rsid w:val="005229D0"/>
    <w:rsid w:val="00526852"/>
    <w:rsid w:val="00550572"/>
    <w:rsid w:val="00557273"/>
    <w:rsid w:val="00564506"/>
    <w:rsid w:val="00565191"/>
    <w:rsid w:val="005673CC"/>
    <w:rsid w:val="0057012B"/>
    <w:rsid w:val="00570C0F"/>
    <w:rsid w:val="00573D2E"/>
    <w:rsid w:val="005763D1"/>
    <w:rsid w:val="00576F6D"/>
    <w:rsid w:val="00581632"/>
    <w:rsid w:val="0058396C"/>
    <w:rsid w:val="0058437C"/>
    <w:rsid w:val="005928FF"/>
    <w:rsid w:val="00595F60"/>
    <w:rsid w:val="00596479"/>
    <w:rsid w:val="005A4EFE"/>
    <w:rsid w:val="005A5D07"/>
    <w:rsid w:val="005A60D6"/>
    <w:rsid w:val="005B1CC8"/>
    <w:rsid w:val="005D0B1F"/>
    <w:rsid w:val="005D2732"/>
    <w:rsid w:val="005F33DA"/>
    <w:rsid w:val="00606AFE"/>
    <w:rsid w:val="00607727"/>
    <w:rsid w:val="006204E3"/>
    <w:rsid w:val="006247F1"/>
    <w:rsid w:val="00631A24"/>
    <w:rsid w:val="00634BF7"/>
    <w:rsid w:val="00637AD0"/>
    <w:rsid w:val="00650B26"/>
    <w:rsid w:val="0065311A"/>
    <w:rsid w:val="0066335E"/>
    <w:rsid w:val="00666683"/>
    <w:rsid w:val="00667E0E"/>
    <w:rsid w:val="006717DA"/>
    <w:rsid w:val="00676C9E"/>
    <w:rsid w:val="006803BF"/>
    <w:rsid w:val="00680BEA"/>
    <w:rsid w:val="006820BC"/>
    <w:rsid w:val="0068388A"/>
    <w:rsid w:val="00684C19"/>
    <w:rsid w:val="0069020F"/>
    <w:rsid w:val="00696DE7"/>
    <w:rsid w:val="0069735D"/>
    <w:rsid w:val="006A5A55"/>
    <w:rsid w:val="006A5B93"/>
    <w:rsid w:val="006B3564"/>
    <w:rsid w:val="006B40F4"/>
    <w:rsid w:val="006C00B4"/>
    <w:rsid w:val="006C055E"/>
    <w:rsid w:val="006D53FC"/>
    <w:rsid w:val="006D6AEC"/>
    <w:rsid w:val="006E2B80"/>
    <w:rsid w:val="006E2FC4"/>
    <w:rsid w:val="006E7508"/>
    <w:rsid w:val="006E78FE"/>
    <w:rsid w:val="006F6EA2"/>
    <w:rsid w:val="006F72B8"/>
    <w:rsid w:val="00701AA9"/>
    <w:rsid w:val="00711EC8"/>
    <w:rsid w:val="00714911"/>
    <w:rsid w:val="0071623E"/>
    <w:rsid w:val="00721647"/>
    <w:rsid w:val="007364B8"/>
    <w:rsid w:val="00737284"/>
    <w:rsid w:val="00745703"/>
    <w:rsid w:val="0076351F"/>
    <w:rsid w:val="00766BA8"/>
    <w:rsid w:val="00770686"/>
    <w:rsid w:val="007739DC"/>
    <w:rsid w:val="00774CED"/>
    <w:rsid w:val="00776BB1"/>
    <w:rsid w:val="00785196"/>
    <w:rsid w:val="0079167B"/>
    <w:rsid w:val="007A7656"/>
    <w:rsid w:val="007B2841"/>
    <w:rsid w:val="007B42C6"/>
    <w:rsid w:val="007B5A4F"/>
    <w:rsid w:val="007B5F08"/>
    <w:rsid w:val="007B62D3"/>
    <w:rsid w:val="007C35B6"/>
    <w:rsid w:val="007D2E44"/>
    <w:rsid w:val="007D3C08"/>
    <w:rsid w:val="007E5E9C"/>
    <w:rsid w:val="007F350D"/>
    <w:rsid w:val="0080019E"/>
    <w:rsid w:val="00831FA9"/>
    <w:rsid w:val="00835C59"/>
    <w:rsid w:val="008361A1"/>
    <w:rsid w:val="00837AFC"/>
    <w:rsid w:val="00842CB7"/>
    <w:rsid w:val="008471E6"/>
    <w:rsid w:val="008537C4"/>
    <w:rsid w:val="008552ED"/>
    <w:rsid w:val="00855817"/>
    <w:rsid w:val="00864812"/>
    <w:rsid w:val="008649CD"/>
    <w:rsid w:val="00867553"/>
    <w:rsid w:val="00867B7B"/>
    <w:rsid w:val="00870353"/>
    <w:rsid w:val="00873090"/>
    <w:rsid w:val="0088283E"/>
    <w:rsid w:val="00886EEC"/>
    <w:rsid w:val="00891CE1"/>
    <w:rsid w:val="008A0AFC"/>
    <w:rsid w:val="008A3E2E"/>
    <w:rsid w:val="008B012C"/>
    <w:rsid w:val="008B4E5D"/>
    <w:rsid w:val="008C20C3"/>
    <w:rsid w:val="008C51EF"/>
    <w:rsid w:val="008C5BE1"/>
    <w:rsid w:val="008D25F7"/>
    <w:rsid w:val="008D2D92"/>
    <w:rsid w:val="008E1AD0"/>
    <w:rsid w:val="008F236D"/>
    <w:rsid w:val="008F2A18"/>
    <w:rsid w:val="008F3E5D"/>
    <w:rsid w:val="009143F5"/>
    <w:rsid w:val="0092133C"/>
    <w:rsid w:val="0092763B"/>
    <w:rsid w:val="00930FD6"/>
    <w:rsid w:val="00940AD6"/>
    <w:rsid w:val="0094129E"/>
    <w:rsid w:val="00941E1D"/>
    <w:rsid w:val="00947C6F"/>
    <w:rsid w:val="00950271"/>
    <w:rsid w:val="00953930"/>
    <w:rsid w:val="00954D1E"/>
    <w:rsid w:val="009557FC"/>
    <w:rsid w:val="00960D69"/>
    <w:rsid w:val="009668BA"/>
    <w:rsid w:val="00970CE5"/>
    <w:rsid w:val="00974646"/>
    <w:rsid w:val="00991FAA"/>
    <w:rsid w:val="009926CA"/>
    <w:rsid w:val="00993753"/>
    <w:rsid w:val="0099628B"/>
    <w:rsid w:val="00996B4A"/>
    <w:rsid w:val="009A589D"/>
    <w:rsid w:val="009A75E7"/>
    <w:rsid w:val="009A7DCA"/>
    <w:rsid w:val="009B12CC"/>
    <w:rsid w:val="009B6A76"/>
    <w:rsid w:val="009C1B08"/>
    <w:rsid w:val="009C1F92"/>
    <w:rsid w:val="009D05CD"/>
    <w:rsid w:val="009D13BC"/>
    <w:rsid w:val="009D5F06"/>
    <w:rsid w:val="009D6378"/>
    <w:rsid w:val="009E1A67"/>
    <w:rsid w:val="009E55C6"/>
    <w:rsid w:val="009F2023"/>
    <w:rsid w:val="009F3971"/>
    <w:rsid w:val="009F3FC8"/>
    <w:rsid w:val="009F56D0"/>
    <w:rsid w:val="009F5F20"/>
    <w:rsid w:val="00A10C95"/>
    <w:rsid w:val="00A148F7"/>
    <w:rsid w:val="00A27DCD"/>
    <w:rsid w:val="00A328DF"/>
    <w:rsid w:val="00A36A58"/>
    <w:rsid w:val="00A422BF"/>
    <w:rsid w:val="00A514EB"/>
    <w:rsid w:val="00A6441E"/>
    <w:rsid w:val="00A65670"/>
    <w:rsid w:val="00A67AF1"/>
    <w:rsid w:val="00A71398"/>
    <w:rsid w:val="00A7469F"/>
    <w:rsid w:val="00A7498C"/>
    <w:rsid w:val="00A74B96"/>
    <w:rsid w:val="00A921E5"/>
    <w:rsid w:val="00A96EBF"/>
    <w:rsid w:val="00A97077"/>
    <w:rsid w:val="00AA1CB6"/>
    <w:rsid w:val="00AA328F"/>
    <w:rsid w:val="00AA62C2"/>
    <w:rsid w:val="00AA656F"/>
    <w:rsid w:val="00AC356D"/>
    <w:rsid w:val="00AC53DF"/>
    <w:rsid w:val="00AC7742"/>
    <w:rsid w:val="00AD531C"/>
    <w:rsid w:val="00AE12C9"/>
    <w:rsid w:val="00AE5698"/>
    <w:rsid w:val="00B02C91"/>
    <w:rsid w:val="00B0552F"/>
    <w:rsid w:val="00B06713"/>
    <w:rsid w:val="00B10870"/>
    <w:rsid w:val="00B1200A"/>
    <w:rsid w:val="00B145E5"/>
    <w:rsid w:val="00B146F5"/>
    <w:rsid w:val="00B15827"/>
    <w:rsid w:val="00B15E77"/>
    <w:rsid w:val="00B16D31"/>
    <w:rsid w:val="00B26A9A"/>
    <w:rsid w:val="00B32A82"/>
    <w:rsid w:val="00B33AB6"/>
    <w:rsid w:val="00B363BD"/>
    <w:rsid w:val="00B43545"/>
    <w:rsid w:val="00B47C4E"/>
    <w:rsid w:val="00B52A5A"/>
    <w:rsid w:val="00B54FF7"/>
    <w:rsid w:val="00B552C3"/>
    <w:rsid w:val="00B70FFF"/>
    <w:rsid w:val="00B77576"/>
    <w:rsid w:val="00B83208"/>
    <w:rsid w:val="00B85491"/>
    <w:rsid w:val="00B971BD"/>
    <w:rsid w:val="00BA052C"/>
    <w:rsid w:val="00BB0375"/>
    <w:rsid w:val="00BB58A1"/>
    <w:rsid w:val="00BC3145"/>
    <w:rsid w:val="00BC63FD"/>
    <w:rsid w:val="00BD1BD9"/>
    <w:rsid w:val="00BD2D69"/>
    <w:rsid w:val="00BD2DCF"/>
    <w:rsid w:val="00BE5A43"/>
    <w:rsid w:val="00BE5D21"/>
    <w:rsid w:val="00BE65D8"/>
    <w:rsid w:val="00BE70CF"/>
    <w:rsid w:val="00BF3809"/>
    <w:rsid w:val="00BF539B"/>
    <w:rsid w:val="00BF6177"/>
    <w:rsid w:val="00C01E18"/>
    <w:rsid w:val="00C02468"/>
    <w:rsid w:val="00C0488C"/>
    <w:rsid w:val="00C10FDF"/>
    <w:rsid w:val="00C11707"/>
    <w:rsid w:val="00C30B45"/>
    <w:rsid w:val="00C31CD8"/>
    <w:rsid w:val="00C5490A"/>
    <w:rsid w:val="00C55B8A"/>
    <w:rsid w:val="00C576AC"/>
    <w:rsid w:val="00C639AD"/>
    <w:rsid w:val="00C63C63"/>
    <w:rsid w:val="00C65114"/>
    <w:rsid w:val="00C65706"/>
    <w:rsid w:val="00C70F06"/>
    <w:rsid w:val="00C772E7"/>
    <w:rsid w:val="00C9127A"/>
    <w:rsid w:val="00C927C8"/>
    <w:rsid w:val="00CA044C"/>
    <w:rsid w:val="00CA1CCA"/>
    <w:rsid w:val="00CB4970"/>
    <w:rsid w:val="00CB663C"/>
    <w:rsid w:val="00CC4355"/>
    <w:rsid w:val="00CD0702"/>
    <w:rsid w:val="00CD206A"/>
    <w:rsid w:val="00CD6190"/>
    <w:rsid w:val="00CD6D50"/>
    <w:rsid w:val="00CD7C13"/>
    <w:rsid w:val="00CF275E"/>
    <w:rsid w:val="00CF2B2D"/>
    <w:rsid w:val="00CF662E"/>
    <w:rsid w:val="00CF6E72"/>
    <w:rsid w:val="00D000A1"/>
    <w:rsid w:val="00D02E04"/>
    <w:rsid w:val="00D058D5"/>
    <w:rsid w:val="00D32195"/>
    <w:rsid w:val="00D519A6"/>
    <w:rsid w:val="00D54390"/>
    <w:rsid w:val="00D549C4"/>
    <w:rsid w:val="00D67F22"/>
    <w:rsid w:val="00D705CE"/>
    <w:rsid w:val="00D76124"/>
    <w:rsid w:val="00DA0A9A"/>
    <w:rsid w:val="00DA6401"/>
    <w:rsid w:val="00DA6AD7"/>
    <w:rsid w:val="00DB057A"/>
    <w:rsid w:val="00DB3420"/>
    <w:rsid w:val="00DB7AD6"/>
    <w:rsid w:val="00DD2E85"/>
    <w:rsid w:val="00DD46E1"/>
    <w:rsid w:val="00DE3538"/>
    <w:rsid w:val="00DF2A93"/>
    <w:rsid w:val="00DF4668"/>
    <w:rsid w:val="00E00355"/>
    <w:rsid w:val="00E26635"/>
    <w:rsid w:val="00E33FAE"/>
    <w:rsid w:val="00E42537"/>
    <w:rsid w:val="00E42BD7"/>
    <w:rsid w:val="00E502C7"/>
    <w:rsid w:val="00E70933"/>
    <w:rsid w:val="00E7552C"/>
    <w:rsid w:val="00E770EC"/>
    <w:rsid w:val="00E832AA"/>
    <w:rsid w:val="00E931A2"/>
    <w:rsid w:val="00EA1153"/>
    <w:rsid w:val="00EA3427"/>
    <w:rsid w:val="00EB0AD6"/>
    <w:rsid w:val="00EB4070"/>
    <w:rsid w:val="00EC18A7"/>
    <w:rsid w:val="00EC2B58"/>
    <w:rsid w:val="00ED2ECF"/>
    <w:rsid w:val="00ED65DC"/>
    <w:rsid w:val="00ED6892"/>
    <w:rsid w:val="00EE18D2"/>
    <w:rsid w:val="00EE4387"/>
    <w:rsid w:val="00EE5EFD"/>
    <w:rsid w:val="00F066F9"/>
    <w:rsid w:val="00F143BD"/>
    <w:rsid w:val="00F21C89"/>
    <w:rsid w:val="00F23317"/>
    <w:rsid w:val="00F23881"/>
    <w:rsid w:val="00F25B4D"/>
    <w:rsid w:val="00F343FA"/>
    <w:rsid w:val="00F34C2B"/>
    <w:rsid w:val="00F44A84"/>
    <w:rsid w:val="00F47287"/>
    <w:rsid w:val="00F51880"/>
    <w:rsid w:val="00F61010"/>
    <w:rsid w:val="00F67578"/>
    <w:rsid w:val="00F71586"/>
    <w:rsid w:val="00F737B1"/>
    <w:rsid w:val="00F76AF1"/>
    <w:rsid w:val="00F84460"/>
    <w:rsid w:val="00F90605"/>
    <w:rsid w:val="00F96DF8"/>
    <w:rsid w:val="00FB1FEB"/>
    <w:rsid w:val="00FB4443"/>
    <w:rsid w:val="00FC2DDC"/>
    <w:rsid w:val="00FC59E9"/>
    <w:rsid w:val="00FC68F5"/>
    <w:rsid w:val="00FD3591"/>
    <w:rsid w:val="00FD4834"/>
    <w:rsid w:val="00FE4F06"/>
    <w:rsid w:val="00FF1C50"/>
    <w:rsid w:val="00FF2673"/>
    <w:rsid w:val="00FF6320"/>
    <w:rsid w:val="00FF758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56423"/>
  <w15:docId w15:val="{BFC70FE9-94AB-4754-8D43-E0C5949E8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42CB7"/>
    <w:pPr>
      <w:keepNext/>
      <w:keepLines/>
      <w:spacing w:before="240" w:after="0"/>
      <w:jc w:val="center"/>
      <w:outlineLvl w:val="0"/>
    </w:pPr>
    <w:rPr>
      <w:rFonts w:ascii="Times New Roman" w:eastAsiaTheme="majorEastAsia" w:hAnsi="Times New Roman" w:cstheme="majorBidi"/>
      <w:b/>
      <w:sz w:val="28"/>
      <w:szCs w:val="32"/>
      <w:u w:val="single"/>
    </w:rPr>
  </w:style>
  <w:style w:type="paragraph" w:styleId="Heading2">
    <w:name w:val="heading 2"/>
    <w:basedOn w:val="Normal"/>
    <w:next w:val="Normal"/>
    <w:link w:val="Heading2Char"/>
    <w:uiPriority w:val="9"/>
    <w:unhideWhenUsed/>
    <w:qFormat/>
    <w:rsid w:val="00842CB7"/>
    <w:pPr>
      <w:keepNext/>
      <w:keepLines/>
      <w:spacing w:before="40" w:after="0"/>
      <w:jc w:val="center"/>
      <w:outlineLvl w:val="1"/>
    </w:pPr>
    <w:rPr>
      <w:rFonts w:asciiTheme="majorBidi" w:eastAsiaTheme="majorEastAsia" w:hAnsiTheme="majorBidi" w:cstheme="majorBidi"/>
      <w:b/>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41">
    <w:name w:val="Plain Table 41"/>
    <w:basedOn w:val="TableNormal"/>
    <w:uiPriority w:val="44"/>
    <w:rsid w:val="00C70F0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420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2">
    <w:name w:val="Plain Table 42"/>
    <w:basedOn w:val="TableNormal"/>
    <w:uiPriority w:val="44"/>
    <w:rsid w:val="001A3B7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086E22"/>
    <w:rPr>
      <w:sz w:val="16"/>
      <w:szCs w:val="16"/>
    </w:rPr>
  </w:style>
  <w:style w:type="paragraph" w:styleId="CommentText">
    <w:name w:val="annotation text"/>
    <w:basedOn w:val="Normal"/>
    <w:link w:val="CommentTextChar"/>
    <w:uiPriority w:val="99"/>
    <w:semiHidden/>
    <w:unhideWhenUsed/>
    <w:rsid w:val="00086E22"/>
    <w:pPr>
      <w:spacing w:line="240" w:lineRule="auto"/>
    </w:pPr>
    <w:rPr>
      <w:sz w:val="20"/>
      <w:szCs w:val="20"/>
    </w:rPr>
  </w:style>
  <w:style w:type="character" w:customStyle="1" w:styleId="CommentTextChar">
    <w:name w:val="Comment Text Char"/>
    <w:basedOn w:val="DefaultParagraphFont"/>
    <w:link w:val="CommentText"/>
    <w:uiPriority w:val="99"/>
    <w:semiHidden/>
    <w:rsid w:val="00086E22"/>
    <w:rPr>
      <w:sz w:val="20"/>
      <w:szCs w:val="20"/>
    </w:rPr>
  </w:style>
  <w:style w:type="paragraph" w:styleId="BalloonText">
    <w:name w:val="Balloon Text"/>
    <w:basedOn w:val="Normal"/>
    <w:link w:val="BalloonTextChar"/>
    <w:uiPriority w:val="99"/>
    <w:semiHidden/>
    <w:unhideWhenUsed/>
    <w:rsid w:val="00086E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E2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86E22"/>
    <w:rPr>
      <w:b/>
      <w:bCs/>
    </w:rPr>
  </w:style>
  <w:style w:type="character" w:customStyle="1" w:styleId="CommentSubjectChar">
    <w:name w:val="Comment Subject Char"/>
    <w:basedOn w:val="CommentTextChar"/>
    <w:link w:val="CommentSubject"/>
    <w:uiPriority w:val="99"/>
    <w:semiHidden/>
    <w:rsid w:val="00086E22"/>
    <w:rPr>
      <w:b/>
      <w:bCs/>
      <w:sz w:val="20"/>
      <w:szCs w:val="20"/>
    </w:rPr>
  </w:style>
  <w:style w:type="character" w:styleId="PlaceholderText">
    <w:name w:val="Placeholder Text"/>
    <w:basedOn w:val="DefaultParagraphFont"/>
    <w:uiPriority w:val="99"/>
    <w:semiHidden/>
    <w:rsid w:val="005F33DA"/>
    <w:rPr>
      <w:color w:val="808080"/>
    </w:rPr>
  </w:style>
  <w:style w:type="paragraph" w:styleId="Header">
    <w:name w:val="header"/>
    <w:basedOn w:val="Normal"/>
    <w:link w:val="HeaderChar"/>
    <w:uiPriority w:val="99"/>
    <w:unhideWhenUsed/>
    <w:rsid w:val="000000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05F"/>
  </w:style>
  <w:style w:type="paragraph" w:styleId="Footer">
    <w:name w:val="footer"/>
    <w:basedOn w:val="Normal"/>
    <w:link w:val="FooterChar"/>
    <w:uiPriority w:val="99"/>
    <w:unhideWhenUsed/>
    <w:rsid w:val="000000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05F"/>
  </w:style>
  <w:style w:type="paragraph" w:styleId="Revision">
    <w:name w:val="Revision"/>
    <w:hidden/>
    <w:uiPriority w:val="99"/>
    <w:semiHidden/>
    <w:rsid w:val="00D058D5"/>
    <w:pPr>
      <w:spacing w:after="0" w:line="240" w:lineRule="auto"/>
    </w:pPr>
  </w:style>
  <w:style w:type="table" w:styleId="PlainTable4">
    <w:name w:val="Plain Table 4"/>
    <w:basedOn w:val="TableNormal"/>
    <w:uiPriority w:val="44"/>
    <w:rsid w:val="008C51E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LineNumber">
    <w:name w:val="line number"/>
    <w:basedOn w:val="DefaultParagraphFont"/>
    <w:uiPriority w:val="99"/>
    <w:semiHidden/>
    <w:unhideWhenUsed/>
    <w:rsid w:val="007364B8"/>
  </w:style>
  <w:style w:type="character" w:customStyle="1" w:styleId="Heading2Char">
    <w:name w:val="Heading 2 Char"/>
    <w:basedOn w:val="DefaultParagraphFont"/>
    <w:link w:val="Heading2"/>
    <w:uiPriority w:val="9"/>
    <w:rsid w:val="00842CB7"/>
    <w:rPr>
      <w:rFonts w:asciiTheme="majorBidi" w:eastAsiaTheme="majorEastAsia" w:hAnsiTheme="majorBidi" w:cstheme="majorBidi"/>
      <w:b/>
      <w:sz w:val="26"/>
      <w:szCs w:val="26"/>
      <w:u w:val="single"/>
    </w:rPr>
  </w:style>
  <w:style w:type="character" w:customStyle="1" w:styleId="Heading1Char">
    <w:name w:val="Heading 1 Char"/>
    <w:basedOn w:val="DefaultParagraphFont"/>
    <w:link w:val="Heading1"/>
    <w:uiPriority w:val="9"/>
    <w:rsid w:val="00842CB7"/>
    <w:rPr>
      <w:rFonts w:ascii="Times New Roman" w:eastAsiaTheme="majorEastAsia" w:hAnsi="Times New Roman" w:cstheme="majorBidi"/>
      <w:b/>
      <w:sz w:val="28"/>
      <w:szCs w:val="32"/>
      <w:u w:val="single"/>
    </w:rPr>
  </w:style>
  <w:style w:type="paragraph" w:styleId="NormalWeb">
    <w:name w:val="Normal (Web)"/>
    <w:basedOn w:val="Normal"/>
    <w:uiPriority w:val="99"/>
    <w:semiHidden/>
    <w:unhideWhenUsed/>
    <w:rsid w:val="00EB0AD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B0A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820137">
      <w:bodyDiv w:val="1"/>
      <w:marLeft w:val="0"/>
      <w:marRight w:val="0"/>
      <w:marTop w:val="0"/>
      <w:marBottom w:val="0"/>
      <w:divBdr>
        <w:top w:val="none" w:sz="0" w:space="0" w:color="auto"/>
        <w:left w:val="none" w:sz="0" w:space="0" w:color="auto"/>
        <w:bottom w:val="none" w:sz="0" w:space="0" w:color="auto"/>
        <w:right w:val="none" w:sz="0" w:space="0" w:color="auto"/>
      </w:divBdr>
    </w:div>
    <w:div w:id="271669062">
      <w:bodyDiv w:val="1"/>
      <w:marLeft w:val="0"/>
      <w:marRight w:val="0"/>
      <w:marTop w:val="0"/>
      <w:marBottom w:val="0"/>
      <w:divBdr>
        <w:top w:val="none" w:sz="0" w:space="0" w:color="auto"/>
        <w:left w:val="none" w:sz="0" w:space="0" w:color="auto"/>
        <w:bottom w:val="none" w:sz="0" w:space="0" w:color="auto"/>
        <w:right w:val="none" w:sz="0" w:space="0" w:color="auto"/>
      </w:divBdr>
    </w:div>
    <w:div w:id="350380073">
      <w:bodyDiv w:val="1"/>
      <w:marLeft w:val="0"/>
      <w:marRight w:val="0"/>
      <w:marTop w:val="0"/>
      <w:marBottom w:val="0"/>
      <w:divBdr>
        <w:top w:val="none" w:sz="0" w:space="0" w:color="auto"/>
        <w:left w:val="none" w:sz="0" w:space="0" w:color="auto"/>
        <w:bottom w:val="none" w:sz="0" w:space="0" w:color="auto"/>
        <w:right w:val="none" w:sz="0" w:space="0" w:color="auto"/>
      </w:divBdr>
    </w:div>
    <w:div w:id="423300950">
      <w:bodyDiv w:val="1"/>
      <w:marLeft w:val="0"/>
      <w:marRight w:val="0"/>
      <w:marTop w:val="0"/>
      <w:marBottom w:val="0"/>
      <w:divBdr>
        <w:top w:val="none" w:sz="0" w:space="0" w:color="auto"/>
        <w:left w:val="none" w:sz="0" w:space="0" w:color="auto"/>
        <w:bottom w:val="none" w:sz="0" w:space="0" w:color="auto"/>
        <w:right w:val="none" w:sz="0" w:space="0" w:color="auto"/>
      </w:divBdr>
    </w:div>
    <w:div w:id="661390552">
      <w:bodyDiv w:val="1"/>
      <w:marLeft w:val="0"/>
      <w:marRight w:val="0"/>
      <w:marTop w:val="0"/>
      <w:marBottom w:val="0"/>
      <w:divBdr>
        <w:top w:val="none" w:sz="0" w:space="0" w:color="auto"/>
        <w:left w:val="none" w:sz="0" w:space="0" w:color="auto"/>
        <w:bottom w:val="none" w:sz="0" w:space="0" w:color="auto"/>
        <w:right w:val="none" w:sz="0" w:space="0" w:color="auto"/>
      </w:divBdr>
    </w:div>
    <w:div w:id="1249539303">
      <w:bodyDiv w:val="1"/>
      <w:marLeft w:val="0"/>
      <w:marRight w:val="0"/>
      <w:marTop w:val="0"/>
      <w:marBottom w:val="0"/>
      <w:divBdr>
        <w:top w:val="none" w:sz="0" w:space="0" w:color="auto"/>
        <w:left w:val="none" w:sz="0" w:space="0" w:color="auto"/>
        <w:bottom w:val="none" w:sz="0" w:space="0" w:color="auto"/>
        <w:right w:val="none" w:sz="0" w:space="0" w:color="auto"/>
      </w:divBdr>
    </w:div>
    <w:div w:id="1251742248">
      <w:bodyDiv w:val="1"/>
      <w:marLeft w:val="0"/>
      <w:marRight w:val="0"/>
      <w:marTop w:val="0"/>
      <w:marBottom w:val="0"/>
      <w:divBdr>
        <w:top w:val="none" w:sz="0" w:space="0" w:color="auto"/>
        <w:left w:val="none" w:sz="0" w:space="0" w:color="auto"/>
        <w:bottom w:val="none" w:sz="0" w:space="0" w:color="auto"/>
        <w:right w:val="none" w:sz="0" w:space="0" w:color="auto"/>
      </w:divBdr>
    </w:div>
    <w:div w:id="1611159892">
      <w:bodyDiv w:val="1"/>
      <w:marLeft w:val="0"/>
      <w:marRight w:val="0"/>
      <w:marTop w:val="0"/>
      <w:marBottom w:val="0"/>
      <w:divBdr>
        <w:top w:val="none" w:sz="0" w:space="0" w:color="auto"/>
        <w:left w:val="none" w:sz="0" w:space="0" w:color="auto"/>
        <w:bottom w:val="none" w:sz="0" w:space="0" w:color="auto"/>
        <w:right w:val="none" w:sz="0" w:space="0" w:color="auto"/>
      </w:divBdr>
    </w:div>
    <w:div w:id="1655331700">
      <w:bodyDiv w:val="1"/>
      <w:marLeft w:val="0"/>
      <w:marRight w:val="0"/>
      <w:marTop w:val="0"/>
      <w:marBottom w:val="0"/>
      <w:divBdr>
        <w:top w:val="none" w:sz="0" w:space="0" w:color="auto"/>
        <w:left w:val="none" w:sz="0" w:space="0" w:color="auto"/>
        <w:bottom w:val="none" w:sz="0" w:space="0" w:color="auto"/>
        <w:right w:val="none" w:sz="0" w:space="0" w:color="auto"/>
      </w:divBdr>
    </w:div>
    <w:div w:id="1666664015">
      <w:bodyDiv w:val="1"/>
      <w:marLeft w:val="0"/>
      <w:marRight w:val="0"/>
      <w:marTop w:val="0"/>
      <w:marBottom w:val="0"/>
      <w:divBdr>
        <w:top w:val="none" w:sz="0" w:space="0" w:color="auto"/>
        <w:left w:val="none" w:sz="0" w:space="0" w:color="auto"/>
        <w:bottom w:val="none" w:sz="0" w:space="0" w:color="auto"/>
        <w:right w:val="none" w:sz="0" w:space="0" w:color="auto"/>
      </w:divBdr>
      <w:divsChild>
        <w:div w:id="635379763">
          <w:marLeft w:val="0"/>
          <w:marRight w:val="0"/>
          <w:marTop w:val="0"/>
          <w:marBottom w:val="0"/>
          <w:divBdr>
            <w:top w:val="none" w:sz="0" w:space="0" w:color="auto"/>
            <w:left w:val="none" w:sz="0" w:space="0" w:color="auto"/>
            <w:bottom w:val="none" w:sz="0" w:space="0" w:color="auto"/>
            <w:right w:val="none" w:sz="0" w:space="0" w:color="auto"/>
          </w:divBdr>
        </w:div>
      </w:divsChild>
    </w:div>
    <w:div w:id="1804037097">
      <w:bodyDiv w:val="1"/>
      <w:marLeft w:val="0"/>
      <w:marRight w:val="0"/>
      <w:marTop w:val="0"/>
      <w:marBottom w:val="0"/>
      <w:divBdr>
        <w:top w:val="none" w:sz="0" w:space="0" w:color="auto"/>
        <w:left w:val="none" w:sz="0" w:space="0" w:color="auto"/>
        <w:bottom w:val="none" w:sz="0" w:space="0" w:color="auto"/>
        <w:right w:val="none" w:sz="0" w:space="0" w:color="auto"/>
      </w:divBdr>
    </w:div>
    <w:div w:id="1862477660">
      <w:bodyDiv w:val="1"/>
      <w:marLeft w:val="0"/>
      <w:marRight w:val="0"/>
      <w:marTop w:val="0"/>
      <w:marBottom w:val="0"/>
      <w:divBdr>
        <w:top w:val="none" w:sz="0" w:space="0" w:color="auto"/>
        <w:left w:val="none" w:sz="0" w:space="0" w:color="auto"/>
        <w:bottom w:val="none" w:sz="0" w:space="0" w:color="auto"/>
        <w:right w:val="none" w:sz="0" w:space="0" w:color="auto"/>
      </w:divBdr>
    </w:div>
    <w:div w:id="189065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ciencedirect.com/science/article/pii/S027795361630482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421A8-2406-4AD4-ADDF-734B1929E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26</Pages>
  <Words>47624</Words>
  <Characters>271459</Characters>
  <Application>Microsoft Office Word</Application>
  <DocSecurity>0</DocSecurity>
  <Lines>2262</Lines>
  <Paragraphs>636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318447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Wilding</dc:creator>
  <cp:keywords/>
  <dc:description/>
  <cp:lastModifiedBy>Anon</cp:lastModifiedBy>
  <cp:revision>3</cp:revision>
  <cp:lastPrinted>2016-05-27T09:49:00Z</cp:lastPrinted>
  <dcterms:created xsi:type="dcterms:W3CDTF">2017-06-30T16:04:00Z</dcterms:created>
  <dcterms:modified xsi:type="dcterms:W3CDTF">2017-06-30T16:30:00Z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http://www.zotero.org/styles/population-space-and-place</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http://www.zotero.org/styles/environment-and-planning-a</vt:lpwstr>
  </property>
  <property fmtid="{D5CDD505-2E9C-101B-9397-08002B2CF9AE}" pid="11" name="Mendeley Recent Style Name 3_1">
    <vt:lpwstr>Environment and Planning A</vt:lpwstr>
  </property>
  <property fmtid="{D5CDD505-2E9C-101B-9397-08002B2CF9AE}" pid="12" name="Mendeley Recent Style Id 4_1">
    <vt:lpwstr>http://www.zotero.org/styles/ieee</vt:lpwstr>
  </property>
  <property fmtid="{D5CDD505-2E9C-101B-9397-08002B2CF9AE}" pid="13" name="Mendeley Recent Style Name 4_1">
    <vt:lpwstr>IEEE</vt:lpwstr>
  </property>
  <property fmtid="{D5CDD505-2E9C-101B-9397-08002B2CF9AE}" pid="14" name="Mendeley Recent Style Id 5_1">
    <vt:lpwstr>http://www.zotero.org/styles/modern-humanities-research-association</vt:lpwstr>
  </property>
  <property fmtid="{D5CDD505-2E9C-101B-9397-08002B2CF9AE}" pid="15" name="Mendeley Recent Style Name 5_1">
    <vt:lpwstr>Modern Humanities Research Association 3rd edition (note with bibliography)</vt:lpwstr>
  </property>
  <property fmtid="{D5CDD505-2E9C-101B-9397-08002B2CF9AE}" pid="16" name="Mendeley Recent Style Id 6_1">
    <vt:lpwstr>http://www.zotero.org/styles/modern-language-association</vt:lpwstr>
  </property>
  <property fmtid="{D5CDD505-2E9C-101B-9397-08002B2CF9AE}" pid="17" name="Mendeley Recent Style Name 6_1">
    <vt:lpwstr>Modern Language Association 7th edition</vt:lpwstr>
  </property>
  <property fmtid="{D5CDD505-2E9C-101B-9397-08002B2CF9AE}" pid="18" name="Mendeley Recent Style Id 7_1">
    <vt:lpwstr>http://www.zotero.org/styles/nature</vt:lpwstr>
  </property>
  <property fmtid="{D5CDD505-2E9C-101B-9397-08002B2CF9AE}" pid="19" name="Mendeley Recent Style Name 7_1">
    <vt:lpwstr>Nature</vt:lpwstr>
  </property>
  <property fmtid="{D5CDD505-2E9C-101B-9397-08002B2CF9AE}" pid="20" name="Mendeley Recent Style Id 8_1">
    <vt:lpwstr>http://www.zotero.org/styles/population-space-and-place</vt:lpwstr>
  </property>
  <property fmtid="{D5CDD505-2E9C-101B-9397-08002B2CF9AE}" pid="21" name="Mendeley Recent Style Name 8_1">
    <vt:lpwstr>Population, Space and Place</vt:lpwstr>
  </property>
  <property fmtid="{D5CDD505-2E9C-101B-9397-08002B2CF9AE}" pid="22" name="Mendeley Recent Style Id 9_1">
    <vt:lpwstr>http://www.zotero.org/styles/social-science-and-medicine</vt:lpwstr>
  </property>
  <property fmtid="{D5CDD505-2E9C-101B-9397-08002B2CF9AE}" pid="23" name="Mendeley Recent Style Name 9_1">
    <vt:lpwstr>Social Science &amp; Medicine</vt:lpwstr>
  </property>
  <property fmtid="{D5CDD505-2E9C-101B-9397-08002B2CF9AE}" pid="24" name="_AdHocReviewCycleID">
    <vt:i4>773722944</vt:i4>
  </property>
  <property fmtid="{D5CDD505-2E9C-101B-9397-08002B2CF9AE}" pid="25" name="_NewReviewCycle">
    <vt:lpwstr/>
  </property>
  <property fmtid="{D5CDD505-2E9C-101B-9397-08002B2CF9AE}" pid="26" name="_EmailSubject">
    <vt:lpwstr>Sam distance paper revisions</vt:lpwstr>
  </property>
  <property fmtid="{D5CDD505-2E9C-101B-9397-08002B2CF9AE}" pid="27" name="_AuthorEmail">
    <vt:lpwstr>D.J.Martin@soton.ac.uk</vt:lpwstr>
  </property>
  <property fmtid="{D5CDD505-2E9C-101B-9397-08002B2CF9AE}" pid="28" name="_AuthorEmailDisplayName">
    <vt:lpwstr>Martin D.J.</vt:lpwstr>
  </property>
  <property fmtid="{D5CDD505-2E9C-101B-9397-08002B2CF9AE}" pid="29" name="_ReviewingToolsShownOnce">
    <vt:lpwstr/>
  </property>
  <property fmtid="{D5CDD505-2E9C-101B-9397-08002B2CF9AE}" pid="30" name="Mendeley Unique User Id_1">
    <vt:lpwstr>0323cd32-6d54-3ebb-9003-69b394f0db98</vt:lpwstr>
  </property>
</Properties>
</file>