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3796B" w14:textId="77777777" w:rsidR="00952ED6" w:rsidRPr="00C03459" w:rsidRDefault="00952ED6" w:rsidP="00F413B4">
      <w:pPr>
        <w:shd w:val="clear" w:color="auto" w:fill="FFFFFF"/>
        <w:rPr>
          <w:rFonts w:ascii="Times New Roman" w:hAnsi="Times New Roman" w:cs="Times New Roman"/>
        </w:rPr>
      </w:pPr>
      <w:bookmarkStart w:id="0" w:name="OLE_LINK1"/>
      <w:bookmarkStart w:id="1" w:name="OLE_LINK2"/>
      <w:bookmarkStart w:id="2" w:name="OLE_LINK3"/>
      <w:bookmarkStart w:id="3" w:name="OLE_LINK4"/>
      <w:r w:rsidRPr="00C03459">
        <w:rPr>
          <w:rFonts w:ascii="Times New Roman" w:hAnsi="Times New Roman" w:cs="Times New Roman"/>
        </w:rPr>
        <w:t>Number of words in abstract: 2</w:t>
      </w:r>
      <w:r>
        <w:rPr>
          <w:rFonts w:ascii="Times New Roman" w:hAnsi="Times New Roman" w:cs="Times New Roman"/>
        </w:rPr>
        <w:t>40</w:t>
      </w:r>
    </w:p>
    <w:p w14:paraId="3905A968" w14:textId="77777777" w:rsidR="00952ED6" w:rsidRPr="00C03459" w:rsidRDefault="009A3718" w:rsidP="00F413B4">
      <w:pPr>
        <w:shd w:val="clear" w:color="auto" w:fill="FFFFFF"/>
        <w:rPr>
          <w:rFonts w:ascii="Times New Roman" w:hAnsi="Times New Roman" w:cs="Times New Roman"/>
        </w:rPr>
      </w:pPr>
      <w:r>
        <w:rPr>
          <w:rFonts w:ascii="Times New Roman" w:hAnsi="Times New Roman" w:cs="Times New Roman"/>
        </w:rPr>
        <w:t>Number of words: 2859</w:t>
      </w:r>
    </w:p>
    <w:p w14:paraId="2940C2B7" w14:textId="77777777" w:rsidR="00952ED6" w:rsidRPr="00C03459" w:rsidRDefault="00952ED6" w:rsidP="00F413B4">
      <w:pPr>
        <w:shd w:val="clear" w:color="auto" w:fill="FFFFFF"/>
        <w:rPr>
          <w:rFonts w:ascii="Times New Roman" w:hAnsi="Times New Roman" w:cs="Times New Roman"/>
        </w:rPr>
      </w:pPr>
      <w:r>
        <w:rPr>
          <w:rFonts w:ascii="Times New Roman" w:hAnsi="Times New Roman" w:cs="Times New Roman"/>
        </w:rPr>
        <w:t>Number of Tables: 4</w:t>
      </w:r>
    </w:p>
    <w:p w14:paraId="347AA858" w14:textId="77777777" w:rsidR="00952ED6" w:rsidRDefault="00952ED6" w:rsidP="0024666A">
      <w:pPr>
        <w:shd w:val="clear" w:color="auto" w:fill="FFFFFF"/>
        <w:rPr>
          <w:rFonts w:ascii="Times New Roman" w:hAnsi="Times New Roman" w:cs="Times New Roman"/>
        </w:rPr>
      </w:pPr>
      <w:r w:rsidRPr="00C03459">
        <w:rPr>
          <w:rFonts w:ascii="Times New Roman" w:hAnsi="Times New Roman" w:cs="Times New Roman"/>
        </w:rPr>
        <w:t xml:space="preserve">Number of supplementary materials: </w:t>
      </w:r>
      <w:r>
        <w:rPr>
          <w:rFonts w:ascii="Times New Roman" w:hAnsi="Times New Roman" w:cs="Times New Roman"/>
        </w:rPr>
        <w:t>1 Figure</w:t>
      </w:r>
      <w:r w:rsidRPr="00C03459">
        <w:rPr>
          <w:rFonts w:ascii="Times New Roman" w:hAnsi="Times New Roman" w:cs="Times New Roman"/>
        </w:rPr>
        <w:t xml:space="preserve"> in 1 document</w:t>
      </w:r>
    </w:p>
    <w:p w14:paraId="609904D8" w14:textId="77777777" w:rsidR="00952ED6" w:rsidRPr="0024666A" w:rsidRDefault="00952ED6" w:rsidP="0024666A">
      <w:pPr>
        <w:shd w:val="clear" w:color="auto" w:fill="FFFFFF"/>
        <w:rPr>
          <w:rFonts w:ascii="Times New Roman" w:hAnsi="Times New Roman" w:cs="Times New Roman"/>
        </w:rPr>
      </w:pPr>
    </w:p>
    <w:p w14:paraId="695BBA3E" w14:textId="77777777" w:rsidR="00952ED6" w:rsidRPr="00FD6B28" w:rsidRDefault="00952ED6" w:rsidP="0021416C">
      <w:pPr>
        <w:shd w:val="clear" w:color="auto" w:fill="FFFFFF"/>
        <w:spacing w:after="100" w:afterAutospacing="1" w:line="480" w:lineRule="auto"/>
        <w:rPr>
          <w:rFonts w:ascii="Times New Roman" w:hAnsi="Times New Roman" w:cs="Times New Roman"/>
          <w:b/>
          <w:sz w:val="24"/>
          <w:szCs w:val="24"/>
        </w:rPr>
      </w:pPr>
      <w:r>
        <w:rPr>
          <w:rFonts w:ascii="Times New Roman" w:eastAsia="Times New Roman" w:hAnsi="Times New Roman" w:cs="Times New Roman"/>
          <w:b/>
          <w:sz w:val="24"/>
          <w:szCs w:val="24"/>
          <w:shd w:val="clear" w:color="auto" w:fill="FFFFFF"/>
          <w:lang w:eastAsia="en-US"/>
        </w:rPr>
        <w:t>Shared familial risk factors between</w:t>
      </w:r>
      <w:r w:rsidRPr="0091606F">
        <w:rPr>
          <w:rFonts w:ascii="Times New Roman" w:eastAsia="Times New Roman" w:hAnsi="Times New Roman" w:cs="Times New Roman"/>
          <w:sz w:val="24"/>
          <w:szCs w:val="24"/>
          <w:shd w:val="clear" w:color="auto" w:fill="FFFFFF"/>
          <w:lang w:eastAsia="en-US"/>
        </w:rPr>
        <w:t xml:space="preserve"> </w:t>
      </w:r>
      <w:r w:rsidRPr="0091606F">
        <w:rPr>
          <w:rFonts w:ascii="Times New Roman" w:hAnsi="Times New Roman" w:cs="Times New Roman"/>
          <w:b/>
          <w:sz w:val="24"/>
          <w:szCs w:val="24"/>
        </w:rPr>
        <w:t>attention-deficit/hyperactivity</w:t>
      </w:r>
      <w:r>
        <w:rPr>
          <w:rFonts w:ascii="Times New Roman" w:hAnsi="Times New Roman" w:cs="Times New Roman"/>
          <w:b/>
          <w:sz w:val="24"/>
          <w:szCs w:val="24"/>
        </w:rPr>
        <w:t xml:space="preserve"> d</w:t>
      </w:r>
      <w:r w:rsidRPr="00FD6B28">
        <w:rPr>
          <w:rFonts w:ascii="Times New Roman" w:hAnsi="Times New Roman" w:cs="Times New Roman"/>
          <w:b/>
          <w:sz w:val="24"/>
          <w:szCs w:val="24"/>
        </w:rPr>
        <w:t>isorder and overweight/obesity</w:t>
      </w:r>
      <w:r>
        <w:rPr>
          <w:rFonts w:ascii="Times New Roman" w:hAnsi="Times New Roman" w:cs="Times New Roman"/>
          <w:b/>
          <w:sz w:val="24"/>
          <w:szCs w:val="24"/>
        </w:rPr>
        <w:t xml:space="preserve"> – a population based familial co-aggregation study in Sweden</w:t>
      </w:r>
    </w:p>
    <w:p w14:paraId="7F04CC50" w14:textId="77777777" w:rsidR="00952ED6" w:rsidRPr="00FD6B28" w:rsidRDefault="00952ED6" w:rsidP="0021416C">
      <w:pPr>
        <w:spacing w:after="100" w:afterAutospacing="1" w:line="480" w:lineRule="auto"/>
        <w:outlineLvl w:val="0"/>
        <w:rPr>
          <w:rFonts w:ascii="Times New Roman" w:hAnsi="Times New Roman" w:cs="Times New Roman"/>
          <w:sz w:val="24"/>
          <w:szCs w:val="24"/>
        </w:rPr>
      </w:pPr>
      <w:r w:rsidRPr="00FD6B28">
        <w:rPr>
          <w:rFonts w:ascii="Times New Roman" w:hAnsi="Times New Roman" w:cs="Times New Roman"/>
          <w:sz w:val="24"/>
          <w:szCs w:val="24"/>
        </w:rPr>
        <w:t>Qi Chen</w:t>
      </w:r>
      <w:r w:rsidRPr="00FF4612">
        <w:rPr>
          <w:rFonts w:ascii="Times New Roman" w:hAnsi="Times New Roman" w:cs="Times New Roman"/>
          <w:sz w:val="24"/>
          <w:szCs w:val="24"/>
          <w:vertAlign w:val="superscript"/>
        </w:rPr>
        <w:t>1</w:t>
      </w:r>
      <w:r w:rsidRPr="00FD6B28">
        <w:rPr>
          <w:rFonts w:ascii="Times New Roman" w:hAnsi="Times New Roman" w:cs="Times New Roman"/>
          <w:sz w:val="24"/>
          <w:szCs w:val="24"/>
        </w:rPr>
        <w:t xml:space="preserve">; </w:t>
      </w:r>
      <w:r w:rsidRPr="00FD6B28">
        <w:rPr>
          <w:rFonts w:ascii="Times New Roman" w:hAnsi="Times New Roman" w:cs="Times New Roman"/>
          <w:color w:val="010101"/>
          <w:sz w:val="24"/>
          <w:szCs w:val="24"/>
        </w:rPr>
        <w:t>Ralf Kuja-Halkola</w:t>
      </w:r>
      <w:r>
        <w:rPr>
          <w:rFonts w:ascii="Times New Roman" w:hAnsi="Times New Roman" w:cs="Times New Roman"/>
          <w:sz w:val="24"/>
          <w:szCs w:val="24"/>
          <w:vertAlign w:val="superscript"/>
        </w:rPr>
        <w:t>1</w:t>
      </w:r>
      <w:r w:rsidRPr="00FD6B28">
        <w:rPr>
          <w:rFonts w:ascii="Times New Roman" w:hAnsi="Times New Roman" w:cs="Times New Roman"/>
          <w:color w:val="010101"/>
          <w:sz w:val="24"/>
          <w:szCs w:val="24"/>
        </w:rPr>
        <w:t>; Arvid Sjölander</w:t>
      </w:r>
      <w:r>
        <w:rPr>
          <w:rFonts w:ascii="Times New Roman" w:hAnsi="Times New Roman" w:cs="Times New Roman"/>
          <w:sz w:val="24"/>
          <w:szCs w:val="24"/>
          <w:vertAlign w:val="superscript"/>
        </w:rPr>
        <w:t>1</w:t>
      </w:r>
      <w:r w:rsidRPr="00FD6B28">
        <w:rPr>
          <w:rFonts w:ascii="Times New Roman" w:hAnsi="Times New Roman" w:cs="Times New Roman"/>
          <w:color w:val="010101"/>
          <w:sz w:val="24"/>
          <w:szCs w:val="24"/>
        </w:rPr>
        <w:t xml:space="preserve">; </w:t>
      </w:r>
      <w:r w:rsidRPr="00FD6B28">
        <w:rPr>
          <w:rFonts w:ascii="Times New Roman" w:hAnsi="Times New Roman" w:cs="Times New Roman"/>
          <w:sz w:val="24"/>
          <w:szCs w:val="24"/>
        </w:rPr>
        <w:t>Eva Serlachius</w:t>
      </w:r>
      <w:r>
        <w:rPr>
          <w:rFonts w:ascii="Times New Roman" w:hAnsi="Times New Roman" w:cs="Times New Roman"/>
          <w:sz w:val="24"/>
          <w:szCs w:val="24"/>
          <w:vertAlign w:val="superscript"/>
        </w:rPr>
        <w:t>2,3</w:t>
      </w:r>
      <w:r w:rsidRPr="00FD6B28">
        <w:rPr>
          <w:rFonts w:ascii="Times New Roman" w:hAnsi="Times New Roman" w:cs="Times New Roman"/>
          <w:sz w:val="24"/>
          <w:szCs w:val="24"/>
        </w:rPr>
        <w:t>; Samuele Cortese</w:t>
      </w:r>
      <w:r>
        <w:rPr>
          <w:rFonts w:ascii="Times New Roman" w:hAnsi="Times New Roman" w:cs="Times New Roman"/>
          <w:sz w:val="24"/>
          <w:szCs w:val="24"/>
          <w:vertAlign w:val="superscript"/>
        </w:rPr>
        <w:t>4,5</w:t>
      </w:r>
      <w:r w:rsidRPr="00FD6B28">
        <w:rPr>
          <w:rFonts w:ascii="Times New Roman" w:hAnsi="Times New Roman" w:cs="Times New Roman"/>
          <w:sz w:val="24"/>
          <w:szCs w:val="24"/>
        </w:rPr>
        <w:t xml:space="preserve">; </w:t>
      </w:r>
      <w:r w:rsidRPr="00FD6B28">
        <w:rPr>
          <w:rFonts w:ascii="Times New Roman" w:hAnsi="Times New Roman" w:cs="Times New Roman"/>
          <w:bCs/>
          <w:sz w:val="24"/>
          <w:szCs w:val="24"/>
        </w:rPr>
        <w:t>Stephen</w:t>
      </w:r>
      <w:r w:rsidRPr="00FD6B28">
        <w:rPr>
          <w:rFonts w:ascii="Times New Roman" w:hAnsi="Times New Roman" w:cs="Times New Roman"/>
          <w:sz w:val="24"/>
          <w:szCs w:val="24"/>
        </w:rPr>
        <w:t xml:space="preserve"> V. </w:t>
      </w:r>
      <w:r w:rsidRPr="00FD6B28">
        <w:rPr>
          <w:rFonts w:ascii="Times New Roman" w:hAnsi="Times New Roman" w:cs="Times New Roman"/>
          <w:bCs/>
          <w:sz w:val="24"/>
          <w:szCs w:val="24"/>
        </w:rPr>
        <w:t>Faraone</w:t>
      </w:r>
      <w:r>
        <w:rPr>
          <w:rFonts w:ascii="Times New Roman" w:hAnsi="Times New Roman" w:cs="Times New Roman"/>
          <w:bCs/>
          <w:sz w:val="24"/>
          <w:szCs w:val="24"/>
          <w:vertAlign w:val="superscript"/>
        </w:rPr>
        <w:t>6,7</w:t>
      </w:r>
      <w:r w:rsidRPr="00FD6B28">
        <w:rPr>
          <w:rFonts w:ascii="Times New Roman" w:hAnsi="Times New Roman" w:cs="Times New Roman"/>
          <w:bCs/>
          <w:sz w:val="24"/>
          <w:szCs w:val="24"/>
        </w:rPr>
        <w:t>;</w:t>
      </w:r>
      <w:r w:rsidRPr="00FD6B28">
        <w:rPr>
          <w:rFonts w:ascii="Times New Roman" w:hAnsi="Times New Roman" w:cs="Times New Roman"/>
          <w:sz w:val="24"/>
          <w:szCs w:val="24"/>
        </w:rPr>
        <w:t xml:space="preserve"> </w:t>
      </w:r>
      <w:bookmarkStart w:id="4" w:name="OLE_LINK5"/>
      <w:bookmarkStart w:id="5" w:name="OLE_LINK6"/>
      <w:r w:rsidRPr="00FD6B28">
        <w:rPr>
          <w:rFonts w:ascii="Times New Roman" w:hAnsi="Times New Roman" w:cs="Times New Roman"/>
          <w:color w:val="000000"/>
          <w:sz w:val="24"/>
          <w:szCs w:val="24"/>
        </w:rPr>
        <w:t>Catarina Al</w:t>
      </w:r>
      <w:bookmarkStart w:id="6" w:name="_GoBack"/>
      <w:bookmarkEnd w:id="6"/>
      <w:r w:rsidRPr="00FD6B28">
        <w:rPr>
          <w:rFonts w:ascii="Times New Roman" w:hAnsi="Times New Roman" w:cs="Times New Roman"/>
          <w:color w:val="000000"/>
          <w:sz w:val="24"/>
          <w:szCs w:val="24"/>
        </w:rPr>
        <w:t>mqvist</w:t>
      </w:r>
      <w:bookmarkEnd w:id="4"/>
      <w:bookmarkEnd w:id="5"/>
      <w:r>
        <w:rPr>
          <w:rFonts w:ascii="Times New Roman" w:hAnsi="Times New Roman" w:cs="Times New Roman"/>
          <w:color w:val="000000"/>
          <w:sz w:val="24"/>
          <w:szCs w:val="24"/>
          <w:vertAlign w:val="superscript"/>
        </w:rPr>
        <w:t>1,8</w:t>
      </w:r>
      <w:r w:rsidRPr="00FD6B28">
        <w:rPr>
          <w:rFonts w:ascii="Times New Roman" w:hAnsi="Times New Roman" w:cs="Times New Roman"/>
          <w:sz w:val="24"/>
          <w:szCs w:val="24"/>
        </w:rPr>
        <w:t>;</w:t>
      </w:r>
      <w:r w:rsidRPr="00FD6B28">
        <w:rPr>
          <w:rFonts w:ascii="Times New Roman" w:hAnsi="Times New Roman" w:cs="Times New Roman"/>
          <w:color w:val="010101"/>
          <w:sz w:val="24"/>
          <w:szCs w:val="24"/>
        </w:rPr>
        <w:t xml:space="preserve"> </w:t>
      </w:r>
      <w:r w:rsidRPr="00FD6B28">
        <w:rPr>
          <w:rFonts w:ascii="Times New Roman" w:hAnsi="Times New Roman" w:cs="Times New Roman"/>
          <w:sz w:val="24"/>
          <w:szCs w:val="24"/>
        </w:rPr>
        <w:t>Henrik Larsson</w:t>
      </w:r>
      <w:r>
        <w:rPr>
          <w:rFonts w:ascii="Times New Roman" w:hAnsi="Times New Roman" w:cs="Times New Roman"/>
          <w:sz w:val="24"/>
          <w:szCs w:val="24"/>
          <w:vertAlign w:val="superscript"/>
        </w:rPr>
        <w:t>1,9</w:t>
      </w:r>
    </w:p>
    <w:p w14:paraId="761F1990" w14:textId="77777777" w:rsidR="00952ED6" w:rsidRPr="00FD6B28" w:rsidRDefault="00952ED6" w:rsidP="0021416C">
      <w:pPr>
        <w:spacing w:after="100" w:afterAutospacing="1" w:line="480" w:lineRule="auto"/>
        <w:rPr>
          <w:rFonts w:ascii="Times New Roman" w:hAnsi="Times New Roman" w:cs="Times New Roman"/>
          <w:sz w:val="24"/>
          <w:szCs w:val="24"/>
        </w:rPr>
      </w:pPr>
      <w:r w:rsidRPr="00FD6B28">
        <w:rPr>
          <w:rFonts w:ascii="Times New Roman" w:hAnsi="Times New Roman" w:cs="Times New Roman"/>
          <w:b/>
          <w:sz w:val="24"/>
          <w:szCs w:val="24"/>
        </w:rPr>
        <w:t>Author affiliation</w:t>
      </w:r>
      <w:r>
        <w:rPr>
          <w:rFonts w:ascii="Times New Roman" w:hAnsi="Times New Roman" w:cs="Times New Roman"/>
          <w:b/>
          <w:sz w:val="24"/>
          <w:szCs w:val="24"/>
        </w:rPr>
        <w:t>s</w:t>
      </w:r>
      <w:r w:rsidRPr="00FD6B28">
        <w:rPr>
          <w:rFonts w:ascii="Times New Roman" w:hAnsi="Times New Roman" w:cs="Times New Roman"/>
          <w:b/>
          <w:sz w:val="24"/>
          <w:szCs w:val="24"/>
        </w:rPr>
        <w:t xml:space="preserve">: </w:t>
      </w:r>
      <w:r>
        <w:rPr>
          <w:rFonts w:ascii="Times New Roman" w:hAnsi="Times New Roman" w:cs="Times New Roman"/>
          <w:sz w:val="24"/>
          <w:szCs w:val="24"/>
          <w:vertAlign w:val="superscript"/>
        </w:rPr>
        <w:t>1</w:t>
      </w:r>
      <w:r w:rsidRPr="00FD6B28">
        <w:rPr>
          <w:rFonts w:ascii="Times New Roman" w:hAnsi="Times New Roman" w:cs="Times New Roman"/>
          <w:sz w:val="24"/>
          <w:szCs w:val="24"/>
        </w:rPr>
        <w:t xml:space="preserve">Department of Medical Epidemiology and Biostatistics, Karolinska Institutet, Stockholm, Sweden; </w:t>
      </w:r>
      <w:r>
        <w:rPr>
          <w:rFonts w:ascii="Times New Roman" w:hAnsi="Times New Roman"/>
          <w:sz w:val="24"/>
          <w:szCs w:val="24"/>
          <w:vertAlign w:val="superscript"/>
        </w:rPr>
        <w:t>2</w:t>
      </w:r>
      <w:r w:rsidRPr="00FB4FDA">
        <w:rPr>
          <w:rFonts w:ascii="Times New Roman" w:hAnsi="Times New Roman"/>
          <w:sz w:val="24"/>
          <w:szCs w:val="24"/>
        </w:rPr>
        <w:t>Centre for Psychiatry Research, Department of Clinical Neuroscience, Karolinska Institutet</w:t>
      </w:r>
      <w:r>
        <w:rPr>
          <w:rFonts w:ascii="Times New Roman" w:hAnsi="Times New Roman"/>
          <w:sz w:val="24"/>
          <w:szCs w:val="24"/>
        </w:rPr>
        <w:t xml:space="preserve">, Stockholm, Sweden; </w:t>
      </w:r>
      <w:r>
        <w:rPr>
          <w:rFonts w:ascii="Times New Roman" w:hAnsi="Times New Roman"/>
          <w:sz w:val="24"/>
          <w:szCs w:val="24"/>
          <w:vertAlign w:val="superscript"/>
        </w:rPr>
        <w:t>3</w:t>
      </w:r>
      <w:r w:rsidRPr="00FB4FDA">
        <w:rPr>
          <w:rFonts w:ascii="Times New Roman" w:hAnsi="Times New Roman"/>
          <w:sz w:val="24"/>
          <w:szCs w:val="24"/>
        </w:rPr>
        <w:t>Stockholm Health Care Services, Stockholm County Council</w:t>
      </w:r>
      <w:r>
        <w:rPr>
          <w:rFonts w:ascii="Times New Roman" w:hAnsi="Times New Roman"/>
          <w:sz w:val="24"/>
          <w:szCs w:val="24"/>
        </w:rPr>
        <w:t>, Stockholm, Sweden;</w:t>
      </w:r>
      <w:r>
        <w:rPr>
          <w:rFonts w:ascii="Times New Roman" w:hAnsi="Times New Roman" w:cs="Times New Roman"/>
          <w:sz w:val="24"/>
          <w:szCs w:val="24"/>
        </w:rPr>
        <w:t xml:space="preserve"> </w:t>
      </w:r>
      <w:r>
        <w:rPr>
          <w:rFonts w:ascii="Times New Roman" w:hAnsi="Times New Roman"/>
          <w:sz w:val="24"/>
          <w:szCs w:val="24"/>
          <w:vertAlign w:val="superscript"/>
        </w:rPr>
        <w:t>4</w:t>
      </w:r>
      <w:r w:rsidRPr="00FD6B28">
        <w:rPr>
          <w:rFonts w:ascii="Times New Roman" w:hAnsi="Times New Roman"/>
          <w:sz w:val="24"/>
          <w:szCs w:val="24"/>
        </w:rPr>
        <w:t>Department of Psychology, Developmental Brain-Behavior Laboratory, University of Southampton,</w:t>
      </w:r>
      <w:r>
        <w:rPr>
          <w:rFonts w:ascii="Times New Roman" w:hAnsi="Times New Roman"/>
          <w:sz w:val="24"/>
          <w:szCs w:val="24"/>
        </w:rPr>
        <w:t xml:space="preserve"> and Solent NHS Trust,</w:t>
      </w:r>
      <w:r w:rsidRPr="00FD6B28">
        <w:rPr>
          <w:rFonts w:ascii="Times New Roman" w:hAnsi="Times New Roman"/>
          <w:sz w:val="24"/>
          <w:szCs w:val="24"/>
        </w:rPr>
        <w:t xml:space="preserve"> Southampton, </w:t>
      </w:r>
      <w:r>
        <w:rPr>
          <w:rFonts w:ascii="Times New Roman" w:hAnsi="Times New Roman"/>
          <w:sz w:val="24"/>
          <w:szCs w:val="24"/>
        </w:rPr>
        <w:t>United Kingdom</w:t>
      </w:r>
      <w:r w:rsidRPr="00FD6B28">
        <w:rPr>
          <w:rFonts w:ascii="Times New Roman" w:hAnsi="Times New Roman" w:cs="Times New Roman"/>
          <w:sz w:val="24"/>
          <w:szCs w:val="24"/>
        </w:rPr>
        <w:t xml:space="preserve">; </w:t>
      </w:r>
      <w:r>
        <w:rPr>
          <w:rFonts w:ascii="Times New Roman" w:hAnsi="Times New Roman" w:cs="Times New Roman"/>
          <w:sz w:val="24"/>
          <w:szCs w:val="24"/>
          <w:vertAlign w:val="superscript"/>
        </w:rPr>
        <w:t>5</w:t>
      </w:r>
      <w:r w:rsidRPr="00FD6B28">
        <w:rPr>
          <w:rFonts w:ascii="Times New Roman" w:hAnsi="Times New Roman" w:cs="Times New Roman"/>
          <w:sz w:val="24"/>
          <w:szCs w:val="24"/>
        </w:rPr>
        <w:t>Langone Medical Center, New York University Child Study Center, New York, USA</w:t>
      </w:r>
      <w:r>
        <w:rPr>
          <w:rFonts w:ascii="Times New Roman" w:hAnsi="Times New Roman" w:cs="Times New Roman"/>
          <w:sz w:val="24"/>
          <w:szCs w:val="24"/>
        </w:rPr>
        <w:t>;</w:t>
      </w:r>
      <w:r w:rsidRPr="00FD6B2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6</w:t>
      </w:r>
      <w:r w:rsidRPr="00FD6B28">
        <w:rPr>
          <w:rFonts w:ascii="Times New Roman" w:hAnsi="Times New Roman" w:cs="Times New Roman"/>
          <w:sz w:val="24"/>
          <w:szCs w:val="24"/>
        </w:rPr>
        <w:t>Departments of Psychiatry and Neuroscience and Physiology, SUNY Upstate Medical University, N</w:t>
      </w:r>
      <w:r>
        <w:rPr>
          <w:rFonts w:ascii="Times New Roman" w:hAnsi="Times New Roman" w:cs="Times New Roman"/>
          <w:sz w:val="24"/>
          <w:szCs w:val="24"/>
        </w:rPr>
        <w:t xml:space="preserve">ew </w:t>
      </w:r>
      <w:r w:rsidRPr="00FD6B28">
        <w:rPr>
          <w:rFonts w:ascii="Times New Roman" w:hAnsi="Times New Roman" w:cs="Times New Roman"/>
          <w:sz w:val="24"/>
          <w:szCs w:val="24"/>
        </w:rPr>
        <w:t>Y</w:t>
      </w:r>
      <w:r>
        <w:rPr>
          <w:rFonts w:ascii="Times New Roman" w:hAnsi="Times New Roman" w:cs="Times New Roman"/>
          <w:sz w:val="24"/>
          <w:szCs w:val="24"/>
        </w:rPr>
        <w:t>ork</w:t>
      </w:r>
      <w:r w:rsidRPr="00FD6B28">
        <w:rPr>
          <w:rFonts w:ascii="Times New Roman" w:hAnsi="Times New Roman" w:cs="Times New Roman"/>
          <w:sz w:val="24"/>
          <w:szCs w:val="24"/>
        </w:rPr>
        <w:t>, USA</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r>
        <w:rPr>
          <w:rFonts w:ascii="Times New Roman" w:hAnsi="Times New Roman" w:cs="Times New Roman"/>
          <w:sz w:val="24"/>
          <w:szCs w:val="24"/>
        </w:rPr>
        <w:t>T</w:t>
      </w:r>
      <w:r w:rsidRPr="00FD6B28">
        <w:rPr>
          <w:rFonts w:ascii="Times New Roman" w:hAnsi="Times New Roman" w:cs="Times New Roman"/>
          <w:sz w:val="24"/>
          <w:szCs w:val="24"/>
        </w:rPr>
        <w:t xml:space="preserve">he K.G. Jebsen Centre for Research on Neuropsychiatric Disorders, University of Bergen, Bergen, Norway; </w:t>
      </w:r>
      <w:r>
        <w:rPr>
          <w:rFonts w:ascii="Times New Roman" w:hAnsi="Times New Roman" w:cs="Times New Roman"/>
          <w:sz w:val="24"/>
          <w:szCs w:val="24"/>
          <w:vertAlign w:val="superscript"/>
        </w:rPr>
        <w:t>8</w:t>
      </w:r>
      <w:r w:rsidRPr="00FD6B28">
        <w:rPr>
          <w:rFonts w:ascii="Times New Roman" w:hAnsi="Times New Roman" w:cs="Times New Roman"/>
          <w:color w:val="000000"/>
          <w:sz w:val="24"/>
          <w:szCs w:val="24"/>
          <w:shd w:val="clear" w:color="auto" w:fill="FFFFFF"/>
        </w:rPr>
        <w:t>Lung and Allergy Unit, Astrid Lindgren Children's Hospital, Karolinska University Hospital, Stockholm, Swede</w:t>
      </w:r>
      <w:r>
        <w:rPr>
          <w:rFonts w:ascii="Times New Roman" w:hAnsi="Times New Roman" w:cs="Times New Roman"/>
          <w:color w:val="000000"/>
          <w:sz w:val="24"/>
          <w:szCs w:val="24"/>
          <w:shd w:val="clear" w:color="auto" w:fill="FFFFFF"/>
        </w:rPr>
        <w:t xml:space="preserve">n; </w:t>
      </w:r>
      <w:r>
        <w:rPr>
          <w:rFonts w:ascii="Times New Roman" w:hAnsi="Times New Roman" w:cs="Times New Roman"/>
          <w:color w:val="000000"/>
          <w:sz w:val="24"/>
          <w:szCs w:val="24"/>
          <w:shd w:val="clear" w:color="auto" w:fill="FFFFFF"/>
          <w:vertAlign w:val="superscript"/>
        </w:rPr>
        <w:t>9</w:t>
      </w:r>
      <w:r w:rsidRPr="00E776C6">
        <w:rPr>
          <w:rStyle w:val="org"/>
          <w:rFonts w:ascii="Times New Roman" w:hAnsi="Times New Roman" w:cs="Times New Roman"/>
          <w:color w:val="333333"/>
          <w:sz w:val="24"/>
          <w:szCs w:val="24"/>
          <w:lang w:val="en"/>
        </w:rPr>
        <w:t>School of Medical Sciences</w:t>
      </w:r>
      <w:r w:rsidRPr="00E776C6">
        <w:rPr>
          <w:rFonts w:ascii="Times New Roman" w:hAnsi="Times New Roman" w:cs="Times New Roman"/>
          <w:sz w:val="24"/>
          <w:szCs w:val="24"/>
        </w:rPr>
        <w:t>, Örebro University, Örebro, Sweden</w:t>
      </w:r>
    </w:p>
    <w:p w14:paraId="222496EF" w14:textId="77777777" w:rsidR="00952ED6" w:rsidRDefault="00952ED6" w:rsidP="00D40A28">
      <w:pPr>
        <w:spacing w:after="100" w:afterAutospacing="1" w:line="480" w:lineRule="auto"/>
        <w:outlineLvl w:val="0"/>
        <w:rPr>
          <w:rFonts w:ascii="Times New Roman" w:hAnsi="Times New Roman" w:cs="Times New Roman"/>
        </w:rPr>
      </w:pPr>
      <w:r w:rsidRPr="00C03459">
        <w:rPr>
          <w:rFonts w:ascii="Times New Roman" w:hAnsi="Times New Roman" w:cs="Times New Roman"/>
          <w:b/>
        </w:rPr>
        <w:t>Abbreviated title:</w:t>
      </w:r>
      <w:r w:rsidRPr="00C03459">
        <w:rPr>
          <w:rFonts w:ascii="Times New Roman" w:hAnsi="Times New Roman" w:cs="Times New Roman"/>
        </w:rPr>
        <w:t xml:space="preserve"> </w:t>
      </w:r>
      <w:r>
        <w:rPr>
          <w:rFonts w:ascii="Times New Roman" w:hAnsi="Times New Roman" w:cs="Times New Roman"/>
        </w:rPr>
        <w:t xml:space="preserve">Shared familial risk factors between </w:t>
      </w:r>
      <w:r w:rsidRPr="00C03459">
        <w:rPr>
          <w:rFonts w:ascii="Times New Roman" w:hAnsi="Times New Roman" w:cs="Times New Roman"/>
        </w:rPr>
        <w:t>ADHD</w:t>
      </w:r>
      <w:r>
        <w:rPr>
          <w:rFonts w:ascii="Times New Roman" w:hAnsi="Times New Roman" w:cs="Times New Roman"/>
        </w:rPr>
        <w:t xml:space="preserve"> and overweight/obesity</w:t>
      </w:r>
    </w:p>
    <w:p w14:paraId="70BF1EC5" w14:textId="77777777" w:rsidR="00952ED6" w:rsidRPr="0024666A" w:rsidRDefault="00952ED6" w:rsidP="0024666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Conflict of interest: </w:t>
      </w:r>
      <w:r w:rsidRPr="00535858">
        <w:rPr>
          <w:rFonts w:ascii="Times New Roman" w:eastAsia="Times New Roman" w:hAnsi="Times New Roman" w:cs="Times New Roman"/>
          <w:color w:val="000000"/>
          <w:sz w:val="24"/>
          <w:szCs w:val="24"/>
          <w:lang w:eastAsia="en-US"/>
        </w:rPr>
        <w:t>In the past year, Dr. Faraone received income, potential income, travel expenses and/or research support from Rhodes, Arbor, Pfizer, Ironshore, Shire, Akili Interactive Labs, CogCubed, Alcobra, VAYA Pharma, NeuroLifeSciences and NACE.  With his institution, he has US patent US20130217707 A1 for the use of sodium-hydrogen exchange inhibitors in the treatment of ADHD.  He is principal investigator of </w:t>
      </w:r>
      <w:hyperlink r:id="rId7" w:tgtFrame="_blank" w:history="1">
        <w:r w:rsidRPr="00535858">
          <w:rPr>
            <w:rFonts w:ascii="Times New Roman" w:eastAsia="Times New Roman" w:hAnsi="Times New Roman" w:cs="Times New Roman"/>
            <w:color w:val="0000FF"/>
            <w:sz w:val="24"/>
            <w:szCs w:val="24"/>
            <w:u w:val="single"/>
            <w:lang w:eastAsia="en-US"/>
          </w:rPr>
          <w:t>www.adhdinadults.com</w:t>
        </w:r>
      </w:hyperlink>
      <w:r w:rsidRPr="00535858">
        <w:rPr>
          <w:rFonts w:ascii="Times New Roman" w:eastAsia="Times New Roman" w:hAnsi="Times New Roman" w:cs="Times New Roman"/>
          <w:color w:val="000000"/>
          <w:sz w:val="24"/>
          <w:szCs w:val="24"/>
          <w:lang w:eastAsia="en-US"/>
        </w:rPr>
        <w:t>.</w:t>
      </w:r>
    </w:p>
    <w:p w14:paraId="6F0C6480" w14:textId="77777777" w:rsidR="00952ED6" w:rsidRPr="00535858" w:rsidRDefault="00952ED6" w:rsidP="0024666A">
      <w:pPr>
        <w:spacing w:line="480" w:lineRule="auto"/>
        <w:rPr>
          <w:rFonts w:ascii="Times New Roman" w:eastAsia="Times New Roman" w:hAnsi="Times New Roman" w:cs="Times New Roman"/>
          <w:sz w:val="24"/>
          <w:szCs w:val="24"/>
          <w:lang w:eastAsia="en-US"/>
        </w:rPr>
      </w:pPr>
      <w:r w:rsidRPr="00535858">
        <w:rPr>
          <w:rFonts w:ascii="Times New Roman" w:eastAsia="Times New Roman" w:hAnsi="Times New Roman" w:cs="Times New Roman"/>
          <w:sz w:val="24"/>
          <w:szCs w:val="24"/>
          <w:lang w:eastAsia="en-US"/>
        </w:rPr>
        <w:t xml:space="preserve">Dr. Cortese has received royalties from Aargon Healthcare Italy </w:t>
      </w:r>
      <w:r w:rsidRPr="00535858">
        <w:rPr>
          <w:rFonts w:ascii="Times New Roman" w:eastAsia="Times New Roman" w:hAnsi="Times New Roman" w:cs="Times New Roman"/>
          <w:color w:val="000000"/>
          <w:sz w:val="24"/>
          <w:szCs w:val="24"/>
          <w:lang w:eastAsia="en-US"/>
        </w:rPr>
        <w:t>from 2010 to 2014</w:t>
      </w:r>
      <w:r w:rsidRPr="00535858">
        <w:rPr>
          <w:rFonts w:ascii="Times New Roman" w:eastAsia="Times New Roman" w:hAnsi="Times New Roman" w:cs="Times New Roman"/>
          <w:sz w:val="24"/>
          <w:szCs w:val="24"/>
          <w:lang w:eastAsia="en-US"/>
        </w:rPr>
        <w:t xml:space="preserve">. </w:t>
      </w:r>
      <w:r>
        <w:rPr>
          <w:rFonts w:ascii="Times New Roman" w:hAnsi="Times New Roman" w:cs="Times New Roman"/>
          <w:color w:val="222222"/>
          <w:sz w:val="24"/>
          <w:szCs w:val="24"/>
          <w:shd w:val="clear" w:color="auto" w:fill="FFFFFF"/>
          <w:lang w:val="en-GB"/>
        </w:rPr>
        <w:t>He</w:t>
      </w:r>
      <w:r w:rsidRPr="005C0B28">
        <w:rPr>
          <w:rFonts w:ascii="Times New Roman" w:hAnsi="Times New Roman" w:cs="Times New Roman"/>
          <w:color w:val="222222"/>
          <w:sz w:val="24"/>
          <w:szCs w:val="24"/>
          <w:shd w:val="clear" w:color="auto" w:fill="FFFFFF"/>
          <w:lang w:val="en-GB"/>
        </w:rPr>
        <w:t xml:space="preserve"> has received grant or research support from the Solent National Health Service (NHS) Trust, UK. He has received honorarium and travel expenses from the Association for Child and Adolescent Mental Health (ACAMH), UK.</w:t>
      </w:r>
    </w:p>
    <w:p w14:paraId="497862EF" w14:textId="77777777" w:rsidR="00952ED6" w:rsidRPr="00535858" w:rsidRDefault="00952ED6" w:rsidP="0024666A">
      <w:pPr>
        <w:spacing w:line="480" w:lineRule="auto"/>
        <w:rPr>
          <w:rFonts w:ascii="Times New Roman" w:eastAsia="Times New Roman" w:hAnsi="Times New Roman" w:cs="Times New Roman"/>
          <w:sz w:val="24"/>
          <w:szCs w:val="24"/>
        </w:rPr>
      </w:pPr>
      <w:r w:rsidRPr="00535858">
        <w:rPr>
          <w:rFonts w:ascii="Times New Roman" w:eastAsia="Times New Roman" w:hAnsi="Times New Roman" w:cs="Times New Roman"/>
          <w:color w:val="000000"/>
          <w:sz w:val="24"/>
          <w:szCs w:val="24"/>
        </w:rPr>
        <w:t>Dr. Larsson has served as a speaker for Eli-Lilly and has received a research grant from Shire; both outside the submitted work.</w:t>
      </w:r>
      <w:r w:rsidRPr="00535858">
        <w:rPr>
          <w:rFonts w:ascii="Times New Roman" w:eastAsia="Times New Roman" w:hAnsi="Times New Roman" w:cs="Times New Roman"/>
          <w:sz w:val="24"/>
          <w:szCs w:val="24"/>
        </w:rPr>
        <w:t xml:space="preserve"> </w:t>
      </w:r>
    </w:p>
    <w:p w14:paraId="2A783BF9" w14:textId="77777777" w:rsidR="00952ED6" w:rsidRPr="0024666A" w:rsidRDefault="00952ED6" w:rsidP="0024666A">
      <w:pPr>
        <w:spacing w:line="480" w:lineRule="auto"/>
        <w:rPr>
          <w:rFonts w:ascii="Times New Roman" w:hAnsi="Times New Roman" w:cs="Times New Roman"/>
          <w:color w:val="010101"/>
          <w:sz w:val="24"/>
          <w:szCs w:val="24"/>
        </w:rPr>
      </w:pPr>
      <w:r w:rsidRPr="00535858">
        <w:rPr>
          <w:rFonts w:ascii="Times New Roman" w:hAnsi="Times New Roman" w:cs="Times New Roman"/>
          <w:color w:val="010101"/>
          <w:sz w:val="24"/>
          <w:szCs w:val="24"/>
        </w:rPr>
        <w:t>The other authors declare no conflicts of interest.</w:t>
      </w:r>
    </w:p>
    <w:p w14:paraId="61A18E6E" w14:textId="77777777" w:rsidR="00952ED6" w:rsidRPr="00B07259" w:rsidRDefault="00952ED6" w:rsidP="00F413B4">
      <w:pPr>
        <w:rPr>
          <w:rFonts w:ascii="Times New Roman" w:hAnsi="Times New Roman" w:cs="Times New Roman"/>
          <w:b/>
          <w:sz w:val="24"/>
          <w:szCs w:val="24"/>
        </w:rPr>
      </w:pPr>
      <w:r>
        <w:rPr>
          <w:rFonts w:ascii="Times New Roman" w:hAnsi="Times New Roman" w:cs="Times New Roman"/>
          <w:b/>
          <w:sz w:val="24"/>
          <w:szCs w:val="24"/>
        </w:rPr>
        <w:br w:type="page"/>
      </w:r>
      <w:bookmarkEnd w:id="0"/>
      <w:bookmarkEnd w:id="1"/>
      <w:bookmarkEnd w:id="2"/>
      <w:bookmarkEnd w:id="3"/>
      <w:r w:rsidRPr="00B07259">
        <w:rPr>
          <w:rFonts w:ascii="Times New Roman" w:hAnsi="Times New Roman" w:cs="Times New Roman"/>
          <w:b/>
          <w:sz w:val="24"/>
          <w:szCs w:val="24"/>
        </w:rPr>
        <w:lastRenderedPageBreak/>
        <w:t>Abstract</w:t>
      </w:r>
    </w:p>
    <w:p w14:paraId="0DE1FD09" w14:textId="77777777" w:rsidR="00952ED6" w:rsidRPr="00B07259" w:rsidRDefault="00952ED6" w:rsidP="00CE33B9">
      <w:pPr>
        <w:shd w:val="clear" w:color="auto" w:fill="FFFFFF"/>
        <w:spacing w:after="100" w:afterAutospacing="1" w:line="480" w:lineRule="auto"/>
        <w:rPr>
          <w:rFonts w:ascii="Times New Roman" w:hAnsi="Times New Roman" w:cs="Times New Roman"/>
          <w:sz w:val="24"/>
          <w:szCs w:val="24"/>
        </w:rPr>
      </w:pPr>
      <w:r>
        <w:rPr>
          <w:rFonts w:ascii="Times New Roman" w:hAnsi="Times New Roman" w:cs="Times New Roman"/>
          <w:b/>
          <w:sz w:val="24"/>
          <w:szCs w:val="24"/>
        </w:rPr>
        <w:t xml:space="preserve">Background: </w:t>
      </w:r>
      <w:r>
        <w:rPr>
          <w:rFonts w:ascii="Times New Roman" w:hAnsi="Times New Roman" w:cs="Times New Roman"/>
          <w:sz w:val="24"/>
          <w:szCs w:val="24"/>
        </w:rPr>
        <w:t>Despite meta-analytic evidence for the association between attention-deficit/h</w:t>
      </w:r>
      <w:r w:rsidRPr="00B07259">
        <w:rPr>
          <w:rFonts w:ascii="Times New Roman" w:hAnsi="Times New Roman" w:cs="Times New Roman"/>
          <w:sz w:val="24"/>
          <w:szCs w:val="24"/>
        </w:rPr>
        <w:t xml:space="preserve">yperactivity disorder (ADHD) and </w:t>
      </w:r>
      <w:r>
        <w:rPr>
          <w:rFonts w:ascii="Times New Roman" w:hAnsi="Times New Roman" w:cs="Times New Roman"/>
          <w:sz w:val="24"/>
          <w:szCs w:val="24"/>
        </w:rPr>
        <w:t>overweight</w:t>
      </w:r>
      <w:r w:rsidRPr="00151F09">
        <w:rPr>
          <w:rFonts w:ascii="Times New Roman" w:hAnsi="Times New Roman" w:cs="Times New Roman"/>
          <w:sz w:val="24"/>
          <w:szCs w:val="24"/>
        </w:rPr>
        <w:t>/</w:t>
      </w:r>
      <w:r>
        <w:rPr>
          <w:rFonts w:ascii="Times New Roman" w:hAnsi="Times New Roman" w:cs="Times New Roman"/>
          <w:sz w:val="24"/>
          <w:szCs w:val="24"/>
        </w:rPr>
        <w:t xml:space="preserve">obesity, </w:t>
      </w:r>
      <w:r w:rsidRPr="00C30738">
        <w:rPr>
          <w:rFonts w:ascii="Times New Roman" w:hAnsi="Times New Roman" w:cs="Times New Roman"/>
          <w:sz w:val="24"/>
          <w:szCs w:val="24"/>
        </w:rPr>
        <w:t xml:space="preserve">the mechanisms </w:t>
      </w:r>
      <w:r>
        <w:rPr>
          <w:rFonts w:ascii="Times New Roman" w:hAnsi="Times New Roman" w:cs="Times New Roman"/>
          <w:sz w:val="24"/>
          <w:szCs w:val="24"/>
        </w:rPr>
        <w:t>underlying</w:t>
      </w:r>
      <w:r w:rsidRPr="00C30738">
        <w:rPr>
          <w:rFonts w:ascii="Times New Roman" w:hAnsi="Times New Roman" w:cs="Times New Roman"/>
          <w:sz w:val="24"/>
          <w:szCs w:val="24"/>
        </w:rPr>
        <w:t xml:space="preserve"> the association are yet to be fully understood</w:t>
      </w:r>
      <w:r>
        <w:rPr>
          <w:rFonts w:ascii="Times New Roman" w:hAnsi="Times New Roman" w:cs="Times New Roman"/>
          <w:sz w:val="24"/>
          <w:szCs w:val="24"/>
        </w:rPr>
        <w:t>.</w:t>
      </w:r>
    </w:p>
    <w:p w14:paraId="31B50B67" w14:textId="77777777" w:rsidR="00952ED6" w:rsidRPr="00B07259" w:rsidRDefault="00952ED6" w:rsidP="00CE33B9">
      <w:pPr>
        <w:shd w:val="clear" w:color="auto" w:fill="FFFFFF"/>
        <w:spacing w:after="100" w:afterAutospacing="1" w:line="480" w:lineRule="auto"/>
        <w:rPr>
          <w:rFonts w:ascii="Times New Roman" w:hAnsi="Times New Roman" w:cs="Times New Roman"/>
          <w:sz w:val="24"/>
          <w:szCs w:val="24"/>
        </w:rPr>
      </w:pPr>
      <w:r>
        <w:rPr>
          <w:rFonts w:ascii="Times New Roman" w:hAnsi="Times New Roman" w:cs="Times New Roman"/>
          <w:b/>
          <w:sz w:val="24"/>
          <w:szCs w:val="24"/>
        </w:rPr>
        <w:t>Methods</w:t>
      </w:r>
      <w:r w:rsidRPr="00B07259">
        <w:rPr>
          <w:rFonts w:ascii="Times New Roman" w:hAnsi="Times New Roman" w:cs="Times New Roman"/>
          <w:b/>
          <w:sz w:val="24"/>
          <w:szCs w:val="24"/>
        </w:rPr>
        <w:t>:</w:t>
      </w:r>
      <w:r w:rsidRPr="00B07259">
        <w:rPr>
          <w:rFonts w:ascii="Times New Roman" w:hAnsi="Times New Roman" w:cs="Times New Roman"/>
          <w:sz w:val="24"/>
          <w:szCs w:val="24"/>
        </w:rPr>
        <w:t xml:space="preserve"> By linking multiple Swedish national </w:t>
      </w:r>
      <w:r>
        <w:rPr>
          <w:rFonts w:ascii="Times New Roman" w:hAnsi="Times New Roman" w:cs="Times New Roman"/>
          <w:sz w:val="24"/>
          <w:szCs w:val="24"/>
        </w:rPr>
        <w:t xml:space="preserve">and regional </w:t>
      </w:r>
      <w:r w:rsidRPr="00B07259">
        <w:rPr>
          <w:rFonts w:ascii="Times New Roman" w:hAnsi="Times New Roman" w:cs="Times New Roman"/>
          <w:sz w:val="24"/>
          <w:szCs w:val="24"/>
        </w:rPr>
        <w:t>registers, we identified</w:t>
      </w:r>
      <w:r>
        <w:rPr>
          <w:rFonts w:ascii="Times New Roman" w:hAnsi="Times New Roman" w:cs="Times New Roman"/>
          <w:sz w:val="24"/>
          <w:szCs w:val="24"/>
        </w:rPr>
        <w:t xml:space="preserve"> 472 735 index males </w:t>
      </w:r>
      <w:r w:rsidRPr="00B07259">
        <w:rPr>
          <w:rFonts w:ascii="Times New Roman" w:hAnsi="Times New Roman" w:cs="Times New Roman"/>
          <w:sz w:val="24"/>
          <w:szCs w:val="24"/>
        </w:rPr>
        <w:t xml:space="preserve">born </w:t>
      </w:r>
      <w:r>
        <w:rPr>
          <w:rFonts w:ascii="Times New Roman" w:hAnsi="Times New Roman" w:cs="Times New Roman"/>
          <w:sz w:val="24"/>
          <w:szCs w:val="24"/>
        </w:rPr>
        <w:t xml:space="preserve">1973–1992, with information on body weight and height directly measured before they were conscripted for military service. We further identified 523 </w:t>
      </w:r>
      <w:r w:rsidRPr="00E22BC1">
        <w:rPr>
          <w:rFonts w:ascii="Times New Roman" w:hAnsi="Times New Roman" w:cs="Times New Roman"/>
          <w:sz w:val="24"/>
          <w:szCs w:val="24"/>
        </w:rPr>
        <w:t>237</w:t>
      </w:r>
      <w:r>
        <w:rPr>
          <w:rFonts w:ascii="Times New Roman" w:hAnsi="Times New Roman" w:cs="Times New Roman"/>
          <w:sz w:val="24"/>
          <w:szCs w:val="24"/>
        </w:rPr>
        <w:t xml:space="preserve"> full </w:t>
      </w:r>
      <w:r w:rsidRPr="00E22BC1">
        <w:rPr>
          <w:rFonts w:ascii="Times New Roman" w:hAnsi="Times New Roman" w:cs="Times New Roman"/>
          <w:sz w:val="24"/>
          <w:szCs w:val="24"/>
        </w:rPr>
        <w:t xml:space="preserve">siblings </w:t>
      </w:r>
      <w:r>
        <w:rPr>
          <w:rFonts w:ascii="Times New Roman" w:hAnsi="Times New Roman" w:cs="Times New Roman"/>
          <w:sz w:val="24"/>
          <w:szCs w:val="24"/>
        </w:rPr>
        <w:t>born during 1973–2002 for the index males. All individuals were followed up from their third birthday to December 31, 2009 for ADHD diagnosis. Logistic regression models were used to estimate the association between overweight/obesity in index males and ADHD in their full siblings.</w:t>
      </w:r>
    </w:p>
    <w:p w14:paraId="09832CB0" w14:textId="77777777" w:rsidR="00952ED6" w:rsidRDefault="00952ED6" w:rsidP="00CE33B9">
      <w:pPr>
        <w:autoSpaceDE w:val="0"/>
        <w:autoSpaceDN w:val="0"/>
        <w:adjustRightInd w:val="0"/>
        <w:spacing w:after="100" w:afterAutospacing="1" w:line="480" w:lineRule="auto"/>
        <w:rPr>
          <w:rFonts w:ascii="Times New Roman" w:hAnsi="Times New Roman" w:cs="Times New Roman"/>
          <w:sz w:val="24"/>
          <w:szCs w:val="24"/>
        </w:rPr>
      </w:pPr>
      <w:r>
        <w:rPr>
          <w:rFonts w:ascii="Times New Roman" w:hAnsi="Times New Roman" w:cs="Times New Roman"/>
          <w:b/>
          <w:sz w:val="24"/>
          <w:szCs w:val="24"/>
        </w:rPr>
        <w:t xml:space="preserve">Results: </w:t>
      </w:r>
      <w:r w:rsidRPr="00EE63C2">
        <w:rPr>
          <w:rFonts w:ascii="Times New Roman" w:hAnsi="Times New Roman" w:cs="Times New Roman"/>
          <w:sz w:val="24"/>
          <w:szCs w:val="24"/>
        </w:rPr>
        <w:t>Siblings of index males</w:t>
      </w:r>
      <w:r>
        <w:rPr>
          <w:rFonts w:ascii="Times New Roman" w:hAnsi="Times New Roman" w:cs="Times New Roman"/>
          <w:sz w:val="24"/>
          <w:szCs w:val="24"/>
        </w:rPr>
        <w:t xml:space="preserve"> with overweight/obesity had increased risk for ADHD (Overweight: </w:t>
      </w:r>
      <w:r w:rsidRPr="006E0EC8">
        <w:rPr>
          <w:rFonts w:ascii="Times New Roman" w:hAnsi="Times New Roman" w:cs="Times New Roman"/>
          <w:sz w:val="24"/>
          <w:szCs w:val="24"/>
        </w:rPr>
        <w:t>OR</w:t>
      </w:r>
      <w:r>
        <w:rPr>
          <w:rFonts w:ascii="Times New Roman" w:hAnsi="Times New Roman" w:cs="Times New Roman"/>
          <w:sz w:val="24"/>
          <w:szCs w:val="24"/>
        </w:rPr>
        <w:t>=</w:t>
      </w:r>
      <w:r w:rsidRPr="006E0EC8">
        <w:rPr>
          <w:rFonts w:ascii="Times New Roman" w:hAnsi="Times New Roman" w:cs="Times New Roman"/>
          <w:sz w:val="24"/>
          <w:szCs w:val="24"/>
        </w:rPr>
        <w:t>1.1</w:t>
      </w:r>
      <w:r>
        <w:rPr>
          <w:rFonts w:ascii="Times New Roman" w:hAnsi="Times New Roman" w:cs="Times New Roman"/>
          <w:sz w:val="24"/>
          <w:szCs w:val="24"/>
        </w:rPr>
        <w:t xml:space="preserve">4, 95% CI=1.05–1.24; Obesity: </w:t>
      </w:r>
      <w:r w:rsidRPr="006E0EC8">
        <w:rPr>
          <w:rFonts w:ascii="Times New Roman" w:hAnsi="Times New Roman" w:cs="Times New Roman"/>
          <w:sz w:val="24"/>
          <w:szCs w:val="24"/>
        </w:rPr>
        <w:t>OR</w:t>
      </w:r>
      <w:r>
        <w:rPr>
          <w:rFonts w:ascii="Times New Roman" w:hAnsi="Times New Roman" w:cs="Times New Roman"/>
          <w:sz w:val="24"/>
          <w:szCs w:val="24"/>
        </w:rPr>
        <w:t>=</w:t>
      </w:r>
      <w:r w:rsidRPr="006E0EC8">
        <w:rPr>
          <w:rFonts w:ascii="Times New Roman" w:hAnsi="Times New Roman" w:cs="Times New Roman"/>
          <w:sz w:val="24"/>
          <w:szCs w:val="24"/>
        </w:rPr>
        <w:t>1.4</w:t>
      </w:r>
      <w:r>
        <w:rPr>
          <w:rFonts w:ascii="Times New Roman" w:hAnsi="Times New Roman" w:cs="Times New Roman"/>
          <w:sz w:val="24"/>
          <w:szCs w:val="24"/>
        </w:rPr>
        <w:t xml:space="preserve">2, 95% CI=1.24–1.63), compared with siblings of index males with normal weight. The results were adjusted for birth year of the male index and sex of the sibling. </w:t>
      </w:r>
      <w:r w:rsidRPr="006E0EC8">
        <w:rPr>
          <w:rFonts w:ascii="Times New Roman" w:hAnsi="Times New Roman" w:cs="Times New Roman"/>
          <w:sz w:val="24"/>
          <w:szCs w:val="24"/>
        </w:rPr>
        <w:t xml:space="preserve">After </w:t>
      </w:r>
      <w:r>
        <w:rPr>
          <w:rFonts w:ascii="Times New Roman" w:hAnsi="Times New Roman" w:cs="Times New Roman"/>
          <w:sz w:val="24"/>
          <w:szCs w:val="24"/>
        </w:rPr>
        <w:t xml:space="preserve">further adjustment for </w:t>
      </w:r>
      <w:r w:rsidRPr="006E0EC8">
        <w:rPr>
          <w:rFonts w:ascii="Times New Roman" w:hAnsi="Times New Roman" w:cs="Times New Roman"/>
          <w:sz w:val="24"/>
          <w:szCs w:val="24"/>
        </w:rPr>
        <w:t>ADHD status of</w:t>
      </w:r>
      <w:r>
        <w:rPr>
          <w:rFonts w:ascii="Times New Roman" w:hAnsi="Times New Roman" w:cs="Times New Roman"/>
          <w:sz w:val="24"/>
          <w:szCs w:val="24"/>
        </w:rPr>
        <w:t xml:space="preserve"> the index male</w:t>
      </w:r>
      <w:r w:rsidRPr="006E0EC8">
        <w:rPr>
          <w:rFonts w:ascii="Times New Roman" w:hAnsi="Times New Roman" w:cs="Times New Roman"/>
          <w:sz w:val="24"/>
          <w:szCs w:val="24"/>
        </w:rPr>
        <w:t xml:space="preserve">, </w:t>
      </w:r>
      <w:r>
        <w:rPr>
          <w:rFonts w:ascii="Times New Roman" w:hAnsi="Times New Roman" w:cs="Times New Roman"/>
          <w:sz w:val="24"/>
          <w:szCs w:val="24"/>
        </w:rPr>
        <w:t>the familial co-aggregation remained significant</w:t>
      </w:r>
      <w:r w:rsidRPr="006E0EC8">
        <w:rPr>
          <w:rFonts w:ascii="Times New Roman" w:hAnsi="Times New Roman" w:cs="Times New Roman"/>
          <w:sz w:val="24"/>
          <w:szCs w:val="24"/>
        </w:rPr>
        <w:t xml:space="preserve"> (</w:t>
      </w:r>
      <w:r>
        <w:rPr>
          <w:rFonts w:ascii="Times New Roman" w:hAnsi="Times New Roman" w:cs="Times New Roman"/>
          <w:sz w:val="24"/>
          <w:szCs w:val="24"/>
        </w:rPr>
        <w:t xml:space="preserve">Overweight: </w:t>
      </w:r>
      <w:r w:rsidRPr="006E0EC8">
        <w:rPr>
          <w:rFonts w:ascii="Times New Roman" w:hAnsi="Times New Roman" w:cs="Times New Roman"/>
          <w:sz w:val="24"/>
          <w:szCs w:val="24"/>
        </w:rPr>
        <w:t>OR</w:t>
      </w:r>
      <w:r>
        <w:rPr>
          <w:rFonts w:ascii="Times New Roman" w:hAnsi="Times New Roman" w:cs="Times New Roman"/>
          <w:sz w:val="24"/>
          <w:szCs w:val="24"/>
        </w:rPr>
        <w:t xml:space="preserve">=1.26, 95% CI=1.04–1.22; Obesity: </w:t>
      </w:r>
      <w:r w:rsidRPr="006E0EC8">
        <w:rPr>
          <w:rFonts w:ascii="Times New Roman" w:hAnsi="Times New Roman" w:cs="Times New Roman"/>
          <w:sz w:val="24"/>
          <w:szCs w:val="24"/>
        </w:rPr>
        <w:t>OR</w:t>
      </w:r>
      <w:r>
        <w:rPr>
          <w:rFonts w:ascii="Times New Roman" w:hAnsi="Times New Roman" w:cs="Times New Roman"/>
          <w:sz w:val="24"/>
          <w:szCs w:val="24"/>
        </w:rPr>
        <w:t>=1.38, 95% CI=1.21–1.57</w:t>
      </w:r>
      <w:r w:rsidRPr="006E0EC8">
        <w:rPr>
          <w:rFonts w:ascii="Times New Roman" w:hAnsi="Times New Roman" w:cs="Times New Roman"/>
          <w:sz w:val="24"/>
          <w:szCs w:val="24"/>
        </w:rPr>
        <w:t xml:space="preserve">). </w:t>
      </w:r>
      <w:r>
        <w:rPr>
          <w:rFonts w:ascii="Times New Roman" w:hAnsi="Times New Roman" w:cs="Times New Roman"/>
          <w:sz w:val="24"/>
          <w:szCs w:val="24"/>
        </w:rPr>
        <w:t>The results were similar across sex of the siblings.</w:t>
      </w:r>
    </w:p>
    <w:p w14:paraId="08560D3E" w14:textId="77777777" w:rsidR="00952ED6" w:rsidRDefault="00952ED6" w:rsidP="00CE33B9">
      <w:pPr>
        <w:autoSpaceDE w:val="0"/>
        <w:autoSpaceDN w:val="0"/>
        <w:adjustRightInd w:val="0"/>
        <w:spacing w:after="100" w:afterAutospacing="1" w:line="480" w:lineRule="auto"/>
        <w:rPr>
          <w:rFonts w:ascii="Times New Roman" w:hAnsi="Times New Roman" w:cs="Times New Roman"/>
          <w:sz w:val="24"/>
          <w:szCs w:val="24"/>
        </w:rPr>
      </w:pPr>
      <w:r w:rsidRPr="00B07259">
        <w:rPr>
          <w:rFonts w:ascii="Times New Roman" w:hAnsi="Times New Roman" w:cs="Times New Roman"/>
          <w:b/>
          <w:sz w:val="24"/>
          <w:szCs w:val="24"/>
        </w:rPr>
        <w:t>C</w:t>
      </w:r>
      <w:r>
        <w:rPr>
          <w:rFonts w:ascii="Times New Roman" w:hAnsi="Times New Roman" w:cs="Times New Roman"/>
          <w:b/>
          <w:sz w:val="24"/>
          <w:szCs w:val="24"/>
        </w:rPr>
        <w:t>onclusions</w:t>
      </w:r>
      <w:r w:rsidRPr="00B07259">
        <w:rPr>
          <w:rFonts w:ascii="Times New Roman" w:hAnsi="Times New Roman" w:cs="Times New Roman"/>
          <w:b/>
          <w:sz w:val="24"/>
          <w:szCs w:val="24"/>
        </w:rPr>
        <w:t>:</w:t>
      </w:r>
      <w:r w:rsidRPr="00B07259">
        <w:rPr>
          <w:rFonts w:ascii="Times New Roman" w:hAnsi="Times New Roman" w:cs="Times New Roman"/>
          <w:sz w:val="24"/>
          <w:szCs w:val="24"/>
        </w:rPr>
        <w:t xml:space="preserve"> </w:t>
      </w:r>
      <w:r w:rsidRPr="00B9039F">
        <w:rPr>
          <w:rFonts w:ascii="Times New Roman" w:hAnsi="Times New Roman" w:cs="Times New Roman"/>
          <w:sz w:val="24"/>
          <w:szCs w:val="24"/>
          <w:highlight w:val="yellow"/>
        </w:rPr>
        <w:t xml:space="preserve">ADHD and overweight/obesity share familial risk factors, which </w:t>
      </w:r>
      <w:r w:rsidRPr="00B9039F">
        <w:rPr>
          <w:rFonts w:ascii="Times New Roman" w:eastAsia="Times New Roman" w:hAnsi="Times New Roman" w:cs="Times New Roman"/>
          <w:color w:val="000000"/>
          <w:sz w:val="24"/>
          <w:szCs w:val="24"/>
          <w:highlight w:val="yellow"/>
        </w:rPr>
        <w:t>are not limited to those causing overweight/obesity through the mediation of ADHD</w:t>
      </w:r>
      <w:r w:rsidRPr="00B9039F">
        <w:rPr>
          <w:rFonts w:ascii="Times New Roman" w:hAnsi="Times New Roman" w:cs="Times New Roman"/>
          <w:sz w:val="24"/>
          <w:szCs w:val="24"/>
          <w:highlight w:val="yellow"/>
        </w:rPr>
        <w:t xml:space="preserve">. Future </w:t>
      </w:r>
      <w:r w:rsidRPr="005D7760">
        <w:rPr>
          <w:rFonts w:ascii="Times New Roman" w:hAnsi="Times New Roman" w:cs="Times New Roman"/>
          <w:sz w:val="24"/>
          <w:szCs w:val="24"/>
          <w:highlight w:val="yellow"/>
        </w:rPr>
        <w:t>research aiming at identifying family-wide environmental risk factors as well as common pleiotropic genetic variants contributing to both traits is warranted.</w:t>
      </w:r>
    </w:p>
    <w:p w14:paraId="6846CAEE" w14:textId="77777777" w:rsidR="00952ED6" w:rsidRPr="00C03459" w:rsidRDefault="00952ED6" w:rsidP="00EC7997">
      <w:pPr>
        <w:spacing w:after="100" w:afterAutospacing="1" w:line="480" w:lineRule="auto"/>
        <w:rPr>
          <w:rFonts w:ascii="Times New Roman" w:hAnsi="Times New Roman" w:cs="Times New Roman"/>
          <w:color w:val="010101"/>
        </w:rPr>
      </w:pPr>
      <w:r w:rsidRPr="00C03459">
        <w:rPr>
          <w:rFonts w:ascii="Times New Roman" w:hAnsi="Times New Roman" w:cs="Times New Roman"/>
          <w:b/>
          <w:color w:val="010101"/>
        </w:rPr>
        <w:t>Keywords:</w:t>
      </w:r>
      <w:r w:rsidRPr="00C03459">
        <w:rPr>
          <w:rFonts w:ascii="Times New Roman" w:hAnsi="Times New Roman" w:cs="Times New Roman"/>
          <w:color w:val="010101"/>
        </w:rPr>
        <w:t xml:space="preserve"> ADHD; </w:t>
      </w:r>
      <w:r>
        <w:rPr>
          <w:rFonts w:ascii="Times New Roman" w:hAnsi="Times New Roman" w:cs="Times New Roman"/>
          <w:color w:val="010101"/>
        </w:rPr>
        <w:t>Obesity</w:t>
      </w:r>
      <w:r w:rsidRPr="00C03459">
        <w:rPr>
          <w:rFonts w:ascii="Times New Roman" w:hAnsi="Times New Roman" w:cs="Times New Roman"/>
          <w:color w:val="010101"/>
        </w:rPr>
        <w:t xml:space="preserve">; </w:t>
      </w:r>
      <w:r>
        <w:rPr>
          <w:rFonts w:ascii="Times New Roman" w:hAnsi="Times New Roman" w:cs="Times New Roman"/>
          <w:color w:val="010101"/>
        </w:rPr>
        <w:t>Family factors; Genetics</w:t>
      </w:r>
    </w:p>
    <w:p w14:paraId="7EE3EA45" w14:textId="77777777" w:rsidR="00952ED6" w:rsidRDefault="00952ED6" w:rsidP="00CE33B9">
      <w:pPr>
        <w:autoSpaceDE w:val="0"/>
        <w:autoSpaceDN w:val="0"/>
        <w:adjustRightInd w:val="0"/>
        <w:spacing w:after="100" w:afterAutospacing="1" w:line="480" w:lineRule="auto"/>
        <w:rPr>
          <w:rFonts w:ascii="Times New Roman" w:hAnsi="Times New Roman" w:cs="Times New Roman"/>
          <w:sz w:val="24"/>
          <w:szCs w:val="24"/>
        </w:rPr>
        <w:sectPr w:rsidR="00952ED6" w:rsidSect="00B558C7">
          <w:footerReference w:type="default" r:id="rId8"/>
          <w:pgSz w:w="11900" w:h="16840"/>
          <w:pgMar w:top="1440" w:right="1800" w:bottom="1440" w:left="1800" w:header="708" w:footer="708" w:gutter="0"/>
          <w:cols w:space="708"/>
          <w:docGrid w:linePitch="360"/>
        </w:sectPr>
      </w:pPr>
    </w:p>
    <w:p w14:paraId="089F42CB" w14:textId="77777777" w:rsidR="00952ED6" w:rsidRPr="00B07259" w:rsidRDefault="00952ED6" w:rsidP="00CE33B9">
      <w:pPr>
        <w:autoSpaceDE w:val="0"/>
        <w:autoSpaceDN w:val="0"/>
        <w:adjustRightInd w:val="0"/>
        <w:spacing w:after="100" w:afterAutospacing="1" w:line="480" w:lineRule="auto"/>
        <w:rPr>
          <w:rFonts w:ascii="Times New Roman" w:hAnsi="Times New Roman" w:cs="Times New Roman"/>
          <w:b/>
          <w:sz w:val="24"/>
          <w:szCs w:val="24"/>
        </w:rPr>
      </w:pPr>
      <w:r w:rsidRPr="00B07259">
        <w:rPr>
          <w:rFonts w:ascii="Times New Roman" w:hAnsi="Times New Roman" w:cs="Times New Roman"/>
          <w:b/>
          <w:sz w:val="24"/>
          <w:szCs w:val="24"/>
        </w:rPr>
        <w:lastRenderedPageBreak/>
        <w:t>Introduction</w:t>
      </w:r>
    </w:p>
    <w:p w14:paraId="60D2249C" w14:textId="77777777" w:rsidR="00952ED6" w:rsidRPr="00B07259" w:rsidRDefault="00952ED6" w:rsidP="00CE33B9">
      <w:pPr>
        <w:spacing w:after="100" w:afterAutospacing="1" w:line="480" w:lineRule="auto"/>
        <w:rPr>
          <w:rFonts w:ascii="Times New Roman" w:hAnsi="Times New Roman" w:cs="Times New Roman"/>
          <w:sz w:val="24"/>
          <w:szCs w:val="24"/>
        </w:rPr>
      </w:pPr>
      <w:r w:rsidRPr="00B07259">
        <w:rPr>
          <w:rFonts w:ascii="Times New Roman" w:hAnsi="Times New Roman" w:cs="Times New Roman"/>
          <w:sz w:val="24"/>
          <w:szCs w:val="24"/>
        </w:rPr>
        <w:t>The wo</w:t>
      </w:r>
      <w:r>
        <w:rPr>
          <w:rFonts w:ascii="Times New Roman" w:hAnsi="Times New Roman" w:cs="Times New Roman"/>
          <w:sz w:val="24"/>
          <w:szCs w:val="24"/>
        </w:rPr>
        <w:t>rldwide prevalence of attention-d</w:t>
      </w:r>
      <w:r w:rsidRPr="00B07259">
        <w:rPr>
          <w:rFonts w:ascii="Times New Roman" w:hAnsi="Times New Roman" w:cs="Times New Roman"/>
          <w:sz w:val="24"/>
          <w:szCs w:val="24"/>
        </w:rPr>
        <w:t>efic</w:t>
      </w:r>
      <w:r>
        <w:rPr>
          <w:rFonts w:ascii="Times New Roman" w:hAnsi="Times New Roman" w:cs="Times New Roman"/>
          <w:sz w:val="24"/>
          <w:szCs w:val="24"/>
        </w:rPr>
        <w:t>it/hyperactivity d</w:t>
      </w:r>
      <w:r w:rsidRPr="00B07259">
        <w:rPr>
          <w:rFonts w:ascii="Times New Roman" w:hAnsi="Times New Roman" w:cs="Times New Roman"/>
          <w:sz w:val="24"/>
          <w:szCs w:val="24"/>
        </w:rPr>
        <w:t xml:space="preserve">isorder (ADHD) is estimated to be </w:t>
      </w:r>
      <w:r>
        <w:rPr>
          <w:rFonts w:ascii="Times New Roman" w:hAnsi="Times New Roman" w:cs="Times New Roman"/>
          <w:sz w:val="24"/>
          <w:szCs w:val="24"/>
        </w:rPr>
        <w:t>3</w:t>
      </w:r>
      <w:r w:rsidRPr="00B07259">
        <w:rPr>
          <w:rFonts w:ascii="Times New Roman" w:hAnsi="Times New Roman" w:cs="Times New Roman"/>
          <w:sz w:val="24"/>
          <w:szCs w:val="24"/>
        </w:rPr>
        <w:t>.</w:t>
      </w:r>
      <w:r>
        <w:rPr>
          <w:rFonts w:ascii="Times New Roman" w:hAnsi="Times New Roman" w:cs="Times New Roman"/>
          <w:sz w:val="24"/>
          <w:szCs w:val="24"/>
        </w:rPr>
        <w:t>4–</w:t>
      </w:r>
      <w:r w:rsidRPr="00B07259">
        <w:rPr>
          <w:rFonts w:ascii="Times New Roman" w:hAnsi="Times New Roman" w:cs="Times New Roman"/>
          <w:sz w:val="24"/>
          <w:szCs w:val="24"/>
        </w:rPr>
        <w:t>7.2% in children and adolescents</w:t>
      </w:r>
      <w:r>
        <w:rPr>
          <w:rFonts w:ascii="Times New Roman" w:hAnsi="Times New Roman" w:cs="Times New Roman"/>
          <w:sz w:val="24"/>
          <w:szCs w:val="24"/>
        </w:rPr>
        <w:t xml:space="preserve"> </w:t>
      </w:r>
      <w:r w:rsidRPr="003D0026">
        <w:rPr>
          <w:rFonts w:ascii="Times New Roman" w:hAnsi="Times New Roman" w:cs="Times New Roman"/>
          <w:noProof/>
          <w:sz w:val="24"/>
          <w:szCs w:val="24"/>
        </w:rPr>
        <w:t>(Polanczyk et al., 2015, Thomas et al., 2015)</w:t>
      </w:r>
      <w:r w:rsidRPr="003D0026">
        <w:rPr>
          <w:rFonts w:ascii="Times New Roman" w:hAnsi="Times New Roman" w:cs="Times New Roman"/>
          <w:sz w:val="24"/>
          <w:szCs w:val="24"/>
        </w:rPr>
        <w:t xml:space="preserve"> and</w:t>
      </w:r>
      <w:r w:rsidRPr="00B07259">
        <w:rPr>
          <w:rFonts w:ascii="Times New Roman" w:hAnsi="Times New Roman" w:cs="Times New Roman"/>
          <w:sz w:val="24"/>
          <w:szCs w:val="24"/>
        </w:rPr>
        <w:t xml:space="preserve"> 2.5</w:t>
      </w:r>
      <w:r>
        <w:rPr>
          <w:rFonts w:ascii="Times New Roman" w:hAnsi="Times New Roman" w:cs="Times New Roman"/>
          <w:sz w:val="24"/>
          <w:szCs w:val="24"/>
        </w:rPr>
        <w:t>–</w:t>
      </w:r>
      <w:r w:rsidRPr="00B07259">
        <w:rPr>
          <w:rFonts w:ascii="Times New Roman" w:hAnsi="Times New Roman" w:cs="Times New Roman"/>
          <w:sz w:val="24"/>
          <w:szCs w:val="24"/>
        </w:rPr>
        <w:t>3.4% in adults</w:t>
      </w:r>
      <w:r>
        <w:rPr>
          <w:rFonts w:ascii="Times New Roman" w:hAnsi="Times New Roman" w:cs="Times New Roman"/>
          <w:sz w:val="24"/>
          <w:szCs w:val="24"/>
        </w:rPr>
        <w:t xml:space="preserve"> </w:t>
      </w:r>
      <w:r w:rsidRPr="00955A98">
        <w:rPr>
          <w:rFonts w:ascii="Times New Roman" w:hAnsi="Times New Roman" w:cs="Times New Roman"/>
          <w:noProof/>
          <w:sz w:val="24"/>
          <w:szCs w:val="24"/>
        </w:rPr>
        <w:t>(Fayyad et al., 2007, Simon et al., 2009)</w:t>
      </w:r>
      <w:r w:rsidRPr="00955A98">
        <w:rPr>
          <w:rFonts w:ascii="Times New Roman" w:hAnsi="Times New Roman" w:cs="Times New Roman"/>
          <w:sz w:val="24"/>
          <w:szCs w:val="24"/>
        </w:rPr>
        <w:t xml:space="preserve">. ADHD is associated with increased risk of severe adverse outcomes in multiple domains, resulting in substantial negative influence on affected individuals, their families, and society at large </w:t>
      </w:r>
      <w:r w:rsidRPr="00955A98">
        <w:rPr>
          <w:rFonts w:ascii="Times New Roman" w:hAnsi="Times New Roman" w:cs="Times New Roman"/>
          <w:noProof/>
          <w:sz w:val="24"/>
          <w:szCs w:val="24"/>
        </w:rPr>
        <w:t>(Chorozoglou et al., 2015)</w:t>
      </w:r>
      <w:r>
        <w:rPr>
          <w:rFonts w:ascii="Times New Roman" w:hAnsi="Times New Roman" w:cs="Times New Roman"/>
          <w:sz w:val="24"/>
          <w:szCs w:val="24"/>
        </w:rPr>
        <w:t>.</w:t>
      </w:r>
    </w:p>
    <w:p w14:paraId="78D35DB8" w14:textId="77777777" w:rsidR="00952ED6" w:rsidRDefault="00952ED6" w:rsidP="00CE33B9">
      <w:pPr>
        <w:spacing w:after="100" w:afterAutospacing="1" w:line="480" w:lineRule="auto"/>
        <w:rPr>
          <w:rFonts w:ascii="Times New Roman" w:hAnsi="Times New Roman" w:cs="Times New Roman"/>
          <w:sz w:val="24"/>
          <w:szCs w:val="24"/>
        </w:rPr>
      </w:pPr>
      <w:r w:rsidRPr="00B07259">
        <w:rPr>
          <w:rFonts w:ascii="Times New Roman" w:hAnsi="Times New Roman" w:cs="Times New Roman"/>
          <w:sz w:val="24"/>
          <w:szCs w:val="24"/>
        </w:rPr>
        <w:t xml:space="preserve">During the last few decades, </w:t>
      </w:r>
      <w:r>
        <w:rPr>
          <w:rFonts w:ascii="Times New Roman" w:hAnsi="Times New Roman" w:cs="Times New Roman"/>
          <w:sz w:val="24"/>
          <w:szCs w:val="24"/>
        </w:rPr>
        <w:t>many countries</w:t>
      </w:r>
      <w:r w:rsidRPr="00B07259">
        <w:rPr>
          <w:rFonts w:ascii="Times New Roman" w:hAnsi="Times New Roman" w:cs="Times New Roman"/>
          <w:sz w:val="24"/>
          <w:szCs w:val="24"/>
        </w:rPr>
        <w:t xml:space="preserve"> have </w:t>
      </w:r>
      <w:r>
        <w:rPr>
          <w:rFonts w:ascii="Times New Roman" w:hAnsi="Times New Roman" w:cs="Times New Roman"/>
          <w:sz w:val="24"/>
          <w:szCs w:val="24"/>
        </w:rPr>
        <w:t>documented</w:t>
      </w:r>
      <w:r w:rsidRPr="00B07259">
        <w:rPr>
          <w:rFonts w:ascii="Times New Roman" w:hAnsi="Times New Roman" w:cs="Times New Roman"/>
          <w:sz w:val="24"/>
          <w:szCs w:val="24"/>
        </w:rPr>
        <w:t xml:space="preserve"> an increase in</w:t>
      </w:r>
      <w:r>
        <w:rPr>
          <w:rFonts w:ascii="Times New Roman" w:hAnsi="Times New Roman" w:cs="Times New Roman"/>
          <w:sz w:val="24"/>
          <w:szCs w:val="24"/>
        </w:rPr>
        <w:t xml:space="preserve"> the</w:t>
      </w:r>
      <w:r w:rsidRPr="00B07259">
        <w:rPr>
          <w:rFonts w:ascii="Times New Roman" w:hAnsi="Times New Roman" w:cs="Times New Roman"/>
          <w:sz w:val="24"/>
          <w:szCs w:val="24"/>
        </w:rPr>
        <w:t xml:space="preserve"> </w:t>
      </w:r>
      <w:r>
        <w:rPr>
          <w:rFonts w:ascii="Times New Roman" w:hAnsi="Times New Roman" w:cs="Times New Roman"/>
          <w:sz w:val="24"/>
          <w:szCs w:val="24"/>
        </w:rPr>
        <w:t xml:space="preserve">body mass index (BMI) of their populations </w:t>
      </w:r>
      <w:r>
        <w:rPr>
          <w:rFonts w:ascii="Times New Roman" w:hAnsi="Times New Roman" w:cs="Times New Roman"/>
          <w:noProof/>
          <w:sz w:val="24"/>
          <w:szCs w:val="24"/>
        </w:rPr>
        <w:t>(Neovius et al., 2006, Neovius et al., 2013, Wang and Beydoun, 2007)</w:t>
      </w:r>
      <w:r>
        <w:rPr>
          <w:rFonts w:ascii="Times New Roman" w:hAnsi="Times New Roman" w:cs="Times New Roman"/>
          <w:sz w:val="24"/>
          <w:szCs w:val="24"/>
        </w:rPr>
        <w:t>.</w:t>
      </w:r>
      <w:r w:rsidRPr="00B0725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07259">
        <w:rPr>
          <w:rFonts w:ascii="Times New Roman" w:hAnsi="Times New Roman" w:cs="Times New Roman"/>
          <w:sz w:val="24"/>
          <w:szCs w:val="24"/>
        </w:rPr>
        <w:t xml:space="preserve">prevalence of obesity in adults </w:t>
      </w:r>
      <w:r>
        <w:rPr>
          <w:rFonts w:ascii="Times New Roman" w:hAnsi="Times New Roman" w:cs="Times New Roman"/>
          <w:sz w:val="24"/>
          <w:szCs w:val="24"/>
        </w:rPr>
        <w:t>has been</w:t>
      </w:r>
      <w:r w:rsidRPr="00B07259">
        <w:rPr>
          <w:rFonts w:ascii="Times New Roman" w:hAnsi="Times New Roman" w:cs="Times New Roman"/>
          <w:sz w:val="24"/>
          <w:szCs w:val="24"/>
        </w:rPr>
        <w:t xml:space="preserve"> estimated to be more than 10% in Sweden</w:t>
      </w:r>
      <w:r>
        <w:rPr>
          <w:rFonts w:ascii="Times New Roman" w:hAnsi="Times New Roman" w:cs="Times New Roman"/>
          <w:sz w:val="24"/>
          <w:szCs w:val="24"/>
        </w:rPr>
        <w:t xml:space="preserve"> </w:t>
      </w:r>
      <w:r>
        <w:rPr>
          <w:rFonts w:ascii="Times New Roman" w:hAnsi="Times New Roman" w:cs="Times New Roman"/>
          <w:noProof/>
          <w:sz w:val="24"/>
          <w:szCs w:val="24"/>
        </w:rPr>
        <w:t>(Neovius et al., 2013)</w:t>
      </w:r>
      <w:r w:rsidRPr="00B07259">
        <w:rPr>
          <w:rFonts w:ascii="Times New Roman" w:hAnsi="Times New Roman" w:cs="Times New Roman"/>
          <w:sz w:val="24"/>
          <w:szCs w:val="24"/>
        </w:rPr>
        <w:t xml:space="preserve"> and 34.9% in the United States</w:t>
      </w:r>
      <w:r>
        <w:rPr>
          <w:rFonts w:ascii="Times New Roman" w:hAnsi="Times New Roman" w:cs="Times New Roman"/>
          <w:sz w:val="24"/>
          <w:szCs w:val="24"/>
        </w:rPr>
        <w:t xml:space="preserve"> </w:t>
      </w:r>
      <w:r>
        <w:rPr>
          <w:rFonts w:ascii="Times New Roman" w:hAnsi="Times New Roman" w:cs="Times New Roman"/>
          <w:noProof/>
          <w:sz w:val="24"/>
          <w:szCs w:val="24"/>
        </w:rPr>
        <w:t>(Ogden et al., 2014)</w:t>
      </w:r>
      <w:r>
        <w:rPr>
          <w:rFonts w:ascii="Times New Roman" w:hAnsi="Times New Roman" w:cs="Times New Roman"/>
          <w:sz w:val="24"/>
          <w:szCs w:val="24"/>
        </w:rPr>
        <w:t xml:space="preserve">. </w:t>
      </w:r>
      <w:r w:rsidRPr="00B07259">
        <w:rPr>
          <w:rFonts w:ascii="Times New Roman" w:hAnsi="Times New Roman" w:cs="Times New Roman"/>
          <w:sz w:val="24"/>
          <w:szCs w:val="24"/>
        </w:rPr>
        <w:t xml:space="preserve">Given its adverse impact on health and quality of life, obesity </w:t>
      </w:r>
      <w:r>
        <w:rPr>
          <w:rFonts w:ascii="Times New Roman" w:hAnsi="Times New Roman" w:cs="Times New Roman"/>
          <w:sz w:val="24"/>
          <w:szCs w:val="24"/>
        </w:rPr>
        <w:t>imposes</w:t>
      </w:r>
      <w:r w:rsidRPr="00B07259">
        <w:rPr>
          <w:rFonts w:ascii="Times New Roman" w:hAnsi="Times New Roman" w:cs="Times New Roman"/>
          <w:sz w:val="24"/>
          <w:szCs w:val="24"/>
        </w:rPr>
        <w:t xml:space="preserve"> considerable economic </w:t>
      </w:r>
      <w:r w:rsidRPr="00C30738">
        <w:rPr>
          <w:rFonts w:ascii="Times New Roman" w:hAnsi="Times New Roman" w:cs="Times New Roman"/>
          <w:sz w:val="24"/>
          <w:szCs w:val="24"/>
        </w:rPr>
        <w:t>burden to individuals and public health systems</w:t>
      </w:r>
      <w:r>
        <w:rPr>
          <w:rFonts w:ascii="Times New Roman" w:hAnsi="Times New Roman" w:cs="Times New Roman"/>
          <w:sz w:val="24"/>
          <w:szCs w:val="24"/>
        </w:rPr>
        <w:t xml:space="preserve"> </w:t>
      </w:r>
      <w:r>
        <w:rPr>
          <w:rFonts w:ascii="Times New Roman" w:hAnsi="Times New Roman" w:cs="Times New Roman"/>
          <w:noProof/>
          <w:sz w:val="24"/>
          <w:szCs w:val="24"/>
        </w:rPr>
        <w:t>(Muller-Riemenschneider et al., 2008)</w:t>
      </w:r>
      <w:r>
        <w:rPr>
          <w:rFonts w:ascii="Times New Roman" w:hAnsi="Times New Roman" w:cs="Times New Roman"/>
          <w:sz w:val="24"/>
          <w:szCs w:val="24"/>
        </w:rPr>
        <w:t>.</w:t>
      </w:r>
    </w:p>
    <w:p w14:paraId="5FBF4F02" w14:textId="77777777" w:rsidR="00952ED6" w:rsidRPr="0095143D" w:rsidRDefault="00952ED6" w:rsidP="005C6DE8">
      <w:pPr>
        <w:autoSpaceDE w:val="0"/>
        <w:autoSpaceDN w:val="0"/>
        <w:adjustRightInd w:val="0"/>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Despite me</w:t>
      </w:r>
      <w:r w:rsidRPr="00C30738">
        <w:rPr>
          <w:rFonts w:ascii="Times New Roman" w:hAnsi="Times New Roman" w:cs="Times New Roman"/>
          <w:sz w:val="24"/>
          <w:szCs w:val="24"/>
        </w:rPr>
        <w:t>ta-analytic evidence</w:t>
      </w:r>
      <w:r>
        <w:rPr>
          <w:rFonts w:ascii="Times New Roman" w:hAnsi="Times New Roman" w:cs="Times New Roman"/>
          <w:sz w:val="24"/>
          <w:szCs w:val="24"/>
        </w:rPr>
        <w:t xml:space="preserve"> for the </w:t>
      </w:r>
      <w:r w:rsidRPr="00C30738">
        <w:rPr>
          <w:rFonts w:ascii="Times New Roman" w:hAnsi="Times New Roman" w:cs="Times New Roman"/>
          <w:sz w:val="24"/>
          <w:szCs w:val="24"/>
        </w:rPr>
        <w:t xml:space="preserve">association between ADHD and obesity </w:t>
      </w:r>
      <w:r>
        <w:rPr>
          <w:rFonts w:ascii="Times New Roman" w:hAnsi="Times New Roman" w:cs="Times New Roman"/>
          <w:sz w:val="24"/>
          <w:szCs w:val="24"/>
        </w:rPr>
        <w:t xml:space="preserve">both in children/adolescents [odds ratio (OR): 1.20] and </w:t>
      </w:r>
      <w:r w:rsidRPr="00C30738">
        <w:rPr>
          <w:rFonts w:ascii="Times New Roman" w:hAnsi="Times New Roman" w:cs="Times New Roman"/>
          <w:sz w:val="24"/>
          <w:szCs w:val="24"/>
        </w:rPr>
        <w:t>adults</w:t>
      </w:r>
      <w:r>
        <w:rPr>
          <w:rFonts w:ascii="Times New Roman" w:hAnsi="Times New Roman" w:cs="Times New Roman"/>
          <w:sz w:val="24"/>
          <w:szCs w:val="24"/>
        </w:rPr>
        <w:t xml:space="preserve"> (OR: 1.55) </w:t>
      </w:r>
      <w:r>
        <w:rPr>
          <w:rFonts w:ascii="Times New Roman" w:hAnsi="Times New Roman" w:cs="Times New Roman"/>
          <w:noProof/>
          <w:sz w:val="24"/>
          <w:szCs w:val="24"/>
        </w:rPr>
        <w:t>(Cortese et al., 2015)</w:t>
      </w:r>
      <w:r>
        <w:rPr>
          <w:rFonts w:ascii="Times New Roman" w:hAnsi="Times New Roman" w:cs="Times New Roman"/>
          <w:sz w:val="24"/>
          <w:szCs w:val="24"/>
        </w:rPr>
        <w:t xml:space="preserve">, </w:t>
      </w:r>
      <w:r w:rsidRPr="00C30738">
        <w:rPr>
          <w:rFonts w:ascii="Times New Roman" w:hAnsi="Times New Roman" w:cs="Times New Roman"/>
          <w:sz w:val="24"/>
          <w:szCs w:val="24"/>
        </w:rPr>
        <w:t xml:space="preserve">the mechanisms </w:t>
      </w:r>
      <w:r>
        <w:rPr>
          <w:rFonts w:ascii="Times New Roman" w:hAnsi="Times New Roman" w:cs="Times New Roman"/>
          <w:sz w:val="24"/>
          <w:szCs w:val="24"/>
        </w:rPr>
        <w:t>underlying</w:t>
      </w:r>
      <w:r w:rsidRPr="00C30738">
        <w:rPr>
          <w:rFonts w:ascii="Times New Roman" w:hAnsi="Times New Roman" w:cs="Times New Roman"/>
          <w:sz w:val="24"/>
          <w:szCs w:val="24"/>
        </w:rPr>
        <w:t xml:space="preserve"> the association are yet to be fully understood.</w:t>
      </w:r>
      <w:r>
        <w:rPr>
          <w:rFonts w:ascii="Times New Roman" w:hAnsi="Times New Roman" w:cs="Times New Roman"/>
          <w:sz w:val="24"/>
          <w:szCs w:val="24"/>
        </w:rPr>
        <w:t xml:space="preserve"> The impulsive and inattentive components of ADHD might have direct effects on obesity through the mediation of </w:t>
      </w:r>
      <w:r w:rsidRPr="003D0026">
        <w:rPr>
          <w:rFonts w:ascii="Times New Roman" w:hAnsi="Times New Roman" w:cs="Times New Roman"/>
          <w:sz w:val="24"/>
          <w:szCs w:val="24"/>
        </w:rPr>
        <w:t>disordered</w:t>
      </w:r>
      <w:r>
        <w:rPr>
          <w:rFonts w:ascii="Times New Roman" w:hAnsi="Times New Roman" w:cs="Times New Roman"/>
          <w:sz w:val="24"/>
          <w:szCs w:val="24"/>
        </w:rPr>
        <w:t xml:space="preserve"> eating patterns and poor planning, respectively </w:t>
      </w:r>
      <w:r>
        <w:rPr>
          <w:rFonts w:ascii="Times New Roman" w:hAnsi="Times New Roman" w:cs="Times New Roman"/>
          <w:noProof/>
          <w:sz w:val="24"/>
          <w:szCs w:val="24"/>
        </w:rPr>
        <w:t>(Cortese and Castellanos, 2014)</w:t>
      </w:r>
      <w:r>
        <w:rPr>
          <w:rFonts w:ascii="Times New Roman" w:hAnsi="Times New Roman" w:cs="Times New Roman"/>
          <w:sz w:val="24"/>
          <w:szCs w:val="24"/>
        </w:rPr>
        <w:t xml:space="preserve">. Comorbid psychiatric conditions, such as depression, anxiety, and substance use disorder, might act as confounders and to some extent account for the association between ADHD </w:t>
      </w:r>
      <w:r w:rsidRPr="00D073DB">
        <w:rPr>
          <w:rFonts w:ascii="Times New Roman" w:hAnsi="Times New Roman" w:cs="Times New Roman"/>
          <w:sz w:val="24"/>
          <w:szCs w:val="24"/>
        </w:rPr>
        <w:t>and obesity</w:t>
      </w:r>
      <w:r>
        <w:rPr>
          <w:rFonts w:ascii="Times New Roman" w:hAnsi="Times New Roman" w:cs="Times New Roman"/>
          <w:sz w:val="24"/>
          <w:szCs w:val="24"/>
        </w:rPr>
        <w:t xml:space="preserve"> </w:t>
      </w:r>
      <w:r>
        <w:rPr>
          <w:rFonts w:ascii="Times New Roman" w:hAnsi="Times New Roman" w:cs="Times New Roman"/>
          <w:noProof/>
          <w:sz w:val="24"/>
          <w:szCs w:val="24"/>
        </w:rPr>
        <w:t>(Luppino et al., 2010, Gariepy et al., 2010, Cortese et al., 2015)</w:t>
      </w:r>
      <w:r>
        <w:rPr>
          <w:rFonts w:ascii="Times New Roman" w:hAnsi="Times New Roman" w:cs="Times New Roman"/>
          <w:sz w:val="24"/>
          <w:szCs w:val="24"/>
        </w:rPr>
        <w:t xml:space="preserve">. Given that both </w:t>
      </w:r>
      <w:r w:rsidRPr="00C30738">
        <w:rPr>
          <w:rFonts w:ascii="Times New Roman" w:hAnsi="Times New Roman" w:cs="Times New Roman"/>
          <w:sz w:val="24"/>
          <w:szCs w:val="24"/>
        </w:rPr>
        <w:t xml:space="preserve">ADHD and </w:t>
      </w:r>
      <w:r>
        <w:rPr>
          <w:rFonts w:ascii="Times New Roman" w:hAnsi="Times New Roman" w:cs="Times New Roman"/>
          <w:sz w:val="24"/>
          <w:szCs w:val="24"/>
        </w:rPr>
        <w:t>obesity</w:t>
      </w:r>
      <w:r w:rsidRPr="00C30738">
        <w:rPr>
          <w:rFonts w:ascii="Times New Roman" w:hAnsi="Times New Roman" w:cs="Times New Roman"/>
          <w:sz w:val="24"/>
          <w:szCs w:val="24"/>
        </w:rPr>
        <w:t xml:space="preserve"> are highly heritable complex </w:t>
      </w:r>
      <w:r>
        <w:rPr>
          <w:rFonts w:ascii="Times New Roman" w:hAnsi="Times New Roman" w:cs="Times New Roman"/>
          <w:sz w:val="24"/>
          <w:szCs w:val="24"/>
        </w:rPr>
        <w:t xml:space="preserve">conditions </w:t>
      </w:r>
      <w:r>
        <w:rPr>
          <w:rFonts w:ascii="Times New Roman" w:hAnsi="Times New Roman" w:cs="Times New Roman"/>
          <w:noProof/>
          <w:sz w:val="24"/>
          <w:szCs w:val="24"/>
        </w:rPr>
        <w:t>(Faraone et al., 2005, Chang et al., 2013, Locke et al., 2015)</w:t>
      </w:r>
      <w:r>
        <w:rPr>
          <w:rFonts w:ascii="Times New Roman" w:hAnsi="Times New Roman" w:cs="Times New Roman"/>
          <w:sz w:val="24"/>
          <w:szCs w:val="24"/>
        </w:rPr>
        <w:t xml:space="preserve"> and </w:t>
      </w:r>
      <w:r w:rsidRPr="00BD6C80">
        <w:rPr>
          <w:rFonts w:ascii="Times New Roman" w:hAnsi="Times New Roman" w:cs="Times New Roman"/>
          <w:sz w:val="24"/>
          <w:szCs w:val="24"/>
          <w:highlight w:val="yellow"/>
        </w:rPr>
        <w:t>have been found their respective familial aggregation</w:t>
      </w:r>
      <w:r w:rsidRPr="00B0513E">
        <w:rPr>
          <w:rFonts w:ascii="Times New Roman" w:hAnsi="Times New Roman" w:cs="Times New Roman"/>
          <w:sz w:val="24"/>
          <w:szCs w:val="24"/>
        </w:rPr>
        <w:t>,</w:t>
      </w:r>
      <w:r>
        <w:rPr>
          <w:rFonts w:ascii="Times New Roman" w:hAnsi="Times New Roman" w:cs="Times New Roman"/>
          <w:sz w:val="24"/>
          <w:szCs w:val="24"/>
        </w:rPr>
        <w:t xml:space="preserve"> familial risk factors may predispose individuals to both conditions </w:t>
      </w:r>
      <w:r>
        <w:rPr>
          <w:rFonts w:ascii="Times New Roman" w:hAnsi="Times New Roman" w:cs="Times New Roman"/>
          <w:noProof/>
          <w:sz w:val="24"/>
          <w:szCs w:val="24"/>
        </w:rPr>
        <w:t>(Campbell and Eisenberg, 2007)</w:t>
      </w:r>
      <w:r>
        <w:rPr>
          <w:rFonts w:ascii="Times New Roman" w:hAnsi="Times New Roman" w:cs="Times New Roman"/>
          <w:sz w:val="24"/>
          <w:szCs w:val="24"/>
        </w:rPr>
        <w:t>. To date, however, there is a lack of evaluation on t</w:t>
      </w:r>
      <w:r w:rsidRPr="00B07259">
        <w:rPr>
          <w:rFonts w:ascii="Times New Roman" w:hAnsi="Times New Roman" w:cs="Times New Roman"/>
          <w:sz w:val="24"/>
          <w:szCs w:val="24"/>
        </w:rPr>
        <w:t xml:space="preserve">he </w:t>
      </w:r>
      <w:r>
        <w:rPr>
          <w:rFonts w:ascii="Times New Roman" w:hAnsi="Times New Roman" w:cs="Times New Roman"/>
          <w:sz w:val="24"/>
          <w:szCs w:val="24"/>
        </w:rPr>
        <w:t xml:space="preserve">familial co-aggregation of ADHD and overweight/obesity in a population-based family sample. The presence of familial risk factors common </w:t>
      </w:r>
      <w:r w:rsidRPr="0095143D">
        <w:rPr>
          <w:rFonts w:ascii="Times New Roman" w:hAnsi="Times New Roman" w:cs="Times New Roman"/>
          <w:sz w:val="24"/>
          <w:szCs w:val="24"/>
        </w:rPr>
        <w:t>for both ADHD and overweight/obesity has not been rigorously tested.</w:t>
      </w:r>
    </w:p>
    <w:p w14:paraId="4946E09C" w14:textId="77777777" w:rsidR="00952ED6" w:rsidRPr="005B5117" w:rsidRDefault="00952ED6" w:rsidP="000810E6">
      <w:pPr>
        <w:autoSpaceDE w:val="0"/>
        <w:autoSpaceDN w:val="0"/>
        <w:adjustRightInd w:val="0"/>
        <w:spacing w:after="100" w:afterAutospacing="1" w:line="480" w:lineRule="auto"/>
        <w:rPr>
          <w:rFonts w:ascii="Times New Roman" w:hAnsi="Times New Roman" w:cs="Times New Roman"/>
          <w:sz w:val="24"/>
          <w:szCs w:val="24"/>
        </w:rPr>
      </w:pPr>
      <w:r w:rsidRPr="00520C6C">
        <w:rPr>
          <w:rFonts w:ascii="Times New Roman" w:hAnsi="Times New Roman" w:cs="Times New Roman"/>
          <w:sz w:val="24"/>
          <w:szCs w:val="24"/>
          <w:highlight w:val="yellow"/>
        </w:rPr>
        <w:t>Using data from the Swedish national and regional registers, we aimed to first estimate the association between ADHD and overweight/obesity among males, and then to examine whether ADHD and overweight/obesity share familial risk factors via demonstrating the familial co-aggregation of the two conditions in these males and their full siblings. Finally, we tested the hypothesis that the shared familial risk factors are not limited to those causing overweight/obesity through the mediation of ADHD.</w:t>
      </w:r>
    </w:p>
    <w:p w14:paraId="3F239531" w14:textId="77777777" w:rsidR="00952ED6" w:rsidRDefault="00952ED6" w:rsidP="00CE33B9">
      <w:pPr>
        <w:autoSpaceDE w:val="0"/>
        <w:autoSpaceDN w:val="0"/>
        <w:adjustRightInd w:val="0"/>
        <w:spacing w:after="100" w:afterAutospacing="1" w:line="480" w:lineRule="auto"/>
        <w:rPr>
          <w:rFonts w:ascii="Times New Roman" w:hAnsi="Times New Roman" w:cs="Times New Roman"/>
          <w:b/>
          <w:sz w:val="24"/>
          <w:szCs w:val="24"/>
        </w:rPr>
      </w:pPr>
      <w:r>
        <w:rPr>
          <w:rFonts w:ascii="Times New Roman" w:hAnsi="Times New Roman" w:cs="Times New Roman"/>
          <w:b/>
          <w:sz w:val="24"/>
          <w:szCs w:val="24"/>
        </w:rPr>
        <w:t>Methods</w:t>
      </w:r>
    </w:p>
    <w:p w14:paraId="531F4E71" w14:textId="77777777" w:rsidR="00952ED6" w:rsidRPr="00703454" w:rsidRDefault="00952ED6" w:rsidP="00CE33B9">
      <w:pPr>
        <w:spacing w:after="100" w:afterAutospacing="1" w:line="480" w:lineRule="auto"/>
        <w:rPr>
          <w:rFonts w:ascii="Times New Roman" w:hAnsi="Times New Roman" w:cs="Times New Roman"/>
          <w:i/>
          <w:sz w:val="24"/>
          <w:szCs w:val="24"/>
        </w:rPr>
      </w:pPr>
      <w:r w:rsidRPr="00703454">
        <w:rPr>
          <w:rFonts w:ascii="Times New Roman" w:hAnsi="Times New Roman" w:cs="Times New Roman"/>
          <w:i/>
          <w:sz w:val="24"/>
          <w:szCs w:val="24"/>
        </w:rPr>
        <w:t>Data Sources and Study Population</w:t>
      </w:r>
    </w:p>
    <w:p w14:paraId="7311367D" w14:textId="77777777" w:rsidR="00952ED6" w:rsidRDefault="00952ED6" w:rsidP="00CE33B9">
      <w:pPr>
        <w:spacing w:after="100" w:afterAutospacing="1" w:line="480" w:lineRule="auto"/>
        <w:rPr>
          <w:rFonts w:ascii="Times New Roman" w:hAnsi="Times New Roman" w:cs="Times New Roman"/>
          <w:sz w:val="24"/>
          <w:szCs w:val="24"/>
        </w:rPr>
      </w:pPr>
      <w:r w:rsidRPr="00B07259">
        <w:rPr>
          <w:rFonts w:ascii="Times New Roman" w:hAnsi="Times New Roman" w:cs="Times New Roman"/>
          <w:sz w:val="24"/>
          <w:szCs w:val="24"/>
        </w:rPr>
        <w:t xml:space="preserve">The Swedish Medical Birth Register provides information on </w:t>
      </w:r>
      <w:r>
        <w:rPr>
          <w:rFonts w:ascii="Times New Roman" w:hAnsi="Times New Roman" w:cs="Times New Roman"/>
          <w:sz w:val="24"/>
          <w:szCs w:val="24"/>
        </w:rPr>
        <w:t>approximately 98% of all</w:t>
      </w:r>
      <w:r w:rsidRPr="00B07259">
        <w:rPr>
          <w:rFonts w:ascii="Times New Roman" w:hAnsi="Times New Roman" w:cs="Times New Roman"/>
          <w:sz w:val="24"/>
          <w:szCs w:val="24"/>
        </w:rPr>
        <w:t xml:space="preserve"> births in Sweden since 1973</w:t>
      </w:r>
      <w:r>
        <w:rPr>
          <w:rFonts w:ascii="Times New Roman" w:hAnsi="Times New Roman" w:cs="Times New Roman"/>
          <w:sz w:val="24"/>
          <w:szCs w:val="24"/>
        </w:rPr>
        <w:t xml:space="preserve"> </w:t>
      </w:r>
      <w:r>
        <w:rPr>
          <w:rFonts w:ascii="Times New Roman" w:hAnsi="Times New Roman" w:cs="Times New Roman"/>
          <w:noProof/>
          <w:sz w:val="24"/>
          <w:szCs w:val="24"/>
        </w:rPr>
        <w:t>(Cnattingius et al., 1990)</w:t>
      </w:r>
      <w:r>
        <w:rPr>
          <w:rFonts w:ascii="Times New Roman" w:hAnsi="Times New Roman" w:cs="Times New Roman"/>
          <w:sz w:val="24"/>
          <w:szCs w:val="24"/>
        </w:rPr>
        <w:t xml:space="preserve">. </w:t>
      </w:r>
      <w:r w:rsidRPr="009538AD">
        <w:rPr>
          <w:rFonts w:ascii="Times New Roman" w:hAnsi="Times New Roman" w:cs="Times New Roman"/>
          <w:sz w:val="24"/>
          <w:szCs w:val="24"/>
          <w:highlight w:val="yellow"/>
        </w:rPr>
        <w:t xml:space="preserve">The Swedish Military Service Conscription Register contains information on physical and cognitive examination for </w:t>
      </w:r>
      <w:r>
        <w:rPr>
          <w:rFonts w:ascii="Times New Roman" w:hAnsi="Times New Roman" w:cs="Times New Roman"/>
          <w:sz w:val="24"/>
          <w:szCs w:val="24"/>
          <w:highlight w:val="yellow"/>
        </w:rPr>
        <w:t>Swedish male</w:t>
      </w:r>
      <w:r w:rsidRPr="009538AD">
        <w:rPr>
          <w:rFonts w:ascii="Times New Roman" w:hAnsi="Times New Roman" w:cs="Times New Roman"/>
          <w:sz w:val="24"/>
          <w:szCs w:val="24"/>
          <w:highlight w:val="yellow"/>
        </w:rPr>
        <w:t xml:space="preserve">s at approximately 18 years of age since 1968 </w:t>
      </w:r>
      <w:r w:rsidRPr="009538AD">
        <w:rPr>
          <w:rFonts w:ascii="Times New Roman" w:hAnsi="Times New Roman" w:cs="Times New Roman"/>
          <w:noProof/>
          <w:sz w:val="24"/>
          <w:szCs w:val="24"/>
          <w:highlight w:val="yellow"/>
        </w:rPr>
        <w:t>(Gale et al., 2013)</w:t>
      </w:r>
      <w:r w:rsidRPr="009538AD">
        <w:rPr>
          <w:rFonts w:ascii="Times New Roman" w:hAnsi="Times New Roman" w:cs="Times New Roman"/>
          <w:sz w:val="24"/>
          <w:szCs w:val="24"/>
          <w:highlight w:val="yellow"/>
        </w:rPr>
        <w:t>. Males with</w:t>
      </w:r>
      <w:r>
        <w:rPr>
          <w:rFonts w:ascii="Times New Roman" w:hAnsi="Times New Roman" w:cs="Times New Roman"/>
          <w:sz w:val="24"/>
          <w:szCs w:val="24"/>
          <w:highlight w:val="yellow"/>
        </w:rPr>
        <w:t xml:space="preserve"> foreign citizenship, </w:t>
      </w:r>
      <w:r w:rsidRPr="009538AD">
        <w:rPr>
          <w:rFonts w:ascii="Times New Roman" w:hAnsi="Times New Roman" w:cs="Times New Roman"/>
          <w:sz w:val="24"/>
          <w:szCs w:val="24"/>
          <w:highlight w:val="yellow"/>
        </w:rPr>
        <w:t xml:space="preserve">severe </w:t>
      </w:r>
      <w:r>
        <w:rPr>
          <w:rFonts w:ascii="Times New Roman" w:hAnsi="Times New Roman" w:cs="Times New Roman"/>
          <w:sz w:val="24"/>
          <w:szCs w:val="24"/>
          <w:highlight w:val="yellow"/>
        </w:rPr>
        <w:t>medical condition, or</w:t>
      </w:r>
      <w:r w:rsidRPr="009538AD">
        <w:rPr>
          <w:rFonts w:ascii="Times New Roman" w:hAnsi="Times New Roman" w:cs="Times New Roman"/>
          <w:sz w:val="24"/>
          <w:szCs w:val="24"/>
          <w:highlight w:val="yellow"/>
        </w:rPr>
        <w:t xml:space="preserve"> intellectual disability were excused.</w:t>
      </w:r>
      <w:r>
        <w:rPr>
          <w:rFonts w:ascii="Times New Roman" w:hAnsi="Times New Roman" w:cs="Times New Roman"/>
          <w:sz w:val="24"/>
          <w:szCs w:val="24"/>
        </w:rPr>
        <w:t xml:space="preserve"> B</w:t>
      </w:r>
      <w:r w:rsidRPr="00B07259">
        <w:rPr>
          <w:rFonts w:ascii="Times New Roman" w:hAnsi="Times New Roman" w:cs="Times New Roman"/>
          <w:sz w:val="24"/>
          <w:szCs w:val="24"/>
        </w:rPr>
        <w:t xml:space="preserve">y linking </w:t>
      </w:r>
      <w:r>
        <w:rPr>
          <w:rFonts w:ascii="Times New Roman" w:hAnsi="Times New Roman" w:cs="Times New Roman"/>
          <w:sz w:val="24"/>
          <w:szCs w:val="24"/>
        </w:rPr>
        <w:t>the two</w:t>
      </w:r>
      <w:r w:rsidRPr="00B07259">
        <w:rPr>
          <w:rFonts w:ascii="Times New Roman" w:hAnsi="Times New Roman" w:cs="Times New Roman"/>
          <w:sz w:val="24"/>
          <w:szCs w:val="24"/>
        </w:rPr>
        <w:t xml:space="preserve"> </w:t>
      </w:r>
      <w:r>
        <w:rPr>
          <w:rFonts w:ascii="Times New Roman" w:hAnsi="Times New Roman" w:cs="Times New Roman"/>
          <w:sz w:val="24"/>
          <w:szCs w:val="24"/>
        </w:rPr>
        <w:t>r</w:t>
      </w:r>
      <w:r w:rsidRPr="00B07259">
        <w:rPr>
          <w:rFonts w:ascii="Times New Roman" w:hAnsi="Times New Roman" w:cs="Times New Roman"/>
          <w:sz w:val="24"/>
          <w:szCs w:val="24"/>
        </w:rPr>
        <w:t>egisters</w:t>
      </w:r>
      <w:r>
        <w:rPr>
          <w:rFonts w:ascii="Times New Roman" w:hAnsi="Times New Roman" w:cs="Times New Roman"/>
          <w:sz w:val="24"/>
          <w:szCs w:val="24"/>
        </w:rPr>
        <w:t xml:space="preserve"> via unique personal identity numbers</w:t>
      </w:r>
      <w:r w:rsidRPr="00B07259">
        <w:rPr>
          <w:rFonts w:ascii="Times New Roman" w:hAnsi="Times New Roman" w:cs="Times New Roman"/>
          <w:sz w:val="24"/>
          <w:szCs w:val="24"/>
        </w:rPr>
        <w:t xml:space="preserve">, we </w:t>
      </w:r>
      <w:r w:rsidRPr="00166B99">
        <w:rPr>
          <w:rFonts w:ascii="Times New Roman" w:hAnsi="Times New Roman" w:cs="Times New Roman"/>
          <w:sz w:val="24"/>
          <w:szCs w:val="24"/>
        </w:rPr>
        <w:t>identified 472 735</w:t>
      </w:r>
      <w:r>
        <w:rPr>
          <w:rFonts w:ascii="Times New Roman" w:hAnsi="Times New Roman" w:cs="Times New Roman"/>
          <w:sz w:val="24"/>
          <w:szCs w:val="24"/>
        </w:rPr>
        <w:t xml:space="preserve"> males </w:t>
      </w:r>
      <w:r w:rsidRPr="00B07259">
        <w:rPr>
          <w:rFonts w:ascii="Times New Roman" w:hAnsi="Times New Roman" w:cs="Times New Roman"/>
          <w:sz w:val="24"/>
          <w:szCs w:val="24"/>
        </w:rPr>
        <w:t xml:space="preserve">born in Sweden </w:t>
      </w:r>
      <w:r>
        <w:rPr>
          <w:rFonts w:ascii="Times New Roman" w:hAnsi="Times New Roman" w:cs="Times New Roman"/>
          <w:sz w:val="24"/>
          <w:szCs w:val="24"/>
        </w:rPr>
        <w:t xml:space="preserve">between 1973 and 1992, with information on body weight and height directly measured before they were conscripted for military service. We used these males as index persons to ascertain full sibships. </w:t>
      </w:r>
    </w:p>
    <w:p w14:paraId="766459C2" w14:textId="77777777" w:rsidR="00952ED6" w:rsidRDefault="00952ED6" w:rsidP="00CE33B9">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T</w:t>
      </w:r>
      <w:r w:rsidRPr="00B07259">
        <w:rPr>
          <w:rFonts w:ascii="Times New Roman" w:hAnsi="Times New Roman" w:cs="Times New Roman"/>
          <w:sz w:val="24"/>
          <w:szCs w:val="24"/>
        </w:rPr>
        <w:t xml:space="preserve">he </w:t>
      </w:r>
      <w:r>
        <w:rPr>
          <w:rFonts w:ascii="Times New Roman" w:hAnsi="Times New Roman" w:cs="Times New Roman"/>
          <w:sz w:val="24"/>
          <w:szCs w:val="24"/>
        </w:rPr>
        <w:t xml:space="preserve">Swedish </w:t>
      </w:r>
      <w:r w:rsidRPr="00B07259">
        <w:rPr>
          <w:rFonts w:ascii="Times New Roman" w:hAnsi="Times New Roman" w:cs="Times New Roman"/>
          <w:sz w:val="24"/>
          <w:szCs w:val="24"/>
        </w:rPr>
        <w:t>Multi-Generation Register</w:t>
      </w:r>
      <w:r>
        <w:rPr>
          <w:rFonts w:ascii="Times New Roman" w:hAnsi="Times New Roman" w:cs="Times New Roman"/>
          <w:sz w:val="24"/>
          <w:szCs w:val="24"/>
        </w:rPr>
        <w:t xml:space="preserve"> </w:t>
      </w:r>
      <w:r w:rsidRPr="00B07259">
        <w:rPr>
          <w:rFonts w:ascii="Times New Roman" w:hAnsi="Times New Roman" w:cs="Times New Roman"/>
          <w:sz w:val="24"/>
          <w:szCs w:val="24"/>
        </w:rPr>
        <w:t xml:space="preserve">links </w:t>
      </w:r>
      <w:r>
        <w:rPr>
          <w:rFonts w:ascii="Times New Roman" w:hAnsi="Times New Roman" w:cs="Times New Roman"/>
          <w:sz w:val="24"/>
          <w:szCs w:val="24"/>
        </w:rPr>
        <w:t xml:space="preserve">those </w:t>
      </w:r>
      <w:r w:rsidRPr="00B07259">
        <w:rPr>
          <w:rFonts w:ascii="Times New Roman" w:hAnsi="Times New Roman" w:cs="Times New Roman"/>
          <w:sz w:val="24"/>
          <w:szCs w:val="24"/>
        </w:rPr>
        <w:t xml:space="preserve">individuals born in Sweden since 1932 </w:t>
      </w:r>
      <w:r>
        <w:rPr>
          <w:rFonts w:ascii="Times New Roman" w:hAnsi="Times New Roman" w:cs="Times New Roman"/>
          <w:sz w:val="24"/>
          <w:szCs w:val="24"/>
        </w:rPr>
        <w:t>who were alive and living in Sweden on January 1,</w:t>
      </w:r>
      <w:r w:rsidRPr="00B07259">
        <w:rPr>
          <w:rFonts w:ascii="Times New Roman" w:hAnsi="Times New Roman" w:cs="Times New Roman"/>
          <w:sz w:val="24"/>
          <w:szCs w:val="24"/>
        </w:rPr>
        <w:t xml:space="preserve"> 1961 to their biological parents</w:t>
      </w:r>
      <w:r>
        <w:rPr>
          <w:rFonts w:ascii="Times New Roman" w:hAnsi="Times New Roman" w:cs="Times New Roman"/>
          <w:sz w:val="24"/>
          <w:szCs w:val="24"/>
        </w:rPr>
        <w:t xml:space="preserve"> </w:t>
      </w:r>
      <w:r>
        <w:rPr>
          <w:rFonts w:ascii="Times New Roman" w:hAnsi="Times New Roman" w:cs="Times New Roman"/>
          <w:noProof/>
          <w:sz w:val="24"/>
          <w:szCs w:val="24"/>
        </w:rPr>
        <w:t>(Ekbom, 2011)</w:t>
      </w:r>
      <w:r>
        <w:rPr>
          <w:rFonts w:ascii="Times New Roman" w:hAnsi="Times New Roman" w:cs="Times New Roman"/>
          <w:sz w:val="24"/>
          <w:szCs w:val="24"/>
        </w:rPr>
        <w:t xml:space="preserve">. Using this register, we further identified 523 237 full </w:t>
      </w:r>
      <w:r w:rsidRPr="00E22BC1">
        <w:rPr>
          <w:rFonts w:ascii="Times New Roman" w:hAnsi="Times New Roman" w:cs="Times New Roman"/>
          <w:sz w:val="24"/>
          <w:szCs w:val="24"/>
        </w:rPr>
        <w:t>siblings</w:t>
      </w:r>
      <w:r>
        <w:rPr>
          <w:rFonts w:ascii="Times New Roman" w:hAnsi="Times New Roman" w:cs="Times New Roman"/>
          <w:sz w:val="24"/>
          <w:szCs w:val="24"/>
        </w:rPr>
        <w:t xml:space="preserve"> (48.5% females)</w:t>
      </w:r>
      <w:r w:rsidRPr="00E22BC1">
        <w:rPr>
          <w:rFonts w:ascii="Times New Roman" w:hAnsi="Times New Roman" w:cs="Times New Roman"/>
          <w:sz w:val="24"/>
          <w:szCs w:val="24"/>
        </w:rPr>
        <w:t xml:space="preserve"> </w:t>
      </w:r>
      <w:r>
        <w:rPr>
          <w:rFonts w:ascii="Times New Roman" w:hAnsi="Times New Roman" w:cs="Times New Roman"/>
          <w:sz w:val="24"/>
          <w:szCs w:val="24"/>
        </w:rPr>
        <w:t xml:space="preserve">for the index males. An index male and his full siblings shared both of their biological parents. The siblings of the index males were born </w:t>
      </w:r>
      <w:r w:rsidRPr="00B07259">
        <w:rPr>
          <w:rFonts w:ascii="Times New Roman" w:hAnsi="Times New Roman" w:cs="Times New Roman"/>
          <w:sz w:val="24"/>
          <w:szCs w:val="24"/>
        </w:rPr>
        <w:t xml:space="preserve">in Sweden </w:t>
      </w:r>
      <w:r>
        <w:rPr>
          <w:rFonts w:ascii="Times New Roman" w:hAnsi="Times New Roman" w:cs="Times New Roman"/>
          <w:sz w:val="24"/>
          <w:szCs w:val="24"/>
        </w:rPr>
        <w:t xml:space="preserve">between 1973 and 2002 and living in </w:t>
      </w:r>
      <w:r w:rsidRPr="005C0D3A">
        <w:rPr>
          <w:rFonts w:ascii="Times New Roman" w:hAnsi="Times New Roman" w:cs="Times New Roman"/>
          <w:sz w:val="24"/>
          <w:szCs w:val="24"/>
        </w:rPr>
        <w:t>Sweden during the years covered by this study. All individuals were followed up from their third birthday</w:t>
      </w:r>
      <w:r>
        <w:rPr>
          <w:rFonts w:ascii="Times New Roman" w:hAnsi="Times New Roman" w:cs="Times New Roman"/>
          <w:sz w:val="24"/>
          <w:szCs w:val="24"/>
        </w:rPr>
        <w:t xml:space="preserve"> to December 31, 2009, when the youngest individuals were at age 7 and the oldest were at age 37. </w:t>
      </w:r>
      <w:r w:rsidRPr="00B07259">
        <w:rPr>
          <w:rFonts w:ascii="Times New Roman" w:hAnsi="Times New Roman" w:cs="Times New Roman"/>
          <w:sz w:val="24"/>
          <w:szCs w:val="24"/>
        </w:rPr>
        <w:t xml:space="preserve">The study was approved by the </w:t>
      </w:r>
      <w:r>
        <w:rPr>
          <w:rFonts w:ascii="Times New Roman" w:hAnsi="Times New Roman" w:cs="Times New Roman"/>
          <w:sz w:val="24"/>
          <w:szCs w:val="24"/>
        </w:rPr>
        <w:t xml:space="preserve">research </w:t>
      </w:r>
      <w:r w:rsidRPr="00B07259">
        <w:rPr>
          <w:rFonts w:ascii="Times New Roman" w:hAnsi="Times New Roman" w:cs="Times New Roman"/>
          <w:sz w:val="24"/>
          <w:szCs w:val="24"/>
        </w:rPr>
        <w:t>ethics committee at Karolinska Institutet, Stockholm, Sweden</w:t>
      </w:r>
      <w:r>
        <w:rPr>
          <w:rFonts w:ascii="Times New Roman" w:hAnsi="Times New Roman" w:cs="Times New Roman"/>
          <w:sz w:val="24"/>
          <w:szCs w:val="24"/>
        </w:rPr>
        <w:t>.</w:t>
      </w:r>
    </w:p>
    <w:p w14:paraId="02D46D87" w14:textId="77777777" w:rsidR="00952ED6" w:rsidRPr="00D457EA" w:rsidRDefault="00952ED6" w:rsidP="00CE33B9">
      <w:pPr>
        <w:spacing w:after="100" w:afterAutospacing="1" w:line="480" w:lineRule="auto"/>
        <w:rPr>
          <w:rFonts w:ascii="Times New Roman" w:hAnsi="Times New Roman" w:cs="Times New Roman"/>
          <w:i/>
          <w:sz w:val="24"/>
          <w:szCs w:val="24"/>
        </w:rPr>
      </w:pPr>
      <w:r>
        <w:rPr>
          <w:rFonts w:ascii="Times New Roman" w:hAnsi="Times New Roman" w:cs="Times New Roman"/>
          <w:i/>
          <w:sz w:val="24"/>
          <w:szCs w:val="24"/>
        </w:rPr>
        <w:t>Definition of ADHD</w:t>
      </w:r>
    </w:p>
    <w:p w14:paraId="2A7A85DF" w14:textId="77777777" w:rsidR="00952ED6" w:rsidRPr="00B07259" w:rsidRDefault="00952ED6" w:rsidP="00CE33B9">
      <w:pPr>
        <w:spacing w:after="100" w:afterAutospacing="1" w:line="480" w:lineRule="auto"/>
        <w:rPr>
          <w:rFonts w:ascii="Times New Roman" w:hAnsi="Times New Roman" w:cs="Times New Roman"/>
          <w:sz w:val="24"/>
          <w:szCs w:val="24"/>
        </w:rPr>
      </w:pPr>
      <w:r w:rsidRPr="00C60102">
        <w:rPr>
          <w:rFonts w:ascii="Times New Roman" w:hAnsi="Times New Roman" w:cs="Times New Roman"/>
          <w:sz w:val="24"/>
          <w:szCs w:val="24"/>
        </w:rPr>
        <w:t xml:space="preserve">Individuals with ADHD were identified from the Swedish National Patient Register (SNPR), the Swedish Prescribed Drug Register (SPDR), and the Clinical Database for Child and Adolescent Psychiatry in Stockholm (Pastill). The SNPR contains discharge dates and diagnoses for psychiatric inpatient care since 1973 and outpatient visits to specialists since 2001 </w:t>
      </w:r>
      <w:r w:rsidRPr="00C60102">
        <w:rPr>
          <w:rFonts w:ascii="Times New Roman" w:hAnsi="Times New Roman" w:cs="Times New Roman"/>
          <w:noProof/>
          <w:sz w:val="24"/>
          <w:szCs w:val="24"/>
        </w:rPr>
        <w:t>(Ludvigsson et al., 2011)</w:t>
      </w:r>
      <w:r w:rsidRPr="00C60102">
        <w:rPr>
          <w:rFonts w:ascii="Times New Roman" w:hAnsi="Times New Roman" w:cs="Times New Roman"/>
          <w:sz w:val="24"/>
          <w:szCs w:val="24"/>
        </w:rPr>
        <w:t xml:space="preserve">. Diagnoses in SNPR are coded according to </w:t>
      </w:r>
      <w:r w:rsidRPr="00C60102">
        <w:rPr>
          <w:rFonts w:ascii="Times New Roman" w:hAnsi="Times New Roman" w:cs="Times New Roman"/>
          <w:i/>
          <w:sz w:val="24"/>
          <w:szCs w:val="24"/>
        </w:rPr>
        <w:t>International Classification of Diseases, 9th revision (ICD-8)</w:t>
      </w:r>
      <w:r w:rsidRPr="00C60102">
        <w:rPr>
          <w:rFonts w:ascii="Times New Roman" w:hAnsi="Times New Roman" w:cs="Times New Roman"/>
          <w:sz w:val="24"/>
          <w:szCs w:val="24"/>
        </w:rPr>
        <w:t xml:space="preserve"> between 1969 and 1986, </w:t>
      </w:r>
      <w:r w:rsidRPr="00C60102">
        <w:rPr>
          <w:rFonts w:ascii="Times New Roman" w:hAnsi="Times New Roman" w:cs="Times New Roman"/>
          <w:i/>
          <w:sz w:val="24"/>
          <w:szCs w:val="24"/>
        </w:rPr>
        <w:t xml:space="preserve">ICD-9 </w:t>
      </w:r>
      <w:r w:rsidRPr="00C60102">
        <w:rPr>
          <w:rFonts w:ascii="Times New Roman" w:hAnsi="Times New Roman" w:cs="Times New Roman"/>
          <w:sz w:val="24"/>
          <w:szCs w:val="24"/>
        </w:rPr>
        <w:t xml:space="preserve">between 1987 and 1996, and </w:t>
      </w:r>
      <w:r w:rsidRPr="00C60102">
        <w:rPr>
          <w:rFonts w:ascii="Times New Roman" w:hAnsi="Times New Roman" w:cs="Times New Roman"/>
          <w:i/>
          <w:sz w:val="24"/>
          <w:szCs w:val="24"/>
        </w:rPr>
        <w:t>ICD-10</w:t>
      </w:r>
      <w:r w:rsidRPr="00C60102">
        <w:rPr>
          <w:rFonts w:ascii="Times New Roman" w:hAnsi="Times New Roman" w:cs="Times New Roman"/>
          <w:sz w:val="24"/>
          <w:szCs w:val="24"/>
        </w:rPr>
        <w:t xml:space="preserve"> from 1997 onwards. The SPDR covers information on prescribing dates of all drugs coded by the </w:t>
      </w:r>
      <w:r w:rsidRPr="00C60102">
        <w:rPr>
          <w:rFonts w:ascii="Times New Roman" w:eastAsia="Times New Roman" w:hAnsi="Times New Roman" w:cs="Times New Roman"/>
          <w:color w:val="000000"/>
          <w:sz w:val="24"/>
          <w:szCs w:val="24"/>
          <w:shd w:val="clear" w:color="auto" w:fill="FFFFFF"/>
        </w:rPr>
        <w:t xml:space="preserve">anatomical therapeutic chemical classification system and dispensed to the entire population </w:t>
      </w:r>
      <w:r w:rsidRPr="00C60102">
        <w:rPr>
          <w:rFonts w:ascii="Times New Roman" w:hAnsi="Times New Roman" w:cs="Times New Roman"/>
          <w:sz w:val="24"/>
          <w:szCs w:val="24"/>
        </w:rPr>
        <w:t xml:space="preserve">in Sweden since July 1, 2005 </w:t>
      </w:r>
      <w:r w:rsidRPr="00C60102">
        <w:rPr>
          <w:rFonts w:ascii="Times New Roman" w:hAnsi="Times New Roman" w:cs="Times New Roman"/>
          <w:noProof/>
          <w:sz w:val="24"/>
          <w:szCs w:val="24"/>
        </w:rPr>
        <w:t>(Wettermark et al., 2007)</w:t>
      </w:r>
      <w:r w:rsidRPr="00C60102">
        <w:rPr>
          <w:rFonts w:ascii="Times New Roman" w:hAnsi="Times New Roman" w:cs="Times New Roman"/>
          <w:sz w:val="24"/>
          <w:szCs w:val="24"/>
        </w:rPr>
        <w:t xml:space="preserve">. </w:t>
      </w:r>
      <w:r w:rsidRPr="00C60102">
        <w:rPr>
          <w:rFonts w:ascii="Times New Roman" w:hAnsi="Times New Roman" w:cs="Times New Roman"/>
          <w:color w:val="000000"/>
          <w:sz w:val="24"/>
          <w:szCs w:val="24"/>
          <w:shd w:val="clear" w:color="auto" w:fill="FFFFFF"/>
        </w:rPr>
        <w:t xml:space="preserve">Pastill includes data on discharge dates and diagnoses according to </w:t>
      </w:r>
      <w:r w:rsidRPr="00C60102">
        <w:rPr>
          <w:rFonts w:ascii="Times New Roman" w:eastAsia="Times New Roman" w:hAnsi="Times New Roman" w:cs="Times New Roman"/>
          <w:i/>
          <w:color w:val="000000"/>
          <w:sz w:val="24"/>
          <w:szCs w:val="24"/>
          <w:shd w:val="clear" w:color="auto" w:fill="FFFFFF"/>
        </w:rPr>
        <w:t>Diagnostic and Statistical Manual of Mental Disorders, 4th Edition (DSM-IV)</w:t>
      </w:r>
      <w:r w:rsidRPr="00C60102">
        <w:rPr>
          <w:rFonts w:ascii="Times New Roman" w:eastAsia="Times New Roman" w:hAnsi="Times New Roman" w:cs="Times New Roman"/>
          <w:color w:val="000000"/>
          <w:sz w:val="24"/>
          <w:szCs w:val="24"/>
          <w:shd w:val="clear" w:color="auto" w:fill="FFFFFF"/>
        </w:rPr>
        <w:t xml:space="preserve"> or </w:t>
      </w:r>
      <w:r w:rsidRPr="00C60102">
        <w:rPr>
          <w:rFonts w:ascii="Times New Roman" w:eastAsia="Times New Roman" w:hAnsi="Times New Roman" w:cs="Times New Roman"/>
          <w:i/>
          <w:color w:val="000000"/>
          <w:sz w:val="24"/>
          <w:szCs w:val="24"/>
          <w:shd w:val="clear" w:color="auto" w:fill="FFFFFF"/>
        </w:rPr>
        <w:t xml:space="preserve">ICD-10 </w:t>
      </w:r>
      <w:r w:rsidRPr="00C60102">
        <w:rPr>
          <w:rFonts w:ascii="Times New Roman" w:eastAsia="Times New Roman" w:hAnsi="Times New Roman" w:cs="Times New Roman"/>
          <w:color w:val="000000"/>
          <w:sz w:val="24"/>
          <w:szCs w:val="24"/>
          <w:shd w:val="clear" w:color="auto" w:fill="FFFFFF"/>
        </w:rPr>
        <w:t xml:space="preserve">from Child and Adolescent Mental Health Services in Stockholm County since 2001 </w:t>
      </w:r>
      <w:r w:rsidRPr="00C60102">
        <w:rPr>
          <w:rFonts w:ascii="Times New Roman" w:eastAsia="Times New Roman" w:hAnsi="Times New Roman" w:cs="Times New Roman"/>
          <w:noProof/>
          <w:color w:val="000000"/>
          <w:sz w:val="24"/>
          <w:szCs w:val="24"/>
          <w:shd w:val="clear" w:color="auto" w:fill="FFFFFF"/>
        </w:rPr>
        <w:t>(Lundh et al., 2013)</w:t>
      </w:r>
      <w:r w:rsidRPr="00C60102">
        <w:rPr>
          <w:rFonts w:ascii="Times New Roman" w:eastAsia="Times New Roman" w:hAnsi="Times New Roman" w:cs="Times New Roman"/>
          <w:color w:val="000000"/>
          <w:sz w:val="24"/>
          <w:szCs w:val="24"/>
          <w:shd w:val="clear" w:color="auto" w:fill="FFFFFF"/>
        </w:rPr>
        <w:t>.</w:t>
      </w:r>
      <w:r w:rsidRPr="00C60102">
        <w:rPr>
          <w:rFonts w:ascii="Times New Roman" w:hAnsi="Times New Roman" w:cs="Times New Roman"/>
          <w:sz w:val="24"/>
          <w:szCs w:val="24"/>
        </w:rPr>
        <w:t xml:space="preserve"> I</w:t>
      </w:r>
      <w:r w:rsidRPr="00C60102">
        <w:rPr>
          <w:rFonts w:ascii="Times New Roman" w:hAnsi="Times New Roman" w:cs="Times New Roman"/>
          <w:color w:val="000000"/>
          <w:sz w:val="24"/>
          <w:szCs w:val="24"/>
          <w:shd w:val="clear" w:color="auto" w:fill="FFFFFF"/>
        </w:rPr>
        <w:t>n</w:t>
      </w:r>
      <w:r w:rsidRPr="00C60102">
        <w:rPr>
          <w:rFonts w:ascii="Times New Roman" w:hAnsi="Times New Roman" w:cs="Times New Roman"/>
          <w:sz w:val="24"/>
          <w:szCs w:val="24"/>
        </w:rPr>
        <w:t xml:space="preserve">dividuals who, at any point before </w:t>
      </w:r>
      <w:r>
        <w:rPr>
          <w:rFonts w:ascii="Times New Roman" w:hAnsi="Times New Roman" w:cs="Times New Roman"/>
          <w:sz w:val="24"/>
          <w:szCs w:val="24"/>
        </w:rPr>
        <w:t xml:space="preserve">January </w:t>
      </w:r>
      <w:r w:rsidRPr="00C60102">
        <w:rPr>
          <w:rFonts w:ascii="Times New Roman" w:hAnsi="Times New Roman" w:cs="Times New Roman"/>
          <w:sz w:val="24"/>
          <w:szCs w:val="24"/>
        </w:rPr>
        <w:t>1</w:t>
      </w:r>
      <w:r w:rsidRPr="00C60102">
        <w:rPr>
          <w:rFonts w:ascii="Times New Roman" w:hAnsi="Times New Roman" w:cs="Times New Roman"/>
          <w:sz w:val="24"/>
          <w:szCs w:val="24"/>
          <w:vertAlign w:val="superscript"/>
        </w:rPr>
        <w:t>st</w:t>
      </w:r>
      <w:r>
        <w:rPr>
          <w:rFonts w:ascii="Times New Roman" w:hAnsi="Times New Roman" w:cs="Times New Roman"/>
          <w:sz w:val="24"/>
          <w:szCs w:val="24"/>
        </w:rPr>
        <w:t>, 2010</w:t>
      </w:r>
      <w:r w:rsidRPr="00C60102">
        <w:rPr>
          <w:rFonts w:ascii="Times New Roman" w:hAnsi="Times New Roman" w:cs="Times New Roman"/>
          <w:sz w:val="24"/>
          <w:szCs w:val="24"/>
        </w:rPr>
        <w:t>, received a diagnosis of hyperkinetic disorder (</w:t>
      </w:r>
      <w:r w:rsidRPr="00C60102">
        <w:rPr>
          <w:rFonts w:ascii="Times New Roman" w:hAnsi="Times New Roman" w:cs="Times New Roman"/>
          <w:i/>
          <w:sz w:val="24"/>
          <w:szCs w:val="24"/>
        </w:rPr>
        <w:t>ICD-9:</w:t>
      </w:r>
      <w:r w:rsidRPr="00C60102">
        <w:rPr>
          <w:rFonts w:ascii="Times New Roman" w:hAnsi="Times New Roman" w:cs="Times New Roman"/>
          <w:sz w:val="24"/>
          <w:szCs w:val="24"/>
        </w:rPr>
        <w:t xml:space="preserve"> 314 or </w:t>
      </w:r>
      <w:r w:rsidRPr="00C60102">
        <w:rPr>
          <w:rFonts w:ascii="Times New Roman" w:hAnsi="Times New Roman" w:cs="Times New Roman"/>
          <w:i/>
          <w:sz w:val="24"/>
          <w:szCs w:val="24"/>
        </w:rPr>
        <w:t>ICD-10:</w:t>
      </w:r>
      <w:r w:rsidRPr="00C60102">
        <w:rPr>
          <w:rFonts w:ascii="Times New Roman" w:hAnsi="Times New Roman" w:cs="Times New Roman"/>
          <w:sz w:val="24"/>
          <w:szCs w:val="24"/>
        </w:rPr>
        <w:t xml:space="preserve"> F90) according to the SNPR or the Pastill, or a diagnosis of ADHD (</w:t>
      </w:r>
      <w:r w:rsidRPr="00C60102">
        <w:rPr>
          <w:rFonts w:ascii="Times New Roman" w:hAnsi="Times New Roman" w:cs="Times New Roman"/>
          <w:i/>
          <w:sz w:val="24"/>
          <w:szCs w:val="24"/>
        </w:rPr>
        <w:t>DSM-IV:</w:t>
      </w:r>
      <w:r w:rsidRPr="00C60102">
        <w:rPr>
          <w:rFonts w:ascii="Times New Roman" w:hAnsi="Times New Roman" w:cs="Times New Roman"/>
          <w:sz w:val="24"/>
          <w:szCs w:val="24"/>
        </w:rPr>
        <w:t xml:space="preserve"> 314) according to the Pastill, or a prescription of methylphenidate (N06BA04), amphetamine (N06BA01), dexamphetamine (N06BA02), or atomoxetine (N06BA09) according to the SPDR, were defined as ADHD cases.</w:t>
      </w:r>
    </w:p>
    <w:p w14:paraId="396E8DD6" w14:textId="77777777" w:rsidR="00952ED6" w:rsidRPr="00D457EA" w:rsidRDefault="00952ED6" w:rsidP="00CE33B9">
      <w:pPr>
        <w:autoSpaceDE w:val="0"/>
        <w:autoSpaceDN w:val="0"/>
        <w:adjustRightInd w:val="0"/>
        <w:spacing w:after="100" w:afterAutospacing="1" w:line="480" w:lineRule="auto"/>
        <w:rPr>
          <w:rFonts w:ascii="Times New Roman" w:hAnsi="Times New Roman" w:cs="Times New Roman"/>
          <w:i/>
          <w:sz w:val="24"/>
          <w:szCs w:val="24"/>
        </w:rPr>
      </w:pPr>
      <w:r>
        <w:rPr>
          <w:rFonts w:ascii="Times New Roman" w:hAnsi="Times New Roman" w:cs="Times New Roman"/>
          <w:i/>
          <w:sz w:val="24"/>
          <w:szCs w:val="24"/>
        </w:rPr>
        <w:t>Definitions of overweight and obesity</w:t>
      </w:r>
    </w:p>
    <w:p w14:paraId="614422B5" w14:textId="77777777" w:rsidR="00952ED6" w:rsidRDefault="00952ED6" w:rsidP="00CE33B9">
      <w:pPr>
        <w:autoSpaceDE w:val="0"/>
        <w:autoSpaceDN w:val="0"/>
        <w:adjustRightInd w:val="0"/>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Data on weight and height directly measured by physician were </w:t>
      </w:r>
      <w:r w:rsidRPr="00B07259">
        <w:rPr>
          <w:rFonts w:ascii="Times New Roman" w:hAnsi="Times New Roman" w:cs="Times New Roman"/>
          <w:sz w:val="24"/>
          <w:szCs w:val="24"/>
        </w:rPr>
        <w:t>retrieved from the Swedish Military Service Conscription Register</w:t>
      </w:r>
      <w:r>
        <w:rPr>
          <w:rFonts w:ascii="Times New Roman" w:hAnsi="Times New Roman" w:cs="Times New Roman"/>
          <w:sz w:val="24"/>
          <w:szCs w:val="24"/>
        </w:rPr>
        <w:t xml:space="preserve"> </w:t>
      </w:r>
      <w:r>
        <w:rPr>
          <w:rFonts w:ascii="Times New Roman" w:hAnsi="Times New Roman" w:cs="Times New Roman"/>
          <w:noProof/>
          <w:sz w:val="24"/>
          <w:szCs w:val="24"/>
        </w:rPr>
        <w:t>(Batty et al., 2010)</w:t>
      </w:r>
      <w:r>
        <w:rPr>
          <w:rFonts w:ascii="Times New Roman" w:hAnsi="Times New Roman" w:cs="Times New Roman"/>
          <w:sz w:val="24"/>
          <w:szCs w:val="24"/>
        </w:rPr>
        <w:t>.</w:t>
      </w:r>
      <w:r w:rsidRPr="00B07259">
        <w:rPr>
          <w:rFonts w:ascii="Times New Roman" w:hAnsi="Times New Roman" w:cs="Times New Roman"/>
          <w:sz w:val="24"/>
          <w:szCs w:val="24"/>
        </w:rPr>
        <w:t xml:space="preserve"> BMI was calculated as body weight in kilograms divided by height in meters squared, and categorized </w:t>
      </w:r>
      <w:r>
        <w:rPr>
          <w:rFonts w:ascii="Times New Roman" w:hAnsi="Times New Roman" w:cs="Times New Roman"/>
          <w:sz w:val="24"/>
          <w:szCs w:val="24"/>
        </w:rPr>
        <w:t>into</w:t>
      </w:r>
      <w:r w:rsidRPr="00B07259">
        <w:rPr>
          <w:rFonts w:ascii="Times New Roman" w:hAnsi="Times New Roman" w:cs="Times New Roman"/>
          <w:sz w:val="24"/>
          <w:szCs w:val="24"/>
        </w:rPr>
        <w:t xml:space="preserve"> normal weight (18.5≤BMI&lt;25), overweight (25≤BMI&lt;30), and obesity (BMI≥30</w:t>
      </w:r>
      <w:r>
        <w:rPr>
          <w:rFonts w:ascii="Times New Roman" w:hAnsi="Times New Roman" w:cs="Times New Roman"/>
          <w:sz w:val="24"/>
          <w:szCs w:val="24"/>
        </w:rPr>
        <w:t>)</w:t>
      </w:r>
      <w:r w:rsidRPr="00CE0E86">
        <w:rPr>
          <w:rFonts w:ascii="Times New Roman" w:hAnsi="Times New Roman" w:cs="Times New Roman"/>
          <w:sz w:val="24"/>
          <w:szCs w:val="24"/>
        </w:rPr>
        <w:t xml:space="preserve"> </w:t>
      </w:r>
      <w:r w:rsidRPr="00B07259">
        <w:rPr>
          <w:rFonts w:ascii="Times New Roman" w:hAnsi="Times New Roman" w:cs="Times New Roman"/>
          <w:sz w:val="24"/>
          <w:szCs w:val="24"/>
        </w:rPr>
        <w:t>according to World Health Organization</w:t>
      </w:r>
      <w:r>
        <w:rPr>
          <w:rFonts w:ascii="Times New Roman" w:hAnsi="Times New Roman" w:cs="Times New Roman"/>
          <w:sz w:val="24"/>
          <w:szCs w:val="24"/>
        </w:rPr>
        <w:t xml:space="preserve"> guidelines </w:t>
      </w:r>
      <w:r>
        <w:rPr>
          <w:rFonts w:ascii="Times New Roman" w:hAnsi="Times New Roman" w:cs="Times New Roman"/>
          <w:noProof/>
          <w:sz w:val="24"/>
          <w:szCs w:val="24"/>
        </w:rPr>
        <w:t>(World Health Organization., 2000)</w:t>
      </w:r>
      <w:r>
        <w:rPr>
          <w:rFonts w:ascii="Times New Roman" w:hAnsi="Times New Roman"/>
          <w:sz w:val="24"/>
          <w:szCs w:val="24"/>
        </w:rPr>
        <w:t xml:space="preserve">. </w:t>
      </w:r>
      <w:r w:rsidRPr="00B07259">
        <w:rPr>
          <w:rFonts w:ascii="Times New Roman" w:hAnsi="Times New Roman" w:cs="Times New Roman"/>
          <w:sz w:val="24"/>
          <w:szCs w:val="24"/>
        </w:rPr>
        <w:t>Individuals older than 21 years of age at conscription were excluded</w:t>
      </w:r>
      <w:r>
        <w:rPr>
          <w:rFonts w:ascii="Times New Roman" w:hAnsi="Times New Roman" w:cs="Times New Roman"/>
          <w:sz w:val="24"/>
          <w:szCs w:val="24"/>
        </w:rPr>
        <w:t xml:space="preserve"> to diminish age-related variation in BMI. Individuals </w:t>
      </w:r>
      <w:r w:rsidRPr="00B07259">
        <w:rPr>
          <w:rFonts w:ascii="Times New Roman" w:hAnsi="Times New Roman" w:cs="Times New Roman"/>
          <w:sz w:val="24"/>
          <w:szCs w:val="24"/>
        </w:rPr>
        <w:t xml:space="preserve">with BMI </w:t>
      </w:r>
      <w:r>
        <w:rPr>
          <w:rFonts w:ascii="Times New Roman" w:hAnsi="Times New Roman" w:cs="Times New Roman"/>
          <w:sz w:val="24"/>
          <w:szCs w:val="24"/>
        </w:rPr>
        <w:t>below</w:t>
      </w:r>
      <w:r w:rsidRPr="00B07259">
        <w:rPr>
          <w:rFonts w:ascii="Times New Roman" w:hAnsi="Times New Roman" w:cs="Times New Roman"/>
          <w:sz w:val="24"/>
          <w:szCs w:val="24"/>
        </w:rPr>
        <w:t xml:space="preserve"> 18.5</w:t>
      </w:r>
      <w:r>
        <w:rPr>
          <w:rFonts w:ascii="Times New Roman" w:hAnsi="Times New Roman" w:cs="Times New Roman"/>
          <w:sz w:val="24"/>
          <w:szCs w:val="24"/>
        </w:rPr>
        <w:t xml:space="preserve"> were also excluded to avoid analyzing a possible “U-shape” relationship between ADHD and BMI.</w:t>
      </w:r>
    </w:p>
    <w:p w14:paraId="0DF45D0A" w14:textId="77777777" w:rsidR="00952ED6" w:rsidRPr="005458FC" w:rsidRDefault="00952ED6" w:rsidP="00C90C6B">
      <w:pPr>
        <w:widowControl w:val="0"/>
        <w:autoSpaceDE w:val="0"/>
        <w:autoSpaceDN w:val="0"/>
        <w:adjustRightInd w:val="0"/>
        <w:spacing w:after="240" w:line="480" w:lineRule="auto"/>
        <w:rPr>
          <w:rFonts w:ascii="Times" w:hAnsi="Times" w:cs="Times"/>
          <w:i/>
          <w:sz w:val="24"/>
          <w:szCs w:val="24"/>
        </w:rPr>
      </w:pPr>
      <w:r>
        <w:rPr>
          <w:rFonts w:ascii="Times" w:hAnsi="Times" w:cs="Times"/>
          <w:i/>
          <w:color w:val="141215"/>
          <w:sz w:val="24"/>
          <w:szCs w:val="24"/>
        </w:rPr>
        <w:t>Measurements of c</w:t>
      </w:r>
      <w:r w:rsidRPr="005458FC">
        <w:rPr>
          <w:rFonts w:ascii="Times" w:hAnsi="Times" w:cs="Times"/>
          <w:i/>
          <w:color w:val="141215"/>
          <w:sz w:val="24"/>
          <w:szCs w:val="24"/>
        </w:rPr>
        <w:t>ovariates</w:t>
      </w:r>
    </w:p>
    <w:p w14:paraId="72A1EF98" w14:textId="77777777" w:rsidR="00952ED6" w:rsidRPr="005652BA" w:rsidRDefault="00952ED6" w:rsidP="00CE33B9">
      <w:pPr>
        <w:autoSpaceDE w:val="0"/>
        <w:autoSpaceDN w:val="0"/>
        <w:adjustRightInd w:val="0"/>
        <w:spacing w:after="100" w:afterAutospacing="1" w:line="480" w:lineRule="auto"/>
        <w:rPr>
          <w:rFonts w:ascii="Times New Roman" w:hAnsi="Times New Roman" w:cs="Times New Roman"/>
          <w:sz w:val="24"/>
          <w:szCs w:val="24"/>
        </w:rPr>
      </w:pPr>
      <w:r w:rsidRPr="00FF0714">
        <w:rPr>
          <w:rFonts w:ascii="Times New Roman" w:hAnsi="Times New Roman" w:cs="Times New Roman"/>
          <w:sz w:val="24"/>
          <w:szCs w:val="24"/>
        </w:rPr>
        <w:t xml:space="preserve">In addition, </w:t>
      </w:r>
      <w:r>
        <w:rPr>
          <w:rFonts w:ascii="Times New Roman" w:hAnsi="Times New Roman" w:cs="Times New Roman"/>
          <w:sz w:val="24"/>
          <w:szCs w:val="24"/>
        </w:rPr>
        <w:t xml:space="preserve">family education and comorbid psychiatric conditions, including depression, anxiety, and substance use disorder, were involved as covariates. </w:t>
      </w:r>
      <w:r w:rsidRPr="00C90C6B">
        <w:rPr>
          <w:rFonts w:ascii="Times" w:hAnsi="Times" w:cs="Times"/>
          <w:color w:val="141215"/>
          <w:sz w:val="24"/>
          <w:szCs w:val="24"/>
        </w:rPr>
        <w:t>Family</w:t>
      </w:r>
      <w:r>
        <w:rPr>
          <w:rFonts w:ascii="Times" w:hAnsi="Times" w:cs="Times"/>
          <w:color w:val="141215"/>
          <w:sz w:val="24"/>
          <w:szCs w:val="24"/>
        </w:rPr>
        <w:t xml:space="preserve"> e</w:t>
      </w:r>
      <w:r w:rsidRPr="00C90C6B">
        <w:rPr>
          <w:rFonts w:ascii="Times" w:hAnsi="Times" w:cs="Times"/>
          <w:color w:val="141215"/>
          <w:sz w:val="24"/>
          <w:szCs w:val="24"/>
        </w:rPr>
        <w:t xml:space="preserve">ducation was </w:t>
      </w:r>
      <w:r>
        <w:rPr>
          <w:rFonts w:ascii="Times" w:hAnsi="Times" w:cs="Times"/>
          <w:color w:val="141215"/>
          <w:sz w:val="24"/>
          <w:szCs w:val="24"/>
        </w:rPr>
        <w:t>defined as</w:t>
      </w:r>
      <w:r w:rsidRPr="00C90C6B">
        <w:rPr>
          <w:rFonts w:ascii="Times" w:hAnsi="Times" w:cs="Times"/>
          <w:color w:val="141215"/>
          <w:sz w:val="24"/>
          <w:szCs w:val="24"/>
        </w:rPr>
        <w:t xml:space="preserve"> </w:t>
      </w:r>
      <w:r>
        <w:rPr>
          <w:rFonts w:ascii="Times" w:hAnsi="Times" w:cs="Times"/>
          <w:color w:val="141215"/>
          <w:sz w:val="24"/>
          <w:szCs w:val="24"/>
        </w:rPr>
        <w:t>the highest</w:t>
      </w:r>
      <w:r w:rsidRPr="00C90C6B">
        <w:rPr>
          <w:rFonts w:ascii="Times" w:hAnsi="Times" w:cs="Times"/>
          <w:color w:val="141215"/>
          <w:sz w:val="24"/>
          <w:szCs w:val="24"/>
        </w:rPr>
        <w:t xml:space="preserve"> education</w:t>
      </w:r>
      <w:r>
        <w:rPr>
          <w:rFonts w:ascii="Times" w:hAnsi="Times" w:cs="Times"/>
          <w:color w:val="141215"/>
          <w:sz w:val="24"/>
          <w:szCs w:val="24"/>
        </w:rPr>
        <w:t xml:space="preserve">al attainment of either parent. </w:t>
      </w:r>
      <w:r>
        <w:rPr>
          <w:rFonts w:ascii="Times New Roman" w:hAnsi="Times New Roman" w:cs="Times New Roman"/>
          <w:sz w:val="24"/>
          <w:szCs w:val="24"/>
        </w:rPr>
        <w:t>I</w:t>
      </w:r>
      <w:r w:rsidRPr="00FF0714">
        <w:rPr>
          <w:rFonts w:ascii="Times New Roman" w:hAnsi="Times New Roman" w:cs="Times New Roman"/>
          <w:sz w:val="24"/>
          <w:szCs w:val="24"/>
        </w:rPr>
        <w:t xml:space="preserve">nformation on </w:t>
      </w:r>
      <w:r>
        <w:rPr>
          <w:rFonts w:ascii="Times New Roman" w:hAnsi="Times New Roman" w:cs="Times New Roman"/>
          <w:sz w:val="24"/>
          <w:szCs w:val="24"/>
        </w:rPr>
        <w:t>family education was</w:t>
      </w:r>
      <w:r w:rsidRPr="00FF0714">
        <w:rPr>
          <w:rFonts w:ascii="Times New Roman" w:hAnsi="Times New Roman" w:cs="Times New Roman"/>
          <w:sz w:val="24"/>
          <w:szCs w:val="24"/>
        </w:rPr>
        <w:t xml:space="preserve"> retrieved from the </w:t>
      </w:r>
      <w:r w:rsidRPr="00FF0714">
        <w:rPr>
          <w:rFonts w:ascii="Times New Roman" w:hAnsi="Times New Roman" w:cs="Times New Roman"/>
          <w:i/>
          <w:sz w:val="24"/>
          <w:szCs w:val="24"/>
        </w:rPr>
        <w:t>Longitudinal Integration Database for Health Insurance and Labor Market</w:t>
      </w:r>
      <w:r>
        <w:rPr>
          <w:rFonts w:ascii="Times New Roman" w:hAnsi="Times New Roman" w:cs="Times New Roman"/>
          <w:i/>
          <w:sz w:val="24"/>
          <w:szCs w:val="24"/>
        </w:rPr>
        <w:t xml:space="preserve"> </w:t>
      </w:r>
      <w:r>
        <w:rPr>
          <w:rFonts w:ascii="Times New Roman" w:hAnsi="Times New Roman" w:cs="Times New Roman"/>
          <w:noProof/>
          <w:sz w:val="24"/>
          <w:szCs w:val="24"/>
        </w:rPr>
        <w:t>(Statistics Sweden, 2011)</w:t>
      </w:r>
      <w:r>
        <w:rPr>
          <w:rFonts w:ascii="Times New Roman" w:hAnsi="Times New Roman" w:cs="Times New Roman"/>
          <w:sz w:val="24"/>
          <w:szCs w:val="24"/>
        </w:rPr>
        <w:t xml:space="preserve"> and categorized into </w:t>
      </w:r>
      <w:r w:rsidRPr="00466336">
        <w:rPr>
          <w:rFonts w:ascii="Times New Roman" w:hAnsi="Times New Roman" w:cs="Times New Roman"/>
          <w:sz w:val="24"/>
          <w:szCs w:val="24"/>
        </w:rPr>
        <w:t>elementary</w:t>
      </w:r>
      <w:r>
        <w:rPr>
          <w:rFonts w:ascii="Times New Roman" w:hAnsi="Times New Roman" w:cs="Times New Roman"/>
          <w:sz w:val="24"/>
          <w:szCs w:val="24"/>
        </w:rPr>
        <w:t xml:space="preserve"> &amp; </w:t>
      </w:r>
      <w:r w:rsidRPr="00466336">
        <w:rPr>
          <w:rFonts w:ascii="Times New Roman" w:hAnsi="Times New Roman" w:cs="Times New Roman"/>
          <w:sz w:val="24"/>
          <w:szCs w:val="24"/>
        </w:rPr>
        <w:t>upper secondary education (</w:t>
      </w:r>
      <w:r w:rsidRPr="00466336">
        <w:rPr>
          <w:rFonts w:ascii="Times" w:hAnsi="Times" w:cs="Times"/>
          <w:color w:val="141215"/>
          <w:sz w:val="24"/>
          <w:szCs w:val="24"/>
        </w:rPr>
        <w:t>≤</w:t>
      </w:r>
      <w:r w:rsidRPr="00466336">
        <w:rPr>
          <w:rFonts w:ascii="Times New Roman" w:hAnsi="Times New Roman" w:cs="Times New Roman"/>
          <w:sz w:val="24"/>
          <w:szCs w:val="24"/>
        </w:rPr>
        <w:t>12 years), and higher education (</w:t>
      </w:r>
      <w:r w:rsidRPr="00466336">
        <w:rPr>
          <w:rFonts w:ascii="Times" w:hAnsi="Times" w:cs="Times"/>
          <w:color w:val="141215"/>
          <w:sz w:val="24"/>
          <w:szCs w:val="24"/>
        </w:rPr>
        <w:t>≥13 years</w:t>
      </w:r>
      <w:r w:rsidRPr="00466336">
        <w:rPr>
          <w:rFonts w:ascii="Times New Roman" w:hAnsi="Times New Roman" w:cs="Times New Roman"/>
          <w:sz w:val="24"/>
          <w:szCs w:val="24"/>
        </w:rPr>
        <w:t>).</w:t>
      </w:r>
      <w:r>
        <w:rPr>
          <w:rFonts w:ascii="Times New Roman" w:hAnsi="Times New Roman" w:cs="Times New Roman"/>
          <w:sz w:val="24"/>
          <w:szCs w:val="24"/>
        </w:rPr>
        <w:t xml:space="preserve"> Diagnoses of depression</w:t>
      </w:r>
      <w:r w:rsidRPr="00FF0714">
        <w:rPr>
          <w:rFonts w:ascii="Times New Roman" w:hAnsi="Times New Roman" w:cs="Times New Roman"/>
          <w:sz w:val="24"/>
          <w:szCs w:val="24"/>
        </w:rPr>
        <w:t xml:space="preserve"> (</w:t>
      </w:r>
      <w:r w:rsidRPr="00FF0714">
        <w:rPr>
          <w:rFonts w:ascii="Times New Roman" w:hAnsi="Times New Roman" w:cs="Times New Roman"/>
          <w:i/>
          <w:sz w:val="24"/>
          <w:szCs w:val="24"/>
        </w:rPr>
        <w:t>I</w:t>
      </w:r>
      <w:r>
        <w:rPr>
          <w:rFonts w:ascii="Times New Roman" w:hAnsi="Times New Roman" w:cs="Times New Roman"/>
          <w:i/>
          <w:sz w:val="24"/>
          <w:szCs w:val="24"/>
        </w:rPr>
        <w:t xml:space="preserve">CD-8: </w:t>
      </w:r>
      <w:r w:rsidRPr="00C90C6B">
        <w:rPr>
          <w:rFonts w:ascii="Times New Roman" w:hAnsi="Times New Roman" w:cs="Times New Roman"/>
          <w:sz w:val="24"/>
          <w:szCs w:val="24"/>
        </w:rPr>
        <w:t xml:space="preserve">296.2, 298.0, 300.4; </w:t>
      </w:r>
      <w:r w:rsidRPr="00C90C6B">
        <w:rPr>
          <w:rFonts w:ascii="Times New Roman" w:hAnsi="Times New Roman" w:cs="Times New Roman"/>
          <w:i/>
          <w:sz w:val="24"/>
          <w:szCs w:val="24"/>
        </w:rPr>
        <w:t>I</w:t>
      </w:r>
      <w:r w:rsidRPr="00FF0714">
        <w:rPr>
          <w:rFonts w:ascii="Times New Roman" w:hAnsi="Times New Roman" w:cs="Times New Roman"/>
          <w:i/>
          <w:sz w:val="24"/>
          <w:szCs w:val="24"/>
        </w:rPr>
        <w:t>CD-9:</w:t>
      </w:r>
      <w:r w:rsidRPr="00FF0714">
        <w:rPr>
          <w:rFonts w:ascii="Times New Roman" w:hAnsi="Times New Roman" w:cs="Times New Roman"/>
          <w:sz w:val="24"/>
          <w:szCs w:val="24"/>
        </w:rPr>
        <w:t xml:space="preserve"> 296</w:t>
      </w:r>
      <w:r>
        <w:rPr>
          <w:rFonts w:ascii="Times New Roman" w:hAnsi="Times New Roman" w:cs="Times New Roman"/>
          <w:sz w:val="24"/>
          <w:szCs w:val="24"/>
        </w:rPr>
        <w:t>B, 300E;</w:t>
      </w:r>
      <w:r w:rsidRPr="00FF0714">
        <w:rPr>
          <w:rFonts w:ascii="Times New Roman" w:hAnsi="Times New Roman" w:cs="Times New Roman"/>
          <w:sz w:val="24"/>
          <w:szCs w:val="24"/>
        </w:rPr>
        <w:t xml:space="preserve"> </w:t>
      </w:r>
      <w:r w:rsidRPr="00FF0714">
        <w:rPr>
          <w:rFonts w:ascii="Times New Roman" w:hAnsi="Times New Roman" w:cs="Times New Roman"/>
          <w:i/>
          <w:sz w:val="24"/>
          <w:szCs w:val="24"/>
        </w:rPr>
        <w:t xml:space="preserve">ICD-10: </w:t>
      </w:r>
      <w:r w:rsidRPr="00FF0714">
        <w:rPr>
          <w:rFonts w:ascii="Times New Roman" w:hAnsi="Times New Roman" w:cs="Times New Roman"/>
          <w:sz w:val="24"/>
          <w:szCs w:val="24"/>
        </w:rPr>
        <w:t>F32–</w:t>
      </w:r>
      <w:r>
        <w:rPr>
          <w:rFonts w:ascii="Times New Roman" w:hAnsi="Times New Roman" w:cs="Times New Roman"/>
          <w:sz w:val="24"/>
          <w:szCs w:val="24"/>
        </w:rPr>
        <w:t>F34</w:t>
      </w:r>
      <w:r w:rsidRPr="00FF0714">
        <w:rPr>
          <w:rFonts w:ascii="Times New Roman" w:hAnsi="Times New Roman" w:cs="Times New Roman"/>
          <w:sz w:val="24"/>
          <w:szCs w:val="24"/>
        </w:rPr>
        <w:t>)</w:t>
      </w:r>
      <w:r>
        <w:rPr>
          <w:rFonts w:ascii="Times New Roman" w:hAnsi="Times New Roman" w:cs="Times New Roman"/>
          <w:sz w:val="24"/>
          <w:szCs w:val="24"/>
        </w:rPr>
        <w:t xml:space="preserve">, </w:t>
      </w:r>
      <w:r w:rsidRPr="00FF0714">
        <w:rPr>
          <w:rFonts w:ascii="Times New Roman" w:hAnsi="Times New Roman" w:cs="Times New Roman"/>
          <w:sz w:val="24"/>
          <w:szCs w:val="24"/>
        </w:rPr>
        <w:t>anxiety (</w:t>
      </w:r>
      <w:r w:rsidRPr="00FF0714">
        <w:rPr>
          <w:rFonts w:ascii="Times New Roman" w:hAnsi="Times New Roman" w:cs="Times New Roman"/>
          <w:i/>
          <w:sz w:val="24"/>
          <w:szCs w:val="24"/>
        </w:rPr>
        <w:t>I</w:t>
      </w:r>
      <w:r>
        <w:rPr>
          <w:rFonts w:ascii="Times New Roman" w:hAnsi="Times New Roman" w:cs="Times New Roman"/>
          <w:i/>
          <w:sz w:val="24"/>
          <w:szCs w:val="24"/>
        </w:rPr>
        <w:t xml:space="preserve">CD-8: </w:t>
      </w:r>
      <w:r w:rsidRPr="00C90C6B">
        <w:rPr>
          <w:rFonts w:ascii="Times New Roman" w:hAnsi="Times New Roman" w:cs="Times New Roman"/>
          <w:sz w:val="24"/>
          <w:szCs w:val="24"/>
        </w:rPr>
        <w:t>300 except 300.4;</w:t>
      </w:r>
      <w:r>
        <w:rPr>
          <w:rFonts w:ascii="Times New Roman" w:hAnsi="Times New Roman" w:cs="Times New Roman"/>
          <w:i/>
          <w:sz w:val="24"/>
          <w:szCs w:val="24"/>
        </w:rPr>
        <w:t xml:space="preserve"> I</w:t>
      </w:r>
      <w:r w:rsidRPr="00FF0714">
        <w:rPr>
          <w:rFonts w:ascii="Times New Roman" w:hAnsi="Times New Roman" w:cs="Times New Roman"/>
          <w:i/>
          <w:sz w:val="24"/>
          <w:szCs w:val="24"/>
        </w:rPr>
        <w:t>CD-9:</w:t>
      </w:r>
      <w:r>
        <w:rPr>
          <w:rFonts w:ascii="Times New Roman" w:hAnsi="Times New Roman" w:cs="Times New Roman"/>
          <w:sz w:val="24"/>
          <w:szCs w:val="24"/>
        </w:rPr>
        <w:t xml:space="preserve"> 300 except 300E; </w:t>
      </w:r>
      <w:r w:rsidRPr="00FF0714">
        <w:rPr>
          <w:rFonts w:ascii="Times New Roman" w:hAnsi="Times New Roman" w:cs="Times New Roman"/>
          <w:i/>
          <w:sz w:val="24"/>
          <w:szCs w:val="24"/>
        </w:rPr>
        <w:t>ICD-10:</w:t>
      </w:r>
      <w:r w:rsidRPr="00FF0714">
        <w:rPr>
          <w:rFonts w:ascii="Times New Roman" w:hAnsi="Times New Roman" w:cs="Times New Roman"/>
          <w:sz w:val="24"/>
          <w:szCs w:val="24"/>
        </w:rPr>
        <w:t xml:space="preserve"> F40–</w:t>
      </w:r>
      <w:r>
        <w:rPr>
          <w:rFonts w:ascii="Times New Roman" w:hAnsi="Times New Roman" w:cs="Times New Roman"/>
          <w:sz w:val="24"/>
          <w:szCs w:val="24"/>
        </w:rPr>
        <w:t>F42, F44–F45, F48</w:t>
      </w:r>
      <w:r w:rsidRPr="00FF0714">
        <w:rPr>
          <w:rFonts w:ascii="Times New Roman" w:hAnsi="Times New Roman" w:cs="Times New Roman"/>
          <w:sz w:val="24"/>
          <w:szCs w:val="24"/>
        </w:rPr>
        <w:t>)</w:t>
      </w:r>
      <w:r>
        <w:rPr>
          <w:rFonts w:ascii="Times New Roman" w:hAnsi="Times New Roman" w:cs="Times New Roman"/>
          <w:sz w:val="24"/>
          <w:szCs w:val="24"/>
        </w:rPr>
        <w:t xml:space="preserve">, and </w:t>
      </w:r>
      <w:r w:rsidRPr="0095143D">
        <w:rPr>
          <w:rFonts w:ascii="Times New Roman" w:hAnsi="Times New Roman" w:cs="Times New Roman"/>
          <w:sz w:val="24"/>
          <w:szCs w:val="24"/>
          <w:highlight w:val="yellow"/>
        </w:rPr>
        <w:t>substance use disorder (</w:t>
      </w:r>
      <w:r w:rsidRPr="0095143D">
        <w:rPr>
          <w:rFonts w:ascii="Times New Roman" w:hAnsi="Times New Roman" w:cs="Times New Roman"/>
          <w:i/>
          <w:sz w:val="24"/>
          <w:szCs w:val="24"/>
          <w:highlight w:val="yellow"/>
        </w:rPr>
        <w:t xml:space="preserve">ICD-8: </w:t>
      </w:r>
      <w:r w:rsidRPr="0095143D">
        <w:rPr>
          <w:rFonts w:ascii="Times New Roman" w:hAnsi="Times New Roman" w:cs="Times New Roman"/>
          <w:sz w:val="24"/>
          <w:szCs w:val="24"/>
          <w:highlight w:val="yellow"/>
        </w:rPr>
        <w:t>303, 304;</w:t>
      </w:r>
      <w:r w:rsidRPr="0095143D">
        <w:rPr>
          <w:rFonts w:ascii="Times New Roman" w:hAnsi="Times New Roman" w:cs="Times New Roman"/>
          <w:i/>
          <w:sz w:val="24"/>
          <w:szCs w:val="24"/>
          <w:highlight w:val="yellow"/>
        </w:rPr>
        <w:t xml:space="preserve"> ICD-9: </w:t>
      </w:r>
      <w:r w:rsidRPr="0095143D">
        <w:rPr>
          <w:rFonts w:ascii="Times New Roman" w:hAnsi="Times New Roman" w:cs="Times New Roman"/>
          <w:sz w:val="24"/>
          <w:szCs w:val="24"/>
          <w:highlight w:val="yellow"/>
        </w:rPr>
        <w:t>303, 304, 305;</w:t>
      </w:r>
      <w:r w:rsidRPr="0095143D">
        <w:rPr>
          <w:rFonts w:ascii="Times New Roman" w:hAnsi="Times New Roman" w:cs="Times New Roman"/>
          <w:i/>
          <w:sz w:val="24"/>
          <w:szCs w:val="24"/>
          <w:highlight w:val="yellow"/>
        </w:rPr>
        <w:t xml:space="preserve"> ICD-10: </w:t>
      </w:r>
      <w:r w:rsidRPr="0095143D">
        <w:rPr>
          <w:rFonts w:ascii="Times New Roman" w:hAnsi="Times New Roman" w:cs="Times New Roman"/>
          <w:sz w:val="24"/>
          <w:szCs w:val="24"/>
          <w:highlight w:val="yellow"/>
        </w:rPr>
        <w:t>F10–F19)</w:t>
      </w:r>
      <w:r w:rsidRPr="00FF0714">
        <w:rPr>
          <w:rFonts w:ascii="Times New Roman" w:hAnsi="Times New Roman" w:cs="Times New Roman"/>
          <w:sz w:val="24"/>
          <w:szCs w:val="24"/>
        </w:rPr>
        <w:t xml:space="preserve"> were extracted from the </w:t>
      </w:r>
      <w:r>
        <w:rPr>
          <w:rFonts w:ascii="Times New Roman" w:hAnsi="Times New Roman" w:cs="Times New Roman"/>
          <w:sz w:val="24"/>
          <w:szCs w:val="24"/>
        </w:rPr>
        <w:t>S</w:t>
      </w:r>
      <w:r w:rsidRPr="00FF0714">
        <w:rPr>
          <w:rFonts w:ascii="Times New Roman" w:hAnsi="Times New Roman" w:cs="Times New Roman"/>
          <w:sz w:val="24"/>
          <w:szCs w:val="24"/>
        </w:rPr>
        <w:t>NPR</w:t>
      </w:r>
      <w:r>
        <w:rPr>
          <w:rFonts w:ascii="Times New Roman" w:hAnsi="Times New Roman" w:cs="Times New Roman"/>
          <w:sz w:val="24"/>
          <w:szCs w:val="24"/>
        </w:rPr>
        <w:t xml:space="preserve"> and treated as binary variables (presence/absence).</w:t>
      </w:r>
    </w:p>
    <w:p w14:paraId="49718571" w14:textId="77777777" w:rsidR="00952ED6" w:rsidRDefault="00952ED6" w:rsidP="00FF0714">
      <w:pPr>
        <w:autoSpaceDE w:val="0"/>
        <w:autoSpaceDN w:val="0"/>
        <w:adjustRightInd w:val="0"/>
        <w:spacing w:after="100" w:afterAutospacing="1" w:line="480" w:lineRule="auto"/>
        <w:rPr>
          <w:rFonts w:ascii="Times New Roman" w:hAnsi="Times New Roman" w:cs="Times New Roman"/>
          <w:i/>
          <w:sz w:val="24"/>
          <w:szCs w:val="24"/>
        </w:rPr>
      </w:pPr>
      <w:r w:rsidRPr="00B07259">
        <w:rPr>
          <w:rFonts w:ascii="Times New Roman" w:hAnsi="Times New Roman" w:cs="Times New Roman"/>
          <w:i/>
          <w:sz w:val="24"/>
          <w:szCs w:val="24"/>
        </w:rPr>
        <w:t>Statistical analysis</w:t>
      </w:r>
    </w:p>
    <w:p w14:paraId="23191732" w14:textId="77777777" w:rsidR="00952ED6" w:rsidRPr="00554AA2" w:rsidRDefault="00952ED6" w:rsidP="00FF0714">
      <w:pPr>
        <w:autoSpaceDE w:val="0"/>
        <w:autoSpaceDN w:val="0"/>
        <w:adjustRightInd w:val="0"/>
        <w:spacing w:after="100" w:afterAutospacing="1" w:line="480" w:lineRule="auto"/>
        <w:rPr>
          <w:rFonts w:ascii="Times New Roman" w:hAnsi="Times New Roman" w:cs="Times New Roman"/>
          <w:sz w:val="24"/>
          <w:szCs w:val="24"/>
        </w:rPr>
      </w:pPr>
      <w:r w:rsidRPr="006109AC">
        <w:rPr>
          <w:rFonts w:ascii="Times New Roman" w:hAnsi="Times New Roman" w:cs="Times New Roman"/>
          <w:sz w:val="24"/>
          <w:szCs w:val="24"/>
        </w:rPr>
        <w:t>Chi-square tests were used to assess whether there was significant difference in descriptive characteristics by BMI level in index males and by ADHD status in full siblings.</w:t>
      </w:r>
    </w:p>
    <w:p w14:paraId="149B9629" w14:textId="77777777" w:rsidR="00952ED6" w:rsidRPr="00A36A7B" w:rsidRDefault="00952ED6" w:rsidP="00FF0714">
      <w:pPr>
        <w:autoSpaceDE w:val="0"/>
        <w:autoSpaceDN w:val="0"/>
        <w:adjustRightInd w:val="0"/>
        <w:spacing w:after="100" w:afterAutospacing="1" w:line="480" w:lineRule="auto"/>
        <w:rPr>
          <w:rFonts w:ascii="Times New Roman" w:hAnsi="Times New Roman" w:cs="Times New Roman"/>
          <w:sz w:val="24"/>
          <w:szCs w:val="24"/>
        </w:rPr>
      </w:pPr>
      <w:r w:rsidRPr="00A36A7B">
        <w:rPr>
          <w:rFonts w:ascii="Times New Roman" w:hAnsi="Times New Roman" w:cs="Times New Roman"/>
          <w:sz w:val="24"/>
          <w:szCs w:val="24"/>
        </w:rPr>
        <w:t>Analyses in index males</w:t>
      </w:r>
    </w:p>
    <w:p w14:paraId="2FDC50D4" w14:textId="77777777" w:rsidR="00952ED6" w:rsidRDefault="00952ED6" w:rsidP="00FF0714">
      <w:pPr>
        <w:autoSpaceDE w:val="0"/>
        <w:autoSpaceDN w:val="0"/>
        <w:adjustRightInd w:val="0"/>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L</w:t>
      </w:r>
      <w:r w:rsidRPr="00725C66">
        <w:rPr>
          <w:rFonts w:ascii="Times New Roman" w:hAnsi="Times New Roman" w:cs="Times New Roman"/>
          <w:sz w:val="24"/>
          <w:szCs w:val="24"/>
        </w:rPr>
        <w:t>ogistic</w:t>
      </w:r>
      <w:r>
        <w:rPr>
          <w:rFonts w:ascii="Times New Roman" w:hAnsi="Times New Roman" w:cs="Times New Roman"/>
          <w:sz w:val="24"/>
          <w:szCs w:val="24"/>
        </w:rPr>
        <w:t xml:space="preserve"> regression models were used to estimate birth year adjusted ORs and 95% confidence intervals (CIs), which measured the strength of the association between ADHD and overweight/obesity among index males. The models were further adjusted for family education and comorbid psychiatric conditions.</w:t>
      </w:r>
    </w:p>
    <w:p w14:paraId="321595C1" w14:textId="77777777" w:rsidR="00952ED6" w:rsidRPr="00A36A7B" w:rsidRDefault="00952ED6" w:rsidP="00FF0714">
      <w:pPr>
        <w:autoSpaceDE w:val="0"/>
        <w:autoSpaceDN w:val="0"/>
        <w:adjustRightInd w:val="0"/>
        <w:spacing w:after="100" w:afterAutospacing="1" w:line="480" w:lineRule="auto"/>
        <w:rPr>
          <w:rFonts w:ascii="Times New Roman" w:hAnsi="Times New Roman" w:cs="Times New Roman"/>
          <w:sz w:val="24"/>
          <w:szCs w:val="24"/>
        </w:rPr>
      </w:pPr>
      <w:r w:rsidRPr="00A36A7B">
        <w:rPr>
          <w:rFonts w:ascii="Times New Roman" w:hAnsi="Times New Roman" w:cs="Times New Roman"/>
          <w:sz w:val="24"/>
          <w:szCs w:val="24"/>
        </w:rPr>
        <w:t xml:space="preserve">Analyses in index males and their </w:t>
      </w:r>
      <w:r>
        <w:rPr>
          <w:rFonts w:ascii="Times New Roman" w:hAnsi="Times New Roman" w:cs="Times New Roman"/>
          <w:sz w:val="24"/>
          <w:szCs w:val="24"/>
        </w:rPr>
        <w:t>full sibling</w:t>
      </w:r>
      <w:r w:rsidRPr="00A36A7B">
        <w:rPr>
          <w:rFonts w:ascii="Times New Roman" w:hAnsi="Times New Roman" w:cs="Times New Roman"/>
          <w:sz w:val="24"/>
          <w:szCs w:val="24"/>
        </w:rPr>
        <w:t>s</w:t>
      </w:r>
    </w:p>
    <w:p w14:paraId="011EE48F" w14:textId="77777777" w:rsidR="00952ED6" w:rsidRDefault="00952ED6" w:rsidP="00AA29DE">
      <w:pPr>
        <w:autoSpaceDE w:val="0"/>
        <w:autoSpaceDN w:val="0"/>
        <w:adjustRightInd w:val="0"/>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L</w:t>
      </w:r>
      <w:r w:rsidRPr="00725C66">
        <w:rPr>
          <w:rFonts w:ascii="Times New Roman" w:hAnsi="Times New Roman" w:cs="Times New Roman"/>
          <w:sz w:val="24"/>
          <w:szCs w:val="24"/>
        </w:rPr>
        <w:t>ogistic</w:t>
      </w:r>
      <w:r>
        <w:rPr>
          <w:rFonts w:ascii="Times New Roman" w:hAnsi="Times New Roman" w:cs="Times New Roman"/>
          <w:sz w:val="24"/>
          <w:szCs w:val="24"/>
        </w:rPr>
        <w:t xml:space="preserve"> regression models were also used to assess the familial co-aggregation of ADHD and overweight/obesity, i.e., the association between overweight/obesity in index males and ADHD in their full siblings while adjusting for birth year of the index male and sex of the sibling. </w:t>
      </w:r>
      <w:r w:rsidRPr="00F469C7">
        <w:rPr>
          <w:rFonts w:ascii="Times New Roman" w:hAnsi="Times New Roman" w:cs="Times New Roman"/>
          <w:sz w:val="24"/>
          <w:szCs w:val="24"/>
          <w:highlight w:val="yellow"/>
        </w:rPr>
        <w:t>Famili</w:t>
      </w:r>
      <w:r w:rsidRPr="00220D57">
        <w:rPr>
          <w:rFonts w:ascii="Times New Roman" w:hAnsi="Times New Roman" w:cs="Times New Roman"/>
          <w:sz w:val="24"/>
          <w:szCs w:val="24"/>
          <w:highlight w:val="yellow"/>
        </w:rPr>
        <w:t>al co-aggregation</w:t>
      </w:r>
      <w:r>
        <w:rPr>
          <w:rFonts w:ascii="Times New Roman" w:hAnsi="Times New Roman" w:cs="Times New Roman"/>
          <w:sz w:val="24"/>
          <w:szCs w:val="24"/>
          <w:highlight w:val="yellow"/>
        </w:rPr>
        <w:t xml:space="preserve"> of the two conditions</w:t>
      </w:r>
      <w:r w:rsidRPr="00220D57">
        <w:rPr>
          <w:rFonts w:ascii="Times New Roman" w:hAnsi="Times New Roman" w:cs="Times New Roman"/>
          <w:sz w:val="24"/>
          <w:szCs w:val="24"/>
          <w:highlight w:val="yellow"/>
        </w:rPr>
        <w:t xml:space="preserve">, if present, can be jointly explained by (1) familial risk factors </w:t>
      </w:r>
      <w:r>
        <w:rPr>
          <w:rFonts w:ascii="Times New Roman" w:hAnsi="Times New Roman" w:cs="Times New Roman"/>
          <w:sz w:val="24"/>
          <w:szCs w:val="24"/>
          <w:highlight w:val="yellow"/>
        </w:rPr>
        <w:t xml:space="preserve">causing </w:t>
      </w:r>
      <w:r w:rsidRPr="00220D57">
        <w:rPr>
          <w:rFonts w:ascii="Times New Roman" w:hAnsi="Times New Roman" w:cs="Times New Roman"/>
          <w:sz w:val="24"/>
          <w:szCs w:val="24"/>
          <w:highlight w:val="yellow"/>
        </w:rPr>
        <w:t>overweight/obesity</w:t>
      </w:r>
      <w:r>
        <w:rPr>
          <w:rFonts w:ascii="Times New Roman" w:hAnsi="Times New Roman" w:cs="Times New Roman"/>
          <w:sz w:val="24"/>
          <w:szCs w:val="24"/>
          <w:highlight w:val="yellow"/>
        </w:rPr>
        <w:t xml:space="preserve"> through the mediation of ADHD</w:t>
      </w:r>
      <w:r w:rsidRPr="00220D57">
        <w:rPr>
          <w:rFonts w:ascii="Times New Roman" w:hAnsi="Times New Roman" w:cs="Times New Roman"/>
          <w:sz w:val="24"/>
          <w:szCs w:val="24"/>
          <w:highlight w:val="yellow"/>
        </w:rPr>
        <w:t>, and (2) other familial risk factors shared by ADHD and overweight/obesity.</w:t>
      </w:r>
      <w:r>
        <w:rPr>
          <w:rFonts w:ascii="Times New Roman" w:hAnsi="Times New Roman" w:cs="Times New Roman"/>
          <w:sz w:val="24"/>
          <w:szCs w:val="24"/>
        </w:rPr>
        <w:t xml:space="preserve"> </w:t>
      </w:r>
      <w:r w:rsidRPr="007D54BB">
        <w:rPr>
          <w:rFonts w:ascii="Times New Roman" w:hAnsi="Times New Roman" w:cs="Times New Roman"/>
          <w:sz w:val="24"/>
          <w:szCs w:val="24"/>
          <w:highlight w:val="yellow"/>
        </w:rPr>
        <w:t xml:space="preserve">When the models were further adjusted for ADHD status of the index male, a statistically significant positive association (OR&gt;1) would indicate the presence of the second type of familial risk </w:t>
      </w:r>
      <w:r w:rsidRPr="00B0513E">
        <w:rPr>
          <w:rFonts w:ascii="Times New Roman" w:hAnsi="Times New Roman" w:cs="Times New Roman"/>
          <w:sz w:val="24"/>
          <w:szCs w:val="24"/>
          <w:highlight w:val="yellow"/>
        </w:rPr>
        <w:t xml:space="preserve">factors </w:t>
      </w:r>
      <w:r w:rsidRPr="00B0513E">
        <w:rPr>
          <w:rFonts w:ascii="Times New Roman" w:hAnsi="Times New Roman" w:cs="Times New Roman"/>
          <w:noProof/>
          <w:sz w:val="24"/>
          <w:szCs w:val="24"/>
          <w:highlight w:val="yellow"/>
        </w:rPr>
        <w:t>(Hudson et al., 2008)</w:t>
      </w:r>
      <w:r w:rsidRPr="00B0513E">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AA29DE">
        <w:rPr>
          <w:rFonts w:ascii="Times New Roman" w:hAnsi="Times New Roman" w:cs="Times New Roman"/>
          <w:sz w:val="24"/>
          <w:szCs w:val="24"/>
        </w:rPr>
        <w:t>Detailed de</w:t>
      </w:r>
      <w:r>
        <w:rPr>
          <w:rFonts w:ascii="Times New Roman" w:hAnsi="Times New Roman" w:cs="Times New Roman"/>
          <w:sz w:val="24"/>
          <w:szCs w:val="24"/>
        </w:rPr>
        <w:t>scription about the rationale for</w:t>
      </w:r>
      <w:r w:rsidRPr="00AA29DE">
        <w:rPr>
          <w:rFonts w:ascii="Times New Roman" w:hAnsi="Times New Roman" w:cs="Times New Roman"/>
          <w:sz w:val="24"/>
          <w:szCs w:val="24"/>
        </w:rPr>
        <w:t xml:space="preserve"> the method based on </w:t>
      </w:r>
      <w:r>
        <w:rPr>
          <w:rFonts w:ascii="Times New Roman" w:hAnsi="Times New Roman" w:cs="Times New Roman"/>
          <w:sz w:val="24"/>
          <w:szCs w:val="24"/>
        </w:rPr>
        <w:t xml:space="preserve">a </w:t>
      </w:r>
      <w:r w:rsidRPr="00AA29DE">
        <w:rPr>
          <w:rFonts w:ascii="Times New Roman" w:hAnsi="Times New Roman" w:cs="Times New Roman"/>
          <w:sz w:val="24"/>
          <w:szCs w:val="24"/>
        </w:rPr>
        <w:t xml:space="preserve">directed acyclic graph (DAG) </w:t>
      </w:r>
      <w:r>
        <w:rPr>
          <w:rFonts w:ascii="Times New Roman" w:hAnsi="Times New Roman" w:cs="Times New Roman"/>
          <w:sz w:val="24"/>
          <w:szCs w:val="24"/>
        </w:rPr>
        <w:t xml:space="preserve">(Figure S1) </w:t>
      </w:r>
      <w:r w:rsidRPr="00AA29DE">
        <w:rPr>
          <w:rFonts w:ascii="Times New Roman" w:hAnsi="Times New Roman" w:cs="Times New Roman"/>
          <w:sz w:val="24"/>
          <w:szCs w:val="24"/>
        </w:rPr>
        <w:t xml:space="preserve">can be found in the </w:t>
      </w:r>
      <w:r>
        <w:rPr>
          <w:rFonts w:ascii="Times New Roman" w:hAnsi="Times New Roman" w:cs="Times New Roman"/>
          <w:sz w:val="24"/>
          <w:szCs w:val="24"/>
        </w:rPr>
        <w:t>online S</w:t>
      </w:r>
      <w:r w:rsidRPr="00AA29DE">
        <w:rPr>
          <w:rFonts w:ascii="Times New Roman" w:hAnsi="Times New Roman" w:cs="Times New Roman"/>
          <w:sz w:val="24"/>
          <w:szCs w:val="24"/>
        </w:rPr>
        <w:t>upplement</w:t>
      </w:r>
      <w:r>
        <w:rPr>
          <w:rFonts w:ascii="Times New Roman" w:hAnsi="Times New Roman" w:cs="Times New Roman"/>
          <w:sz w:val="24"/>
          <w:szCs w:val="24"/>
        </w:rPr>
        <w:t xml:space="preserve"> 1</w:t>
      </w:r>
      <w:r w:rsidRPr="00AA29DE">
        <w:rPr>
          <w:rFonts w:ascii="Times New Roman" w:hAnsi="Times New Roman" w:cs="Times New Roman"/>
          <w:sz w:val="24"/>
          <w:szCs w:val="24"/>
        </w:rPr>
        <w:t>.</w:t>
      </w:r>
      <w:r>
        <w:rPr>
          <w:rFonts w:ascii="Times New Roman" w:hAnsi="Times New Roman" w:cs="Times New Roman"/>
          <w:sz w:val="24"/>
          <w:szCs w:val="24"/>
        </w:rPr>
        <w:t xml:space="preserve"> </w:t>
      </w:r>
    </w:p>
    <w:p w14:paraId="1932F474" w14:textId="77777777" w:rsidR="00952ED6" w:rsidRDefault="00952ED6" w:rsidP="00AA29DE">
      <w:pPr>
        <w:autoSpaceDE w:val="0"/>
        <w:autoSpaceDN w:val="0"/>
        <w:adjustRightInd w:val="0"/>
        <w:spacing w:after="100" w:afterAutospacing="1" w:line="480" w:lineRule="auto"/>
        <w:rPr>
          <w:rFonts w:ascii="Times New Roman" w:hAnsi="Times New Roman" w:cs="Times New Roman"/>
          <w:sz w:val="24"/>
          <w:szCs w:val="24"/>
          <w:highlight w:val="yellow"/>
        </w:rPr>
      </w:pPr>
      <w:r w:rsidRPr="00B35588">
        <w:rPr>
          <w:rFonts w:ascii="Times New Roman" w:hAnsi="Times New Roman" w:cs="Times New Roman"/>
          <w:sz w:val="24"/>
          <w:szCs w:val="24"/>
          <w:highlight w:val="yellow"/>
        </w:rPr>
        <w:t>Sensitivity analyses</w:t>
      </w:r>
    </w:p>
    <w:p w14:paraId="52D8C9F3" w14:textId="77777777" w:rsidR="00952ED6" w:rsidRPr="00B35588" w:rsidRDefault="00952ED6" w:rsidP="00AA29DE">
      <w:pPr>
        <w:autoSpaceDE w:val="0"/>
        <w:autoSpaceDN w:val="0"/>
        <w:adjustRightInd w:val="0"/>
        <w:spacing w:after="100" w:afterAutospacing="1" w:line="48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As a complementary evaluation of the familial co-aggregation, we further </w:t>
      </w:r>
      <w:r w:rsidRPr="007A73D5">
        <w:rPr>
          <w:rFonts w:ascii="Times New Roman" w:hAnsi="Times New Roman" w:cs="Times New Roman"/>
          <w:sz w:val="24"/>
          <w:szCs w:val="24"/>
          <w:highlight w:val="yellow"/>
        </w:rPr>
        <w:t xml:space="preserve">estimated </w:t>
      </w:r>
      <w:r>
        <w:rPr>
          <w:rFonts w:ascii="Times New Roman" w:hAnsi="Times New Roman" w:cs="Times New Roman"/>
          <w:sz w:val="24"/>
          <w:szCs w:val="24"/>
          <w:highlight w:val="yellow"/>
        </w:rPr>
        <w:t>the association between overweight/obesity in index males and ADHD in their full cousins. We identified</w:t>
      </w:r>
      <w:r>
        <w:rPr>
          <w:rFonts w:ascii="Times New Roman" w:hAnsi="Times New Roman" w:cs="Times New Roman"/>
          <w:sz w:val="24"/>
          <w:szCs w:val="24"/>
        </w:rPr>
        <w:t xml:space="preserve"> </w:t>
      </w:r>
      <w:r w:rsidRPr="007A73D5">
        <w:rPr>
          <w:rFonts w:ascii="Times New Roman" w:hAnsi="Times New Roman" w:cs="Times New Roman"/>
          <w:sz w:val="24"/>
          <w:szCs w:val="24"/>
          <w:highlight w:val="yellow"/>
        </w:rPr>
        <w:t>2 138 440 cousins (48.6% females) for the index males</w:t>
      </w:r>
      <w:r>
        <w:rPr>
          <w:rFonts w:ascii="Times New Roman" w:hAnsi="Times New Roman" w:cs="Times New Roman"/>
          <w:sz w:val="24"/>
          <w:szCs w:val="24"/>
          <w:highlight w:val="yellow"/>
        </w:rPr>
        <w:t xml:space="preserve"> for the analysis.</w:t>
      </w:r>
      <w:r w:rsidRPr="007A73D5">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An index male and his full cousins shared at least one set of their biological grandparents. Significant associations would confirm the presence of familial risk factors shared by both conditions for two reasons. First, </w:t>
      </w:r>
      <w:r w:rsidRPr="002364AA">
        <w:rPr>
          <w:rFonts w:ascii="Times New Roman" w:hAnsi="Times New Roman" w:cs="Times New Roman"/>
          <w:sz w:val="24"/>
          <w:szCs w:val="24"/>
          <w:highlight w:val="yellow"/>
        </w:rPr>
        <w:t xml:space="preserve">the total number of identified cousin pairs largely exceeded that of sibling pairs, giving </w:t>
      </w:r>
      <w:r>
        <w:rPr>
          <w:rFonts w:ascii="Times New Roman" w:hAnsi="Times New Roman" w:cs="Times New Roman"/>
          <w:sz w:val="24"/>
          <w:szCs w:val="24"/>
          <w:highlight w:val="yellow"/>
        </w:rPr>
        <w:t>higher</w:t>
      </w:r>
      <w:r w:rsidRPr="002364AA">
        <w:rPr>
          <w:rFonts w:ascii="Times New Roman" w:hAnsi="Times New Roman" w:cs="Times New Roman"/>
          <w:sz w:val="24"/>
          <w:szCs w:val="24"/>
          <w:highlight w:val="yellow"/>
        </w:rPr>
        <w:t xml:space="preserve"> statistical power </w:t>
      </w:r>
      <w:r>
        <w:rPr>
          <w:rFonts w:ascii="Times New Roman" w:hAnsi="Times New Roman" w:cs="Times New Roman"/>
          <w:sz w:val="24"/>
          <w:szCs w:val="24"/>
          <w:highlight w:val="yellow"/>
        </w:rPr>
        <w:t>to capture the familial co-</w:t>
      </w:r>
      <w:r w:rsidRPr="002364AA">
        <w:rPr>
          <w:rFonts w:ascii="Times New Roman" w:hAnsi="Times New Roman" w:cs="Times New Roman"/>
          <w:sz w:val="24"/>
          <w:szCs w:val="24"/>
          <w:highlight w:val="yellow"/>
        </w:rPr>
        <w:t>aggregation</w:t>
      </w:r>
      <w:r>
        <w:rPr>
          <w:rFonts w:ascii="Times New Roman" w:hAnsi="Times New Roman" w:cs="Times New Roman"/>
          <w:sz w:val="24"/>
          <w:szCs w:val="24"/>
          <w:highlight w:val="yellow"/>
        </w:rPr>
        <w:t>, though possibly weaker, with improved certainty. Second, c</w:t>
      </w:r>
      <w:r w:rsidRPr="002364AA">
        <w:rPr>
          <w:rFonts w:ascii="Times New Roman" w:hAnsi="Times New Roman" w:cs="Times New Roman"/>
          <w:sz w:val="24"/>
          <w:szCs w:val="24"/>
          <w:highlight w:val="yellow"/>
        </w:rPr>
        <w:t>ompare</w:t>
      </w:r>
      <w:r>
        <w:rPr>
          <w:rFonts w:ascii="Times New Roman" w:hAnsi="Times New Roman" w:cs="Times New Roman"/>
          <w:sz w:val="24"/>
          <w:szCs w:val="24"/>
          <w:highlight w:val="yellow"/>
        </w:rPr>
        <w:t>d</w:t>
      </w:r>
      <w:r w:rsidRPr="002364AA">
        <w:rPr>
          <w:rFonts w:ascii="Times New Roman" w:hAnsi="Times New Roman" w:cs="Times New Roman"/>
          <w:sz w:val="24"/>
          <w:szCs w:val="24"/>
          <w:highlight w:val="yellow"/>
        </w:rPr>
        <w:t xml:space="preserve"> to siblings, cousins were less </w:t>
      </w:r>
      <w:r>
        <w:rPr>
          <w:rFonts w:ascii="Times New Roman" w:hAnsi="Times New Roman" w:cs="Times New Roman"/>
          <w:sz w:val="24"/>
          <w:szCs w:val="24"/>
          <w:highlight w:val="yellow"/>
        </w:rPr>
        <w:t>affected</w:t>
      </w:r>
      <w:r w:rsidRPr="002364AA">
        <w:rPr>
          <w:rFonts w:ascii="Times New Roman" w:hAnsi="Times New Roman" w:cs="Times New Roman"/>
          <w:sz w:val="24"/>
          <w:szCs w:val="24"/>
          <w:highlight w:val="yellow"/>
        </w:rPr>
        <w:t xml:space="preserve"> by carryover effects </w:t>
      </w:r>
      <w:r>
        <w:rPr>
          <w:rFonts w:ascii="Times New Roman" w:hAnsi="Times New Roman" w:cs="Times New Roman"/>
          <w:sz w:val="24"/>
          <w:szCs w:val="24"/>
          <w:highlight w:val="yellow"/>
        </w:rPr>
        <w:t>(i.e., the presence of one condition in an individual affects the presence of the same or a different condition in his or her relatives) that</w:t>
      </w:r>
      <w:r w:rsidRPr="002364AA">
        <w:rPr>
          <w:rFonts w:ascii="Times New Roman" w:hAnsi="Times New Roman" w:cs="Times New Roman"/>
          <w:sz w:val="24"/>
          <w:szCs w:val="24"/>
          <w:highlight w:val="yellow"/>
        </w:rPr>
        <w:t xml:space="preserve"> could potentially complicate the interpretation of the </w:t>
      </w:r>
      <w:r>
        <w:rPr>
          <w:rFonts w:ascii="Times New Roman" w:hAnsi="Times New Roman" w:cs="Times New Roman"/>
          <w:sz w:val="24"/>
          <w:szCs w:val="24"/>
          <w:highlight w:val="yellow"/>
        </w:rPr>
        <w:t xml:space="preserve">familial co-aggregation </w:t>
      </w:r>
      <w:r w:rsidRPr="002364AA">
        <w:rPr>
          <w:rFonts w:ascii="Times New Roman" w:hAnsi="Times New Roman" w:cs="Times New Roman"/>
          <w:sz w:val="24"/>
          <w:szCs w:val="24"/>
          <w:highlight w:val="yellow"/>
        </w:rPr>
        <w:t>results</w:t>
      </w:r>
      <w:r>
        <w:rPr>
          <w:rFonts w:ascii="Times New Roman" w:hAnsi="Times New Roman" w:cs="Times New Roman"/>
          <w:sz w:val="24"/>
          <w:szCs w:val="24"/>
          <w:highlight w:val="yellow"/>
        </w:rPr>
        <w:t xml:space="preserve"> </w:t>
      </w:r>
      <w:r>
        <w:rPr>
          <w:rFonts w:ascii="Times New Roman" w:hAnsi="Times New Roman" w:cs="Times New Roman"/>
          <w:noProof/>
          <w:sz w:val="24"/>
          <w:szCs w:val="24"/>
          <w:highlight w:val="yellow"/>
        </w:rPr>
        <w:t>(D'Onofrio et al., 2013, Sjolander et al., 2016)</w:t>
      </w:r>
      <w:r w:rsidRPr="002364AA">
        <w:rPr>
          <w:rFonts w:ascii="Times New Roman" w:hAnsi="Times New Roman" w:cs="Times New Roman"/>
          <w:sz w:val="24"/>
          <w:szCs w:val="24"/>
          <w:highlight w:val="yellow"/>
        </w:rPr>
        <w:t>.</w:t>
      </w:r>
    </w:p>
    <w:p w14:paraId="61C86361" w14:textId="77777777" w:rsidR="00952ED6" w:rsidRDefault="00952ED6" w:rsidP="00AA29DE">
      <w:pPr>
        <w:autoSpaceDE w:val="0"/>
        <w:autoSpaceDN w:val="0"/>
        <w:adjustRightInd w:val="0"/>
        <w:spacing w:after="100" w:afterAutospacing="1" w:line="480" w:lineRule="auto"/>
        <w:rPr>
          <w:rFonts w:ascii="Times New Roman" w:hAnsi="Times New Roman" w:cs="Times New Roman"/>
          <w:sz w:val="24"/>
          <w:szCs w:val="24"/>
        </w:rPr>
      </w:pPr>
      <w:r w:rsidRPr="00B35588">
        <w:rPr>
          <w:rFonts w:ascii="Times New Roman" w:hAnsi="Times New Roman" w:cs="Times New Roman"/>
          <w:sz w:val="24"/>
          <w:szCs w:val="24"/>
          <w:highlight w:val="yellow"/>
        </w:rPr>
        <w:t xml:space="preserve">We examined whether the observed familial co-aggregation </w:t>
      </w:r>
      <w:r>
        <w:rPr>
          <w:rFonts w:ascii="Times New Roman" w:hAnsi="Times New Roman" w:cs="Times New Roman"/>
          <w:sz w:val="24"/>
          <w:szCs w:val="24"/>
          <w:highlight w:val="yellow"/>
        </w:rPr>
        <w:t>pertained</w:t>
      </w:r>
      <w:r w:rsidRPr="00B35588">
        <w:rPr>
          <w:rFonts w:ascii="Times New Roman" w:hAnsi="Times New Roman" w:cs="Times New Roman"/>
          <w:sz w:val="24"/>
          <w:szCs w:val="24"/>
          <w:highlight w:val="yellow"/>
        </w:rPr>
        <w:t xml:space="preserve"> to the entire population by conducting </w:t>
      </w:r>
      <w:r>
        <w:rPr>
          <w:rFonts w:ascii="Times New Roman" w:hAnsi="Times New Roman" w:cs="Times New Roman"/>
          <w:sz w:val="24"/>
          <w:szCs w:val="24"/>
          <w:highlight w:val="yellow"/>
        </w:rPr>
        <w:t xml:space="preserve">subgroup </w:t>
      </w:r>
      <w:r w:rsidRPr="00B35588">
        <w:rPr>
          <w:rFonts w:ascii="Times New Roman" w:hAnsi="Times New Roman" w:cs="Times New Roman"/>
          <w:sz w:val="24"/>
          <w:szCs w:val="24"/>
          <w:highlight w:val="yellow"/>
        </w:rPr>
        <w:t xml:space="preserve">analyses </w:t>
      </w:r>
      <w:r>
        <w:rPr>
          <w:rFonts w:ascii="Times New Roman" w:hAnsi="Times New Roman" w:cs="Times New Roman"/>
          <w:sz w:val="24"/>
          <w:szCs w:val="24"/>
          <w:highlight w:val="yellow"/>
        </w:rPr>
        <w:t xml:space="preserve">stratified </w:t>
      </w:r>
      <w:r w:rsidRPr="00B35588">
        <w:rPr>
          <w:rFonts w:ascii="Times New Roman" w:hAnsi="Times New Roman" w:cs="Times New Roman"/>
          <w:sz w:val="24"/>
          <w:szCs w:val="24"/>
          <w:highlight w:val="yellow"/>
        </w:rPr>
        <w:t>by family education level and by adding family education as an additional covariate. We repeated the main analyses first in sibling pair</w:t>
      </w:r>
      <w:r>
        <w:rPr>
          <w:rFonts w:ascii="Times New Roman" w:hAnsi="Times New Roman" w:cs="Times New Roman"/>
          <w:sz w:val="24"/>
          <w:szCs w:val="24"/>
          <w:highlight w:val="yellow"/>
        </w:rPr>
        <w:t xml:space="preserve">s with age difference less or equal to </w:t>
      </w:r>
      <w:r w:rsidRPr="00B35588">
        <w:rPr>
          <w:rFonts w:ascii="Times New Roman" w:hAnsi="Times New Roman" w:cs="Times New Roman"/>
          <w:sz w:val="24"/>
          <w:szCs w:val="24"/>
          <w:highlight w:val="yellow"/>
        </w:rPr>
        <w:t xml:space="preserve">5 years to minimize the impact of secular trends </w:t>
      </w:r>
      <w:r>
        <w:rPr>
          <w:rFonts w:ascii="Times New Roman" w:hAnsi="Times New Roman" w:cs="Times New Roman"/>
          <w:sz w:val="24"/>
          <w:szCs w:val="24"/>
          <w:highlight w:val="yellow"/>
        </w:rPr>
        <w:t>related to</w:t>
      </w:r>
      <w:r w:rsidRPr="00B35588">
        <w:rPr>
          <w:rFonts w:ascii="Times New Roman" w:hAnsi="Times New Roman" w:cs="Times New Roman"/>
          <w:sz w:val="24"/>
          <w:szCs w:val="24"/>
          <w:highlight w:val="yellow"/>
        </w:rPr>
        <w:t xml:space="preserve"> both ADHD and obesity,</w:t>
      </w:r>
      <w:r>
        <w:rPr>
          <w:rFonts w:ascii="Times New Roman" w:hAnsi="Times New Roman" w:cs="Times New Roman"/>
          <w:sz w:val="24"/>
          <w:szCs w:val="24"/>
          <w:highlight w:val="yellow"/>
        </w:rPr>
        <w:t xml:space="preserve"> and then in sibling pairs where the index males were</w:t>
      </w:r>
      <w:r w:rsidRPr="00B35588">
        <w:rPr>
          <w:rFonts w:ascii="Times New Roman" w:hAnsi="Times New Roman" w:cs="Times New Roman"/>
          <w:sz w:val="24"/>
          <w:szCs w:val="24"/>
          <w:highlight w:val="yellow"/>
        </w:rPr>
        <w:t xml:space="preserve"> born before 1989 to not only reexamine the impact of secular trends but also </w:t>
      </w:r>
      <w:r>
        <w:rPr>
          <w:rFonts w:ascii="Times New Roman" w:hAnsi="Times New Roman" w:cs="Times New Roman"/>
          <w:sz w:val="24"/>
          <w:szCs w:val="24"/>
          <w:highlight w:val="yellow"/>
        </w:rPr>
        <w:t xml:space="preserve">limit </w:t>
      </w:r>
      <w:r w:rsidRPr="00B35588">
        <w:rPr>
          <w:rFonts w:ascii="Times New Roman" w:hAnsi="Times New Roman" w:cs="Times New Roman"/>
          <w:sz w:val="24"/>
          <w:szCs w:val="24"/>
          <w:highlight w:val="yellow"/>
        </w:rPr>
        <w:t>the influence of missingness on BMI for index males due to the fact that the mandatory enlistment tests had been removed in 2007.</w:t>
      </w:r>
    </w:p>
    <w:p w14:paraId="5F995834" w14:textId="77777777" w:rsidR="00952ED6" w:rsidRPr="00AF10B8" w:rsidRDefault="00952ED6" w:rsidP="00CE33B9">
      <w:pPr>
        <w:autoSpaceDE w:val="0"/>
        <w:autoSpaceDN w:val="0"/>
        <w:adjustRightInd w:val="0"/>
        <w:spacing w:after="100" w:afterAutospacing="1" w:line="480" w:lineRule="auto"/>
        <w:rPr>
          <w:rFonts w:ascii="Times New Roman" w:hAnsi="Times New Roman" w:cs="Times New Roman"/>
          <w:i/>
          <w:sz w:val="24"/>
          <w:szCs w:val="24"/>
        </w:rPr>
      </w:pPr>
      <w:r>
        <w:rPr>
          <w:rFonts w:ascii="Times New Roman" w:hAnsi="Times New Roman" w:cs="Times New Roman"/>
          <w:sz w:val="24"/>
          <w:szCs w:val="24"/>
        </w:rPr>
        <w:t>Robust standard errors were used to account for non-independence of family-clustered data.</w:t>
      </w:r>
      <w:r>
        <w:rPr>
          <w:rFonts w:ascii="Times New Roman" w:hAnsi="Times New Roman" w:cs="Times New Roman"/>
          <w:i/>
          <w:sz w:val="24"/>
          <w:szCs w:val="24"/>
        </w:rPr>
        <w:t xml:space="preserve"> </w:t>
      </w:r>
      <w:r w:rsidRPr="00B07259">
        <w:rPr>
          <w:rFonts w:ascii="Times New Roman" w:hAnsi="Times New Roman" w:cs="Times New Roman"/>
          <w:sz w:val="24"/>
          <w:szCs w:val="24"/>
        </w:rPr>
        <w:t xml:space="preserve">Significance level for all the tests was set at </w:t>
      </w:r>
      <w:r w:rsidRPr="009C0EAD">
        <w:rPr>
          <w:rFonts w:ascii="Times New Roman" w:hAnsi="Times New Roman" w:cs="Times New Roman"/>
          <w:i/>
          <w:sz w:val="24"/>
          <w:szCs w:val="24"/>
        </w:rPr>
        <w:t>p</w:t>
      </w:r>
      <w:r w:rsidRPr="00B07259">
        <w:rPr>
          <w:rFonts w:ascii="Times New Roman" w:hAnsi="Times New Roman" w:cs="Times New Roman"/>
          <w:sz w:val="24"/>
          <w:szCs w:val="24"/>
        </w:rPr>
        <w:t xml:space="preserve"> &lt; .05, 2 </w:t>
      </w:r>
      <w:r w:rsidRPr="00EC515B">
        <w:rPr>
          <w:rFonts w:ascii="Times New Roman" w:hAnsi="Times New Roman" w:cs="Times New Roman"/>
          <w:sz w:val="24"/>
          <w:szCs w:val="24"/>
        </w:rPr>
        <w:t xml:space="preserve">tailed. SAS software version 9.4 </w:t>
      </w:r>
      <w:r>
        <w:rPr>
          <w:rFonts w:ascii="Times New Roman" w:hAnsi="Times New Roman" w:cs="Times New Roman"/>
          <w:sz w:val="24"/>
          <w:szCs w:val="24"/>
        </w:rPr>
        <w:t xml:space="preserve">(SAS Institute Inc., Cary, NC) </w:t>
      </w:r>
      <w:r w:rsidRPr="00EC515B">
        <w:rPr>
          <w:rFonts w:ascii="Times New Roman" w:hAnsi="Times New Roman" w:cs="Times New Roman"/>
          <w:sz w:val="24"/>
          <w:szCs w:val="24"/>
        </w:rPr>
        <w:t>was used for data management and construction of analytic datasets. Stata software version 14</w:t>
      </w:r>
      <w:r>
        <w:rPr>
          <w:rFonts w:ascii="Times New Roman" w:hAnsi="Times New Roman" w:cs="Times New Roman"/>
          <w:noProof/>
          <w:sz w:val="24"/>
          <w:szCs w:val="24"/>
        </w:rPr>
        <w:t>(StataCorp., 2015)</w:t>
      </w:r>
      <w:r>
        <w:rPr>
          <w:rFonts w:ascii="Times New Roman" w:hAnsi="Times New Roman" w:cs="Times New Roman"/>
          <w:sz w:val="24"/>
          <w:szCs w:val="24"/>
        </w:rPr>
        <w:t xml:space="preserve"> </w:t>
      </w:r>
      <w:r w:rsidRPr="00EC515B">
        <w:rPr>
          <w:rFonts w:ascii="Times New Roman" w:hAnsi="Times New Roman" w:cs="Times New Roman"/>
          <w:sz w:val="24"/>
          <w:szCs w:val="24"/>
        </w:rPr>
        <w:t>was</w:t>
      </w:r>
      <w:r w:rsidRPr="00B07259">
        <w:rPr>
          <w:rFonts w:ascii="Times New Roman" w:hAnsi="Times New Roman" w:cs="Times New Roman"/>
          <w:sz w:val="24"/>
          <w:szCs w:val="24"/>
        </w:rPr>
        <w:t xml:space="preserve"> used for statistical analyses.</w:t>
      </w:r>
    </w:p>
    <w:p w14:paraId="18D9A62C" w14:textId="77777777" w:rsidR="00952ED6" w:rsidRPr="00B07259" w:rsidRDefault="00952ED6" w:rsidP="00CE33B9">
      <w:pPr>
        <w:autoSpaceDE w:val="0"/>
        <w:autoSpaceDN w:val="0"/>
        <w:adjustRightInd w:val="0"/>
        <w:spacing w:after="100" w:afterAutospacing="1" w:line="480" w:lineRule="auto"/>
        <w:rPr>
          <w:rFonts w:ascii="Times New Roman" w:hAnsi="Times New Roman" w:cs="Times New Roman"/>
          <w:b/>
          <w:sz w:val="24"/>
          <w:szCs w:val="24"/>
        </w:rPr>
      </w:pPr>
      <w:r w:rsidRPr="00B07259">
        <w:rPr>
          <w:rFonts w:ascii="Times New Roman" w:hAnsi="Times New Roman" w:cs="Times New Roman"/>
          <w:b/>
          <w:sz w:val="24"/>
          <w:szCs w:val="24"/>
        </w:rPr>
        <w:t>Results</w:t>
      </w:r>
    </w:p>
    <w:p w14:paraId="70C8B34F" w14:textId="77777777" w:rsidR="00952ED6" w:rsidRDefault="00952ED6" w:rsidP="00CE33B9">
      <w:pPr>
        <w:autoSpaceDE w:val="0"/>
        <w:autoSpaceDN w:val="0"/>
        <w:adjustRightInd w:val="0"/>
        <w:spacing w:after="100" w:afterAutospacing="1" w:line="480" w:lineRule="auto"/>
        <w:rPr>
          <w:rFonts w:ascii="Times New Roman" w:hAnsi="Times New Roman" w:cs="Times New Roman"/>
          <w:i/>
          <w:sz w:val="24"/>
          <w:szCs w:val="24"/>
        </w:rPr>
      </w:pPr>
      <w:r w:rsidRPr="00B07259">
        <w:rPr>
          <w:rFonts w:ascii="Times New Roman" w:hAnsi="Times New Roman" w:cs="Times New Roman"/>
          <w:i/>
          <w:sz w:val="24"/>
          <w:szCs w:val="24"/>
        </w:rPr>
        <w:t xml:space="preserve">Description of </w:t>
      </w:r>
      <w:r>
        <w:rPr>
          <w:rFonts w:ascii="Times New Roman" w:hAnsi="Times New Roman" w:cs="Times New Roman"/>
          <w:i/>
          <w:sz w:val="24"/>
          <w:szCs w:val="24"/>
        </w:rPr>
        <w:t>the study population</w:t>
      </w:r>
    </w:p>
    <w:p w14:paraId="5E93C8EC" w14:textId="77777777" w:rsidR="00952ED6" w:rsidRPr="00B07259" w:rsidRDefault="00952ED6" w:rsidP="00CE33B9">
      <w:pPr>
        <w:autoSpaceDE w:val="0"/>
        <w:autoSpaceDN w:val="0"/>
        <w:adjustRightInd w:val="0"/>
        <w:spacing w:after="100" w:afterAutospacing="1" w:line="480" w:lineRule="auto"/>
        <w:rPr>
          <w:rFonts w:ascii="Times New Roman" w:hAnsi="Times New Roman" w:cs="Times New Roman"/>
          <w:i/>
          <w:sz w:val="24"/>
          <w:szCs w:val="24"/>
        </w:rPr>
      </w:pPr>
      <w:r>
        <w:rPr>
          <w:rFonts w:ascii="Times New Roman" w:hAnsi="Times New Roman" w:cs="Times New Roman"/>
          <w:i/>
          <w:sz w:val="24"/>
          <w:szCs w:val="24"/>
        </w:rPr>
        <w:t>---- Please insert Table 1 here ----</w:t>
      </w:r>
    </w:p>
    <w:p w14:paraId="668FDCE0" w14:textId="77777777" w:rsidR="00952ED6" w:rsidRDefault="00952ED6" w:rsidP="00CE33B9">
      <w:pPr>
        <w:autoSpaceDE w:val="0"/>
        <w:autoSpaceDN w:val="0"/>
        <w:adjustRightInd w:val="0"/>
        <w:spacing w:after="100" w:afterAutospacing="1" w:line="480" w:lineRule="auto"/>
        <w:rPr>
          <w:rFonts w:ascii="Times New Roman" w:hAnsi="Times New Roman" w:cs="Times New Roman"/>
          <w:sz w:val="24"/>
          <w:szCs w:val="24"/>
        </w:rPr>
      </w:pPr>
      <w:r w:rsidRPr="00485367">
        <w:rPr>
          <w:rFonts w:ascii="Times New Roman" w:hAnsi="Times New Roman" w:cs="Times New Roman"/>
          <w:sz w:val="24"/>
          <w:szCs w:val="24"/>
          <w:highlight w:val="yellow"/>
        </w:rPr>
        <w:t>Among 472 735 index males included in the study, 384 525 (81.34%) had normal weight, 68 906 (14.58%) had overweight, and 19 304 (4.08%) had obesity. The lifetime prevalence of ADHD was 0.64% in index males and 0.87% in their full siblings. The average age difference between the index males and their full siblings was 1.47 (standard deviation=5.19) years. Additional descriptive characteristics of index males by BMI level and full siblings by ADHD status are shown in Table 1&amp;2.</w:t>
      </w:r>
      <w:r w:rsidRPr="00B07259">
        <w:rPr>
          <w:rFonts w:ascii="Times New Roman" w:hAnsi="Times New Roman" w:cs="Times New Roman"/>
          <w:sz w:val="24"/>
          <w:szCs w:val="24"/>
        </w:rPr>
        <w:t xml:space="preserve"> </w:t>
      </w:r>
    </w:p>
    <w:p w14:paraId="381960BB" w14:textId="77777777" w:rsidR="00952ED6" w:rsidRPr="00F42DC9" w:rsidRDefault="00952ED6" w:rsidP="00CE33B9">
      <w:pPr>
        <w:autoSpaceDE w:val="0"/>
        <w:autoSpaceDN w:val="0"/>
        <w:adjustRightInd w:val="0"/>
        <w:spacing w:after="100" w:afterAutospacing="1" w:line="480" w:lineRule="auto"/>
        <w:rPr>
          <w:rFonts w:ascii="Times New Roman" w:hAnsi="Times New Roman" w:cs="Times New Roman"/>
          <w:i/>
          <w:sz w:val="24"/>
          <w:szCs w:val="24"/>
        </w:rPr>
      </w:pPr>
      <w:r w:rsidRPr="00F42DC9">
        <w:rPr>
          <w:rFonts w:ascii="Times New Roman" w:hAnsi="Times New Roman" w:cs="Times New Roman"/>
          <w:i/>
          <w:sz w:val="24"/>
          <w:szCs w:val="24"/>
        </w:rPr>
        <w:t>---- Please insert Table 2 here ----</w:t>
      </w:r>
    </w:p>
    <w:p w14:paraId="40A0BA3A" w14:textId="77777777" w:rsidR="00952ED6" w:rsidRPr="00F62672" w:rsidRDefault="00952ED6" w:rsidP="00CE33B9">
      <w:pPr>
        <w:autoSpaceDE w:val="0"/>
        <w:autoSpaceDN w:val="0"/>
        <w:adjustRightInd w:val="0"/>
        <w:spacing w:after="100" w:afterAutospacing="1" w:line="480" w:lineRule="auto"/>
        <w:rPr>
          <w:rFonts w:ascii="Times New Roman" w:hAnsi="Times New Roman" w:cs="Times New Roman"/>
          <w:i/>
          <w:sz w:val="24"/>
          <w:szCs w:val="24"/>
        </w:rPr>
      </w:pPr>
      <w:r w:rsidRPr="00F62672">
        <w:rPr>
          <w:rFonts w:ascii="Times New Roman" w:hAnsi="Times New Roman" w:cs="Times New Roman"/>
          <w:i/>
          <w:sz w:val="24"/>
          <w:szCs w:val="24"/>
        </w:rPr>
        <w:t xml:space="preserve">Association </w:t>
      </w:r>
      <w:r>
        <w:rPr>
          <w:rFonts w:ascii="Times New Roman" w:hAnsi="Times New Roman" w:cs="Times New Roman"/>
          <w:i/>
          <w:sz w:val="24"/>
          <w:szCs w:val="24"/>
        </w:rPr>
        <w:t>between ADHD and overweight/obesity in</w:t>
      </w:r>
      <w:r w:rsidRPr="00F62672">
        <w:rPr>
          <w:rFonts w:ascii="Times New Roman" w:hAnsi="Times New Roman" w:cs="Times New Roman"/>
          <w:i/>
          <w:sz w:val="24"/>
          <w:szCs w:val="24"/>
        </w:rPr>
        <w:t xml:space="preserve"> index </w:t>
      </w:r>
      <w:r>
        <w:rPr>
          <w:rFonts w:ascii="Times New Roman" w:hAnsi="Times New Roman" w:cs="Times New Roman"/>
          <w:i/>
          <w:sz w:val="24"/>
          <w:szCs w:val="24"/>
        </w:rPr>
        <w:t>males</w:t>
      </w:r>
    </w:p>
    <w:p w14:paraId="71152A2B" w14:textId="77777777" w:rsidR="00952ED6" w:rsidRPr="00B07259" w:rsidRDefault="00952ED6" w:rsidP="00CE33B9">
      <w:pPr>
        <w:autoSpaceDE w:val="0"/>
        <w:autoSpaceDN w:val="0"/>
        <w:adjustRightInd w:val="0"/>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Among index males, ADHD was positively associated with overweight (OR=1.31, 95% CI=1.19–1.44) and obesity (OR=2.00, 95% CI=1.74–2.30) while adjusting for birth year. After additional adjustment for family education and comorbid psychiatric conditions, the associations remained significant for both overweight (OR=1.30, 95% CI=1.18 – 1.44) and obesity (OR=1.86, 95% CI=1.60–2.15).</w:t>
      </w:r>
    </w:p>
    <w:p w14:paraId="53FFB16D" w14:textId="77777777" w:rsidR="00952ED6" w:rsidRPr="00B07259" w:rsidRDefault="00952ED6" w:rsidP="00CE33B9">
      <w:pPr>
        <w:autoSpaceDE w:val="0"/>
        <w:autoSpaceDN w:val="0"/>
        <w:adjustRightInd w:val="0"/>
        <w:spacing w:after="100" w:afterAutospacing="1" w:line="480" w:lineRule="auto"/>
        <w:rPr>
          <w:rFonts w:ascii="Times New Roman" w:hAnsi="Times New Roman" w:cs="Times New Roman"/>
          <w:i/>
          <w:sz w:val="24"/>
          <w:szCs w:val="24"/>
        </w:rPr>
      </w:pPr>
      <w:r w:rsidRPr="00B07259">
        <w:rPr>
          <w:rFonts w:ascii="Times New Roman" w:hAnsi="Times New Roman" w:cs="Times New Roman"/>
          <w:i/>
          <w:sz w:val="24"/>
          <w:szCs w:val="24"/>
        </w:rPr>
        <w:t>Familial co-aggregation of ADHD and overweight/obesity</w:t>
      </w:r>
      <w:r>
        <w:rPr>
          <w:rFonts w:ascii="Times New Roman" w:hAnsi="Times New Roman" w:cs="Times New Roman"/>
          <w:i/>
          <w:sz w:val="24"/>
          <w:szCs w:val="24"/>
        </w:rPr>
        <w:t xml:space="preserve"> in full siblings</w:t>
      </w:r>
    </w:p>
    <w:p w14:paraId="13467B8A" w14:textId="77777777" w:rsidR="00952ED6" w:rsidRPr="00A1267A" w:rsidRDefault="00952ED6" w:rsidP="00CE33B9">
      <w:pPr>
        <w:autoSpaceDE w:val="0"/>
        <w:autoSpaceDN w:val="0"/>
        <w:adjustRightInd w:val="0"/>
        <w:spacing w:after="100" w:afterAutospacing="1" w:line="480" w:lineRule="auto"/>
        <w:rPr>
          <w:rFonts w:ascii="Times New Roman" w:hAnsi="Times New Roman" w:cs="Times New Roman"/>
          <w:i/>
          <w:sz w:val="24"/>
          <w:szCs w:val="24"/>
        </w:rPr>
      </w:pPr>
      <w:r>
        <w:rPr>
          <w:rFonts w:ascii="Times New Roman" w:hAnsi="Times New Roman" w:cs="Times New Roman"/>
          <w:i/>
          <w:sz w:val="24"/>
          <w:szCs w:val="24"/>
        </w:rPr>
        <w:t>---- Please insert Table 3</w:t>
      </w:r>
      <w:r w:rsidRPr="00F42DC9">
        <w:rPr>
          <w:rFonts w:ascii="Times New Roman" w:hAnsi="Times New Roman" w:cs="Times New Roman"/>
          <w:i/>
          <w:sz w:val="24"/>
          <w:szCs w:val="24"/>
        </w:rPr>
        <w:t xml:space="preserve"> here ---</w:t>
      </w:r>
    </w:p>
    <w:p w14:paraId="11FE27EA" w14:textId="77777777" w:rsidR="00952ED6" w:rsidRDefault="00952ED6" w:rsidP="00CE33B9">
      <w:pPr>
        <w:autoSpaceDE w:val="0"/>
        <w:autoSpaceDN w:val="0"/>
        <w:adjustRightInd w:val="0"/>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Sibling of index males with overweight/obesity were at significantly increased risk for ADHD compared to siblings of index males with normal weight </w:t>
      </w:r>
      <w:r w:rsidRPr="006E0EC8">
        <w:rPr>
          <w:rFonts w:ascii="Times New Roman" w:hAnsi="Times New Roman" w:cs="Times New Roman"/>
          <w:sz w:val="24"/>
          <w:szCs w:val="24"/>
        </w:rPr>
        <w:t>(</w:t>
      </w:r>
      <w:r>
        <w:rPr>
          <w:rFonts w:ascii="Times New Roman" w:hAnsi="Times New Roman" w:cs="Times New Roman"/>
          <w:sz w:val="24"/>
          <w:szCs w:val="24"/>
        </w:rPr>
        <w:t xml:space="preserve">Overweight: </w:t>
      </w:r>
      <w:r w:rsidRPr="006E0EC8">
        <w:rPr>
          <w:rFonts w:ascii="Times New Roman" w:hAnsi="Times New Roman" w:cs="Times New Roman"/>
          <w:sz w:val="24"/>
          <w:szCs w:val="24"/>
        </w:rPr>
        <w:t>OR</w:t>
      </w:r>
      <w:r>
        <w:rPr>
          <w:rFonts w:ascii="Times New Roman" w:hAnsi="Times New Roman" w:cs="Times New Roman"/>
          <w:sz w:val="24"/>
          <w:szCs w:val="24"/>
        </w:rPr>
        <w:t>=</w:t>
      </w:r>
      <w:r w:rsidRPr="006E0EC8">
        <w:rPr>
          <w:rFonts w:ascii="Times New Roman" w:hAnsi="Times New Roman" w:cs="Times New Roman"/>
          <w:sz w:val="24"/>
          <w:szCs w:val="24"/>
        </w:rPr>
        <w:t>1.1</w:t>
      </w:r>
      <w:r>
        <w:rPr>
          <w:rFonts w:ascii="Times New Roman" w:hAnsi="Times New Roman" w:cs="Times New Roman"/>
          <w:sz w:val="24"/>
          <w:szCs w:val="24"/>
        </w:rPr>
        <w:t xml:space="preserve">4, 95% CI=1.05–1.24; Obesity: </w:t>
      </w:r>
      <w:r w:rsidRPr="006E0EC8">
        <w:rPr>
          <w:rFonts w:ascii="Times New Roman" w:hAnsi="Times New Roman" w:cs="Times New Roman"/>
          <w:sz w:val="24"/>
          <w:szCs w:val="24"/>
        </w:rPr>
        <w:t>OR</w:t>
      </w:r>
      <w:r>
        <w:rPr>
          <w:rFonts w:ascii="Times New Roman" w:hAnsi="Times New Roman" w:cs="Times New Roman"/>
          <w:sz w:val="24"/>
          <w:szCs w:val="24"/>
        </w:rPr>
        <w:t>=</w:t>
      </w:r>
      <w:r w:rsidRPr="006E0EC8">
        <w:rPr>
          <w:rFonts w:ascii="Times New Roman" w:hAnsi="Times New Roman" w:cs="Times New Roman"/>
          <w:sz w:val="24"/>
          <w:szCs w:val="24"/>
        </w:rPr>
        <w:t>1.4</w:t>
      </w:r>
      <w:r>
        <w:rPr>
          <w:rFonts w:ascii="Times New Roman" w:hAnsi="Times New Roman" w:cs="Times New Roman"/>
          <w:sz w:val="24"/>
          <w:szCs w:val="24"/>
        </w:rPr>
        <w:t>2, 95% CI=1.24–1.63; Table3</w:t>
      </w:r>
      <w:r w:rsidRPr="006E0EC8">
        <w:rPr>
          <w:rFonts w:ascii="Times New Roman" w:hAnsi="Times New Roman" w:cs="Times New Roman"/>
          <w:sz w:val="24"/>
          <w:szCs w:val="24"/>
        </w:rPr>
        <w:t>)</w:t>
      </w:r>
      <w:r>
        <w:rPr>
          <w:rFonts w:ascii="Times New Roman" w:hAnsi="Times New Roman" w:cs="Times New Roman"/>
          <w:sz w:val="24"/>
          <w:szCs w:val="24"/>
        </w:rPr>
        <w:t>. The ORs were adjusted for birth year of the index male and sex of the sibling</w:t>
      </w:r>
      <w:r w:rsidRPr="006E0EC8">
        <w:rPr>
          <w:rFonts w:ascii="Times New Roman" w:hAnsi="Times New Roman" w:cs="Times New Roman"/>
          <w:sz w:val="24"/>
          <w:szCs w:val="24"/>
        </w:rPr>
        <w:t xml:space="preserve">. </w:t>
      </w:r>
      <w:r>
        <w:rPr>
          <w:rFonts w:ascii="Times New Roman" w:hAnsi="Times New Roman" w:cs="Times New Roman"/>
          <w:sz w:val="24"/>
          <w:szCs w:val="24"/>
        </w:rPr>
        <w:t xml:space="preserve">Analyses stratified by sex of the full sibling generated similar results (Table 3). </w:t>
      </w:r>
      <w:r w:rsidRPr="0047224D">
        <w:rPr>
          <w:rFonts w:ascii="Times New Roman" w:hAnsi="Times New Roman" w:cs="Times New Roman"/>
          <w:sz w:val="24"/>
          <w:szCs w:val="24"/>
        </w:rPr>
        <w:t>After further adjustment for ADHD status of the index male, the associations remained significant (Overweight: OR=1.26, 95% C</w:t>
      </w:r>
      <w:r>
        <w:rPr>
          <w:rFonts w:ascii="Times New Roman" w:hAnsi="Times New Roman" w:cs="Times New Roman"/>
          <w:sz w:val="24"/>
          <w:szCs w:val="24"/>
        </w:rPr>
        <w:t xml:space="preserve">I=1.04–1.22; Obesity: </w:t>
      </w:r>
      <w:r w:rsidRPr="006E0EC8">
        <w:rPr>
          <w:rFonts w:ascii="Times New Roman" w:hAnsi="Times New Roman" w:cs="Times New Roman"/>
          <w:sz w:val="24"/>
          <w:szCs w:val="24"/>
        </w:rPr>
        <w:t>OR</w:t>
      </w:r>
      <w:r>
        <w:rPr>
          <w:rFonts w:ascii="Times New Roman" w:hAnsi="Times New Roman" w:cs="Times New Roman"/>
          <w:sz w:val="24"/>
          <w:szCs w:val="24"/>
        </w:rPr>
        <w:t>=1.38, 95% CI=1.21–1.57; Table 3</w:t>
      </w:r>
      <w:r w:rsidRPr="00B07259">
        <w:rPr>
          <w:rFonts w:ascii="Times New Roman" w:hAnsi="Times New Roman" w:cs="Times New Roman"/>
          <w:sz w:val="24"/>
          <w:szCs w:val="24"/>
        </w:rPr>
        <w:t>)</w:t>
      </w:r>
      <w:r>
        <w:rPr>
          <w:rFonts w:ascii="Times New Roman" w:hAnsi="Times New Roman" w:cs="Times New Roman"/>
          <w:sz w:val="24"/>
          <w:szCs w:val="24"/>
        </w:rPr>
        <w:t xml:space="preserve">. These results indicate the presence of familial risk factors common for both ADHD and overweight/obesity. </w:t>
      </w:r>
    </w:p>
    <w:p w14:paraId="5E4DFA1F" w14:textId="77777777" w:rsidR="00952ED6" w:rsidRPr="000C3FDC" w:rsidRDefault="00952ED6" w:rsidP="00CE33B9">
      <w:pPr>
        <w:autoSpaceDE w:val="0"/>
        <w:autoSpaceDN w:val="0"/>
        <w:adjustRightInd w:val="0"/>
        <w:spacing w:after="100" w:afterAutospacing="1" w:line="480" w:lineRule="auto"/>
        <w:rPr>
          <w:rFonts w:ascii="Times New Roman" w:hAnsi="Times New Roman" w:cs="Times New Roman"/>
          <w:i/>
          <w:sz w:val="24"/>
          <w:szCs w:val="24"/>
        </w:rPr>
      </w:pPr>
      <w:r w:rsidRPr="000C3FDC">
        <w:rPr>
          <w:rFonts w:ascii="Times New Roman" w:hAnsi="Times New Roman" w:cs="Times New Roman"/>
          <w:i/>
          <w:sz w:val="24"/>
          <w:szCs w:val="24"/>
          <w:highlight w:val="yellow"/>
        </w:rPr>
        <w:t>Sensitivity analyses</w:t>
      </w:r>
    </w:p>
    <w:p w14:paraId="7081675A" w14:textId="77777777" w:rsidR="00952ED6" w:rsidRPr="00B13731" w:rsidRDefault="00952ED6" w:rsidP="00CE33B9">
      <w:pPr>
        <w:autoSpaceDE w:val="0"/>
        <w:autoSpaceDN w:val="0"/>
        <w:adjustRightInd w:val="0"/>
        <w:spacing w:after="100" w:afterAutospacing="1" w:line="480" w:lineRule="auto"/>
        <w:rPr>
          <w:rFonts w:ascii="Times New Roman" w:hAnsi="Times New Roman" w:cs="Times New Roman"/>
          <w:i/>
          <w:sz w:val="24"/>
          <w:szCs w:val="24"/>
          <w:highlight w:val="yellow"/>
        </w:rPr>
      </w:pPr>
      <w:r w:rsidRPr="00B13731">
        <w:rPr>
          <w:rFonts w:ascii="Times New Roman" w:hAnsi="Times New Roman" w:cs="Times New Roman"/>
          <w:i/>
          <w:sz w:val="24"/>
          <w:szCs w:val="24"/>
          <w:highlight w:val="yellow"/>
        </w:rPr>
        <w:t>---- Please insert Table 4 here ---</w:t>
      </w:r>
    </w:p>
    <w:p w14:paraId="2F66DDB5" w14:textId="77777777" w:rsidR="00952ED6" w:rsidRDefault="00952ED6" w:rsidP="00CE33B9">
      <w:pPr>
        <w:autoSpaceDE w:val="0"/>
        <w:autoSpaceDN w:val="0"/>
        <w:adjustRightInd w:val="0"/>
        <w:spacing w:after="100" w:afterAutospacing="1" w:line="480" w:lineRule="auto"/>
        <w:rPr>
          <w:rFonts w:ascii="Times New Roman" w:hAnsi="Times New Roman" w:cs="Times New Roman"/>
          <w:sz w:val="24"/>
          <w:szCs w:val="24"/>
        </w:rPr>
      </w:pPr>
      <w:r>
        <w:rPr>
          <w:rFonts w:ascii="Times New Roman" w:hAnsi="Times New Roman" w:cs="Times New Roman"/>
          <w:sz w:val="24"/>
          <w:szCs w:val="24"/>
          <w:highlight w:val="yellow"/>
        </w:rPr>
        <w:t>Familial c</w:t>
      </w:r>
      <w:r w:rsidRPr="00B13731">
        <w:rPr>
          <w:rFonts w:ascii="Times New Roman" w:hAnsi="Times New Roman" w:cs="Times New Roman"/>
          <w:sz w:val="24"/>
          <w:szCs w:val="24"/>
          <w:highlight w:val="yellow"/>
        </w:rPr>
        <w:t>o-aggregation of ADHD and overweight/obesity was also observed among index males and their full cousins (Table 4)</w:t>
      </w:r>
      <w:r>
        <w:rPr>
          <w:rFonts w:ascii="Times New Roman" w:hAnsi="Times New Roman" w:cs="Times New Roman"/>
          <w:sz w:val="24"/>
          <w:szCs w:val="24"/>
          <w:highlight w:val="yellow"/>
        </w:rPr>
        <w:t>, with t</w:t>
      </w:r>
      <w:r w:rsidRPr="00B13731">
        <w:rPr>
          <w:rFonts w:ascii="Times New Roman" w:hAnsi="Times New Roman" w:cs="Times New Roman"/>
          <w:sz w:val="24"/>
          <w:szCs w:val="24"/>
          <w:highlight w:val="yellow"/>
        </w:rPr>
        <w:t xml:space="preserve">he results </w:t>
      </w:r>
      <w:r>
        <w:rPr>
          <w:rFonts w:ascii="Times New Roman" w:hAnsi="Times New Roman" w:cs="Times New Roman"/>
          <w:sz w:val="24"/>
          <w:szCs w:val="24"/>
          <w:highlight w:val="yellow"/>
        </w:rPr>
        <w:t>being</w:t>
      </w:r>
      <w:r w:rsidRPr="00B13731">
        <w:rPr>
          <w:rFonts w:ascii="Times New Roman" w:hAnsi="Times New Roman" w:cs="Times New Roman"/>
          <w:sz w:val="24"/>
          <w:szCs w:val="24"/>
          <w:highlight w:val="yellow"/>
        </w:rPr>
        <w:t xml:space="preserve"> similar for</w:t>
      </w:r>
      <w:r>
        <w:rPr>
          <w:rFonts w:ascii="Times New Roman" w:hAnsi="Times New Roman" w:cs="Times New Roman"/>
          <w:sz w:val="24"/>
          <w:szCs w:val="24"/>
          <w:highlight w:val="yellow"/>
        </w:rPr>
        <w:t xml:space="preserve"> male</w:t>
      </w:r>
      <w:r w:rsidRPr="00B13731">
        <w:rPr>
          <w:rFonts w:ascii="Times New Roman" w:hAnsi="Times New Roman" w:cs="Times New Roman"/>
          <w:sz w:val="24"/>
          <w:szCs w:val="24"/>
          <w:highlight w:val="yellow"/>
        </w:rPr>
        <w:t xml:space="preserve"> and female</w:t>
      </w:r>
      <w:r>
        <w:rPr>
          <w:rFonts w:ascii="Times New Roman" w:hAnsi="Times New Roman" w:cs="Times New Roman"/>
          <w:sz w:val="24"/>
          <w:szCs w:val="24"/>
          <w:highlight w:val="yellow"/>
        </w:rPr>
        <w:t xml:space="preserve"> cousins</w:t>
      </w:r>
      <w:r w:rsidRPr="00B13731">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Among sibling pairs, t</w:t>
      </w:r>
      <w:r w:rsidRPr="00B13731">
        <w:rPr>
          <w:rFonts w:ascii="Times New Roman" w:hAnsi="Times New Roman" w:cs="Times New Roman"/>
          <w:sz w:val="24"/>
          <w:szCs w:val="24"/>
          <w:highlight w:val="yellow"/>
        </w:rPr>
        <w:t xml:space="preserve">he co-aggregation of ADHD and obesity pertained across family education level, whereas the co-aggregation of ADHD and overweight </w:t>
      </w:r>
      <w:r>
        <w:rPr>
          <w:rFonts w:ascii="Times New Roman" w:hAnsi="Times New Roman" w:cs="Times New Roman"/>
          <w:sz w:val="24"/>
          <w:szCs w:val="24"/>
          <w:highlight w:val="yellow"/>
        </w:rPr>
        <w:t>was</w:t>
      </w:r>
      <w:r w:rsidRPr="00B13731">
        <w:rPr>
          <w:rFonts w:ascii="Times New Roman" w:hAnsi="Times New Roman" w:cs="Times New Roman"/>
          <w:sz w:val="24"/>
          <w:szCs w:val="24"/>
          <w:highlight w:val="yellow"/>
        </w:rPr>
        <w:t xml:space="preserve"> less robust, with the OR being non-significant in siblings from families </w:t>
      </w:r>
      <w:r>
        <w:rPr>
          <w:rFonts w:ascii="Times New Roman" w:hAnsi="Times New Roman" w:cs="Times New Roman"/>
          <w:sz w:val="24"/>
          <w:szCs w:val="24"/>
          <w:highlight w:val="yellow"/>
        </w:rPr>
        <w:t xml:space="preserve">of </w:t>
      </w:r>
      <w:r w:rsidRPr="00B13731">
        <w:rPr>
          <w:rFonts w:ascii="Times New Roman" w:hAnsi="Times New Roman" w:cs="Times New Roman"/>
          <w:sz w:val="24"/>
          <w:szCs w:val="24"/>
          <w:highlight w:val="yellow"/>
        </w:rPr>
        <w:t>relatively lower education level</w:t>
      </w:r>
      <w:r>
        <w:rPr>
          <w:rFonts w:ascii="Times New Roman" w:hAnsi="Times New Roman" w:cs="Times New Roman"/>
          <w:sz w:val="24"/>
          <w:szCs w:val="24"/>
          <w:highlight w:val="yellow"/>
        </w:rPr>
        <w:t xml:space="preserve"> </w:t>
      </w:r>
      <w:r w:rsidRPr="00B13731">
        <w:rPr>
          <w:rFonts w:ascii="Times New Roman" w:hAnsi="Times New Roman" w:cs="Times New Roman"/>
          <w:sz w:val="24"/>
          <w:szCs w:val="24"/>
          <w:highlight w:val="yellow"/>
        </w:rPr>
        <w:t>(Table 4). Analyses</w:t>
      </w:r>
      <w:r>
        <w:rPr>
          <w:rFonts w:ascii="Times New Roman" w:hAnsi="Times New Roman" w:cs="Times New Roman"/>
          <w:sz w:val="24"/>
          <w:szCs w:val="24"/>
          <w:highlight w:val="yellow"/>
        </w:rPr>
        <w:t xml:space="preserve"> restricted</w:t>
      </w:r>
      <w:r w:rsidRPr="00B13731">
        <w:rPr>
          <w:rFonts w:ascii="Times New Roman" w:hAnsi="Times New Roman" w:cs="Times New Roman"/>
          <w:sz w:val="24"/>
          <w:szCs w:val="24"/>
          <w:highlight w:val="yellow"/>
        </w:rPr>
        <w:t xml:space="preserve"> in sibling pairs with age difference less or equal to 5 years and in sibling pairs where the index persons were born before 1989 gave significant ORs</w:t>
      </w:r>
      <w:r>
        <w:rPr>
          <w:rFonts w:ascii="Times New Roman" w:hAnsi="Times New Roman" w:cs="Times New Roman"/>
          <w:sz w:val="24"/>
          <w:szCs w:val="24"/>
          <w:highlight w:val="yellow"/>
        </w:rPr>
        <w:t xml:space="preserve"> </w:t>
      </w:r>
      <w:r w:rsidRPr="00B13731">
        <w:rPr>
          <w:rFonts w:ascii="Times New Roman" w:hAnsi="Times New Roman" w:cs="Times New Roman"/>
          <w:sz w:val="24"/>
          <w:szCs w:val="24"/>
          <w:highlight w:val="yellow"/>
        </w:rPr>
        <w:t>(Table 4)</w:t>
      </w:r>
      <w:r>
        <w:rPr>
          <w:rFonts w:ascii="Times New Roman" w:hAnsi="Times New Roman" w:cs="Times New Roman"/>
          <w:sz w:val="24"/>
          <w:szCs w:val="24"/>
          <w:highlight w:val="yellow"/>
        </w:rPr>
        <w:t>.</w:t>
      </w:r>
      <w:r w:rsidRPr="00B13731">
        <w:rPr>
          <w:rFonts w:ascii="Times New Roman" w:hAnsi="Times New Roman" w:cs="Times New Roman"/>
          <w:sz w:val="24"/>
          <w:szCs w:val="24"/>
          <w:highlight w:val="yellow"/>
        </w:rPr>
        <w:t xml:space="preserve"> These results together suggest that the secular trends </w:t>
      </w:r>
      <w:r>
        <w:rPr>
          <w:rFonts w:ascii="Times New Roman" w:hAnsi="Times New Roman" w:cs="Times New Roman"/>
          <w:sz w:val="24"/>
          <w:szCs w:val="24"/>
          <w:highlight w:val="yellow"/>
        </w:rPr>
        <w:t>and the missingness on BMI of index males only exerted</w:t>
      </w:r>
      <w:r w:rsidRPr="00B13731">
        <w:rPr>
          <w:rFonts w:ascii="Times New Roman" w:hAnsi="Times New Roman" w:cs="Times New Roman"/>
          <w:sz w:val="24"/>
          <w:szCs w:val="24"/>
          <w:highlight w:val="yellow"/>
        </w:rPr>
        <w:t xml:space="preserve"> limited </w:t>
      </w:r>
      <w:r>
        <w:rPr>
          <w:rFonts w:ascii="Times New Roman" w:hAnsi="Times New Roman" w:cs="Times New Roman"/>
          <w:sz w:val="24"/>
          <w:szCs w:val="24"/>
          <w:highlight w:val="yellow"/>
        </w:rPr>
        <w:t>impact on</w:t>
      </w:r>
      <w:r w:rsidRPr="00B13731">
        <w:rPr>
          <w:rFonts w:ascii="Times New Roman" w:hAnsi="Times New Roman" w:cs="Times New Roman"/>
          <w:sz w:val="24"/>
          <w:szCs w:val="24"/>
          <w:highlight w:val="yellow"/>
        </w:rPr>
        <w:t xml:space="preserve"> the overall estimation of the familial co-aggregation between ADHD and overweight/obesity.</w:t>
      </w:r>
    </w:p>
    <w:p w14:paraId="185445E4" w14:textId="77777777" w:rsidR="00952ED6" w:rsidRPr="00B07259" w:rsidRDefault="00952ED6" w:rsidP="00CE33B9">
      <w:pPr>
        <w:autoSpaceDE w:val="0"/>
        <w:autoSpaceDN w:val="0"/>
        <w:adjustRightInd w:val="0"/>
        <w:spacing w:after="100" w:afterAutospacing="1" w:line="480" w:lineRule="auto"/>
        <w:rPr>
          <w:rFonts w:ascii="Times New Roman" w:hAnsi="Times New Roman" w:cs="Times New Roman"/>
          <w:b/>
          <w:sz w:val="24"/>
          <w:szCs w:val="24"/>
        </w:rPr>
      </w:pPr>
      <w:r>
        <w:rPr>
          <w:rFonts w:ascii="Times New Roman" w:hAnsi="Times New Roman" w:cs="Times New Roman"/>
          <w:b/>
          <w:sz w:val="24"/>
          <w:szCs w:val="24"/>
        </w:rPr>
        <w:t>Discussion</w:t>
      </w:r>
    </w:p>
    <w:p w14:paraId="740A0D33" w14:textId="77777777" w:rsidR="00952ED6" w:rsidRDefault="00952ED6" w:rsidP="00CE33B9">
      <w:pPr>
        <w:autoSpaceDE w:val="0"/>
        <w:autoSpaceDN w:val="0"/>
        <w:adjustRightInd w:val="0"/>
        <w:spacing w:after="100" w:afterAutospacing="1" w:line="480" w:lineRule="auto"/>
        <w:rPr>
          <w:rFonts w:ascii="Times New Roman" w:eastAsia="SimSun" w:hAnsi="Times New Roman" w:cs="Times New Roman"/>
          <w:sz w:val="24"/>
          <w:szCs w:val="24"/>
        </w:rPr>
      </w:pPr>
      <w:r w:rsidRPr="007E0923">
        <w:rPr>
          <w:rFonts w:ascii="Times New Roman" w:hAnsi="Times New Roman" w:cs="Times New Roman"/>
          <w:sz w:val="24"/>
          <w:szCs w:val="24"/>
        </w:rPr>
        <w:t xml:space="preserve">In this population-based </w:t>
      </w:r>
      <w:r>
        <w:rPr>
          <w:rFonts w:ascii="Times New Roman" w:hAnsi="Times New Roman" w:cs="Times New Roman"/>
          <w:sz w:val="24"/>
          <w:szCs w:val="24"/>
        </w:rPr>
        <w:t xml:space="preserve">cohort </w:t>
      </w:r>
      <w:r w:rsidRPr="007E0923">
        <w:rPr>
          <w:rFonts w:ascii="Times New Roman" w:hAnsi="Times New Roman" w:cs="Times New Roman"/>
          <w:sz w:val="24"/>
          <w:szCs w:val="24"/>
        </w:rPr>
        <w:t xml:space="preserve">study, we </w:t>
      </w:r>
      <w:r>
        <w:rPr>
          <w:rFonts w:ascii="Times New Roman" w:hAnsi="Times New Roman" w:cs="Times New Roman"/>
          <w:sz w:val="24"/>
          <w:szCs w:val="24"/>
        </w:rPr>
        <w:t xml:space="preserve">observed a significant association between ADHD and overweight/obesity among males while taking into account the influences of family education and comorbid psychiatric conditions (i.e., depression, anxiety, and substance use disorder). Furthermore, siblings of index males with overweight/obesity were at higher risk of ADHD compared to siblings of index males with normal weight. </w:t>
      </w:r>
      <w:r w:rsidRPr="00BC4F06">
        <w:rPr>
          <w:rFonts w:ascii="Times New Roman" w:hAnsi="Times New Roman" w:cs="Times New Roman"/>
          <w:sz w:val="24"/>
          <w:szCs w:val="24"/>
          <w:highlight w:val="yellow"/>
        </w:rPr>
        <w:t>The observed familial co-aggregation was not fully explained by familial risk factors causing overweight/obesity through the medication of ADHD, and the results were also robust across several sensitivity analyses. The presence of other familial risk factors common for both conditions supports that ADHD and overweight/obesity overlap substantively in their etiological underpinnings</w:t>
      </w:r>
      <w:r w:rsidRPr="00BC4F06">
        <w:rPr>
          <w:rFonts w:ascii="Times New Roman" w:eastAsia="SimSun" w:hAnsi="Times New Roman" w:cs="Times New Roman"/>
          <w:sz w:val="24"/>
          <w:szCs w:val="24"/>
          <w:highlight w:val="yellow"/>
        </w:rPr>
        <w:t>.</w:t>
      </w:r>
    </w:p>
    <w:p w14:paraId="40A94168" w14:textId="77777777" w:rsidR="00952ED6" w:rsidRPr="004C11E2" w:rsidRDefault="00952ED6" w:rsidP="00CE33B9">
      <w:pPr>
        <w:autoSpaceDE w:val="0"/>
        <w:autoSpaceDN w:val="0"/>
        <w:adjustRightInd w:val="0"/>
        <w:spacing w:after="100" w:afterAutospacing="1" w:line="480" w:lineRule="auto"/>
        <w:rPr>
          <w:rFonts w:ascii="Times New Roman" w:hAnsi="Times New Roman" w:cs="Times New Roman"/>
          <w:sz w:val="24"/>
          <w:szCs w:val="24"/>
        </w:rPr>
      </w:pPr>
      <w:r w:rsidRPr="00B07259">
        <w:rPr>
          <w:rFonts w:ascii="Times New Roman" w:hAnsi="Times New Roman" w:cs="Times New Roman"/>
          <w:sz w:val="24"/>
          <w:szCs w:val="24"/>
        </w:rPr>
        <w:t xml:space="preserve">Previous research on ADHD and overweight/obesity </w:t>
      </w:r>
      <w:r>
        <w:rPr>
          <w:rFonts w:ascii="Times New Roman" w:hAnsi="Times New Roman" w:cs="Times New Roman"/>
          <w:sz w:val="24"/>
          <w:szCs w:val="24"/>
        </w:rPr>
        <w:t xml:space="preserve">has </w:t>
      </w:r>
      <w:r w:rsidRPr="00B07259">
        <w:rPr>
          <w:rFonts w:ascii="Times New Roman" w:hAnsi="Times New Roman" w:cs="Times New Roman"/>
          <w:sz w:val="24"/>
          <w:szCs w:val="24"/>
        </w:rPr>
        <w:t xml:space="preserve">predominantly focused on </w:t>
      </w:r>
      <w:r>
        <w:rPr>
          <w:rFonts w:ascii="Times New Roman" w:hAnsi="Times New Roman" w:cs="Times New Roman"/>
          <w:sz w:val="24"/>
          <w:szCs w:val="24"/>
        </w:rPr>
        <w:t xml:space="preserve">estimating the association </w:t>
      </w:r>
      <w:r w:rsidRPr="00B07259">
        <w:rPr>
          <w:rFonts w:ascii="Times New Roman" w:hAnsi="Times New Roman" w:cs="Times New Roman"/>
          <w:sz w:val="24"/>
          <w:szCs w:val="24"/>
        </w:rPr>
        <w:t xml:space="preserve">between the two </w:t>
      </w:r>
      <w:r>
        <w:rPr>
          <w:rFonts w:ascii="Times New Roman" w:hAnsi="Times New Roman" w:cs="Times New Roman"/>
          <w:sz w:val="24"/>
          <w:szCs w:val="24"/>
        </w:rPr>
        <w:t xml:space="preserve">conditions </w:t>
      </w:r>
      <w:r>
        <w:rPr>
          <w:rFonts w:ascii="Times New Roman" w:hAnsi="Times New Roman" w:cs="Times New Roman"/>
          <w:noProof/>
          <w:sz w:val="24"/>
          <w:szCs w:val="24"/>
        </w:rPr>
        <w:t>(Cortese et al., 2015)</w:t>
      </w:r>
      <w:r>
        <w:rPr>
          <w:rFonts w:ascii="Times New Roman" w:hAnsi="Times New Roman" w:cs="Times New Roman"/>
          <w:sz w:val="24"/>
          <w:szCs w:val="24"/>
        </w:rPr>
        <w:t>, with the underlying mechanisms of the association being largely unknown. Familial risk factors</w:t>
      </w:r>
      <w:r w:rsidRPr="00B07259">
        <w:rPr>
          <w:rFonts w:ascii="Times New Roman" w:hAnsi="Times New Roman" w:cs="Times New Roman"/>
          <w:sz w:val="24"/>
          <w:szCs w:val="24"/>
        </w:rPr>
        <w:t xml:space="preserve"> </w:t>
      </w:r>
      <w:r>
        <w:rPr>
          <w:rFonts w:ascii="Times New Roman" w:hAnsi="Times New Roman" w:cs="Times New Roman"/>
          <w:sz w:val="24"/>
          <w:szCs w:val="24"/>
        </w:rPr>
        <w:t>shared by</w:t>
      </w:r>
      <w:r w:rsidRPr="00B07259">
        <w:rPr>
          <w:rFonts w:ascii="Times New Roman" w:hAnsi="Times New Roman" w:cs="Times New Roman"/>
          <w:sz w:val="24"/>
          <w:szCs w:val="24"/>
        </w:rPr>
        <w:t xml:space="preserve"> ADHD and overweight/obesity</w:t>
      </w:r>
      <w:r>
        <w:rPr>
          <w:rFonts w:ascii="Times New Roman" w:hAnsi="Times New Roman" w:cs="Times New Roman"/>
          <w:sz w:val="24"/>
          <w:szCs w:val="24"/>
        </w:rPr>
        <w:t xml:space="preserve"> may explain the increased likelihood of the co-occurrence of the two conditions to the same individual as well as the co-aggregation of the two conditions within the same family.</w:t>
      </w:r>
      <w:r w:rsidRPr="00B07259">
        <w:rPr>
          <w:rFonts w:ascii="Times New Roman" w:hAnsi="Times New Roman" w:cs="Times New Roman"/>
          <w:sz w:val="24"/>
          <w:szCs w:val="24"/>
        </w:rPr>
        <w:t xml:space="preserve"> </w:t>
      </w:r>
      <w:r>
        <w:rPr>
          <w:rFonts w:ascii="Times New Roman" w:hAnsi="Times New Roman" w:cs="Times New Roman"/>
          <w:sz w:val="24"/>
          <w:szCs w:val="24"/>
        </w:rPr>
        <w:t xml:space="preserve">Previous literature has linked the common neurobiological dysfunctions of ADHD and obesity to reward deficiency due to changes in mesolimbic and mesocortical dopamine pathways </w:t>
      </w:r>
      <w:r>
        <w:rPr>
          <w:rFonts w:ascii="Times New Roman" w:hAnsi="Times New Roman" w:cs="Times New Roman"/>
          <w:noProof/>
          <w:sz w:val="24"/>
          <w:szCs w:val="24"/>
        </w:rPr>
        <w:t>(Campbell and Eisenberg, 2007)</w:t>
      </w:r>
      <w:r>
        <w:rPr>
          <w:rFonts w:ascii="Times New Roman" w:hAnsi="Times New Roman" w:cs="Times New Roman"/>
          <w:sz w:val="24"/>
          <w:szCs w:val="24"/>
        </w:rPr>
        <w:t xml:space="preserve">. For example, </w:t>
      </w:r>
      <w:r w:rsidRPr="0084492B">
        <w:rPr>
          <w:rFonts w:ascii="Times New Roman" w:hAnsi="Times New Roman" w:cs="Times New Roman"/>
          <w:sz w:val="24"/>
          <w:szCs w:val="24"/>
        </w:rPr>
        <w:t xml:space="preserve">decreased engagement of physical activity and prolonged television viewing have been observed </w:t>
      </w:r>
      <w:r>
        <w:rPr>
          <w:rFonts w:ascii="Times New Roman" w:hAnsi="Times New Roman" w:cs="Times New Roman"/>
          <w:sz w:val="24"/>
          <w:szCs w:val="24"/>
        </w:rPr>
        <w:t>in</w:t>
      </w:r>
      <w:r w:rsidRPr="0084492B">
        <w:rPr>
          <w:rFonts w:ascii="Times New Roman" w:hAnsi="Times New Roman" w:cs="Times New Roman"/>
          <w:sz w:val="24"/>
          <w:szCs w:val="24"/>
        </w:rPr>
        <w:t xml:space="preserve"> individuals with high BMI or ADHD</w:t>
      </w:r>
      <w:r>
        <w:rPr>
          <w:rFonts w:ascii="Times New Roman" w:hAnsi="Times New Roman" w:cs="Times New Roman"/>
          <w:sz w:val="24"/>
          <w:szCs w:val="24"/>
        </w:rPr>
        <w:t xml:space="preserve"> </w:t>
      </w:r>
      <w:r>
        <w:rPr>
          <w:rFonts w:ascii="Times New Roman" w:hAnsi="Times New Roman" w:cs="Times New Roman"/>
          <w:noProof/>
          <w:sz w:val="24"/>
          <w:szCs w:val="24"/>
        </w:rPr>
        <w:t>(Eisenmann et al., 2008, Kim et al., 2011)</w:t>
      </w:r>
      <w:r>
        <w:rPr>
          <w:rFonts w:ascii="Times New Roman" w:hAnsi="Times New Roman" w:cs="Times New Roman"/>
          <w:sz w:val="24"/>
          <w:szCs w:val="24"/>
        </w:rPr>
        <w:t>,</w:t>
      </w:r>
      <w:r w:rsidRPr="0084492B">
        <w:rPr>
          <w:rFonts w:ascii="Times New Roman" w:hAnsi="Times New Roman" w:cs="Times New Roman"/>
          <w:sz w:val="24"/>
          <w:szCs w:val="24"/>
        </w:rPr>
        <w:t xml:space="preserve"> which might be explained by poor cognitive control of physical activity caused by reward deficiency</w:t>
      </w:r>
      <w:r>
        <w:rPr>
          <w:rFonts w:ascii="Times New Roman" w:hAnsi="Times New Roman" w:cs="Times New Roman"/>
          <w:sz w:val="24"/>
          <w:szCs w:val="24"/>
        </w:rPr>
        <w:t xml:space="preserve"> </w:t>
      </w:r>
      <w:r>
        <w:rPr>
          <w:rFonts w:ascii="Times New Roman" w:hAnsi="Times New Roman" w:cs="Times New Roman"/>
          <w:noProof/>
          <w:sz w:val="24"/>
          <w:szCs w:val="24"/>
        </w:rPr>
        <w:t>(Buckley et al., 2014)</w:t>
      </w:r>
      <w:r>
        <w:rPr>
          <w:rFonts w:ascii="Times New Roman" w:hAnsi="Times New Roman" w:cs="Times New Roman"/>
          <w:sz w:val="24"/>
          <w:szCs w:val="24"/>
        </w:rPr>
        <w:t>.</w:t>
      </w:r>
      <w:r w:rsidRPr="0084492B">
        <w:rPr>
          <w:rFonts w:ascii="Times New Roman" w:hAnsi="Times New Roman" w:cs="Times New Roman"/>
          <w:sz w:val="24"/>
          <w:szCs w:val="24"/>
        </w:rPr>
        <w:t xml:space="preserve"> </w:t>
      </w:r>
      <w:r>
        <w:rPr>
          <w:rFonts w:ascii="Times New Roman" w:hAnsi="Times New Roman" w:cs="Times New Roman"/>
          <w:sz w:val="24"/>
          <w:szCs w:val="24"/>
        </w:rPr>
        <w:t xml:space="preserve">It is possible that </w:t>
      </w:r>
      <w:r w:rsidRPr="004C11E2">
        <w:rPr>
          <w:rFonts w:ascii="Times New Roman" w:hAnsi="Times New Roman" w:cs="Times New Roman"/>
          <w:sz w:val="24"/>
          <w:szCs w:val="24"/>
        </w:rPr>
        <w:t>reward deficiency might act as a common distal causal component leading t</w:t>
      </w:r>
      <w:r>
        <w:rPr>
          <w:rFonts w:ascii="Times New Roman" w:hAnsi="Times New Roman" w:cs="Times New Roman"/>
          <w:sz w:val="24"/>
          <w:szCs w:val="24"/>
        </w:rPr>
        <w:t>o</w:t>
      </w:r>
      <w:r w:rsidRPr="004C11E2">
        <w:rPr>
          <w:rFonts w:ascii="Times New Roman" w:hAnsi="Times New Roman" w:cs="Times New Roman"/>
          <w:sz w:val="24"/>
          <w:szCs w:val="24"/>
        </w:rPr>
        <w:t xml:space="preserve"> the development of ADHD and </w:t>
      </w:r>
      <w:r>
        <w:rPr>
          <w:rFonts w:ascii="Times New Roman" w:hAnsi="Times New Roman" w:cs="Times New Roman"/>
          <w:sz w:val="24"/>
          <w:szCs w:val="24"/>
        </w:rPr>
        <w:t>overweight/</w:t>
      </w:r>
      <w:r w:rsidRPr="004C11E2">
        <w:rPr>
          <w:rFonts w:ascii="Times New Roman" w:hAnsi="Times New Roman" w:cs="Times New Roman"/>
          <w:sz w:val="24"/>
          <w:szCs w:val="24"/>
        </w:rPr>
        <w:t xml:space="preserve">obesity via different biological </w:t>
      </w:r>
      <w:r>
        <w:rPr>
          <w:rFonts w:ascii="Times New Roman" w:hAnsi="Times New Roman" w:cs="Times New Roman"/>
          <w:sz w:val="24"/>
          <w:szCs w:val="24"/>
        </w:rPr>
        <w:t>pathways</w:t>
      </w:r>
      <w:r w:rsidRPr="004C11E2">
        <w:rPr>
          <w:rFonts w:ascii="Times New Roman" w:hAnsi="Times New Roman" w:cs="Times New Roman"/>
          <w:sz w:val="24"/>
          <w:szCs w:val="24"/>
        </w:rPr>
        <w:t xml:space="preserve">. </w:t>
      </w:r>
      <w:r>
        <w:rPr>
          <w:rFonts w:ascii="Times New Roman" w:hAnsi="Times New Roman" w:cs="Times New Roman"/>
          <w:sz w:val="24"/>
          <w:szCs w:val="24"/>
        </w:rPr>
        <w:t>In addition, m</w:t>
      </w:r>
      <w:r w:rsidRPr="00D53BF9">
        <w:rPr>
          <w:rFonts w:ascii="Times New Roman" w:hAnsi="Times New Roman" w:cs="Times New Roman"/>
          <w:sz w:val="24"/>
          <w:szCs w:val="24"/>
        </w:rPr>
        <w:t xml:space="preserve">utations in the </w:t>
      </w:r>
      <w:r>
        <w:rPr>
          <w:rFonts w:ascii="Times New Roman" w:eastAsia="SimSun" w:hAnsi="Times New Roman" w:cs="Times New Roman"/>
          <w:sz w:val="24"/>
          <w:szCs w:val="24"/>
        </w:rPr>
        <w:t>m</w:t>
      </w:r>
      <w:r w:rsidRPr="00D53BF9">
        <w:rPr>
          <w:rFonts w:ascii="Times New Roman" w:eastAsia="SimSun" w:hAnsi="Times New Roman" w:cs="Times New Roman"/>
          <w:sz w:val="24"/>
          <w:szCs w:val="24"/>
        </w:rPr>
        <w:t>elanocortin 4 receptor (MC4R) gene</w:t>
      </w:r>
      <w:r>
        <w:rPr>
          <w:rFonts w:ascii="Times New Roman" w:eastAsia="SimSun" w:hAnsi="Times New Roman" w:cs="Times New Roman"/>
          <w:sz w:val="24"/>
          <w:szCs w:val="24"/>
        </w:rPr>
        <w:t xml:space="preserve"> and b</w:t>
      </w:r>
      <w:r w:rsidRPr="00D53BF9">
        <w:rPr>
          <w:rFonts w:ascii="Times New Roman" w:eastAsia="Times New Roman" w:hAnsi="Times New Roman" w:cs="Times New Roman"/>
          <w:sz w:val="24"/>
          <w:szCs w:val="24"/>
        </w:rPr>
        <w:t xml:space="preserve">rain-derived neurotrophic factor </w:t>
      </w:r>
      <w:r w:rsidRPr="00D53BF9">
        <w:rPr>
          <w:rFonts w:ascii="Times New Roman" w:eastAsia="SimSun" w:hAnsi="Times New Roman" w:cs="Times New Roman"/>
          <w:sz w:val="24"/>
          <w:szCs w:val="24"/>
        </w:rPr>
        <w:t>(BDNF) gene variants have showed possible association</w:t>
      </w:r>
      <w:r>
        <w:rPr>
          <w:rFonts w:ascii="Times New Roman" w:eastAsia="SimSun" w:hAnsi="Times New Roman" w:cs="Times New Roman"/>
          <w:sz w:val="24"/>
          <w:szCs w:val="24"/>
        </w:rPr>
        <w:t>s</w:t>
      </w:r>
      <w:r w:rsidRPr="00D53BF9">
        <w:rPr>
          <w:rFonts w:ascii="Times New Roman" w:eastAsia="SimSun" w:hAnsi="Times New Roman" w:cs="Times New Roman"/>
          <w:sz w:val="24"/>
          <w:szCs w:val="24"/>
        </w:rPr>
        <w:t xml:space="preserve"> with </w:t>
      </w:r>
      <w:r>
        <w:rPr>
          <w:rFonts w:ascii="Times New Roman" w:eastAsia="SimSun" w:hAnsi="Times New Roman" w:cs="Times New Roman"/>
          <w:sz w:val="24"/>
          <w:szCs w:val="24"/>
        </w:rPr>
        <w:t xml:space="preserve">both </w:t>
      </w:r>
      <w:r w:rsidRPr="00D53BF9">
        <w:rPr>
          <w:rFonts w:ascii="Times New Roman" w:eastAsia="SimSun" w:hAnsi="Times New Roman" w:cs="Times New Roman"/>
          <w:sz w:val="24"/>
          <w:szCs w:val="24"/>
        </w:rPr>
        <w:t>ADHD</w:t>
      </w:r>
      <w:r>
        <w:rPr>
          <w:rFonts w:ascii="Times New Roman" w:eastAsia="SimSun" w:hAnsi="Times New Roman" w:cs="Times New Roman"/>
          <w:sz w:val="24"/>
          <w:szCs w:val="24"/>
        </w:rPr>
        <w:t xml:space="preserve"> and obesity</w:t>
      </w:r>
      <w:r w:rsidRPr="00D53BF9">
        <w:rPr>
          <w:rFonts w:ascii="Times New Roman" w:eastAsia="SimSun" w:hAnsi="Times New Roman" w:cs="Times New Roman"/>
          <w:sz w:val="24"/>
          <w:szCs w:val="24"/>
        </w:rPr>
        <w:t xml:space="preserve">, even though the evidence is </w:t>
      </w:r>
      <w:r>
        <w:rPr>
          <w:rFonts w:ascii="Times New Roman" w:eastAsia="SimSun" w:hAnsi="Times New Roman" w:cs="Times New Roman"/>
          <w:sz w:val="24"/>
          <w:szCs w:val="24"/>
        </w:rPr>
        <w:t xml:space="preserve">inconsistent </w:t>
      </w:r>
      <w:r>
        <w:rPr>
          <w:rFonts w:ascii="Times New Roman" w:hAnsi="Times New Roman" w:cs="Times New Roman"/>
          <w:noProof/>
          <w:sz w:val="24"/>
          <w:szCs w:val="24"/>
        </w:rPr>
        <w:t>(Albayrak et al., 2013, Shinawi et al., 2011, Friedel et al., 2005)</w:t>
      </w:r>
      <w:r>
        <w:rPr>
          <w:rFonts w:ascii="Times New Roman" w:hAnsi="Times New Roman" w:cs="Times New Roman"/>
          <w:sz w:val="24"/>
          <w:szCs w:val="24"/>
        </w:rPr>
        <w:t>.</w:t>
      </w:r>
      <w:r w:rsidRPr="00D53BF9">
        <w:rPr>
          <w:rFonts w:ascii="Times New Roman" w:hAnsi="Times New Roman" w:cs="Times New Roman"/>
          <w:sz w:val="24"/>
          <w:szCs w:val="24"/>
        </w:rPr>
        <w:t xml:space="preserve"> A recent meta-analysis based on more than 300,000 individuals identified 97 genome-wide</w:t>
      </w:r>
      <w:r w:rsidRPr="00762395">
        <w:rPr>
          <w:rFonts w:ascii="Times New Roman" w:hAnsi="Times New Roman" w:cs="Times New Roman"/>
          <w:sz w:val="24"/>
          <w:szCs w:val="24"/>
        </w:rPr>
        <w:t xml:space="preserve"> significance loci </w:t>
      </w:r>
      <w:r>
        <w:rPr>
          <w:rFonts w:ascii="Times New Roman" w:hAnsi="Times New Roman" w:cs="Times New Roman"/>
          <w:sz w:val="24"/>
          <w:szCs w:val="24"/>
        </w:rPr>
        <w:t>accounting</w:t>
      </w:r>
      <w:r w:rsidRPr="00762395">
        <w:rPr>
          <w:rFonts w:ascii="Times New Roman" w:hAnsi="Times New Roman" w:cs="Times New Roman"/>
          <w:sz w:val="24"/>
          <w:szCs w:val="24"/>
        </w:rPr>
        <w:t xml:space="preserve"> for up to 2.7% of BMI variation</w:t>
      </w:r>
      <w:r>
        <w:rPr>
          <w:rFonts w:ascii="Times New Roman" w:hAnsi="Times New Roman" w:cs="Times New Roman"/>
          <w:sz w:val="24"/>
          <w:szCs w:val="24"/>
        </w:rPr>
        <w:t xml:space="preserve"> </w:t>
      </w:r>
      <w:r>
        <w:rPr>
          <w:rFonts w:ascii="Times New Roman" w:hAnsi="Times New Roman" w:cs="Times New Roman"/>
          <w:noProof/>
          <w:sz w:val="24"/>
          <w:szCs w:val="24"/>
        </w:rPr>
        <w:t>(Locke et al., 2015)</w:t>
      </w:r>
      <w:r>
        <w:rPr>
          <w:rFonts w:ascii="Times New Roman" w:hAnsi="Times New Roman" w:cs="Times New Roman"/>
          <w:sz w:val="24"/>
          <w:szCs w:val="24"/>
        </w:rPr>
        <w:t xml:space="preserve">. Similar level of progress in molecular genetic research on ADHD has not yet been achieved </w:t>
      </w:r>
      <w:r>
        <w:rPr>
          <w:rFonts w:ascii="Times New Roman" w:hAnsi="Times New Roman" w:cs="Times New Roman"/>
          <w:noProof/>
          <w:sz w:val="24"/>
          <w:szCs w:val="24"/>
        </w:rPr>
        <w:t>(Neale et al., 2010)</w:t>
      </w:r>
      <w:r>
        <w:rPr>
          <w:rFonts w:ascii="Times New Roman" w:hAnsi="Times New Roman" w:cs="Times New Roman"/>
          <w:sz w:val="24"/>
          <w:szCs w:val="24"/>
        </w:rPr>
        <w:t xml:space="preserve">. By showing the </w:t>
      </w:r>
      <w:r>
        <w:rPr>
          <w:rFonts w:ascii="Times New Roman" w:eastAsia="SimSun" w:hAnsi="Times New Roman" w:cs="Times New Roman"/>
          <w:sz w:val="24"/>
          <w:szCs w:val="24"/>
        </w:rPr>
        <w:t xml:space="preserve">evidence for the existence of shared </w:t>
      </w:r>
      <w:r w:rsidRPr="00B07259">
        <w:rPr>
          <w:rFonts w:ascii="Times New Roman" w:eastAsia="SimSun" w:hAnsi="Times New Roman" w:cs="Times New Roman"/>
          <w:sz w:val="24"/>
          <w:szCs w:val="24"/>
        </w:rPr>
        <w:t xml:space="preserve">etiological </w:t>
      </w:r>
      <w:r>
        <w:rPr>
          <w:rFonts w:ascii="Times New Roman" w:eastAsia="SimSun" w:hAnsi="Times New Roman" w:cs="Times New Roman"/>
          <w:sz w:val="24"/>
          <w:szCs w:val="24"/>
        </w:rPr>
        <w:t>underpinnings between the two conditions, the present study</w:t>
      </w:r>
      <w:r w:rsidRPr="00B07259">
        <w:rPr>
          <w:rFonts w:ascii="Times New Roman" w:eastAsia="SimSun" w:hAnsi="Times New Roman" w:cs="Times New Roman"/>
          <w:sz w:val="24"/>
          <w:szCs w:val="24"/>
        </w:rPr>
        <w:t xml:space="preserve"> </w:t>
      </w:r>
      <w:r>
        <w:rPr>
          <w:rFonts w:ascii="Times New Roman" w:eastAsia="SimSun" w:hAnsi="Times New Roman" w:cs="Times New Roman"/>
          <w:sz w:val="24"/>
          <w:szCs w:val="24"/>
        </w:rPr>
        <w:t>may serve as an important first step leading towards a better understanding of the etiology of ADHD and, ultimately, the exploration of novel effective pathophysiology-based t</w:t>
      </w:r>
      <w:r w:rsidRPr="00B07259">
        <w:rPr>
          <w:rFonts w:ascii="Times New Roman" w:eastAsia="SimSun" w:hAnsi="Times New Roman" w:cs="Times New Roman"/>
          <w:sz w:val="24"/>
          <w:szCs w:val="24"/>
        </w:rPr>
        <w:t>reatment</w:t>
      </w:r>
      <w:r>
        <w:rPr>
          <w:rFonts w:ascii="Times New Roman" w:eastAsia="SimSun" w:hAnsi="Times New Roman" w:cs="Times New Roman"/>
          <w:sz w:val="24"/>
          <w:szCs w:val="24"/>
        </w:rPr>
        <w:t>s</w:t>
      </w:r>
      <w:r w:rsidRPr="00B07259">
        <w:rPr>
          <w:rFonts w:ascii="Times New Roman" w:eastAsia="SimSun" w:hAnsi="Times New Roman" w:cs="Times New Roman"/>
          <w:sz w:val="24"/>
          <w:szCs w:val="24"/>
        </w:rPr>
        <w:t xml:space="preserve"> for both ADHD and overweight/obesity.</w:t>
      </w:r>
    </w:p>
    <w:p w14:paraId="383F1191" w14:textId="77777777" w:rsidR="00952ED6" w:rsidRPr="00B07259" w:rsidRDefault="00952ED6" w:rsidP="00CE33B9">
      <w:pPr>
        <w:autoSpaceDE w:val="0"/>
        <w:autoSpaceDN w:val="0"/>
        <w:adjustRightInd w:val="0"/>
        <w:spacing w:after="100" w:afterAutospacing="1" w:line="480" w:lineRule="auto"/>
        <w:rPr>
          <w:rFonts w:ascii="Times New Roman" w:hAnsi="Times New Roman" w:cs="Times New Roman"/>
          <w:sz w:val="24"/>
          <w:szCs w:val="24"/>
        </w:rPr>
      </w:pPr>
      <w:r w:rsidRPr="00B07259">
        <w:rPr>
          <w:rFonts w:ascii="Times New Roman" w:hAnsi="Times New Roman" w:cs="Times New Roman"/>
          <w:sz w:val="24"/>
          <w:szCs w:val="24"/>
        </w:rPr>
        <w:t xml:space="preserve">The strengths of the present study include the use of </w:t>
      </w:r>
      <w:r>
        <w:rPr>
          <w:rFonts w:ascii="Times New Roman" w:hAnsi="Times New Roman" w:cs="Times New Roman"/>
          <w:sz w:val="24"/>
          <w:szCs w:val="24"/>
        </w:rPr>
        <w:t xml:space="preserve">a </w:t>
      </w:r>
      <w:r w:rsidRPr="00B07259">
        <w:rPr>
          <w:rFonts w:ascii="Times New Roman" w:hAnsi="Times New Roman" w:cs="Times New Roman"/>
          <w:sz w:val="24"/>
          <w:szCs w:val="24"/>
        </w:rPr>
        <w:t>popu</w:t>
      </w:r>
      <w:r>
        <w:rPr>
          <w:rFonts w:ascii="Times New Roman" w:hAnsi="Times New Roman" w:cs="Times New Roman"/>
          <w:sz w:val="24"/>
          <w:szCs w:val="24"/>
        </w:rPr>
        <w:t>lation-based sample and the Multi-Generation Register, which enabled unambiguous identification of the siblings and cousins of the index males. Prospectively collected and directly measured data on body weight and height precluded recall bias. The</w:t>
      </w:r>
      <w:r w:rsidRPr="00B07259">
        <w:rPr>
          <w:rFonts w:ascii="Times New Roman" w:hAnsi="Times New Roman" w:cs="Times New Roman"/>
          <w:sz w:val="24"/>
          <w:szCs w:val="24"/>
        </w:rPr>
        <w:t xml:space="preserve"> </w:t>
      </w:r>
      <w:r>
        <w:rPr>
          <w:rFonts w:ascii="Times New Roman" w:hAnsi="Times New Roman" w:cs="Times New Roman"/>
          <w:sz w:val="24"/>
          <w:szCs w:val="24"/>
        </w:rPr>
        <w:t xml:space="preserve">ascertainment of </w:t>
      </w:r>
      <w:r w:rsidRPr="00B07259">
        <w:rPr>
          <w:rFonts w:ascii="Times New Roman" w:hAnsi="Times New Roman" w:cs="Times New Roman"/>
          <w:sz w:val="24"/>
          <w:szCs w:val="24"/>
        </w:rPr>
        <w:t>ADHD</w:t>
      </w:r>
      <w:r>
        <w:rPr>
          <w:rFonts w:ascii="Times New Roman" w:hAnsi="Times New Roman" w:cs="Times New Roman"/>
          <w:sz w:val="24"/>
          <w:szCs w:val="24"/>
        </w:rPr>
        <w:t xml:space="preserve"> cases via</w:t>
      </w:r>
      <w:r w:rsidRPr="00B07259">
        <w:rPr>
          <w:rFonts w:ascii="Times New Roman" w:hAnsi="Times New Roman" w:cs="Times New Roman"/>
          <w:sz w:val="24"/>
          <w:szCs w:val="24"/>
        </w:rPr>
        <w:t xml:space="preserve"> </w:t>
      </w:r>
      <w:r>
        <w:rPr>
          <w:rFonts w:ascii="Times New Roman" w:hAnsi="Times New Roman" w:cs="Times New Roman"/>
          <w:sz w:val="24"/>
          <w:szCs w:val="24"/>
        </w:rPr>
        <w:t xml:space="preserve">both </w:t>
      </w:r>
      <w:r w:rsidRPr="00B07259">
        <w:rPr>
          <w:rFonts w:ascii="Times New Roman" w:hAnsi="Times New Roman" w:cs="Times New Roman"/>
          <w:sz w:val="24"/>
          <w:szCs w:val="24"/>
        </w:rPr>
        <w:t xml:space="preserve">clinical diagnosis </w:t>
      </w:r>
      <w:r>
        <w:rPr>
          <w:rFonts w:ascii="Times New Roman" w:hAnsi="Times New Roman" w:cs="Times New Roman"/>
          <w:sz w:val="24"/>
          <w:szCs w:val="24"/>
        </w:rPr>
        <w:t xml:space="preserve">and prescribed medication tend to capture individuals with severe forms of the disorder. </w:t>
      </w:r>
      <w:r w:rsidRPr="00D81146">
        <w:rPr>
          <w:rFonts w:ascii="Times New Roman" w:hAnsi="Times New Roman" w:cs="Times New Roman"/>
          <w:sz w:val="24"/>
          <w:szCs w:val="24"/>
        </w:rPr>
        <w:t xml:space="preserve">This could to a large extent </w:t>
      </w:r>
      <w:r>
        <w:rPr>
          <w:rFonts w:ascii="Times New Roman" w:hAnsi="Times New Roman" w:cs="Times New Roman"/>
          <w:sz w:val="24"/>
          <w:szCs w:val="24"/>
        </w:rPr>
        <w:t>reduce the chance of</w:t>
      </w:r>
      <w:r w:rsidRPr="00D81146">
        <w:rPr>
          <w:rFonts w:ascii="Times New Roman" w:hAnsi="Times New Roman" w:cs="Times New Roman"/>
          <w:sz w:val="24"/>
          <w:szCs w:val="24"/>
        </w:rPr>
        <w:t xml:space="preserve"> false positive</w:t>
      </w:r>
      <w:r>
        <w:rPr>
          <w:rFonts w:ascii="Times New Roman" w:hAnsi="Times New Roman" w:cs="Times New Roman"/>
          <w:sz w:val="24"/>
          <w:szCs w:val="24"/>
        </w:rPr>
        <w:t>s</w:t>
      </w:r>
      <w:r w:rsidRPr="00D81146">
        <w:rPr>
          <w:rFonts w:ascii="Times New Roman" w:hAnsi="Times New Roman" w:cs="Times New Roman"/>
          <w:sz w:val="24"/>
          <w:szCs w:val="24"/>
        </w:rPr>
        <w:t>, even though false negative</w:t>
      </w:r>
      <w:r>
        <w:rPr>
          <w:rFonts w:ascii="Times New Roman" w:hAnsi="Times New Roman" w:cs="Times New Roman"/>
          <w:sz w:val="24"/>
          <w:szCs w:val="24"/>
        </w:rPr>
        <w:t xml:space="preserve">s could </w:t>
      </w:r>
      <w:r w:rsidRPr="00D81146">
        <w:rPr>
          <w:rFonts w:ascii="Times New Roman" w:hAnsi="Times New Roman" w:cs="Times New Roman"/>
          <w:sz w:val="24"/>
          <w:szCs w:val="24"/>
        </w:rPr>
        <w:t>not be avoided. Finally, using DAG to visualize the assumed underlying mechanism</w:t>
      </w:r>
      <w:r>
        <w:rPr>
          <w:rFonts w:ascii="Times New Roman" w:hAnsi="Times New Roman" w:cs="Times New Roman"/>
          <w:sz w:val="24"/>
          <w:szCs w:val="24"/>
        </w:rPr>
        <w:t>s</w:t>
      </w:r>
      <w:r w:rsidRPr="00D81146">
        <w:rPr>
          <w:rFonts w:ascii="Times New Roman" w:hAnsi="Times New Roman" w:cs="Times New Roman"/>
          <w:sz w:val="24"/>
          <w:szCs w:val="24"/>
        </w:rPr>
        <w:t xml:space="preserve"> of the research question substantially facilitated the analytic process of identifying bias</w:t>
      </w:r>
      <w:r>
        <w:rPr>
          <w:rFonts w:ascii="Times New Roman" w:hAnsi="Times New Roman" w:cs="Times New Roman"/>
          <w:sz w:val="24"/>
          <w:szCs w:val="24"/>
        </w:rPr>
        <w:t>es</w:t>
      </w:r>
      <w:r w:rsidRPr="00D81146">
        <w:rPr>
          <w:rFonts w:ascii="Times New Roman" w:hAnsi="Times New Roman" w:cs="Times New Roman"/>
          <w:sz w:val="24"/>
          <w:szCs w:val="24"/>
        </w:rPr>
        <w:t xml:space="preserve"> and </w:t>
      </w:r>
      <w:r>
        <w:rPr>
          <w:rFonts w:ascii="Times New Roman" w:hAnsi="Times New Roman" w:cs="Times New Roman"/>
          <w:sz w:val="24"/>
          <w:szCs w:val="24"/>
        </w:rPr>
        <w:t xml:space="preserve">making </w:t>
      </w:r>
      <w:r w:rsidRPr="00D81146">
        <w:rPr>
          <w:rFonts w:ascii="Times New Roman" w:hAnsi="Times New Roman" w:cs="Times New Roman"/>
          <w:sz w:val="24"/>
          <w:szCs w:val="24"/>
        </w:rPr>
        <w:t>statistical adjustment</w:t>
      </w:r>
      <w:r>
        <w:rPr>
          <w:rFonts w:ascii="Times New Roman" w:hAnsi="Times New Roman" w:cs="Times New Roman"/>
          <w:sz w:val="24"/>
          <w:szCs w:val="24"/>
        </w:rPr>
        <w:t>s</w:t>
      </w:r>
      <w:r w:rsidRPr="00D81146">
        <w:rPr>
          <w:rFonts w:ascii="Times New Roman" w:hAnsi="Times New Roman" w:cs="Times New Roman"/>
          <w:sz w:val="24"/>
          <w:szCs w:val="24"/>
        </w:rPr>
        <w:t>.</w:t>
      </w:r>
    </w:p>
    <w:p w14:paraId="6691B8E5" w14:textId="77777777" w:rsidR="00952ED6" w:rsidRPr="00B07259" w:rsidRDefault="00952ED6" w:rsidP="00CE33B9">
      <w:pPr>
        <w:autoSpaceDE w:val="0"/>
        <w:autoSpaceDN w:val="0"/>
        <w:adjustRightInd w:val="0"/>
        <w:spacing w:after="100" w:afterAutospacing="1" w:line="480" w:lineRule="auto"/>
        <w:rPr>
          <w:rFonts w:ascii="Times New Roman" w:hAnsi="Times New Roman" w:cs="Times New Roman"/>
          <w:sz w:val="24"/>
          <w:szCs w:val="24"/>
        </w:rPr>
      </w:pPr>
      <w:r w:rsidRPr="00B07259">
        <w:rPr>
          <w:rFonts w:ascii="Times New Roman" w:hAnsi="Times New Roman" w:cs="Times New Roman"/>
          <w:sz w:val="24"/>
          <w:szCs w:val="24"/>
        </w:rPr>
        <w:t xml:space="preserve">The study </w:t>
      </w:r>
      <w:r>
        <w:rPr>
          <w:rFonts w:ascii="Times New Roman" w:hAnsi="Times New Roman" w:cs="Times New Roman"/>
          <w:sz w:val="24"/>
          <w:szCs w:val="24"/>
        </w:rPr>
        <w:t>could not avoid</w:t>
      </w:r>
      <w:r w:rsidRPr="00B07259">
        <w:rPr>
          <w:rFonts w:ascii="Times New Roman" w:hAnsi="Times New Roman" w:cs="Times New Roman"/>
          <w:sz w:val="24"/>
          <w:szCs w:val="24"/>
        </w:rPr>
        <w:t xml:space="preserve"> </w:t>
      </w:r>
      <w:r>
        <w:rPr>
          <w:rFonts w:ascii="Times New Roman" w:hAnsi="Times New Roman" w:cs="Times New Roman"/>
          <w:sz w:val="24"/>
          <w:szCs w:val="24"/>
        </w:rPr>
        <w:t xml:space="preserve">certain limitations. First, the prevalence of ADHD in the present study was lower compared to previously reported by the meta-analysis </w:t>
      </w:r>
      <w:r>
        <w:rPr>
          <w:rFonts w:ascii="Times New Roman" w:hAnsi="Times New Roman" w:cs="Times New Roman"/>
          <w:noProof/>
          <w:sz w:val="24"/>
          <w:szCs w:val="24"/>
        </w:rPr>
        <w:t>(Cortese et al., 2015)</w:t>
      </w:r>
      <w:r>
        <w:rPr>
          <w:rFonts w:ascii="Times New Roman" w:hAnsi="Times New Roman" w:cs="Times New Roman"/>
          <w:sz w:val="24"/>
          <w:szCs w:val="24"/>
        </w:rPr>
        <w:t>. The discrepancy might be attributed to (1) the suboptimal coverage of the Swedish registers for outpatient visits before 2001 and (2) failure or delay in seeking medical care by individuals under study. The resulting misclassification of ADHD cases might dilute the estimated associations. Second,</w:t>
      </w:r>
      <w:r w:rsidRPr="00B0725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07259">
        <w:rPr>
          <w:rFonts w:ascii="Times New Roman" w:hAnsi="Times New Roman" w:cs="Times New Roman"/>
          <w:sz w:val="24"/>
          <w:szCs w:val="24"/>
        </w:rPr>
        <w:t xml:space="preserve">lack of </w:t>
      </w:r>
      <w:r>
        <w:rPr>
          <w:rFonts w:ascii="Times New Roman" w:hAnsi="Times New Roman" w:cs="Times New Roman"/>
          <w:sz w:val="24"/>
          <w:szCs w:val="24"/>
        </w:rPr>
        <w:t xml:space="preserve">data </w:t>
      </w:r>
      <w:r w:rsidRPr="00B07259">
        <w:rPr>
          <w:rFonts w:ascii="Times New Roman" w:hAnsi="Times New Roman" w:cs="Times New Roman"/>
          <w:sz w:val="24"/>
          <w:szCs w:val="24"/>
        </w:rPr>
        <w:t xml:space="preserve">on BMI for </w:t>
      </w:r>
      <w:r>
        <w:rPr>
          <w:rFonts w:ascii="Times New Roman" w:hAnsi="Times New Roman" w:cs="Times New Roman"/>
          <w:sz w:val="24"/>
          <w:szCs w:val="24"/>
        </w:rPr>
        <w:t>females</w:t>
      </w:r>
      <w:r w:rsidRPr="00B07259">
        <w:rPr>
          <w:rFonts w:ascii="Times New Roman" w:hAnsi="Times New Roman" w:cs="Times New Roman"/>
          <w:sz w:val="24"/>
          <w:szCs w:val="24"/>
        </w:rPr>
        <w:t xml:space="preserve"> did not allow further exploration of </w:t>
      </w:r>
      <w:r>
        <w:rPr>
          <w:rFonts w:ascii="Times New Roman" w:hAnsi="Times New Roman" w:cs="Times New Roman"/>
          <w:sz w:val="24"/>
          <w:szCs w:val="24"/>
        </w:rPr>
        <w:t>the familial co-aggregation of ADHD and overweight/obesity among index females and their relatives</w:t>
      </w:r>
      <w:r w:rsidRPr="00B07259">
        <w:rPr>
          <w:rFonts w:ascii="Times New Roman" w:hAnsi="Times New Roman" w:cs="Times New Roman"/>
          <w:sz w:val="24"/>
          <w:szCs w:val="24"/>
        </w:rPr>
        <w:t xml:space="preserve">. </w:t>
      </w:r>
      <w:r>
        <w:rPr>
          <w:rFonts w:ascii="Times New Roman" w:hAnsi="Times New Roman" w:cs="Times New Roman"/>
          <w:sz w:val="24"/>
          <w:szCs w:val="24"/>
        </w:rPr>
        <w:t xml:space="preserve">Such familial co-aggregation has been suggested in one sibling-comparison study showing that familial factors shared by mothers and their offspring at least in part explain the overrepresentation of ADHD among offspring born to mothers with pre-pregnancy overweight/obesity </w:t>
      </w:r>
      <w:r>
        <w:rPr>
          <w:rFonts w:ascii="Times New Roman" w:hAnsi="Times New Roman" w:cs="Times New Roman"/>
          <w:noProof/>
          <w:sz w:val="24"/>
          <w:szCs w:val="24"/>
        </w:rPr>
        <w:t>(Chen et al., 2014)</w:t>
      </w:r>
      <w:r>
        <w:rPr>
          <w:rFonts w:ascii="Times New Roman" w:hAnsi="Times New Roman" w:cs="Times New Roman"/>
          <w:sz w:val="24"/>
          <w:szCs w:val="24"/>
        </w:rPr>
        <w:t xml:space="preserve">. Third, we did not make distinction between medicated and </w:t>
      </w:r>
      <w:r w:rsidRPr="002215BD">
        <w:rPr>
          <w:rFonts w:ascii="Times New Roman" w:hAnsi="Times New Roman" w:cs="Times New Roman"/>
          <w:sz w:val="24"/>
          <w:szCs w:val="24"/>
        </w:rPr>
        <w:t>unmedicated</w:t>
      </w:r>
      <w:r>
        <w:rPr>
          <w:rFonts w:ascii="Times New Roman" w:hAnsi="Times New Roman" w:cs="Times New Roman"/>
          <w:sz w:val="24"/>
          <w:szCs w:val="24"/>
        </w:rPr>
        <w:t xml:space="preserve"> index males. Stimulant medications may influence BMI of children and adolescents due to their documented side effects, such as reduced appetite and small delays in growth </w:t>
      </w:r>
      <w:r>
        <w:rPr>
          <w:rFonts w:ascii="Times New Roman" w:hAnsi="Times New Roman" w:cs="Times New Roman"/>
          <w:noProof/>
          <w:sz w:val="24"/>
          <w:szCs w:val="24"/>
        </w:rPr>
        <w:t>(Faraone et al., 2008)</w:t>
      </w:r>
      <w:r>
        <w:rPr>
          <w:rFonts w:ascii="Times New Roman" w:hAnsi="Times New Roman" w:cs="Times New Roman"/>
          <w:sz w:val="24"/>
          <w:szCs w:val="24"/>
        </w:rPr>
        <w:t>.</w:t>
      </w:r>
      <w:r w:rsidRPr="00885025">
        <w:rPr>
          <w:rFonts w:ascii="Times New Roman" w:eastAsia="SimSun" w:hAnsi="Times New Roman" w:cs="Times New Roman"/>
          <w:sz w:val="24"/>
          <w:szCs w:val="24"/>
        </w:rPr>
        <w:t xml:space="preserve"> </w:t>
      </w:r>
      <w:r w:rsidRPr="00885025">
        <w:rPr>
          <w:rFonts w:ascii="Times New Roman" w:hAnsi="Times New Roman" w:cs="Times New Roman"/>
          <w:sz w:val="24"/>
          <w:szCs w:val="24"/>
        </w:rPr>
        <w:t>Alt</w:t>
      </w:r>
      <w:r>
        <w:rPr>
          <w:rFonts w:ascii="Times New Roman" w:hAnsi="Times New Roman" w:cs="Times New Roman"/>
          <w:sz w:val="24"/>
          <w:szCs w:val="24"/>
        </w:rPr>
        <w:t>hough future work should address issues concerning the effects of medications on the associations under study, they are unlikely to have accounted for our significant findings.</w:t>
      </w:r>
    </w:p>
    <w:p w14:paraId="7F6F257E" w14:textId="77777777" w:rsidR="00952ED6" w:rsidRDefault="00952ED6" w:rsidP="00F60585">
      <w:pPr>
        <w:autoSpaceDE w:val="0"/>
        <w:autoSpaceDN w:val="0"/>
        <w:adjustRightInd w:val="0"/>
        <w:spacing w:after="100" w:afterAutospacing="1" w:line="480" w:lineRule="auto"/>
        <w:rPr>
          <w:rFonts w:ascii="Times New Roman" w:hAnsi="Times New Roman" w:cs="Times New Roman"/>
          <w:sz w:val="24"/>
          <w:szCs w:val="24"/>
        </w:rPr>
      </w:pPr>
      <w:r w:rsidRPr="005D7760">
        <w:rPr>
          <w:rFonts w:ascii="Times New Roman" w:hAnsi="Times New Roman" w:cs="Times New Roman"/>
          <w:sz w:val="24"/>
          <w:szCs w:val="24"/>
          <w:highlight w:val="yellow"/>
        </w:rPr>
        <w:t xml:space="preserve">In conclusion, ADHD and overweight/obesity share familial risk factors, which </w:t>
      </w:r>
      <w:r w:rsidRPr="005D7760">
        <w:rPr>
          <w:rFonts w:ascii="Times New Roman" w:eastAsia="Times New Roman" w:hAnsi="Times New Roman" w:cs="Times New Roman"/>
          <w:color w:val="000000"/>
          <w:sz w:val="24"/>
          <w:szCs w:val="24"/>
          <w:highlight w:val="yellow"/>
        </w:rPr>
        <w:t>are not limited to those causing overweight/obesity through the mediation of ADHD</w:t>
      </w:r>
      <w:r w:rsidRPr="005D7760">
        <w:rPr>
          <w:rFonts w:ascii="Times New Roman" w:hAnsi="Times New Roman" w:cs="Times New Roman"/>
          <w:sz w:val="24"/>
          <w:szCs w:val="24"/>
          <w:highlight w:val="yellow"/>
        </w:rPr>
        <w:t>, indicating that ADHD and overweight/obesity might be different manifestations of substantively overlapped pathophysiology. Future research aiming at identifying family-wide environmental risk factors as well as common pleiotropic genetic variants contributing to ADHD and overweight/obesity is warranted and may reveal valuable insights into novel treatment approaches for both conditions.</w:t>
      </w:r>
    </w:p>
    <w:p w14:paraId="65FE6016" w14:textId="77777777" w:rsidR="00952ED6" w:rsidRDefault="00952ED6" w:rsidP="00F60585">
      <w:pPr>
        <w:autoSpaceDE w:val="0"/>
        <w:autoSpaceDN w:val="0"/>
        <w:adjustRightInd w:val="0"/>
        <w:spacing w:after="100" w:afterAutospacing="1" w:line="480" w:lineRule="auto"/>
        <w:rPr>
          <w:rFonts w:ascii="Times New Roman" w:hAnsi="Times New Roman" w:cs="Times New Roman"/>
          <w:sz w:val="24"/>
          <w:szCs w:val="24"/>
        </w:rPr>
      </w:pPr>
    </w:p>
    <w:p w14:paraId="6AB91C02" w14:textId="77777777" w:rsidR="00952ED6" w:rsidRPr="00EA2264" w:rsidRDefault="00952ED6" w:rsidP="00C41B15">
      <w:pPr>
        <w:pBdr>
          <w:top w:val="single" w:sz="4" w:space="1" w:color="auto"/>
          <w:left w:val="single" w:sz="4" w:space="4" w:color="auto"/>
          <w:bottom w:val="single" w:sz="4" w:space="1" w:color="auto"/>
          <w:right w:val="single" w:sz="4" w:space="4" w:color="auto"/>
        </w:pBdr>
        <w:spacing w:line="480" w:lineRule="auto"/>
        <w:rPr>
          <w:rFonts w:ascii="Times New Roman" w:eastAsia="Times New Roman" w:hAnsi="Times New Roman" w:cs="Times New Roman"/>
          <w:b/>
          <w:color w:val="000000"/>
          <w:sz w:val="24"/>
          <w:szCs w:val="24"/>
        </w:rPr>
      </w:pPr>
      <w:r w:rsidRPr="00EA2264">
        <w:rPr>
          <w:rFonts w:ascii="Times New Roman" w:eastAsia="Times New Roman" w:hAnsi="Times New Roman" w:cs="Times New Roman"/>
          <w:b/>
          <w:color w:val="000000"/>
          <w:sz w:val="24"/>
          <w:szCs w:val="24"/>
        </w:rPr>
        <w:t>Key points</w:t>
      </w:r>
    </w:p>
    <w:p w14:paraId="5A7467C5" w14:textId="77777777" w:rsidR="00952ED6" w:rsidRPr="00EA2264" w:rsidRDefault="00952ED6" w:rsidP="00C41B15">
      <w:pPr>
        <w:pStyle w:val="ListParagraph"/>
        <w:numPr>
          <w:ilvl w:val="0"/>
          <w:numId w:val="2"/>
        </w:numPr>
        <w:pBdr>
          <w:top w:val="single" w:sz="4" w:space="1" w:color="auto"/>
          <w:left w:val="single" w:sz="4" w:space="4" w:color="auto"/>
          <w:bottom w:val="single" w:sz="4" w:space="1" w:color="auto"/>
          <w:right w:val="single" w:sz="4" w:space="4" w:color="auto"/>
        </w:pBdr>
        <w:spacing w:line="48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siblings of index males with overweight/obesity are at higher risk of ADHD compared to full siblings of index males with normal weight.</w:t>
      </w:r>
    </w:p>
    <w:p w14:paraId="3EBDD1C0" w14:textId="77777777" w:rsidR="00952ED6" w:rsidRPr="00EA2264" w:rsidRDefault="00952ED6" w:rsidP="00EE69A6">
      <w:pPr>
        <w:pStyle w:val="ListParagraph"/>
        <w:numPr>
          <w:ilvl w:val="0"/>
          <w:numId w:val="2"/>
        </w:numPr>
        <w:pBdr>
          <w:top w:val="single" w:sz="4" w:space="1" w:color="auto"/>
          <w:left w:val="single" w:sz="4" w:space="4" w:color="auto"/>
          <w:bottom w:val="single" w:sz="4" w:space="1" w:color="auto"/>
          <w:right w:val="single" w:sz="4" w:space="4" w:color="auto"/>
        </w:pBdr>
        <w:spacing w:line="480" w:lineRule="auto"/>
        <w:ind w:left="284" w:hanging="284"/>
        <w:rPr>
          <w:rFonts w:ascii="Times New Roman" w:eastAsia="Times New Roman" w:hAnsi="Times New Roman" w:cs="Times New Roman"/>
          <w:color w:val="000000"/>
          <w:sz w:val="24"/>
          <w:szCs w:val="24"/>
        </w:rPr>
      </w:pPr>
      <w:r w:rsidRPr="00EA2264">
        <w:rPr>
          <w:rFonts w:ascii="Times New Roman" w:eastAsia="Times New Roman" w:hAnsi="Times New Roman" w:cs="Times New Roman"/>
          <w:color w:val="000000"/>
          <w:sz w:val="24"/>
          <w:szCs w:val="24"/>
        </w:rPr>
        <w:t xml:space="preserve">The familial co-aggregation of ADHD and overweight/obesity is at least in part </w:t>
      </w:r>
      <w:r>
        <w:rPr>
          <w:rFonts w:ascii="Times New Roman" w:eastAsia="Times New Roman" w:hAnsi="Times New Roman" w:cs="Times New Roman"/>
          <w:color w:val="000000"/>
          <w:sz w:val="24"/>
          <w:szCs w:val="24"/>
        </w:rPr>
        <w:t xml:space="preserve">driven by </w:t>
      </w:r>
      <w:r w:rsidRPr="00EA2264">
        <w:rPr>
          <w:rFonts w:ascii="Times New Roman" w:eastAsia="Times New Roman" w:hAnsi="Times New Roman" w:cs="Times New Roman"/>
          <w:color w:val="000000"/>
          <w:sz w:val="24"/>
          <w:szCs w:val="24"/>
        </w:rPr>
        <w:t>shared familial risk factors between the two conditions.</w:t>
      </w:r>
    </w:p>
    <w:p w14:paraId="13247CC8" w14:textId="77777777" w:rsidR="00952ED6" w:rsidRPr="002E31CA" w:rsidRDefault="00952ED6" w:rsidP="002E31CA">
      <w:pPr>
        <w:pStyle w:val="ListParagraph"/>
        <w:numPr>
          <w:ilvl w:val="0"/>
          <w:numId w:val="2"/>
        </w:numPr>
        <w:pBdr>
          <w:top w:val="single" w:sz="4" w:space="1" w:color="auto"/>
          <w:left w:val="single" w:sz="4" w:space="4" w:color="auto"/>
          <w:bottom w:val="single" w:sz="4" w:space="1" w:color="auto"/>
          <w:right w:val="single" w:sz="4" w:space="4" w:color="auto"/>
        </w:pBdr>
        <w:spacing w:line="480" w:lineRule="auto"/>
        <w:ind w:left="284" w:hanging="284"/>
        <w:rPr>
          <w:rFonts w:ascii="Times New Roman" w:eastAsia="Times New Roman" w:hAnsi="Times New Roman" w:cs="Times New Roman"/>
          <w:b/>
          <w:color w:val="000000"/>
        </w:rPr>
      </w:pPr>
      <w:r>
        <w:rPr>
          <w:rFonts w:ascii="Times New Roman" w:hAnsi="Times New Roman" w:cs="Times New Roman"/>
          <w:sz w:val="24"/>
          <w:szCs w:val="24"/>
        </w:rPr>
        <w:t>F</w:t>
      </w:r>
      <w:r w:rsidRPr="00EA2264">
        <w:rPr>
          <w:rFonts w:ascii="Times New Roman" w:hAnsi="Times New Roman" w:cs="Times New Roman"/>
          <w:sz w:val="24"/>
          <w:szCs w:val="24"/>
        </w:rPr>
        <w:t>uture research aiming at identifying family-wide environmental risk</w:t>
      </w:r>
      <w:r>
        <w:rPr>
          <w:rFonts w:ascii="Times New Roman" w:hAnsi="Times New Roman" w:cs="Times New Roman"/>
          <w:sz w:val="24"/>
          <w:szCs w:val="24"/>
        </w:rPr>
        <w:t xml:space="preserve"> as well as</w:t>
      </w:r>
      <w:r w:rsidRPr="00EA2264">
        <w:rPr>
          <w:rFonts w:ascii="Times New Roman" w:hAnsi="Times New Roman" w:cs="Times New Roman"/>
          <w:sz w:val="24"/>
          <w:szCs w:val="24"/>
        </w:rPr>
        <w:t xml:space="preserve"> common pleiotropic genetic variants contributing to both ADHD and overweight/obesity is warranted and may aid in exploring </w:t>
      </w:r>
      <w:r w:rsidRPr="00EA2264">
        <w:rPr>
          <w:rFonts w:ascii="Times New Roman" w:eastAsia="SimSun" w:hAnsi="Times New Roman" w:cs="Times New Roman"/>
          <w:sz w:val="24"/>
          <w:szCs w:val="24"/>
        </w:rPr>
        <w:t xml:space="preserve">effective pathophysiology-based treatments </w:t>
      </w:r>
      <w:r w:rsidRPr="00EA2264">
        <w:rPr>
          <w:rFonts w:ascii="Times New Roman" w:hAnsi="Times New Roman" w:cs="Times New Roman"/>
          <w:sz w:val="24"/>
          <w:szCs w:val="24"/>
        </w:rPr>
        <w:t>for both conditions.</w:t>
      </w:r>
    </w:p>
    <w:p w14:paraId="79D3C9D0" w14:textId="77777777" w:rsidR="00952ED6" w:rsidRDefault="00952ED6" w:rsidP="00D40A28">
      <w:pPr>
        <w:spacing w:after="100" w:afterAutospacing="1" w:line="480" w:lineRule="auto"/>
        <w:rPr>
          <w:rFonts w:ascii="Times New Roman" w:hAnsi="Times New Roman" w:cs="Times New Roman"/>
          <w:b/>
          <w:sz w:val="24"/>
          <w:szCs w:val="24"/>
        </w:rPr>
      </w:pPr>
    </w:p>
    <w:p w14:paraId="4CF22381" w14:textId="77777777" w:rsidR="00952ED6" w:rsidRPr="00A3227F" w:rsidRDefault="00952ED6" w:rsidP="00D40A28">
      <w:pPr>
        <w:spacing w:after="100" w:afterAutospacing="1" w:line="480" w:lineRule="auto"/>
      </w:pPr>
      <w:r w:rsidRPr="00FD6B28">
        <w:rPr>
          <w:rFonts w:ascii="Times New Roman" w:hAnsi="Times New Roman" w:cs="Times New Roman"/>
          <w:b/>
          <w:sz w:val="24"/>
          <w:szCs w:val="24"/>
        </w:rPr>
        <w:t>Correspond</w:t>
      </w:r>
      <w:r>
        <w:rPr>
          <w:rFonts w:ascii="Times New Roman" w:hAnsi="Times New Roman" w:cs="Times New Roman"/>
          <w:b/>
          <w:sz w:val="24"/>
          <w:szCs w:val="24"/>
        </w:rPr>
        <w:t xml:space="preserve">ence to </w:t>
      </w:r>
      <w:r w:rsidRPr="00FD6B28">
        <w:rPr>
          <w:rFonts w:ascii="Times New Roman" w:hAnsi="Times New Roman" w:cs="Times New Roman"/>
          <w:sz w:val="24"/>
          <w:szCs w:val="24"/>
        </w:rPr>
        <w:t>Qi Chen</w:t>
      </w:r>
      <w:r>
        <w:rPr>
          <w:rFonts w:ascii="Times New Roman" w:hAnsi="Times New Roman" w:cs="Times New Roman"/>
          <w:sz w:val="24"/>
          <w:szCs w:val="24"/>
        </w:rPr>
        <w:t xml:space="preserve">, MD, PhD, </w:t>
      </w:r>
      <w:r w:rsidRPr="00FD6B28">
        <w:rPr>
          <w:rFonts w:ascii="Times New Roman" w:hAnsi="Times New Roman" w:cs="Times New Roman"/>
          <w:sz w:val="24"/>
          <w:szCs w:val="24"/>
        </w:rPr>
        <w:t xml:space="preserve">Department of Medical Epidemiology and Biostatistics, Karolinska Institutet, Box 281, 17177 Stockholm, Sweden. Email: </w:t>
      </w:r>
      <w:hyperlink r:id="rId9" w:history="1">
        <w:r w:rsidRPr="00FD6B28">
          <w:rPr>
            <w:rStyle w:val="Hyperlink"/>
            <w:rFonts w:ascii="Times New Roman" w:hAnsi="Times New Roman" w:cs="Times New Roman"/>
            <w:sz w:val="24"/>
            <w:szCs w:val="24"/>
          </w:rPr>
          <w:t>qi.chen@ki.se</w:t>
        </w:r>
      </w:hyperlink>
      <w:r>
        <w:t xml:space="preserve"> </w:t>
      </w:r>
    </w:p>
    <w:p w14:paraId="0048D7EB" w14:textId="77777777" w:rsidR="00952ED6" w:rsidRPr="00535858" w:rsidRDefault="00952ED6" w:rsidP="00D40A28">
      <w:pPr>
        <w:spacing w:line="480" w:lineRule="auto"/>
        <w:rPr>
          <w:rFonts w:ascii="Times New Roman" w:hAnsi="Times New Roman" w:cs="Times New Roman"/>
          <w:b/>
          <w:sz w:val="24"/>
          <w:szCs w:val="24"/>
        </w:rPr>
      </w:pPr>
      <w:r w:rsidRPr="00535858">
        <w:rPr>
          <w:rFonts w:ascii="Times New Roman" w:hAnsi="Times New Roman" w:cs="Times New Roman"/>
          <w:b/>
          <w:sz w:val="24"/>
          <w:szCs w:val="24"/>
        </w:rPr>
        <w:t>Acknowledgements</w:t>
      </w:r>
    </w:p>
    <w:p w14:paraId="059013DD" w14:textId="77777777" w:rsidR="00952ED6" w:rsidRPr="0027361A" w:rsidRDefault="00952ED6" w:rsidP="0024666A">
      <w:pPr>
        <w:spacing w:after="0" w:line="480" w:lineRule="auto"/>
        <w:rPr>
          <w:rFonts w:ascii="Times New Roman" w:eastAsia="Times New Roman" w:hAnsi="Times New Roman" w:cs="Times New Roman"/>
          <w:color w:val="000000"/>
          <w:sz w:val="24"/>
          <w:szCs w:val="24"/>
          <w:lang w:eastAsia="en-US"/>
        </w:rPr>
      </w:pPr>
      <w:r w:rsidRPr="00535858">
        <w:rPr>
          <w:rFonts w:ascii="Times New Roman" w:hAnsi="Times New Roman" w:cs="Times New Roman"/>
          <w:sz w:val="24"/>
          <w:szCs w:val="24"/>
        </w:rPr>
        <w:t xml:space="preserve">We acknowledge financial support from the Swedish Research Council (2014-3831) and through the Swedish Initiative for Research on Microdata in the Social And Medical Sciences (SIMSAM) framework Grant no. 340-2013-5867. </w:t>
      </w:r>
      <w:r w:rsidRPr="0027361A">
        <w:rPr>
          <w:rFonts w:ascii="Times New Roman" w:eastAsia="Times New Roman" w:hAnsi="Times New Roman" w:cs="Times New Roman"/>
          <w:color w:val="000000"/>
          <w:sz w:val="24"/>
          <w:szCs w:val="24"/>
          <w:lang w:eastAsia="en-US"/>
        </w:rPr>
        <w:t>This project has also received funding from the European Union’s Horizon 2020 research and innovation p</w:t>
      </w:r>
      <w:r>
        <w:rPr>
          <w:rFonts w:ascii="Times New Roman" w:eastAsia="Times New Roman" w:hAnsi="Times New Roman" w:cs="Times New Roman"/>
          <w:color w:val="000000"/>
          <w:sz w:val="24"/>
          <w:szCs w:val="24"/>
          <w:lang w:eastAsia="en-US"/>
        </w:rPr>
        <w:t>rogramme under grant agreement n</w:t>
      </w:r>
      <w:r w:rsidRPr="0027361A">
        <w:rPr>
          <w:rFonts w:ascii="Times New Roman" w:eastAsia="Times New Roman" w:hAnsi="Times New Roman" w:cs="Times New Roman"/>
          <w:color w:val="000000"/>
          <w:sz w:val="24"/>
          <w:szCs w:val="24"/>
          <w:lang w:eastAsia="en-US"/>
        </w:rPr>
        <w:t>o</w:t>
      </w:r>
      <w:r>
        <w:rPr>
          <w:rFonts w:ascii="Times New Roman" w:eastAsia="Times New Roman" w:hAnsi="Times New Roman" w:cs="Times New Roman"/>
          <w:color w:val="000000"/>
          <w:sz w:val="24"/>
          <w:szCs w:val="24"/>
          <w:lang w:eastAsia="en-US"/>
        </w:rPr>
        <w:t>.</w:t>
      </w:r>
      <w:r w:rsidRPr="0027361A">
        <w:rPr>
          <w:rFonts w:ascii="Times New Roman" w:eastAsia="Times New Roman" w:hAnsi="Times New Roman" w:cs="Times New Roman"/>
          <w:color w:val="000000"/>
          <w:sz w:val="24"/>
          <w:szCs w:val="24"/>
          <w:lang w:eastAsia="en-US"/>
        </w:rPr>
        <w:t xml:space="preserve"> 667302</w:t>
      </w:r>
      <w:r>
        <w:rPr>
          <w:rFonts w:ascii="Times New Roman" w:eastAsia="Times New Roman" w:hAnsi="Times New Roman" w:cs="Times New Roman"/>
          <w:color w:val="000000"/>
          <w:sz w:val="24"/>
          <w:szCs w:val="24"/>
          <w:lang w:eastAsia="en-US"/>
        </w:rPr>
        <w:t>.</w:t>
      </w:r>
    </w:p>
    <w:p w14:paraId="0356AF53" w14:textId="77777777" w:rsidR="00952ED6" w:rsidRPr="0027361A" w:rsidRDefault="00952ED6" w:rsidP="00D40A28">
      <w:pPr>
        <w:spacing w:after="0" w:line="480" w:lineRule="auto"/>
        <w:rPr>
          <w:rFonts w:ascii="Times New Roman" w:eastAsia="Times New Roman" w:hAnsi="Times New Roman" w:cs="Times New Roman"/>
          <w:color w:val="000000"/>
          <w:sz w:val="24"/>
          <w:szCs w:val="24"/>
          <w:lang w:eastAsia="en-US"/>
        </w:rPr>
      </w:pPr>
      <w:r w:rsidRPr="00535858">
        <w:rPr>
          <w:rFonts w:ascii="Times New Roman" w:eastAsia="Times New Roman" w:hAnsi="Times New Roman" w:cs="Times New Roman"/>
          <w:color w:val="000000"/>
          <w:sz w:val="24"/>
          <w:szCs w:val="24"/>
          <w:lang w:eastAsia="en-US"/>
        </w:rPr>
        <w:t>Dr. Faraone is supported by the K.G. Jebsen Centre for Research on Neuropsychiatric Disorders, University of Bergen, Bergen, Norway, the European Union’s Seventh Framework Programme for research, technological development and demonstration under grant agreement no 602805, the European Union’s Horizon 2020 research and innovation programme under grant agreement No 667302 and NIMH grant 5R01MH101519.</w:t>
      </w:r>
      <w:r>
        <w:rPr>
          <w:rFonts w:ascii="Times New Roman" w:eastAsia="Times New Roman" w:hAnsi="Times New Roman" w:cs="Times New Roman"/>
          <w:color w:val="000000"/>
          <w:sz w:val="24"/>
          <w:szCs w:val="24"/>
          <w:lang w:eastAsia="en-US"/>
        </w:rPr>
        <w:t xml:space="preserve"> </w:t>
      </w:r>
    </w:p>
    <w:p w14:paraId="2F90C12E" w14:textId="77777777" w:rsidR="00952ED6" w:rsidRPr="005C0B28" w:rsidRDefault="00952ED6" w:rsidP="00D40A28">
      <w:pPr>
        <w:spacing w:after="0" w:line="480" w:lineRule="auto"/>
        <w:rPr>
          <w:rFonts w:ascii="Times New Roman" w:eastAsia="Times New Roman" w:hAnsi="Times New Roman" w:cs="Times New Roman"/>
          <w:color w:val="000000"/>
          <w:sz w:val="24"/>
          <w:szCs w:val="24"/>
          <w:lang w:eastAsia="en-US"/>
        </w:rPr>
      </w:pPr>
    </w:p>
    <w:p w14:paraId="5F4FD3F3" w14:textId="77777777" w:rsidR="00952ED6" w:rsidRDefault="00952ED6" w:rsidP="00CE33B9">
      <w:pPr>
        <w:spacing w:after="100" w:afterAutospacing="1" w:line="480" w:lineRule="auto"/>
        <w:rPr>
          <w:rFonts w:ascii="Times New Roman" w:hAnsi="Times New Roman" w:cs="Times New Roman"/>
          <w:color w:val="010101"/>
          <w:sz w:val="24"/>
          <w:szCs w:val="24"/>
        </w:rPr>
      </w:pPr>
    </w:p>
    <w:p w14:paraId="1482ED08" w14:textId="77777777" w:rsidR="00952ED6" w:rsidRPr="00106893" w:rsidRDefault="00952ED6" w:rsidP="00CE33B9">
      <w:pPr>
        <w:spacing w:after="100" w:afterAutospacing="1" w:line="480" w:lineRule="auto"/>
        <w:rPr>
          <w:rFonts w:ascii="Times New Roman" w:eastAsia="Times New Roman" w:hAnsi="Times New Roman" w:cs="Times New Roman"/>
          <w:sz w:val="24"/>
          <w:szCs w:val="24"/>
          <w:lang w:eastAsia="en-US"/>
        </w:rPr>
        <w:sectPr w:rsidR="00952ED6" w:rsidRPr="00106893" w:rsidSect="00CF236D">
          <w:pgSz w:w="11906" w:h="16838"/>
          <w:pgMar w:top="1417" w:right="1417" w:bottom="1417" w:left="1417" w:header="708" w:footer="708" w:gutter="0"/>
          <w:cols w:space="708"/>
          <w:docGrid w:linePitch="360"/>
        </w:sectPr>
      </w:pPr>
    </w:p>
    <w:p w14:paraId="7DCBFC4E" w14:textId="77777777" w:rsidR="00952ED6" w:rsidRPr="00C76245" w:rsidRDefault="00952ED6" w:rsidP="00CE33B9">
      <w:pPr>
        <w:autoSpaceDE w:val="0"/>
        <w:autoSpaceDN w:val="0"/>
        <w:adjustRightInd w:val="0"/>
        <w:spacing w:after="100" w:afterAutospacing="1" w:line="480" w:lineRule="auto"/>
        <w:rPr>
          <w:rFonts w:ascii="Times New Roman" w:hAnsi="Times New Roman" w:cs="Times New Roman"/>
          <w:sz w:val="24"/>
          <w:szCs w:val="24"/>
        </w:rPr>
      </w:pPr>
      <w:r w:rsidRPr="00C76245">
        <w:rPr>
          <w:rFonts w:ascii="Times New Roman" w:hAnsi="Times New Roman" w:cs="Times New Roman"/>
          <w:b/>
          <w:sz w:val="24"/>
          <w:szCs w:val="24"/>
        </w:rPr>
        <w:t>References</w:t>
      </w:r>
    </w:p>
    <w:p w14:paraId="159B4994" w14:textId="77777777" w:rsidR="00952ED6" w:rsidRPr="0035172D" w:rsidRDefault="00952ED6" w:rsidP="0035172D">
      <w:pPr>
        <w:pStyle w:val="EndNoteBibliography"/>
        <w:spacing w:after="0"/>
        <w:ind w:left="720" w:hanging="720"/>
      </w:pPr>
      <w:r w:rsidRPr="0035172D">
        <w:t xml:space="preserve">Albayrak, O., Putter, C., Volckmar, A. L., Cichon, S., Hoffmann, P., Nothen, M. M., Jockel, K. H., Schreiber, S., Wichmann, H. E., Faraone, S. V., Neale, B. M., Herpertz-Dahlmann, B., Lehmkuhl, G., Sinzig, J., Renner, T. J., Romanos, M., Warnke, A., Lesch, K. P., Reif, A., Schimmelmann, B. G., Scherag, A., Hebebrand, J. &amp; Hinney, A. (2013). Common obesity risk alleles in childhood attention-deficit/hyperactivity disorder. </w:t>
      </w:r>
      <w:r w:rsidRPr="0035172D">
        <w:rPr>
          <w:i/>
        </w:rPr>
        <w:t>Am J Med Genet B Neuropsychiatr Genet,</w:t>
      </w:r>
      <w:r w:rsidRPr="0035172D">
        <w:t xml:space="preserve"> 162B</w:t>
      </w:r>
      <w:r w:rsidRPr="0035172D">
        <w:rPr>
          <w:b/>
        </w:rPr>
        <w:t>,</w:t>
      </w:r>
      <w:r w:rsidRPr="0035172D">
        <w:t xml:space="preserve"> 295-305.</w:t>
      </w:r>
    </w:p>
    <w:p w14:paraId="01627562" w14:textId="77777777" w:rsidR="00952ED6" w:rsidRPr="0035172D" w:rsidRDefault="00952ED6" w:rsidP="0035172D">
      <w:pPr>
        <w:pStyle w:val="EndNoteBibliography"/>
        <w:spacing w:after="0"/>
        <w:ind w:left="720" w:hanging="720"/>
      </w:pPr>
      <w:r w:rsidRPr="0035172D">
        <w:t xml:space="preserve">Batty, G. D., Whitley, E., Kivimaki, M., Tynelius, P. &amp; Rasmussen, F. (2010). Body mass index and attempted suicide: Cohort study of 1,133,019 Swedish men. </w:t>
      </w:r>
      <w:r w:rsidRPr="0035172D">
        <w:rPr>
          <w:i/>
        </w:rPr>
        <w:t>Am J Epidemiol,</w:t>
      </w:r>
      <w:r w:rsidRPr="0035172D">
        <w:t xml:space="preserve"> 172</w:t>
      </w:r>
      <w:r w:rsidRPr="0035172D">
        <w:rPr>
          <w:b/>
        </w:rPr>
        <w:t>,</w:t>
      </w:r>
      <w:r w:rsidRPr="0035172D">
        <w:t xml:space="preserve"> 890-899.</w:t>
      </w:r>
    </w:p>
    <w:p w14:paraId="393DD012" w14:textId="77777777" w:rsidR="00952ED6" w:rsidRPr="0035172D" w:rsidRDefault="00952ED6" w:rsidP="0035172D">
      <w:pPr>
        <w:pStyle w:val="EndNoteBibliography"/>
        <w:spacing w:after="0"/>
        <w:ind w:left="720" w:hanging="720"/>
      </w:pPr>
      <w:r w:rsidRPr="0035172D">
        <w:t xml:space="preserve">Buckley, J., Cohen, J. D., Kramer, A. F., McAuley, E. &amp; Mullen, S. P. (2014). Cognitive control in the self-regulation of physical activity and sedentary behavior. </w:t>
      </w:r>
      <w:r w:rsidRPr="0035172D">
        <w:rPr>
          <w:i/>
        </w:rPr>
        <w:t>Front Hum Neurosci,</w:t>
      </w:r>
      <w:r w:rsidRPr="0035172D">
        <w:t xml:space="preserve"> 8</w:t>
      </w:r>
      <w:r w:rsidRPr="0035172D">
        <w:rPr>
          <w:b/>
        </w:rPr>
        <w:t>,</w:t>
      </w:r>
      <w:r w:rsidRPr="0035172D">
        <w:t xml:space="preserve"> 747.</w:t>
      </w:r>
    </w:p>
    <w:p w14:paraId="13642779" w14:textId="77777777" w:rsidR="00952ED6" w:rsidRPr="00C76245" w:rsidRDefault="00952ED6" w:rsidP="0035172D">
      <w:pPr>
        <w:pStyle w:val="EndNoteBibliography"/>
        <w:spacing w:after="0"/>
        <w:ind w:left="720" w:hanging="720"/>
        <w:rPr>
          <w:lang w:val="de-DE"/>
        </w:rPr>
      </w:pPr>
      <w:r w:rsidRPr="0035172D">
        <w:t xml:space="preserve">Campbell, B. C. &amp; Eisenberg, D. (2007). Obesity, attention deficit-hyperactivity disorder and the dopaminergic reward system. </w:t>
      </w:r>
      <w:r w:rsidRPr="00C76245">
        <w:rPr>
          <w:i/>
          <w:lang w:val="de-DE"/>
        </w:rPr>
        <w:t>Coll Antropol,</w:t>
      </w:r>
      <w:r w:rsidRPr="00C76245">
        <w:rPr>
          <w:lang w:val="de-DE"/>
        </w:rPr>
        <w:t xml:space="preserve"> 31</w:t>
      </w:r>
      <w:r w:rsidRPr="00C76245">
        <w:rPr>
          <w:b/>
          <w:lang w:val="de-DE"/>
        </w:rPr>
        <w:t>,</w:t>
      </w:r>
      <w:r w:rsidRPr="00C76245">
        <w:rPr>
          <w:lang w:val="de-DE"/>
        </w:rPr>
        <w:t xml:space="preserve"> 33-38.</w:t>
      </w:r>
    </w:p>
    <w:p w14:paraId="044AFF3D" w14:textId="77777777" w:rsidR="00952ED6" w:rsidRPr="0035172D" w:rsidRDefault="00952ED6" w:rsidP="0035172D">
      <w:pPr>
        <w:pStyle w:val="EndNoteBibliography"/>
        <w:spacing w:after="0"/>
        <w:ind w:left="720" w:hanging="720"/>
      </w:pPr>
      <w:r w:rsidRPr="00C76245">
        <w:rPr>
          <w:lang w:val="de-DE"/>
        </w:rPr>
        <w:t xml:space="preserve">Chang, Z., Lichtenstein, P., Asherson, P. J. &amp; Larsson, H. (2013). </w:t>
      </w:r>
      <w:r w:rsidRPr="0035172D">
        <w:t xml:space="preserve">Developmental twin study of attention problems: high heritabilities throughout development. </w:t>
      </w:r>
      <w:r w:rsidRPr="0035172D">
        <w:rPr>
          <w:i/>
        </w:rPr>
        <w:t>JAMA Psychiatry,</w:t>
      </w:r>
      <w:r w:rsidRPr="0035172D">
        <w:t xml:space="preserve"> 70</w:t>
      </w:r>
      <w:r w:rsidRPr="0035172D">
        <w:rPr>
          <w:b/>
        </w:rPr>
        <w:t>,</w:t>
      </w:r>
      <w:r w:rsidRPr="0035172D">
        <w:t xml:space="preserve"> 311-318.</w:t>
      </w:r>
    </w:p>
    <w:p w14:paraId="4C2E7611" w14:textId="77777777" w:rsidR="00952ED6" w:rsidRPr="0035172D" w:rsidRDefault="00952ED6" w:rsidP="0035172D">
      <w:pPr>
        <w:pStyle w:val="EndNoteBibliography"/>
        <w:spacing w:after="0"/>
        <w:ind w:left="720" w:hanging="720"/>
      </w:pPr>
      <w:r w:rsidRPr="0035172D">
        <w:t xml:space="preserve">Chen, Q., Sjolander, A., Langstrom, N., Rodriguez, A., Serlachius, E., D'Onofrio, B. M., Lichtenstein, P. &amp; Larsson, H. (2014). Maternal pre-pregnancy body mass index and offspring attention deficit hyperactivity disorder: a population-based cohort study using a sibling-comparison design. </w:t>
      </w:r>
      <w:r w:rsidRPr="0035172D">
        <w:rPr>
          <w:i/>
        </w:rPr>
        <w:t>Int J Epidemiol,</w:t>
      </w:r>
      <w:r w:rsidRPr="0035172D">
        <w:t xml:space="preserve"> 43</w:t>
      </w:r>
      <w:r w:rsidRPr="0035172D">
        <w:rPr>
          <w:b/>
        </w:rPr>
        <w:t>,</w:t>
      </w:r>
      <w:r w:rsidRPr="0035172D">
        <w:t xml:space="preserve"> 83-90.</w:t>
      </w:r>
    </w:p>
    <w:p w14:paraId="2D7438C7" w14:textId="77777777" w:rsidR="00952ED6" w:rsidRPr="0035172D" w:rsidRDefault="00952ED6" w:rsidP="0035172D">
      <w:pPr>
        <w:pStyle w:val="EndNoteBibliography"/>
        <w:spacing w:after="0"/>
        <w:ind w:left="720" w:hanging="720"/>
      </w:pPr>
      <w:r w:rsidRPr="0035172D">
        <w:t xml:space="preserve">Chorozoglou, M., Smith, E., Koerting, J., Thompson, M. J., Sayal, K. &amp; Sonuga-Barke, E. J. (2015). Preschool hyperactivity is associated with long-term economic burden: evidence from a longitudinal health economic analysis of costs incurred across childhood, adolescence and young adulthood. </w:t>
      </w:r>
      <w:r w:rsidRPr="0035172D">
        <w:rPr>
          <w:i/>
        </w:rPr>
        <w:t>J Child Psychol Psychiatry,</w:t>
      </w:r>
      <w:r w:rsidRPr="0035172D">
        <w:t xml:space="preserve"> 56</w:t>
      </w:r>
      <w:r w:rsidRPr="0035172D">
        <w:rPr>
          <w:b/>
        </w:rPr>
        <w:t>,</w:t>
      </w:r>
      <w:r w:rsidRPr="0035172D">
        <w:t xml:space="preserve"> 966-975.</w:t>
      </w:r>
    </w:p>
    <w:p w14:paraId="5EB2F286" w14:textId="77777777" w:rsidR="00952ED6" w:rsidRPr="0035172D" w:rsidRDefault="00952ED6" w:rsidP="0035172D">
      <w:pPr>
        <w:pStyle w:val="EndNoteBibliography"/>
        <w:spacing w:after="0"/>
        <w:ind w:left="720" w:hanging="720"/>
      </w:pPr>
      <w:r w:rsidRPr="0035172D">
        <w:t xml:space="preserve">Cnattingius, S., Ericson, A., Gunnarskog, J. &amp; Kallen, B. (1990). A quality study of a medical birth registry. </w:t>
      </w:r>
      <w:r w:rsidRPr="0035172D">
        <w:rPr>
          <w:i/>
        </w:rPr>
        <w:t>Scand J Soc Med,</w:t>
      </w:r>
      <w:r w:rsidRPr="0035172D">
        <w:t xml:space="preserve"> 18</w:t>
      </w:r>
      <w:r w:rsidRPr="0035172D">
        <w:rPr>
          <w:b/>
        </w:rPr>
        <w:t>,</w:t>
      </w:r>
      <w:r w:rsidRPr="0035172D">
        <w:t xml:space="preserve"> 143-148.</w:t>
      </w:r>
    </w:p>
    <w:p w14:paraId="120EDC6B" w14:textId="77777777" w:rsidR="00952ED6" w:rsidRPr="0035172D" w:rsidRDefault="00952ED6" w:rsidP="0035172D">
      <w:pPr>
        <w:pStyle w:val="EndNoteBibliography"/>
        <w:spacing w:after="0"/>
        <w:ind w:left="720" w:hanging="720"/>
      </w:pPr>
      <w:r w:rsidRPr="0035172D">
        <w:t xml:space="preserve">Cortese, S. &amp; Castellanos, F. X. (2014). The relationship between ADHD and obesity: implications for therapy. </w:t>
      </w:r>
      <w:r w:rsidRPr="0035172D">
        <w:rPr>
          <w:i/>
        </w:rPr>
        <w:t>Expert Rev Neurother,</w:t>
      </w:r>
      <w:r w:rsidRPr="0035172D">
        <w:t xml:space="preserve"> 14</w:t>
      </w:r>
      <w:r w:rsidRPr="0035172D">
        <w:rPr>
          <w:b/>
        </w:rPr>
        <w:t>,</w:t>
      </w:r>
      <w:r w:rsidRPr="0035172D">
        <w:t xml:space="preserve"> 473-479.</w:t>
      </w:r>
    </w:p>
    <w:p w14:paraId="5F2AB143" w14:textId="77777777" w:rsidR="00952ED6" w:rsidRPr="0035172D" w:rsidRDefault="00952ED6" w:rsidP="0035172D">
      <w:pPr>
        <w:pStyle w:val="EndNoteBibliography"/>
        <w:spacing w:after="0"/>
        <w:ind w:left="720" w:hanging="720"/>
      </w:pPr>
      <w:r w:rsidRPr="0035172D">
        <w:t xml:space="preserve">Cortese, S., Moreira-Maia, C. R., St Fleur, D., Morcillo-Penalver, C., Rohde, L. A. &amp; Faraone, S. V. (2015). Association Between ADHD and Obesity: A Systematic Review and Meta-Analysis. </w:t>
      </w:r>
      <w:r w:rsidRPr="0035172D">
        <w:rPr>
          <w:i/>
        </w:rPr>
        <w:t>Am J Psychiatry</w:t>
      </w:r>
      <w:r w:rsidRPr="0035172D">
        <w:rPr>
          <w:b/>
        </w:rPr>
        <w:t>,</w:t>
      </w:r>
      <w:r w:rsidRPr="0035172D">
        <w:t xml:space="preserve"> appiajp201515020266.</w:t>
      </w:r>
    </w:p>
    <w:p w14:paraId="03DF409E" w14:textId="77777777" w:rsidR="00952ED6" w:rsidRPr="0035172D" w:rsidRDefault="00952ED6" w:rsidP="0035172D">
      <w:pPr>
        <w:pStyle w:val="EndNoteBibliography"/>
        <w:spacing w:after="0"/>
        <w:ind w:left="720" w:hanging="720"/>
      </w:pPr>
      <w:r w:rsidRPr="0035172D">
        <w:t xml:space="preserve">D'Onofrio, B. M., Lahey, B. B., Turkheimer, E. &amp; Lichtenstein, P. (2013). Critical need for family-based, quasi-experimental designs in integrating genetic and social science research. </w:t>
      </w:r>
      <w:r w:rsidRPr="0035172D">
        <w:rPr>
          <w:i/>
        </w:rPr>
        <w:t>Am J Public Health,</w:t>
      </w:r>
      <w:r w:rsidRPr="0035172D">
        <w:t xml:space="preserve"> 103 Suppl 1</w:t>
      </w:r>
      <w:r w:rsidRPr="0035172D">
        <w:rPr>
          <w:b/>
        </w:rPr>
        <w:t>,</w:t>
      </w:r>
      <w:r w:rsidRPr="0035172D">
        <w:t xml:space="preserve"> S46-55.</w:t>
      </w:r>
    </w:p>
    <w:p w14:paraId="26BEA8BE" w14:textId="77777777" w:rsidR="00952ED6" w:rsidRPr="0035172D" w:rsidRDefault="00952ED6" w:rsidP="0035172D">
      <w:pPr>
        <w:pStyle w:val="EndNoteBibliography"/>
        <w:spacing w:after="0"/>
        <w:ind w:left="720" w:hanging="720"/>
      </w:pPr>
      <w:r w:rsidRPr="0035172D">
        <w:t xml:space="preserve">Eisenmann, J. C., Bartee, R. T., Smith, D. T., Welk, G. J. &amp; Fu, Q. (2008). Combined influence of physical activity and television viewing on the risk of overweight in US youth. </w:t>
      </w:r>
      <w:r w:rsidRPr="0035172D">
        <w:rPr>
          <w:i/>
        </w:rPr>
        <w:t>Int J Obes (Lond),</w:t>
      </w:r>
      <w:r w:rsidRPr="0035172D">
        <w:t xml:space="preserve"> 32</w:t>
      </w:r>
      <w:r w:rsidRPr="0035172D">
        <w:rPr>
          <w:b/>
        </w:rPr>
        <w:t>,</w:t>
      </w:r>
      <w:r w:rsidRPr="0035172D">
        <w:t xml:space="preserve"> 613-618.</w:t>
      </w:r>
    </w:p>
    <w:p w14:paraId="7B5C5577" w14:textId="77777777" w:rsidR="00952ED6" w:rsidRPr="0035172D" w:rsidRDefault="00952ED6" w:rsidP="0035172D">
      <w:pPr>
        <w:pStyle w:val="EndNoteBibliography"/>
        <w:spacing w:after="0"/>
        <w:ind w:left="720" w:hanging="720"/>
      </w:pPr>
      <w:r w:rsidRPr="0035172D">
        <w:t xml:space="preserve">Ekbom, A. (2011). The Swedish Multi-generation Register. </w:t>
      </w:r>
      <w:r w:rsidRPr="0035172D">
        <w:rPr>
          <w:i/>
        </w:rPr>
        <w:t>Methods Mol Biol,</w:t>
      </w:r>
      <w:r w:rsidRPr="0035172D">
        <w:t xml:space="preserve"> 675</w:t>
      </w:r>
      <w:r w:rsidRPr="0035172D">
        <w:rPr>
          <w:b/>
        </w:rPr>
        <w:t>,</w:t>
      </w:r>
      <w:r w:rsidRPr="0035172D">
        <w:t xml:space="preserve"> 215-220.</w:t>
      </w:r>
    </w:p>
    <w:p w14:paraId="2047AB45" w14:textId="77777777" w:rsidR="00952ED6" w:rsidRPr="0035172D" w:rsidRDefault="00952ED6" w:rsidP="0035172D">
      <w:pPr>
        <w:pStyle w:val="EndNoteBibliography"/>
        <w:spacing w:after="0"/>
        <w:ind w:left="720" w:hanging="720"/>
      </w:pPr>
      <w:r w:rsidRPr="0035172D">
        <w:t xml:space="preserve">Faraone, S. V., Biederman, J., Morley, C. P. &amp; Spencer, T. J. (2008). Effect of stimulants on height and weight: a review of the literature. </w:t>
      </w:r>
      <w:r w:rsidRPr="0035172D">
        <w:rPr>
          <w:i/>
        </w:rPr>
        <w:t>J Am Acad Child Adolesc Psychiatry,</w:t>
      </w:r>
      <w:r w:rsidRPr="0035172D">
        <w:t xml:space="preserve"> 47</w:t>
      </w:r>
      <w:r w:rsidRPr="0035172D">
        <w:rPr>
          <w:b/>
        </w:rPr>
        <w:t>,</w:t>
      </w:r>
      <w:r w:rsidRPr="0035172D">
        <w:t xml:space="preserve"> 994-1009.</w:t>
      </w:r>
    </w:p>
    <w:p w14:paraId="7882456A" w14:textId="77777777" w:rsidR="00952ED6" w:rsidRPr="0035172D" w:rsidRDefault="00952ED6" w:rsidP="0035172D">
      <w:pPr>
        <w:pStyle w:val="EndNoteBibliography"/>
        <w:spacing w:after="0"/>
        <w:ind w:left="720" w:hanging="720"/>
      </w:pPr>
      <w:r w:rsidRPr="0035172D">
        <w:t xml:space="preserve">Faraone, S. V., Perlis, R. H., Doyle, A. E., Smoller, J. W., Goralnick, J. J., Holmgren, M. A. &amp; Sklar, P. (2005). Molecular genetics of attention-deficit/hyperactivity disorder. </w:t>
      </w:r>
      <w:r w:rsidRPr="0035172D">
        <w:rPr>
          <w:i/>
        </w:rPr>
        <w:t>Biol Psychiatry,</w:t>
      </w:r>
      <w:r w:rsidRPr="0035172D">
        <w:t xml:space="preserve"> 57</w:t>
      </w:r>
      <w:r w:rsidRPr="0035172D">
        <w:rPr>
          <w:b/>
        </w:rPr>
        <w:t>,</w:t>
      </w:r>
      <w:r w:rsidRPr="0035172D">
        <w:t xml:space="preserve"> 1313-1323.</w:t>
      </w:r>
    </w:p>
    <w:p w14:paraId="38ADDB0F" w14:textId="77777777" w:rsidR="00952ED6" w:rsidRPr="0035172D" w:rsidRDefault="00952ED6" w:rsidP="0035172D">
      <w:pPr>
        <w:pStyle w:val="EndNoteBibliography"/>
        <w:spacing w:after="0"/>
        <w:ind w:left="720" w:hanging="720"/>
      </w:pPr>
      <w:r w:rsidRPr="0035172D">
        <w:t xml:space="preserve">Fayyad, J., De Graaf, R., Kessler, R., Alonso, J., Angermeyer, M., Demyttenaere, K., De Girolamo, G., Haro, J. M., Karam, E. G., Lara, C., Lepine, J. P., Ormel, J., Posada-Villa, J., Zaslavsky, A. M. &amp; Jin, R. (2007). Cross-national prevalence and correlates of adult attention-deficit hyperactivity disorder. </w:t>
      </w:r>
      <w:r w:rsidRPr="0035172D">
        <w:rPr>
          <w:i/>
        </w:rPr>
        <w:t>Br J Psychiatry,</w:t>
      </w:r>
      <w:r w:rsidRPr="0035172D">
        <w:t xml:space="preserve"> 190</w:t>
      </w:r>
      <w:r w:rsidRPr="0035172D">
        <w:rPr>
          <w:b/>
        </w:rPr>
        <w:t>,</w:t>
      </w:r>
      <w:r w:rsidRPr="0035172D">
        <w:t xml:space="preserve"> 402-409.</w:t>
      </w:r>
    </w:p>
    <w:p w14:paraId="00B9A97E" w14:textId="77777777" w:rsidR="00952ED6" w:rsidRPr="0035172D" w:rsidRDefault="00952ED6" w:rsidP="0035172D">
      <w:pPr>
        <w:pStyle w:val="EndNoteBibliography"/>
        <w:spacing w:after="0"/>
        <w:ind w:left="720" w:hanging="720"/>
      </w:pPr>
      <w:r w:rsidRPr="0035172D">
        <w:t xml:space="preserve">Friedel, S., Horro, F. F., Wermter, A. K., Geller, F., Dempfle, A., Reichwald, K., Smidt, J., Bronner, G., Konrad, K., Herpertz-Dahlmann, B., Warnke, A., Hemminger, U., Linder, M., Kiefl, H., Goldschmidt, H. P., Siegfried, W., Remschmidt, H., Hinney, A. &amp; Hebebrand, J. (2005). Mutation screen of the brain derived neurotrophic factor gene (BDNF): identification of several genetic variants and association studies in patients with obesity, eating disorders, and attention-deficit/hyperactivity disorder. </w:t>
      </w:r>
      <w:r w:rsidRPr="0035172D">
        <w:rPr>
          <w:i/>
        </w:rPr>
        <w:t>Am J Med Genet B Neuropsychiatr Genet,</w:t>
      </w:r>
      <w:r w:rsidRPr="0035172D">
        <w:t xml:space="preserve"> 132b</w:t>
      </w:r>
      <w:r w:rsidRPr="0035172D">
        <w:rPr>
          <w:b/>
        </w:rPr>
        <w:t>,</w:t>
      </w:r>
      <w:r w:rsidRPr="0035172D">
        <w:t xml:space="preserve"> 96-99.</w:t>
      </w:r>
    </w:p>
    <w:p w14:paraId="6DA7EE7C" w14:textId="77777777" w:rsidR="00952ED6" w:rsidRPr="0035172D" w:rsidRDefault="00952ED6" w:rsidP="0035172D">
      <w:pPr>
        <w:pStyle w:val="EndNoteBibliography"/>
        <w:spacing w:after="0"/>
        <w:ind w:left="720" w:hanging="720"/>
      </w:pPr>
      <w:r w:rsidRPr="0035172D">
        <w:t xml:space="preserve">Gale, C. R., Batty, G. D., McIntosh, A. M., Porteous, D. J., Deary, I. J. &amp; Rasmussen, F. (2013). Is bipolar disorder more common in highly intelligent people? A cohort study of a million men. </w:t>
      </w:r>
      <w:r w:rsidRPr="0035172D">
        <w:rPr>
          <w:i/>
        </w:rPr>
        <w:t>Mol Psychiatry,</w:t>
      </w:r>
      <w:r w:rsidRPr="0035172D">
        <w:t xml:space="preserve"> 18</w:t>
      </w:r>
      <w:r w:rsidRPr="0035172D">
        <w:rPr>
          <w:b/>
        </w:rPr>
        <w:t>,</w:t>
      </w:r>
      <w:r w:rsidRPr="0035172D">
        <w:t xml:space="preserve"> 190-194.</w:t>
      </w:r>
    </w:p>
    <w:p w14:paraId="5E74EF3A" w14:textId="77777777" w:rsidR="00952ED6" w:rsidRPr="0035172D" w:rsidRDefault="00952ED6" w:rsidP="0035172D">
      <w:pPr>
        <w:pStyle w:val="EndNoteBibliography"/>
        <w:spacing w:after="0"/>
        <w:ind w:left="720" w:hanging="720"/>
      </w:pPr>
      <w:r w:rsidRPr="0035172D">
        <w:t xml:space="preserve">Gariepy, G., Nitka, D. &amp; Schmitz, N. (2010). The association between obesity and anxiety disorders in the population: a systematic review and meta-analysis. </w:t>
      </w:r>
      <w:r w:rsidRPr="0035172D">
        <w:rPr>
          <w:i/>
        </w:rPr>
        <w:t>Int J Obes (Lond),</w:t>
      </w:r>
      <w:r w:rsidRPr="0035172D">
        <w:t xml:space="preserve"> 34</w:t>
      </w:r>
      <w:r w:rsidRPr="0035172D">
        <w:rPr>
          <w:b/>
        </w:rPr>
        <w:t>,</w:t>
      </w:r>
      <w:r w:rsidRPr="0035172D">
        <w:t xml:space="preserve"> 407-419.</w:t>
      </w:r>
    </w:p>
    <w:p w14:paraId="470A63E7" w14:textId="77777777" w:rsidR="00952ED6" w:rsidRPr="0035172D" w:rsidRDefault="00952ED6" w:rsidP="0035172D">
      <w:pPr>
        <w:pStyle w:val="EndNoteBibliography"/>
        <w:spacing w:after="0"/>
        <w:ind w:left="720" w:hanging="720"/>
      </w:pPr>
      <w:r w:rsidRPr="0035172D">
        <w:t xml:space="preserve">Hudson, J. I., Javaras, K. N., Laird, N. M., VanderWeele, T. J., Pope, H. G., Jr. &amp; Hernan, M. A. (2008). A structural approach to the familial coaggregation of disorders. </w:t>
      </w:r>
      <w:r w:rsidRPr="0035172D">
        <w:rPr>
          <w:i/>
        </w:rPr>
        <w:t>Epidemiology,</w:t>
      </w:r>
      <w:r w:rsidRPr="0035172D">
        <w:t xml:space="preserve"> 19</w:t>
      </w:r>
      <w:r w:rsidRPr="0035172D">
        <w:rPr>
          <w:b/>
        </w:rPr>
        <w:t>,</w:t>
      </w:r>
      <w:r w:rsidRPr="0035172D">
        <w:t xml:space="preserve"> 431-439.</w:t>
      </w:r>
    </w:p>
    <w:p w14:paraId="74A77AF8" w14:textId="77777777" w:rsidR="00952ED6" w:rsidRPr="0035172D" w:rsidRDefault="00952ED6" w:rsidP="0035172D">
      <w:pPr>
        <w:pStyle w:val="EndNoteBibliography"/>
        <w:spacing w:after="0"/>
        <w:ind w:left="720" w:hanging="720"/>
      </w:pPr>
      <w:r w:rsidRPr="0035172D">
        <w:t xml:space="preserve">Kim, J., Mutyala, B., Agiovlasitis, S. &amp; Fernhall, B. (2011). Health behaviors and obesity among US children with attention deficit hyperactivity disorder by gender and medication use. </w:t>
      </w:r>
      <w:r w:rsidRPr="0035172D">
        <w:rPr>
          <w:i/>
        </w:rPr>
        <w:t>Prev Med,</w:t>
      </w:r>
      <w:r w:rsidRPr="0035172D">
        <w:t xml:space="preserve"> 52</w:t>
      </w:r>
      <w:r w:rsidRPr="0035172D">
        <w:rPr>
          <w:b/>
        </w:rPr>
        <w:t>,</w:t>
      </w:r>
      <w:r w:rsidRPr="0035172D">
        <w:t xml:space="preserve"> 218-222.</w:t>
      </w:r>
    </w:p>
    <w:p w14:paraId="58256511" w14:textId="77777777" w:rsidR="00952ED6" w:rsidRPr="0035172D" w:rsidRDefault="00952ED6" w:rsidP="0035172D">
      <w:pPr>
        <w:pStyle w:val="EndNoteBibliography"/>
        <w:spacing w:after="0"/>
        <w:ind w:left="720" w:hanging="720"/>
      </w:pPr>
      <w:r w:rsidRPr="0035172D">
        <w:t xml:space="preserve">Locke, A. E., Kahali, B., Berndt, S. I., Justice, A. E., Pers, T. H., Day, F. R., Powell, C., Vedantam, S., Buchkovich, M. L., Yang, J., Croteau-Chonka, D. C., Esko, T., Fall, T., Ferreira, T., Gustafsson, S., Kutalik, Z., Luan, J., Magi, R., Randall, J. C., Winkler, T. W., Wood, A. R., Workalemahu, T., Faul, J. D., Smith, J. A., Hua Zhao, J., Zhao, W., Chen, J., Fehrmann, R., Hedman, A. K., Karjalainen, J., Schmidt, E. M., Absher, D., Amin, N., Anderson, D., Beekman, M., Bolton, J. L., Bragg-Gresham, J. L., Buyske, S., Demirkan, A., Deng, G., Ehret, G. B., Feenstra, B., Feitosa, M. F., Fischer, K., Goel, A., Gong, J., Jackson, A. U., Kanoni, S., Kleber, M. E., Kristiansson, K., Lim, U., Lotay, V., Mangino, M., Mateo Leach, I., Medina-Gomez, C., Medland, S. E., Nalls, M. A., Palmer, C. D., Pasko, D., Pechlivanis, S., Peters, M. J., Prokopenko, I., Shungin, D., Stancakova, A., Strawbridge, R. J., Ju Sung, Y., Tanaka, T., Teumer, A., Trompet, S., van der Laan, S. W., van Setten, J., Van Vliet-Ostaptchouk, J. V., Wang, Z., Yengo, L., Zhang, W., Isaacs, A., Albrecht, E., Arnlov, J., Arscott, G. M., Attwood, A. P., Bandinelli, S., Barrett, A., Bas, I. N., Bellis, C., Bennett, A. J., Berne, C., Blagieva, R., Bluher, M., Bohringer, S., Bonnycastle, L. L., Bottcher, Y., Boyd, H. A., Bruinenberg, M., Caspersen, I. H., Ida Chen, Y. D., Clarke, R., Daw, E. W., de Craen, A. J., Delgado, G., Dimitriou, M., Doney, A. S., Eklund, N., Estrada, K., Eury, E., Folkersen, L., Fraser, R. M., Garcia, M. E., Geller, F., Giedraitis, V., Gigante, B., Go, A. S., Golay, A., Goodall, A. H., Gordon, S. D., Gorski, M., Grabe, H. J., Grallert, H., Grammer, T. B., Grassler, J., Gronberg, H., Groves, C. J., Gusto, G., Haessler, J., Hall, P., Haller, T., Hallmans, G., Hartman, C. A., Hassinen, M., Hayward, C., Heard-Costa, N. L., Helmer, Q., Hengstenberg, C., Holmen, O., Hottenga, J. J., James, A. L., Jeff, J. M., Johansson, A., Jolley, J., Juliusdottir, T., Kinnunen, L., Koenig, W., Koskenvuo, M., Kratzer, W., Laitinen, J., Lamina, C., Leander, K., Lee, N. R., Lichtner, P., Lind, L., Lindstrom, J., Sin Lo, K., Lobbens, S., Lorbeer, R., Lu, Y., Mach, F., Magnusson, P. K., Mahajan, A., McArdle, W. L., McLachlan, S., Menni, C., Merger, S., Mihailov, E., Milani, L., Moayyeri, A., Monda, K. L., Morken, M. A., Mulas, A., Muller, G., Muller-Nurasyid, M., Musk, A. W., Nagaraja, R., Nothen, M. M., Nolte, I. M., Pilz, S., Rayner, N. W., Renstrom, F., Rettig, R., Ried, J. S., Ripke, S., Robertson, N. R., Rose, L. M., Sanna, S., Scharnagl, H., Scholtens, S., Schumacher, F. R., Scott, W. R., Seufferlein, T., Shi, J., Vernon Smith, A., Smolonska, J., Stanton, A. V., Steinthorsdottir, V., Stirrups, K., Stringham, H. M., Sundstrom, J., Swertz, M. A., Swift, A. J., Syvanen, A. C., Tan, S. T., Tayo, B. O., Thorand, B., Thorleifsson, G., Tyrer, J. P., Uh, H. W., Vandenput, L., Verhulst, F. C., Vermeulen, S. H., Verweij, N., Vonk, J. M., Waite, L. L., Warren, H. R., Waterworth, D., Weedon, M. N., Wilkens, L. R., Willenborg, C., Wilsgaard, T., Wojczynski, M. K., Wong, A., Wright, A. F., Zhang, Q., Brennan, E. P., Choi, M., Dastani, Z., Drong, A. W., Eriksson, P., Franco-Cereceda, A., Gadin, J. R., Gharavi, A. G., Goddard, M. E., Handsaker, R. E., Huang, J., Karpe, F., Kathiresan, S., Keildson, S., Kiryluk, K., Kubo, M., Lee, J. Y., Liang, L., Lifton, R. P., Ma, B., McCarroll, S. A., McKnight, A. J., Min, J. L., Moffatt, M. F., Montgomery, G. W., Murabito, J. M., Nicholson, G., Nyholt, D. R., Okada, Y., Perry, J. R., Dorajoo, R., Reinmaa, E., Salem, R. M., Sandholm, N., Scott, R. A., Stolk, L., Takahashi, A., Van't Hooft, F. M., Vinkhuyzen, A. A., Westra, H. J., Zheng, W., Zondervan, K. T., Heath, A. C., Arveiler, D., Bakker, S. J., Beilby, J., Bergman, R. N., Blangero, J., Bovet, P., Campbell, H., Caulfield, M. J., Cesana, G., Chakravarti, A., Chasman, D. I., Chines, P. S., Collins, F. S., Crawford, D. C., Cupples, L. A., Cusi, D., Danesh, J., de Faire, U., den Ruijter, H. M., Dominiczak, A. F., Erbel, R., Erdmann, J., Eriksson, J. G., Farrall, M., Felix, S. B., Ferrannini, E., Ferrieres, J., Ford, I., Forouhi, N. G., Forrester, T., Franco, O. H., Gansevoort, R. T., Gejman, P. V., Gieger, C., Gottesman, O., Gudnason, V., Gyllensten, U., Hall, A. S., Harris, T. B., Hattersley, A. T., Hicks, A. A., Hindorff, L. A., Hingorani, A. D., Hofman, A., Homuth, G., Hovingh, G. K., Humphries, S. E., Hunt, S. C., Hypponen, E., Illig, T., Jacobs, K. B., Jarvelin, M. R., Jockel, K. H., Johansen, B., Jousilahti, P., Jukema, J. W., Jula, A. M., Kaprio, J., Kastelein, J. J., Keinanen-Kiukaanniemi, S. M., Kiemeney, L. A., Knekt, P., Kooner, J. S., Kooperberg, C., Kovacs, P., Kraja, A. T., Kumari, M., Kuusisto, J., Lakka, T. A., Langenberg, C., Le Marchand, L., Lehtimaki, T., Lyssenko, V., Mannisto, S., Marette, A., Matise, T. C., McKenzie, C. A., McKnight, B., Moll, F. L., Morris, A. D., Morris, A. P., Murray, J. C., Nelis, M., Ohlsson, C., Oldehinkel, A. J., Ong, K. K., Madden, P. A., Pasterkamp, G., Peden, J. F., Peters, A., Postma, D. S., Pramstaller, P. P., Price, J. F., Qi, L., Raitakari, O. T., Rankinen, T., Rao, D. C., Rice, T. K., Ridker, P. M., Rioux, J. D., Ritchie, M. D., Rudan, I., Salomaa, V., Samani, N. J., Saramies, J., Sarzynski, M. A., Schunkert, H., Schwarz, P. E., Sever, P., Shuldiner, A. R., Sinisalo, J., Stolk, R. P., Strauch, K., Tonjes, A., Tregouet, D. A., Tremblay, A., Tremoli, E., Virtamo, J., Vohl, M. C., Volker, U., Waeber, G., Willemsen, G., Witteman, J. C., Zillikens, M. C., Adair, L. S., Amouyel, P., Asselbergs, F. W., Assimes, T. L., Bochud, M., Boehm, B. O., Boerwinkle, E., Bornstein, S. R., Bottinger, E. P., Bouchard, C., Cauchi, S., Chambers, J. C., Chanock, S. J., Cooper, R. S., de Bakker, P. I., Dedoussis, G., Ferrucci, L., Franks, P. W., Froguel, P., Groop, L. C., Haiman, C. A., Hamsten, A., Hui, J., Hunter, D. J., Hveem, K., Kaplan, R. C., Kivimaki, M., Kuh, D., Laakso, M., Liu, Y., Martin, N. G., Marz, W., Melbye, M., Metspalu, A., Moebus, S., Munroe, P. B., Njolstad, I., Oostra, B. A., Palmer, C. N., Pedersen, N. L., Perola, M., Perusse, L., Peters, U., Power, C., Quertermous, T., Rauramaa, R., Rivadeneira, F., Saaristo, T. E., Saleheen, D., Sattar, N., Schadt, E. E., Schlessinger, D., Slagboom, P. E., Snieder, H., Spector, T. D., Thorsteinsdottir, U., Stumvoll, M., Tuomilehto, J., Uitterlinden, A. G., Uusitupa, M., van der Harst, P., Walker, M., Wallaschofski, H., Wareham, N. J., Watkins, H., Weir, D. R., Wichmann, H. E., Wilson, J. F., Zanen, P., Borecki, I. B., Deloukas, P., Fox, C. S., Heid, I. M., O'Connell, J. R., Strachan, D. P., Stefansson, K., van Duijn, C. M., Abecasis, G. R., Franke, L., Frayling, T. M., McCarthy, M. I., Visscher, P. M., Scherag, A., Willer, C. J., Boehnke, M., Mohlke, K. L., Lindgren, C. M., Beckmann, J. S., Barroso, I., North, K. E., Ingelsson, E., Hirschhorn, J. N., Loos, R. J. &amp; Speliotes, E. K. (2015). Genetic studies of body mass index yield new insights for obesity biology. </w:t>
      </w:r>
      <w:r w:rsidRPr="0035172D">
        <w:rPr>
          <w:i/>
        </w:rPr>
        <w:t>Nature,</w:t>
      </w:r>
      <w:r w:rsidRPr="0035172D">
        <w:t xml:space="preserve"> 518</w:t>
      </w:r>
      <w:r w:rsidRPr="0035172D">
        <w:rPr>
          <w:b/>
        </w:rPr>
        <w:t>,</w:t>
      </w:r>
      <w:r w:rsidRPr="0035172D">
        <w:t xml:space="preserve"> 197-206.</w:t>
      </w:r>
    </w:p>
    <w:p w14:paraId="2DA32973" w14:textId="77777777" w:rsidR="00952ED6" w:rsidRPr="00C76245" w:rsidRDefault="00952ED6" w:rsidP="0035172D">
      <w:pPr>
        <w:pStyle w:val="EndNoteBibliography"/>
        <w:spacing w:after="0"/>
        <w:ind w:left="720" w:hanging="720"/>
        <w:rPr>
          <w:lang w:val="de-DE"/>
        </w:rPr>
      </w:pPr>
      <w:r w:rsidRPr="0035172D">
        <w:t xml:space="preserve">Ludvigsson, J. F., Andersson, E., Ekbom, A., Feychting, M., Kim, J. L., Reuterwall, C., Heurgren, M. &amp; Olausson, P. O. (2011). External review and validation of the Swedish national inpatient register. </w:t>
      </w:r>
      <w:r w:rsidRPr="00C76245">
        <w:rPr>
          <w:i/>
          <w:lang w:val="de-DE"/>
        </w:rPr>
        <w:t>BMC Public Health,</w:t>
      </w:r>
      <w:r w:rsidRPr="00C76245">
        <w:rPr>
          <w:lang w:val="de-DE"/>
        </w:rPr>
        <w:t xml:space="preserve"> 11</w:t>
      </w:r>
      <w:r w:rsidRPr="00C76245">
        <w:rPr>
          <w:b/>
          <w:lang w:val="de-DE"/>
        </w:rPr>
        <w:t>,</w:t>
      </w:r>
      <w:r w:rsidRPr="00C76245">
        <w:rPr>
          <w:lang w:val="de-DE"/>
        </w:rPr>
        <w:t xml:space="preserve"> 450.</w:t>
      </w:r>
    </w:p>
    <w:p w14:paraId="6779E64F" w14:textId="77777777" w:rsidR="00952ED6" w:rsidRPr="00C76245" w:rsidRDefault="00952ED6" w:rsidP="0035172D">
      <w:pPr>
        <w:pStyle w:val="EndNoteBibliography"/>
        <w:spacing w:after="0"/>
        <w:ind w:left="720" w:hanging="720"/>
        <w:rPr>
          <w:lang w:val="de-DE"/>
        </w:rPr>
      </w:pPr>
      <w:r w:rsidRPr="00C76245">
        <w:rPr>
          <w:lang w:val="de-DE"/>
        </w:rPr>
        <w:t xml:space="preserve">Lundh, A., Forsman, M., Serlachius, E., Lichtenstein, P. &amp; Landen, M. (2013). Outcomes of child psychiatric treatment. </w:t>
      </w:r>
      <w:r w:rsidRPr="00C76245">
        <w:rPr>
          <w:i/>
          <w:lang w:val="de-DE"/>
        </w:rPr>
        <w:t>Acta Psychiatr Scand,</w:t>
      </w:r>
      <w:r w:rsidRPr="00C76245">
        <w:rPr>
          <w:lang w:val="de-DE"/>
        </w:rPr>
        <w:t xml:space="preserve"> 128</w:t>
      </w:r>
      <w:r w:rsidRPr="00C76245">
        <w:rPr>
          <w:b/>
          <w:lang w:val="de-DE"/>
        </w:rPr>
        <w:t>,</w:t>
      </w:r>
      <w:r w:rsidRPr="00C76245">
        <w:rPr>
          <w:lang w:val="de-DE"/>
        </w:rPr>
        <w:t xml:space="preserve"> 34-44.</w:t>
      </w:r>
    </w:p>
    <w:p w14:paraId="4A85541E" w14:textId="77777777" w:rsidR="00952ED6" w:rsidRPr="00C76245" w:rsidRDefault="00952ED6" w:rsidP="0035172D">
      <w:pPr>
        <w:pStyle w:val="EndNoteBibliography"/>
        <w:spacing w:after="0"/>
        <w:ind w:left="720" w:hanging="720"/>
        <w:rPr>
          <w:lang w:val="de-DE"/>
        </w:rPr>
      </w:pPr>
      <w:r w:rsidRPr="00C76245">
        <w:rPr>
          <w:lang w:val="de-DE"/>
        </w:rPr>
        <w:t xml:space="preserve">Luppino, F. S., de Wit, L. M., Bouvy, P. F., Stijnen, T., Cuijpers, P., Penninx, B. W. &amp; Zitman, F. G. (2010). </w:t>
      </w:r>
      <w:r w:rsidRPr="0035172D">
        <w:t xml:space="preserve">Overweight, obesity, and depression: a systematic review and meta-analysis of longitudinal studies. </w:t>
      </w:r>
      <w:r w:rsidRPr="00C76245">
        <w:rPr>
          <w:i/>
          <w:lang w:val="de-DE"/>
        </w:rPr>
        <w:t>Arch Gen Psychiatry,</w:t>
      </w:r>
      <w:r w:rsidRPr="00C76245">
        <w:rPr>
          <w:lang w:val="de-DE"/>
        </w:rPr>
        <w:t xml:space="preserve"> 67</w:t>
      </w:r>
      <w:r w:rsidRPr="00C76245">
        <w:rPr>
          <w:b/>
          <w:lang w:val="de-DE"/>
        </w:rPr>
        <w:t>,</w:t>
      </w:r>
      <w:r w:rsidRPr="00C76245">
        <w:rPr>
          <w:lang w:val="de-DE"/>
        </w:rPr>
        <w:t xml:space="preserve"> 220-229.</w:t>
      </w:r>
    </w:p>
    <w:p w14:paraId="77F8E08E" w14:textId="77777777" w:rsidR="00952ED6" w:rsidRPr="0035172D" w:rsidRDefault="00952ED6" w:rsidP="0035172D">
      <w:pPr>
        <w:pStyle w:val="EndNoteBibliography"/>
        <w:spacing w:after="0"/>
        <w:ind w:left="720" w:hanging="720"/>
      </w:pPr>
      <w:r w:rsidRPr="00C76245">
        <w:rPr>
          <w:lang w:val="de-DE"/>
        </w:rPr>
        <w:t xml:space="preserve">Muller-Riemenschneider, F., Reinhold, T., Berghofer, A. &amp; Willich, S. N. (2008). </w:t>
      </w:r>
      <w:r w:rsidRPr="0035172D">
        <w:t xml:space="preserve">Health-economic burden of obesity in Europe. </w:t>
      </w:r>
      <w:r w:rsidRPr="0035172D">
        <w:rPr>
          <w:i/>
        </w:rPr>
        <w:t>Eur J Epidemiol,</w:t>
      </w:r>
      <w:r w:rsidRPr="0035172D">
        <w:t xml:space="preserve"> 23</w:t>
      </w:r>
      <w:r w:rsidRPr="0035172D">
        <w:rPr>
          <w:b/>
        </w:rPr>
        <w:t>,</w:t>
      </w:r>
      <w:r w:rsidRPr="0035172D">
        <w:t xml:space="preserve"> 499-509.</w:t>
      </w:r>
    </w:p>
    <w:p w14:paraId="21CBA9BD" w14:textId="77777777" w:rsidR="00952ED6" w:rsidRPr="0035172D" w:rsidRDefault="00952ED6" w:rsidP="0035172D">
      <w:pPr>
        <w:pStyle w:val="EndNoteBibliography"/>
        <w:spacing w:after="0"/>
        <w:ind w:left="720" w:hanging="720"/>
      </w:pPr>
      <w:r w:rsidRPr="0035172D">
        <w:t xml:space="preserve">Neale, B. M., Medland, S. E., Ripke, S., Asherson, P., Franke, B., Lesch, K. P., Faraone, S. V., Nguyen, T. T., Schafer, H., Holmans, P., Daly, M., Steinhausen, H. C., Freitag, C., Reif, A., Renner, T. J., Romanos, M., Romanos, J., Walitza, S., Warnke, A., Meyer, J., Palmason, H., Buitelaar, J., Vasquez, A. A., Lambregts-Rommelse, N., Gill, M., Anney, R. J., Langely, K., O'Donovan, M., Williams, N., Owen, M., Thapar, A., Kent, L., Sergeant, J., Roeyers, H., Mick, E., Biederman, J., Doyle, A., Smalley, S., Loo, S., Hakonarson, H., Elia, J., Todorov, A., Miranda, A., Mulas, F., Ebstein, R. P., Rothenberger, A., Banaschewski, T., Oades, R. D., Sonuga-Barke, E., McGough, J., Nisenbaum, L., Middleton, F., Hu, X. &amp; Nelson, S. (2010). Meta-analysis of genome-wide association studies of attention-deficit/hyperactivity disorder. </w:t>
      </w:r>
      <w:r w:rsidRPr="0035172D">
        <w:rPr>
          <w:i/>
        </w:rPr>
        <w:t>J Am Acad Child Adolesc Psychiatry,</w:t>
      </w:r>
      <w:r w:rsidRPr="0035172D">
        <w:t xml:space="preserve"> 49</w:t>
      </w:r>
      <w:r w:rsidRPr="0035172D">
        <w:rPr>
          <w:b/>
        </w:rPr>
        <w:t>,</w:t>
      </w:r>
      <w:r w:rsidRPr="0035172D">
        <w:t xml:space="preserve"> 884-897.</w:t>
      </w:r>
    </w:p>
    <w:p w14:paraId="1D3B7EC5" w14:textId="77777777" w:rsidR="00952ED6" w:rsidRPr="0035172D" w:rsidRDefault="00952ED6" w:rsidP="0035172D">
      <w:pPr>
        <w:pStyle w:val="EndNoteBibliography"/>
        <w:spacing w:after="0"/>
        <w:ind w:left="720" w:hanging="720"/>
      </w:pPr>
      <w:r w:rsidRPr="0035172D">
        <w:t xml:space="preserve">Neovius, K., Johansson, K., Kark, M., Tynelius, P. &amp; Rasmussen, F. (2013). Trends in self-reported BMI and prevalence of obesity 2002-10 in Stockholm County, Sweden. </w:t>
      </w:r>
      <w:r w:rsidRPr="0035172D">
        <w:rPr>
          <w:i/>
        </w:rPr>
        <w:t>Eur J Public Health,</w:t>
      </w:r>
      <w:r w:rsidRPr="0035172D">
        <w:t xml:space="preserve"> 23</w:t>
      </w:r>
      <w:r w:rsidRPr="0035172D">
        <w:rPr>
          <w:b/>
        </w:rPr>
        <w:t>,</w:t>
      </w:r>
      <w:r w:rsidRPr="0035172D">
        <w:t xml:space="preserve"> 312-315.</w:t>
      </w:r>
    </w:p>
    <w:p w14:paraId="0E7B0D82" w14:textId="77777777" w:rsidR="00952ED6" w:rsidRPr="0035172D" w:rsidRDefault="00952ED6" w:rsidP="0035172D">
      <w:pPr>
        <w:pStyle w:val="EndNoteBibliography"/>
        <w:spacing w:after="0"/>
        <w:ind w:left="720" w:hanging="720"/>
      </w:pPr>
      <w:r w:rsidRPr="0035172D">
        <w:t xml:space="preserve">Neovius, M., Janson, A. &amp; Rossner, S. (2006). Prevalence of obesity in Sweden. </w:t>
      </w:r>
      <w:r w:rsidRPr="0035172D">
        <w:rPr>
          <w:i/>
        </w:rPr>
        <w:t>Obes Rev,</w:t>
      </w:r>
      <w:r w:rsidRPr="0035172D">
        <w:t xml:space="preserve"> 7</w:t>
      </w:r>
      <w:r w:rsidRPr="0035172D">
        <w:rPr>
          <w:b/>
        </w:rPr>
        <w:t>,</w:t>
      </w:r>
      <w:r w:rsidRPr="0035172D">
        <w:t xml:space="preserve"> 1-3.</w:t>
      </w:r>
    </w:p>
    <w:p w14:paraId="21C1E1B6" w14:textId="77777777" w:rsidR="00952ED6" w:rsidRPr="0035172D" w:rsidRDefault="00952ED6" w:rsidP="0035172D">
      <w:pPr>
        <w:pStyle w:val="EndNoteBibliography"/>
        <w:spacing w:after="0"/>
        <w:ind w:left="720" w:hanging="720"/>
      </w:pPr>
      <w:r w:rsidRPr="0035172D">
        <w:t xml:space="preserve">Ogden, C. L., Carroll, M. D., Kit, B. K. &amp; Flegal, K. M. (2014). Prevalence of childhood and adult obesity in the United States, 2011-2012. </w:t>
      </w:r>
      <w:r w:rsidRPr="0035172D">
        <w:rPr>
          <w:i/>
        </w:rPr>
        <w:t>JAMA,</w:t>
      </w:r>
      <w:r w:rsidRPr="0035172D">
        <w:t xml:space="preserve"> 311</w:t>
      </w:r>
      <w:r w:rsidRPr="0035172D">
        <w:rPr>
          <w:b/>
        </w:rPr>
        <w:t>,</w:t>
      </w:r>
      <w:r w:rsidRPr="0035172D">
        <w:t xml:space="preserve"> 806-814.</w:t>
      </w:r>
    </w:p>
    <w:p w14:paraId="25FCC069" w14:textId="77777777" w:rsidR="00952ED6" w:rsidRPr="0035172D" w:rsidRDefault="00952ED6" w:rsidP="0035172D">
      <w:pPr>
        <w:pStyle w:val="EndNoteBibliography"/>
        <w:spacing w:after="0"/>
        <w:ind w:left="720" w:hanging="720"/>
      </w:pPr>
      <w:r w:rsidRPr="0035172D">
        <w:t xml:space="preserve">Polanczyk, G. V., Salum, G. A., Sugaya, L. S., Caye, A. &amp; Rohde, L. A. (2015). Annual research review: A meta-analysis of the worldwide prevalence of mental disorders in children and adolescents. </w:t>
      </w:r>
      <w:r w:rsidRPr="0035172D">
        <w:rPr>
          <w:i/>
        </w:rPr>
        <w:t>J Child Psychol Psychiatry,</w:t>
      </w:r>
      <w:r w:rsidRPr="0035172D">
        <w:t xml:space="preserve"> 56</w:t>
      </w:r>
      <w:r w:rsidRPr="0035172D">
        <w:rPr>
          <w:b/>
        </w:rPr>
        <w:t>,</w:t>
      </w:r>
      <w:r w:rsidRPr="0035172D">
        <w:t xml:space="preserve"> 345-365.</w:t>
      </w:r>
    </w:p>
    <w:p w14:paraId="6C6E45F2" w14:textId="77777777" w:rsidR="00952ED6" w:rsidRPr="0035172D" w:rsidRDefault="00952ED6" w:rsidP="0035172D">
      <w:pPr>
        <w:pStyle w:val="EndNoteBibliography"/>
        <w:spacing w:after="0"/>
        <w:ind w:left="720" w:hanging="720"/>
      </w:pPr>
      <w:r w:rsidRPr="0035172D">
        <w:t xml:space="preserve">Shinawi, M., Sahoo, T., Maranda, B., Skinner, S. A., Skinner, C., Chinault, C., Zascavage, R., Peters, S. U., Patel, A., Stevenson, R. E. &amp; Beaudet, A. L. (2011). 11p14.1 microdeletions associated with ADHD, autism, developmental delay, and obesity. </w:t>
      </w:r>
      <w:r w:rsidRPr="0035172D">
        <w:rPr>
          <w:i/>
        </w:rPr>
        <w:t>Am J Med Genet A,</w:t>
      </w:r>
      <w:r w:rsidRPr="0035172D">
        <w:t xml:space="preserve"> 155a</w:t>
      </w:r>
      <w:r w:rsidRPr="0035172D">
        <w:rPr>
          <w:b/>
        </w:rPr>
        <w:t>,</w:t>
      </w:r>
      <w:r w:rsidRPr="0035172D">
        <w:t xml:space="preserve"> 1272-1280.</w:t>
      </w:r>
    </w:p>
    <w:p w14:paraId="5D7E51E5" w14:textId="77777777" w:rsidR="00952ED6" w:rsidRPr="0035172D" w:rsidRDefault="00952ED6" w:rsidP="0035172D">
      <w:pPr>
        <w:pStyle w:val="EndNoteBibliography"/>
        <w:spacing w:after="0"/>
        <w:ind w:left="720" w:hanging="720"/>
      </w:pPr>
      <w:r w:rsidRPr="0035172D">
        <w:t xml:space="preserve">Simon, V., Czobor, P., Balint, S., Meszaros, A. &amp; Bitter, I. (2009). Prevalence and correlates of adult attention-deficit hyperactivity disorder: meta-analysis. </w:t>
      </w:r>
      <w:r w:rsidRPr="0035172D">
        <w:rPr>
          <w:i/>
        </w:rPr>
        <w:t>Br J Psychiatry,</w:t>
      </w:r>
      <w:r w:rsidRPr="0035172D">
        <w:t xml:space="preserve"> 194</w:t>
      </w:r>
      <w:r w:rsidRPr="0035172D">
        <w:rPr>
          <w:b/>
        </w:rPr>
        <w:t>,</w:t>
      </w:r>
      <w:r w:rsidRPr="0035172D">
        <w:t xml:space="preserve"> 204-211.</w:t>
      </w:r>
    </w:p>
    <w:p w14:paraId="52189721" w14:textId="77777777" w:rsidR="00952ED6" w:rsidRPr="0035172D" w:rsidRDefault="00952ED6" w:rsidP="0035172D">
      <w:pPr>
        <w:pStyle w:val="EndNoteBibliography"/>
        <w:spacing w:after="0"/>
        <w:ind w:left="720" w:hanging="720"/>
      </w:pPr>
      <w:r w:rsidRPr="0035172D">
        <w:t xml:space="preserve">Sjolander, A., Frisell, T., Kuja-Halkola, R., Oberg, S. &amp; Zetterqvist, J. (2016). Carryover Effects in Sibling Comparison Designs. </w:t>
      </w:r>
      <w:r w:rsidRPr="0035172D">
        <w:rPr>
          <w:i/>
        </w:rPr>
        <w:t>Epidemiology,</w:t>
      </w:r>
      <w:r w:rsidRPr="0035172D">
        <w:t xml:space="preserve"> 27</w:t>
      </w:r>
      <w:r w:rsidRPr="0035172D">
        <w:rPr>
          <w:b/>
        </w:rPr>
        <w:t>,</w:t>
      </w:r>
      <w:r w:rsidRPr="0035172D">
        <w:t xml:space="preserve"> 852-858.</w:t>
      </w:r>
    </w:p>
    <w:p w14:paraId="146ABE22" w14:textId="77777777" w:rsidR="00952ED6" w:rsidRPr="0035172D" w:rsidRDefault="00952ED6" w:rsidP="0035172D">
      <w:pPr>
        <w:pStyle w:val="EndNoteBibliography"/>
        <w:spacing w:after="0"/>
        <w:ind w:left="720" w:hanging="720"/>
      </w:pPr>
      <w:r w:rsidRPr="0035172D">
        <w:t>StataCorp. (2015). Stata Statistical Software: Release 14. College Station, TX: StataCorp LP.</w:t>
      </w:r>
    </w:p>
    <w:p w14:paraId="5E0CDC77" w14:textId="77777777" w:rsidR="00952ED6" w:rsidRPr="0035172D" w:rsidRDefault="00952ED6" w:rsidP="0035172D">
      <w:pPr>
        <w:pStyle w:val="EndNoteBibliography"/>
        <w:spacing w:after="0"/>
        <w:ind w:left="720" w:hanging="720"/>
      </w:pPr>
      <w:r w:rsidRPr="0035172D">
        <w:t>Statistics Sweden (2011). Longitudinell integrationsdatabas för Sjukförsäkrings- och Arbetsmarknadsstudier (LISA) 1990-2009. Sweden: Statistics Sweden.</w:t>
      </w:r>
    </w:p>
    <w:p w14:paraId="2E72B153" w14:textId="77777777" w:rsidR="00952ED6" w:rsidRPr="0035172D" w:rsidRDefault="00952ED6" w:rsidP="0035172D">
      <w:pPr>
        <w:pStyle w:val="EndNoteBibliography"/>
        <w:spacing w:after="0"/>
        <w:ind w:left="720" w:hanging="720"/>
      </w:pPr>
      <w:r w:rsidRPr="0035172D">
        <w:t xml:space="preserve">Thomas, R., Sanders, S., Doust, J., Beller, E. &amp; Glasziou, P. (2015). Prevalence of attention-deficit/hyperactivity disorder: a systematic review and meta-analysis. </w:t>
      </w:r>
      <w:r w:rsidRPr="0035172D">
        <w:rPr>
          <w:i/>
        </w:rPr>
        <w:t>Pediatrics,</w:t>
      </w:r>
      <w:r w:rsidRPr="0035172D">
        <w:t xml:space="preserve"> 135</w:t>
      </w:r>
      <w:r w:rsidRPr="0035172D">
        <w:rPr>
          <w:b/>
        </w:rPr>
        <w:t>,</w:t>
      </w:r>
      <w:r w:rsidRPr="0035172D">
        <w:t xml:space="preserve"> e994-1001.</w:t>
      </w:r>
    </w:p>
    <w:p w14:paraId="01098CCE" w14:textId="77777777" w:rsidR="00952ED6" w:rsidRPr="0035172D" w:rsidRDefault="00952ED6" w:rsidP="0035172D">
      <w:pPr>
        <w:pStyle w:val="EndNoteBibliography"/>
        <w:spacing w:after="0"/>
        <w:ind w:left="720" w:hanging="720"/>
      </w:pPr>
      <w:r w:rsidRPr="0035172D">
        <w:t xml:space="preserve">Wang, Y. &amp; Beydoun, M. A. (2007). The obesity epidemic in the United States--gender, age, socioeconomic, racial/ethnic, and geographic characteristics: a systematic review and meta-regression analysis. </w:t>
      </w:r>
      <w:r w:rsidRPr="0035172D">
        <w:rPr>
          <w:i/>
        </w:rPr>
        <w:t>Epidemiol Rev,</w:t>
      </w:r>
      <w:r w:rsidRPr="0035172D">
        <w:t xml:space="preserve"> 29</w:t>
      </w:r>
      <w:r w:rsidRPr="0035172D">
        <w:rPr>
          <w:b/>
        </w:rPr>
        <w:t>,</w:t>
      </w:r>
      <w:r w:rsidRPr="0035172D">
        <w:t xml:space="preserve"> 6-28.</w:t>
      </w:r>
    </w:p>
    <w:p w14:paraId="666B7188" w14:textId="77777777" w:rsidR="00952ED6" w:rsidRPr="0035172D" w:rsidRDefault="00952ED6" w:rsidP="0035172D">
      <w:pPr>
        <w:pStyle w:val="EndNoteBibliography"/>
        <w:spacing w:after="0"/>
        <w:ind w:left="720" w:hanging="720"/>
      </w:pPr>
      <w:r w:rsidRPr="0035172D">
        <w:t xml:space="preserve">Wettermark, B., Hammar, N., Fored, C. M., Leimanis, A., Otterblad Olausson, P., Bergman, U., Persson, I., Sundstrom, A., Westerholm, B. &amp; Rosen, M. (2007). The new Swedish Prescribed Drug Register--opportunities for pharmacoepidemiological research and experience from the first six months. </w:t>
      </w:r>
      <w:r w:rsidRPr="0035172D">
        <w:rPr>
          <w:i/>
        </w:rPr>
        <w:t>Pharmacoepidemiol Drug Saf,</w:t>
      </w:r>
      <w:r w:rsidRPr="0035172D">
        <w:t xml:space="preserve"> 16</w:t>
      </w:r>
      <w:r w:rsidRPr="0035172D">
        <w:rPr>
          <w:b/>
        </w:rPr>
        <w:t>,</w:t>
      </w:r>
      <w:r w:rsidRPr="0035172D">
        <w:t xml:space="preserve"> 726-735.</w:t>
      </w:r>
    </w:p>
    <w:p w14:paraId="42EF5F2D" w14:textId="77777777" w:rsidR="00952ED6" w:rsidRPr="0035172D" w:rsidRDefault="00952ED6" w:rsidP="0035172D">
      <w:pPr>
        <w:pStyle w:val="EndNoteBibliography"/>
        <w:ind w:left="720" w:hanging="720"/>
      </w:pPr>
      <w:r w:rsidRPr="0035172D">
        <w:t xml:space="preserve">World Health Organization. (2000). </w:t>
      </w:r>
      <w:r w:rsidRPr="0035172D">
        <w:rPr>
          <w:i/>
        </w:rPr>
        <w:t xml:space="preserve">Obesity : preventing and managing the global epidemic : report of a WHO consultation, </w:t>
      </w:r>
      <w:r w:rsidRPr="0035172D">
        <w:t>Geneva: World Health Organization.</w:t>
      </w:r>
    </w:p>
    <w:p w14:paraId="74230E72" w14:textId="77777777" w:rsidR="00952ED6" w:rsidRDefault="00952ED6" w:rsidP="00C81E52">
      <w:pPr>
        <w:pStyle w:val="EndNoteBibliography"/>
        <w:spacing w:after="100" w:afterAutospacing="1" w:line="480" w:lineRule="auto"/>
        <w:ind w:left="720" w:hanging="720"/>
        <w:rPr>
          <w:rFonts w:ascii="Times New Roman" w:hAnsi="Times New Roman" w:cs="Times New Roman"/>
          <w:i/>
          <w:sz w:val="20"/>
          <w:szCs w:val="20"/>
        </w:rPr>
        <w:sectPr w:rsidR="00952ED6" w:rsidSect="000F285B">
          <w:pgSz w:w="11906" w:h="16838"/>
          <w:pgMar w:top="1417" w:right="1417" w:bottom="1417" w:left="1417" w:header="708" w:footer="708" w:gutter="0"/>
          <w:cols w:space="708"/>
          <w:docGrid w:linePitch="360"/>
        </w:sectPr>
      </w:pPr>
      <w:r w:rsidRPr="00B07259">
        <w:rPr>
          <w:rFonts w:ascii="Times New Roman" w:hAnsi="Times New Roman" w:cs="Times New Roman"/>
          <w:sz w:val="24"/>
          <w:szCs w:val="24"/>
        </w:rPr>
        <w:t xml:space="preserve"> </w:t>
      </w:r>
    </w:p>
    <w:p w14:paraId="7FEE2817" w14:textId="77777777" w:rsidR="00952ED6" w:rsidRPr="00271017" w:rsidRDefault="00952ED6" w:rsidP="00523003">
      <w:pPr>
        <w:autoSpaceDE w:val="0"/>
        <w:autoSpaceDN w:val="0"/>
        <w:adjustRightInd w:val="0"/>
        <w:spacing w:after="0" w:line="240" w:lineRule="auto"/>
        <w:rPr>
          <w:rFonts w:ascii="Times New Roman" w:hAnsi="Times New Roman" w:cs="Times New Roman"/>
          <w:b/>
          <w:sz w:val="24"/>
          <w:szCs w:val="24"/>
        </w:rPr>
      </w:pPr>
      <w:r w:rsidRPr="00271017">
        <w:rPr>
          <w:rFonts w:ascii="Times New Roman" w:hAnsi="Times New Roman" w:cs="Times New Roman"/>
          <w:b/>
          <w:sz w:val="24"/>
          <w:szCs w:val="24"/>
        </w:rPr>
        <w:t>Table 1 Descriptive characteristics of index males</w:t>
      </w:r>
      <w:r>
        <w:rPr>
          <w:rFonts w:ascii="Times New Roman" w:hAnsi="Times New Roman" w:cs="Times New Roman"/>
          <w:b/>
          <w:sz w:val="24"/>
          <w:szCs w:val="24"/>
        </w:rPr>
        <w:t xml:space="preserve"> by BMI level</w:t>
      </w:r>
    </w:p>
    <w:tbl>
      <w:tblPr>
        <w:tblW w:w="5000" w:type="pct"/>
        <w:tblBorders>
          <w:top w:val="single" w:sz="4" w:space="0" w:color="auto"/>
          <w:bottom w:val="single" w:sz="4" w:space="0" w:color="auto"/>
        </w:tblBorders>
        <w:tblLook w:val="04A0" w:firstRow="1" w:lastRow="0" w:firstColumn="1" w:lastColumn="0" w:noHBand="0" w:noVBand="1"/>
      </w:tblPr>
      <w:tblGrid>
        <w:gridCol w:w="271"/>
        <w:gridCol w:w="5627"/>
        <w:gridCol w:w="3007"/>
        <w:gridCol w:w="272"/>
        <w:gridCol w:w="2608"/>
        <w:gridCol w:w="272"/>
        <w:gridCol w:w="2102"/>
        <w:gridCol w:w="1455"/>
      </w:tblGrid>
      <w:tr w:rsidR="00952ED6" w:rsidRPr="00271017" w14:paraId="749D2CB8" w14:textId="77777777" w:rsidTr="00D54133">
        <w:trPr>
          <w:trHeight w:val="320"/>
        </w:trPr>
        <w:tc>
          <w:tcPr>
            <w:tcW w:w="1889" w:type="pct"/>
            <w:gridSpan w:val="2"/>
            <w:tcBorders>
              <w:top w:val="single" w:sz="4" w:space="0" w:color="auto"/>
              <w:bottom w:val="single" w:sz="4" w:space="0" w:color="auto"/>
            </w:tcBorders>
            <w:shd w:val="clear" w:color="auto" w:fill="auto"/>
            <w:noWrap/>
            <w:hideMark/>
          </w:tcPr>
          <w:p w14:paraId="6E850425" w14:textId="77777777" w:rsidR="00952ED6" w:rsidRPr="00271017" w:rsidRDefault="00952ED6" w:rsidP="00523003">
            <w:pPr>
              <w:spacing w:after="100" w:afterAutospacing="1" w:line="240" w:lineRule="auto"/>
              <w:rPr>
                <w:rFonts w:ascii="Times New Roman" w:eastAsia="Times New Roman" w:hAnsi="Times New Roman" w:cs="Times New Roman"/>
                <w:b/>
                <w:color w:val="000000"/>
                <w:sz w:val="24"/>
                <w:szCs w:val="24"/>
                <w:lang w:eastAsia="en-US"/>
              </w:rPr>
            </w:pPr>
            <w:r w:rsidRPr="00271017">
              <w:rPr>
                <w:rFonts w:ascii="Times New Roman" w:eastAsia="Times New Roman" w:hAnsi="Times New Roman" w:cs="Times New Roman"/>
                <w:b/>
                <w:color w:val="000000"/>
                <w:sz w:val="24"/>
                <w:szCs w:val="24"/>
                <w:lang w:eastAsia="en-US"/>
              </w:rPr>
              <w:t>Variable</w:t>
            </w:r>
          </w:p>
        </w:tc>
        <w:tc>
          <w:tcPr>
            <w:tcW w:w="963" w:type="pct"/>
            <w:tcBorders>
              <w:top w:val="single" w:sz="4" w:space="0" w:color="auto"/>
              <w:bottom w:val="single" w:sz="4" w:space="0" w:color="auto"/>
            </w:tcBorders>
            <w:shd w:val="clear" w:color="auto" w:fill="auto"/>
            <w:noWrap/>
            <w:hideMark/>
          </w:tcPr>
          <w:p w14:paraId="7FFD0124"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r w:rsidRPr="00271017">
              <w:rPr>
                <w:rFonts w:ascii="Times New Roman" w:eastAsia="Times New Roman" w:hAnsi="Times New Roman" w:cs="Times New Roman"/>
                <w:b/>
                <w:color w:val="000000"/>
                <w:sz w:val="24"/>
                <w:szCs w:val="24"/>
                <w:lang w:eastAsia="en-US"/>
              </w:rPr>
              <w:t>Normal weight</w:t>
            </w:r>
            <w:r>
              <w:rPr>
                <w:rFonts w:ascii="Times New Roman" w:eastAsia="Times New Roman" w:hAnsi="Times New Roman" w:cs="Times New Roman"/>
                <w:b/>
                <w:color w:val="000000"/>
                <w:sz w:val="24"/>
                <w:szCs w:val="24"/>
                <w:lang w:eastAsia="en-US"/>
              </w:rPr>
              <w:t>, n (%)</w:t>
            </w:r>
          </w:p>
        </w:tc>
        <w:tc>
          <w:tcPr>
            <w:tcW w:w="87" w:type="pct"/>
            <w:tcBorders>
              <w:top w:val="single" w:sz="4" w:space="0" w:color="auto"/>
              <w:bottom w:val="single" w:sz="4" w:space="0" w:color="auto"/>
            </w:tcBorders>
            <w:shd w:val="clear" w:color="auto" w:fill="auto"/>
            <w:noWrap/>
            <w:hideMark/>
          </w:tcPr>
          <w:p w14:paraId="2821AC1A"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835" w:type="pct"/>
            <w:tcBorders>
              <w:top w:val="single" w:sz="4" w:space="0" w:color="auto"/>
              <w:bottom w:val="single" w:sz="4" w:space="0" w:color="auto"/>
            </w:tcBorders>
            <w:shd w:val="clear" w:color="auto" w:fill="auto"/>
            <w:noWrap/>
            <w:hideMark/>
          </w:tcPr>
          <w:p w14:paraId="2ED43C2F"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r w:rsidRPr="00271017">
              <w:rPr>
                <w:rFonts w:ascii="Times New Roman" w:eastAsia="Times New Roman" w:hAnsi="Times New Roman" w:cs="Times New Roman"/>
                <w:b/>
                <w:color w:val="000000"/>
                <w:sz w:val="24"/>
                <w:szCs w:val="24"/>
                <w:lang w:eastAsia="en-US"/>
              </w:rPr>
              <w:t>Overweight</w:t>
            </w:r>
            <w:r>
              <w:rPr>
                <w:rFonts w:ascii="Times New Roman" w:eastAsia="Times New Roman" w:hAnsi="Times New Roman" w:cs="Times New Roman"/>
                <w:b/>
                <w:color w:val="000000"/>
                <w:sz w:val="24"/>
                <w:szCs w:val="24"/>
                <w:lang w:eastAsia="en-US"/>
              </w:rPr>
              <w:t>, n (%)</w:t>
            </w:r>
          </w:p>
        </w:tc>
        <w:tc>
          <w:tcPr>
            <w:tcW w:w="87" w:type="pct"/>
            <w:tcBorders>
              <w:top w:val="single" w:sz="4" w:space="0" w:color="auto"/>
              <w:bottom w:val="single" w:sz="4" w:space="0" w:color="auto"/>
            </w:tcBorders>
            <w:shd w:val="clear" w:color="auto" w:fill="auto"/>
            <w:noWrap/>
            <w:hideMark/>
          </w:tcPr>
          <w:p w14:paraId="1F15AFA4"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673" w:type="pct"/>
            <w:tcBorders>
              <w:top w:val="single" w:sz="4" w:space="0" w:color="auto"/>
              <w:bottom w:val="single" w:sz="4" w:space="0" w:color="auto"/>
            </w:tcBorders>
            <w:shd w:val="clear" w:color="auto" w:fill="auto"/>
            <w:noWrap/>
            <w:hideMark/>
          </w:tcPr>
          <w:p w14:paraId="1DFFF4E1"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r w:rsidRPr="00271017">
              <w:rPr>
                <w:rFonts w:ascii="Times New Roman" w:eastAsia="Times New Roman" w:hAnsi="Times New Roman" w:cs="Times New Roman"/>
                <w:b/>
                <w:color w:val="000000"/>
                <w:sz w:val="24"/>
                <w:szCs w:val="24"/>
                <w:lang w:eastAsia="en-US"/>
              </w:rPr>
              <w:t>Obesity</w:t>
            </w:r>
            <w:r>
              <w:rPr>
                <w:rFonts w:ascii="Times New Roman" w:eastAsia="Times New Roman" w:hAnsi="Times New Roman" w:cs="Times New Roman"/>
                <w:b/>
                <w:color w:val="000000"/>
                <w:sz w:val="24"/>
                <w:szCs w:val="24"/>
                <w:lang w:eastAsia="en-US"/>
              </w:rPr>
              <w:t>, n (%)</w:t>
            </w:r>
          </w:p>
        </w:tc>
        <w:tc>
          <w:tcPr>
            <w:tcW w:w="466" w:type="pct"/>
            <w:tcBorders>
              <w:top w:val="single" w:sz="4" w:space="0" w:color="auto"/>
              <w:bottom w:val="single" w:sz="4" w:space="0" w:color="auto"/>
            </w:tcBorders>
          </w:tcPr>
          <w:p w14:paraId="7F622E75"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P Value</w:t>
            </w:r>
          </w:p>
        </w:tc>
      </w:tr>
      <w:tr w:rsidR="00952ED6" w:rsidRPr="00271017" w14:paraId="17A652B0" w14:textId="77777777" w:rsidTr="00D54133">
        <w:trPr>
          <w:trHeight w:val="300"/>
        </w:trPr>
        <w:tc>
          <w:tcPr>
            <w:tcW w:w="1889" w:type="pct"/>
            <w:gridSpan w:val="2"/>
            <w:tcBorders>
              <w:top w:val="single" w:sz="4" w:space="0" w:color="auto"/>
              <w:left w:val="nil"/>
              <w:bottom w:val="nil"/>
              <w:right w:val="nil"/>
            </w:tcBorders>
            <w:shd w:val="clear" w:color="auto" w:fill="auto"/>
          </w:tcPr>
          <w:p w14:paraId="4CC9968A" w14:textId="77777777" w:rsidR="00952ED6" w:rsidRPr="00271017" w:rsidRDefault="00952ED6" w:rsidP="00523003">
            <w:pPr>
              <w:spacing w:after="100" w:afterAutospacing="1"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Total, n (%)</w:t>
            </w:r>
          </w:p>
        </w:tc>
        <w:tc>
          <w:tcPr>
            <w:tcW w:w="963" w:type="pct"/>
            <w:tcBorders>
              <w:top w:val="single" w:sz="4" w:space="0" w:color="auto"/>
              <w:left w:val="nil"/>
              <w:bottom w:val="nil"/>
              <w:right w:val="nil"/>
            </w:tcBorders>
            <w:shd w:val="clear" w:color="auto" w:fill="auto"/>
            <w:noWrap/>
          </w:tcPr>
          <w:p w14:paraId="6CA1042C" w14:textId="77777777" w:rsidR="00952ED6"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384 525 (81.34)</w:t>
            </w:r>
          </w:p>
        </w:tc>
        <w:tc>
          <w:tcPr>
            <w:tcW w:w="87" w:type="pct"/>
            <w:tcBorders>
              <w:top w:val="single" w:sz="4" w:space="0" w:color="auto"/>
              <w:left w:val="nil"/>
              <w:bottom w:val="nil"/>
              <w:right w:val="nil"/>
            </w:tcBorders>
            <w:shd w:val="clear" w:color="auto" w:fill="auto"/>
            <w:noWrap/>
          </w:tcPr>
          <w:p w14:paraId="7829F63B"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835" w:type="pct"/>
            <w:tcBorders>
              <w:top w:val="single" w:sz="4" w:space="0" w:color="auto"/>
              <w:left w:val="nil"/>
              <w:bottom w:val="nil"/>
              <w:right w:val="nil"/>
            </w:tcBorders>
            <w:shd w:val="clear" w:color="auto" w:fill="auto"/>
            <w:noWrap/>
          </w:tcPr>
          <w:p w14:paraId="7CD82526" w14:textId="77777777" w:rsidR="00952ED6" w:rsidRPr="00271017" w:rsidRDefault="00952ED6" w:rsidP="000A5F50">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68 906 (14.58)</w:t>
            </w:r>
          </w:p>
        </w:tc>
        <w:tc>
          <w:tcPr>
            <w:tcW w:w="87" w:type="pct"/>
            <w:tcBorders>
              <w:top w:val="single" w:sz="4" w:space="0" w:color="auto"/>
              <w:left w:val="nil"/>
              <w:bottom w:val="nil"/>
              <w:right w:val="nil"/>
            </w:tcBorders>
            <w:shd w:val="clear" w:color="auto" w:fill="auto"/>
            <w:noWrap/>
          </w:tcPr>
          <w:p w14:paraId="0B161C6B"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673" w:type="pct"/>
            <w:tcBorders>
              <w:top w:val="single" w:sz="4" w:space="0" w:color="auto"/>
              <w:left w:val="nil"/>
              <w:bottom w:val="nil"/>
              <w:right w:val="nil"/>
            </w:tcBorders>
            <w:shd w:val="clear" w:color="auto" w:fill="auto"/>
            <w:noWrap/>
          </w:tcPr>
          <w:p w14:paraId="6A4CE0DA" w14:textId="77777777" w:rsidR="00952ED6" w:rsidRPr="00271017" w:rsidRDefault="00952ED6" w:rsidP="000A5F50">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19 304 (4.08)</w:t>
            </w:r>
          </w:p>
        </w:tc>
        <w:tc>
          <w:tcPr>
            <w:tcW w:w="466" w:type="pct"/>
            <w:tcBorders>
              <w:top w:val="single" w:sz="4" w:space="0" w:color="auto"/>
              <w:left w:val="nil"/>
              <w:bottom w:val="nil"/>
              <w:right w:val="nil"/>
            </w:tcBorders>
          </w:tcPr>
          <w:p w14:paraId="225AFCF0" w14:textId="77777777" w:rsidR="00952ED6"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p>
        </w:tc>
      </w:tr>
      <w:tr w:rsidR="00952ED6" w:rsidRPr="00271017" w14:paraId="3DD09DEE" w14:textId="77777777" w:rsidTr="00D54133">
        <w:trPr>
          <w:trHeight w:val="300"/>
        </w:trPr>
        <w:tc>
          <w:tcPr>
            <w:tcW w:w="1889" w:type="pct"/>
            <w:gridSpan w:val="2"/>
            <w:tcBorders>
              <w:top w:val="nil"/>
              <w:left w:val="nil"/>
              <w:bottom w:val="nil"/>
              <w:right w:val="nil"/>
            </w:tcBorders>
            <w:shd w:val="clear" w:color="auto" w:fill="auto"/>
            <w:hideMark/>
          </w:tcPr>
          <w:p w14:paraId="62BEF90F" w14:textId="77777777" w:rsidR="00952ED6" w:rsidRPr="00271017" w:rsidRDefault="00952ED6" w:rsidP="00523003">
            <w:pPr>
              <w:spacing w:after="100" w:afterAutospacing="1" w:line="240" w:lineRule="auto"/>
              <w:rPr>
                <w:rFonts w:ascii="Times New Roman" w:eastAsia="Times New Roman" w:hAnsi="Times New Roman" w:cs="Times New Roman"/>
                <w:color w:val="000000"/>
                <w:sz w:val="24"/>
                <w:szCs w:val="24"/>
                <w:lang w:eastAsia="en-US"/>
              </w:rPr>
            </w:pPr>
            <w:r w:rsidRPr="00271017">
              <w:rPr>
                <w:rFonts w:ascii="Times New Roman" w:eastAsia="Times New Roman" w:hAnsi="Times New Roman" w:cs="Times New Roman"/>
                <w:color w:val="000000"/>
                <w:sz w:val="24"/>
                <w:szCs w:val="24"/>
                <w:lang w:eastAsia="en-US"/>
              </w:rPr>
              <w:t>ADHD</w:t>
            </w:r>
          </w:p>
        </w:tc>
        <w:tc>
          <w:tcPr>
            <w:tcW w:w="963" w:type="pct"/>
            <w:tcBorders>
              <w:top w:val="nil"/>
              <w:left w:val="nil"/>
              <w:bottom w:val="nil"/>
              <w:right w:val="nil"/>
            </w:tcBorders>
            <w:shd w:val="clear" w:color="auto" w:fill="auto"/>
            <w:noWrap/>
            <w:hideMark/>
          </w:tcPr>
          <w:p w14:paraId="5365AD75"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2 </w:t>
            </w:r>
            <w:r w:rsidRPr="00271017">
              <w:rPr>
                <w:rFonts w:ascii="Times New Roman" w:eastAsia="Times New Roman" w:hAnsi="Times New Roman" w:cs="Times New Roman"/>
                <w:color w:val="000000"/>
                <w:sz w:val="24"/>
                <w:szCs w:val="24"/>
                <w:lang w:eastAsia="en-US"/>
              </w:rPr>
              <w:t>269 (0.59)</w:t>
            </w:r>
          </w:p>
        </w:tc>
        <w:tc>
          <w:tcPr>
            <w:tcW w:w="87" w:type="pct"/>
            <w:tcBorders>
              <w:top w:val="nil"/>
              <w:left w:val="nil"/>
              <w:bottom w:val="nil"/>
              <w:right w:val="nil"/>
            </w:tcBorders>
            <w:shd w:val="clear" w:color="auto" w:fill="auto"/>
            <w:noWrap/>
            <w:hideMark/>
          </w:tcPr>
          <w:p w14:paraId="7EBC48C0"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835" w:type="pct"/>
            <w:tcBorders>
              <w:top w:val="nil"/>
              <w:left w:val="nil"/>
              <w:bottom w:val="nil"/>
              <w:right w:val="nil"/>
            </w:tcBorders>
            <w:shd w:val="clear" w:color="auto" w:fill="auto"/>
            <w:noWrap/>
            <w:hideMark/>
          </w:tcPr>
          <w:p w14:paraId="183FF97E"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sidRPr="00271017">
              <w:rPr>
                <w:rFonts w:ascii="Times New Roman" w:eastAsia="Times New Roman" w:hAnsi="Times New Roman" w:cs="Times New Roman"/>
                <w:color w:val="000000"/>
                <w:sz w:val="24"/>
                <w:szCs w:val="24"/>
                <w:lang w:eastAsia="en-US"/>
              </w:rPr>
              <w:t>526 (0.76)</w:t>
            </w:r>
          </w:p>
        </w:tc>
        <w:tc>
          <w:tcPr>
            <w:tcW w:w="87" w:type="pct"/>
            <w:tcBorders>
              <w:top w:val="nil"/>
              <w:left w:val="nil"/>
              <w:bottom w:val="nil"/>
              <w:right w:val="nil"/>
            </w:tcBorders>
            <w:shd w:val="clear" w:color="auto" w:fill="auto"/>
            <w:noWrap/>
            <w:hideMark/>
          </w:tcPr>
          <w:p w14:paraId="69532778"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673" w:type="pct"/>
            <w:tcBorders>
              <w:top w:val="nil"/>
              <w:left w:val="nil"/>
              <w:bottom w:val="nil"/>
              <w:right w:val="nil"/>
            </w:tcBorders>
            <w:shd w:val="clear" w:color="auto" w:fill="auto"/>
            <w:noWrap/>
            <w:hideMark/>
          </w:tcPr>
          <w:p w14:paraId="361E187C"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sidRPr="00271017">
              <w:rPr>
                <w:rFonts w:ascii="Times New Roman" w:eastAsia="Times New Roman" w:hAnsi="Times New Roman" w:cs="Times New Roman"/>
                <w:color w:val="000000"/>
                <w:sz w:val="24"/>
                <w:szCs w:val="24"/>
                <w:lang w:eastAsia="en-US"/>
              </w:rPr>
              <w:t>222 (1.15)</w:t>
            </w:r>
          </w:p>
        </w:tc>
        <w:tc>
          <w:tcPr>
            <w:tcW w:w="466" w:type="pct"/>
            <w:tcBorders>
              <w:top w:val="nil"/>
              <w:left w:val="nil"/>
              <w:bottom w:val="nil"/>
              <w:right w:val="nil"/>
            </w:tcBorders>
          </w:tcPr>
          <w:p w14:paraId="3B9E2A7C"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sz w:val="24"/>
                <w:szCs w:val="24"/>
                <w:lang w:eastAsia="en-US"/>
              </w:rPr>
              <w:t>&lt; .001</w:t>
            </w:r>
          </w:p>
        </w:tc>
      </w:tr>
      <w:tr w:rsidR="00952ED6" w:rsidRPr="00271017" w14:paraId="4BA57069" w14:textId="77777777" w:rsidTr="00D54133">
        <w:trPr>
          <w:trHeight w:val="300"/>
        </w:trPr>
        <w:tc>
          <w:tcPr>
            <w:tcW w:w="1889" w:type="pct"/>
            <w:gridSpan w:val="2"/>
            <w:tcBorders>
              <w:top w:val="nil"/>
              <w:left w:val="nil"/>
              <w:bottom w:val="nil"/>
              <w:right w:val="nil"/>
            </w:tcBorders>
            <w:shd w:val="clear" w:color="auto" w:fill="auto"/>
            <w:noWrap/>
          </w:tcPr>
          <w:p w14:paraId="074786DC" w14:textId="77777777" w:rsidR="00952ED6" w:rsidRPr="00271017" w:rsidRDefault="00952ED6" w:rsidP="00523003">
            <w:pPr>
              <w:spacing w:after="100" w:afterAutospacing="1" w:line="240" w:lineRule="auto"/>
              <w:rPr>
                <w:rFonts w:ascii="Times New Roman" w:eastAsia="Times New Roman" w:hAnsi="Times New Roman" w:cs="Times New Roman"/>
                <w:color w:val="000000"/>
                <w:sz w:val="24"/>
                <w:szCs w:val="24"/>
                <w:lang w:eastAsia="en-US"/>
              </w:rPr>
            </w:pPr>
            <w:r w:rsidRPr="00271017">
              <w:rPr>
                <w:rFonts w:ascii="Times New Roman" w:eastAsia="Times New Roman" w:hAnsi="Times New Roman" w:cs="Times New Roman"/>
                <w:color w:val="000000"/>
                <w:sz w:val="24"/>
                <w:szCs w:val="24"/>
                <w:lang w:eastAsia="en-US"/>
              </w:rPr>
              <w:t>Family education</w:t>
            </w:r>
          </w:p>
        </w:tc>
        <w:tc>
          <w:tcPr>
            <w:tcW w:w="963" w:type="pct"/>
            <w:tcBorders>
              <w:top w:val="nil"/>
              <w:left w:val="nil"/>
              <w:bottom w:val="nil"/>
              <w:right w:val="nil"/>
            </w:tcBorders>
            <w:shd w:val="clear" w:color="auto" w:fill="auto"/>
            <w:noWrap/>
          </w:tcPr>
          <w:p w14:paraId="5E0D5FC4"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p>
        </w:tc>
        <w:tc>
          <w:tcPr>
            <w:tcW w:w="87" w:type="pct"/>
            <w:tcBorders>
              <w:top w:val="nil"/>
              <w:left w:val="nil"/>
              <w:bottom w:val="nil"/>
              <w:right w:val="nil"/>
            </w:tcBorders>
            <w:shd w:val="clear" w:color="auto" w:fill="auto"/>
          </w:tcPr>
          <w:p w14:paraId="421FC4BC"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835" w:type="pct"/>
            <w:tcBorders>
              <w:top w:val="nil"/>
              <w:left w:val="nil"/>
              <w:bottom w:val="nil"/>
              <w:right w:val="nil"/>
            </w:tcBorders>
            <w:shd w:val="clear" w:color="auto" w:fill="auto"/>
            <w:noWrap/>
          </w:tcPr>
          <w:p w14:paraId="57CB34AA"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p>
        </w:tc>
        <w:tc>
          <w:tcPr>
            <w:tcW w:w="87" w:type="pct"/>
            <w:tcBorders>
              <w:top w:val="nil"/>
              <w:left w:val="nil"/>
              <w:bottom w:val="nil"/>
              <w:right w:val="nil"/>
            </w:tcBorders>
            <w:shd w:val="clear" w:color="auto" w:fill="auto"/>
            <w:noWrap/>
          </w:tcPr>
          <w:p w14:paraId="29B04BD4"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673" w:type="pct"/>
            <w:tcBorders>
              <w:top w:val="nil"/>
              <w:left w:val="nil"/>
              <w:bottom w:val="nil"/>
              <w:right w:val="nil"/>
            </w:tcBorders>
            <w:shd w:val="clear" w:color="auto" w:fill="auto"/>
            <w:noWrap/>
          </w:tcPr>
          <w:p w14:paraId="6B59D755"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p>
        </w:tc>
        <w:tc>
          <w:tcPr>
            <w:tcW w:w="466" w:type="pct"/>
            <w:tcBorders>
              <w:top w:val="nil"/>
              <w:left w:val="nil"/>
              <w:bottom w:val="nil"/>
              <w:right w:val="nil"/>
            </w:tcBorders>
          </w:tcPr>
          <w:p w14:paraId="70A6D77B"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p>
        </w:tc>
      </w:tr>
      <w:tr w:rsidR="00952ED6" w:rsidRPr="00271017" w14:paraId="4243C4AD" w14:textId="77777777" w:rsidTr="00D54133">
        <w:trPr>
          <w:trHeight w:val="300"/>
        </w:trPr>
        <w:tc>
          <w:tcPr>
            <w:tcW w:w="87" w:type="pct"/>
            <w:tcBorders>
              <w:top w:val="nil"/>
              <w:left w:val="nil"/>
              <w:bottom w:val="nil"/>
              <w:right w:val="nil"/>
            </w:tcBorders>
            <w:shd w:val="clear" w:color="auto" w:fill="auto"/>
            <w:noWrap/>
            <w:hideMark/>
          </w:tcPr>
          <w:p w14:paraId="24D6472F" w14:textId="77777777" w:rsidR="00952ED6" w:rsidRPr="00271017" w:rsidRDefault="00952ED6" w:rsidP="00523003">
            <w:pPr>
              <w:spacing w:after="100" w:afterAutospacing="1" w:line="240" w:lineRule="auto"/>
              <w:rPr>
                <w:rFonts w:ascii="Times New Roman" w:eastAsia="Times New Roman" w:hAnsi="Times New Roman" w:cs="Times New Roman"/>
                <w:color w:val="000000"/>
                <w:sz w:val="24"/>
                <w:szCs w:val="24"/>
                <w:lang w:eastAsia="en-US"/>
              </w:rPr>
            </w:pPr>
          </w:p>
        </w:tc>
        <w:tc>
          <w:tcPr>
            <w:tcW w:w="1802" w:type="pct"/>
            <w:tcBorders>
              <w:top w:val="nil"/>
              <w:left w:val="nil"/>
              <w:bottom w:val="nil"/>
              <w:right w:val="nil"/>
            </w:tcBorders>
            <w:shd w:val="clear" w:color="auto" w:fill="auto"/>
          </w:tcPr>
          <w:p w14:paraId="4B75A426" w14:textId="77777777" w:rsidR="00952ED6" w:rsidRPr="00271017" w:rsidRDefault="00952ED6" w:rsidP="00D54133">
            <w:pPr>
              <w:spacing w:after="100" w:afterAutospacing="1"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Elementary &amp; u</w:t>
            </w:r>
            <w:r w:rsidRPr="00271017">
              <w:rPr>
                <w:rFonts w:ascii="Times New Roman" w:eastAsia="Times New Roman" w:hAnsi="Times New Roman" w:cs="Times New Roman"/>
                <w:color w:val="000000"/>
                <w:sz w:val="24"/>
                <w:szCs w:val="24"/>
                <w:lang w:eastAsia="en-US"/>
              </w:rPr>
              <w:t>pper secondary (</w:t>
            </w:r>
            <w:r>
              <w:rPr>
                <w:rFonts w:ascii="Times New Roman" w:eastAsia="Times New Roman" w:hAnsi="Times New Roman" w:cs="Times New Roman"/>
                <w:color w:val="000000"/>
                <w:sz w:val="24"/>
                <w:szCs w:val="24"/>
                <w:lang w:eastAsia="en-US"/>
              </w:rPr>
              <w:t>≤</w:t>
            </w:r>
            <w:r w:rsidRPr="00271017">
              <w:rPr>
                <w:rFonts w:ascii="Times New Roman" w:eastAsia="Times New Roman" w:hAnsi="Times New Roman" w:cs="Times New Roman"/>
                <w:color w:val="000000"/>
                <w:sz w:val="24"/>
                <w:szCs w:val="24"/>
                <w:lang w:eastAsia="en-US"/>
              </w:rPr>
              <w:t>12 years)</w:t>
            </w:r>
          </w:p>
        </w:tc>
        <w:tc>
          <w:tcPr>
            <w:tcW w:w="963" w:type="pct"/>
            <w:tcBorders>
              <w:top w:val="nil"/>
              <w:left w:val="nil"/>
              <w:bottom w:val="nil"/>
              <w:right w:val="nil"/>
            </w:tcBorders>
            <w:shd w:val="clear" w:color="auto" w:fill="auto"/>
            <w:noWrap/>
            <w:hideMark/>
          </w:tcPr>
          <w:p w14:paraId="7B2729FB" w14:textId="77777777" w:rsidR="00952ED6" w:rsidRPr="00271017" w:rsidRDefault="00952ED6" w:rsidP="00FB0BFD">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204 677</w:t>
            </w:r>
            <w:r w:rsidRPr="00271017">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53.23</w:t>
            </w:r>
            <w:r w:rsidRPr="00271017">
              <w:rPr>
                <w:rFonts w:ascii="Times New Roman" w:eastAsia="Times New Roman" w:hAnsi="Times New Roman" w:cs="Times New Roman"/>
                <w:color w:val="000000"/>
                <w:sz w:val="24"/>
                <w:szCs w:val="24"/>
                <w:lang w:eastAsia="en-US"/>
              </w:rPr>
              <w:t>)</w:t>
            </w:r>
          </w:p>
        </w:tc>
        <w:tc>
          <w:tcPr>
            <w:tcW w:w="87" w:type="pct"/>
            <w:tcBorders>
              <w:top w:val="nil"/>
              <w:left w:val="nil"/>
              <w:bottom w:val="nil"/>
              <w:right w:val="nil"/>
            </w:tcBorders>
            <w:shd w:val="clear" w:color="auto" w:fill="auto"/>
            <w:hideMark/>
          </w:tcPr>
          <w:p w14:paraId="28827CC5"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835" w:type="pct"/>
            <w:tcBorders>
              <w:top w:val="nil"/>
              <w:left w:val="nil"/>
              <w:bottom w:val="nil"/>
              <w:right w:val="nil"/>
            </w:tcBorders>
            <w:shd w:val="clear" w:color="auto" w:fill="auto"/>
            <w:noWrap/>
            <w:hideMark/>
          </w:tcPr>
          <w:p w14:paraId="30F94B56" w14:textId="77777777" w:rsidR="00952ED6" w:rsidRPr="00271017" w:rsidRDefault="00952ED6" w:rsidP="00FB0BFD">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41 529 (60.2</w:t>
            </w:r>
            <w:r w:rsidRPr="00271017">
              <w:rPr>
                <w:rFonts w:ascii="Times New Roman" w:eastAsia="Times New Roman" w:hAnsi="Times New Roman" w:cs="Times New Roman"/>
                <w:color w:val="000000"/>
                <w:sz w:val="24"/>
                <w:szCs w:val="24"/>
                <w:lang w:eastAsia="en-US"/>
              </w:rPr>
              <w:t>7)</w:t>
            </w:r>
          </w:p>
        </w:tc>
        <w:tc>
          <w:tcPr>
            <w:tcW w:w="87" w:type="pct"/>
            <w:tcBorders>
              <w:top w:val="nil"/>
              <w:left w:val="nil"/>
              <w:bottom w:val="nil"/>
              <w:right w:val="nil"/>
            </w:tcBorders>
            <w:shd w:val="clear" w:color="auto" w:fill="auto"/>
            <w:noWrap/>
            <w:hideMark/>
          </w:tcPr>
          <w:p w14:paraId="66CBFDCD"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673" w:type="pct"/>
            <w:tcBorders>
              <w:top w:val="nil"/>
              <w:left w:val="nil"/>
              <w:bottom w:val="nil"/>
              <w:right w:val="nil"/>
            </w:tcBorders>
            <w:shd w:val="clear" w:color="auto" w:fill="auto"/>
            <w:noWrap/>
            <w:hideMark/>
          </w:tcPr>
          <w:p w14:paraId="3AD4A054" w14:textId="77777777" w:rsidR="00952ED6" w:rsidRPr="00271017" w:rsidRDefault="00952ED6" w:rsidP="00FB0BFD">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13 </w:t>
            </w:r>
            <w:r w:rsidRPr="00271017">
              <w:rPr>
                <w:rFonts w:ascii="Times New Roman" w:eastAsia="Times New Roman" w:hAnsi="Times New Roman" w:cs="Times New Roman"/>
                <w:color w:val="000000"/>
                <w:sz w:val="24"/>
                <w:szCs w:val="24"/>
                <w:lang w:eastAsia="en-US"/>
              </w:rPr>
              <w:t>2</w:t>
            </w:r>
            <w:r>
              <w:rPr>
                <w:rFonts w:ascii="Times New Roman" w:eastAsia="Times New Roman" w:hAnsi="Times New Roman" w:cs="Times New Roman"/>
                <w:color w:val="000000"/>
                <w:sz w:val="24"/>
                <w:szCs w:val="24"/>
                <w:lang w:eastAsia="en-US"/>
              </w:rPr>
              <w:t>83 (6</w:t>
            </w:r>
            <w:r w:rsidRPr="00271017">
              <w:rPr>
                <w:rFonts w:ascii="Times New Roman" w:eastAsia="Times New Roman" w:hAnsi="Times New Roman" w:cs="Times New Roman"/>
                <w:color w:val="000000"/>
                <w:sz w:val="24"/>
                <w:szCs w:val="24"/>
                <w:lang w:eastAsia="en-US"/>
              </w:rPr>
              <w:t>8.</w:t>
            </w:r>
            <w:r>
              <w:rPr>
                <w:rFonts w:ascii="Times New Roman" w:eastAsia="Times New Roman" w:hAnsi="Times New Roman" w:cs="Times New Roman"/>
                <w:color w:val="000000"/>
                <w:sz w:val="24"/>
                <w:szCs w:val="24"/>
                <w:lang w:eastAsia="en-US"/>
              </w:rPr>
              <w:t>81</w:t>
            </w:r>
            <w:r w:rsidRPr="00271017">
              <w:rPr>
                <w:rFonts w:ascii="Times New Roman" w:eastAsia="Times New Roman" w:hAnsi="Times New Roman" w:cs="Times New Roman"/>
                <w:color w:val="000000"/>
                <w:sz w:val="24"/>
                <w:szCs w:val="24"/>
                <w:lang w:eastAsia="en-US"/>
              </w:rPr>
              <w:t>)</w:t>
            </w:r>
          </w:p>
        </w:tc>
        <w:tc>
          <w:tcPr>
            <w:tcW w:w="466" w:type="pct"/>
            <w:tcBorders>
              <w:top w:val="nil"/>
              <w:left w:val="nil"/>
              <w:bottom w:val="nil"/>
              <w:right w:val="nil"/>
            </w:tcBorders>
          </w:tcPr>
          <w:p w14:paraId="0A177DDA" w14:textId="77777777" w:rsidR="00952ED6"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t>Reference</w:t>
            </w:r>
          </w:p>
        </w:tc>
      </w:tr>
      <w:tr w:rsidR="00952ED6" w:rsidRPr="00271017" w14:paraId="41B346ED" w14:textId="77777777" w:rsidTr="00D54133">
        <w:trPr>
          <w:trHeight w:val="300"/>
        </w:trPr>
        <w:tc>
          <w:tcPr>
            <w:tcW w:w="87" w:type="pct"/>
            <w:tcBorders>
              <w:top w:val="nil"/>
              <w:left w:val="nil"/>
              <w:bottom w:val="nil"/>
              <w:right w:val="nil"/>
            </w:tcBorders>
            <w:shd w:val="clear" w:color="auto" w:fill="auto"/>
            <w:noWrap/>
            <w:hideMark/>
          </w:tcPr>
          <w:p w14:paraId="3CDCE854" w14:textId="77777777" w:rsidR="00952ED6" w:rsidRPr="00271017" w:rsidRDefault="00952ED6" w:rsidP="00523003">
            <w:pPr>
              <w:spacing w:after="100" w:afterAutospacing="1" w:line="240" w:lineRule="auto"/>
              <w:rPr>
                <w:rFonts w:ascii="Times New Roman" w:eastAsia="Times New Roman" w:hAnsi="Times New Roman" w:cs="Times New Roman"/>
                <w:color w:val="000000"/>
                <w:sz w:val="24"/>
                <w:szCs w:val="24"/>
                <w:lang w:eastAsia="en-US"/>
              </w:rPr>
            </w:pPr>
          </w:p>
        </w:tc>
        <w:tc>
          <w:tcPr>
            <w:tcW w:w="1802" w:type="pct"/>
            <w:tcBorders>
              <w:top w:val="nil"/>
              <w:left w:val="nil"/>
              <w:bottom w:val="nil"/>
              <w:right w:val="nil"/>
            </w:tcBorders>
            <w:shd w:val="clear" w:color="auto" w:fill="auto"/>
          </w:tcPr>
          <w:p w14:paraId="01C9C34C" w14:textId="77777777" w:rsidR="00952ED6" w:rsidRPr="00271017" w:rsidRDefault="00952ED6" w:rsidP="00523003">
            <w:pPr>
              <w:spacing w:after="100" w:afterAutospacing="1" w:line="240" w:lineRule="auto"/>
              <w:rPr>
                <w:rFonts w:ascii="Times New Roman" w:eastAsia="Times New Roman" w:hAnsi="Times New Roman" w:cs="Times New Roman"/>
                <w:color w:val="000000"/>
                <w:sz w:val="24"/>
                <w:szCs w:val="24"/>
                <w:lang w:eastAsia="en-US"/>
              </w:rPr>
            </w:pPr>
            <w:r w:rsidRPr="00801A4E">
              <w:rPr>
                <w:rFonts w:ascii="Times New Roman" w:eastAsia="Times New Roman" w:hAnsi="Times New Roman" w:cs="Times New Roman"/>
                <w:color w:val="000000"/>
                <w:sz w:val="24"/>
                <w:szCs w:val="24"/>
                <w:lang w:eastAsia="en-US"/>
              </w:rPr>
              <w:t xml:space="preserve">Higher </w:t>
            </w:r>
            <w:r w:rsidRPr="00801A4E">
              <w:rPr>
                <w:rFonts w:ascii="Times New Roman" w:hAnsi="Times New Roman" w:cs="Times New Roman"/>
                <w:sz w:val="24"/>
                <w:szCs w:val="24"/>
              </w:rPr>
              <w:t>(</w:t>
            </w:r>
            <w:r w:rsidRPr="00801A4E">
              <w:rPr>
                <w:rFonts w:ascii="Times" w:hAnsi="Times" w:cs="Times"/>
                <w:color w:val="141215"/>
                <w:sz w:val="24"/>
                <w:szCs w:val="24"/>
              </w:rPr>
              <w:t>≥13 years</w:t>
            </w:r>
            <w:r w:rsidRPr="00801A4E">
              <w:rPr>
                <w:rFonts w:ascii="Times New Roman" w:hAnsi="Times New Roman" w:cs="Times New Roman"/>
                <w:sz w:val="24"/>
                <w:szCs w:val="24"/>
              </w:rPr>
              <w:t>)</w:t>
            </w:r>
          </w:p>
        </w:tc>
        <w:tc>
          <w:tcPr>
            <w:tcW w:w="963" w:type="pct"/>
            <w:tcBorders>
              <w:top w:val="nil"/>
              <w:left w:val="nil"/>
              <w:bottom w:val="nil"/>
              <w:right w:val="nil"/>
            </w:tcBorders>
            <w:shd w:val="clear" w:color="auto" w:fill="auto"/>
            <w:noWrap/>
            <w:hideMark/>
          </w:tcPr>
          <w:p w14:paraId="3455F9DA"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179 </w:t>
            </w:r>
            <w:r w:rsidRPr="00271017">
              <w:rPr>
                <w:rFonts w:ascii="Times New Roman" w:eastAsia="Times New Roman" w:hAnsi="Times New Roman" w:cs="Times New Roman"/>
                <w:color w:val="000000"/>
                <w:sz w:val="24"/>
                <w:szCs w:val="24"/>
                <w:lang w:eastAsia="en-US"/>
              </w:rPr>
              <w:t>749 (46.75)</w:t>
            </w:r>
          </w:p>
        </w:tc>
        <w:tc>
          <w:tcPr>
            <w:tcW w:w="87" w:type="pct"/>
            <w:tcBorders>
              <w:top w:val="nil"/>
              <w:left w:val="nil"/>
              <w:bottom w:val="nil"/>
              <w:right w:val="nil"/>
            </w:tcBorders>
            <w:shd w:val="clear" w:color="auto" w:fill="auto"/>
            <w:hideMark/>
          </w:tcPr>
          <w:p w14:paraId="615EDF5C"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835" w:type="pct"/>
            <w:tcBorders>
              <w:top w:val="nil"/>
              <w:left w:val="nil"/>
              <w:bottom w:val="nil"/>
              <w:right w:val="nil"/>
            </w:tcBorders>
            <w:shd w:val="clear" w:color="auto" w:fill="auto"/>
            <w:noWrap/>
            <w:hideMark/>
          </w:tcPr>
          <w:p w14:paraId="0FABC1FD"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27 </w:t>
            </w:r>
            <w:r w:rsidRPr="00271017">
              <w:rPr>
                <w:rFonts w:ascii="Times New Roman" w:eastAsia="Times New Roman" w:hAnsi="Times New Roman" w:cs="Times New Roman"/>
                <w:color w:val="000000"/>
                <w:sz w:val="24"/>
                <w:szCs w:val="24"/>
                <w:lang w:eastAsia="en-US"/>
              </w:rPr>
              <w:t>359 (39.70)</w:t>
            </w:r>
          </w:p>
        </w:tc>
        <w:tc>
          <w:tcPr>
            <w:tcW w:w="87" w:type="pct"/>
            <w:tcBorders>
              <w:top w:val="nil"/>
              <w:left w:val="nil"/>
              <w:bottom w:val="nil"/>
              <w:right w:val="nil"/>
            </w:tcBorders>
            <w:shd w:val="clear" w:color="auto" w:fill="auto"/>
            <w:noWrap/>
            <w:hideMark/>
          </w:tcPr>
          <w:p w14:paraId="4B3DBA29"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673" w:type="pct"/>
            <w:tcBorders>
              <w:top w:val="nil"/>
              <w:left w:val="nil"/>
              <w:bottom w:val="nil"/>
              <w:right w:val="nil"/>
            </w:tcBorders>
            <w:shd w:val="clear" w:color="auto" w:fill="auto"/>
            <w:noWrap/>
            <w:hideMark/>
          </w:tcPr>
          <w:p w14:paraId="1A1B9A07"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6 </w:t>
            </w:r>
            <w:r w:rsidRPr="00271017">
              <w:rPr>
                <w:rFonts w:ascii="Times New Roman" w:eastAsia="Times New Roman" w:hAnsi="Times New Roman" w:cs="Times New Roman"/>
                <w:color w:val="000000"/>
                <w:sz w:val="24"/>
                <w:szCs w:val="24"/>
                <w:lang w:eastAsia="en-US"/>
              </w:rPr>
              <w:t>019 (31.18)</w:t>
            </w:r>
          </w:p>
        </w:tc>
        <w:tc>
          <w:tcPr>
            <w:tcW w:w="466" w:type="pct"/>
            <w:tcBorders>
              <w:top w:val="nil"/>
              <w:left w:val="nil"/>
              <w:bottom w:val="nil"/>
              <w:right w:val="nil"/>
            </w:tcBorders>
          </w:tcPr>
          <w:p w14:paraId="2FF0BDEF" w14:textId="77777777" w:rsidR="00952ED6"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sz w:val="24"/>
                <w:szCs w:val="24"/>
                <w:lang w:eastAsia="en-US"/>
              </w:rPr>
              <w:t>&lt; .001</w:t>
            </w:r>
          </w:p>
        </w:tc>
      </w:tr>
      <w:tr w:rsidR="00952ED6" w:rsidRPr="00271017" w14:paraId="24D70D1B" w14:textId="77777777" w:rsidTr="00D54133">
        <w:trPr>
          <w:trHeight w:val="300"/>
        </w:trPr>
        <w:tc>
          <w:tcPr>
            <w:tcW w:w="87" w:type="pct"/>
            <w:tcBorders>
              <w:top w:val="nil"/>
              <w:left w:val="nil"/>
              <w:bottom w:val="nil"/>
              <w:right w:val="nil"/>
            </w:tcBorders>
            <w:shd w:val="clear" w:color="auto" w:fill="auto"/>
            <w:noWrap/>
            <w:hideMark/>
          </w:tcPr>
          <w:p w14:paraId="15B4C86B" w14:textId="77777777" w:rsidR="00952ED6" w:rsidRPr="00271017" w:rsidRDefault="00952ED6" w:rsidP="00523003">
            <w:pPr>
              <w:spacing w:after="100" w:afterAutospacing="1" w:line="240" w:lineRule="auto"/>
              <w:rPr>
                <w:rFonts w:ascii="Times New Roman" w:eastAsia="Times New Roman" w:hAnsi="Times New Roman" w:cs="Times New Roman"/>
                <w:color w:val="000000"/>
                <w:sz w:val="24"/>
                <w:szCs w:val="24"/>
                <w:lang w:eastAsia="en-US"/>
              </w:rPr>
            </w:pPr>
          </w:p>
        </w:tc>
        <w:tc>
          <w:tcPr>
            <w:tcW w:w="1802" w:type="pct"/>
            <w:tcBorders>
              <w:top w:val="nil"/>
              <w:left w:val="nil"/>
              <w:bottom w:val="nil"/>
              <w:right w:val="nil"/>
            </w:tcBorders>
            <w:shd w:val="clear" w:color="auto" w:fill="auto"/>
          </w:tcPr>
          <w:p w14:paraId="53796DF0" w14:textId="77777777" w:rsidR="00952ED6" w:rsidRPr="00271017" w:rsidRDefault="00952ED6" w:rsidP="00523003">
            <w:pPr>
              <w:spacing w:after="100" w:afterAutospacing="1" w:line="240" w:lineRule="auto"/>
              <w:rPr>
                <w:rFonts w:ascii="Times New Roman" w:eastAsia="Times New Roman" w:hAnsi="Times New Roman" w:cs="Times New Roman"/>
                <w:color w:val="000000"/>
                <w:sz w:val="24"/>
                <w:szCs w:val="24"/>
                <w:lang w:eastAsia="en-US"/>
              </w:rPr>
            </w:pPr>
            <w:r w:rsidRPr="00271017">
              <w:rPr>
                <w:rFonts w:ascii="Times New Roman" w:eastAsia="Times New Roman" w:hAnsi="Times New Roman" w:cs="Times New Roman"/>
                <w:color w:val="000000"/>
                <w:sz w:val="24"/>
                <w:szCs w:val="24"/>
                <w:lang w:eastAsia="en-US"/>
              </w:rPr>
              <w:t>Missing</w:t>
            </w:r>
          </w:p>
        </w:tc>
        <w:tc>
          <w:tcPr>
            <w:tcW w:w="963" w:type="pct"/>
            <w:tcBorders>
              <w:top w:val="nil"/>
              <w:left w:val="nil"/>
              <w:bottom w:val="nil"/>
              <w:right w:val="nil"/>
            </w:tcBorders>
            <w:shd w:val="clear" w:color="auto" w:fill="auto"/>
            <w:noWrap/>
            <w:hideMark/>
          </w:tcPr>
          <w:p w14:paraId="747B6B73"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sidRPr="00271017">
              <w:rPr>
                <w:rFonts w:ascii="Times New Roman" w:eastAsia="Times New Roman" w:hAnsi="Times New Roman" w:cs="Times New Roman"/>
                <w:color w:val="000000"/>
                <w:sz w:val="24"/>
                <w:szCs w:val="24"/>
                <w:lang w:eastAsia="en-US"/>
              </w:rPr>
              <w:t>99 (0.03)</w:t>
            </w:r>
          </w:p>
        </w:tc>
        <w:tc>
          <w:tcPr>
            <w:tcW w:w="87" w:type="pct"/>
            <w:tcBorders>
              <w:top w:val="nil"/>
              <w:left w:val="nil"/>
              <w:bottom w:val="nil"/>
              <w:right w:val="nil"/>
            </w:tcBorders>
            <w:shd w:val="clear" w:color="auto" w:fill="auto"/>
            <w:hideMark/>
          </w:tcPr>
          <w:p w14:paraId="3DD5FDC2"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835" w:type="pct"/>
            <w:tcBorders>
              <w:top w:val="nil"/>
              <w:left w:val="nil"/>
              <w:bottom w:val="nil"/>
              <w:right w:val="nil"/>
            </w:tcBorders>
            <w:shd w:val="clear" w:color="auto" w:fill="auto"/>
            <w:noWrap/>
            <w:hideMark/>
          </w:tcPr>
          <w:p w14:paraId="5574D35E"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sidRPr="00271017">
              <w:rPr>
                <w:rFonts w:ascii="Times New Roman" w:eastAsia="Times New Roman" w:hAnsi="Times New Roman" w:cs="Times New Roman"/>
                <w:color w:val="000000"/>
                <w:sz w:val="24"/>
                <w:szCs w:val="24"/>
                <w:lang w:eastAsia="en-US"/>
              </w:rPr>
              <w:t>18 (0.03)</w:t>
            </w:r>
          </w:p>
        </w:tc>
        <w:tc>
          <w:tcPr>
            <w:tcW w:w="87" w:type="pct"/>
            <w:tcBorders>
              <w:top w:val="nil"/>
              <w:left w:val="nil"/>
              <w:bottom w:val="nil"/>
              <w:right w:val="nil"/>
            </w:tcBorders>
            <w:shd w:val="clear" w:color="auto" w:fill="auto"/>
            <w:noWrap/>
            <w:hideMark/>
          </w:tcPr>
          <w:p w14:paraId="7DDD9975"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673" w:type="pct"/>
            <w:tcBorders>
              <w:top w:val="nil"/>
              <w:left w:val="nil"/>
              <w:bottom w:val="nil"/>
              <w:right w:val="nil"/>
            </w:tcBorders>
            <w:shd w:val="clear" w:color="auto" w:fill="auto"/>
            <w:noWrap/>
            <w:hideMark/>
          </w:tcPr>
          <w:p w14:paraId="39551551"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sidRPr="00271017">
              <w:rPr>
                <w:rFonts w:ascii="Times New Roman" w:eastAsia="Times New Roman" w:hAnsi="Times New Roman" w:cs="Times New Roman"/>
                <w:color w:val="000000"/>
                <w:sz w:val="24"/>
                <w:szCs w:val="24"/>
                <w:lang w:eastAsia="en-US"/>
              </w:rPr>
              <w:t>2 (0.01)</w:t>
            </w:r>
          </w:p>
        </w:tc>
        <w:tc>
          <w:tcPr>
            <w:tcW w:w="466" w:type="pct"/>
            <w:tcBorders>
              <w:top w:val="nil"/>
              <w:left w:val="nil"/>
              <w:bottom w:val="nil"/>
              <w:right w:val="nil"/>
            </w:tcBorders>
          </w:tcPr>
          <w:p w14:paraId="101F88FD"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p>
        </w:tc>
      </w:tr>
      <w:tr w:rsidR="00952ED6" w:rsidRPr="00271017" w14:paraId="3634C545" w14:textId="77777777" w:rsidTr="00D54133">
        <w:trPr>
          <w:trHeight w:val="300"/>
        </w:trPr>
        <w:tc>
          <w:tcPr>
            <w:tcW w:w="1889" w:type="pct"/>
            <w:gridSpan w:val="2"/>
            <w:tcBorders>
              <w:top w:val="nil"/>
              <w:left w:val="nil"/>
              <w:bottom w:val="nil"/>
              <w:right w:val="nil"/>
            </w:tcBorders>
            <w:shd w:val="clear" w:color="auto" w:fill="auto"/>
            <w:noWrap/>
          </w:tcPr>
          <w:p w14:paraId="691E8B50" w14:textId="77777777" w:rsidR="00952ED6" w:rsidRPr="00271017" w:rsidRDefault="00952ED6" w:rsidP="00523003">
            <w:pPr>
              <w:spacing w:after="100" w:afterAutospacing="1" w:line="240" w:lineRule="auto"/>
              <w:rPr>
                <w:rFonts w:ascii="Times New Roman" w:eastAsia="Times New Roman" w:hAnsi="Times New Roman" w:cs="Times New Roman"/>
                <w:color w:val="000000"/>
                <w:sz w:val="24"/>
                <w:szCs w:val="24"/>
                <w:lang w:eastAsia="en-US"/>
              </w:rPr>
            </w:pPr>
            <w:r w:rsidRPr="00271017">
              <w:rPr>
                <w:rFonts w:ascii="Times New Roman" w:eastAsia="Times New Roman" w:hAnsi="Times New Roman" w:cs="Times New Roman"/>
                <w:color w:val="000000"/>
                <w:sz w:val="24"/>
                <w:szCs w:val="24"/>
                <w:lang w:eastAsia="en-US"/>
              </w:rPr>
              <w:t>Comorbidity</w:t>
            </w:r>
          </w:p>
        </w:tc>
        <w:tc>
          <w:tcPr>
            <w:tcW w:w="963" w:type="pct"/>
            <w:tcBorders>
              <w:top w:val="nil"/>
              <w:left w:val="nil"/>
              <w:bottom w:val="nil"/>
              <w:right w:val="nil"/>
            </w:tcBorders>
            <w:shd w:val="clear" w:color="auto" w:fill="auto"/>
            <w:noWrap/>
          </w:tcPr>
          <w:p w14:paraId="53D37957"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p>
        </w:tc>
        <w:tc>
          <w:tcPr>
            <w:tcW w:w="87" w:type="pct"/>
            <w:tcBorders>
              <w:top w:val="nil"/>
              <w:left w:val="nil"/>
              <w:bottom w:val="nil"/>
              <w:right w:val="nil"/>
            </w:tcBorders>
            <w:shd w:val="clear" w:color="auto" w:fill="auto"/>
          </w:tcPr>
          <w:p w14:paraId="72E2F36A"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835" w:type="pct"/>
            <w:tcBorders>
              <w:top w:val="nil"/>
              <w:left w:val="nil"/>
              <w:bottom w:val="nil"/>
              <w:right w:val="nil"/>
            </w:tcBorders>
            <w:shd w:val="clear" w:color="auto" w:fill="auto"/>
            <w:noWrap/>
          </w:tcPr>
          <w:p w14:paraId="07A13088"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p>
        </w:tc>
        <w:tc>
          <w:tcPr>
            <w:tcW w:w="87" w:type="pct"/>
            <w:tcBorders>
              <w:top w:val="nil"/>
              <w:left w:val="nil"/>
              <w:bottom w:val="nil"/>
              <w:right w:val="nil"/>
            </w:tcBorders>
            <w:shd w:val="clear" w:color="auto" w:fill="auto"/>
            <w:noWrap/>
          </w:tcPr>
          <w:p w14:paraId="4DCF912B"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673" w:type="pct"/>
            <w:tcBorders>
              <w:top w:val="nil"/>
              <w:left w:val="nil"/>
              <w:bottom w:val="nil"/>
              <w:right w:val="nil"/>
            </w:tcBorders>
            <w:shd w:val="clear" w:color="auto" w:fill="auto"/>
            <w:noWrap/>
          </w:tcPr>
          <w:p w14:paraId="2F010E91"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p>
        </w:tc>
        <w:tc>
          <w:tcPr>
            <w:tcW w:w="466" w:type="pct"/>
            <w:tcBorders>
              <w:top w:val="nil"/>
              <w:left w:val="nil"/>
              <w:bottom w:val="nil"/>
              <w:right w:val="nil"/>
            </w:tcBorders>
          </w:tcPr>
          <w:p w14:paraId="56989263"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p>
        </w:tc>
      </w:tr>
      <w:tr w:rsidR="00952ED6" w:rsidRPr="00271017" w14:paraId="1A32E334" w14:textId="77777777" w:rsidTr="00D54133">
        <w:trPr>
          <w:trHeight w:val="300"/>
        </w:trPr>
        <w:tc>
          <w:tcPr>
            <w:tcW w:w="87" w:type="pct"/>
            <w:tcBorders>
              <w:top w:val="nil"/>
              <w:left w:val="nil"/>
              <w:bottom w:val="nil"/>
              <w:right w:val="nil"/>
            </w:tcBorders>
            <w:shd w:val="clear" w:color="auto" w:fill="auto"/>
            <w:noWrap/>
          </w:tcPr>
          <w:p w14:paraId="2180B1B9" w14:textId="77777777" w:rsidR="00952ED6" w:rsidRPr="00271017" w:rsidRDefault="00952ED6" w:rsidP="00523003">
            <w:pPr>
              <w:spacing w:after="100" w:afterAutospacing="1" w:line="240" w:lineRule="auto"/>
              <w:rPr>
                <w:rFonts w:ascii="Times New Roman" w:eastAsia="Times New Roman" w:hAnsi="Times New Roman" w:cs="Times New Roman"/>
                <w:color w:val="000000"/>
                <w:sz w:val="24"/>
                <w:szCs w:val="24"/>
                <w:lang w:eastAsia="en-US"/>
              </w:rPr>
            </w:pPr>
          </w:p>
        </w:tc>
        <w:tc>
          <w:tcPr>
            <w:tcW w:w="1802" w:type="pct"/>
            <w:tcBorders>
              <w:top w:val="nil"/>
              <w:left w:val="nil"/>
              <w:bottom w:val="nil"/>
              <w:right w:val="nil"/>
            </w:tcBorders>
            <w:shd w:val="clear" w:color="auto" w:fill="auto"/>
          </w:tcPr>
          <w:p w14:paraId="612ECEE3" w14:textId="77777777" w:rsidR="00952ED6" w:rsidRPr="00271017" w:rsidRDefault="00952ED6" w:rsidP="00005FA4">
            <w:pPr>
              <w:spacing w:after="100" w:afterAutospacing="1"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Depression</w:t>
            </w:r>
          </w:p>
        </w:tc>
        <w:tc>
          <w:tcPr>
            <w:tcW w:w="963" w:type="pct"/>
            <w:tcBorders>
              <w:top w:val="nil"/>
              <w:left w:val="nil"/>
              <w:bottom w:val="nil"/>
              <w:right w:val="nil"/>
            </w:tcBorders>
            <w:shd w:val="clear" w:color="auto" w:fill="auto"/>
            <w:noWrap/>
          </w:tcPr>
          <w:p w14:paraId="5BC3BBA5"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7 </w:t>
            </w:r>
            <w:r w:rsidRPr="00271017">
              <w:rPr>
                <w:rFonts w:ascii="Times New Roman" w:eastAsia="Times New Roman" w:hAnsi="Times New Roman" w:cs="Times New Roman"/>
                <w:color w:val="000000"/>
                <w:sz w:val="24"/>
                <w:szCs w:val="24"/>
                <w:lang w:eastAsia="en-US"/>
              </w:rPr>
              <w:t>762 (2.02)</w:t>
            </w:r>
          </w:p>
        </w:tc>
        <w:tc>
          <w:tcPr>
            <w:tcW w:w="87" w:type="pct"/>
            <w:tcBorders>
              <w:top w:val="nil"/>
              <w:left w:val="nil"/>
              <w:bottom w:val="nil"/>
              <w:right w:val="nil"/>
            </w:tcBorders>
            <w:shd w:val="clear" w:color="auto" w:fill="auto"/>
          </w:tcPr>
          <w:p w14:paraId="7F029955"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835" w:type="pct"/>
            <w:tcBorders>
              <w:top w:val="nil"/>
              <w:left w:val="nil"/>
              <w:bottom w:val="nil"/>
              <w:right w:val="nil"/>
            </w:tcBorders>
            <w:shd w:val="clear" w:color="auto" w:fill="auto"/>
            <w:noWrap/>
          </w:tcPr>
          <w:p w14:paraId="21C13D67"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 </w:t>
            </w:r>
            <w:r w:rsidRPr="00271017">
              <w:rPr>
                <w:rFonts w:ascii="Times New Roman" w:eastAsia="Times New Roman" w:hAnsi="Times New Roman" w:cs="Times New Roman"/>
                <w:color w:val="000000"/>
                <w:sz w:val="24"/>
                <w:szCs w:val="24"/>
                <w:lang w:eastAsia="en-US"/>
              </w:rPr>
              <w:t>400 (2.03)</w:t>
            </w:r>
          </w:p>
        </w:tc>
        <w:tc>
          <w:tcPr>
            <w:tcW w:w="87" w:type="pct"/>
            <w:tcBorders>
              <w:top w:val="nil"/>
              <w:left w:val="nil"/>
              <w:bottom w:val="nil"/>
              <w:right w:val="nil"/>
            </w:tcBorders>
            <w:shd w:val="clear" w:color="auto" w:fill="auto"/>
            <w:noWrap/>
          </w:tcPr>
          <w:p w14:paraId="0D5D6513"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673" w:type="pct"/>
            <w:tcBorders>
              <w:top w:val="nil"/>
              <w:left w:val="nil"/>
              <w:bottom w:val="nil"/>
              <w:right w:val="nil"/>
            </w:tcBorders>
            <w:shd w:val="clear" w:color="auto" w:fill="auto"/>
            <w:noWrap/>
          </w:tcPr>
          <w:p w14:paraId="52FB3669"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sidRPr="00271017">
              <w:rPr>
                <w:rFonts w:ascii="Times New Roman" w:eastAsia="Times New Roman" w:hAnsi="Times New Roman" w:cs="Times New Roman"/>
                <w:color w:val="000000"/>
                <w:sz w:val="24"/>
                <w:szCs w:val="24"/>
                <w:lang w:eastAsia="en-US"/>
              </w:rPr>
              <w:t>510 (2.64)</w:t>
            </w:r>
          </w:p>
        </w:tc>
        <w:tc>
          <w:tcPr>
            <w:tcW w:w="466" w:type="pct"/>
            <w:tcBorders>
              <w:top w:val="nil"/>
              <w:left w:val="nil"/>
              <w:bottom w:val="nil"/>
              <w:right w:val="nil"/>
            </w:tcBorders>
          </w:tcPr>
          <w:p w14:paraId="0A632FF1"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sz w:val="24"/>
                <w:szCs w:val="24"/>
                <w:lang w:eastAsia="en-US"/>
              </w:rPr>
              <w:t>&lt; .001</w:t>
            </w:r>
          </w:p>
        </w:tc>
      </w:tr>
      <w:tr w:rsidR="00952ED6" w:rsidRPr="00271017" w14:paraId="7C97C251" w14:textId="77777777" w:rsidTr="00D54133">
        <w:trPr>
          <w:trHeight w:val="300"/>
        </w:trPr>
        <w:tc>
          <w:tcPr>
            <w:tcW w:w="87" w:type="pct"/>
            <w:tcBorders>
              <w:top w:val="nil"/>
              <w:left w:val="nil"/>
              <w:bottom w:val="nil"/>
              <w:right w:val="nil"/>
            </w:tcBorders>
            <w:shd w:val="clear" w:color="auto" w:fill="auto"/>
            <w:noWrap/>
            <w:hideMark/>
          </w:tcPr>
          <w:p w14:paraId="2D4313A4" w14:textId="77777777" w:rsidR="00952ED6" w:rsidRPr="00271017" w:rsidRDefault="00952ED6" w:rsidP="00523003">
            <w:pPr>
              <w:spacing w:after="100" w:afterAutospacing="1" w:line="240" w:lineRule="auto"/>
              <w:rPr>
                <w:rFonts w:ascii="Times New Roman" w:eastAsia="Times New Roman" w:hAnsi="Times New Roman" w:cs="Times New Roman"/>
                <w:color w:val="000000"/>
                <w:sz w:val="24"/>
                <w:szCs w:val="24"/>
                <w:lang w:eastAsia="en-US"/>
              </w:rPr>
            </w:pPr>
          </w:p>
        </w:tc>
        <w:tc>
          <w:tcPr>
            <w:tcW w:w="1802" w:type="pct"/>
            <w:tcBorders>
              <w:top w:val="nil"/>
              <w:left w:val="nil"/>
              <w:bottom w:val="nil"/>
              <w:right w:val="nil"/>
            </w:tcBorders>
            <w:shd w:val="clear" w:color="auto" w:fill="auto"/>
          </w:tcPr>
          <w:p w14:paraId="01553494" w14:textId="77777777" w:rsidR="00952ED6" w:rsidRPr="00271017" w:rsidRDefault="00952ED6" w:rsidP="00005FA4">
            <w:pPr>
              <w:spacing w:after="100" w:afterAutospacing="1" w:line="240" w:lineRule="auto"/>
              <w:rPr>
                <w:rFonts w:ascii="Times New Roman" w:eastAsia="Times New Roman" w:hAnsi="Times New Roman" w:cs="Times New Roman"/>
                <w:color w:val="000000"/>
                <w:sz w:val="24"/>
                <w:szCs w:val="24"/>
                <w:lang w:eastAsia="en-US"/>
              </w:rPr>
            </w:pPr>
            <w:r w:rsidRPr="00271017">
              <w:rPr>
                <w:rFonts w:ascii="Times New Roman" w:eastAsia="Times New Roman" w:hAnsi="Times New Roman" w:cs="Times New Roman"/>
                <w:color w:val="000000"/>
                <w:sz w:val="24"/>
                <w:szCs w:val="24"/>
                <w:lang w:eastAsia="en-US"/>
              </w:rPr>
              <w:t>Anxiety</w:t>
            </w:r>
          </w:p>
        </w:tc>
        <w:tc>
          <w:tcPr>
            <w:tcW w:w="963" w:type="pct"/>
            <w:tcBorders>
              <w:top w:val="nil"/>
              <w:left w:val="nil"/>
              <w:bottom w:val="nil"/>
              <w:right w:val="nil"/>
            </w:tcBorders>
            <w:shd w:val="clear" w:color="auto" w:fill="auto"/>
            <w:noWrap/>
            <w:hideMark/>
          </w:tcPr>
          <w:p w14:paraId="3CCEB582"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8 </w:t>
            </w:r>
            <w:r w:rsidRPr="00271017">
              <w:rPr>
                <w:rFonts w:ascii="Times New Roman" w:eastAsia="Times New Roman" w:hAnsi="Times New Roman" w:cs="Times New Roman"/>
                <w:color w:val="000000"/>
                <w:sz w:val="24"/>
                <w:szCs w:val="24"/>
                <w:lang w:eastAsia="en-US"/>
              </w:rPr>
              <w:t>557 (2.23)</w:t>
            </w:r>
          </w:p>
        </w:tc>
        <w:tc>
          <w:tcPr>
            <w:tcW w:w="87" w:type="pct"/>
            <w:tcBorders>
              <w:top w:val="nil"/>
              <w:left w:val="nil"/>
              <w:bottom w:val="nil"/>
              <w:right w:val="nil"/>
            </w:tcBorders>
            <w:shd w:val="clear" w:color="auto" w:fill="auto"/>
            <w:hideMark/>
          </w:tcPr>
          <w:p w14:paraId="6116085A"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835" w:type="pct"/>
            <w:tcBorders>
              <w:top w:val="nil"/>
              <w:left w:val="nil"/>
              <w:bottom w:val="nil"/>
              <w:right w:val="nil"/>
            </w:tcBorders>
            <w:shd w:val="clear" w:color="auto" w:fill="auto"/>
            <w:noWrap/>
            <w:hideMark/>
          </w:tcPr>
          <w:p w14:paraId="254B5EFB"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 </w:t>
            </w:r>
            <w:r w:rsidRPr="00271017">
              <w:rPr>
                <w:rFonts w:ascii="Times New Roman" w:eastAsia="Times New Roman" w:hAnsi="Times New Roman" w:cs="Times New Roman"/>
                <w:color w:val="000000"/>
                <w:sz w:val="24"/>
                <w:szCs w:val="24"/>
                <w:lang w:eastAsia="en-US"/>
              </w:rPr>
              <w:t>430 (2.08)</w:t>
            </w:r>
          </w:p>
        </w:tc>
        <w:tc>
          <w:tcPr>
            <w:tcW w:w="87" w:type="pct"/>
            <w:tcBorders>
              <w:top w:val="nil"/>
              <w:left w:val="nil"/>
              <w:bottom w:val="nil"/>
              <w:right w:val="nil"/>
            </w:tcBorders>
            <w:shd w:val="clear" w:color="auto" w:fill="auto"/>
            <w:noWrap/>
            <w:hideMark/>
          </w:tcPr>
          <w:p w14:paraId="57878771"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673" w:type="pct"/>
            <w:tcBorders>
              <w:top w:val="nil"/>
              <w:left w:val="nil"/>
              <w:bottom w:val="nil"/>
              <w:right w:val="nil"/>
            </w:tcBorders>
            <w:shd w:val="clear" w:color="auto" w:fill="auto"/>
            <w:noWrap/>
            <w:hideMark/>
          </w:tcPr>
          <w:p w14:paraId="0563E61A"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sidRPr="00271017">
              <w:rPr>
                <w:rFonts w:ascii="Times New Roman" w:eastAsia="Times New Roman" w:hAnsi="Times New Roman" w:cs="Times New Roman"/>
                <w:color w:val="000000"/>
                <w:sz w:val="24"/>
                <w:szCs w:val="24"/>
                <w:lang w:eastAsia="en-US"/>
              </w:rPr>
              <w:t>501 (2.60)</w:t>
            </w:r>
          </w:p>
        </w:tc>
        <w:tc>
          <w:tcPr>
            <w:tcW w:w="466" w:type="pct"/>
            <w:tcBorders>
              <w:top w:val="nil"/>
              <w:left w:val="nil"/>
              <w:bottom w:val="nil"/>
              <w:right w:val="nil"/>
            </w:tcBorders>
          </w:tcPr>
          <w:p w14:paraId="647F2412"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sz w:val="24"/>
                <w:szCs w:val="24"/>
                <w:lang w:eastAsia="en-US"/>
              </w:rPr>
              <w:t>&lt; .001</w:t>
            </w:r>
          </w:p>
        </w:tc>
      </w:tr>
      <w:tr w:rsidR="00952ED6" w:rsidRPr="00271017" w14:paraId="10527C11" w14:textId="77777777" w:rsidTr="00D54133">
        <w:trPr>
          <w:trHeight w:val="300"/>
        </w:trPr>
        <w:tc>
          <w:tcPr>
            <w:tcW w:w="87" w:type="pct"/>
            <w:tcBorders>
              <w:top w:val="nil"/>
              <w:left w:val="nil"/>
              <w:bottom w:val="single" w:sz="4" w:space="0" w:color="auto"/>
              <w:right w:val="nil"/>
            </w:tcBorders>
            <w:shd w:val="clear" w:color="auto" w:fill="auto"/>
            <w:noWrap/>
          </w:tcPr>
          <w:p w14:paraId="6506A053" w14:textId="77777777" w:rsidR="00952ED6" w:rsidRPr="00271017" w:rsidRDefault="00952ED6" w:rsidP="00523003">
            <w:pPr>
              <w:spacing w:after="100" w:afterAutospacing="1" w:line="240" w:lineRule="auto"/>
              <w:rPr>
                <w:rFonts w:ascii="Times New Roman" w:eastAsia="Times New Roman" w:hAnsi="Times New Roman" w:cs="Times New Roman"/>
                <w:color w:val="000000"/>
                <w:sz w:val="24"/>
                <w:szCs w:val="24"/>
                <w:lang w:eastAsia="en-US"/>
              </w:rPr>
            </w:pPr>
          </w:p>
        </w:tc>
        <w:tc>
          <w:tcPr>
            <w:tcW w:w="1802" w:type="pct"/>
            <w:tcBorders>
              <w:top w:val="nil"/>
              <w:left w:val="nil"/>
              <w:bottom w:val="single" w:sz="4" w:space="0" w:color="auto"/>
              <w:right w:val="nil"/>
            </w:tcBorders>
            <w:shd w:val="clear" w:color="auto" w:fill="auto"/>
          </w:tcPr>
          <w:p w14:paraId="4A417694" w14:textId="77777777" w:rsidR="00952ED6" w:rsidRPr="00271017" w:rsidRDefault="00952ED6" w:rsidP="00523003">
            <w:pPr>
              <w:spacing w:after="100" w:afterAutospacing="1"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Substance use disorder</w:t>
            </w:r>
          </w:p>
        </w:tc>
        <w:tc>
          <w:tcPr>
            <w:tcW w:w="963" w:type="pct"/>
            <w:tcBorders>
              <w:top w:val="nil"/>
              <w:left w:val="nil"/>
              <w:bottom w:val="single" w:sz="4" w:space="0" w:color="auto"/>
              <w:right w:val="nil"/>
            </w:tcBorders>
            <w:shd w:val="clear" w:color="auto" w:fill="auto"/>
            <w:noWrap/>
          </w:tcPr>
          <w:p w14:paraId="4C6EF138" w14:textId="77777777" w:rsidR="00952ED6"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12 132 (3.16)</w:t>
            </w:r>
          </w:p>
        </w:tc>
        <w:tc>
          <w:tcPr>
            <w:tcW w:w="87" w:type="pct"/>
            <w:tcBorders>
              <w:top w:val="nil"/>
              <w:left w:val="nil"/>
              <w:bottom w:val="single" w:sz="4" w:space="0" w:color="auto"/>
              <w:right w:val="nil"/>
            </w:tcBorders>
            <w:shd w:val="clear" w:color="auto" w:fill="auto"/>
          </w:tcPr>
          <w:p w14:paraId="5728C8EF"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835" w:type="pct"/>
            <w:tcBorders>
              <w:top w:val="nil"/>
              <w:left w:val="nil"/>
              <w:bottom w:val="single" w:sz="4" w:space="0" w:color="auto"/>
              <w:right w:val="nil"/>
            </w:tcBorders>
            <w:shd w:val="clear" w:color="auto" w:fill="auto"/>
            <w:noWrap/>
          </w:tcPr>
          <w:p w14:paraId="52B15FA0" w14:textId="77777777" w:rsidR="00952ED6"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2 230 (3.24)</w:t>
            </w:r>
          </w:p>
        </w:tc>
        <w:tc>
          <w:tcPr>
            <w:tcW w:w="87" w:type="pct"/>
            <w:tcBorders>
              <w:top w:val="nil"/>
              <w:left w:val="nil"/>
              <w:bottom w:val="single" w:sz="4" w:space="0" w:color="auto"/>
              <w:right w:val="nil"/>
            </w:tcBorders>
            <w:shd w:val="clear" w:color="auto" w:fill="auto"/>
            <w:noWrap/>
          </w:tcPr>
          <w:p w14:paraId="79AE5F0E" w14:textId="77777777" w:rsidR="00952ED6" w:rsidRPr="00271017" w:rsidRDefault="00952ED6" w:rsidP="0052300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673" w:type="pct"/>
            <w:tcBorders>
              <w:top w:val="nil"/>
              <w:left w:val="nil"/>
              <w:bottom w:val="single" w:sz="4" w:space="0" w:color="auto"/>
              <w:right w:val="nil"/>
            </w:tcBorders>
            <w:shd w:val="clear" w:color="auto" w:fill="auto"/>
            <w:noWrap/>
          </w:tcPr>
          <w:p w14:paraId="31818570" w14:textId="77777777" w:rsidR="00952ED6" w:rsidRPr="00271017"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655 (3.39)</w:t>
            </w:r>
          </w:p>
        </w:tc>
        <w:tc>
          <w:tcPr>
            <w:tcW w:w="466" w:type="pct"/>
            <w:tcBorders>
              <w:top w:val="nil"/>
              <w:left w:val="nil"/>
              <w:bottom w:val="single" w:sz="4" w:space="0" w:color="auto"/>
              <w:right w:val="nil"/>
            </w:tcBorders>
          </w:tcPr>
          <w:p w14:paraId="50E8DC26" w14:textId="77777777" w:rsidR="00952ED6" w:rsidRDefault="00952ED6" w:rsidP="00523003">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t xml:space="preserve">   </w:t>
            </w:r>
            <w:r w:rsidRPr="00B066D2">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115</w:t>
            </w:r>
          </w:p>
        </w:tc>
      </w:tr>
    </w:tbl>
    <w:p w14:paraId="476E5EFC" w14:textId="77777777" w:rsidR="00952ED6" w:rsidRDefault="00952ED6" w:rsidP="00CE33B9">
      <w:pPr>
        <w:autoSpaceDE w:val="0"/>
        <w:autoSpaceDN w:val="0"/>
        <w:adjustRightInd w:val="0"/>
        <w:spacing w:after="100" w:afterAutospacing="1" w:line="240" w:lineRule="auto"/>
        <w:rPr>
          <w:rFonts w:ascii="Times New Roman" w:hAnsi="Times New Roman" w:cs="Times New Roman"/>
          <w:b/>
        </w:rPr>
      </w:pPr>
    </w:p>
    <w:p w14:paraId="703EB5F9" w14:textId="77777777" w:rsidR="00952ED6" w:rsidRDefault="00952ED6">
      <w:pPr>
        <w:rPr>
          <w:rFonts w:ascii="Times New Roman" w:hAnsi="Times New Roman" w:cs="Times New Roman"/>
          <w:b/>
        </w:rPr>
      </w:pPr>
      <w:r>
        <w:rPr>
          <w:rFonts w:ascii="Times New Roman" w:hAnsi="Times New Roman" w:cs="Times New Roman"/>
          <w:b/>
        </w:rPr>
        <w:br w:type="page"/>
      </w:r>
    </w:p>
    <w:p w14:paraId="30D7F5CA" w14:textId="77777777" w:rsidR="00952ED6" w:rsidRPr="000D30BF" w:rsidRDefault="00952ED6" w:rsidP="005D3856">
      <w:pPr>
        <w:autoSpaceDE w:val="0"/>
        <w:autoSpaceDN w:val="0"/>
        <w:adjustRightInd w:val="0"/>
        <w:spacing w:after="0" w:line="240" w:lineRule="auto"/>
        <w:rPr>
          <w:rFonts w:ascii="Times New Roman" w:hAnsi="Times New Roman" w:cs="Times New Roman"/>
          <w:b/>
          <w:sz w:val="24"/>
          <w:szCs w:val="24"/>
        </w:rPr>
      </w:pPr>
      <w:r w:rsidRPr="00520C6C">
        <w:rPr>
          <w:rFonts w:ascii="Times New Roman" w:hAnsi="Times New Roman" w:cs="Times New Roman"/>
          <w:b/>
          <w:sz w:val="24"/>
          <w:szCs w:val="24"/>
          <w:highlight w:val="yellow"/>
        </w:rPr>
        <w:t>Table 2 Descriptive characteristics of index males and their full siblings by ADHD status</w:t>
      </w:r>
    </w:p>
    <w:tbl>
      <w:tblPr>
        <w:tblW w:w="5000" w:type="pct"/>
        <w:tblBorders>
          <w:top w:val="single" w:sz="4" w:space="0" w:color="auto"/>
          <w:bottom w:val="single" w:sz="4" w:space="0" w:color="auto"/>
        </w:tblBorders>
        <w:tblLook w:val="04A0" w:firstRow="1" w:lastRow="0" w:firstColumn="1" w:lastColumn="0" w:noHBand="0" w:noVBand="1"/>
      </w:tblPr>
      <w:tblGrid>
        <w:gridCol w:w="475"/>
        <w:gridCol w:w="6033"/>
        <w:gridCol w:w="4010"/>
        <w:gridCol w:w="3488"/>
        <w:gridCol w:w="1608"/>
      </w:tblGrid>
      <w:tr w:rsidR="00952ED6" w:rsidRPr="00B066D2" w14:paraId="7E44E880" w14:textId="77777777" w:rsidTr="00AF7A7B">
        <w:trPr>
          <w:trHeight w:val="300"/>
        </w:trPr>
        <w:tc>
          <w:tcPr>
            <w:tcW w:w="2084" w:type="pct"/>
            <w:gridSpan w:val="2"/>
            <w:tcBorders>
              <w:top w:val="single" w:sz="4" w:space="0" w:color="auto"/>
              <w:bottom w:val="single" w:sz="4" w:space="0" w:color="auto"/>
            </w:tcBorders>
            <w:shd w:val="clear" w:color="auto" w:fill="auto"/>
            <w:noWrap/>
            <w:vAlign w:val="bottom"/>
          </w:tcPr>
          <w:p w14:paraId="67FD0240" w14:textId="77777777" w:rsidR="00952ED6" w:rsidRPr="00B066D2" w:rsidRDefault="00952ED6" w:rsidP="000439D0">
            <w:pPr>
              <w:spacing w:after="100" w:afterAutospacing="1" w:line="240" w:lineRule="auto"/>
              <w:rPr>
                <w:rFonts w:ascii="Times New Roman" w:eastAsia="Times New Roman" w:hAnsi="Times New Roman" w:cs="Times New Roman"/>
                <w:b/>
                <w:color w:val="000000"/>
                <w:sz w:val="24"/>
                <w:szCs w:val="24"/>
                <w:lang w:eastAsia="en-US"/>
              </w:rPr>
            </w:pPr>
            <w:r w:rsidRPr="00B066D2">
              <w:rPr>
                <w:rFonts w:ascii="Times New Roman" w:eastAsia="Times New Roman" w:hAnsi="Times New Roman" w:cs="Times New Roman"/>
                <w:b/>
                <w:color w:val="000000"/>
                <w:sz w:val="24"/>
                <w:szCs w:val="24"/>
                <w:lang w:eastAsia="en-US"/>
              </w:rPr>
              <w:t>Variable</w:t>
            </w:r>
          </w:p>
        </w:tc>
        <w:tc>
          <w:tcPr>
            <w:tcW w:w="1284" w:type="pct"/>
            <w:tcBorders>
              <w:top w:val="single" w:sz="4" w:space="0" w:color="auto"/>
              <w:bottom w:val="single" w:sz="4" w:space="0" w:color="auto"/>
            </w:tcBorders>
            <w:vAlign w:val="bottom"/>
          </w:tcPr>
          <w:p w14:paraId="704C301B" w14:textId="77777777" w:rsidR="00952ED6" w:rsidRPr="00B066D2" w:rsidRDefault="00952ED6" w:rsidP="000439D0">
            <w:pPr>
              <w:spacing w:after="100" w:afterAutospacing="1" w:line="240" w:lineRule="auto"/>
              <w:jc w:val="center"/>
              <w:rPr>
                <w:rFonts w:ascii="Times New Roman" w:eastAsia="Times New Roman" w:hAnsi="Times New Roman" w:cs="Times New Roman"/>
                <w:b/>
                <w:color w:val="000000"/>
                <w:sz w:val="24"/>
                <w:szCs w:val="24"/>
                <w:lang w:eastAsia="en-US"/>
              </w:rPr>
            </w:pPr>
            <w:r w:rsidRPr="00B066D2">
              <w:rPr>
                <w:rFonts w:ascii="Times New Roman" w:eastAsia="Times New Roman" w:hAnsi="Times New Roman" w:cs="Times New Roman"/>
                <w:b/>
                <w:color w:val="000000"/>
                <w:sz w:val="24"/>
                <w:szCs w:val="24"/>
                <w:lang w:eastAsia="en-US"/>
              </w:rPr>
              <w:t>Without ADHD, n (%)</w:t>
            </w:r>
          </w:p>
        </w:tc>
        <w:tc>
          <w:tcPr>
            <w:tcW w:w="1117" w:type="pct"/>
            <w:tcBorders>
              <w:top w:val="single" w:sz="4" w:space="0" w:color="auto"/>
              <w:bottom w:val="single" w:sz="4" w:space="0" w:color="auto"/>
            </w:tcBorders>
            <w:shd w:val="clear" w:color="auto" w:fill="auto"/>
            <w:noWrap/>
            <w:vAlign w:val="bottom"/>
          </w:tcPr>
          <w:p w14:paraId="35DE7A5D" w14:textId="77777777" w:rsidR="00952ED6" w:rsidRPr="00B066D2" w:rsidRDefault="00952ED6" w:rsidP="000439D0">
            <w:pPr>
              <w:spacing w:after="100" w:afterAutospacing="1" w:line="240" w:lineRule="auto"/>
              <w:jc w:val="center"/>
              <w:rPr>
                <w:rFonts w:ascii="Times New Roman" w:eastAsia="Times New Roman" w:hAnsi="Times New Roman" w:cs="Times New Roman"/>
                <w:b/>
                <w:color w:val="000000"/>
                <w:sz w:val="24"/>
                <w:szCs w:val="24"/>
                <w:lang w:eastAsia="en-US"/>
              </w:rPr>
            </w:pPr>
            <w:r w:rsidRPr="00B066D2">
              <w:rPr>
                <w:rFonts w:ascii="Times New Roman" w:eastAsia="Times New Roman" w:hAnsi="Times New Roman" w:cs="Times New Roman"/>
                <w:b/>
                <w:color w:val="000000"/>
                <w:sz w:val="24"/>
                <w:szCs w:val="24"/>
                <w:lang w:eastAsia="en-US"/>
              </w:rPr>
              <w:t>With ADHD, n (%)</w:t>
            </w:r>
          </w:p>
        </w:tc>
        <w:tc>
          <w:tcPr>
            <w:tcW w:w="515" w:type="pct"/>
            <w:tcBorders>
              <w:top w:val="single" w:sz="4" w:space="0" w:color="auto"/>
              <w:bottom w:val="single" w:sz="4" w:space="0" w:color="auto"/>
            </w:tcBorders>
            <w:vAlign w:val="bottom"/>
          </w:tcPr>
          <w:p w14:paraId="330913AF" w14:textId="77777777" w:rsidR="00952ED6" w:rsidRPr="00B066D2" w:rsidRDefault="00952ED6" w:rsidP="00331F8E">
            <w:pPr>
              <w:spacing w:after="100" w:afterAutospacing="1" w:line="240" w:lineRule="auto"/>
              <w:jc w:val="center"/>
              <w:rPr>
                <w:rFonts w:ascii="Times New Roman" w:eastAsia="Times New Roman" w:hAnsi="Times New Roman" w:cs="Times New Roman"/>
                <w:b/>
                <w:color w:val="000000"/>
                <w:sz w:val="24"/>
                <w:szCs w:val="24"/>
                <w:lang w:eastAsia="en-US"/>
              </w:rPr>
            </w:pPr>
            <w:r w:rsidRPr="00B066D2">
              <w:rPr>
                <w:rFonts w:ascii="Times New Roman" w:eastAsia="Times New Roman" w:hAnsi="Times New Roman" w:cs="Times New Roman"/>
                <w:b/>
                <w:color w:val="000000"/>
                <w:sz w:val="24"/>
                <w:szCs w:val="24"/>
                <w:lang w:eastAsia="en-US"/>
              </w:rPr>
              <w:t>P Value</w:t>
            </w:r>
          </w:p>
        </w:tc>
      </w:tr>
      <w:tr w:rsidR="00952ED6" w:rsidRPr="00B066D2" w14:paraId="74FD7AC6" w14:textId="77777777" w:rsidTr="00AF7A7B">
        <w:trPr>
          <w:trHeight w:val="300"/>
        </w:trPr>
        <w:tc>
          <w:tcPr>
            <w:tcW w:w="2084" w:type="pct"/>
            <w:gridSpan w:val="2"/>
            <w:tcBorders>
              <w:top w:val="single" w:sz="4" w:space="0" w:color="auto"/>
              <w:bottom w:val="nil"/>
            </w:tcBorders>
            <w:shd w:val="clear" w:color="auto" w:fill="F2F2F2" w:themeFill="background1" w:themeFillShade="F2"/>
            <w:noWrap/>
            <w:vAlign w:val="bottom"/>
          </w:tcPr>
          <w:p w14:paraId="34988517" w14:textId="77777777" w:rsidR="00952ED6" w:rsidRPr="00B066D2" w:rsidRDefault="00952ED6" w:rsidP="00AD3777">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Index males (n=472 735)</w:t>
            </w:r>
          </w:p>
        </w:tc>
        <w:tc>
          <w:tcPr>
            <w:tcW w:w="1284" w:type="pct"/>
            <w:tcBorders>
              <w:top w:val="single" w:sz="4" w:space="0" w:color="auto"/>
              <w:bottom w:val="nil"/>
            </w:tcBorders>
            <w:shd w:val="clear" w:color="auto" w:fill="F2F2F2" w:themeFill="background1" w:themeFillShade="F2"/>
            <w:vAlign w:val="bottom"/>
          </w:tcPr>
          <w:p w14:paraId="5A36904E"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p>
        </w:tc>
        <w:tc>
          <w:tcPr>
            <w:tcW w:w="1117" w:type="pct"/>
            <w:tcBorders>
              <w:top w:val="single" w:sz="4" w:space="0" w:color="auto"/>
              <w:bottom w:val="nil"/>
            </w:tcBorders>
            <w:shd w:val="clear" w:color="auto" w:fill="F2F2F2" w:themeFill="background1" w:themeFillShade="F2"/>
            <w:noWrap/>
            <w:vAlign w:val="bottom"/>
          </w:tcPr>
          <w:p w14:paraId="7A4AEF14"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p>
        </w:tc>
        <w:tc>
          <w:tcPr>
            <w:tcW w:w="515" w:type="pct"/>
            <w:tcBorders>
              <w:top w:val="single" w:sz="4" w:space="0" w:color="auto"/>
              <w:bottom w:val="nil"/>
            </w:tcBorders>
            <w:shd w:val="clear" w:color="auto" w:fill="F2F2F2" w:themeFill="background1" w:themeFillShade="F2"/>
            <w:vAlign w:val="bottom"/>
          </w:tcPr>
          <w:p w14:paraId="27C2BDF0" w14:textId="77777777" w:rsidR="00952ED6" w:rsidRPr="00B066D2" w:rsidRDefault="00952ED6" w:rsidP="00331F8E">
            <w:pPr>
              <w:spacing w:after="100" w:afterAutospacing="1" w:line="240" w:lineRule="auto"/>
              <w:jc w:val="center"/>
              <w:rPr>
                <w:rFonts w:ascii="Times New Roman" w:eastAsia="Times New Roman" w:hAnsi="Times New Roman" w:cs="Times New Roman"/>
                <w:color w:val="000000"/>
                <w:sz w:val="24"/>
                <w:szCs w:val="24"/>
                <w:lang w:eastAsia="en-US"/>
              </w:rPr>
            </w:pPr>
          </w:p>
        </w:tc>
      </w:tr>
      <w:tr w:rsidR="00952ED6" w:rsidRPr="00B066D2" w14:paraId="5D63AE8C" w14:textId="77777777" w:rsidTr="00AF7A7B">
        <w:trPr>
          <w:trHeight w:val="300"/>
        </w:trPr>
        <w:tc>
          <w:tcPr>
            <w:tcW w:w="2084" w:type="pct"/>
            <w:gridSpan w:val="2"/>
            <w:tcBorders>
              <w:top w:val="nil"/>
              <w:bottom w:val="nil"/>
            </w:tcBorders>
            <w:shd w:val="clear" w:color="auto" w:fill="auto"/>
            <w:noWrap/>
            <w:vAlign w:val="bottom"/>
          </w:tcPr>
          <w:p w14:paraId="3B5BEEEC"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 xml:space="preserve">Total, n (%) </w:t>
            </w:r>
          </w:p>
        </w:tc>
        <w:tc>
          <w:tcPr>
            <w:tcW w:w="1284" w:type="pct"/>
            <w:tcBorders>
              <w:top w:val="nil"/>
              <w:bottom w:val="nil"/>
            </w:tcBorders>
            <w:shd w:val="clear" w:color="auto" w:fill="auto"/>
            <w:vAlign w:val="bottom"/>
          </w:tcPr>
          <w:p w14:paraId="50E9AA47"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469 718 (99.36)</w:t>
            </w:r>
          </w:p>
        </w:tc>
        <w:tc>
          <w:tcPr>
            <w:tcW w:w="1117" w:type="pct"/>
            <w:tcBorders>
              <w:top w:val="nil"/>
              <w:bottom w:val="nil"/>
            </w:tcBorders>
            <w:shd w:val="clear" w:color="auto" w:fill="auto"/>
            <w:noWrap/>
            <w:vAlign w:val="bottom"/>
          </w:tcPr>
          <w:p w14:paraId="2F3637C4"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3017 (0.64)</w:t>
            </w:r>
          </w:p>
        </w:tc>
        <w:tc>
          <w:tcPr>
            <w:tcW w:w="515" w:type="pct"/>
            <w:tcBorders>
              <w:top w:val="nil"/>
              <w:bottom w:val="nil"/>
            </w:tcBorders>
            <w:shd w:val="clear" w:color="auto" w:fill="auto"/>
            <w:vAlign w:val="bottom"/>
          </w:tcPr>
          <w:p w14:paraId="4E06291A"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p>
        </w:tc>
      </w:tr>
      <w:tr w:rsidR="00952ED6" w:rsidRPr="00B066D2" w14:paraId="709876C4" w14:textId="77777777" w:rsidTr="00AF7A7B">
        <w:trPr>
          <w:trHeight w:val="300"/>
        </w:trPr>
        <w:tc>
          <w:tcPr>
            <w:tcW w:w="2084" w:type="pct"/>
            <w:gridSpan w:val="2"/>
            <w:tcBorders>
              <w:top w:val="nil"/>
              <w:bottom w:val="nil"/>
            </w:tcBorders>
            <w:shd w:val="clear" w:color="auto" w:fill="auto"/>
            <w:noWrap/>
            <w:vAlign w:val="bottom"/>
          </w:tcPr>
          <w:p w14:paraId="542C2479"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 xml:space="preserve">BMI of index male </w:t>
            </w:r>
          </w:p>
        </w:tc>
        <w:tc>
          <w:tcPr>
            <w:tcW w:w="1284" w:type="pct"/>
            <w:tcBorders>
              <w:top w:val="nil"/>
              <w:bottom w:val="nil"/>
            </w:tcBorders>
            <w:shd w:val="clear" w:color="auto" w:fill="auto"/>
            <w:vAlign w:val="bottom"/>
          </w:tcPr>
          <w:p w14:paraId="3C801A36" w14:textId="77777777" w:rsidR="00952ED6" w:rsidRPr="00B066D2" w:rsidRDefault="00952ED6" w:rsidP="0034742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1117" w:type="pct"/>
            <w:tcBorders>
              <w:top w:val="nil"/>
              <w:bottom w:val="nil"/>
            </w:tcBorders>
            <w:shd w:val="clear" w:color="auto" w:fill="auto"/>
            <w:noWrap/>
            <w:vAlign w:val="bottom"/>
          </w:tcPr>
          <w:p w14:paraId="197A64CF"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p>
        </w:tc>
        <w:tc>
          <w:tcPr>
            <w:tcW w:w="515" w:type="pct"/>
            <w:tcBorders>
              <w:top w:val="nil"/>
              <w:bottom w:val="nil"/>
            </w:tcBorders>
            <w:shd w:val="clear" w:color="auto" w:fill="auto"/>
            <w:vAlign w:val="bottom"/>
          </w:tcPr>
          <w:p w14:paraId="077A0EDA"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p>
        </w:tc>
      </w:tr>
      <w:tr w:rsidR="00952ED6" w:rsidRPr="00B066D2" w14:paraId="3A64E01B" w14:textId="77777777" w:rsidTr="00AF7A7B">
        <w:trPr>
          <w:trHeight w:val="300"/>
        </w:trPr>
        <w:tc>
          <w:tcPr>
            <w:tcW w:w="152" w:type="pct"/>
            <w:tcBorders>
              <w:top w:val="nil"/>
              <w:bottom w:val="nil"/>
            </w:tcBorders>
            <w:shd w:val="clear" w:color="auto" w:fill="auto"/>
            <w:noWrap/>
            <w:vAlign w:val="bottom"/>
          </w:tcPr>
          <w:p w14:paraId="2411388A"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bottom w:val="nil"/>
            </w:tcBorders>
            <w:shd w:val="clear" w:color="auto" w:fill="auto"/>
            <w:vAlign w:val="bottom"/>
          </w:tcPr>
          <w:p w14:paraId="43B2B902"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Normal weight</w:t>
            </w:r>
          </w:p>
        </w:tc>
        <w:tc>
          <w:tcPr>
            <w:tcW w:w="1284" w:type="pct"/>
            <w:tcBorders>
              <w:top w:val="nil"/>
              <w:bottom w:val="nil"/>
            </w:tcBorders>
            <w:shd w:val="clear" w:color="auto" w:fill="auto"/>
            <w:vAlign w:val="bottom"/>
          </w:tcPr>
          <w:p w14:paraId="3A706861"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382 256 (81.38)</w:t>
            </w:r>
          </w:p>
        </w:tc>
        <w:tc>
          <w:tcPr>
            <w:tcW w:w="1117" w:type="pct"/>
            <w:tcBorders>
              <w:top w:val="nil"/>
              <w:bottom w:val="nil"/>
            </w:tcBorders>
            <w:shd w:val="clear" w:color="auto" w:fill="auto"/>
            <w:noWrap/>
            <w:vAlign w:val="bottom"/>
          </w:tcPr>
          <w:p w14:paraId="0561253D"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2 269 (75.21)</w:t>
            </w:r>
          </w:p>
        </w:tc>
        <w:tc>
          <w:tcPr>
            <w:tcW w:w="515" w:type="pct"/>
            <w:tcBorders>
              <w:top w:val="nil"/>
              <w:bottom w:val="nil"/>
            </w:tcBorders>
            <w:shd w:val="clear" w:color="auto" w:fill="auto"/>
            <w:vAlign w:val="bottom"/>
          </w:tcPr>
          <w:p w14:paraId="7ADE3A06"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Reference</w:t>
            </w:r>
          </w:p>
        </w:tc>
      </w:tr>
      <w:tr w:rsidR="00952ED6" w:rsidRPr="00B066D2" w14:paraId="0E8BFAC2" w14:textId="77777777" w:rsidTr="00AF7A7B">
        <w:trPr>
          <w:trHeight w:val="300"/>
        </w:trPr>
        <w:tc>
          <w:tcPr>
            <w:tcW w:w="152" w:type="pct"/>
            <w:tcBorders>
              <w:top w:val="nil"/>
              <w:bottom w:val="nil"/>
            </w:tcBorders>
            <w:shd w:val="clear" w:color="auto" w:fill="auto"/>
            <w:noWrap/>
            <w:vAlign w:val="bottom"/>
          </w:tcPr>
          <w:p w14:paraId="4AF64340"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bottom w:val="nil"/>
            </w:tcBorders>
            <w:shd w:val="clear" w:color="auto" w:fill="auto"/>
            <w:vAlign w:val="bottom"/>
          </w:tcPr>
          <w:p w14:paraId="647EC71D"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Overweight</w:t>
            </w:r>
          </w:p>
        </w:tc>
        <w:tc>
          <w:tcPr>
            <w:tcW w:w="1284" w:type="pct"/>
            <w:tcBorders>
              <w:top w:val="nil"/>
              <w:bottom w:val="nil"/>
            </w:tcBorders>
            <w:shd w:val="clear" w:color="auto" w:fill="auto"/>
            <w:vAlign w:val="bottom"/>
          </w:tcPr>
          <w:p w14:paraId="6EA98DB5"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68 380 (14.56)</w:t>
            </w:r>
          </w:p>
        </w:tc>
        <w:tc>
          <w:tcPr>
            <w:tcW w:w="1117" w:type="pct"/>
            <w:tcBorders>
              <w:top w:val="nil"/>
              <w:bottom w:val="nil"/>
            </w:tcBorders>
            <w:shd w:val="clear" w:color="auto" w:fill="auto"/>
            <w:noWrap/>
            <w:vAlign w:val="bottom"/>
          </w:tcPr>
          <w:p w14:paraId="79AE415A"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526 (17.43)</w:t>
            </w:r>
          </w:p>
        </w:tc>
        <w:tc>
          <w:tcPr>
            <w:tcW w:w="515" w:type="pct"/>
            <w:tcBorders>
              <w:top w:val="nil"/>
              <w:bottom w:val="nil"/>
            </w:tcBorders>
            <w:shd w:val="clear" w:color="auto" w:fill="auto"/>
            <w:vAlign w:val="bottom"/>
          </w:tcPr>
          <w:p w14:paraId="2D0E096A" w14:textId="77777777" w:rsidR="00952ED6" w:rsidRPr="00B066D2" w:rsidRDefault="00952ED6" w:rsidP="00347423">
            <w:pPr>
              <w:spacing w:after="100" w:afterAutospacing="1" w:line="240" w:lineRule="auto"/>
              <w:jc w:val="center"/>
              <w:rPr>
                <w:rFonts w:ascii="Times New Roman" w:eastAsia="Times New Roman" w:hAnsi="Times New Roman" w:cs="Times New Roman"/>
                <w:sz w:val="24"/>
                <w:szCs w:val="24"/>
                <w:lang w:eastAsia="en-US"/>
              </w:rPr>
            </w:pPr>
            <w:r w:rsidRPr="00B066D2">
              <w:rPr>
                <w:rFonts w:ascii="Times New Roman" w:eastAsia="Times New Roman" w:hAnsi="Times New Roman" w:cs="Times New Roman"/>
                <w:sz w:val="24"/>
                <w:szCs w:val="24"/>
                <w:lang w:eastAsia="en-US"/>
              </w:rPr>
              <w:t>&lt; .001</w:t>
            </w:r>
          </w:p>
        </w:tc>
      </w:tr>
      <w:tr w:rsidR="00952ED6" w:rsidRPr="00B066D2" w14:paraId="28B26C59" w14:textId="77777777" w:rsidTr="00AF7A7B">
        <w:trPr>
          <w:trHeight w:val="300"/>
        </w:trPr>
        <w:tc>
          <w:tcPr>
            <w:tcW w:w="152" w:type="pct"/>
            <w:tcBorders>
              <w:top w:val="nil"/>
              <w:bottom w:val="nil"/>
            </w:tcBorders>
            <w:shd w:val="clear" w:color="auto" w:fill="auto"/>
            <w:noWrap/>
            <w:vAlign w:val="bottom"/>
          </w:tcPr>
          <w:p w14:paraId="2B1F9063"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bottom w:val="nil"/>
            </w:tcBorders>
            <w:shd w:val="clear" w:color="auto" w:fill="auto"/>
            <w:vAlign w:val="bottom"/>
          </w:tcPr>
          <w:p w14:paraId="74F2EA5F"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Obesity</w:t>
            </w:r>
          </w:p>
        </w:tc>
        <w:tc>
          <w:tcPr>
            <w:tcW w:w="1284" w:type="pct"/>
            <w:tcBorders>
              <w:top w:val="nil"/>
              <w:bottom w:val="nil"/>
            </w:tcBorders>
            <w:shd w:val="clear" w:color="auto" w:fill="auto"/>
            <w:vAlign w:val="bottom"/>
          </w:tcPr>
          <w:p w14:paraId="2616387F"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19 082 (4.06)</w:t>
            </w:r>
          </w:p>
        </w:tc>
        <w:tc>
          <w:tcPr>
            <w:tcW w:w="1117" w:type="pct"/>
            <w:tcBorders>
              <w:top w:val="nil"/>
              <w:bottom w:val="nil"/>
            </w:tcBorders>
            <w:shd w:val="clear" w:color="auto" w:fill="auto"/>
            <w:noWrap/>
            <w:vAlign w:val="bottom"/>
          </w:tcPr>
          <w:p w14:paraId="3D822EE3"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222 (7.36)</w:t>
            </w:r>
          </w:p>
        </w:tc>
        <w:tc>
          <w:tcPr>
            <w:tcW w:w="515" w:type="pct"/>
            <w:tcBorders>
              <w:top w:val="nil"/>
              <w:bottom w:val="nil"/>
            </w:tcBorders>
            <w:shd w:val="clear" w:color="auto" w:fill="auto"/>
            <w:vAlign w:val="bottom"/>
          </w:tcPr>
          <w:p w14:paraId="464D90A2" w14:textId="77777777" w:rsidR="00952ED6" w:rsidRPr="00B066D2" w:rsidRDefault="00952ED6" w:rsidP="00347423">
            <w:pPr>
              <w:spacing w:after="100" w:afterAutospacing="1" w:line="240" w:lineRule="auto"/>
              <w:jc w:val="center"/>
              <w:rPr>
                <w:rFonts w:ascii="Times New Roman" w:eastAsia="Times New Roman" w:hAnsi="Times New Roman" w:cs="Times New Roman"/>
                <w:sz w:val="24"/>
                <w:szCs w:val="24"/>
                <w:lang w:eastAsia="en-US"/>
              </w:rPr>
            </w:pPr>
            <w:r w:rsidRPr="00B066D2">
              <w:rPr>
                <w:rFonts w:ascii="Times New Roman" w:eastAsia="Times New Roman" w:hAnsi="Times New Roman" w:cs="Times New Roman"/>
                <w:sz w:val="24"/>
                <w:szCs w:val="24"/>
                <w:lang w:eastAsia="en-US"/>
              </w:rPr>
              <w:t>&lt; .001</w:t>
            </w:r>
          </w:p>
        </w:tc>
      </w:tr>
      <w:tr w:rsidR="00952ED6" w:rsidRPr="00B066D2" w14:paraId="37731C5F" w14:textId="77777777" w:rsidTr="00AF7A7B">
        <w:trPr>
          <w:trHeight w:val="300"/>
        </w:trPr>
        <w:tc>
          <w:tcPr>
            <w:tcW w:w="2084" w:type="pct"/>
            <w:gridSpan w:val="2"/>
            <w:tcBorders>
              <w:top w:val="nil"/>
              <w:left w:val="nil"/>
              <w:bottom w:val="nil"/>
              <w:right w:val="nil"/>
            </w:tcBorders>
            <w:shd w:val="clear" w:color="auto" w:fill="auto"/>
            <w:noWrap/>
            <w:vAlign w:val="bottom"/>
          </w:tcPr>
          <w:p w14:paraId="5FF34F79"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Family education</w:t>
            </w:r>
          </w:p>
        </w:tc>
        <w:tc>
          <w:tcPr>
            <w:tcW w:w="1284" w:type="pct"/>
            <w:tcBorders>
              <w:top w:val="nil"/>
              <w:left w:val="nil"/>
              <w:bottom w:val="nil"/>
              <w:right w:val="nil"/>
            </w:tcBorders>
            <w:shd w:val="clear" w:color="auto" w:fill="auto"/>
            <w:vAlign w:val="bottom"/>
          </w:tcPr>
          <w:p w14:paraId="143CB731" w14:textId="77777777" w:rsidR="00952ED6" w:rsidRPr="00B066D2" w:rsidRDefault="00952ED6" w:rsidP="00347423">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1117" w:type="pct"/>
            <w:tcBorders>
              <w:top w:val="nil"/>
              <w:left w:val="nil"/>
              <w:bottom w:val="nil"/>
              <w:right w:val="nil"/>
            </w:tcBorders>
            <w:shd w:val="clear" w:color="auto" w:fill="auto"/>
            <w:noWrap/>
            <w:vAlign w:val="bottom"/>
          </w:tcPr>
          <w:p w14:paraId="784C8B4B"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p>
        </w:tc>
        <w:tc>
          <w:tcPr>
            <w:tcW w:w="515" w:type="pct"/>
            <w:tcBorders>
              <w:top w:val="nil"/>
              <w:left w:val="nil"/>
              <w:bottom w:val="nil"/>
              <w:right w:val="nil"/>
            </w:tcBorders>
            <w:shd w:val="clear" w:color="auto" w:fill="auto"/>
            <w:vAlign w:val="bottom"/>
          </w:tcPr>
          <w:p w14:paraId="2B88BACD"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p>
        </w:tc>
      </w:tr>
      <w:tr w:rsidR="00952ED6" w:rsidRPr="00B066D2" w14:paraId="4A8B03AF" w14:textId="77777777" w:rsidTr="00AF7A7B">
        <w:trPr>
          <w:trHeight w:val="300"/>
        </w:trPr>
        <w:tc>
          <w:tcPr>
            <w:tcW w:w="152" w:type="pct"/>
            <w:tcBorders>
              <w:top w:val="nil"/>
              <w:left w:val="nil"/>
              <w:bottom w:val="nil"/>
              <w:right w:val="nil"/>
            </w:tcBorders>
            <w:shd w:val="clear" w:color="auto" w:fill="auto"/>
            <w:noWrap/>
            <w:vAlign w:val="bottom"/>
          </w:tcPr>
          <w:p w14:paraId="56143071"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left w:val="nil"/>
              <w:bottom w:val="nil"/>
              <w:right w:val="nil"/>
            </w:tcBorders>
            <w:shd w:val="clear" w:color="auto" w:fill="auto"/>
            <w:vAlign w:val="bottom"/>
          </w:tcPr>
          <w:p w14:paraId="5F934746" w14:textId="77777777" w:rsidR="00952ED6" w:rsidRPr="00B066D2" w:rsidRDefault="00952ED6" w:rsidP="002049A5">
            <w:pPr>
              <w:spacing w:after="100" w:afterAutospacing="1"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Elementary &amp; u</w:t>
            </w:r>
            <w:r w:rsidRPr="00271017">
              <w:rPr>
                <w:rFonts w:ascii="Times New Roman" w:eastAsia="Times New Roman" w:hAnsi="Times New Roman" w:cs="Times New Roman"/>
                <w:color w:val="000000"/>
                <w:sz w:val="24"/>
                <w:szCs w:val="24"/>
                <w:lang w:eastAsia="en-US"/>
              </w:rPr>
              <w:t>pper secondary (</w:t>
            </w:r>
            <w:r>
              <w:rPr>
                <w:rFonts w:ascii="Times New Roman" w:eastAsia="Times New Roman" w:hAnsi="Times New Roman" w:cs="Times New Roman"/>
                <w:color w:val="000000"/>
                <w:sz w:val="24"/>
                <w:szCs w:val="24"/>
                <w:lang w:eastAsia="en-US"/>
              </w:rPr>
              <w:t>≤</w:t>
            </w:r>
            <w:r w:rsidRPr="00271017">
              <w:rPr>
                <w:rFonts w:ascii="Times New Roman" w:eastAsia="Times New Roman" w:hAnsi="Times New Roman" w:cs="Times New Roman"/>
                <w:color w:val="000000"/>
                <w:sz w:val="24"/>
                <w:szCs w:val="24"/>
                <w:lang w:eastAsia="en-US"/>
              </w:rPr>
              <w:t>12 years)</w:t>
            </w:r>
          </w:p>
        </w:tc>
        <w:tc>
          <w:tcPr>
            <w:tcW w:w="1284" w:type="pct"/>
            <w:tcBorders>
              <w:top w:val="nil"/>
              <w:left w:val="nil"/>
              <w:bottom w:val="nil"/>
              <w:right w:val="nil"/>
            </w:tcBorders>
            <w:shd w:val="clear" w:color="auto" w:fill="auto"/>
            <w:vAlign w:val="bottom"/>
          </w:tcPr>
          <w:p w14:paraId="30223BAC" w14:textId="77777777" w:rsidR="00952ED6" w:rsidRPr="00B066D2" w:rsidRDefault="00952ED6" w:rsidP="00CB785D">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2</w:t>
            </w:r>
            <w:r>
              <w:rPr>
                <w:rFonts w:ascii="Times New Roman" w:eastAsia="Times New Roman" w:hAnsi="Times New Roman" w:cs="Times New Roman"/>
                <w:color w:val="000000"/>
                <w:sz w:val="24"/>
                <w:szCs w:val="24"/>
                <w:lang w:eastAsia="en-US"/>
              </w:rPr>
              <w:t>57 </w:t>
            </w:r>
            <w:r w:rsidRPr="00B066D2">
              <w:rPr>
                <w:rFonts w:ascii="Times New Roman" w:eastAsia="Times New Roman" w:hAnsi="Times New Roman" w:cs="Times New Roman"/>
                <w:color w:val="000000"/>
                <w:sz w:val="24"/>
                <w:szCs w:val="24"/>
                <w:lang w:eastAsia="en-US"/>
              </w:rPr>
              <w:t>6</w:t>
            </w:r>
            <w:r>
              <w:rPr>
                <w:rFonts w:ascii="Times New Roman" w:eastAsia="Times New Roman" w:hAnsi="Times New Roman" w:cs="Times New Roman"/>
                <w:color w:val="000000"/>
                <w:sz w:val="24"/>
                <w:szCs w:val="24"/>
                <w:lang w:eastAsia="en-US"/>
              </w:rPr>
              <w:t>52</w:t>
            </w:r>
            <w:r w:rsidRPr="00B066D2">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5</w:t>
            </w:r>
            <w:r w:rsidRPr="00B066D2">
              <w:rPr>
                <w:rFonts w:ascii="Times New Roman" w:eastAsia="Times New Roman" w:hAnsi="Times New Roman" w:cs="Times New Roman"/>
                <w:color w:val="000000"/>
                <w:sz w:val="24"/>
                <w:szCs w:val="24"/>
                <w:lang w:eastAsia="en-US"/>
              </w:rPr>
              <w:t>4</w:t>
            </w:r>
            <w:r>
              <w:rPr>
                <w:rFonts w:ascii="Times New Roman" w:eastAsia="Times New Roman" w:hAnsi="Times New Roman" w:cs="Times New Roman"/>
                <w:color w:val="000000"/>
                <w:sz w:val="24"/>
                <w:szCs w:val="24"/>
                <w:lang w:eastAsia="en-US"/>
              </w:rPr>
              <w:t>.85</w:t>
            </w:r>
            <w:r w:rsidRPr="00B066D2">
              <w:rPr>
                <w:rFonts w:ascii="Times New Roman" w:eastAsia="Times New Roman" w:hAnsi="Times New Roman" w:cs="Times New Roman"/>
                <w:color w:val="000000"/>
                <w:sz w:val="24"/>
                <w:szCs w:val="24"/>
                <w:lang w:eastAsia="en-US"/>
              </w:rPr>
              <w:t>)</w:t>
            </w:r>
          </w:p>
        </w:tc>
        <w:tc>
          <w:tcPr>
            <w:tcW w:w="1117" w:type="pct"/>
            <w:tcBorders>
              <w:top w:val="nil"/>
              <w:left w:val="nil"/>
              <w:bottom w:val="nil"/>
              <w:right w:val="nil"/>
            </w:tcBorders>
            <w:shd w:val="clear" w:color="auto" w:fill="auto"/>
            <w:noWrap/>
            <w:vAlign w:val="bottom"/>
          </w:tcPr>
          <w:p w14:paraId="2C57F6E6" w14:textId="77777777" w:rsidR="00952ED6" w:rsidRPr="00B066D2" w:rsidRDefault="00952ED6" w:rsidP="00CB785D">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1 837 (60.89</w:t>
            </w:r>
            <w:r w:rsidRPr="00B066D2">
              <w:rPr>
                <w:rFonts w:ascii="Times New Roman" w:eastAsia="Times New Roman" w:hAnsi="Times New Roman" w:cs="Times New Roman"/>
                <w:color w:val="000000"/>
                <w:sz w:val="24"/>
                <w:szCs w:val="24"/>
                <w:lang w:eastAsia="en-US"/>
              </w:rPr>
              <w:t>)</w:t>
            </w:r>
          </w:p>
        </w:tc>
        <w:tc>
          <w:tcPr>
            <w:tcW w:w="515" w:type="pct"/>
            <w:tcBorders>
              <w:top w:val="nil"/>
              <w:left w:val="nil"/>
              <w:bottom w:val="nil"/>
              <w:right w:val="nil"/>
            </w:tcBorders>
            <w:shd w:val="clear" w:color="auto" w:fill="auto"/>
            <w:vAlign w:val="bottom"/>
          </w:tcPr>
          <w:p w14:paraId="45A79EFC"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Reference</w:t>
            </w:r>
          </w:p>
        </w:tc>
      </w:tr>
      <w:tr w:rsidR="00952ED6" w:rsidRPr="00B066D2" w14:paraId="78E8CD87" w14:textId="77777777" w:rsidTr="00AF7A7B">
        <w:trPr>
          <w:trHeight w:val="300"/>
        </w:trPr>
        <w:tc>
          <w:tcPr>
            <w:tcW w:w="152" w:type="pct"/>
            <w:tcBorders>
              <w:top w:val="nil"/>
              <w:left w:val="nil"/>
              <w:bottom w:val="nil"/>
              <w:right w:val="nil"/>
            </w:tcBorders>
            <w:shd w:val="clear" w:color="auto" w:fill="auto"/>
            <w:noWrap/>
            <w:vAlign w:val="bottom"/>
          </w:tcPr>
          <w:p w14:paraId="52193E1E"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left w:val="nil"/>
              <w:bottom w:val="nil"/>
              <w:right w:val="nil"/>
            </w:tcBorders>
            <w:shd w:val="clear" w:color="auto" w:fill="auto"/>
            <w:vAlign w:val="bottom"/>
          </w:tcPr>
          <w:p w14:paraId="2D70F42B"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 xml:space="preserve">Higher </w:t>
            </w:r>
            <w:r w:rsidRPr="00B066D2">
              <w:rPr>
                <w:rFonts w:ascii="Times New Roman" w:hAnsi="Times New Roman" w:cs="Times New Roman"/>
                <w:sz w:val="24"/>
                <w:szCs w:val="24"/>
              </w:rPr>
              <w:t>(</w:t>
            </w:r>
            <w:r w:rsidRPr="00B066D2">
              <w:rPr>
                <w:rFonts w:ascii="Times New Roman" w:hAnsi="Times New Roman" w:cs="Times New Roman"/>
                <w:color w:val="141215"/>
                <w:sz w:val="24"/>
                <w:szCs w:val="24"/>
              </w:rPr>
              <w:t>≥13 years</w:t>
            </w:r>
            <w:r w:rsidRPr="00B066D2">
              <w:rPr>
                <w:rFonts w:ascii="Times New Roman" w:hAnsi="Times New Roman" w:cs="Times New Roman"/>
                <w:sz w:val="24"/>
                <w:szCs w:val="24"/>
              </w:rPr>
              <w:t>)</w:t>
            </w:r>
          </w:p>
        </w:tc>
        <w:tc>
          <w:tcPr>
            <w:tcW w:w="1284" w:type="pct"/>
            <w:tcBorders>
              <w:top w:val="nil"/>
              <w:left w:val="nil"/>
              <w:bottom w:val="nil"/>
              <w:right w:val="nil"/>
            </w:tcBorders>
            <w:shd w:val="clear" w:color="auto" w:fill="auto"/>
            <w:vAlign w:val="bottom"/>
          </w:tcPr>
          <w:p w14:paraId="6153E558"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211 954 (45.12)</w:t>
            </w:r>
          </w:p>
        </w:tc>
        <w:tc>
          <w:tcPr>
            <w:tcW w:w="1117" w:type="pct"/>
            <w:tcBorders>
              <w:top w:val="nil"/>
              <w:left w:val="nil"/>
              <w:bottom w:val="nil"/>
              <w:right w:val="nil"/>
            </w:tcBorders>
            <w:shd w:val="clear" w:color="auto" w:fill="auto"/>
            <w:noWrap/>
            <w:vAlign w:val="bottom"/>
          </w:tcPr>
          <w:p w14:paraId="6A9244FF"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1 173 (38.88)</w:t>
            </w:r>
          </w:p>
        </w:tc>
        <w:tc>
          <w:tcPr>
            <w:tcW w:w="515" w:type="pct"/>
            <w:tcBorders>
              <w:top w:val="nil"/>
              <w:left w:val="nil"/>
              <w:bottom w:val="nil"/>
              <w:right w:val="nil"/>
            </w:tcBorders>
            <w:shd w:val="clear" w:color="auto" w:fill="auto"/>
            <w:vAlign w:val="bottom"/>
          </w:tcPr>
          <w:p w14:paraId="086DD749"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sz w:val="24"/>
                <w:szCs w:val="24"/>
                <w:lang w:eastAsia="en-US"/>
              </w:rPr>
              <w:t>&lt; .001</w:t>
            </w:r>
          </w:p>
        </w:tc>
      </w:tr>
      <w:tr w:rsidR="00952ED6" w:rsidRPr="00B066D2" w14:paraId="49F17D1D" w14:textId="77777777" w:rsidTr="00AF7A7B">
        <w:trPr>
          <w:trHeight w:val="300"/>
        </w:trPr>
        <w:tc>
          <w:tcPr>
            <w:tcW w:w="152" w:type="pct"/>
            <w:tcBorders>
              <w:top w:val="nil"/>
              <w:left w:val="nil"/>
              <w:bottom w:val="nil"/>
              <w:right w:val="nil"/>
            </w:tcBorders>
            <w:shd w:val="clear" w:color="auto" w:fill="auto"/>
            <w:noWrap/>
            <w:vAlign w:val="bottom"/>
          </w:tcPr>
          <w:p w14:paraId="1621B539"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left w:val="nil"/>
              <w:bottom w:val="nil"/>
              <w:right w:val="nil"/>
            </w:tcBorders>
            <w:shd w:val="clear" w:color="auto" w:fill="auto"/>
            <w:vAlign w:val="bottom"/>
          </w:tcPr>
          <w:p w14:paraId="263204E1"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Missing</w:t>
            </w:r>
          </w:p>
        </w:tc>
        <w:tc>
          <w:tcPr>
            <w:tcW w:w="1284" w:type="pct"/>
            <w:tcBorders>
              <w:top w:val="nil"/>
              <w:left w:val="nil"/>
              <w:bottom w:val="nil"/>
              <w:right w:val="nil"/>
            </w:tcBorders>
            <w:shd w:val="clear" w:color="auto" w:fill="auto"/>
            <w:vAlign w:val="bottom"/>
          </w:tcPr>
          <w:p w14:paraId="67F1F5EA"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112 (0.02)</w:t>
            </w:r>
          </w:p>
        </w:tc>
        <w:tc>
          <w:tcPr>
            <w:tcW w:w="1117" w:type="pct"/>
            <w:tcBorders>
              <w:top w:val="nil"/>
              <w:left w:val="nil"/>
              <w:bottom w:val="nil"/>
              <w:right w:val="nil"/>
            </w:tcBorders>
            <w:shd w:val="clear" w:color="auto" w:fill="auto"/>
            <w:noWrap/>
            <w:vAlign w:val="bottom"/>
          </w:tcPr>
          <w:p w14:paraId="48740B77"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7 (0.23)</w:t>
            </w:r>
          </w:p>
        </w:tc>
        <w:tc>
          <w:tcPr>
            <w:tcW w:w="515" w:type="pct"/>
            <w:tcBorders>
              <w:top w:val="nil"/>
              <w:left w:val="nil"/>
              <w:bottom w:val="nil"/>
              <w:right w:val="nil"/>
            </w:tcBorders>
            <w:shd w:val="clear" w:color="auto" w:fill="auto"/>
            <w:vAlign w:val="bottom"/>
          </w:tcPr>
          <w:p w14:paraId="26E8BEEE"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p>
        </w:tc>
      </w:tr>
      <w:tr w:rsidR="00952ED6" w:rsidRPr="00B066D2" w14:paraId="7A918AC1" w14:textId="77777777" w:rsidTr="00AF7A7B">
        <w:trPr>
          <w:trHeight w:val="300"/>
        </w:trPr>
        <w:tc>
          <w:tcPr>
            <w:tcW w:w="2084" w:type="pct"/>
            <w:gridSpan w:val="2"/>
            <w:tcBorders>
              <w:top w:val="nil"/>
              <w:left w:val="nil"/>
              <w:bottom w:val="nil"/>
              <w:right w:val="nil"/>
            </w:tcBorders>
            <w:shd w:val="clear" w:color="auto" w:fill="auto"/>
            <w:noWrap/>
            <w:vAlign w:val="bottom"/>
          </w:tcPr>
          <w:p w14:paraId="50599468"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Comorbidity</w:t>
            </w:r>
          </w:p>
        </w:tc>
        <w:tc>
          <w:tcPr>
            <w:tcW w:w="1284" w:type="pct"/>
            <w:tcBorders>
              <w:top w:val="nil"/>
              <w:left w:val="nil"/>
              <w:bottom w:val="nil"/>
              <w:right w:val="nil"/>
            </w:tcBorders>
            <w:shd w:val="clear" w:color="auto" w:fill="auto"/>
            <w:vAlign w:val="bottom"/>
          </w:tcPr>
          <w:p w14:paraId="179F2F94"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p>
        </w:tc>
        <w:tc>
          <w:tcPr>
            <w:tcW w:w="1117" w:type="pct"/>
            <w:tcBorders>
              <w:top w:val="nil"/>
              <w:left w:val="nil"/>
              <w:bottom w:val="nil"/>
              <w:right w:val="nil"/>
            </w:tcBorders>
            <w:shd w:val="clear" w:color="auto" w:fill="auto"/>
            <w:noWrap/>
            <w:vAlign w:val="bottom"/>
          </w:tcPr>
          <w:p w14:paraId="50F0F36B"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p>
        </w:tc>
        <w:tc>
          <w:tcPr>
            <w:tcW w:w="515" w:type="pct"/>
            <w:tcBorders>
              <w:top w:val="nil"/>
              <w:left w:val="nil"/>
              <w:bottom w:val="nil"/>
              <w:right w:val="nil"/>
            </w:tcBorders>
            <w:shd w:val="clear" w:color="auto" w:fill="auto"/>
            <w:vAlign w:val="bottom"/>
          </w:tcPr>
          <w:p w14:paraId="46B7219E"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p>
        </w:tc>
      </w:tr>
      <w:tr w:rsidR="00952ED6" w:rsidRPr="00B066D2" w14:paraId="09D9A703" w14:textId="77777777" w:rsidTr="00AF7A7B">
        <w:trPr>
          <w:trHeight w:val="300"/>
        </w:trPr>
        <w:tc>
          <w:tcPr>
            <w:tcW w:w="152" w:type="pct"/>
            <w:tcBorders>
              <w:top w:val="nil"/>
              <w:left w:val="nil"/>
              <w:bottom w:val="nil"/>
              <w:right w:val="nil"/>
            </w:tcBorders>
            <w:shd w:val="clear" w:color="auto" w:fill="auto"/>
            <w:noWrap/>
            <w:vAlign w:val="bottom"/>
          </w:tcPr>
          <w:p w14:paraId="3C84FE95"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left w:val="nil"/>
              <w:bottom w:val="nil"/>
              <w:right w:val="nil"/>
            </w:tcBorders>
            <w:shd w:val="clear" w:color="auto" w:fill="auto"/>
            <w:vAlign w:val="bottom"/>
          </w:tcPr>
          <w:p w14:paraId="55276654" w14:textId="77777777" w:rsidR="00952ED6" w:rsidRPr="00B066D2" w:rsidRDefault="00952ED6" w:rsidP="00005FA4">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Depressi</w:t>
            </w:r>
            <w:r>
              <w:rPr>
                <w:rFonts w:ascii="Times New Roman" w:eastAsia="Times New Roman" w:hAnsi="Times New Roman" w:cs="Times New Roman"/>
                <w:color w:val="000000"/>
                <w:sz w:val="24"/>
                <w:szCs w:val="24"/>
                <w:lang w:eastAsia="en-US"/>
              </w:rPr>
              <w:t>on</w:t>
            </w:r>
          </w:p>
        </w:tc>
        <w:tc>
          <w:tcPr>
            <w:tcW w:w="1284" w:type="pct"/>
            <w:tcBorders>
              <w:top w:val="nil"/>
              <w:left w:val="nil"/>
              <w:bottom w:val="nil"/>
              <w:right w:val="nil"/>
            </w:tcBorders>
            <w:shd w:val="clear" w:color="auto" w:fill="auto"/>
            <w:vAlign w:val="bottom"/>
          </w:tcPr>
          <w:p w14:paraId="638D9A4D"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8 788 (1.87)</w:t>
            </w:r>
          </w:p>
        </w:tc>
        <w:tc>
          <w:tcPr>
            <w:tcW w:w="1117" w:type="pct"/>
            <w:tcBorders>
              <w:top w:val="nil"/>
              <w:left w:val="nil"/>
              <w:bottom w:val="nil"/>
              <w:right w:val="nil"/>
            </w:tcBorders>
            <w:shd w:val="clear" w:color="auto" w:fill="auto"/>
            <w:noWrap/>
            <w:vAlign w:val="bottom"/>
          </w:tcPr>
          <w:p w14:paraId="4A656A7E"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884 (29.30)</w:t>
            </w:r>
          </w:p>
        </w:tc>
        <w:tc>
          <w:tcPr>
            <w:tcW w:w="515" w:type="pct"/>
            <w:tcBorders>
              <w:top w:val="nil"/>
              <w:left w:val="nil"/>
              <w:bottom w:val="nil"/>
              <w:right w:val="nil"/>
            </w:tcBorders>
            <w:shd w:val="clear" w:color="auto" w:fill="auto"/>
            <w:vAlign w:val="bottom"/>
          </w:tcPr>
          <w:p w14:paraId="2FB33A8B"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sz w:val="24"/>
                <w:szCs w:val="24"/>
                <w:lang w:eastAsia="en-US"/>
              </w:rPr>
              <w:t>&lt; .001</w:t>
            </w:r>
          </w:p>
        </w:tc>
      </w:tr>
      <w:tr w:rsidR="00952ED6" w:rsidRPr="00B066D2" w14:paraId="04F14CA5" w14:textId="77777777" w:rsidTr="00AF7A7B">
        <w:trPr>
          <w:trHeight w:val="300"/>
        </w:trPr>
        <w:tc>
          <w:tcPr>
            <w:tcW w:w="152" w:type="pct"/>
            <w:tcBorders>
              <w:top w:val="nil"/>
              <w:left w:val="nil"/>
              <w:bottom w:val="nil"/>
              <w:right w:val="nil"/>
            </w:tcBorders>
            <w:shd w:val="clear" w:color="auto" w:fill="auto"/>
            <w:noWrap/>
            <w:vAlign w:val="bottom"/>
          </w:tcPr>
          <w:p w14:paraId="7DE8E09F"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left w:val="nil"/>
              <w:bottom w:val="nil"/>
              <w:right w:val="nil"/>
            </w:tcBorders>
            <w:shd w:val="clear" w:color="auto" w:fill="auto"/>
            <w:vAlign w:val="bottom"/>
          </w:tcPr>
          <w:p w14:paraId="69FE3F5A" w14:textId="77777777" w:rsidR="00952ED6" w:rsidRPr="00B066D2" w:rsidRDefault="00952ED6" w:rsidP="00005FA4">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Anxiety</w:t>
            </w:r>
          </w:p>
        </w:tc>
        <w:tc>
          <w:tcPr>
            <w:tcW w:w="1284" w:type="pct"/>
            <w:tcBorders>
              <w:top w:val="nil"/>
              <w:left w:val="nil"/>
              <w:bottom w:val="nil"/>
              <w:right w:val="nil"/>
            </w:tcBorders>
            <w:shd w:val="clear" w:color="auto" w:fill="auto"/>
            <w:vAlign w:val="bottom"/>
          </w:tcPr>
          <w:p w14:paraId="59D148D2"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9 518 (2.03)</w:t>
            </w:r>
          </w:p>
        </w:tc>
        <w:tc>
          <w:tcPr>
            <w:tcW w:w="1117" w:type="pct"/>
            <w:tcBorders>
              <w:top w:val="nil"/>
              <w:left w:val="nil"/>
              <w:bottom w:val="nil"/>
              <w:right w:val="nil"/>
            </w:tcBorders>
            <w:shd w:val="clear" w:color="auto" w:fill="auto"/>
            <w:noWrap/>
            <w:vAlign w:val="bottom"/>
          </w:tcPr>
          <w:p w14:paraId="4CE3740F"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970 (32.15)</w:t>
            </w:r>
          </w:p>
        </w:tc>
        <w:tc>
          <w:tcPr>
            <w:tcW w:w="515" w:type="pct"/>
            <w:tcBorders>
              <w:top w:val="nil"/>
              <w:left w:val="nil"/>
              <w:bottom w:val="nil"/>
              <w:right w:val="nil"/>
            </w:tcBorders>
            <w:shd w:val="clear" w:color="auto" w:fill="auto"/>
            <w:vAlign w:val="bottom"/>
          </w:tcPr>
          <w:p w14:paraId="4CE84023"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sz w:val="24"/>
                <w:szCs w:val="24"/>
                <w:lang w:eastAsia="en-US"/>
              </w:rPr>
              <w:t>&lt; .001</w:t>
            </w:r>
          </w:p>
        </w:tc>
      </w:tr>
      <w:tr w:rsidR="00952ED6" w:rsidRPr="00B066D2" w14:paraId="773AB58D" w14:textId="77777777" w:rsidTr="00AF7A7B">
        <w:trPr>
          <w:trHeight w:val="300"/>
        </w:trPr>
        <w:tc>
          <w:tcPr>
            <w:tcW w:w="152" w:type="pct"/>
            <w:tcBorders>
              <w:top w:val="nil"/>
              <w:left w:val="nil"/>
              <w:bottom w:val="nil"/>
              <w:right w:val="nil"/>
            </w:tcBorders>
            <w:shd w:val="clear" w:color="auto" w:fill="auto"/>
            <w:noWrap/>
            <w:vAlign w:val="bottom"/>
          </w:tcPr>
          <w:p w14:paraId="381605D2"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left w:val="nil"/>
              <w:bottom w:val="nil"/>
              <w:right w:val="nil"/>
            </w:tcBorders>
            <w:shd w:val="clear" w:color="auto" w:fill="auto"/>
            <w:vAlign w:val="bottom"/>
          </w:tcPr>
          <w:p w14:paraId="3FEA25C0" w14:textId="77777777" w:rsidR="00952ED6" w:rsidRPr="00B066D2" w:rsidRDefault="00952ED6" w:rsidP="00347423">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Substance use disorder</w:t>
            </w:r>
          </w:p>
        </w:tc>
        <w:tc>
          <w:tcPr>
            <w:tcW w:w="1284" w:type="pct"/>
            <w:tcBorders>
              <w:top w:val="nil"/>
              <w:left w:val="nil"/>
              <w:bottom w:val="nil"/>
              <w:right w:val="nil"/>
            </w:tcBorders>
            <w:shd w:val="clear" w:color="auto" w:fill="auto"/>
            <w:vAlign w:val="bottom"/>
          </w:tcPr>
          <w:p w14:paraId="14B71623"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13 957 (2.97)</w:t>
            </w:r>
          </w:p>
        </w:tc>
        <w:tc>
          <w:tcPr>
            <w:tcW w:w="1117" w:type="pct"/>
            <w:tcBorders>
              <w:top w:val="nil"/>
              <w:left w:val="nil"/>
              <w:bottom w:val="nil"/>
              <w:right w:val="nil"/>
            </w:tcBorders>
            <w:shd w:val="clear" w:color="auto" w:fill="auto"/>
            <w:noWrap/>
            <w:vAlign w:val="bottom"/>
          </w:tcPr>
          <w:p w14:paraId="4ED8F8F5" w14:textId="77777777" w:rsidR="00952ED6" w:rsidRPr="00B066D2" w:rsidRDefault="00952ED6" w:rsidP="00347423">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1 060 (35.13)</w:t>
            </w:r>
          </w:p>
        </w:tc>
        <w:tc>
          <w:tcPr>
            <w:tcW w:w="515" w:type="pct"/>
            <w:tcBorders>
              <w:top w:val="nil"/>
              <w:left w:val="nil"/>
              <w:bottom w:val="nil"/>
              <w:right w:val="nil"/>
            </w:tcBorders>
            <w:shd w:val="clear" w:color="auto" w:fill="auto"/>
            <w:vAlign w:val="bottom"/>
          </w:tcPr>
          <w:p w14:paraId="74D3AA57" w14:textId="77777777" w:rsidR="00952ED6" w:rsidRPr="00B066D2" w:rsidRDefault="00952ED6" w:rsidP="00347423">
            <w:pPr>
              <w:spacing w:after="100" w:afterAutospacing="1" w:line="240" w:lineRule="auto"/>
              <w:jc w:val="center"/>
              <w:rPr>
                <w:rFonts w:ascii="Times New Roman" w:eastAsia="Times New Roman" w:hAnsi="Times New Roman" w:cs="Times New Roman"/>
                <w:sz w:val="24"/>
                <w:szCs w:val="24"/>
                <w:lang w:eastAsia="en-US"/>
              </w:rPr>
            </w:pPr>
            <w:r w:rsidRPr="00B066D2">
              <w:rPr>
                <w:rFonts w:ascii="Times New Roman" w:eastAsia="Times New Roman" w:hAnsi="Times New Roman" w:cs="Times New Roman"/>
                <w:sz w:val="24"/>
                <w:szCs w:val="24"/>
                <w:lang w:eastAsia="en-US"/>
              </w:rPr>
              <w:t>&lt; .001</w:t>
            </w:r>
          </w:p>
        </w:tc>
      </w:tr>
      <w:tr w:rsidR="00952ED6" w:rsidRPr="00B066D2" w14:paraId="1413075F" w14:textId="77777777" w:rsidTr="00AF7A7B">
        <w:trPr>
          <w:trHeight w:val="300"/>
        </w:trPr>
        <w:tc>
          <w:tcPr>
            <w:tcW w:w="2084" w:type="pct"/>
            <w:gridSpan w:val="2"/>
            <w:tcBorders>
              <w:top w:val="nil"/>
              <w:bottom w:val="nil"/>
            </w:tcBorders>
            <w:shd w:val="clear" w:color="auto" w:fill="F2F2F2" w:themeFill="background1" w:themeFillShade="F2"/>
            <w:noWrap/>
            <w:vAlign w:val="bottom"/>
          </w:tcPr>
          <w:p w14:paraId="2253DC6F" w14:textId="77777777" w:rsidR="00952ED6" w:rsidRPr="00B066D2" w:rsidRDefault="00952ED6" w:rsidP="00AD3777">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Full siblings of index males (n=523 237)</w:t>
            </w:r>
          </w:p>
        </w:tc>
        <w:tc>
          <w:tcPr>
            <w:tcW w:w="1284" w:type="pct"/>
            <w:tcBorders>
              <w:top w:val="nil"/>
              <w:bottom w:val="nil"/>
            </w:tcBorders>
            <w:shd w:val="clear" w:color="auto" w:fill="F2F2F2" w:themeFill="background1" w:themeFillShade="F2"/>
            <w:vAlign w:val="bottom"/>
          </w:tcPr>
          <w:p w14:paraId="063C4BB2"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p>
        </w:tc>
        <w:tc>
          <w:tcPr>
            <w:tcW w:w="1117" w:type="pct"/>
            <w:tcBorders>
              <w:top w:val="nil"/>
              <w:bottom w:val="nil"/>
            </w:tcBorders>
            <w:shd w:val="clear" w:color="auto" w:fill="F2F2F2" w:themeFill="background1" w:themeFillShade="F2"/>
            <w:noWrap/>
            <w:vAlign w:val="bottom"/>
          </w:tcPr>
          <w:p w14:paraId="52309613"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p>
        </w:tc>
        <w:tc>
          <w:tcPr>
            <w:tcW w:w="515" w:type="pct"/>
            <w:tcBorders>
              <w:top w:val="nil"/>
              <w:bottom w:val="nil"/>
            </w:tcBorders>
            <w:shd w:val="clear" w:color="auto" w:fill="F2F2F2" w:themeFill="background1" w:themeFillShade="F2"/>
            <w:vAlign w:val="bottom"/>
          </w:tcPr>
          <w:p w14:paraId="2CFA2966" w14:textId="77777777" w:rsidR="00952ED6" w:rsidRPr="00B066D2" w:rsidRDefault="00952ED6" w:rsidP="00331F8E">
            <w:pPr>
              <w:spacing w:after="100" w:afterAutospacing="1" w:line="240" w:lineRule="auto"/>
              <w:jc w:val="center"/>
              <w:rPr>
                <w:rFonts w:ascii="Times New Roman" w:eastAsia="Times New Roman" w:hAnsi="Times New Roman" w:cs="Times New Roman"/>
                <w:color w:val="000000"/>
                <w:sz w:val="24"/>
                <w:szCs w:val="24"/>
                <w:lang w:eastAsia="en-US"/>
              </w:rPr>
            </w:pPr>
          </w:p>
        </w:tc>
      </w:tr>
      <w:tr w:rsidR="00952ED6" w:rsidRPr="00B066D2" w14:paraId="74A37B88" w14:textId="77777777" w:rsidTr="00AF7A7B">
        <w:trPr>
          <w:trHeight w:val="300"/>
        </w:trPr>
        <w:tc>
          <w:tcPr>
            <w:tcW w:w="2084" w:type="pct"/>
            <w:gridSpan w:val="2"/>
            <w:tcBorders>
              <w:top w:val="nil"/>
              <w:bottom w:val="nil"/>
            </w:tcBorders>
            <w:shd w:val="clear" w:color="auto" w:fill="auto"/>
            <w:noWrap/>
            <w:vAlign w:val="bottom"/>
          </w:tcPr>
          <w:p w14:paraId="390E8EC5" w14:textId="77777777" w:rsidR="00952ED6" w:rsidRPr="00B066D2" w:rsidRDefault="00952ED6" w:rsidP="00AD3777">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Total, n (%)</w:t>
            </w:r>
          </w:p>
        </w:tc>
        <w:tc>
          <w:tcPr>
            <w:tcW w:w="1284" w:type="pct"/>
            <w:tcBorders>
              <w:top w:val="nil"/>
              <w:bottom w:val="nil"/>
            </w:tcBorders>
            <w:shd w:val="clear" w:color="auto" w:fill="auto"/>
            <w:vAlign w:val="bottom"/>
          </w:tcPr>
          <w:p w14:paraId="7E87EB70"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518 675 (99.13)</w:t>
            </w:r>
          </w:p>
        </w:tc>
        <w:tc>
          <w:tcPr>
            <w:tcW w:w="1117" w:type="pct"/>
            <w:tcBorders>
              <w:top w:val="nil"/>
              <w:bottom w:val="nil"/>
            </w:tcBorders>
            <w:shd w:val="clear" w:color="auto" w:fill="auto"/>
            <w:noWrap/>
            <w:vAlign w:val="bottom"/>
          </w:tcPr>
          <w:p w14:paraId="3F6019A7"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4 562 (0.87)</w:t>
            </w:r>
          </w:p>
        </w:tc>
        <w:tc>
          <w:tcPr>
            <w:tcW w:w="515" w:type="pct"/>
            <w:tcBorders>
              <w:top w:val="nil"/>
              <w:bottom w:val="nil"/>
            </w:tcBorders>
            <w:shd w:val="clear" w:color="auto" w:fill="auto"/>
            <w:vAlign w:val="bottom"/>
          </w:tcPr>
          <w:p w14:paraId="64C50025" w14:textId="77777777" w:rsidR="00952ED6" w:rsidRPr="00B066D2" w:rsidRDefault="00952ED6" w:rsidP="00331F8E">
            <w:pPr>
              <w:spacing w:after="100" w:afterAutospacing="1" w:line="240" w:lineRule="auto"/>
              <w:jc w:val="center"/>
              <w:rPr>
                <w:rFonts w:ascii="Times New Roman" w:eastAsia="Times New Roman" w:hAnsi="Times New Roman" w:cs="Times New Roman"/>
                <w:color w:val="000000"/>
                <w:sz w:val="24"/>
                <w:szCs w:val="24"/>
                <w:lang w:eastAsia="en-US"/>
              </w:rPr>
            </w:pPr>
          </w:p>
        </w:tc>
      </w:tr>
      <w:tr w:rsidR="00952ED6" w:rsidRPr="00B066D2" w14:paraId="77E747E4" w14:textId="77777777" w:rsidTr="00AF7A7B">
        <w:trPr>
          <w:trHeight w:val="300"/>
        </w:trPr>
        <w:tc>
          <w:tcPr>
            <w:tcW w:w="2084" w:type="pct"/>
            <w:gridSpan w:val="2"/>
            <w:tcBorders>
              <w:top w:val="nil"/>
              <w:bottom w:val="nil"/>
            </w:tcBorders>
            <w:shd w:val="clear" w:color="auto" w:fill="auto"/>
            <w:noWrap/>
            <w:vAlign w:val="bottom"/>
          </w:tcPr>
          <w:p w14:paraId="3EC7066B" w14:textId="77777777" w:rsidR="00952ED6" w:rsidRPr="00B066D2" w:rsidRDefault="00952ED6" w:rsidP="00AD3777">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Sex, n (%)</w:t>
            </w:r>
          </w:p>
        </w:tc>
        <w:tc>
          <w:tcPr>
            <w:tcW w:w="1284" w:type="pct"/>
            <w:tcBorders>
              <w:top w:val="nil"/>
              <w:bottom w:val="nil"/>
            </w:tcBorders>
            <w:shd w:val="clear" w:color="auto" w:fill="auto"/>
            <w:vAlign w:val="bottom"/>
          </w:tcPr>
          <w:p w14:paraId="744E1401"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p>
        </w:tc>
        <w:tc>
          <w:tcPr>
            <w:tcW w:w="1117" w:type="pct"/>
            <w:tcBorders>
              <w:top w:val="nil"/>
              <w:bottom w:val="nil"/>
            </w:tcBorders>
            <w:shd w:val="clear" w:color="auto" w:fill="auto"/>
            <w:noWrap/>
            <w:vAlign w:val="bottom"/>
          </w:tcPr>
          <w:p w14:paraId="72626219"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p>
        </w:tc>
        <w:tc>
          <w:tcPr>
            <w:tcW w:w="515" w:type="pct"/>
            <w:tcBorders>
              <w:top w:val="nil"/>
              <w:bottom w:val="nil"/>
            </w:tcBorders>
            <w:shd w:val="clear" w:color="auto" w:fill="auto"/>
            <w:vAlign w:val="bottom"/>
          </w:tcPr>
          <w:p w14:paraId="435A3D1D" w14:textId="77777777" w:rsidR="00952ED6" w:rsidRPr="00B066D2" w:rsidRDefault="00952ED6" w:rsidP="00331F8E">
            <w:pPr>
              <w:spacing w:after="100" w:afterAutospacing="1" w:line="240" w:lineRule="auto"/>
              <w:jc w:val="center"/>
              <w:rPr>
                <w:rFonts w:ascii="Times New Roman" w:eastAsia="Times New Roman" w:hAnsi="Times New Roman" w:cs="Times New Roman"/>
                <w:color w:val="000000"/>
                <w:sz w:val="24"/>
                <w:szCs w:val="24"/>
                <w:lang w:eastAsia="en-US"/>
              </w:rPr>
            </w:pPr>
          </w:p>
        </w:tc>
      </w:tr>
      <w:tr w:rsidR="00952ED6" w:rsidRPr="00B066D2" w14:paraId="6403CB67" w14:textId="77777777" w:rsidTr="00AF7A7B">
        <w:trPr>
          <w:trHeight w:val="300"/>
        </w:trPr>
        <w:tc>
          <w:tcPr>
            <w:tcW w:w="152" w:type="pct"/>
            <w:tcBorders>
              <w:top w:val="nil"/>
              <w:bottom w:val="nil"/>
            </w:tcBorders>
            <w:shd w:val="clear" w:color="auto" w:fill="auto"/>
            <w:noWrap/>
            <w:vAlign w:val="bottom"/>
          </w:tcPr>
          <w:p w14:paraId="7EBDE52B" w14:textId="77777777" w:rsidR="00952ED6" w:rsidRPr="00B066D2" w:rsidRDefault="00952ED6" w:rsidP="00AD3777">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bottom w:val="nil"/>
            </w:tcBorders>
            <w:shd w:val="clear" w:color="auto" w:fill="auto"/>
            <w:vAlign w:val="bottom"/>
          </w:tcPr>
          <w:p w14:paraId="560D9FD3" w14:textId="77777777" w:rsidR="00952ED6" w:rsidRPr="00B066D2" w:rsidRDefault="00952ED6" w:rsidP="00AD3777">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Male</w:t>
            </w:r>
          </w:p>
        </w:tc>
        <w:tc>
          <w:tcPr>
            <w:tcW w:w="1284" w:type="pct"/>
            <w:tcBorders>
              <w:top w:val="nil"/>
              <w:bottom w:val="nil"/>
            </w:tcBorders>
            <w:shd w:val="clear" w:color="auto" w:fill="auto"/>
            <w:vAlign w:val="bottom"/>
          </w:tcPr>
          <w:p w14:paraId="63B94F92"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266 599 (98.90)</w:t>
            </w:r>
          </w:p>
        </w:tc>
        <w:tc>
          <w:tcPr>
            <w:tcW w:w="1117" w:type="pct"/>
            <w:tcBorders>
              <w:top w:val="nil"/>
              <w:bottom w:val="nil"/>
            </w:tcBorders>
            <w:shd w:val="clear" w:color="auto" w:fill="auto"/>
            <w:noWrap/>
            <w:vAlign w:val="bottom"/>
          </w:tcPr>
          <w:p w14:paraId="572E7FC9"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2 975 (1.10)</w:t>
            </w:r>
          </w:p>
        </w:tc>
        <w:tc>
          <w:tcPr>
            <w:tcW w:w="515" w:type="pct"/>
            <w:tcBorders>
              <w:top w:val="nil"/>
              <w:bottom w:val="nil"/>
            </w:tcBorders>
            <w:shd w:val="clear" w:color="auto" w:fill="auto"/>
            <w:vAlign w:val="bottom"/>
          </w:tcPr>
          <w:p w14:paraId="2DE92381" w14:textId="77777777" w:rsidR="00952ED6" w:rsidRPr="00B066D2" w:rsidRDefault="00952ED6" w:rsidP="00331F8E">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Reference</w:t>
            </w:r>
          </w:p>
        </w:tc>
      </w:tr>
      <w:tr w:rsidR="00952ED6" w:rsidRPr="00B066D2" w14:paraId="64895DA9" w14:textId="77777777" w:rsidTr="00AF7A7B">
        <w:trPr>
          <w:trHeight w:val="300"/>
        </w:trPr>
        <w:tc>
          <w:tcPr>
            <w:tcW w:w="152" w:type="pct"/>
            <w:tcBorders>
              <w:top w:val="nil"/>
              <w:bottom w:val="nil"/>
            </w:tcBorders>
            <w:shd w:val="clear" w:color="auto" w:fill="auto"/>
            <w:noWrap/>
            <w:vAlign w:val="bottom"/>
          </w:tcPr>
          <w:p w14:paraId="009F0976" w14:textId="77777777" w:rsidR="00952ED6" w:rsidRPr="00B066D2" w:rsidRDefault="00952ED6" w:rsidP="00AD3777">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bottom w:val="nil"/>
            </w:tcBorders>
            <w:shd w:val="clear" w:color="auto" w:fill="auto"/>
            <w:vAlign w:val="bottom"/>
          </w:tcPr>
          <w:p w14:paraId="703A9B94" w14:textId="77777777" w:rsidR="00952ED6" w:rsidRPr="00B066D2" w:rsidRDefault="00952ED6" w:rsidP="00AD3777">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Female</w:t>
            </w:r>
          </w:p>
        </w:tc>
        <w:tc>
          <w:tcPr>
            <w:tcW w:w="1284" w:type="pct"/>
            <w:tcBorders>
              <w:top w:val="nil"/>
              <w:bottom w:val="nil"/>
            </w:tcBorders>
            <w:shd w:val="clear" w:color="auto" w:fill="auto"/>
            <w:vAlign w:val="bottom"/>
          </w:tcPr>
          <w:p w14:paraId="136F60F3"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252 076 (99.37)</w:t>
            </w:r>
          </w:p>
        </w:tc>
        <w:tc>
          <w:tcPr>
            <w:tcW w:w="1117" w:type="pct"/>
            <w:tcBorders>
              <w:top w:val="nil"/>
              <w:bottom w:val="nil"/>
            </w:tcBorders>
            <w:shd w:val="clear" w:color="auto" w:fill="auto"/>
            <w:noWrap/>
            <w:vAlign w:val="bottom"/>
          </w:tcPr>
          <w:p w14:paraId="32E703C0"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1 587 (0.63)</w:t>
            </w:r>
          </w:p>
        </w:tc>
        <w:tc>
          <w:tcPr>
            <w:tcW w:w="515" w:type="pct"/>
            <w:tcBorders>
              <w:top w:val="nil"/>
              <w:bottom w:val="nil"/>
            </w:tcBorders>
            <w:shd w:val="clear" w:color="auto" w:fill="auto"/>
            <w:vAlign w:val="bottom"/>
          </w:tcPr>
          <w:p w14:paraId="63879C70" w14:textId="77777777" w:rsidR="00952ED6" w:rsidRPr="00B066D2" w:rsidRDefault="00952ED6" w:rsidP="00331F8E">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&lt; .001</w:t>
            </w:r>
          </w:p>
        </w:tc>
      </w:tr>
      <w:tr w:rsidR="00952ED6" w:rsidRPr="00B066D2" w14:paraId="0D979717" w14:textId="77777777" w:rsidTr="00AF7A7B">
        <w:trPr>
          <w:trHeight w:val="300"/>
        </w:trPr>
        <w:tc>
          <w:tcPr>
            <w:tcW w:w="2084" w:type="pct"/>
            <w:gridSpan w:val="2"/>
            <w:tcBorders>
              <w:top w:val="nil"/>
              <w:bottom w:val="nil"/>
            </w:tcBorders>
            <w:shd w:val="clear" w:color="auto" w:fill="auto"/>
            <w:noWrap/>
            <w:vAlign w:val="bottom"/>
          </w:tcPr>
          <w:p w14:paraId="04DB0898" w14:textId="77777777" w:rsidR="00952ED6" w:rsidRPr="00B066D2" w:rsidRDefault="00952ED6" w:rsidP="00AD3777">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 xml:space="preserve">BMI of index male </w:t>
            </w:r>
          </w:p>
        </w:tc>
        <w:tc>
          <w:tcPr>
            <w:tcW w:w="1284" w:type="pct"/>
            <w:tcBorders>
              <w:top w:val="nil"/>
              <w:bottom w:val="nil"/>
            </w:tcBorders>
            <w:shd w:val="clear" w:color="auto" w:fill="auto"/>
            <w:vAlign w:val="bottom"/>
          </w:tcPr>
          <w:p w14:paraId="61E56DC8" w14:textId="77777777" w:rsidR="00952ED6" w:rsidRPr="00B066D2" w:rsidRDefault="00952ED6" w:rsidP="00277310">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1117" w:type="pct"/>
            <w:tcBorders>
              <w:top w:val="nil"/>
              <w:bottom w:val="nil"/>
            </w:tcBorders>
            <w:shd w:val="clear" w:color="auto" w:fill="auto"/>
            <w:noWrap/>
            <w:vAlign w:val="bottom"/>
          </w:tcPr>
          <w:p w14:paraId="39B18532"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p>
        </w:tc>
        <w:tc>
          <w:tcPr>
            <w:tcW w:w="515" w:type="pct"/>
            <w:tcBorders>
              <w:top w:val="nil"/>
              <w:bottom w:val="nil"/>
            </w:tcBorders>
            <w:shd w:val="clear" w:color="auto" w:fill="auto"/>
            <w:vAlign w:val="bottom"/>
          </w:tcPr>
          <w:p w14:paraId="6A4FAC73" w14:textId="77777777" w:rsidR="00952ED6" w:rsidRPr="00B066D2" w:rsidRDefault="00952ED6" w:rsidP="00331F8E">
            <w:pPr>
              <w:spacing w:after="100" w:afterAutospacing="1" w:line="240" w:lineRule="auto"/>
              <w:jc w:val="center"/>
              <w:rPr>
                <w:rFonts w:ascii="Times New Roman" w:eastAsia="Times New Roman" w:hAnsi="Times New Roman" w:cs="Times New Roman"/>
                <w:color w:val="000000"/>
                <w:sz w:val="24"/>
                <w:szCs w:val="24"/>
                <w:lang w:eastAsia="en-US"/>
              </w:rPr>
            </w:pPr>
          </w:p>
        </w:tc>
      </w:tr>
      <w:tr w:rsidR="00952ED6" w:rsidRPr="00B066D2" w14:paraId="4DF16C06" w14:textId="77777777" w:rsidTr="00AF7A7B">
        <w:trPr>
          <w:trHeight w:val="300"/>
        </w:trPr>
        <w:tc>
          <w:tcPr>
            <w:tcW w:w="152" w:type="pct"/>
            <w:tcBorders>
              <w:top w:val="nil"/>
              <w:bottom w:val="nil"/>
            </w:tcBorders>
            <w:shd w:val="clear" w:color="auto" w:fill="auto"/>
            <w:noWrap/>
            <w:vAlign w:val="bottom"/>
          </w:tcPr>
          <w:p w14:paraId="0B8C02A2" w14:textId="77777777" w:rsidR="00952ED6" w:rsidRPr="00B066D2" w:rsidRDefault="00952ED6" w:rsidP="00AD3777">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bottom w:val="nil"/>
            </w:tcBorders>
            <w:shd w:val="clear" w:color="auto" w:fill="auto"/>
            <w:vAlign w:val="bottom"/>
          </w:tcPr>
          <w:p w14:paraId="154DB9F3" w14:textId="77777777" w:rsidR="00952ED6" w:rsidRPr="00B066D2" w:rsidRDefault="00952ED6" w:rsidP="00AD3777">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Normal weight</w:t>
            </w:r>
          </w:p>
        </w:tc>
        <w:tc>
          <w:tcPr>
            <w:tcW w:w="1284" w:type="pct"/>
            <w:tcBorders>
              <w:top w:val="nil"/>
              <w:bottom w:val="nil"/>
            </w:tcBorders>
            <w:shd w:val="clear" w:color="auto" w:fill="auto"/>
            <w:vAlign w:val="bottom"/>
          </w:tcPr>
          <w:p w14:paraId="61E3627C" w14:textId="77777777" w:rsidR="00952ED6" w:rsidRPr="00B066D2" w:rsidRDefault="00952ED6" w:rsidP="00277310">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422 437 (81.45)</w:t>
            </w:r>
          </w:p>
        </w:tc>
        <w:tc>
          <w:tcPr>
            <w:tcW w:w="1117" w:type="pct"/>
            <w:tcBorders>
              <w:top w:val="nil"/>
              <w:bottom w:val="nil"/>
            </w:tcBorders>
            <w:shd w:val="clear" w:color="auto" w:fill="auto"/>
            <w:noWrap/>
            <w:vAlign w:val="bottom"/>
          </w:tcPr>
          <w:p w14:paraId="6B462CA0"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3 552 (77.86)</w:t>
            </w:r>
          </w:p>
        </w:tc>
        <w:tc>
          <w:tcPr>
            <w:tcW w:w="515" w:type="pct"/>
            <w:tcBorders>
              <w:top w:val="nil"/>
              <w:bottom w:val="nil"/>
            </w:tcBorders>
            <w:shd w:val="clear" w:color="auto" w:fill="auto"/>
            <w:vAlign w:val="bottom"/>
          </w:tcPr>
          <w:p w14:paraId="7E2AE072" w14:textId="77777777" w:rsidR="00952ED6" w:rsidRPr="00B066D2" w:rsidRDefault="00952ED6" w:rsidP="00331F8E">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Reference</w:t>
            </w:r>
          </w:p>
        </w:tc>
      </w:tr>
      <w:tr w:rsidR="00952ED6" w:rsidRPr="00B066D2" w14:paraId="275A7DB4" w14:textId="77777777" w:rsidTr="00AF7A7B">
        <w:trPr>
          <w:trHeight w:val="300"/>
        </w:trPr>
        <w:tc>
          <w:tcPr>
            <w:tcW w:w="152" w:type="pct"/>
            <w:tcBorders>
              <w:top w:val="nil"/>
              <w:bottom w:val="nil"/>
            </w:tcBorders>
            <w:shd w:val="clear" w:color="auto" w:fill="auto"/>
            <w:noWrap/>
            <w:vAlign w:val="bottom"/>
          </w:tcPr>
          <w:p w14:paraId="41CA10B3" w14:textId="77777777" w:rsidR="00952ED6" w:rsidRPr="00B066D2" w:rsidRDefault="00952ED6" w:rsidP="00AD3777">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bottom w:val="nil"/>
            </w:tcBorders>
            <w:shd w:val="clear" w:color="auto" w:fill="auto"/>
            <w:vAlign w:val="bottom"/>
          </w:tcPr>
          <w:p w14:paraId="7FEF79CA" w14:textId="77777777" w:rsidR="00952ED6" w:rsidRPr="00B066D2" w:rsidRDefault="00952ED6" w:rsidP="00AD3777">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Overweight</w:t>
            </w:r>
          </w:p>
        </w:tc>
        <w:tc>
          <w:tcPr>
            <w:tcW w:w="1284" w:type="pct"/>
            <w:tcBorders>
              <w:top w:val="nil"/>
              <w:bottom w:val="nil"/>
            </w:tcBorders>
            <w:shd w:val="clear" w:color="auto" w:fill="auto"/>
            <w:vAlign w:val="bottom"/>
          </w:tcPr>
          <w:p w14:paraId="212047A0" w14:textId="77777777" w:rsidR="00952ED6" w:rsidRPr="00B066D2" w:rsidRDefault="00952ED6" w:rsidP="00277310">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75 312 (14.52)</w:t>
            </w:r>
          </w:p>
        </w:tc>
        <w:tc>
          <w:tcPr>
            <w:tcW w:w="1117" w:type="pct"/>
            <w:tcBorders>
              <w:top w:val="nil"/>
              <w:bottom w:val="nil"/>
            </w:tcBorders>
            <w:shd w:val="clear" w:color="auto" w:fill="auto"/>
            <w:noWrap/>
            <w:vAlign w:val="bottom"/>
          </w:tcPr>
          <w:p w14:paraId="6E6887BC"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747 (16.37)</w:t>
            </w:r>
          </w:p>
        </w:tc>
        <w:tc>
          <w:tcPr>
            <w:tcW w:w="515" w:type="pct"/>
            <w:tcBorders>
              <w:top w:val="nil"/>
              <w:bottom w:val="nil"/>
            </w:tcBorders>
            <w:shd w:val="clear" w:color="auto" w:fill="auto"/>
            <w:vAlign w:val="bottom"/>
          </w:tcPr>
          <w:p w14:paraId="3B2C237E" w14:textId="77777777" w:rsidR="00952ED6" w:rsidRPr="00B066D2" w:rsidRDefault="00952ED6" w:rsidP="00331F8E">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&lt; .001</w:t>
            </w:r>
          </w:p>
        </w:tc>
      </w:tr>
      <w:tr w:rsidR="00952ED6" w:rsidRPr="00B066D2" w14:paraId="5057EE4C" w14:textId="77777777" w:rsidTr="00AF7A7B">
        <w:trPr>
          <w:trHeight w:val="300"/>
        </w:trPr>
        <w:tc>
          <w:tcPr>
            <w:tcW w:w="152" w:type="pct"/>
            <w:tcBorders>
              <w:top w:val="nil"/>
              <w:bottom w:val="nil"/>
            </w:tcBorders>
            <w:shd w:val="clear" w:color="auto" w:fill="auto"/>
            <w:noWrap/>
            <w:vAlign w:val="bottom"/>
          </w:tcPr>
          <w:p w14:paraId="55952F91" w14:textId="77777777" w:rsidR="00952ED6" w:rsidRPr="00B066D2" w:rsidRDefault="00952ED6" w:rsidP="00AD3777">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bottom w:val="nil"/>
            </w:tcBorders>
            <w:shd w:val="clear" w:color="auto" w:fill="auto"/>
            <w:vAlign w:val="bottom"/>
          </w:tcPr>
          <w:p w14:paraId="574EAAF6" w14:textId="77777777" w:rsidR="00952ED6" w:rsidRPr="00B066D2" w:rsidRDefault="00952ED6" w:rsidP="00AD3777">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Obesity</w:t>
            </w:r>
          </w:p>
        </w:tc>
        <w:tc>
          <w:tcPr>
            <w:tcW w:w="1284" w:type="pct"/>
            <w:tcBorders>
              <w:top w:val="nil"/>
              <w:bottom w:val="nil"/>
            </w:tcBorders>
            <w:shd w:val="clear" w:color="auto" w:fill="auto"/>
            <w:vAlign w:val="bottom"/>
          </w:tcPr>
          <w:p w14:paraId="00017EAE" w14:textId="77777777" w:rsidR="00952ED6" w:rsidRPr="00B066D2" w:rsidRDefault="00952ED6" w:rsidP="00277310">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20 926 (4.03)</w:t>
            </w:r>
          </w:p>
        </w:tc>
        <w:tc>
          <w:tcPr>
            <w:tcW w:w="1117" w:type="pct"/>
            <w:tcBorders>
              <w:top w:val="nil"/>
              <w:bottom w:val="nil"/>
            </w:tcBorders>
            <w:shd w:val="clear" w:color="auto" w:fill="auto"/>
            <w:noWrap/>
            <w:vAlign w:val="bottom"/>
          </w:tcPr>
          <w:p w14:paraId="54658E7C"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263 (5.77)</w:t>
            </w:r>
          </w:p>
        </w:tc>
        <w:tc>
          <w:tcPr>
            <w:tcW w:w="515" w:type="pct"/>
            <w:tcBorders>
              <w:top w:val="nil"/>
              <w:bottom w:val="nil"/>
            </w:tcBorders>
            <w:shd w:val="clear" w:color="auto" w:fill="auto"/>
            <w:vAlign w:val="bottom"/>
          </w:tcPr>
          <w:p w14:paraId="57180A81" w14:textId="77777777" w:rsidR="00952ED6" w:rsidRPr="00B066D2" w:rsidRDefault="00952ED6" w:rsidP="00331F8E">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&lt; .001</w:t>
            </w:r>
          </w:p>
        </w:tc>
      </w:tr>
      <w:tr w:rsidR="00952ED6" w:rsidRPr="00B066D2" w14:paraId="000D97B2" w14:textId="77777777" w:rsidTr="00AF7A7B">
        <w:trPr>
          <w:trHeight w:val="300"/>
        </w:trPr>
        <w:tc>
          <w:tcPr>
            <w:tcW w:w="2084" w:type="pct"/>
            <w:gridSpan w:val="2"/>
            <w:tcBorders>
              <w:top w:val="nil"/>
              <w:left w:val="nil"/>
              <w:bottom w:val="nil"/>
              <w:right w:val="nil"/>
            </w:tcBorders>
            <w:shd w:val="clear" w:color="auto" w:fill="auto"/>
            <w:noWrap/>
            <w:vAlign w:val="bottom"/>
          </w:tcPr>
          <w:p w14:paraId="585DC7FA" w14:textId="77777777" w:rsidR="00952ED6" w:rsidRPr="00B066D2" w:rsidRDefault="00952ED6" w:rsidP="000439D0">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Family education</w:t>
            </w:r>
          </w:p>
        </w:tc>
        <w:tc>
          <w:tcPr>
            <w:tcW w:w="1284" w:type="pct"/>
            <w:tcBorders>
              <w:top w:val="nil"/>
              <w:left w:val="nil"/>
              <w:bottom w:val="nil"/>
              <w:right w:val="nil"/>
            </w:tcBorders>
            <w:shd w:val="clear" w:color="auto" w:fill="auto"/>
            <w:vAlign w:val="bottom"/>
          </w:tcPr>
          <w:p w14:paraId="20CDB104" w14:textId="77777777" w:rsidR="00952ED6" w:rsidRPr="00B066D2" w:rsidRDefault="00952ED6" w:rsidP="00277310">
            <w:pPr>
              <w:spacing w:after="100" w:afterAutospacing="1" w:line="240" w:lineRule="auto"/>
              <w:jc w:val="center"/>
              <w:rPr>
                <w:rFonts w:ascii="Times New Roman" w:eastAsia="Times New Roman" w:hAnsi="Times New Roman" w:cs="Times New Roman"/>
                <w:b/>
                <w:color w:val="000000"/>
                <w:sz w:val="24"/>
                <w:szCs w:val="24"/>
                <w:lang w:eastAsia="en-US"/>
              </w:rPr>
            </w:pPr>
          </w:p>
        </w:tc>
        <w:tc>
          <w:tcPr>
            <w:tcW w:w="1117" w:type="pct"/>
            <w:tcBorders>
              <w:top w:val="nil"/>
              <w:left w:val="nil"/>
              <w:bottom w:val="nil"/>
              <w:right w:val="nil"/>
            </w:tcBorders>
            <w:shd w:val="clear" w:color="auto" w:fill="auto"/>
            <w:noWrap/>
            <w:vAlign w:val="bottom"/>
          </w:tcPr>
          <w:p w14:paraId="0E0CAF36"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p>
        </w:tc>
        <w:tc>
          <w:tcPr>
            <w:tcW w:w="515" w:type="pct"/>
            <w:tcBorders>
              <w:top w:val="nil"/>
              <w:left w:val="nil"/>
              <w:bottom w:val="nil"/>
              <w:right w:val="nil"/>
            </w:tcBorders>
            <w:shd w:val="clear" w:color="auto" w:fill="auto"/>
            <w:vAlign w:val="bottom"/>
          </w:tcPr>
          <w:p w14:paraId="17AA6C68" w14:textId="77777777" w:rsidR="00952ED6" w:rsidRPr="00B066D2" w:rsidRDefault="00952ED6" w:rsidP="00331F8E">
            <w:pPr>
              <w:spacing w:after="100" w:afterAutospacing="1" w:line="240" w:lineRule="auto"/>
              <w:jc w:val="center"/>
              <w:rPr>
                <w:rFonts w:ascii="Times New Roman" w:eastAsia="Times New Roman" w:hAnsi="Times New Roman" w:cs="Times New Roman"/>
                <w:color w:val="000000"/>
                <w:sz w:val="24"/>
                <w:szCs w:val="24"/>
                <w:lang w:eastAsia="en-US"/>
              </w:rPr>
            </w:pPr>
          </w:p>
        </w:tc>
      </w:tr>
      <w:tr w:rsidR="00952ED6" w:rsidRPr="00B066D2" w14:paraId="1AE9368A" w14:textId="77777777" w:rsidTr="00AF7A7B">
        <w:trPr>
          <w:trHeight w:val="300"/>
        </w:trPr>
        <w:tc>
          <w:tcPr>
            <w:tcW w:w="152" w:type="pct"/>
            <w:tcBorders>
              <w:top w:val="nil"/>
              <w:left w:val="nil"/>
              <w:bottom w:val="nil"/>
              <w:right w:val="nil"/>
            </w:tcBorders>
            <w:shd w:val="clear" w:color="auto" w:fill="auto"/>
            <w:noWrap/>
            <w:vAlign w:val="bottom"/>
          </w:tcPr>
          <w:p w14:paraId="248126D6" w14:textId="77777777" w:rsidR="00952ED6" w:rsidRPr="00B066D2" w:rsidRDefault="00952ED6" w:rsidP="00CE33B9">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left w:val="nil"/>
              <w:bottom w:val="nil"/>
              <w:right w:val="nil"/>
            </w:tcBorders>
            <w:shd w:val="clear" w:color="auto" w:fill="auto"/>
            <w:vAlign w:val="bottom"/>
          </w:tcPr>
          <w:p w14:paraId="09BBA8CD" w14:textId="77777777" w:rsidR="00952ED6" w:rsidRPr="00B066D2" w:rsidRDefault="00952ED6" w:rsidP="00CE33B9">
            <w:pPr>
              <w:spacing w:after="100" w:afterAutospacing="1"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Elementary &amp; u</w:t>
            </w:r>
            <w:r w:rsidRPr="00271017">
              <w:rPr>
                <w:rFonts w:ascii="Times New Roman" w:eastAsia="Times New Roman" w:hAnsi="Times New Roman" w:cs="Times New Roman"/>
                <w:color w:val="000000"/>
                <w:sz w:val="24"/>
                <w:szCs w:val="24"/>
                <w:lang w:eastAsia="en-US"/>
              </w:rPr>
              <w:t>pper secondary (</w:t>
            </w:r>
            <w:r>
              <w:rPr>
                <w:rFonts w:ascii="Times New Roman" w:eastAsia="Times New Roman" w:hAnsi="Times New Roman" w:cs="Times New Roman"/>
                <w:color w:val="000000"/>
                <w:sz w:val="24"/>
                <w:szCs w:val="24"/>
                <w:lang w:eastAsia="en-US"/>
              </w:rPr>
              <w:t>≤</w:t>
            </w:r>
            <w:r w:rsidRPr="00271017">
              <w:rPr>
                <w:rFonts w:ascii="Times New Roman" w:eastAsia="Times New Roman" w:hAnsi="Times New Roman" w:cs="Times New Roman"/>
                <w:color w:val="000000"/>
                <w:sz w:val="24"/>
                <w:szCs w:val="24"/>
                <w:lang w:eastAsia="en-US"/>
              </w:rPr>
              <w:t>12 years)</w:t>
            </w:r>
          </w:p>
        </w:tc>
        <w:tc>
          <w:tcPr>
            <w:tcW w:w="1284" w:type="pct"/>
            <w:tcBorders>
              <w:top w:val="nil"/>
              <w:left w:val="nil"/>
              <w:bottom w:val="nil"/>
              <w:right w:val="nil"/>
            </w:tcBorders>
            <w:shd w:val="clear" w:color="auto" w:fill="auto"/>
            <w:vAlign w:val="bottom"/>
          </w:tcPr>
          <w:p w14:paraId="7F478567" w14:textId="77777777" w:rsidR="00952ED6" w:rsidRPr="00B066D2" w:rsidRDefault="00952ED6" w:rsidP="004202FF">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2</w:t>
            </w:r>
            <w:r>
              <w:rPr>
                <w:rFonts w:ascii="Times New Roman" w:eastAsia="Times New Roman" w:hAnsi="Times New Roman" w:cs="Times New Roman"/>
                <w:color w:val="000000"/>
                <w:sz w:val="24"/>
                <w:szCs w:val="24"/>
                <w:lang w:eastAsia="en-US"/>
              </w:rPr>
              <w:t>72 2</w:t>
            </w:r>
            <w:r w:rsidRPr="00B066D2">
              <w:rPr>
                <w:rFonts w:ascii="Times New Roman" w:eastAsia="Times New Roman" w:hAnsi="Times New Roman" w:cs="Times New Roman"/>
                <w:color w:val="000000"/>
                <w:sz w:val="24"/>
                <w:szCs w:val="24"/>
                <w:lang w:eastAsia="en-US"/>
              </w:rPr>
              <w:t>9</w:t>
            </w:r>
            <w:r>
              <w:rPr>
                <w:rFonts w:ascii="Times New Roman" w:eastAsia="Times New Roman" w:hAnsi="Times New Roman" w:cs="Times New Roman"/>
                <w:color w:val="000000"/>
                <w:sz w:val="24"/>
                <w:szCs w:val="24"/>
                <w:lang w:eastAsia="en-US"/>
              </w:rPr>
              <w:t>2 (</w:t>
            </w:r>
            <w:r w:rsidRPr="00B066D2">
              <w:rPr>
                <w:rFonts w:ascii="Times New Roman" w:eastAsia="Times New Roman" w:hAnsi="Times New Roman" w:cs="Times New Roman"/>
                <w:color w:val="000000"/>
                <w:sz w:val="24"/>
                <w:szCs w:val="24"/>
                <w:lang w:eastAsia="en-US"/>
              </w:rPr>
              <w:t>5</w:t>
            </w:r>
            <w:r>
              <w:rPr>
                <w:rFonts w:ascii="Times New Roman" w:eastAsia="Times New Roman" w:hAnsi="Times New Roman" w:cs="Times New Roman"/>
                <w:color w:val="000000"/>
                <w:sz w:val="24"/>
                <w:szCs w:val="24"/>
                <w:lang w:eastAsia="en-US"/>
              </w:rPr>
              <w:t>2.50</w:t>
            </w:r>
            <w:r w:rsidRPr="00B066D2">
              <w:rPr>
                <w:rFonts w:ascii="Times New Roman" w:eastAsia="Times New Roman" w:hAnsi="Times New Roman" w:cs="Times New Roman"/>
                <w:color w:val="000000"/>
                <w:sz w:val="24"/>
                <w:szCs w:val="24"/>
                <w:lang w:eastAsia="en-US"/>
              </w:rPr>
              <w:t>)</w:t>
            </w:r>
          </w:p>
        </w:tc>
        <w:tc>
          <w:tcPr>
            <w:tcW w:w="1117" w:type="pct"/>
            <w:tcBorders>
              <w:top w:val="nil"/>
              <w:left w:val="nil"/>
              <w:bottom w:val="nil"/>
              <w:right w:val="nil"/>
            </w:tcBorders>
            <w:shd w:val="clear" w:color="auto" w:fill="auto"/>
            <w:noWrap/>
            <w:vAlign w:val="bottom"/>
          </w:tcPr>
          <w:p w14:paraId="75D5C4D0" w14:textId="77777777" w:rsidR="00952ED6" w:rsidRPr="00B066D2" w:rsidRDefault="00952ED6" w:rsidP="004202FF">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 xml:space="preserve">2 </w:t>
            </w:r>
            <w:r>
              <w:rPr>
                <w:rFonts w:ascii="Times New Roman" w:eastAsia="Times New Roman" w:hAnsi="Times New Roman" w:cs="Times New Roman"/>
                <w:color w:val="000000"/>
                <w:sz w:val="24"/>
                <w:szCs w:val="24"/>
                <w:lang w:eastAsia="en-US"/>
              </w:rPr>
              <w:t>718 (59.58</w:t>
            </w:r>
            <w:r w:rsidRPr="00B066D2">
              <w:rPr>
                <w:rFonts w:ascii="Times New Roman" w:eastAsia="Times New Roman" w:hAnsi="Times New Roman" w:cs="Times New Roman"/>
                <w:color w:val="000000"/>
                <w:sz w:val="24"/>
                <w:szCs w:val="24"/>
                <w:lang w:eastAsia="en-US"/>
              </w:rPr>
              <w:t>)</w:t>
            </w:r>
          </w:p>
        </w:tc>
        <w:tc>
          <w:tcPr>
            <w:tcW w:w="515" w:type="pct"/>
            <w:tcBorders>
              <w:top w:val="nil"/>
              <w:left w:val="nil"/>
              <w:bottom w:val="nil"/>
              <w:right w:val="nil"/>
            </w:tcBorders>
            <w:shd w:val="clear" w:color="auto" w:fill="auto"/>
            <w:vAlign w:val="bottom"/>
          </w:tcPr>
          <w:p w14:paraId="24EC5E45" w14:textId="77777777" w:rsidR="00952ED6" w:rsidRPr="00B066D2" w:rsidRDefault="00952ED6" w:rsidP="004202FF">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Reference</w:t>
            </w:r>
          </w:p>
        </w:tc>
      </w:tr>
      <w:tr w:rsidR="00952ED6" w:rsidRPr="00B066D2" w14:paraId="3A091261" w14:textId="77777777" w:rsidTr="00AF7A7B">
        <w:trPr>
          <w:trHeight w:val="300"/>
        </w:trPr>
        <w:tc>
          <w:tcPr>
            <w:tcW w:w="152" w:type="pct"/>
            <w:tcBorders>
              <w:top w:val="nil"/>
              <w:left w:val="nil"/>
              <w:bottom w:val="nil"/>
              <w:right w:val="nil"/>
            </w:tcBorders>
            <w:shd w:val="clear" w:color="auto" w:fill="auto"/>
            <w:noWrap/>
            <w:vAlign w:val="bottom"/>
          </w:tcPr>
          <w:p w14:paraId="7FDE0BD1" w14:textId="77777777" w:rsidR="00952ED6" w:rsidRPr="00B066D2" w:rsidRDefault="00952ED6" w:rsidP="00CE33B9">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left w:val="nil"/>
              <w:bottom w:val="nil"/>
              <w:right w:val="nil"/>
            </w:tcBorders>
            <w:shd w:val="clear" w:color="auto" w:fill="auto"/>
            <w:vAlign w:val="bottom"/>
          </w:tcPr>
          <w:p w14:paraId="04786044" w14:textId="77777777" w:rsidR="00952ED6" w:rsidRPr="00B066D2" w:rsidRDefault="00952ED6" w:rsidP="00CE33B9">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 xml:space="preserve">Higher </w:t>
            </w:r>
            <w:r w:rsidRPr="00B066D2">
              <w:rPr>
                <w:rFonts w:ascii="Times New Roman" w:hAnsi="Times New Roman" w:cs="Times New Roman"/>
                <w:sz w:val="24"/>
                <w:szCs w:val="24"/>
              </w:rPr>
              <w:t>(</w:t>
            </w:r>
            <w:r w:rsidRPr="00B066D2">
              <w:rPr>
                <w:rFonts w:ascii="Times New Roman" w:hAnsi="Times New Roman" w:cs="Times New Roman"/>
                <w:color w:val="141215"/>
                <w:sz w:val="24"/>
                <w:szCs w:val="24"/>
              </w:rPr>
              <w:t>≥13 years</w:t>
            </w:r>
            <w:r w:rsidRPr="00B066D2">
              <w:rPr>
                <w:rFonts w:ascii="Times New Roman" w:hAnsi="Times New Roman" w:cs="Times New Roman"/>
                <w:sz w:val="24"/>
                <w:szCs w:val="24"/>
              </w:rPr>
              <w:t>)</w:t>
            </w:r>
          </w:p>
        </w:tc>
        <w:tc>
          <w:tcPr>
            <w:tcW w:w="1284" w:type="pct"/>
            <w:tcBorders>
              <w:top w:val="nil"/>
              <w:left w:val="nil"/>
              <w:bottom w:val="nil"/>
              <w:right w:val="nil"/>
            </w:tcBorders>
            <w:shd w:val="clear" w:color="auto" w:fill="auto"/>
            <w:vAlign w:val="bottom"/>
          </w:tcPr>
          <w:p w14:paraId="1911D69D" w14:textId="77777777" w:rsidR="00952ED6" w:rsidRPr="00B066D2" w:rsidRDefault="00952ED6" w:rsidP="00277310">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246 300 (47.49)</w:t>
            </w:r>
          </w:p>
        </w:tc>
        <w:tc>
          <w:tcPr>
            <w:tcW w:w="1117" w:type="pct"/>
            <w:tcBorders>
              <w:top w:val="nil"/>
              <w:left w:val="nil"/>
              <w:bottom w:val="nil"/>
              <w:right w:val="nil"/>
            </w:tcBorders>
            <w:shd w:val="clear" w:color="auto" w:fill="auto"/>
            <w:noWrap/>
            <w:vAlign w:val="bottom"/>
          </w:tcPr>
          <w:p w14:paraId="5C630A91"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1 841 (40.36)</w:t>
            </w:r>
          </w:p>
        </w:tc>
        <w:tc>
          <w:tcPr>
            <w:tcW w:w="515" w:type="pct"/>
            <w:tcBorders>
              <w:top w:val="nil"/>
              <w:left w:val="nil"/>
              <w:bottom w:val="nil"/>
              <w:right w:val="nil"/>
            </w:tcBorders>
            <w:shd w:val="clear" w:color="auto" w:fill="auto"/>
            <w:vAlign w:val="bottom"/>
          </w:tcPr>
          <w:p w14:paraId="5E994C18" w14:textId="77777777" w:rsidR="00952ED6" w:rsidRPr="00B066D2" w:rsidRDefault="00952ED6" w:rsidP="00331F8E">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&lt; .001</w:t>
            </w:r>
          </w:p>
        </w:tc>
      </w:tr>
      <w:tr w:rsidR="00952ED6" w:rsidRPr="00B066D2" w14:paraId="3BF6EC2A" w14:textId="77777777" w:rsidTr="00AF7A7B">
        <w:trPr>
          <w:trHeight w:val="300"/>
        </w:trPr>
        <w:tc>
          <w:tcPr>
            <w:tcW w:w="152" w:type="pct"/>
            <w:tcBorders>
              <w:top w:val="nil"/>
              <w:left w:val="nil"/>
              <w:bottom w:val="nil"/>
              <w:right w:val="nil"/>
            </w:tcBorders>
            <w:shd w:val="clear" w:color="auto" w:fill="auto"/>
            <w:noWrap/>
            <w:vAlign w:val="bottom"/>
          </w:tcPr>
          <w:p w14:paraId="0912EF07" w14:textId="77777777" w:rsidR="00952ED6" w:rsidRPr="00B066D2" w:rsidRDefault="00952ED6" w:rsidP="00CE33B9">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left w:val="nil"/>
              <w:bottom w:val="nil"/>
              <w:right w:val="nil"/>
            </w:tcBorders>
            <w:shd w:val="clear" w:color="auto" w:fill="auto"/>
            <w:vAlign w:val="bottom"/>
          </w:tcPr>
          <w:p w14:paraId="3668A693" w14:textId="77777777" w:rsidR="00952ED6" w:rsidRPr="00B066D2" w:rsidRDefault="00952ED6" w:rsidP="00CE33B9">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Missing</w:t>
            </w:r>
          </w:p>
        </w:tc>
        <w:tc>
          <w:tcPr>
            <w:tcW w:w="1284" w:type="pct"/>
            <w:tcBorders>
              <w:top w:val="nil"/>
              <w:left w:val="nil"/>
              <w:bottom w:val="nil"/>
              <w:right w:val="nil"/>
            </w:tcBorders>
            <w:shd w:val="clear" w:color="auto" w:fill="auto"/>
            <w:vAlign w:val="bottom"/>
          </w:tcPr>
          <w:p w14:paraId="67CB36BB" w14:textId="77777777" w:rsidR="00952ED6" w:rsidRPr="00B066D2" w:rsidRDefault="00952ED6" w:rsidP="00277310">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83 (0.02)</w:t>
            </w:r>
          </w:p>
        </w:tc>
        <w:tc>
          <w:tcPr>
            <w:tcW w:w="1117" w:type="pct"/>
            <w:tcBorders>
              <w:top w:val="nil"/>
              <w:left w:val="nil"/>
              <w:bottom w:val="nil"/>
              <w:right w:val="nil"/>
            </w:tcBorders>
            <w:shd w:val="clear" w:color="auto" w:fill="auto"/>
            <w:noWrap/>
            <w:vAlign w:val="bottom"/>
          </w:tcPr>
          <w:p w14:paraId="79FFA242"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3 (0.07)</w:t>
            </w:r>
          </w:p>
        </w:tc>
        <w:tc>
          <w:tcPr>
            <w:tcW w:w="515" w:type="pct"/>
            <w:tcBorders>
              <w:top w:val="nil"/>
              <w:left w:val="nil"/>
              <w:bottom w:val="nil"/>
              <w:right w:val="nil"/>
            </w:tcBorders>
            <w:shd w:val="clear" w:color="auto" w:fill="auto"/>
            <w:vAlign w:val="bottom"/>
          </w:tcPr>
          <w:p w14:paraId="5F00C79E" w14:textId="77777777" w:rsidR="00952ED6" w:rsidRPr="00B066D2" w:rsidRDefault="00952ED6" w:rsidP="00331F8E">
            <w:pPr>
              <w:spacing w:after="100" w:afterAutospacing="1" w:line="240" w:lineRule="auto"/>
              <w:jc w:val="center"/>
              <w:rPr>
                <w:rFonts w:ascii="Times New Roman" w:eastAsia="Times New Roman" w:hAnsi="Times New Roman" w:cs="Times New Roman"/>
                <w:color w:val="000000"/>
                <w:sz w:val="24"/>
                <w:szCs w:val="24"/>
                <w:lang w:eastAsia="en-US"/>
              </w:rPr>
            </w:pPr>
          </w:p>
        </w:tc>
      </w:tr>
      <w:tr w:rsidR="00952ED6" w:rsidRPr="00B066D2" w14:paraId="5FEDD12E" w14:textId="77777777" w:rsidTr="00AF7A7B">
        <w:trPr>
          <w:trHeight w:val="300"/>
        </w:trPr>
        <w:tc>
          <w:tcPr>
            <w:tcW w:w="2084" w:type="pct"/>
            <w:gridSpan w:val="2"/>
            <w:tcBorders>
              <w:top w:val="nil"/>
              <w:left w:val="nil"/>
              <w:bottom w:val="nil"/>
              <w:right w:val="nil"/>
            </w:tcBorders>
            <w:shd w:val="clear" w:color="auto" w:fill="auto"/>
            <w:noWrap/>
            <w:vAlign w:val="bottom"/>
          </w:tcPr>
          <w:p w14:paraId="0ACED317" w14:textId="77777777" w:rsidR="00952ED6" w:rsidRPr="00B066D2" w:rsidRDefault="00952ED6" w:rsidP="00CE33B9">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Comorbidity</w:t>
            </w:r>
          </w:p>
        </w:tc>
        <w:tc>
          <w:tcPr>
            <w:tcW w:w="1284" w:type="pct"/>
            <w:tcBorders>
              <w:top w:val="nil"/>
              <w:left w:val="nil"/>
              <w:bottom w:val="nil"/>
              <w:right w:val="nil"/>
            </w:tcBorders>
            <w:shd w:val="clear" w:color="auto" w:fill="auto"/>
            <w:vAlign w:val="bottom"/>
          </w:tcPr>
          <w:p w14:paraId="3B84C5F0" w14:textId="77777777" w:rsidR="00952ED6" w:rsidRPr="00B066D2" w:rsidRDefault="00952ED6" w:rsidP="00277310">
            <w:pPr>
              <w:spacing w:after="100" w:afterAutospacing="1" w:line="240" w:lineRule="auto"/>
              <w:jc w:val="center"/>
              <w:rPr>
                <w:rFonts w:ascii="Times New Roman" w:eastAsia="Times New Roman" w:hAnsi="Times New Roman" w:cs="Times New Roman"/>
                <w:color w:val="000000"/>
                <w:sz w:val="24"/>
                <w:szCs w:val="24"/>
                <w:lang w:eastAsia="en-US"/>
              </w:rPr>
            </w:pPr>
          </w:p>
        </w:tc>
        <w:tc>
          <w:tcPr>
            <w:tcW w:w="1117" w:type="pct"/>
            <w:tcBorders>
              <w:top w:val="nil"/>
              <w:left w:val="nil"/>
              <w:bottom w:val="nil"/>
              <w:right w:val="nil"/>
            </w:tcBorders>
            <w:shd w:val="clear" w:color="auto" w:fill="auto"/>
            <w:noWrap/>
            <w:vAlign w:val="bottom"/>
          </w:tcPr>
          <w:p w14:paraId="6FAA64F2"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p>
        </w:tc>
        <w:tc>
          <w:tcPr>
            <w:tcW w:w="515" w:type="pct"/>
            <w:tcBorders>
              <w:top w:val="nil"/>
              <w:left w:val="nil"/>
              <w:bottom w:val="nil"/>
              <w:right w:val="nil"/>
            </w:tcBorders>
            <w:shd w:val="clear" w:color="auto" w:fill="auto"/>
            <w:vAlign w:val="bottom"/>
          </w:tcPr>
          <w:p w14:paraId="76EF932B" w14:textId="77777777" w:rsidR="00952ED6" w:rsidRPr="00B066D2" w:rsidRDefault="00952ED6" w:rsidP="00331F8E">
            <w:pPr>
              <w:spacing w:after="100" w:afterAutospacing="1" w:line="240" w:lineRule="auto"/>
              <w:jc w:val="center"/>
              <w:rPr>
                <w:rFonts w:ascii="Times New Roman" w:eastAsia="Times New Roman" w:hAnsi="Times New Roman" w:cs="Times New Roman"/>
                <w:color w:val="000000"/>
                <w:sz w:val="24"/>
                <w:szCs w:val="24"/>
                <w:lang w:eastAsia="en-US"/>
              </w:rPr>
            </w:pPr>
          </w:p>
        </w:tc>
      </w:tr>
      <w:tr w:rsidR="00952ED6" w:rsidRPr="00B066D2" w14:paraId="51F95801" w14:textId="77777777" w:rsidTr="00AF7A7B">
        <w:trPr>
          <w:trHeight w:val="300"/>
        </w:trPr>
        <w:tc>
          <w:tcPr>
            <w:tcW w:w="152" w:type="pct"/>
            <w:tcBorders>
              <w:top w:val="nil"/>
              <w:left w:val="nil"/>
              <w:bottom w:val="nil"/>
              <w:right w:val="nil"/>
            </w:tcBorders>
            <w:shd w:val="clear" w:color="auto" w:fill="auto"/>
            <w:noWrap/>
            <w:vAlign w:val="bottom"/>
          </w:tcPr>
          <w:p w14:paraId="417EB597" w14:textId="77777777" w:rsidR="00952ED6" w:rsidRPr="00B066D2" w:rsidRDefault="00952ED6" w:rsidP="00CE33B9">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left w:val="nil"/>
              <w:bottom w:val="nil"/>
              <w:right w:val="nil"/>
            </w:tcBorders>
            <w:shd w:val="clear" w:color="auto" w:fill="auto"/>
            <w:vAlign w:val="bottom"/>
          </w:tcPr>
          <w:p w14:paraId="35094091" w14:textId="77777777" w:rsidR="00952ED6" w:rsidRPr="00B066D2" w:rsidRDefault="00952ED6" w:rsidP="00005FA4">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Depressi</w:t>
            </w:r>
            <w:r>
              <w:rPr>
                <w:rFonts w:ascii="Times New Roman" w:eastAsia="Times New Roman" w:hAnsi="Times New Roman" w:cs="Times New Roman"/>
                <w:color w:val="000000"/>
                <w:sz w:val="24"/>
                <w:szCs w:val="24"/>
                <w:lang w:eastAsia="en-US"/>
              </w:rPr>
              <w:t>on</w:t>
            </w:r>
          </w:p>
        </w:tc>
        <w:tc>
          <w:tcPr>
            <w:tcW w:w="1284" w:type="pct"/>
            <w:tcBorders>
              <w:top w:val="nil"/>
              <w:left w:val="nil"/>
              <w:bottom w:val="nil"/>
              <w:right w:val="nil"/>
            </w:tcBorders>
            <w:shd w:val="clear" w:color="auto" w:fill="auto"/>
            <w:vAlign w:val="bottom"/>
          </w:tcPr>
          <w:p w14:paraId="3EFEC4EE" w14:textId="77777777" w:rsidR="00952ED6" w:rsidRPr="00B066D2" w:rsidRDefault="00952ED6" w:rsidP="00277310">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15 062 (2.90)</w:t>
            </w:r>
          </w:p>
        </w:tc>
        <w:tc>
          <w:tcPr>
            <w:tcW w:w="1117" w:type="pct"/>
            <w:tcBorders>
              <w:top w:val="nil"/>
              <w:left w:val="nil"/>
              <w:bottom w:val="nil"/>
              <w:right w:val="nil"/>
            </w:tcBorders>
            <w:shd w:val="clear" w:color="auto" w:fill="auto"/>
            <w:noWrap/>
            <w:vAlign w:val="bottom"/>
          </w:tcPr>
          <w:p w14:paraId="4ED5B886"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1 174 (25.73)</w:t>
            </w:r>
          </w:p>
        </w:tc>
        <w:tc>
          <w:tcPr>
            <w:tcW w:w="515" w:type="pct"/>
            <w:tcBorders>
              <w:top w:val="nil"/>
              <w:left w:val="nil"/>
              <w:bottom w:val="nil"/>
              <w:right w:val="nil"/>
            </w:tcBorders>
            <w:shd w:val="clear" w:color="auto" w:fill="auto"/>
            <w:vAlign w:val="bottom"/>
          </w:tcPr>
          <w:p w14:paraId="7814D341" w14:textId="77777777" w:rsidR="00952ED6" w:rsidRPr="00B066D2" w:rsidRDefault="00952ED6" w:rsidP="00331F8E">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&lt; .001</w:t>
            </w:r>
          </w:p>
        </w:tc>
      </w:tr>
      <w:tr w:rsidR="00952ED6" w:rsidRPr="00B066D2" w14:paraId="7319A001" w14:textId="77777777" w:rsidTr="00FC2647">
        <w:trPr>
          <w:trHeight w:val="300"/>
        </w:trPr>
        <w:tc>
          <w:tcPr>
            <w:tcW w:w="152" w:type="pct"/>
            <w:tcBorders>
              <w:top w:val="nil"/>
              <w:left w:val="nil"/>
              <w:bottom w:val="nil"/>
              <w:right w:val="nil"/>
            </w:tcBorders>
            <w:shd w:val="clear" w:color="auto" w:fill="auto"/>
            <w:noWrap/>
            <w:vAlign w:val="bottom"/>
          </w:tcPr>
          <w:p w14:paraId="65B1EDB6" w14:textId="77777777" w:rsidR="00952ED6" w:rsidRPr="00B066D2" w:rsidRDefault="00952ED6" w:rsidP="00CE33B9">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left w:val="nil"/>
              <w:bottom w:val="nil"/>
              <w:right w:val="nil"/>
            </w:tcBorders>
            <w:shd w:val="clear" w:color="auto" w:fill="auto"/>
            <w:vAlign w:val="bottom"/>
          </w:tcPr>
          <w:p w14:paraId="75F946AA" w14:textId="77777777" w:rsidR="00952ED6" w:rsidRPr="00B066D2" w:rsidRDefault="00952ED6" w:rsidP="00005FA4">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Anxiety</w:t>
            </w:r>
          </w:p>
        </w:tc>
        <w:tc>
          <w:tcPr>
            <w:tcW w:w="1284" w:type="pct"/>
            <w:tcBorders>
              <w:top w:val="nil"/>
              <w:left w:val="nil"/>
              <w:bottom w:val="nil"/>
              <w:right w:val="nil"/>
            </w:tcBorders>
            <w:shd w:val="clear" w:color="auto" w:fill="auto"/>
            <w:vAlign w:val="bottom"/>
          </w:tcPr>
          <w:p w14:paraId="7718E902" w14:textId="77777777" w:rsidR="00952ED6" w:rsidRPr="00B066D2" w:rsidRDefault="00952ED6" w:rsidP="00277310">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15 829 (3.05)</w:t>
            </w:r>
          </w:p>
        </w:tc>
        <w:tc>
          <w:tcPr>
            <w:tcW w:w="1117" w:type="pct"/>
            <w:tcBorders>
              <w:top w:val="nil"/>
              <w:left w:val="nil"/>
              <w:bottom w:val="nil"/>
              <w:right w:val="nil"/>
            </w:tcBorders>
            <w:shd w:val="clear" w:color="auto" w:fill="auto"/>
            <w:noWrap/>
            <w:vAlign w:val="bottom"/>
          </w:tcPr>
          <w:p w14:paraId="11AFD84E"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1 265 (27.73)</w:t>
            </w:r>
          </w:p>
        </w:tc>
        <w:tc>
          <w:tcPr>
            <w:tcW w:w="515" w:type="pct"/>
            <w:tcBorders>
              <w:top w:val="nil"/>
              <w:left w:val="nil"/>
              <w:bottom w:val="nil"/>
              <w:right w:val="nil"/>
            </w:tcBorders>
            <w:shd w:val="clear" w:color="auto" w:fill="auto"/>
            <w:vAlign w:val="bottom"/>
          </w:tcPr>
          <w:p w14:paraId="2209F570" w14:textId="77777777" w:rsidR="00952ED6" w:rsidRPr="00B066D2" w:rsidRDefault="00952ED6" w:rsidP="00331F8E">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&lt; .001</w:t>
            </w:r>
          </w:p>
        </w:tc>
      </w:tr>
      <w:tr w:rsidR="00952ED6" w:rsidRPr="00B066D2" w14:paraId="3526408A" w14:textId="77777777" w:rsidTr="00AF7A7B">
        <w:trPr>
          <w:trHeight w:val="300"/>
        </w:trPr>
        <w:tc>
          <w:tcPr>
            <w:tcW w:w="152" w:type="pct"/>
            <w:tcBorders>
              <w:top w:val="nil"/>
              <w:left w:val="nil"/>
              <w:bottom w:val="single" w:sz="4" w:space="0" w:color="auto"/>
              <w:right w:val="nil"/>
            </w:tcBorders>
            <w:shd w:val="clear" w:color="auto" w:fill="auto"/>
            <w:noWrap/>
            <w:vAlign w:val="bottom"/>
          </w:tcPr>
          <w:p w14:paraId="391C29CB" w14:textId="77777777" w:rsidR="00952ED6" w:rsidRPr="00B066D2" w:rsidRDefault="00952ED6" w:rsidP="00CE33B9">
            <w:pPr>
              <w:spacing w:after="100" w:afterAutospacing="1" w:line="240" w:lineRule="auto"/>
              <w:rPr>
                <w:rFonts w:ascii="Times New Roman" w:eastAsia="Times New Roman" w:hAnsi="Times New Roman" w:cs="Times New Roman"/>
                <w:color w:val="000000"/>
                <w:sz w:val="24"/>
                <w:szCs w:val="24"/>
                <w:lang w:eastAsia="en-US"/>
              </w:rPr>
            </w:pPr>
          </w:p>
        </w:tc>
        <w:tc>
          <w:tcPr>
            <w:tcW w:w="1932" w:type="pct"/>
            <w:tcBorders>
              <w:top w:val="nil"/>
              <w:left w:val="nil"/>
              <w:bottom w:val="single" w:sz="4" w:space="0" w:color="auto"/>
              <w:right w:val="nil"/>
            </w:tcBorders>
            <w:shd w:val="clear" w:color="auto" w:fill="auto"/>
            <w:vAlign w:val="bottom"/>
          </w:tcPr>
          <w:p w14:paraId="087C2C16" w14:textId="77777777" w:rsidR="00952ED6" w:rsidRPr="00B066D2" w:rsidRDefault="00952ED6" w:rsidP="00CE33B9">
            <w:pPr>
              <w:spacing w:after="100" w:afterAutospacing="1" w:line="240" w:lineRule="auto"/>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Substance use disorder</w:t>
            </w:r>
          </w:p>
        </w:tc>
        <w:tc>
          <w:tcPr>
            <w:tcW w:w="1284" w:type="pct"/>
            <w:tcBorders>
              <w:top w:val="nil"/>
              <w:left w:val="nil"/>
              <w:bottom w:val="single" w:sz="4" w:space="0" w:color="auto"/>
              <w:right w:val="nil"/>
            </w:tcBorders>
            <w:shd w:val="clear" w:color="auto" w:fill="auto"/>
            <w:vAlign w:val="bottom"/>
          </w:tcPr>
          <w:p w14:paraId="1EB40B94" w14:textId="77777777" w:rsidR="00952ED6" w:rsidRPr="00B066D2" w:rsidRDefault="00952ED6" w:rsidP="00277310">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13 544 (2.61)</w:t>
            </w:r>
          </w:p>
        </w:tc>
        <w:tc>
          <w:tcPr>
            <w:tcW w:w="1117" w:type="pct"/>
            <w:tcBorders>
              <w:top w:val="nil"/>
              <w:left w:val="nil"/>
              <w:bottom w:val="single" w:sz="4" w:space="0" w:color="auto"/>
              <w:right w:val="nil"/>
            </w:tcBorders>
            <w:shd w:val="clear" w:color="auto" w:fill="auto"/>
            <w:noWrap/>
            <w:vAlign w:val="bottom"/>
          </w:tcPr>
          <w:p w14:paraId="7C2D0075" w14:textId="77777777" w:rsidR="00952ED6" w:rsidRPr="00B066D2" w:rsidRDefault="00952ED6" w:rsidP="00AD3777">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1 058 (23.19)</w:t>
            </w:r>
          </w:p>
        </w:tc>
        <w:tc>
          <w:tcPr>
            <w:tcW w:w="515" w:type="pct"/>
            <w:tcBorders>
              <w:top w:val="nil"/>
              <w:left w:val="nil"/>
              <w:bottom w:val="single" w:sz="4" w:space="0" w:color="auto"/>
              <w:right w:val="nil"/>
            </w:tcBorders>
            <w:shd w:val="clear" w:color="auto" w:fill="auto"/>
            <w:vAlign w:val="bottom"/>
          </w:tcPr>
          <w:p w14:paraId="65778495" w14:textId="77777777" w:rsidR="00952ED6" w:rsidRPr="00B066D2" w:rsidRDefault="00952ED6" w:rsidP="00331F8E">
            <w:pPr>
              <w:spacing w:after="100" w:afterAutospacing="1" w:line="240" w:lineRule="auto"/>
              <w:jc w:val="center"/>
              <w:rPr>
                <w:rFonts w:ascii="Times New Roman" w:eastAsia="Times New Roman" w:hAnsi="Times New Roman" w:cs="Times New Roman"/>
                <w:color w:val="000000"/>
                <w:sz w:val="24"/>
                <w:szCs w:val="24"/>
                <w:lang w:eastAsia="en-US"/>
              </w:rPr>
            </w:pPr>
            <w:r w:rsidRPr="00B066D2">
              <w:rPr>
                <w:rFonts w:ascii="Times New Roman" w:eastAsia="Times New Roman" w:hAnsi="Times New Roman" w:cs="Times New Roman"/>
                <w:color w:val="000000"/>
                <w:sz w:val="24"/>
                <w:szCs w:val="24"/>
                <w:lang w:eastAsia="en-US"/>
              </w:rPr>
              <w:t>&lt; .001</w:t>
            </w:r>
          </w:p>
        </w:tc>
      </w:tr>
    </w:tbl>
    <w:p w14:paraId="1786C401" w14:textId="77777777" w:rsidR="00952ED6" w:rsidRPr="001602C1" w:rsidRDefault="00952ED6" w:rsidP="001602C1">
      <w:pPr>
        <w:rPr>
          <w:rFonts w:ascii="Times New Roman" w:hAnsi="Times New Roman" w:cs="Times New Roman"/>
          <w:b/>
          <w:sz w:val="24"/>
          <w:szCs w:val="24"/>
        </w:rPr>
      </w:pPr>
      <w:r w:rsidRPr="000D30BF">
        <w:rPr>
          <w:rFonts w:ascii="Times New Roman" w:hAnsi="Times New Roman" w:cs="Times New Roman"/>
          <w:b/>
          <w:sz w:val="24"/>
          <w:szCs w:val="24"/>
        </w:rPr>
        <w:t>Table 3 Associations between overweight/obesity in index males</w:t>
      </w:r>
      <w:r>
        <w:rPr>
          <w:rFonts w:ascii="Times New Roman" w:hAnsi="Times New Roman" w:cs="Times New Roman"/>
          <w:b/>
          <w:sz w:val="24"/>
          <w:szCs w:val="24"/>
        </w:rPr>
        <w:t xml:space="preserve"> and </w:t>
      </w:r>
      <w:r w:rsidRPr="000D30BF">
        <w:rPr>
          <w:rFonts w:ascii="Times New Roman" w:hAnsi="Times New Roman" w:cs="Times New Roman"/>
          <w:b/>
          <w:sz w:val="24"/>
          <w:szCs w:val="24"/>
        </w:rPr>
        <w:t xml:space="preserve">ADHD in </w:t>
      </w:r>
      <w:r>
        <w:rPr>
          <w:rFonts w:ascii="Times New Roman" w:hAnsi="Times New Roman" w:cs="Times New Roman"/>
          <w:b/>
          <w:sz w:val="24"/>
          <w:szCs w:val="24"/>
        </w:rPr>
        <w:t>their full siblings</w:t>
      </w:r>
    </w:p>
    <w:tbl>
      <w:tblPr>
        <w:tblW w:w="5463" w:type="pct"/>
        <w:tblLook w:val="04A0" w:firstRow="1" w:lastRow="0" w:firstColumn="1" w:lastColumn="0" w:noHBand="0" w:noVBand="1"/>
      </w:tblPr>
      <w:tblGrid>
        <w:gridCol w:w="816"/>
        <w:gridCol w:w="5695"/>
        <w:gridCol w:w="276"/>
        <w:gridCol w:w="2910"/>
        <w:gridCol w:w="1641"/>
        <w:gridCol w:w="276"/>
        <w:gridCol w:w="2702"/>
        <w:gridCol w:w="1529"/>
        <w:gridCol w:w="1215"/>
      </w:tblGrid>
      <w:tr w:rsidR="00952ED6" w:rsidRPr="000D30BF" w14:paraId="4710187C" w14:textId="77777777" w:rsidTr="007E1DB6">
        <w:trPr>
          <w:gridAfter w:val="1"/>
          <w:wAfter w:w="357" w:type="pct"/>
          <w:trHeight w:val="300"/>
        </w:trPr>
        <w:tc>
          <w:tcPr>
            <w:tcW w:w="239" w:type="pct"/>
            <w:tcBorders>
              <w:top w:val="single" w:sz="4" w:space="0" w:color="auto"/>
            </w:tcBorders>
            <w:shd w:val="clear" w:color="auto" w:fill="auto"/>
            <w:noWrap/>
            <w:vAlign w:val="bottom"/>
          </w:tcPr>
          <w:p w14:paraId="281A13FC" w14:textId="77777777" w:rsidR="00952ED6" w:rsidRPr="000D30BF" w:rsidRDefault="00952ED6" w:rsidP="00537A5C">
            <w:pPr>
              <w:spacing w:after="0" w:line="240" w:lineRule="auto"/>
              <w:rPr>
                <w:rFonts w:ascii="Times New Roman" w:eastAsia="Times New Roman" w:hAnsi="Times New Roman" w:cs="Times New Roman"/>
                <w:b/>
                <w:color w:val="000000"/>
                <w:sz w:val="24"/>
                <w:szCs w:val="24"/>
                <w:lang w:eastAsia="en-US"/>
              </w:rPr>
            </w:pPr>
          </w:p>
        </w:tc>
        <w:tc>
          <w:tcPr>
            <w:tcW w:w="1669" w:type="pct"/>
            <w:tcBorders>
              <w:top w:val="single" w:sz="4" w:space="0" w:color="auto"/>
            </w:tcBorders>
            <w:shd w:val="clear" w:color="auto" w:fill="auto"/>
            <w:noWrap/>
            <w:vAlign w:val="bottom"/>
          </w:tcPr>
          <w:p w14:paraId="0B7D782D" w14:textId="77777777" w:rsidR="00952ED6" w:rsidRPr="000D30BF" w:rsidRDefault="00952ED6" w:rsidP="00537A5C">
            <w:pPr>
              <w:spacing w:after="0" w:line="240" w:lineRule="auto"/>
              <w:rPr>
                <w:rFonts w:ascii="Times New Roman" w:eastAsia="Times New Roman" w:hAnsi="Times New Roman" w:cs="Times New Roman"/>
                <w:b/>
                <w:color w:val="000000"/>
                <w:sz w:val="24"/>
                <w:szCs w:val="24"/>
                <w:lang w:eastAsia="en-US"/>
              </w:rPr>
            </w:pPr>
          </w:p>
        </w:tc>
        <w:tc>
          <w:tcPr>
            <w:tcW w:w="81" w:type="pct"/>
            <w:tcBorders>
              <w:top w:val="single" w:sz="4" w:space="0" w:color="auto"/>
            </w:tcBorders>
            <w:shd w:val="clear" w:color="auto" w:fill="auto"/>
            <w:noWrap/>
            <w:vAlign w:val="bottom"/>
          </w:tcPr>
          <w:p w14:paraId="677810B7" w14:textId="77777777" w:rsidR="00952ED6" w:rsidRPr="000D30BF" w:rsidRDefault="00952ED6" w:rsidP="00537A5C">
            <w:pPr>
              <w:spacing w:after="0" w:line="240" w:lineRule="auto"/>
              <w:rPr>
                <w:rFonts w:ascii="Times New Roman" w:eastAsia="Times New Roman" w:hAnsi="Times New Roman" w:cs="Times New Roman"/>
                <w:b/>
                <w:color w:val="000000"/>
                <w:sz w:val="24"/>
                <w:szCs w:val="24"/>
                <w:lang w:eastAsia="en-US"/>
              </w:rPr>
            </w:pPr>
          </w:p>
        </w:tc>
        <w:tc>
          <w:tcPr>
            <w:tcW w:w="2654" w:type="pct"/>
            <w:gridSpan w:val="5"/>
            <w:tcBorders>
              <w:top w:val="single" w:sz="4" w:space="0" w:color="auto"/>
              <w:left w:val="nil"/>
              <w:bottom w:val="single" w:sz="4" w:space="0" w:color="auto"/>
              <w:right w:val="nil"/>
            </w:tcBorders>
            <w:shd w:val="clear" w:color="auto" w:fill="auto"/>
            <w:noWrap/>
            <w:vAlign w:val="bottom"/>
          </w:tcPr>
          <w:p w14:paraId="0426296E" w14:textId="77777777" w:rsidR="00952ED6" w:rsidRDefault="00952ED6" w:rsidP="007E1DB6">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Adjusting for ADHD status of the index male</w:t>
            </w:r>
          </w:p>
        </w:tc>
      </w:tr>
      <w:tr w:rsidR="00952ED6" w:rsidRPr="000D30BF" w14:paraId="21DEE471" w14:textId="77777777" w:rsidTr="007E1DB6">
        <w:trPr>
          <w:gridAfter w:val="1"/>
          <w:wAfter w:w="357" w:type="pct"/>
          <w:trHeight w:val="300"/>
        </w:trPr>
        <w:tc>
          <w:tcPr>
            <w:tcW w:w="239" w:type="pct"/>
            <w:tcBorders>
              <w:left w:val="nil"/>
              <w:bottom w:val="nil"/>
              <w:right w:val="nil"/>
            </w:tcBorders>
            <w:shd w:val="clear" w:color="auto" w:fill="auto"/>
            <w:noWrap/>
            <w:vAlign w:val="bottom"/>
            <w:hideMark/>
          </w:tcPr>
          <w:p w14:paraId="4F881760" w14:textId="77777777" w:rsidR="00952ED6" w:rsidRPr="000D30BF" w:rsidRDefault="00952ED6" w:rsidP="00537A5C">
            <w:pPr>
              <w:spacing w:after="0" w:line="240" w:lineRule="auto"/>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 </w:t>
            </w:r>
          </w:p>
        </w:tc>
        <w:tc>
          <w:tcPr>
            <w:tcW w:w="1669" w:type="pct"/>
            <w:tcBorders>
              <w:left w:val="nil"/>
              <w:bottom w:val="nil"/>
              <w:right w:val="nil"/>
            </w:tcBorders>
            <w:shd w:val="clear" w:color="auto" w:fill="auto"/>
            <w:noWrap/>
            <w:vAlign w:val="bottom"/>
            <w:hideMark/>
          </w:tcPr>
          <w:p w14:paraId="32F59EE9" w14:textId="77777777" w:rsidR="00952ED6" w:rsidRPr="000D30BF" w:rsidRDefault="00952ED6" w:rsidP="00537A5C">
            <w:pPr>
              <w:spacing w:after="0" w:line="240" w:lineRule="auto"/>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 </w:t>
            </w:r>
          </w:p>
        </w:tc>
        <w:tc>
          <w:tcPr>
            <w:tcW w:w="81" w:type="pct"/>
            <w:tcBorders>
              <w:left w:val="nil"/>
              <w:bottom w:val="nil"/>
              <w:right w:val="nil"/>
            </w:tcBorders>
            <w:shd w:val="clear" w:color="auto" w:fill="auto"/>
            <w:noWrap/>
            <w:vAlign w:val="bottom"/>
            <w:hideMark/>
          </w:tcPr>
          <w:p w14:paraId="13DE0CBD" w14:textId="77777777" w:rsidR="00952ED6" w:rsidRPr="000D30BF" w:rsidRDefault="00952ED6" w:rsidP="00537A5C">
            <w:pPr>
              <w:spacing w:after="0" w:line="240" w:lineRule="auto"/>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 </w:t>
            </w:r>
          </w:p>
        </w:tc>
        <w:tc>
          <w:tcPr>
            <w:tcW w:w="1334" w:type="pct"/>
            <w:gridSpan w:val="2"/>
            <w:tcBorders>
              <w:top w:val="single" w:sz="4" w:space="0" w:color="auto"/>
              <w:left w:val="nil"/>
              <w:bottom w:val="single" w:sz="4" w:space="0" w:color="auto"/>
              <w:right w:val="nil"/>
            </w:tcBorders>
            <w:shd w:val="clear" w:color="auto" w:fill="auto"/>
            <w:noWrap/>
            <w:vAlign w:val="bottom"/>
            <w:hideMark/>
          </w:tcPr>
          <w:p w14:paraId="489B7C10" w14:textId="77777777" w:rsidR="00952ED6" w:rsidRPr="000D30BF" w:rsidRDefault="00952ED6" w:rsidP="007E1DB6">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No</w:t>
            </w:r>
          </w:p>
        </w:tc>
        <w:tc>
          <w:tcPr>
            <w:tcW w:w="81" w:type="pct"/>
            <w:tcBorders>
              <w:top w:val="single" w:sz="4" w:space="0" w:color="auto"/>
              <w:left w:val="nil"/>
              <w:bottom w:val="nil"/>
              <w:right w:val="nil"/>
            </w:tcBorders>
            <w:shd w:val="clear" w:color="auto" w:fill="auto"/>
            <w:noWrap/>
            <w:vAlign w:val="bottom"/>
            <w:hideMark/>
          </w:tcPr>
          <w:p w14:paraId="0FF33DA5"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 </w:t>
            </w:r>
          </w:p>
        </w:tc>
        <w:tc>
          <w:tcPr>
            <w:tcW w:w="1240" w:type="pct"/>
            <w:gridSpan w:val="2"/>
            <w:tcBorders>
              <w:top w:val="single" w:sz="4" w:space="0" w:color="auto"/>
              <w:left w:val="nil"/>
              <w:bottom w:val="single" w:sz="4" w:space="0" w:color="auto"/>
              <w:right w:val="nil"/>
            </w:tcBorders>
            <w:shd w:val="clear" w:color="auto" w:fill="auto"/>
            <w:noWrap/>
            <w:vAlign w:val="bottom"/>
            <w:hideMark/>
          </w:tcPr>
          <w:p w14:paraId="01908F87" w14:textId="77777777" w:rsidR="00952ED6" w:rsidRPr="000D30BF" w:rsidRDefault="00952ED6" w:rsidP="00537A5C">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Yes</w:t>
            </w:r>
          </w:p>
        </w:tc>
      </w:tr>
      <w:tr w:rsidR="00952ED6" w:rsidRPr="000D30BF" w14:paraId="74C1D86D" w14:textId="77777777" w:rsidTr="007E1DB6">
        <w:trPr>
          <w:gridAfter w:val="1"/>
          <w:wAfter w:w="357" w:type="pct"/>
          <w:trHeight w:val="300"/>
        </w:trPr>
        <w:tc>
          <w:tcPr>
            <w:tcW w:w="1908" w:type="pct"/>
            <w:gridSpan w:val="2"/>
            <w:tcBorders>
              <w:top w:val="nil"/>
              <w:left w:val="nil"/>
              <w:bottom w:val="single" w:sz="4" w:space="0" w:color="auto"/>
              <w:right w:val="nil"/>
            </w:tcBorders>
            <w:shd w:val="clear" w:color="auto" w:fill="auto"/>
            <w:noWrap/>
            <w:vAlign w:val="bottom"/>
            <w:hideMark/>
          </w:tcPr>
          <w:p w14:paraId="7EEE97F1" w14:textId="77777777" w:rsidR="00952ED6" w:rsidRPr="000D30BF" w:rsidRDefault="00952ED6" w:rsidP="00537A5C">
            <w:pPr>
              <w:spacing w:after="0" w:line="240" w:lineRule="auto"/>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BMI level of index males</w:t>
            </w:r>
          </w:p>
        </w:tc>
        <w:tc>
          <w:tcPr>
            <w:tcW w:w="81" w:type="pct"/>
            <w:tcBorders>
              <w:top w:val="nil"/>
              <w:left w:val="nil"/>
              <w:bottom w:val="single" w:sz="4" w:space="0" w:color="auto"/>
              <w:right w:val="nil"/>
            </w:tcBorders>
            <w:shd w:val="clear" w:color="auto" w:fill="auto"/>
            <w:noWrap/>
            <w:vAlign w:val="bottom"/>
            <w:hideMark/>
          </w:tcPr>
          <w:p w14:paraId="2247FC8A" w14:textId="77777777" w:rsidR="00952ED6" w:rsidRPr="000D30BF" w:rsidRDefault="00952ED6" w:rsidP="00537A5C">
            <w:pPr>
              <w:spacing w:after="0" w:line="240" w:lineRule="auto"/>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 </w:t>
            </w:r>
          </w:p>
        </w:tc>
        <w:tc>
          <w:tcPr>
            <w:tcW w:w="853" w:type="pct"/>
            <w:tcBorders>
              <w:top w:val="nil"/>
              <w:left w:val="nil"/>
              <w:bottom w:val="single" w:sz="4" w:space="0" w:color="auto"/>
              <w:right w:val="nil"/>
            </w:tcBorders>
            <w:shd w:val="clear" w:color="auto" w:fill="auto"/>
            <w:noWrap/>
            <w:vAlign w:val="bottom"/>
            <w:hideMark/>
          </w:tcPr>
          <w:p w14:paraId="3EAFFF4B" w14:textId="77777777" w:rsidR="00952ED6" w:rsidRPr="000D30BF" w:rsidRDefault="00952ED6" w:rsidP="00537A5C">
            <w:pPr>
              <w:spacing w:after="0" w:line="240" w:lineRule="auto"/>
              <w:jc w:val="center"/>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OR (95% CI)</w:t>
            </w:r>
          </w:p>
        </w:tc>
        <w:tc>
          <w:tcPr>
            <w:tcW w:w="481" w:type="pct"/>
            <w:tcBorders>
              <w:top w:val="nil"/>
              <w:left w:val="nil"/>
              <w:bottom w:val="single" w:sz="4" w:space="0" w:color="auto"/>
              <w:right w:val="nil"/>
            </w:tcBorders>
            <w:shd w:val="clear" w:color="auto" w:fill="auto"/>
            <w:noWrap/>
            <w:vAlign w:val="bottom"/>
            <w:hideMark/>
          </w:tcPr>
          <w:p w14:paraId="00E1ACD4" w14:textId="77777777" w:rsidR="00952ED6" w:rsidRPr="000D30BF" w:rsidRDefault="00952ED6" w:rsidP="00537A5C">
            <w:pPr>
              <w:spacing w:after="0" w:line="240" w:lineRule="auto"/>
              <w:jc w:val="center"/>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P Value</w:t>
            </w:r>
          </w:p>
        </w:tc>
        <w:tc>
          <w:tcPr>
            <w:tcW w:w="81" w:type="pct"/>
            <w:tcBorders>
              <w:top w:val="nil"/>
              <w:left w:val="nil"/>
              <w:bottom w:val="single" w:sz="4" w:space="0" w:color="auto"/>
              <w:right w:val="nil"/>
            </w:tcBorders>
            <w:shd w:val="clear" w:color="auto" w:fill="auto"/>
            <w:noWrap/>
            <w:vAlign w:val="bottom"/>
            <w:hideMark/>
          </w:tcPr>
          <w:p w14:paraId="6CAFE68D"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 </w:t>
            </w:r>
          </w:p>
        </w:tc>
        <w:tc>
          <w:tcPr>
            <w:tcW w:w="792" w:type="pct"/>
            <w:tcBorders>
              <w:top w:val="nil"/>
              <w:left w:val="nil"/>
              <w:bottom w:val="single" w:sz="4" w:space="0" w:color="auto"/>
              <w:right w:val="nil"/>
            </w:tcBorders>
            <w:shd w:val="clear" w:color="auto" w:fill="auto"/>
            <w:noWrap/>
            <w:vAlign w:val="bottom"/>
            <w:hideMark/>
          </w:tcPr>
          <w:p w14:paraId="332CAF81" w14:textId="77777777" w:rsidR="00952ED6" w:rsidRPr="000D30BF" w:rsidRDefault="00952ED6" w:rsidP="00537A5C">
            <w:pPr>
              <w:spacing w:after="0" w:line="240" w:lineRule="auto"/>
              <w:jc w:val="center"/>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OR (95% CI)</w:t>
            </w:r>
          </w:p>
        </w:tc>
        <w:tc>
          <w:tcPr>
            <w:tcW w:w="447" w:type="pct"/>
            <w:tcBorders>
              <w:top w:val="nil"/>
              <w:left w:val="nil"/>
              <w:bottom w:val="single" w:sz="4" w:space="0" w:color="auto"/>
              <w:right w:val="nil"/>
            </w:tcBorders>
            <w:shd w:val="clear" w:color="auto" w:fill="auto"/>
            <w:noWrap/>
            <w:vAlign w:val="bottom"/>
            <w:hideMark/>
          </w:tcPr>
          <w:p w14:paraId="5455A5AE" w14:textId="77777777" w:rsidR="00952ED6" w:rsidRPr="000D30BF" w:rsidRDefault="00952ED6" w:rsidP="00537A5C">
            <w:pPr>
              <w:spacing w:after="0" w:line="240" w:lineRule="auto"/>
              <w:jc w:val="center"/>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P Value</w:t>
            </w:r>
          </w:p>
        </w:tc>
      </w:tr>
      <w:tr w:rsidR="00952ED6" w:rsidRPr="000D30BF" w14:paraId="0CB4CFEC" w14:textId="77777777" w:rsidTr="007E1DB6">
        <w:trPr>
          <w:gridAfter w:val="1"/>
          <w:wAfter w:w="357" w:type="pct"/>
          <w:trHeight w:val="300"/>
        </w:trPr>
        <w:tc>
          <w:tcPr>
            <w:tcW w:w="1908" w:type="pct"/>
            <w:gridSpan w:val="2"/>
            <w:tcBorders>
              <w:top w:val="single" w:sz="4" w:space="0" w:color="auto"/>
              <w:left w:val="nil"/>
              <w:bottom w:val="nil"/>
              <w:right w:val="nil"/>
            </w:tcBorders>
            <w:shd w:val="clear" w:color="auto" w:fill="auto"/>
            <w:noWrap/>
            <w:vAlign w:val="bottom"/>
            <w:hideMark/>
          </w:tcPr>
          <w:p w14:paraId="4B98D418" w14:textId="77777777" w:rsidR="00952ED6" w:rsidRPr="000D30BF" w:rsidRDefault="00952ED6" w:rsidP="000966A7">
            <w:pPr>
              <w:spacing w:after="0" w:line="240" w:lineRule="auto"/>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 xml:space="preserve">All </w:t>
            </w:r>
            <w:r>
              <w:rPr>
                <w:rFonts w:ascii="Times New Roman" w:eastAsia="Times New Roman" w:hAnsi="Times New Roman" w:cs="Times New Roman"/>
                <w:color w:val="000000"/>
                <w:sz w:val="24"/>
                <w:szCs w:val="24"/>
                <w:lang w:eastAsia="en-US"/>
              </w:rPr>
              <w:t>full siblings</w:t>
            </w:r>
            <w:r w:rsidRPr="000D30BF">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(n=523 237 pairs</w:t>
            </w:r>
            <w:r w:rsidRPr="000D30BF">
              <w:rPr>
                <w:rFonts w:ascii="Times New Roman" w:eastAsia="Times New Roman" w:hAnsi="Times New Roman" w:cs="Times New Roman"/>
                <w:color w:val="000000"/>
                <w:sz w:val="24"/>
                <w:szCs w:val="24"/>
                <w:lang w:eastAsia="en-US"/>
              </w:rPr>
              <w:t>)</w:t>
            </w:r>
          </w:p>
        </w:tc>
        <w:tc>
          <w:tcPr>
            <w:tcW w:w="81" w:type="pct"/>
            <w:tcBorders>
              <w:top w:val="nil"/>
              <w:left w:val="nil"/>
              <w:bottom w:val="nil"/>
              <w:right w:val="nil"/>
            </w:tcBorders>
            <w:shd w:val="clear" w:color="auto" w:fill="auto"/>
            <w:noWrap/>
            <w:vAlign w:val="bottom"/>
            <w:hideMark/>
          </w:tcPr>
          <w:p w14:paraId="410D785B"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853" w:type="pct"/>
            <w:tcBorders>
              <w:top w:val="nil"/>
              <w:left w:val="nil"/>
              <w:bottom w:val="nil"/>
              <w:right w:val="nil"/>
            </w:tcBorders>
            <w:shd w:val="clear" w:color="auto" w:fill="auto"/>
            <w:noWrap/>
            <w:vAlign w:val="bottom"/>
            <w:hideMark/>
          </w:tcPr>
          <w:p w14:paraId="3CCF1A85"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481" w:type="pct"/>
            <w:tcBorders>
              <w:top w:val="nil"/>
              <w:left w:val="nil"/>
              <w:bottom w:val="nil"/>
              <w:right w:val="nil"/>
            </w:tcBorders>
            <w:shd w:val="clear" w:color="auto" w:fill="auto"/>
            <w:noWrap/>
            <w:vAlign w:val="bottom"/>
            <w:hideMark/>
          </w:tcPr>
          <w:p w14:paraId="70392386"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81" w:type="pct"/>
            <w:tcBorders>
              <w:top w:val="nil"/>
              <w:left w:val="nil"/>
              <w:bottom w:val="nil"/>
              <w:right w:val="nil"/>
            </w:tcBorders>
            <w:shd w:val="clear" w:color="auto" w:fill="auto"/>
            <w:noWrap/>
            <w:vAlign w:val="bottom"/>
            <w:hideMark/>
          </w:tcPr>
          <w:p w14:paraId="5B14C942"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792" w:type="pct"/>
            <w:tcBorders>
              <w:top w:val="nil"/>
              <w:left w:val="nil"/>
              <w:bottom w:val="nil"/>
              <w:right w:val="nil"/>
            </w:tcBorders>
            <w:shd w:val="clear" w:color="auto" w:fill="auto"/>
            <w:noWrap/>
            <w:vAlign w:val="bottom"/>
            <w:hideMark/>
          </w:tcPr>
          <w:p w14:paraId="4779D34D"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447" w:type="pct"/>
            <w:tcBorders>
              <w:top w:val="nil"/>
              <w:left w:val="nil"/>
              <w:bottom w:val="nil"/>
              <w:right w:val="nil"/>
            </w:tcBorders>
            <w:shd w:val="clear" w:color="auto" w:fill="auto"/>
            <w:noWrap/>
            <w:vAlign w:val="bottom"/>
            <w:hideMark/>
          </w:tcPr>
          <w:p w14:paraId="27AC0126"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r>
      <w:tr w:rsidR="00952ED6" w:rsidRPr="000D30BF" w14:paraId="4B17505B" w14:textId="77777777" w:rsidTr="007E1DB6">
        <w:trPr>
          <w:gridAfter w:val="1"/>
          <w:wAfter w:w="357" w:type="pct"/>
          <w:trHeight w:val="300"/>
        </w:trPr>
        <w:tc>
          <w:tcPr>
            <w:tcW w:w="239" w:type="pct"/>
            <w:tcBorders>
              <w:top w:val="nil"/>
              <w:left w:val="nil"/>
              <w:bottom w:val="nil"/>
              <w:right w:val="nil"/>
            </w:tcBorders>
            <w:shd w:val="clear" w:color="auto" w:fill="auto"/>
            <w:noWrap/>
            <w:vAlign w:val="bottom"/>
            <w:hideMark/>
          </w:tcPr>
          <w:p w14:paraId="0F993E4B"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1669" w:type="pct"/>
            <w:tcBorders>
              <w:top w:val="nil"/>
              <w:left w:val="nil"/>
              <w:bottom w:val="nil"/>
              <w:right w:val="nil"/>
            </w:tcBorders>
            <w:shd w:val="clear" w:color="auto" w:fill="auto"/>
            <w:noWrap/>
            <w:vAlign w:val="bottom"/>
            <w:hideMark/>
          </w:tcPr>
          <w:p w14:paraId="04F78782"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Normal weight</w:t>
            </w:r>
          </w:p>
        </w:tc>
        <w:tc>
          <w:tcPr>
            <w:tcW w:w="81" w:type="pct"/>
            <w:tcBorders>
              <w:top w:val="nil"/>
              <w:left w:val="nil"/>
              <w:bottom w:val="nil"/>
              <w:right w:val="nil"/>
            </w:tcBorders>
            <w:shd w:val="clear" w:color="auto" w:fill="auto"/>
            <w:noWrap/>
            <w:vAlign w:val="bottom"/>
            <w:hideMark/>
          </w:tcPr>
          <w:p w14:paraId="27164BE9"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853" w:type="pct"/>
            <w:tcBorders>
              <w:top w:val="nil"/>
              <w:left w:val="nil"/>
              <w:bottom w:val="nil"/>
              <w:right w:val="nil"/>
            </w:tcBorders>
            <w:shd w:val="clear" w:color="auto" w:fill="auto"/>
            <w:noWrap/>
            <w:vAlign w:val="bottom"/>
            <w:hideMark/>
          </w:tcPr>
          <w:p w14:paraId="1D6B00A4"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Reference</w:t>
            </w:r>
          </w:p>
        </w:tc>
        <w:tc>
          <w:tcPr>
            <w:tcW w:w="481" w:type="pct"/>
            <w:tcBorders>
              <w:top w:val="nil"/>
              <w:left w:val="nil"/>
              <w:bottom w:val="nil"/>
              <w:right w:val="nil"/>
            </w:tcBorders>
            <w:shd w:val="clear" w:color="auto" w:fill="auto"/>
            <w:noWrap/>
            <w:vAlign w:val="bottom"/>
            <w:hideMark/>
          </w:tcPr>
          <w:p w14:paraId="2D0442A2"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81" w:type="pct"/>
            <w:tcBorders>
              <w:top w:val="nil"/>
              <w:left w:val="nil"/>
              <w:bottom w:val="nil"/>
              <w:right w:val="nil"/>
            </w:tcBorders>
            <w:shd w:val="clear" w:color="auto" w:fill="auto"/>
            <w:noWrap/>
            <w:vAlign w:val="bottom"/>
            <w:hideMark/>
          </w:tcPr>
          <w:p w14:paraId="177D1D64"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792" w:type="pct"/>
            <w:tcBorders>
              <w:top w:val="nil"/>
              <w:left w:val="nil"/>
              <w:bottom w:val="nil"/>
              <w:right w:val="nil"/>
            </w:tcBorders>
            <w:shd w:val="clear" w:color="auto" w:fill="auto"/>
            <w:noWrap/>
            <w:vAlign w:val="bottom"/>
            <w:hideMark/>
          </w:tcPr>
          <w:p w14:paraId="35DD4551"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Reference</w:t>
            </w:r>
          </w:p>
        </w:tc>
        <w:tc>
          <w:tcPr>
            <w:tcW w:w="447" w:type="pct"/>
            <w:tcBorders>
              <w:top w:val="nil"/>
              <w:left w:val="nil"/>
              <w:bottom w:val="nil"/>
              <w:right w:val="nil"/>
            </w:tcBorders>
            <w:shd w:val="clear" w:color="auto" w:fill="auto"/>
            <w:noWrap/>
            <w:vAlign w:val="bottom"/>
            <w:hideMark/>
          </w:tcPr>
          <w:p w14:paraId="04B912EA"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r>
      <w:tr w:rsidR="00952ED6" w:rsidRPr="000D30BF" w14:paraId="07E43F1D" w14:textId="77777777" w:rsidTr="007E1DB6">
        <w:trPr>
          <w:gridAfter w:val="1"/>
          <w:wAfter w:w="357" w:type="pct"/>
          <w:trHeight w:val="300"/>
        </w:trPr>
        <w:tc>
          <w:tcPr>
            <w:tcW w:w="239" w:type="pct"/>
            <w:tcBorders>
              <w:top w:val="nil"/>
              <w:left w:val="nil"/>
              <w:bottom w:val="nil"/>
              <w:right w:val="nil"/>
            </w:tcBorders>
            <w:shd w:val="clear" w:color="auto" w:fill="auto"/>
            <w:noWrap/>
            <w:vAlign w:val="bottom"/>
            <w:hideMark/>
          </w:tcPr>
          <w:p w14:paraId="5872997C"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1669" w:type="pct"/>
            <w:tcBorders>
              <w:top w:val="nil"/>
              <w:left w:val="nil"/>
              <w:bottom w:val="nil"/>
              <w:right w:val="nil"/>
            </w:tcBorders>
            <w:shd w:val="clear" w:color="auto" w:fill="auto"/>
            <w:noWrap/>
            <w:vAlign w:val="bottom"/>
            <w:hideMark/>
          </w:tcPr>
          <w:p w14:paraId="3F770F80"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Overweight</w:t>
            </w:r>
          </w:p>
        </w:tc>
        <w:tc>
          <w:tcPr>
            <w:tcW w:w="81" w:type="pct"/>
            <w:tcBorders>
              <w:top w:val="nil"/>
              <w:left w:val="nil"/>
              <w:bottom w:val="nil"/>
              <w:right w:val="nil"/>
            </w:tcBorders>
            <w:shd w:val="clear" w:color="auto" w:fill="auto"/>
            <w:noWrap/>
            <w:vAlign w:val="bottom"/>
            <w:hideMark/>
          </w:tcPr>
          <w:p w14:paraId="559A7917"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853" w:type="pct"/>
            <w:tcBorders>
              <w:top w:val="nil"/>
              <w:left w:val="nil"/>
              <w:bottom w:val="nil"/>
              <w:right w:val="nil"/>
            </w:tcBorders>
            <w:shd w:val="clear" w:color="auto" w:fill="auto"/>
            <w:noWrap/>
            <w:vAlign w:val="bottom"/>
            <w:hideMark/>
          </w:tcPr>
          <w:p w14:paraId="22244E29"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1.14 (1.05–1.24)</w:t>
            </w:r>
          </w:p>
        </w:tc>
        <w:tc>
          <w:tcPr>
            <w:tcW w:w="481" w:type="pct"/>
            <w:tcBorders>
              <w:top w:val="nil"/>
              <w:left w:val="nil"/>
              <w:bottom w:val="nil"/>
              <w:right w:val="nil"/>
            </w:tcBorders>
            <w:shd w:val="clear" w:color="auto" w:fill="auto"/>
            <w:noWrap/>
            <w:vAlign w:val="bottom"/>
            <w:hideMark/>
          </w:tcPr>
          <w:p w14:paraId="65D73676"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0D30BF">
              <w:rPr>
                <w:rFonts w:ascii="Times New Roman" w:eastAsia="Times New Roman" w:hAnsi="Times New Roman" w:cs="Times New Roman"/>
                <w:color w:val="000000"/>
                <w:sz w:val="24"/>
                <w:szCs w:val="24"/>
                <w:lang w:eastAsia="en-US"/>
              </w:rPr>
              <w:t>.002</w:t>
            </w:r>
          </w:p>
        </w:tc>
        <w:tc>
          <w:tcPr>
            <w:tcW w:w="81" w:type="pct"/>
            <w:tcBorders>
              <w:top w:val="nil"/>
              <w:left w:val="nil"/>
              <w:bottom w:val="nil"/>
              <w:right w:val="nil"/>
            </w:tcBorders>
            <w:shd w:val="clear" w:color="auto" w:fill="auto"/>
            <w:noWrap/>
            <w:vAlign w:val="bottom"/>
            <w:hideMark/>
          </w:tcPr>
          <w:p w14:paraId="0C513638"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792" w:type="pct"/>
            <w:tcBorders>
              <w:top w:val="nil"/>
              <w:left w:val="nil"/>
              <w:bottom w:val="nil"/>
              <w:right w:val="nil"/>
            </w:tcBorders>
            <w:shd w:val="clear" w:color="auto" w:fill="auto"/>
            <w:noWrap/>
            <w:vAlign w:val="bottom"/>
            <w:hideMark/>
          </w:tcPr>
          <w:p w14:paraId="2299C4A8"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1.26 (1.04–1.22)</w:t>
            </w:r>
          </w:p>
        </w:tc>
        <w:tc>
          <w:tcPr>
            <w:tcW w:w="447" w:type="pct"/>
            <w:tcBorders>
              <w:top w:val="nil"/>
              <w:left w:val="nil"/>
              <w:bottom w:val="nil"/>
              <w:right w:val="nil"/>
            </w:tcBorders>
            <w:shd w:val="clear" w:color="auto" w:fill="auto"/>
            <w:noWrap/>
            <w:vAlign w:val="bottom"/>
            <w:hideMark/>
          </w:tcPr>
          <w:p w14:paraId="001A315C"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0D30BF">
              <w:rPr>
                <w:rFonts w:ascii="Times New Roman" w:eastAsia="Times New Roman" w:hAnsi="Times New Roman" w:cs="Times New Roman"/>
                <w:color w:val="000000"/>
                <w:sz w:val="24"/>
                <w:szCs w:val="24"/>
                <w:lang w:eastAsia="en-US"/>
              </w:rPr>
              <w:t>.005</w:t>
            </w:r>
          </w:p>
        </w:tc>
      </w:tr>
      <w:tr w:rsidR="00952ED6" w:rsidRPr="000D30BF" w14:paraId="1C6DE916" w14:textId="77777777" w:rsidTr="007E1DB6">
        <w:trPr>
          <w:gridAfter w:val="1"/>
          <w:wAfter w:w="357" w:type="pct"/>
          <w:trHeight w:val="300"/>
        </w:trPr>
        <w:tc>
          <w:tcPr>
            <w:tcW w:w="239" w:type="pct"/>
            <w:tcBorders>
              <w:top w:val="nil"/>
              <w:left w:val="nil"/>
              <w:bottom w:val="nil"/>
              <w:right w:val="nil"/>
            </w:tcBorders>
            <w:shd w:val="clear" w:color="auto" w:fill="auto"/>
            <w:noWrap/>
            <w:vAlign w:val="bottom"/>
            <w:hideMark/>
          </w:tcPr>
          <w:p w14:paraId="5A55E0DA"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1669" w:type="pct"/>
            <w:tcBorders>
              <w:top w:val="nil"/>
              <w:left w:val="nil"/>
              <w:bottom w:val="nil"/>
              <w:right w:val="nil"/>
            </w:tcBorders>
            <w:shd w:val="clear" w:color="auto" w:fill="auto"/>
            <w:noWrap/>
            <w:vAlign w:val="bottom"/>
            <w:hideMark/>
          </w:tcPr>
          <w:p w14:paraId="2B9FDE95"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Obesity</w:t>
            </w:r>
          </w:p>
        </w:tc>
        <w:tc>
          <w:tcPr>
            <w:tcW w:w="81" w:type="pct"/>
            <w:tcBorders>
              <w:top w:val="nil"/>
              <w:left w:val="nil"/>
              <w:bottom w:val="nil"/>
              <w:right w:val="nil"/>
            </w:tcBorders>
            <w:shd w:val="clear" w:color="auto" w:fill="auto"/>
            <w:noWrap/>
            <w:vAlign w:val="bottom"/>
            <w:hideMark/>
          </w:tcPr>
          <w:p w14:paraId="2F2ACB0E"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853" w:type="pct"/>
            <w:tcBorders>
              <w:top w:val="nil"/>
              <w:left w:val="nil"/>
              <w:bottom w:val="nil"/>
              <w:right w:val="nil"/>
            </w:tcBorders>
            <w:shd w:val="clear" w:color="auto" w:fill="auto"/>
            <w:noWrap/>
            <w:vAlign w:val="bottom"/>
            <w:hideMark/>
          </w:tcPr>
          <w:p w14:paraId="17BC9228"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1.42 (1.24–1.63)</w:t>
            </w:r>
          </w:p>
        </w:tc>
        <w:tc>
          <w:tcPr>
            <w:tcW w:w="481" w:type="pct"/>
            <w:tcBorders>
              <w:top w:val="nil"/>
              <w:left w:val="nil"/>
              <w:bottom w:val="nil"/>
              <w:right w:val="nil"/>
            </w:tcBorders>
            <w:shd w:val="clear" w:color="auto" w:fill="auto"/>
            <w:noWrap/>
            <w:vAlign w:val="bottom"/>
            <w:hideMark/>
          </w:tcPr>
          <w:p w14:paraId="383FD99B"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&lt; .001</w:t>
            </w:r>
          </w:p>
        </w:tc>
        <w:tc>
          <w:tcPr>
            <w:tcW w:w="81" w:type="pct"/>
            <w:tcBorders>
              <w:top w:val="nil"/>
              <w:left w:val="nil"/>
              <w:bottom w:val="nil"/>
              <w:right w:val="nil"/>
            </w:tcBorders>
            <w:shd w:val="clear" w:color="auto" w:fill="auto"/>
            <w:noWrap/>
            <w:vAlign w:val="bottom"/>
            <w:hideMark/>
          </w:tcPr>
          <w:p w14:paraId="048BD752"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792" w:type="pct"/>
            <w:tcBorders>
              <w:top w:val="nil"/>
              <w:left w:val="nil"/>
              <w:bottom w:val="nil"/>
              <w:right w:val="nil"/>
            </w:tcBorders>
            <w:shd w:val="clear" w:color="auto" w:fill="auto"/>
            <w:noWrap/>
            <w:vAlign w:val="bottom"/>
            <w:hideMark/>
          </w:tcPr>
          <w:p w14:paraId="03D00743"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1.38 (1.21–1.57)</w:t>
            </w:r>
          </w:p>
        </w:tc>
        <w:tc>
          <w:tcPr>
            <w:tcW w:w="447" w:type="pct"/>
            <w:tcBorders>
              <w:top w:val="nil"/>
              <w:left w:val="nil"/>
              <w:bottom w:val="nil"/>
              <w:right w:val="nil"/>
            </w:tcBorders>
            <w:shd w:val="clear" w:color="auto" w:fill="auto"/>
            <w:noWrap/>
            <w:vAlign w:val="bottom"/>
            <w:hideMark/>
          </w:tcPr>
          <w:p w14:paraId="5EB337BB"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&lt; .001</w:t>
            </w:r>
          </w:p>
        </w:tc>
      </w:tr>
      <w:tr w:rsidR="00952ED6" w:rsidRPr="000D30BF" w14:paraId="1BAA2608" w14:textId="77777777" w:rsidTr="007E1DB6">
        <w:trPr>
          <w:trHeight w:val="300"/>
        </w:trPr>
        <w:tc>
          <w:tcPr>
            <w:tcW w:w="1908" w:type="pct"/>
            <w:gridSpan w:val="2"/>
            <w:tcBorders>
              <w:top w:val="nil"/>
              <w:left w:val="nil"/>
              <w:bottom w:val="nil"/>
              <w:right w:val="nil"/>
            </w:tcBorders>
            <w:shd w:val="clear" w:color="auto" w:fill="auto"/>
            <w:noWrap/>
            <w:vAlign w:val="bottom"/>
            <w:hideMark/>
          </w:tcPr>
          <w:p w14:paraId="3F93B6E7" w14:textId="77777777" w:rsidR="00952ED6" w:rsidRPr="000D30BF" w:rsidRDefault="00952ED6" w:rsidP="000966A7">
            <w:pPr>
              <w:spacing w:after="0" w:line="240" w:lineRule="auto"/>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 xml:space="preserve">Female </w:t>
            </w:r>
            <w:r>
              <w:rPr>
                <w:rFonts w:ascii="Times New Roman" w:eastAsia="Times New Roman" w:hAnsi="Times New Roman" w:cs="Times New Roman"/>
                <w:color w:val="000000"/>
                <w:sz w:val="24"/>
                <w:szCs w:val="24"/>
                <w:lang w:eastAsia="en-US"/>
              </w:rPr>
              <w:t>full sibling</w:t>
            </w:r>
            <w:r w:rsidRPr="000D30BF">
              <w:rPr>
                <w:rFonts w:ascii="Times New Roman" w:eastAsia="Times New Roman" w:hAnsi="Times New Roman" w:cs="Times New Roman"/>
                <w:color w:val="000000"/>
                <w:sz w:val="24"/>
                <w:szCs w:val="24"/>
                <w:lang w:eastAsia="en-US"/>
              </w:rPr>
              <w:t xml:space="preserve">s </w:t>
            </w:r>
            <w:r>
              <w:rPr>
                <w:rFonts w:ascii="Times New Roman" w:eastAsia="Times New Roman" w:hAnsi="Times New Roman" w:cs="Times New Roman"/>
                <w:color w:val="000000"/>
                <w:sz w:val="24"/>
                <w:szCs w:val="24"/>
                <w:lang w:eastAsia="en-US"/>
              </w:rPr>
              <w:t>(n=269 574 pairs</w:t>
            </w:r>
            <w:r w:rsidRPr="000D30BF">
              <w:rPr>
                <w:rFonts w:ascii="Times New Roman" w:eastAsia="Times New Roman" w:hAnsi="Times New Roman" w:cs="Times New Roman"/>
                <w:color w:val="000000"/>
                <w:sz w:val="24"/>
                <w:szCs w:val="24"/>
                <w:lang w:eastAsia="en-US"/>
              </w:rPr>
              <w:t>)</w:t>
            </w:r>
          </w:p>
        </w:tc>
        <w:tc>
          <w:tcPr>
            <w:tcW w:w="81" w:type="pct"/>
            <w:tcBorders>
              <w:top w:val="nil"/>
              <w:left w:val="nil"/>
              <w:bottom w:val="nil"/>
              <w:right w:val="nil"/>
            </w:tcBorders>
            <w:shd w:val="clear" w:color="auto" w:fill="auto"/>
            <w:noWrap/>
            <w:vAlign w:val="bottom"/>
            <w:hideMark/>
          </w:tcPr>
          <w:p w14:paraId="20DC8174"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853" w:type="pct"/>
            <w:tcBorders>
              <w:top w:val="nil"/>
              <w:left w:val="nil"/>
              <w:bottom w:val="nil"/>
              <w:right w:val="nil"/>
            </w:tcBorders>
            <w:shd w:val="clear" w:color="auto" w:fill="auto"/>
            <w:noWrap/>
            <w:vAlign w:val="bottom"/>
            <w:hideMark/>
          </w:tcPr>
          <w:p w14:paraId="465F0832"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481" w:type="pct"/>
            <w:tcBorders>
              <w:top w:val="nil"/>
              <w:left w:val="nil"/>
              <w:bottom w:val="nil"/>
              <w:right w:val="nil"/>
            </w:tcBorders>
            <w:shd w:val="clear" w:color="auto" w:fill="auto"/>
            <w:noWrap/>
            <w:vAlign w:val="bottom"/>
            <w:hideMark/>
          </w:tcPr>
          <w:p w14:paraId="46CA43D3"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81" w:type="pct"/>
            <w:tcBorders>
              <w:top w:val="nil"/>
              <w:left w:val="nil"/>
              <w:bottom w:val="nil"/>
              <w:right w:val="nil"/>
            </w:tcBorders>
            <w:shd w:val="clear" w:color="auto" w:fill="auto"/>
            <w:noWrap/>
            <w:vAlign w:val="bottom"/>
            <w:hideMark/>
          </w:tcPr>
          <w:p w14:paraId="5898D170"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792" w:type="pct"/>
            <w:tcBorders>
              <w:top w:val="nil"/>
              <w:left w:val="nil"/>
              <w:bottom w:val="nil"/>
              <w:right w:val="nil"/>
            </w:tcBorders>
            <w:shd w:val="clear" w:color="auto" w:fill="auto"/>
            <w:noWrap/>
            <w:vAlign w:val="bottom"/>
            <w:hideMark/>
          </w:tcPr>
          <w:p w14:paraId="79A7A314"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447" w:type="pct"/>
            <w:tcBorders>
              <w:top w:val="nil"/>
              <w:left w:val="nil"/>
              <w:bottom w:val="nil"/>
              <w:right w:val="nil"/>
            </w:tcBorders>
            <w:shd w:val="clear" w:color="auto" w:fill="auto"/>
            <w:noWrap/>
            <w:vAlign w:val="bottom"/>
            <w:hideMark/>
          </w:tcPr>
          <w:p w14:paraId="2F283DF6"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357" w:type="pct"/>
            <w:vAlign w:val="bottom"/>
          </w:tcPr>
          <w:p w14:paraId="35DDDE69" w14:textId="77777777" w:rsidR="00952ED6" w:rsidRPr="000D30BF" w:rsidRDefault="00952ED6"/>
        </w:tc>
      </w:tr>
      <w:tr w:rsidR="00952ED6" w:rsidRPr="000D30BF" w14:paraId="661E376D" w14:textId="77777777" w:rsidTr="007E1DB6">
        <w:trPr>
          <w:gridAfter w:val="1"/>
          <w:wAfter w:w="357" w:type="pct"/>
          <w:trHeight w:val="300"/>
        </w:trPr>
        <w:tc>
          <w:tcPr>
            <w:tcW w:w="239" w:type="pct"/>
            <w:tcBorders>
              <w:top w:val="nil"/>
              <w:left w:val="nil"/>
              <w:bottom w:val="nil"/>
              <w:right w:val="nil"/>
            </w:tcBorders>
            <w:shd w:val="clear" w:color="auto" w:fill="auto"/>
            <w:noWrap/>
            <w:vAlign w:val="bottom"/>
            <w:hideMark/>
          </w:tcPr>
          <w:p w14:paraId="6981CA1C"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1669" w:type="pct"/>
            <w:tcBorders>
              <w:top w:val="nil"/>
              <w:left w:val="nil"/>
              <w:bottom w:val="nil"/>
              <w:right w:val="nil"/>
            </w:tcBorders>
            <w:shd w:val="clear" w:color="auto" w:fill="auto"/>
            <w:noWrap/>
            <w:vAlign w:val="bottom"/>
            <w:hideMark/>
          </w:tcPr>
          <w:p w14:paraId="33337FC5"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Normal weight</w:t>
            </w:r>
          </w:p>
        </w:tc>
        <w:tc>
          <w:tcPr>
            <w:tcW w:w="81" w:type="pct"/>
            <w:tcBorders>
              <w:top w:val="nil"/>
              <w:left w:val="nil"/>
              <w:bottom w:val="nil"/>
              <w:right w:val="nil"/>
            </w:tcBorders>
            <w:shd w:val="clear" w:color="auto" w:fill="auto"/>
            <w:noWrap/>
            <w:vAlign w:val="bottom"/>
            <w:hideMark/>
          </w:tcPr>
          <w:p w14:paraId="59B97C1C"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853" w:type="pct"/>
            <w:tcBorders>
              <w:top w:val="nil"/>
              <w:left w:val="nil"/>
              <w:bottom w:val="nil"/>
              <w:right w:val="nil"/>
            </w:tcBorders>
            <w:shd w:val="clear" w:color="auto" w:fill="auto"/>
            <w:noWrap/>
            <w:vAlign w:val="bottom"/>
            <w:hideMark/>
          </w:tcPr>
          <w:p w14:paraId="3BDB2C51"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Reference</w:t>
            </w:r>
          </w:p>
        </w:tc>
        <w:tc>
          <w:tcPr>
            <w:tcW w:w="481" w:type="pct"/>
            <w:tcBorders>
              <w:top w:val="nil"/>
              <w:left w:val="nil"/>
              <w:bottom w:val="nil"/>
              <w:right w:val="nil"/>
            </w:tcBorders>
            <w:shd w:val="clear" w:color="auto" w:fill="auto"/>
            <w:noWrap/>
            <w:vAlign w:val="bottom"/>
            <w:hideMark/>
          </w:tcPr>
          <w:p w14:paraId="623FF9B6"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81" w:type="pct"/>
            <w:tcBorders>
              <w:top w:val="nil"/>
              <w:left w:val="nil"/>
              <w:bottom w:val="nil"/>
              <w:right w:val="nil"/>
            </w:tcBorders>
            <w:shd w:val="clear" w:color="auto" w:fill="auto"/>
            <w:noWrap/>
            <w:vAlign w:val="bottom"/>
            <w:hideMark/>
          </w:tcPr>
          <w:p w14:paraId="4B5BB699"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792" w:type="pct"/>
            <w:tcBorders>
              <w:top w:val="nil"/>
              <w:left w:val="nil"/>
              <w:bottom w:val="nil"/>
              <w:right w:val="nil"/>
            </w:tcBorders>
            <w:shd w:val="clear" w:color="auto" w:fill="auto"/>
            <w:noWrap/>
            <w:vAlign w:val="bottom"/>
            <w:hideMark/>
          </w:tcPr>
          <w:p w14:paraId="1878F29C"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Reference</w:t>
            </w:r>
          </w:p>
        </w:tc>
        <w:tc>
          <w:tcPr>
            <w:tcW w:w="447" w:type="pct"/>
            <w:tcBorders>
              <w:top w:val="nil"/>
              <w:left w:val="nil"/>
              <w:bottom w:val="nil"/>
              <w:right w:val="nil"/>
            </w:tcBorders>
            <w:shd w:val="clear" w:color="auto" w:fill="auto"/>
            <w:noWrap/>
            <w:vAlign w:val="bottom"/>
            <w:hideMark/>
          </w:tcPr>
          <w:p w14:paraId="73001B24"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r>
      <w:tr w:rsidR="00952ED6" w:rsidRPr="000D30BF" w14:paraId="716D0D98" w14:textId="77777777" w:rsidTr="007E1DB6">
        <w:trPr>
          <w:gridAfter w:val="1"/>
          <w:wAfter w:w="357" w:type="pct"/>
          <w:trHeight w:val="300"/>
        </w:trPr>
        <w:tc>
          <w:tcPr>
            <w:tcW w:w="239" w:type="pct"/>
            <w:tcBorders>
              <w:top w:val="nil"/>
              <w:left w:val="nil"/>
              <w:bottom w:val="nil"/>
              <w:right w:val="nil"/>
            </w:tcBorders>
            <w:shd w:val="clear" w:color="auto" w:fill="auto"/>
            <w:noWrap/>
            <w:vAlign w:val="bottom"/>
            <w:hideMark/>
          </w:tcPr>
          <w:p w14:paraId="30413A79"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1669" w:type="pct"/>
            <w:tcBorders>
              <w:top w:val="nil"/>
              <w:left w:val="nil"/>
              <w:bottom w:val="nil"/>
              <w:right w:val="nil"/>
            </w:tcBorders>
            <w:shd w:val="clear" w:color="auto" w:fill="auto"/>
            <w:noWrap/>
            <w:vAlign w:val="bottom"/>
            <w:hideMark/>
          </w:tcPr>
          <w:p w14:paraId="516D00AF"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Overweight</w:t>
            </w:r>
          </w:p>
        </w:tc>
        <w:tc>
          <w:tcPr>
            <w:tcW w:w="81" w:type="pct"/>
            <w:tcBorders>
              <w:top w:val="nil"/>
              <w:left w:val="nil"/>
              <w:bottom w:val="nil"/>
              <w:right w:val="nil"/>
            </w:tcBorders>
            <w:shd w:val="clear" w:color="auto" w:fill="auto"/>
            <w:noWrap/>
            <w:vAlign w:val="bottom"/>
            <w:hideMark/>
          </w:tcPr>
          <w:p w14:paraId="5DC01369"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853" w:type="pct"/>
            <w:tcBorders>
              <w:top w:val="nil"/>
              <w:left w:val="nil"/>
              <w:bottom w:val="nil"/>
              <w:right w:val="nil"/>
            </w:tcBorders>
            <w:shd w:val="clear" w:color="auto" w:fill="auto"/>
            <w:noWrap/>
            <w:vAlign w:val="bottom"/>
            <w:hideMark/>
          </w:tcPr>
          <w:p w14:paraId="2CB59B2E"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1.19 (1.03–1.36)</w:t>
            </w:r>
          </w:p>
        </w:tc>
        <w:tc>
          <w:tcPr>
            <w:tcW w:w="481" w:type="pct"/>
            <w:tcBorders>
              <w:top w:val="nil"/>
              <w:left w:val="nil"/>
              <w:bottom w:val="nil"/>
              <w:right w:val="nil"/>
            </w:tcBorders>
            <w:shd w:val="clear" w:color="auto" w:fill="auto"/>
            <w:noWrap/>
            <w:vAlign w:val="bottom"/>
            <w:hideMark/>
          </w:tcPr>
          <w:p w14:paraId="4E0F0D1A"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0D30BF">
              <w:rPr>
                <w:rFonts w:ascii="Times New Roman" w:eastAsia="Times New Roman" w:hAnsi="Times New Roman" w:cs="Times New Roman"/>
                <w:color w:val="000000"/>
                <w:sz w:val="24"/>
                <w:szCs w:val="24"/>
                <w:lang w:eastAsia="en-US"/>
              </w:rPr>
              <w:t>.015</w:t>
            </w:r>
          </w:p>
        </w:tc>
        <w:tc>
          <w:tcPr>
            <w:tcW w:w="81" w:type="pct"/>
            <w:tcBorders>
              <w:top w:val="nil"/>
              <w:left w:val="nil"/>
              <w:bottom w:val="nil"/>
              <w:right w:val="nil"/>
            </w:tcBorders>
            <w:shd w:val="clear" w:color="auto" w:fill="auto"/>
            <w:noWrap/>
            <w:vAlign w:val="bottom"/>
            <w:hideMark/>
          </w:tcPr>
          <w:p w14:paraId="32766CAC"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792" w:type="pct"/>
            <w:tcBorders>
              <w:top w:val="nil"/>
              <w:left w:val="nil"/>
              <w:bottom w:val="nil"/>
              <w:right w:val="nil"/>
            </w:tcBorders>
            <w:shd w:val="clear" w:color="auto" w:fill="auto"/>
            <w:noWrap/>
            <w:vAlign w:val="bottom"/>
            <w:hideMark/>
          </w:tcPr>
          <w:p w14:paraId="0433CE3E"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1.17 (1.02–1.34)</w:t>
            </w:r>
          </w:p>
        </w:tc>
        <w:tc>
          <w:tcPr>
            <w:tcW w:w="447" w:type="pct"/>
            <w:tcBorders>
              <w:top w:val="nil"/>
              <w:left w:val="nil"/>
              <w:bottom w:val="nil"/>
              <w:right w:val="nil"/>
            </w:tcBorders>
            <w:shd w:val="clear" w:color="auto" w:fill="auto"/>
            <w:noWrap/>
            <w:vAlign w:val="bottom"/>
            <w:hideMark/>
          </w:tcPr>
          <w:p w14:paraId="527BC623"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.021</w:t>
            </w:r>
          </w:p>
        </w:tc>
      </w:tr>
      <w:tr w:rsidR="00952ED6" w:rsidRPr="000D30BF" w14:paraId="417715B0" w14:textId="77777777" w:rsidTr="007E1DB6">
        <w:trPr>
          <w:gridAfter w:val="1"/>
          <w:wAfter w:w="357" w:type="pct"/>
          <w:trHeight w:val="300"/>
        </w:trPr>
        <w:tc>
          <w:tcPr>
            <w:tcW w:w="239" w:type="pct"/>
            <w:tcBorders>
              <w:top w:val="nil"/>
              <w:left w:val="nil"/>
              <w:bottom w:val="nil"/>
              <w:right w:val="nil"/>
            </w:tcBorders>
            <w:shd w:val="clear" w:color="auto" w:fill="auto"/>
            <w:noWrap/>
            <w:vAlign w:val="bottom"/>
            <w:hideMark/>
          </w:tcPr>
          <w:p w14:paraId="7FAF7B19"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1669" w:type="pct"/>
            <w:tcBorders>
              <w:top w:val="nil"/>
              <w:left w:val="nil"/>
              <w:bottom w:val="nil"/>
              <w:right w:val="nil"/>
            </w:tcBorders>
            <w:shd w:val="clear" w:color="auto" w:fill="auto"/>
            <w:noWrap/>
            <w:vAlign w:val="bottom"/>
            <w:hideMark/>
          </w:tcPr>
          <w:p w14:paraId="0A126A18"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Obesity</w:t>
            </w:r>
          </w:p>
        </w:tc>
        <w:tc>
          <w:tcPr>
            <w:tcW w:w="81" w:type="pct"/>
            <w:tcBorders>
              <w:top w:val="nil"/>
              <w:left w:val="nil"/>
              <w:bottom w:val="nil"/>
              <w:right w:val="nil"/>
            </w:tcBorders>
            <w:shd w:val="clear" w:color="auto" w:fill="auto"/>
            <w:noWrap/>
            <w:vAlign w:val="bottom"/>
            <w:hideMark/>
          </w:tcPr>
          <w:p w14:paraId="7F7CBF81"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853" w:type="pct"/>
            <w:tcBorders>
              <w:top w:val="nil"/>
              <w:left w:val="nil"/>
              <w:bottom w:val="nil"/>
              <w:right w:val="nil"/>
            </w:tcBorders>
            <w:shd w:val="clear" w:color="auto" w:fill="auto"/>
            <w:noWrap/>
            <w:vAlign w:val="bottom"/>
            <w:hideMark/>
          </w:tcPr>
          <w:p w14:paraId="6FCBBF2E"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1.30 (1.03–1.63)</w:t>
            </w:r>
          </w:p>
        </w:tc>
        <w:tc>
          <w:tcPr>
            <w:tcW w:w="481" w:type="pct"/>
            <w:tcBorders>
              <w:top w:val="nil"/>
              <w:left w:val="nil"/>
              <w:bottom w:val="nil"/>
              <w:right w:val="nil"/>
            </w:tcBorders>
            <w:shd w:val="clear" w:color="auto" w:fill="auto"/>
            <w:noWrap/>
            <w:vAlign w:val="bottom"/>
            <w:hideMark/>
          </w:tcPr>
          <w:p w14:paraId="767249B5"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0D30BF">
              <w:rPr>
                <w:rFonts w:ascii="Times New Roman" w:eastAsia="Times New Roman" w:hAnsi="Times New Roman" w:cs="Times New Roman"/>
                <w:color w:val="000000"/>
                <w:sz w:val="24"/>
                <w:szCs w:val="24"/>
                <w:lang w:eastAsia="en-US"/>
              </w:rPr>
              <w:t>.027</w:t>
            </w:r>
          </w:p>
        </w:tc>
        <w:tc>
          <w:tcPr>
            <w:tcW w:w="81" w:type="pct"/>
            <w:tcBorders>
              <w:top w:val="nil"/>
              <w:left w:val="nil"/>
              <w:bottom w:val="nil"/>
              <w:right w:val="nil"/>
            </w:tcBorders>
            <w:shd w:val="clear" w:color="auto" w:fill="auto"/>
            <w:noWrap/>
            <w:vAlign w:val="bottom"/>
            <w:hideMark/>
          </w:tcPr>
          <w:p w14:paraId="1982AAA7"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792" w:type="pct"/>
            <w:tcBorders>
              <w:top w:val="nil"/>
              <w:left w:val="nil"/>
              <w:bottom w:val="nil"/>
              <w:right w:val="nil"/>
            </w:tcBorders>
            <w:shd w:val="clear" w:color="auto" w:fill="auto"/>
            <w:noWrap/>
            <w:vAlign w:val="bottom"/>
            <w:hideMark/>
          </w:tcPr>
          <w:p w14:paraId="44D992EC"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1.26 (1.00–1.59)</w:t>
            </w:r>
          </w:p>
        </w:tc>
        <w:tc>
          <w:tcPr>
            <w:tcW w:w="447" w:type="pct"/>
            <w:tcBorders>
              <w:top w:val="nil"/>
              <w:left w:val="nil"/>
              <w:bottom w:val="nil"/>
              <w:right w:val="nil"/>
            </w:tcBorders>
            <w:shd w:val="clear" w:color="auto" w:fill="auto"/>
            <w:noWrap/>
            <w:vAlign w:val="bottom"/>
            <w:hideMark/>
          </w:tcPr>
          <w:p w14:paraId="69E641CC"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.048</w:t>
            </w:r>
          </w:p>
        </w:tc>
      </w:tr>
      <w:tr w:rsidR="00952ED6" w:rsidRPr="000D30BF" w14:paraId="5634C426" w14:textId="77777777" w:rsidTr="007E1DB6">
        <w:trPr>
          <w:trHeight w:val="300"/>
        </w:trPr>
        <w:tc>
          <w:tcPr>
            <w:tcW w:w="1908" w:type="pct"/>
            <w:gridSpan w:val="2"/>
            <w:tcBorders>
              <w:top w:val="nil"/>
              <w:left w:val="nil"/>
              <w:bottom w:val="nil"/>
              <w:right w:val="nil"/>
            </w:tcBorders>
            <w:shd w:val="clear" w:color="auto" w:fill="auto"/>
            <w:noWrap/>
            <w:vAlign w:val="bottom"/>
            <w:hideMark/>
          </w:tcPr>
          <w:p w14:paraId="1087CDF8" w14:textId="77777777" w:rsidR="00952ED6" w:rsidRPr="000D30BF" w:rsidRDefault="00952ED6" w:rsidP="000966A7">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Male full sibling</w:t>
            </w:r>
            <w:r w:rsidRPr="000D30BF">
              <w:rPr>
                <w:rFonts w:ascii="Times New Roman" w:eastAsia="Times New Roman" w:hAnsi="Times New Roman" w:cs="Times New Roman"/>
                <w:color w:val="000000"/>
                <w:sz w:val="24"/>
                <w:szCs w:val="24"/>
                <w:lang w:eastAsia="en-US"/>
              </w:rPr>
              <w:t>s</w:t>
            </w:r>
            <w:r>
              <w:rPr>
                <w:rFonts w:ascii="Times New Roman" w:eastAsia="Times New Roman" w:hAnsi="Times New Roman" w:cs="Times New Roman"/>
                <w:color w:val="000000"/>
                <w:sz w:val="24"/>
                <w:szCs w:val="24"/>
                <w:lang w:eastAsia="en-US"/>
              </w:rPr>
              <w:t xml:space="preserve"> (n=253 663 pairs</w:t>
            </w:r>
            <w:r w:rsidRPr="000D30BF">
              <w:rPr>
                <w:rFonts w:ascii="Times New Roman" w:eastAsia="Times New Roman" w:hAnsi="Times New Roman" w:cs="Times New Roman"/>
                <w:color w:val="000000"/>
                <w:sz w:val="24"/>
                <w:szCs w:val="24"/>
                <w:lang w:eastAsia="en-US"/>
              </w:rPr>
              <w:t>)</w:t>
            </w:r>
          </w:p>
        </w:tc>
        <w:tc>
          <w:tcPr>
            <w:tcW w:w="81" w:type="pct"/>
            <w:tcBorders>
              <w:top w:val="nil"/>
              <w:left w:val="nil"/>
              <w:bottom w:val="nil"/>
              <w:right w:val="nil"/>
            </w:tcBorders>
            <w:shd w:val="clear" w:color="auto" w:fill="auto"/>
            <w:noWrap/>
            <w:vAlign w:val="bottom"/>
            <w:hideMark/>
          </w:tcPr>
          <w:p w14:paraId="44F54C14"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853" w:type="pct"/>
            <w:tcBorders>
              <w:top w:val="nil"/>
              <w:left w:val="nil"/>
              <w:bottom w:val="nil"/>
              <w:right w:val="nil"/>
            </w:tcBorders>
            <w:shd w:val="clear" w:color="auto" w:fill="auto"/>
            <w:noWrap/>
            <w:vAlign w:val="bottom"/>
            <w:hideMark/>
          </w:tcPr>
          <w:p w14:paraId="117482D2"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481" w:type="pct"/>
            <w:tcBorders>
              <w:top w:val="nil"/>
              <w:left w:val="nil"/>
              <w:bottom w:val="nil"/>
              <w:right w:val="nil"/>
            </w:tcBorders>
            <w:shd w:val="clear" w:color="auto" w:fill="auto"/>
            <w:noWrap/>
            <w:vAlign w:val="bottom"/>
            <w:hideMark/>
          </w:tcPr>
          <w:p w14:paraId="3DCB66D0"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81" w:type="pct"/>
            <w:tcBorders>
              <w:top w:val="nil"/>
              <w:left w:val="nil"/>
              <w:bottom w:val="nil"/>
              <w:right w:val="nil"/>
            </w:tcBorders>
            <w:shd w:val="clear" w:color="auto" w:fill="auto"/>
            <w:noWrap/>
            <w:vAlign w:val="bottom"/>
            <w:hideMark/>
          </w:tcPr>
          <w:p w14:paraId="3F342011"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792" w:type="pct"/>
            <w:tcBorders>
              <w:top w:val="nil"/>
              <w:left w:val="nil"/>
              <w:bottom w:val="nil"/>
              <w:right w:val="nil"/>
            </w:tcBorders>
            <w:shd w:val="clear" w:color="auto" w:fill="auto"/>
            <w:noWrap/>
            <w:vAlign w:val="bottom"/>
            <w:hideMark/>
          </w:tcPr>
          <w:p w14:paraId="4DBEF23C"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447" w:type="pct"/>
            <w:tcBorders>
              <w:top w:val="nil"/>
              <w:left w:val="nil"/>
              <w:bottom w:val="nil"/>
              <w:right w:val="nil"/>
            </w:tcBorders>
            <w:shd w:val="clear" w:color="auto" w:fill="auto"/>
            <w:noWrap/>
            <w:vAlign w:val="bottom"/>
            <w:hideMark/>
          </w:tcPr>
          <w:p w14:paraId="315FBB45"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357" w:type="pct"/>
            <w:vAlign w:val="bottom"/>
          </w:tcPr>
          <w:p w14:paraId="40A006E1" w14:textId="77777777" w:rsidR="00952ED6" w:rsidRPr="000D30BF" w:rsidRDefault="00952ED6"/>
        </w:tc>
      </w:tr>
      <w:tr w:rsidR="00952ED6" w:rsidRPr="000D30BF" w14:paraId="72EE3308" w14:textId="77777777" w:rsidTr="007E1DB6">
        <w:trPr>
          <w:gridAfter w:val="1"/>
          <w:wAfter w:w="357" w:type="pct"/>
          <w:trHeight w:val="300"/>
        </w:trPr>
        <w:tc>
          <w:tcPr>
            <w:tcW w:w="239" w:type="pct"/>
            <w:tcBorders>
              <w:top w:val="nil"/>
              <w:left w:val="nil"/>
              <w:bottom w:val="nil"/>
              <w:right w:val="nil"/>
            </w:tcBorders>
            <w:shd w:val="clear" w:color="auto" w:fill="auto"/>
            <w:noWrap/>
            <w:vAlign w:val="bottom"/>
            <w:hideMark/>
          </w:tcPr>
          <w:p w14:paraId="4155BA8D"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1669" w:type="pct"/>
            <w:tcBorders>
              <w:top w:val="nil"/>
              <w:left w:val="nil"/>
              <w:bottom w:val="nil"/>
              <w:right w:val="nil"/>
            </w:tcBorders>
            <w:shd w:val="clear" w:color="auto" w:fill="auto"/>
            <w:noWrap/>
            <w:vAlign w:val="bottom"/>
            <w:hideMark/>
          </w:tcPr>
          <w:p w14:paraId="10E27769"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Normal weight</w:t>
            </w:r>
          </w:p>
        </w:tc>
        <w:tc>
          <w:tcPr>
            <w:tcW w:w="81" w:type="pct"/>
            <w:tcBorders>
              <w:top w:val="nil"/>
              <w:left w:val="nil"/>
              <w:bottom w:val="nil"/>
              <w:right w:val="nil"/>
            </w:tcBorders>
            <w:shd w:val="clear" w:color="auto" w:fill="auto"/>
            <w:noWrap/>
            <w:vAlign w:val="bottom"/>
            <w:hideMark/>
          </w:tcPr>
          <w:p w14:paraId="5B0BB5DC"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853" w:type="pct"/>
            <w:tcBorders>
              <w:top w:val="nil"/>
              <w:left w:val="nil"/>
              <w:bottom w:val="nil"/>
              <w:right w:val="nil"/>
            </w:tcBorders>
            <w:shd w:val="clear" w:color="auto" w:fill="auto"/>
            <w:noWrap/>
            <w:vAlign w:val="bottom"/>
            <w:hideMark/>
          </w:tcPr>
          <w:p w14:paraId="6B4C9408"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Reference</w:t>
            </w:r>
          </w:p>
        </w:tc>
        <w:tc>
          <w:tcPr>
            <w:tcW w:w="481" w:type="pct"/>
            <w:tcBorders>
              <w:top w:val="nil"/>
              <w:left w:val="nil"/>
              <w:bottom w:val="nil"/>
              <w:right w:val="nil"/>
            </w:tcBorders>
            <w:shd w:val="clear" w:color="auto" w:fill="auto"/>
            <w:noWrap/>
            <w:vAlign w:val="bottom"/>
            <w:hideMark/>
          </w:tcPr>
          <w:p w14:paraId="73D7F24F"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81" w:type="pct"/>
            <w:tcBorders>
              <w:top w:val="nil"/>
              <w:left w:val="nil"/>
              <w:bottom w:val="nil"/>
              <w:right w:val="nil"/>
            </w:tcBorders>
            <w:shd w:val="clear" w:color="auto" w:fill="auto"/>
            <w:noWrap/>
            <w:vAlign w:val="bottom"/>
            <w:hideMark/>
          </w:tcPr>
          <w:p w14:paraId="3E77C732"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792" w:type="pct"/>
            <w:tcBorders>
              <w:top w:val="nil"/>
              <w:left w:val="nil"/>
              <w:bottom w:val="nil"/>
              <w:right w:val="nil"/>
            </w:tcBorders>
            <w:shd w:val="clear" w:color="auto" w:fill="auto"/>
            <w:noWrap/>
            <w:vAlign w:val="bottom"/>
            <w:hideMark/>
          </w:tcPr>
          <w:p w14:paraId="1421A4CE"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Reference</w:t>
            </w:r>
          </w:p>
        </w:tc>
        <w:tc>
          <w:tcPr>
            <w:tcW w:w="447" w:type="pct"/>
            <w:tcBorders>
              <w:top w:val="nil"/>
              <w:left w:val="nil"/>
              <w:bottom w:val="nil"/>
              <w:right w:val="nil"/>
            </w:tcBorders>
            <w:shd w:val="clear" w:color="auto" w:fill="auto"/>
            <w:noWrap/>
            <w:vAlign w:val="bottom"/>
            <w:hideMark/>
          </w:tcPr>
          <w:p w14:paraId="69BC2BEE"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r>
      <w:tr w:rsidR="00952ED6" w:rsidRPr="000D30BF" w14:paraId="3EB8051C" w14:textId="77777777" w:rsidTr="007E1DB6">
        <w:trPr>
          <w:gridAfter w:val="1"/>
          <w:wAfter w:w="357" w:type="pct"/>
          <w:trHeight w:val="300"/>
        </w:trPr>
        <w:tc>
          <w:tcPr>
            <w:tcW w:w="239" w:type="pct"/>
            <w:tcBorders>
              <w:top w:val="nil"/>
              <w:left w:val="nil"/>
              <w:bottom w:val="nil"/>
              <w:right w:val="nil"/>
            </w:tcBorders>
            <w:shd w:val="clear" w:color="auto" w:fill="auto"/>
            <w:noWrap/>
            <w:vAlign w:val="bottom"/>
            <w:hideMark/>
          </w:tcPr>
          <w:p w14:paraId="3728B77D"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1669" w:type="pct"/>
            <w:tcBorders>
              <w:top w:val="nil"/>
              <w:left w:val="nil"/>
              <w:bottom w:val="nil"/>
              <w:right w:val="nil"/>
            </w:tcBorders>
            <w:shd w:val="clear" w:color="auto" w:fill="auto"/>
            <w:noWrap/>
            <w:vAlign w:val="bottom"/>
            <w:hideMark/>
          </w:tcPr>
          <w:p w14:paraId="3013FA5F"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Overweight</w:t>
            </w:r>
          </w:p>
        </w:tc>
        <w:tc>
          <w:tcPr>
            <w:tcW w:w="81" w:type="pct"/>
            <w:tcBorders>
              <w:top w:val="nil"/>
              <w:left w:val="nil"/>
              <w:bottom w:val="nil"/>
              <w:right w:val="nil"/>
            </w:tcBorders>
            <w:shd w:val="clear" w:color="auto" w:fill="auto"/>
            <w:noWrap/>
            <w:vAlign w:val="bottom"/>
            <w:hideMark/>
          </w:tcPr>
          <w:p w14:paraId="0978DEB0"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p>
        </w:tc>
        <w:tc>
          <w:tcPr>
            <w:tcW w:w="853" w:type="pct"/>
            <w:tcBorders>
              <w:top w:val="nil"/>
              <w:left w:val="nil"/>
              <w:bottom w:val="nil"/>
              <w:right w:val="nil"/>
            </w:tcBorders>
            <w:shd w:val="clear" w:color="auto" w:fill="auto"/>
            <w:noWrap/>
            <w:vAlign w:val="bottom"/>
            <w:hideMark/>
          </w:tcPr>
          <w:p w14:paraId="7D03C70C"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1.12 (1.01–1.23)</w:t>
            </w:r>
          </w:p>
        </w:tc>
        <w:tc>
          <w:tcPr>
            <w:tcW w:w="481" w:type="pct"/>
            <w:tcBorders>
              <w:top w:val="nil"/>
              <w:left w:val="nil"/>
              <w:bottom w:val="nil"/>
              <w:right w:val="nil"/>
            </w:tcBorders>
            <w:shd w:val="clear" w:color="auto" w:fill="auto"/>
            <w:noWrap/>
            <w:vAlign w:val="bottom"/>
            <w:hideMark/>
          </w:tcPr>
          <w:p w14:paraId="14F811A5"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0D30BF">
              <w:rPr>
                <w:rFonts w:ascii="Times New Roman" w:eastAsia="Times New Roman" w:hAnsi="Times New Roman" w:cs="Times New Roman"/>
                <w:color w:val="000000"/>
                <w:sz w:val="24"/>
                <w:szCs w:val="24"/>
                <w:lang w:eastAsia="en-US"/>
              </w:rPr>
              <w:t>.034</w:t>
            </w:r>
          </w:p>
        </w:tc>
        <w:tc>
          <w:tcPr>
            <w:tcW w:w="81" w:type="pct"/>
            <w:tcBorders>
              <w:top w:val="nil"/>
              <w:left w:val="nil"/>
              <w:bottom w:val="nil"/>
              <w:right w:val="nil"/>
            </w:tcBorders>
            <w:shd w:val="clear" w:color="auto" w:fill="auto"/>
            <w:noWrap/>
            <w:vAlign w:val="bottom"/>
            <w:hideMark/>
          </w:tcPr>
          <w:p w14:paraId="0BC9AB34"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p>
        </w:tc>
        <w:tc>
          <w:tcPr>
            <w:tcW w:w="792" w:type="pct"/>
            <w:tcBorders>
              <w:top w:val="nil"/>
              <w:left w:val="nil"/>
              <w:bottom w:val="nil"/>
              <w:right w:val="nil"/>
            </w:tcBorders>
            <w:shd w:val="clear" w:color="auto" w:fill="auto"/>
            <w:noWrap/>
            <w:vAlign w:val="bottom"/>
            <w:hideMark/>
          </w:tcPr>
          <w:p w14:paraId="52B9AF93"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1.10 (0.99–1.22)</w:t>
            </w:r>
          </w:p>
        </w:tc>
        <w:tc>
          <w:tcPr>
            <w:tcW w:w="447" w:type="pct"/>
            <w:tcBorders>
              <w:top w:val="nil"/>
              <w:left w:val="nil"/>
              <w:bottom w:val="nil"/>
              <w:right w:val="nil"/>
            </w:tcBorders>
            <w:shd w:val="clear" w:color="auto" w:fill="auto"/>
            <w:noWrap/>
            <w:vAlign w:val="bottom"/>
            <w:hideMark/>
          </w:tcPr>
          <w:p w14:paraId="38917165"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0D30BF">
              <w:rPr>
                <w:rFonts w:ascii="Times New Roman" w:eastAsia="Times New Roman" w:hAnsi="Times New Roman" w:cs="Times New Roman"/>
                <w:color w:val="000000"/>
                <w:sz w:val="24"/>
                <w:szCs w:val="24"/>
                <w:lang w:eastAsia="en-US"/>
              </w:rPr>
              <w:t>.066</w:t>
            </w:r>
          </w:p>
        </w:tc>
      </w:tr>
      <w:tr w:rsidR="00952ED6" w:rsidRPr="000D30BF" w14:paraId="26D39C09" w14:textId="77777777" w:rsidTr="007E1DB6">
        <w:trPr>
          <w:gridAfter w:val="1"/>
          <w:wAfter w:w="357" w:type="pct"/>
          <w:trHeight w:val="300"/>
        </w:trPr>
        <w:tc>
          <w:tcPr>
            <w:tcW w:w="239" w:type="pct"/>
            <w:tcBorders>
              <w:top w:val="nil"/>
              <w:left w:val="nil"/>
              <w:bottom w:val="single" w:sz="4" w:space="0" w:color="auto"/>
              <w:right w:val="nil"/>
            </w:tcBorders>
            <w:shd w:val="clear" w:color="auto" w:fill="auto"/>
            <w:noWrap/>
            <w:vAlign w:val="bottom"/>
            <w:hideMark/>
          </w:tcPr>
          <w:p w14:paraId="34A8DFB6"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 </w:t>
            </w:r>
          </w:p>
        </w:tc>
        <w:tc>
          <w:tcPr>
            <w:tcW w:w="1669" w:type="pct"/>
            <w:tcBorders>
              <w:top w:val="nil"/>
              <w:left w:val="nil"/>
              <w:bottom w:val="single" w:sz="4" w:space="0" w:color="auto"/>
              <w:right w:val="nil"/>
            </w:tcBorders>
            <w:shd w:val="clear" w:color="auto" w:fill="auto"/>
            <w:noWrap/>
            <w:vAlign w:val="bottom"/>
            <w:hideMark/>
          </w:tcPr>
          <w:p w14:paraId="4D9B091B"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Obesity</w:t>
            </w:r>
          </w:p>
        </w:tc>
        <w:tc>
          <w:tcPr>
            <w:tcW w:w="81" w:type="pct"/>
            <w:tcBorders>
              <w:top w:val="nil"/>
              <w:left w:val="nil"/>
              <w:bottom w:val="single" w:sz="4" w:space="0" w:color="auto"/>
              <w:right w:val="nil"/>
            </w:tcBorders>
            <w:shd w:val="clear" w:color="auto" w:fill="auto"/>
            <w:noWrap/>
            <w:vAlign w:val="bottom"/>
            <w:hideMark/>
          </w:tcPr>
          <w:p w14:paraId="4FB92F4B" w14:textId="77777777" w:rsidR="00952ED6" w:rsidRPr="000D30BF" w:rsidRDefault="00952ED6" w:rsidP="00537A5C">
            <w:pPr>
              <w:spacing w:after="0" w:line="240" w:lineRule="auto"/>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 </w:t>
            </w:r>
          </w:p>
        </w:tc>
        <w:tc>
          <w:tcPr>
            <w:tcW w:w="853" w:type="pct"/>
            <w:tcBorders>
              <w:top w:val="nil"/>
              <w:left w:val="nil"/>
              <w:bottom w:val="single" w:sz="4" w:space="0" w:color="auto"/>
              <w:right w:val="nil"/>
            </w:tcBorders>
            <w:shd w:val="clear" w:color="auto" w:fill="auto"/>
            <w:noWrap/>
            <w:vAlign w:val="bottom"/>
            <w:hideMark/>
          </w:tcPr>
          <w:p w14:paraId="0E582BF6"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1.49 (1.27–1.75)</w:t>
            </w:r>
          </w:p>
        </w:tc>
        <w:tc>
          <w:tcPr>
            <w:tcW w:w="481" w:type="pct"/>
            <w:tcBorders>
              <w:top w:val="nil"/>
              <w:left w:val="nil"/>
              <w:bottom w:val="single" w:sz="4" w:space="0" w:color="auto"/>
              <w:right w:val="nil"/>
            </w:tcBorders>
            <w:shd w:val="clear" w:color="auto" w:fill="auto"/>
            <w:noWrap/>
            <w:vAlign w:val="bottom"/>
            <w:hideMark/>
          </w:tcPr>
          <w:p w14:paraId="679B3C6E"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&lt; .001</w:t>
            </w:r>
          </w:p>
        </w:tc>
        <w:tc>
          <w:tcPr>
            <w:tcW w:w="81" w:type="pct"/>
            <w:tcBorders>
              <w:top w:val="nil"/>
              <w:left w:val="nil"/>
              <w:bottom w:val="single" w:sz="4" w:space="0" w:color="auto"/>
              <w:right w:val="nil"/>
            </w:tcBorders>
            <w:shd w:val="clear" w:color="auto" w:fill="auto"/>
            <w:noWrap/>
            <w:vAlign w:val="bottom"/>
            <w:hideMark/>
          </w:tcPr>
          <w:p w14:paraId="496A2D6A"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 </w:t>
            </w:r>
          </w:p>
        </w:tc>
        <w:tc>
          <w:tcPr>
            <w:tcW w:w="792" w:type="pct"/>
            <w:tcBorders>
              <w:top w:val="nil"/>
              <w:left w:val="nil"/>
              <w:bottom w:val="single" w:sz="4" w:space="0" w:color="auto"/>
              <w:right w:val="nil"/>
            </w:tcBorders>
            <w:shd w:val="clear" w:color="auto" w:fill="auto"/>
            <w:noWrap/>
            <w:vAlign w:val="bottom"/>
            <w:hideMark/>
          </w:tcPr>
          <w:p w14:paraId="095D131A"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1.44 (1.23–1.69)</w:t>
            </w:r>
          </w:p>
        </w:tc>
        <w:tc>
          <w:tcPr>
            <w:tcW w:w="447" w:type="pct"/>
            <w:tcBorders>
              <w:top w:val="nil"/>
              <w:left w:val="nil"/>
              <w:bottom w:val="single" w:sz="4" w:space="0" w:color="auto"/>
              <w:right w:val="nil"/>
            </w:tcBorders>
            <w:shd w:val="clear" w:color="auto" w:fill="auto"/>
            <w:noWrap/>
            <w:vAlign w:val="bottom"/>
            <w:hideMark/>
          </w:tcPr>
          <w:p w14:paraId="52B28CE2" w14:textId="77777777" w:rsidR="00952ED6" w:rsidRPr="000D30BF" w:rsidRDefault="00952ED6" w:rsidP="00537A5C">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&lt; .001</w:t>
            </w:r>
          </w:p>
        </w:tc>
      </w:tr>
    </w:tbl>
    <w:p w14:paraId="1F15C842" w14:textId="77777777" w:rsidR="00952ED6" w:rsidRPr="00B55DA5" w:rsidRDefault="00952ED6" w:rsidP="00537A5C">
      <w:pPr>
        <w:autoSpaceDE w:val="0"/>
        <w:autoSpaceDN w:val="0"/>
        <w:adjustRightInd w:val="0"/>
        <w:spacing w:after="100" w:afterAutospacing="1" w:line="480" w:lineRule="auto"/>
        <w:rPr>
          <w:rFonts w:ascii="Times New Roman" w:hAnsi="Times New Roman" w:cs="Times New Roman"/>
          <w:sz w:val="24"/>
          <w:szCs w:val="24"/>
          <w:vertAlign w:val="subscript"/>
        </w:rPr>
      </w:pPr>
      <w:r w:rsidRPr="00B55DA5">
        <w:rPr>
          <w:rFonts w:ascii="Times New Roman" w:hAnsi="Times New Roman" w:cs="Times New Roman"/>
          <w:sz w:val="24"/>
          <w:szCs w:val="24"/>
          <w:vertAlign w:val="subscript"/>
        </w:rPr>
        <w:t xml:space="preserve">ORs were </w:t>
      </w:r>
      <w:r>
        <w:rPr>
          <w:rFonts w:ascii="Times New Roman" w:hAnsi="Times New Roman" w:cs="Times New Roman"/>
          <w:sz w:val="24"/>
          <w:szCs w:val="24"/>
          <w:vertAlign w:val="subscript"/>
        </w:rPr>
        <w:t xml:space="preserve">also </w:t>
      </w:r>
      <w:r w:rsidRPr="00B55DA5">
        <w:rPr>
          <w:rFonts w:ascii="Times New Roman" w:hAnsi="Times New Roman" w:cs="Times New Roman"/>
          <w:sz w:val="24"/>
          <w:szCs w:val="24"/>
          <w:vertAlign w:val="subscript"/>
        </w:rPr>
        <w:t>adjusted for birth year of the index</w:t>
      </w:r>
      <w:r>
        <w:rPr>
          <w:rFonts w:ascii="Times New Roman" w:hAnsi="Times New Roman" w:cs="Times New Roman"/>
          <w:sz w:val="24"/>
          <w:szCs w:val="24"/>
          <w:vertAlign w:val="subscript"/>
        </w:rPr>
        <w:t xml:space="preserve"> male and </w:t>
      </w:r>
      <w:r w:rsidRPr="00B55DA5">
        <w:rPr>
          <w:rFonts w:ascii="Times New Roman" w:hAnsi="Times New Roman" w:cs="Times New Roman"/>
          <w:sz w:val="24"/>
          <w:szCs w:val="24"/>
          <w:vertAlign w:val="subscript"/>
        </w:rPr>
        <w:t>sex</w:t>
      </w:r>
      <w:r>
        <w:rPr>
          <w:rFonts w:ascii="Times New Roman" w:hAnsi="Times New Roman" w:cs="Times New Roman"/>
          <w:sz w:val="24"/>
          <w:szCs w:val="24"/>
          <w:vertAlign w:val="subscript"/>
        </w:rPr>
        <w:t xml:space="preserve"> of the sibling</w:t>
      </w:r>
      <w:r w:rsidRPr="00B55DA5">
        <w:rPr>
          <w:rFonts w:ascii="Times New Roman" w:hAnsi="Times New Roman" w:cs="Times New Roman"/>
          <w:sz w:val="24"/>
          <w:szCs w:val="24"/>
          <w:vertAlign w:val="subscript"/>
        </w:rPr>
        <w:t xml:space="preserve"> (analyses </w:t>
      </w:r>
      <w:r>
        <w:rPr>
          <w:rFonts w:ascii="Times New Roman" w:hAnsi="Times New Roman" w:cs="Times New Roman"/>
          <w:sz w:val="24"/>
          <w:szCs w:val="24"/>
          <w:vertAlign w:val="subscript"/>
        </w:rPr>
        <w:t>in</w:t>
      </w:r>
      <w:r w:rsidRPr="00B55DA5">
        <w:rPr>
          <w:rFonts w:ascii="Times New Roman" w:hAnsi="Times New Roman" w:cs="Times New Roman"/>
          <w:sz w:val="24"/>
          <w:szCs w:val="24"/>
          <w:vertAlign w:val="subscript"/>
        </w:rPr>
        <w:t xml:space="preserve"> all</w:t>
      </w:r>
      <w:r>
        <w:rPr>
          <w:rFonts w:ascii="Times New Roman" w:hAnsi="Times New Roman" w:cs="Times New Roman"/>
          <w:sz w:val="24"/>
          <w:szCs w:val="24"/>
          <w:vertAlign w:val="subscript"/>
        </w:rPr>
        <w:t xml:space="preserve"> full</w:t>
      </w:r>
      <w:r w:rsidRPr="00B55DA5">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siblings</w:t>
      </w:r>
      <w:r w:rsidRPr="00B55DA5">
        <w:rPr>
          <w:rFonts w:ascii="Times New Roman" w:hAnsi="Times New Roman" w:cs="Times New Roman"/>
          <w:sz w:val="24"/>
          <w:szCs w:val="24"/>
          <w:vertAlign w:val="subscript"/>
        </w:rPr>
        <w:t>)</w:t>
      </w:r>
    </w:p>
    <w:p w14:paraId="21B04E4A" w14:textId="77777777" w:rsidR="00952ED6" w:rsidRDefault="00952ED6" w:rsidP="00CE33B9">
      <w:pPr>
        <w:spacing w:after="100" w:afterAutospacing="1" w:line="240" w:lineRule="auto"/>
        <w:rPr>
          <w:rFonts w:ascii="Times New Roman" w:hAnsi="Times New Roman" w:cs="Times New Roman"/>
          <w:b/>
          <w:sz w:val="20"/>
          <w:szCs w:val="20"/>
        </w:rPr>
      </w:pPr>
    </w:p>
    <w:p w14:paraId="03B83D36" w14:textId="77777777" w:rsidR="00952ED6" w:rsidRDefault="00952ED6" w:rsidP="00537A5C">
      <w:pPr>
        <w:autoSpaceDE w:val="0"/>
        <w:autoSpaceDN w:val="0"/>
        <w:adjustRightInd w:val="0"/>
        <w:spacing w:after="100" w:afterAutospacing="1" w:line="240" w:lineRule="auto"/>
        <w:rPr>
          <w:rFonts w:ascii="Times New Roman" w:hAnsi="Times New Roman" w:cs="Times New Roman"/>
          <w:b/>
          <w:sz w:val="18"/>
          <w:szCs w:val="18"/>
        </w:rPr>
      </w:pPr>
    </w:p>
    <w:p w14:paraId="4E10E94D" w14:textId="77777777" w:rsidR="00952ED6" w:rsidRDefault="00952ED6" w:rsidP="00537A5C">
      <w:pPr>
        <w:spacing w:after="100" w:afterAutospacing="1"/>
        <w:rPr>
          <w:rFonts w:ascii="Times New Roman" w:hAnsi="Times New Roman" w:cs="Times New Roman"/>
          <w:sz w:val="24"/>
          <w:szCs w:val="24"/>
        </w:rPr>
      </w:pPr>
      <w:r>
        <w:rPr>
          <w:rFonts w:ascii="Times New Roman" w:hAnsi="Times New Roman" w:cs="Times New Roman"/>
          <w:sz w:val="24"/>
          <w:szCs w:val="24"/>
        </w:rPr>
        <w:br w:type="page"/>
      </w:r>
    </w:p>
    <w:p w14:paraId="79D32103" w14:textId="77777777" w:rsidR="00952ED6" w:rsidRPr="000D30BF" w:rsidRDefault="00952ED6" w:rsidP="003E000D">
      <w:pPr>
        <w:spacing w:after="0" w:line="240" w:lineRule="auto"/>
        <w:rPr>
          <w:rFonts w:ascii="Times New Roman" w:hAnsi="Times New Roman" w:cs="Times New Roman"/>
          <w:b/>
          <w:sz w:val="24"/>
          <w:szCs w:val="24"/>
        </w:rPr>
      </w:pPr>
      <w:r w:rsidRPr="00520C6C">
        <w:rPr>
          <w:rFonts w:ascii="Times New Roman" w:hAnsi="Times New Roman" w:cs="Times New Roman"/>
          <w:b/>
          <w:sz w:val="24"/>
          <w:szCs w:val="24"/>
          <w:highlight w:val="yellow"/>
        </w:rPr>
        <w:t>Table 4 Influences of cousinship, family education level, and secular trends on familial co-aggregation of ADHD and overweight/obesity</w:t>
      </w:r>
    </w:p>
    <w:tbl>
      <w:tblPr>
        <w:tblW w:w="5004" w:type="pct"/>
        <w:tblBorders>
          <w:top w:val="single" w:sz="4" w:space="0" w:color="auto"/>
          <w:bottom w:val="single" w:sz="4" w:space="0" w:color="auto"/>
        </w:tblBorders>
        <w:tblLook w:val="04A0" w:firstRow="1" w:lastRow="0" w:firstColumn="1" w:lastColumn="0" w:noHBand="0" w:noVBand="1"/>
      </w:tblPr>
      <w:tblGrid>
        <w:gridCol w:w="959"/>
        <w:gridCol w:w="81"/>
        <w:gridCol w:w="6222"/>
        <w:gridCol w:w="316"/>
        <w:gridCol w:w="2491"/>
        <w:gridCol w:w="1375"/>
        <w:gridCol w:w="316"/>
        <w:gridCol w:w="2491"/>
        <w:gridCol w:w="1375"/>
      </w:tblGrid>
      <w:tr w:rsidR="00952ED6" w:rsidRPr="000D30BF" w14:paraId="2D25878A" w14:textId="77777777" w:rsidTr="00536FB3">
        <w:trPr>
          <w:trHeight w:val="300"/>
        </w:trPr>
        <w:tc>
          <w:tcPr>
            <w:tcW w:w="333" w:type="pct"/>
            <w:gridSpan w:val="2"/>
            <w:tcBorders>
              <w:top w:val="single" w:sz="4" w:space="0" w:color="auto"/>
              <w:bottom w:val="nil"/>
            </w:tcBorders>
            <w:shd w:val="clear" w:color="auto" w:fill="auto"/>
            <w:noWrap/>
            <w:vAlign w:val="bottom"/>
            <w:hideMark/>
          </w:tcPr>
          <w:p w14:paraId="33A65B77" w14:textId="77777777" w:rsidR="00952ED6" w:rsidRPr="000D30BF" w:rsidRDefault="00952ED6" w:rsidP="00D2351B">
            <w:pPr>
              <w:spacing w:after="0" w:line="240" w:lineRule="auto"/>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 </w:t>
            </w:r>
          </w:p>
        </w:tc>
        <w:tc>
          <w:tcPr>
            <w:tcW w:w="1991" w:type="pct"/>
            <w:tcBorders>
              <w:top w:val="single" w:sz="4" w:space="0" w:color="auto"/>
              <w:bottom w:val="nil"/>
            </w:tcBorders>
            <w:shd w:val="clear" w:color="auto" w:fill="auto"/>
            <w:noWrap/>
            <w:vAlign w:val="bottom"/>
            <w:hideMark/>
          </w:tcPr>
          <w:p w14:paraId="100FA2F3" w14:textId="77777777" w:rsidR="00952ED6" w:rsidRPr="000D30BF" w:rsidRDefault="00952ED6" w:rsidP="00D2351B">
            <w:pPr>
              <w:spacing w:after="0" w:line="240" w:lineRule="auto"/>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 </w:t>
            </w:r>
          </w:p>
        </w:tc>
        <w:tc>
          <w:tcPr>
            <w:tcW w:w="101" w:type="pct"/>
            <w:tcBorders>
              <w:top w:val="single" w:sz="4" w:space="0" w:color="auto"/>
              <w:bottom w:val="nil"/>
            </w:tcBorders>
            <w:shd w:val="clear" w:color="auto" w:fill="auto"/>
            <w:noWrap/>
            <w:vAlign w:val="bottom"/>
            <w:hideMark/>
          </w:tcPr>
          <w:p w14:paraId="42EAF907" w14:textId="77777777" w:rsidR="00952ED6" w:rsidRPr="000D30BF" w:rsidRDefault="00952ED6" w:rsidP="00D2351B">
            <w:pPr>
              <w:spacing w:after="0" w:line="240" w:lineRule="auto"/>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 </w:t>
            </w:r>
          </w:p>
        </w:tc>
        <w:tc>
          <w:tcPr>
            <w:tcW w:w="1237" w:type="pct"/>
            <w:gridSpan w:val="2"/>
            <w:tcBorders>
              <w:top w:val="single" w:sz="4" w:space="0" w:color="auto"/>
              <w:bottom w:val="single" w:sz="4" w:space="0" w:color="auto"/>
            </w:tcBorders>
            <w:shd w:val="clear" w:color="auto" w:fill="auto"/>
            <w:noWrap/>
            <w:vAlign w:val="bottom"/>
            <w:hideMark/>
          </w:tcPr>
          <w:p w14:paraId="4B605696" w14:textId="77777777" w:rsidR="00952ED6" w:rsidRPr="000D30BF" w:rsidRDefault="00952ED6" w:rsidP="00D2351B">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Overweight</w:t>
            </w:r>
          </w:p>
        </w:tc>
        <w:tc>
          <w:tcPr>
            <w:tcW w:w="101" w:type="pct"/>
            <w:tcBorders>
              <w:top w:val="single" w:sz="4" w:space="0" w:color="auto"/>
              <w:bottom w:val="nil"/>
            </w:tcBorders>
            <w:shd w:val="clear" w:color="auto" w:fill="auto"/>
            <w:noWrap/>
            <w:vAlign w:val="bottom"/>
            <w:hideMark/>
          </w:tcPr>
          <w:p w14:paraId="49E6988D" w14:textId="77777777" w:rsidR="00952ED6" w:rsidRPr="000D30BF" w:rsidRDefault="00952ED6" w:rsidP="00D2351B">
            <w:pPr>
              <w:spacing w:after="0" w:line="240" w:lineRule="auto"/>
              <w:jc w:val="center"/>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 </w:t>
            </w:r>
          </w:p>
        </w:tc>
        <w:tc>
          <w:tcPr>
            <w:tcW w:w="1237" w:type="pct"/>
            <w:gridSpan w:val="2"/>
            <w:tcBorders>
              <w:top w:val="single" w:sz="4" w:space="0" w:color="auto"/>
              <w:bottom w:val="single" w:sz="4" w:space="0" w:color="auto"/>
            </w:tcBorders>
            <w:shd w:val="clear" w:color="auto" w:fill="auto"/>
            <w:noWrap/>
            <w:vAlign w:val="bottom"/>
            <w:hideMark/>
          </w:tcPr>
          <w:p w14:paraId="2E772DD1" w14:textId="77777777" w:rsidR="00952ED6" w:rsidRPr="000D30BF" w:rsidRDefault="00952ED6" w:rsidP="00D2351B">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Obesity</w:t>
            </w:r>
          </w:p>
        </w:tc>
      </w:tr>
      <w:tr w:rsidR="00952ED6" w:rsidRPr="000D30BF" w14:paraId="6439DA35" w14:textId="77777777" w:rsidTr="002E31CA">
        <w:trPr>
          <w:trHeight w:val="300"/>
        </w:trPr>
        <w:tc>
          <w:tcPr>
            <w:tcW w:w="2324" w:type="pct"/>
            <w:gridSpan w:val="3"/>
            <w:tcBorders>
              <w:top w:val="nil"/>
              <w:bottom w:val="single" w:sz="4" w:space="0" w:color="auto"/>
            </w:tcBorders>
            <w:shd w:val="clear" w:color="auto" w:fill="auto"/>
            <w:noWrap/>
            <w:vAlign w:val="bottom"/>
            <w:hideMark/>
          </w:tcPr>
          <w:p w14:paraId="13CD8018" w14:textId="77777777" w:rsidR="00952ED6" w:rsidRPr="000D30BF" w:rsidRDefault="00952ED6" w:rsidP="00D2351B">
            <w:pPr>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Sensitivity analysis</w:t>
            </w:r>
          </w:p>
        </w:tc>
        <w:tc>
          <w:tcPr>
            <w:tcW w:w="101" w:type="pct"/>
            <w:tcBorders>
              <w:top w:val="nil"/>
              <w:bottom w:val="single" w:sz="4" w:space="0" w:color="auto"/>
            </w:tcBorders>
            <w:shd w:val="clear" w:color="auto" w:fill="auto"/>
            <w:noWrap/>
            <w:vAlign w:val="bottom"/>
            <w:hideMark/>
          </w:tcPr>
          <w:p w14:paraId="4DB7CCB8" w14:textId="77777777" w:rsidR="00952ED6" w:rsidRPr="000D30BF" w:rsidRDefault="00952ED6" w:rsidP="00D2351B">
            <w:pPr>
              <w:spacing w:after="0" w:line="240" w:lineRule="auto"/>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 </w:t>
            </w:r>
          </w:p>
        </w:tc>
        <w:tc>
          <w:tcPr>
            <w:tcW w:w="797" w:type="pct"/>
            <w:tcBorders>
              <w:top w:val="single" w:sz="4" w:space="0" w:color="auto"/>
              <w:bottom w:val="single" w:sz="4" w:space="0" w:color="auto"/>
            </w:tcBorders>
            <w:shd w:val="clear" w:color="auto" w:fill="auto"/>
            <w:noWrap/>
            <w:vAlign w:val="bottom"/>
            <w:hideMark/>
          </w:tcPr>
          <w:p w14:paraId="1F358AEF" w14:textId="77777777" w:rsidR="00952ED6" w:rsidRPr="000D30BF" w:rsidRDefault="00952ED6" w:rsidP="00D2351B">
            <w:pPr>
              <w:spacing w:after="0" w:line="240" w:lineRule="auto"/>
              <w:jc w:val="center"/>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OR (95% CI)</w:t>
            </w:r>
          </w:p>
        </w:tc>
        <w:tc>
          <w:tcPr>
            <w:tcW w:w="440" w:type="pct"/>
            <w:tcBorders>
              <w:top w:val="single" w:sz="4" w:space="0" w:color="auto"/>
              <w:bottom w:val="single" w:sz="4" w:space="0" w:color="auto"/>
            </w:tcBorders>
            <w:shd w:val="clear" w:color="auto" w:fill="auto"/>
            <w:noWrap/>
            <w:vAlign w:val="bottom"/>
            <w:hideMark/>
          </w:tcPr>
          <w:p w14:paraId="641FAF5D" w14:textId="77777777" w:rsidR="00952ED6" w:rsidRPr="000D30BF" w:rsidRDefault="00952ED6" w:rsidP="00D2351B">
            <w:pPr>
              <w:spacing w:after="0" w:line="240" w:lineRule="auto"/>
              <w:jc w:val="center"/>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P Value</w:t>
            </w:r>
          </w:p>
        </w:tc>
        <w:tc>
          <w:tcPr>
            <w:tcW w:w="101" w:type="pct"/>
            <w:tcBorders>
              <w:top w:val="nil"/>
              <w:bottom w:val="single" w:sz="4" w:space="0" w:color="auto"/>
            </w:tcBorders>
            <w:shd w:val="clear" w:color="auto" w:fill="auto"/>
            <w:noWrap/>
            <w:vAlign w:val="bottom"/>
            <w:hideMark/>
          </w:tcPr>
          <w:p w14:paraId="2E9779FF" w14:textId="77777777" w:rsidR="00952ED6" w:rsidRPr="000D30BF" w:rsidRDefault="00952ED6" w:rsidP="00D2351B">
            <w:pPr>
              <w:spacing w:after="0" w:line="240" w:lineRule="auto"/>
              <w:jc w:val="center"/>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 </w:t>
            </w:r>
          </w:p>
        </w:tc>
        <w:tc>
          <w:tcPr>
            <w:tcW w:w="797" w:type="pct"/>
            <w:tcBorders>
              <w:top w:val="single" w:sz="4" w:space="0" w:color="auto"/>
              <w:bottom w:val="single" w:sz="4" w:space="0" w:color="auto"/>
            </w:tcBorders>
            <w:shd w:val="clear" w:color="auto" w:fill="auto"/>
            <w:noWrap/>
            <w:vAlign w:val="bottom"/>
            <w:hideMark/>
          </w:tcPr>
          <w:p w14:paraId="0430051B" w14:textId="77777777" w:rsidR="00952ED6" w:rsidRPr="000D30BF" w:rsidRDefault="00952ED6" w:rsidP="00D2351B">
            <w:pPr>
              <w:spacing w:after="0" w:line="240" w:lineRule="auto"/>
              <w:jc w:val="center"/>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OR (95% CI)</w:t>
            </w:r>
          </w:p>
        </w:tc>
        <w:tc>
          <w:tcPr>
            <w:tcW w:w="440" w:type="pct"/>
            <w:tcBorders>
              <w:top w:val="single" w:sz="4" w:space="0" w:color="auto"/>
              <w:bottom w:val="single" w:sz="4" w:space="0" w:color="auto"/>
            </w:tcBorders>
            <w:shd w:val="clear" w:color="auto" w:fill="auto"/>
            <w:noWrap/>
            <w:vAlign w:val="bottom"/>
            <w:hideMark/>
          </w:tcPr>
          <w:p w14:paraId="41408BA4" w14:textId="77777777" w:rsidR="00952ED6" w:rsidRPr="000D30BF" w:rsidRDefault="00952ED6" w:rsidP="00D2351B">
            <w:pPr>
              <w:spacing w:after="0" w:line="240" w:lineRule="auto"/>
              <w:jc w:val="center"/>
              <w:rPr>
                <w:rFonts w:ascii="Times New Roman" w:eastAsia="Times New Roman" w:hAnsi="Times New Roman" w:cs="Times New Roman"/>
                <w:b/>
                <w:color w:val="000000"/>
                <w:sz w:val="24"/>
                <w:szCs w:val="24"/>
                <w:lang w:eastAsia="en-US"/>
              </w:rPr>
            </w:pPr>
            <w:r w:rsidRPr="000D30BF">
              <w:rPr>
                <w:rFonts w:ascii="Times New Roman" w:eastAsia="Times New Roman" w:hAnsi="Times New Roman" w:cs="Times New Roman"/>
                <w:b/>
                <w:color w:val="000000"/>
                <w:sz w:val="24"/>
                <w:szCs w:val="24"/>
                <w:lang w:eastAsia="en-US"/>
              </w:rPr>
              <w:t>P Value</w:t>
            </w:r>
          </w:p>
        </w:tc>
      </w:tr>
      <w:tr w:rsidR="00952ED6" w:rsidRPr="000D30BF" w14:paraId="5BF79AD8" w14:textId="77777777" w:rsidTr="002E31CA">
        <w:trPr>
          <w:trHeight w:val="300"/>
        </w:trPr>
        <w:tc>
          <w:tcPr>
            <w:tcW w:w="2324" w:type="pct"/>
            <w:gridSpan w:val="3"/>
            <w:tcBorders>
              <w:top w:val="single" w:sz="4" w:space="0" w:color="auto"/>
              <w:left w:val="nil"/>
              <w:bottom w:val="nil"/>
              <w:right w:val="nil"/>
            </w:tcBorders>
            <w:shd w:val="clear" w:color="auto" w:fill="auto"/>
            <w:noWrap/>
            <w:vAlign w:val="bottom"/>
          </w:tcPr>
          <w:p w14:paraId="1A7515F9" w14:textId="77777777" w:rsidR="00952ED6" w:rsidRDefault="00952ED6" w:rsidP="0033494B">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Familial co-aggregation of ADHD and overweight/obesity in full cousins</w:t>
            </w:r>
          </w:p>
        </w:tc>
        <w:tc>
          <w:tcPr>
            <w:tcW w:w="101" w:type="pct"/>
            <w:tcBorders>
              <w:top w:val="single" w:sz="4" w:space="0" w:color="auto"/>
              <w:left w:val="nil"/>
              <w:bottom w:val="nil"/>
              <w:right w:val="nil"/>
            </w:tcBorders>
            <w:shd w:val="clear" w:color="auto" w:fill="auto"/>
            <w:noWrap/>
            <w:vAlign w:val="bottom"/>
          </w:tcPr>
          <w:p w14:paraId="18D8A875" w14:textId="77777777" w:rsidR="00952ED6" w:rsidRPr="000D30BF" w:rsidRDefault="00952ED6" w:rsidP="00D2351B">
            <w:pPr>
              <w:spacing w:after="0" w:line="240" w:lineRule="auto"/>
              <w:rPr>
                <w:rFonts w:ascii="Times New Roman" w:eastAsia="Times New Roman" w:hAnsi="Times New Roman" w:cs="Times New Roman"/>
                <w:color w:val="000000"/>
                <w:sz w:val="24"/>
                <w:szCs w:val="24"/>
                <w:lang w:eastAsia="en-US"/>
              </w:rPr>
            </w:pPr>
          </w:p>
        </w:tc>
        <w:tc>
          <w:tcPr>
            <w:tcW w:w="797" w:type="pct"/>
            <w:tcBorders>
              <w:top w:val="single" w:sz="4" w:space="0" w:color="auto"/>
              <w:left w:val="nil"/>
              <w:bottom w:val="nil"/>
              <w:right w:val="nil"/>
            </w:tcBorders>
            <w:shd w:val="clear" w:color="auto" w:fill="auto"/>
            <w:noWrap/>
            <w:vAlign w:val="bottom"/>
          </w:tcPr>
          <w:p w14:paraId="4AC3506B"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440" w:type="pct"/>
            <w:tcBorders>
              <w:top w:val="single" w:sz="4" w:space="0" w:color="auto"/>
              <w:left w:val="nil"/>
              <w:bottom w:val="nil"/>
              <w:right w:val="nil"/>
            </w:tcBorders>
            <w:shd w:val="clear" w:color="auto" w:fill="auto"/>
            <w:noWrap/>
            <w:vAlign w:val="bottom"/>
          </w:tcPr>
          <w:p w14:paraId="41F0F063"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101" w:type="pct"/>
            <w:tcBorders>
              <w:top w:val="single" w:sz="4" w:space="0" w:color="auto"/>
              <w:left w:val="nil"/>
              <w:bottom w:val="nil"/>
              <w:right w:val="nil"/>
            </w:tcBorders>
            <w:shd w:val="clear" w:color="auto" w:fill="auto"/>
            <w:noWrap/>
            <w:vAlign w:val="bottom"/>
          </w:tcPr>
          <w:p w14:paraId="5342E5CC"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797" w:type="pct"/>
            <w:tcBorders>
              <w:top w:val="single" w:sz="4" w:space="0" w:color="auto"/>
              <w:left w:val="nil"/>
              <w:bottom w:val="nil"/>
              <w:right w:val="nil"/>
            </w:tcBorders>
            <w:shd w:val="clear" w:color="auto" w:fill="auto"/>
            <w:noWrap/>
            <w:vAlign w:val="bottom"/>
          </w:tcPr>
          <w:p w14:paraId="4876A929"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440" w:type="pct"/>
            <w:tcBorders>
              <w:top w:val="single" w:sz="4" w:space="0" w:color="auto"/>
              <w:left w:val="nil"/>
              <w:bottom w:val="nil"/>
              <w:right w:val="nil"/>
            </w:tcBorders>
            <w:shd w:val="clear" w:color="auto" w:fill="auto"/>
            <w:noWrap/>
            <w:vAlign w:val="bottom"/>
          </w:tcPr>
          <w:p w14:paraId="0B4472DF"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r>
      <w:tr w:rsidR="00952ED6" w:rsidRPr="000D30BF" w14:paraId="707FE22F" w14:textId="77777777" w:rsidTr="002E31CA">
        <w:trPr>
          <w:trHeight w:val="300"/>
        </w:trPr>
        <w:tc>
          <w:tcPr>
            <w:tcW w:w="307" w:type="pct"/>
            <w:tcBorders>
              <w:top w:val="nil"/>
              <w:left w:val="nil"/>
              <w:bottom w:val="nil"/>
              <w:right w:val="nil"/>
            </w:tcBorders>
            <w:shd w:val="clear" w:color="auto" w:fill="auto"/>
            <w:noWrap/>
            <w:vAlign w:val="bottom"/>
          </w:tcPr>
          <w:p w14:paraId="44FC3566" w14:textId="77777777" w:rsidR="00952ED6" w:rsidRDefault="00952ED6" w:rsidP="0033494B">
            <w:pPr>
              <w:spacing w:after="0" w:line="240" w:lineRule="auto"/>
              <w:rPr>
                <w:rFonts w:ascii="Times New Roman" w:eastAsia="Times New Roman" w:hAnsi="Times New Roman" w:cs="Times New Roman"/>
                <w:color w:val="000000"/>
                <w:sz w:val="24"/>
                <w:szCs w:val="24"/>
                <w:lang w:eastAsia="en-US"/>
              </w:rPr>
            </w:pPr>
          </w:p>
        </w:tc>
        <w:tc>
          <w:tcPr>
            <w:tcW w:w="2017" w:type="pct"/>
            <w:gridSpan w:val="2"/>
            <w:tcBorders>
              <w:top w:val="nil"/>
              <w:left w:val="nil"/>
              <w:bottom w:val="nil"/>
              <w:right w:val="nil"/>
            </w:tcBorders>
            <w:shd w:val="clear" w:color="auto" w:fill="auto"/>
            <w:vAlign w:val="bottom"/>
          </w:tcPr>
          <w:p w14:paraId="1A99573C" w14:textId="77777777" w:rsidR="00952ED6" w:rsidRDefault="00952ED6" w:rsidP="0033494B">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All full cousins (n=2 138 440 cousin pairs</w:t>
            </w:r>
            <w:r w:rsidRPr="000D30BF">
              <w:rPr>
                <w:rFonts w:ascii="Times New Roman" w:eastAsia="Times New Roman" w:hAnsi="Times New Roman" w:cs="Times New Roman"/>
                <w:color w:val="000000"/>
                <w:sz w:val="24"/>
                <w:szCs w:val="24"/>
                <w:lang w:eastAsia="en-US"/>
              </w:rPr>
              <w:t>)</w:t>
            </w:r>
          </w:p>
        </w:tc>
        <w:tc>
          <w:tcPr>
            <w:tcW w:w="101" w:type="pct"/>
            <w:tcBorders>
              <w:top w:val="nil"/>
              <w:left w:val="nil"/>
              <w:bottom w:val="nil"/>
              <w:right w:val="nil"/>
            </w:tcBorders>
            <w:shd w:val="clear" w:color="auto" w:fill="auto"/>
            <w:noWrap/>
            <w:vAlign w:val="bottom"/>
          </w:tcPr>
          <w:p w14:paraId="07B44FB9" w14:textId="77777777" w:rsidR="00952ED6" w:rsidRPr="000D30BF" w:rsidRDefault="00952ED6" w:rsidP="00D2351B">
            <w:pPr>
              <w:spacing w:after="0" w:line="240" w:lineRule="auto"/>
              <w:rPr>
                <w:rFonts w:ascii="Times New Roman" w:eastAsia="Times New Roman" w:hAnsi="Times New Roman" w:cs="Times New Roman"/>
                <w:color w:val="000000"/>
                <w:sz w:val="24"/>
                <w:szCs w:val="24"/>
                <w:lang w:eastAsia="en-US"/>
              </w:rPr>
            </w:pPr>
          </w:p>
        </w:tc>
        <w:tc>
          <w:tcPr>
            <w:tcW w:w="797" w:type="pct"/>
            <w:tcBorders>
              <w:top w:val="nil"/>
              <w:left w:val="nil"/>
              <w:bottom w:val="nil"/>
              <w:right w:val="nil"/>
            </w:tcBorders>
            <w:shd w:val="clear" w:color="auto" w:fill="auto"/>
            <w:noWrap/>
            <w:vAlign w:val="bottom"/>
          </w:tcPr>
          <w:p w14:paraId="2B632527"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1.11 (1.07–1.15)</w:t>
            </w:r>
          </w:p>
        </w:tc>
        <w:tc>
          <w:tcPr>
            <w:tcW w:w="440" w:type="pct"/>
            <w:tcBorders>
              <w:top w:val="nil"/>
              <w:left w:val="nil"/>
              <w:bottom w:val="nil"/>
              <w:right w:val="nil"/>
            </w:tcBorders>
            <w:shd w:val="clear" w:color="auto" w:fill="auto"/>
            <w:noWrap/>
            <w:vAlign w:val="bottom"/>
          </w:tcPr>
          <w:p w14:paraId="159524CF"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&lt; .001</w:t>
            </w:r>
          </w:p>
        </w:tc>
        <w:tc>
          <w:tcPr>
            <w:tcW w:w="101" w:type="pct"/>
            <w:tcBorders>
              <w:top w:val="nil"/>
              <w:left w:val="nil"/>
              <w:bottom w:val="nil"/>
              <w:right w:val="nil"/>
            </w:tcBorders>
            <w:shd w:val="clear" w:color="auto" w:fill="auto"/>
            <w:noWrap/>
            <w:vAlign w:val="bottom"/>
          </w:tcPr>
          <w:p w14:paraId="15B1D24C"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797" w:type="pct"/>
            <w:tcBorders>
              <w:top w:val="nil"/>
              <w:left w:val="nil"/>
              <w:bottom w:val="nil"/>
              <w:right w:val="nil"/>
            </w:tcBorders>
            <w:shd w:val="clear" w:color="auto" w:fill="auto"/>
            <w:noWrap/>
            <w:vAlign w:val="bottom"/>
          </w:tcPr>
          <w:p w14:paraId="61DD70D1"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1.29 (1.22–1.37)</w:t>
            </w:r>
          </w:p>
        </w:tc>
        <w:tc>
          <w:tcPr>
            <w:tcW w:w="440" w:type="pct"/>
            <w:tcBorders>
              <w:top w:val="nil"/>
              <w:left w:val="nil"/>
              <w:bottom w:val="nil"/>
              <w:right w:val="nil"/>
            </w:tcBorders>
            <w:shd w:val="clear" w:color="auto" w:fill="auto"/>
            <w:noWrap/>
            <w:vAlign w:val="bottom"/>
          </w:tcPr>
          <w:p w14:paraId="073DFF82"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&lt; .001</w:t>
            </w:r>
          </w:p>
        </w:tc>
      </w:tr>
      <w:tr w:rsidR="00952ED6" w:rsidRPr="000D30BF" w14:paraId="397A5B2E" w14:textId="77777777" w:rsidTr="002E31CA">
        <w:trPr>
          <w:trHeight w:val="300"/>
        </w:trPr>
        <w:tc>
          <w:tcPr>
            <w:tcW w:w="307" w:type="pct"/>
            <w:tcBorders>
              <w:top w:val="nil"/>
              <w:left w:val="nil"/>
              <w:bottom w:val="nil"/>
              <w:right w:val="nil"/>
            </w:tcBorders>
            <w:shd w:val="clear" w:color="auto" w:fill="auto"/>
            <w:noWrap/>
            <w:vAlign w:val="bottom"/>
          </w:tcPr>
          <w:p w14:paraId="75151B9C" w14:textId="77777777" w:rsidR="00952ED6" w:rsidRDefault="00952ED6" w:rsidP="0033494B">
            <w:pPr>
              <w:spacing w:after="0" w:line="240" w:lineRule="auto"/>
              <w:rPr>
                <w:rFonts w:ascii="Times New Roman" w:eastAsia="Times New Roman" w:hAnsi="Times New Roman" w:cs="Times New Roman"/>
                <w:color w:val="000000"/>
                <w:sz w:val="24"/>
                <w:szCs w:val="24"/>
                <w:lang w:eastAsia="en-US"/>
              </w:rPr>
            </w:pPr>
          </w:p>
        </w:tc>
        <w:tc>
          <w:tcPr>
            <w:tcW w:w="2017" w:type="pct"/>
            <w:gridSpan w:val="2"/>
            <w:tcBorders>
              <w:top w:val="nil"/>
              <w:left w:val="nil"/>
              <w:bottom w:val="nil"/>
              <w:right w:val="nil"/>
            </w:tcBorders>
            <w:shd w:val="clear" w:color="auto" w:fill="auto"/>
            <w:vAlign w:val="bottom"/>
          </w:tcPr>
          <w:p w14:paraId="45D1174C" w14:textId="77777777" w:rsidR="00952ED6" w:rsidRDefault="00952ED6" w:rsidP="0033494B">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F</w:t>
            </w:r>
            <w:r w:rsidRPr="000D30BF">
              <w:rPr>
                <w:rFonts w:ascii="Times New Roman" w:eastAsia="Times New Roman" w:hAnsi="Times New Roman" w:cs="Times New Roman"/>
                <w:color w:val="000000"/>
                <w:sz w:val="24"/>
                <w:szCs w:val="24"/>
                <w:lang w:eastAsia="en-US"/>
              </w:rPr>
              <w:t xml:space="preserve">emale </w:t>
            </w:r>
            <w:r>
              <w:rPr>
                <w:rFonts w:ascii="Times New Roman" w:eastAsia="Times New Roman" w:hAnsi="Times New Roman" w:cs="Times New Roman"/>
                <w:color w:val="000000"/>
                <w:sz w:val="24"/>
                <w:szCs w:val="24"/>
                <w:lang w:eastAsia="en-US"/>
              </w:rPr>
              <w:t>full cousins</w:t>
            </w:r>
            <w:r w:rsidRPr="000D30BF">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(n=1 099 744 cousin pairs</w:t>
            </w:r>
            <w:r w:rsidRPr="000D30BF">
              <w:rPr>
                <w:rFonts w:ascii="Times New Roman" w:eastAsia="Times New Roman" w:hAnsi="Times New Roman" w:cs="Times New Roman"/>
                <w:color w:val="000000"/>
                <w:sz w:val="24"/>
                <w:szCs w:val="24"/>
                <w:lang w:eastAsia="en-US"/>
              </w:rPr>
              <w:t>)</w:t>
            </w:r>
          </w:p>
        </w:tc>
        <w:tc>
          <w:tcPr>
            <w:tcW w:w="101" w:type="pct"/>
            <w:tcBorders>
              <w:top w:val="nil"/>
              <w:left w:val="nil"/>
              <w:bottom w:val="nil"/>
              <w:right w:val="nil"/>
            </w:tcBorders>
            <w:shd w:val="clear" w:color="auto" w:fill="auto"/>
            <w:noWrap/>
            <w:vAlign w:val="bottom"/>
          </w:tcPr>
          <w:p w14:paraId="0177A08B" w14:textId="77777777" w:rsidR="00952ED6" w:rsidRPr="000D30BF" w:rsidRDefault="00952ED6" w:rsidP="00D2351B">
            <w:pPr>
              <w:spacing w:after="0" w:line="240" w:lineRule="auto"/>
              <w:rPr>
                <w:rFonts w:ascii="Times New Roman" w:eastAsia="Times New Roman" w:hAnsi="Times New Roman" w:cs="Times New Roman"/>
                <w:color w:val="000000"/>
                <w:sz w:val="24"/>
                <w:szCs w:val="24"/>
                <w:lang w:eastAsia="en-US"/>
              </w:rPr>
            </w:pPr>
          </w:p>
        </w:tc>
        <w:tc>
          <w:tcPr>
            <w:tcW w:w="797" w:type="pct"/>
            <w:tcBorders>
              <w:top w:val="nil"/>
              <w:left w:val="nil"/>
              <w:bottom w:val="nil"/>
              <w:right w:val="nil"/>
            </w:tcBorders>
            <w:shd w:val="clear" w:color="auto" w:fill="auto"/>
            <w:noWrap/>
            <w:vAlign w:val="bottom"/>
          </w:tcPr>
          <w:p w14:paraId="6556B77B"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1.10 (1.04–1.17)</w:t>
            </w:r>
          </w:p>
        </w:tc>
        <w:tc>
          <w:tcPr>
            <w:tcW w:w="440" w:type="pct"/>
            <w:tcBorders>
              <w:top w:val="nil"/>
              <w:left w:val="nil"/>
              <w:bottom w:val="nil"/>
              <w:right w:val="nil"/>
            </w:tcBorders>
            <w:shd w:val="clear" w:color="auto" w:fill="auto"/>
            <w:noWrap/>
            <w:vAlign w:val="bottom"/>
          </w:tcPr>
          <w:p w14:paraId="4AC9D25C"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  .002</w:t>
            </w:r>
          </w:p>
        </w:tc>
        <w:tc>
          <w:tcPr>
            <w:tcW w:w="101" w:type="pct"/>
            <w:tcBorders>
              <w:top w:val="nil"/>
              <w:left w:val="nil"/>
              <w:bottom w:val="nil"/>
              <w:right w:val="nil"/>
            </w:tcBorders>
            <w:shd w:val="clear" w:color="auto" w:fill="auto"/>
            <w:noWrap/>
            <w:vAlign w:val="bottom"/>
          </w:tcPr>
          <w:p w14:paraId="3B97EF36"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797" w:type="pct"/>
            <w:tcBorders>
              <w:top w:val="nil"/>
              <w:left w:val="nil"/>
              <w:bottom w:val="nil"/>
              <w:right w:val="nil"/>
            </w:tcBorders>
            <w:shd w:val="clear" w:color="auto" w:fill="auto"/>
            <w:noWrap/>
            <w:vAlign w:val="bottom"/>
          </w:tcPr>
          <w:p w14:paraId="4EC0B1A6"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1.28 (1.17–1.41)</w:t>
            </w:r>
          </w:p>
        </w:tc>
        <w:tc>
          <w:tcPr>
            <w:tcW w:w="440" w:type="pct"/>
            <w:tcBorders>
              <w:top w:val="nil"/>
              <w:left w:val="nil"/>
              <w:bottom w:val="nil"/>
              <w:right w:val="nil"/>
            </w:tcBorders>
            <w:shd w:val="clear" w:color="auto" w:fill="auto"/>
            <w:noWrap/>
            <w:vAlign w:val="bottom"/>
          </w:tcPr>
          <w:p w14:paraId="516C0EA3"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&lt; .001</w:t>
            </w:r>
          </w:p>
        </w:tc>
      </w:tr>
      <w:tr w:rsidR="00952ED6" w:rsidRPr="000D30BF" w14:paraId="4DC11CA0" w14:textId="77777777" w:rsidTr="002E31CA">
        <w:trPr>
          <w:trHeight w:val="300"/>
        </w:trPr>
        <w:tc>
          <w:tcPr>
            <w:tcW w:w="307" w:type="pct"/>
            <w:tcBorders>
              <w:top w:val="nil"/>
              <w:left w:val="nil"/>
              <w:bottom w:val="nil"/>
              <w:right w:val="nil"/>
            </w:tcBorders>
            <w:shd w:val="clear" w:color="auto" w:fill="auto"/>
            <w:noWrap/>
            <w:vAlign w:val="bottom"/>
          </w:tcPr>
          <w:p w14:paraId="2608D6FE" w14:textId="77777777" w:rsidR="00952ED6" w:rsidRDefault="00952ED6" w:rsidP="0033494B">
            <w:pPr>
              <w:spacing w:after="0" w:line="240" w:lineRule="auto"/>
              <w:rPr>
                <w:rFonts w:ascii="Times New Roman" w:eastAsia="Times New Roman" w:hAnsi="Times New Roman" w:cs="Times New Roman"/>
                <w:color w:val="000000"/>
                <w:sz w:val="24"/>
                <w:szCs w:val="24"/>
                <w:lang w:eastAsia="en-US"/>
              </w:rPr>
            </w:pPr>
          </w:p>
        </w:tc>
        <w:tc>
          <w:tcPr>
            <w:tcW w:w="2017" w:type="pct"/>
            <w:gridSpan w:val="2"/>
            <w:tcBorders>
              <w:top w:val="nil"/>
              <w:left w:val="nil"/>
              <w:bottom w:val="nil"/>
              <w:right w:val="nil"/>
            </w:tcBorders>
            <w:shd w:val="clear" w:color="auto" w:fill="auto"/>
            <w:vAlign w:val="bottom"/>
          </w:tcPr>
          <w:p w14:paraId="3C2C9B9A" w14:textId="77777777" w:rsidR="00952ED6" w:rsidRDefault="00952ED6" w:rsidP="0033494B">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M</w:t>
            </w:r>
            <w:r w:rsidRPr="000D30BF">
              <w:rPr>
                <w:rFonts w:ascii="Times New Roman" w:eastAsia="Times New Roman" w:hAnsi="Times New Roman" w:cs="Times New Roman"/>
                <w:color w:val="000000"/>
                <w:sz w:val="24"/>
                <w:szCs w:val="24"/>
                <w:lang w:eastAsia="en-US"/>
              </w:rPr>
              <w:t xml:space="preserve">ale </w:t>
            </w:r>
            <w:r>
              <w:rPr>
                <w:rFonts w:ascii="Times New Roman" w:eastAsia="Times New Roman" w:hAnsi="Times New Roman" w:cs="Times New Roman"/>
                <w:color w:val="000000"/>
                <w:sz w:val="24"/>
                <w:szCs w:val="24"/>
                <w:lang w:eastAsia="en-US"/>
              </w:rPr>
              <w:t>full cousins</w:t>
            </w:r>
            <w:r w:rsidRPr="000D30BF">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(n=1 038 696 cousin pairs</w:t>
            </w:r>
            <w:r w:rsidRPr="000D30BF">
              <w:rPr>
                <w:rFonts w:ascii="Times New Roman" w:eastAsia="Times New Roman" w:hAnsi="Times New Roman" w:cs="Times New Roman"/>
                <w:color w:val="000000"/>
                <w:sz w:val="24"/>
                <w:szCs w:val="24"/>
                <w:lang w:eastAsia="en-US"/>
              </w:rPr>
              <w:t>)</w:t>
            </w:r>
          </w:p>
        </w:tc>
        <w:tc>
          <w:tcPr>
            <w:tcW w:w="101" w:type="pct"/>
            <w:tcBorders>
              <w:top w:val="nil"/>
              <w:left w:val="nil"/>
              <w:bottom w:val="nil"/>
              <w:right w:val="nil"/>
            </w:tcBorders>
            <w:shd w:val="clear" w:color="auto" w:fill="auto"/>
            <w:noWrap/>
            <w:vAlign w:val="bottom"/>
          </w:tcPr>
          <w:p w14:paraId="165A27CF" w14:textId="77777777" w:rsidR="00952ED6" w:rsidRPr="000D30BF" w:rsidRDefault="00952ED6" w:rsidP="00D2351B">
            <w:pPr>
              <w:spacing w:after="0" w:line="240" w:lineRule="auto"/>
              <w:rPr>
                <w:rFonts w:ascii="Times New Roman" w:eastAsia="Times New Roman" w:hAnsi="Times New Roman" w:cs="Times New Roman"/>
                <w:color w:val="000000"/>
                <w:sz w:val="24"/>
                <w:szCs w:val="24"/>
                <w:lang w:eastAsia="en-US"/>
              </w:rPr>
            </w:pPr>
          </w:p>
        </w:tc>
        <w:tc>
          <w:tcPr>
            <w:tcW w:w="797" w:type="pct"/>
            <w:tcBorders>
              <w:top w:val="nil"/>
              <w:left w:val="nil"/>
              <w:bottom w:val="nil"/>
              <w:right w:val="nil"/>
            </w:tcBorders>
            <w:shd w:val="clear" w:color="auto" w:fill="auto"/>
            <w:noWrap/>
            <w:vAlign w:val="bottom"/>
          </w:tcPr>
          <w:p w14:paraId="1BB5E0E8"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1.11 (1.07–1.16)</w:t>
            </w:r>
          </w:p>
        </w:tc>
        <w:tc>
          <w:tcPr>
            <w:tcW w:w="440" w:type="pct"/>
            <w:tcBorders>
              <w:top w:val="nil"/>
              <w:left w:val="nil"/>
              <w:bottom w:val="nil"/>
              <w:right w:val="nil"/>
            </w:tcBorders>
            <w:shd w:val="clear" w:color="auto" w:fill="auto"/>
            <w:noWrap/>
            <w:vAlign w:val="bottom"/>
          </w:tcPr>
          <w:p w14:paraId="2B81DA4E"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&lt; .001</w:t>
            </w:r>
          </w:p>
        </w:tc>
        <w:tc>
          <w:tcPr>
            <w:tcW w:w="101" w:type="pct"/>
            <w:tcBorders>
              <w:top w:val="nil"/>
              <w:left w:val="nil"/>
              <w:bottom w:val="nil"/>
              <w:right w:val="nil"/>
            </w:tcBorders>
            <w:shd w:val="clear" w:color="auto" w:fill="auto"/>
            <w:noWrap/>
            <w:vAlign w:val="bottom"/>
          </w:tcPr>
          <w:p w14:paraId="2FA0BAC1"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797" w:type="pct"/>
            <w:tcBorders>
              <w:top w:val="nil"/>
              <w:left w:val="nil"/>
              <w:bottom w:val="nil"/>
              <w:right w:val="nil"/>
            </w:tcBorders>
            <w:shd w:val="clear" w:color="auto" w:fill="auto"/>
            <w:noWrap/>
            <w:vAlign w:val="bottom"/>
          </w:tcPr>
          <w:p w14:paraId="44293E7A"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1.30 (1.21–1.39)</w:t>
            </w:r>
          </w:p>
        </w:tc>
        <w:tc>
          <w:tcPr>
            <w:tcW w:w="440" w:type="pct"/>
            <w:tcBorders>
              <w:top w:val="nil"/>
              <w:left w:val="nil"/>
              <w:bottom w:val="nil"/>
              <w:right w:val="nil"/>
            </w:tcBorders>
            <w:shd w:val="clear" w:color="auto" w:fill="auto"/>
            <w:noWrap/>
            <w:vAlign w:val="bottom"/>
          </w:tcPr>
          <w:p w14:paraId="7D4EA948"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&lt; .001</w:t>
            </w:r>
          </w:p>
        </w:tc>
      </w:tr>
      <w:tr w:rsidR="00952ED6" w:rsidRPr="000D30BF" w14:paraId="7673481E" w14:textId="77777777" w:rsidTr="002E31CA">
        <w:trPr>
          <w:trHeight w:val="300"/>
        </w:trPr>
        <w:tc>
          <w:tcPr>
            <w:tcW w:w="2324" w:type="pct"/>
            <w:gridSpan w:val="3"/>
            <w:tcBorders>
              <w:top w:val="nil"/>
              <w:left w:val="nil"/>
              <w:bottom w:val="nil"/>
              <w:right w:val="nil"/>
            </w:tcBorders>
            <w:shd w:val="clear" w:color="auto" w:fill="auto"/>
            <w:noWrap/>
            <w:vAlign w:val="bottom"/>
          </w:tcPr>
          <w:p w14:paraId="04740E81" w14:textId="77777777" w:rsidR="00952ED6" w:rsidRDefault="00952ED6" w:rsidP="0033494B">
            <w:pPr>
              <w:spacing w:after="0" w:line="240" w:lineRule="auto"/>
              <w:rPr>
                <w:rFonts w:ascii="Times New Roman" w:eastAsia="Times New Roman" w:hAnsi="Times New Roman" w:cs="Times New Roman"/>
                <w:color w:val="000000"/>
                <w:sz w:val="24"/>
                <w:szCs w:val="24"/>
                <w:lang w:eastAsia="en-US"/>
              </w:rPr>
            </w:pPr>
          </w:p>
        </w:tc>
        <w:tc>
          <w:tcPr>
            <w:tcW w:w="101" w:type="pct"/>
            <w:tcBorders>
              <w:top w:val="nil"/>
              <w:left w:val="nil"/>
              <w:bottom w:val="nil"/>
              <w:right w:val="nil"/>
            </w:tcBorders>
            <w:shd w:val="clear" w:color="auto" w:fill="auto"/>
            <w:noWrap/>
            <w:vAlign w:val="bottom"/>
          </w:tcPr>
          <w:p w14:paraId="735D1F4F" w14:textId="77777777" w:rsidR="00952ED6" w:rsidRPr="000D30BF" w:rsidRDefault="00952ED6" w:rsidP="00D2351B">
            <w:pPr>
              <w:spacing w:after="0" w:line="240" w:lineRule="auto"/>
              <w:rPr>
                <w:rFonts w:ascii="Times New Roman" w:eastAsia="Times New Roman" w:hAnsi="Times New Roman" w:cs="Times New Roman"/>
                <w:color w:val="000000"/>
                <w:sz w:val="24"/>
                <w:szCs w:val="24"/>
                <w:lang w:eastAsia="en-US"/>
              </w:rPr>
            </w:pPr>
          </w:p>
        </w:tc>
        <w:tc>
          <w:tcPr>
            <w:tcW w:w="797" w:type="pct"/>
            <w:tcBorders>
              <w:top w:val="nil"/>
              <w:left w:val="nil"/>
              <w:bottom w:val="nil"/>
              <w:right w:val="nil"/>
            </w:tcBorders>
            <w:shd w:val="clear" w:color="auto" w:fill="auto"/>
            <w:noWrap/>
            <w:vAlign w:val="bottom"/>
          </w:tcPr>
          <w:p w14:paraId="56871F98"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440" w:type="pct"/>
            <w:tcBorders>
              <w:top w:val="nil"/>
              <w:left w:val="nil"/>
              <w:bottom w:val="nil"/>
              <w:right w:val="nil"/>
            </w:tcBorders>
            <w:shd w:val="clear" w:color="auto" w:fill="auto"/>
            <w:noWrap/>
            <w:vAlign w:val="bottom"/>
          </w:tcPr>
          <w:p w14:paraId="18D3FAD7"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101" w:type="pct"/>
            <w:tcBorders>
              <w:top w:val="nil"/>
              <w:left w:val="nil"/>
              <w:bottom w:val="nil"/>
              <w:right w:val="nil"/>
            </w:tcBorders>
            <w:shd w:val="clear" w:color="auto" w:fill="auto"/>
            <w:noWrap/>
            <w:vAlign w:val="bottom"/>
          </w:tcPr>
          <w:p w14:paraId="174ABDCF"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797" w:type="pct"/>
            <w:tcBorders>
              <w:top w:val="nil"/>
              <w:left w:val="nil"/>
              <w:bottom w:val="nil"/>
              <w:right w:val="nil"/>
            </w:tcBorders>
            <w:shd w:val="clear" w:color="auto" w:fill="auto"/>
            <w:noWrap/>
            <w:vAlign w:val="bottom"/>
          </w:tcPr>
          <w:p w14:paraId="29606E6A"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440" w:type="pct"/>
            <w:tcBorders>
              <w:top w:val="nil"/>
              <w:left w:val="nil"/>
              <w:bottom w:val="nil"/>
              <w:right w:val="nil"/>
            </w:tcBorders>
            <w:shd w:val="clear" w:color="auto" w:fill="auto"/>
            <w:noWrap/>
            <w:vAlign w:val="bottom"/>
          </w:tcPr>
          <w:p w14:paraId="7378A588"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r>
      <w:tr w:rsidR="00952ED6" w:rsidRPr="000D30BF" w14:paraId="49DAF9C9" w14:textId="77777777" w:rsidTr="002E31CA">
        <w:trPr>
          <w:trHeight w:val="300"/>
        </w:trPr>
        <w:tc>
          <w:tcPr>
            <w:tcW w:w="2324" w:type="pct"/>
            <w:gridSpan w:val="3"/>
            <w:tcBorders>
              <w:top w:val="nil"/>
              <w:left w:val="nil"/>
              <w:bottom w:val="nil"/>
              <w:right w:val="nil"/>
            </w:tcBorders>
            <w:shd w:val="clear" w:color="auto" w:fill="auto"/>
            <w:noWrap/>
            <w:vAlign w:val="bottom"/>
            <w:hideMark/>
          </w:tcPr>
          <w:p w14:paraId="3FA28E86" w14:textId="77777777" w:rsidR="00952ED6" w:rsidRPr="000D30BF" w:rsidRDefault="00952ED6" w:rsidP="0033494B">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Analyses stratified by family education level</w:t>
            </w:r>
          </w:p>
        </w:tc>
        <w:tc>
          <w:tcPr>
            <w:tcW w:w="101" w:type="pct"/>
            <w:tcBorders>
              <w:top w:val="nil"/>
              <w:left w:val="nil"/>
              <w:bottom w:val="nil"/>
              <w:right w:val="nil"/>
            </w:tcBorders>
            <w:shd w:val="clear" w:color="auto" w:fill="auto"/>
            <w:noWrap/>
            <w:vAlign w:val="bottom"/>
            <w:hideMark/>
          </w:tcPr>
          <w:p w14:paraId="5A428C9C" w14:textId="77777777" w:rsidR="00952ED6" w:rsidRPr="000D30BF" w:rsidRDefault="00952ED6" w:rsidP="00D2351B">
            <w:pPr>
              <w:spacing w:after="0" w:line="240" w:lineRule="auto"/>
              <w:rPr>
                <w:rFonts w:ascii="Times New Roman" w:eastAsia="Times New Roman" w:hAnsi="Times New Roman" w:cs="Times New Roman"/>
                <w:color w:val="000000"/>
                <w:sz w:val="24"/>
                <w:szCs w:val="24"/>
                <w:lang w:eastAsia="en-US"/>
              </w:rPr>
            </w:pPr>
          </w:p>
        </w:tc>
        <w:tc>
          <w:tcPr>
            <w:tcW w:w="797" w:type="pct"/>
            <w:tcBorders>
              <w:top w:val="nil"/>
              <w:left w:val="nil"/>
              <w:bottom w:val="nil"/>
              <w:right w:val="nil"/>
            </w:tcBorders>
            <w:shd w:val="clear" w:color="auto" w:fill="auto"/>
            <w:noWrap/>
            <w:vAlign w:val="bottom"/>
            <w:hideMark/>
          </w:tcPr>
          <w:p w14:paraId="46192605"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440" w:type="pct"/>
            <w:tcBorders>
              <w:top w:val="nil"/>
              <w:left w:val="nil"/>
              <w:bottom w:val="nil"/>
              <w:right w:val="nil"/>
            </w:tcBorders>
            <w:shd w:val="clear" w:color="auto" w:fill="auto"/>
            <w:noWrap/>
            <w:vAlign w:val="bottom"/>
            <w:hideMark/>
          </w:tcPr>
          <w:p w14:paraId="4DD4767E"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101" w:type="pct"/>
            <w:tcBorders>
              <w:top w:val="nil"/>
              <w:left w:val="nil"/>
              <w:bottom w:val="nil"/>
              <w:right w:val="nil"/>
            </w:tcBorders>
            <w:shd w:val="clear" w:color="auto" w:fill="auto"/>
            <w:noWrap/>
            <w:vAlign w:val="bottom"/>
            <w:hideMark/>
          </w:tcPr>
          <w:p w14:paraId="6AD29018"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797" w:type="pct"/>
            <w:tcBorders>
              <w:top w:val="nil"/>
              <w:left w:val="nil"/>
              <w:bottom w:val="nil"/>
              <w:right w:val="nil"/>
            </w:tcBorders>
            <w:shd w:val="clear" w:color="auto" w:fill="auto"/>
            <w:noWrap/>
            <w:vAlign w:val="bottom"/>
            <w:hideMark/>
          </w:tcPr>
          <w:p w14:paraId="2AEEDE22"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440" w:type="pct"/>
            <w:tcBorders>
              <w:top w:val="nil"/>
              <w:left w:val="nil"/>
              <w:bottom w:val="nil"/>
              <w:right w:val="nil"/>
            </w:tcBorders>
            <w:shd w:val="clear" w:color="auto" w:fill="auto"/>
            <w:noWrap/>
            <w:vAlign w:val="bottom"/>
            <w:hideMark/>
          </w:tcPr>
          <w:p w14:paraId="28CC8A1B"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r>
      <w:tr w:rsidR="00952ED6" w:rsidRPr="000D30BF" w14:paraId="6766DCC7" w14:textId="77777777" w:rsidTr="002E31CA">
        <w:trPr>
          <w:trHeight w:val="300"/>
        </w:trPr>
        <w:tc>
          <w:tcPr>
            <w:tcW w:w="307" w:type="pct"/>
            <w:tcBorders>
              <w:top w:val="nil"/>
              <w:left w:val="nil"/>
              <w:bottom w:val="nil"/>
              <w:right w:val="nil"/>
            </w:tcBorders>
            <w:shd w:val="clear" w:color="auto" w:fill="auto"/>
            <w:noWrap/>
            <w:vAlign w:val="bottom"/>
            <w:hideMark/>
          </w:tcPr>
          <w:p w14:paraId="70AD74E6" w14:textId="77777777" w:rsidR="00952ED6" w:rsidRPr="000D30BF" w:rsidRDefault="00952ED6" w:rsidP="00D2351B">
            <w:pPr>
              <w:spacing w:after="0" w:line="240" w:lineRule="auto"/>
              <w:rPr>
                <w:rFonts w:ascii="Times New Roman" w:eastAsia="Times New Roman" w:hAnsi="Times New Roman" w:cs="Times New Roman"/>
                <w:color w:val="000000"/>
                <w:sz w:val="24"/>
                <w:szCs w:val="24"/>
                <w:lang w:eastAsia="en-US"/>
              </w:rPr>
            </w:pPr>
          </w:p>
        </w:tc>
        <w:tc>
          <w:tcPr>
            <w:tcW w:w="2017" w:type="pct"/>
            <w:gridSpan w:val="2"/>
            <w:tcBorders>
              <w:top w:val="nil"/>
              <w:left w:val="nil"/>
              <w:bottom w:val="nil"/>
              <w:right w:val="nil"/>
            </w:tcBorders>
            <w:shd w:val="clear" w:color="auto" w:fill="auto"/>
            <w:noWrap/>
            <w:vAlign w:val="bottom"/>
            <w:hideMark/>
          </w:tcPr>
          <w:p w14:paraId="496A9670" w14:textId="77777777" w:rsidR="00952ED6" w:rsidRPr="002874A7" w:rsidRDefault="00952ED6" w:rsidP="003B4DAC">
            <w:pPr>
              <w:spacing w:after="0" w:line="240" w:lineRule="auto"/>
              <w:rPr>
                <w:rFonts w:ascii="Times New Roman" w:eastAsia="Times New Roman" w:hAnsi="Times New Roman" w:cs="Times New Roman"/>
                <w:color w:val="000000"/>
                <w:sz w:val="24"/>
                <w:szCs w:val="24"/>
                <w:lang w:eastAsia="en-US"/>
              </w:rPr>
            </w:pPr>
            <w:r>
              <w:rPr>
                <w:rFonts w:ascii="Times New Roman" w:hAnsi="Times New Roman" w:cs="Times New Roman"/>
                <w:sz w:val="24"/>
                <w:szCs w:val="24"/>
              </w:rPr>
              <w:t>Elementary &amp; u</w:t>
            </w:r>
            <w:r w:rsidRPr="002874A7">
              <w:rPr>
                <w:rFonts w:ascii="Times New Roman" w:hAnsi="Times New Roman" w:cs="Times New Roman"/>
                <w:sz w:val="24"/>
                <w:szCs w:val="24"/>
              </w:rPr>
              <w:t xml:space="preserve">pper secondary </w:t>
            </w:r>
            <w:r w:rsidRPr="002874A7">
              <w:rPr>
                <w:rFonts w:ascii="Times New Roman" w:eastAsia="Times New Roman" w:hAnsi="Times New Roman" w:cs="Times New Roman"/>
                <w:color w:val="000000"/>
                <w:sz w:val="24"/>
                <w:szCs w:val="24"/>
                <w:lang w:eastAsia="en-US"/>
              </w:rPr>
              <w:t>(n=</w:t>
            </w:r>
            <w:r>
              <w:rPr>
                <w:rFonts w:ascii="Times New Roman" w:eastAsia="Times New Roman" w:hAnsi="Times New Roman" w:cs="Times New Roman"/>
                <w:color w:val="000000"/>
                <w:sz w:val="24"/>
                <w:szCs w:val="24"/>
                <w:lang w:eastAsia="en-US"/>
              </w:rPr>
              <w:t>275 010 sibling pairs</w:t>
            </w:r>
            <w:r w:rsidRPr="002874A7">
              <w:rPr>
                <w:rFonts w:ascii="Times New Roman" w:eastAsia="Times New Roman" w:hAnsi="Times New Roman" w:cs="Times New Roman"/>
                <w:color w:val="000000"/>
                <w:sz w:val="24"/>
                <w:szCs w:val="24"/>
                <w:lang w:eastAsia="en-US"/>
              </w:rPr>
              <w:t>)</w:t>
            </w:r>
          </w:p>
        </w:tc>
        <w:tc>
          <w:tcPr>
            <w:tcW w:w="101" w:type="pct"/>
            <w:tcBorders>
              <w:top w:val="nil"/>
              <w:left w:val="nil"/>
              <w:bottom w:val="nil"/>
              <w:right w:val="nil"/>
            </w:tcBorders>
            <w:shd w:val="clear" w:color="auto" w:fill="auto"/>
            <w:noWrap/>
            <w:vAlign w:val="bottom"/>
            <w:hideMark/>
          </w:tcPr>
          <w:p w14:paraId="191A1C55" w14:textId="77777777" w:rsidR="00952ED6" w:rsidRPr="000D30BF" w:rsidRDefault="00952ED6" w:rsidP="00D2351B">
            <w:pPr>
              <w:spacing w:after="0" w:line="240" w:lineRule="auto"/>
              <w:rPr>
                <w:rFonts w:ascii="Times New Roman" w:eastAsia="Times New Roman" w:hAnsi="Times New Roman" w:cs="Times New Roman"/>
                <w:color w:val="000000"/>
                <w:sz w:val="24"/>
                <w:szCs w:val="24"/>
                <w:lang w:eastAsia="en-US"/>
              </w:rPr>
            </w:pPr>
          </w:p>
        </w:tc>
        <w:tc>
          <w:tcPr>
            <w:tcW w:w="797" w:type="pct"/>
            <w:tcBorders>
              <w:top w:val="nil"/>
              <w:left w:val="nil"/>
              <w:bottom w:val="nil"/>
              <w:right w:val="nil"/>
            </w:tcBorders>
            <w:shd w:val="clear" w:color="auto" w:fill="auto"/>
            <w:noWrap/>
            <w:vAlign w:val="bottom"/>
            <w:hideMark/>
          </w:tcPr>
          <w:p w14:paraId="19BDB3F6" w14:textId="77777777" w:rsidR="00952ED6" w:rsidRPr="00BC4F06" w:rsidRDefault="00952ED6" w:rsidP="0063585B">
            <w:pPr>
              <w:spacing w:after="0" w:line="240" w:lineRule="auto"/>
              <w:jc w:val="center"/>
              <w:rPr>
                <w:rFonts w:ascii="Times New Roman" w:eastAsia="Times New Roman" w:hAnsi="Times New Roman" w:cs="Times New Roman"/>
                <w:color w:val="000000"/>
                <w:sz w:val="24"/>
                <w:szCs w:val="24"/>
                <w:lang w:eastAsia="en-US"/>
              </w:rPr>
            </w:pPr>
            <w:r w:rsidRPr="00BC4F06">
              <w:rPr>
                <w:rFonts w:ascii="Times New Roman" w:eastAsia="Times New Roman" w:hAnsi="Times New Roman" w:cs="Times New Roman"/>
                <w:color w:val="000000"/>
                <w:sz w:val="24"/>
                <w:szCs w:val="24"/>
                <w:lang w:eastAsia="en-US"/>
              </w:rPr>
              <w:t>1.00 (0.90–1.12)</w:t>
            </w:r>
          </w:p>
        </w:tc>
        <w:tc>
          <w:tcPr>
            <w:tcW w:w="440" w:type="pct"/>
            <w:tcBorders>
              <w:top w:val="nil"/>
              <w:left w:val="nil"/>
              <w:bottom w:val="nil"/>
              <w:right w:val="nil"/>
            </w:tcBorders>
            <w:shd w:val="clear" w:color="auto" w:fill="auto"/>
            <w:noWrap/>
            <w:vAlign w:val="bottom"/>
            <w:hideMark/>
          </w:tcPr>
          <w:p w14:paraId="1DAD97FF" w14:textId="77777777" w:rsidR="00952ED6" w:rsidRPr="00BC4F06" w:rsidRDefault="00952ED6" w:rsidP="0063585B">
            <w:pPr>
              <w:spacing w:after="0" w:line="240" w:lineRule="auto"/>
              <w:jc w:val="center"/>
              <w:rPr>
                <w:rFonts w:ascii="Times New Roman" w:eastAsia="Times New Roman" w:hAnsi="Times New Roman" w:cs="Times New Roman"/>
                <w:color w:val="000000"/>
                <w:sz w:val="24"/>
                <w:szCs w:val="24"/>
                <w:lang w:eastAsia="en-US"/>
              </w:rPr>
            </w:pPr>
            <w:r w:rsidRPr="00BC4F06">
              <w:rPr>
                <w:rFonts w:ascii="Times New Roman" w:eastAsia="Times New Roman" w:hAnsi="Times New Roman" w:cs="Times New Roman"/>
                <w:color w:val="000000"/>
                <w:sz w:val="24"/>
                <w:szCs w:val="24"/>
                <w:lang w:eastAsia="en-US"/>
              </w:rPr>
              <w:t xml:space="preserve">  .965</w:t>
            </w:r>
          </w:p>
        </w:tc>
        <w:tc>
          <w:tcPr>
            <w:tcW w:w="101" w:type="pct"/>
            <w:tcBorders>
              <w:top w:val="nil"/>
              <w:left w:val="nil"/>
              <w:bottom w:val="nil"/>
              <w:right w:val="nil"/>
            </w:tcBorders>
            <w:shd w:val="clear" w:color="auto" w:fill="auto"/>
            <w:noWrap/>
            <w:vAlign w:val="bottom"/>
            <w:hideMark/>
          </w:tcPr>
          <w:p w14:paraId="27ACCAE2"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797" w:type="pct"/>
            <w:tcBorders>
              <w:top w:val="nil"/>
              <w:left w:val="nil"/>
              <w:bottom w:val="nil"/>
              <w:right w:val="nil"/>
            </w:tcBorders>
            <w:shd w:val="clear" w:color="auto" w:fill="auto"/>
            <w:noWrap/>
            <w:vAlign w:val="bottom"/>
            <w:hideMark/>
          </w:tcPr>
          <w:p w14:paraId="2AF01140" w14:textId="77777777" w:rsidR="00952ED6" w:rsidRPr="000D30BF" w:rsidRDefault="00952ED6" w:rsidP="0063585B">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1.21 (1.03–1.43</w:t>
            </w:r>
            <w:r w:rsidRPr="005A4ED7">
              <w:rPr>
                <w:rFonts w:ascii="Times New Roman" w:eastAsia="Times New Roman" w:hAnsi="Times New Roman" w:cs="Times New Roman"/>
                <w:color w:val="000000"/>
                <w:sz w:val="24"/>
                <w:szCs w:val="24"/>
                <w:lang w:eastAsia="en-US"/>
              </w:rPr>
              <w:t>)</w:t>
            </w:r>
          </w:p>
        </w:tc>
        <w:tc>
          <w:tcPr>
            <w:tcW w:w="440" w:type="pct"/>
            <w:tcBorders>
              <w:top w:val="nil"/>
              <w:left w:val="nil"/>
              <w:bottom w:val="nil"/>
              <w:right w:val="nil"/>
            </w:tcBorders>
            <w:shd w:val="clear" w:color="auto" w:fill="auto"/>
            <w:noWrap/>
            <w:vAlign w:val="bottom"/>
            <w:hideMark/>
          </w:tcPr>
          <w:p w14:paraId="56D29339" w14:textId="77777777" w:rsidR="00952ED6" w:rsidRPr="000D30BF" w:rsidRDefault="00952ED6" w:rsidP="0063585B">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.019</w:t>
            </w:r>
          </w:p>
        </w:tc>
      </w:tr>
      <w:tr w:rsidR="00952ED6" w:rsidRPr="000D30BF" w14:paraId="648BD00D" w14:textId="77777777" w:rsidTr="002E31CA">
        <w:trPr>
          <w:trHeight w:val="300"/>
        </w:trPr>
        <w:tc>
          <w:tcPr>
            <w:tcW w:w="307" w:type="pct"/>
            <w:tcBorders>
              <w:top w:val="nil"/>
              <w:left w:val="nil"/>
              <w:bottom w:val="nil"/>
              <w:right w:val="nil"/>
            </w:tcBorders>
            <w:shd w:val="clear" w:color="auto" w:fill="auto"/>
            <w:noWrap/>
            <w:vAlign w:val="bottom"/>
            <w:hideMark/>
          </w:tcPr>
          <w:p w14:paraId="7030ADC9" w14:textId="77777777" w:rsidR="00952ED6" w:rsidRPr="000D30BF" w:rsidRDefault="00952ED6" w:rsidP="00D2351B">
            <w:pPr>
              <w:spacing w:after="0" w:line="240" w:lineRule="auto"/>
              <w:rPr>
                <w:rFonts w:ascii="Times New Roman" w:eastAsia="Times New Roman" w:hAnsi="Times New Roman" w:cs="Times New Roman"/>
                <w:color w:val="000000"/>
                <w:sz w:val="24"/>
                <w:szCs w:val="24"/>
                <w:lang w:eastAsia="en-US"/>
              </w:rPr>
            </w:pPr>
          </w:p>
        </w:tc>
        <w:tc>
          <w:tcPr>
            <w:tcW w:w="2017" w:type="pct"/>
            <w:gridSpan w:val="2"/>
            <w:tcBorders>
              <w:top w:val="nil"/>
              <w:left w:val="nil"/>
              <w:bottom w:val="nil"/>
              <w:right w:val="nil"/>
            </w:tcBorders>
            <w:shd w:val="clear" w:color="auto" w:fill="auto"/>
            <w:noWrap/>
            <w:vAlign w:val="bottom"/>
            <w:hideMark/>
          </w:tcPr>
          <w:p w14:paraId="1687DCA7" w14:textId="77777777" w:rsidR="00952ED6" w:rsidRPr="002874A7" w:rsidRDefault="00952ED6" w:rsidP="003B4DAC">
            <w:pPr>
              <w:spacing w:after="0" w:line="240" w:lineRule="auto"/>
              <w:rPr>
                <w:rFonts w:ascii="Times New Roman" w:eastAsia="Times New Roman" w:hAnsi="Times New Roman" w:cs="Times New Roman"/>
                <w:color w:val="000000"/>
                <w:sz w:val="24"/>
                <w:szCs w:val="24"/>
                <w:lang w:eastAsia="en-US"/>
              </w:rPr>
            </w:pPr>
            <w:r w:rsidRPr="002874A7">
              <w:rPr>
                <w:rFonts w:ascii="Times New Roman" w:hAnsi="Times New Roman" w:cs="Times New Roman"/>
                <w:sz w:val="24"/>
                <w:szCs w:val="24"/>
              </w:rPr>
              <w:t xml:space="preserve">Higher </w:t>
            </w:r>
            <w:r w:rsidRPr="002874A7">
              <w:rPr>
                <w:rFonts w:ascii="Times New Roman" w:eastAsia="Times New Roman" w:hAnsi="Times New Roman" w:cs="Times New Roman"/>
                <w:color w:val="000000"/>
                <w:sz w:val="24"/>
                <w:szCs w:val="24"/>
                <w:lang w:eastAsia="en-US"/>
              </w:rPr>
              <w:t>(n=</w:t>
            </w:r>
            <w:r>
              <w:rPr>
                <w:rFonts w:ascii="Times New Roman" w:eastAsia="Times New Roman" w:hAnsi="Times New Roman" w:cs="Times New Roman"/>
                <w:color w:val="000000"/>
                <w:sz w:val="24"/>
                <w:szCs w:val="24"/>
                <w:lang w:eastAsia="en-US"/>
              </w:rPr>
              <w:t>248 141 sibling pairs</w:t>
            </w:r>
            <w:r w:rsidRPr="002874A7">
              <w:rPr>
                <w:rFonts w:ascii="Times New Roman" w:eastAsia="Times New Roman" w:hAnsi="Times New Roman" w:cs="Times New Roman"/>
                <w:color w:val="000000"/>
                <w:sz w:val="24"/>
                <w:szCs w:val="24"/>
                <w:lang w:eastAsia="en-US"/>
              </w:rPr>
              <w:t>)</w:t>
            </w:r>
          </w:p>
        </w:tc>
        <w:tc>
          <w:tcPr>
            <w:tcW w:w="101" w:type="pct"/>
            <w:tcBorders>
              <w:top w:val="nil"/>
              <w:left w:val="nil"/>
              <w:bottom w:val="nil"/>
              <w:right w:val="nil"/>
            </w:tcBorders>
            <w:shd w:val="clear" w:color="auto" w:fill="auto"/>
            <w:noWrap/>
            <w:vAlign w:val="bottom"/>
            <w:hideMark/>
          </w:tcPr>
          <w:p w14:paraId="7528A40B" w14:textId="77777777" w:rsidR="00952ED6" w:rsidRPr="000D30BF" w:rsidRDefault="00952ED6" w:rsidP="00D2351B">
            <w:pPr>
              <w:spacing w:after="0" w:line="240" w:lineRule="auto"/>
              <w:rPr>
                <w:rFonts w:ascii="Times New Roman" w:eastAsia="Times New Roman" w:hAnsi="Times New Roman" w:cs="Times New Roman"/>
                <w:color w:val="000000"/>
                <w:sz w:val="24"/>
                <w:szCs w:val="24"/>
                <w:lang w:eastAsia="en-US"/>
              </w:rPr>
            </w:pPr>
          </w:p>
        </w:tc>
        <w:tc>
          <w:tcPr>
            <w:tcW w:w="797" w:type="pct"/>
            <w:tcBorders>
              <w:top w:val="nil"/>
              <w:left w:val="nil"/>
              <w:bottom w:val="nil"/>
              <w:right w:val="nil"/>
            </w:tcBorders>
            <w:shd w:val="clear" w:color="auto" w:fill="auto"/>
            <w:noWrap/>
            <w:vAlign w:val="bottom"/>
            <w:hideMark/>
          </w:tcPr>
          <w:p w14:paraId="332A2EBC" w14:textId="77777777" w:rsidR="00952ED6" w:rsidRPr="000D30BF" w:rsidRDefault="00952ED6" w:rsidP="0063585B">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1.25 (1.10–</w:t>
            </w:r>
            <w:r w:rsidRPr="005A4ED7">
              <w:rPr>
                <w:rFonts w:ascii="Times New Roman" w:eastAsia="Times New Roman" w:hAnsi="Times New Roman" w:cs="Times New Roman"/>
                <w:color w:val="000000"/>
                <w:sz w:val="24"/>
                <w:szCs w:val="24"/>
                <w:lang w:eastAsia="en-US"/>
              </w:rPr>
              <w:t>1.4</w:t>
            </w:r>
            <w:r>
              <w:rPr>
                <w:rFonts w:ascii="Times New Roman" w:eastAsia="Times New Roman" w:hAnsi="Times New Roman" w:cs="Times New Roman"/>
                <w:color w:val="000000"/>
                <w:sz w:val="24"/>
                <w:szCs w:val="24"/>
                <w:lang w:eastAsia="en-US"/>
              </w:rPr>
              <w:t>3</w:t>
            </w:r>
            <w:r w:rsidRPr="005A4ED7">
              <w:rPr>
                <w:rFonts w:ascii="Times New Roman" w:eastAsia="Times New Roman" w:hAnsi="Times New Roman" w:cs="Times New Roman"/>
                <w:color w:val="000000"/>
                <w:sz w:val="24"/>
                <w:szCs w:val="24"/>
                <w:lang w:eastAsia="en-US"/>
              </w:rPr>
              <w:t>)</w:t>
            </w:r>
          </w:p>
        </w:tc>
        <w:tc>
          <w:tcPr>
            <w:tcW w:w="440" w:type="pct"/>
            <w:tcBorders>
              <w:top w:val="nil"/>
              <w:left w:val="nil"/>
              <w:bottom w:val="nil"/>
              <w:right w:val="nil"/>
            </w:tcBorders>
            <w:shd w:val="clear" w:color="auto" w:fill="auto"/>
            <w:noWrap/>
            <w:vAlign w:val="bottom"/>
            <w:hideMark/>
          </w:tcPr>
          <w:p w14:paraId="744FBC22" w14:textId="77777777" w:rsidR="00952ED6" w:rsidRPr="000D30BF" w:rsidRDefault="00952ED6" w:rsidP="0047770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0D30BF">
              <w:rPr>
                <w:rFonts w:ascii="Times New Roman" w:eastAsia="Times New Roman" w:hAnsi="Times New Roman" w:cs="Times New Roman"/>
                <w:color w:val="000000"/>
                <w:sz w:val="24"/>
                <w:szCs w:val="24"/>
                <w:lang w:eastAsia="en-US"/>
              </w:rPr>
              <w:t>.001</w:t>
            </w:r>
          </w:p>
        </w:tc>
        <w:tc>
          <w:tcPr>
            <w:tcW w:w="101" w:type="pct"/>
            <w:tcBorders>
              <w:top w:val="nil"/>
              <w:left w:val="nil"/>
              <w:bottom w:val="nil"/>
              <w:right w:val="nil"/>
            </w:tcBorders>
            <w:shd w:val="clear" w:color="auto" w:fill="auto"/>
            <w:noWrap/>
            <w:vAlign w:val="bottom"/>
            <w:hideMark/>
          </w:tcPr>
          <w:p w14:paraId="31F15C63"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797" w:type="pct"/>
            <w:tcBorders>
              <w:top w:val="nil"/>
              <w:left w:val="nil"/>
              <w:bottom w:val="nil"/>
              <w:right w:val="nil"/>
            </w:tcBorders>
            <w:shd w:val="clear" w:color="auto" w:fill="auto"/>
            <w:noWrap/>
            <w:vAlign w:val="bottom"/>
            <w:hideMark/>
          </w:tcPr>
          <w:p w14:paraId="13721B82" w14:textId="77777777" w:rsidR="00952ED6" w:rsidRPr="000D30BF" w:rsidRDefault="00952ED6" w:rsidP="0063585B">
            <w:pPr>
              <w:spacing w:after="0" w:line="240" w:lineRule="auto"/>
              <w:jc w:val="center"/>
              <w:rPr>
                <w:rFonts w:ascii="Times New Roman" w:eastAsia="Times New Roman" w:hAnsi="Times New Roman" w:cs="Times New Roman"/>
                <w:color w:val="000000"/>
                <w:sz w:val="24"/>
                <w:szCs w:val="24"/>
                <w:lang w:eastAsia="en-US"/>
              </w:rPr>
            </w:pPr>
            <w:r w:rsidRPr="005A4ED7">
              <w:rPr>
                <w:rFonts w:ascii="Times New Roman" w:eastAsia="Times New Roman" w:hAnsi="Times New Roman" w:cs="Times New Roman"/>
                <w:color w:val="000000"/>
                <w:sz w:val="24"/>
                <w:szCs w:val="24"/>
                <w:lang w:eastAsia="en-US"/>
              </w:rPr>
              <w:t>1.</w:t>
            </w:r>
            <w:r>
              <w:rPr>
                <w:rFonts w:ascii="Times New Roman" w:eastAsia="Times New Roman" w:hAnsi="Times New Roman" w:cs="Times New Roman"/>
                <w:color w:val="000000"/>
                <w:sz w:val="24"/>
                <w:szCs w:val="24"/>
                <w:lang w:eastAsia="en-US"/>
              </w:rPr>
              <w:t>50</w:t>
            </w:r>
            <w:r w:rsidRPr="005A4ED7">
              <w:rPr>
                <w:rFonts w:ascii="Times New Roman" w:eastAsia="Times New Roman" w:hAnsi="Times New Roman" w:cs="Times New Roman"/>
                <w:color w:val="000000"/>
                <w:sz w:val="24"/>
                <w:szCs w:val="24"/>
                <w:lang w:eastAsia="en-US"/>
              </w:rPr>
              <w:t xml:space="preserve"> (1.</w:t>
            </w:r>
            <w:r>
              <w:rPr>
                <w:rFonts w:ascii="Times New Roman" w:eastAsia="Times New Roman" w:hAnsi="Times New Roman" w:cs="Times New Roman"/>
                <w:color w:val="000000"/>
                <w:sz w:val="24"/>
                <w:szCs w:val="24"/>
                <w:lang w:eastAsia="en-US"/>
              </w:rPr>
              <w:t>19–</w:t>
            </w:r>
            <w:r w:rsidRPr="005A4ED7">
              <w:rPr>
                <w:rFonts w:ascii="Times New Roman" w:eastAsia="Times New Roman" w:hAnsi="Times New Roman" w:cs="Times New Roman"/>
                <w:color w:val="000000"/>
                <w:sz w:val="24"/>
                <w:szCs w:val="24"/>
                <w:lang w:eastAsia="en-US"/>
              </w:rPr>
              <w:t>1.</w:t>
            </w:r>
            <w:r>
              <w:rPr>
                <w:rFonts w:ascii="Times New Roman" w:eastAsia="Times New Roman" w:hAnsi="Times New Roman" w:cs="Times New Roman"/>
                <w:color w:val="000000"/>
                <w:sz w:val="24"/>
                <w:szCs w:val="24"/>
                <w:lang w:eastAsia="en-US"/>
              </w:rPr>
              <w:t>89</w:t>
            </w:r>
            <w:r w:rsidRPr="005A4ED7">
              <w:rPr>
                <w:rFonts w:ascii="Times New Roman" w:eastAsia="Times New Roman" w:hAnsi="Times New Roman" w:cs="Times New Roman"/>
                <w:color w:val="000000"/>
                <w:sz w:val="24"/>
                <w:szCs w:val="24"/>
                <w:lang w:eastAsia="en-US"/>
              </w:rPr>
              <w:t>)</w:t>
            </w:r>
          </w:p>
        </w:tc>
        <w:tc>
          <w:tcPr>
            <w:tcW w:w="440" w:type="pct"/>
            <w:tcBorders>
              <w:top w:val="nil"/>
              <w:left w:val="nil"/>
              <w:bottom w:val="nil"/>
              <w:right w:val="nil"/>
            </w:tcBorders>
            <w:shd w:val="clear" w:color="auto" w:fill="auto"/>
            <w:noWrap/>
            <w:vAlign w:val="bottom"/>
            <w:hideMark/>
          </w:tcPr>
          <w:p w14:paraId="1B960007" w14:textId="77777777" w:rsidR="00952ED6" w:rsidRPr="000D30BF" w:rsidRDefault="00952ED6" w:rsidP="0063585B">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0D30BF">
              <w:rPr>
                <w:rFonts w:ascii="Times New Roman" w:eastAsia="Times New Roman" w:hAnsi="Times New Roman" w:cs="Times New Roman"/>
                <w:color w:val="000000"/>
                <w:sz w:val="24"/>
                <w:szCs w:val="24"/>
                <w:lang w:eastAsia="en-US"/>
              </w:rPr>
              <w:t>.001</w:t>
            </w:r>
          </w:p>
        </w:tc>
      </w:tr>
      <w:tr w:rsidR="00952ED6" w:rsidRPr="000D30BF" w14:paraId="38265AD3" w14:textId="77777777" w:rsidTr="002E31CA">
        <w:trPr>
          <w:trHeight w:val="300"/>
        </w:trPr>
        <w:tc>
          <w:tcPr>
            <w:tcW w:w="2324" w:type="pct"/>
            <w:gridSpan w:val="3"/>
            <w:tcBorders>
              <w:top w:val="nil"/>
              <w:left w:val="nil"/>
              <w:bottom w:val="nil"/>
              <w:right w:val="nil"/>
            </w:tcBorders>
            <w:shd w:val="clear" w:color="auto" w:fill="auto"/>
            <w:noWrap/>
            <w:vAlign w:val="bottom"/>
          </w:tcPr>
          <w:p w14:paraId="62B975D0" w14:textId="77777777" w:rsidR="00952ED6" w:rsidRDefault="00952ED6" w:rsidP="00C018DE">
            <w:pPr>
              <w:spacing w:after="0" w:line="240" w:lineRule="auto"/>
              <w:rPr>
                <w:rFonts w:ascii="Times New Roman" w:hAnsi="Times New Roman" w:cs="Times New Roman"/>
                <w:sz w:val="24"/>
                <w:szCs w:val="24"/>
              </w:rPr>
            </w:pPr>
          </w:p>
        </w:tc>
        <w:tc>
          <w:tcPr>
            <w:tcW w:w="101" w:type="pct"/>
            <w:tcBorders>
              <w:top w:val="nil"/>
              <w:left w:val="nil"/>
              <w:bottom w:val="nil"/>
              <w:right w:val="nil"/>
            </w:tcBorders>
            <w:shd w:val="clear" w:color="auto" w:fill="auto"/>
            <w:noWrap/>
            <w:vAlign w:val="bottom"/>
          </w:tcPr>
          <w:p w14:paraId="7FE98666" w14:textId="77777777" w:rsidR="00952ED6" w:rsidRPr="000D30BF" w:rsidRDefault="00952ED6" w:rsidP="00D2351B">
            <w:pPr>
              <w:spacing w:after="0" w:line="240" w:lineRule="auto"/>
              <w:rPr>
                <w:rFonts w:ascii="Times New Roman" w:eastAsia="Times New Roman" w:hAnsi="Times New Roman" w:cs="Times New Roman"/>
                <w:color w:val="000000"/>
                <w:sz w:val="24"/>
                <w:szCs w:val="24"/>
                <w:lang w:eastAsia="en-US"/>
              </w:rPr>
            </w:pPr>
          </w:p>
        </w:tc>
        <w:tc>
          <w:tcPr>
            <w:tcW w:w="797" w:type="pct"/>
            <w:tcBorders>
              <w:top w:val="nil"/>
              <w:left w:val="nil"/>
              <w:bottom w:val="nil"/>
              <w:right w:val="nil"/>
            </w:tcBorders>
            <w:shd w:val="clear" w:color="auto" w:fill="auto"/>
            <w:noWrap/>
            <w:vAlign w:val="bottom"/>
          </w:tcPr>
          <w:p w14:paraId="3CD5EF17" w14:textId="77777777" w:rsidR="00952ED6" w:rsidRDefault="00952ED6" w:rsidP="003B4DAC">
            <w:pPr>
              <w:spacing w:after="0" w:line="240" w:lineRule="auto"/>
              <w:jc w:val="center"/>
              <w:rPr>
                <w:rFonts w:ascii="Times New Roman" w:eastAsia="Times New Roman" w:hAnsi="Times New Roman" w:cs="Times New Roman"/>
                <w:color w:val="000000"/>
                <w:sz w:val="24"/>
                <w:szCs w:val="24"/>
                <w:lang w:eastAsia="en-US"/>
              </w:rPr>
            </w:pPr>
          </w:p>
        </w:tc>
        <w:tc>
          <w:tcPr>
            <w:tcW w:w="440" w:type="pct"/>
            <w:tcBorders>
              <w:top w:val="nil"/>
              <w:left w:val="nil"/>
              <w:bottom w:val="nil"/>
              <w:right w:val="nil"/>
            </w:tcBorders>
            <w:shd w:val="clear" w:color="auto" w:fill="auto"/>
            <w:noWrap/>
            <w:vAlign w:val="bottom"/>
          </w:tcPr>
          <w:p w14:paraId="76421EE4" w14:textId="77777777" w:rsidR="00952ED6"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101" w:type="pct"/>
            <w:tcBorders>
              <w:top w:val="nil"/>
              <w:left w:val="nil"/>
              <w:bottom w:val="nil"/>
              <w:right w:val="nil"/>
            </w:tcBorders>
            <w:shd w:val="clear" w:color="auto" w:fill="auto"/>
            <w:noWrap/>
            <w:vAlign w:val="bottom"/>
          </w:tcPr>
          <w:p w14:paraId="61A8135A"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797" w:type="pct"/>
            <w:tcBorders>
              <w:top w:val="nil"/>
              <w:left w:val="nil"/>
              <w:bottom w:val="nil"/>
              <w:right w:val="nil"/>
            </w:tcBorders>
            <w:shd w:val="clear" w:color="auto" w:fill="auto"/>
            <w:noWrap/>
            <w:vAlign w:val="bottom"/>
          </w:tcPr>
          <w:p w14:paraId="07FB4DB9" w14:textId="77777777" w:rsidR="00952ED6" w:rsidRDefault="00952ED6" w:rsidP="003B4DAC">
            <w:pPr>
              <w:spacing w:after="0" w:line="240" w:lineRule="auto"/>
              <w:jc w:val="center"/>
              <w:rPr>
                <w:rFonts w:ascii="Times New Roman" w:eastAsia="Times New Roman" w:hAnsi="Times New Roman" w:cs="Times New Roman"/>
                <w:color w:val="000000"/>
                <w:sz w:val="24"/>
                <w:szCs w:val="24"/>
                <w:lang w:eastAsia="en-US"/>
              </w:rPr>
            </w:pPr>
          </w:p>
        </w:tc>
        <w:tc>
          <w:tcPr>
            <w:tcW w:w="440" w:type="pct"/>
            <w:tcBorders>
              <w:top w:val="nil"/>
              <w:left w:val="nil"/>
              <w:bottom w:val="nil"/>
              <w:right w:val="nil"/>
            </w:tcBorders>
            <w:shd w:val="clear" w:color="auto" w:fill="auto"/>
            <w:noWrap/>
            <w:vAlign w:val="bottom"/>
          </w:tcPr>
          <w:p w14:paraId="4EE16682"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r>
      <w:tr w:rsidR="00952ED6" w:rsidRPr="000D30BF" w14:paraId="2D0FFCA2" w14:textId="77777777" w:rsidTr="002E31CA">
        <w:trPr>
          <w:trHeight w:val="300"/>
        </w:trPr>
        <w:tc>
          <w:tcPr>
            <w:tcW w:w="2324" w:type="pct"/>
            <w:gridSpan w:val="3"/>
            <w:tcBorders>
              <w:top w:val="nil"/>
            </w:tcBorders>
            <w:shd w:val="clear" w:color="auto" w:fill="auto"/>
            <w:noWrap/>
            <w:vAlign w:val="bottom"/>
          </w:tcPr>
          <w:p w14:paraId="32772313" w14:textId="77777777" w:rsidR="00952ED6" w:rsidRPr="002874A7" w:rsidRDefault="00952ED6" w:rsidP="00C018DE">
            <w:pPr>
              <w:spacing w:after="0" w:line="240" w:lineRule="auto"/>
              <w:rPr>
                <w:rFonts w:ascii="Times New Roman" w:hAnsi="Times New Roman" w:cs="Times New Roman"/>
                <w:sz w:val="24"/>
                <w:szCs w:val="24"/>
              </w:rPr>
            </w:pPr>
            <w:r>
              <w:rPr>
                <w:rFonts w:ascii="Times New Roman" w:hAnsi="Times New Roman" w:cs="Times New Roman"/>
                <w:sz w:val="24"/>
                <w:szCs w:val="24"/>
              </w:rPr>
              <w:t>Analyses adjusted for family education (n=523 151 sibling pairs)</w:t>
            </w:r>
          </w:p>
        </w:tc>
        <w:tc>
          <w:tcPr>
            <w:tcW w:w="101" w:type="pct"/>
            <w:tcBorders>
              <w:top w:val="nil"/>
            </w:tcBorders>
            <w:shd w:val="clear" w:color="auto" w:fill="auto"/>
            <w:noWrap/>
            <w:vAlign w:val="bottom"/>
          </w:tcPr>
          <w:p w14:paraId="1F896240" w14:textId="77777777" w:rsidR="00952ED6" w:rsidRPr="000D30BF" w:rsidRDefault="00952ED6" w:rsidP="00D2351B">
            <w:pPr>
              <w:spacing w:after="0" w:line="240" w:lineRule="auto"/>
              <w:rPr>
                <w:rFonts w:ascii="Times New Roman" w:eastAsia="Times New Roman" w:hAnsi="Times New Roman" w:cs="Times New Roman"/>
                <w:color w:val="000000"/>
                <w:sz w:val="24"/>
                <w:szCs w:val="24"/>
                <w:lang w:eastAsia="en-US"/>
              </w:rPr>
            </w:pPr>
          </w:p>
        </w:tc>
        <w:tc>
          <w:tcPr>
            <w:tcW w:w="797" w:type="pct"/>
            <w:tcBorders>
              <w:top w:val="nil"/>
            </w:tcBorders>
            <w:shd w:val="clear" w:color="auto" w:fill="auto"/>
            <w:noWrap/>
            <w:vAlign w:val="bottom"/>
          </w:tcPr>
          <w:p w14:paraId="748AFCA0" w14:textId="77777777" w:rsidR="00952ED6" w:rsidRDefault="00952ED6" w:rsidP="003B4DA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1.09 (1.01–1.19)</w:t>
            </w:r>
          </w:p>
        </w:tc>
        <w:tc>
          <w:tcPr>
            <w:tcW w:w="440" w:type="pct"/>
            <w:tcBorders>
              <w:top w:val="nil"/>
            </w:tcBorders>
            <w:shd w:val="clear" w:color="auto" w:fill="auto"/>
            <w:noWrap/>
            <w:vAlign w:val="bottom"/>
          </w:tcPr>
          <w:p w14:paraId="130A7BFE" w14:textId="77777777" w:rsidR="00952ED6" w:rsidRDefault="00952ED6" w:rsidP="00D2351B">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5A4ED7">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035</w:t>
            </w:r>
          </w:p>
        </w:tc>
        <w:tc>
          <w:tcPr>
            <w:tcW w:w="101" w:type="pct"/>
            <w:tcBorders>
              <w:top w:val="nil"/>
            </w:tcBorders>
            <w:shd w:val="clear" w:color="auto" w:fill="auto"/>
            <w:noWrap/>
            <w:vAlign w:val="bottom"/>
          </w:tcPr>
          <w:p w14:paraId="1443681D"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797" w:type="pct"/>
            <w:tcBorders>
              <w:top w:val="nil"/>
            </w:tcBorders>
            <w:shd w:val="clear" w:color="auto" w:fill="auto"/>
            <w:noWrap/>
            <w:vAlign w:val="bottom"/>
          </w:tcPr>
          <w:p w14:paraId="78FDD3C8" w14:textId="77777777" w:rsidR="00952ED6" w:rsidRPr="005A4ED7" w:rsidRDefault="00952ED6" w:rsidP="003B4DA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1.30 (1.14–1.49)</w:t>
            </w:r>
          </w:p>
        </w:tc>
        <w:tc>
          <w:tcPr>
            <w:tcW w:w="440" w:type="pct"/>
            <w:tcBorders>
              <w:top w:val="nil"/>
            </w:tcBorders>
            <w:shd w:val="clear" w:color="auto" w:fill="auto"/>
            <w:noWrap/>
            <w:vAlign w:val="bottom"/>
          </w:tcPr>
          <w:p w14:paraId="3CB2A926" w14:textId="77777777" w:rsidR="00952ED6"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&lt; .001</w:t>
            </w:r>
          </w:p>
        </w:tc>
      </w:tr>
      <w:tr w:rsidR="00952ED6" w:rsidRPr="000D30BF" w14:paraId="168BD3CB" w14:textId="77777777" w:rsidTr="00904765">
        <w:trPr>
          <w:trHeight w:val="300"/>
        </w:trPr>
        <w:tc>
          <w:tcPr>
            <w:tcW w:w="2324" w:type="pct"/>
            <w:gridSpan w:val="3"/>
            <w:shd w:val="clear" w:color="auto" w:fill="auto"/>
            <w:noWrap/>
            <w:vAlign w:val="bottom"/>
          </w:tcPr>
          <w:p w14:paraId="595BA6EB" w14:textId="77777777" w:rsidR="00952ED6" w:rsidRDefault="00952ED6" w:rsidP="00A74346">
            <w:pPr>
              <w:spacing w:after="0" w:line="240" w:lineRule="auto"/>
              <w:rPr>
                <w:rFonts w:ascii="Times New Roman" w:eastAsia="Times New Roman" w:hAnsi="Times New Roman" w:cs="Times New Roman"/>
                <w:color w:val="000000"/>
                <w:sz w:val="24"/>
                <w:szCs w:val="24"/>
                <w:lang w:eastAsia="en-US"/>
              </w:rPr>
            </w:pPr>
          </w:p>
        </w:tc>
        <w:tc>
          <w:tcPr>
            <w:tcW w:w="101" w:type="pct"/>
            <w:shd w:val="clear" w:color="auto" w:fill="auto"/>
            <w:noWrap/>
            <w:vAlign w:val="bottom"/>
          </w:tcPr>
          <w:p w14:paraId="2C1F7DEF" w14:textId="77777777" w:rsidR="00952ED6" w:rsidRPr="000D30BF" w:rsidRDefault="00952ED6" w:rsidP="00D2351B">
            <w:pPr>
              <w:spacing w:after="0" w:line="240" w:lineRule="auto"/>
              <w:rPr>
                <w:rFonts w:ascii="Times New Roman" w:eastAsia="Times New Roman" w:hAnsi="Times New Roman" w:cs="Times New Roman"/>
                <w:color w:val="000000"/>
                <w:sz w:val="24"/>
                <w:szCs w:val="24"/>
                <w:lang w:eastAsia="en-US"/>
              </w:rPr>
            </w:pPr>
          </w:p>
        </w:tc>
        <w:tc>
          <w:tcPr>
            <w:tcW w:w="797" w:type="pct"/>
            <w:shd w:val="clear" w:color="auto" w:fill="auto"/>
            <w:noWrap/>
            <w:vAlign w:val="bottom"/>
          </w:tcPr>
          <w:p w14:paraId="4F2EF744"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440" w:type="pct"/>
            <w:shd w:val="clear" w:color="auto" w:fill="auto"/>
            <w:noWrap/>
            <w:vAlign w:val="bottom"/>
          </w:tcPr>
          <w:p w14:paraId="57D0C371" w14:textId="77777777" w:rsidR="00952ED6"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101" w:type="pct"/>
            <w:shd w:val="clear" w:color="auto" w:fill="auto"/>
            <w:noWrap/>
            <w:vAlign w:val="bottom"/>
          </w:tcPr>
          <w:p w14:paraId="7EE6BAC9"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797" w:type="pct"/>
            <w:shd w:val="clear" w:color="auto" w:fill="auto"/>
            <w:noWrap/>
            <w:vAlign w:val="bottom"/>
          </w:tcPr>
          <w:p w14:paraId="7498B112"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440" w:type="pct"/>
            <w:shd w:val="clear" w:color="auto" w:fill="auto"/>
            <w:noWrap/>
            <w:vAlign w:val="bottom"/>
          </w:tcPr>
          <w:p w14:paraId="20CDE9B7"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r>
      <w:tr w:rsidR="00952ED6" w:rsidRPr="000D30BF" w14:paraId="0629F65A" w14:textId="77777777" w:rsidTr="00904765">
        <w:trPr>
          <w:trHeight w:val="300"/>
        </w:trPr>
        <w:tc>
          <w:tcPr>
            <w:tcW w:w="2324" w:type="pct"/>
            <w:gridSpan w:val="3"/>
            <w:shd w:val="clear" w:color="auto" w:fill="auto"/>
            <w:noWrap/>
            <w:vAlign w:val="bottom"/>
            <w:hideMark/>
          </w:tcPr>
          <w:p w14:paraId="0D48E313" w14:textId="77777777" w:rsidR="00952ED6" w:rsidRPr="000D30BF" w:rsidRDefault="00952ED6" w:rsidP="00A74346">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Sibling </w:t>
            </w:r>
            <w:r>
              <w:rPr>
                <w:rFonts w:ascii="Times New Roman" w:hAnsi="Times New Roman" w:cs="Times New Roman"/>
                <w:sz w:val="24"/>
                <w:szCs w:val="24"/>
              </w:rPr>
              <w:t xml:space="preserve">pairs with age </w:t>
            </w:r>
            <w:r w:rsidRPr="005F5948">
              <w:rPr>
                <w:rFonts w:ascii="Times New Roman" w:hAnsi="Times New Roman" w:cs="Times New Roman"/>
                <w:sz w:val="24"/>
                <w:szCs w:val="24"/>
              </w:rPr>
              <w:t xml:space="preserve">difference </w:t>
            </w:r>
            <w:r w:rsidRPr="005F5948">
              <w:rPr>
                <w:rFonts w:ascii="Times New Roman" w:eastAsia="Times New Roman" w:hAnsi="Times New Roman" w:cs="Times New Roman"/>
                <w:color w:val="000000"/>
                <w:sz w:val="24"/>
                <w:szCs w:val="24"/>
                <w:lang w:eastAsia="en-US"/>
              </w:rPr>
              <w:t xml:space="preserve">≤ </w:t>
            </w:r>
            <w:r w:rsidRPr="005F5948">
              <w:rPr>
                <w:rFonts w:ascii="Times New Roman" w:hAnsi="Times New Roman" w:cs="Times New Roman"/>
                <w:sz w:val="24"/>
                <w:szCs w:val="24"/>
              </w:rPr>
              <w:t>5 years</w:t>
            </w:r>
            <w:r w:rsidRPr="005F5948">
              <w:rPr>
                <w:rFonts w:ascii="Times New Roman" w:eastAsia="Times New Roman" w:hAnsi="Times New Roman" w:cs="Times New Roman"/>
                <w:color w:val="000000"/>
                <w:sz w:val="24"/>
                <w:szCs w:val="24"/>
                <w:lang w:eastAsia="en-US"/>
              </w:rPr>
              <w:t xml:space="preserve"> (n</w:t>
            </w:r>
            <w:r>
              <w:rPr>
                <w:rFonts w:ascii="Times New Roman" w:eastAsia="Times New Roman" w:hAnsi="Times New Roman" w:cs="Times New Roman"/>
                <w:color w:val="000000"/>
                <w:sz w:val="24"/>
                <w:szCs w:val="24"/>
                <w:lang w:eastAsia="en-US"/>
              </w:rPr>
              <w:t>=376 421 sibling pairs</w:t>
            </w:r>
            <w:r w:rsidRPr="000D30BF">
              <w:rPr>
                <w:rFonts w:ascii="Times New Roman" w:eastAsia="Times New Roman" w:hAnsi="Times New Roman" w:cs="Times New Roman"/>
                <w:color w:val="000000"/>
                <w:sz w:val="24"/>
                <w:szCs w:val="24"/>
                <w:lang w:eastAsia="en-US"/>
              </w:rPr>
              <w:t>)</w:t>
            </w:r>
          </w:p>
        </w:tc>
        <w:tc>
          <w:tcPr>
            <w:tcW w:w="101" w:type="pct"/>
            <w:shd w:val="clear" w:color="auto" w:fill="auto"/>
            <w:noWrap/>
            <w:vAlign w:val="bottom"/>
            <w:hideMark/>
          </w:tcPr>
          <w:p w14:paraId="403BF897" w14:textId="77777777" w:rsidR="00952ED6" w:rsidRPr="000D30BF" w:rsidRDefault="00952ED6" w:rsidP="00D2351B">
            <w:pPr>
              <w:spacing w:after="0" w:line="240" w:lineRule="auto"/>
              <w:rPr>
                <w:rFonts w:ascii="Times New Roman" w:eastAsia="Times New Roman" w:hAnsi="Times New Roman" w:cs="Times New Roman"/>
                <w:color w:val="000000"/>
                <w:sz w:val="24"/>
                <w:szCs w:val="24"/>
                <w:lang w:eastAsia="en-US"/>
              </w:rPr>
            </w:pPr>
          </w:p>
        </w:tc>
        <w:tc>
          <w:tcPr>
            <w:tcW w:w="797" w:type="pct"/>
            <w:shd w:val="clear" w:color="auto" w:fill="auto"/>
            <w:noWrap/>
            <w:vAlign w:val="bottom"/>
            <w:hideMark/>
          </w:tcPr>
          <w:p w14:paraId="57BC8488"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w:t>
            </w:r>
            <w:r>
              <w:rPr>
                <w:rFonts w:ascii="Times New Roman" w:eastAsia="Times New Roman" w:hAnsi="Times New Roman" w:cs="Times New Roman"/>
                <w:color w:val="000000"/>
                <w:sz w:val="24"/>
                <w:szCs w:val="24"/>
                <w:lang w:eastAsia="en-US"/>
              </w:rPr>
              <w:t>11</w:t>
            </w:r>
            <w:r w:rsidRPr="000D30BF">
              <w:rPr>
                <w:rFonts w:ascii="Times New Roman" w:eastAsia="Times New Roman" w:hAnsi="Times New Roman" w:cs="Times New Roman"/>
                <w:color w:val="000000"/>
                <w:sz w:val="24"/>
                <w:szCs w:val="24"/>
                <w:lang w:eastAsia="en-US"/>
              </w:rPr>
              <w:t>(1.00–1.</w:t>
            </w:r>
            <w:r>
              <w:rPr>
                <w:rFonts w:ascii="Times New Roman" w:eastAsia="Times New Roman" w:hAnsi="Times New Roman" w:cs="Times New Roman"/>
                <w:color w:val="000000"/>
                <w:sz w:val="24"/>
                <w:szCs w:val="24"/>
                <w:lang w:eastAsia="en-US"/>
              </w:rPr>
              <w:t>22</w:t>
            </w:r>
            <w:r w:rsidRPr="000D30BF">
              <w:rPr>
                <w:rFonts w:ascii="Times New Roman" w:eastAsia="Times New Roman" w:hAnsi="Times New Roman" w:cs="Times New Roman"/>
                <w:color w:val="000000"/>
                <w:sz w:val="24"/>
                <w:szCs w:val="24"/>
                <w:lang w:eastAsia="en-US"/>
              </w:rPr>
              <w:t>)</w:t>
            </w:r>
          </w:p>
        </w:tc>
        <w:tc>
          <w:tcPr>
            <w:tcW w:w="440" w:type="pct"/>
            <w:shd w:val="clear" w:color="auto" w:fill="auto"/>
            <w:noWrap/>
            <w:vAlign w:val="bottom"/>
            <w:hideMark/>
          </w:tcPr>
          <w:p w14:paraId="763540C7"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0D30BF">
              <w:rPr>
                <w:rFonts w:ascii="Times New Roman" w:eastAsia="Times New Roman" w:hAnsi="Times New Roman" w:cs="Times New Roman"/>
                <w:color w:val="000000"/>
                <w:sz w:val="24"/>
                <w:szCs w:val="24"/>
                <w:lang w:eastAsia="en-US"/>
              </w:rPr>
              <w:t>.04</w:t>
            </w:r>
            <w:r>
              <w:rPr>
                <w:rFonts w:ascii="Times New Roman" w:eastAsia="Times New Roman" w:hAnsi="Times New Roman" w:cs="Times New Roman"/>
                <w:color w:val="000000"/>
                <w:sz w:val="24"/>
                <w:szCs w:val="24"/>
                <w:lang w:eastAsia="en-US"/>
              </w:rPr>
              <w:t>4</w:t>
            </w:r>
          </w:p>
        </w:tc>
        <w:tc>
          <w:tcPr>
            <w:tcW w:w="101" w:type="pct"/>
            <w:shd w:val="clear" w:color="auto" w:fill="auto"/>
            <w:noWrap/>
            <w:vAlign w:val="bottom"/>
            <w:hideMark/>
          </w:tcPr>
          <w:p w14:paraId="7402F74B"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797" w:type="pct"/>
            <w:shd w:val="clear" w:color="auto" w:fill="auto"/>
            <w:noWrap/>
            <w:vAlign w:val="bottom"/>
            <w:hideMark/>
          </w:tcPr>
          <w:p w14:paraId="30D5F2C1"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w:t>
            </w:r>
            <w:r>
              <w:rPr>
                <w:rFonts w:ascii="Times New Roman" w:eastAsia="Times New Roman" w:hAnsi="Times New Roman" w:cs="Times New Roman"/>
                <w:color w:val="000000"/>
                <w:sz w:val="24"/>
                <w:szCs w:val="24"/>
                <w:lang w:eastAsia="en-US"/>
              </w:rPr>
              <w:t>33</w:t>
            </w:r>
            <w:r w:rsidRPr="000D30BF">
              <w:rPr>
                <w:rFonts w:ascii="Times New Roman" w:eastAsia="Times New Roman" w:hAnsi="Times New Roman" w:cs="Times New Roman"/>
                <w:color w:val="000000"/>
                <w:sz w:val="24"/>
                <w:szCs w:val="24"/>
                <w:lang w:eastAsia="en-US"/>
              </w:rPr>
              <w:t xml:space="preserve"> (1.1</w:t>
            </w:r>
            <w:r>
              <w:rPr>
                <w:rFonts w:ascii="Times New Roman" w:eastAsia="Times New Roman" w:hAnsi="Times New Roman" w:cs="Times New Roman"/>
                <w:color w:val="000000"/>
                <w:sz w:val="24"/>
                <w:szCs w:val="24"/>
                <w:lang w:eastAsia="en-US"/>
              </w:rPr>
              <w:t>4</w:t>
            </w:r>
            <w:r w:rsidRPr="000D30BF">
              <w:rPr>
                <w:rFonts w:ascii="Times New Roman" w:eastAsia="Times New Roman" w:hAnsi="Times New Roman" w:cs="Times New Roman"/>
                <w:color w:val="000000"/>
                <w:sz w:val="24"/>
                <w:szCs w:val="24"/>
                <w:lang w:eastAsia="en-US"/>
              </w:rPr>
              <w:t>–1.</w:t>
            </w:r>
            <w:r>
              <w:rPr>
                <w:rFonts w:ascii="Times New Roman" w:eastAsia="Times New Roman" w:hAnsi="Times New Roman" w:cs="Times New Roman"/>
                <w:color w:val="000000"/>
                <w:sz w:val="24"/>
                <w:szCs w:val="24"/>
                <w:lang w:eastAsia="en-US"/>
              </w:rPr>
              <w:t>56</w:t>
            </w:r>
            <w:r w:rsidRPr="000D30BF">
              <w:rPr>
                <w:rFonts w:ascii="Times New Roman" w:eastAsia="Times New Roman" w:hAnsi="Times New Roman" w:cs="Times New Roman"/>
                <w:color w:val="000000"/>
                <w:sz w:val="24"/>
                <w:szCs w:val="24"/>
                <w:lang w:eastAsia="en-US"/>
              </w:rPr>
              <w:t>)</w:t>
            </w:r>
          </w:p>
        </w:tc>
        <w:tc>
          <w:tcPr>
            <w:tcW w:w="440" w:type="pct"/>
            <w:shd w:val="clear" w:color="auto" w:fill="auto"/>
            <w:noWrap/>
            <w:vAlign w:val="bottom"/>
            <w:hideMark/>
          </w:tcPr>
          <w:p w14:paraId="1ACEAF5B"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&lt; .001</w:t>
            </w:r>
          </w:p>
        </w:tc>
      </w:tr>
      <w:tr w:rsidR="00952ED6" w:rsidRPr="000D30BF" w14:paraId="3920BB04" w14:textId="77777777" w:rsidTr="00904765">
        <w:trPr>
          <w:trHeight w:val="300"/>
        </w:trPr>
        <w:tc>
          <w:tcPr>
            <w:tcW w:w="2324" w:type="pct"/>
            <w:gridSpan w:val="3"/>
            <w:shd w:val="clear" w:color="auto" w:fill="auto"/>
            <w:noWrap/>
            <w:vAlign w:val="bottom"/>
          </w:tcPr>
          <w:p w14:paraId="12DC8854" w14:textId="77777777" w:rsidR="00952ED6" w:rsidRDefault="00952ED6" w:rsidP="005F5948">
            <w:pPr>
              <w:spacing w:after="0" w:line="240" w:lineRule="auto"/>
              <w:rPr>
                <w:rFonts w:ascii="Times New Roman" w:eastAsia="Times New Roman" w:hAnsi="Times New Roman" w:cs="Times New Roman"/>
                <w:color w:val="000000"/>
                <w:sz w:val="24"/>
                <w:szCs w:val="24"/>
                <w:lang w:eastAsia="en-US"/>
              </w:rPr>
            </w:pPr>
          </w:p>
        </w:tc>
        <w:tc>
          <w:tcPr>
            <w:tcW w:w="101" w:type="pct"/>
            <w:shd w:val="clear" w:color="auto" w:fill="auto"/>
            <w:noWrap/>
            <w:vAlign w:val="bottom"/>
          </w:tcPr>
          <w:p w14:paraId="3166C9BF" w14:textId="77777777" w:rsidR="00952ED6" w:rsidRPr="000D30BF" w:rsidRDefault="00952ED6" w:rsidP="00D2351B">
            <w:pPr>
              <w:spacing w:after="0" w:line="240" w:lineRule="auto"/>
              <w:rPr>
                <w:rFonts w:ascii="Times New Roman" w:eastAsia="Times New Roman" w:hAnsi="Times New Roman" w:cs="Times New Roman"/>
                <w:color w:val="000000"/>
                <w:sz w:val="24"/>
                <w:szCs w:val="24"/>
                <w:lang w:eastAsia="en-US"/>
              </w:rPr>
            </w:pPr>
          </w:p>
        </w:tc>
        <w:tc>
          <w:tcPr>
            <w:tcW w:w="797" w:type="pct"/>
            <w:shd w:val="clear" w:color="auto" w:fill="auto"/>
            <w:noWrap/>
            <w:vAlign w:val="bottom"/>
          </w:tcPr>
          <w:p w14:paraId="4F5665F3"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440" w:type="pct"/>
            <w:shd w:val="clear" w:color="auto" w:fill="auto"/>
            <w:noWrap/>
            <w:vAlign w:val="bottom"/>
          </w:tcPr>
          <w:p w14:paraId="4091F2A5" w14:textId="77777777" w:rsidR="00952ED6"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101" w:type="pct"/>
            <w:shd w:val="clear" w:color="auto" w:fill="auto"/>
            <w:noWrap/>
            <w:vAlign w:val="bottom"/>
          </w:tcPr>
          <w:p w14:paraId="3A1675D7"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797" w:type="pct"/>
            <w:shd w:val="clear" w:color="auto" w:fill="auto"/>
            <w:noWrap/>
            <w:vAlign w:val="bottom"/>
          </w:tcPr>
          <w:p w14:paraId="0AB3810A"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c>
          <w:tcPr>
            <w:tcW w:w="440" w:type="pct"/>
            <w:shd w:val="clear" w:color="auto" w:fill="auto"/>
            <w:noWrap/>
            <w:vAlign w:val="bottom"/>
          </w:tcPr>
          <w:p w14:paraId="236A1E7F"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p>
        </w:tc>
      </w:tr>
      <w:tr w:rsidR="00952ED6" w:rsidRPr="000D30BF" w14:paraId="602704FE" w14:textId="77777777" w:rsidTr="00904765">
        <w:trPr>
          <w:trHeight w:val="300"/>
        </w:trPr>
        <w:tc>
          <w:tcPr>
            <w:tcW w:w="2324" w:type="pct"/>
            <w:gridSpan w:val="3"/>
            <w:shd w:val="clear" w:color="auto" w:fill="auto"/>
            <w:noWrap/>
            <w:vAlign w:val="bottom"/>
            <w:hideMark/>
          </w:tcPr>
          <w:p w14:paraId="37B349DE" w14:textId="77777777" w:rsidR="00952ED6" w:rsidRPr="000D30BF" w:rsidRDefault="00952ED6" w:rsidP="005F5948">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Index males born before 1989 (n=472 993 sibling pairs</w:t>
            </w:r>
            <w:r w:rsidRPr="000D30BF">
              <w:rPr>
                <w:rFonts w:ascii="Times New Roman" w:eastAsia="Times New Roman" w:hAnsi="Times New Roman" w:cs="Times New Roman"/>
                <w:color w:val="000000"/>
                <w:sz w:val="24"/>
                <w:szCs w:val="24"/>
                <w:lang w:eastAsia="en-US"/>
              </w:rPr>
              <w:t>)</w:t>
            </w:r>
          </w:p>
        </w:tc>
        <w:tc>
          <w:tcPr>
            <w:tcW w:w="101" w:type="pct"/>
            <w:shd w:val="clear" w:color="auto" w:fill="auto"/>
            <w:noWrap/>
            <w:vAlign w:val="bottom"/>
            <w:hideMark/>
          </w:tcPr>
          <w:p w14:paraId="74259313" w14:textId="77777777" w:rsidR="00952ED6" w:rsidRPr="000D30BF" w:rsidRDefault="00952ED6" w:rsidP="00D2351B">
            <w:pPr>
              <w:spacing w:after="0" w:line="240" w:lineRule="auto"/>
              <w:rPr>
                <w:rFonts w:ascii="Times New Roman" w:eastAsia="Times New Roman" w:hAnsi="Times New Roman" w:cs="Times New Roman"/>
                <w:color w:val="000000"/>
                <w:sz w:val="24"/>
                <w:szCs w:val="24"/>
                <w:lang w:eastAsia="en-US"/>
              </w:rPr>
            </w:pPr>
          </w:p>
        </w:tc>
        <w:tc>
          <w:tcPr>
            <w:tcW w:w="797" w:type="pct"/>
            <w:shd w:val="clear" w:color="auto" w:fill="auto"/>
            <w:noWrap/>
            <w:vAlign w:val="bottom"/>
            <w:hideMark/>
          </w:tcPr>
          <w:p w14:paraId="60884067"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w:t>
            </w:r>
            <w:r>
              <w:rPr>
                <w:rFonts w:ascii="Times New Roman" w:eastAsia="Times New Roman" w:hAnsi="Times New Roman" w:cs="Times New Roman"/>
                <w:color w:val="000000"/>
                <w:sz w:val="24"/>
                <w:szCs w:val="24"/>
                <w:lang w:eastAsia="en-US"/>
              </w:rPr>
              <w:t>13</w:t>
            </w:r>
            <w:r w:rsidRPr="000D30BF">
              <w:rPr>
                <w:rFonts w:ascii="Times New Roman" w:eastAsia="Times New Roman" w:hAnsi="Times New Roman" w:cs="Times New Roman"/>
                <w:color w:val="000000"/>
                <w:sz w:val="24"/>
                <w:szCs w:val="24"/>
                <w:lang w:eastAsia="en-US"/>
              </w:rPr>
              <w:t xml:space="preserve"> (1.</w:t>
            </w:r>
            <w:r>
              <w:rPr>
                <w:rFonts w:ascii="Times New Roman" w:eastAsia="Times New Roman" w:hAnsi="Times New Roman" w:cs="Times New Roman"/>
                <w:color w:val="000000"/>
                <w:sz w:val="24"/>
                <w:szCs w:val="24"/>
                <w:lang w:eastAsia="en-US"/>
              </w:rPr>
              <w:t>0</w:t>
            </w:r>
            <w:r w:rsidRPr="000D30BF">
              <w:rPr>
                <w:rFonts w:ascii="Times New Roman" w:eastAsia="Times New Roman" w:hAnsi="Times New Roman" w:cs="Times New Roman"/>
                <w:color w:val="000000"/>
                <w:sz w:val="24"/>
                <w:szCs w:val="24"/>
                <w:lang w:eastAsia="en-US"/>
              </w:rPr>
              <w:t>3–1.</w:t>
            </w:r>
            <w:r>
              <w:rPr>
                <w:rFonts w:ascii="Times New Roman" w:eastAsia="Times New Roman" w:hAnsi="Times New Roman" w:cs="Times New Roman"/>
                <w:color w:val="000000"/>
                <w:sz w:val="24"/>
                <w:szCs w:val="24"/>
                <w:lang w:eastAsia="en-US"/>
              </w:rPr>
              <w:t>24</w:t>
            </w:r>
            <w:r w:rsidRPr="000D30BF">
              <w:rPr>
                <w:rFonts w:ascii="Times New Roman" w:eastAsia="Times New Roman" w:hAnsi="Times New Roman" w:cs="Times New Roman"/>
                <w:color w:val="000000"/>
                <w:sz w:val="24"/>
                <w:szCs w:val="24"/>
                <w:lang w:eastAsia="en-US"/>
              </w:rPr>
              <w:t>)</w:t>
            </w:r>
          </w:p>
        </w:tc>
        <w:tc>
          <w:tcPr>
            <w:tcW w:w="440" w:type="pct"/>
            <w:shd w:val="clear" w:color="auto" w:fill="auto"/>
            <w:noWrap/>
            <w:vAlign w:val="bottom"/>
            <w:hideMark/>
          </w:tcPr>
          <w:p w14:paraId="661B9D09"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0D30BF">
              <w:rPr>
                <w:rFonts w:ascii="Times New Roman" w:eastAsia="Times New Roman" w:hAnsi="Times New Roman" w:cs="Times New Roman"/>
                <w:color w:val="000000"/>
                <w:sz w:val="24"/>
                <w:szCs w:val="24"/>
                <w:lang w:eastAsia="en-US"/>
              </w:rPr>
              <w:t>.00</w:t>
            </w:r>
            <w:r>
              <w:rPr>
                <w:rFonts w:ascii="Times New Roman" w:eastAsia="Times New Roman" w:hAnsi="Times New Roman" w:cs="Times New Roman"/>
                <w:color w:val="000000"/>
                <w:sz w:val="24"/>
                <w:szCs w:val="24"/>
                <w:lang w:eastAsia="en-US"/>
              </w:rPr>
              <w:t>8</w:t>
            </w:r>
          </w:p>
        </w:tc>
        <w:tc>
          <w:tcPr>
            <w:tcW w:w="101" w:type="pct"/>
            <w:shd w:val="clear" w:color="auto" w:fill="auto"/>
            <w:noWrap/>
            <w:vAlign w:val="bottom"/>
            <w:hideMark/>
          </w:tcPr>
          <w:p w14:paraId="4C645882"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 </w:t>
            </w:r>
          </w:p>
        </w:tc>
        <w:tc>
          <w:tcPr>
            <w:tcW w:w="797" w:type="pct"/>
            <w:shd w:val="clear" w:color="auto" w:fill="auto"/>
            <w:noWrap/>
            <w:vAlign w:val="bottom"/>
            <w:hideMark/>
          </w:tcPr>
          <w:p w14:paraId="40A43ED4"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1.</w:t>
            </w:r>
            <w:r>
              <w:rPr>
                <w:rFonts w:ascii="Times New Roman" w:eastAsia="Times New Roman" w:hAnsi="Times New Roman" w:cs="Times New Roman"/>
                <w:color w:val="000000"/>
                <w:sz w:val="24"/>
                <w:szCs w:val="24"/>
                <w:lang w:eastAsia="en-US"/>
              </w:rPr>
              <w:t>42</w:t>
            </w:r>
            <w:r w:rsidRPr="000D30BF">
              <w:rPr>
                <w:rFonts w:ascii="Times New Roman" w:eastAsia="Times New Roman" w:hAnsi="Times New Roman" w:cs="Times New Roman"/>
                <w:color w:val="000000"/>
                <w:sz w:val="24"/>
                <w:szCs w:val="24"/>
                <w:lang w:eastAsia="en-US"/>
              </w:rPr>
              <w:t xml:space="preserve"> (1.2</w:t>
            </w:r>
            <w:r>
              <w:rPr>
                <w:rFonts w:ascii="Times New Roman" w:eastAsia="Times New Roman" w:hAnsi="Times New Roman" w:cs="Times New Roman"/>
                <w:color w:val="000000"/>
                <w:sz w:val="24"/>
                <w:szCs w:val="24"/>
                <w:lang w:eastAsia="en-US"/>
              </w:rPr>
              <w:t>3</w:t>
            </w:r>
            <w:r w:rsidRPr="000D30BF">
              <w:rPr>
                <w:rFonts w:ascii="Times New Roman" w:eastAsia="Times New Roman" w:hAnsi="Times New Roman" w:cs="Times New Roman"/>
                <w:color w:val="000000"/>
                <w:sz w:val="24"/>
                <w:szCs w:val="24"/>
                <w:lang w:eastAsia="en-US"/>
              </w:rPr>
              <w:t>–1.</w:t>
            </w:r>
            <w:r>
              <w:rPr>
                <w:rFonts w:ascii="Times New Roman" w:eastAsia="Times New Roman" w:hAnsi="Times New Roman" w:cs="Times New Roman"/>
                <w:color w:val="000000"/>
                <w:sz w:val="24"/>
                <w:szCs w:val="24"/>
                <w:lang w:eastAsia="en-US"/>
              </w:rPr>
              <w:t>64</w:t>
            </w:r>
            <w:r w:rsidRPr="000D30BF">
              <w:rPr>
                <w:rFonts w:ascii="Times New Roman" w:eastAsia="Times New Roman" w:hAnsi="Times New Roman" w:cs="Times New Roman"/>
                <w:color w:val="000000"/>
                <w:sz w:val="24"/>
                <w:szCs w:val="24"/>
                <w:lang w:eastAsia="en-US"/>
              </w:rPr>
              <w:t>)</w:t>
            </w:r>
          </w:p>
        </w:tc>
        <w:tc>
          <w:tcPr>
            <w:tcW w:w="440" w:type="pct"/>
            <w:shd w:val="clear" w:color="auto" w:fill="auto"/>
            <w:noWrap/>
            <w:vAlign w:val="bottom"/>
            <w:hideMark/>
          </w:tcPr>
          <w:p w14:paraId="780B2F6B" w14:textId="77777777" w:rsidR="00952ED6" w:rsidRPr="000D30BF" w:rsidRDefault="00952ED6" w:rsidP="00D2351B">
            <w:pPr>
              <w:spacing w:after="0" w:line="240" w:lineRule="auto"/>
              <w:jc w:val="center"/>
              <w:rPr>
                <w:rFonts w:ascii="Times New Roman" w:eastAsia="Times New Roman" w:hAnsi="Times New Roman" w:cs="Times New Roman"/>
                <w:color w:val="000000"/>
                <w:sz w:val="24"/>
                <w:szCs w:val="24"/>
                <w:lang w:eastAsia="en-US"/>
              </w:rPr>
            </w:pPr>
            <w:r w:rsidRPr="000D30BF">
              <w:rPr>
                <w:rFonts w:ascii="Times New Roman" w:eastAsia="Times New Roman" w:hAnsi="Times New Roman" w:cs="Times New Roman"/>
                <w:color w:val="000000"/>
                <w:sz w:val="24"/>
                <w:szCs w:val="24"/>
                <w:lang w:eastAsia="en-US"/>
              </w:rPr>
              <w:t>&lt; .001</w:t>
            </w:r>
          </w:p>
        </w:tc>
      </w:tr>
    </w:tbl>
    <w:p w14:paraId="53F77E7B" w14:textId="77777777" w:rsidR="00952ED6" w:rsidRPr="00CC79D4" w:rsidRDefault="00952ED6" w:rsidP="00CC79D4">
      <w:pPr>
        <w:autoSpaceDE w:val="0"/>
        <w:autoSpaceDN w:val="0"/>
        <w:adjustRightInd w:val="0"/>
        <w:spacing w:after="100" w:afterAutospacing="1" w:line="240" w:lineRule="auto"/>
        <w:rPr>
          <w:rFonts w:ascii="Times New Roman" w:hAnsi="Times New Roman" w:cs="Times New Roman"/>
          <w:sz w:val="24"/>
          <w:szCs w:val="24"/>
          <w:vertAlign w:val="subscript"/>
        </w:rPr>
      </w:pPr>
      <w:r w:rsidRPr="00801A4E">
        <w:rPr>
          <w:rFonts w:ascii="Times New Roman" w:hAnsi="Times New Roman" w:cs="Times New Roman"/>
          <w:sz w:val="24"/>
          <w:szCs w:val="24"/>
          <w:vertAlign w:val="subscript"/>
        </w:rPr>
        <w:t>ORs were</w:t>
      </w:r>
      <w:r>
        <w:rPr>
          <w:rFonts w:ascii="Times New Roman" w:hAnsi="Times New Roman" w:cs="Times New Roman"/>
          <w:sz w:val="24"/>
          <w:szCs w:val="24"/>
          <w:vertAlign w:val="subscript"/>
        </w:rPr>
        <w:t xml:space="preserve"> also</w:t>
      </w:r>
      <w:r w:rsidRPr="00801A4E">
        <w:rPr>
          <w:rFonts w:ascii="Times New Roman" w:hAnsi="Times New Roman" w:cs="Times New Roman"/>
          <w:sz w:val="24"/>
          <w:szCs w:val="24"/>
          <w:vertAlign w:val="subscript"/>
        </w:rPr>
        <w:t xml:space="preserve"> adjusted for birth year and ADHD status of the index male</w:t>
      </w:r>
      <w:r>
        <w:rPr>
          <w:rFonts w:ascii="Times New Roman" w:hAnsi="Times New Roman" w:cs="Times New Roman"/>
          <w:sz w:val="24"/>
          <w:szCs w:val="24"/>
          <w:vertAlign w:val="subscript"/>
        </w:rPr>
        <w:t xml:space="preserve"> as well as sex of the relative; </w:t>
      </w:r>
      <w:r w:rsidRPr="00801A4E">
        <w:rPr>
          <w:rFonts w:ascii="Times New Roman" w:hAnsi="Times New Roman" w:cs="Times New Roman"/>
          <w:sz w:val="24"/>
          <w:szCs w:val="24"/>
          <w:vertAlign w:val="subscript"/>
        </w:rPr>
        <w:t xml:space="preserve">Overweight and obesity were compared with normal weight; Elementary </w:t>
      </w:r>
      <w:r>
        <w:rPr>
          <w:rFonts w:ascii="Times New Roman" w:hAnsi="Times New Roman" w:cs="Times New Roman"/>
          <w:sz w:val="24"/>
          <w:szCs w:val="24"/>
          <w:vertAlign w:val="subscript"/>
        </w:rPr>
        <w:t>&amp;</w:t>
      </w:r>
      <w:r w:rsidRPr="00801A4E">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u</w:t>
      </w:r>
      <w:r w:rsidRPr="00801A4E">
        <w:rPr>
          <w:rFonts w:ascii="Times New Roman" w:hAnsi="Times New Roman" w:cs="Times New Roman"/>
          <w:sz w:val="24"/>
          <w:szCs w:val="24"/>
          <w:vertAlign w:val="subscript"/>
        </w:rPr>
        <w:t>pper secondary education</w:t>
      </w:r>
      <w:r>
        <w:rPr>
          <w:rFonts w:ascii="Times New Roman" w:hAnsi="Times New Roman" w:cs="Times New Roman"/>
          <w:sz w:val="24"/>
          <w:szCs w:val="24"/>
          <w:vertAlign w:val="subscript"/>
        </w:rPr>
        <w:t>:</w:t>
      </w:r>
      <w:r w:rsidRPr="00801A4E">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education ≤ </w:t>
      </w:r>
      <w:r w:rsidRPr="00801A4E">
        <w:rPr>
          <w:rFonts w:ascii="Times New Roman" w:hAnsi="Times New Roman" w:cs="Times New Roman"/>
          <w:sz w:val="24"/>
          <w:szCs w:val="24"/>
          <w:vertAlign w:val="subscript"/>
        </w:rPr>
        <w:t>12 years; Higher education:</w:t>
      </w:r>
      <w:r>
        <w:rPr>
          <w:rFonts w:ascii="Times New Roman" w:hAnsi="Times New Roman" w:cs="Times New Roman"/>
          <w:sz w:val="24"/>
          <w:szCs w:val="24"/>
          <w:vertAlign w:val="subscript"/>
        </w:rPr>
        <w:t xml:space="preserve"> education </w:t>
      </w:r>
      <w:r w:rsidRPr="00801A4E">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sidRPr="00801A4E">
        <w:rPr>
          <w:rFonts w:ascii="Times New Roman" w:hAnsi="Times New Roman" w:cs="Times New Roman"/>
          <w:sz w:val="24"/>
          <w:szCs w:val="24"/>
          <w:vertAlign w:val="subscript"/>
        </w:rPr>
        <w:t>13 years.</w:t>
      </w:r>
    </w:p>
    <w:p w14:paraId="58BC1856" w14:textId="77777777" w:rsidR="00C44A85" w:rsidRDefault="00C44A85"/>
    <w:sectPr w:rsidR="00C44A85" w:rsidSect="000D30B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80BF5" w14:textId="77777777" w:rsidR="00F064E2" w:rsidRDefault="009A3718">
      <w:pPr>
        <w:spacing w:after="0" w:line="240" w:lineRule="auto"/>
      </w:pPr>
      <w:r>
        <w:separator/>
      </w:r>
    </w:p>
  </w:endnote>
  <w:endnote w:type="continuationSeparator" w:id="0">
    <w:p w14:paraId="286B091C" w14:textId="77777777" w:rsidR="00F064E2" w:rsidRDefault="009A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458655"/>
      <w:docPartObj>
        <w:docPartGallery w:val="Page Numbers (Bottom of Page)"/>
        <w:docPartUnique/>
      </w:docPartObj>
    </w:sdtPr>
    <w:sdtEndPr/>
    <w:sdtContent>
      <w:p w14:paraId="6B912CFE" w14:textId="77777777" w:rsidR="0035172D" w:rsidRDefault="00952ED6">
        <w:pPr>
          <w:pStyle w:val="Footer"/>
          <w:jc w:val="center"/>
        </w:pPr>
        <w:r>
          <w:fldChar w:fldCharType="begin"/>
        </w:r>
        <w:r>
          <w:instrText>PAGE   \* MERGEFORMAT</w:instrText>
        </w:r>
        <w:r>
          <w:fldChar w:fldCharType="separate"/>
        </w:r>
        <w:r w:rsidR="00C76245">
          <w:rPr>
            <w:noProof/>
          </w:rPr>
          <w:t>1</w:t>
        </w:r>
        <w:r>
          <w:fldChar w:fldCharType="end"/>
        </w:r>
      </w:p>
    </w:sdtContent>
  </w:sdt>
  <w:p w14:paraId="3B77ED4E" w14:textId="77777777" w:rsidR="0035172D" w:rsidRDefault="00C76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E8B69" w14:textId="77777777" w:rsidR="00F064E2" w:rsidRDefault="009A3718">
      <w:pPr>
        <w:spacing w:after="0" w:line="240" w:lineRule="auto"/>
      </w:pPr>
      <w:r>
        <w:separator/>
      </w:r>
    </w:p>
  </w:footnote>
  <w:footnote w:type="continuationSeparator" w:id="0">
    <w:p w14:paraId="6DB13EC7" w14:textId="77777777" w:rsidR="00F064E2" w:rsidRDefault="009A3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CF7561"/>
    <w:multiLevelType w:val="hybridMultilevel"/>
    <w:tmpl w:val="DB8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52ED6"/>
    <w:rsid w:val="009153E1"/>
    <w:rsid w:val="00952ED6"/>
    <w:rsid w:val="009A3718"/>
    <w:rsid w:val="00C44A85"/>
    <w:rsid w:val="00C76245"/>
    <w:rsid w:val="00F064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A0200"/>
  <w14:defaultImageDpi w14:val="300"/>
  <w15:docId w15:val="{A642E051-862D-453D-8E68-F1FCBF25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ED6"/>
    <w:pPr>
      <w:spacing w:after="200" w:line="276" w:lineRule="auto"/>
    </w:pPr>
    <w:rPr>
      <w:sz w:val="22"/>
      <w:szCs w:val="22"/>
      <w:lang w:eastAsia="zh-CN"/>
    </w:rPr>
  </w:style>
  <w:style w:type="paragraph" w:styleId="Heading3">
    <w:name w:val="heading 3"/>
    <w:basedOn w:val="Normal"/>
    <w:link w:val="Heading3Char"/>
    <w:uiPriority w:val="9"/>
    <w:qFormat/>
    <w:rsid w:val="00952E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2E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2ED6"/>
    <w:rPr>
      <w:rFonts w:ascii="Times New Roman" w:eastAsia="Times New Roman" w:hAnsi="Times New Roman" w:cs="Times New Roman"/>
      <w:b/>
      <w:bCs/>
      <w:sz w:val="27"/>
      <w:szCs w:val="27"/>
      <w:lang w:eastAsia="zh-CN"/>
    </w:rPr>
  </w:style>
  <w:style w:type="character" w:customStyle="1" w:styleId="Heading4Char">
    <w:name w:val="Heading 4 Char"/>
    <w:basedOn w:val="DefaultParagraphFont"/>
    <w:link w:val="Heading4"/>
    <w:uiPriority w:val="9"/>
    <w:rsid w:val="00952ED6"/>
    <w:rPr>
      <w:rFonts w:ascii="Times New Roman" w:eastAsia="Times New Roman" w:hAnsi="Times New Roman" w:cs="Times New Roman"/>
      <w:b/>
      <w:bCs/>
      <w:lang w:eastAsia="zh-CN"/>
    </w:rPr>
  </w:style>
  <w:style w:type="character" w:styleId="Emphasis">
    <w:name w:val="Emphasis"/>
    <w:basedOn w:val="DefaultParagraphFont"/>
    <w:uiPriority w:val="20"/>
    <w:qFormat/>
    <w:rsid w:val="00952ED6"/>
    <w:rPr>
      <w:i/>
      <w:iCs/>
    </w:rPr>
  </w:style>
  <w:style w:type="character" w:customStyle="1" w:styleId="apple-converted-space">
    <w:name w:val="apple-converted-space"/>
    <w:basedOn w:val="DefaultParagraphFont"/>
    <w:rsid w:val="00952ED6"/>
  </w:style>
  <w:style w:type="paragraph" w:styleId="NormalWeb">
    <w:name w:val="Normal (Web)"/>
    <w:basedOn w:val="Normal"/>
    <w:uiPriority w:val="99"/>
    <w:semiHidden/>
    <w:unhideWhenUsed/>
    <w:rsid w:val="00952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52ED6"/>
  </w:style>
  <w:style w:type="character" w:styleId="Hyperlink">
    <w:name w:val="Hyperlink"/>
    <w:basedOn w:val="DefaultParagraphFont"/>
    <w:uiPriority w:val="99"/>
    <w:unhideWhenUsed/>
    <w:rsid w:val="00952ED6"/>
    <w:rPr>
      <w:color w:val="0000FF"/>
      <w:u w:val="single"/>
    </w:rPr>
  </w:style>
  <w:style w:type="paragraph" w:styleId="Header">
    <w:name w:val="header"/>
    <w:basedOn w:val="Normal"/>
    <w:link w:val="HeaderChar"/>
    <w:uiPriority w:val="99"/>
    <w:unhideWhenUsed/>
    <w:rsid w:val="00952E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2ED6"/>
    <w:rPr>
      <w:sz w:val="22"/>
      <w:szCs w:val="22"/>
      <w:lang w:eastAsia="zh-CN"/>
    </w:rPr>
  </w:style>
  <w:style w:type="paragraph" w:styleId="Footer">
    <w:name w:val="footer"/>
    <w:basedOn w:val="Normal"/>
    <w:link w:val="FooterChar"/>
    <w:uiPriority w:val="99"/>
    <w:unhideWhenUsed/>
    <w:rsid w:val="00952E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2ED6"/>
    <w:rPr>
      <w:sz w:val="22"/>
      <w:szCs w:val="22"/>
      <w:lang w:eastAsia="zh-CN"/>
    </w:rPr>
  </w:style>
  <w:style w:type="paragraph" w:customStyle="1" w:styleId="EndNoteBibliographyTitle">
    <w:name w:val="EndNote Bibliography Title"/>
    <w:basedOn w:val="Normal"/>
    <w:link w:val="EndNoteBibliographyTitleChar"/>
    <w:rsid w:val="00952ED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52ED6"/>
    <w:rPr>
      <w:rFonts w:ascii="Calibri" w:hAnsi="Calibri"/>
      <w:noProof/>
      <w:sz w:val="22"/>
      <w:szCs w:val="22"/>
      <w:lang w:eastAsia="zh-CN"/>
    </w:rPr>
  </w:style>
  <w:style w:type="paragraph" w:customStyle="1" w:styleId="EndNoteBibliography">
    <w:name w:val="EndNote Bibliography"/>
    <w:basedOn w:val="Normal"/>
    <w:link w:val="EndNoteBibliographyChar"/>
    <w:rsid w:val="00952ED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52ED6"/>
    <w:rPr>
      <w:rFonts w:ascii="Calibri" w:hAnsi="Calibri"/>
      <w:noProof/>
      <w:sz w:val="22"/>
      <w:szCs w:val="22"/>
      <w:lang w:eastAsia="zh-CN"/>
    </w:rPr>
  </w:style>
  <w:style w:type="character" w:styleId="CommentReference">
    <w:name w:val="annotation reference"/>
    <w:basedOn w:val="DefaultParagraphFont"/>
    <w:uiPriority w:val="99"/>
    <w:semiHidden/>
    <w:unhideWhenUsed/>
    <w:rsid w:val="00952ED6"/>
    <w:rPr>
      <w:sz w:val="16"/>
      <w:szCs w:val="16"/>
    </w:rPr>
  </w:style>
  <w:style w:type="paragraph" w:styleId="CommentText">
    <w:name w:val="annotation text"/>
    <w:basedOn w:val="Normal"/>
    <w:link w:val="CommentTextChar"/>
    <w:uiPriority w:val="99"/>
    <w:unhideWhenUsed/>
    <w:rsid w:val="00952ED6"/>
    <w:pPr>
      <w:spacing w:line="240" w:lineRule="auto"/>
    </w:pPr>
    <w:rPr>
      <w:sz w:val="20"/>
      <w:szCs w:val="20"/>
    </w:rPr>
  </w:style>
  <w:style w:type="character" w:customStyle="1" w:styleId="CommentTextChar">
    <w:name w:val="Comment Text Char"/>
    <w:basedOn w:val="DefaultParagraphFont"/>
    <w:link w:val="CommentText"/>
    <w:uiPriority w:val="99"/>
    <w:rsid w:val="00952ED6"/>
    <w:rPr>
      <w:sz w:val="20"/>
      <w:szCs w:val="20"/>
      <w:lang w:eastAsia="zh-CN"/>
    </w:rPr>
  </w:style>
  <w:style w:type="paragraph" w:styleId="CommentSubject">
    <w:name w:val="annotation subject"/>
    <w:basedOn w:val="CommentText"/>
    <w:next w:val="CommentText"/>
    <w:link w:val="CommentSubjectChar"/>
    <w:uiPriority w:val="99"/>
    <w:semiHidden/>
    <w:unhideWhenUsed/>
    <w:rsid w:val="00952ED6"/>
    <w:rPr>
      <w:b/>
      <w:bCs/>
    </w:rPr>
  </w:style>
  <w:style w:type="character" w:customStyle="1" w:styleId="CommentSubjectChar">
    <w:name w:val="Comment Subject Char"/>
    <w:basedOn w:val="CommentTextChar"/>
    <w:link w:val="CommentSubject"/>
    <w:uiPriority w:val="99"/>
    <w:semiHidden/>
    <w:rsid w:val="00952ED6"/>
    <w:rPr>
      <w:b/>
      <w:bCs/>
      <w:sz w:val="20"/>
      <w:szCs w:val="20"/>
      <w:lang w:eastAsia="zh-CN"/>
    </w:rPr>
  </w:style>
  <w:style w:type="paragraph" w:styleId="BalloonText">
    <w:name w:val="Balloon Text"/>
    <w:basedOn w:val="Normal"/>
    <w:link w:val="BalloonTextChar"/>
    <w:uiPriority w:val="99"/>
    <w:semiHidden/>
    <w:unhideWhenUsed/>
    <w:rsid w:val="0095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ED6"/>
    <w:rPr>
      <w:rFonts w:ascii="Tahoma" w:hAnsi="Tahoma" w:cs="Tahoma"/>
      <w:sz w:val="16"/>
      <w:szCs w:val="16"/>
      <w:lang w:eastAsia="zh-CN"/>
    </w:rPr>
  </w:style>
  <w:style w:type="paragraph" w:styleId="Revision">
    <w:name w:val="Revision"/>
    <w:hidden/>
    <w:uiPriority w:val="99"/>
    <w:semiHidden/>
    <w:rsid w:val="00952ED6"/>
    <w:rPr>
      <w:sz w:val="22"/>
      <w:szCs w:val="22"/>
      <w:lang w:eastAsia="zh-CN"/>
    </w:rPr>
  </w:style>
  <w:style w:type="paragraph" w:styleId="ListParagraph">
    <w:name w:val="List Paragraph"/>
    <w:basedOn w:val="Normal"/>
    <w:uiPriority w:val="34"/>
    <w:qFormat/>
    <w:rsid w:val="00952ED6"/>
    <w:pPr>
      <w:ind w:left="720"/>
      <w:contextualSpacing/>
    </w:pPr>
  </w:style>
  <w:style w:type="character" w:styleId="PlaceholderText">
    <w:name w:val="Placeholder Text"/>
    <w:basedOn w:val="DefaultParagraphFont"/>
    <w:uiPriority w:val="99"/>
    <w:semiHidden/>
    <w:rsid w:val="00952ED6"/>
    <w:rPr>
      <w:color w:val="808080"/>
    </w:rPr>
  </w:style>
  <w:style w:type="paragraph" w:customStyle="1" w:styleId="Title1">
    <w:name w:val="Title1"/>
    <w:basedOn w:val="Normal"/>
    <w:rsid w:val="00952ED6"/>
    <w:pPr>
      <w:spacing w:before="100" w:beforeAutospacing="1" w:after="100" w:afterAutospacing="1" w:line="240" w:lineRule="auto"/>
    </w:pPr>
    <w:rPr>
      <w:rFonts w:ascii="Times" w:hAnsi="Times"/>
      <w:sz w:val="20"/>
      <w:szCs w:val="20"/>
      <w:lang w:eastAsia="it-IT"/>
    </w:rPr>
  </w:style>
  <w:style w:type="paragraph" w:customStyle="1" w:styleId="desc">
    <w:name w:val="desc"/>
    <w:basedOn w:val="Normal"/>
    <w:rsid w:val="00952ED6"/>
    <w:pPr>
      <w:spacing w:before="100" w:beforeAutospacing="1" w:after="100" w:afterAutospacing="1" w:line="240" w:lineRule="auto"/>
    </w:pPr>
    <w:rPr>
      <w:rFonts w:ascii="Times" w:hAnsi="Times"/>
      <w:sz w:val="20"/>
      <w:szCs w:val="20"/>
      <w:lang w:eastAsia="it-IT"/>
    </w:rPr>
  </w:style>
  <w:style w:type="paragraph" w:customStyle="1" w:styleId="details">
    <w:name w:val="details"/>
    <w:basedOn w:val="Normal"/>
    <w:rsid w:val="00952ED6"/>
    <w:pPr>
      <w:spacing w:before="100" w:beforeAutospacing="1" w:after="100" w:afterAutospacing="1" w:line="240" w:lineRule="auto"/>
    </w:pPr>
    <w:rPr>
      <w:rFonts w:ascii="Times" w:hAnsi="Times"/>
      <w:sz w:val="20"/>
      <w:szCs w:val="20"/>
      <w:lang w:eastAsia="it-IT"/>
    </w:rPr>
  </w:style>
  <w:style w:type="character" w:customStyle="1" w:styleId="jrnl">
    <w:name w:val="jrnl"/>
    <w:basedOn w:val="DefaultParagraphFont"/>
    <w:rsid w:val="00952ED6"/>
  </w:style>
  <w:style w:type="character" w:styleId="FollowedHyperlink">
    <w:name w:val="FollowedHyperlink"/>
    <w:basedOn w:val="DefaultParagraphFont"/>
    <w:uiPriority w:val="99"/>
    <w:semiHidden/>
    <w:unhideWhenUsed/>
    <w:rsid w:val="00952ED6"/>
    <w:rPr>
      <w:color w:val="800080" w:themeColor="followedHyperlink"/>
      <w:u w:val="single"/>
    </w:rPr>
  </w:style>
  <w:style w:type="character" w:customStyle="1" w:styleId="org">
    <w:name w:val="org"/>
    <w:basedOn w:val="DefaultParagraphFont"/>
    <w:rsid w:val="00952ED6"/>
  </w:style>
  <w:style w:type="table" w:styleId="TableGrid">
    <w:name w:val="Table Grid"/>
    <w:basedOn w:val="TableNormal"/>
    <w:uiPriority w:val="59"/>
    <w:rsid w:val="00952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mail.ki.se/owa/redir.aspx?SURL=tcJ6gSd-4jCrqZrayu04GxC5mC0DyB8yaYGcg6NMHLVAG7jkcG_TCGgAdAB0AHAAOgAvAC8AdwB3AHcALgBhAGQAaABkAGkAbgBhAGQAdQBsAHQAcwAuAGMAbwBtAA..&amp;URL=http%3a%2f%2fwww.adhdinadul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i.chen@k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6864</Words>
  <Characters>39131</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KIMEB</Company>
  <LinksUpToDate>false</LinksUpToDate>
  <CharactersWithSpaces>45904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Chen</dc:creator>
  <cp:keywords/>
  <dc:description/>
  <cp:lastModifiedBy>Cortese S.</cp:lastModifiedBy>
  <cp:revision>2</cp:revision>
  <dcterms:created xsi:type="dcterms:W3CDTF">2017-06-29T09:31:00Z</dcterms:created>
  <dcterms:modified xsi:type="dcterms:W3CDTF">2017-06-29T09:31:00Z</dcterms:modified>
</cp:coreProperties>
</file>