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E4CB" w14:textId="77777777" w:rsidR="006F52E7" w:rsidRDefault="006F52E7" w:rsidP="00A10B73">
      <w:pPr>
        <w:jc w:val="center"/>
        <w:rPr>
          <w:rFonts w:asciiTheme="majorBidi" w:hAnsiTheme="majorBidi" w:cstheme="majorBidi"/>
          <w:b/>
          <w:bCs/>
          <w:sz w:val="24"/>
          <w:szCs w:val="24"/>
        </w:rPr>
      </w:pPr>
      <w:r w:rsidRPr="006F52E7">
        <w:rPr>
          <w:rFonts w:asciiTheme="majorBidi" w:hAnsiTheme="majorBidi" w:cstheme="majorBidi"/>
          <w:b/>
          <w:bCs/>
          <w:sz w:val="24"/>
          <w:szCs w:val="24"/>
        </w:rPr>
        <w:t>Jews and emerging nations</w:t>
      </w:r>
    </w:p>
    <w:p w14:paraId="011D12E1" w14:textId="643635BF" w:rsidR="0095576E" w:rsidRPr="0095576E" w:rsidRDefault="0095576E" w:rsidP="00A10B73">
      <w:pPr>
        <w:jc w:val="center"/>
        <w:rPr>
          <w:rFonts w:asciiTheme="majorBidi" w:hAnsiTheme="majorBidi" w:cstheme="majorBidi"/>
          <w:sz w:val="24"/>
          <w:szCs w:val="24"/>
        </w:rPr>
      </w:pPr>
      <w:r w:rsidRPr="0095576E">
        <w:rPr>
          <w:rFonts w:asciiTheme="majorBidi" w:hAnsiTheme="majorBidi" w:cstheme="majorBidi"/>
          <w:sz w:val="24"/>
          <w:szCs w:val="24"/>
        </w:rPr>
        <w:t>Claire Le Foll and Mikhail Krutikov</w:t>
      </w:r>
    </w:p>
    <w:p w14:paraId="661AFC49" w14:textId="74D1BD8A" w:rsidR="00E03917" w:rsidRDefault="006F52E7" w:rsidP="007457C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This special section </w:t>
      </w:r>
      <w:r w:rsidR="00A52C7E">
        <w:rPr>
          <w:rFonts w:asciiTheme="majorBidi" w:hAnsiTheme="majorBidi" w:cstheme="majorBidi"/>
          <w:sz w:val="24"/>
          <w:szCs w:val="24"/>
        </w:rPr>
        <w:t>emanates from</w:t>
      </w:r>
      <w:r>
        <w:rPr>
          <w:rFonts w:asciiTheme="majorBidi" w:hAnsiTheme="majorBidi" w:cstheme="majorBidi"/>
          <w:sz w:val="24"/>
          <w:szCs w:val="24"/>
        </w:rPr>
        <w:t xml:space="preserve"> a workshop organised in July 2015 in </w:t>
      </w:r>
      <w:r w:rsidR="007946D3">
        <w:rPr>
          <w:rFonts w:asciiTheme="majorBidi" w:hAnsiTheme="majorBidi" w:cstheme="majorBidi"/>
          <w:sz w:val="24"/>
          <w:szCs w:val="24"/>
        </w:rPr>
        <w:t xml:space="preserve">the university of </w:t>
      </w:r>
      <w:r>
        <w:rPr>
          <w:rFonts w:asciiTheme="majorBidi" w:hAnsiTheme="majorBidi" w:cstheme="majorBidi"/>
          <w:sz w:val="24"/>
          <w:szCs w:val="24"/>
        </w:rPr>
        <w:t xml:space="preserve">Southampton on </w:t>
      </w:r>
      <w:r w:rsidR="007946D3">
        <w:rPr>
          <w:rFonts w:asciiTheme="majorBidi" w:hAnsiTheme="majorBidi" w:cstheme="majorBidi"/>
          <w:sz w:val="24"/>
          <w:szCs w:val="24"/>
        </w:rPr>
        <w:t>“</w:t>
      </w:r>
      <w:r w:rsidRPr="006F52E7">
        <w:rPr>
          <w:rFonts w:asciiTheme="majorBidi" w:hAnsiTheme="majorBidi" w:cstheme="majorBidi"/>
          <w:sz w:val="24"/>
          <w:szCs w:val="24"/>
        </w:rPr>
        <w:t>Jews and ‘small nations’ in Eastern Europe: cultural autonomy and nation-building in the western bo</w:t>
      </w:r>
      <w:r>
        <w:rPr>
          <w:rFonts w:asciiTheme="majorBidi" w:hAnsiTheme="majorBidi" w:cstheme="majorBidi"/>
          <w:sz w:val="24"/>
          <w:szCs w:val="24"/>
        </w:rPr>
        <w:t>rderlands of Russia (1905-1939)</w:t>
      </w:r>
      <w:r w:rsidR="007946D3">
        <w:rPr>
          <w:rFonts w:asciiTheme="majorBidi" w:hAnsiTheme="majorBidi" w:cstheme="majorBidi"/>
          <w:sz w:val="24"/>
          <w:szCs w:val="24"/>
        </w:rPr>
        <w:t>”</w:t>
      </w:r>
      <w:r>
        <w:rPr>
          <w:rFonts w:asciiTheme="majorBidi" w:hAnsiTheme="majorBidi" w:cstheme="majorBidi"/>
          <w:sz w:val="24"/>
          <w:szCs w:val="24"/>
        </w:rPr>
        <w:t xml:space="preserve">. </w:t>
      </w:r>
      <w:r w:rsidR="002757BB">
        <w:rPr>
          <w:rFonts w:asciiTheme="majorBidi" w:hAnsiTheme="majorBidi" w:cstheme="majorBidi"/>
          <w:sz w:val="24"/>
          <w:szCs w:val="24"/>
        </w:rPr>
        <w:t>Its aim</w:t>
      </w:r>
      <w:r>
        <w:rPr>
          <w:rFonts w:asciiTheme="majorBidi" w:hAnsiTheme="majorBidi" w:cstheme="majorBidi"/>
          <w:sz w:val="24"/>
          <w:szCs w:val="24"/>
        </w:rPr>
        <w:t xml:space="preserve"> was </w:t>
      </w:r>
      <w:r w:rsidRPr="006F52E7">
        <w:rPr>
          <w:rFonts w:asciiTheme="majorBidi" w:hAnsiTheme="majorBidi" w:cstheme="majorBidi"/>
          <w:sz w:val="24"/>
          <w:szCs w:val="24"/>
        </w:rPr>
        <w:t>to</w:t>
      </w:r>
      <w:r>
        <w:rPr>
          <w:rFonts w:asciiTheme="majorBidi" w:hAnsiTheme="majorBidi" w:cstheme="majorBidi"/>
          <w:sz w:val="24"/>
          <w:szCs w:val="24"/>
        </w:rPr>
        <w:t xml:space="preserve"> change our focus on Jewish/non-Jewish relations in Eastern Europe, and instead of looking at relations between Jews and Poles or </w:t>
      </w:r>
      <w:r w:rsidR="00DF4C7C">
        <w:rPr>
          <w:rFonts w:asciiTheme="majorBidi" w:hAnsiTheme="majorBidi" w:cstheme="majorBidi"/>
          <w:sz w:val="24"/>
          <w:szCs w:val="24"/>
        </w:rPr>
        <w:t xml:space="preserve">Jews and </w:t>
      </w:r>
      <w:r>
        <w:rPr>
          <w:rFonts w:asciiTheme="majorBidi" w:hAnsiTheme="majorBidi" w:cstheme="majorBidi"/>
          <w:sz w:val="24"/>
          <w:szCs w:val="24"/>
        </w:rPr>
        <w:t>Russian</w:t>
      </w:r>
      <w:r w:rsidR="00BA1E9F">
        <w:rPr>
          <w:rFonts w:asciiTheme="majorBidi" w:hAnsiTheme="majorBidi" w:cstheme="majorBidi"/>
          <w:sz w:val="24"/>
          <w:szCs w:val="24"/>
        </w:rPr>
        <w:t>s</w:t>
      </w:r>
      <w:r>
        <w:rPr>
          <w:rFonts w:asciiTheme="majorBidi" w:hAnsiTheme="majorBidi" w:cstheme="majorBidi"/>
          <w:sz w:val="24"/>
          <w:szCs w:val="24"/>
        </w:rPr>
        <w:t xml:space="preserve">, </w:t>
      </w:r>
      <w:r w:rsidR="00BA1E9F">
        <w:rPr>
          <w:rFonts w:asciiTheme="majorBidi" w:hAnsiTheme="majorBidi" w:cstheme="majorBidi"/>
          <w:sz w:val="24"/>
          <w:szCs w:val="24"/>
        </w:rPr>
        <w:t xml:space="preserve">to </w:t>
      </w:r>
      <w:r>
        <w:rPr>
          <w:rFonts w:asciiTheme="majorBidi" w:hAnsiTheme="majorBidi" w:cstheme="majorBidi"/>
          <w:sz w:val="24"/>
          <w:szCs w:val="24"/>
        </w:rPr>
        <w:t xml:space="preserve">consider </w:t>
      </w:r>
      <w:r w:rsidR="00BA1E9F">
        <w:rPr>
          <w:rFonts w:asciiTheme="majorBidi" w:hAnsiTheme="majorBidi" w:cstheme="majorBidi"/>
          <w:sz w:val="24"/>
          <w:szCs w:val="24"/>
        </w:rPr>
        <w:t xml:space="preserve">Jewish </w:t>
      </w:r>
      <w:r>
        <w:rPr>
          <w:rFonts w:asciiTheme="majorBidi" w:hAnsiTheme="majorBidi" w:cstheme="majorBidi"/>
          <w:sz w:val="24"/>
          <w:szCs w:val="24"/>
        </w:rPr>
        <w:t>relations with the so-called ‘small nations’, or ‘</w:t>
      </w:r>
      <w:r w:rsidR="00EB46F0">
        <w:rPr>
          <w:rFonts w:asciiTheme="majorBidi" w:hAnsiTheme="majorBidi" w:cstheme="majorBidi"/>
          <w:sz w:val="24"/>
          <w:szCs w:val="24"/>
        </w:rPr>
        <w:t>their neighbours</w:t>
      </w:r>
      <w:r>
        <w:rPr>
          <w:rFonts w:asciiTheme="majorBidi" w:hAnsiTheme="majorBidi" w:cstheme="majorBidi"/>
          <w:sz w:val="24"/>
          <w:szCs w:val="24"/>
        </w:rPr>
        <w:t>’</w:t>
      </w:r>
      <w:r>
        <w:rPr>
          <w:rStyle w:val="EndnoteReference"/>
          <w:rFonts w:asciiTheme="majorBidi" w:hAnsiTheme="majorBidi" w:cstheme="majorBidi"/>
          <w:sz w:val="24"/>
          <w:szCs w:val="24"/>
        </w:rPr>
        <w:endnoteReference w:id="2"/>
      </w:r>
      <w:r>
        <w:rPr>
          <w:rFonts w:asciiTheme="majorBidi" w:hAnsiTheme="majorBidi" w:cstheme="majorBidi"/>
          <w:sz w:val="24"/>
          <w:szCs w:val="24"/>
        </w:rPr>
        <w:t xml:space="preserve"> – Estonians, Lithuanians, Latvians, Bel</w:t>
      </w:r>
      <w:r w:rsidR="007457C2">
        <w:rPr>
          <w:rFonts w:asciiTheme="majorBidi" w:hAnsiTheme="majorBidi" w:cstheme="majorBidi"/>
          <w:sz w:val="24"/>
          <w:szCs w:val="24"/>
        </w:rPr>
        <w:t>a</w:t>
      </w:r>
      <w:r>
        <w:rPr>
          <w:rFonts w:asciiTheme="majorBidi" w:hAnsiTheme="majorBidi" w:cstheme="majorBidi"/>
          <w:sz w:val="24"/>
          <w:szCs w:val="24"/>
        </w:rPr>
        <w:t>rusians</w:t>
      </w:r>
      <w:r w:rsidR="007946D3">
        <w:rPr>
          <w:rFonts w:asciiTheme="majorBidi" w:hAnsiTheme="majorBidi" w:cstheme="majorBidi"/>
          <w:sz w:val="24"/>
          <w:szCs w:val="24"/>
        </w:rPr>
        <w:t xml:space="preserve"> and</w:t>
      </w:r>
      <w:r>
        <w:rPr>
          <w:rFonts w:asciiTheme="majorBidi" w:hAnsiTheme="majorBidi" w:cstheme="majorBidi"/>
          <w:sz w:val="24"/>
          <w:szCs w:val="24"/>
        </w:rPr>
        <w:t xml:space="preserve"> Ukrainians.</w:t>
      </w:r>
      <w:r w:rsidR="002757BB">
        <w:rPr>
          <w:rFonts w:asciiTheme="majorBidi" w:hAnsiTheme="majorBidi" w:cstheme="majorBidi"/>
          <w:sz w:val="24"/>
          <w:szCs w:val="24"/>
        </w:rPr>
        <w:t xml:space="preserve"> The intellectual challenge was to integrate into the Jewish Eastern European narrative groups that had been largely overlooked and swept away by the meta-narrative of </w:t>
      </w:r>
      <w:r w:rsidR="007946D3">
        <w:rPr>
          <w:rFonts w:asciiTheme="majorBidi" w:hAnsiTheme="majorBidi" w:cstheme="majorBidi"/>
          <w:sz w:val="24"/>
          <w:szCs w:val="24"/>
        </w:rPr>
        <w:t xml:space="preserve">Jewish </w:t>
      </w:r>
      <w:r w:rsidR="002757BB">
        <w:rPr>
          <w:rFonts w:asciiTheme="majorBidi" w:hAnsiTheme="majorBidi" w:cstheme="majorBidi"/>
          <w:sz w:val="24"/>
          <w:szCs w:val="24"/>
        </w:rPr>
        <w:t>integration/assimilation into the host society</w:t>
      </w:r>
      <w:r w:rsidR="00BA1E9F">
        <w:rPr>
          <w:rFonts w:asciiTheme="majorBidi" w:hAnsiTheme="majorBidi" w:cstheme="majorBidi"/>
          <w:sz w:val="24"/>
          <w:szCs w:val="24"/>
        </w:rPr>
        <w:t xml:space="preserve">, given that </w:t>
      </w:r>
      <w:r w:rsidR="002757BB">
        <w:rPr>
          <w:rFonts w:asciiTheme="majorBidi" w:hAnsiTheme="majorBidi" w:cstheme="majorBidi"/>
          <w:sz w:val="24"/>
          <w:szCs w:val="24"/>
        </w:rPr>
        <w:t>‘</w:t>
      </w:r>
      <w:r w:rsidR="00BA1E9F">
        <w:rPr>
          <w:rFonts w:asciiTheme="majorBidi" w:hAnsiTheme="majorBidi" w:cstheme="majorBidi"/>
          <w:sz w:val="24"/>
          <w:szCs w:val="24"/>
        </w:rPr>
        <w:t>R</w:t>
      </w:r>
      <w:r w:rsidR="002757BB">
        <w:rPr>
          <w:rFonts w:asciiTheme="majorBidi" w:hAnsiTheme="majorBidi" w:cstheme="majorBidi"/>
          <w:sz w:val="24"/>
          <w:szCs w:val="24"/>
        </w:rPr>
        <w:t xml:space="preserve">usso-centrism’ </w:t>
      </w:r>
      <w:r w:rsidR="00BA1E9F">
        <w:rPr>
          <w:rFonts w:asciiTheme="majorBidi" w:hAnsiTheme="majorBidi" w:cstheme="majorBidi"/>
          <w:sz w:val="24"/>
          <w:szCs w:val="24"/>
        </w:rPr>
        <w:t xml:space="preserve">and </w:t>
      </w:r>
      <w:r w:rsidR="007946D3">
        <w:rPr>
          <w:rFonts w:asciiTheme="majorBidi" w:hAnsiTheme="majorBidi" w:cstheme="majorBidi"/>
          <w:sz w:val="24"/>
          <w:szCs w:val="24"/>
        </w:rPr>
        <w:t>‘</w:t>
      </w:r>
      <w:proofErr w:type="spellStart"/>
      <w:r w:rsidR="00BA1E9F">
        <w:rPr>
          <w:rFonts w:asciiTheme="majorBidi" w:hAnsiTheme="majorBidi" w:cstheme="majorBidi"/>
          <w:sz w:val="24"/>
          <w:szCs w:val="24"/>
        </w:rPr>
        <w:t>P</w:t>
      </w:r>
      <w:r w:rsidR="002757BB">
        <w:rPr>
          <w:rFonts w:asciiTheme="majorBidi" w:hAnsiTheme="majorBidi" w:cstheme="majorBidi"/>
          <w:sz w:val="24"/>
          <w:szCs w:val="24"/>
        </w:rPr>
        <w:t>olono</w:t>
      </w:r>
      <w:proofErr w:type="spellEnd"/>
      <w:r w:rsidR="002757BB">
        <w:rPr>
          <w:rFonts w:asciiTheme="majorBidi" w:hAnsiTheme="majorBidi" w:cstheme="majorBidi"/>
          <w:sz w:val="24"/>
          <w:szCs w:val="24"/>
        </w:rPr>
        <w:t>-centrism</w:t>
      </w:r>
      <w:r w:rsidR="007946D3">
        <w:rPr>
          <w:rFonts w:asciiTheme="majorBidi" w:hAnsiTheme="majorBidi" w:cstheme="majorBidi"/>
          <w:sz w:val="24"/>
          <w:szCs w:val="24"/>
        </w:rPr>
        <w:t>’</w:t>
      </w:r>
      <w:r w:rsidR="002757BB">
        <w:rPr>
          <w:rFonts w:asciiTheme="majorBidi" w:hAnsiTheme="majorBidi" w:cstheme="majorBidi"/>
          <w:sz w:val="24"/>
          <w:szCs w:val="24"/>
        </w:rPr>
        <w:t xml:space="preserve"> are still prevalent in mainstream historiography</w:t>
      </w:r>
      <w:r w:rsidR="00155954">
        <w:rPr>
          <w:rStyle w:val="EndnoteReference"/>
          <w:rFonts w:asciiTheme="majorBidi" w:hAnsiTheme="majorBidi" w:cstheme="majorBidi"/>
          <w:sz w:val="24"/>
          <w:szCs w:val="24"/>
        </w:rPr>
        <w:endnoteReference w:id="3"/>
      </w:r>
      <w:r w:rsidR="002757BB">
        <w:rPr>
          <w:rFonts w:asciiTheme="majorBidi" w:hAnsiTheme="majorBidi" w:cstheme="majorBidi"/>
          <w:sz w:val="24"/>
          <w:szCs w:val="24"/>
        </w:rPr>
        <w:t>.</w:t>
      </w:r>
      <w:r w:rsidR="00155954">
        <w:rPr>
          <w:rFonts w:asciiTheme="majorBidi" w:hAnsiTheme="majorBidi" w:cstheme="majorBidi"/>
          <w:sz w:val="24"/>
          <w:szCs w:val="24"/>
        </w:rPr>
        <w:t xml:space="preserve"> </w:t>
      </w:r>
    </w:p>
    <w:p w14:paraId="344D73BB" w14:textId="082DE78C" w:rsidR="002757BB" w:rsidRDefault="00BA1E9F" w:rsidP="00B63255">
      <w:pPr>
        <w:spacing w:line="360" w:lineRule="auto"/>
        <w:jc w:val="both"/>
        <w:rPr>
          <w:rFonts w:asciiTheme="majorBidi" w:hAnsiTheme="majorBidi" w:cstheme="majorBidi"/>
          <w:sz w:val="24"/>
          <w:szCs w:val="24"/>
        </w:rPr>
      </w:pPr>
      <w:r>
        <w:rPr>
          <w:rFonts w:asciiTheme="majorBidi" w:hAnsiTheme="majorBidi" w:cstheme="majorBidi"/>
          <w:sz w:val="24"/>
          <w:szCs w:val="24"/>
        </w:rPr>
        <w:t>This</w:t>
      </w:r>
      <w:r w:rsidR="002757BB">
        <w:rPr>
          <w:rFonts w:asciiTheme="majorBidi" w:hAnsiTheme="majorBidi" w:cstheme="majorBidi"/>
          <w:sz w:val="24"/>
          <w:szCs w:val="24"/>
        </w:rPr>
        <w:t xml:space="preserve"> is not say that nothing has happened in the historiography of Eastern-European Jewry since Eli </w:t>
      </w:r>
      <w:proofErr w:type="spellStart"/>
      <w:r w:rsidR="002757BB">
        <w:rPr>
          <w:rFonts w:asciiTheme="majorBidi" w:hAnsiTheme="majorBidi" w:cstheme="majorBidi"/>
          <w:sz w:val="24"/>
          <w:szCs w:val="24"/>
        </w:rPr>
        <w:t>Lederhendler</w:t>
      </w:r>
      <w:proofErr w:type="spellEnd"/>
      <w:r w:rsidR="002757BB">
        <w:rPr>
          <w:rFonts w:asciiTheme="majorBidi" w:hAnsiTheme="majorBidi" w:cstheme="majorBidi"/>
          <w:sz w:val="24"/>
          <w:szCs w:val="24"/>
        </w:rPr>
        <w:t xml:space="preserve"> </w:t>
      </w:r>
      <w:r w:rsidR="00CC003B">
        <w:rPr>
          <w:rFonts w:asciiTheme="majorBidi" w:hAnsiTheme="majorBidi" w:cstheme="majorBidi"/>
          <w:sz w:val="24"/>
          <w:szCs w:val="24"/>
        </w:rPr>
        <w:t>wondered</w:t>
      </w:r>
      <w:r w:rsidR="002757BB">
        <w:rPr>
          <w:rFonts w:asciiTheme="majorBidi" w:hAnsiTheme="majorBidi" w:cstheme="majorBidi"/>
          <w:sz w:val="24"/>
          <w:szCs w:val="24"/>
        </w:rPr>
        <w:t xml:space="preserve"> whether there was a ‘Russian Jewry’ prior to 1917 or </w:t>
      </w:r>
      <w:r w:rsidR="00721D21">
        <w:rPr>
          <w:rFonts w:asciiTheme="majorBidi" w:hAnsiTheme="majorBidi" w:cstheme="majorBidi"/>
          <w:sz w:val="24"/>
          <w:szCs w:val="24"/>
          <w:lang w:val="en-US"/>
        </w:rPr>
        <w:t xml:space="preserve">Jonathan </w:t>
      </w:r>
      <w:r w:rsidR="002757BB">
        <w:rPr>
          <w:rFonts w:asciiTheme="majorBidi" w:hAnsiTheme="majorBidi" w:cstheme="majorBidi"/>
          <w:sz w:val="24"/>
          <w:szCs w:val="24"/>
        </w:rPr>
        <w:t xml:space="preserve">Frankel in 1992 called for a reassessment of the </w:t>
      </w:r>
      <w:proofErr w:type="spellStart"/>
      <w:r w:rsidR="002757BB">
        <w:rPr>
          <w:rFonts w:asciiTheme="majorBidi" w:hAnsiTheme="majorBidi" w:cstheme="majorBidi"/>
          <w:sz w:val="24"/>
          <w:szCs w:val="24"/>
        </w:rPr>
        <w:t>Dubnovian</w:t>
      </w:r>
      <w:proofErr w:type="spellEnd"/>
      <w:r w:rsidR="002757BB">
        <w:rPr>
          <w:rFonts w:asciiTheme="majorBidi" w:hAnsiTheme="majorBidi" w:cstheme="majorBidi"/>
          <w:sz w:val="24"/>
          <w:szCs w:val="24"/>
        </w:rPr>
        <w:t xml:space="preserve"> bi-polar paradigm</w:t>
      </w:r>
      <w:r w:rsidR="00CC003B">
        <w:rPr>
          <w:rStyle w:val="EndnoteReference"/>
          <w:rFonts w:asciiTheme="majorBidi" w:hAnsiTheme="majorBidi" w:cstheme="majorBidi"/>
          <w:sz w:val="24"/>
          <w:szCs w:val="24"/>
        </w:rPr>
        <w:endnoteReference w:id="4"/>
      </w:r>
      <w:r w:rsidR="002757BB">
        <w:rPr>
          <w:rFonts w:asciiTheme="majorBidi" w:hAnsiTheme="majorBidi" w:cstheme="majorBidi"/>
          <w:sz w:val="24"/>
          <w:szCs w:val="24"/>
        </w:rPr>
        <w:t xml:space="preserve">. </w:t>
      </w:r>
      <w:r w:rsidR="002757BB" w:rsidRPr="002757BB">
        <w:rPr>
          <w:rFonts w:asciiTheme="majorBidi" w:hAnsiTheme="majorBidi" w:cstheme="majorBidi"/>
          <w:sz w:val="24"/>
          <w:szCs w:val="24"/>
        </w:rPr>
        <w:t>Many gaps have been filled, especially in social history, cultural history, gender</w:t>
      </w:r>
      <w:r w:rsidR="007946D3">
        <w:rPr>
          <w:rFonts w:asciiTheme="majorBidi" w:hAnsiTheme="majorBidi" w:cstheme="majorBidi"/>
          <w:sz w:val="24"/>
          <w:szCs w:val="24"/>
        </w:rPr>
        <w:t xml:space="preserve"> and</w:t>
      </w:r>
      <w:r w:rsidR="002757BB" w:rsidRPr="002757BB">
        <w:rPr>
          <w:rFonts w:asciiTheme="majorBidi" w:hAnsiTheme="majorBidi" w:cstheme="majorBidi"/>
          <w:sz w:val="24"/>
          <w:szCs w:val="24"/>
        </w:rPr>
        <w:t xml:space="preserve"> everyday Jewish life</w:t>
      </w:r>
      <w:r w:rsidR="007946D3">
        <w:rPr>
          <w:rStyle w:val="EndnoteReference"/>
          <w:rFonts w:asciiTheme="majorBidi" w:hAnsiTheme="majorBidi" w:cstheme="majorBidi"/>
          <w:sz w:val="24"/>
          <w:szCs w:val="24"/>
        </w:rPr>
        <w:endnoteReference w:id="5"/>
      </w:r>
      <w:r w:rsidR="002757BB" w:rsidRPr="002757BB">
        <w:rPr>
          <w:rFonts w:asciiTheme="majorBidi" w:hAnsiTheme="majorBidi" w:cstheme="majorBidi"/>
          <w:sz w:val="24"/>
          <w:szCs w:val="24"/>
        </w:rPr>
        <w:t xml:space="preserve">. We </w:t>
      </w:r>
      <w:r>
        <w:rPr>
          <w:rFonts w:asciiTheme="majorBidi" w:hAnsiTheme="majorBidi" w:cstheme="majorBidi"/>
          <w:sz w:val="24"/>
          <w:szCs w:val="24"/>
        </w:rPr>
        <w:t>also now</w:t>
      </w:r>
      <w:r w:rsidR="007946D3">
        <w:rPr>
          <w:rFonts w:asciiTheme="majorBidi" w:hAnsiTheme="majorBidi" w:cstheme="majorBidi"/>
          <w:sz w:val="24"/>
          <w:szCs w:val="24"/>
        </w:rPr>
        <w:t xml:space="preserve"> </w:t>
      </w:r>
      <w:r w:rsidR="002757BB" w:rsidRPr="002757BB">
        <w:rPr>
          <w:rFonts w:asciiTheme="majorBidi" w:hAnsiTheme="majorBidi" w:cstheme="majorBidi"/>
          <w:sz w:val="24"/>
          <w:szCs w:val="24"/>
        </w:rPr>
        <w:t xml:space="preserve">have many excellent local studies, </w:t>
      </w:r>
      <w:r>
        <w:rPr>
          <w:rFonts w:asciiTheme="majorBidi" w:hAnsiTheme="majorBidi" w:cstheme="majorBidi"/>
          <w:sz w:val="24"/>
          <w:szCs w:val="24"/>
        </w:rPr>
        <w:t xml:space="preserve">mostly </w:t>
      </w:r>
      <w:r w:rsidR="002757BB" w:rsidRPr="002757BB">
        <w:rPr>
          <w:rFonts w:asciiTheme="majorBidi" w:hAnsiTheme="majorBidi" w:cstheme="majorBidi"/>
          <w:sz w:val="24"/>
          <w:szCs w:val="24"/>
        </w:rPr>
        <w:t xml:space="preserve">focused on </w:t>
      </w:r>
      <w:r>
        <w:rPr>
          <w:rFonts w:asciiTheme="majorBidi" w:hAnsiTheme="majorBidi" w:cstheme="majorBidi"/>
          <w:sz w:val="24"/>
          <w:szCs w:val="24"/>
        </w:rPr>
        <w:t xml:space="preserve">individual </w:t>
      </w:r>
      <w:r w:rsidR="002757BB" w:rsidRPr="002757BB">
        <w:rPr>
          <w:rFonts w:asciiTheme="majorBidi" w:hAnsiTheme="majorBidi" w:cstheme="majorBidi"/>
          <w:sz w:val="24"/>
          <w:szCs w:val="24"/>
        </w:rPr>
        <w:t>cities</w:t>
      </w:r>
      <w:r w:rsidR="007946D3">
        <w:rPr>
          <w:rStyle w:val="EndnoteReference"/>
          <w:rFonts w:asciiTheme="majorBidi" w:hAnsiTheme="majorBidi" w:cstheme="majorBidi"/>
          <w:sz w:val="24"/>
          <w:szCs w:val="24"/>
        </w:rPr>
        <w:endnoteReference w:id="6"/>
      </w:r>
      <w:r w:rsidR="002757BB" w:rsidRPr="002757BB">
        <w:rPr>
          <w:rFonts w:asciiTheme="majorBidi" w:hAnsiTheme="majorBidi" w:cstheme="majorBidi"/>
          <w:sz w:val="24"/>
          <w:szCs w:val="24"/>
        </w:rPr>
        <w:t xml:space="preserve">. </w:t>
      </w:r>
      <w:r w:rsidR="003035B0">
        <w:rPr>
          <w:rFonts w:asciiTheme="majorBidi" w:hAnsiTheme="majorBidi" w:cstheme="majorBidi"/>
          <w:sz w:val="24"/>
          <w:szCs w:val="24"/>
        </w:rPr>
        <w:t>Furthermore, the</w:t>
      </w:r>
      <w:r w:rsidR="002757BB" w:rsidRPr="002757BB">
        <w:rPr>
          <w:rFonts w:asciiTheme="majorBidi" w:hAnsiTheme="majorBidi" w:cstheme="majorBidi"/>
          <w:sz w:val="24"/>
          <w:szCs w:val="24"/>
        </w:rPr>
        <w:t xml:space="preserve"> renewal of historiography </w:t>
      </w:r>
      <w:r w:rsidR="00A10B73">
        <w:rPr>
          <w:rFonts w:asciiTheme="majorBidi" w:hAnsiTheme="majorBidi" w:cstheme="majorBidi"/>
          <w:sz w:val="24"/>
          <w:szCs w:val="24"/>
        </w:rPr>
        <w:t xml:space="preserve">was reinforced by </w:t>
      </w:r>
      <w:r w:rsidR="002757BB" w:rsidRPr="002757BB">
        <w:rPr>
          <w:rFonts w:asciiTheme="majorBidi" w:hAnsiTheme="majorBidi" w:cstheme="majorBidi"/>
          <w:sz w:val="24"/>
          <w:szCs w:val="24"/>
        </w:rPr>
        <w:t>the collapse of the Soviet Union</w:t>
      </w:r>
      <w:r>
        <w:rPr>
          <w:rFonts w:asciiTheme="majorBidi" w:hAnsiTheme="majorBidi" w:cstheme="majorBidi"/>
          <w:sz w:val="24"/>
          <w:szCs w:val="24"/>
        </w:rPr>
        <w:t>, when t</w:t>
      </w:r>
      <w:r w:rsidR="002757BB" w:rsidRPr="002757BB">
        <w:rPr>
          <w:rFonts w:asciiTheme="majorBidi" w:hAnsiTheme="majorBidi" w:cstheme="majorBidi"/>
          <w:sz w:val="24"/>
          <w:szCs w:val="24"/>
        </w:rPr>
        <w:t>he independence of former Soviet/communist states triggered the birth of new, national historiographies</w:t>
      </w:r>
      <w:r w:rsidR="00B63255">
        <w:rPr>
          <w:rFonts w:asciiTheme="majorBidi" w:hAnsiTheme="majorBidi" w:cstheme="majorBidi"/>
          <w:sz w:val="24"/>
          <w:szCs w:val="24"/>
        </w:rPr>
        <w:t xml:space="preserve"> or the renewal of local studies (</w:t>
      </w:r>
      <w:proofErr w:type="spellStart"/>
      <w:r w:rsidR="00B63255">
        <w:rPr>
          <w:rFonts w:asciiTheme="majorBidi" w:hAnsiTheme="majorBidi" w:cstheme="majorBidi"/>
          <w:i/>
          <w:iCs/>
          <w:sz w:val="24"/>
          <w:szCs w:val="24"/>
        </w:rPr>
        <w:t>kraevedenie</w:t>
      </w:r>
      <w:proofErr w:type="spellEnd"/>
      <w:r w:rsidR="00B63255">
        <w:rPr>
          <w:rFonts w:asciiTheme="majorBidi" w:hAnsiTheme="majorBidi" w:cstheme="majorBidi"/>
          <w:sz w:val="24"/>
          <w:szCs w:val="24"/>
        </w:rPr>
        <w:t>)</w:t>
      </w:r>
      <w:r w:rsidR="00A10B73">
        <w:rPr>
          <w:rStyle w:val="EndnoteReference"/>
          <w:rFonts w:asciiTheme="majorBidi" w:hAnsiTheme="majorBidi" w:cstheme="majorBidi"/>
          <w:sz w:val="24"/>
          <w:szCs w:val="24"/>
        </w:rPr>
        <w:endnoteReference w:id="7"/>
      </w:r>
      <w:r w:rsidR="002757BB" w:rsidRPr="002757BB">
        <w:rPr>
          <w:rFonts w:asciiTheme="majorBidi" w:hAnsiTheme="majorBidi" w:cstheme="majorBidi"/>
          <w:sz w:val="24"/>
          <w:szCs w:val="24"/>
        </w:rPr>
        <w:t>. A</w:t>
      </w:r>
      <w:r w:rsidR="003035B0">
        <w:rPr>
          <w:rFonts w:asciiTheme="majorBidi" w:hAnsiTheme="majorBidi" w:cstheme="majorBidi"/>
          <w:sz w:val="24"/>
          <w:szCs w:val="24"/>
        </w:rPr>
        <w:t>s a result of these parallel and reinforcing processes, a</w:t>
      </w:r>
      <w:r w:rsidR="002757BB" w:rsidRPr="002757BB">
        <w:rPr>
          <w:rFonts w:asciiTheme="majorBidi" w:hAnsiTheme="majorBidi" w:cstheme="majorBidi"/>
          <w:sz w:val="24"/>
          <w:szCs w:val="24"/>
        </w:rPr>
        <w:t xml:space="preserve"> lot of</w:t>
      </w:r>
      <w:r w:rsidR="002757BB">
        <w:rPr>
          <w:rFonts w:asciiTheme="majorBidi" w:hAnsiTheme="majorBidi" w:cstheme="majorBidi"/>
          <w:sz w:val="24"/>
          <w:szCs w:val="24"/>
        </w:rPr>
        <w:t xml:space="preserve"> research has been done </w:t>
      </w:r>
      <w:r w:rsidR="003035B0">
        <w:rPr>
          <w:rFonts w:asciiTheme="majorBidi" w:hAnsiTheme="majorBidi" w:cstheme="majorBidi"/>
          <w:sz w:val="24"/>
          <w:szCs w:val="24"/>
        </w:rPr>
        <w:t>on</w:t>
      </w:r>
      <w:r w:rsidR="00B63255">
        <w:rPr>
          <w:rFonts w:asciiTheme="majorBidi" w:hAnsiTheme="majorBidi" w:cstheme="majorBidi"/>
          <w:sz w:val="24"/>
          <w:szCs w:val="24"/>
        </w:rPr>
        <w:t xml:space="preserve"> the distinct history of Jews in each country</w:t>
      </w:r>
      <w:r w:rsidR="003035B0">
        <w:rPr>
          <w:rFonts w:asciiTheme="majorBidi" w:hAnsiTheme="majorBidi" w:cstheme="majorBidi"/>
          <w:sz w:val="24"/>
          <w:szCs w:val="24"/>
        </w:rPr>
        <w:t>. I</w:t>
      </w:r>
      <w:r w:rsidR="002757BB" w:rsidRPr="002757BB">
        <w:rPr>
          <w:rFonts w:asciiTheme="majorBidi" w:hAnsiTheme="majorBidi" w:cstheme="majorBidi"/>
          <w:sz w:val="24"/>
          <w:szCs w:val="24"/>
        </w:rPr>
        <w:t xml:space="preserve">n the last few years, collections of works on Jewish-Ukrainian and Jewish-Lithuanian relations </w:t>
      </w:r>
      <w:r w:rsidR="00E03917">
        <w:rPr>
          <w:rFonts w:asciiTheme="majorBidi" w:hAnsiTheme="majorBidi" w:cstheme="majorBidi"/>
          <w:sz w:val="24"/>
          <w:szCs w:val="24"/>
        </w:rPr>
        <w:t>have been</w:t>
      </w:r>
      <w:r w:rsidR="00E03917" w:rsidRPr="002757BB">
        <w:rPr>
          <w:rFonts w:asciiTheme="majorBidi" w:hAnsiTheme="majorBidi" w:cstheme="majorBidi"/>
          <w:sz w:val="24"/>
          <w:szCs w:val="24"/>
        </w:rPr>
        <w:t xml:space="preserve"> </w:t>
      </w:r>
      <w:r w:rsidR="002757BB" w:rsidRPr="002757BB">
        <w:rPr>
          <w:rFonts w:asciiTheme="majorBidi" w:hAnsiTheme="majorBidi" w:cstheme="majorBidi"/>
          <w:sz w:val="24"/>
          <w:szCs w:val="24"/>
        </w:rPr>
        <w:t xml:space="preserve">published and </w:t>
      </w:r>
      <w:r w:rsidR="00E03917">
        <w:rPr>
          <w:rFonts w:asciiTheme="majorBidi" w:hAnsiTheme="majorBidi" w:cstheme="majorBidi"/>
          <w:sz w:val="24"/>
          <w:szCs w:val="24"/>
        </w:rPr>
        <w:t xml:space="preserve">have </w:t>
      </w:r>
      <w:r w:rsidR="002757BB" w:rsidRPr="002757BB">
        <w:rPr>
          <w:rFonts w:asciiTheme="majorBidi" w:hAnsiTheme="majorBidi" w:cstheme="majorBidi"/>
          <w:sz w:val="24"/>
          <w:szCs w:val="24"/>
        </w:rPr>
        <w:t xml:space="preserve">brought new insights to our understanding of political cooperation (or </w:t>
      </w:r>
      <w:r w:rsidR="00E03917">
        <w:rPr>
          <w:rFonts w:asciiTheme="majorBidi" w:hAnsiTheme="majorBidi" w:cstheme="majorBidi"/>
          <w:sz w:val="24"/>
          <w:szCs w:val="24"/>
        </w:rPr>
        <w:t>its</w:t>
      </w:r>
      <w:r w:rsidR="00E03917" w:rsidRPr="002757BB">
        <w:rPr>
          <w:rFonts w:asciiTheme="majorBidi" w:hAnsiTheme="majorBidi" w:cstheme="majorBidi"/>
          <w:sz w:val="24"/>
          <w:szCs w:val="24"/>
        </w:rPr>
        <w:t xml:space="preserve"> </w:t>
      </w:r>
      <w:r w:rsidR="002757BB" w:rsidRPr="002757BB">
        <w:rPr>
          <w:rFonts w:asciiTheme="majorBidi" w:hAnsiTheme="majorBidi" w:cstheme="majorBidi"/>
          <w:sz w:val="24"/>
          <w:szCs w:val="24"/>
        </w:rPr>
        <w:t>absence), cultural interactions and anti-Semitism before and during the Holocaust</w:t>
      </w:r>
      <w:r w:rsidR="007946D3">
        <w:rPr>
          <w:rStyle w:val="EndnoteReference"/>
          <w:rFonts w:asciiTheme="majorBidi" w:hAnsiTheme="majorBidi" w:cstheme="majorBidi"/>
          <w:sz w:val="24"/>
          <w:szCs w:val="24"/>
        </w:rPr>
        <w:endnoteReference w:id="8"/>
      </w:r>
      <w:r w:rsidR="002757BB" w:rsidRPr="002757BB">
        <w:rPr>
          <w:rFonts w:asciiTheme="majorBidi" w:hAnsiTheme="majorBidi" w:cstheme="majorBidi"/>
          <w:sz w:val="24"/>
          <w:szCs w:val="24"/>
        </w:rPr>
        <w:t>.</w:t>
      </w:r>
      <w:r w:rsidR="007946D3">
        <w:rPr>
          <w:rFonts w:asciiTheme="majorBidi" w:hAnsiTheme="majorBidi" w:cstheme="majorBidi"/>
          <w:sz w:val="24"/>
          <w:szCs w:val="24"/>
        </w:rPr>
        <w:t xml:space="preserve"> </w:t>
      </w:r>
      <w:r w:rsidR="007946D3" w:rsidRPr="002757BB">
        <w:rPr>
          <w:rFonts w:asciiTheme="majorBidi" w:hAnsiTheme="majorBidi" w:cstheme="majorBidi"/>
          <w:sz w:val="24"/>
          <w:szCs w:val="24"/>
        </w:rPr>
        <w:t xml:space="preserve">But there are </w:t>
      </w:r>
      <w:r w:rsidR="003035B0">
        <w:rPr>
          <w:rFonts w:asciiTheme="majorBidi" w:hAnsiTheme="majorBidi" w:cstheme="majorBidi"/>
          <w:sz w:val="24"/>
          <w:szCs w:val="24"/>
        </w:rPr>
        <w:t>few</w:t>
      </w:r>
      <w:r w:rsidR="007946D3">
        <w:rPr>
          <w:rFonts w:asciiTheme="majorBidi" w:hAnsiTheme="majorBidi" w:cstheme="majorBidi"/>
          <w:sz w:val="24"/>
          <w:szCs w:val="24"/>
        </w:rPr>
        <w:t xml:space="preserve"> </w:t>
      </w:r>
      <w:r w:rsidR="007946D3" w:rsidRPr="002757BB">
        <w:rPr>
          <w:rFonts w:asciiTheme="majorBidi" w:hAnsiTheme="majorBidi" w:cstheme="majorBidi"/>
          <w:sz w:val="24"/>
          <w:szCs w:val="24"/>
        </w:rPr>
        <w:t xml:space="preserve">regional </w:t>
      </w:r>
      <w:proofErr w:type="gramStart"/>
      <w:r w:rsidR="007946D3" w:rsidRPr="002757BB">
        <w:rPr>
          <w:rFonts w:asciiTheme="majorBidi" w:hAnsiTheme="majorBidi" w:cstheme="majorBidi"/>
          <w:sz w:val="24"/>
          <w:szCs w:val="24"/>
        </w:rPr>
        <w:t>studies</w:t>
      </w:r>
      <w:r w:rsidR="0055419D">
        <w:rPr>
          <w:rFonts w:asciiTheme="majorBidi" w:hAnsiTheme="majorBidi" w:cstheme="majorBidi"/>
          <w:sz w:val="24"/>
          <w:szCs w:val="24"/>
        </w:rPr>
        <w:t xml:space="preserve"> </w:t>
      </w:r>
      <w:proofErr w:type="gramEnd"/>
      <w:r w:rsidR="003035B0">
        <w:rPr>
          <w:rStyle w:val="EndnoteReference"/>
          <w:rFonts w:asciiTheme="majorBidi" w:hAnsiTheme="majorBidi" w:cstheme="majorBidi"/>
          <w:sz w:val="24"/>
          <w:szCs w:val="24"/>
        </w:rPr>
        <w:endnoteReference w:id="9"/>
      </w:r>
      <w:r w:rsidR="007946D3" w:rsidRPr="002757BB">
        <w:rPr>
          <w:rFonts w:asciiTheme="majorBidi" w:hAnsiTheme="majorBidi" w:cstheme="majorBidi"/>
          <w:sz w:val="24"/>
          <w:szCs w:val="24"/>
        </w:rPr>
        <w:t>, and even fewer</w:t>
      </w:r>
      <w:r w:rsidR="009F2D9E">
        <w:rPr>
          <w:rFonts w:asciiTheme="majorBidi" w:hAnsiTheme="majorBidi" w:cstheme="majorBidi"/>
          <w:sz w:val="24"/>
          <w:szCs w:val="24"/>
        </w:rPr>
        <w:t xml:space="preserve"> if no</w:t>
      </w:r>
      <w:r w:rsidR="007946D3" w:rsidRPr="002757BB">
        <w:rPr>
          <w:rFonts w:asciiTheme="majorBidi" w:hAnsiTheme="majorBidi" w:cstheme="majorBidi"/>
          <w:sz w:val="24"/>
          <w:szCs w:val="24"/>
        </w:rPr>
        <w:t xml:space="preserve"> comparative studies. </w:t>
      </w:r>
      <w:r w:rsidR="007946D3">
        <w:rPr>
          <w:rFonts w:asciiTheme="majorBidi" w:hAnsiTheme="majorBidi" w:cstheme="majorBidi"/>
          <w:sz w:val="24"/>
          <w:szCs w:val="24"/>
        </w:rPr>
        <w:t>T</w:t>
      </w:r>
      <w:r w:rsidR="002757BB">
        <w:rPr>
          <w:rFonts w:asciiTheme="majorBidi" w:hAnsiTheme="majorBidi" w:cstheme="majorBidi"/>
          <w:sz w:val="24"/>
          <w:szCs w:val="24"/>
        </w:rPr>
        <w:t>he original</w:t>
      </w:r>
      <w:r w:rsidR="00CC003B">
        <w:rPr>
          <w:rFonts w:asciiTheme="majorBidi" w:hAnsiTheme="majorBidi" w:cstheme="majorBidi"/>
          <w:sz w:val="24"/>
          <w:szCs w:val="24"/>
        </w:rPr>
        <w:t xml:space="preserve"> workshop,</w:t>
      </w:r>
      <w:r w:rsidR="002757BB">
        <w:rPr>
          <w:rFonts w:asciiTheme="majorBidi" w:hAnsiTheme="majorBidi" w:cstheme="majorBidi"/>
          <w:sz w:val="24"/>
          <w:szCs w:val="24"/>
        </w:rPr>
        <w:t xml:space="preserve"> this publication and the project that will hopefully follow, aim to go further in this direction and to break with the ‘imperial model’ as </w:t>
      </w:r>
      <w:proofErr w:type="spellStart"/>
      <w:r w:rsidR="002757BB">
        <w:rPr>
          <w:rFonts w:asciiTheme="majorBidi" w:hAnsiTheme="majorBidi" w:cstheme="majorBidi"/>
          <w:sz w:val="24"/>
          <w:szCs w:val="24"/>
        </w:rPr>
        <w:t>Petrovsky-Shtern</w:t>
      </w:r>
      <w:proofErr w:type="spellEnd"/>
      <w:r w:rsidR="002757BB">
        <w:rPr>
          <w:rFonts w:asciiTheme="majorBidi" w:hAnsiTheme="majorBidi" w:cstheme="majorBidi"/>
          <w:sz w:val="24"/>
          <w:szCs w:val="24"/>
        </w:rPr>
        <w:t xml:space="preserve"> has labelled it</w:t>
      </w:r>
      <w:r w:rsidR="00E03917">
        <w:rPr>
          <w:rFonts w:asciiTheme="majorBidi" w:hAnsiTheme="majorBidi" w:cstheme="majorBidi"/>
          <w:sz w:val="24"/>
          <w:szCs w:val="24"/>
        </w:rPr>
        <w:t>,</w:t>
      </w:r>
      <w:r w:rsidR="002757BB">
        <w:rPr>
          <w:rFonts w:asciiTheme="majorBidi" w:hAnsiTheme="majorBidi" w:cstheme="majorBidi"/>
          <w:sz w:val="24"/>
          <w:szCs w:val="24"/>
        </w:rPr>
        <w:t xml:space="preserve"> but also with national approaches in writing the </w:t>
      </w:r>
      <w:r w:rsidR="003035B0">
        <w:rPr>
          <w:rFonts w:asciiTheme="majorBidi" w:hAnsiTheme="majorBidi" w:cstheme="majorBidi"/>
          <w:sz w:val="24"/>
          <w:szCs w:val="24"/>
        </w:rPr>
        <w:t xml:space="preserve">history of Jews in each country. It </w:t>
      </w:r>
      <w:r w:rsidR="002757BB">
        <w:rPr>
          <w:rFonts w:asciiTheme="majorBidi" w:hAnsiTheme="majorBidi" w:cstheme="majorBidi"/>
          <w:sz w:val="24"/>
          <w:szCs w:val="24"/>
        </w:rPr>
        <w:t xml:space="preserve"> </w:t>
      </w:r>
      <w:r w:rsidR="003035B0">
        <w:rPr>
          <w:rFonts w:asciiTheme="majorBidi" w:hAnsiTheme="majorBidi" w:cstheme="majorBidi"/>
          <w:sz w:val="24"/>
          <w:szCs w:val="24"/>
        </w:rPr>
        <w:t>argues for the use of</w:t>
      </w:r>
      <w:r w:rsidR="002757BB">
        <w:rPr>
          <w:rFonts w:asciiTheme="majorBidi" w:hAnsiTheme="majorBidi" w:cstheme="majorBidi"/>
          <w:sz w:val="24"/>
          <w:szCs w:val="24"/>
        </w:rPr>
        <w:t xml:space="preserve"> a comparative/transnational approach, in order to </w:t>
      </w:r>
      <w:r w:rsidR="007946D3">
        <w:rPr>
          <w:rFonts w:asciiTheme="majorBidi" w:hAnsiTheme="majorBidi" w:cstheme="majorBidi"/>
          <w:sz w:val="24"/>
          <w:szCs w:val="24"/>
        </w:rPr>
        <w:t>grasp</w:t>
      </w:r>
      <w:r w:rsidR="002757BB">
        <w:rPr>
          <w:rFonts w:asciiTheme="majorBidi" w:hAnsiTheme="majorBidi" w:cstheme="majorBidi"/>
          <w:sz w:val="24"/>
          <w:szCs w:val="24"/>
        </w:rPr>
        <w:t xml:space="preserve"> the bigger picture and evaluate at a global scale the importance and significance of the exchanges of Jews with their neighbours,</w:t>
      </w:r>
      <w:r w:rsidR="00E03917">
        <w:rPr>
          <w:rFonts w:asciiTheme="majorBidi" w:hAnsiTheme="majorBidi" w:cstheme="majorBidi"/>
          <w:sz w:val="24"/>
          <w:szCs w:val="24"/>
        </w:rPr>
        <w:t xml:space="preserve"> in the</w:t>
      </w:r>
      <w:r w:rsidR="002757BB">
        <w:rPr>
          <w:rFonts w:asciiTheme="majorBidi" w:hAnsiTheme="majorBidi" w:cstheme="majorBidi"/>
          <w:sz w:val="24"/>
          <w:szCs w:val="24"/>
        </w:rPr>
        <w:t xml:space="preserve"> ‘peasant nations’, ‘oppressed nations’, or emerging nation-states, whatever we </w:t>
      </w:r>
      <w:r w:rsidR="00E03917">
        <w:rPr>
          <w:rFonts w:asciiTheme="majorBidi" w:hAnsiTheme="majorBidi" w:cstheme="majorBidi"/>
          <w:sz w:val="24"/>
          <w:szCs w:val="24"/>
        </w:rPr>
        <w:t xml:space="preserve">choose to </w:t>
      </w:r>
      <w:r w:rsidR="002757BB">
        <w:rPr>
          <w:rFonts w:asciiTheme="majorBidi" w:hAnsiTheme="majorBidi" w:cstheme="majorBidi"/>
          <w:sz w:val="24"/>
          <w:szCs w:val="24"/>
        </w:rPr>
        <w:t>call them.</w:t>
      </w:r>
    </w:p>
    <w:p w14:paraId="1A5DA667" w14:textId="64189BF5" w:rsidR="006F52E7" w:rsidRDefault="00DF4C7C" w:rsidP="00191A7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The second objective was to look more closely and in a comparative way at the natio</w:t>
      </w:r>
      <w:r w:rsidR="003035B0">
        <w:rPr>
          <w:rFonts w:asciiTheme="majorBidi" w:hAnsiTheme="majorBidi" w:cstheme="majorBidi"/>
          <w:sz w:val="24"/>
          <w:szCs w:val="24"/>
        </w:rPr>
        <w:t xml:space="preserve">nal-cultural autonomy </w:t>
      </w:r>
      <w:r w:rsidR="002515AA">
        <w:rPr>
          <w:rFonts w:asciiTheme="majorBidi" w:hAnsiTheme="majorBidi" w:cstheme="majorBidi"/>
          <w:sz w:val="24"/>
          <w:szCs w:val="24"/>
        </w:rPr>
        <w:t xml:space="preserve">(NCA) </w:t>
      </w:r>
      <w:r w:rsidR="003035B0">
        <w:rPr>
          <w:rFonts w:asciiTheme="majorBidi" w:hAnsiTheme="majorBidi" w:cstheme="majorBidi"/>
          <w:sz w:val="24"/>
          <w:szCs w:val="24"/>
        </w:rPr>
        <w:t xml:space="preserve">principle. This principle, defined by the Austro-Marxists and </w:t>
      </w:r>
      <w:r w:rsidR="009F2D9E">
        <w:rPr>
          <w:rFonts w:asciiTheme="majorBidi" w:hAnsiTheme="majorBidi" w:cstheme="majorBidi"/>
          <w:sz w:val="24"/>
          <w:szCs w:val="24"/>
        </w:rPr>
        <w:t xml:space="preserve">Simon </w:t>
      </w:r>
      <w:proofErr w:type="spellStart"/>
      <w:r w:rsidR="007946D3">
        <w:rPr>
          <w:rFonts w:asciiTheme="majorBidi" w:hAnsiTheme="majorBidi" w:cstheme="majorBidi"/>
          <w:sz w:val="24"/>
          <w:szCs w:val="24"/>
        </w:rPr>
        <w:t>Dubnov</w:t>
      </w:r>
      <w:proofErr w:type="spellEnd"/>
      <w:r w:rsidR="003035B0">
        <w:rPr>
          <w:rFonts w:asciiTheme="majorBidi" w:hAnsiTheme="majorBidi" w:cstheme="majorBidi"/>
          <w:sz w:val="24"/>
          <w:szCs w:val="24"/>
        </w:rPr>
        <w:t xml:space="preserve">, and </w:t>
      </w:r>
      <w:r w:rsidR="007946D3">
        <w:rPr>
          <w:rFonts w:asciiTheme="majorBidi" w:hAnsiTheme="majorBidi" w:cstheme="majorBidi"/>
          <w:sz w:val="24"/>
          <w:szCs w:val="24"/>
        </w:rPr>
        <w:t xml:space="preserve">then </w:t>
      </w:r>
      <w:r>
        <w:rPr>
          <w:rFonts w:asciiTheme="majorBidi" w:hAnsiTheme="majorBidi" w:cstheme="majorBidi"/>
          <w:sz w:val="24"/>
          <w:szCs w:val="24"/>
        </w:rPr>
        <w:t xml:space="preserve">largely accepted and </w:t>
      </w:r>
      <w:r w:rsidR="007946D3">
        <w:rPr>
          <w:rFonts w:asciiTheme="majorBidi" w:hAnsiTheme="majorBidi" w:cstheme="majorBidi"/>
          <w:sz w:val="24"/>
          <w:szCs w:val="24"/>
        </w:rPr>
        <w:t>diffused</w:t>
      </w:r>
      <w:r>
        <w:rPr>
          <w:rFonts w:asciiTheme="majorBidi" w:hAnsiTheme="majorBidi" w:cstheme="majorBidi"/>
          <w:sz w:val="24"/>
          <w:szCs w:val="24"/>
        </w:rPr>
        <w:t xml:space="preserve"> in the political platforms of a wide range of Jewish a</w:t>
      </w:r>
      <w:r w:rsidR="008D276D">
        <w:rPr>
          <w:rFonts w:asciiTheme="majorBidi" w:hAnsiTheme="majorBidi" w:cstheme="majorBidi"/>
          <w:sz w:val="24"/>
          <w:szCs w:val="24"/>
        </w:rPr>
        <w:t>nd non-Jewish political parties after 1905,</w:t>
      </w:r>
      <w:r>
        <w:rPr>
          <w:rFonts w:asciiTheme="majorBidi" w:hAnsiTheme="majorBidi" w:cstheme="majorBidi"/>
          <w:sz w:val="24"/>
          <w:szCs w:val="24"/>
        </w:rPr>
        <w:t xml:space="preserve"> was then implemented in the </w:t>
      </w:r>
      <w:r w:rsidR="00191A75">
        <w:rPr>
          <w:rFonts w:asciiTheme="majorBidi" w:hAnsiTheme="majorBidi" w:cstheme="majorBidi"/>
          <w:sz w:val="24"/>
          <w:szCs w:val="24"/>
        </w:rPr>
        <w:t xml:space="preserve">context </w:t>
      </w:r>
      <w:r>
        <w:rPr>
          <w:rFonts w:asciiTheme="majorBidi" w:hAnsiTheme="majorBidi" w:cstheme="majorBidi"/>
          <w:sz w:val="24"/>
          <w:szCs w:val="24"/>
        </w:rPr>
        <w:t>of the various independent states or Soviet republics</w:t>
      </w:r>
      <w:r w:rsidR="008D276D">
        <w:rPr>
          <w:rFonts w:asciiTheme="majorBidi" w:hAnsiTheme="majorBidi" w:cstheme="majorBidi"/>
          <w:sz w:val="24"/>
          <w:szCs w:val="24"/>
        </w:rPr>
        <w:t xml:space="preserve"> emerging after 1918</w:t>
      </w:r>
      <w:r>
        <w:rPr>
          <w:rFonts w:asciiTheme="majorBidi" w:hAnsiTheme="majorBidi" w:cstheme="majorBidi"/>
          <w:sz w:val="24"/>
          <w:szCs w:val="24"/>
        </w:rPr>
        <w:t xml:space="preserve">. The final ambition of this workshop was to </w:t>
      </w:r>
      <w:r w:rsidR="003035B0">
        <w:rPr>
          <w:rFonts w:asciiTheme="majorBidi" w:hAnsiTheme="majorBidi" w:cstheme="majorBidi"/>
          <w:sz w:val="24"/>
          <w:szCs w:val="24"/>
        </w:rPr>
        <w:t xml:space="preserve">compare how national-cultural autonomy was approached and used by </w:t>
      </w:r>
      <w:r w:rsidR="00E03917">
        <w:rPr>
          <w:rFonts w:asciiTheme="majorBidi" w:hAnsiTheme="majorBidi" w:cstheme="majorBidi"/>
          <w:sz w:val="24"/>
          <w:szCs w:val="24"/>
        </w:rPr>
        <w:t xml:space="preserve">previously oppressed </w:t>
      </w:r>
      <w:r w:rsidR="003035B0">
        <w:rPr>
          <w:rFonts w:asciiTheme="majorBidi" w:hAnsiTheme="majorBidi" w:cstheme="majorBidi"/>
          <w:sz w:val="24"/>
          <w:szCs w:val="24"/>
        </w:rPr>
        <w:t xml:space="preserve">nations </w:t>
      </w:r>
      <w:r w:rsidR="002515AA">
        <w:rPr>
          <w:rFonts w:asciiTheme="majorBidi" w:hAnsiTheme="majorBidi" w:cstheme="majorBidi"/>
          <w:sz w:val="24"/>
          <w:szCs w:val="24"/>
        </w:rPr>
        <w:t>to</w:t>
      </w:r>
      <w:r w:rsidR="003035B0">
        <w:rPr>
          <w:rFonts w:asciiTheme="majorBidi" w:hAnsiTheme="majorBidi" w:cstheme="majorBidi"/>
          <w:sz w:val="24"/>
          <w:szCs w:val="24"/>
        </w:rPr>
        <w:t xml:space="preserve"> </w:t>
      </w:r>
      <w:r w:rsidR="002515AA">
        <w:rPr>
          <w:rFonts w:asciiTheme="majorBidi" w:hAnsiTheme="majorBidi" w:cstheme="majorBidi"/>
          <w:sz w:val="24"/>
          <w:szCs w:val="24"/>
        </w:rPr>
        <w:t>build</w:t>
      </w:r>
      <w:r w:rsidR="003035B0">
        <w:rPr>
          <w:rFonts w:asciiTheme="majorBidi" w:hAnsiTheme="majorBidi" w:cstheme="majorBidi"/>
          <w:sz w:val="24"/>
          <w:szCs w:val="24"/>
        </w:rPr>
        <w:t xml:space="preserve"> their national state or identit</w:t>
      </w:r>
      <w:r w:rsidR="00E03917">
        <w:rPr>
          <w:rFonts w:asciiTheme="majorBidi" w:hAnsiTheme="majorBidi" w:cstheme="majorBidi"/>
          <w:sz w:val="24"/>
          <w:szCs w:val="24"/>
        </w:rPr>
        <w:t>y</w:t>
      </w:r>
      <w:r w:rsidR="003035B0">
        <w:rPr>
          <w:rFonts w:asciiTheme="majorBidi" w:hAnsiTheme="majorBidi" w:cstheme="majorBidi"/>
          <w:sz w:val="24"/>
          <w:szCs w:val="24"/>
        </w:rPr>
        <w:t>; and how their policies towards</w:t>
      </w:r>
      <w:r w:rsidR="002515AA">
        <w:rPr>
          <w:rFonts w:asciiTheme="majorBidi" w:hAnsiTheme="majorBidi" w:cstheme="majorBidi"/>
          <w:sz w:val="24"/>
          <w:szCs w:val="24"/>
        </w:rPr>
        <w:t xml:space="preserve"> ethnic minorities, mainly but not only Jews, aligned with this principle</w:t>
      </w:r>
      <w:r>
        <w:rPr>
          <w:rFonts w:asciiTheme="majorBidi" w:hAnsiTheme="majorBidi" w:cstheme="majorBidi"/>
          <w:sz w:val="24"/>
          <w:szCs w:val="24"/>
        </w:rPr>
        <w:t xml:space="preserve">. </w:t>
      </w:r>
      <w:r w:rsidR="00CC003B">
        <w:rPr>
          <w:rFonts w:asciiTheme="majorBidi" w:hAnsiTheme="majorBidi" w:cstheme="majorBidi"/>
          <w:sz w:val="24"/>
          <w:szCs w:val="24"/>
        </w:rPr>
        <w:t xml:space="preserve">In spite of </w:t>
      </w:r>
      <w:r w:rsidR="00E03917">
        <w:rPr>
          <w:rFonts w:asciiTheme="majorBidi" w:hAnsiTheme="majorBidi" w:cstheme="majorBidi"/>
          <w:sz w:val="24"/>
          <w:szCs w:val="24"/>
        </w:rPr>
        <w:t xml:space="preserve">recent </w:t>
      </w:r>
      <w:r w:rsidR="00CC003B">
        <w:rPr>
          <w:rFonts w:asciiTheme="majorBidi" w:hAnsiTheme="majorBidi" w:cstheme="majorBidi"/>
          <w:sz w:val="24"/>
          <w:szCs w:val="24"/>
        </w:rPr>
        <w:t xml:space="preserve">major contributions to our understanding </w:t>
      </w:r>
      <w:r>
        <w:rPr>
          <w:rFonts w:asciiTheme="majorBidi" w:hAnsiTheme="majorBidi" w:cstheme="majorBidi"/>
          <w:sz w:val="24"/>
          <w:szCs w:val="24"/>
        </w:rPr>
        <w:t xml:space="preserve">of the specific relations of Jews and Lithuanians, or Jews and Ukrainians, </w:t>
      </w:r>
      <w:r w:rsidR="008906B6">
        <w:rPr>
          <w:rFonts w:asciiTheme="majorBidi" w:hAnsiTheme="majorBidi" w:cstheme="majorBidi"/>
          <w:sz w:val="24"/>
          <w:szCs w:val="24"/>
        </w:rPr>
        <w:t>the</w:t>
      </w:r>
      <w:r w:rsidR="00CC003B">
        <w:rPr>
          <w:rFonts w:asciiTheme="majorBidi" w:hAnsiTheme="majorBidi" w:cstheme="majorBidi"/>
          <w:sz w:val="24"/>
          <w:szCs w:val="24"/>
        </w:rPr>
        <w:t xml:space="preserve"> connections between these national spaces and their similarities or divergences in addressing the issue of ethnic minorities are </w:t>
      </w:r>
      <w:r w:rsidR="008906B6">
        <w:rPr>
          <w:rFonts w:asciiTheme="majorBidi" w:hAnsiTheme="majorBidi" w:cstheme="majorBidi"/>
          <w:sz w:val="24"/>
          <w:szCs w:val="24"/>
        </w:rPr>
        <w:t xml:space="preserve">still </w:t>
      </w:r>
      <w:r w:rsidR="00CC003B">
        <w:rPr>
          <w:rFonts w:asciiTheme="majorBidi" w:hAnsiTheme="majorBidi" w:cstheme="majorBidi"/>
          <w:sz w:val="24"/>
          <w:szCs w:val="24"/>
        </w:rPr>
        <w:t>little researched</w:t>
      </w:r>
      <w:r w:rsidR="008906B6">
        <w:rPr>
          <w:rFonts w:asciiTheme="majorBidi" w:hAnsiTheme="majorBidi" w:cstheme="majorBidi"/>
          <w:sz w:val="24"/>
          <w:szCs w:val="24"/>
        </w:rPr>
        <w:t xml:space="preserve">. This project </w:t>
      </w:r>
      <w:r w:rsidR="00E03917">
        <w:rPr>
          <w:rFonts w:asciiTheme="majorBidi" w:hAnsiTheme="majorBidi" w:cstheme="majorBidi"/>
          <w:sz w:val="24"/>
          <w:szCs w:val="24"/>
        </w:rPr>
        <w:t xml:space="preserve">set out </w:t>
      </w:r>
      <w:r w:rsidR="008906B6">
        <w:rPr>
          <w:rFonts w:asciiTheme="majorBidi" w:hAnsiTheme="majorBidi" w:cstheme="majorBidi"/>
          <w:sz w:val="24"/>
          <w:szCs w:val="24"/>
        </w:rPr>
        <w:t>to grasp a bigger process – the birth of a new model of nationality policy</w:t>
      </w:r>
      <w:r w:rsidR="00A52C7E">
        <w:rPr>
          <w:rFonts w:asciiTheme="majorBidi" w:hAnsiTheme="majorBidi" w:cstheme="majorBidi"/>
          <w:sz w:val="24"/>
          <w:szCs w:val="24"/>
        </w:rPr>
        <w:t xml:space="preserve"> based on the NCA</w:t>
      </w:r>
      <w:r w:rsidR="008D276D">
        <w:rPr>
          <w:rFonts w:asciiTheme="majorBidi" w:hAnsiTheme="majorBidi" w:cstheme="majorBidi"/>
          <w:sz w:val="24"/>
          <w:szCs w:val="24"/>
        </w:rPr>
        <w:t xml:space="preserve"> - </w:t>
      </w:r>
      <w:r w:rsidR="008906B6">
        <w:rPr>
          <w:rFonts w:asciiTheme="majorBidi" w:hAnsiTheme="majorBidi" w:cstheme="majorBidi"/>
          <w:sz w:val="24"/>
          <w:szCs w:val="24"/>
        </w:rPr>
        <w:t xml:space="preserve">and </w:t>
      </w:r>
      <w:r w:rsidR="008D276D">
        <w:rPr>
          <w:rFonts w:asciiTheme="majorBidi" w:hAnsiTheme="majorBidi" w:cstheme="majorBidi"/>
          <w:sz w:val="24"/>
          <w:szCs w:val="24"/>
        </w:rPr>
        <w:t xml:space="preserve">identify </w:t>
      </w:r>
      <w:r w:rsidR="008906B6">
        <w:rPr>
          <w:rFonts w:asciiTheme="majorBidi" w:hAnsiTheme="majorBidi" w:cstheme="majorBidi"/>
          <w:sz w:val="24"/>
          <w:szCs w:val="24"/>
        </w:rPr>
        <w:t>its various implications</w:t>
      </w:r>
      <w:r w:rsidR="00A52C7E">
        <w:rPr>
          <w:rFonts w:asciiTheme="majorBidi" w:hAnsiTheme="majorBidi" w:cstheme="majorBidi"/>
          <w:sz w:val="24"/>
          <w:szCs w:val="24"/>
        </w:rPr>
        <w:t xml:space="preserve"> in terms of political and cultural interactions</w:t>
      </w:r>
      <w:r w:rsidR="008906B6">
        <w:rPr>
          <w:rFonts w:asciiTheme="majorBidi" w:hAnsiTheme="majorBidi" w:cstheme="majorBidi"/>
          <w:sz w:val="24"/>
          <w:szCs w:val="24"/>
        </w:rPr>
        <w:t>,</w:t>
      </w:r>
      <w:r w:rsidR="00A52C7E">
        <w:rPr>
          <w:rFonts w:asciiTheme="majorBidi" w:hAnsiTheme="majorBidi" w:cstheme="majorBidi"/>
          <w:sz w:val="24"/>
          <w:szCs w:val="24"/>
        </w:rPr>
        <w:t xml:space="preserve"> the ways</w:t>
      </w:r>
      <w:r w:rsidR="008906B6">
        <w:rPr>
          <w:rFonts w:asciiTheme="majorBidi" w:hAnsiTheme="majorBidi" w:cstheme="majorBidi"/>
          <w:sz w:val="24"/>
          <w:szCs w:val="24"/>
        </w:rPr>
        <w:t xml:space="preserve"> </w:t>
      </w:r>
      <w:r w:rsidR="00A52C7E">
        <w:rPr>
          <w:rFonts w:asciiTheme="majorBidi" w:hAnsiTheme="majorBidi" w:cstheme="majorBidi"/>
          <w:sz w:val="24"/>
          <w:szCs w:val="24"/>
        </w:rPr>
        <w:t>it was implemented</w:t>
      </w:r>
      <w:r w:rsidR="008906B6">
        <w:rPr>
          <w:rFonts w:asciiTheme="majorBidi" w:hAnsiTheme="majorBidi" w:cstheme="majorBidi"/>
          <w:sz w:val="24"/>
          <w:szCs w:val="24"/>
        </w:rPr>
        <w:t xml:space="preserve">, </w:t>
      </w:r>
      <w:r w:rsidR="00E03917">
        <w:rPr>
          <w:rFonts w:asciiTheme="majorBidi" w:hAnsiTheme="majorBidi" w:cstheme="majorBidi"/>
          <w:sz w:val="24"/>
          <w:szCs w:val="24"/>
        </w:rPr>
        <w:t xml:space="preserve">and </w:t>
      </w:r>
      <w:r w:rsidR="00A52C7E">
        <w:rPr>
          <w:rFonts w:asciiTheme="majorBidi" w:hAnsiTheme="majorBidi" w:cstheme="majorBidi"/>
          <w:sz w:val="24"/>
          <w:szCs w:val="24"/>
        </w:rPr>
        <w:t xml:space="preserve">its successes </w:t>
      </w:r>
      <w:r w:rsidR="008906B6">
        <w:rPr>
          <w:rFonts w:asciiTheme="majorBidi" w:hAnsiTheme="majorBidi" w:cstheme="majorBidi"/>
          <w:sz w:val="24"/>
          <w:szCs w:val="24"/>
        </w:rPr>
        <w:t xml:space="preserve">and obstacles. </w:t>
      </w:r>
    </w:p>
    <w:p w14:paraId="15C56C40" w14:textId="06658435" w:rsidR="00491684" w:rsidRDefault="00491684" w:rsidP="007457C2">
      <w:pPr>
        <w:spacing w:line="360" w:lineRule="auto"/>
        <w:jc w:val="both"/>
        <w:rPr>
          <w:rFonts w:asciiTheme="majorBidi" w:hAnsiTheme="majorBidi" w:cstheme="majorBidi"/>
          <w:sz w:val="24"/>
          <w:szCs w:val="24"/>
        </w:rPr>
      </w:pPr>
      <w:r>
        <w:rPr>
          <w:rFonts w:asciiTheme="majorBidi" w:hAnsiTheme="majorBidi" w:cstheme="majorBidi"/>
          <w:sz w:val="24"/>
          <w:szCs w:val="24"/>
        </w:rPr>
        <w:t>The research on each country has developed along differen</w:t>
      </w:r>
      <w:r w:rsidR="000F2B05">
        <w:rPr>
          <w:rFonts w:asciiTheme="majorBidi" w:hAnsiTheme="majorBidi" w:cstheme="majorBidi"/>
          <w:sz w:val="24"/>
          <w:szCs w:val="24"/>
        </w:rPr>
        <w:t xml:space="preserve">t lines and at different </w:t>
      </w:r>
      <w:r w:rsidR="00E03917">
        <w:rPr>
          <w:rFonts w:asciiTheme="majorBidi" w:hAnsiTheme="majorBidi" w:cstheme="majorBidi"/>
          <w:sz w:val="24"/>
          <w:szCs w:val="24"/>
        </w:rPr>
        <w:t>speeds</w:t>
      </w:r>
      <w:r w:rsidR="000F2B05">
        <w:rPr>
          <w:rFonts w:asciiTheme="majorBidi" w:hAnsiTheme="majorBidi" w:cstheme="majorBidi"/>
          <w:sz w:val="24"/>
          <w:szCs w:val="24"/>
        </w:rPr>
        <w:t xml:space="preserve">. Research on Jewish-Lithuanian relations </w:t>
      </w:r>
      <w:r w:rsidR="00E03917">
        <w:rPr>
          <w:rFonts w:asciiTheme="majorBidi" w:hAnsiTheme="majorBidi" w:cstheme="majorBidi"/>
          <w:sz w:val="24"/>
          <w:szCs w:val="24"/>
        </w:rPr>
        <w:t xml:space="preserve">has </w:t>
      </w:r>
      <w:r w:rsidR="000F2B05">
        <w:rPr>
          <w:rFonts w:asciiTheme="majorBidi" w:hAnsiTheme="majorBidi" w:cstheme="majorBidi"/>
          <w:sz w:val="24"/>
          <w:szCs w:val="24"/>
        </w:rPr>
        <w:t xml:space="preserve">been particularly dynamic, especially </w:t>
      </w:r>
      <w:r>
        <w:rPr>
          <w:rFonts w:asciiTheme="majorBidi" w:hAnsiTheme="majorBidi" w:cstheme="majorBidi"/>
          <w:sz w:val="24"/>
          <w:szCs w:val="24"/>
        </w:rPr>
        <w:t xml:space="preserve">on political cooperation before and after the war, </w:t>
      </w:r>
      <w:r w:rsidR="00E03917">
        <w:rPr>
          <w:rFonts w:asciiTheme="majorBidi" w:hAnsiTheme="majorBidi" w:cstheme="majorBidi"/>
          <w:sz w:val="24"/>
          <w:szCs w:val="24"/>
        </w:rPr>
        <w:t xml:space="preserve">on </w:t>
      </w:r>
      <w:r>
        <w:rPr>
          <w:rFonts w:asciiTheme="majorBidi" w:hAnsiTheme="majorBidi" w:cstheme="majorBidi"/>
          <w:sz w:val="24"/>
          <w:szCs w:val="24"/>
        </w:rPr>
        <w:t xml:space="preserve">education, </w:t>
      </w:r>
      <w:r w:rsidR="00E03917">
        <w:rPr>
          <w:rFonts w:asciiTheme="majorBidi" w:hAnsiTheme="majorBidi" w:cstheme="majorBidi"/>
          <w:sz w:val="24"/>
          <w:szCs w:val="24"/>
        </w:rPr>
        <w:t xml:space="preserve">and on </w:t>
      </w:r>
      <w:r>
        <w:rPr>
          <w:rFonts w:asciiTheme="majorBidi" w:hAnsiTheme="majorBidi" w:cstheme="majorBidi"/>
          <w:sz w:val="24"/>
          <w:szCs w:val="24"/>
        </w:rPr>
        <w:t>the legal status of Jews as a minority in independent Lithuania</w:t>
      </w:r>
      <w:r w:rsidR="002515AA">
        <w:rPr>
          <w:rStyle w:val="EndnoteReference"/>
          <w:rFonts w:asciiTheme="majorBidi" w:hAnsiTheme="majorBidi" w:cstheme="majorBidi"/>
          <w:sz w:val="24"/>
          <w:szCs w:val="24"/>
        </w:rPr>
        <w:endnoteReference w:id="10"/>
      </w:r>
      <w:r>
        <w:rPr>
          <w:rFonts w:asciiTheme="majorBidi" w:hAnsiTheme="majorBidi" w:cstheme="majorBidi"/>
          <w:sz w:val="24"/>
          <w:szCs w:val="24"/>
        </w:rPr>
        <w:t>. Ukrainian-Jewish relations have also been quite well studied, with a stron</w:t>
      </w:r>
      <w:r w:rsidR="002515AA">
        <w:rPr>
          <w:rFonts w:asciiTheme="majorBidi" w:hAnsiTheme="majorBidi" w:cstheme="majorBidi"/>
          <w:sz w:val="24"/>
          <w:szCs w:val="24"/>
        </w:rPr>
        <w:t>g focus on culture, literature</w:t>
      </w:r>
      <w:r>
        <w:rPr>
          <w:rFonts w:asciiTheme="majorBidi" w:hAnsiTheme="majorBidi" w:cstheme="majorBidi"/>
          <w:sz w:val="24"/>
          <w:szCs w:val="24"/>
        </w:rPr>
        <w:t xml:space="preserve"> and scholarship under the Soviets</w:t>
      </w:r>
      <w:r w:rsidR="002515AA">
        <w:rPr>
          <w:rStyle w:val="EndnoteReference"/>
          <w:rFonts w:asciiTheme="majorBidi" w:hAnsiTheme="majorBidi" w:cstheme="majorBidi"/>
          <w:sz w:val="24"/>
          <w:szCs w:val="24"/>
        </w:rPr>
        <w:endnoteReference w:id="11"/>
      </w:r>
      <w:r>
        <w:rPr>
          <w:rFonts w:asciiTheme="majorBidi" w:hAnsiTheme="majorBidi" w:cstheme="majorBidi"/>
          <w:sz w:val="24"/>
          <w:szCs w:val="24"/>
        </w:rPr>
        <w:t xml:space="preserve">. The </w:t>
      </w:r>
      <w:r w:rsidR="007457C2">
        <w:rPr>
          <w:rFonts w:asciiTheme="majorBidi" w:hAnsiTheme="majorBidi" w:cstheme="majorBidi"/>
          <w:sz w:val="24"/>
          <w:szCs w:val="24"/>
        </w:rPr>
        <w:t>Belarus</w:t>
      </w:r>
      <w:r w:rsidR="00E03917">
        <w:rPr>
          <w:rFonts w:asciiTheme="majorBidi" w:hAnsiTheme="majorBidi" w:cstheme="majorBidi"/>
          <w:sz w:val="24"/>
          <w:szCs w:val="24"/>
        </w:rPr>
        <w:t xml:space="preserve">ian </w:t>
      </w:r>
      <w:r>
        <w:rPr>
          <w:rFonts w:asciiTheme="majorBidi" w:hAnsiTheme="majorBidi" w:cstheme="majorBidi"/>
          <w:sz w:val="24"/>
          <w:szCs w:val="24"/>
        </w:rPr>
        <w:t xml:space="preserve">case seems to be the least researched, although </w:t>
      </w:r>
      <w:proofErr w:type="spellStart"/>
      <w:r>
        <w:rPr>
          <w:rFonts w:asciiTheme="majorBidi" w:hAnsiTheme="majorBidi" w:cstheme="majorBidi"/>
          <w:sz w:val="24"/>
          <w:szCs w:val="24"/>
        </w:rPr>
        <w:t>Rudling’s</w:t>
      </w:r>
      <w:proofErr w:type="spellEnd"/>
      <w:r>
        <w:rPr>
          <w:rFonts w:asciiTheme="majorBidi" w:hAnsiTheme="majorBidi" w:cstheme="majorBidi"/>
          <w:sz w:val="24"/>
          <w:szCs w:val="24"/>
        </w:rPr>
        <w:t xml:space="preserve"> book on the Bel</w:t>
      </w:r>
      <w:r w:rsidR="007457C2">
        <w:rPr>
          <w:rFonts w:asciiTheme="majorBidi" w:hAnsiTheme="majorBidi" w:cstheme="majorBidi"/>
          <w:sz w:val="24"/>
          <w:szCs w:val="24"/>
        </w:rPr>
        <w:t>a</w:t>
      </w:r>
      <w:r>
        <w:rPr>
          <w:rFonts w:asciiTheme="majorBidi" w:hAnsiTheme="majorBidi" w:cstheme="majorBidi"/>
          <w:sz w:val="24"/>
          <w:szCs w:val="24"/>
        </w:rPr>
        <w:t>rusian national movement and other research by a new generatio</w:t>
      </w:r>
      <w:r w:rsidR="007457C2">
        <w:rPr>
          <w:rFonts w:asciiTheme="majorBidi" w:hAnsiTheme="majorBidi" w:cstheme="majorBidi"/>
          <w:sz w:val="24"/>
          <w:szCs w:val="24"/>
        </w:rPr>
        <w:t>n of Bela</w:t>
      </w:r>
      <w:r>
        <w:rPr>
          <w:rFonts w:asciiTheme="majorBidi" w:hAnsiTheme="majorBidi" w:cstheme="majorBidi"/>
          <w:sz w:val="24"/>
          <w:szCs w:val="24"/>
        </w:rPr>
        <w:t xml:space="preserve">rusian scholars </w:t>
      </w:r>
      <w:r w:rsidR="00DD2194">
        <w:rPr>
          <w:rFonts w:asciiTheme="majorBidi" w:hAnsiTheme="majorBidi" w:cstheme="majorBidi"/>
          <w:sz w:val="24"/>
          <w:szCs w:val="24"/>
        </w:rPr>
        <w:t>on Jews in Bel</w:t>
      </w:r>
      <w:r w:rsidR="007457C2">
        <w:rPr>
          <w:rFonts w:asciiTheme="majorBidi" w:hAnsiTheme="majorBidi" w:cstheme="majorBidi"/>
          <w:sz w:val="24"/>
          <w:szCs w:val="24"/>
        </w:rPr>
        <w:t>a</w:t>
      </w:r>
      <w:r w:rsidR="00DD2194">
        <w:rPr>
          <w:rFonts w:asciiTheme="majorBidi" w:hAnsiTheme="majorBidi" w:cstheme="majorBidi"/>
          <w:sz w:val="24"/>
          <w:szCs w:val="24"/>
        </w:rPr>
        <w:t>ru</w:t>
      </w:r>
      <w:r w:rsidR="007457C2">
        <w:rPr>
          <w:rFonts w:asciiTheme="majorBidi" w:hAnsiTheme="majorBidi" w:cstheme="majorBidi"/>
          <w:sz w:val="24"/>
          <w:szCs w:val="24"/>
        </w:rPr>
        <w:t>s</w:t>
      </w:r>
      <w:r w:rsidR="00DD2194">
        <w:rPr>
          <w:rFonts w:asciiTheme="majorBidi" w:hAnsiTheme="majorBidi" w:cstheme="majorBidi"/>
          <w:sz w:val="24"/>
          <w:szCs w:val="24"/>
        </w:rPr>
        <w:t xml:space="preserve">, </w:t>
      </w:r>
      <w:r>
        <w:rPr>
          <w:rFonts w:asciiTheme="majorBidi" w:hAnsiTheme="majorBidi" w:cstheme="majorBidi"/>
          <w:sz w:val="24"/>
          <w:szCs w:val="24"/>
        </w:rPr>
        <w:t>based mostly in</w:t>
      </w:r>
      <w:r w:rsidR="002515AA">
        <w:rPr>
          <w:rFonts w:asciiTheme="majorBidi" w:hAnsiTheme="majorBidi" w:cstheme="majorBidi"/>
          <w:sz w:val="24"/>
          <w:szCs w:val="24"/>
        </w:rPr>
        <w:t xml:space="preserve"> Grodno and in the </w:t>
      </w:r>
      <w:r w:rsidR="00B63255">
        <w:rPr>
          <w:rFonts w:asciiTheme="majorBidi" w:hAnsiTheme="majorBidi" w:cstheme="majorBidi"/>
          <w:sz w:val="24"/>
          <w:szCs w:val="24"/>
        </w:rPr>
        <w:t>European Humanities University</w:t>
      </w:r>
      <w:r w:rsidR="002515AA">
        <w:rPr>
          <w:rFonts w:asciiTheme="majorBidi" w:hAnsiTheme="majorBidi" w:cstheme="majorBidi"/>
          <w:sz w:val="24"/>
          <w:szCs w:val="24"/>
        </w:rPr>
        <w:t xml:space="preserve"> hosted in </w:t>
      </w:r>
      <w:r w:rsidR="00191A75">
        <w:rPr>
          <w:rFonts w:asciiTheme="majorBidi" w:hAnsiTheme="majorBidi" w:cstheme="majorBidi"/>
          <w:sz w:val="24"/>
          <w:szCs w:val="24"/>
        </w:rPr>
        <w:t>Vilnius</w:t>
      </w:r>
      <w:r w:rsidR="00DD2194">
        <w:rPr>
          <w:rFonts w:asciiTheme="majorBidi" w:hAnsiTheme="majorBidi" w:cstheme="majorBidi"/>
          <w:sz w:val="24"/>
          <w:szCs w:val="24"/>
        </w:rPr>
        <w:t>,</w:t>
      </w:r>
      <w:r w:rsidR="00191A75">
        <w:rPr>
          <w:rFonts w:asciiTheme="majorBidi" w:hAnsiTheme="majorBidi" w:cstheme="majorBidi"/>
          <w:sz w:val="24"/>
          <w:szCs w:val="24"/>
        </w:rPr>
        <w:t xml:space="preserve"> </w:t>
      </w:r>
      <w:r>
        <w:rPr>
          <w:rFonts w:asciiTheme="majorBidi" w:hAnsiTheme="majorBidi" w:cstheme="majorBidi"/>
          <w:sz w:val="24"/>
          <w:szCs w:val="24"/>
        </w:rPr>
        <w:t>are promising</w:t>
      </w:r>
      <w:r w:rsidR="002515AA">
        <w:rPr>
          <w:rStyle w:val="EndnoteReference"/>
          <w:rFonts w:asciiTheme="majorBidi" w:hAnsiTheme="majorBidi" w:cstheme="majorBidi"/>
          <w:sz w:val="24"/>
          <w:szCs w:val="24"/>
        </w:rPr>
        <w:endnoteReference w:id="12"/>
      </w:r>
      <w:r w:rsidR="000F2B05">
        <w:rPr>
          <w:rFonts w:asciiTheme="majorBidi" w:hAnsiTheme="majorBidi" w:cstheme="majorBidi"/>
          <w:sz w:val="24"/>
          <w:szCs w:val="24"/>
        </w:rPr>
        <w:t>.</w:t>
      </w:r>
      <w:r>
        <w:rPr>
          <w:rFonts w:asciiTheme="majorBidi" w:hAnsiTheme="majorBidi" w:cstheme="majorBidi"/>
          <w:sz w:val="24"/>
          <w:szCs w:val="24"/>
        </w:rPr>
        <w:t xml:space="preserve"> The state of the art for each case is </w:t>
      </w:r>
      <w:r w:rsidR="00E03917">
        <w:rPr>
          <w:rFonts w:asciiTheme="majorBidi" w:hAnsiTheme="majorBidi" w:cstheme="majorBidi"/>
          <w:sz w:val="24"/>
          <w:szCs w:val="24"/>
        </w:rPr>
        <w:t xml:space="preserve">thus </w:t>
      </w:r>
      <w:r>
        <w:rPr>
          <w:rFonts w:asciiTheme="majorBidi" w:hAnsiTheme="majorBidi" w:cstheme="majorBidi"/>
          <w:sz w:val="24"/>
          <w:szCs w:val="24"/>
        </w:rPr>
        <w:t xml:space="preserve">uneven. </w:t>
      </w:r>
      <w:r w:rsidR="000F2B05">
        <w:rPr>
          <w:rFonts w:asciiTheme="majorBidi" w:hAnsiTheme="majorBidi" w:cstheme="majorBidi"/>
          <w:sz w:val="24"/>
          <w:szCs w:val="24"/>
        </w:rPr>
        <w:t xml:space="preserve">This special issue confirms this imbalance and the </w:t>
      </w:r>
      <w:r w:rsidR="00035349">
        <w:rPr>
          <w:rFonts w:asciiTheme="majorBidi" w:hAnsiTheme="majorBidi" w:cstheme="majorBidi"/>
          <w:sz w:val="24"/>
          <w:szCs w:val="24"/>
        </w:rPr>
        <w:t xml:space="preserve">historiographical differences </w:t>
      </w:r>
      <w:r w:rsidR="00E03917">
        <w:rPr>
          <w:rFonts w:asciiTheme="majorBidi" w:hAnsiTheme="majorBidi" w:cstheme="majorBidi"/>
          <w:sz w:val="24"/>
          <w:szCs w:val="24"/>
        </w:rPr>
        <w:t xml:space="preserve">between </w:t>
      </w:r>
      <w:r w:rsidR="00035349">
        <w:rPr>
          <w:rFonts w:asciiTheme="majorBidi" w:hAnsiTheme="majorBidi" w:cstheme="majorBidi"/>
          <w:sz w:val="24"/>
          <w:szCs w:val="24"/>
        </w:rPr>
        <w:t>different</w:t>
      </w:r>
      <w:r w:rsidR="00C46C01">
        <w:rPr>
          <w:rFonts w:asciiTheme="majorBidi" w:hAnsiTheme="majorBidi" w:cstheme="majorBidi"/>
          <w:sz w:val="24"/>
          <w:szCs w:val="24"/>
        </w:rPr>
        <w:t xml:space="preserve"> national spaces. However it also </w:t>
      </w:r>
      <w:r w:rsidR="00C46C01" w:rsidRPr="00DA637E">
        <w:rPr>
          <w:rFonts w:asciiTheme="majorBidi" w:hAnsiTheme="majorBidi" w:cstheme="majorBidi"/>
          <w:sz w:val="24"/>
          <w:szCs w:val="24"/>
        </w:rPr>
        <w:t xml:space="preserve">confirms the </w:t>
      </w:r>
      <w:r w:rsidR="00035349" w:rsidRPr="00DA637E">
        <w:rPr>
          <w:rFonts w:asciiTheme="majorBidi" w:hAnsiTheme="majorBidi" w:cstheme="majorBidi"/>
          <w:sz w:val="24"/>
          <w:szCs w:val="24"/>
        </w:rPr>
        <w:t xml:space="preserve">fecundity of </w:t>
      </w:r>
      <w:r w:rsidR="00DA637E">
        <w:rPr>
          <w:rFonts w:asciiTheme="majorBidi" w:hAnsiTheme="majorBidi" w:cstheme="majorBidi"/>
          <w:sz w:val="24"/>
          <w:szCs w:val="24"/>
        </w:rPr>
        <w:t xml:space="preserve">regional, cultural and </w:t>
      </w:r>
      <w:r w:rsidR="00035349" w:rsidRPr="00DA637E">
        <w:rPr>
          <w:rFonts w:asciiTheme="majorBidi" w:hAnsiTheme="majorBidi" w:cstheme="majorBidi"/>
          <w:sz w:val="24"/>
          <w:szCs w:val="24"/>
        </w:rPr>
        <w:t>comparative</w:t>
      </w:r>
      <w:r w:rsidR="00DA637E">
        <w:rPr>
          <w:rFonts w:asciiTheme="majorBidi" w:hAnsiTheme="majorBidi" w:cstheme="majorBidi"/>
          <w:sz w:val="24"/>
          <w:szCs w:val="24"/>
        </w:rPr>
        <w:t xml:space="preserve"> history.</w:t>
      </w:r>
      <w:r w:rsidR="00B63255">
        <w:rPr>
          <w:rFonts w:asciiTheme="majorBidi" w:hAnsiTheme="majorBidi" w:cstheme="majorBidi"/>
          <w:sz w:val="24"/>
          <w:szCs w:val="24"/>
        </w:rPr>
        <w:t xml:space="preserve"> </w:t>
      </w:r>
    </w:p>
    <w:p w14:paraId="51D69AE1" w14:textId="380C4C1F" w:rsidR="001C54BD" w:rsidRDefault="00035349" w:rsidP="00DC4803">
      <w:pPr>
        <w:spacing w:line="360" w:lineRule="auto"/>
        <w:jc w:val="both"/>
        <w:rPr>
          <w:rFonts w:asciiTheme="majorBidi" w:hAnsiTheme="majorBidi" w:cstheme="majorBidi"/>
          <w:sz w:val="24"/>
          <w:szCs w:val="24"/>
        </w:rPr>
      </w:pPr>
      <w:r>
        <w:rPr>
          <w:rFonts w:asciiTheme="majorBidi" w:hAnsiTheme="majorBidi" w:cstheme="majorBidi"/>
          <w:sz w:val="24"/>
          <w:szCs w:val="24"/>
        </w:rPr>
        <w:t>Two articles</w:t>
      </w:r>
      <w:r w:rsidR="00A57BA9">
        <w:rPr>
          <w:rFonts w:asciiTheme="majorBidi" w:hAnsiTheme="majorBidi" w:cstheme="majorBidi"/>
          <w:sz w:val="24"/>
          <w:szCs w:val="24"/>
        </w:rPr>
        <w:t xml:space="preserve"> </w:t>
      </w:r>
      <w:r>
        <w:rPr>
          <w:rFonts w:asciiTheme="majorBidi" w:hAnsiTheme="majorBidi" w:cstheme="majorBidi"/>
          <w:sz w:val="24"/>
          <w:szCs w:val="24"/>
        </w:rPr>
        <w:t xml:space="preserve">question the accepted stereotypes on Ukrainian-Jewish relations during the imperial and Soviet period. Sofia </w:t>
      </w:r>
      <w:proofErr w:type="spellStart"/>
      <w:r>
        <w:rPr>
          <w:rFonts w:asciiTheme="majorBidi" w:hAnsiTheme="majorBidi" w:cstheme="majorBidi"/>
          <w:sz w:val="24"/>
          <w:szCs w:val="24"/>
        </w:rPr>
        <w:t>Grachova’s</w:t>
      </w:r>
      <w:proofErr w:type="spellEnd"/>
      <w:r>
        <w:rPr>
          <w:rFonts w:asciiTheme="majorBidi" w:hAnsiTheme="majorBidi" w:cstheme="majorBidi"/>
          <w:sz w:val="24"/>
          <w:szCs w:val="24"/>
        </w:rPr>
        <w:t xml:space="preserve"> contribution on the </w:t>
      </w:r>
      <w:r w:rsidR="003A4EAE" w:rsidRPr="003A4EAE">
        <w:rPr>
          <w:rFonts w:asciiTheme="majorBidi" w:hAnsiTheme="majorBidi" w:cstheme="majorBidi"/>
          <w:sz w:val="24"/>
          <w:szCs w:val="24"/>
        </w:rPr>
        <w:t>emergence of a Ukrainian-Jewish trend of historical writing</w:t>
      </w:r>
      <w:r w:rsidR="00D82322">
        <w:rPr>
          <w:rFonts w:asciiTheme="majorBidi" w:hAnsiTheme="majorBidi" w:cstheme="majorBidi"/>
          <w:sz w:val="24"/>
          <w:szCs w:val="24"/>
        </w:rPr>
        <w:t xml:space="preserve"> emphasises </w:t>
      </w:r>
      <w:r w:rsidR="002515AA">
        <w:rPr>
          <w:rFonts w:asciiTheme="majorBidi" w:hAnsiTheme="majorBidi" w:cstheme="majorBidi"/>
          <w:sz w:val="24"/>
          <w:szCs w:val="24"/>
        </w:rPr>
        <w:t>its</w:t>
      </w:r>
      <w:r w:rsidR="00A57BA9">
        <w:rPr>
          <w:rFonts w:asciiTheme="majorBidi" w:hAnsiTheme="majorBidi" w:cstheme="majorBidi"/>
          <w:sz w:val="24"/>
          <w:szCs w:val="24"/>
        </w:rPr>
        <w:t xml:space="preserve"> imperial</w:t>
      </w:r>
      <w:r w:rsidR="002515AA">
        <w:rPr>
          <w:rFonts w:asciiTheme="majorBidi" w:hAnsiTheme="majorBidi" w:cstheme="majorBidi"/>
          <w:sz w:val="24"/>
          <w:szCs w:val="24"/>
        </w:rPr>
        <w:t xml:space="preserve"> roots, before its consolidation</w:t>
      </w:r>
      <w:r w:rsidR="00A57BA9">
        <w:rPr>
          <w:rFonts w:asciiTheme="majorBidi" w:hAnsiTheme="majorBidi" w:cstheme="majorBidi"/>
          <w:sz w:val="24"/>
          <w:szCs w:val="24"/>
        </w:rPr>
        <w:t xml:space="preserve"> in the 1920s</w:t>
      </w:r>
      <w:r w:rsidR="002515AA">
        <w:rPr>
          <w:rFonts w:asciiTheme="majorBidi" w:hAnsiTheme="majorBidi" w:cstheme="majorBidi"/>
          <w:sz w:val="24"/>
          <w:szCs w:val="24"/>
        </w:rPr>
        <w:t xml:space="preserve">, while breaking </w:t>
      </w:r>
      <w:r w:rsidR="00D82322">
        <w:rPr>
          <w:rFonts w:asciiTheme="majorBidi" w:hAnsiTheme="majorBidi" w:cstheme="majorBidi"/>
          <w:sz w:val="24"/>
          <w:szCs w:val="24"/>
        </w:rPr>
        <w:t xml:space="preserve">with a determinist vision of history-writing connected to nation-building. </w:t>
      </w:r>
      <w:r w:rsidR="00A57BA9">
        <w:rPr>
          <w:rFonts w:asciiTheme="majorBidi" w:hAnsiTheme="majorBidi" w:cstheme="majorBidi"/>
          <w:sz w:val="24"/>
          <w:szCs w:val="24"/>
        </w:rPr>
        <w:t>Her study of</w:t>
      </w:r>
      <w:r w:rsidR="00DA637E">
        <w:rPr>
          <w:rFonts w:asciiTheme="majorBidi" w:hAnsiTheme="majorBidi" w:cstheme="majorBidi"/>
          <w:sz w:val="24"/>
          <w:szCs w:val="24"/>
        </w:rPr>
        <w:t xml:space="preserve"> the </w:t>
      </w:r>
      <w:r w:rsidR="00A57BA9">
        <w:rPr>
          <w:rFonts w:asciiTheme="majorBidi" w:hAnsiTheme="majorBidi" w:cstheme="majorBidi"/>
          <w:sz w:val="24"/>
          <w:szCs w:val="24"/>
        </w:rPr>
        <w:t xml:space="preserve">Jewish </w:t>
      </w:r>
      <w:r w:rsidR="00DA637E">
        <w:rPr>
          <w:rFonts w:asciiTheme="majorBidi" w:hAnsiTheme="majorBidi" w:cstheme="majorBidi"/>
          <w:sz w:val="24"/>
          <w:szCs w:val="24"/>
        </w:rPr>
        <w:t>topics published</w:t>
      </w:r>
      <w:r w:rsidR="00A57BA9">
        <w:rPr>
          <w:rFonts w:asciiTheme="majorBidi" w:hAnsiTheme="majorBidi" w:cstheme="majorBidi"/>
          <w:sz w:val="24"/>
          <w:szCs w:val="24"/>
        </w:rPr>
        <w:t xml:space="preserve"> in </w:t>
      </w:r>
      <w:proofErr w:type="spellStart"/>
      <w:r w:rsidR="00A57BA9">
        <w:rPr>
          <w:rFonts w:asciiTheme="majorBidi" w:hAnsiTheme="majorBidi" w:cstheme="majorBidi"/>
          <w:i/>
          <w:iCs/>
          <w:sz w:val="24"/>
          <w:szCs w:val="24"/>
        </w:rPr>
        <w:t>Kievskaia</w:t>
      </w:r>
      <w:proofErr w:type="spellEnd"/>
      <w:r w:rsidR="00A57BA9">
        <w:rPr>
          <w:rFonts w:asciiTheme="majorBidi" w:hAnsiTheme="majorBidi" w:cstheme="majorBidi"/>
          <w:i/>
          <w:iCs/>
          <w:sz w:val="24"/>
          <w:szCs w:val="24"/>
        </w:rPr>
        <w:t xml:space="preserve"> </w:t>
      </w:r>
      <w:proofErr w:type="spellStart"/>
      <w:r w:rsidR="00A57BA9">
        <w:rPr>
          <w:rFonts w:asciiTheme="majorBidi" w:hAnsiTheme="majorBidi" w:cstheme="majorBidi"/>
          <w:i/>
          <w:iCs/>
          <w:sz w:val="24"/>
          <w:szCs w:val="24"/>
        </w:rPr>
        <w:t>Starina</w:t>
      </w:r>
      <w:proofErr w:type="spellEnd"/>
      <w:r w:rsidR="00DA637E">
        <w:rPr>
          <w:rFonts w:asciiTheme="majorBidi" w:hAnsiTheme="majorBidi" w:cstheme="majorBidi"/>
          <w:i/>
          <w:iCs/>
          <w:sz w:val="24"/>
          <w:szCs w:val="24"/>
        </w:rPr>
        <w:t xml:space="preserve"> </w:t>
      </w:r>
      <w:r w:rsidR="00DA637E">
        <w:rPr>
          <w:rFonts w:asciiTheme="majorBidi" w:hAnsiTheme="majorBidi" w:cstheme="majorBidi"/>
          <w:sz w:val="24"/>
          <w:szCs w:val="24"/>
        </w:rPr>
        <w:t>(KS)</w:t>
      </w:r>
      <w:r w:rsidR="00A57BA9">
        <w:rPr>
          <w:rFonts w:asciiTheme="majorBidi" w:hAnsiTheme="majorBidi" w:cstheme="majorBidi"/>
          <w:i/>
          <w:iCs/>
          <w:sz w:val="24"/>
          <w:szCs w:val="24"/>
        </w:rPr>
        <w:t xml:space="preserve"> </w:t>
      </w:r>
      <w:r w:rsidR="00A57BA9">
        <w:rPr>
          <w:rFonts w:asciiTheme="majorBidi" w:hAnsiTheme="majorBidi" w:cstheme="majorBidi"/>
          <w:sz w:val="24"/>
          <w:szCs w:val="24"/>
        </w:rPr>
        <w:t xml:space="preserve">confirms </w:t>
      </w:r>
      <w:r w:rsidR="00B039BD">
        <w:rPr>
          <w:rFonts w:asciiTheme="majorBidi" w:hAnsiTheme="majorBidi" w:cstheme="majorBidi"/>
          <w:sz w:val="24"/>
          <w:szCs w:val="24"/>
        </w:rPr>
        <w:t xml:space="preserve">this </w:t>
      </w:r>
      <w:r w:rsidR="00A57BA9">
        <w:rPr>
          <w:rFonts w:asciiTheme="majorBidi" w:hAnsiTheme="majorBidi" w:cstheme="majorBidi"/>
          <w:sz w:val="24"/>
          <w:szCs w:val="24"/>
        </w:rPr>
        <w:t>‘imperial’ bias among Jews</w:t>
      </w:r>
      <w:r w:rsidR="00DA637E">
        <w:rPr>
          <w:rFonts w:asciiTheme="majorBidi" w:hAnsiTheme="majorBidi" w:cstheme="majorBidi"/>
          <w:sz w:val="24"/>
          <w:szCs w:val="24"/>
        </w:rPr>
        <w:t>,</w:t>
      </w:r>
      <w:r w:rsidR="00A57BA9">
        <w:rPr>
          <w:rFonts w:asciiTheme="majorBidi" w:hAnsiTheme="majorBidi" w:cstheme="majorBidi"/>
          <w:sz w:val="24"/>
          <w:szCs w:val="24"/>
        </w:rPr>
        <w:t xml:space="preserve"> as s</w:t>
      </w:r>
      <w:r w:rsidR="00D82322">
        <w:rPr>
          <w:rFonts w:asciiTheme="majorBidi" w:hAnsiTheme="majorBidi" w:cstheme="majorBidi"/>
          <w:sz w:val="24"/>
          <w:szCs w:val="24"/>
        </w:rPr>
        <w:t xml:space="preserve">he </w:t>
      </w:r>
      <w:r w:rsidR="001C54BD">
        <w:rPr>
          <w:rFonts w:asciiTheme="majorBidi" w:hAnsiTheme="majorBidi" w:cstheme="majorBidi"/>
          <w:sz w:val="24"/>
          <w:szCs w:val="24"/>
        </w:rPr>
        <w:t>argues</w:t>
      </w:r>
      <w:r w:rsidR="00D82322">
        <w:rPr>
          <w:rFonts w:asciiTheme="majorBidi" w:hAnsiTheme="majorBidi" w:cstheme="majorBidi"/>
          <w:sz w:val="24"/>
          <w:szCs w:val="24"/>
        </w:rPr>
        <w:t xml:space="preserve"> that it is because Jews had the ambition to integrate into </w:t>
      </w:r>
      <w:r w:rsidR="000743C4">
        <w:rPr>
          <w:rFonts w:asciiTheme="majorBidi" w:hAnsiTheme="majorBidi" w:cstheme="majorBidi"/>
          <w:sz w:val="24"/>
          <w:szCs w:val="24"/>
        </w:rPr>
        <w:t>Russian imperial society</w:t>
      </w:r>
      <w:r w:rsidR="00D82322">
        <w:rPr>
          <w:rFonts w:asciiTheme="majorBidi" w:hAnsiTheme="majorBidi" w:cstheme="majorBidi"/>
          <w:sz w:val="24"/>
          <w:szCs w:val="24"/>
        </w:rPr>
        <w:t xml:space="preserve"> that they </w:t>
      </w:r>
      <w:r w:rsidR="000743C4">
        <w:rPr>
          <w:rFonts w:asciiTheme="majorBidi" w:hAnsiTheme="majorBidi" w:cstheme="majorBidi"/>
          <w:sz w:val="24"/>
          <w:szCs w:val="24"/>
        </w:rPr>
        <w:t>engaged with the debates on Ukraine and produced local case studies.</w:t>
      </w:r>
      <w:r w:rsidR="00DA637E">
        <w:rPr>
          <w:rFonts w:asciiTheme="majorBidi" w:hAnsiTheme="majorBidi" w:cstheme="majorBidi"/>
          <w:sz w:val="24"/>
          <w:szCs w:val="24"/>
        </w:rPr>
        <w:t xml:space="preserve"> This imperial view, encapsulated in </w:t>
      </w:r>
      <w:r w:rsidR="001C54BD">
        <w:rPr>
          <w:rFonts w:asciiTheme="majorBidi" w:hAnsiTheme="majorBidi" w:cstheme="majorBidi"/>
          <w:sz w:val="24"/>
          <w:szCs w:val="24"/>
        </w:rPr>
        <w:t xml:space="preserve">Galant’s </w:t>
      </w:r>
      <w:r w:rsidR="00DA637E">
        <w:rPr>
          <w:rFonts w:asciiTheme="majorBidi" w:hAnsiTheme="majorBidi" w:cstheme="majorBidi"/>
          <w:sz w:val="24"/>
          <w:szCs w:val="24"/>
        </w:rPr>
        <w:t xml:space="preserve">exclamation about </w:t>
      </w:r>
      <w:r w:rsidR="001C54BD">
        <w:rPr>
          <w:rFonts w:asciiTheme="majorBidi" w:hAnsiTheme="majorBidi" w:cstheme="majorBidi"/>
          <w:sz w:val="24"/>
          <w:szCs w:val="24"/>
        </w:rPr>
        <w:t xml:space="preserve">Kiev </w:t>
      </w:r>
      <w:r w:rsidR="002515AA">
        <w:rPr>
          <w:rFonts w:asciiTheme="majorBidi" w:hAnsiTheme="majorBidi" w:cstheme="majorBidi"/>
          <w:sz w:val="24"/>
          <w:szCs w:val="24"/>
        </w:rPr>
        <w:t>being</w:t>
      </w:r>
      <w:r w:rsidR="00DA637E">
        <w:rPr>
          <w:rFonts w:asciiTheme="majorBidi" w:hAnsiTheme="majorBidi" w:cstheme="majorBidi"/>
          <w:sz w:val="24"/>
          <w:szCs w:val="24"/>
        </w:rPr>
        <w:t xml:space="preserve"> </w:t>
      </w:r>
      <w:r w:rsidR="001C54BD">
        <w:rPr>
          <w:rFonts w:asciiTheme="majorBidi" w:hAnsiTheme="majorBidi" w:cstheme="majorBidi"/>
          <w:sz w:val="24"/>
          <w:szCs w:val="24"/>
        </w:rPr>
        <w:t xml:space="preserve">‘the mother of </w:t>
      </w:r>
      <w:r w:rsidR="001C54BD">
        <w:rPr>
          <w:rFonts w:asciiTheme="majorBidi" w:hAnsiTheme="majorBidi" w:cstheme="majorBidi"/>
          <w:sz w:val="24"/>
          <w:szCs w:val="24"/>
        </w:rPr>
        <w:lastRenderedPageBreak/>
        <w:t xml:space="preserve">Russian cities’, </w:t>
      </w:r>
      <w:r w:rsidR="00DA637E">
        <w:rPr>
          <w:rFonts w:asciiTheme="majorBidi" w:hAnsiTheme="majorBidi" w:cstheme="majorBidi"/>
          <w:sz w:val="24"/>
          <w:szCs w:val="24"/>
        </w:rPr>
        <w:t xml:space="preserve">is confirmed by the </w:t>
      </w:r>
      <w:r w:rsidR="00B039BD">
        <w:rPr>
          <w:rFonts w:asciiTheme="majorBidi" w:hAnsiTheme="majorBidi" w:cstheme="majorBidi"/>
          <w:sz w:val="24"/>
          <w:szCs w:val="24"/>
        </w:rPr>
        <w:t xml:space="preserve">lack of </w:t>
      </w:r>
      <w:r w:rsidR="001C54BD">
        <w:rPr>
          <w:rFonts w:asciiTheme="majorBidi" w:hAnsiTheme="majorBidi" w:cstheme="majorBidi"/>
          <w:sz w:val="24"/>
          <w:szCs w:val="24"/>
        </w:rPr>
        <w:t xml:space="preserve">interest </w:t>
      </w:r>
      <w:r w:rsidR="002515AA">
        <w:rPr>
          <w:rFonts w:asciiTheme="majorBidi" w:hAnsiTheme="majorBidi" w:cstheme="majorBidi"/>
          <w:sz w:val="24"/>
          <w:szCs w:val="24"/>
        </w:rPr>
        <w:t xml:space="preserve">in </w:t>
      </w:r>
      <w:proofErr w:type="spellStart"/>
      <w:r w:rsidR="00DA637E">
        <w:rPr>
          <w:rFonts w:asciiTheme="majorBidi" w:hAnsiTheme="majorBidi" w:cstheme="majorBidi"/>
          <w:sz w:val="24"/>
          <w:szCs w:val="24"/>
        </w:rPr>
        <w:t>Ukrainophile</w:t>
      </w:r>
      <w:proofErr w:type="spellEnd"/>
      <w:r w:rsidR="00DA637E">
        <w:rPr>
          <w:rFonts w:asciiTheme="majorBidi" w:hAnsiTheme="majorBidi" w:cstheme="majorBidi"/>
          <w:sz w:val="24"/>
          <w:szCs w:val="24"/>
        </w:rPr>
        <w:t xml:space="preserve"> political aims</w:t>
      </w:r>
      <w:r w:rsidR="001C54BD">
        <w:rPr>
          <w:rFonts w:asciiTheme="majorBidi" w:hAnsiTheme="majorBidi" w:cstheme="majorBidi"/>
          <w:sz w:val="24"/>
          <w:szCs w:val="24"/>
        </w:rPr>
        <w:t xml:space="preserve"> </w:t>
      </w:r>
      <w:r w:rsidR="00DA637E">
        <w:rPr>
          <w:rFonts w:asciiTheme="majorBidi" w:hAnsiTheme="majorBidi" w:cstheme="majorBidi"/>
          <w:sz w:val="24"/>
          <w:szCs w:val="24"/>
        </w:rPr>
        <w:t xml:space="preserve">among </w:t>
      </w:r>
      <w:r w:rsidR="001C54BD">
        <w:rPr>
          <w:rFonts w:asciiTheme="majorBidi" w:hAnsiTheme="majorBidi" w:cstheme="majorBidi"/>
          <w:sz w:val="24"/>
          <w:szCs w:val="24"/>
        </w:rPr>
        <w:t xml:space="preserve">Jewish intellectuals. </w:t>
      </w:r>
      <w:r w:rsidR="00A57BA9">
        <w:rPr>
          <w:rFonts w:asciiTheme="majorBidi" w:hAnsiTheme="majorBidi" w:cstheme="majorBidi"/>
          <w:sz w:val="24"/>
          <w:szCs w:val="24"/>
        </w:rPr>
        <w:t xml:space="preserve">But </w:t>
      </w:r>
      <w:r w:rsidR="00DA637E">
        <w:rPr>
          <w:rFonts w:asciiTheme="majorBidi" w:hAnsiTheme="majorBidi" w:cstheme="majorBidi"/>
          <w:sz w:val="24"/>
          <w:szCs w:val="24"/>
        </w:rPr>
        <w:t>Grachova</w:t>
      </w:r>
      <w:r w:rsidR="00A57BA9">
        <w:rPr>
          <w:rFonts w:asciiTheme="majorBidi" w:hAnsiTheme="majorBidi" w:cstheme="majorBidi"/>
          <w:sz w:val="24"/>
          <w:szCs w:val="24"/>
        </w:rPr>
        <w:t xml:space="preserve"> also highlights the importance of l</w:t>
      </w:r>
      <w:r w:rsidR="001F71FB">
        <w:rPr>
          <w:rFonts w:asciiTheme="majorBidi" w:hAnsiTheme="majorBidi" w:cstheme="majorBidi"/>
          <w:sz w:val="24"/>
          <w:szCs w:val="24"/>
        </w:rPr>
        <w:t>ocal</w:t>
      </w:r>
      <w:r w:rsidR="00A57BA9">
        <w:rPr>
          <w:rFonts w:asciiTheme="majorBidi" w:hAnsiTheme="majorBidi" w:cstheme="majorBidi"/>
          <w:sz w:val="24"/>
          <w:szCs w:val="24"/>
        </w:rPr>
        <w:t xml:space="preserve"> and </w:t>
      </w:r>
      <w:r w:rsidR="001F71FB">
        <w:rPr>
          <w:rFonts w:asciiTheme="majorBidi" w:hAnsiTheme="majorBidi" w:cstheme="majorBidi"/>
          <w:sz w:val="24"/>
          <w:szCs w:val="24"/>
        </w:rPr>
        <w:t xml:space="preserve">regional factors </w:t>
      </w:r>
      <w:r w:rsidR="00A57BA9">
        <w:rPr>
          <w:rFonts w:asciiTheme="majorBidi" w:hAnsiTheme="majorBidi" w:cstheme="majorBidi"/>
          <w:sz w:val="24"/>
          <w:szCs w:val="24"/>
        </w:rPr>
        <w:t xml:space="preserve">in their choice to use Ukrainian case studies to demonstrate the </w:t>
      </w:r>
      <w:r w:rsidR="00A57BA9" w:rsidRPr="00DC4803">
        <w:rPr>
          <w:rFonts w:asciiTheme="majorBidi" w:hAnsiTheme="majorBidi" w:cstheme="majorBidi"/>
          <w:sz w:val="24"/>
          <w:szCs w:val="24"/>
        </w:rPr>
        <w:t>‘</w:t>
      </w:r>
      <w:proofErr w:type="spellStart"/>
      <w:r w:rsidR="00A57BA9" w:rsidRPr="00DC4803">
        <w:rPr>
          <w:rFonts w:asciiTheme="majorBidi" w:hAnsiTheme="majorBidi" w:cstheme="majorBidi"/>
          <w:sz w:val="24"/>
          <w:szCs w:val="24"/>
        </w:rPr>
        <w:t>integrability</w:t>
      </w:r>
      <w:proofErr w:type="spellEnd"/>
      <w:r w:rsidR="00DA637E" w:rsidRPr="00DC4803">
        <w:rPr>
          <w:rFonts w:asciiTheme="majorBidi" w:hAnsiTheme="majorBidi" w:cstheme="majorBidi"/>
          <w:sz w:val="24"/>
          <w:szCs w:val="24"/>
        </w:rPr>
        <w:t>’</w:t>
      </w:r>
      <w:r w:rsidR="001C54BD">
        <w:rPr>
          <w:rFonts w:asciiTheme="majorBidi" w:hAnsiTheme="majorBidi" w:cstheme="majorBidi"/>
          <w:sz w:val="24"/>
          <w:szCs w:val="24"/>
        </w:rPr>
        <w:t xml:space="preserve"> of Jews</w:t>
      </w:r>
      <w:r w:rsidR="00A57BA9">
        <w:rPr>
          <w:rFonts w:asciiTheme="majorBidi" w:hAnsiTheme="majorBidi" w:cstheme="majorBidi"/>
          <w:sz w:val="24"/>
          <w:szCs w:val="24"/>
        </w:rPr>
        <w:t xml:space="preserve">. It is </w:t>
      </w:r>
      <w:r w:rsidR="001F71FB">
        <w:rPr>
          <w:rFonts w:asciiTheme="majorBidi" w:hAnsiTheme="majorBidi" w:cstheme="majorBidi"/>
          <w:sz w:val="24"/>
          <w:szCs w:val="24"/>
        </w:rPr>
        <w:t>because K</w:t>
      </w:r>
      <w:r w:rsidR="00DC4803">
        <w:rPr>
          <w:rFonts w:asciiTheme="majorBidi" w:hAnsiTheme="majorBidi" w:cstheme="majorBidi"/>
          <w:sz w:val="24"/>
          <w:szCs w:val="24"/>
        </w:rPr>
        <w:t>iev was not the main</w:t>
      </w:r>
      <w:r w:rsidR="001F71FB">
        <w:rPr>
          <w:rFonts w:asciiTheme="majorBidi" w:hAnsiTheme="majorBidi" w:cstheme="majorBidi"/>
          <w:sz w:val="24"/>
          <w:szCs w:val="24"/>
        </w:rPr>
        <w:t xml:space="preserve"> </w:t>
      </w:r>
      <w:r w:rsidR="00DA637E">
        <w:rPr>
          <w:rFonts w:asciiTheme="majorBidi" w:hAnsiTheme="majorBidi" w:cstheme="majorBidi"/>
          <w:sz w:val="24"/>
          <w:szCs w:val="24"/>
        </w:rPr>
        <w:t>centre</w:t>
      </w:r>
      <w:r w:rsidR="001F71FB">
        <w:rPr>
          <w:rFonts w:asciiTheme="majorBidi" w:hAnsiTheme="majorBidi" w:cstheme="majorBidi"/>
          <w:sz w:val="24"/>
          <w:szCs w:val="24"/>
        </w:rPr>
        <w:t xml:space="preserve"> of Jewish culture</w:t>
      </w:r>
      <w:r w:rsidR="00DA637E">
        <w:rPr>
          <w:rFonts w:asciiTheme="majorBidi" w:hAnsiTheme="majorBidi" w:cstheme="majorBidi"/>
          <w:sz w:val="24"/>
          <w:szCs w:val="24"/>
        </w:rPr>
        <w:t xml:space="preserve"> and </w:t>
      </w:r>
      <w:r w:rsidR="002515AA">
        <w:rPr>
          <w:rFonts w:asciiTheme="majorBidi" w:hAnsiTheme="majorBidi" w:cstheme="majorBidi"/>
          <w:sz w:val="24"/>
          <w:szCs w:val="24"/>
        </w:rPr>
        <w:t>scholarship</w:t>
      </w:r>
      <w:r w:rsidR="00DA637E">
        <w:rPr>
          <w:rFonts w:asciiTheme="majorBidi" w:hAnsiTheme="majorBidi" w:cstheme="majorBidi"/>
          <w:sz w:val="24"/>
          <w:szCs w:val="24"/>
        </w:rPr>
        <w:t>,</w:t>
      </w:r>
      <w:r w:rsidR="001F71FB">
        <w:rPr>
          <w:rFonts w:asciiTheme="majorBidi" w:hAnsiTheme="majorBidi" w:cstheme="majorBidi"/>
          <w:sz w:val="24"/>
          <w:szCs w:val="24"/>
        </w:rPr>
        <w:t xml:space="preserve"> nor a </w:t>
      </w:r>
      <w:r w:rsidR="00DA637E">
        <w:rPr>
          <w:rFonts w:asciiTheme="majorBidi" w:hAnsiTheme="majorBidi" w:cstheme="majorBidi"/>
          <w:sz w:val="24"/>
          <w:szCs w:val="24"/>
        </w:rPr>
        <w:t>centre</w:t>
      </w:r>
      <w:r w:rsidR="001F71FB">
        <w:rPr>
          <w:rFonts w:asciiTheme="majorBidi" w:hAnsiTheme="majorBidi" w:cstheme="majorBidi"/>
          <w:sz w:val="24"/>
          <w:szCs w:val="24"/>
        </w:rPr>
        <w:t xml:space="preserve"> of </w:t>
      </w:r>
      <w:r w:rsidR="00B039BD">
        <w:rPr>
          <w:rFonts w:asciiTheme="majorBidi" w:hAnsiTheme="majorBidi" w:cstheme="majorBidi"/>
          <w:sz w:val="24"/>
          <w:szCs w:val="24"/>
        </w:rPr>
        <w:t xml:space="preserve">the </w:t>
      </w:r>
      <w:proofErr w:type="spellStart"/>
      <w:r w:rsidR="001F71FB">
        <w:rPr>
          <w:rFonts w:asciiTheme="majorBidi" w:hAnsiTheme="majorBidi" w:cstheme="majorBidi"/>
          <w:sz w:val="24"/>
          <w:szCs w:val="24"/>
        </w:rPr>
        <w:t>Ukrainophile</w:t>
      </w:r>
      <w:proofErr w:type="spellEnd"/>
      <w:r w:rsidR="001F71FB">
        <w:rPr>
          <w:rFonts w:asciiTheme="majorBidi" w:hAnsiTheme="majorBidi" w:cstheme="majorBidi"/>
          <w:sz w:val="24"/>
          <w:szCs w:val="24"/>
        </w:rPr>
        <w:t xml:space="preserve"> movement</w:t>
      </w:r>
      <w:r w:rsidR="00B039BD">
        <w:rPr>
          <w:rFonts w:asciiTheme="majorBidi" w:hAnsiTheme="majorBidi" w:cstheme="majorBidi"/>
          <w:sz w:val="24"/>
          <w:szCs w:val="24"/>
        </w:rPr>
        <w:t>,</w:t>
      </w:r>
      <w:r w:rsidR="00A57BA9">
        <w:rPr>
          <w:rFonts w:asciiTheme="majorBidi" w:hAnsiTheme="majorBidi" w:cstheme="majorBidi"/>
          <w:sz w:val="24"/>
          <w:szCs w:val="24"/>
        </w:rPr>
        <w:t xml:space="preserve"> that</w:t>
      </w:r>
      <w:r w:rsidR="001F71FB">
        <w:rPr>
          <w:rFonts w:asciiTheme="majorBidi" w:hAnsiTheme="majorBidi" w:cstheme="majorBidi"/>
          <w:sz w:val="24"/>
          <w:szCs w:val="24"/>
        </w:rPr>
        <w:t xml:space="preserve"> it allowed for </w:t>
      </w:r>
      <w:r w:rsidR="00A57BA9">
        <w:rPr>
          <w:rFonts w:asciiTheme="majorBidi" w:hAnsiTheme="majorBidi" w:cstheme="majorBidi"/>
          <w:sz w:val="24"/>
          <w:szCs w:val="24"/>
        </w:rPr>
        <w:t xml:space="preserve">more </w:t>
      </w:r>
      <w:r w:rsidR="001F71FB">
        <w:rPr>
          <w:rFonts w:asciiTheme="majorBidi" w:hAnsiTheme="majorBidi" w:cstheme="majorBidi"/>
          <w:sz w:val="24"/>
          <w:szCs w:val="24"/>
        </w:rPr>
        <w:t xml:space="preserve">political pluralism </w:t>
      </w:r>
      <w:r w:rsidR="00A57BA9">
        <w:rPr>
          <w:rFonts w:asciiTheme="majorBidi" w:hAnsiTheme="majorBidi" w:cstheme="majorBidi"/>
          <w:sz w:val="24"/>
          <w:szCs w:val="24"/>
        </w:rPr>
        <w:t xml:space="preserve">and also provided a platform for Jewish publication, at a period when </w:t>
      </w:r>
      <w:r w:rsidR="00B039BD">
        <w:rPr>
          <w:rFonts w:asciiTheme="majorBidi" w:hAnsiTheme="majorBidi" w:cstheme="majorBidi"/>
          <w:sz w:val="24"/>
          <w:szCs w:val="24"/>
        </w:rPr>
        <w:t xml:space="preserve">Jews </w:t>
      </w:r>
      <w:r w:rsidR="00A57BA9">
        <w:rPr>
          <w:rFonts w:asciiTheme="majorBidi" w:hAnsiTheme="majorBidi" w:cstheme="majorBidi"/>
          <w:sz w:val="24"/>
          <w:szCs w:val="24"/>
        </w:rPr>
        <w:t xml:space="preserve">were banned from Russian universities. The relative political neutrality of </w:t>
      </w:r>
      <w:r w:rsidR="001F71FB">
        <w:rPr>
          <w:rFonts w:asciiTheme="majorBidi" w:hAnsiTheme="majorBidi" w:cstheme="majorBidi"/>
          <w:sz w:val="24"/>
          <w:szCs w:val="24"/>
        </w:rPr>
        <w:t>KS</w:t>
      </w:r>
      <w:r w:rsidR="00A57BA9">
        <w:rPr>
          <w:rFonts w:asciiTheme="majorBidi" w:hAnsiTheme="majorBidi" w:cstheme="majorBidi"/>
          <w:sz w:val="24"/>
          <w:szCs w:val="24"/>
        </w:rPr>
        <w:t xml:space="preserve"> and its ambition to reach a large audience </w:t>
      </w:r>
      <w:r w:rsidR="00B039BD">
        <w:rPr>
          <w:rFonts w:asciiTheme="majorBidi" w:hAnsiTheme="majorBidi" w:cstheme="majorBidi"/>
          <w:sz w:val="24"/>
          <w:szCs w:val="24"/>
        </w:rPr>
        <w:t>led to acceptance of</w:t>
      </w:r>
      <w:r w:rsidR="00A57BA9">
        <w:rPr>
          <w:rFonts w:asciiTheme="majorBidi" w:hAnsiTheme="majorBidi" w:cstheme="majorBidi"/>
          <w:sz w:val="24"/>
          <w:szCs w:val="24"/>
        </w:rPr>
        <w:t xml:space="preserve"> papers from amateurs, including from Jewish amateur historians</w:t>
      </w:r>
      <w:r w:rsidR="00DA637E">
        <w:rPr>
          <w:rFonts w:asciiTheme="majorBidi" w:hAnsiTheme="majorBidi" w:cstheme="majorBidi"/>
          <w:sz w:val="24"/>
          <w:szCs w:val="24"/>
        </w:rPr>
        <w:t>,</w:t>
      </w:r>
      <w:r w:rsidR="00A57BA9">
        <w:rPr>
          <w:rFonts w:asciiTheme="majorBidi" w:hAnsiTheme="majorBidi" w:cstheme="majorBidi"/>
          <w:sz w:val="24"/>
          <w:szCs w:val="24"/>
        </w:rPr>
        <w:t xml:space="preserve"> about Jews</w:t>
      </w:r>
      <w:r w:rsidR="001F71FB">
        <w:rPr>
          <w:rFonts w:asciiTheme="majorBidi" w:hAnsiTheme="majorBidi" w:cstheme="majorBidi"/>
          <w:sz w:val="24"/>
          <w:szCs w:val="24"/>
        </w:rPr>
        <w:t xml:space="preserve">. </w:t>
      </w:r>
      <w:r w:rsidR="00054D73">
        <w:rPr>
          <w:rFonts w:asciiTheme="majorBidi" w:hAnsiTheme="majorBidi" w:cstheme="majorBidi"/>
          <w:sz w:val="24"/>
          <w:szCs w:val="24"/>
        </w:rPr>
        <w:t>Grachova convincingly demonstrate</w:t>
      </w:r>
      <w:r w:rsidR="00DA637E">
        <w:rPr>
          <w:rFonts w:asciiTheme="majorBidi" w:hAnsiTheme="majorBidi" w:cstheme="majorBidi"/>
          <w:sz w:val="24"/>
          <w:szCs w:val="24"/>
        </w:rPr>
        <w:t>s</w:t>
      </w:r>
      <w:r w:rsidR="00054D73">
        <w:rPr>
          <w:rFonts w:asciiTheme="majorBidi" w:hAnsiTheme="majorBidi" w:cstheme="majorBidi"/>
          <w:sz w:val="24"/>
          <w:szCs w:val="24"/>
        </w:rPr>
        <w:t xml:space="preserve"> that </w:t>
      </w:r>
      <w:r w:rsidR="00054D73" w:rsidRPr="001C54BD">
        <w:rPr>
          <w:rFonts w:asciiTheme="majorBidi" w:hAnsiTheme="majorBidi" w:cstheme="majorBidi"/>
          <w:sz w:val="24"/>
          <w:szCs w:val="24"/>
        </w:rPr>
        <w:t>‘</w:t>
      </w:r>
      <w:r w:rsidR="00054D73">
        <w:rPr>
          <w:rFonts w:asciiTheme="majorBidi" w:hAnsiTheme="majorBidi" w:cstheme="majorBidi"/>
          <w:sz w:val="24"/>
          <w:szCs w:val="24"/>
        </w:rPr>
        <w:t>l</w:t>
      </w:r>
      <w:r w:rsidR="00054D73" w:rsidRPr="001C54BD">
        <w:rPr>
          <w:rFonts w:asciiTheme="majorBidi" w:hAnsiTheme="majorBidi" w:cstheme="majorBidi"/>
          <w:sz w:val="24"/>
          <w:szCs w:val="24"/>
        </w:rPr>
        <w:t>ocal or regional frameworks were more inclusive towards topics and sources concerning the Jewish minority’</w:t>
      </w:r>
      <w:r w:rsidR="00054D73">
        <w:rPr>
          <w:rFonts w:asciiTheme="majorBidi" w:hAnsiTheme="majorBidi" w:cstheme="majorBidi"/>
          <w:sz w:val="24"/>
          <w:szCs w:val="24"/>
        </w:rPr>
        <w:t xml:space="preserve">. </w:t>
      </w:r>
      <w:proofErr w:type="spellStart"/>
      <w:r w:rsidR="00A57BA9">
        <w:rPr>
          <w:rFonts w:asciiTheme="majorBidi" w:hAnsiTheme="majorBidi" w:cstheme="majorBidi"/>
          <w:sz w:val="24"/>
          <w:szCs w:val="24"/>
        </w:rPr>
        <w:t>Barats</w:t>
      </w:r>
      <w:proofErr w:type="spellEnd"/>
      <w:r w:rsidR="00A57BA9">
        <w:rPr>
          <w:rFonts w:asciiTheme="majorBidi" w:hAnsiTheme="majorBidi" w:cstheme="majorBidi"/>
          <w:sz w:val="24"/>
          <w:szCs w:val="24"/>
        </w:rPr>
        <w:t xml:space="preserve"> or Galant therefore used </w:t>
      </w:r>
      <w:r w:rsidR="0009317F">
        <w:rPr>
          <w:rFonts w:asciiTheme="majorBidi" w:hAnsiTheme="majorBidi" w:cstheme="majorBidi"/>
          <w:sz w:val="24"/>
          <w:szCs w:val="24"/>
        </w:rPr>
        <w:t xml:space="preserve">examples from </w:t>
      </w:r>
      <w:r w:rsidR="00A57BA9">
        <w:rPr>
          <w:rFonts w:asciiTheme="majorBidi" w:hAnsiTheme="majorBidi" w:cstheme="majorBidi"/>
          <w:sz w:val="24"/>
          <w:szCs w:val="24"/>
        </w:rPr>
        <w:t xml:space="preserve">the </w:t>
      </w:r>
      <w:r w:rsidR="0009317F">
        <w:rPr>
          <w:rFonts w:asciiTheme="majorBidi" w:hAnsiTheme="majorBidi" w:cstheme="majorBidi"/>
          <w:sz w:val="24"/>
          <w:szCs w:val="24"/>
        </w:rPr>
        <w:t xml:space="preserve">history of Jews in ‘Southern Russia’ </w:t>
      </w:r>
      <w:r w:rsidR="00A57BA9">
        <w:rPr>
          <w:rFonts w:asciiTheme="majorBidi" w:hAnsiTheme="majorBidi" w:cstheme="majorBidi"/>
          <w:sz w:val="24"/>
          <w:szCs w:val="24"/>
        </w:rPr>
        <w:t xml:space="preserve">to </w:t>
      </w:r>
      <w:r w:rsidR="0009317F">
        <w:rPr>
          <w:rFonts w:asciiTheme="majorBidi" w:hAnsiTheme="majorBidi" w:cstheme="majorBidi"/>
          <w:sz w:val="24"/>
          <w:szCs w:val="24"/>
        </w:rPr>
        <w:t>demonstrate their loyalty</w:t>
      </w:r>
      <w:r w:rsidR="00B039BD">
        <w:rPr>
          <w:rFonts w:asciiTheme="majorBidi" w:hAnsiTheme="majorBidi" w:cstheme="majorBidi"/>
          <w:sz w:val="24"/>
          <w:szCs w:val="24"/>
        </w:rPr>
        <w:t xml:space="preserve"> and</w:t>
      </w:r>
      <w:r w:rsidR="0009317F">
        <w:rPr>
          <w:rFonts w:asciiTheme="majorBidi" w:hAnsiTheme="majorBidi" w:cstheme="majorBidi"/>
          <w:sz w:val="24"/>
          <w:szCs w:val="24"/>
        </w:rPr>
        <w:t xml:space="preserve"> usefulness, </w:t>
      </w:r>
      <w:r w:rsidR="00A57BA9">
        <w:rPr>
          <w:rFonts w:asciiTheme="majorBidi" w:hAnsiTheme="majorBidi" w:cstheme="majorBidi"/>
          <w:sz w:val="24"/>
          <w:szCs w:val="24"/>
        </w:rPr>
        <w:t xml:space="preserve">and </w:t>
      </w:r>
      <w:r w:rsidR="00B039BD">
        <w:rPr>
          <w:rFonts w:asciiTheme="majorBidi" w:hAnsiTheme="majorBidi" w:cstheme="majorBidi"/>
          <w:sz w:val="24"/>
          <w:szCs w:val="24"/>
        </w:rPr>
        <w:t xml:space="preserve">the </w:t>
      </w:r>
      <w:r w:rsidR="003A4EAE">
        <w:rPr>
          <w:rFonts w:asciiTheme="majorBidi" w:hAnsiTheme="majorBidi" w:cstheme="majorBidi"/>
          <w:sz w:val="24"/>
          <w:szCs w:val="24"/>
        </w:rPr>
        <w:t xml:space="preserve">long-standing Jewish presence in Russia. </w:t>
      </w:r>
      <w:r w:rsidR="00A57BA9">
        <w:rPr>
          <w:rFonts w:asciiTheme="majorBidi" w:hAnsiTheme="majorBidi" w:cstheme="majorBidi"/>
          <w:sz w:val="24"/>
          <w:szCs w:val="24"/>
        </w:rPr>
        <w:t>In a c</w:t>
      </w:r>
      <w:r w:rsidR="008E219F">
        <w:rPr>
          <w:rFonts w:asciiTheme="majorBidi" w:hAnsiTheme="majorBidi" w:cstheme="majorBidi"/>
          <w:sz w:val="24"/>
          <w:szCs w:val="24"/>
        </w:rPr>
        <w:t>ontext of growing Russian nationalism</w:t>
      </w:r>
      <w:r w:rsidR="00A57BA9">
        <w:rPr>
          <w:rFonts w:asciiTheme="majorBidi" w:hAnsiTheme="majorBidi" w:cstheme="majorBidi"/>
          <w:sz w:val="24"/>
          <w:szCs w:val="24"/>
        </w:rPr>
        <w:t xml:space="preserve">, these Jewish historians </w:t>
      </w:r>
      <w:r w:rsidR="003A4EAE">
        <w:rPr>
          <w:rFonts w:asciiTheme="majorBidi" w:hAnsiTheme="majorBidi" w:cstheme="majorBidi"/>
          <w:sz w:val="24"/>
          <w:szCs w:val="24"/>
        </w:rPr>
        <w:t xml:space="preserve">did not engage </w:t>
      </w:r>
      <w:r w:rsidR="00A57BA9">
        <w:rPr>
          <w:rFonts w:asciiTheme="majorBidi" w:hAnsiTheme="majorBidi" w:cstheme="majorBidi"/>
          <w:sz w:val="24"/>
          <w:szCs w:val="24"/>
        </w:rPr>
        <w:t xml:space="preserve">primarily </w:t>
      </w:r>
      <w:r w:rsidR="003A4EAE">
        <w:rPr>
          <w:rFonts w:asciiTheme="majorBidi" w:hAnsiTheme="majorBidi" w:cstheme="majorBidi"/>
          <w:sz w:val="24"/>
          <w:szCs w:val="24"/>
        </w:rPr>
        <w:t>wit</w:t>
      </w:r>
      <w:r w:rsidR="001C54BD">
        <w:rPr>
          <w:rFonts w:asciiTheme="majorBidi" w:hAnsiTheme="majorBidi" w:cstheme="majorBidi"/>
          <w:sz w:val="24"/>
          <w:szCs w:val="24"/>
        </w:rPr>
        <w:t xml:space="preserve">h </w:t>
      </w:r>
      <w:proofErr w:type="spellStart"/>
      <w:r w:rsidR="001C54BD">
        <w:rPr>
          <w:rFonts w:asciiTheme="majorBidi" w:hAnsiTheme="majorBidi" w:cstheme="majorBidi"/>
          <w:sz w:val="24"/>
          <w:szCs w:val="24"/>
        </w:rPr>
        <w:t>Ukrainophile</w:t>
      </w:r>
      <w:proofErr w:type="spellEnd"/>
      <w:r w:rsidR="001C54BD">
        <w:rPr>
          <w:rFonts w:asciiTheme="majorBidi" w:hAnsiTheme="majorBidi" w:cstheme="majorBidi"/>
          <w:sz w:val="24"/>
          <w:szCs w:val="24"/>
        </w:rPr>
        <w:t xml:space="preserve"> political views but challenged and counter-acted anti-Jewish </w:t>
      </w:r>
      <w:r w:rsidR="00DA637E">
        <w:rPr>
          <w:rFonts w:asciiTheme="majorBidi" w:hAnsiTheme="majorBidi" w:cstheme="majorBidi"/>
          <w:sz w:val="24"/>
          <w:szCs w:val="24"/>
        </w:rPr>
        <w:t>stereotypes</w:t>
      </w:r>
      <w:r w:rsidR="001C54BD">
        <w:rPr>
          <w:rFonts w:asciiTheme="majorBidi" w:hAnsiTheme="majorBidi" w:cstheme="majorBidi"/>
          <w:sz w:val="24"/>
          <w:szCs w:val="24"/>
        </w:rPr>
        <w:t xml:space="preserve"> by using sources and examples taken from the Ukrainian past. </w:t>
      </w:r>
      <w:r w:rsidR="008E219F">
        <w:rPr>
          <w:rFonts w:asciiTheme="majorBidi" w:hAnsiTheme="majorBidi" w:cstheme="majorBidi"/>
          <w:sz w:val="24"/>
          <w:szCs w:val="24"/>
        </w:rPr>
        <w:t xml:space="preserve">This article shows that </w:t>
      </w:r>
      <w:r w:rsidR="00B039BD">
        <w:rPr>
          <w:rFonts w:asciiTheme="majorBidi" w:hAnsiTheme="majorBidi" w:cstheme="majorBidi"/>
          <w:sz w:val="24"/>
          <w:szCs w:val="24"/>
        </w:rPr>
        <w:t xml:space="preserve">an </w:t>
      </w:r>
      <w:r w:rsidR="008E219F">
        <w:rPr>
          <w:rFonts w:asciiTheme="majorBidi" w:hAnsiTheme="majorBidi" w:cstheme="majorBidi"/>
          <w:sz w:val="24"/>
          <w:szCs w:val="24"/>
        </w:rPr>
        <w:t xml:space="preserve">imperial </w:t>
      </w:r>
      <w:r w:rsidR="001C54BD">
        <w:rPr>
          <w:rFonts w:asciiTheme="majorBidi" w:hAnsiTheme="majorBidi" w:cstheme="majorBidi"/>
          <w:sz w:val="24"/>
          <w:szCs w:val="24"/>
        </w:rPr>
        <w:t>integrationist</w:t>
      </w:r>
      <w:r w:rsidR="008E219F">
        <w:rPr>
          <w:rFonts w:asciiTheme="majorBidi" w:hAnsiTheme="majorBidi" w:cstheme="majorBidi"/>
          <w:sz w:val="24"/>
          <w:szCs w:val="24"/>
        </w:rPr>
        <w:t xml:space="preserve"> model was still prevailing</w:t>
      </w:r>
      <w:r w:rsidR="00DA637E">
        <w:rPr>
          <w:rFonts w:asciiTheme="majorBidi" w:hAnsiTheme="majorBidi" w:cstheme="majorBidi"/>
          <w:sz w:val="24"/>
          <w:szCs w:val="24"/>
        </w:rPr>
        <w:t xml:space="preserve"> for these Jews</w:t>
      </w:r>
      <w:r w:rsidR="008E219F">
        <w:rPr>
          <w:rFonts w:asciiTheme="majorBidi" w:hAnsiTheme="majorBidi" w:cstheme="majorBidi"/>
          <w:sz w:val="24"/>
          <w:szCs w:val="24"/>
        </w:rPr>
        <w:t xml:space="preserve"> but also that the local conditions favourable to the emergence of Jewish scholarship paved the w</w:t>
      </w:r>
      <w:r w:rsidR="002515AA">
        <w:rPr>
          <w:rFonts w:asciiTheme="majorBidi" w:hAnsiTheme="majorBidi" w:cstheme="majorBidi"/>
          <w:sz w:val="24"/>
          <w:szCs w:val="24"/>
        </w:rPr>
        <w:t>ay for what happened after 1917 -</w:t>
      </w:r>
      <w:r w:rsidR="008E219F">
        <w:rPr>
          <w:rFonts w:asciiTheme="majorBidi" w:hAnsiTheme="majorBidi" w:cstheme="majorBidi"/>
          <w:sz w:val="24"/>
          <w:szCs w:val="24"/>
        </w:rPr>
        <w:t xml:space="preserve"> the crystallization of a Jewish-Ukrainian historiography. </w:t>
      </w:r>
      <w:r w:rsidR="001C54BD">
        <w:rPr>
          <w:rFonts w:asciiTheme="majorBidi" w:hAnsiTheme="majorBidi" w:cstheme="majorBidi"/>
          <w:sz w:val="24"/>
          <w:szCs w:val="24"/>
        </w:rPr>
        <w:t>Galant’s work in particular, although using imperial categories (Southern Russia, Kiev as a Russian city) demonstrates a l</w:t>
      </w:r>
      <w:r w:rsidR="001A361A">
        <w:rPr>
          <w:rFonts w:asciiTheme="majorBidi" w:hAnsiTheme="majorBidi" w:cstheme="majorBidi"/>
          <w:sz w:val="24"/>
          <w:szCs w:val="24"/>
        </w:rPr>
        <w:t xml:space="preserve">oyalism </w:t>
      </w:r>
      <w:r w:rsidR="001C54BD">
        <w:rPr>
          <w:rFonts w:asciiTheme="majorBidi" w:hAnsiTheme="majorBidi" w:cstheme="majorBidi"/>
          <w:sz w:val="24"/>
          <w:szCs w:val="24"/>
        </w:rPr>
        <w:t>to ‘</w:t>
      </w:r>
      <w:proofErr w:type="spellStart"/>
      <w:r w:rsidR="001C54BD">
        <w:rPr>
          <w:rFonts w:asciiTheme="majorBidi" w:hAnsiTheme="majorBidi" w:cstheme="majorBidi"/>
          <w:sz w:val="24"/>
          <w:szCs w:val="24"/>
        </w:rPr>
        <w:t>Ruthenian</w:t>
      </w:r>
      <w:proofErr w:type="spellEnd"/>
      <w:r w:rsidR="001C54BD">
        <w:rPr>
          <w:rFonts w:asciiTheme="majorBidi" w:hAnsiTheme="majorBidi" w:cstheme="majorBidi"/>
          <w:sz w:val="24"/>
          <w:szCs w:val="24"/>
        </w:rPr>
        <w:t xml:space="preserve"> lands’ and a feeling of regional belonging, that show the special relation that connected Jews to their ‘native country’. </w:t>
      </w:r>
    </w:p>
    <w:p w14:paraId="31009C74" w14:textId="77777777" w:rsidR="00883C91" w:rsidRDefault="001C54BD" w:rsidP="00DA637E">
      <w:pPr>
        <w:spacing w:line="360" w:lineRule="auto"/>
        <w:jc w:val="both"/>
        <w:rPr>
          <w:rFonts w:asciiTheme="majorBidi" w:hAnsiTheme="majorBidi" w:cstheme="majorBidi"/>
          <w:sz w:val="24"/>
          <w:szCs w:val="24"/>
        </w:rPr>
      </w:pPr>
      <w:r>
        <w:rPr>
          <w:rFonts w:asciiTheme="majorBidi" w:hAnsiTheme="majorBidi" w:cstheme="majorBidi"/>
          <w:sz w:val="24"/>
          <w:szCs w:val="24"/>
        </w:rPr>
        <w:t>Mayhill Fowler’</w:t>
      </w:r>
      <w:r w:rsidR="00054D73">
        <w:rPr>
          <w:rFonts w:asciiTheme="majorBidi" w:hAnsiTheme="majorBidi" w:cstheme="majorBidi"/>
          <w:sz w:val="24"/>
          <w:szCs w:val="24"/>
        </w:rPr>
        <w:t>s article on ‘</w:t>
      </w:r>
      <w:r w:rsidR="00054D73" w:rsidRPr="00054D73">
        <w:rPr>
          <w:rFonts w:asciiTheme="majorBidi" w:hAnsiTheme="majorBidi" w:cstheme="majorBidi"/>
          <w:sz w:val="24"/>
          <w:szCs w:val="24"/>
        </w:rPr>
        <w:t>Backstage in the Yiddish Theatres of Soviet Ukraine</w:t>
      </w:r>
      <w:r w:rsidR="00054D73">
        <w:rPr>
          <w:rFonts w:asciiTheme="majorBidi" w:hAnsiTheme="majorBidi" w:cstheme="majorBidi"/>
          <w:sz w:val="24"/>
          <w:szCs w:val="24"/>
        </w:rPr>
        <w:t xml:space="preserve">’ also offers a re-evaluation of </w:t>
      </w:r>
      <w:r w:rsidR="00DA637E">
        <w:rPr>
          <w:rFonts w:asciiTheme="majorBidi" w:hAnsiTheme="majorBidi" w:cstheme="majorBidi"/>
          <w:sz w:val="24"/>
          <w:szCs w:val="24"/>
        </w:rPr>
        <w:t>accepted</w:t>
      </w:r>
      <w:r w:rsidR="00054D73">
        <w:rPr>
          <w:rFonts w:asciiTheme="majorBidi" w:hAnsiTheme="majorBidi" w:cstheme="majorBidi"/>
          <w:sz w:val="24"/>
          <w:szCs w:val="24"/>
        </w:rPr>
        <w:t xml:space="preserve"> view</w:t>
      </w:r>
      <w:r w:rsidR="00DA637E">
        <w:rPr>
          <w:rFonts w:asciiTheme="majorBidi" w:hAnsiTheme="majorBidi" w:cstheme="majorBidi"/>
          <w:sz w:val="24"/>
          <w:szCs w:val="24"/>
        </w:rPr>
        <w:t>s</w:t>
      </w:r>
      <w:r w:rsidR="00054D73">
        <w:rPr>
          <w:rFonts w:asciiTheme="majorBidi" w:hAnsiTheme="majorBidi" w:cstheme="majorBidi"/>
          <w:sz w:val="24"/>
          <w:szCs w:val="24"/>
        </w:rPr>
        <w:t xml:space="preserve"> about the effect of indigenisation policies in Ukraine. Questioning the idea that Ukrainian and Yiddish culture</w:t>
      </w:r>
      <w:r w:rsidR="002515AA">
        <w:rPr>
          <w:rFonts w:asciiTheme="majorBidi" w:hAnsiTheme="majorBidi" w:cstheme="majorBidi"/>
          <w:sz w:val="24"/>
          <w:szCs w:val="24"/>
        </w:rPr>
        <w:t>s</w:t>
      </w:r>
      <w:r w:rsidR="00054D73">
        <w:rPr>
          <w:rFonts w:asciiTheme="majorBidi" w:hAnsiTheme="majorBidi" w:cstheme="majorBidi"/>
          <w:sz w:val="24"/>
          <w:szCs w:val="24"/>
        </w:rPr>
        <w:t xml:space="preserve"> developed separately, as autonomous and </w:t>
      </w:r>
      <w:r w:rsidR="00FD4F6F">
        <w:rPr>
          <w:rFonts w:asciiTheme="majorBidi" w:hAnsiTheme="majorBidi" w:cstheme="majorBidi"/>
          <w:sz w:val="24"/>
          <w:szCs w:val="24"/>
        </w:rPr>
        <w:t>hermetic</w:t>
      </w:r>
      <w:r w:rsidR="00054D73">
        <w:rPr>
          <w:rFonts w:asciiTheme="majorBidi" w:hAnsiTheme="majorBidi" w:cstheme="majorBidi"/>
          <w:sz w:val="24"/>
          <w:szCs w:val="24"/>
        </w:rPr>
        <w:t xml:space="preserve"> ethnic spaces, she argues that </w:t>
      </w:r>
      <w:r w:rsidR="00FD4F6F">
        <w:rPr>
          <w:rFonts w:asciiTheme="majorBidi" w:hAnsiTheme="majorBidi" w:cstheme="majorBidi"/>
          <w:sz w:val="24"/>
          <w:szCs w:val="24"/>
        </w:rPr>
        <w:t xml:space="preserve">in a very multi-ethnic republic such as Ukraine ethnic boundaries were far from impassable, and </w:t>
      </w:r>
      <w:r w:rsidR="00DA637E">
        <w:rPr>
          <w:rFonts w:asciiTheme="majorBidi" w:hAnsiTheme="majorBidi" w:cstheme="majorBidi"/>
          <w:sz w:val="24"/>
          <w:szCs w:val="24"/>
        </w:rPr>
        <w:t xml:space="preserve">that </w:t>
      </w:r>
      <w:r w:rsidR="00FD4F6F">
        <w:rPr>
          <w:rFonts w:asciiTheme="majorBidi" w:hAnsiTheme="majorBidi" w:cstheme="majorBidi"/>
          <w:sz w:val="24"/>
          <w:szCs w:val="24"/>
        </w:rPr>
        <w:t xml:space="preserve">Jewish, Ukrainian or Polish identities </w:t>
      </w:r>
      <w:r w:rsidR="002515AA">
        <w:rPr>
          <w:rFonts w:asciiTheme="majorBidi" w:hAnsiTheme="majorBidi" w:cstheme="majorBidi"/>
          <w:sz w:val="24"/>
          <w:szCs w:val="24"/>
        </w:rPr>
        <w:t xml:space="preserve">were </w:t>
      </w:r>
      <w:r w:rsidR="00FD4F6F">
        <w:rPr>
          <w:rFonts w:asciiTheme="majorBidi" w:hAnsiTheme="majorBidi" w:cstheme="majorBidi"/>
          <w:sz w:val="24"/>
          <w:szCs w:val="24"/>
        </w:rPr>
        <w:t>not clearly fixed</w:t>
      </w:r>
      <w:r w:rsidR="00DA637E">
        <w:rPr>
          <w:rFonts w:asciiTheme="majorBidi" w:hAnsiTheme="majorBidi" w:cstheme="majorBidi"/>
          <w:sz w:val="24"/>
          <w:szCs w:val="24"/>
        </w:rPr>
        <w:t xml:space="preserve"> in the 1920s</w:t>
      </w:r>
      <w:r w:rsidR="00FD4F6F">
        <w:rPr>
          <w:rFonts w:asciiTheme="majorBidi" w:hAnsiTheme="majorBidi" w:cstheme="majorBidi"/>
          <w:sz w:val="24"/>
          <w:szCs w:val="24"/>
        </w:rPr>
        <w:t xml:space="preserve">. </w:t>
      </w:r>
      <w:r w:rsidR="00F82D06">
        <w:rPr>
          <w:rFonts w:asciiTheme="majorBidi" w:hAnsiTheme="majorBidi" w:cstheme="majorBidi"/>
          <w:sz w:val="24"/>
          <w:szCs w:val="24"/>
        </w:rPr>
        <w:t>Apart from the fact that there were several Jewish theatres and Ukrain</w:t>
      </w:r>
      <w:r w:rsidR="00B039BD">
        <w:rPr>
          <w:rFonts w:asciiTheme="majorBidi" w:hAnsiTheme="majorBidi" w:cstheme="majorBidi"/>
          <w:sz w:val="24"/>
          <w:szCs w:val="24"/>
        </w:rPr>
        <w:t>ian</w:t>
      </w:r>
      <w:r w:rsidR="00F82D06">
        <w:rPr>
          <w:rFonts w:asciiTheme="majorBidi" w:hAnsiTheme="majorBidi" w:cstheme="majorBidi"/>
          <w:sz w:val="24"/>
          <w:szCs w:val="24"/>
        </w:rPr>
        <w:t xml:space="preserve"> theatres, the cultural landscape was complicated by the fact that </w:t>
      </w:r>
      <w:r w:rsidR="00883C91">
        <w:rPr>
          <w:rFonts w:asciiTheme="majorBidi" w:hAnsiTheme="majorBidi" w:cstheme="majorBidi"/>
          <w:sz w:val="24"/>
          <w:szCs w:val="24"/>
        </w:rPr>
        <w:t xml:space="preserve">although ethnic categories prevailed, they were still in the making and not easily defined. </w:t>
      </w:r>
      <w:r w:rsidR="00FD4F6F">
        <w:rPr>
          <w:rFonts w:asciiTheme="majorBidi" w:hAnsiTheme="majorBidi" w:cstheme="majorBidi"/>
          <w:sz w:val="24"/>
          <w:szCs w:val="24"/>
        </w:rPr>
        <w:t xml:space="preserve">Taking an original and fruitful angle – backstage– she recreates the </w:t>
      </w:r>
      <w:r w:rsidR="00F82D06">
        <w:rPr>
          <w:rFonts w:asciiTheme="majorBidi" w:hAnsiTheme="majorBidi" w:cstheme="majorBidi"/>
          <w:sz w:val="24"/>
          <w:szCs w:val="24"/>
        </w:rPr>
        <w:t>conditions</w:t>
      </w:r>
      <w:r w:rsidR="00FD4F6F">
        <w:rPr>
          <w:rFonts w:asciiTheme="majorBidi" w:hAnsiTheme="majorBidi" w:cstheme="majorBidi"/>
          <w:sz w:val="24"/>
          <w:szCs w:val="24"/>
        </w:rPr>
        <w:t xml:space="preserve"> in which these new theatres built themselves, under economic constraints and financial pressures from the </w:t>
      </w:r>
      <w:r w:rsidR="00946286">
        <w:rPr>
          <w:rFonts w:asciiTheme="majorBidi" w:hAnsiTheme="majorBidi" w:cstheme="majorBidi"/>
          <w:sz w:val="24"/>
          <w:szCs w:val="24"/>
        </w:rPr>
        <w:t>Centre</w:t>
      </w:r>
      <w:r w:rsidR="00F82D06">
        <w:rPr>
          <w:rFonts w:asciiTheme="majorBidi" w:hAnsiTheme="majorBidi" w:cstheme="majorBidi"/>
          <w:sz w:val="24"/>
          <w:szCs w:val="24"/>
        </w:rPr>
        <w:t xml:space="preserve">, </w:t>
      </w:r>
      <w:r w:rsidR="00B039BD">
        <w:rPr>
          <w:rFonts w:asciiTheme="majorBidi" w:hAnsiTheme="majorBidi" w:cstheme="majorBidi"/>
          <w:sz w:val="24"/>
          <w:szCs w:val="24"/>
        </w:rPr>
        <w:t xml:space="preserve">and their </w:t>
      </w:r>
      <w:r w:rsidR="00F82D06" w:rsidRPr="00DC4803">
        <w:rPr>
          <w:rFonts w:asciiTheme="majorBidi" w:hAnsiTheme="majorBidi" w:cstheme="majorBidi"/>
          <w:sz w:val="24"/>
          <w:szCs w:val="24"/>
        </w:rPr>
        <w:t>struggle</w:t>
      </w:r>
      <w:r w:rsidR="00B039BD" w:rsidRPr="00DC4803">
        <w:rPr>
          <w:rFonts w:asciiTheme="majorBidi" w:hAnsiTheme="majorBidi" w:cstheme="majorBidi"/>
          <w:sz w:val="24"/>
          <w:szCs w:val="24"/>
        </w:rPr>
        <w:t>s</w:t>
      </w:r>
      <w:r w:rsidR="00F82D06" w:rsidRPr="00DC4803">
        <w:rPr>
          <w:rFonts w:asciiTheme="majorBidi" w:hAnsiTheme="majorBidi" w:cstheme="majorBidi"/>
          <w:sz w:val="24"/>
          <w:szCs w:val="24"/>
        </w:rPr>
        <w:t xml:space="preserve"> over subventions</w:t>
      </w:r>
      <w:r w:rsidR="00DA637E" w:rsidRPr="00DC4803">
        <w:rPr>
          <w:rFonts w:asciiTheme="majorBidi" w:hAnsiTheme="majorBidi" w:cstheme="majorBidi"/>
          <w:sz w:val="24"/>
          <w:szCs w:val="24"/>
        </w:rPr>
        <w:t xml:space="preserve"> and</w:t>
      </w:r>
      <w:r w:rsidR="00F82D06" w:rsidRPr="00DC4803">
        <w:rPr>
          <w:rFonts w:asciiTheme="majorBidi" w:hAnsiTheme="majorBidi" w:cstheme="majorBidi"/>
          <w:sz w:val="24"/>
          <w:szCs w:val="24"/>
        </w:rPr>
        <w:t xml:space="preserve"> audience</w:t>
      </w:r>
      <w:r w:rsidR="00FD4F6F" w:rsidRPr="00DC4803">
        <w:rPr>
          <w:rFonts w:asciiTheme="majorBidi" w:hAnsiTheme="majorBidi" w:cstheme="majorBidi"/>
          <w:sz w:val="24"/>
          <w:szCs w:val="24"/>
        </w:rPr>
        <w:t>. Fowler</w:t>
      </w:r>
      <w:r w:rsidR="00FD4F6F">
        <w:rPr>
          <w:rFonts w:asciiTheme="majorBidi" w:hAnsiTheme="majorBidi" w:cstheme="majorBidi"/>
          <w:sz w:val="24"/>
          <w:szCs w:val="24"/>
        </w:rPr>
        <w:t xml:space="preserve"> demonstrates that the circulation of</w:t>
      </w:r>
      <w:r w:rsidR="00F82D06">
        <w:rPr>
          <w:rFonts w:asciiTheme="majorBidi" w:hAnsiTheme="majorBidi" w:cstheme="majorBidi"/>
          <w:sz w:val="24"/>
          <w:szCs w:val="24"/>
        </w:rPr>
        <w:t xml:space="preserve"> </w:t>
      </w:r>
      <w:r w:rsidR="00DA637E">
        <w:rPr>
          <w:rFonts w:asciiTheme="majorBidi" w:hAnsiTheme="majorBidi" w:cstheme="majorBidi"/>
          <w:sz w:val="24"/>
          <w:szCs w:val="24"/>
        </w:rPr>
        <w:t>a</w:t>
      </w:r>
      <w:r w:rsidR="00F82D06">
        <w:rPr>
          <w:rFonts w:asciiTheme="majorBidi" w:hAnsiTheme="majorBidi" w:cstheme="majorBidi"/>
          <w:sz w:val="24"/>
          <w:szCs w:val="24"/>
        </w:rPr>
        <w:t xml:space="preserve"> young generation of</w:t>
      </w:r>
      <w:r w:rsidR="00FD4F6F">
        <w:rPr>
          <w:rFonts w:asciiTheme="majorBidi" w:hAnsiTheme="majorBidi" w:cstheme="majorBidi"/>
          <w:sz w:val="24"/>
          <w:szCs w:val="24"/>
        </w:rPr>
        <w:t xml:space="preserve"> actors, directors or technical staff from one theatre to the other was less a question of ethnic </w:t>
      </w:r>
      <w:r w:rsidR="00FD4F6F" w:rsidRPr="00DC4803">
        <w:rPr>
          <w:rFonts w:asciiTheme="majorBidi" w:hAnsiTheme="majorBidi" w:cstheme="majorBidi"/>
          <w:sz w:val="24"/>
          <w:szCs w:val="24"/>
        </w:rPr>
        <w:t>origin, than of job market</w:t>
      </w:r>
      <w:r w:rsidR="00B039BD" w:rsidRPr="00DC4803">
        <w:rPr>
          <w:rFonts w:asciiTheme="majorBidi" w:hAnsiTheme="majorBidi" w:cstheme="majorBidi"/>
          <w:sz w:val="24"/>
          <w:szCs w:val="24"/>
        </w:rPr>
        <w:t xml:space="preserve"> </w:t>
      </w:r>
      <w:r w:rsidR="005D03CB" w:rsidRPr="00DC4803">
        <w:rPr>
          <w:rFonts w:asciiTheme="majorBidi" w:hAnsiTheme="majorBidi" w:cstheme="majorBidi"/>
          <w:sz w:val="24"/>
          <w:szCs w:val="24"/>
        </w:rPr>
        <w:t>competition</w:t>
      </w:r>
      <w:r w:rsidR="00FD4F6F" w:rsidRPr="00DC4803">
        <w:rPr>
          <w:rFonts w:asciiTheme="majorBidi" w:hAnsiTheme="majorBidi" w:cstheme="majorBidi"/>
          <w:sz w:val="24"/>
          <w:szCs w:val="24"/>
        </w:rPr>
        <w:t xml:space="preserve">. </w:t>
      </w:r>
      <w:r w:rsidR="00883C91" w:rsidRPr="00DC4803">
        <w:rPr>
          <w:rFonts w:asciiTheme="majorBidi" w:hAnsiTheme="majorBidi" w:cstheme="majorBidi"/>
          <w:sz w:val="24"/>
          <w:szCs w:val="24"/>
        </w:rPr>
        <w:t>Like Grachova</w:t>
      </w:r>
      <w:r w:rsidR="00883C91">
        <w:rPr>
          <w:rFonts w:asciiTheme="majorBidi" w:hAnsiTheme="majorBidi" w:cstheme="majorBidi"/>
          <w:sz w:val="24"/>
          <w:szCs w:val="24"/>
        </w:rPr>
        <w:t>, she shows that places matter</w:t>
      </w:r>
      <w:r w:rsidR="00DA637E">
        <w:rPr>
          <w:rFonts w:asciiTheme="majorBidi" w:hAnsiTheme="majorBidi" w:cstheme="majorBidi"/>
          <w:sz w:val="24"/>
          <w:szCs w:val="24"/>
        </w:rPr>
        <w:t>ed</w:t>
      </w:r>
      <w:r w:rsidR="00883C91">
        <w:rPr>
          <w:rFonts w:asciiTheme="majorBidi" w:hAnsiTheme="majorBidi" w:cstheme="majorBidi"/>
          <w:sz w:val="24"/>
          <w:szCs w:val="24"/>
        </w:rPr>
        <w:t xml:space="preserve"> </w:t>
      </w:r>
      <w:r w:rsidR="00883C91">
        <w:rPr>
          <w:rFonts w:asciiTheme="majorBidi" w:hAnsiTheme="majorBidi" w:cstheme="majorBidi"/>
          <w:sz w:val="24"/>
          <w:szCs w:val="24"/>
        </w:rPr>
        <w:lastRenderedPageBreak/>
        <w:t xml:space="preserve">more than ethnicity. In other words, the local factors that made Ukraine what it was (a multi-ethnic, multi-linguistic region that had strong Jewish and Ukrainian cultural traditions but also an imperial legacy of hybridity) determined </w:t>
      </w:r>
      <w:r w:rsidR="00B039BD">
        <w:rPr>
          <w:rFonts w:asciiTheme="majorBidi" w:hAnsiTheme="majorBidi" w:cstheme="majorBidi"/>
          <w:sz w:val="24"/>
          <w:szCs w:val="24"/>
        </w:rPr>
        <w:t xml:space="preserve">the process of building national Soviet cultures </w:t>
      </w:r>
      <w:r w:rsidR="00883C91">
        <w:rPr>
          <w:rFonts w:asciiTheme="majorBidi" w:hAnsiTheme="majorBidi" w:cstheme="majorBidi"/>
          <w:sz w:val="24"/>
          <w:szCs w:val="24"/>
        </w:rPr>
        <w:t>to an equal or larger extent created than ethnicity.</w:t>
      </w:r>
    </w:p>
    <w:p w14:paraId="7F7EEB7F" w14:textId="77777777" w:rsidR="001C54BD" w:rsidRDefault="00883C91" w:rsidP="0048622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two articles on Lithuania look at the interwar period and at cultural interactions between Jews and Lithuanians after the abolition of Jewish autonomy in 1925. Both question the idea that the failure of Jewish cultural autonomy put an end to the Jewish-Lithuanian encounter, </w:t>
      </w:r>
      <w:r w:rsidR="00B039BD">
        <w:rPr>
          <w:rFonts w:asciiTheme="majorBidi" w:hAnsiTheme="majorBidi" w:cstheme="majorBidi"/>
          <w:sz w:val="24"/>
          <w:szCs w:val="24"/>
        </w:rPr>
        <w:t xml:space="preserve">from </w:t>
      </w:r>
      <w:r>
        <w:rPr>
          <w:rFonts w:asciiTheme="majorBidi" w:hAnsiTheme="majorBidi" w:cstheme="majorBidi"/>
          <w:sz w:val="24"/>
          <w:szCs w:val="24"/>
        </w:rPr>
        <w:t xml:space="preserve">different angles. </w:t>
      </w:r>
      <w:r w:rsidRPr="00883C91">
        <w:rPr>
          <w:rFonts w:asciiTheme="majorBidi" w:hAnsiTheme="majorBidi" w:cstheme="majorBidi"/>
          <w:sz w:val="24"/>
          <w:szCs w:val="24"/>
        </w:rPr>
        <w:t>Eglė Bendikaitė</w:t>
      </w:r>
      <w:r>
        <w:rPr>
          <w:rFonts w:asciiTheme="majorBidi" w:hAnsiTheme="majorBidi" w:cstheme="majorBidi"/>
          <w:sz w:val="24"/>
          <w:szCs w:val="24"/>
        </w:rPr>
        <w:t xml:space="preserve"> </w:t>
      </w:r>
      <w:r w:rsidR="00B039BD">
        <w:rPr>
          <w:rFonts w:asciiTheme="majorBidi" w:hAnsiTheme="majorBidi" w:cstheme="majorBidi"/>
          <w:sz w:val="24"/>
          <w:szCs w:val="24"/>
        </w:rPr>
        <w:t xml:space="preserve">provides </w:t>
      </w:r>
      <w:r w:rsidR="00486223">
        <w:rPr>
          <w:rFonts w:asciiTheme="majorBidi" w:hAnsiTheme="majorBidi" w:cstheme="majorBidi"/>
          <w:sz w:val="24"/>
          <w:szCs w:val="24"/>
        </w:rPr>
        <w:t>an overview of the</w:t>
      </w:r>
      <w:r w:rsidR="00035638">
        <w:rPr>
          <w:rFonts w:asciiTheme="majorBidi" w:hAnsiTheme="majorBidi" w:cstheme="majorBidi"/>
          <w:sz w:val="24"/>
          <w:szCs w:val="24"/>
        </w:rPr>
        <w:t xml:space="preserve"> cultural exchanges </w:t>
      </w:r>
      <w:r w:rsidR="00486223">
        <w:rPr>
          <w:rFonts w:asciiTheme="majorBidi" w:hAnsiTheme="majorBidi" w:cstheme="majorBidi"/>
          <w:sz w:val="24"/>
          <w:szCs w:val="24"/>
        </w:rPr>
        <w:t xml:space="preserve">that took place </w:t>
      </w:r>
      <w:r w:rsidR="00035638">
        <w:rPr>
          <w:rFonts w:asciiTheme="majorBidi" w:hAnsiTheme="majorBidi" w:cstheme="majorBidi"/>
          <w:sz w:val="24"/>
          <w:szCs w:val="24"/>
        </w:rPr>
        <w:t>between 1925 and 1940 in education, literature, and art. The ‘</w:t>
      </w:r>
      <w:proofErr w:type="spellStart"/>
      <w:r w:rsidR="00035638">
        <w:rPr>
          <w:rFonts w:asciiTheme="majorBidi" w:hAnsiTheme="majorBidi" w:cstheme="majorBidi"/>
          <w:sz w:val="24"/>
          <w:szCs w:val="24"/>
        </w:rPr>
        <w:t>Lithuanisation</w:t>
      </w:r>
      <w:proofErr w:type="spellEnd"/>
      <w:r w:rsidR="00035638">
        <w:rPr>
          <w:rFonts w:asciiTheme="majorBidi" w:hAnsiTheme="majorBidi" w:cstheme="majorBidi"/>
          <w:sz w:val="24"/>
          <w:szCs w:val="24"/>
        </w:rPr>
        <w:t xml:space="preserve">’ of the Jewish population produced tangible results, both </w:t>
      </w:r>
      <w:r w:rsidR="00AD35FF">
        <w:rPr>
          <w:rFonts w:asciiTheme="majorBidi" w:hAnsiTheme="majorBidi" w:cstheme="majorBidi"/>
          <w:sz w:val="24"/>
          <w:szCs w:val="24"/>
        </w:rPr>
        <w:t>because</w:t>
      </w:r>
      <w:r w:rsidR="00035638">
        <w:rPr>
          <w:rFonts w:asciiTheme="majorBidi" w:hAnsiTheme="majorBidi" w:cstheme="majorBidi"/>
          <w:sz w:val="24"/>
          <w:szCs w:val="24"/>
        </w:rPr>
        <w:t xml:space="preserve"> of political decisions (</w:t>
      </w:r>
      <w:r w:rsidR="00486223">
        <w:rPr>
          <w:rFonts w:asciiTheme="majorBidi" w:hAnsiTheme="majorBidi" w:cstheme="majorBidi"/>
          <w:sz w:val="24"/>
          <w:szCs w:val="24"/>
        </w:rPr>
        <w:t>the</w:t>
      </w:r>
      <w:r w:rsidR="00035638">
        <w:rPr>
          <w:rFonts w:asciiTheme="majorBidi" w:hAnsiTheme="majorBidi" w:cstheme="majorBidi"/>
          <w:sz w:val="24"/>
          <w:szCs w:val="24"/>
        </w:rPr>
        <w:t xml:space="preserve"> obligation to learn the Lithuanian language in Jewish schools)</w:t>
      </w:r>
      <w:r w:rsidR="00AD35FF">
        <w:rPr>
          <w:rFonts w:asciiTheme="majorBidi" w:hAnsiTheme="majorBidi" w:cstheme="majorBidi"/>
          <w:sz w:val="24"/>
          <w:szCs w:val="24"/>
        </w:rPr>
        <w:t>, ideological pressure (Jews were asked to demonstrate their loyalty to the state)</w:t>
      </w:r>
      <w:r w:rsidR="00035638">
        <w:rPr>
          <w:rFonts w:asciiTheme="majorBidi" w:hAnsiTheme="majorBidi" w:cstheme="majorBidi"/>
          <w:sz w:val="24"/>
          <w:szCs w:val="24"/>
        </w:rPr>
        <w:t xml:space="preserve"> and social stimuli (</w:t>
      </w:r>
      <w:r w:rsidR="00486223">
        <w:rPr>
          <w:rFonts w:asciiTheme="majorBidi" w:hAnsiTheme="majorBidi" w:cstheme="majorBidi"/>
          <w:sz w:val="24"/>
          <w:szCs w:val="24"/>
        </w:rPr>
        <w:t>prospects for social mobility and higher education</w:t>
      </w:r>
      <w:r w:rsidR="00035638">
        <w:rPr>
          <w:rFonts w:asciiTheme="majorBidi" w:hAnsiTheme="majorBidi" w:cstheme="majorBidi"/>
          <w:sz w:val="24"/>
          <w:szCs w:val="24"/>
        </w:rPr>
        <w:t xml:space="preserve">). </w:t>
      </w:r>
      <w:r w:rsidR="00AD35FF">
        <w:rPr>
          <w:rFonts w:asciiTheme="majorBidi" w:hAnsiTheme="majorBidi" w:cstheme="majorBidi"/>
          <w:sz w:val="24"/>
          <w:szCs w:val="24"/>
        </w:rPr>
        <w:t xml:space="preserve">Although often criticized for their </w:t>
      </w:r>
      <w:r w:rsidR="00115CDB">
        <w:rPr>
          <w:rFonts w:asciiTheme="majorBidi" w:hAnsiTheme="majorBidi" w:cstheme="majorBidi"/>
          <w:sz w:val="24"/>
          <w:szCs w:val="24"/>
        </w:rPr>
        <w:t>poor command of the language, Jews increasingly sent their children to Lithuanian schools</w:t>
      </w:r>
      <w:r w:rsidR="00486223">
        <w:rPr>
          <w:rFonts w:asciiTheme="majorBidi" w:hAnsiTheme="majorBidi" w:cstheme="majorBidi"/>
          <w:sz w:val="24"/>
          <w:szCs w:val="24"/>
        </w:rPr>
        <w:t>.</w:t>
      </w:r>
      <w:r w:rsidR="00115CDB">
        <w:rPr>
          <w:rFonts w:asciiTheme="majorBidi" w:hAnsiTheme="majorBidi" w:cstheme="majorBidi"/>
          <w:sz w:val="24"/>
          <w:szCs w:val="24"/>
        </w:rPr>
        <w:t xml:space="preserve"> However Jewish schools, especially </w:t>
      </w:r>
      <w:proofErr w:type="spellStart"/>
      <w:r w:rsidR="00115CDB">
        <w:rPr>
          <w:rFonts w:asciiTheme="majorBidi" w:hAnsiTheme="majorBidi" w:cstheme="majorBidi"/>
          <w:sz w:val="24"/>
          <w:szCs w:val="24"/>
        </w:rPr>
        <w:t>Tarbut</w:t>
      </w:r>
      <w:proofErr w:type="spellEnd"/>
      <w:r w:rsidR="00115CDB">
        <w:rPr>
          <w:rFonts w:asciiTheme="majorBidi" w:hAnsiTheme="majorBidi" w:cstheme="majorBidi"/>
          <w:sz w:val="24"/>
          <w:szCs w:val="24"/>
        </w:rPr>
        <w:t xml:space="preserve"> (</w:t>
      </w:r>
      <w:r w:rsidR="00486223">
        <w:rPr>
          <w:rFonts w:asciiTheme="majorBidi" w:hAnsiTheme="majorBidi" w:cstheme="majorBidi"/>
          <w:sz w:val="24"/>
          <w:szCs w:val="24"/>
        </w:rPr>
        <w:t>Zionist</w:t>
      </w:r>
      <w:r w:rsidR="00115CDB">
        <w:rPr>
          <w:rFonts w:asciiTheme="majorBidi" w:hAnsiTheme="majorBidi" w:cstheme="majorBidi"/>
          <w:sz w:val="24"/>
          <w:szCs w:val="24"/>
        </w:rPr>
        <w:t>) one</w:t>
      </w:r>
      <w:r w:rsidR="00B039BD">
        <w:rPr>
          <w:rFonts w:asciiTheme="majorBidi" w:hAnsiTheme="majorBidi" w:cstheme="majorBidi"/>
          <w:sz w:val="24"/>
          <w:szCs w:val="24"/>
        </w:rPr>
        <w:t>s</w:t>
      </w:r>
      <w:r w:rsidR="00115CDB">
        <w:rPr>
          <w:rFonts w:asciiTheme="majorBidi" w:hAnsiTheme="majorBidi" w:cstheme="majorBidi"/>
          <w:sz w:val="24"/>
          <w:szCs w:val="24"/>
        </w:rPr>
        <w:t xml:space="preserve">, </w:t>
      </w:r>
      <w:r w:rsidR="00B039BD">
        <w:rPr>
          <w:rFonts w:asciiTheme="majorBidi" w:hAnsiTheme="majorBidi" w:cstheme="majorBidi"/>
          <w:sz w:val="24"/>
          <w:szCs w:val="24"/>
        </w:rPr>
        <w:t>remained</w:t>
      </w:r>
      <w:r w:rsidR="00115CDB">
        <w:rPr>
          <w:rFonts w:asciiTheme="majorBidi" w:hAnsiTheme="majorBidi" w:cstheme="majorBidi"/>
          <w:sz w:val="24"/>
          <w:szCs w:val="24"/>
        </w:rPr>
        <w:t xml:space="preserve"> very popular among Jews of Lithuania. This reluctance of Jews to learn the Lithuanian language put them at a disadvantage when applying for positions in public services or the army. </w:t>
      </w:r>
      <w:r w:rsidR="004F7AA4">
        <w:rPr>
          <w:rFonts w:asciiTheme="majorBidi" w:hAnsiTheme="majorBidi" w:cstheme="majorBidi"/>
          <w:sz w:val="24"/>
          <w:szCs w:val="24"/>
        </w:rPr>
        <w:t xml:space="preserve">To </w:t>
      </w:r>
      <w:r w:rsidR="00AA0CB3" w:rsidRPr="00883C91">
        <w:rPr>
          <w:rFonts w:asciiTheme="majorBidi" w:hAnsiTheme="majorBidi" w:cstheme="majorBidi"/>
          <w:sz w:val="24"/>
          <w:szCs w:val="24"/>
        </w:rPr>
        <w:t>Bendikaitė</w:t>
      </w:r>
      <w:r w:rsidR="00DD35F7">
        <w:rPr>
          <w:rFonts w:asciiTheme="majorBidi" w:hAnsiTheme="majorBidi" w:cstheme="majorBidi"/>
          <w:sz w:val="24"/>
          <w:szCs w:val="24"/>
        </w:rPr>
        <w:t>,</w:t>
      </w:r>
      <w:r w:rsidR="004F7AA4">
        <w:rPr>
          <w:rFonts w:asciiTheme="majorBidi" w:hAnsiTheme="majorBidi" w:cstheme="majorBidi"/>
          <w:sz w:val="24"/>
          <w:szCs w:val="24"/>
        </w:rPr>
        <w:t xml:space="preserve"> literature</w:t>
      </w:r>
      <w:r w:rsidR="00115CDB">
        <w:rPr>
          <w:rFonts w:asciiTheme="majorBidi" w:hAnsiTheme="majorBidi" w:cstheme="majorBidi"/>
          <w:sz w:val="24"/>
          <w:szCs w:val="24"/>
        </w:rPr>
        <w:t xml:space="preserve"> </w:t>
      </w:r>
      <w:r w:rsidR="004F7AA4">
        <w:rPr>
          <w:rFonts w:asciiTheme="majorBidi" w:hAnsiTheme="majorBidi" w:cstheme="majorBidi"/>
          <w:sz w:val="24"/>
          <w:szCs w:val="24"/>
        </w:rPr>
        <w:t xml:space="preserve">and art in particular provided more opportunity for mutual recognition </w:t>
      </w:r>
      <w:r w:rsidR="00DD35F7">
        <w:rPr>
          <w:rFonts w:asciiTheme="majorBidi" w:hAnsiTheme="majorBidi" w:cstheme="majorBidi"/>
          <w:sz w:val="24"/>
          <w:szCs w:val="24"/>
        </w:rPr>
        <w:t xml:space="preserve">and </w:t>
      </w:r>
      <w:r w:rsidR="005D03CB">
        <w:rPr>
          <w:rFonts w:asciiTheme="majorBidi" w:hAnsiTheme="majorBidi" w:cstheme="majorBidi"/>
          <w:sz w:val="24"/>
          <w:szCs w:val="24"/>
        </w:rPr>
        <w:t xml:space="preserve">cultural </w:t>
      </w:r>
      <w:r w:rsidR="00DD35F7">
        <w:rPr>
          <w:rFonts w:asciiTheme="majorBidi" w:hAnsiTheme="majorBidi" w:cstheme="majorBidi"/>
          <w:sz w:val="24"/>
          <w:szCs w:val="24"/>
        </w:rPr>
        <w:t xml:space="preserve">exchange. </w:t>
      </w:r>
      <w:r w:rsidR="004F7AA4">
        <w:rPr>
          <w:rFonts w:asciiTheme="majorBidi" w:hAnsiTheme="majorBidi" w:cstheme="majorBidi"/>
          <w:sz w:val="24"/>
          <w:szCs w:val="24"/>
        </w:rPr>
        <w:t xml:space="preserve">The publication of </w:t>
      </w:r>
      <w:r w:rsidR="004F7AA4" w:rsidRPr="00DC4803">
        <w:rPr>
          <w:rFonts w:asciiTheme="majorBidi" w:hAnsiTheme="majorBidi" w:cstheme="majorBidi"/>
          <w:sz w:val="24"/>
          <w:szCs w:val="24"/>
        </w:rPr>
        <w:t xml:space="preserve">translations both ways, as well as the creation of a Lithuanian-Jewish association testify </w:t>
      </w:r>
      <w:r w:rsidR="00B039BD" w:rsidRPr="00DC4803">
        <w:rPr>
          <w:rFonts w:asciiTheme="majorBidi" w:hAnsiTheme="majorBidi" w:cstheme="majorBidi"/>
          <w:sz w:val="24"/>
          <w:szCs w:val="24"/>
        </w:rPr>
        <w:t xml:space="preserve">to </w:t>
      </w:r>
      <w:r w:rsidR="004F7AA4" w:rsidRPr="00DC4803">
        <w:rPr>
          <w:rFonts w:asciiTheme="majorBidi" w:hAnsiTheme="majorBidi" w:cstheme="majorBidi"/>
          <w:sz w:val="24"/>
          <w:szCs w:val="24"/>
        </w:rPr>
        <w:t>the intention</w:t>
      </w:r>
      <w:r w:rsidR="004F7AA4">
        <w:rPr>
          <w:rFonts w:asciiTheme="majorBidi" w:hAnsiTheme="majorBidi" w:cstheme="majorBidi"/>
          <w:sz w:val="24"/>
          <w:szCs w:val="24"/>
        </w:rPr>
        <w:t xml:space="preserve"> and initial impetus for exchanges among some intellectuals</w:t>
      </w:r>
      <w:r w:rsidR="00B039BD">
        <w:rPr>
          <w:rFonts w:asciiTheme="majorBidi" w:hAnsiTheme="majorBidi" w:cstheme="majorBidi"/>
          <w:sz w:val="24"/>
          <w:szCs w:val="24"/>
        </w:rPr>
        <w:t>,</w:t>
      </w:r>
      <w:r w:rsidR="004F7AA4">
        <w:rPr>
          <w:rFonts w:asciiTheme="majorBidi" w:hAnsiTheme="majorBidi" w:cstheme="majorBidi"/>
          <w:sz w:val="24"/>
          <w:szCs w:val="24"/>
        </w:rPr>
        <w:t xml:space="preserve"> but the scale and impact of these initiatives are questionable. Similarly, the press became a platform for collaboration and the popularisation of the other’s culture to a wider audience. The Zionist party made special efforts to familiarise the Lithuanian population </w:t>
      </w:r>
      <w:r w:rsidR="00B039BD">
        <w:rPr>
          <w:rFonts w:asciiTheme="majorBidi" w:hAnsiTheme="majorBidi" w:cstheme="majorBidi"/>
          <w:sz w:val="24"/>
          <w:szCs w:val="24"/>
        </w:rPr>
        <w:t xml:space="preserve">with </w:t>
      </w:r>
      <w:r w:rsidR="004F7AA4">
        <w:rPr>
          <w:rFonts w:asciiTheme="majorBidi" w:hAnsiTheme="majorBidi" w:cstheme="majorBidi"/>
          <w:sz w:val="24"/>
          <w:szCs w:val="24"/>
        </w:rPr>
        <w:t>Jewish culture by publishing a supplement to its newspaper</w:t>
      </w:r>
      <w:r w:rsidR="00B039BD" w:rsidRPr="00B039BD">
        <w:rPr>
          <w:rFonts w:asciiTheme="majorBidi" w:hAnsiTheme="majorBidi" w:cstheme="majorBidi"/>
          <w:sz w:val="24"/>
          <w:szCs w:val="24"/>
        </w:rPr>
        <w:t xml:space="preserve"> </w:t>
      </w:r>
      <w:r w:rsidR="00B039BD">
        <w:rPr>
          <w:rFonts w:asciiTheme="majorBidi" w:hAnsiTheme="majorBidi" w:cstheme="majorBidi"/>
          <w:sz w:val="24"/>
          <w:szCs w:val="24"/>
        </w:rPr>
        <w:t>in Lithuanian</w:t>
      </w:r>
      <w:r w:rsidR="004F7AA4">
        <w:rPr>
          <w:rFonts w:asciiTheme="majorBidi" w:hAnsiTheme="majorBidi" w:cstheme="majorBidi"/>
          <w:sz w:val="24"/>
          <w:szCs w:val="24"/>
        </w:rPr>
        <w:t xml:space="preserve">. </w:t>
      </w:r>
      <w:r w:rsidR="00A81CE7">
        <w:rPr>
          <w:rFonts w:asciiTheme="majorBidi" w:hAnsiTheme="majorBidi" w:cstheme="majorBidi"/>
          <w:sz w:val="24"/>
          <w:szCs w:val="24"/>
        </w:rPr>
        <w:t xml:space="preserve">However this initiative was not well received by Lithuanian intellectuals and other attempts </w:t>
      </w:r>
      <w:r w:rsidR="003517BE">
        <w:rPr>
          <w:rFonts w:asciiTheme="majorBidi" w:hAnsiTheme="majorBidi" w:cstheme="majorBidi"/>
          <w:sz w:val="24"/>
          <w:szCs w:val="24"/>
        </w:rPr>
        <w:t xml:space="preserve">by </w:t>
      </w:r>
      <w:r w:rsidR="00A81CE7">
        <w:rPr>
          <w:rFonts w:asciiTheme="majorBidi" w:hAnsiTheme="majorBidi" w:cstheme="majorBidi"/>
          <w:sz w:val="24"/>
          <w:szCs w:val="24"/>
        </w:rPr>
        <w:t>Lithuanian newspaper</w:t>
      </w:r>
      <w:r w:rsidR="003517BE">
        <w:rPr>
          <w:rFonts w:asciiTheme="majorBidi" w:hAnsiTheme="majorBidi" w:cstheme="majorBidi"/>
          <w:sz w:val="24"/>
          <w:szCs w:val="24"/>
        </w:rPr>
        <w:t>s</w:t>
      </w:r>
      <w:r w:rsidR="00A81CE7">
        <w:rPr>
          <w:rFonts w:asciiTheme="majorBidi" w:hAnsiTheme="majorBidi" w:cstheme="majorBidi"/>
          <w:sz w:val="24"/>
          <w:szCs w:val="24"/>
        </w:rPr>
        <w:t xml:space="preserve"> to write about Jews were short-lived. </w:t>
      </w:r>
      <w:r w:rsidR="00486223">
        <w:rPr>
          <w:rFonts w:asciiTheme="majorBidi" w:hAnsiTheme="majorBidi" w:cstheme="majorBidi"/>
          <w:sz w:val="24"/>
          <w:szCs w:val="24"/>
        </w:rPr>
        <w:t>In spite of a more fruitful</w:t>
      </w:r>
      <w:r w:rsidR="00A81CE7">
        <w:rPr>
          <w:rFonts w:asciiTheme="majorBidi" w:hAnsiTheme="majorBidi" w:cstheme="majorBidi"/>
          <w:sz w:val="24"/>
          <w:szCs w:val="24"/>
        </w:rPr>
        <w:t xml:space="preserve"> Jewish-Lithuanian dialogue </w:t>
      </w:r>
      <w:proofErr w:type="gramStart"/>
      <w:r w:rsidR="00486223">
        <w:rPr>
          <w:rFonts w:asciiTheme="majorBidi" w:hAnsiTheme="majorBidi" w:cstheme="majorBidi"/>
          <w:sz w:val="24"/>
          <w:szCs w:val="24"/>
        </w:rPr>
        <w:t>in  art</w:t>
      </w:r>
      <w:proofErr w:type="gramEnd"/>
      <w:r w:rsidR="00486223">
        <w:rPr>
          <w:rFonts w:asciiTheme="majorBidi" w:hAnsiTheme="majorBidi" w:cstheme="majorBidi"/>
          <w:sz w:val="24"/>
          <w:szCs w:val="24"/>
        </w:rPr>
        <w:t>,</w:t>
      </w:r>
      <w:r w:rsidR="00AA0CB3">
        <w:rPr>
          <w:rFonts w:asciiTheme="majorBidi" w:hAnsiTheme="majorBidi" w:cstheme="majorBidi"/>
          <w:sz w:val="24"/>
          <w:szCs w:val="24"/>
        </w:rPr>
        <w:t xml:space="preserve"> </w:t>
      </w:r>
      <w:r w:rsidR="00AA0CB3" w:rsidRPr="00AA0CB3">
        <w:rPr>
          <w:rFonts w:asciiTheme="majorBidi" w:hAnsiTheme="majorBidi" w:cstheme="majorBidi"/>
          <w:sz w:val="24"/>
          <w:szCs w:val="24"/>
        </w:rPr>
        <w:t>Bendikaitė</w:t>
      </w:r>
      <w:r w:rsidR="00DD35F7">
        <w:rPr>
          <w:rFonts w:asciiTheme="majorBidi" w:hAnsiTheme="majorBidi" w:cstheme="majorBidi"/>
          <w:sz w:val="24"/>
          <w:szCs w:val="24"/>
        </w:rPr>
        <w:t xml:space="preserve"> qualifies the extent of this collaboration and mutual recognition, emphasizing rather the unwillingness on both sides </w:t>
      </w:r>
      <w:r w:rsidR="003517BE">
        <w:rPr>
          <w:rFonts w:asciiTheme="majorBidi" w:hAnsiTheme="majorBidi" w:cstheme="majorBidi"/>
          <w:sz w:val="24"/>
          <w:szCs w:val="24"/>
        </w:rPr>
        <w:t>to accept</w:t>
      </w:r>
      <w:r w:rsidR="00DD35F7">
        <w:rPr>
          <w:rFonts w:asciiTheme="majorBidi" w:hAnsiTheme="majorBidi" w:cstheme="majorBidi"/>
          <w:sz w:val="24"/>
          <w:szCs w:val="24"/>
        </w:rPr>
        <w:t xml:space="preserve"> the other’s culture.</w:t>
      </w:r>
    </w:p>
    <w:p w14:paraId="431D73C7" w14:textId="65F236AD" w:rsidR="00DD35F7" w:rsidRDefault="00DD35F7" w:rsidP="00812ADA">
      <w:pPr>
        <w:spacing w:line="360" w:lineRule="auto"/>
        <w:jc w:val="both"/>
        <w:rPr>
          <w:rFonts w:asciiTheme="majorBidi" w:hAnsiTheme="majorBidi" w:cstheme="majorBidi"/>
          <w:sz w:val="24"/>
          <w:szCs w:val="24"/>
        </w:rPr>
      </w:pPr>
      <w:r>
        <w:rPr>
          <w:rFonts w:asciiTheme="majorBidi" w:hAnsiTheme="majorBidi" w:cstheme="majorBidi"/>
          <w:sz w:val="24"/>
          <w:szCs w:val="24"/>
        </w:rPr>
        <w:t>Ju</w:t>
      </w:r>
      <w:r w:rsidRPr="00DD35F7">
        <w:rPr>
          <w:rFonts w:asciiTheme="majorBidi" w:hAnsiTheme="majorBidi" w:cstheme="majorBidi"/>
          <w:sz w:val="24"/>
          <w:szCs w:val="24"/>
        </w:rPr>
        <w:t xml:space="preserve">rgita </w:t>
      </w:r>
      <w:proofErr w:type="spellStart"/>
      <w:r w:rsidRPr="00DD35F7">
        <w:rPr>
          <w:rFonts w:asciiTheme="majorBidi" w:hAnsiTheme="majorBidi" w:cstheme="majorBidi"/>
          <w:sz w:val="24"/>
          <w:szCs w:val="24"/>
        </w:rPr>
        <w:t>Šiaučiūnaitė-Verbickienė</w:t>
      </w:r>
      <w:r>
        <w:rPr>
          <w:rFonts w:asciiTheme="majorBidi" w:hAnsiTheme="majorBidi" w:cstheme="majorBidi"/>
          <w:sz w:val="24"/>
          <w:szCs w:val="24"/>
        </w:rPr>
        <w:t>’s</w:t>
      </w:r>
      <w:proofErr w:type="spellEnd"/>
      <w:r>
        <w:rPr>
          <w:rFonts w:asciiTheme="majorBidi" w:hAnsiTheme="majorBidi" w:cstheme="majorBidi"/>
          <w:sz w:val="24"/>
          <w:szCs w:val="24"/>
        </w:rPr>
        <w:t xml:space="preserve"> article focuses on one aspect of this Jewish-Lithuanian interaction – </w:t>
      </w:r>
      <w:r w:rsidR="00203719">
        <w:rPr>
          <w:rFonts w:asciiTheme="majorBidi" w:hAnsiTheme="majorBidi" w:cstheme="majorBidi"/>
          <w:sz w:val="24"/>
          <w:szCs w:val="24"/>
        </w:rPr>
        <w:t xml:space="preserve">literary </w:t>
      </w:r>
      <w:r>
        <w:rPr>
          <w:rFonts w:asciiTheme="majorBidi" w:hAnsiTheme="majorBidi" w:cstheme="majorBidi"/>
          <w:sz w:val="24"/>
          <w:szCs w:val="24"/>
        </w:rPr>
        <w:t>translations.</w:t>
      </w:r>
      <w:r w:rsidR="00203719">
        <w:rPr>
          <w:rFonts w:asciiTheme="majorBidi" w:hAnsiTheme="majorBidi" w:cstheme="majorBidi"/>
          <w:sz w:val="24"/>
          <w:szCs w:val="24"/>
        </w:rPr>
        <w:t xml:space="preserve"> Although focusing on translations of Jewish literature into </w:t>
      </w:r>
      <w:r w:rsidR="00812ADA">
        <w:rPr>
          <w:rFonts w:asciiTheme="majorBidi" w:hAnsiTheme="majorBidi" w:cstheme="majorBidi"/>
          <w:sz w:val="24"/>
          <w:szCs w:val="24"/>
        </w:rPr>
        <w:t>Lithuanian</w:t>
      </w:r>
      <w:r w:rsidR="00203719">
        <w:rPr>
          <w:rFonts w:asciiTheme="majorBidi" w:hAnsiTheme="majorBidi" w:cstheme="majorBidi"/>
          <w:sz w:val="24"/>
          <w:szCs w:val="24"/>
        </w:rPr>
        <w:t xml:space="preserve">, the discussion also analyses the project of an </w:t>
      </w:r>
      <w:r w:rsidR="003517BE">
        <w:rPr>
          <w:rFonts w:asciiTheme="majorBidi" w:hAnsiTheme="majorBidi" w:cstheme="majorBidi"/>
          <w:sz w:val="24"/>
          <w:szCs w:val="24"/>
        </w:rPr>
        <w:t>a</w:t>
      </w:r>
      <w:r w:rsidR="00203719">
        <w:rPr>
          <w:rFonts w:asciiTheme="majorBidi" w:hAnsiTheme="majorBidi" w:cstheme="majorBidi"/>
          <w:sz w:val="24"/>
          <w:szCs w:val="24"/>
        </w:rPr>
        <w:t xml:space="preserve">nthology of </w:t>
      </w:r>
      <w:r w:rsidR="00812ADA">
        <w:rPr>
          <w:rFonts w:asciiTheme="majorBidi" w:hAnsiTheme="majorBidi" w:cstheme="majorBidi"/>
          <w:sz w:val="24"/>
          <w:szCs w:val="24"/>
        </w:rPr>
        <w:t>Lithuanian</w:t>
      </w:r>
      <w:r w:rsidR="00203719">
        <w:rPr>
          <w:rFonts w:asciiTheme="majorBidi" w:hAnsiTheme="majorBidi" w:cstheme="majorBidi"/>
          <w:sz w:val="24"/>
          <w:szCs w:val="24"/>
        </w:rPr>
        <w:t xml:space="preserve"> </w:t>
      </w:r>
      <w:r w:rsidR="00812ADA">
        <w:rPr>
          <w:rFonts w:asciiTheme="majorBidi" w:hAnsiTheme="majorBidi" w:cstheme="majorBidi"/>
          <w:sz w:val="24"/>
          <w:szCs w:val="24"/>
        </w:rPr>
        <w:t>folk-</w:t>
      </w:r>
      <w:r w:rsidR="00203719">
        <w:rPr>
          <w:rFonts w:asciiTheme="majorBidi" w:hAnsiTheme="majorBidi" w:cstheme="majorBidi"/>
          <w:sz w:val="24"/>
          <w:szCs w:val="24"/>
        </w:rPr>
        <w:t>literature in</w:t>
      </w:r>
      <w:r w:rsidR="00812ADA">
        <w:rPr>
          <w:rFonts w:asciiTheme="majorBidi" w:hAnsiTheme="majorBidi" w:cstheme="majorBidi"/>
          <w:sz w:val="24"/>
          <w:szCs w:val="24"/>
        </w:rPr>
        <w:t xml:space="preserve"> Hebrew </w:t>
      </w:r>
      <w:r w:rsidR="00203719">
        <w:rPr>
          <w:rFonts w:asciiTheme="majorBidi" w:hAnsiTheme="majorBidi" w:cstheme="majorBidi"/>
          <w:sz w:val="24"/>
          <w:szCs w:val="24"/>
        </w:rPr>
        <w:t xml:space="preserve">and the reasons </w:t>
      </w:r>
      <w:r w:rsidR="003517BE">
        <w:rPr>
          <w:rFonts w:asciiTheme="majorBidi" w:hAnsiTheme="majorBidi" w:cstheme="majorBidi"/>
          <w:sz w:val="24"/>
          <w:szCs w:val="24"/>
        </w:rPr>
        <w:t xml:space="preserve">for </w:t>
      </w:r>
      <w:r w:rsidR="00203719">
        <w:rPr>
          <w:rFonts w:asciiTheme="majorBidi" w:hAnsiTheme="majorBidi" w:cstheme="majorBidi"/>
          <w:sz w:val="24"/>
          <w:szCs w:val="24"/>
        </w:rPr>
        <w:t xml:space="preserve">its failure. </w:t>
      </w:r>
      <w:proofErr w:type="spellStart"/>
      <w:r w:rsidR="00203719" w:rsidRPr="00DD35F7">
        <w:rPr>
          <w:rFonts w:asciiTheme="majorBidi" w:hAnsiTheme="majorBidi" w:cstheme="majorBidi"/>
          <w:sz w:val="24"/>
          <w:szCs w:val="24"/>
        </w:rPr>
        <w:t>Verbickienė</w:t>
      </w:r>
      <w:r w:rsidR="00203719">
        <w:rPr>
          <w:rFonts w:asciiTheme="majorBidi" w:hAnsiTheme="majorBidi" w:cstheme="majorBidi"/>
          <w:sz w:val="24"/>
          <w:szCs w:val="24"/>
        </w:rPr>
        <w:t>’s</w:t>
      </w:r>
      <w:proofErr w:type="spellEnd"/>
      <w:r w:rsidR="00203719">
        <w:rPr>
          <w:rFonts w:asciiTheme="majorBidi" w:hAnsiTheme="majorBidi" w:cstheme="majorBidi"/>
          <w:sz w:val="24"/>
          <w:szCs w:val="24"/>
        </w:rPr>
        <w:t xml:space="preserve"> analysis of the </w:t>
      </w:r>
      <w:r>
        <w:rPr>
          <w:rFonts w:asciiTheme="majorBidi" w:hAnsiTheme="majorBidi" w:cstheme="majorBidi"/>
          <w:sz w:val="24"/>
          <w:szCs w:val="24"/>
        </w:rPr>
        <w:t xml:space="preserve">personal files of some of the </w:t>
      </w:r>
      <w:r w:rsidR="00203719">
        <w:rPr>
          <w:rFonts w:asciiTheme="majorBidi" w:hAnsiTheme="majorBidi" w:cstheme="majorBidi"/>
          <w:sz w:val="24"/>
          <w:szCs w:val="24"/>
        </w:rPr>
        <w:t xml:space="preserve">main </w:t>
      </w:r>
      <w:r>
        <w:rPr>
          <w:rFonts w:asciiTheme="majorBidi" w:hAnsiTheme="majorBidi" w:cstheme="majorBidi"/>
          <w:sz w:val="24"/>
          <w:szCs w:val="24"/>
        </w:rPr>
        <w:t>translators</w:t>
      </w:r>
      <w:r w:rsidR="00203719">
        <w:rPr>
          <w:rFonts w:asciiTheme="majorBidi" w:hAnsiTheme="majorBidi" w:cstheme="majorBidi"/>
          <w:sz w:val="24"/>
          <w:szCs w:val="24"/>
        </w:rPr>
        <w:t xml:space="preserve"> in the interwar period reveals that most of them were of Jewish </w:t>
      </w:r>
      <w:r w:rsidR="00203719">
        <w:rPr>
          <w:rFonts w:asciiTheme="majorBidi" w:hAnsiTheme="majorBidi" w:cstheme="majorBidi"/>
          <w:sz w:val="24"/>
          <w:szCs w:val="24"/>
        </w:rPr>
        <w:lastRenderedPageBreak/>
        <w:t xml:space="preserve">origins and </w:t>
      </w:r>
      <w:r w:rsidR="00486223">
        <w:rPr>
          <w:rFonts w:asciiTheme="majorBidi" w:hAnsiTheme="majorBidi" w:cstheme="majorBidi"/>
          <w:sz w:val="24"/>
          <w:szCs w:val="24"/>
        </w:rPr>
        <w:t>exemplify</w:t>
      </w:r>
      <w:r w:rsidR="00203719">
        <w:rPr>
          <w:rFonts w:asciiTheme="majorBidi" w:hAnsiTheme="majorBidi" w:cstheme="majorBidi"/>
          <w:sz w:val="24"/>
          <w:szCs w:val="24"/>
        </w:rPr>
        <w:t xml:space="preserve"> the successful </w:t>
      </w:r>
      <w:proofErr w:type="spellStart"/>
      <w:r w:rsidR="003517BE">
        <w:rPr>
          <w:rFonts w:asciiTheme="majorBidi" w:hAnsiTheme="majorBidi" w:cstheme="majorBidi"/>
          <w:sz w:val="24"/>
          <w:szCs w:val="24"/>
        </w:rPr>
        <w:t>L</w:t>
      </w:r>
      <w:r w:rsidR="00203719">
        <w:rPr>
          <w:rFonts w:asciiTheme="majorBidi" w:hAnsiTheme="majorBidi" w:cstheme="majorBidi"/>
          <w:sz w:val="24"/>
          <w:szCs w:val="24"/>
        </w:rPr>
        <w:t>ithuanisation</w:t>
      </w:r>
      <w:proofErr w:type="spellEnd"/>
      <w:r w:rsidR="00203719">
        <w:rPr>
          <w:rFonts w:asciiTheme="majorBidi" w:hAnsiTheme="majorBidi" w:cstheme="majorBidi"/>
          <w:sz w:val="24"/>
          <w:szCs w:val="24"/>
        </w:rPr>
        <w:t xml:space="preserve"> of a minority of Jewish intellectuals. </w:t>
      </w:r>
      <w:r w:rsidR="00F74EC3">
        <w:rPr>
          <w:rFonts w:asciiTheme="majorBidi" w:hAnsiTheme="majorBidi" w:cstheme="majorBidi"/>
          <w:sz w:val="24"/>
          <w:szCs w:val="24"/>
        </w:rPr>
        <w:t>However the motivations behind their tra</w:t>
      </w:r>
      <w:r w:rsidR="00486223">
        <w:rPr>
          <w:rFonts w:asciiTheme="majorBidi" w:hAnsiTheme="majorBidi" w:cstheme="majorBidi"/>
          <w:sz w:val="24"/>
          <w:szCs w:val="24"/>
        </w:rPr>
        <w:t xml:space="preserve">nslation </w:t>
      </w:r>
      <w:r w:rsidR="005D03CB">
        <w:rPr>
          <w:rFonts w:asciiTheme="majorBidi" w:hAnsiTheme="majorBidi" w:cstheme="majorBidi"/>
          <w:sz w:val="24"/>
          <w:szCs w:val="24"/>
        </w:rPr>
        <w:t>ventures</w:t>
      </w:r>
      <w:r w:rsidR="00486223">
        <w:rPr>
          <w:rFonts w:asciiTheme="majorBidi" w:hAnsiTheme="majorBidi" w:cstheme="majorBidi"/>
          <w:sz w:val="24"/>
          <w:szCs w:val="24"/>
        </w:rPr>
        <w:t xml:space="preserve"> are more pract</w:t>
      </w:r>
      <w:r w:rsidR="00F74EC3">
        <w:rPr>
          <w:rFonts w:asciiTheme="majorBidi" w:hAnsiTheme="majorBidi" w:cstheme="majorBidi"/>
          <w:sz w:val="24"/>
          <w:szCs w:val="24"/>
        </w:rPr>
        <w:t xml:space="preserve">ical than ideological. </w:t>
      </w:r>
      <w:r w:rsidR="00203719">
        <w:rPr>
          <w:rFonts w:asciiTheme="majorBidi" w:hAnsiTheme="majorBidi" w:cstheme="majorBidi"/>
          <w:sz w:val="24"/>
          <w:szCs w:val="24"/>
        </w:rPr>
        <w:t xml:space="preserve">Their </w:t>
      </w:r>
      <w:r w:rsidR="00486223">
        <w:rPr>
          <w:rFonts w:asciiTheme="majorBidi" w:hAnsiTheme="majorBidi" w:cstheme="majorBidi"/>
          <w:sz w:val="24"/>
          <w:szCs w:val="24"/>
        </w:rPr>
        <w:t>highly-s</w:t>
      </w:r>
      <w:r w:rsidR="00F74EC3">
        <w:rPr>
          <w:rFonts w:asciiTheme="majorBidi" w:hAnsiTheme="majorBidi" w:cstheme="majorBidi"/>
          <w:sz w:val="24"/>
          <w:szCs w:val="24"/>
        </w:rPr>
        <w:t>ought</w:t>
      </w:r>
      <w:r w:rsidR="003517BE">
        <w:rPr>
          <w:rFonts w:asciiTheme="majorBidi" w:hAnsiTheme="majorBidi" w:cstheme="majorBidi"/>
          <w:sz w:val="24"/>
          <w:szCs w:val="24"/>
        </w:rPr>
        <w:t>-after</w:t>
      </w:r>
      <w:r w:rsidR="00F74EC3">
        <w:rPr>
          <w:rFonts w:asciiTheme="majorBidi" w:hAnsiTheme="majorBidi" w:cstheme="majorBidi"/>
          <w:sz w:val="24"/>
          <w:szCs w:val="24"/>
        </w:rPr>
        <w:t xml:space="preserve"> </w:t>
      </w:r>
      <w:r w:rsidR="00486223">
        <w:rPr>
          <w:rFonts w:asciiTheme="majorBidi" w:hAnsiTheme="majorBidi" w:cstheme="majorBidi"/>
          <w:sz w:val="24"/>
          <w:szCs w:val="24"/>
        </w:rPr>
        <w:t xml:space="preserve">linguistic </w:t>
      </w:r>
      <w:r w:rsidR="00F74EC3">
        <w:rPr>
          <w:rFonts w:asciiTheme="majorBidi" w:hAnsiTheme="majorBidi" w:cstheme="majorBidi"/>
          <w:sz w:val="24"/>
          <w:szCs w:val="24"/>
        </w:rPr>
        <w:t xml:space="preserve">skills and proficiency in </w:t>
      </w:r>
      <w:r w:rsidR="00203719">
        <w:rPr>
          <w:rFonts w:asciiTheme="majorBidi" w:hAnsiTheme="majorBidi" w:cstheme="majorBidi"/>
          <w:sz w:val="24"/>
          <w:szCs w:val="24"/>
        </w:rPr>
        <w:t xml:space="preserve">Lithuanian </w:t>
      </w:r>
      <w:r w:rsidR="00F74EC3">
        <w:rPr>
          <w:rFonts w:asciiTheme="majorBidi" w:hAnsiTheme="majorBidi" w:cstheme="majorBidi"/>
          <w:sz w:val="24"/>
          <w:szCs w:val="24"/>
        </w:rPr>
        <w:t xml:space="preserve">led most of them to become teachers of Lithuanian language in various Jewish schools </w:t>
      </w:r>
      <w:r w:rsidR="00486223">
        <w:rPr>
          <w:rFonts w:asciiTheme="majorBidi" w:hAnsiTheme="majorBidi" w:cstheme="majorBidi"/>
          <w:sz w:val="24"/>
          <w:szCs w:val="24"/>
        </w:rPr>
        <w:t>and</w:t>
      </w:r>
      <w:r w:rsidR="00F74EC3">
        <w:rPr>
          <w:rFonts w:asciiTheme="majorBidi" w:hAnsiTheme="majorBidi" w:cstheme="majorBidi"/>
          <w:sz w:val="24"/>
          <w:szCs w:val="24"/>
        </w:rPr>
        <w:t xml:space="preserve"> gymnasiums. The lack of appropriate textbooks in Lithuanian appears to have been the starting point for most of their translations of short stories. Only for</w:t>
      </w:r>
      <w:r w:rsidR="00812ADA">
        <w:rPr>
          <w:rFonts w:asciiTheme="majorBidi" w:hAnsiTheme="majorBidi" w:cstheme="majorBidi"/>
          <w:sz w:val="24"/>
          <w:szCs w:val="24"/>
        </w:rPr>
        <w:t xml:space="preserve"> Ozer </w:t>
      </w:r>
      <w:proofErr w:type="spellStart"/>
      <w:r w:rsidR="00F74EC3">
        <w:rPr>
          <w:rFonts w:asciiTheme="majorBidi" w:hAnsiTheme="majorBidi" w:cstheme="majorBidi"/>
          <w:sz w:val="24"/>
          <w:szCs w:val="24"/>
        </w:rPr>
        <w:t>Finkelshtein</w:t>
      </w:r>
      <w:proofErr w:type="spellEnd"/>
      <w:r w:rsidR="00F74EC3">
        <w:rPr>
          <w:rFonts w:asciiTheme="majorBidi" w:hAnsiTheme="majorBidi" w:cstheme="majorBidi"/>
          <w:sz w:val="24"/>
          <w:szCs w:val="24"/>
        </w:rPr>
        <w:t xml:space="preserve">, </w:t>
      </w:r>
      <w:r w:rsidR="004D635C">
        <w:rPr>
          <w:rFonts w:asciiTheme="majorBidi" w:hAnsiTheme="majorBidi" w:cstheme="majorBidi"/>
          <w:sz w:val="24"/>
          <w:szCs w:val="24"/>
        </w:rPr>
        <w:t xml:space="preserve">who was </w:t>
      </w:r>
      <w:r w:rsidR="00812ADA">
        <w:rPr>
          <w:rFonts w:asciiTheme="majorBidi" w:hAnsiTheme="majorBidi" w:cstheme="majorBidi"/>
          <w:sz w:val="24"/>
          <w:szCs w:val="24"/>
        </w:rPr>
        <w:t>older than the others</w:t>
      </w:r>
      <w:r w:rsidR="00F74EC3">
        <w:rPr>
          <w:rFonts w:asciiTheme="majorBidi" w:hAnsiTheme="majorBidi" w:cstheme="majorBidi"/>
          <w:sz w:val="24"/>
          <w:szCs w:val="24"/>
        </w:rPr>
        <w:t xml:space="preserve">, </w:t>
      </w:r>
      <w:r w:rsidR="004D635C">
        <w:rPr>
          <w:rFonts w:asciiTheme="majorBidi" w:hAnsiTheme="majorBidi" w:cstheme="majorBidi"/>
          <w:sz w:val="24"/>
          <w:szCs w:val="24"/>
        </w:rPr>
        <w:t xml:space="preserve">an </w:t>
      </w:r>
      <w:r w:rsidR="00486223">
        <w:rPr>
          <w:rFonts w:asciiTheme="majorBidi" w:hAnsiTheme="majorBidi" w:cstheme="majorBidi"/>
          <w:sz w:val="24"/>
          <w:szCs w:val="24"/>
        </w:rPr>
        <w:t>attachment</w:t>
      </w:r>
      <w:r w:rsidR="004D635C">
        <w:rPr>
          <w:rFonts w:asciiTheme="majorBidi" w:hAnsiTheme="majorBidi" w:cstheme="majorBidi"/>
          <w:sz w:val="24"/>
          <w:szCs w:val="24"/>
        </w:rPr>
        <w:t xml:space="preserve"> to </w:t>
      </w:r>
      <w:proofErr w:type="spellStart"/>
      <w:r w:rsidR="004D635C" w:rsidRPr="00486223">
        <w:rPr>
          <w:rFonts w:asciiTheme="majorBidi" w:hAnsiTheme="majorBidi" w:cstheme="majorBidi"/>
          <w:i/>
          <w:iCs/>
          <w:sz w:val="24"/>
          <w:szCs w:val="24"/>
        </w:rPr>
        <w:t>doikayt</w:t>
      </w:r>
      <w:proofErr w:type="spellEnd"/>
      <w:r w:rsidR="004D635C">
        <w:rPr>
          <w:rFonts w:asciiTheme="majorBidi" w:hAnsiTheme="majorBidi" w:cstheme="majorBidi"/>
          <w:sz w:val="24"/>
          <w:szCs w:val="24"/>
        </w:rPr>
        <w:t xml:space="preserve"> and autonomist theories seemed to have explained his promotion of the Lithuanian language among Jews. </w:t>
      </w:r>
      <w:r w:rsidR="00486223">
        <w:rPr>
          <w:rFonts w:asciiTheme="majorBidi" w:hAnsiTheme="majorBidi" w:cstheme="majorBidi"/>
          <w:sz w:val="24"/>
          <w:szCs w:val="24"/>
        </w:rPr>
        <w:t>P</w:t>
      </w:r>
      <w:r w:rsidR="004D635C">
        <w:rPr>
          <w:rFonts w:asciiTheme="majorBidi" w:hAnsiTheme="majorBidi" w:cstheme="majorBidi"/>
          <w:sz w:val="24"/>
          <w:szCs w:val="24"/>
        </w:rPr>
        <w:t xml:space="preserve">ractical reasons however seem to have been at the origin of these </w:t>
      </w:r>
      <w:r w:rsidR="007946D3">
        <w:rPr>
          <w:rFonts w:asciiTheme="majorBidi" w:hAnsiTheme="majorBidi" w:cstheme="majorBidi"/>
          <w:sz w:val="24"/>
          <w:szCs w:val="24"/>
        </w:rPr>
        <w:t>translations</w:t>
      </w:r>
      <w:r w:rsidR="004D635C">
        <w:rPr>
          <w:rFonts w:asciiTheme="majorBidi" w:hAnsiTheme="majorBidi" w:cstheme="majorBidi"/>
          <w:sz w:val="24"/>
          <w:szCs w:val="24"/>
        </w:rPr>
        <w:t xml:space="preserve">, as well as of </w:t>
      </w:r>
      <w:r w:rsidR="00486223">
        <w:rPr>
          <w:rFonts w:asciiTheme="majorBidi" w:hAnsiTheme="majorBidi" w:cstheme="majorBidi"/>
          <w:sz w:val="24"/>
          <w:szCs w:val="24"/>
        </w:rPr>
        <w:t>the linguistic transfers that resulted from these translations</w:t>
      </w:r>
      <w:r w:rsidR="004D635C">
        <w:rPr>
          <w:rFonts w:asciiTheme="majorBidi" w:hAnsiTheme="majorBidi" w:cstheme="majorBidi"/>
          <w:sz w:val="24"/>
          <w:szCs w:val="24"/>
        </w:rPr>
        <w:t>.</w:t>
      </w:r>
    </w:p>
    <w:p w14:paraId="5BEF70E2" w14:textId="77777777" w:rsidR="00486223" w:rsidRDefault="00486223" w:rsidP="00486223">
      <w:pPr>
        <w:spacing w:line="360" w:lineRule="auto"/>
        <w:jc w:val="both"/>
        <w:rPr>
          <w:rFonts w:asciiTheme="majorBidi" w:hAnsiTheme="majorBidi" w:cstheme="majorBidi"/>
          <w:sz w:val="24"/>
          <w:szCs w:val="24"/>
        </w:rPr>
      </w:pPr>
    </w:p>
    <w:p w14:paraId="0BCA74E8" w14:textId="30DDC5FB" w:rsidR="008E219F" w:rsidRPr="008E219F" w:rsidRDefault="003517BE" w:rsidP="00F9597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 </w:t>
      </w:r>
      <w:r w:rsidR="00486223">
        <w:rPr>
          <w:rFonts w:asciiTheme="majorBidi" w:hAnsiTheme="majorBidi" w:cstheme="majorBidi"/>
          <w:sz w:val="24"/>
          <w:szCs w:val="24"/>
        </w:rPr>
        <w:t>comparison of these four studies leads to a few reflections. In spite of significant contextual differen</w:t>
      </w:r>
      <w:r w:rsidR="00F9597A">
        <w:rPr>
          <w:rFonts w:asciiTheme="majorBidi" w:hAnsiTheme="majorBidi" w:cstheme="majorBidi"/>
          <w:sz w:val="24"/>
          <w:szCs w:val="24"/>
        </w:rPr>
        <w:t xml:space="preserve">ces, the encounter between Jews, </w:t>
      </w:r>
      <w:r w:rsidR="00486223">
        <w:rPr>
          <w:rFonts w:asciiTheme="majorBidi" w:hAnsiTheme="majorBidi" w:cstheme="majorBidi"/>
          <w:sz w:val="24"/>
          <w:szCs w:val="24"/>
        </w:rPr>
        <w:t xml:space="preserve">their </w:t>
      </w:r>
      <w:r w:rsidR="00812ADA">
        <w:rPr>
          <w:rFonts w:asciiTheme="majorBidi" w:hAnsiTheme="majorBidi" w:cstheme="majorBidi"/>
          <w:sz w:val="24"/>
          <w:szCs w:val="24"/>
        </w:rPr>
        <w:t>country of residence</w:t>
      </w:r>
      <w:r w:rsidR="00AB2067">
        <w:rPr>
          <w:rFonts w:asciiTheme="majorBidi" w:hAnsiTheme="majorBidi" w:cstheme="majorBidi"/>
          <w:sz w:val="24"/>
          <w:szCs w:val="24"/>
        </w:rPr>
        <w:t xml:space="preserve"> and the ‘native population’</w:t>
      </w:r>
      <w:r w:rsidR="00486223">
        <w:rPr>
          <w:rFonts w:asciiTheme="majorBidi" w:hAnsiTheme="majorBidi" w:cstheme="majorBidi"/>
          <w:sz w:val="24"/>
          <w:szCs w:val="24"/>
        </w:rPr>
        <w:t xml:space="preserve"> is obvious – either through history,</w:t>
      </w:r>
      <w:r w:rsidR="00AB2067">
        <w:rPr>
          <w:rFonts w:asciiTheme="majorBidi" w:hAnsiTheme="majorBidi" w:cstheme="majorBidi"/>
          <w:sz w:val="24"/>
          <w:szCs w:val="24"/>
        </w:rPr>
        <w:t xml:space="preserve"> artistic collaboration or translations. What this native country meant to them in terms of identity or social strategies varied depending on time and place, and ranged from the </w:t>
      </w:r>
      <w:r>
        <w:rPr>
          <w:rFonts w:asciiTheme="majorBidi" w:hAnsiTheme="majorBidi" w:cstheme="majorBidi"/>
          <w:sz w:val="24"/>
          <w:szCs w:val="24"/>
        </w:rPr>
        <w:t xml:space="preserve">acceptance </w:t>
      </w:r>
      <w:r w:rsidR="00AB2067">
        <w:rPr>
          <w:rFonts w:asciiTheme="majorBidi" w:hAnsiTheme="majorBidi" w:cstheme="majorBidi"/>
          <w:sz w:val="24"/>
          <w:szCs w:val="24"/>
        </w:rPr>
        <w:t xml:space="preserve">or rejection of identification </w:t>
      </w:r>
      <w:r>
        <w:rPr>
          <w:rFonts w:asciiTheme="majorBidi" w:hAnsiTheme="majorBidi" w:cstheme="majorBidi"/>
          <w:sz w:val="24"/>
          <w:szCs w:val="24"/>
        </w:rPr>
        <w:t xml:space="preserve">with </w:t>
      </w:r>
      <w:r w:rsidR="00AB2067">
        <w:rPr>
          <w:rFonts w:asciiTheme="majorBidi" w:hAnsiTheme="majorBidi" w:cstheme="majorBidi"/>
          <w:sz w:val="24"/>
          <w:szCs w:val="24"/>
        </w:rPr>
        <w:t xml:space="preserve">a nation-state (Lithuania), to </w:t>
      </w:r>
      <w:r w:rsidR="00AB2067" w:rsidRPr="00F9597A">
        <w:rPr>
          <w:rFonts w:asciiTheme="majorBidi" w:hAnsiTheme="majorBidi" w:cstheme="majorBidi"/>
          <w:sz w:val="24"/>
          <w:szCs w:val="24"/>
        </w:rPr>
        <w:t xml:space="preserve">the </w:t>
      </w:r>
      <w:r w:rsidR="00AB2067" w:rsidRPr="00F9597A">
        <w:rPr>
          <w:rFonts w:asciiTheme="majorBidi" w:hAnsiTheme="majorBidi" w:cstheme="majorBidi"/>
          <w:i/>
          <w:iCs/>
          <w:sz w:val="24"/>
          <w:szCs w:val="24"/>
        </w:rPr>
        <w:t>ad hoc</w:t>
      </w:r>
      <w:r w:rsidR="00AB2067" w:rsidRPr="00F9597A">
        <w:rPr>
          <w:rFonts w:asciiTheme="majorBidi" w:hAnsiTheme="majorBidi" w:cstheme="majorBidi"/>
          <w:sz w:val="24"/>
          <w:szCs w:val="24"/>
        </w:rPr>
        <w:t xml:space="preserve"> use</w:t>
      </w:r>
      <w:r w:rsidR="00AB2067">
        <w:rPr>
          <w:rFonts w:asciiTheme="majorBidi" w:hAnsiTheme="majorBidi" w:cstheme="majorBidi"/>
          <w:sz w:val="24"/>
          <w:szCs w:val="24"/>
        </w:rPr>
        <w:t xml:space="preserve"> of the regional history </w:t>
      </w:r>
      <w:r>
        <w:rPr>
          <w:rFonts w:asciiTheme="majorBidi" w:hAnsiTheme="majorBidi" w:cstheme="majorBidi"/>
          <w:sz w:val="24"/>
          <w:szCs w:val="24"/>
        </w:rPr>
        <w:t>(</w:t>
      </w:r>
      <w:r w:rsidR="00AB2067">
        <w:rPr>
          <w:rFonts w:asciiTheme="majorBidi" w:hAnsiTheme="majorBidi" w:cstheme="majorBidi"/>
          <w:sz w:val="24"/>
          <w:szCs w:val="24"/>
        </w:rPr>
        <w:t>of Ukraine</w:t>
      </w:r>
      <w:r>
        <w:rPr>
          <w:rFonts w:asciiTheme="majorBidi" w:hAnsiTheme="majorBidi" w:cstheme="majorBidi"/>
          <w:sz w:val="24"/>
          <w:szCs w:val="24"/>
        </w:rPr>
        <w:t>)</w:t>
      </w:r>
      <w:r w:rsidR="00AB2067">
        <w:rPr>
          <w:rFonts w:asciiTheme="majorBidi" w:hAnsiTheme="majorBidi" w:cstheme="majorBidi"/>
          <w:sz w:val="24"/>
          <w:szCs w:val="24"/>
        </w:rPr>
        <w:t xml:space="preserve"> to integrate into the Russian empire, including the messy and chaotic circulation of talents and skills in Soviet theatres of the Ukrainian republic. In all cases however, local networks, regional conditions and pragmatic alliances are crucial to understand how </w:t>
      </w:r>
      <w:r w:rsidR="00F9597A">
        <w:rPr>
          <w:rFonts w:asciiTheme="majorBidi" w:hAnsiTheme="majorBidi" w:cstheme="majorBidi"/>
          <w:sz w:val="24"/>
          <w:szCs w:val="24"/>
        </w:rPr>
        <w:t>government</w:t>
      </w:r>
      <w:r w:rsidR="00AB2067">
        <w:rPr>
          <w:rFonts w:asciiTheme="majorBidi" w:hAnsiTheme="majorBidi" w:cstheme="majorBidi"/>
          <w:sz w:val="24"/>
          <w:szCs w:val="24"/>
        </w:rPr>
        <w:t xml:space="preserve"> policies or more distanced</w:t>
      </w:r>
      <w:r w:rsidR="005D7FE8">
        <w:rPr>
          <w:rFonts w:asciiTheme="majorBidi" w:hAnsiTheme="majorBidi" w:cstheme="majorBidi"/>
          <w:sz w:val="24"/>
          <w:szCs w:val="24"/>
        </w:rPr>
        <w:t xml:space="preserve"> aims </w:t>
      </w:r>
      <w:r w:rsidR="00AB2067">
        <w:rPr>
          <w:rFonts w:asciiTheme="majorBidi" w:hAnsiTheme="majorBidi" w:cstheme="majorBidi"/>
          <w:sz w:val="24"/>
          <w:szCs w:val="24"/>
        </w:rPr>
        <w:t xml:space="preserve">– whether integration, </w:t>
      </w:r>
      <w:proofErr w:type="spellStart"/>
      <w:r w:rsidR="00AB2067">
        <w:rPr>
          <w:rFonts w:asciiTheme="majorBidi" w:hAnsiTheme="majorBidi" w:cstheme="majorBidi"/>
          <w:sz w:val="24"/>
          <w:szCs w:val="24"/>
        </w:rPr>
        <w:t>Lithuanisation</w:t>
      </w:r>
      <w:proofErr w:type="spellEnd"/>
      <w:r w:rsidR="00AB2067">
        <w:rPr>
          <w:rFonts w:asciiTheme="majorBidi" w:hAnsiTheme="majorBidi" w:cstheme="majorBidi"/>
          <w:sz w:val="24"/>
          <w:szCs w:val="24"/>
        </w:rPr>
        <w:t xml:space="preserve"> or Sovietisation – were</w:t>
      </w:r>
      <w:r w:rsidR="005D7FE8">
        <w:rPr>
          <w:rFonts w:asciiTheme="majorBidi" w:hAnsiTheme="majorBidi" w:cstheme="majorBidi"/>
          <w:sz w:val="24"/>
          <w:szCs w:val="24"/>
        </w:rPr>
        <w:t xml:space="preserve"> to be attained.</w:t>
      </w:r>
      <w:r w:rsidR="00AB2067">
        <w:rPr>
          <w:rFonts w:asciiTheme="majorBidi" w:hAnsiTheme="majorBidi" w:cstheme="majorBidi"/>
          <w:sz w:val="24"/>
          <w:szCs w:val="24"/>
        </w:rPr>
        <w:t xml:space="preserve"> </w:t>
      </w:r>
      <w:r w:rsidR="005D7FE8">
        <w:rPr>
          <w:rFonts w:asciiTheme="majorBidi" w:hAnsiTheme="majorBidi" w:cstheme="majorBidi"/>
          <w:sz w:val="24"/>
          <w:szCs w:val="24"/>
        </w:rPr>
        <w:t xml:space="preserve">In these multi-layered spaces where competing loyalties and points of references coexisted (state, community, </w:t>
      </w:r>
      <w:r w:rsidR="00F9597A">
        <w:rPr>
          <w:rFonts w:asciiTheme="majorBidi" w:hAnsiTheme="majorBidi" w:cstheme="majorBidi"/>
          <w:sz w:val="24"/>
          <w:szCs w:val="24"/>
        </w:rPr>
        <w:t>nationality,</w:t>
      </w:r>
      <w:r w:rsidR="005D7FE8">
        <w:rPr>
          <w:rFonts w:asciiTheme="majorBidi" w:hAnsiTheme="majorBidi" w:cstheme="majorBidi"/>
          <w:sz w:val="24"/>
          <w:szCs w:val="24"/>
        </w:rPr>
        <w:t xml:space="preserve"> region), the local or regional dimension did not </w:t>
      </w:r>
      <w:r w:rsidR="00F9597A">
        <w:rPr>
          <w:rFonts w:asciiTheme="majorBidi" w:hAnsiTheme="majorBidi" w:cstheme="majorBidi"/>
          <w:sz w:val="24"/>
          <w:szCs w:val="24"/>
        </w:rPr>
        <w:t>produce interactions only</w:t>
      </w:r>
      <w:r w:rsidR="005D7FE8">
        <w:rPr>
          <w:rFonts w:asciiTheme="majorBidi" w:hAnsiTheme="majorBidi" w:cstheme="majorBidi"/>
          <w:sz w:val="24"/>
          <w:szCs w:val="24"/>
        </w:rPr>
        <w:t xml:space="preserve"> in the tavern or on the marketplace, but, with the emergence of new nations and states, started to inform the conscious formation of hybrid national and cultural identities.</w:t>
      </w:r>
      <w:r w:rsidR="00D97277">
        <w:rPr>
          <w:rFonts w:asciiTheme="majorBidi" w:hAnsiTheme="majorBidi" w:cstheme="majorBidi"/>
          <w:sz w:val="24"/>
          <w:szCs w:val="24"/>
        </w:rPr>
        <w:t xml:space="preserve"> </w:t>
      </w:r>
    </w:p>
    <w:sectPr w:rsidR="008E219F" w:rsidRPr="008E21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DC342" w14:textId="77777777" w:rsidR="00233248" w:rsidRDefault="00233248" w:rsidP="006F52E7">
      <w:pPr>
        <w:spacing w:after="0" w:line="240" w:lineRule="auto"/>
      </w:pPr>
      <w:r>
        <w:separator/>
      </w:r>
    </w:p>
  </w:endnote>
  <w:endnote w:type="continuationSeparator" w:id="0">
    <w:p w14:paraId="4A1AF309" w14:textId="77777777" w:rsidR="00233248" w:rsidRDefault="00233248" w:rsidP="006F52E7">
      <w:pPr>
        <w:spacing w:after="0" w:line="240" w:lineRule="auto"/>
      </w:pPr>
      <w:r>
        <w:continuationSeparator/>
      </w:r>
    </w:p>
  </w:endnote>
  <w:endnote w:type="continuationNotice" w:id="1">
    <w:p w14:paraId="6BD43BEB" w14:textId="77777777" w:rsidR="00233248" w:rsidRDefault="00233248">
      <w:pPr>
        <w:spacing w:after="0" w:line="240" w:lineRule="auto"/>
      </w:pPr>
    </w:p>
  </w:endnote>
  <w:endnote w:id="2">
    <w:p w14:paraId="2559A333" w14:textId="3F23E992" w:rsidR="006F52E7" w:rsidRDefault="006F52E7" w:rsidP="008478AF">
      <w:pPr>
        <w:pStyle w:val="EndnoteText"/>
      </w:pPr>
      <w:r>
        <w:rPr>
          <w:rStyle w:val="EndnoteReference"/>
        </w:rPr>
        <w:endnoteRef/>
      </w:r>
      <w:r>
        <w:t xml:space="preserve"> </w:t>
      </w:r>
      <w:r w:rsidR="00B44BFA">
        <w:t>T</w:t>
      </w:r>
      <w:r w:rsidR="00B44BFA" w:rsidRPr="00B44BFA">
        <w:t xml:space="preserve">he term </w:t>
      </w:r>
      <w:r w:rsidR="00B44BFA">
        <w:t xml:space="preserve">‘small nation’ comes from </w:t>
      </w:r>
      <w:r w:rsidR="00B44BFA" w:rsidRPr="00B44BFA">
        <w:t xml:space="preserve">Miroslav </w:t>
      </w:r>
      <w:proofErr w:type="spellStart"/>
      <w:r w:rsidR="00B44BFA" w:rsidRPr="00B44BFA">
        <w:t>Hroch</w:t>
      </w:r>
      <w:proofErr w:type="spellEnd"/>
      <w:r w:rsidR="00B44BFA" w:rsidRPr="00B44BFA">
        <w:t xml:space="preserve"> seminal book on </w:t>
      </w:r>
      <w:r w:rsidR="00B44BFA" w:rsidRPr="00B44BFA">
        <w:rPr>
          <w:i/>
          <w:iCs/>
        </w:rPr>
        <w:t xml:space="preserve">Social preconditions of national revival in Europe. A Comparative Analysis of the Social Composition of Patriotic Groups </w:t>
      </w:r>
      <w:proofErr w:type="gramStart"/>
      <w:r w:rsidR="00B44BFA" w:rsidRPr="00B44BFA">
        <w:rPr>
          <w:i/>
          <w:iCs/>
        </w:rPr>
        <w:t>Amo</w:t>
      </w:r>
      <w:r w:rsidR="00B44BFA">
        <w:rPr>
          <w:i/>
          <w:iCs/>
        </w:rPr>
        <w:t>ng</w:t>
      </w:r>
      <w:proofErr w:type="gramEnd"/>
      <w:r w:rsidR="00B44BFA">
        <w:rPr>
          <w:i/>
          <w:iCs/>
        </w:rPr>
        <w:t xml:space="preserve"> the Smaller European Nations</w:t>
      </w:r>
      <w:r w:rsidR="008478AF">
        <w:t xml:space="preserve"> (New York: Columbia University Press, 1985)</w:t>
      </w:r>
      <w:r w:rsidR="00B44BFA">
        <w:t xml:space="preserve"> (first edition in</w:t>
      </w:r>
      <w:r w:rsidR="009F2D9E">
        <w:t xml:space="preserve"> Prague in</w:t>
      </w:r>
      <w:r w:rsidR="00B44BFA">
        <w:t xml:space="preserve"> 1</w:t>
      </w:r>
      <w:r w:rsidR="008478AF">
        <w:t>968</w:t>
      </w:r>
      <w:r w:rsidR="00B44BFA">
        <w:t xml:space="preserve">). Although </w:t>
      </w:r>
      <w:r w:rsidR="00B44BFA" w:rsidRPr="00B44BFA">
        <w:t>publi</w:t>
      </w:r>
      <w:r w:rsidR="00B44BFA">
        <w:t>shed in the 196</w:t>
      </w:r>
      <w:r w:rsidR="00B44BFA" w:rsidRPr="00B44BFA">
        <w:t xml:space="preserve">0s </w:t>
      </w:r>
      <w:r w:rsidR="00B44BFA">
        <w:t xml:space="preserve">it is </w:t>
      </w:r>
      <w:r w:rsidR="00B44BFA" w:rsidRPr="00B44BFA">
        <w:t xml:space="preserve">still useful </w:t>
      </w:r>
      <w:r w:rsidR="00B44BFA">
        <w:t>for</w:t>
      </w:r>
      <w:r w:rsidR="00B44BFA" w:rsidRPr="00B44BFA">
        <w:t xml:space="preserve"> its definition of smaller nations, </w:t>
      </w:r>
      <w:r w:rsidR="00B44BFA">
        <w:t xml:space="preserve">its </w:t>
      </w:r>
      <w:r w:rsidR="00B44BFA" w:rsidRPr="00B44BFA">
        <w:t>typology (phases</w:t>
      </w:r>
      <w:r w:rsidR="00B44BFA">
        <w:t xml:space="preserve"> A, B and C) </w:t>
      </w:r>
      <w:r w:rsidR="00B44BFA" w:rsidRPr="00B44BFA">
        <w:t>and comparative method.</w:t>
      </w:r>
      <w:r w:rsidR="00B44BFA">
        <w:t xml:space="preserve"> According to </w:t>
      </w:r>
      <w:proofErr w:type="spellStart"/>
      <w:r w:rsidR="00B44BFA">
        <w:t>Hroch</w:t>
      </w:r>
      <w:proofErr w:type="spellEnd"/>
      <w:r w:rsidR="00B44BFA">
        <w:t>, t</w:t>
      </w:r>
      <w:r w:rsidR="00B44BFA" w:rsidRPr="00B44BFA">
        <w:t xml:space="preserve">hese </w:t>
      </w:r>
      <w:r w:rsidR="00B44BFA">
        <w:t xml:space="preserve">‘small </w:t>
      </w:r>
      <w:r w:rsidR="00B44BFA" w:rsidRPr="00B44BFA">
        <w:t>nations</w:t>
      </w:r>
      <w:r w:rsidR="00B44BFA">
        <w:t>’</w:t>
      </w:r>
      <w:r w:rsidR="00B44BFA" w:rsidRPr="00B44BFA">
        <w:t xml:space="preserve"> had historical, social and political characteristics that distinguished them from the ‘great’ or ‘historical’ nations</w:t>
      </w:r>
      <w:r w:rsidR="00B44BFA">
        <w:t>: they lacked</w:t>
      </w:r>
      <w:r w:rsidR="00B44BFA" w:rsidRPr="00B44BFA">
        <w:t xml:space="preserve"> a ruling class</w:t>
      </w:r>
      <w:r w:rsidR="00B44BFA">
        <w:t xml:space="preserve">, </w:t>
      </w:r>
      <w:r w:rsidR="00B44BFA" w:rsidRPr="00B44BFA">
        <w:t xml:space="preserve">nobility or bourgeoisie; </w:t>
      </w:r>
      <w:r w:rsidR="00B44BFA">
        <w:t xml:space="preserve">they did not have </w:t>
      </w:r>
      <w:r w:rsidR="00B44BFA" w:rsidRPr="00B44BFA">
        <w:t xml:space="preserve">a state or </w:t>
      </w:r>
      <w:r w:rsidR="00B44BFA">
        <w:t xml:space="preserve">a </w:t>
      </w:r>
      <w:r w:rsidR="00B44BFA" w:rsidRPr="00B44BFA">
        <w:t xml:space="preserve">tradition of statehood; </w:t>
      </w:r>
      <w:r w:rsidR="00B44BFA">
        <w:t xml:space="preserve">they did not have </w:t>
      </w:r>
      <w:r w:rsidR="00B44BFA" w:rsidRPr="00B44BFA">
        <w:t>a continuous literary tradition in their own language.</w:t>
      </w:r>
    </w:p>
  </w:endnote>
  <w:endnote w:id="3">
    <w:p w14:paraId="64848A31" w14:textId="7CC1FEA8" w:rsidR="00155954" w:rsidRPr="00155954" w:rsidRDefault="00155954" w:rsidP="00155954">
      <w:pPr>
        <w:pStyle w:val="EndnoteText"/>
      </w:pPr>
      <w:r>
        <w:rPr>
          <w:rStyle w:val="EndnoteReference"/>
        </w:rPr>
        <w:endnoteRef/>
      </w:r>
      <w:r>
        <w:t xml:space="preserve"> On the ‘anti-imperial choice’ made by some writers of Jewish origins who contributed to Ukrainian culture see </w:t>
      </w:r>
      <w:proofErr w:type="spellStart"/>
      <w:r>
        <w:t>Yohanan</w:t>
      </w:r>
      <w:proofErr w:type="spellEnd"/>
      <w:r>
        <w:t xml:space="preserve"> </w:t>
      </w:r>
      <w:proofErr w:type="spellStart"/>
      <w:r>
        <w:t>Petrovsky-Shtern</w:t>
      </w:r>
      <w:proofErr w:type="spellEnd"/>
      <w:r>
        <w:t xml:space="preserve">, </w:t>
      </w:r>
      <w:r w:rsidRPr="00155954">
        <w:rPr>
          <w:i/>
          <w:iCs/>
        </w:rPr>
        <w:t>The Anti-Imperial Choice: The Making of the Ukrainian Je</w:t>
      </w:r>
      <w:r>
        <w:rPr>
          <w:i/>
          <w:iCs/>
        </w:rPr>
        <w:t xml:space="preserve">w </w:t>
      </w:r>
      <w:r>
        <w:t>(</w:t>
      </w:r>
      <w:r w:rsidR="008478AF">
        <w:t xml:space="preserve">New Haven: </w:t>
      </w:r>
      <w:r>
        <w:t>Yale University Press, 2009).</w:t>
      </w:r>
    </w:p>
  </w:endnote>
  <w:endnote w:id="4">
    <w:p w14:paraId="7AD6955E" w14:textId="71BDFF58" w:rsidR="00CC003B" w:rsidRDefault="00CC003B" w:rsidP="008478AF">
      <w:pPr>
        <w:pStyle w:val="EndnoteText"/>
      </w:pPr>
      <w:r>
        <w:rPr>
          <w:rStyle w:val="EndnoteReference"/>
        </w:rPr>
        <w:endnoteRef/>
      </w:r>
      <w:r>
        <w:t xml:space="preserve"> </w:t>
      </w:r>
      <w:r w:rsidR="005013EC" w:rsidRPr="005013EC">
        <w:t xml:space="preserve">Eli </w:t>
      </w:r>
      <w:proofErr w:type="spellStart"/>
      <w:r w:rsidR="005013EC" w:rsidRPr="005013EC">
        <w:t>Lederhendler</w:t>
      </w:r>
      <w:proofErr w:type="spellEnd"/>
      <w:r w:rsidR="005013EC" w:rsidRPr="005013EC">
        <w:t xml:space="preserve">, “Did Russian Jewry Exist prior to 1917 ?”, in </w:t>
      </w:r>
      <w:r w:rsidR="005013EC" w:rsidRPr="005013EC">
        <w:rPr>
          <w:i/>
          <w:iCs/>
        </w:rPr>
        <w:t>Jews and Jewish Life in Russia and the Soviet Union</w:t>
      </w:r>
      <w:r w:rsidR="005013EC" w:rsidRPr="005013EC">
        <w:t xml:space="preserve"> ed. by </w:t>
      </w:r>
      <w:proofErr w:type="spellStart"/>
      <w:r w:rsidR="005013EC" w:rsidRPr="005013EC">
        <w:t>Yaacov</w:t>
      </w:r>
      <w:proofErr w:type="spellEnd"/>
      <w:r w:rsidR="005013EC" w:rsidRPr="005013EC">
        <w:t xml:space="preserve"> </w:t>
      </w:r>
      <w:proofErr w:type="spellStart"/>
      <w:r w:rsidR="005013EC" w:rsidRPr="005013EC">
        <w:t>Ro’i</w:t>
      </w:r>
      <w:proofErr w:type="spellEnd"/>
      <w:r w:rsidR="005013EC" w:rsidRPr="005013EC">
        <w:t xml:space="preserve"> (Cummings </w:t>
      </w:r>
      <w:proofErr w:type="spellStart"/>
      <w:r w:rsidR="005013EC" w:rsidRPr="005013EC">
        <w:t>Center</w:t>
      </w:r>
      <w:proofErr w:type="spellEnd"/>
      <w:r w:rsidR="005013EC" w:rsidRPr="005013EC">
        <w:t xml:space="preserve"> Series, 1994),</w:t>
      </w:r>
      <w:r w:rsidR="005013EC">
        <w:t xml:space="preserve"> pp.15-27; </w:t>
      </w:r>
      <w:r w:rsidR="008478AF">
        <w:t>Jonathan Frankel, “</w:t>
      </w:r>
      <w:r w:rsidR="005013EC" w:rsidRPr="005013EC">
        <w:t>Assimilation and the Jews in nineteenth-century Europe: towards</w:t>
      </w:r>
      <w:r w:rsidR="008478AF">
        <w:t xml:space="preserve"> a new historiography”</w:t>
      </w:r>
      <w:r w:rsidR="005013EC" w:rsidRPr="005013EC">
        <w:t xml:space="preserve">, in </w:t>
      </w:r>
      <w:r w:rsidR="005013EC" w:rsidRPr="005013EC">
        <w:rPr>
          <w:i/>
          <w:iCs/>
        </w:rPr>
        <w:t>Assimilation and Community. The Jews in 19th century-Europe</w:t>
      </w:r>
      <w:r w:rsidR="005013EC" w:rsidRPr="005013EC">
        <w:t xml:space="preserve">, ed. by J. Frankel, S. </w:t>
      </w:r>
      <w:proofErr w:type="spellStart"/>
      <w:r w:rsidR="005013EC" w:rsidRPr="005013EC">
        <w:t>Zipperstein</w:t>
      </w:r>
      <w:proofErr w:type="spellEnd"/>
      <w:r w:rsidR="005013EC" w:rsidRPr="005013EC">
        <w:t xml:space="preserve"> (Cambridge: Cambridge University Press, 1992), pp. 1-37.</w:t>
      </w:r>
    </w:p>
  </w:endnote>
  <w:endnote w:id="5">
    <w:p w14:paraId="152D400C" w14:textId="50820AF4" w:rsidR="007946D3" w:rsidRDefault="007946D3" w:rsidP="008478AF">
      <w:pPr>
        <w:pStyle w:val="EndnoteText"/>
      </w:pPr>
      <w:r>
        <w:rPr>
          <w:rStyle w:val="EndnoteReference"/>
        </w:rPr>
        <w:endnoteRef/>
      </w:r>
      <w:r>
        <w:t xml:space="preserve"> </w:t>
      </w:r>
      <w:r w:rsidR="005013EC">
        <w:t xml:space="preserve">For example </w:t>
      </w:r>
      <w:r w:rsidR="005013EC" w:rsidRPr="00F5293B">
        <w:t xml:space="preserve">Benjamin Nathans, </w:t>
      </w:r>
      <w:r w:rsidR="005013EC" w:rsidRPr="00F5293B">
        <w:rPr>
          <w:i/>
        </w:rPr>
        <w:t xml:space="preserve">Beyond the Pale </w:t>
      </w:r>
      <w:r w:rsidR="005013EC" w:rsidRPr="00F5293B">
        <w:t>(</w:t>
      </w:r>
      <w:r w:rsidR="008478AF">
        <w:t xml:space="preserve">Berkeley: </w:t>
      </w:r>
      <w:r w:rsidR="005013EC" w:rsidRPr="00F5293B">
        <w:t>University of California Press, 2002)</w:t>
      </w:r>
      <w:r w:rsidR="005013EC">
        <w:t xml:space="preserve">; ChaeRan Y. Freeze, </w:t>
      </w:r>
      <w:r w:rsidR="005013EC">
        <w:rPr>
          <w:i/>
          <w:iCs/>
        </w:rPr>
        <w:t xml:space="preserve">Jewish Marriage and Divorce in Imperial Russia </w:t>
      </w:r>
      <w:r w:rsidR="005013EC">
        <w:t>(Hanover and London: Brandeis University Press,</w:t>
      </w:r>
      <w:r w:rsidR="00804485">
        <w:t xml:space="preserve"> </w:t>
      </w:r>
      <w:r w:rsidR="005013EC">
        <w:t>2002</w:t>
      </w:r>
      <w:r w:rsidR="008478AF">
        <w:t>)</w:t>
      </w:r>
      <w:r w:rsidR="005013EC">
        <w:t>;</w:t>
      </w:r>
      <w:r>
        <w:t xml:space="preserve"> </w:t>
      </w:r>
      <w:proofErr w:type="spellStart"/>
      <w:r w:rsidR="005013EC">
        <w:t>Yohanan</w:t>
      </w:r>
      <w:proofErr w:type="spellEnd"/>
      <w:r w:rsidR="005013EC">
        <w:t xml:space="preserve"> </w:t>
      </w:r>
      <w:proofErr w:type="spellStart"/>
      <w:r w:rsidR="005013EC">
        <w:t>Petrovsky-Shtern</w:t>
      </w:r>
      <w:proofErr w:type="spellEnd"/>
      <w:r w:rsidR="005013EC">
        <w:t xml:space="preserve">, </w:t>
      </w:r>
      <w:r w:rsidR="005013EC" w:rsidRPr="0017463B">
        <w:rPr>
          <w:i/>
          <w:iCs/>
        </w:rPr>
        <w:t>The golden age shtetl: a new history of Jewish life in East Europe</w:t>
      </w:r>
      <w:r w:rsidR="005013EC">
        <w:t xml:space="preserve"> (Princeton : Princeton University Press, 2014); </w:t>
      </w:r>
      <w:r w:rsidR="005013EC" w:rsidRPr="005013EC">
        <w:t xml:space="preserve">ChaeRan Y. Freeze and Jay M. Harris (ed.), </w:t>
      </w:r>
      <w:r w:rsidR="005013EC" w:rsidRPr="00804485">
        <w:rPr>
          <w:i/>
          <w:iCs/>
        </w:rPr>
        <w:t>Everyday Jewish life in imperial Russia: select documents, 1772 – 1914</w:t>
      </w:r>
      <w:r w:rsidR="008478AF">
        <w:t xml:space="preserve"> (Waltham: Brandeis University Press</w:t>
      </w:r>
      <w:r w:rsidR="005013EC" w:rsidRPr="005013EC">
        <w:t>, 2013</w:t>
      </w:r>
      <w:r w:rsidR="008478AF">
        <w:t>)</w:t>
      </w:r>
      <w:r w:rsidR="00804485">
        <w:t xml:space="preserve">; </w:t>
      </w:r>
      <w:r w:rsidR="00804485" w:rsidRPr="00823613">
        <w:rPr>
          <w:rFonts w:ascii="Times New Roman" w:hAnsi="Times New Roman"/>
          <w:bCs/>
          <w:spacing w:val="-3"/>
        </w:rPr>
        <w:t xml:space="preserve">David E. Fishman, </w:t>
      </w:r>
      <w:r w:rsidR="00804485" w:rsidRPr="00823613">
        <w:rPr>
          <w:rFonts w:ascii="Times New Roman" w:hAnsi="Times New Roman"/>
          <w:bCs/>
          <w:i/>
          <w:spacing w:val="-3"/>
        </w:rPr>
        <w:t xml:space="preserve">The Rise of Modern Yiddish Culture </w:t>
      </w:r>
      <w:r w:rsidR="00804485" w:rsidRPr="00823613">
        <w:rPr>
          <w:rFonts w:ascii="Times New Roman" w:hAnsi="Times New Roman"/>
          <w:bCs/>
          <w:spacing w:val="-3"/>
        </w:rPr>
        <w:t>(Pittsburgh: University of Pittsburgh, Press, 2005)</w:t>
      </w:r>
      <w:r w:rsidR="00804485">
        <w:rPr>
          <w:rFonts w:ascii="Times New Roman" w:hAnsi="Times New Roman"/>
          <w:bCs/>
          <w:spacing w:val="-3"/>
        </w:rPr>
        <w:t xml:space="preserve">; </w:t>
      </w:r>
      <w:r w:rsidR="008478AF">
        <w:rPr>
          <w:rFonts w:ascii="Times New Roman" w:hAnsi="Times New Roman"/>
          <w:bCs/>
          <w:spacing w:val="-3"/>
        </w:rPr>
        <w:t xml:space="preserve">Mikhail </w:t>
      </w:r>
      <w:r w:rsidR="00804485" w:rsidRPr="0011237A">
        <w:rPr>
          <w:rFonts w:ascii="Times New Roman" w:hAnsi="Times New Roman"/>
          <w:spacing w:val="-3"/>
        </w:rPr>
        <w:t>Krutikov,</w:t>
      </w:r>
      <w:r w:rsidR="008478AF">
        <w:rPr>
          <w:rFonts w:ascii="Times New Roman" w:hAnsi="Times New Roman"/>
          <w:spacing w:val="-3"/>
        </w:rPr>
        <w:t xml:space="preserve"> </w:t>
      </w:r>
      <w:r w:rsidR="00804485" w:rsidRPr="0011237A">
        <w:rPr>
          <w:rFonts w:ascii="Times New Roman" w:hAnsi="Times New Roman"/>
          <w:i/>
          <w:iCs/>
          <w:spacing w:val="-3"/>
        </w:rPr>
        <w:t>Yiddish Fiction and the Crisis of Modernity, 1905-1914</w:t>
      </w:r>
      <w:r w:rsidR="00804485" w:rsidRPr="0011237A">
        <w:rPr>
          <w:rFonts w:ascii="Times New Roman" w:hAnsi="Times New Roman"/>
          <w:spacing w:val="-3"/>
        </w:rPr>
        <w:t xml:space="preserve"> </w:t>
      </w:r>
      <w:r w:rsidR="008478AF">
        <w:rPr>
          <w:rFonts w:ascii="Times New Roman" w:hAnsi="Times New Roman"/>
          <w:spacing w:val="-3"/>
        </w:rPr>
        <w:t>(</w:t>
      </w:r>
      <w:r w:rsidR="00804485" w:rsidRPr="0011237A">
        <w:rPr>
          <w:rFonts w:ascii="Times New Roman" w:hAnsi="Times New Roman"/>
          <w:spacing w:val="-3"/>
        </w:rPr>
        <w:t>Stanford:</w:t>
      </w:r>
      <w:r w:rsidR="008478AF">
        <w:rPr>
          <w:rFonts w:ascii="Times New Roman" w:hAnsi="Times New Roman"/>
          <w:spacing w:val="-3"/>
        </w:rPr>
        <w:t xml:space="preserve"> Stanford University Press, 2001) </w:t>
      </w:r>
      <w:r w:rsidR="00804485">
        <w:rPr>
          <w:rFonts w:ascii="Times New Roman" w:hAnsi="Times New Roman"/>
          <w:spacing w:val="-3"/>
        </w:rPr>
        <w:t xml:space="preserve">; </w:t>
      </w:r>
      <w:r w:rsidR="008478AF">
        <w:rPr>
          <w:rFonts w:ascii="Times New Roman" w:hAnsi="Times New Roman"/>
          <w:spacing w:val="-3"/>
        </w:rPr>
        <w:t xml:space="preserve">Kenneth </w:t>
      </w:r>
      <w:r w:rsidR="00804485">
        <w:rPr>
          <w:rFonts w:ascii="Times New Roman" w:hAnsi="Times New Roman"/>
          <w:spacing w:val="-3"/>
        </w:rPr>
        <w:t xml:space="preserve">Moss, </w:t>
      </w:r>
      <w:r w:rsidR="00804485" w:rsidRPr="00272C29">
        <w:rPr>
          <w:rFonts w:ascii="Times New Roman" w:hAnsi="Times New Roman"/>
          <w:i/>
          <w:iCs/>
          <w:spacing w:val="-3"/>
          <w:lang w:val="en"/>
        </w:rPr>
        <w:t>Jewish renaissance in the Russian revolution</w:t>
      </w:r>
      <w:r w:rsidR="00804485">
        <w:rPr>
          <w:rFonts w:ascii="Times New Roman" w:hAnsi="Times New Roman"/>
          <w:i/>
          <w:iCs/>
          <w:spacing w:val="-3"/>
          <w:lang w:val="en"/>
        </w:rPr>
        <w:t xml:space="preserve"> </w:t>
      </w:r>
      <w:r w:rsidR="00804485">
        <w:rPr>
          <w:rFonts w:ascii="Times New Roman" w:hAnsi="Times New Roman"/>
          <w:spacing w:val="-3"/>
          <w:lang w:val="en"/>
        </w:rPr>
        <w:t>(</w:t>
      </w:r>
      <w:r w:rsidR="00804485" w:rsidRPr="00272C29">
        <w:rPr>
          <w:rFonts w:ascii="Times New Roman" w:hAnsi="Times New Roman"/>
          <w:spacing w:val="-3"/>
          <w:lang w:val="en"/>
        </w:rPr>
        <w:t>Ca</w:t>
      </w:r>
      <w:r w:rsidR="00804485">
        <w:rPr>
          <w:rFonts w:ascii="Times New Roman" w:hAnsi="Times New Roman"/>
          <w:spacing w:val="-3"/>
          <w:lang w:val="en"/>
        </w:rPr>
        <w:t>mbridge</w:t>
      </w:r>
      <w:r w:rsidR="00804485" w:rsidRPr="00272C29">
        <w:rPr>
          <w:rFonts w:ascii="Times New Roman" w:hAnsi="Times New Roman"/>
          <w:spacing w:val="-3"/>
          <w:lang w:val="en"/>
        </w:rPr>
        <w:t>: Harvard University Press, 2009.</w:t>
      </w:r>
      <w:r w:rsidR="00804485">
        <w:rPr>
          <w:rFonts w:ascii="Times New Roman" w:hAnsi="Times New Roman"/>
          <w:spacing w:val="-3"/>
          <w:lang w:val="en"/>
        </w:rPr>
        <w:t xml:space="preserve">); </w:t>
      </w:r>
      <w:r w:rsidR="00804485" w:rsidRPr="00804485">
        <w:rPr>
          <w:rFonts w:ascii="Times New Roman" w:hAnsi="Times New Roman"/>
          <w:spacing w:val="-3"/>
          <w:lang w:val="en"/>
        </w:rPr>
        <w:t xml:space="preserve">Jeffrey </w:t>
      </w:r>
      <w:proofErr w:type="spellStart"/>
      <w:r w:rsidR="00804485" w:rsidRPr="00804485">
        <w:rPr>
          <w:rFonts w:ascii="Times New Roman" w:hAnsi="Times New Roman"/>
          <w:spacing w:val="-3"/>
          <w:lang w:val="en"/>
        </w:rPr>
        <w:t>Veidlinger</w:t>
      </w:r>
      <w:proofErr w:type="spellEnd"/>
      <w:r w:rsidR="00804485" w:rsidRPr="00804485">
        <w:rPr>
          <w:rFonts w:ascii="Times New Roman" w:hAnsi="Times New Roman"/>
          <w:spacing w:val="-3"/>
          <w:lang w:val="en"/>
        </w:rPr>
        <w:t xml:space="preserve">, </w:t>
      </w:r>
      <w:r w:rsidR="00804485" w:rsidRPr="00804485">
        <w:rPr>
          <w:rFonts w:ascii="Times New Roman" w:hAnsi="Times New Roman"/>
          <w:i/>
          <w:iCs/>
          <w:spacing w:val="-3"/>
          <w:lang w:val="en"/>
        </w:rPr>
        <w:t xml:space="preserve">Jewish public culture in the late Russian empire </w:t>
      </w:r>
      <w:r w:rsidR="00804485" w:rsidRPr="00804485">
        <w:rPr>
          <w:rFonts w:ascii="Times New Roman" w:hAnsi="Times New Roman"/>
          <w:spacing w:val="-3"/>
          <w:lang w:val="en"/>
        </w:rPr>
        <w:t>(Bloomington: Indiana University Press, 2009.)</w:t>
      </w:r>
      <w:r w:rsidR="00804485">
        <w:rPr>
          <w:rFonts w:ascii="Times New Roman" w:hAnsi="Times New Roman"/>
          <w:spacing w:val="-3"/>
          <w:lang w:val="en"/>
        </w:rPr>
        <w:t xml:space="preserve">; </w:t>
      </w:r>
      <w:r w:rsidR="00804485" w:rsidRPr="00804485">
        <w:rPr>
          <w:rFonts w:ascii="Times New Roman" w:hAnsi="Times New Roman"/>
          <w:spacing w:val="-3"/>
          <w:lang w:val="en"/>
        </w:rPr>
        <w:t xml:space="preserve">Anna </w:t>
      </w:r>
      <w:proofErr w:type="spellStart"/>
      <w:r w:rsidR="00804485" w:rsidRPr="00804485">
        <w:rPr>
          <w:rFonts w:ascii="Times New Roman" w:hAnsi="Times New Roman"/>
          <w:spacing w:val="-3"/>
          <w:lang w:val="en"/>
        </w:rPr>
        <w:t>Shternshis</w:t>
      </w:r>
      <w:proofErr w:type="spellEnd"/>
      <w:r w:rsidR="00804485" w:rsidRPr="00804485">
        <w:rPr>
          <w:rFonts w:ascii="Times New Roman" w:hAnsi="Times New Roman"/>
          <w:spacing w:val="-3"/>
          <w:lang w:val="en"/>
        </w:rPr>
        <w:t xml:space="preserve">, </w:t>
      </w:r>
      <w:r w:rsidR="00804485" w:rsidRPr="00804485">
        <w:rPr>
          <w:rFonts w:ascii="Times New Roman" w:hAnsi="Times New Roman"/>
          <w:i/>
          <w:iCs/>
          <w:spacing w:val="-3"/>
          <w:lang w:val="en"/>
        </w:rPr>
        <w:t>Jewish Popular Culture in the Soviet Union, 1923-1939</w:t>
      </w:r>
      <w:r w:rsidR="00804485" w:rsidRPr="00804485">
        <w:rPr>
          <w:rFonts w:ascii="Times New Roman" w:hAnsi="Times New Roman"/>
          <w:spacing w:val="-3"/>
          <w:lang w:val="en"/>
        </w:rPr>
        <w:t xml:space="preserve"> (Bloomington and Indianapolis: Indiana UP, 2006)</w:t>
      </w:r>
    </w:p>
  </w:endnote>
  <w:endnote w:id="6">
    <w:p w14:paraId="03FEBA72" w14:textId="30237D78" w:rsidR="007946D3" w:rsidRDefault="007946D3" w:rsidP="008478AF">
      <w:pPr>
        <w:pStyle w:val="EndnoteText"/>
      </w:pPr>
      <w:r>
        <w:rPr>
          <w:rStyle w:val="EndnoteReference"/>
        </w:rPr>
        <w:endnoteRef/>
      </w:r>
      <w:r>
        <w:t xml:space="preserve"> </w:t>
      </w:r>
      <w:proofErr w:type="spellStart"/>
      <w:r w:rsidR="00804485" w:rsidRPr="0011237A">
        <w:rPr>
          <w:rFonts w:ascii="Times New Roman" w:hAnsi="Times New Roman"/>
          <w:spacing w:val="-3"/>
        </w:rPr>
        <w:t>Zipperstein</w:t>
      </w:r>
      <w:proofErr w:type="spellEnd"/>
      <w:r w:rsidR="00804485" w:rsidRPr="0011237A">
        <w:rPr>
          <w:rFonts w:ascii="Times New Roman" w:hAnsi="Times New Roman"/>
          <w:spacing w:val="-3"/>
        </w:rPr>
        <w:t xml:space="preserve">, Steven J. </w:t>
      </w:r>
      <w:r w:rsidR="00804485" w:rsidRPr="0011237A">
        <w:rPr>
          <w:rFonts w:ascii="Times New Roman" w:hAnsi="Times New Roman"/>
          <w:i/>
          <w:iCs/>
          <w:spacing w:val="-3"/>
        </w:rPr>
        <w:t>The Jews of Odessa: A Cultural History, 1794-1881</w:t>
      </w:r>
      <w:r w:rsidR="008478AF">
        <w:rPr>
          <w:rFonts w:ascii="Times New Roman" w:hAnsi="Times New Roman"/>
          <w:i/>
          <w:iCs/>
          <w:spacing w:val="-3"/>
        </w:rPr>
        <w:t xml:space="preserve"> </w:t>
      </w:r>
      <w:r w:rsidR="008478AF">
        <w:rPr>
          <w:rFonts w:ascii="Times New Roman" w:hAnsi="Times New Roman"/>
          <w:spacing w:val="-3"/>
        </w:rPr>
        <w:t>(Stanford</w:t>
      </w:r>
      <w:r w:rsidR="00804485" w:rsidRPr="0011237A">
        <w:rPr>
          <w:rFonts w:ascii="Times New Roman" w:hAnsi="Times New Roman"/>
          <w:spacing w:val="-3"/>
        </w:rPr>
        <w:t>: Stanford University Press, 1985</w:t>
      </w:r>
      <w:r w:rsidR="008478AF">
        <w:rPr>
          <w:rFonts w:ascii="Times New Roman" w:hAnsi="Times New Roman"/>
          <w:spacing w:val="-3"/>
        </w:rPr>
        <w:t>)</w:t>
      </w:r>
      <w:r w:rsidR="00804485">
        <w:rPr>
          <w:rFonts w:ascii="Times New Roman" w:hAnsi="Times New Roman"/>
          <w:spacing w:val="-3"/>
        </w:rPr>
        <w:t xml:space="preserve">; </w:t>
      </w:r>
      <w:r w:rsidR="008478AF">
        <w:rPr>
          <w:rFonts w:ascii="Times New Roman" w:hAnsi="Times New Roman"/>
          <w:spacing w:val="-3"/>
        </w:rPr>
        <w:t xml:space="preserve">David E. </w:t>
      </w:r>
      <w:r w:rsidR="00804485" w:rsidRPr="00804485">
        <w:rPr>
          <w:rFonts w:ascii="Times New Roman" w:hAnsi="Times New Roman"/>
          <w:spacing w:val="-3"/>
        </w:rPr>
        <w:t xml:space="preserve">Fishman, </w:t>
      </w:r>
      <w:r w:rsidR="00804485" w:rsidRPr="00804485">
        <w:rPr>
          <w:rFonts w:ascii="Times New Roman" w:hAnsi="Times New Roman"/>
          <w:i/>
          <w:iCs/>
          <w:spacing w:val="-3"/>
        </w:rPr>
        <w:t xml:space="preserve">Russia's First Modern Jews: The Jews of </w:t>
      </w:r>
      <w:proofErr w:type="spellStart"/>
      <w:r w:rsidR="00804485" w:rsidRPr="00804485">
        <w:rPr>
          <w:rFonts w:ascii="Times New Roman" w:hAnsi="Times New Roman"/>
          <w:i/>
          <w:iCs/>
          <w:spacing w:val="-3"/>
        </w:rPr>
        <w:t>Shklov</w:t>
      </w:r>
      <w:proofErr w:type="spellEnd"/>
      <w:r w:rsidR="00804485" w:rsidRPr="00804485">
        <w:rPr>
          <w:rFonts w:ascii="Times New Roman" w:hAnsi="Times New Roman"/>
          <w:spacing w:val="-3"/>
        </w:rPr>
        <w:t xml:space="preserve"> </w:t>
      </w:r>
      <w:r w:rsidR="008478AF">
        <w:rPr>
          <w:rFonts w:ascii="Times New Roman" w:hAnsi="Times New Roman"/>
          <w:spacing w:val="-3"/>
        </w:rPr>
        <w:t>(</w:t>
      </w:r>
      <w:r w:rsidR="00804485" w:rsidRPr="00804485">
        <w:rPr>
          <w:rFonts w:ascii="Times New Roman" w:hAnsi="Times New Roman"/>
          <w:spacing w:val="-3"/>
        </w:rPr>
        <w:t xml:space="preserve">New York and London: </w:t>
      </w:r>
      <w:r w:rsidR="00804485">
        <w:rPr>
          <w:rFonts w:ascii="Times New Roman" w:hAnsi="Times New Roman"/>
          <w:spacing w:val="-3"/>
        </w:rPr>
        <w:t>New York University Press, 1995</w:t>
      </w:r>
      <w:proofErr w:type="gramStart"/>
      <w:r w:rsidR="008478AF">
        <w:rPr>
          <w:rFonts w:ascii="Times New Roman" w:hAnsi="Times New Roman"/>
          <w:spacing w:val="-3"/>
        </w:rPr>
        <w:t xml:space="preserve">) </w:t>
      </w:r>
      <w:r w:rsidR="00804485">
        <w:rPr>
          <w:rFonts w:ascii="Times New Roman" w:hAnsi="Times New Roman"/>
          <w:spacing w:val="-3"/>
        </w:rPr>
        <w:t>;</w:t>
      </w:r>
      <w:proofErr w:type="gramEnd"/>
      <w:r w:rsidR="00804485" w:rsidRPr="00804485">
        <w:rPr>
          <w:rFonts w:ascii="Times New Roman" w:hAnsi="Times New Roman"/>
          <w:spacing w:val="-3"/>
        </w:rPr>
        <w:t xml:space="preserve"> </w:t>
      </w:r>
      <w:proofErr w:type="spellStart"/>
      <w:r w:rsidR="00804485">
        <w:rPr>
          <w:rFonts w:ascii="Times New Roman" w:hAnsi="Times New Roman"/>
          <w:spacing w:val="-3"/>
        </w:rPr>
        <w:t>Natan</w:t>
      </w:r>
      <w:proofErr w:type="spellEnd"/>
      <w:r w:rsidR="00804485">
        <w:rPr>
          <w:rFonts w:ascii="Times New Roman" w:hAnsi="Times New Roman"/>
          <w:spacing w:val="-3"/>
        </w:rPr>
        <w:t xml:space="preserve"> M. Meir, </w:t>
      </w:r>
      <w:r w:rsidR="00804485" w:rsidRPr="00804485">
        <w:rPr>
          <w:rFonts w:ascii="Times New Roman" w:hAnsi="Times New Roman"/>
          <w:i/>
          <w:iCs/>
          <w:spacing w:val="-3"/>
        </w:rPr>
        <w:t>Kiev, Jewish metropolis: a history, 1859-1914</w:t>
      </w:r>
      <w:r w:rsidR="00804485" w:rsidRPr="00804485">
        <w:rPr>
          <w:rFonts w:ascii="Times New Roman" w:hAnsi="Times New Roman"/>
          <w:spacing w:val="-3"/>
        </w:rPr>
        <w:t xml:space="preserve"> </w:t>
      </w:r>
      <w:r w:rsidR="00804485">
        <w:rPr>
          <w:rFonts w:ascii="Times New Roman" w:hAnsi="Times New Roman"/>
          <w:spacing w:val="-3"/>
        </w:rPr>
        <w:t>(</w:t>
      </w:r>
      <w:r w:rsidR="00804485" w:rsidRPr="00804485">
        <w:rPr>
          <w:rFonts w:ascii="Times New Roman" w:hAnsi="Times New Roman"/>
          <w:spacing w:val="-3"/>
        </w:rPr>
        <w:t>Bloomington: Indiana University Press,</w:t>
      </w:r>
      <w:r w:rsidR="00804485">
        <w:rPr>
          <w:rFonts w:ascii="Times New Roman" w:hAnsi="Times New Roman"/>
          <w:spacing w:val="-3"/>
        </w:rPr>
        <w:t xml:space="preserve"> </w:t>
      </w:r>
      <w:r w:rsidR="00804485" w:rsidRPr="00804485">
        <w:rPr>
          <w:rFonts w:ascii="Times New Roman" w:hAnsi="Times New Roman"/>
          <w:spacing w:val="-3"/>
        </w:rPr>
        <w:t>2010</w:t>
      </w:r>
      <w:r w:rsidR="008478AF">
        <w:rPr>
          <w:rFonts w:ascii="Times New Roman" w:hAnsi="Times New Roman"/>
          <w:spacing w:val="-3"/>
        </w:rPr>
        <w:t>)</w:t>
      </w:r>
      <w:r w:rsidR="00804485">
        <w:rPr>
          <w:rFonts w:ascii="Times New Roman" w:hAnsi="Times New Roman"/>
          <w:spacing w:val="-3"/>
        </w:rPr>
        <w:t>;</w:t>
      </w:r>
      <w:r w:rsidR="00804485" w:rsidRPr="00804485">
        <w:rPr>
          <w:rFonts w:ascii="Times New Roman" w:hAnsi="Times New Roman"/>
          <w:spacing w:val="-3"/>
        </w:rPr>
        <w:t xml:space="preserve"> </w:t>
      </w:r>
      <w:r w:rsidR="00804485" w:rsidRPr="001C01A1">
        <w:rPr>
          <w:rFonts w:ascii="Times New Roman" w:hAnsi="Times New Roman"/>
          <w:spacing w:val="-3"/>
        </w:rPr>
        <w:t xml:space="preserve">Elissa </w:t>
      </w:r>
      <w:proofErr w:type="spellStart"/>
      <w:r w:rsidR="00804485" w:rsidRPr="001C01A1">
        <w:rPr>
          <w:rFonts w:ascii="Times New Roman" w:hAnsi="Times New Roman"/>
          <w:spacing w:val="-3"/>
        </w:rPr>
        <w:t>Bemporad</w:t>
      </w:r>
      <w:proofErr w:type="spellEnd"/>
      <w:r w:rsidR="00804485" w:rsidRPr="001C01A1">
        <w:rPr>
          <w:rFonts w:ascii="Times New Roman" w:hAnsi="Times New Roman"/>
          <w:spacing w:val="-3"/>
        </w:rPr>
        <w:t xml:space="preserve">, </w:t>
      </w:r>
      <w:r w:rsidR="00804485" w:rsidRPr="001C01A1">
        <w:rPr>
          <w:rFonts w:ascii="Times New Roman" w:hAnsi="Times New Roman"/>
          <w:i/>
          <w:iCs/>
          <w:spacing w:val="-3"/>
        </w:rPr>
        <w:t>Becoming Soviet Jews. The Bolshevik Experiment in Minsk</w:t>
      </w:r>
      <w:r w:rsidR="00804485" w:rsidRPr="001C01A1">
        <w:rPr>
          <w:rFonts w:ascii="Times New Roman" w:hAnsi="Times New Roman"/>
          <w:spacing w:val="-3"/>
        </w:rPr>
        <w:t xml:space="preserve"> (Bloomington: </w:t>
      </w:r>
      <w:r w:rsidR="00804485">
        <w:rPr>
          <w:rFonts w:ascii="Times New Roman" w:hAnsi="Times New Roman"/>
          <w:spacing w:val="-3"/>
        </w:rPr>
        <w:t>Indiana University Press, 2013)</w:t>
      </w:r>
      <w:r w:rsidR="00A10B73">
        <w:t xml:space="preserve">; </w:t>
      </w:r>
      <w:proofErr w:type="spellStart"/>
      <w:r w:rsidR="00804485" w:rsidRPr="00804485">
        <w:t>Arkadiï</w:t>
      </w:r>
      <w:proofErr w:type="spellEnd"/>
      <w:r w:rsidR="00804485" w:rsidRPr="00804485">
        <w:t>, ZEL’TSER</w:t>
      </w:r>
      <w:r w:rsidR="00804485" w:rsidRPr="00804485">
        <w:rPr>
          <w:i/>
          <w:iCs/>
        </w:rPr>
        <w:t xml:space="preserve">, </w:t>
      </w:r>
      <w:proofErr w:type="spellStart"/>
      <w:r w:rsidR="00804485" w:rsidRPr="00804485">
        <w:rPr>
          <w:i/>
          <w:iCs/>
        </w:rPr>
        <w:t>Evrei</w:t>
      </w:r>
      <w:proofErr w:type="spellEnd"/>
      <w:r w:rsidR="00804485" w:rsidRPr="00804485">
        <w:rPr>
          <w:i/>
          <w:iCs/>
        </w:rPr>
        <w:t xml:space="preserve"> </w:t>
      </w:r>
      <w:proofErr w:type="spellStart"/>
      <w:r w:rsidR="00804485" w:rsidRPr="00804485">
        <w:rPr>
          <w:i/>
          <w:iCs/>
        </w:rPr>
        <w:t>sovetskoï</w:t>
      </w:r>
      <w:proofErr w:type="spellEnd"/>
      <w:r w:rsidR="00804485" w:rsidRPr="00804485">
        <w:rPr>
          <w:i/>
          <w:iCs/>
        </w:rPr>
        <w:t xml:space="preserve"> </w:t>
      </w:r>
      <w:proofErr w:type="spellStart"/>
      <w:proofErr w:type="gramStart"/>
      <w:r w:rsidR="00804485" w:rsidRPr="00804485">
        <w:rPr>
          <w:i/>
          <w:iCs/>
        </w:rPr>
        <w:t>provintsii</w:t>
      </w:r>
      <w:proofErr w:type="spellEnd"/>
      <w:r w:rsidR="00804485" w:rsidRPr="00804485">
        <w:rPr>
          <w:i/>
          <w:iCs/>
        </w:rPr>
        <w:t xml:space="preserve"> :</w:t>
      </w:r>
      <w:proofErr w:type="gramEnd"/>
      <w:r w:rsidR="00804485" w:rsidRPr="00804485">
        <w:rPr>
          <w:i/>
          <w:iCs/>
        </w:rPr>
        <w:t xml:space="preserve"> Vitebsk i </w:t>
      </w:r>
      <w:proofErr w:type="spellStart"/>
      <w:r w:rsidR="00804485" w:rsidRPr="00804485">
        <w:rPr>
          <w:i/>
          <w:iCs/>
        </w:rPr>
        <w:t>mestetshki</w:t>
      </w:r>
      <w:proofErr w:type="spellEnd"/>
      <w:r w:rsidR="00804485" w:rsidRPr="00804485">
        <w:rPr>
          <w:i/>
          <w:iCs/>
        </w:rPr>
        <w:t xml:space="preserve"> 1917-1941</w:t>
      </w:r>
      <w:r w:rsidR="00804485">
        <w:t xml:space="preserve"> </w:t>
      </w:r>
      <w:r w:rsidR="008478AF">
        <w:t>(</w:t>
      </w:r>
      <w:r w:rsidR="00804485">
        <w:t>Moskva</w:t>
      </w:r>
      <w:r w:rsidR="008478AF">
        <w:t>:</w:t>
      </w:r>
      <w:r w:rsidR="00804485">
        <w:t xml:space="preserve"> ROSSPEN, 2006</w:t>
      </w:r>
      <w:r w:rsidR="008478AF">
        <w:t>)</w:t>
      </w:r>
      <w:r w:rsidR="00DD2194">
        <w:t xml:space="preserve">; </w:t>
      </w:r>
      <w:proofErr w:type="spellStart"/>
      <w:r w:rsidR="00DD2194" w:rsidRPr="00432952">
        <w:rPr>
          <w:rFonts w:cs="Times New Roman"/>
        </w:rPr>
        <w:t>Viktoriia</w:t>
      </w:r>
      <w:proofErr w:type="spellEnd"/>
      <w:r w:rsidR="00DD2194" w:rsidRPr="00432952">
        <w:rPr>
          <w:rFonts w:cs="Times New Roman"/>
        </w:rPr>
        <w:t xml:space="preserve"> Khiterer, </w:t>
      </w:r>
      <w:r w:rsidR="00DD2194" w:rsidRPr="00432952">
        <w:rPr>
          <w:rFonts w:cs="Times New Roman"/>
          <w:i/>
        </w:rPr>
        <w:t>Jewish City or Inferno of Russian Israel? A History of the Jews in Kiev before February 1917</w:t>
      </w:r>
      <w:r w:rsidR="00DD2194" w:rsidRPr="00432952">
        <w:rPr>
          <w:rFonts w:cs="Times New Roman"/>
        </w:rPr>
        <w:t xml:space="preserve"> (Boston: Academic Studies Press, 2016</w:t>
      </w:r>
      <w:r w:rsidR="00DD2194">
        <w:rPr>
          <w:rFonts w:cs="Times New Roman"/>
        </w:rPr>
        <w:t>).</w:t>
      </w:r>
    </w:p>
  </w:endnote>
  <w:endnote w:id="7">
    <w:p w14:paraId="5E434FB9" w14:textId="10401CA5" w:rsidR="00A10B73" w:rsidRPr="008E1AE4" w:rsidRDefault="00A10B73" w:rsidP="007457C2">
      <w:pPr>
        <w:pStyle w:val="EndnoteText"/>
      </w:pPr>
      <w:r>
        <w:rPr>
          <w:rStyle w:val="EndnoteReference"/>
        </w:rPr>
        <w:endnoteRef/>
      </w:r>
      <w:r w:rsidR="00804485" w:rsidRPr="0055419D">
        <w:t xml:space="preserve"> </w:t>
      </w:r>
      <w:r w:rsidR="0055419D">
        <w:t xml:space="preserve">I will </w:t>
      </w:r>
      <w:r w:rsidR="00DD2194">
        <w:t>limit my</w:t>
      </w:r>
      <w:r w:rsidR="0055419D">
        <w:t xml:space="preserve"> examples </w:t>
      </w:r>
      <w:r w:rsidR="00DD2194">
        <w:t xml:space="preserve">to </w:t>
      </w:r>
      <w:r w:rsidR="0055419D">
        <w:t>Bel</w:t>
      </w:r>
      <w:r w:rsidR="007457C2">
        <w:t>a</w:t>
      </w:r>
      <w:r w:rsidR="0055419D">
        <w:t xml:space="preserve">rus: </w:t>
      </w:r>
      <w:r w:rsidR="00804485" w:rsidRPr="0055419D">
        <w:t xml:space="preserve">Albert </w:t>
      </w:r>
      <w:proofErr w:type="spellStart"/>
      <w:r w:rsidR="00804485" w:rsidRPr="0055419D">
        <w:t>Kaganovich</w:t>
      </w:r>
      <w:proofErr w:type="spellEnd"/>
      <w:r w:rsidR="0055419D" w:rsidRPr="0055419D">
        <w:t xml:space="preserve">, </w:t>
      </w:r>
      <w:r w:rsidR="00804485" w:rsidRPr="0055419D">
        <w:rPr>
          <w:i/>
          <w:iCs/>
        </w:rPr>
        <w:t xml:space="preserve">The long life and swift death of </w:t>
      </w:r>
      <w:proofErr w:type="spellStart"/>
      <w:r w:rsidR="00804485" w:rsidRPr="0055419D">
        <w:rPr>
          <w:i/>
          <w:iCs/>
        </w:rPr>
        <w:t>Rechitsa</w:t>
      </w:r>
      <w:proofErr w:type="spellEnd"/>
      <w:r w:rsidR="00804485" w:rsidRPr="0055419D">
        <w:rPr>
          <w:i/>
          <w:iCs/>
        </w:rPr>
        <w:t>: a Jewish community in Belarus, 1625-2000</w:t>
      </w:r>
      <w:r w:rsidR="0055419D">
        <w:t xml:space="preserve"> (M</w:t>
      </w:r>
      <w:r w:rsidR="00804485">
        <w:t>adison : University of Wisconsin Press</w:t>
      </w:r>
      <w:r w:rsidR="0055419D">
        <w:t xml:space="preserve">, </w:t>
      </w:r>
      <w:r w:rsidR="00804485">
        <w:t>2013</w:t>
      </w:r>
      <w:r w:rsidR="008478AF">
        <w:t>)</w:t>
      </w:r>
      <w:r w:rsidR="0055419D">
        <w:t xml:space="preserve">; Leonid </w:t>
      </w:r>
      <w:proofErr w:type="spellStart"/>
      <w:r w:rsidR="0055419D">
        <w:t>Smilovitsky</w:t>
      </w:r>
      <w:proofErr w:type="spellEnd"/>
      <w:r w:rsidR="0055419D">
        <w:t xml:space="preserve">, </w:t>
      </w:r>
      <w:r w:rsidR="0055419D" w:rsidRPr="0055419D">
        <w:rPr>
          <w:i/>
          <w:iCs/>
        </w:rPr>
        <w:t>Jewish life in Belarus : the final decade of the Stalin regime, 1944-53</w:t>
      </w:r>
      <w:r w:rsidR="0055419D">
        <w:t xml:space="preserve"> (Budapest : Central European University Press</w:t>
      </w:r>
      <w:r w:rsidR="008478AF">
        <w:t>, 2014</w:t>
      </w:r>
      <w:r w:rsidR="0055419D">
        <w:t>);</w:t>
      </w:r>
      <w:r>
        <w:t xml:space="preserve"> </w:t>
      </w:r>
      <w:r w:rsidR="0055419D">
        <w:t xml:space="preserve">Aron SKIR, </w:t>
      </w:r>
      <w:proofErr w:type="spellStart"/>
      <w:r w:rsidR="0055419D">
        <w:rPr>
          <w:i/>
        </w:rPr>
        <w:t>Evreiskaia</w:t>
      </w:r>
      <w:proofErr w:type="spellEnd"/>
      <w:r w:rsidR="0055419D">
        <w:rPr>
          <w:i/>
        </w:rPr>
        <w:t xml:space="preserve"> </w:t>
      </w:r>
      <w:proofErr w:type="spellStart"/>
      <w:r w:rsidR="0055419D">
        <w:rPr>
          <w:i/>
        </w:rPr>
        <w:t>dukhovnaia</w:t>
      </w:r>
      <w:proofErr w:type="spellEnd"/>
      <w:r w:rsidR="0055419D">
        <w:rPr>
          <w:i/>
        </w:rPr>
        <w:t xml:space="preserve"> </w:t>
      </w:r>
      <w:proofErr w:type="spellStart"/>
      <w:r w:rsidR="0055419D">
        <w:rPr>
          <w:i/>
        </w:rPr>
        <w:t>kul’tura</w:t>
      </w:r>
      <w:proofErr w:type="spellEnd"/>
      <w:r w:rsidR="0055419D">
        <w:rPr>
          <w:i/>
        </w:rPr>
        <w:t xml:space="preserve"> </w:t>
      </w:r>
      <w:r w:rsidR="0055419D" w:rsidRPr="00355EE6">
        <w:rPr>
          <w:i/>
        </w:rPr>
        <w:t xml:space="preserve">v </w:t>
      </w:r>
      <w:proofErr w:type="spellStart"/>
      <w:r w:rsidR="0055419D" w:rsidRPr="00355EE6">
        <w:rPr>
          <w:i/>
        </w:rPr>
        <w:t>Belarusi</w:t>
      </w:r>
      <w:proofErr w:type="spellEnd"/>
      <w:r w:rsidR="008478AF">
        <w:t xml:space="preserve"> (Minsk: </w:t>
      </w:r>
      <w:proofErr w:type="spellStart"/>
      <w:r w:rsidR="008478AF">
        <w:t>Mastatskai</w:t>
      </w:r>
      <w:r w:rsidR="0055419D">
        <w:t>a</w:t>
      </w:r>
      <w:proofErr w:type="spellEnd"/>
      <w:r w:rsidR="0055419D">
        <w:t xml:space="preserve"> </w:t>
      </w:r>
      <w:proofErr w:type="spellStart"/>
      <w:r w:rsidR="0055419D">
        <w:t>litaratura</w:t>
      </w:r>
      <w:proofErr w:type="spellEnd"/>
      <w:r w:rsidR="0055419D">
        <w:t>, 1995</w:t>
      </w:r>
      <w:r w:rsidR="008478AF">
        <w:t>)</w:t>
      </w:r>
      <w:r w:rsidR="0055419D">
        <w:t xml:space="preserve">; </w:t>
      </w:r>
      <w:proofErr w:type="spellStart"/>
      <w:r w:rsidR="0055419D">
        <w:t>Emmanuil</w:t>
      </w:r>
      <w:proofErr w:type="spellEnd"/>
      <w:r w:rsidR="0055419D">
        <w:t xml:space="preserve"> </w:t>
      </w:r>
      <w:r w:rsidR="0055419D" w:rsidRPr="001B29AF">
        <w:t xml:space="preserve">IOFFE, </w:t>
      </w:r>
      <w:proofErr w:type="spellStart"/>
      <w:r w:rsidR="0055419D" w:rsidRPr="001B29AF">
        <w:rPr>
          <w:i/>
          <w:iCs/>
        </w:rPr>
        <w:t>Stranitsy</w:t>
      </w:r>
      <w:proofErr w:type="spellEnd"/>
      <w:r w:rsidR="0055419D" w:rsidRPr="001B29AF">
        <w:rPr>
          <w:i/>
          <w:iCs/>
        </w:rPr>
        <w:t xml:space="preserve"> </w:t>
      </w:r>
      <w:proofErr w:type="spellStart"/>
      <w:r w:rsidR="0055419D" w:rsidRPr="001B29AF">
        <w:rPr>
          <w:i/>
          <w:iCs/>
        </w:rPr>
        <w:t>istorii</w:t>
      </w:r>
      <w:proofErr w:type="spellEnd"/>
      <w:r w:rsidR="0055419D" w:rsidRPr="001B29AF">
        <w:rPr>
          <w:i/>
          <w:iCs/>
        </w:rPr>
        <w:t xml:space="preserve"> </w:t>
      </w:r>
      <w:proofErr w:type="spellStart"/>
      <w:r w:rsidR="0055419D" w:rsidRPr="001B29AF">
        <w:rPr>
          <w:i/>
          <w:iCs/>
        </w:rPr>
        <w:t>evreev</w:t>
      </w:r>
      <w:proofErr w:type="spellEnd"/>
      <w:r w:rsidR="0055419D" w:rsidRPr="001B29AF">
        <w:rPr>
          <w:i/>
          <w:iCs/>
        </w:rPr>
        <w:t xml:space="preserve"> </w:t>
      </w:r>
      <w:proofErr w:type="spellStart"/>
      <w:r w:rsidR="0055419D" w:rsidRPr="001B29AF">
        <w:rPr>
          <w:i/>
          <w:iCs/>
        </w:rPr>
        <w:t>Belarusi</w:t>
      </w:r>
      <w:proofErr w:type="spellEnd"/>
      <w:r w:rsidR="0055419D" w:rsidRPr="001B29AF">
        <w:rPr>
          <w:i/>
        </w:rPr>
        <w:t xml:space="preserve"> </w:t>
      </w:r>
      <w:r w:rsidR="0055419D" w:rsidRPr="001B29AF">
        <w:t>(Minsk</w:t>
      </w:r>
      <w:r w:rsidR="007D0526">
        <w:t>:</w:t>
      </w:r>
      <w:r w:rsidR="0055419D" w:rsidRPr="001B29AF">
        <w:t xml:space="preserve"> </w:t>
      </w:r>
      <w:proofErr w:type="spellStart"/>
      <w:r w:rsidR="008478AF">
        <w:t>Arti-Feks</w:t>
      </w:r>
      <w:proofErr w:type="spellEnd"/>
      <w:r w:rsidR="0055419D" w:rsidRPr="001B29AF">
        <w:t>, 1997</w:t>
      </w:r>
      <w:r w:rsidR="008478AF">
        <w:t>)</w:t>
      </w:r>
      <w:r w:rsidR="0055419D">
        <w:t> ;</w:t>
      </w:r>
      <w:r w:rsidR="007D0526">
        <w:t xml:space="preserve"> </w:t>
      </w:r>
      <w:r w:rsidR="008E1AE4">
        <w:t xml:space="preserve">issues of journal </w:t>
      </w:r>
      <w:proofErr w:type="spellStart"/>
      <w:r w:rsidR="008E1AE4">
        <w:rPr>
          <w:i/>
          <w:iCs/>
        </w:rPr>
        <w:t>Evrei</w:t>
      </w:r>
      <w:proofErr w:type="spellEnd"/>
      <w:r w:rsidR="008E1AE4">
        <w:rPr>
          <w:i/>
          <w:iCs/>
        </w:rPr>
        <w:t xml:space="preserve"> </w:t>
      </w:r>
      <w:proofErr w:type="spellStart"/>
      <w:r w:rsidR="008E1AE4">
        <w:rPr>
          <w:i/>
          <w:iCs/>
        </w:rPr>
        <w:t>Belarusi</w:t>
      </w:r>
      <w:proofErr w:type="spellEnd"/>
      <w:r w:rsidR="008E1AE4">
        <w:rPr>
          <w:i/>
          <w:iCs/>
        </w:rPr>
        <w:t xml:space="preserve"> </w:t>
      </w:r>
      <w:r w:rsidR="008E1AE4">
        <w:t xml:space="preserve">edited by Inna </w:t>
      </w:r>
      <w:proofErr w:type="spellStart"/>
      <w:r w:rsidR="008E1AE4">
        <w:t>Gerasimova</w:t>
      </w:r>
      <w:proofErr w:type="spellEnd"/>
      <w:r w:rsidR="008E1AE4">
        <w:t>.</w:t>
      </w:r>
    </w:p>
  </w:endnote>
  <w:endnote w:id="8">
    <w:p w14:paraId="575661C5" w14:textId="60B341D6" w:rsidR="007946D3" w:rsidRDefault="007946D3" w:rsidP="007457C2">
      <w:pPr>
        <w:pStyle w:val="EndnoteText"/>
      </w:pPr>
      <w:r>
        <w:rPr>
          <w:rStyle w:val="EndnoteReference"/>
        </w:rPr>
        <w:endnoteRef/>
      </w:r>
      <w:r>
        <w:t xml:space="preserve"> </w:t>
      </w:r>
      <w:r w:rsidR="006D0850">
        <w:t xml:space="preserve">See for example: Volume 26 </w:t>
      </w:r>
      <w:r w:rsidR="007D0526">
        <w:t xml:space="preserve">of </w:t>
      </w:r>
      <w:proofErr w:type="spellStart"/>
      <w:r w:rsidR="007D0526">
        <w:t>Po</w:t>
      </w:r>
      <w:bookmarkStart w:id="0" w:name="_GoBack"/>
      <w:bookmarkEnd w:id="0"/>
      <w:r w:rsidR="007D0526">
        <w:t>lin</w:t>
      </w:r>
      <w:proofErr w:type="spellEnd"/>
      <w:r w:rsidR="007D0526">
        <w:t xml:space="preserve"> on </w:t>
      </w:r>
      <w:r w:rsidR="006D0850">
        <w:rPr>
          <w:i/>
          <w:iCs/>
        </w:rPr>
        <w:t xml:space="preserve">Jews and Ukrainians, </w:t>
      </w:r>
      <w:r w:rsidR="006D0850">
        <w:t xml:space="preserve">ed. by </w:t>
      </w:r>
      <w:proofErr w:type="spellStart"/>
      <w:r w:rsidR="006D0850">
        <w:t>Yohanan</w:t>
      </w:r>
      <w:proofErr w:type="spellEnd"/>
      <w:r w:rsidR="006D0850">
        <w:t xml:space="preserve"> </w:t>
      </w:r>
      <w:proofErr w:type="spellStart"/>
      <w:r w:rsidR="006D0850">
        <w:t>Petrovsky-Shtern</w:t>
      </w:r>
      <w:proofErr w:type="spellEnd"/>
      <w:r w:rsidR="006D0850">
        <w:t xml:space="preserve"> and Antony </w:t>
      </w:r>
      <w:proofErr w:type="spellStart"/>
      <w:r w:rsidR="006D0850">
        <w:t>Polonsky</w:t>
      </w:r>
      <w:proofErr w:type="spellEnd"/>
      <w:r w:rsidR="006D0850">
        <w:t xml:space="preserve"> (Liverp</w:t>
      </w:r>
      <w:r w:rsidR="008478AF">
        <w:t>ool: Liverpool University Press</w:t>
      </w:r>
      <w:r w:rsidR="006D0850">
        <w:t>, 2013</w:t>
      </w:r>
      <w:r w:rsidR="008478AF">
        <w:t>)</w:t>
      </w:r>
      <w:r w:rsidR="007D0526">
        <w:t>;</w:t>
      </w:r>
      <w:r w:rsidR="007457C2">
        <w:t xml:space="preserve"> </w:t>
      </w:r>
      <w:r w:rsidR="007457C2" w:rsidRPr="007457C2">
        <w:t xml:space="preserve">Paul Robert </w:t>
      </w:r>
      <w:proofErr w:type="spellStart"/>
      <w:r w:rsidR="007457C2" w:rsidRPr="007457C2">
        <w:t>Magocsi</w:t>
      </w:r>
      <w:proofErr w:type="spellEnd"/>
      <w:r w:rsidR="007457C2">
        <w:t xml:space="preserve">, </w:t>
      </w:r>
      <w:proofErr w:type="spellStart"/>
      <w:r w:rsidR="007457C2">
        <w:t>Yohanan</w:t>
      </w:r>
      <w:proofErr w:type="spellEnd"/>
      <w:r w:rsidR="007457C2">
        <w:t xml:space="preserve"> </w:t>
      </w:r>
      <w:proofErr w:type="spellStart"/>
      <w:r w:rsidR="007457C2">
        <w:t>Petrovsky-Shtern</w:t>
      </w:r>
      <w:proofErr w:type="spellEnd"/>
      <w:r w:rsidR="007457C2">
        <w:t>,</w:t>
      </w:r>
      <w:r w:rsidR="007457C2" w:rsidRPr="007457C2">
        <w:t xml:space="preserve"> Jews and Ukrainians: A Millennium of Co-Existence (</w:t>
      </w:r>
      <w:r w:rsidR="007457C2">
        <w:t xml:space="preserve">Toronto: </w:t>
      </w:r>
      <w:r w:rsidR="007457C2" w:rsidRPr="007457C2">
        <w:t>Univ</w:t>
      </w:r>
      <w:r w:rsidR="007457C2">
        <w:t>ersity</w:t>
      </w:r>
      <w:r w:rsidR="007457C2" w:rsidRPr="007457C2">
        <w:t xml:space="preserve"> of Toronto Press, 2016)</w:t>
      </w:r>
      <w:r w:rsidR="007457C2">
        <w:t>;</w:t>
      </w:r>
      <w:r w:rsidR="007D0526">
        <w:t xml:space="preserve"> </w:t>
      </w:r>
      <w:r w:rsidR="006D0850" w:rsidRPr="006D0850">
        <w:rPr>
          <w:i/>
          <w:iCs/>
        </w:rPr>
        <w:t>A pragmatic alliance : Jewish-Lithuanian political cooperation at the beginning of the 20th century</w:t>
      </w:r>
      <w:r w:rsidR="006D0850">
        <w:rPr>
          <w:i/>
          <w:iCs/>
        </w:rPr>
        <w:t xml:space="preserve">, </w:t>
      </w:r>
      <w:r w:rsidR="006D0850" w:rsidRPr="006D0850">
        <w:t xml:space="preserve">edited by </w:t>
      </w:r>
      <w:proofErr w:type="spellStart"/>
      <w:r w:rsidR="006D0850" w:rsidRPr="006D0850">
        <w:t>Vladas</w:t>
      </w:r>
      <w:proofErr w:type="spellEnd"/>
      <w:r w:rsidR="006D0850" w:rsidRPr="006D0850">
        <w:t xml:space="preserve"> </w:t>
      </w:r>
      <w:proofErr w:type="spellStart"/>
      <w:r w:rsidR="006D0850" w:rsidRPr="006D0850">
        <w:t>Sirutavičius</w:t>
      </w:r>
      <w:proofErr w:type="spellEnd"/>
      <w:r w:rsidR="006D0850" w:rsidRPr="006D0850">
        <w:t xml:space="preserve"> and Darius </w:t>
      </w:r>
      <w:proofErr w:type="spellStart"/>
      <w:r w:rsidR="006D0850" w:rsidRPr="006D0850">
        <w:t>Staliūnas</w:t>
      </w:r>
      <w:proofErr w:type="spellEnd"/>
      <w:r w:rsidR="006D0850">
        <w:t xml:space="preserve"> (Budapest: Central European University, 2011</w:t>
      </w:r>
      <w:r w:rsidR="008478AF">
        <w:t>)</w:t>
      </w:r>
      <w:r>
        <w:t xml:space="preserve">; </w:t>
      </w:r>
      <w:r w:rsidR="006D0850" w:rsidRPr="006D0850">
        <w:t>Amelia M. Glaser</w:t>
      </w:r>
      <w:r w:rsidR="006D0850">
        <w:t>,</w:t>
      </w:r>
      <w:r w:rsidR="006D0850" w:rsidRPr="006D0850">
        <w:t xml:space="preserve"> </w:t>
      </w:r>
      <w:r w:rsidR="006D0850" w:rsidRPr="006D0850">
        <w:rPr>
          <w:i/>
          <w:iCs/>
        </w:rPr>
        <w:t>Jews and Ukrainians in Russia's literary borderlands : from the shtetl fair to the Petersburg bookshop</w:t>
      </w:r>
      <w:r w:rsidR="006D0850" w:rsidRPr="006D0850">
        <w:t xml:space="preserve"> </w:t>
      </w:r>
      <w:r w:rsidR="006D0850">
        <w:t>(Evanston</w:t>
      </w:r>
      <w:r w:rsidR="006D0850" w:rsidRPr="006D0850">
        <w:t xml:space="preserve">: </w:t>
      </w:r>
      <w:proofErr w:type="spellStart"/>
      <w:r w:rsidR="006D0850" w:rsidRPr="006D0850">
        <w:t>Northwestern</w:t>
      </w:r>
      <w:proofErr w:type="spellEnd"/>
      <w:r w:rsidR="006D0850" w:rsidRPr="006D0850">
        <w:t xml:space="preserve"> University Press</w:t>
      </w:r>
      <w:r w:rsidR="006D0850">
        <w:t>, 2012</w:t>
      </w:r>
      <w:r w:rsidR="008478AF">
        <w:t>)</w:t>
      </w:r>
      <w:r w:rsidR="006D0850">
        <w:t xml:space="preserve">; </w:t>
      </w:r>
      <w:proofErr w:type="spellStart"/>
      <w:r w:rsidR="006D0850">
        <w:t>Myroslav</w:t>
      </w:r>
      <w:proofErr w:type="spellEnd"/>
      <w:r w:rsidR="006D0850">
        <w:t xml:space="preserve"> </w:t>
      </w:r>
      <w:proofErr w:type="spellStart"/>
      <w:r w:rsidR="006D0850">
        <w:t>Shkandrij</w:t>
      </w:r>
      <w:proofErr w:type="spellEnd"/>
      <w:r w:rsidR="006D0850">
        <w:t xml:space="preserve">, </w:t>
      </w:r>
      <w:r w:rsidR="006D0850" w:rsidRPr="006D0850">
        <w:rPr>
          <w:i/>
          <w:iCs/>
        </w:rPr>
        <w:t>Jews in Ukrainian Literature</w:t>
      </w:r>
      <w:r w:rsidR="006D0850">
        <w:rPr>
          <w:i/>
          <w:iCs/>
        </w:rPr>
        <w:t xml:space="preserve">. </w:t>
      </w:r>
      <w:r w:rsidR="006D0850" w:rsidRPr="006D0850">
        <w:rPr>
          <w:i/>
          <w:iCs/>
        </w:rPr>
        <w:t>Representation and Identity</w:t>
      </w:r>
      <w:r w:rsidR="006D0850">
        <w:rPr>
          <w:i/>
          <w:iCs/>
        </w:rPr>
        <w:t xml:space="preserve"> </w:t>
      </w:r>
      <w:r w:rsidR="006D0850">
        <w:t>(Yale University Press, 2009</w:t>
      </w:r>
      <w:r w:rsidR="008478AF">
        <w:t>)</w:t>
      </w:r>
      <w:r w:rsidR="006D0850">
        <w:t>.</w:t>
      </w:r>
    </w:p>
  </w:endnote>
  <w:endnote w:id="9">
    <w:p w14:paraId="27F19C2F" w14:textId="577751D2" w:rsidR="003035B0" w:rsidRPr="00B63255" w:rsidRDefault="003035B0" w:rsidP="008478AF">
      <w:pPr>
        <w:pStyle w:val="EndnoteText"/>
      </w:pPr>
      <w:r>
        <w:rPr>
          <w:rStyle w:val="EndnoteReference"/>
        </w:rPr>
        <w:endnoteRef/>
      </w:r>
      <w:r w:rsidR="006D0850">
        <w:t xml:space="preserve"> </w:t>
      </w:r>
      <w:r w:rsidR="00155954">
        <w:t>See for example the v</w:t>
      </w:r>
      <w:r w:rsidR="006D0850">
        <w:t>olume 12</w:t>
      </w:r>
      <w:r w:rsidR="00EB46F0">
        <w:t xml:space="preserve"> of </w:t>
      </w:r>
      <w:proofErr w:type="spellStart"/>
      <w:r w:rsidR="00EB46F0">
        <w:t>Polin</w:t>
      </w:r>
      <w:proofErr w:type="spellEnd"/>
      <w:r w:rsidR="00EB46F0">
        <w:t xml:space="preserve"> </w:t>
      </w:r>
      <w:r w:rsidR="00EB46F0">
        <w:rPr>
          <w:i/>
          <w:iCs/>
        </w:rPr>
        <w:t>Focusing on Galicia:</w:t>
      </w:r>
      <w:r w:rsidR="006D0850">
        <w:rPr>
          <w:i/>
          <w:iCs/>
        </w:rPr>
        <w:t xml:space="preserve"> </w:t>
      </w:r>
      <w:r w:rsidR="00EB46F0">
        <w:rPr>
          <w:i/>
          <w:iCs/>
        </w:rPr>
        <w:t xml:space="preserve">Jews, Poles and Ukrainians, 1772-1918, </w:t>
      </w:r>
      <w:r w:rsidR="00EB46F0">
        <w:t xml:space="preserve">ed. by Antony </w:t>
      </w:r>
      <w:proofErr w:type="spellStart"/>
      <w:r w:rsidR="00EB46F0">
        <w:t>Polonsky</w:t>
      </w:r>
      <w:proofErr w:type="spellEnd"/>
      <w:r w:rsidR="00EB46F0">
        <w:t xml:space="preserve"> and Israel </w:t>
      </w:r>
      <w:proofErr w:type="spellStart"/>
      <w:r w:rsidR="00EB46F0">
        <w:t>Bartal</w:t>
      </w:r>
      <w:proofErr w:type="spellEnd"/>
      <w:r w:rsidR="00EB46F0">
        <w:t xml:space="preserve"> (London: Littman Library of Jewish Civilization, 2009</w:t>
      </w:r>
      <w:r w:rsidR="008478AF">
        <w:t>)</w:t>
      </w:r>
      <w:r w:rsidR="00EB46F0">
        <w:t xml:space="preserve">; or </w:t>
      </w:r>
      <w:r w:rsidR="006D0850">
        <w:t xml:space="preserve">volume 25 </w:t>
      </w:r>
      <w:r w:rsidR="00EB46F0">
        <w:t xml:space="preserve">on </w:t>
      </w:r>
      <w:r w:rsidR="00EB46F0">
        <w:rPr>
          <w:i/>
          <w:iCs/>
        </w:rPr>
        <w:t xml:space="preserve">Jews in the former Grand Duchy of Lithuania since 1772, </w:t>
      </w:r>
      <w:r w:rsidR="00EB46F0">
        <w:t xml:space="preserve">ed. by ChaeRan Y. Freeze, </w:t>
      </w:r>
      <w:proofErr w:type="spellStart"/>
      <w:r w:rsidR="00EB46F0">
        <w:t>Šarūnas</w:t>
      </w:r>
      <w:proofErr w:type="spellEnd"/>
      <w:r w:rsidR="00EB46F0">
        <w:t xml:space="preserve"> </w:t>
      </w:r>
      <w:proofErr w:type="spellStart"/>
      <w:r w:rsidR="00EB46F0">
        <w:t>Liekis</w:t>
      </w:r>
      <w:proofErr w:type="spellEnd"/>
      <w:r w:rsidR="00EB46F0">
        <w:t xml:space="preserve"> and Antony </w:t>
      </w:r>
      <w:proofErr w:type="spellStart"/>
      <w:r w:rsidR="00EB46F0">
        <w:t>Polonsky</w:t>
      </w:r>
      <w:proofErr w:type="spellEnd"/>
      <w:r w:rsidR="00EB46F0">
        <w:t xml:space="preserve"> (London: Littman Library of Jewish Civilization</w:t>
      </w:r>
      <w:r w:rsidR="00155954">
        <w:t>, 2012</w:t>
      </w:r>
      <w:r w:rsidR="008478AF">
        <w:t>)</w:t>
      </w:r>
      <w:r w:rsidR="00155954">
        <w:t>.</w:t>
      </w:r>
    </w:p>
  </w:endnote>
  <w:endnote w:id="10">
    <w:p w14:paraId="7B0173D6" w14:textId="65942E21" w:rsidR="002515AA" w:rsidRPr="00F536F4" w:rsidRDefault="002515AA" w:rsidP="008A1D8C">
      <w:pPr>
        <w:pStyle w:val="EndnoteText"/>
      </w:pPr>
      <w:r>
        <w:rPr>
          <w:rStyle w:val="EndnoteReference"/>
        </w:rPr>
        <w:endnoteRef/>
      </w:r>
      <w:r w:rsidRPr="00B63255">
        <w:t xml:space="preserve"> </w:t>
      </w:r>
      <w:r w:rsidR="00F536F4">
        <w:t xml:space="preserve">See for example </w:t>
      </w:r>
      <w:proofErr w:type="spellStart"/>
      <w:r w:rsidR="00F536F4">
        <w:t>Šarūnas</w:t>
      </w:r>
      <w:proofErr w:type="spellEnd"/>
      <w:r w:rsidR="00F536F4">
        <w:t xml:space="preserve"> </w:t>
      </w:r>
      <w:proofErr w:type="spellStart"/>
      <w:r w:rsidR="00155954">
        <w:t>Liekis</w:t>
      </w:r>
      <w:proofErr w:type="spellEnd"/>
      <w:r w:rsidR="00155954">
        <w:t xml:space="preserve">, </w:t>
      </w:r>
      <w:r w:rsidR="00155954" w:rsidRPr="00F536F4">
        <w:rPr>
          <w:i/>
          <w:iCs/>
        </w:rPr>
        <w:t>A state within a state? Jewish autonomy in</w:t>
      </w:r>
      <w:r w:rsidR="00F536F4" w:rsidRPr="00F536F4">
        <w:rPr>
          <w:i/>
          <w:iCs/>
        </w:rPr>
        <w:t xml:space="preserve"> Lithuania, 1918-1925</w:t>
      </w:r>
      <w:r w:rsidR="00F536F4">
        <w:t xml:space="preserve"> (Vilnius: Versus Aureus, </w:t>
      </w:r>
      <w:r w:rsidR="00155954">
        <w:t xml:space="preserve">2003); Staliunas (ed.), </w:t>
      </w:r>
      <w:r w:rsidR="00155954">
        <w:rPr>
          <w:i/>
          <w:iCs/>
        </w:rPr>
        <w:t xml:space="preserve">The vanished world of Lithuanian Jews </w:t>
      </w:r>
      <w:r w:rsidR="00F536F4">
        <w:t>(Amsterdam, 2004)</w:t>
      </w:r>
      <w:r w:rsidRPr="00B63255">
        <w:t>;</w:t>
      </w:r>
      <w:r w:rsidR="00F536F4">
        <w:t xml:space="preserve"> volume 25 of </w:t>
      </w:r>
      <w:proofErr w:type="spellStart"/>
      <w:r w:rsidR="00F536F4">
        <w:t>Polin</w:t>
      </w:r>
      <w:proofErr w:type="spellEnd"/>
      <w:r w:rsidR="00F536F4">
        <w:t xml:space="preserve"> on </w:t>
      </w:r>
      <w:r w:rsidR="00F536F4">
        <w:rPr>
          <w:i/>
          <w:iCs/>
        </w:rPr>
        <w:t xml:space="preserve">Jews in the former Grand Duchy; </w:t>
      </w:r>
      <w:r w:rsidR="00F536F4">
        <w:t xml:space="preserve">Darius </w:t>
      </w:r>
      <w:proofErr w:type="spellStart"/>
      <w:r w:rsidR="00F536F4" w:rsidRPr="00F536F4">
        <w:t>Staliūnas</w:t>
      </w:r>
      <w:proofErr w:type="spellEnd"/>
      <w:r w:rsidR="00F536F4" w:rsidRPr="00F536F4">
        <w:t xml:space="preserve">, </w:t>
      </w:r>
      <w:r w:rsidR="00F536F4" w:rsidRPr="00F536F4">
        <w:rPr>
          <w:i/>
          <w:iCs/>
        </w:rPr>
        <w:t>Enemies for a day : antisemitism and anti-Jewish violence in Russian-ruled Lithuania</w:t>
      </w:r>
      <w:r w:rsidR="00F536F4">
        <w:rPr>
          <w:i/>
          <w:iCs/>
        </w:rPr>
        <w:t xml:space="preserve"> </w:t>
      </w:r>
      <w:r w:rsidR="00F536F4">
        <w:t>(</w:t>
      </w:r>
      <w:r w:rsidR="00F536F4" w:rsidRPr="00F536F4">
        <w:t xml:space="preserve">Budapest : Central </w:t>
      </w:r>
      <w:r w:rsidR="00F536F4">
        <w:t xml:space="preserve">European University Press, 2015); </w:t>
      </w:r>
      <w:proofErr w:type="spellStart"/>
      <w:r w:rsidR="00F536F4" w:rsidRPr="00F536F4">
        <w:t>Dovid</w:t>
      </w:r>
      <w:proofErr w:type="spellEnd"/>
      <w:r w:rsidR="00F536F4" w:rsidRPr="00F536F4">
        <w:t xml:space="preserve"> Katz,</w:t>
      </w:r>
      <w:r w:rsidR="00F536F4">
        <w:t xml:space="preserve"> </w:t>
      </w:r>
      <w:r w:rsidR="00F536F4" w:rsidRPr="00F536F4">
        <w:rPr>
          <w:i/>
          <w:iCs/>
        </w:rPr>
        <w:t>Lithuanian Jewish culture</w:t>
      </w:r>
      <w:r w:rsidR="00F536F4" w:rsidRPr="00F536F4">
        <w:t xml:space="preserve"> </w:t>
      </w:r>
      <w:r w:rsidR="00F536F4">
        <w:t>(</w:t>
      </w:r>
      <w:r w:rsidR="00F536F4" w:rsidRPr="00F536F4">
        <w:t xml:space="preserve">Vilnius : </w:t>
      </w:r>
      <w:proofErr w:type="spellStart"/>
      <w:r w:rsidR="00F536F4" w:rsidRPr="00F536F4">
        <w:t>Baltos</w:t>
      </w:r>
      <w:proofErr w:type="spellEnd"/>
      <w:r w:rsidR="00F536F4" w:rsidRPr="00F536F4">
        <w:t xml:space="preserve"> </w:t>
      </w:r>
      <w:proofErr w:type="spellStart"/>
      <w:r w:rsidR="00F536F4" w:rsidRPr="00F536F4">
        <w:t>Lankos</w:t>
      </w:r>
      <w:proofErr w:type="spellEnd"/>
      <w:r w:rsidR="00F536F4" w:rsidRPr="00F536F4">
        <w:t>, 2010</w:t>
      </w:r>
      <w:r w:rsidR="008A1D8C">
        <w:t>)</w:t>
      </w:r>
      <w:r w:rsidR="00F536F4" w:rsidRPr="00F536F4">
        <w:t>.</w:t>
      </w:r>
    </w:p>
  </w:endnote>
  <w:endnote w:id="11">
    <w:p w14:paraId="01C5E4DD" w14:textId="4F467A35" w:rsidR="002515AA" w:rsidRPr="00B63255" w:rsidRDefault="002515AA" w:rsidP="00DD2194">
      <w:pPr>
        <w:pStyle w:val="EndnoteText"/>
      </w:pPr>
      <w:r>
        <w:rPr>
          <w:rStyle w:val="EndnoteReference"/>
        </w:rPr>
        <w:endnoteRef/>
      </w:r>
      <w:r w:rsidRPr="00B63255">
        <w:t xml:space="preserve"> </w:t>
      </w:r>
      <w:r w:rsidR="00DD2194">
        <w:t xml:space="preserve">Apart from the above mentioned work by </w:t>
      </w:r>
      <w:r w:rsidRPr="00B63255">
        <w:t xml:space="preserve">Glaser, </w:t>
      </w:r>
      <w:proofErr w:type="spellStart"/>
      <w:r w:rsidRPr="00B63255">
        <w:t>Shkandrii</w:t>
      </w:r>
      <w:proofErr w:type="spellEnd"/>
      <w:r w:rsidR="00DD2194">
        <w:t xml:space="preserve"> and </w:t>
      </w:r>
      <w:proofErr w:type="spellStart"/>
      <w:r w:rsidR="00DD2194">
        <w:t>Petrovsky-Shtern</w:t>
      </w:r>
      <w:proofErr w:type="spellEnd"/>
      <w:r w:rsidR="00DD2194">
        <w:t xml:space="preserve">, see also </w:t>
      </w:r>
      <w:r w:rsidR="00DD2194" w:rsidRPr="00432952">
        <w:t xml:space="preserve">Alfred Abraham </w:t>
      </w:r>
      <w:proofErr w:type="spellStart"/>
      <w:r w:rsidR="00DD2194" w:rsidRPr="00432952">
        <w:t>Greenbaum</w:t>
      </w:r>
      <w:proofErr w:type="spellEnd"/>
      <w:r w:rsidR="00DD2194" w:rsidRPr="00432952">
        <w:t xml:space="preserve">, </w:t>
      </w:r>
      <w:r w:rsidR="00DD2194" w:rsidRPr="00432952">
        <w:rPr>
          <w:i/>
        </w:rPr>
        <w:t>Jewish Scholarship and Scholarly Institutions in Soviet Russia, 1918-1953</w:t>
      </w:r>
      <w:r w:rsidR="00DD2194" w:rsidRPr="00432952">
        <w:t xml:space="preserve"> (Jerusalem: Hebrew</w:t>
      </w:r>
      <w:r w:rsidR="00DD2194">
        <w:t xml:space="preserve"> University of Jerusalem, 1978) and </w:t>
      </w:r>
      <w:proofErr w:type="spellStart"/>
      <w:r w:rsidR="00DD2194" w:rsidRPr="00432952">
        <w:rPr>
          <w:color w:val="000000"/>
          <w:shd w:val="clear" w:color="auto" w:fill="FFFFFF"/>
        </w:rPr>
        <w:t>Viktoriia</w:t>
      </w:r>
      <w:proofErr w:type="spellEnd"/>
      <w:r w:rsidR="00DD2194" w:rsidRPr="00432952">
        <w:rPr>
          <w:color w:val="000000"/>
          <w:shd w:val="clear" w:color="auto" w:fill="FFFFFF"/>
        </w:rPr>
        <w:t xml:space="preserve"> Khiterer, “Documents of the Jewish Historical-</w:t>
      </w:r>
      <w:proofErr w:type="spellStart"/>
      <w:r w:rsidR="00DD2194" w:rsidRPr="00432952">
        <w:rPr>
          <w:color w:val="000000"/>
          <w:shd w:val="clear" w:color="auto" w:fill="FFFFFF"/>
        </w:rPr>
        <w:t>Archaeographical</w:t>
      </w:r>
      <w:proofErr w:type="spellEnd"/>
      <w:r w:rsidR="00DD2194" w:rsidRPr="00432952">
        <w:rPr>
          <w:color w:val="000000"/>
          <w:shd w:val="clear" w:color="auto" w:fill="FFFFFF"/>
        </w:rPr>
        <w:t xml:space="preserve"> Commission, 1919–1929,”</w:t>
      </w:r>
      <w:r w:rsidR="00DD2194" w:rsidRPr="00432952">
        <w:rPr>
          <w:rStyle w:val="apple-converted-space"/>
          <w:color w:val="000000"/>
          <w:shd w:val="clear" w:color="auto" w:fill="FFFFFF"/>
        </w:rPr>
        <w:t> </w:t>
      </w:r>
      <w:r w:rsidR="00DD2194" w:rsidRPr="00432952">
        <w:rPr>
          <w:i/>
          <w:iCs/>
          <w:color w:val="000000"/>
          <w:shd w:val="clear" w:color="auto" w:fill="FFFFFF"/>
        </w:rPr>
        <w:t>East European Jewish Affairs</w:t>
      </w:r>
      <w:r w:rsidR="00DD2194" w:rsidRPr="00432952">
        <w:rPr>
          <w:rStyle w:val="apple-converted-space"/>
          <w:color w:val="000000"/>
          <w:shd w:val="clear" w:color="auto" w:fill="FFFFFF"/>
        </w:rPr>
        <w:t> </w:t>
      </w:r>
      <w:r w:rsidR="00DD2194" w:rsidRPr="00432952">
        <w:rPr>
          <w:color w:val="000000"/>
          <w:shd w:val="clear" w:color="auto" w:fill="FFFFFF"/>
        </w:rPr>
        <w:t>23.2 (1993): 73–77</w:t>
      </w:r>
      <w:r w:rsidR="00DD2194">
        <w:rPr>
          <w:color w:val="000000"/>
          <w:shd w:val="clear" w:color="auto" w:fill="FFFFFF"/>
        </w:rPr>
        <w:t>.</w:t>
      </w:r>
    </w:p>
  </w:endnote>
  <w:endnote w:id="12">
    <w:p w14:paraId="1FE9992D" w14:textId="20079FE6" w:rsidR="002515AA" w:rsidRDefault="002515AA" w:rsidP="007457C2">
      <w:pPr>
        <w:pStyle w:val="EndnoteText"/>
      </w:pPr>
      <w:r>
        <w:rPr>
          <w:rStyle w:val="EndnoteReference"/>
        </w:rPr>
        <w:endnoteRef/>
      </w:r>
      <w:r w:rsidR="00DD2194" w:rsidRPr="00DD2194">
        <w:t xml:space="preserve"> </w:t>
      </w:r>
      <w:r w:rsidR="008A1D8C">
        <w:t xml:space="preserve">Per Anders Rudling, </w:t>
      </w:r>
      <w:r w:rsidR="008A1D8C">
        <w:rPr>
          <w:i/>
          <w:iCs/>
        </w:rPr>
        <w:t>T</w:t>
      </w:r>
      <w:r w:rsidR="008A1D8C" w:rsidRPr="008A1D8C">
        <w:rPr>
          <w:i/>
          <w:iCs/>
        </w:rPr>
        <w:t xml:space="preserve">he Rise and Fall of Belarusian Nationalism, 1906–1931 </w:t>
      </w:r>
      <w:r w:rsidR="008A1D8C">
        <w:t xml:space="preserve">(Pittsburgh: University of Pittsburgh press, 2014); </w:t>
      </w:r>
      <w:r w:rsidR="00DD2194">
        <w:t xml:space="preserve">Olga </w:t>
      </w:r>
      <w:proofErr w:type="spellStart"/>
      <w:r w:rsidR="00DD2194">
        <w:t>Sobolevskaya</w:t>
      </w:r>
      <w:proofErr w:type="spellEnd"/>
      <w:r w:rsidR="00DD2194">
        <w:t xml:space="preserve">, </w:t>
      </w:r>
      <w:proofErr w:type="spellStart"/>
      <w:r w:rsidR="00DD2194">
        <w:rPr>
          <w:i/>
          <w:iCs/>
        </w:rPr>
        <w:t>Povsednevnaia</w:t>
      </w:r>
      <w:proofErr w:type="spellEnd"/>
      <w:r w:rsidR="00DD2194">
        <w:rPr>
          <w:i/>
          <w:iCs/>
        </w:rPr>
        <w:t xml:space="preserve"> </w:t>
      </w:r>
      <w:proofErr w:type="spellStart"/>
      <w:r w:rsidR="00DD2194">
        <w:rPr>
          <w:i/>
          <w:iCs/>
        </w:rPr>
        <w:t>zhizn</w:t>
      </w:r>
      <w:proofErr w:type="spellEnd"/>
      <w:r w:rsidR="00DD2194">
        <w:rPr>
          <w:i/>
          <w:iCs/>
        </w:rPr>
        <w:t xml:space="preserve"> </w:t>
      </w:r>
      <w:proofErr w:type="spellStart"/>
      <w:r w:rsidR="00DD2194">
        <w:rPr>
          <w:i/>
          <w:iCs/>
        </w:rPr>
        <w:t>evreev</w:t>
      </w:r>
      <w:proofErr w:type="spellEnd"/>
      <w:r w:rsidR="00DD2194">
        <w:rPr>
          <w:i/>
          <w:iCs/>
        </w:rPr>
        <w:t xml:space="preserve"> </w:t>
      </w:r>
      <w:proofErr w:type="spellStart"/>
      <w:r w:rsidR="00DD2194">
        <w:rPr>
          <w:i/>
          <w:iCs/>
        </w:rPr>
        <w:t>Belarusi</w:t>
      </w:r>
      <w:proofErr w:type="spellEnd"/>
      <w:r w:rsidR="00DD2194">
        <w:rPr>
          <w:i/>
          <w:iCs/>
        </w:rPr>
        <w:t xml:space="preserve"> v </w:t>
      </w:r>
      <w:proofErr w:type="spellStart"/>
      <w:r w:rsidR="00DD2194">
        <w:rPr>
          <w:i/>
          <w:iCs/>
        </w:rPr>
        <w:t>kontse</w:t>
      </w:r>
      <w:proofErr w:type="spellEnd"/>
      <w:r w:rsidR="00DD2194">
        <w:rPr>
          <w:i/>
          <w:iCs/>
        </w:rPr>
        <w:t xml:space="preserve"> XVIII – </w:t>
      </w:r>
      <w:proofErr w:type="spellStart"/>
      <w:r w:rsidR="00DD2194">
        <w:rPr>
          <w:i/>
          <w:iCs/>
        </w:rPr>
        <w:t>pervoi</w:t>
      </w:r>
      <w:proofErr w:type="spellEnd"/>
      <w:r w:rsidR="00DD2194">
        <w:rPr>
          <w:i/>
          <w:iCs/>
        </w:rPr>
        <w:t xml:space="preserve"> </w:t>
      </w:r>
      <w:proofErr w:type="spellStart"/>
      <w:r w:rsidR="00DD2194">
        <w:rPr>
          <w:i/>
          <w:iCs/>
        </w:rPr>
        <w:t>polovine</w:t>
      </w:r>
      <w:proofErr w:type="spellEnd"/>
      <w:r w:rsidR="00DD2194">
        <w:rPr>
          <w:i/>
          <w:iCs/>
        </w:rPr>
        <w:t xml:space="preserve"> XIX </w:t>
      </w:r>
      <w:proofErr w:type="spellStart"/>
      <w:r w:rsidR="00DD2194">
        <w:rPr>
          <w:i/>
          <w:iCs/>
        </w:rPr>
        <w:t>veka</w:t>
      </w:r>
      <w:proofErr w:type="spellEnd"/>
      <w:r w:rsidR="00DD2194">
        <w:rPr>
          <w:i/>
          <w:iCs/>
        </w:rPr>
        <w:t xml:space="preserve"> </w:t>
      </w:r>
      <w:r w:rsidR="008E1AE4">
        <w:t>(Grodno: GRGU, 2012); Ina</w:t>
      </w:r>
      <w:r w:rsidR="00DD2194">
        <w:t xml:space="preserve"> </w:t>
      </w:r>
      <w:proofErr w:type="spellStart"/>
      <w:r w:rsidR="008E1AE4">
        <w:t>Sor</w:t>
      </w:r>
      <w:r>
        <w:t>kina</w:t>
      </w:r>
      <w:proofErr w:type="spellEnd"/>
      <w:r w:rsidR="008E1AE4">
        <w:t xml:space="preserve">, </w:t>
      </w:r>
      <w:proofErr w:type="spellStart"/>
      <w:r w:rsidR="008E1AE4">
        <w:rPr>
          <w:i/>
          <w:iCs/>
        </w:rPr>
        <w:t>Miastechki</w:t>
      </w:r>
      <w:proofErr w:type="spellEnd"/>
      <w:r w:rsidR="008E1AE4">
        <w:rPr>
          <w:i/>
          <w:iCs/>
        </w:rPr>
        <w:t xml:space="preserve"> </w:t>
      </w:r>
      <w:proofErr w:type="spellStart"/>
      <w:r w:rsidR="008E1AE4">
        <w:rPr>
          <w:i/>
          <w:iCs/>
        </w:rPr>
        <w:t>Belarusi</w:t>
      </w:r>
      <w:proofErr w:type="spellEnd"/>
      <w:r w:rsidR="008E1AE4">
        <w:rPr>
          <w:i/>
          <w:iCs/>
        </w:rPr>
        <w:t xml:space="preserve"> u </w:t>
      </w:r>
      <w:proofErr w:type="spellStart"/>
      <w:r w:rsidR="008E1AE4">
        <w:rPr>
          <w:i/>
          <w:iCs/>
        </w:rPr>
        <w:t>kantsy</w:t>
      </w:r>
      <w:proofErr w:type="spellEnd"/>
      <w:r w:rsidR="008E1AE4">
        <w:rPr>
          <w:i/>
          <w:iCs/>
        </w:rPr>
        <w:t xml:space="preserve"> XVIII – </w:t>
      </w:r>
      <w:proofErr w:type="spellStart"/>
      <w:r w:rsidR="008E1AE4">
        <w:rPr>
          <w:i/>
          <w:iCs/>
        </w:rPr>
        <w:t>pershai</w:t>
      </w:r>
      <w:proofErr w:type="spellEnd"/>
      <w:r w:rsidR="008E1AE4">
        <w:rPr>
          <w:i/>
          <w:iCs/>
        </w:rPr>
        <w:t xml:space="preserve"> </w:t>
      </w:r>
      <w:proofErr w:type="spellStart"/>
      <w:r w:rsidR="008E1AE4">
        <w:rPr>
          <w:i/>
          <w:iCs/>
        </w:rPr>
        <w:t>palove</w:t>
      </w:r>
      <w:proofErr w:type="spellEnd"/>
      <w:r w:rsidR="008E1AE4">
        <w:rPr>
          <w:i/>
          <w:iCs/>
        </w:rPr>
        <w:t xml:space="preserve"> XIX </w:t>
      </w:r>
      <w:proofErr w:type="spellStart"/>
      <w:r w:rsidR="008E1AE4">
        <w:rPr>
          <w:i/>
          <w:iCs/>
        </w:rPr>
        <w:t>st.</w:t>
      </w:r>
      <w:proofErr w:type="spellEnd"/>
      <w:r w:rsidR="008E1AE4">
        <w:rPr>
          <w:i/>
          <w:iCs/>
        </w:rPr>
        <w:t xml:space="preserve"> </w:t>
      </w:r>
      <w:r w:rsidR="008E1AE4">
        <w:t>(Vilnius: EHU, 2010)</w:t>
      </w:r>
      <w:r>
        <w:t xml:space="preserve">; </w:t>
      </w:r>
      <w:r w:rsidR="008E1AE4">
        <w:t xml:space="preserve">Journal </w:t>
      </w:r>
      <w:proofErr w:type="spellStart"/>
      <w:r w:rsidRPr="008E1AE4">
        <w:rPr>
          <w:i/>
          <w:iCs/>
        </w:rPr>
        <w:t>Tsaytshrift</w:t>
      </w:r>
      <w:proofErr w:type="spellEnd"/>
      <w:r w:rsidR="008E1AE4">
        <w:rPr>
          <w:i/>
          <w:iCs/>
        </w:rPr>
        <w:t xml:space="preserve"> </w:t>
      </w:r>
      <w:r w:rsidR="008E1AE4">
        <w:t>edited at the European Humanities University since 2011</w:t>
      </w:r>
      <w:r>
        <w:t xml:space="preserve">; series of shtetl books </w:t>
      </w:r>
      <w:r w:rsidR="008E1AE4">
        <w:t xml:space="preserve">published by </w:t>
      </w:r>
      <w:r w:rsidR="007457C2">
        <w:t>t</w:t>
      </w:r>
      <w:r w:rsidR="007457C2">
        <w:t xml:space="preserve">he Moscow SEFER </w:t>
      </w:r>
      <w:proofErr w:type="spellStart"/>
      <w:r w:rsidR="007457C2">
        <w:t>Center</w:t>
      </w:r>
      <w:proofErr w:type="spellEnd"/>
      <w:r w:rsidR="007457C2">
        <w:t xml:space="preserve"> for University Teaching of Jewish Civilization</w:t>
      </w:r>
      <w:r w:rsidR="007457C2">
        <w:t xml:space="preserve"> on Belarus</w:t>
      </w:r>
      <w:r w:rsidR="008E1AE4">
        <w:t>ian shtetls (</w:t>
      </w:r>
      <w:proofErr w:type="spellStart"/>
      <w:r w:rsidR="007457C2">
        <w:t>Zheludok</w:t>
      </w:r>
      <w:proofErr w:type="spellEnd"/>
      <w:r w:rsidR="007457C2">
        <w:t xml:space="preserve">, Lepel, </w:t>
      </w:r>
      <w:proofErr w:type="spellStart"/>
      <w:r w:rsidR="007457C2">
        <w:t>Glubokoe</w:t>
      </w:r>
      <w:proofErr w:type="spellEnd"/>
      <w:r w:rsidR="008E1AE4">
        <w:t>)</w:t>
      </w:r>
      <w:r w:rsidR="007D0526">
        <w:t xml:space="preserve">; Special Jewish </w:t>
      </w:r>
      <w:r w:rsidR="008E1AE4">
        <w:t>i</w:t>
      </w:r>
      <w:r w:rsidR="007D0526">
        <w:t xml:space="preserve">ssue of </w:t>
      </w:r>
      <w:r w:rsidR="007D0526">
        <w:rPr>
          <w:i/>
          <w:iCs/>
        </w:rPr>
        <w:t>Belarusian Review</w:t>
      </w:r>
      <w:r w:rsidR="007D0526">
        <w:t>, 2016</w:t>
      </w:r>
      <w:r w:rsidR="008E1AE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91648" w14:textId="77777777" w:rsidR="00233248" w:rsidRDefault="00233248" w:rsidP="006F52E7">
      <w:pPr>
        <w:spacing w:after="0" w:line="240" w:lineRule="auto"/>
      </w:pPr>
      <w:r>
        <w:separator/>
      </w:r>
    </w:p>
  </w:footnote>
  <w:footnote w:type="continuationSeparator" w:id="0">
    <w:p w14:paraId="72FA1A92" w14:textId="77777777" w:rsidR="00233248" w:rsidRDefault="00233248" w:rsidP="006F52E7">
      <w:pPr>
        <w:spacing w:after="0" w:line="240" w:lineRule="auto"/>
      </w:pPr>
      <w:r>
        <w:continuationSeparator/>
      </w:r>
    </w:p>
  </w:footnote>
  <w:footnote w:type="continuationNotice" w:id="1">
    <w:p w14:paraId="76229E68" w14:textId="77777777" w:rsidR="00233248" w:rsidRDefault="0023324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7B6"/>
    <w:multiLevelType w:val="hybridMultilevel"/>
    <w:tmpl w:val="DC508180"/>
    <w:lvl w:ilvl="0" w:tplc="19C643A8">
      <w:numFmt w:val="bullet"/>
      <w:lvlText w:val=""/>
      <w:lvlJc w:val="left"/>
      <w:pPr>
        <w:ind w:left="720" w:hanging="360"/>
      </w:pPr>
      <w:rPr>
        <w:rFonts w:ascii="Wingdings" w:eastAsiaTheme="min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7"/>
    <w:rsid w:val="00035349"/>
    <w:rsid w:val="00035638"/>
    <w:rsid w:val="0004180A"/>
    <w:rsid w:val="00054D73"/>
    <w:rsid w:val="000743C4"/>
    <w:rsid w:val="0009317F"/>
    <w:rsid w:val="000A6A33"/>
    <w:rsid w:val="000B258C"/>
    <w:rsid w:val="000F2B05"/>
    <w:rsid w:val="00115CDB"/>
    <w:rsid w:val="00155954"/>
    <w:rsid w:val="00163FB7"/>
    <w:rsid w:val="00191A75"/>
    <w:rsid w:val="001A037B"/>
    <w:rsid w:val="001A361A"/>
    <w:rsid w:val="001C54BD"/>
    <w:rsid w:val="001F71FB"/>
    <w:rsid w:val="00203719"/>
    <w:rsid w:val="00233248"/>
    <w:rsid w:val="002515AA"/>
    <w:rsid w:val="002757BB"/>
    <w:rsid w:val="003035B0"/>
    <w:rsid w:val="0032684C"/>
    <w:rsid w:val="003517BE"/>
    <w:rsid w:val="003A4EAE"/>
    <w:rsid w:val="003D6487"/>
    <w:rsid w:val="003E6EAD"/>
    <w:rsid w:val="00471E8F"/>
    <w:rsid w:val="00486223"/>
    <w:rsid w:val="00491684"/>
    <w:rsid w:val="004D635C"/>
    <w:rsid w:val="004E43F8"/>
    <w:rsid w:val="004F7AA4"/>
    <w:rsid w:val="005013EC"/>
    <w:rsid w:val="00511F48"/>
    <w:rsid w:val="0055419D"/>
    <w:rsid w:val="005D03CB"/>
    <w:rsid w:val="005D7FE8"/>
    <w:rsid w:val="006620E8"/>
    <w:rsid w:val="006775C1"/>
    <w:rsid w:val="006A307C"/>
    <w:rsid w:val="006D0850"/>
    <w:rsid w:val="006F52E7"/>
    <w:rsid w:val="00721D21"/>
    <w:rsid w:val="007457C2"/>
    <w:rsid w:val="00786C75"/>
    <w:rsid w:val="007946D3"/>
    <w:rsid w:val="007D0526"/>
    <w:rsid w:val="00804485"/>
    <w:rsid w:val="00812ADA"/>
    <w:rsid w:val="008478AF"/>
    <w:rsid w:val="00883C91"/>
    <w:rsid w:val="008906B6"/>
    <w:rsid w:val="008A1D8C"/>
    <w:rsid w:val="008D276D"/>
    <w:rsid w:val="008E1AE4"/>
    <w:rsid w:val="008E219F"/>
    <w:rsid w:val="008F1845"/>
    <w:rsid w:val="00946286"/>
    <w:rsid w:val="0095092B"/>
    <w:rsid w:val="0095576E"/>
    <w:rsid w:val="009627F7"/>
    <w:rsid w:val="009F2D9E"/>
    <w:rsid w:val="00A10B73"/>
    <w:rsid w:val="00A130AE"/>
    <w:rsid w:val="00A52C7E"/>
    <w:rsid w:val="00A57BA9"/>
    <w:rsid w:val="00A77905"/>
    <w:rsid w:val="00A81CE7"/>
    <w:rsid w:val="00AA0A46"/>
    <w:rsid w:val="00AA0CB3"/>
    <w:rsid w:val="00AB2067"/>
    <w:rsid w:val="00AD35FF"/>
    <w:rsid w:val="00B039BD"/>
    <w:rsid w:val="00B25838"/>
    <w:rsid w:val="00B44BFA"/>
    <w:rsid w:val="00B51E06"/>
    <w:rsid w:val="00B63255"/>
    <w:rsid w:val="00B82354"/>
    <w:rsid w:val="00BA1E9F"/>
    <w:rsid w:val="00BF5DB0"/>
    <w:rsid w:val="00C46C01"/>
    <w:rsid w:val="00CC003B"/>
    <w:rsid w:val="00D11089"/>
    <w:rsid w:val="00D172BD"/>
    <w:rsid w:val="00D40E03"/>
    <w:rsid w:val="00D82322"/>
    <w:rsid w:val="00D97277"/>
    <w:rsid w:val="00DA637E"/>
    <w:rsid w:val="00DC4803"/>
    <w:rsid w:val="00DD2194"/>
    <w:rsid w:val="00DD35F7"/>
    <w:rsid w:val="00DF4C7C"/>
    <w:rsid w:val="00E03917"/>
    <w:rsid w:val="00EB46F0"/>
    <w:rsid w:val="00EC6410"/>
    <w:rsid w:val="00F067E2"/>
    <w:rsid w:val="00F536F4"/>
    <w:rsid w:val="00F74EC3"/>
    <w:rsid w:val="00F82D06"/>
    <w:rsid w:val="00F9597A"/>
    <w:rsid w:val="00FD4F6F"/>
    <w:rsid w:val="00FF4D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29F"/>
  <w15:chartTrackingRefBased/>
  <w15:docId w15:val="{3A01A0B4-4A25-406C-AEDB-E384AB3C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F52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2E7"/>
    <w:rPr>
      <w:sz w:val="20"/>
      <w:szCs w:val="20"/>
    </w:rPr>
  </w:style>
  <w:style w:type="character" w:styleId="EndnoteReference">
    <w:name w:val="endnote reference"/>
    <w:basedOn w:val="DefaultParagraphFont"/>
    <w:uiPriority w:val="99"/>
    <w:semiHidden/>
    <w:unhideWhenUsed/>
    <w:rsid w:val="006F52E7"/>
    <w:rPr>
      <w:vertAlign w:val="superscript"/>
    </w:rPr>
  </w:style>
  <w:style w:type="paragraph" w:styleId="ListParagraph">
    <w:name w:val="List Paragraph"/>
    <w:basedOn w:val="Normal"/>
    <w:uiPriority w:val="34"/>
    <w:qFormat/>
    <w:rsid w:val="008E219F"/>
    <w:pPr>
      <w:ind w:left="720"/>
      <w:contextualSpacing/>
    </w:pPr>
  </w:style>
  <w:style w:type="character" w:styleId="CommentReference">
    <w:name w:val="annotation reference"/>
    <w:basedOn w:val="DefaultParagraphFont"/>
    <w:uiPriority w:val="99"/>
    <w:semiHidden/>
    <w:unhideWhenUsed/>
    <w:rsid w:val="00A10B73"/>
    <w:rPr>
      <w:sz w:val="18"/>
      <w:szCs w:val="18"/>
    </w:rPr>
  </w:style>
  <w:style w:type="paragraph" w:styleId="CommentText">
    <w:name w:val="annotation text"/>
    <w:basedOn w:val="Normal"/>
    <w:link w:val="CommentTextChar"/>
    <w:uiPriority w:val="99"/>
    <w:semiHidden/>
    <w:unhideWhenUsed/>
    <w:rsid w:val="00A10B73"/>
    <w:pPr>
      <w:spacing w:line="240" w:lineRule="auto"/>
    </w:pPr>
    <w:rPr>
      <w:sz w:val="24"/>
      <w:szCs w:val="24"/>
    </w:rPr>
  </w:style>
  <w:style w:type="character" w:customStyle="1" w:styleId="CommentTextChar">
    <w:name w:val="Comment Text Char"/>
    <w:basedOn w:val="DefaultParagraphFont"/>
    <w:link w:val="CommentText"/>
    <w:uiPriority w:val="99"/>
    <w:semiHidden/>
    <w:rsid w:val="00A10B73"/>
    <w:rPr>
      <w:sz w:val="24"/>
      <w:szCs w:val="24"/>
    </w:rPr>
  </w:style>
  <w:style w:type="paragraph" w:styleId="CommentSubject">
    <w:name w:val="annotation subject"/>
    <w:basedOn w:val="CommentText"/>
    <w:next w:val="CommentText"/>
    <w:link w:val="CommentSubjectChar"/>
    <w:uiPriority w:val="99"/>
    <w:semiHidden/>
    <w:unhideWhenUsed/>
    <w:rsid w:val="00A10B73"/>
    <w:rPr>
      <w:b/>
      <w:bCs/>
      <w:sz w:val="20"/>
      <w:szCs w:val="20"/>
    </w:rPr>
  </w:style>
  <w:style w:type="character" w:customStyle="1" w:styleId="CommentSubjectChar">
    <w:name w:val="Comment Subject Char"/>
    <w:basedOn w:val="CommentTextChar"/>
    <w:link w:val="CommentSubject"/>
    <w:uiPriority w:val="99"/>
    <w:semiHidden/>
    <w:rsid w:val="00A10B73"/>
    <w:rPr>
      <w:b/>
      <w:bCs/>
      <w:sz w:val="20"/>
      <w:szCs w:val="20"/>
    </w:rPr>
  </w:style>
  <w:style w:type="paragraph" w:styleId="BalloonText">
    <w:name w:val="Balloon Text"/>
    <w:basedOn w:val="Normal"/>
    <w:link w:val="BalloonTextChar"/>
    <w:uiPriority w:val="99"/>
    <w:semiHidden/>
    <w:unhideWhenUsed/>
    <w:rsid w:val="00A10B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B73"/>
    <w:rPr>
      <w:rFonts w:ascii="Times New Roman" w:hAnsi="Times New Roman" w:cs="Times New Roman"/>
      <w:sz w:val="18"/>
      <w:szCs w:val="18"/>
    </w:rPr>
  </w:style>
  <w:style w:type="paragraph" w:styleId="Header">
    <w:name w:val="header"/>
    <w:basedOn w:val="Normal"/>
    <w:link w:val="HeaderChar"/>
    <w:uiPriority w:val="99"/>
    <w:unhideWhenUsed/>
    <w:rsid w:val="00A1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B73"/>
  </w:style>
  <w:style w:type="paragraph" w:styleId="Footer">
    <w:name w:val="footer"/>
    <w:basedOn w:val="Normal"/>
    <w:link w:val="FooterChar"/>
    <w:uiPriority w:val="99"/>
    <w:unhideWhenUsed/>
    <w:rsid w:val="00A1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B73"/>
  </w:style>
  <w:style w:type="character" w:customStyle="1" w:styleId="apple-converted-space">
    <w:name w:val="apple-converted-space"/>
    <w:basedOn w:val="DefaultParagraphFont"/>
    <w:rsid w:val="00DD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7724">
      <w:bodyDiv w:val="1"/>
      <w:marLeft w:val="0"/>
      <w:marRight w:val="0"/>
      <w:marTop w:val="0"/>
      <w:marBottom w:val="0"/>
      <w:divBdr>
        <w:top w:val="none" w:sz="0" w:space="0" w:color="auto"/>
        <w:left w:val="none" w:sz="0" w:space="0" w:color="auto"/>
        <w:bottom w:val="none" w:sz="0" w:space="0" w:color="auto"/>
        <w:right w:val="none" w:sz="0" w:space="0" w:color="auto"/>
      </w:divBdr>
    </w:div>
    <w:div w:id="105277150">
      <w:bodyDiv w:val="1"/>
      <w:marLeft w:val="0"/>
      <w:marRight w:val="0"/>
      <w:marTop w:val="0"/>
      <w:marBottom w:val="0"/>
      <w:divBdr>
        <w:top w:val="none" w:sz="0" w:space="0" w:color="auto"/>
        <w:left w:val="none" w:sz="0" w:space="0" w:color="auto"/>
        <w:bottom w:val="none" w:sz="0" w:space="0" w:color="auto"/>
        <w:right w:val="none" w:sz="0" w:space="0" w:color="auto"/>
      </w:divBdr>
    </w:div>
    <w:div w:id="177014415">
      <w:bodyDiv w:val="1"/>
      <w:marLeft w:val="0"/>
      <w:marRight w:val="0"/>
      <w:marTop w:val="0"/>
      <w:marBottom w:val="0"/>
      <w:divBdr>
        <w:top w:val="none" w:sz="0" w:space="0" w:color="auto"/>
        <w:left w:val="none" w:sz="0" w:space="0" w:color="auto"/>
        <w:bottom w:val="none" w:sz="0" w:space="0" w:color="auto"/>
        <w:right w:val="none" w:sz="0" w:space="0" w:color="auto"/>
      </w:divBdr>
      <w:divsChild>
        <w:div w:id="396124113">
          <w:marLeft w:val="0"/>
          <w:marRight w:val="0"/>
          <w:marTop w:val="75"/>
          <w:marBottom w:val="300"/>
          <w:divBdr>
            <w:top w:val="none" w:sz="0" w:space="0" w:color="auto"/>
            <w:left w:val="none" w:sz="0" w:space="0" w:color="auto"/>
            <w:bottom w:val="none" w:sz="0" w:space="0" w:color="auto"/>
            <w:right w:val="none" w:sz="0" w:space="0" w:color="auto"/>
          </w:divBdr>
        </w:div>
      </w:divsChild>
    </w:div>
    <w:div w:id="223373805">
      <w:bodyDiv w:val="1"/>
      <w:marLeft w:val="0"/>
      <w:marRight w:val="0"/>
      <w:marTop w:val="0"/>
      <w:marBottom w:val="0"/>
      <w:divBdr>
        <w:top w:val="none" w:sz="0" w:space="0" w:color="auto"/>
        <w:left w:val="none" w:sz="0" w:space="0" w:color="auto"/>
        <w:bottom w:val="none" w:sz="0" w:space="0" w:color="auto"/>
        <w:right w:val="none" w:sz="0" w:space="0" w:color="auto"/>
      </w:divBdr>
    </w:div>
    <w:div w:id="571546204">
      <w:bodyDiv w:val="1"/>
      <w:marLeft w:val="0"/>
      <w:marRight w:val="0"/>
      <w:marTop w:val="0"/>
      <w:marBottom w:val="0"/>
      <w:divBdr>
        <w:top w:val="none" w:sz="0" w:space="0" w:color="auto"/>
        <w:left w:val="none" w:sz="0" w:space="0" w:color="auto"/>
        <w:bottom w:val="none" w:sz="0" w:space="0" w:color="auto"/>
        <w:right w:val="none" w:sz="0" w:space="0" w:color="auto"/>
      </w:divBdr>
    </w:div>
    <w:div w:id="872764158">
      <w:bodyDiv w:val="1"/>
      <w:marLeft w:val="0"/>
      <w:marRight w:val="0"/>
      <w:marTop w:val="0"/>
      <w:marBottom w:val="0"/>
      <w:divBdr>
        <w:top w:val="none" w:sz="0" w:space="0" w:color="auto"/>
        <w:left w:val="none" w:sz="0" w:space="0" w:color="auto"/>
        <w:bottom w:val="none" w:sz="0" w:space="0" w:color="auto"/>
        <w:right w:val="none" w:sz="0" w:space="0" w:color="auto"/>
      </w:divBdr>
    </w:div>
    <w:div w:id="1165706500">
      <w:bodyDiv w:val="1"/>
      <w:marLeft w:val="0"/>
      <w:marRight w:val="0"/>
      <w:marTop w:val="0"/>
      <w:marBottom w:val="0"/>
      <w:divBdr>
        <w:top w:val="none" w:sz="0" w:space="0" w:color="auto"/>
        <w:left w:val="none" w:sz="0" w:space="0" w:color="auto"/>
        <w:bottom w:val="none" w:sz="0" w:space="0" w:color="auto"/>
        <w:right w:val="none" w:sz="0" w:space="0" w:color="auto"/>
      </w:divBdr>
    </w:div>
    <w:div w:id="1197229569">
      <w:bodyDiv w:val="1"/>
      <w:marLeft w:val="0"/>
      <w:marRight w:val="0"/>
      <w:marTop w:val="0"/>
      <w:marBottom w:val="0"/>
      <w:divBdr>
        <w:top w:val="none" w:sz="0" w:space="0" w:color="auto"/>
        <w:left w:val="none" w:sz="0" w:space="0" w:color="auto"/>
        <w:bottom w:val="none" w:sz="0" w:space="0" w:color="auto"/>
        <w:right w:val="none" w:sz="0" w:space="0" w:color="auto"/>
      </w:divBdr>
    </w:div>
    <w:div w:id="1312558647">
      <w:bodyDiv w:val="1"/>
      <w:marLeft w:val="0"/>
      <w:marRight w:val="0"/>
      <w:marTop w:val="0"/>
      <w:marBottom w:val="0"/>
      <w:divBdr>
        <w:top w:val="none" w:sz="0" w:space="0" w:color="auto"/>
        <w:left w:val="none" w:sz="0" w:space="0" w:color="auto"/>
        <w:bottom w:val="none" w:sz="0" w:space="0" w:color="auto"/>
        <w:right w:val="none" w:sz="0" w:space="0" w:color="auto"/>
      </w:divBdr>
    </w:div>
    <w:div w:id="1575503876">
      <w:bodyDiv w:val="1"/>
      <w:marLeft w:val="0"/>
      <w:marRight w:val="0"/>
      <w:marTop w:val="0"/>
      <w:marBottom w:val="0"/>
      <w:divBdr>
        <w:top w:val="none" w:sz="0" w:space="0" w:color="auto"/>
        <w:left w:val="none" w:sz="0" w:space="0" w:color="auto"/>
        <w:bottom w:val="none" w:sz="0" w:space="0" w:color="auto"/>
        <w:right w:val="none" w:sz="0" w:space="0" w:color="auto"/>
      </w:divBdr>
      <w:divsChild>
        <w:div w:id="1056783947">
          <w:marLeft w:val="0"/>
          <w:marRight w:val="0"/>
          <w:marTop w:val="120"/>
          <w:marBottom w:val="450"/>
          <w:divBdr>
            <w:top w:val="none" w:sz="0" w:space="0" w:color="auto"/>
            <w:left w:val="none" w:sz="0" w:space="0" w:color="auto"/>
            <w:bottom w:val="none" w:sz="0" w:space="0" w:color="auto"/>
            <w:right w:val="none" w:sz="0" w:space="0" w:color="auto"/>
          </w:divBdr>
        </w:div>
      </w:divsChild>
    </w:div>
    <w:div w:id="1902717343">
      <w:bodyDiv w:val="1"/>
      <w:marLeft w:val="0"/>
      <w:marRight w:val="0"/>
      <w:marTop w:val="0"/>
      <w:marBottom w:val="0"/>
      <w:divBdr>
        <w:top w:val="none" w:sz="0" w:space="0" w:color="auto"/>
        <w:left w:val="none" w:sz="0" w:space="0" w:color="auto"/>
        <w:bottom w:val="none" w:sz="0" w:space="0" w:color="auto"/>
        <w:right w:val="none" w:sz="0" w:space="0" w:color="auto"/>
      </w:divBdr>
    </w:div>
    <w:div w:id="19991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45A5-E481-4744-8A83-98569EB4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7</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Foll C.A.</dc:creator>
  <cp:keywords/>
  <dc:description/>
  <cp:lastModifiedBy>Le Foll C.A.</cp:lastModifiedBy>
  <cp:revision>12</cp:revision>
  <dcterms:created xsi:type="dcterms:W3CDTF">2017-05-18T16:25:00Z</dcterms:created>
  <dcterms:modified xsi:type="dcterms:W3CDTF">2017-05-22T20:54:00Z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introduction</vt:lpwstr>
  </property>
  <property fmtid="{D5CDD505-2E9C-101B-9397-08002B2CF9AE}" pid="4" name="_AuthorEmail">
    <vt:lpwstr>C.Le-Foll@soton.ac.uk</vt:lpwstr>
  </property>
  <property fmtid="{D5CDD505-2E9C-101B-9397-08002B2CF9AE}" pid="5" name="_AuthorEmailDisplayName">
    <vt:lpwstr>Le Foll C.A.</vt:lpwstr>
  </property>
  <property fmtid="{D5CDD505-2E9C-101B-9397-08002B2CF9AE}" pid="6" name="_AdHocReviewCycleID">
    <vt:i4>1281547866</vt:i4>
  </property>
  <property fmtid="{D5CDD505-2E9C-101B-9397-08002B2CF9AE}" pid="7" name="_PreviousAdHocReviewCycleID">
    <vt:i4>1281547866</vt:i4>
  </property>
  <property fmtid="{D5CDD505-2E9C-101B-9397-08002B2CF9AE}" pid="8" name="_ReviewingToolsShownOnce">
    <vt:lpwstr/>
  </property>
</Properties>
</file>