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02B62" w14:textId="23A5B245" w:rsidR="00642653" w:rsidRPr="004A56A0" w:rsidRDefault="00642653" w:rsidP="00BF24D6">
      <w:pPr>
        <w:pStyle w:val="Heading1"/>
        <w:ind w:left="-284" w:right="-330"/>
      </w:pPr>
      <w:r w:rsidRPr="004A56A0">
        <w:t>Scaling up from protected areas</w:t>
      </w:r>
      <w:r w:rsidR="00BF24D6">
        <w:t xml:space="preserve"> in England</w:t>
      </w:r>
      <w:r w:rsidRPr="004A56A0">
        <w:t>: the value of establishing large conservation areas</w:t>
      </w:r>
    </w:p>
    <w:p w14:paraId="1BBD4836" w14:textId="77777777" w:rsidR="00642653" w:rsidRDefault="00642653" w:rsidP="00803A8E">
      <w:pPr>
        <w:ind w:left="-284" w:right="-330"/>
        <w:jc w:val="center"/>
        <w:rPr>
          <w:sz w:val="28"/>
          <w:szCs w:val="28"/>
        </w:rPr>
      </w:pPr>
    </w:p>
    <w:p w14:paraId="67116B01" w14:textId="7B897BB2" w:rsidR="00231F7B" w:rsidRDefault="00240D6A" w:rsidP="00796298">
      <w:pPr>
        <w:ind w:left="-284" w:right="-330"/>
        <w:jc w:val="center"/>
        <w:rPr>
          <w:szCs w:val="24"/>
          <w:vertAlign w:val="superscript"/>
        </w:rPr>
      </w:pPr>
      <w:r w:rsidRPr="00231F7B">
        <w:rPr>
          <w:szCs w:val="24"/>
        </w:rPr>
        <w:t>Assaf Shwartz</w:t>
      </w:r>
      <w:r w:rsidRPr="00231F7B">
        <w:rPr>
          <w:szCs w:val="24"/>
          <w:vertAlign w:val="superscript"/>
        </w:rPr>
        <w:t>1,2</w:t>
      </w:r>
      <w:r w:rsidR="009B16B5">
        <w:rPr>
          <w:szCs w:val="24"/>
        </w:rPr>
        <w:t>*</w:t>
      </w:r>
      <w:r w:rsidRPr="00231F7B">
        <w:rPr>
          <w:szCs w:val="24"/>
        </w:rPr>
        <w:t>, Zoe G. Davies</w:t>
      </w:r>
      <w:r w:rsidRPr="00231F7B">
        <w:rPr>
          <w:szCs w:val="24"/>
          <w:vertAlign w:val="superscript"/>
        </w:rPr>
        <w:t>1</w:t>
      </w:r>
      <w:r w:rsidRPr="00231F7B">
        <w:rPr>
          <w:szCs w:val="24"/>
        </w:rPr>
        <w:t xml:space="preserve">, </w:t>
      </w:r>
      <w:r w:rsidR="00C76CA6" w:rsidRPr="00231F7B">
        <w:rPr>
          <w:szCs w:val="24"/>
        </w:rPr>
        <w:t xml:space="preserve">Nicholas A. </w:t>
      </w:r>
      <w:r w:rsidR="00C76CA6" w:rsidRPr="00C76CA6">
        <w:rPr>
          <w:szCs w:val="24"/>
        </w:rPr>
        <w:t>Macgregor</w:t>
      </w:r>
      <w:r w:rsidR="007E36A5">
        <w:rPr>
          <w:szCs w:val="24"/>
          <w:vertAlign w:val="superscript"/>
        </w:rPr>
        <w:t>1,3</w:t>
      </w:r>
      <w:r w:rsidR="00C76CA6">
        <w:rPr>
          <w:szCs w:val="24"/>
        </w:rPr>
        <w:t xml:space="preserve">, </w:t>
      </w:r>
      <w:r w:rsidRPr="00C76CA6">
        <w:rPr>
          <w:szCs w:val="24"/>
        </w:rPr>
        <w:t>Humphrey</w:t>
      </w:r>
      <w:r w:rsidRPr="00231F7B">
        <w:rPr>
          <w:szCs w:val="24"/>
        </w:rPr>
        <w:t xml:space="preserve"> Q.P. Crick</w:t>
      </w:r>
      <w:r w:rsidRPr="00231F7B">
        <w:rPr>
          <w:szCs w:val="24"/>
          <w:vertAlign w:val="superscript"/>
        </w:rPr>
        <w:t>3</w:t>
      </w:r>
      <w:r w:rsidRPr="00231F7B">
        <w:rPr>
          <w:szCs w:val="24"/>
        </w:rPr>
        <w:t xml:space="preserve">, </w:t>
      </w:r>
      <w:r w:rsidR="003D6D52">
        <w:rPr>
          <w:szCs w:val="24"/>
        </w:rPr>
        <w:t>Donna Clarke</w:t>
      </w:r>
      <w:r w:rsidR="003D6D52">
        <w:rPr>
          <w:szCs w:val="24"/>
          <w:vertAlign w:val="superscript"/>
        </w:rPr>
        <w:t>4</w:t>
      </w:r>
      <w:r w:rsidR="003D6D52">
        <w:rPr>
          <w:szCs w:val="24"/>
        </w:rPr>
        <w:t xml:space="preserve">, </w:t>
      </w:r>
      <w:r w:rsidR="007E3ACC">
        <w:rPr>
          <w:szCs w:val="24"/>
        </w:rPr>
        <w:t>Felix Eigenbrod</w:t>
      </w:r>
      <w:r w:rsidR="007E3ACC">
        <w:rPr>
          <w:szCs w:val="24"/>
          <w:vertAlign w:val="superscript"/>
        </w:rPr>
        <w:t>4</w:t>
      </w:r>
      <w:r w:rsidR="007E3ACC">
        <w:rPr>
          <w:szCs w:val="24"/>
        </w:rPr>
        <w:t xml:space="preserve">, </w:t>
      </w:r>
      <w:r w:rsidR="00796298" w:rsidRPr="00796298">
        <w:rPr>
          <w:szCs w:val="24"/>
        </w:rPr>
        <w:t xml:space="preserve">Catherine </w:t>
      </w:r>
      <w:r w:rsidRPr="00231F7B">
        <w:rPr>
          <w:szCs w:val="24"/>
        </w:rPr>
        <w:t>Gonner</w:t>
      </w:r>
      <w:r w:rsidRPr="00231F7B">
        <w:rPr>
          <w:szCs w:val="24"/>
          <w:vertAlign w:val="superscript"/>
        </w:rPr>
        <w:t>1</w:t>
      </w:r>
      <w:r w:rsidRPr="00231F7B">
        <w:rPr>
          <w:szCs w:val="24"/>
        </w:rPr>
        <w:t>, Chris T. Hill</w:t>
      </w:r>
      <w:r w:rsidR="007E3ACC">
        <w:rPr>
          <w:szCs w:val="24"/>
          <w:vertAlign w:val="superscript"/>
        </w:rPr>
        <w:t>5</w:t>
      </w:r>
      <w:r w:rsidRPr="00231F7B">
        <w:rPr>
          <w:szCs w:val="24"/>
        </w:rPr>
        <w:t>, Andrew T. Knight</w:t>
      </w:r>
      <w:r w:rsidR="00262141">
        <w:rPr>
          <w:szCs w:val="24"/>
          <w:vertAlign w:val="superscript"/>
        </w:rPr>
        <w:t>6</w:t>
      </w:r>
      <w:r w:rsidRPr="00231F7B">
        <w:rPr>
          <w:szCs w:val="24"/>
        </w:rPr>
        <w:t xml:space="preserve">, </w:t>
      </w:r>
      <w:r w:rsidR="00AA52C1">
        <w:rPr>
          <w:szCs w:val="24"/>
        </w:rPr>
        <w:t xml:space="preserve">Kristian </w:t>
      </w:r>
      <w:r w:rsidR="00AA52C1" w:rsidRPr="00AA52C1">
        <w:rPr>
          <w:szCs w:val="24"/>
        </w:rPr>
        <w:t>Metcalfe</w:t>
      </w:r>
      <w:r w:rsidR="00262141">
        <w:rPr>
          <w:szCs w:val="24"/>
          <w:vertAlign w:val="superscript"/>
        </w:rPr>
        <w:t>7</w:t>
      </w:r>
      <w:r w:rsidR="00AA52C1">
        <w:rPr>
          <w:szCs w:val="24"/>
        </w:rPr>
        <w:t xml:space="preserve">, </w:t>
      </w:r>
      <w:r w:rsidR="007E3ACC">
        <w:rPr>
          <w:szCs w:val="24"/>
        </w:rPr>
        <w:t xml:space="preserve">Patrick </w:t>
      </w:r>
      <w:r w:rsidR="007C5BC4">
        <w:rPr>
          <w:szCs w:val="24"/>
        </w:rPr>
        <w:t xml:space="preserve">E. </w:t>
      </w:r>
      <w:r w:rsidR="007E3ACC">
        <w:rPr>
          <w:szCs w:val="24"/>
        </w:rPr>
        <w:t>Osborne</w:t>
      </w:r>
      <w:r w:rsidR="00262141">
        <w:rPr>
          <w:szCs w:val="24"/>
          <w:vertAlign w:val="superscript"/>
        </w:rPr>
        <w:t>8</w:t>
      </w:r>
      <w:r w:rsidR="007E3ACC">
        <w:rPr>
          <w:szCs w:val="24"/>
        </w:rPr>
        <w:t xml:space="preserve">, </w:t>
      </w:r>
      <w:r w:rsidRPr="00231F7B">
        <w:rPr>
          <w:szCs w:val="24"/>
        </w:rPr>
        <w:t>Ben Phalan</w:t>
      </w:r>
      <w:r w:rsidR="00262141">
        <w:rPr>
          <w:szCs w:val="24"/>
          <w:vertAlign w:val="superscript"/>
        </w:rPr>
        <w:t>9</w:t>
      </w:r>
      <w:r w:rsidRPr="00231F7B">
        <w:rPr>
          <w:szCs w:val="24"/>
        </w:rPr>
        <w:t xml:space="preserve"> &amp; Robert J. Smith</w:t>
      </w:r>
      <w:r w:rsidRPr="00231F7B">
        <w:rPr>
          <w:szCs w:val="24"/>
          <w:vertAlign w:val="superscript"/>
        </w:rPr>
        <w:t>1</w:t>
      </w:r>
    </w:p>
    <w:p w14:paraId="3FE80508" w14:textId="77777777" w:rsidR="00AA52C1" w:rsidRDefault="00AA52C1" w:rsidP="00803A8E">
      <w:pPr>
        <w:ind w:left="-284" w:right="-330"/>
        <w:jc w:val="left"/>
        <w:rPr>
          <w:szCs w:val="24"/>
          <w:u w:val="single"/>
        </w:rPr>
      </w:pPr>
    </w:p>
    <w:p w14:paraId="717834CC" w14:textId="7A6ED128" w:rsidR="00231F7B" w:rsidRPr="009B16B5" w:rsidRDefault="0096273A" w:rsidP="00803A8E">
      <w:pPr>
        <w:ind w:left="-284" w:right="-330"/>
        <w:jc w:val="left"/>
        <w:rPr>
          <w:szCs w:val="24"/>
        </w:rPr>
      </w:pPr>
      <w:r>
        <w:rPr>
          <w:szCs w:val="24"/>
          <w:u w:val="single"/>
        </w:rPr>
        <w:t>A</w:t>
      </w:r>
      <w:r w:rsidRPr="009B16B5">
        <w:rPr>
          <w:szCs w:val="24"/>
          <w:u w:val="single"/>
        </w:rPr>
        <w:t>ff</w:t>
      </w:r>
      <w:r>
        <w:rPr>
          <w:szCs w:val="24"/>
          <w:u w:val="single"/>
        </w:rPr>
        <w:t>i</w:t>
      </w:r>
      <w:r w:rsidRPr="009B16B5">
        <w:rPr>
          <w:szCs w:val="24"/>
          <w:u w:val="single"/>
        </w:rPr>
        <w:t>liations</w:t>
      </w:r>
      <w:r w:rsidR="009B16B5">
        <w:rPr>
          <w:szCs w:val="24"/>
        </w:rPr>
        <w:t>:</w:t>
      </w:r>
    </w:p>
    <w:p w14:paraId="25203BB2" w14:textId="1A9FC722" w:rsidR="00231F7B" w:rsidRDefault="00231F7B" w:rsidP="00803A8E">
      <w:pPr>
        <w:pStyle w:val="ListParagraph"/>
        <w:numPr>
          <w:ilvl w:val="0"/>
          <w:numId w:val="16"/>
        </w:numPr>
        <w:ind w:left="-284" w:right="-330"/>
        <w:jc w:val="left"/>
        <w:rPr>
          <w:szCs w:val="24"/>
        </w:rPr>
      </w:pPr>
      <w:r w:rsidRPr="00231F7B">
        <w:rPr>
          <w:szCs w:val="24"/>
        </w:rPr>
        <w:t>Durrell Institute of Conservation and Ecology (DICE), School of Anthropology and Conservation, University of Kent, Canterbury, Kent</w:t>
      </w:r>
      <w:r w:rsidR="0096273A">
        <w:rPr>
          <w:szCs w:val="24"/>
        </w:rPr>
        <w:t xml:space="preserve"> CT2 7NR</w:t>
      </w:r>
      <w:r w:rsidRPr="00231F7B">
        <w:rPr>
          <w:szCs w:val="24"/>
        </w:rPr>
        <w:t xml:space="preserve">, UK. </w:t>
      </w:r>
    </w:p>
    <w:p w14:paraId="2E4DAF37" w14:textId="433F9259" w:rsidR="00231F7B" w:rsidRDefault="00231F7B" w:rsidP="00803A8E">
      <w:pPr>
        <w:pStyle w:val="ListParagraph"/>
        <w:numPr>
          <w:ilvl w:val="0"/>
          <w:numId w:val="16"/>
        </w:numPr>
        <w:ind w:left="-284" w:right="-330"/>
        <w:jc w:val="left"/>
        <w:rPr>
          <w:szCs w:val="24"/>
        </w:rPr>
      </w:pPr>
      <w:r>
        <w:rPr>
          <w:szCs w:val="24"/>
        </w:rPr>
        <w:t xml:space="preserve">The Human and Biodiversity research lab (HUB), </w:t>
      </w:r>
      <w:r w:rsidRPr="00231F7B">
        <w:rPr>
          <w:szCs w:val="24"/>
        </w:rPr>
        <w:t xml:space="preserve">Faculty of Architecture and Town Planning at the Technion-Israel Institute of Technology, Haifa, </w:t>
      </w:r>
      <w:r w:rsidR="00AB4737">
        <w:rPr>
          <w:szCs w:val="24"/>
        </w:rPr>
        <w:t xml:space="preserve">32000 </w:t>
      </w:r>
      <w:r w:rsidRPr="00231F7B">
        <w:rPr>
          <w:szCs w:val="24"/>
        </w:rPr>
        <w:t>Israel</w:t>
      </w:r>
      <w:r>
        <w:rPr>
          <w:szCs w:val="24"/>
        </w:rPr>
        <w:t>.</w:t>
      </w:r>
    </w:p>
    <w:p w14:paraId="57BF98D5" w14:textId="02BED52D" w:rsidR="00231F7B" w:rsidRDefault="00231F7B" w:rsidP="00803A8E">
      <w:pPr>
        <w:pStyle w:val="ListParagraph"/>
        <w:numPr>
          <w:ilvl w:val="0"/>
          <w:numId w:val="16"/>
        </w:numPr>
        <w:ind w:left="-284" w:right="-330"/>
        <w:jc w:val="left"/>
        <w:rPr>
          <w:szCs w:val="24"/>
        </w:rPr>
      </w:pPr>
      <w:r>
        <w:rPr>
          <w:szCs w:val="24"/>
        </w:rPr>
        <w:t>Natural England</w:t>
      </w:r>
      <w:r w:rsidR="00C76CA6">
        <w:rPr>
          <w:szCs w:val="24"/>
        </w:rPr>
        <w:t>,</w:t>
      </w:r>
      <w:r w:rsidR="00C76CA6" w:rsidRPr="00C76CA6">
        <w:rPr>
          <w:rFonts w:ascii="AdvPSFT-L" w:hAnsi="AdvPSFT-L" w:cs="AdvPSFT-L"/>
          <w:sz w:val="15"/>
          <w:szCs w:val="15"/>
        </w:rPr>
        <w:t xml:space="preserve"> </w:t>
      </w:r>
      <w:r w:rsidR="00C76CA6" w:rsidRPr="00C76CA6">
        <w:rPr>
          <w:szCs w:val="24"/>
        </w:rPr>
        <w:t>Nobel House, 17 Smith Square, London SW1P 3JR, UK</w:t>
      </w:r>
      <w:r>
        <w:rPr>
          <w:szCs w:val="24"/>
        </w:rPr>
        <w:t xml:space="preserve">. </w:t>
      </w:r>
    </w:p>
    <w:p w14:paraId="11F5C166" w14:textId="0A23CF05" w:rsidR="007E3ACC" w:rsidRDefault="007E3ACC" w:rsidP="00AB4737">
      <w:pPr>
        <w:pStyle w:val="ListParagraph"/>
        <w:numPr>
          <w:ilvl w:val="0"/>
          <w:numId w:val="16"/>
        </w:numPr>
        <w:ind w:left="-270" w:right="-330"/>
        <w:jc w:val="left"/>
        <w:rPr>
          <w:szCs w:val="24"/>
        </w:rPr>
      </w:pPr>
      <w:r>
        <w:rPr>
          <w:szCs w:val="24"/>
        </w:rPr>
        <w:t xml:space="preserve">Biological Sciences, University of Southampton, </w:t>
      </w:r>
      <w:r w:rsidR="00AB4737" w:rsidRPr="00AB4737">
        <w:rPr>
          <w:szCs w:val="24"/>
        </w:rPr>
        <w:t>Southampton SO17 1BJ</w:t>
      </w:r>
      <w:r w:rsidR="00AB4737">
        <w:rPr>
          <w:szCs w:val="24"/>
        </w:rPr>
        <w:t>,</w:t>
      </w:r>
      <w:r w:rsidR="00AB4737" w:rsidRPr="00AB4737">
        <w:rPr>
          <w:szCs w:val="24"/>
        </w:rPr>
        <w:t xml:space="preserve"> </w:t>
      </w:r>
      <w:r>
        <w:rPr>
          <w:szCs w:val="24"/>
        </w:rPr>
        <w:t>UK</w:t>
      </w:r>
    </w:p>
    <w:p w14:paraId="749D1581" w14:textId="7418DC80" w:rsidR="00231F7B" w:rsidRDefault="00231F7B" w:rsidP="00803A8E">
      <w:pPr>
        <w:pStyle w:val="ListParagraph"/>
        <w:numPr>
          <w:ilvl w:val="0"/>
          <w:numId w:val="16"/>
        </w:numPr>
        <w:ind w:left="-284" w:right="-330"/>
        <w:jc w:val="left"/>
        <w:rPr>
          <w:szCs w:val="24"/>
        </w:rPr>
      </w:pPr>
      <w:r w:rsidRPr="00231F7B">
        <w:rPr>
          <w:szCs w:val="24"/>
        </w:rPr>
        <w:t>GeoData, University of Southampton, Southampton</w:t>
      </w:r>
      <w:r w:rsidR="00AB4737" w:rsidRPr="00AB4737">
        <w:rPr>
          <w:szCs w:val="24"/>
        </w:rPr>
        <w:t xml:space="preserve"> SO17 1BJ</w:t>
      </w:r>
      <w:r>
        <w:rPr>
          <w:szCs w:val="24"/>
        </w:rPr>
        <w:t>, UK.</w:t>
      </w:r>
    </w:p>
    <w:p w14:paraId="1F3891DC" w14:textId="328236B3" w:rsidR="00231F7B" w:rsidRPr="00405809" w:rsidRDefault="00231F7B" w:rsidP="00405809">
      <w:pPr>
        <w:pStyle w:val="ListParagraph"/>
        <w:numPr>
          <w:ilvl w:val="0"/>
          <w:numId w:val="16"/>
        </w:numPr>
        <w:ind w:left="-284" w:right="-330"/>
        <w:jc w:val="left"/>
        <w:rPr>
          <w:szCs w:val="24"/>
        </w:rPr>
      </w:pPr>
      <w:r w:rsidRPr="00231F7B">
        <w:rPr>
          <w:szCs w:val="24"/>
        </w:rPr>
        <w:t xml:space="preserve">Department of Life Sciences, Imperial College London, Silwood Park Campus, </w:t>
      </w:r>
      <w:r w:rsidR="009B16B5">
        <w:rPr>
          <w:szCs w:val="24"/>
        </w:rPr>
        <w:t xml:space="preserve">Ascot, </w:t>
      </w:r>
      <w:r w:rsidR="00AB4737" w:rsidRPr="00405809">
        <w:rPr>
          <w:szCs w:val="24"/>
        </w:rPr>
        <w:t xml:space="preserve">SL5 7PY </w:t>
      </w:r>
      <w:r w:rsidR="009B16B5" w:rsidRPr="00405809">
        <w:rPr>
          <w:szCs w:val="24"/>
        </w:rPr>
        <w:t>UK.</w:t>
      </w:r>
    </w:p>
    <w:p w14:paraId="0EF118CC" w14:textId="6F2D1E64" w:rsidR="00AA52C1" w:rsidRDefault="00AA52C1" w:rsidP="00803A8E">
      <w:pPr>
        <w:pStyle w:val="ListParagraph"/>
        <w:numPr>
          <w:ilvl w:val="0"/>
          <w:numId w:val="16"/>
        </w:numPr>
        <w:ind w:left="-284" w:right="-330"/>
        <w:jc w:val="left"/>
        <w:rPr>
          <w:szCs w:val="24"/>
        </w:rPr>
      </w:pPr>
      <w:r w:rsidRPr="00AA52C1">
        <w:rPr>
          <w:szCs w:val="24"/>
        </w:rPr>
        <w:t>Centre for Ecology and Conservation, College of Life and Environmental Sciences, University of Exeter, Penryn Campus, Cornwall</w:t>
      </w:r>
      <w:r w:rsidR="00AB4737">
        <w:rPr>
          <w:szCs w:val="24"/>
        </w:rPr>
        <w:t xml:space="preserve"> TR10 9FE</w:t>
      </w:r>
      <w:r w:rsidRPr="00AA52C1">
        <w:rPr>
          <w:szCs w:val="24"/>
        </w:rPr>
        <w:t>, UK</w:t>
      </w:r>
      <w:r>
        <w:rPr>
          <w:szCs w:val="24"/>
        </w:rPr>
        <w:t>.</w:t>
      </w:r>
      <w:r w:rsidR="00AB4737">
        <w:rPr>
          <w:szCs w:val="24"/>
        </w:rPr>
        <w:t xml:space="preserve"> </w:t>
      </w:r>
    </w:p>
    <w:p w14:paraId="3FF397B4" w14:textId="2C2942CC" w:rsidR="00262141" w:rsidRDefault="00262141" w:rsidP="00803A8E">
      <w:pPr>
        <w:pStyle w:val="ListParagraph"/>
        <w:numPr>
          <w:ilvl w:val="0"/>
          <w:numId w:val="16"/>
        </w:numPr>
        <w:ind w:left="-284" w:right="-330"/>
        <w:jc w:val="left"/>
        <w:rPr>
          <w:szCs w:val="24"/>
        </w:rPr>
      </w:pPr>
      <w:r>
        <w:rPr>
          <w:szCs w:val="24"/>
        </w:rPr>
        <w:t>Centre for Environmental Science, Faculty of Engineering and the Environment, University of Southampton</w:t>
      </w:r>
      <w:r w:rsidR="00AB4737">
        <w:rPr>
          <w:szCs w:val="24"/>
        </w:rPr>
        <w:t xml:space="preserve">, </w:t>
      </w:r>
      <w:r w:rsidR="00AB4737" w:rsidRPr="00AB4737">
        <w:rPr>
          <w:szCs w:val="24"/>
        </w:rPr>
        <w:t>Southampton</w:t>
      </w:r>
      <w:r>
        <w:rPr>
          <w:szCs w:val="24"/>
        </w:rPr>
        <w:t xml:space="preserve"> SO17 1BJ, UK</w:t>
      </w:r>
      <w:r w:rsidR="00731772">
        <w:rPr>
          <w:szCs w:val="24"/>
        </w:rPr>
        <w:t>.</w:t>
      </w:r>
    </w:p>
    <w:p w14:paraId="516E4F74" w14:textId="23971032" w:rsidR="009B16B5" w:rsidRDefault="009B16B5" w:rsidP="00AB4737">
      <w:pPr>
        <w:pStyle w:val="ListParagraph"/>
        <w:numPr>
          <w:ilvl w:val="0"/>
          <w:numId w:val="16"/>
        </w:numPr>
        <w:ind w:left="-270" w:right="-330"/>
        <w:jc w:val="left"/>
        <w:rPr>
          <w:szCs w:val="24"/>
        </w:rPr>
      </w:pPr>
      <w:r w:rsidRPr="009B16B5">
        <w:rPr>
          <w:szCs w:val="24"/>
        </w:rPr>
        <w:t xml:space="preserve">Department of Forest Ecosystems and Society, Oregon State University, Corvallis, </w:t>
      </w:r>
      <w:r w:rsidR="00AB4737" w:rsidRPr="00AB4737">
        <w:rPr>
          <w:szCs w:val="24"/>
        </w:rPr>
        <w:t>Oregon 97331-2106</w:t>
      </w:r>
      <w:r w:rsidRPr="009B16B5">
        <w:rPr>
          <w:szCs w:val="24"/>
        </w:rPr>
        <w:t>, USA</w:t>
      </w:r>
      <w:r>
        <w:rPr>
          <w:szCs w:val="24"/>
        </w:rPr>
        <w:t>.</w:t>
      </w:r>
    </w:p>
    <w:p w14:paraId="42C6C6F6" w14:textId="77777777" w:rsidR="007C5BC4" w:rsidRDefault="007C5BC4" w:rsidP="00803A8E">
      <w:pPr>
        <w:ind w:left="-284" w:right="-330"/>
        <w:jc w:val="left"/>
        <w:rPr>
          <w:szCs w:val="24"/>
        </w:rPr>
      </w:pPr>
    </w:p>
    <w:p w14:paraId="1C3B6E75" w14:textId="2EBF0F1D" w:rsidR="009B16B5" w:rsidRPr="009509D3" w:rsidRDefault="009B16B5" w:rsidP="00803A8E">
      <w:pPr>
        <w:spacing w:after="120"/>
        <w:ind w:left="-284" w:right="-330"/>
      </w:pPr>
      <w:r>
        <w:rPr>
          <w:u w:val="single"/>
        </w:rPr>
        <w:t>Short</w:t>
      </w:r>
      <w:r w:rsidRPr="009509D3">
        <w:rPr>
          <w:u w:val="single"/>
        </w:rPr>
        <w:t xml:space="preserve"> title</w:t>
      </w:r>
      <w:r w:rsidRPr="009509D3">
        <w:t xml:space="preserve">: </w:t>
      </w:r>
      <w:r w:rsidRPr="009B16B5">
        <w:t>Scaling up from protected areas</w:t>
      </w:r>
    </w:p>
    <w:p w14:paraId="0BEB0BBF" w14:textId="20DC8446" w:rsidR="007E36A5" w:rsidRDefault="009B16B5" w:rsidP="002F5CDF">
      <w:pPr>
        <w:spacing w:after="120"/>
        <w:ind w:left="-284" w:right="-330"/>
      </w:pPr>
      <w:r>
        <w:rPr>
          <w:u w:val="single"/>
        </w:rPr>
        <w:t>Key</w:t>
      </w:r>
      <w:r w:rsidRPr="0056064C">
        <w:rPr>
          <w:u w:val="single"/>
        </w:rPr>
        <w:t>words</w:t>
      </w:r>
      <w:r>
        <w:t>: Gap analysis</w:t>
      </w:r>
      <w:r w:rsidR="007E36A5">
        <w:t>;</w:t>
      </w:r>
      <w:r>
        <w:t xml:space="preserve"> biodiversity</w:t>
      </w:r>
      <w:r w:rsidR="007E36A5">
        <w:t>;</w:t>
      </w:r>
      <w:r>
        <w:t xml:space="preserve"> </w:t>
      </w:r>
      <w:r w:rsidR="001D6887">
        <w:t>agri-environment schemes</w:t>
      </w:r>
      <w:r w:rsidR="007E36A5">
        <w:t xml:space="preserve">; </w:t>
      </w:r>
      <w:r w:rsidR="0035158F">
        <w:t>conservation planning</w:t>
      </w:r>
    </w:p>
    <w:p w14:paraId="7F70DD56" w14:textId="247A29C4" w:rsidR="009B16B5" w:rsidRPr="0004550B" w:rsidRDefault="009B16B5" w:rsidP="00AC256E">
      <w:pPr>
        <w:spacing w:after="120"/>
        <w:ind w:left="-284" w:right="-330"/>
      </w:pPr>
      <w:r w:rsidRPr="0004550B">
        <w:rPr>
          <w:u w:val="single"/>
        </w:rPr>
        <w:t>World count</w:t>
      </w:r>
      <w:r w:rsidRPr="009B16B5">
        <w:t xml:space="preserve">:  </w:t>
      </w:r>
      <w:r w:rsidR="00C825F4">
        <w:t>6</w:t>
      </w:r>
      <w:r w:rsidR="00AC256E">
        <w:t>529</w:t>
      </w:r>
      <w:bookmarkStart w:id="0" w:name="_GoBack"/>
      <w:bookmarkEnd w:id="0"/>
    </w:p>
    <w:p w14:paraId="378CF1E0" w14:textId="77777777" w:rsidR="00F54A3C" w:rsidRDefault="009B16B5" w:rsidP="00803A8E">
      <w:pPr>
        <w:spacing w:after="120"/>
        <w:ind w:left="-284" w:right="-329"/>
        <w:jc w:val="left"/>
        <w:rPr>
          <w:rStyle w:val="Hyperlink"/>
          <w:szCs w:val="24"/>
        </w:rPr>
        <w:sectPr w:rsidR="00F54A3C" w:rsidSect="00220550">
          <w:footerReference w:type="default" r:id="rId8"/>
          <w:pgSz w:w="11906" w:h="16838"/>
          <w:pgMar w:top="1440" w:right="1440" w:bottom="1440" w:left="1440" w:header="709" w:footer="709" w:gutter="0"/>
          <w:cols w:space="708"/>
          <w:docGrid w:linePitch="360"/>
        </w:sectPr>
      </w:pPr>
      <w:r w:rsidRPr="00CC6A90">
        <w:rPr>
          <w:u w:val="single"/>
        </w:rPr>
        <w:t>Number of table and figures</w:t>
      </w:r>
      <w:r w:rsidRPr="00CC6A90">
        <w:t xml:space="preserve">: </w:t>
      </w:r>
      <w:r w:rsidR="0026624C">
        <w:t>5</w:t>
      </w:r>
      <w:r w:rsidRPr="00CC6A90">
        <w:br/>
      </w:r>
      <w:r w:rsidRPr="00AA52C1">
        <w:rPr>
          <w:szCs w:val="24"/>
          <w:u w:val="single"/>
        </w:rPr>
        <w:t>Corresponding author</w:t>
      </w:r>
      <w:r>
        <w:rPr>
          <w:szCs w:val="24"/>
        </w:rPr>
        <w:t xml:space="preserve">: Assaf Shwartz, The Human and Biodiversity research lab (HUB), </w:t>
      </w:r>
      <w:r w:rsidRPr="00231F7B">
        <w:rPr>
          <w:szCs w:val="24"/>
        </w:rPr>
        <w:t>Faculty of Architecture and Town Planning at the Technion-Israel Institute of Technology, Haifa, Israel</w:t>
      </w:r>
      <w:r>
        <w:rPr>
          <w:szCs w:val="24"/>
        </w:rPr>
        <w:t>. Tel</w:t>
      </w:r>
      <w:r w:rsidR="00AA52C1">
        <w:rPr>
          <w:szCs w:val="24"/>
        </w:rPr>
        <w:t xml:space="preserve">: +972 4 8294106, Email: </w:t>
      </w:r>
      <w:hyperlink r:id="rId9" w:history="1">
        <w:r w:rsidR="00AA52C1" w:rsidRPr="00204E1C">
          <w:rPr>
            <w:rStyle w:val="Hyperlink"/>
            <w:szCs w:val="24"/>
          </w:rPr>
          <w:t>shwartza@technion.ac.il</w:t>
        </w:r>
      </w:hyperlink>
    </w:p>
    <w:p w14:paraId="478811E3" w14:textId="0B387D9E" w:rsidR="00642653" w:rsidRDefault="00642653" w:rsidP="00652C11">
      <w:pPr>
        <w:spacing w:line="480" w:lineRule="auto"/>
        <w:rPr>
          <w:sz w:val="28"/>
          <w:szCs w:val="28"/>
        </w:rPr>
      </w:pPr>
      <w:r>
        <w:rPr>
          <w:sz w:val="28"/>
          <w:szCs w:val="28"/>
        </w:rPr>
        <w:lastRenderedPageBreak/>
        <w:t xml:space="preserve">Abstract </w:t>
      </w:r>
    </w:p>
    <w:p w14:paraId="71C3999A" w14:textId="7AC2F6B1" w:rsidR="003D6601" w:rsidRDefault="00E37E0A" w:rsidP="002F5CDF">
      <w:pPr>
        <w:spacing w:line="480" w:lineRule="auto"/>
      </w:pPr>
      <w:r>
        <w:rPr>
          <w:szCs w:val="24"/>
        </w:rPr>
        <w:t xml:space="preserve">Protected areas </w:t>
      </w:r>
      <w:r w:rsidR="000A152B">
        <w:rPr>
          <w:szCs w:val="24"/>
        </w:rPr>
        <w:t xml:space="preserve">(PAs) </w:t>
      </w:r>
      <w:r>
        <w:rPr>
          <w:szCs w:val="24"/>
        </w:rPr>
        <w:t xml:space="preserve">are </w:t>
      </w:r>
      <w:r w:rsidR="00896924">
        <w:rPr>
          <w:szCs w:val="24"/>
        </w:rPr>
        <w:t xml:space="preserve">vital for conserving </w:t>
      </w:r>
      <w:r w:rsidR="0096273A">
        <w:rPr>
          <w:szCs w:val="24"/>
        </w:rPr>
        <w:t>biodiversity</w:t>
      </w:r>
      <w:r w:rsidR="00896924">
        <w:rPr>
          <w:szCs w:val="24"/>
        </w:rPr>
        <w:t>, but many</w:t>
      </w:r>
      <w:r w:rsidR="0096273A">
        <w:rPr>
          <w:szCs w:val="24"/>
        </w:rPr>
        <w:t xml:space="preserve"> PA networks</w:t>
      </w:r>
      <w:r w:rsidR="00896924">
        <w:rPr>
          <w:szCs w:val="24"/>
        </w:rPr>
        <w:t xml:space="preserve"> </w:t>
      </w:r>
      <w:r w:rsidR="0096273A">
        <w:rPr>
          <w:szCs w:val="24"/>
        </w:rPr>
        <w:t>consist of</w:t>
      </w:r>
      <w:r w:rsidR="00626312">
        <w:rPr>
          <w:szCs w:val="24"/>
        </w:rPr>
        <w:t xml:space="preserve"> </w:t>
      </w:r>
      <w:r w:rsidR="000A152B">
        <w:rPr>
          <w:szCs w:val="24"/>
        </w:rPr>
        <w:t>fragmented</w:t>
      </w:r>
      <w:r w:rsidR="00896924">
        <w:rPr>
          <w:szCs w:val="24"/>
          <w:lang w:val="en-US"/>
        </w:rPr>
        <w:t xml:space="preserve"> </w:t>
      </w:r>
      <w:r w:rsidR="00B039AE">
        <w:rPr>
          <w:szCs w:val="24"/>
          <w:lang w:val="en-US"/>
        </w:rPr>
        <w:t>habitat patches that poorly represent species and ecosystems</w:t>
      </w:r>
      <w:r w:rsidR="00B45680">
        <w:rPr>
          <w:szCs w:val="24"/>
          <w:lang w:val="en-US"/>
        </w:rPr>
        <w:t xml:space="preserve">. </w:t>
      </w:r>
      <w:r w:rsidR="00BB3E49">
        <w:rPr>
          <w:szCs w:val="24"/>
          <w:lang w:val="en-US"/>
        </w:rPr>
        <w:t>One possible solution</w:t>
      </w:r>
      <w:r w:rsidR="00C94892">
        <w:rPr>
          <w:szCs w:val="24"/>
          <w:lang w:val="en-US"/>
        </w:rPr>
        <w:t xml:space="preserve"> is to create conservation landscapes that surround and link </w:t>
      </w:r>
      <w:r w:rsidR="00626312">
        <w:rPr>
          <w:szCs w:val="24"/>
          <w:lang w:val="en-US"/>
        </w:rPr>
        <w:t>these</w:t>
      </w:r>
      <w:r w:rsidR="00C94892">
        <w:rPr>
          <w:szCs w:val="24"/>
          <w:lang w:val="en-US"/>
        </w:rPr>
        <w:t xml:space="preserve"> P</w:t>
      </w:r>
      <w:r w:rsidR="000D3ABC">
        <w:rPr>
          <w:szCs w:val="24"/>
          <w:lang w:val="en-US"/>
        </w:rPr>
        <w:t>A</w:t>
      </w:r>
      <w:r w:rsidR="00C94892">
        <w:rPr>
          <w:szCs w:val="24"/>
          <w:lang w:val="en-US"/>
        </w:rPr>
        <w:t>s</w:t>
      </w:r>
      <w:r w:rsidR="000D3ABC">
        <w:rPr>
          <w:szCs w:val="24"/>
          <w:lang w:val="en-US"/>
        </w:rPr>
        <w:t xml:space="preserve">. This </w:t>
      </w:r>
      <w:r w:rsidR="00626312">
        <w:rPr>
          <w:szCs w:val="24"/>
          <w:lang w:val="en-US"/>
        </w:rPr>
        <w:t xml:space="preserve">often involves </w:t>
      </w:r>
      <w:r w:rsidR="00BB3E49">
        <w:rPr>
          <w:szCs w:val="24"/>
          <w:lang w:val="en-US"/>
        </w:rPr>
        <w:t xml:space="preserve">working with a range of landowners and agencies to develop </w:t>
      </w:r>
      <w:r w:rsidR="00626312" w:rsidRPr="00195703">
        <w:rPr>
          <w:szCs w:val="24"/>
          <w:lang w:val="en-US"/>
        </w:rPr>
        <w:t>large-scale conservation initiatives</w:t>
      </w:r>
      <w:r w:rsidR="00626312">
        <w:rPr>
          <w:szCs w:val="24"/>
          <w:lang w:val="en-US"/>
        </w:rPr>
        <w:t xml:space="preserve"> (LSCIs)</w:t>
      </w:r>
      <w:r w:rsidR="00BB3E49">
        <w:rPr>
          <w:szCs w:val="24"/>
          <w:lang w:val="en-US"/>
        </w:rPr>
        <w:t>.</w:t>
      </w:r>
      <w:r w:rsidR="00626312">
        <w:rPr>
          <w:szCs w:val="24"/>
          <w:lang w:val="en-US"/>
        </w:rPr>
        <w:t xml:space="preserve"> T</w:t>
      </w:r>
      <w:r w:rsidR="00896924">
        <w:rPr>
          <w:szCs w:val="24"/>
          <w:lang w:val="en-US"/>
        </w:rPr>
        <w:t>h</w:t>
      </w:r>
      <w:r w:rsidR="00626312">
        <w:rPr>
          <w:szCs w:val="24"/>
          <w:lang w:val="en-US"/>
        </w:rPr>
        <w:t>ese initiatives</w:t>
      </w:r>
      <w:r w:rsidR="00896924">
        <w:rPr>
          <w:szCs w:val="24"/>
          <w:lang w:val="en-US"/>
        </w:rPr>
        <w:t xml:space="preserve"> </w:t>
      </w:r>
      <w:r w:rsidR="00626312">
        <w:rPr>
          <w:szCs w:val="24"/>
          <w:lang w:val="en-US"/>
        </w:rPr>
        <w:t>are</w:t>
      </w:r>
      <w:r w:rsidR="00896924">
        <w:rPr>
          <w:szCs w:val="24"/>
          <w:lang w:val="en-US"/>
        </w:rPr>
        <w:t xml:space="preserve"> being championed</w:t>
      </w:r>
      <w:r w:rsidR="00626312">
        <w:rPr>
          <w:szCs w:val="24"/>
          <w:lang w:val="en-US"/>
        </w:rPr>
        <w:t xml:space="preserve"> </w:t>
      </w:r>
      <w:r w:rsidR="00896924">
        <w:rPr>
          <w:szCs w:val="24"/>
          <w:lang w:val="en-US"/>
        </w:rPr>
        <w:t xml:space="preserve">by </w:t>
      </w:r>
      <w:r w:rsidR="00195703">
        <w:rPr>
          <w:szCs w:val="24"/>
          <w:lang w:val="en-US"/>
        </w:rPr>
        <w:t>both</w:t>
      </w:r>
      <w:r w:rsidR="00B45680">
        <w:rPr>
          <w:szCs w:val="24"/>
          <w:lang w:val="en-US"/>
        </w:rPr>
        <w:t xml:space="preserve"> government and</w:t>
      </w:r>
      <w:r w:rsidR="00896924">
        <w:rPr>
          <w:szCs w:val="24"/>
          <w:lang w:val="en-US"/>
        </w:rPr>
        <w:t xml:space="preserve"> civil society</w:t>
      </w:r>
      <w:r w:rsidR="00626312">
        <w:rPr>
          <w:szCs w:val="24"/>
          <w:lang w:val="en-US"/>
        </w:rPr>
        <w:t xml:space="preserve">, but we lack data on whether such landscape-level approaches overcome the limitations </w:t>
      </w:r>
      <w:r w:rsidR="00C76CA6">
        <w:rPr>
          <w:szCs w:val="24"/>
          <w:lang w:val="en-US"/>
        </w:rPr>
        <w:t xml:space="preserve">of </w:t>
      </w:r>
      <w:r w:rsidR="00626312">
        <w:rPr>
          <w:szCs w:val="24"/>
          <w:lang w:val="en-US"/>
        </w:rPr>
        <w:t>more traditional PA networks</w:t>
      </w:r>
      <w:r w:rsidR="00195703">
        <w:rPr>
          <w:szCs w:val="24"/>
          <w:lang w:val="en-US"/>
        </w:rPr>
        <w:t>.</w:t>
      </w:r>
      <w:r w:rsidR="00896924">
        <w:rPr>
          <w:szCs w:val="24"/>
          <w:lang w:val="en-US"/>
        </w:rPr>
        <w:t xml:space="preserve"> </w:t>
      </w:r>
      <w:r w:rsidR="00207237" w:rsidRPr="00207237">
        <w:rPr>
          <w:szCs w:val="24"/>
          <w:lang w:val="en-US"/>
        </w:rPr>
        <w:t xml:space="preserve">Here we expand on a </w:t>
      </w:r>
      <w:r w:rsidR="00095AF5">
        <w:rPr>
          <w:szCs w:val="24"/>
          <w:lang w:val="en-US"/>
        </w:rPr>
        <w:t xml:space="preserve">previous </w:t>
      </w:r>
      <w:r w:rsidR="00207237" w:rsidRPr="00207237">
        <w:rPr>
          <w:szCs w:val="24"/>
          <w:lang w:val="en-US"/>
        </w:rPr>
        <w:t>gap analysis</w:t>
      </w:r>
      <w:r w:rsidR="00F57044">
        <w:rPr>
          <w:szCs w:val="24"/>
          <w:lang w:val="en-US"/>
        </w:rPr>
        <w:t xml:space="preserve"> of England</w:t>
      </w:r>
      <w:r w:rsidR="00207237" w:rsidRPr="00207237">
        <w:rPr>
          <w:szCs w:val="24"/>
          <w:lang w:val="en-US"/>
        </w:rPr>
        <w:t xml:space="preserve"> </w:t>
      </w:r>
      <w:r w:rsidR="00207237">
        <w:rPr>
          <w:szCs w:val="24"/>
          <w:lang w:val="en-US"/>
        </w:rPr>
        <w:t xml:space="preserve">to explore </w:t>
      </w:r>
      <w:r w:rsidR="00F15CD4">
        <w:rPr>
          <w:szCs w:val="24"/>
          <w:lang w:val="en-US"/>
        </w:rPr>
        <w:t xml:space="preserve">to what </w:t>
      </w:r>
      <w:r w:rsidR="00626312">
        <w:rPr>
          <w:szCs w:val="24"/>
          <w:lang w:val="en-US"/>
        </w:rPr>
        <w:t xml:space="preserve">extent </w:t>
      </w:r>
      <w:r w:rsidR="00F61753" w:rsidRPr="005254CE">
        <w:rPr>
          <w:szCs w:val="24"/>
          <w:lang w:val="en-US"/>
        </w:rPr>
        <w:t xml:space="preserve">LSCIs </w:t>
      </w:r>
      <w:r w:rsidR="005C2343">
        <w:rPr>
          <w:szCs w:val="24"/>
          <w:lang w:val="en-US"/>
        </w:rPr>
        <w:t>improve</w:t>
      </w:r>
      <w:r w:rsidR="003D6601">
        <w:rPr>
          <w:szCs w:val="24"/>
          <w:lang w:val="en-US"/>
        </w:rPr>
        <w:t xml:space="preserve"> the</w:t>
      </w:r>
      <w:r w:rsidR="005C2343">
        <w:rPr>
          <w:szCs w:val="24"/>
          <w:lang w:val="en-US"/>
        </w:rPr>
        <w:t xml:space="preserve"> representation of different </w:t>
      </w:r>
      <w:r w:rsidR="0021034B" w:rsidRPr="005C2343">
        <w:rPr>
          <w:szCs w:val="24"/>
          <w:lang w:val="en-US"/>
        </w:rPr>
        <w:t>ecoregions, land-cover types and elevation zones</w:t>
      </w:r>
      <w:r w:rsidR="00F15CD4">
        <w:rPr>
          <w:szCs w:val="24"/>
          <w:lang w:val="en-US"/>
        </w:rPr>
        <w:t xml:space="preserve"> compare</w:t>
      </w:r>
      <w:r w:rsidR="003D6601">
        <w:rPr>
          <w:szCs w:val="24"/>
          <w:lang w:val="en-US"/>
        </w:rPr>
        <w:t>d</w:t>
      </w:r>
      <w:r w:rsidR="00F15CD4">
        <w:rPr>
          <w:szCs w:val="24"/>
          <w:lang w:val="en-US"/>
        </w:rPr>
        <w:t xml:space="preserve"> to the current PA system. </w:t>
      </w:r>
      <w:r w:rsidR="009F485E" w:rsidRPr="005254CE">
        <w:t xml:space="preserve">Our results </w:t>
      </w:r>
      <w:r w:rsidR="00C3107C" w:rsidRPr="005254CE">
        <w:t xml:space="preserve">show </w:t>
      </w:r>
      <w:r w:rsidR="00F65A32">
        <w:t xml:space="preserve">the </w:t>
      </w:r>
      <w:r w:rsidR="005C2343">
        <w:t>traditional</w:t>
      </w:r>
      <w:r w:rsidR="009F485E" w:rsidRPr="005254CE">
        <w:t xml:space="preserve"> </w:t>
      </w:r>
      <w:r w:rsidR="00C94892">
        <w:t>PA</w:t>
      </w:r>
      <w:r w:rsidR="005254CE">
        <w:t xml:space="preserve"> </w:t>
      </w:r>
      <w:r w:rsidR="00F65A32">
        <w:t>system</w:t>
      </w:r>
      <w:r w:rsidR="007757F8">
        <w:t xml:space="preserve"> covers 6.</w:t>
      </w:r>
      <w:r w:rsidR="00076E15">
        <w:t>37</w:t>
      </w:r>
      <w:r w:rsidR="007757F8">
        <w:t xml:space="preserve">% of England, </w:t>
      </w:r>
      <w:r w:rsidR="00A96325">
        <w:t>an addition of</w:t>
      </w:r>
      <w:r w:rsidR="007757F8">
        <w:t xml:space="preserve"> only</w:t>
      </w:r>
      <w:r w:rsidR="009F485E">
        <w:t xml:space="preserve"> 0.07%</w:t>
      </w:r>
      <w:r w:rsidR="005254CE">
        <w:t xml:space="preserve"> </w:t>
      </w:r>
      <w:r w:rsidR="00F65A32">
        <w:t>since 2001</w:t>
      </w:r>
      <w:r w:rsidR="00095AF5">
        <w:t xml:space="preserve">, </w:t>
      </w:r>
      <w:r w:rsidR="00F334BF">
        <w:t xml:space="preserve">and that it is </w:t>
      </w:r>
      <w:r w:rsidR="005C2343">
        <w:t>an ecologically unrepresentative network</w:t>
      </w:r>
      <w:r w:rsidR="00C94892">
        <w:t xml:space="preserve"> </w:t>
      </w:r>
      <w:r w:rsidR="005C2343">
        <w:t>that</w:t>
      </w:r>
      <w:r w:rsidR="00C94892">
        <w:t xml:space="preserve"> </w:t>
      </w:r>
      <w:r w:rsidR="005C2343">
        <w:t xml:space="preserve">mostly protects </w:t>
      </w:r>
      <w:r w:rsidR="005C2343">
        <w:rPr>
          <w:szCs w:val="24"/>
        </w:rPr>
        <w:t xml:space="preserve">agriculturally unproductive </w:t>
      </w:r>
      <w:r w:rsidR="00337CC4">
        <w:t>land</w:t>
      </w:r>
      <w:r w:rsidR="009F485E">
        <w:t xml:space="preserve">. </w:t>
      </w:r>
      <w:r w:rsidR="00EB094E">
        <w:t xml:space="preserve">Including </w:t>
      </w:r>
      <w:r w:rsidR="009F485E">
        <w:t>LSCIs</w:t>
      </w:r>
      <w:r w:rsidR="004A2044">
        <w:t xml:space="preserve"> in the analysis</w:t>
      </w:r>
      <w:r w:rsidR="009F485E">
        <w:t xml:space="preserve"> increases the </w:t>
      </w:r>
      <w:r w:rsidR="00F65A32">
        <w:t>land</w:t>
      </w:r>
      <w:r w:rsidR="009F485E">
        <w:t xml:space="preserve"> for conservation</w:t>
      </w:r>
      <w:r w:rsidR="00E00013">
        <w:t xml:space="preserve"> more than tenfold</w:t>
      </w:r>
      <w:r w:rsidR="009F485E">
        <w:t xml:space="preserve"> and reduces</w:t>
      </w:r>
      <w:r w:rsidR="00EB094E">
        <w:t xml:space="preserve"> these</w:t>
      </w:r>
      <w:r w:rsidR="009F485E">
        <w:t xml:space="preserve"> </w:t>
      </w:r>
      <w:r w:rsidR="00E00013">
        <w:t xml:space="preserve">representation </w:t>
      </w:r>
      <w:r w:rsidR="009F485E">
        <w:t>biases</w:t>
      </w:r>
      <w:r w:rsidR="002F5CDF">
        <w:t>.</w:t>
      </w:r>
      <w:r w:rsidR="00F65A32">
        <w:t xml:space="preserve"> However,</w:t>
      </w:r>
      <w:r w:rsidR="00EB094E">
        <w:t xml:space="preserve"> </w:t>
      </w:r>
      <w:r w:rsidR="00184613">
        <w:t xml:space="preserve">only </w:t>
      </w:r>
      <w:r w:rsidR="00E432F0">
        <w:t>24</w:t>
      </w:r>
      <w:r w:rsidR="00184613">
        <w:t>% of</w:t>
      </w:r>
      <w:r w:rsidR="00E61B74">
        <w:t xml:space="preserve"> </w:t>
      </w:r>
      <w:r w:rsidR="00195DE4">
        <w:t xml:space="preserve">land </w:t>
      </w:r>
      <w:r w:rsidR="00E61B74">
        <w:t xml:space="preserve">within LSCIs is </w:t>
      </w:r>
      <w:r w:rsidR="00F65A32">
        <w:t xml:space="preserve">currently </w:t>
      </w:r>
      <w:r w:rsidR="00195DE4">
        <w:t>under conservation management</w:t>
      </w:r>
      <w:r w:rsidR="002F5CDF">
        <w:t>,</w:t>
      </w:r>
      <w:r w:rsidR="00184613">
        <w:t xml:space="preserve"> mostly funded through agri-</w:t>
      </w:r>
      <w:r w:rsidR="000D3ABC">
        <w:t>e</w:t>
      </w:r>
      <w:r w:rsidR="00184613">
        <w:t>nvironment schemes</w:t>
      </w:r>
      <w:r w:rsidR="002F5CDF">
        <w:t>,</w:t>
      </w:r>
      <w:r w:rsidR="002F5CDF" w:rsidRPr="002F5CDF">
        <w:t xml:space="preserve"> and limited monitoring data mean that their contribution to con</w:t>
      </w:r>
      <w:r w:rsidR="002F5CDF">
        <w:t>servation objectives is unclear</w:t>
      </w:r>
      <w:r w:rsidR="00195DE4">
        <w:t xml:space="preserve">. </w:t>
      </w:r>
      <w:r w:rsidR="00057E16">
        <w:t xml:space="preserve">There is also </w:t>
      </w:r>
      <w:r w:rsidR="00057E16" w:rsidRPr="00201A20">
        <w:rPr>
          <w:rFonts w:cstheme="minorHAnsi"/>
        </w:rPr>
        <w:t>a considerable spatial overlap between LSCIs</w:t>
      </w:r>
      <w:r w:rsidR="00F57044">
        <w:rPr>
          <w:rFonts w:cstheme="minorHAnsi"/>
        </w:rPr>
        <w:t xml:space="preserve">, </w:t>
      </w:r>
      <w:r w:rsidR="00AA51E8">
        <w:rPr>
          <w:rFonts w:cstheme="minorHAnsi"/>
        </w:rPr>
        <w:t>which</w:t>
      </w:r>
      <w:r w:rsidR="00F57044">
        <w:rPr>
          <w:rFonts w:cstheme="minorHAnsi"/>
        </w:rPr>
        <w:t xml:space="preserve"> are</w:t>
      </w:r>
      <w:r w:rsidR="00057E16" w:rsidRPr="00201A20">
        <w:rPr>
          <w:rFonts w:cstheme="minorHAnsi"/>
        </w:rPr>
        <w:t xml:space="preserve"> managed by different organisations</w:t>
      </w:r>
      <w:r w:rsidR="00057E16">
        <w:rPr>
          <w:rFonts w:cstheme="minorHAnsi"/>
        </w:rPr>
        <w:t xml:space="preserve"> </w:t>
      </w:r>
      <w:r w:rsidR="00F57044">
        <w:rPr>
          <w:szCs w:val="24"/>
        </w:rPr>
        <w:t xml:space="preserve">with different </w:t>
      </w:r>
      <w:r w:rsidR="00057E16">
        <w:rPr>
          <w:szCs w:val="24"/>
        </w:rPr>
        <w:t xml:space="preserve">conservation objectives. </w:t>
      </w:r>
      <w:r w:rsidR="00F57044">
        <w:rPr>
          <w:szCs w:val="24"/>
        </w:rPr>
        <w:t xml:space="preserve">Our analysis is the first to show </w:t>
      </w:r>
      <w:r w:rsidR="00A40615">
        <w:rPr>
          <w:szCs w:val="24"/>
        </w:rPr>
        <w:t>how</w:t>
      </w:r>
      <w:r w:rsidR="00F57044">
        <w:rPr>
          <w:szCs w:val="24"/>
        </w:rPr>
        <w:t xml:space="preserve"> </w:t>
      </w:r>
      <w:r w:rsidR="00A40615" w:rsidRPr="00A40615">
        <w:rPr>
          <w:szCs w:val="24"/>
        </w:rPr>
        <w:t>Other Effective Area-Based Conservation Measures</w:t>
      </w:r>
      <w:r w:rsidR="00A40615">
        <w:rPr>
          <w:szCs w:val="24"/>
        </w:rPr>
        <w:t xml:space="preserve"> (OECMs) </w:t>
      </w:r>
      <w:r w:rsidR="002F5CDF">
        <w:rPr>
          <w:szCs w:val="24"/>
        </w:rPr>
        <w:t xml:space="preserve">can increase the </w:t>
      </w:r>
      <w:r w:rsidR="00F57044">
        <w:rPr>
          <w:szCs w:val="24"/>
        </w:rPr>
        <w:t>representative</w:t>
      </w:r>
      <w:r w:rsidR="002F5CDF">
        <w:rPr>
          <w:szCs w:val="24"/>
        </w:rPr>
        <w:t>ness</w:t>
      </w:r>
      <w:r w:rsidR="00F57044">
        <w:rPr>
          <w:szCs w:val="24"/>
        </w:rPr>
        <w:t xml:space="preserve"> </w:t>
      </w:r>
      <w:r w:rsidR="002F5CDF">
        <w:rPr>
          <w:szCs w:val="24"/>
        </w:rPr>
        <w:t xml:space="preserve">of </w:t>
      </w:r>
      <w:r w:rsidR="00F57044">
        <w:rPr>
          <w:szCs w:val="24"/>
        </w:rPr>
        <w:t xml:space="preserve">conservation area networks, and </w:t>
      </w:r>
      <w:r w:rsidR="00E0544D">
        <w:rPr>
          <w:szCs w:val="24"/>
        </w:rPr>
        <w:t>highlights</w:t>
      </w:r>
      <w:r w:rsidR="00F57044">
        <w:rPr>
          <w:szCs w:val="24"/>
        </w:rPr>
        <w:t xml:space="preserve"> </w:t>
      </w:r>
      <w:r w:rsidR="002F5CDF">
        <w:rPr>
          <w:szCs w:val="24"/>
        </w:rPr>
        <w:t>opportunities</w:t>
      </w:r>
      <w:r w:rsidR="00F57044">
        <w:rPr>
          <w:szCs w:val="24"/>
        </w:rPr>
        <w:t xml:space="preserve"> </w:t>
      </w:r>
      <w:r w:rsidR="00E0544D">
        <w:rPr>
          <w:rFonts w:cstheme="minorHAnsi"/>
        </w:rPr>
        <w:t>for</w:t>
      </w:r>
      <w:r w:rsidR="00E0544D">
        <w:t xml:space="preserve"> increased </w:t>
      </w:r>
      <w:r w:rsidR="009F485E">
        <w:t xml:space="preserve">collaboration between </w:t>
      </w:r>
      <w:r w:rsidR="00E0544D">
        <w:t xml:space="preserve">conservation </w:t>
      </w:r>
      <w:r w:rsidR="00195DE4">
        <w:t>organisations</w:t>
      </w:r>
      <w:r w:rsidR="001D6887">
        <w:t xml:space="preserve"> and</w:t>
      </w:r>
      <w:r w:rsidR="009F485E">
        <w:t xml:space="preserve"> </w:t>
      </w:r>
      <w:r w:rsidR="00E0544D">
        <w:t xml:space="preserve">engagement </w:t>
      </w:r>
      <w:r w:rsidR="001D6887">
        <w:t>with</w:t>
      </w:r>
      <w:r w:rsidR="009F485E">
        <w:t xml:space="preserve"> landowners</w:t>
      </w:r>
      <w:r w:rsidR="00E61B74">
        <w:t>.</w:t>
      </w:r>
      <w:r w:rsidR="003D6601">
        <w:br w:type="page"/>
      </w:r>
    </w:p>
    <w:p w14:paraId="3FFF23C8" w14:textId="12EF4799" w:rsidR="00642653" w:rsidRPr="00DA6E6F" w:rsidRDefault="00642653" w:rsidP="00652C11">
      <w:pPr>
        <w:spacing w:line="480" w:lineRule="auto"/>
        <w:rPr>
          <w:sz w:val="28"/>
          <w:szCs w:val="28"/>
        </w:rPr>
      </w:pPr>
      <w:r w:rsidRPr="00DA6E6F">
        <w:rPr>
          <w:sz w:val="28"/>
          <w:szCs w:val="28"/>
        </w:rPr>
        <w:lastRenderedPageBreak/>
        <w:t>1.</w:t>
      </w:r>
      <w:r>
        <w:rPr>
          <w:sz w:val="28"/>
          <w:szCs w:val="28"/>
        </w:rPr>
        <w:t xml:space="preserve"> </w:t>
      </w:r>
      <w:r w:rsidRPr="00C06EAB">
        <w:rPr>
          <w:rStyle w:val="Heading2Char"/>
        </w:rPr>
        <w:t>Introduction</w:t>
      </w:r>
      <w:r w:rsidRPr="00DA6E6F">
        <w:rPr>
          <w:sz w:val="28"/>
          <w:szCs w:val="28"/>
        </w:rPr>
        <w:t xml:space="preserve"> </w:t>
      </w:r>
    </w:p>
    <w:p w14:paraId="3A0C7E68" w14:textId="10CB80FE" w:rsidR="00642653" w:rsidRDefault="00366D5C" w:rsidP="00C825F4">
      <w:pPr>
        <w:spacing w:line="480" w:lineRule="auto"/>
        <w:rPr>
          <w:szCs w:val="24"/>
        </w:rPr>
      </w:pPr>
      <w:r w:rsidRPr="00366D5C">
        <w:rPr>
          <w:szCs w:val="24"/>
        </w:rPr>
        <w:t xml:space="preserve">Terrestrial biodiversity is </w:t>
      </w:r>
      <w:r w:rsidR="006E2646">
        <w:rPr>
          <w:szCs w:val="24"/>
        </w:rPr>
        <w:t>under</w:t>
      </w:r>
      <w:r w:rsidR="006E2646" w:rsidRPr="00366D5C">
        <w:rPr>
          <w:szCs w:val="24"/>
        </w:rPr>
        <w:t xml:space="preserve"> </w:t>
      </w:r>
      <w:r w:rsidRPr="00366D5C">
        <w:rPr>
          <w:szCs w:val="24"/>
        </w:rPr>
        <w:t>unprecedented</w:t>
      </w:r>
      <w:r w:rsidR="005B5EC9">
        <w:rPr>
          <w:szCs w:val="24"/>
        </w:rPr>
        <w:t xml:space="preserve"> </w:t>
      </w:r>
      <w:r w:rsidRPr="00366D5C">
        <w:rPr>
          <w:szCs w:val="24"/>
        </w:rPr>
        <w:t>pressure, despite intensifying conservation efforts</w:t>
      </w:r>
      <w:r>
        <w:rPr>
          <w:szCs w:val="24"/>
        </w:rPr>
        <w:t xml:space="preserve">. </w:t>
      </w:r>
      <w:r w:rsidR="007F2D05">
        <w:rPr>
          <w:szCs w:val="24"/>
        </w:rPr>
        <w:t>P</w:t>
      </w:r>
      <w:r>
        <w:rPr>
          <w:szCs w:val="24"/>
        </w:rPr>
        <w:t xml:space="preserve">rotected areas (PAs) </w:t>
      </w:r>
      <w:r w:rsidR="006E2646">
        <w:rPr>
          <w:szCs w:val="24"/>
        </w:rPr>
        <w:t>have long been used</w:t>
      </w:r>
      <w:r w:rsidR="007F2D05">
        <w:rPr>
          <w:szCs w:val="24"/>
        </w:rPr>
        <w:t xml:space="preserve"> to mitigate these threats by</w:t>
      </w:r>
      <w:r>
        <w:rPr>
          <w:szCs w:val="24"/>
        </w:rPr>
        <w:t xml:space="preserve"> </w:t>
      </w:r>
      <w:r w:rsidR="007F2D05">
        <w:rPr>
          <w:szCs w:val="24"/>
        </w:rPr>
        <w:t xml:space="preserve">separating </w:t>
      </w:r>
      <w:r>
        <w:rPr>
          <w:szCs w:val="24"/>
        </w:rPr>
        <w:t>biodiversity and incompatible land uses</w:t>
      </w:r>
      <w:r w:rsidR="004C4F63">
        <w:rPr>
          <w:szCs w:val="24"/>
        </w:rPr>
        <w:t>,</w:t>
      </w:r>
      <w:r w:rsidR="00690CD2">
        <w:t xml:space="preserve"> </w:t>
      </w:r>
      <w:r w:rsidR="006E2646">
        <w:rPr>
          <w:szCs w:val="24"/>
        </w:rPr>
        <w:t>and</w:t>
      </w:r>
      <w:r w:rsidR="00642653">
        <w:rPr>
          <w:szCs w:val="24"/>
        </w:rPr>
        <w:t xml:space="preserve"> </w:t>
      </w:r>
      <w:r w:rsidR="006E2646">
        <w:rPr>
          <w:szCs w:val="24"/>
        </w:rPr>
        <w:t xml:space="preserve">now </w:t>
      </w:r>
      <w:r w:rsidR="00642653">
        <w:rPr>
          <w:szCs w:val="24"/>
        </w:rPr>
        <w:t>cover 14</w:t>
      </w:r>
      <w:r w:rsidR="005B5EC9">
        <w:rPr>
          <w:szCs w:val="24"/>
        </w:rPr>
        <w:t>.6</w:t>
      </w:r>
      <w:r w:rsidR="00642653">
        <w:rPr>
          <w:szCs w:val="24"/>
        </w:rPr>
        <w:t xml:space="preserve">% of </w:t>
      </w:r>
      <w:r w:rsidR="00082AB0">
        <w:rPr>
          <w:szCs w:val="24"/>
        </w:rPr>
        <w:t xml:space="preserve">the </w:t>
      </w:r>
      <w:r w:rsidR="005470B8">
        <w:rPr>
          <w:szCs w:val="24"/>
        </w:rPr>
        <w:t xml:space="preserve">global terrestrial realm </w:t>
      </w:r>
      <w:r w:rsidR="00416A0A" w:rsidRPr="00416A0A">
        <w:t>(</w:t>
      </w:r>
      <w:r w:rsidR="0080550D">
        <w:t>Watson et al. 2014</w:t>
      </w:r>
      <w:r w:rsidR="00416A0A" w:rsidRPr="00416A0A">
        <w:t>)</w:t>
      </w:r>
      <w:r w:rsidR="006E2646">
        <w:rPr>
          <w:szCs w:val="24"/>
        </w:rPr>
        <w:t>. Moreover, PA networks</w:t>
      </w:r>
      <w:r w:rsidR="00DF32BD">
        <w:rPr>
          <w:szCs w:val="24"/>
        </w:rPr>
        <w:t xml:space="preserve"> </w:t>
      </w:r>
      <w:r w:rsidRPr="00366D5C">
        <w:rPr>
          <w:szCs w:val="24"/>
        </w:rPr>
        <w:t xml:space="preserve">are </w:t>
      </w:r>
      <w:r w:rsidR="00A363F1">
        <w:rPr>
          <w:szCs w:val="24"/>
        </w:rPr>
        <w:t>continuing to expand</w:t>
      </w:r>
      <w:r w:rsidRPr="00366D5C">
        <w:rPr>
          <w:szCs w:val="24"/>
        </w:rPr>
        <w:t xml:space="preserve">, </w:t>
      </w:r>
      <w:r w:rsidR="007F2D05">
        <w:rPr>
          <w:szCs w:val="24"/>
        </w:rPr>
        <w:t>as</w:t>
      </w:r>
      <w:r w:rsidRPr="00366D5C">
        <w:rPr>
          <w:szCs w:val="24"/>
        </w:rPr>
        <w:t xml:space="preserve"> most national governments have committed to increase the proportion of their </w:t>
      </w:r>
      <w:r w:rsidR="007F2D05">
        <w:rPr>
          <w:szCs w:val="24"/>
        </w:rPr>
        <w:t xml:space="preserve">land surface under </w:t>
      </w:r>
      <w:r w:rsidRPr="00366D5C">
        <w:rPr>
          <w:szCs w:val="24"/>
        </w:rPr>
        <w:t xml:space="preserve">conservation to 17% by 2020 </w:t>
      </w:r>
      <w:r w:rsidR="004421A4" w:rsidRPr="004421A4">
        <w:t>(CBD, 2011)</w:t>
      </w:r>
      <w:r w:rsidR="00642653">
        <w:rPr>
          <w:szCs w:val="24"/>
        </w:rPr>
        <w:t xml:space="preserve">. However, even </w:t>
      </w:r>
      <w:r w:rsidR="002D3B9F">
        <w:rPr>
          <w:szCs w:val="24"/>
        </w:rPr>
        <w:t>with this new commitment</w:t>
      </w:r>
      <w:r w:rsidR="00642653">
        <w:rPr>
          <w:szCs w:val="24"/>
        </w:rPr>
        <w:t xml:space="preserve">, </w:t>
      </w:r>
      <w:r w:rsidR="00924C81">
        <w:rPr>
          <w:szCs w:val="24"/>
        </w:rPr>
        <w:t xml:space="preserve">conservation </w:t>
      </w:r>
      <w:r w:rsidR="007F2D05">
        <w:rPr>
          <w:szCs w:val="24"/>
        </w:rPr>
        <w:t xml:space="preserve">success </w:t>
      </w:r>
      <w:r w:rsidR="008B44A9">
        <w:rPr>
          <w:szCs w:val="24"/>
        </w:rPr>
        <w:t xml:space="preserve">is </w:t>
      </w:r>
      <w:r w:rsidR="00642653">
        <w:rPr>
          <w:szCs w:val="24"/>
        </w:rPr>
        <w:t>far from guaranteed</w:t>
      </w:r>
      <w:r w:rsidR="000016CA">
        <w:rPr>
          <w:szCs w:val="24"/>
        </w:rPr>
        <w:t xml:space="preserve"> (</w:t>
      </w:r>
      <w:r w:rsidR="000016CA" w:rsidRPr="000016CA">
        <w:rPr>
          <w:szCs w:val="24"/>
        </w:rPr>
        <w:t>Venter et al., 2014</w:t>
      </w:r>
      <w:r w:rsidR="000016CA">
        <w:rPr>
          <w:szCs w:val="24"/>
        </w:rPr>
        <w:t>)</w:t>
      </w:r>
      <w:r w:rsidR="00642653">
        <w:rPr>
          <w:szCs w:val="24"/>
        </w:rPr>
        <w:t xml:space="preserve">. </w:t>
      </w:r>
      <w:r w:rsidR="007F2D05">
        <w:rPr>
          <w:szCs w:val="24"/>
        </w:rPr>
        <w:t xml:space="preserve">This is because </w:t>
      </w:r>
      <w:r w:rsidR="00402281">
        <w:rPr>
          <w:szCs w:val="24"/>
        </w:rPr>
        <w:t>PA</w:t>
      </w:r>
      <w:r w:rsidR="007F2D05">
        <w:rPr>
          <w:szCs w:val="24"/>
        </w:rPr>
        <w:t xml:space="preserve"> networks </w:t>
      </w:r>
      <w:r w:rsidR="00FF154B">
        <w:rPr>
          <w:szCs w:val="24"/>
        </w:rPr>
        <w:t xml:space="preserve">have </w:t>
      </w:r>
      <w:r w:rsidR="00395EF2">
        <w:rPr>
          <w:szCs w:val="24"/>
        </w:rPr>
        <w:t xml:space="preserve">often </w:t>
      </w:r>
      <w:r w:rsidR="007F2D05">
        <w:rPr>
          <w:szCs w:val="24"/>
        </w:rPr>
        <w:t xml:space="preserve">developed in an </w:t>
      </w:r>
      <w:r w:rsidR="007F2D05" w:rsidRPr="00F14970">
        <w:rPr>
          <w:i/>
          <w:szCs w:val="24"/>
        </w:rPr>
        <w:t>ad hoc</w:t>
      </w:r>
      <w:r w:rsidR="007F2D05">
        <w:rPr>
          <w:szCs w:val="24"/>
        </w:rPr>
        <w:t xml:space="preserve"> manner and </w:t>
      </w:r>
      <w:r w:rsidR="003158A6">
        <w:rPr>
          <w:szCs w:val="24"/>
        </w:rPr>
        <w:t xml:space="preserve">have </w:t>
      </w:r>
      <w:r w:rsidR="00D97DC0">
        <w:rPr>
          <w:szCs w:val="24"/>
        </w:rPr>
        <w:t xml:space="preserve">three </w:t>
      </w:r>
      <w:r w:rsidR="00402281">
        <w:rPr>
          <w:szCs w:val="24"/>
        </w:rPr>
        <w:t xml:space="preserve">features </w:t>
      </w:r>
      <w:r w:rsidR="007F2D05">
        <w:rPr>
          <w:szCs w:val="24"/>
        </w:rPr>
        <w:t xml:space="preserve">that </w:t>
      </w:r>
      <w:r w:rsidR="00402281">
        <w:rPr>
          <w:szCs w:val="24"/>
        </w:rPr>
        <w:t xml:space="preserve">limit their </w:t>
      </w:r>
      <w:r w:rsidR="005B5EC9">
        <w:rPr>
          <w:szCs w:val="24"/>
        </w:rPr>
        <w:t>effectiveness</w:t>
      </w:r>
      <w:r w:rsidR="00642653">
        <w:rPr>
          <w:szCs w:val="24"/>
        </w:rPr>
        <w:t xml:space="preserve">. First, </w:t>
      </w:r>
      <w:r w:rsidR="005B5EC9">
        <w:rPr>
          <w:szCs w:val="24"/>
        </w:rPr>
        <w:t xml:space="preserve">many </w:t>
      </w:r>
      <w:r w:rsidR="00642653">
        <w:rPr>
          <w:szCs w:val="24"/>
        </w:rPr>
        <w:t>PAs are small</w:t>
      </w:r>
      <w:r w:rsidR="00670A4A">
        <w:rPr>
          <w:szCs w:val="24"/>
        </w:rPr>
        <w:t xml:space="preserve"> and </w:t>
      </w:r>
      <w:r w:rsidR="00642653">
        <w:rPr>
          <w:szCs w:val="24"/>
        </w:rPr>
        <w:t>isolated</w:t>
      </w:r>
      <w:r>
        <w:rPr>
          <w:szCs w:val="24"/>
        </w:rPr>
        <w:t>,</w:t>
      </w:r>
      <w:r w:rsidR="00642653">
        <w:rPr>
          <w:szCs w:val="24"/>
        </w:rPr>
        <w:t xml:space="preserve"> and </w:t>
      </w:r>
      <w:r w:rsidR="00670A4A">
        <w:rPr>
          <w:szCs w:val="24"/>
        </w:rPr>
        <w:t>so</w:t>
      </w:r>
      <w:r w:rsidR="00642653">
        <w:rPr>
          <w:szCs w:val="24"/>
        </w:rPr>
        <w:t xml:space="preserve"> </w:t>
      </w:r>
      <w:r w:rsidR="005B5EC9">
        <w:rPr>
          <w:szCs w:val="24"/>
        </w:rPr>
        <w:t>cannot</w:t>
      </w:r>
      <w:r w:rsidR="00670A4A">
        <w:rPr>
          <w:szCs w:val="24"/>
        </w:rPr>
        <w:t xml:space="preserve"> </w:t>
      </w:r>
      <w:r w:rsidR="00642653">
        <w:rPr>
          <w:szCs w:val="24"/>
        </w:rPr>
        <w:t xml:space="preserve">maintain </w:t>
      </w:r>
      <w:r w:rsidR="00670A4A">
        <w:rPr>
          <w:szCs w:val="24"/>
        </w:rPr>
        <w:t xml:space="preserve">broad-scale </w:t>
      </w:r>
      <w:r w:rsidR="00642653">
        <w:rPr>
          <w:szCs w:val="24"/>
        </w:rPr>
        <w:t xml:space="preserve">ecological processes </w:t>
      </w:r>
      <w:r w:rsidR="00670A4A">
        <w:rPr>
          <w:szCs w:val="24"/>
        </w:rPr>
        <w:t xml:space="preserve">or </w:t>
      </w:r>
      <w:r w:rsidR="00642653">
        <w:rPr>
          <w:szCs w:val="24"/>
        </w:rPr>
        <w:t>sustain viable populations</w:t>
      </w:r>
      <w:r w:rsidR="00670A4A">
        <w:rPr>
          <w:szCs w:val="24"/>
        </w:rPr>
        <w:t xml:space="preserve"> of </w:t>
      </w:r>
      <w:r w:rsidR="000A3481">
        <w:rPr>
          <w:szCs w:val="24"/>
        </w:rPr>
        <w:t>wide-ranging</w:t>
      </w:r>
      <w:r w:rsidR="00670A4A">
        <w:rPr>
          <w:szCs w:val="24"/>
        </w:rPr>
        <w:t xml:space="preserve"> species</w:t>
      </w:r>
      <w:r w:rsidR="00642653">
        <w:rPr>
          <w:szCs w:val="24"/>
        </w:rPr>
        <w:t xml:space="preserve"> </w:t>
      </w:r>
      <w:r w:rsidR="004421A4" w:rsidRPr="004421A4">
        <w:t>(Armsworth et al., 2011)</w:t>
      </w:r>
      <w:r w:rsidR="00642653">
        <w:rPr>
          <w:szCs w:val="24"/>
        </w:rPr>
        <w:t xml:space="preserve">. Second, PAs </w:t>
      </w:r>
      <w:r>
        <w:rPr>
          <w:szCs w:val="24"/>
        </w:rPr>
        <w:t xml:space="preserve">are </w:t>
      </w:r>
      <w:r w:rsidR="000A3481">
        <w:rPr>
          <w:szCs w:val="24"/>
        </w:rPr>
        <w:t xml:space="preserve">often </w:t>
      </w:r>
      <w:r w:rsidR="00642653">
        <w:rPr>
          <w:szCs w:val="24"/>
        </w:rPr>
        <w:t xml:space="preserve">placed in remote areas with </w:t>
      </w:r>
      <w:r w:rsidR="000A3481">
        <w:rPr>
          <w:szCs w:val="24"/>
        </w:rPr>
        <w:t xml:space="preserve">little </w:t>
      </w:r>
      <w:r w:rsidR="00642653">
        <w:rPr>
          <w:szCs w:val="24"/>
        </w:rPr>
        <w:t xml:space="preserve">economic potential </w:t>
      </w:r>
      <w:r w:rsidR="00637788" w:rsidRPr="00637788">
        <w:rPr>
          <w:rFonts w:cs="Calibri"/>
        </w:rPr>
        <w:t>(</w:t>
      </w:r>
      <w:r w:rsidR="00667AD6" w:rsidRPr="00A47739">
        <w:t>Joppa</w:t>
      </w:r>
      <w:r w:rsidR="00667AD6">
        <w:t xml:space="preserve"> and Pfaff, 2009</w:t>
      </w:r>
      <w:r w:rsidR="00637788" w:rsidRPr="00637788">
        <w:rPr>
          <w:rFonts w:cs="Calibri"/>
        </w:rPr>
        <w:t>)</w:t>
      </w:r>
      <w:r w:rsidR="000A3481">
        <w:rPr>
          <w:szCs w:val="24"/>
        </w:rPr>
        <w:t>,</w:t>
      </w:r>
      <w:r w:rsidR="00642653">
        <w:rPr>
          <w:szCs w:val="24"/>
        </w:rPr>
        <w:t xml:space="preserve"> </w:t>
      </w:r>
      <w:r w:rsidR="000A3481">
        <w:rPr>
          <w:szCs w:val="24"/>
        </w:rPr>
        <w:t xml:space="preserve">leaving many ecosystems and species poorly </w:t>
      </w:r>
      <w:r w:rsidR="000A3481" w:rsidRPr="00967420">
        <w:rPr>
          <w:szCs w:val="24"/>
        </w:rPr>
        <w:t xml:space="preserve">represented </w:t>
      </w:r>
      <w:r w:rsidR="00642653" w:rsidRPr="00967420">
        <w:rPr>
          <w:szCs w:val="24"/>
        </w:rPr>
        <w:t>(e.g.</w:t>
      </w:r>
      <w:r w:rsidR="001B3BEF">
        <w:rPr>
          <w:szCs w:val="24"/>
        </w:rPr>
        <w:t xml:space="preserve"> Iojă et al., 2010; </w:t>
      </w:r>
      <w:r w:rsidR="004421A4" w:rsidRPr="00967420">
        <w:rPr>
          <w:rFonts w:cs="Times New Roman"/>
          <w:szCs w:val="24"/>
        </w:rPr>
        <w:t>Jackson and Gaston, 2008)</w:t>
      </w:r>
      <w:r w:rsidR="000244BD">
        <w:rPr>
          <w:szCs w:val="24"/>
        </w:rPr>
        <w:t>.</w:t>
      </w:r>
      <w:r w:rsidR="000244BD" w:rsidRPr="000244BD">
        <w:t xml:space="preserve"> </w:t>
      </w:r>
      <w:r w:rsidR="000244BD" w:rsidRPr="000244BD">
        <w:rPr>
          <w:szCs w:val="24"/>
        </w:rPr>
        <w:t>Third, PAs fix conservation efforts in space based on conditions at a certain time, while ecosystems and their threats are dyn</w:t>
      </w:r>
      <w:r w:rsidR="000244BD">
        <w:rPr>
          <w:szCs w:val="24"/>
        </w:rPr>
        <w:t>amic (e.g. Araújo et al., 2011</w:t>
      </w:r>
      <w:r w:rsidR="000244BD" w:rsidRPr="000244BD">
        <w:rPr>
          <w:szCs w:val="24"/>
        </w:rPr>
        <w:t>).</w:t>
      </w:r>
    </w:p>
    <w:p w14:paraId="784274AC" w14:textId="77777777" w:rsidR="00425331" w:rsidRDefault="00425331" w:rsidP="00652C11">
      <w:pPr>
        <w:spacing w:line="480" w:lineRule="auto"/>
      </w:pPr>
    </w:p>
    <w:p w14:paraId="27BE3DFF" w14:textId="69234367" w:rsidR="00016397" w:rsidRDefault="00642653" w:rsidP="00E05BD1">
      <w:pPr>
        <w:spacing w:line="480" w:lineRule="auto"/>
        <w:rPr>
          <w:szCs w:val="24"/>
        </w:rPr>
      </w:pPr>
      <w:r>
        <w:rPr>
          <w:szCs w:val="24"/>
        </w:rPr>
        <w:t>The</w:t>
      </w:r>
      <w:r w:rsidR="000A3481">
        <w:rPr>
          <w:szCs w:val="24"/>
        </w:rPr>
        <w:t>se problems</w:t>
      </w:r>
      <w:r w:rsidR="00823168">
        <w:rPr>
          <w:szCs w:val="24"/>
        </w:rPr>
        <w:t xml:space="preserve"> </w:t>
      </w:r>
      <w:r w:rsidR="000A3481">
        <w:rPr>
          <w:szCs w:val="24"/>
        </w:rPr>
        <w:t>are</w:t>
      </w:r>
      <w:r w:rsidR="00670A4A">
        <w:rPr>
          <w:szCs w:val="24"/>
        </w:rPr>
        <w:t xml:space="preserve"> </w:t>
      </w:r>
      <w:r>
        <w:rPr>
          <w:szCs w:val="24"/>
        </w:rPr>
        <w:t xml:space="preserve">evident in England, </w:t>
      </w:r>
      <w:r w:rsidR="00823168">
        <w:rPr>
          <w:szCs w:val="24"/>
        </w:rPr>
        <w:t xml:space="preserve">where </w:t>
      </w:r>
      <w:r w:rsidR="00402281">
        <w:rPr>
          <w:szCs w:val="24"/>
        </w:rPr>
        <w:t>much</w:t>
      </w:r>
      <w:r w:rsidRPr="00AF436B">
        <w:rPr>
          <w:szCs w:val="24"/>
        </w:rPr>
        <w:t xml:space="preserve"> </w:t>
      </w:r>
      <w:r w:rsidR="00670A4A">
        <w:rPr>
          <w:szCs w:val="24"/>
        </w:rPr>
        <w:t>biodiversity</w:t>
      </w:r>
      <w:r w:rsidR="00823168">
        <w:rPr>
          <w:szCs w:val="24"/>
        </w:rPr>
        <w:t xml:space="preserve"> </w:t>
      </w:r>
      <w:r w:rsidRPr="00AF436B">
        <w:rPr>
          <w:szCs w:val="24"/>
        </w:rPr>
        <w:t>is restricted to</w:t>
      </w:r>
      <w:r>
        <w:rPr>
          <w:szCs w:val="24"/>
        </w:rPr>
        <w:t xml:space="preserve"> small</w:t>
      </w:r>
      <w:r w:rsidR="006E2646">
        <w:rPr>
          <w:szCs w:val="24"/>
        </w:rPr>
        <w:t>,</w:t>
      </w:r>
      <w:r>
        <w:rPr>
          <w:szCs w:val="24"/>
        </w:rPr>
        <w:t xml:space="preserve"> </w:t>
      </w:r>
      <w:r w:rsidR="003E2217">
        <w:rPr>
          <w:szCs w:val="24"/>
        </w:rPr>
        <w:t xml:space="preserve">privately owned </w:t>
      </w:r>
      <w:r>
        <w:rPr>
          <w:szCs w:val="24"/>
        </w:rPr>
        <w:t xml:space="preserve">fragments of </w:t>
      </w:r>
      <w:r w:rsidRPr="00AF436B">
        <w:rPr>
          <w:szCs w:val="24"/>
        </w:rPr>
        <w:t xml:space="preserve">semi-natural </w:t>
      </w:r>
      <w:r w:rsidR="00AD1587">
        <w:rPr>
          <w:szCs w:val="24"/>
        </w:rPr>
        <w:t>habitat</w:t>
      </w:r>
      <w:r w:rsidR="007E36A5">
        <w:rPr>
          <w:szCs w:val="24"/>
        </w:rPr>
        <w:t>s</w:t>
      </w:r>
      <w:r w:rsidR="003158A6">
        <w:rPr>
          <w:szCs w:val="24"/>
        </w:rPr>
        <w:t xml:space="preserve">. Most of these </w:t>
      </w:r>
      <w:r w:rsidR="007E36A5">
        <w:rPr>
          <w:szCs w:val="24"/>
        </w:rPr>
        <w:t>habitats</w:t>
      </w:r>
      <w:r w:rsidR="007E36A5" w:rsidRPr="00AF436B">
        <w:rPr>
          <w:szCs w:val="24"/>
        </w:rPr>
        <w:t xml:space="preserve"> </w:t>
      </w:r>
      <w:r w:rsidRPr="00AF436B">
        <w:rPr>
          <w:szCs w:val="24"/>
        </w:rPr>
        <w:t xml:space="preserve">have been shaped </w:t>
      </w:r>
      <w:r w:rsidR="006E2646" w:rsidRPr="00AF436B">
        <w:rPr>
          <w:szCs w:val="24"/>
        </w:rPr>
        <w:t xml:space="preserve">over thousands of years </w:t>
      </w:r>
      <w:r w:rsidRPr="00AF436B">
        <w:rPr>
          <w:szCs w:val="24"/>
        </w:rPr>
        <w:t>by anthropogenic use and management</w:t>
      </w:r>
      <w:r w:rsidR="003158A6" w:rsidRPr="00954755">
        <w:rPr>
          <w:szCs w:val="24"/>
        </w:rPr>
        <w:t xml:space="preserve">, </w:t>
      </w:r>
      <w:r w:rsidR="00D7090C">
        <w:rPr>
          <w:szCs w:val="24"/>
        </w:rPr>
        <w:t>but</w:t>
      </w:r>
      <w:r w:rsidR="00D7090C" w:rsidRPr="00954755">
        <w:rPr>
          <w:szCs w:val="24"/>
        </w:rPr>
        <w:t xml:space="preserve"> </w:t>
      </w:r>
      <w:r w:rsidR="003158A6" w:rsidRPr="00954755">
        <w:rPr>
          <w:szCs w:val="24"/>
        </w:rPr>
        <w:t>have suffered significant fragmentation and degradation in the last century</w:t>
      </w:r>
      <w:r w:rsidR="00D7090C">
        <w:rPr>
          <w:szCs w:val="24"/>
        </w:rPr>
        <w:t xml:space="preserve"> </w:t>
      </w:r>
      <w:r w:rsidR="00D7090C" w:rsidRPr="00E939D9">
        <w:t xml:space="preserve">(Lawton et </w:t>
      </w:r>
      <w:r w:rsidR="00D7090C" w:rsidRPr="006D5C38">
        <w:t>al., 2010)</w:t>
      </w:r>
      <w:r w:rsidRPr="006D5C38">
        <w:rPr>
          <w:szCs w:val="24"/>
        </w:rPr>
        <w:t>.</w:t>
      </w:r>
      <w:r w:rsidR="00D466B8" w:rsidRPr="006D5C38">
        <w:rPr>
          <w:szCs w:val="24"/>
        </w:rPr>
        <w:t xml:space="preserve"> </w:t>
      </w:r>
      <w:r w:rsidR="007008E2" w:rsidRPr="006D5C38">
        <w:rPr>
          <w:szCs w:val="24"/>
        </w:rPr>
        <w:t>T</w:t>
      </w:r>
      <w:r w:rsidR="00604229" w:rsidRPr="006D5C38">
        <w:rPr>
          <w:szCs w:val="24"/>
          <w:lang w:val="en-US"/>
        </w:rPr>
        <w:t xml:space="preserve">he English </w:t>
      </w:r>
      <w:r w:rsidR="00AD1587">
        <w:rPr>
          <w:szCs w:val="24"/>
          <w:lang w:val="en-US"/>
        </w:rPr>
        <w:t xml:space="preserve">PA </w:t>
      </w:r>
      <w:r w:rsidR="00604229" w:rsidRPr="006D5C38">
        <w:rPr>
          <w:szCs w:val="24"/>
          <w:lang w:val="en-US"/>
        </w:rPr>
        <w:t xml:space="preserve">network is based on </w:t>
      </w:r>
      <w:r w:rsidR="007F2D05" w:rsidRPr="006D5C38">
        <w:rPr>
          <w:szCs w:val="24"/>
          <w:lang w:val="en-US"/>
        </w:rPr>
        <w:t>a</w:t>
      </w:r>
      <w:r w:rsidR="00604229" w:rsidRPr="006D5C38">
        <w:rPr>
          <w:szCs w:val="24"/>
          <w:lang w:val="en-US"/>
        </w:rPr>
        <w:t xml:space="preserve"> restrictive zoning</w:t>
      </w:r>
      <w:r w:rsidR="007F2D05" w:rsidRPr="006D5C38">
        <w:rPr>
          <w:szCs w:val="24"/>
          <w:lang w:val="en-US"/>
        </w:rPr>
        <w:t xml:space="preserve"> approach</w:t>
      </w:r>
      <w:r w:rsidR="003158A6" w:rsidRPr="006D5C38">
        <w:rPr>
          <w:szCs w:val="24"/>
          <w:lang w:val="en-US"/>
        </w:rPr>
        <w:t xml:space="preserve"> </w:t>
      </w:r>
      <w:r w:rsidR="003158A6" w:rsidRPr="006D5C38">
        <w:t>(Lawton et al., 201</w:t>
      </w:r>
      <w:r w:rsidR="00F436B3" w:rsidRPr="006D5C38">
        <w:t>0</w:t>
      </w:r>
      <w:r w:rsidR="003158A6" w:rsidRPr="006D5C38">
        <w:t>)</w:t>
      </w:r>
      <w:r w:rsidR="00604229" w:rsidRPr="006D5C38">
        <w:rPr>
          <w:szCs w:val="24"/>
          <w:lang w:val="en-US"/>
        </w:rPr>
        <w:t>, wh</w:t>
      </w:r>
      <w:r w:rsidR="00604229" w:rsidRPr="00604229">
        <w:rPr>
          <w:szCs w:val="24"/>
          <w:lang w:val="en-US"/>
        </w:rPr>
        <w:t>ich uses planning legislation to</w:t>
      </w:r>
      <w:r w:rsidR="006E2646" w:rsidRPr="006E2646">
        <w:rPr>
          <w:szCs w:val="24"/>
          <w:lang w:val="en-US"/>
        </w:rPr>
        <w:t xml:space="preserve"> </w:t>
      </w:r>
      <w:r w:rsidR="006E2646">
        <w:rPr>
          <w:szCs w:val="24"/>
          <w:lang w:val="en-US"/>
        </w:rPr>
        <w:t>identify</w:t>
      </w:r>
      <w:r w:rsidR="006E2646" w:rsidRPr="00604229">
        <w:rPr>
          <w:szCs w:val="24"/>
          <w:lang w:val="en-US"/>
        </w:rPr>
        <w:t xml:space="preserve"> National Natural Reserves (NNRs) and Sites of Special Scientific Interest (SSSIs)</w:t>
      </w:r>
      <w:r w:rsidR="006E2646">
        <w:rPr>
          <w:szCs w:val="24"/>
          <w:lang w:val="en-US"/>
        </w:rPr>
        <w:t xml:space="preserve"> and then</w:t>
      </w:r>
      <w:r w:rsidR="00604229" w:rsidRPr="00604229">
        <w:rPr>
          <w:szCs w:val="24"/>
          <w:lang w:val="en-US"/>
        </w:rPr>
        <w:t xml:space="preserve"> limit damaging development </w:t>
      </w:r>
      <w:r w:rsidR="006E2646">
        <w:rPr>
          <w:szCs w:val="24"/>
          <w:lang w:val="en-US"/>
        </w:rPr>
        <w:t>within them</w:t>
      </w:r>
      <w:r w:rsidR="00604229" w:rsidRPr="00604229">
        <w:rPr>
          <w:szCs w:val="24"/>
          <w:lang w:val="en-US"/>
        </w:rPr>
        <w:t>.</w:t>
      </w:r>
      <w:r w:rsidR="00016397">
        <w:rPr>
          <w:szCs w:val="24"/>
        </w:rPr>
        <w:t xml:space="preserve"> </w:t>
      </w:r>
      <w:r w:rsidR="00CB10ED">
        <w:rPr>
          <w:szCs w:val="24"/>
        </w:rPr>
        <w:t>Historically</w:t>
      </w:r>
      <w:r w:rsidR="00D466B8">
        <w:rPr>
          <w:szCs w:val="24"/>
        </w:rPr>
        <w:t xml:space="preserve">, </w:t>
      </w:r>
      <w:r w:rsidR="00D466B8">
        <w:rPr>
          <w:szCs w:val="24"/>
        </w:rPr>
        <w:lastRenderedPageBreak/>
        <w:t>t</w:t>
      </w:r>
      <w:r w:rsidR="00016397">
        <w:rPr>
          <w:szCs w:val="24"/>
        </w:rPr>
        <w:t xml:space="preserve">his </w:t>
      </w:r>
      <w:r w:rsidR="00197EE1">
        <w:rPr>
          <w:szCs w:val="24"/>
        </w:rPr>
        <w:t>network</w:t>
      </w:r>
      <w:r w:rsidR="00016397">
        <w:rPr>
          <w:szCs w:val="24"/>
        </w:rPr>
        <w:t xml:space="preserve"> </w:t>
      </w:r>
      <w:r w:rsidR="005878DC">
        <w:rPr>
          <w:szCs w:val="24"/>
        </w:rPr>
        <w:t xml:space="preserve">has </w:t>
      </w:r>
      <w:r w:rsidR="00FF154B">
        <w:rPr>
          <w:szCs w:val="24"/>
        </w:rPr>
        <w:t>comprise</w:t>
      </w:r>
      <w:r w:rsidR="005878DC">
        <w:rPr>
          <w:szCs w:val="24"/>
        </w:rPr>
        <w:t>d of</w:t>
      </w:r>
      <w:r w:rsidR="00366D5C" w:rsidRPr="00366D5C">
        <w:rPr>
          <w:szCs w:val="24"/>
        </w:rPr>
        <w:t xml:space="preserve"> </w:t>
      </w:r>
      <w:r w:rsidR="00D466B8">
        <w:rPr>
          <w:szCs w:val="24"/>
        </w:rPr>
        <w:t xml:space="preserve">mostly </w:t>
      </w:r>
      <w:r w:rsidR="00366D5C" w:rsidRPr="00366D5C">
        <w:rPr>
          <w:szCs w:val="24"/>
        </w:rPr>
        <w:t>small</w:t>
      </w:r>
      <w:r w:rsidR="00D466B8" w:rsidRPr="00366D5C">
        <w:rPr>
          <w:szCs w:val="24"/>
        </w:rPr>
        <w:t xml:space="preserve"> (&lt; 1km</w:t>
      </w:r>
      <w:r w:rsidR="00D466B8" w:rsidRPr="006E2646">
        <w:rPr>
          <w:szCs w:val="24"/>
          <w:vertAlign w:val="superscript"/>
        </w:rPr>
        <w:t>2</w:t>
      </w:r>
      <w:r w:rsidR="00D466B8" w:rsidRPr="00366D5C">
        <w:rPr>
          <w:szCs w:val="24"/>
        </w:rPr>
        <w:t>)</w:t>
      </w:r>
      <w:r w:rsidR="00366D5C" w:rsidRPr="00366D5C">
        <w:rPr>
          <w:szCs w:val="24"/>
        </w:rPr>
        <w:t xml:space="preserve"> and isolated PAs</w:t>
      </w:r>
      <w:r w:rsidR="00E05BD1">
        <w:rPr>
          <w:szCs w:val="24"/>
        </w:rPr>
        <w:t xml:space="preserve"> (</w:t>
      </w:r>
      <w:r w:rsidR="00405809">
        <w:rPr>
          <w:szCs w:val="24"/>
        </w:rPr>
        <w:t xml:space="preserve">the </w:t>
      </w:r>
      <w:r w:rsidR="00E05BD1">
        <w:rPr>
          <w:szCs w:val="24"/>
        </w:rPr>
        <w:t xml:space="preserve">median size of SSSIs and NNRs are </w:t>
      </w:r>
      <w:r w:rsidR="00E05BD1" w:rsidRPr="00E05BD1">
        <w:rPr>
          <w:szCs w:val="24"/>
        </w:rPr>
        <w:t>0.2 km</w:t>
      </w:r>
      <w:r w:rsidR="00E05BD1" w:rsidRPr="00405809">
        <w:rPr>
          <w:szCs w:val="24"/>
          <w:vertAlign w:val="superscript"/>
        </w:rPr>
        <w:t>2</w:t>
      </w:r>
      <w:r w:rsidR="00E05BD1" w:rsidRPr="00E05BD1">
        <w:rPr>
          <w:szCs w:val="24"/>
        </w:rPr>
        <w:t xml:space="preserve"> and 1.1 km</w:t>
      </w:r>
      <w:r w:rsidR="00E05BD1" w:rsidRPr="00405809">
        <w:rPr>
          <w:szCs w:val="24"/>
          <w:vertAlign w:val="superscript"/>
        </w:rPr>
        <w:t>2</w:t>
      </w:r>
      <w:r w:rsidR="00E05BD1">
        <w:rPr>
          <w:szCs w:val="24"/>
        </w:rPr>
        <w:t xml:space="preserve"> respectively)</w:t>
      </w:r>
      <w:r w:rsidR="00016397">
        <w:rPr>
          <w:szCs w:val="24"/>
        </w:rPr>
        <w:t>,</w:t>
      </w:r>
      <w:r w:rsidR="006E2646">
        <w:rPr>
          <w:szCs w:val="24"/>
        </w:rPr>
        <w:t xml:space="preserve"> </w:t>
      </w:r>
      <w:r w:rsidR="00703E5B" w:rsidRPr="00703E5B">
        <w:rPr>
          <w:szCs w:val="24"/>
        </w:rPr>
        <w:t xml:space="preserve">typically confined to </w:t>
      </w:r>
      <w:r w:rsidR="006E2646">
        <w:rPr>
          <w:szCs w:val="24"/>
        </w:rPr>
        <w:t>uplands</w:t>
      </w:r>
      <w:r w:rsidR="009B688A" w:rsidRPr="009908A0">
        <w:rPr>
          <w:szCs w:val="24"/>
        </w:rPr>
        <w:t xml:space="preserve"> </w:t>
      </w:r>
      <w:r w:rsidRPr="009908A0">
        <w:rPr>
          <w:szCs w:val="24"/>
        </w:rPr>
        <w:t>and</w:t>
      </w:r>
      <w:r w:rsidR="00197EE1">
        <w:rPr>
          <w:szCs w:val="24"/>
        </w:rPr>
        <w:t xml:space="preserve"> </w:t>
      </w:r>
      <w:r w:rsidR="001D43EC">
        <w:rPr>
          <w:szCs w:val="24"/>
        </w:rPr>
        <w:t>ecoregions</w:t>
      </w:r>
      <w:r w:rsidR="009B688A" w:rsidRPr="009908A0" w:rsidDel="009B688A">
        <w:rPr>
          <w:szCs w:val="24"/>
        </w:rPr>
        <w:t xml:space="preserve"> </w:t>
      </w:r>
      <w:r w:rsidRPr="009908A0">
        <w:rPr>
          <w:szCs w:val="24"/>
        </w:rPr>
        <w:t xml:space="preserve">with </w:t>
      </w:r>
      <w:r w:rsidR="006E2646">
        <w:rPr>
          <w:szCs w:val="24"/>
        </w:rPr>
        <w:t>low</w:t>
      </w:r>
      <w:r w:rsidR="006E2646" w:rsidRPr="009908A0">
        <w:rPr>
          <w:szCs w:val="24"/>
        </w:rPr>
        <w:t xml:space="preserve"> </w:t>
      </w:r>
      <w:r w:rsidRPr="009908A0">
        <w:rPr>
          <w:szCs w:val="24"/>
        </w:rPr>
        <w:t xml:space="preserve">agricultural potential </w:t>
      </w:r>
      <w:r w:rsidR="00E939D9" w:rsidRPr="00E939D9">
        <w:t>(Oldfield et al., 2004)</w:t>
      </w:r>
      <w:r w:rsidR="00891608">
        <w:rPr>
          <w:szCs w:val="24"/>
        </w:rPr>
        <w:t xml:space="preserve">. </w:t>
      </w:r>
      <w:r w:rsidR="005878DC">
        <w:rPr>
          <w:szCs w:val="24"/>
        </w:rPr>
        <w:t>T</w:t>
      </w:r>
      <w:r w:rsidR="003158A6">
        <w:rPr>
          <w:szCs w:val="24"/>
        </w:rPr>
        <w:t xml:space="preserve">o </w:t>
      </w:r>
      <w:r w:rsidR="00FA7DC0">
        <w:rPr>
          <w:szCs w:val="24"/>
        </w:rPr>
        <w:t xml:space="preserve">overcome these </w:t>
      </w:r>
      <w:r w:rsidR="009B2FF7">
        <w:rPr>
          <w:szCs w:val="24"/>
        </w:rPr>
        <w:t>limitations</w:t>
      </w:r>
      <w:r w:rsidR="003158A6">
        <w:rPr>
          <w:szCs w:val="24"/>
        </w:rPr>
        <w:t>,</w:t>
      </w:r>
      <w:r w:rsidR="00016397">
        <w:rPr>
          <w:szCs w:val="24"/>
        </w:rPr>
        <w:t xml:space="preserve"> the </w:t>
      </w:r>
      <w:r w:rsidR="00C37FCE">
        <w:rPr>
          <w:szCs w:val="24"/>
        </w:rPr>
        <w:t>United Kingdom (</w:t>
      </w:r>
      <w:r w:rsidR="00016397">
        <w:rPr>
          <w:szCs w:val="24"/>
        </w:rPr>
        <w:t>UK</w:t>
      </w:r>
      <w:r w:rsidR="00C37FCE">
        <w:rPr>
          <w:szCs w:val="24"/>
        </w:rPr>
        <w:t>)</w:t>
      </w:r>
      <w:r w:rsidR="00016397">
        <w:rPr>
          <w:szCs w:val="24"/>
        </w:rPr>
        <w:t xml:space="preserve"> has adopted a </w:t>
      </w:r>
      <w:r w:rsidR="00683EDB">
        <w:rPr>
          <w:szCs w:val="24"/>
        </w:rPr>
        <w:t>c</w:t>
      </w:r>
      <w:r w:rsidR="00683EDB" w:rsidRPr="00683EDB">
        <w:rPr>
          <w:szCs w:val="24"/>
        </w:rPr>
        <w:t>omplementary</w:t>
      </w:r>
      <w:r w:rsidR="00683EDB">
        <w:rPr>
          <w:szCs w:val="24"/>
        </w:rPr>
        <w:t xml:space="preserve"> approach</w:t>
      </w:r>
      <w:r w:rsidR="00016397">
        <w:rPr>
          <w:szCs w:val="24"/>
        </w:rPr>
        <w:t xml:space="preserve"> </w:t>
      </w:r>
      <w:r w:rsidR="00470E5B">
        <w:rPr>
          <w:szCs w:val="24"/>
        </w:rPr>
        <w:t>based on</w:t>
      </w:r>
      <w:r w:rsidR="003158A6">
        <w:rPr>
          <w:szCs w:val="24"/>
        </w:rPr>
        <w:t xml:space="preserve"> agri-environme</w:t>
      </w:r>
      <w:r w:rsidR="003158A6" w:rsidRPr="006D5C38">
        <w:rPr>
          <w:szCs w:val="24"/>
        </w:rPr>
        <w:t>nt schemes and other</w:t>
      </w:r>
      <w:r w:rsidR="00470E5B" w:rsidRPr="006D5C38">
        <w:rPr>
          <w:szCs w:val="24"/>
        </w:rPr>
        <w:t xml:space="preserve"> </w:t>
      </w:r>
      <w:r w:rsidR="003158A6" w:rsidRPr="006D5C38">
        <w:rPr>
          <w:szCs w:val="24"/>
        </w:rPr>
        <w:t>i</w:t>
      </w:r>
      <w:r w:rsidR="00D27624" w:rsidRPr="006D5C38">
        <w:rPr>
          <w:szCs w:val="24"/>
        </w:rPr>
        <w:t>ncentive</w:t>
      </w:r>
      <w:r w:rsidR="00924C81">
        <w:rPr>
          <w:szCs w:val="24"/>
        </w:rPr>
        <w:t>-</w:t>
      </w:r>
      <w:r w:rsidR="00484080">
        <w:rPr>
          <w:szCs w:val="24"/>
        </w:rPr>
        <w:t>based</w:t>
      </w:r>
      <w:r w:rsidR="00484080" w:rsidRPr="006D5C38">
        <w:rPr>
          <w:szCs w:val="24"/>
        </w:rPr>
        <w:t xml:space="preserve"> payment</w:t>
      </w:r>
      <w:r w:rsidR="00D27624" w:rsidRPr="006D5C38">
        <w:rPr>
          <w:szCs w:val="24"/>
        </w:rPr>
        <w:t xml:space="preserve"> </w:t>
      </w:r>
      <w:r w:rsidR="003158A6" w:rsidRPr="006D5C38">
        <w:rPr>
          <w:szCs w:val="24"/>
        </w:rPr>
        <w:t>schemes</w:t>
      </w:r>
      <w:r w:rsidR="00C774A2" w:rsidRPr="006D5C38">
        <w:rPr>
          <w:szCs w:val="24"/>
        </w:rPr>
        <w:t xml:space="preserve">. </w:t>
      </w:r>
      <w:r w:rsidR="003158A6" w:rsidRPr="006D5C38">
        <w:rPr>
          <w:szCs w:val="24"/>
        </w:rPr>
        <w:t xml:space="preserve">These </w:t>
      </w:r>
      <w:r w:rsidR="00C774A2" w:rsidRPr="006D5C38">
        <w:rPr>
          <w:szCs w:val="24"/>
        </w:rPr>
        <w:t xml:space="preserve">pay </w:t>
      </w:r>
      <w:r w:rsidR="00683EDB" w:rsidRPr="006D5C38">
        <w:rPr>
          <w:szCs w:val="24"/>
        </w:rPr>
        <w:t>landowners</w:t>
      </w:r>
      <w:r w:rsidR="003158A6" w:rsidRPr="006D5C38">
        <w:rPr>
          <w:szCs w:val="24"/>
        </w:rPr>
        <w:t xml:space="preserve"> for income foregone and to cover the costs of </w:t>
      </w:r>
      <w:r w:rsidR="00683EDB" w:rsidRPr="006D5C38">
        <w:rPr>
          <w:szCs w:val="24"/>
        </w:rPr>
        <w:t>m</w:t>
      </w:r>
      <w:r w:rsidR="00683EDB" w:rsidRPr="0022124C">
        <w:rPr>
          <w:szCs w:val="24"/>
        </w:rPr>
        <w:t>anagement actions design</w:t>
      </w:r>
      <w:r w:rsidR="00683EDB">
        <w:rPr>
          <w:szCs w:val="24"/>
        </w:rPr>
        <w:t>ed</w:t>
      </w:r>
      <w:r w:rsidR="00683EDB" w:rsidRPr="0022124C">
        <w:rPr>
          <w:szCs w:val="24"/>
        </w:rPr>
        <w:t xml:space="preserve"> to improve </w:t>
      </w:r>
      <w:r w:rsidR="00683EDB">
        <w:rPr>
          <w:szCs w:val="24"/>
        </w:rPr>
        <w:t>landscape</w:t>
      </w:r>
      <w:r w:rsidR="00683EDB" w:rsidRPr="0022124C">
        <w:rPr>
          <w:szCs w:val="24"/>
        </w:rPr>
        <w:t xml:space="preserve"> quality</w:t>
      </w:r>
      <w:r w:rsidR="00683EDB">
        <w:rPr>
          <w:szCs w:val="24"/>
        </w:rPr>
        <w:t xml:space="preserve"> for conservation or other objectives</w:t>
      </w:r>
      <w:r w:rsidR="00C774A2">
        <w:rPr>
          <w:szCs w:val="24"/>
        </w:rPr>
        <w:t xml:space="preserve">, </w:t>
      </w:r>
      <w:r w:rsidR="00924C81">
        <w:rPr>
          <w:szCs w:val="24"/>
        </w:rPr>
        <w:t xml:space="preserve">thereby </w:t>
      </w:r>
      <w:r w:rsidR="00C774A2">
        <w:rPr>
          <w:szCs w:val="24"/>
        </w:rPr>
        <w:t>provid</w:t>
      </w:r>
      <w:r w:rsidR="00924C81">
        <w:rPr>
          <w:szCs w:val="24"/>
        </w:rPr>
        <w:t>ing an</w:t>
      </w:r>
      <w:r w:rsidR="00C774A2">
        <w:rPr>
          <w:szCs w:val="24"/>
        </w:rPr>
        <w:t xml:space="preserve"> </w:t>
      </w:r>
      <w:r w:rsidR="003158A6">
        <w:rPr>
          <w:szCs w:val="24"/>
        </w:rPr>
        <w:t xml:space="preserve">important </w:t>
      </w:r>
      <w:r w:rsidR="00924C81">
        <w:rPr>
          <w:szCs w:val="24"/>
        </w:rPr>
        <w:t xml:space="preserve">source of </w:t>
      </w:r>
      <w:r w:rsidR="00C774A2">
        <w:rPr>
          <w:szCs w:val="24"/>
        </w:rPr>
        <w:t xml:space="preserve">funding for conservation </w:t>
      </w:r>
      <w:r w:rsidR="00C774A2">
        <w:rPr>
          <w:szCs w:val="24"/>
          <w:lang w:val="en-US" w:bidi="he-IL"/>
        </w:rPr>
        <w:t>inside and outside</w:t>
      </w:r>
      <w:r w:rsidR="00C774A2">
        <w:rPr>
          <w:szCs w:val="24"/>
        </w:rPr>
        <w:t xml:space="preserve"> </w:t>
      </w:r>
      <w:r w:rsidR="00C774A2" w:rsidRPr="00DE697E">
        <w:rPr>
          <w:szCs w:val="24"/>
        </w:rPr>
        <w:t>PAs</w:t>
      </w:r>
      <w:r w:rsidR="00C774A2">
        <w:rPr>
          <w:szCs w:val="24"/>
        </w:rPr>
        <w:t xml:space="preserve">. </w:t>
      </w:r>
      <w:r w:rsidR="00683EDB">
        <w:rPr>
          <w:szCs w:val="24"/>
        </w:rPr>
        <w:t xml:space="preserve">In England, the European Union’s Common Agricultural Policy has funded </w:t>
      </w:r>
      <w:r w:rsidR="007E36A5">
        <w:rPr>
          <w:szCs w:val="24"/>
        </w:rPr>
        <w:t>agri</w:t>
      </w:r>
      <w:r w:rsidR="00683EDB">
        <w:rPr>
          <w:szCs w:val="24"/>
        </w:rPr>
        <w:t>-</w:t>
      </w:r>
      <w:r w:rsidR="007E36A5">
        <w:rPr>
          <w:szCs w:val="24"/>
        </w:rPr>
        <w:t xml:space="preserve">environment schemes </w:t>
      </w:r>
      <w:r w:rsidR="00683EDB">
        <w:rPr>
          <w:szCs w:val="24"/>
        </w:rPr>
        <w:t xml:space="preserve">since 1987 </w:t>
      </w:r>
      <w:r w:rsidR="00683EDB" w:rsidRPr="00CF0BF5">
        <w:t>(Bright et al., 2015)</w:t>
      </w:r>
      <w:r w:rsidR="00CE430F">
        <w:rPr>
          <w:szCs w:val="24"/>
        </w:rPr>
        <w:t>.</w:t>
      </w:r>
      <w:r w:rsidR="00683EDB">
        <w:rPr>
          <w:szCs w:val="24"/>
        </w:rPr>
        <w:t xml:space="preserve"> </w:t>
      </w:r>
      <w:r w:rsidR="00924C81">
        <w:rPr>
          <w:szCs w:val="24"/>
        </w:rPr>
        <w:t>U</w:t>
      </w:r>
      <w:r w:rsidR="00CE430F">
        <w:rPr>
          <w:szCs w:val="24"/>
        </w:rPr>
        <w:t xml:space="preserve">ntil </w:t>
      </w:r>
      <w:r w:rsidR="00D97DC0">
        <w:rPr>
          <w:szCs w:val="24"/>
        </w:rPr>
        <w:t>recently</w:t>
      </w:r>
      <w:r w:rsidR="00DC3B44">
        <w:rPr>
          <w:szCs w:val="24"/>
        </w:rPr>
        <w:t xml:space="preserve">, these </w:t>
      </w:r>
      <w:r w:rsidR="00924C81">
        <w:rPr>
          <w:szCs w:val="24"/>
        </w:rPr>
        <w:t>scheme</w:t>
      </w:r>
      <w:r w:rsidR="00DC3B44">
        <w:rPr>
          <w:szCs w:val="24"/>
        </w:rPr>
        <w:t>s</w:t>
      </w:r>
      <w:r w:rsidR="00924C81">
        <w:rPr>
          <w:szCs w:val="24"/>
        </w:rPr>
        <w:t xml:space="preserve"> included </w:t>
      </w:r>
      <w:r w:rsidR="00683EDB">
        <w:rPr>
          <w:rFonts w:cs="Calibri"/>
          <w:szCs w:val="24"/>
          <w:lang w:bidi="he-IL"/>
        </w:rPr>
        <w:t>Higher</w:t>
      </w:r>
      <w:r w:rsidR="00683EDB" w:rsidRPr="003B2F1B">
        <w:rPr>
          <w:szCs w:val="24"/>
        </w:rPr>
        <w:t>-Level Stewardship</w:t>
      </w:r>
      <w:r w:rsidR="00683EDB">
        <w:rPr>
          <w:szCs w:val="24"/>
        </w:rPr>
        <w:t xml:space="preserve"> (HLS)</w:t>
      </w:r>
      <w:r w:rsidR="00DC3B44">
        <w:rPr>
          <w:szCs w:val="24"/>
        </w:rPr>
        <w:t>,</w:t>
      </w:r>
      <w:r w:rsidR="00F537B9">
        <w:rPr>
          <w:szCs w:val="24"/>
        </w:rPr>
        <w:t xml:space="preserve"> which</w:t>
      </w:r>
      <w:r w:rsidR="00924C81">
        <w:rPr>
          <w:szCs w:val="24"/>
        </w:rPr>
        <w:t xml:space="preserve"> </w:t>
      </w:r>
      <w:r w:rsidR="00683EDB">
        <w:rPr>
          <w:szCs w:val="24"/>
        </w:rPr>
        <w:t>support</w:t>
      </w:r>
      <w:r w:rsidR="00F537B9">
        <w:rPr>
          <w:szCs w:val="24"/>
        </w:rPr>
        <w:t>ed</w:t>
      </w:r>
      <w:r w:rsidR="00683EDB" w:rsidRPr="003B2F1B">
        <w:rPr>
          <w:szCs w:val="24"/>
        </w:rPr>
        <w:t xml:space="preserve"> intensive </w:t>
      </w:r>
      <w:r w:rsidR="00683EDB">
        <w:rPr>
          <w:szCs w:val="24"/>
        </w:rPr>
        <w:t>habita</w:t>
      </w:r>
      <w:r w:rsidR="00683EDB" w:rsidRPr="0048441E">
        <w:rPr>
          <w:szCs w:val="24"/>
        </w:rPr>
        <w:t xml:space="preserve">t </w:t>
      </w:r>
      <w:r w:rsidR="00683EDB" w:rsidRPr="0048441E">
        <w:rPr>
          <w:rFonts w:cs="Megano"/>
          <w:color w:val="000000"/>
          <w:szCs w:val="24"/>
        </w:rPr>
        <w:t xml:space="preserve">maintenance and restoration </w:t>
      </w:r>
      <w:r w:rsidR="00683EDB">
        <w:rPr>
          <w:rFonts w:cs="Megano"/>
          <w:color w:val="000000"/>
          <w:szCs w:val="24"/>
        </w:rPr>
        <w:t xml:space="preserve">within </w:t>
      </w:r>
      <w:r w:rsidR="00683EDB" w:rsidRPr="0048441E">
        <w:rPr>
          <w:szCs w:val="24"/>
        </w:rPr>
        <w:t>target a</w:t>
      </w:r>
      <w:r w:rsidR="00683EDB" w:rsidRPr="003B2F1B">
        <w:rPr>
          <w:szCs w:val="24"/>
        </w:rPr>
        <w:t>reas</w:t>
      </w:r>
      <w:r w:rsidR="00683EDB">
        <w:rPr>
          <w:szCs w:val="24"/>
        </w:rPr>
        <w:t xml:space="preserve"> in production landscapes </w:t>
      </w:r>
      <w:r w:rsidR="00683EDB" w:rsidRPr="00B13796">
        <w:t>(Natural England, 2012)</w:t>
      </w:r>
      <w:r w:rsidR="00DC3B44">
        <w:t>,</w:t>
      </w:r>
      <w:r w:rsidR="00683EDB">
        <w:rPr>
          <w:szCs w:val="24"/>
        </w:rPr>
        <w:t xml:space="preserve"> and English </w:t>
      </w:r>
      <w:r w:rsidR="003158A6">
        <w:rPr>
          <w:szCs w:val="24"/>
        </w:rPr>
        <w:t>W</w:t>
      </w:r>
      <w:r w:rsidR="00683EDB">
        <w:rPr>
          <w:szCs w:val="24"/>
        </w:rPr>
        <w:t xml:space="preserve">oodland </w:t>
      </w:r>
      <w:r w:rsidR="003158A6">
        <w:rPr>
          <w:szCs w:val="24"/>
        </w:rPr>
        <w:t>G</w:t>
      </w:r>
      <w:r w:rsidR="00683EDB">
        <w:rPr>
          <w:szCs w:val="24"/>
        </w:rPr>
        <w:t>rants</w:t>
      </w:r>
      <w:r w:rsidR="00DC3B44">
        <w:rPr>
          <w:szCs w:val="24"/>
        </w:rPr>
        <w:t xml:space="preserve"> that</w:t>
      </w:r>
      <w:r w:rsidR="00683EDB">
        <w:rPr>
          <w:szCs w:val="24"/>
        </w:rPr>
        <w:t xml:space="preserve"> funded projects to restore and manage woodlands</w:t>
      </w:r>
      <w:r w:rsidR="00D466B8">
        <w:rPr>
          <w:szCs w:val="24"/>
        </w:rPr>
        <w:t xml:space="preserve"> </w:t>
      </w:r>
      <w:r w:rsidR="00683EDB" w:rsidRPr="000E42FD">
        <w:t>(Raum and Potter, 2015)</w:t>
      </w:r>
      <w:r w:rsidR="00016397">
        <w:rPr>
          <w:szCs w:val="24"/>
        </w:rPr>
        <w:t xml:space="preserve">. </w:t>
      </w:r>
      <w:r w:rsidR="00DC3B44">
        <w:rPr>
          <w:szCs w:val="24"/>
        </w:rPr>
        <w:t>B</w:t>
      </w:r>
      <w:r w:rsidR="00683EDB">
        <w:rPr>
          <w:szCs w:val="24"/>
        </w:rPr>
        <w:t>oth</w:t>
      </w:r>
      <w:r w:rsidR="00DC3B44">
        <w:rPr>
          <w:szCs w:val="24"/>
        </w:rPr>
        <w:t xml:space="preserve"> of these</w:t>
      </w:r>
      <w:r w:rsidR="00683EDB">
        <w:rPr>
          <w:szCs w:val="24"/>
        </w:rPr>
        <w:t xml:space="preserve"> </w:t>
      </w:r>
      <w:r w:rsidR="003158A6">
        <w:rPr>
          <w:szCs w:val="24"/>
        </w:rPr>
        <w:t>were</w:t>
      </w:r>
      <w:r w:rsidR="00683EDB">
        <w:rPr>
          <w:szCs w:val="24"/>
        </w:rPr>
        <w:t xml:space="preserve"> replaced</w:t>
      </w:r>
      <w:r w:rsidR="003158A6">
        <w:rPr>
          <w:szCs w:val="24"/>
        </w:rPr>
        <w:t xml:space="preserve"> in 2016</w:t>
      </w:r>
      <w:r w:rsidR="00683EDB">
        <w:rPr>
          <w:szCs w:val="24"/>
        </w:rPr>
        <w:t xml:space="preserve"> by </w:t>
      </w:r>
      <w:r w:rsidR="003158A6">
        <w:rPr>
          <w:szCs w:val="24"/>
        </w:rPr>
        <w:t xml:space="preserve">the new </w:t>
      </w:r>
      <w:r w:rsidR="00683EDB">
        <w:rPr>
          <w:szCs w:val="24"/>
        </w:rPr>
        <w:t xml:space="preserve">Countryside Stewardship </w:t>
      </w:r>
      <w:r w:rsidR="00016397">
        <w:rPr>
          <w:szCs w:val="24"/>
        </w:rPr>
        <w:t xml:space="preserve">scheme </w:t>
      </w:r>
      <w:r w:rsidR="00683EDB" w:rsidRPr="000E42FD">
        <w:t>(Natural England, 2015)</w:t>
      </w:r>
      <w:r w:rsidR="00016397">
        <w:rPr>
          <w:szCs w:val="24"/>
        </w:rPr>
        <w:t xml:space="preserve"> and</w:t>
      </w:r>
      <w:r w:rsidR="003158A6">
        <w:rPr>
          <w:szCs w:val="24"/>
        </w:rPr>
        <w:t xml:space="preserve"> </w:t>
      </w:r>
      <w:r w:rsidR="00E65299">
        <w:rPr>
          <w:szCs w:val="24"/>
        </w:rPr>
        <w:t xml:space="preserve">the UK’s departure from the European Union </w:t>
      </w:r>
      <w:r w:rsidR="00924C81">
        <w:rPr>
          <w:szCs w:val="24"/>
        </w:rPr>
        <w:t>could</w:t>
      </w:r>
      <w:r w:rsidR="00E65299">
        <w:rPr>
          <w:szCs w:val="24"/>
        </w:rPr>
        <w:t xml:space="preserve"> bring </w:t>
      </w:r>
      <w:r w:rsidR="00A363F1">
        <w:rPr>
          <w:szCs w:val="24"/>
        </w:rPr>
        <w:t>further changes</w:t>
      </w:r>
      <w:r w:rsidR="00683EDB">
        <w:rPr>
          <w:szCs w:val="24"/>
        </w:rPr>
        <w:t>.</w:t>
      </w:r>
    </w:p>
    <w:p w14:paraId="362BCBC7" w14:textId="77777777" w:rsidR="00016397" w:rsidRDefault="00016397" w:rsidP="00652C11">
      <w:pPr>
        <w:spacing w:line="480" w:lineRule="auto"/>
        <w:rPr>
          <w:szCs w:val="24"/>
        </w:rPr>
      </w:pPr>
    </w:p>
    <w:p w14:paraId="2F9E04D5" w14:textId="6A429784" w:rsidR="009E3A02" w:rsidRDefault="00016397" w:rsidP="00C37FCE">
      <w:pPr>
        <w:spacing w:line="480" w:lineRule="auto"/>
        <w:rPr>
          <w:szCs w:val="24"/>
        </w:rPr>
      </w:pPr>
      <w:r>
        <w:rPr>
          <w:szCs w:val="24"/>
        </w:rPr>
        <w:t>Past research has shown</w:t>
      </w:r>
      <w:r w:rsidR="003158A6">
        <w:rPr>
          <w:szCs w:val="24"/>
        </w:rPr>
        <w:t xml:space="preserve"> that</w:t>
      </w:r>
      <w:r>
        <w:rPr>
          <w:szCs w:val="24"/>
        </w:rPr>
        <w:t xml:space="preserve"> </w:t>
      </w:r>
      <w:r w:rsidR="00D466B8">
        <w:rPr>
          <w:szCs w:val="24"/>
        </w:rPr>
        <w:t>the</w:t>
      </w:r>
      <w:r w:rsidR="00891608">
        <w:rPr>
          <w:szCs w:val="24"/>
        </w:rPr>
        <w:t xml:space="preserve"> English</w:t>
      </w:r>
      <w:r>
        <w:rPr>
          <w:szCs w:val="24"/>
        </w:rPr>
        <w:t xml:space="preserve"> PA network is relatively effective at representing</w:t>
      </w:r>
      <w:r w:rsidR="00891608">
        <w:rPr>
          <w:szCs w:val="24"/>
        </w:rPr>
        <w:t xml:space="preserve"> </w:t>
      </w:r>
      <w:r>
        <w:rPr>
          <w:szCs w:val="24"/>
        </w:rPr>
        <w:t>species and plays a major role in supporting species</w:t>
      </w:r>
      <w:r w:rsidR="003158A6">
        <w:rPr>
          <w:szCs w:val="24"/>
        </w:rPr>
        <w:t xml:space="preserve"> </w:t>
      </w:r>
      <w:r>
        <w:rPr>
          <w:szCs w:val="24"/>
        </w:rPr>
        <w:t xml:space="preserve">in response to climate change </w:t>
      </w:r>
      <w:r w:rsidR="00DB5A8A" w:rsidRPr="00DB5A8A">
        <w:rPr>
          <w:rFonts w:cs="Calibri"/>
        </w:rPr>
        <w:t>(Gaston et al., 2006; Gillingham et al., 2015; Jackson et al., 2009)</w:t>
      </w:r>
      <w:r>
        <w:rPr>
          <w:szCs w:val="24"/>
        </w:rPr>
        <w:t>.</w:t>
      </w:r>
      <w:r w:rsidR="00C774A2">
        <w:rPr>
          <w:szCs w:val="24"/>
        </w:rPr>
        <w:t xml:space="preserve"> </w:t>
      </w:r>
      <w:r>
        <w:rPr>
          <w:szCs w:val="24"/>
        </w:rPr>
        <w:t xml:space="preserve">However, </w:t>
      </w:r>
      <w:r w:rsidR="00CB728E">
        <w:rPr>
          <w:szCs w:val="24"/>
        </w:rPr>
        <w:t>56</w:t>
      </w:r>
      <w:r w:rsidRPr="00366D5C">
        <w:rPr>
          <w:szCs w:val="24"/>
        </w:rPr>
        <w:t xml:space="preserve">% of </w:t>
      </w:r>
      <w:r w:rsidR="00891608">
        <w:rPr>
          <w:szCs w:val="24"/>
        </w:rPr>
        <w:t>species in the</w:t>
      </w:r>
      <w:r w:rsidR="00891608" w:rsidRPr="00366D5C">
        <w:rPr>
          <w:szCs w:val="24"/>
        </w:rPr>
        <w:t xml:space="preserve"> </w:t>
      </w:r>
      <w:r w:rsidR="00891608" w:rsidRPr="00A96325">
        <w:rPr>
          <w:szCs w:val="24"/>
        </w:rPr>
        <w:t xml:space="preserve">UK </w:t>
      </w:r>
      <w:r w:rsidRPr="00A96325">
        <w:rPr>
          <w:szCs w:val="24"/>
        </w:rPr>
        <w:t xml:space="preserve">have declined </w:t>
      </w:r>
      <w:r w:rsidR="00CB728E" w:rsidRPr="00A96325">
        <w:rPr>
          <w:szCs w:val="24"/>
        </w:rPr>
        <w:t>since 1970</w:t>
      </w:r>
      <w:r w:rsidR="00CB728E">
        <w:rPr>
          <w:szCs w:val="24"/>
        </w:rPr>
        <w:t xml:space="preserve"> </w:t>
      </w:r>
      <w:r w:rsidR="0055660B" w:rsidRPr="0055660B">
        <w:rPr>
          <w:rFonts w:cs="Calibri"/>
        </w:rPr>
        <w:t>(</w:t>
      </w:r>
      <w:r w:rsidR="003158A6">
        <w:rPr>
          <w:rFonts w:cs="Calibri"/>
        </w:rPr>
        <w:t>Hayhow et al., 2016</w:t>
      </w:r>
      <w:r w:rsidR="0055660B" w:rsidRPr="0055660B">
        <w:rPr>
          <w:rFonts w:cs="Calibri"/>
        </w:rPr>
        <w:t>)</w:t>
      </w:r>
      <w:r w:rsidR="00484080">
        <w:rPr>
          <w:rFonts w:cs="Calibri"/>
        </w:rPr>
        <w:t xml:space="preserve">, underlining the </w:t>
      </w:r>
      <w:r>
        <w:rPr>
          <w:szCs w:val="24"/>
        </w:rPr>
        <w:t>limitations</w:t>
      </w:r>
      <w:r w:rsidR="00484080">
        <w:rPr>
          <w:szCs w:val="24"/>
        </w:rPr>
        <w:t xml:space="preserve"> of </w:t>
      </w:r>
      <w:r>
        <w:rPr>
          <w:szCs w:val="24"/>
        </w:rPr>
        <w:t>the</w:t>
      </w:r>
      <w:r w:rsidR="00C774A2">
        <w:rPr>
          <w:szCs w:val="24"/>
        </w:rPr>
        <w:t xml:space="preserve"> PA network</w:t>
      </w:r>
      <w:r w:rsidR="00473F7C">
        <w:rPr>
          <w:szCs w:val="24"/>
        </w:rPr>
        <w:t xml:space="preserve"> and agri-environment schemes</w:t>
      </w:r>
      <w:r w:rsidR="00C774A2">
        <w:rPr>
          <w:szCs w:val="24"/>
        </w:rPr>
        <w:t xml:space="preserve">. </w:t>
      </w:r>
      <w:r w:rsidR="00D816B5">
        <w:rPr>
          <w:szCs w:val="24"/>
        </w:rPr>
        <w:t>Recognising this problem</w:t>
      </w:r>
      <w:r w:rsidR="000F3193">
        <w:rPr>
          <w:szCs w:val="24"/>
        </w:rPr>
        <w:t xml:space="preserve">, the </w:t>
      </w:r>
      <w:r w:rsidR="00891608">
        <w:rPr>
          <w:szCs w:val="24"/>
        </w:rPr>
        <w:t xml:space="preserve">UK </w:t>
      </w:r>
      <w:r w:rsidR="000F3193">
        <w:rPr>
          <w:szCs w:val="24"/>
        </w:rPr>
        <w:t xml:space="preserve">government commissioned </w:t>
      </w:r>
      <w:r w:rsidR="00411B27">
        <w:rPr>
          <w:szCs w:val="24"/>
        </w:rPr>
        <w:t>work</w:t>
      </w:r>
      <w:r w:rsidR="000F3193">
        <w:rPr>
          <w:szCs w:val="24"/>
        </w:rPr>
        <w:t xml:space="preserve"> on </w:t>
      </w:r>
      <w:r w:rsidR="006E425C">
        <w:rPr>
          <w:szCs w:val="24"/>
        </w:rPr>
        <w:t xml:space="preserve">how to improve nature conservation and </w:t>
      </w:r>
      <w:r w:rsidR="000F3193">
        <w:rPr>
          <w:szCs w:val="24"/>
        </w:rPr>
        <w:t xml:space="preserve">ecosystem service </w:t>
      </w:r>
      <w:r w:rsidR="006E425C">
        <w:rPr>
          <w:szCs w:val="24"/>
        </w:rPr>
        <w:t>provision</w:t>
      </w:r>
      <w:r w:rsidR="000F3193">
        <w:rPr>
          <w:szCs w:val="24"/>
        </w:rPr>
        <w:t xml:space="preserve"> </w:t>
      </w:r>
      <w:r w:rsidR="00E939D9" w:rsidRPr="00E939D9">
        <w:t xml:space="preserve">(Lawton et al., </w:t>
      </w:r>
      <w:r w:rsidR="00F436B3" w:rsidRPr="00E939D9">
        <w:t>201</w:t>
      </w:r>
      <w:r w:rsidR="00F436B3">
        <w:t>0</w:t>
      </w:r>
      <w:r w:rsidR="00E939D9" w:rsidRPr="00E939D9">
        <w:t>; NEA, 2011)</w:t>
      </w:r>
      <w:r w:rsidR="000F3193">
        <w:rPr>
          <w:szCs w:val="24"/>
        </w:rPr>
        <w:t xml:space="preserve">. These </w:t>
      </w:r>
      <w:r w:rsidR="00D816B5">
        <w:rPr>
          <w:szCs w:val="24"/>
        </w:rPr>
        <w:t xml:space="preserve">recommended </w:t>
      </w:r>
      <w:r w:rsidR="00FF7AE6">
        <w:rPr>
          <w:szCs w:val="24"/>
        </w:rPr>
        <w:t xml:space="preserve">a </w:t>
      </w:r>
      <w:r w:rsidR="00E81CEF">
        <w:rPr>
          <w:szCs w:val="24"/>
        </w:rPr>
        <w:t xml:space="preserve">more </w:t>
      </w:r>
      <w:r w:rsidR="00642653" w:rsidRPr="003F4448">
        <w:rPr>
          <w:szCs w:val="24"/>
        </w:rPr>
        <w:t xml:space="preserve">proactive </w:t>
      </w:r>
      <w:r w:rsidR="00FF7AE6">
        <w:rPr>
          <w:szCs w:val="24"/>
        </w:rPr>
        <w:t xml:space="preserve">approach </w:t>
      </w:r>
      <w:r w:rsidR="004A20B1">
        <w:rPr>
          <w:szCs w:val="24"/>
        </w:rPr>
        <w:t xml:space="preserve">to </w:t>
      </w:r>
      <w:r w:rsidR="00642653" w:rsidRPr="003F4448">
        <w:rPr>
          <w:szCs w:val="24"/>
        </w:rPr>
        <w:t>improving</w:t>
      </w:r>
      <w:r w:rsidR="00AB3CED">
        <w:rPr>
          <w:szCs w:val="24"/>
        </w:rPr>
        <w:t xml:space="preserve"> </w:t>
      </w:r>
      <w:r w:rsidR="00642653" w:rsidRPr="003F4448">
        <w:rPr>
          <w:szCs w:val="24"/>
        </w:rPr>
        <w:t>England’s ecological networks</w:t>
      </w:r>
      <w:r w:rsidR="00E81CEF">
        <w:rPr>
          <w:szCs w:val="24"/>
        </w:rPr>
        <w:t>,</w:t>
      </w:r>
      <w:r w:rsidR="00642653" w:rsidRPr="003F4448">
        <w:rPr>
          <w:szCs w:val="24"/>
        </w:rPr>
        <w:t xml:space="preserve"> </w:t>
      </w:r>
      <w:r w:rsidR="00E81CEF">
        <w:rPr>
          <w:szCs w:val="24"/>
        </w:rPr>
        <w:t>based on</w:t>
      </w:r>
      <w:r w:rsidR="00E81CEF" w:rsidRPr="003F4448">
        <w:rPr>
          <w:szCs w:val="24"/>
        </w:rPr>
        <w:t xml:space="preserve"> </w:t>
      </w:r>
      <w:r w:rsidR="00642653" w:rsidRPr="003F4448">
        <w:rPr>
          <w:szCs w:val="24"/>
        </w:rPr>
        <w:t xml:space="preserve">landscape-scale habitat restoration </w:t>
      </w:r>
      <w:r w:rsidR="006E425C">
        <w:rPr>
          <w:szCs w:val="24"/>
        </w:rPr>
        <w:lastRenderedPageBreak/>
        <w:t>(Defra 2011)</w:t>
      </w:r>
      <w:r w:rsidR="00703E5B">
        <w:rPr>
          <w:szCs w:val="24"/>
        </w:rPr>
        <w:t xml:space="preserve"> with five key steps identified to help achieve this objective</w:t>
      </w:r>
      <w:r w:rsidR="00642653">
        <w:rPr>
          <w:szCs w:val="24"/>
        </w:rPr>
        <w:t xml:space="preserve">: </w:t>
      </w:r>
      <w:r w:rsidR="00642653" w:rsidRPr="00AF5D54">
        <w:rPr>
          <w:szCs w:val="24"/>
        </w:rPr>
        <w:t>(i) improve habitat quality; (ii) increase the size of habitat patches; (</w:t>
      </w:r>
      <w:r w:rsidR="00642653">
        <w:rPr>
          <w:szCs w:val="24"/>
        </w:rPr>
        <w:t>iii) enhance connectivity; (iv)</w:t>
      </w:r>
      <w:r w:rsidR="00197EE1">
        <w:rPr>
          <w:szCs w:val="24"/>
        </w:rPr>
        <w:t xml:space="preserve"> </w:t>
      </w:r>
      <w:r w:rsidR="00642653" w:rsidRPr="00AF5D54">
        <w:rPr>
          <w:szCs w:val="24"/>
        </w:rPr>
        <w:t>create new sites, and; (v) improve the wider environment</w:t>
      </w:r>
      <w:r w:rsidR="00703E5B">
        <w:rPr>
          <w:szCs w:val="24"/>
        </w:rPr>
        <w:t xml:space="preserve"> </w:t>
      </w:r>
      <w:r w:rsidR="00703E5B" w:rsidRPr="00703E5B">
        <w:t xml:space="preserve">(Lawton et al., </w:t>
      </w:r>
      <w:r w:rsidR="00F436B3" w:rsidRPr="00703E5B">
        <w:t>201</w:t>
      </w:r>
      <w:r w:rsidR="00F436B3">
        <w:t>0</w:t>
      </w:r>
      <w:r w:rsidR="00703E5B" w:rsidRPr="00703E5B">
        <w:t>)</w:t>
      </w:r>
      <w:r w:rsidR="00642653" w:rsidRPr="00AF5D54">
        <w:rPr>
          <w:szCs w:val="24"/>
        </w:rPr>
        <w:t>.</w:t>
      </w:r>
    </w:p>
    <w:p w14:paraId="29259C5A" w14:textId="77777777" w:rsidR="009E3A02" w:rsidRDefault="009E3A02" w:rsidP="00652C11">
      <w:pPr>
        <w:spacing w:line="480" w:lineRule="auto"/>
        <w:rPr>
          <w:szCs w:val="24"/>
        </w:rPr>
      </w:pPr>
    </w:p>
    <w:p w14:paraId="3992BC33" w14:textId="2D47EEE3" w:rsidR="007B5AF5" w:rsidRPr="009F521D" w:rsidRDefault="007B5AF5" w:rsidP="00652C11">
      <w:pPr>
        <w:spacing w:line="480" w:lineRule="auto"/>
        <w:rPr>
          <w:szCs w:val="24"/>
        </w:rPr>
      </w:pPr>
      <w:r>
        <w:rPr>
          <w:szCs w:val="24"/>
        </w:rPr>
        <w:t xml:space="preserve">These </w:t>
      </w:r>
      <w:r w:rsidR="009E3A02">
        <w:rPr>
          <w:szCs w:val="24"/>
        </w:rPr>
        <w:t xml:space="preserve">government reviews </w:t>
      </w:r>
      <w:r w:rsidR="00696D72">
        <w:rPr>
          <w:szCs w:val="24"/>
        </w:rPr>
        <w:t xml:space="preserve">provided </w:t>
      </w:r>
      <w:r>
        <w:rPr>
          <w:szCs w:val="24"/>
        </w:rPr>
        <w:t xml:space="preserve">renewed </w:t>
      </w:r>
      <w:r w:rsidR="00B2079C">
        <w:rPr>
          <w:szCs w:val="24"/>
        </w:rPr>
        <w:t>impetus</w:t>
      </w:r>
      <w:r>
        <w:rPr>
          <w:szCs w:val="24"/>
        </w:rPr>
        <w:t xml:space="preserve"> to </w:t>
      </w:r>
      <w:r w:rsidR="00894B1A">
        <w:rPr>
          <w:szCs w:val="24"/>
        </w:rPr>
        <w:t xml:space="preserve">a </w:t>
      </w:r>
      <w:r>
        <w:rPr>
          <w:szCs w:val="24"/>
        </w:rPr>
        <w:t xml:space="preserve">trend that had been developing across the </w:t>
      </w:r>
      <w:r w:rsidR="00894B1A">
        <w:rPr>
          <w:szCs w:val="24"/>
        </w:rPr>
        <w:t>UK</w:t>
      </w:r>
      <w:r>
        <w:rPr>
          <w:szCs w:val="24"/>
        </w:rPr>
        <w:t xml:space="preserve"> conservation sector</w:t>
      </w:r>
      <w:r w:rsidR="00894B1A">
        <w:rPr>
          <w:szCs w:val="24"/>
        </w:rPr>
        <w:t>.</w:t>
      </w:r>
      <w:r>
        <w:rPr>
          <w:szCs w:val="24"/>
        </w:rPr>
        <w:t xml:space="preserve"> </w:t>
      </w:r>
      <w:r w:rsidR="00894B1A">
        <w:rPr>
          <w:szCs w:val="24"/>
        </w:rPr>
        <w:t>In particular, several conservation non-governmental organisations (NGOs) recognise</w:t>
      </w:r>
      <w:r w:rsidR="00CC1F5F">
        <w:rPr>
          <w:szCs w:val="24"/>
        </w:rPr>
        <w:t>d</w:t>
      </w:r>
      <w:r w:rsidR="00894B1A">
        <w:rPr>
          <w:szCs w:val="24"/>
        </w:rPr>
        <w:t xml:space="preserve"> the need for</w:t>
      </w:r>
      <w:r>
        <w:rPr>
          <w:szCs w:val="24"/>
        </w:rPr>
        <w:t xml:space="preserve"> </w:t>
      </w:r>
      <w:r w:rsidR="00C774A2">
        <w:rPr>
          <w:szCs w:val="24"/>
        </w:rPr>
        <w:t xml:space="preserve">new </w:t>
      </w:r>
      <w:r w:rsidR="00C37FCE">
        <w:rPr>
          <w:szCs w:val="24"/>
        </w:rPr>
        <w:t xml:space="preserve">large </w:t>
      </w:r>
      <w:r>
        <w:rPr>
          <w:szCs w:val="24"/>
        </w:rPr>
        <w:t>conservation</w:t>
      </w:r>
      <w:r w:rsidR="00894B1A">
        <w:rPr>
          <w:szCs w:val="24"/>
        </w:rPr>
        <w:t xml:space="preserve"> </w:t>
      </w:r>
      <w:r>
        <w:rPr>
          <w:szCs w:val="24"/>
        </w:rPr>
        <w:t>areas</w:t>
      </w:r>
      <w:r w:rsidR="00C774A2">
        <w:rPr>
          <w:szCs w:val="24"/>
        </w:rPr>
        <w:t xml:space="preserve">, which should </w:t>
      </w:r>
      <w:r>
        <w:rPr>
          <w:szCs w:val="24"/>
        </w:rPr>
        <w:t>extend beyond the boundaries of existing</w:t>
      </w:r>
      <w:r w:rsidR="00A363F1">
        <w:rPr>
          <w:szCs w:val="24"/>
        </w:rPr>
        <w:t xml:space="preserve"> </w:t>
      </w:r>
      <w:r w:rsidR="00754CBF">
        <w:rPr>
          <w:szCs w:val="24"/>
        </w:rPr>
        <w:t>PAs</w:t>
      </w:r>
      <w:r>
        <w:rPr>
          <w:szCs w:val="24"/>
        </w:rPr>
        <w:t xml:space="preserve"> to encompass whole landscapes</w:t>
      </w:r>
      <w:r w:rsidR="00894B1A">
        <w:rPr>
          <w:szCs w:val="24"/>
        </w:rPr>
        <w:t xml:space="preserve">. These NGOs </w:t>
      </w:r>
      <w:r w:rsidR="00A363F1">
        <w:rPr>
          <w:szCs w:val="24"/>
        </w:rPr>
        <w:t xml:space="preserve">have </w:t>
      </w:r>
      <w:r w:rsidR="00CC1F5F">
        <w:rPr>
          <w:szCs w:val="24"/>
        </w:rPr>
        <w:t>established</w:t>
      </w:r>
      <w:r w:rsidR="00894B1A">
        <w:rPr>
          <w:szCs w:val="24"/>
        </w:rPr>
        <w:t xml:space="preserve"> their own</w:t>
      </w:r>
      <w:r w:rsidR="001C3D69">
        <w:rPr>
          <w:szCs w:val="24"/>
        </w:rPr>
        <w:t xml:space="preserve"> schemes to develop large conservation areas,</w:t>
      </w:r>
      <w:r w:rsidR="00894B1A">
        <w:rPr>
          <w:szCs w:val="24"/>
        </w:rPr>
        <w:t xml:space="preserve"> such as</w:t>
      </w:r>
      <w:r w:rsidR="005C26C4">
        <w:rPr>
          <w:szCs w:val="24"/>
        </w:rPr>
        <w:t xml:space="preserve"> the </w:t>
      </w:r>
      <w:r w:rsidR="00894B1A">
        <w:rPr>
          <w:szCs w:val="24"/>
        </w:rPr>
        <w:t>Royal Society for the Protection of Birds’</w:t>
      </w:r>
      <w:r w:rsidR="00637788">
        <w:rPr>
          <w:szCs w:val="24"/>
        </w:rPr>
        <w:t xml:space="preserve"> “Futurescapes”</w:t>
      </w:r>
      <w:r w:rsidR="00690CD2">
        <w:rPr>
          <w:szCs w:val="24"/>
        </w:rPr>
        <w:t xml:space="preserve"> </w:t>
      </w:r>
      <w:r w:rsidR="000016CA" w:rsidRPr="000016CA">
        <w:rPr>
          <w:szCs w:val="24"/>
        </w:rPr>
        <w:t>(RSPB 2001)</w:t>
      </w:r>
      <w:r w:rsidR="000016CA">
        <w:rPr>
          <w:szCs w:val="24"/>
        </w:rPr>
        <w:t xml:space="preserve"> </w:t>
      </w:r>
      <w:r w:rsidR="005C26C4">
        <w:rPr>
          <w:szCs w:val="24"/>
        </w:rPr>
        <w:t>and the Wildlife Trusts’ “Living Landscapes”</w:t>
      </w:r>
      <w:r w:rsidR="000016CA">
        <w:rPr>
          <w:szCs w:val="24"/>
        </w:rPr>
        <w:t xml:space="preserve"> (Wildlife Trusts 2007</w:t>
      </w:r>
      <w:r w:rsidR="000016CA" w:rsidRPr="000016CA">
        <w:rPr>
          <w:szCs w:val="24"/>
        </w:rPr>
        <w:t>)</w:t>
      </w:r>
      <w:r w:rsidRPr="009F521D">
        <w:rPr>
          <w:szCs w:val="24"/>
        </w:rPr>
        <w:t>.</w:t>
      </w:r>
      <w:r w:rsidR="00BB25CE" w:rsidRPr="009F521D">
        <w:rPr>
          <w:szCs w:val="24"/>
        </w:rPr>
        <w:t xml:space="preserve"> There is also </w:t>
      </w:r>
      <w:r w:rsidR="00A07317">
        <w:rPr>
          <w:szCs w:val="24"/>
        </w:rPr>
        <w:t>a</w:t>
      </w:r>
      <w:r w:rsidR="006A47B5">
        <w:rPr>
          <w:szCs w:val="24"/>
        </w:rPr>
        <w:t xml:space="preserve">n increasing appetite </w:t>
      </w:r>
      <w:r w:rsidR="00F83497">
        <w:rPr>
          <w:szCs w:val="24"/>
        </w:rPr>
        <w:t xml:space="preserve">for </w:t>
      </w:r>
      <w:r w:rsidR="006A47B5">
        <w:rPr>
          <w:szCs w:val="24"/>
        </w:rPr>
        <w:t>greater</w:t>
      </w:r>
      <w:r w:rsidR="00A9473A" w:rsidRPr="009F521D">
        <w:rPr>
          <w:szCs w:val="24"/>
        </w:rPr>
        <w:t xml:space="preserve"> collaboration </w:t>
      </w:r>
      <w:r w:rsidR="00DA23A4">
        <w:rPr>
          <w:szCs w:val="24"/>
        </w:rPr>
        <w:t xml:space="preserve">among and </w:t>
      </w:r>
      <w:r w:rsidR="00A9473A" w:rsidRPr="009F521D">
        <w:rPr>
          <w:szCs w:val="24"/>
        </w:rPr>
        <w:t xml:space="preserve">between </w:t>
      </w:r>
      <w:r w:rsidR="00FF7AE6" w:rsidRPr="009F521D">
        <w:rPr>
          <w:szCs w:val="24"/>
        </w:rPr>
        <w:t xml:space="preserve">conservation </w:t>
      </w:r>
      <w:r w:rsidR="00642653" w:rsidRPr="009F521D">
        <w:rPr>
          <w:szCs w:val="24"/>
        </w:rPr>
        <w:t xml:space="preserve">NGOs and local </w:t>
      </w:r>
      <w:r w:rsidR="00B6204F">
        <w:rPr>
          <w:szCs w:val="24"/>
        </w:rPr>
        <w:t xml:space="preserve">and national </w:t>
      </w:r>
      <w:r w:rsidR="00B21F32" w:rsidRPr="009F521D">
        <w:rPr>
          <w:szCs w:val="24"/>
        </w:rPr>
        <w:t xml:space="preserve">governmental </w:t>
      </w:r>
      <w:r w:rsidR="00642653" w:rsidRPr="009F521D">
        <w:rPr>
          <w:szCs w:val="24"/>
        </w:rPr>
        <w:t xml:space="preserve">agencies </w:t>
      </w:r>
      <w:r w:rsidR="00FF7AE6" w:rsidRPr="009F521D">
        <w:rPr>
          <w:szCs w:val="24"/>
        </w:rPr>
        <w:t>to support existing</w:t>
      </w:r>
      <w:r w:rsidR="00331A19" w:rsidRPr="009F521D">
        <w:rPr>
          <w:szCs w:val="24"/>
        </w:rPr>
        <w:t xml:space="preserve"> and new</w:t>
      </w:r>
      <w:r w:rsidR="00FA7DC0">
        <w:rPr>
          <w:szCs w:val="24"/>
        </w:rPr>
        <w:t xml:space="preserve"> </w:t>
      </w:r>
      <w:r w:rsidR="00FF7AE6" w:rsidRPr="009F521D">
        <w:rPr>
          <w:szCs w:val="24"/>
        </w:rPr>
        <w:t>initiatives</w:t>
      </w:r>
      <w:r w:rsidR="00FF1A23" w:rsidRPr="009F521D">
        <w:rPr>
          <w:szCs w:val="24"/>
        </w:rPr>
        <w:t xml:space="preserve"> </w:t>
      </w:r>
      <w:r w:rsidR="006460A2" w:rsidRPr="009F521D">
        <w:t>(Macgregor et al., 2012)</w:t>
      </w:r>
      <w:r w:rsidR="00642653" w:rsidRPr="009F521D">
        <w:rPr>
          <w:szCs w:val="24"/>
        </w:rPr>
        <w:t>.</w:t>
      </w:r>
    </w:p>
    <w:p w14:paraId="6F6F0209" w14:textId="6DA6A6B9" w:rsidR="001C3D69" w:rsidRPr="00A07317" w:rsidRDefault="001C3D69" w:rsidP="00A07317">
      <w:pPr>
        <w:spacing w:line="480" w:lineRule="auto"/>
        <w:rPr>
          <w:szCs w:val="24"/>
        </w:rPr>
      </w:pPr>
    </w:p>
    <w:p w14:paraId="074DA58E" w14:textId="7AEC7D76" w:rsidR="008B70BF" w:rsidRDefault="001C3D69" w:rsidP="00C37FCE">
      <w:pPr>
        <w:spacing w:line="480" w:lineRule="auto"/>
        <w:rPr>
          <w:szCs w:val="24"/>
        </w:rPr>
      </w:pPr>
      <w:r w:rsidRPr="009F521D">
        <w:rPr>
          <w:szCs w:val="24"/>
        </w:rPr>
        <w:t xml:space="preserve">It was in this context that a recent project </w:t>
      </w:r>
      <w:r w:rsidR="008B2664" w:rsidRPr="009F521D">
        <w:rPr>
          <w:szCs w:val="24"/>
        </w:rPr>
        <w:t>explored</w:t>
      </w:r>
      <w:r w:rsidR="00FA7DC0">
        <w:rPr>
          <w:szCs w:val="24"/>
        </w:rPr>
        <w:t xml:space="preserve"> large-scale conservation initiatives</w:t>
      </w:r>
      <w:r w:rsidR="008B2664" w:rsidRPr="009F521D">
        <w:rPr>
          <w:szCs w:val="24"/>
        </w:rPr>
        <w:t xml:space="preserve"> </w:t>
      </w:r>
      <w:r w:rsidR="00FA7DC0">
        <w:rPr>
          <w:szCs w:val="24"/>
        </w:rPr>
        <w:t>(</w:t>
      </w:r>
      <w:r w:rsidR="00754CBF" w:rsidRPr="009F521D">
        <w:rPr>
          <w:szCs w:val="24"/>
        </w:rPr>
        <w:t>LSCIs</w:t>
      </w:r>
      <w:r w:rsidR="00FA7DC0">
        <w:rPr>
          <w:szCs w:val="24"/>
        </w:rPr>
        <w:t>)</w:t>
      </w:r>
      <w:r w:rsidR="00E75B0B" w:rsidRPr="009F521D">
        <w:rPr>
          <w:szCs w:val="24"/>
        </w:rPr>
        <w:t xml:space="preserve"> </w:t>
      </w:r>
      <w:r w:rsidR="008B2664" w:rsidRPr="009F521D">
        <w:rPr>
          <w:szCs w:val="24"/>
        </w:rPr>
        <w:t>in England, Scotland and Wales</w:t>
      </w:r>
      <w:r w:rsidR="00D774F7">
        <w:rPr>
          <w:szCs w:val="24"/>
        </w:rPr>
        <w:t xml:space="preserve">, </w:t>
      </w:r>
      <w:r w:rsidR="00F8222E">
        <w:rPr>
          <w:szCs w:val="24"/>
        </w:rPr>
        <w:t>where LSCIs were defined</w:t>
      </w:r>
      <w:r w:rsidR="00D774F7">
        <w:rPr>
          <w:szCs w:val="24"/>
        </w:rPr>
        <w:t xml:space="preserve"> </w:t>
      </w:r>
      <w:r w:rsidR="00F8222E">
        <w:rPr>
          <w:szCs w:val="24"/>
        </w:rPr>
        <w:t>as</w:t>
      </w:r>
      <w:r w:rsidR="00D774F7" w:rsidRPr="009F521D">
        <w:rPr>
          <w:szCs w:val="24"/>
        </w:rPr>
        <w:t xml:space="preserve"> </w:t>
      </w:r>
      <w:r w:rsidR="00F8222E">
        <w:rPr>
          <w:szCs w:val="24"/>
        </w:rPr>
        <w:t xml:space="preserve">any area </w:t>
      </w:r>
      <w:r w:rsidR="00D774F7" w:rsidRPr="009F521D">
        <w:rPr>
          <w:szCs w:val="24"/>
        </w:rPr>
        <w:t>larger than an arbitrary threshold of 10 km</w:t>
      </w:r>
      <w:r w:rsidR="00D774F7" w:rsidRPr="009F521D">
        <w:rPr>
          <w:szCs w:val="24"/>
          <w:vertAlign w:val="superscript"/>
        </w:rPr>
        <w:t>2</w:t>
      </w:r>
      <w:r w:rsidR="00F8222E">
        <w:rPr>
          <w:szCs w:val="24"/>
        </w:rPr>
        <w:t xml:space="preserve"> that</w:t>
      </w:r>
      <w:r w:rsidR="00D774F7" w:rsidRPr="009F521D">
        <w:rPr>
          <w:szCs w:val="24"/>
        </w:rPr>
        <w:t xml:space="preserve"> </w:t>
      </w:r>
      <w:r w:rsidR="00F8222E">
        <w:rPr>
          <w:szCs w:val="24"/>
        </w:rPr>
        <w:t>is</w:t>
      </w:r>
      <w:r w:rsidR="00D774F7" w:rsidRPr="009F521D">
        <w:rPr>
          <w:szCs w:val="24"/>
        </w:rPr>
        <w:t xml:space="preserve"> actively</w:t>
      </w:r>
      <w:r w:rsidR="00D774F7">
        <w:rPr>
          <w:szCs w:val="24"/>
        </w:rPr>
        <w:t xml:space="preserve"> managed for biodiversity conservation goals</w:t>
      </w:r>
      <w:r w:rsidR="00FA7DC0">
        <w:rPr>
          <w:szCs w:val="24"/>
        </w:rPr>
        <w:t xml:space="preserve"> </w:t>
      </w:r>
      <w:r w:rsidR="00FA7DC0" w:rsidRPr="009F521D">
        <w:t xml:space="preserve">(Eigenbrod et al., </w:t>
      </w:r>
      <w:r w:rsidR="009269CC">
        <w:t>2017</w:t>
      </w:r>
      <w:r w:rsidR="00FA7DC0" w:rsidRPr="009F521D">
        <w:t>)</w:t>
      </w:r>
      <w:r w:rsidRPr="009F521D">
        <w:rPr>
          <w:szCs w:val="24"/>
        </w:rPr>
        <w:t xml:space="preserve">. This research </w:t>
      </w:r>
      <w:r w:rsidR="00257396" w:rsidRPr="009F521D">
        <w:rPr>
          <w:szCs w:val="24"/>
        </w:rPr>
        <w:t xml:space="preserve">looked at </w:t>
      </w:r>
      <w:r w:rsidR="008B2664" w:rsidRPr="009F521D">
        <w:rPr>
          <w:szCs w:val="24"/>
        </w:rPr>
        <w:t xml:space="preserve">the different </w:t>
      </w:r>
      <w:r w:rsidR="008B70BF">
        <w:rPr>
          <w:szCs w:val="24"/>
        </w:rPr>
        <w:t>categories</w:t>
      </w:r>
      <w:r w:rsidR="008B70BF" w:rsidRPr="009F521D">
        <w:rPr>
          <w:szCs w:val="24"/>
        </w:rPr>
        <w:t xml:space="preserve"> </w:t>
      </w:r>
      <w:r w:rsidR="008B2664" w:rsidRPr="009F521D">
        <w:rPr>
          <w:szCs w:val="24"/>
        </w:rPr>
        <w:t xml:space="preserve">and locations of </w:t>
      </w:r>
      <w:r w:rsidR="00F47067" w:rsidRPr="009F521D">
        <w:rPr>
          <w:szCs w:val="24"/>
        </w:rPr>
        <w:t>LSCIs</w:t>
      </w:r>
      <w:r w:rsidR="008B2664" w:rsidRPr="009F521D">
        <w:rPr>
          <w:szCs w:val="24"/>
        </w:rPr>
        <w:t>, the factors involved in their planning and management, and the</w:t>
      </w:r>
      <w:r w:rsidR="00CF34BA">
        <w:rPr>
          <w:szCs w:val="24"/>
        </w:rPr>
        <w:t>ir</w:t>
      </w:r>
      <w:r w:rsidR="008B2664" w:rsidRPr="009F521D">
        <w:rPr>
          <w:szCs w:val="24"/>
        </w:rPr>
        <w:t xml:space="preserve"> environmental benefits</w:t>
      </w:r>
      <w:r w:rsidR="00CF34BA">
        <w:rPr>
          <w:szCs w:val="24"/>
        </w:rPr>
        <w:t xml:space="preserve"> </w:t>
      </w:r>
      <w:r w:rsidR="009F521D" w:rsidRPr="009F521D">
        <w:t xml:space="preserve">(Adams et al., 2016; </w:t>
      </w:r>
      <w:r w:rsidR="009269CC">
        <w:t>Eigenbrod et al., 2017</w:t>
      </w:r>
      <w:r w:rsidR="009F521D" w:rsidRPr="009F521D">
        <w:t>; Macgregor et al., 2012</w:t>
      </w:r>
      <w:r w:rsidR="00F8222E">
        <w:t xml:space="preserve">). This analysis </w:t>
      </w:r>
      <w:r w:rsidR="00F8222E">
        <w:rPr>
          <w:szCs w:val="24"/>
        </w:rPr>
        <w:t xml:space="preserve">identified </w:t>
      </w:r>
      <w:r w:rsidR="00F541AF">
        <w:rPr>
          <w:szCs w:val="24"/>
        </w:rPr>
        <w:t xml:space="preserve">over </w:t>
      </w:r>
      <w:r w:rsidR="003D6D52" w:rsidRPr="00546F9E">
        <w:rPr>
          <w:szCs w:val="24"/>
        </w:rPr>
        <w:t>8</w:t>
      </w:r>
      <w:r w:rsidR="00F533F2" w:rsidRPr="00546F9E">
        <w:rPr>
          <w:szCs w:val="24"/>
        </w:rPr>
        <w:t>00</w:t>
      </w:r>
      <w:r w:rsidR="00F541AF">
        <w:rPr>
          <w:szCs w:val="24"/>
        </w:rPr>
        <w:t xml:space="preserve"> LSCIs</w:t>
      </w:r>
      <w:r w:rsidR="00F8222E">
        <w:rPr>
          <w:szCs w:val="24"/>
        </w:rPr>
        <w:t xml:space="preserve"> </w:t>
      </w:r>
      <w:r w:rsidR="00F541AF">
        <w:rPr>
          <w:szCs w:val="24"/>
        </w:rPr>
        <w:t>in England, Scotland and Wales</w:t>
      </w:r>
      <w:r w:rsidR="00546F9E">
        <w:rPr>
          <w:szCs w:val="24"/>
        </w:rPr>
        <w:t xml:space="preserve">, </w:t>
      </w:r>
      <w:r w:rsidR="00C37FCE">
        <w:rPr>
          <w:szCs w:val="24"/>
        </w:rPr>
        <w:t xml:space="preserve">which </w:t>
      </w:r>
      <w:r w:rsidR="00546F9E">
        <w:rPr>
          <w:szCs w:val="24"/>
        </w:rPr>
        <w:t>were subsequently</w:t>
      </w:r>
      <w:r w:rsidR="007B5AF5">
        <w:rPr>
          <w:szCs w:val="24"/>
        </w:rPr>
        <w:t xml:space="preserve"> categorised </w:t>
      </w:r>
      <w:r w:rsidR="00754CBF">
        <w:rPr>
          <w:szCs w:val="24"/>
        </w:rPr>
        <w:t>based</w:t>
      </w:r>
      <w:r w:rsidR="001276B1">
        <w:rPr>
          <w:szCs w:val="24"/>
        </w:rPr>
        <w:t xml:space="preserve"> on land tenure</w:t>
      </w:r>
      <w:r w:rsidR="00754CBF">
        <w:rPr>
          <w:szCs w:val="24"/>
        </w:rPr>
        <w:t xml:space="preserve"> and management</w:t>
      </w:r>
      <w:r w:rsidR="00C37FCE">
        <w:rPr>
          <w:szCs w:val="24"/>
        </w:rPr>
        <w:t xml:space="preserve"> strategy</w:t>
      </w:r>
      <w:r w:rsidR="00546F9E">
        <w:rPr>
          <w:szCs w:val="24"/>
        </w:rPr>
        <w:t xml:space="preserve"> </w:t>
      </w:r>
      <w:r w:rsidR="00F47142">
        <w:rPr>
          <w:szCs w:val="24"/>
        </w:rPr>
        <w:t>(</w:t>
      </w:r>
      <w:r w:rsidR="00F47142">
        <w:t>Macgregor et al.</w:t>
      </w:r>
      <w:r w:rsidR="0055660B">
        <w:t>,</w:t>
      </w:r>
      <w:r w:rsidR="00F47142">
        <w:t xml:space="preserve"> 201</w:t>
      </w:r>
      <w:r w:rsidR="0055660B">
        <w:t>2</w:t>
      </w:r>
      <w:r w:rsidR="00F47142">
        <w:t>)</w:t>
      </w:r>
      <w:r w:rsidR="00A307DB">
        <w:rPr>
          <w:szCs w:val="24"/>
        </w:rPr>
        <w:t>.</w:t>
      </w:r>
      <w:r w:rsidR="008922B9">
        <w:rPr>
          <w:szCs w:val="24"/>
        </w:rPr>
        <w:t xml:space="preserve"> </w:t>
      </w:r>
      <w:r w:rsidR="003942F1">
        <w:rPr>
          <w:szCs w:val="24"/>
        </w:rPr>
        <w:t xml:space="preserve"> </w:t>
      </w:r>
      <w:r w:rsidR="00D774F7">
        <w:rPr>
          <w:szCs w:val="24"/>
        </w:rPr>
        <w:t>This</w:t>
      </w:r>
      <w:r w:rsidR="00F541AF">
        <w:rPr>
          <w:szCs w:val="24"/>
        </w:rPr>
        <w:t xml:space="preserve"> large number of </w:t>
      </w:r>
      <w:r w:rsidR="00D774F7">
        <w:rPr>
          <w:szCs w:val="24"/>
        </w:rPr>
        <w:t>LSCIs</w:t>
      </w:r>
      <w:r w:rsidR="00F541AF">
        <w:rPr>
          <w:szCs w:val="24"/>
        </w:rPr>
        <w:t xml:space="preserve"> </w:t>
      </w:r>
      <w:r w:rsidR="006C4605">
        <w:rPr>
          <w:szCs w:val="24"/>
        </w:rPr>
        <w:t>highlight</w:t>
      </w:r>
      <w:r w:rsidR="00F541AF">
        <w:rPr>
          <w:szCs w:val="24"/>
        </w:rPr>
        <w:t>s</w:t>
      </w:r>
      <w:r w:rsidR="006C4605" w:rsidRPr="00FF1A23">
        <w:rPr>
          <w:szCs w:val="24"/>
        </w:rPr>
        <w:t xml:space="preserve"> </w:t>
      </w:r>
      <w:r w:rsidR="00E81CEF" w:rsidRPr="00FF1A23">
        <w:rPr>
          <w:szCs w:val="24"/>
        </w:rPr>
        <w:t>the</w:t>
      </w:r>
      <w:r w:rsidR="007A722A" w:rsidRPr="00FF1A23">
        <w:rPr>
          <w:szCs w:val="24"/>
        </w:rPr>
        <w:t xml:space="preserve"> growing interest </w:t>
      </w:r>
      <w:r w:rsidR="00606D70" w:rsidRPr="00FF1A23">
        <w:rPr>
          <w:szCs w:val="24"/>
        </w:rPr>
        <w:t xml:space="preserve">in </w:t>
      </w:r>
      <w:r w:rsidR="007A722A" w:rsidRPr="00FF1A23">
        <w:rPr>
          <w:szCs w:val="24"/>
        </w:rPr>
        <w:t>the approach</w:t>
      </w:r>
      <w:r w:rsidR="00227828">
        <w:rPr>
          <w:szCs w:val="24"/>
        </w:rPr>
        <w:t xml:space="preserve"> in </w:t>
      </w:r>
      <w:r w:rsidR="00546F9E">
        <w:rPr>
          <w:szCs w:val="24"/>
        </w:rPr>
        <w:t>the UK</w:t>
      </w:r>
      <w:r w:rsidR="00E81CEF" w:rsidRPr="00FF1A23">
        <w:rPr>
          <w:szCs w:val="24"/>
        </w:rPr>
        <w:t xml:space="preserve">. </w:t>
      </w:r>
      <w:r w:rsidR="0042204E">
        <w:rPr>
          <w:szCs w:val="24"/>
        </w:rPr>
        <w:t>However, d</w:t>
      </w:r>
      <w:r w:rsidR="00606D70" w:rsidRPr="00FF1A23">
        <w:rPr>
          <w:szCs w:val="24"/>
        </w:rPr>
        <w:t>espite th</w:t>
      </w:r>
      <w:r w:rsidR="00BC43FD" w:rsidRPr="00FF1A23">
        <w:rPr>
          <w:szCs w:val="24"/>
        </w:rPr>
        <w:t>e</w:t>
      </w:r>
      <w:r w:rsidR="00257396">
        <w:rPr>
          <w:szCs w:val="24"/>
        </w:rPr>
        <w:t>ir</w:t>
      </w:r>
      <w:r w:rsidR="00BC43FD" w:rsidRPr="00FF1A23">
        <w:rPr>
          <w:szCs w:val="24"/>
        </w:rPr>
        <w:t xml:space="preserve"> number</w:t>
      </w:r>
      <w:r w:rsidR="00606D70" w:rsidRPr="00FF1A23">
        <w:rPr>
          <w:szCs w:val="24"/>
        </w:rPr>
        <w:t xml:space="preserve"> and </w:t>
      </w:r>
      <w:r w:rsidR="009531A9" w:rsidRPr="00FF1A23">
        <w:rPr>
          <w:szCs w:val="24"/>
        </w:rPr>
        <w:t xml:space="preserve">appeal, </w:t>
      </w:r>
      <w:r w:rsidR="003942F1">
        <w:rPr>
          <w:szCs w:val="24"/>
        </w:rPr>
        <w:t xml:space="preserve">there is </w:t>
      </w:r>
      <w:r w:rsidR="00D22511">
        <w:rPr>
          <w:szCs w:val="24"/>
        </w:rPr>
        <w:t>little</w:t>
      </w:r>
      <w:r w:rsidR="009F56FD" w:rsidRPr="00FF1A23">
        <w:rPr>
          <w:szCs w:val="24"/>
        </w:rPr>
        <w:t xml:space="preserve"> evidence on</w:t>
      </w:r>
      <w:r w:rsidR="00692997">
        <w:rPr>
          <w:szCs w:val="24"/>
        </w:rPr>
        <w:t xml:space="preserve"> whether </w:t>
      </w:r>
      <w:r w:rsidR="009F6D55">
        <w:rPr>
          <w:szCs w:val="24"/>
        </w:rPr>
        <w:t>these new</w:t>
      </w:r>
      <w:r w:rsidR="00D97DC0">
        <w:rPr>
          <w:szCs w:val="24"/>
        </w:rPr>
        <w:t xml:space="preserve"> </w:t>
      </w:r>
      <w:r w:rsidR="00257396">
        <w:rPr>
          <w:szCs w:val="24"/>
        </w:rPr>
        <w:t xml:space="preserve">initiatives </w:t>
      </w:r>
      <w:r w:rsidR="008B70BF">
        <w:rPr>
          <w:szCs w:val="24"/>
        </w:rPr>
        <w:lastRenderedPageBreak/>
        <w:t>have resulted in a</w:t>
      </w:r>
      <w:r w:rsidR="009F56FD" w:rsidRPr="00FF1A23">
        <w:rPr>
          <w:szCs w:val="24"/>
        </w:rPr>
        <w:t xml:space="preserve"> </w:t>
      </w:r>
      <w:r w:rsidR="009F6D55">
        <w:rPr>
          <w:szCs w:val="24"/>
        </w:rPr>
        <w:t>more representative</w:t>
      </w:r>
      <w:r w:rsidR="008B70BF" w:rsidRPr="008B70BF">
        <w:rPr>
          <w:szCs w:val="24"/>
        </w:rPr>
        <w:t xml:space="preserve"> </w:t>
      </w:r>
      <w:r w:rsidR="008B70BF" w:rsidRPr="00FF1A23">
        <w:rPr>
          <w:szCs w:val="24"/>
        </w:rPr>
        <w:t>PA network</w:t>
      </w:r>
      <w:r w:rsidR="009531A9" w:rsidRPr="00FF1A23">
        <w:rPr>
          <w:szCs w:val="24"/>
        </w:rPr>
        <w:t>.</w:t>
      </w:r>
      <w:r w:rsidR="006C7164">
        <w:rPr>
          <w:szCs w:val="24"/>
        </w:rPr>
        <w:t xml:space="preserve"> The aim of this paper is thus to explore </w:t>
      </w:r>
      <w:r w:rsidR="006D7C57">
        <w:rPr>
          <w:szCs w:val="24"/>
        </w:rPr>
        <w:t>the</w:t>
      </w:r>
      <w:r w:rsidR="006C7164">
        <w:rPr>
          <w:szCs w:val="24"/>
        </w:rPr>
        <w:t xml:space="preserve"> extent </w:t>
      </w:r>
      <w:r w:rsidR="006D7C57">
        <w:rPr>
          <w:szCs w:val="24"/>
        </w:rPr>
        <w:t xml:space="preserve">to which </w:t>
      </w:r>
      <w:r w:rsidR="006C7164">
        <w:rPr>
          <w:szCs w:val="24"/>
        </w:rPr>
        <w:t xml:space="preserve">LSCIs and agri-environment schemes </w:t>
      </w:r>
      <w:r w:rsidR="00702338">
        <w:rPr>
          <w:szCs w:val="24"/>
        </w:rPr>
        <w:t xml:space="preserve">have </w:t>
      </w:r>
      <w:r w:rsidR="006C7164">
        <w:rPr>
          <w:szCs w:val="24"/>
        </w:rPr>
        <w:t>complement</w:t>
      </w:r>
      <w:r w:rsidR="00702338">
        <w:rPr>
          <w:szCs w:val="24"/>
        </w:rPr>
        <w:t>ed</w:t>
      </w:r>
      <w:r w:rsidR="006C7164">
        <w:rPr>
          <w:szCs w:val="24"/>
        </w:rPr>
        <w:t xml:space="preserve"> the current network of PAs </w:t>
      </w:r>
      <w:r w:rsidR="0080550D">
        <w:rPr>
          <w:szCs w:val="24"/>
        </w:rPr>
        <w:t>to</w:t>
      </w:r>
      <w:r w:rsidR="006C7164">
        <w:rPr>
          <w:szCs w:val="24"/>
        </w:rPr>
        <w:t xml:space="preserve"> </w:t>
      </w:r>
      <w:r w:rsidR="0080550D">
        <w:rPr>
          <w:szCs w:val="24"/>
        </w:rPr>
        <w:t>reduce</w:t>
      </w:r>
      <w:r w:rsidR="006C7164">
        <w:rPr>
          <w:szCs w:val="24"/>
        </w:rPr>
        <w:t xml:space="preserve"> spatial biases. </w:t>
      </w:r>
    </w:p>
    <w:p w14:paraId="0242BB9D" w14:textId="77777777" w:rsidR="008B70BF" w:rsidRDefault="008B70BF" w:rsidP="008B70BF">
      <w:pPr>
        <w:spacing w:line="480" w:lineRule="auto"/>
        <w:rPr>
          <w:szCs w:val="24"/>
        </w:rPr>
      </w:pPr>
    </w:p>
    <w:p w14:paraId="10013563" w14:textId="76CFD2CF" w:rsidR="00425331" w:rsidRDefault="00F8222E" w:rsidP="00425331">
      <w:pPr>
        <w:spacing w:line="480" w:lineRule="auto"/>
        <w:rPr>
          <w:szCs w:val="24"/>
        </w:rPr>
      </w:pPr>
      <w:r w:rsidRPr="00FF1A23">
        <w:rPr>
          <w:szCs w:val="24"/>
        </w:rPr>
        <w:t xml:space="preserve">The best way to </w:t>
      </w:r>
      <w:r w:rsidR="006C7164">
        <w:rPr>
          <w:szCs w:val="24"/>
        </w:rPr>
        <w:t>explore this question</w:t>
      </w:r>
      <w:r w:rsidRPr="00FF1A23">
        <w:rPr>
          <w:szCs w:val="24"/>
        </w:rPr>
        <w:t xml:space="preserve"> is to undertake a gap analysis, a</w:t>
      </w:r>
      <w:r w:rsidR="005D3F7E">
        <w:rPr>
          <w:szCs w:val="24"/>
        </w:rPr>
        <w:t xml:space="preserve"> spatially resolved quantitative</w:t>
      </w:r>
      <w:r w:rsidRPr="00FF1A23">
        <w:rPr>
          <w:szCs w:val="24"/>
        </w:rPr>
        <w:t xml:space="preserve"> approach </w:t>
      </w:r>
      <w:r>
        <w:rPr>
          <w:szCs w:val="24"/>
        </w:rPr>
        <w:t>for</w:t>
      </w:r>
      <w:r w:rsidRPr="00FF1A23">
        <w:rPr>
          <w:szCs w:val="24"/>
        </w:rPr>
        <w:t xml:space="preserve"> measur</w:t>
      </w:r>
      <w:r>
        <w:rPr>
          <w:szCs w:val="24"/>
        </w:rPr>
        <w:t>ing</w:t>
      </w:r>
      <w:r w:rsidRPr="00FF1A23">
        <w:rPr>
          <w:szCs w:val="24"/>
        </w:rPr>
        <w:t xml:space="preserve"> how well PA networks represent biodiversity and protect different biogeographic zones, land</w:t>
      </w:r>
      <w:r>
        <w:rPr>
          <w:szCs w:val="24"/>
        </w:rPr>
        <w:t>-cover</w:t>
      </w:r>
      <w:r w:rsidRPr="00FF1A23">
        <w:rPr>
          <w:szCs w:val="24"/>
        </w:rPr>
        <w:t xml:space="preserve"> types and </w:t>
      </w:r>
      <w:r w:rsidRPr="00967420">
        <w:rPr>
          <w:szCs w:val="24"/>
        </w:rPr>
        <w:t xml:space="preserve">species (e.g. </w:t>
      </w:r>
      <w:r w:rsidRPr="00967420">
        <w:rPr>
          <w:rFonts w:cs="Calibri"/>
        </w:rPr>
        <w:t>Jenkins</w:t>
      </w:r>
      <w:r w:rsidRPr="0055660B">
        <w:rPr>
          <w:rFonts w:cs="Calibri"/>
        </w:rPr>
        <w:t xml:space="preserve"> et al., 2015; Scott et al., 1993)</w:t>
      </w:r>
      <w:r w:rsidRPr="00FF1A23">
        <w:rPr>
          <w:szCs w:val="24"/>
        </w:rPr>
        <w:t xml:space="preserve">. Here we </w:t>
      </w:r>
      <w:r w:rsidR="009776E5">
        <w:rPr>
          <w:szCs w:val="24"/>
        </w:rPr>
        <w:t xml:space="preserve">conduct the first </w:t>
      </w:r>
      <w:r w:rsidR="00405809">
        <w:rPr>
          <w:szCs w:val="24"/>
        </w:rPr>
        <w:t xml:space="preserve">ever </w:t>
      </w:r>
      <w:r w:rsidR="009776E5">
        <w:rPr>
          <w:szCs w:val="24"/>
        </w:rPr>
        <w:t xml:space="preserve">gap analysis of </w:t>
      </w:r>
      <w:r w:rsidR="00405809">
        <w:rPr>
          <w:szCs w:val="24"/>
        </w:rPr>
        <w:t xml:space="preserve">the relative contribution of </w:t>
      </w:r>
      <w:r w:rsidR="009776E5">
        <w:rPr>
          <w:szCs w:val="24"/>
        </w:rPr>
        <w:t>PA, LSCIs and agri-environment schemes</w:t>
      </w:r>
      <w:r w:rsidR="00405809">
        <w:rPr>
          <w:szCs w:val="24"/>
        </w:rPr>
        <w:t>, focusing on these different conservation area types</w:t>
      </w:r>
      <w:r w:rsidR="009776E5">
        <w:rPr>
          <w:szCs w:val="24"/>
        </w:rPr>
        <w:t xml:space="preserve"> </w:t>
      </w:r>
      <w:r w:rsidR="00405809">
        <w:rPr>
          <w:szCs w:val="24"/>
        </w:rPr>
        <w:t xml:space="preserve">in </w:t>
      </w:r>
      <w:r w:rsidR="009776E5">
        <w:rPr>
          <w:szCs w:val="24"/>
        </w:rPr>
        <w:t xml:space="preserve">England. </w:t>
      </w:r>
      <w:r>
        <w:rPr>
          <w:szCs w:val="24"/>
        </w:rPr>
        <w:t xml:space="preserve"> W</w:t>
      </w:r>
      <w:r w:rsidRPr="00C06EAB">
        <w:rPr>
          <w:szCs w:val="24"/>
        </w:rPr>
        <w:t>e</w:t>
      </w:r>
      <w:r>
        <w:rPr>
          <w:szCs w:val="24"/>
        </w:rPr>
        <w:t xml:space="preserve"> begin by</w:t>
      </w:r>
      <w:r w:rsidRPr="00DE697E">
        <w:rPr>
          <w:szCs w:val="24"/>
        </w:rPr>
        <w:t xml:space="preserve"> </w:t>
      </w:r>
      <w:r>
        <w:rPr>
          <w:szCs w:val="24"/>
        </w:rPr>
        <w:t xml:space="preserve">measuring how England’s PA network has changed since </w:t>
      </w:r>
      <w:r w:rsidR="009776E5">
        <w:rPr>
          <w:szCs w:val="24"/>
        </w:rPr>
        <w:t>a 2001</w:t>
      </w:r>
      <w:r>
        <w:rPr>
          <w:szCs w:val="24"/>
        </w:rPr>
        <w:t xml:space="preserve"> gap analysis in terms of extent and protecting different ecoregions and elevation zones (Oldfield et al. 2004). We then </w:t>
      </w:r>
      <w:r w:rsidRPr="00FF1A23">
        <w:rPr>
          <w:szCs w:val="24"/>
        </w:rPr>
        <w:t xml:space="preserve">assess the contribution of </w:t>
      </w:r>
      <w:r>
        <w:rPr>
          <w:szCs w:val="24"/>
        </w:rPr>
        <w:t xml:space="preserve">two other major categories of conservation management initiatives: </w:t>
      </w:r>
      <w:r w:rsidRPr="00FF1A23">
        <w:rPr>
          <w:szCs w:val="24"/>
        </w:rPr>
        <w:t>la</w:t>
      </w:r>
      <w:r>
        <w:rPr>
          <w:szCs w:val="24"/>
        </w:rPr>
        <w:t>rge</w:t>
      </w:r>
      <w:r w:rsidRPr="00FF1A23">
        <w:rPr>
          <w:szCs w:val="24"/>
        </w:rPr>
        <w:t xml:space="preserve">-scale </w:t>
      </w:r>
      <w:r w:rsidR="00374A77">
        <w:rPr>
          <w:szCs w:val="24"/>
        </w:rPr>
        <w:t xml:space="preserve">conservation </w:t>
      </w:r>
      <w:r w:rsidRPr="00FF1A23">
        <w:rPr>
          <w:szCs w:val="24"/>
        </w:rPr>
        <w:t xml:space="preserve">initiatives </w:t>
      </w:r>
      <w:r>
        <w:rPr>
          <w:szCs w:val="24"/>
        </w:rPr>
        <w:t>(LSCIs)</w:t>
      </w:r>
      <w:r w:rsidR="009776E5">
        <w:rPr>
          <w:szCs w:val="24"/>
        </w:rPr>
        <w:t>, using the recently created LSCI database</w:t>
      </w:r>
      <w:r w:rsidR="009776E5">
        <w:rPr>
          <w:szCs w:val="24"/>
          <w:lang w:val="en-US" w:bidi="he-IL"/>
        </w:rPr>
        <w:t xml:space="preserve"> (</w:t>
      </w:r>
      <w:r w:rsidR="009776E5">
        <w:t>Eigenbrod et al., 2017</w:t>
      </w:r>
      <w:r w:rsidR="009776E5" w:rsidDel="00727994">
        <w:t>)</w:t>
      </w:r>
      <w:r w:rsidR="009776E5">
        <w:rPr>
          <w:szCs w:val="24"/>
        </w:rPr>
        <w:t>,</w:t>
      </w:r>
      <w:r>
        <w:rPr>
          <w:szCs w:val="24"/>
        </w:rPr>
        <w:t xml:space="preserve"> and</w:t>
      </w:r>
      <w:r w:rsidR="001C44B0">
        <w:rPr>
          <w:szCs w:val="24"/>
        </w:rPr>
        <w:t>;</w:t>
      </w:r>
      <w:r>
        <w:rPr>
          <w:szCs w:val="24"/>
        </w:rPr>
        <w:t xml:space="preserve"> </w:t>
      </w:r>
      <w:r w:rsidR="006A47B5">
        <w:rPr>
          <w:szCs w:val="24"/>
        </w:rPr>
        <w:t>i</w:t>
      </w:r>
      <w:r w:rsidRPr="00143C8F">
        <w:rPr>
          <w:szCs w:val="24"/>
        </w:rPr>
        <w:t xml:space="preserve">ncentive </w:t>
      </w:r>
      <w:r w:rsidR="006A47B5">
        <w:rPr>
          <w:szCs w:val="24"/>
        </w:rPr>
        <w:t>p</w:t>
      </w:r>
      <w:r w:rsidRPr="00143C8F">
        <w:rPr>
          <w:szCs w:val="24"/>
        </w:rPr>
        <w:t xml:space="preserve">ayment </w:t>
      </w:r>
      <w:r w:rsidR="006A47B5">
        <w:rPr>
          <w:szCs w:val="24"/>
        </w:rPr>
        <w:t>a</w:t>
      </w:r>
      <w:r w:rsidRPr="00143C8F">
        <w:rPr>
          <w:szCs w:val="24"/>
        </w:rPr>
        <w:t>reas</w:t>
      </w:r>
      <w:r w:rsidDel="00AD1477">
        <w:rPr>
          <w:szCs w:val="24"/>
        </w:rPr>
        <w:t xml:space="preserve"> </w:t>
      </w:r>
      <w:r>
        <w:rPr>
          <w:szCs w:val="24"/>
        </w:rPr>
        <w:t>(IPAs) based on agri-environment and woodland improvement schemes. This involves measuring the overlap in the PA, LSCI and IPA networks, and the extent to which land under these management types cover the different ecor</w:t>
      </w:r>
      <w:r w:rsidRPr="00293675">
        <w:rPr>
          <w:szCs w:val="24"/>
        </w:rPr>
        <w:t>egions, land</w:t>
      </w:r>
      <w:r>
        <w:rPr>
          <w:szCs w:val="24"/>
        </w:rPr>
        <w:t>-</w:t>
      </w:r>
      <w:r w:rsidRPr="00293675">
        <w:rPr>
          <w:szCs w:val="24"/>
        </w:rPr>
        <w:t>cover types and elevation zones.</w:t>
      </w:r>
      <w:r>
        <w:rPr>
          <w:szCs w:val="24"/>
        </w:rPr>
        <w:t xml:space="preserve"> In doing so, we test the hypothesis that</w:t>
      </w:r>
      <w:r w:rsidR="00A40615">
        <w:rPr>
          <w:szCs w:val="24"/>
        </w:rPr>
        <w:t xml:space="preserve"> </w:t>
      </w:r>
      <w:r w:rsidR="00A40615" w:rsidRPr="00A40615">
        <w:rPr>
          <w:szCs w:val="24"/>
        </w:rPr>
        <w:t>Other Effective Area-Based Conservation Measures</w:t>
      </w:r>
      <w:r w:rsidR="00A40615">
        <w:rPr>
          <w:szCs w:val="24"/>
        </w:rPr>
        <w:t xml:space="preserve"> (OECMs), as highlighted in the Convention for Biological Diversity’s Aichi target 11</w:t>
      </w:r>
      <w:r w:rsidR="006F7D2D">
        <w:rPr>
          <w:szCs w:val="24"/>
        </w:rPr>
        <w:t xml:space="preserve"> (CBD 2011)</w:t>
      </w:r>
      <w:r w:rsidR="00A40615">
        <w:rPr>
          <w:szCs w:val="24"/>
        </w:rPr>
        <w:t>,</w:t>
      </w:r>
      <w:r>
        <w:rPr>
          <w:szCs w:val="24"/>
        </w:rPr>
        <w:t xml:space="preserve"> reduce some of the limitations of the original PA network by </w:t>
      </w:r>
      <w:r w:rsidR="00425331" w:rsidRPr="00425331">
        <w:rPr>
          <w:szCs w:val="24"/>
        </w:rPr>
        <w:t xml:space="preserve">better representing England’s ecoregions and land with higher socio-economic value. </w:t>
      </w:r>
    </w:p>
    <w:p w14:paraId="60BC302D" w14:textId="77777777" w:rsidR="00F8222E" w:rsidRDefault="00F8222E" w:rsidP="00425331">
      <w:pPr>
        <w:spacing w:line="480" w:lineRule="auto"/>
        <w:rPr>
          <w:szCs w:val="24"/>
        </w:rPr>
      </w:pPr>
    </w:p>
    <w:p w14:paraId="01BF8ECB" w14:textId="77777777" w:rsidR="00642653" w:rsidRDefault="00642653" w:rsidP="00652C11">
      <w:pPr>
        <w:spacing w:line="480" w:lineRule="auto"/>
        <w:rPr>
          <w:sz w:val="28"/>
          <w:szCs w:val="28"/>
        </w:rPr>
      </w:pPr>
      <w:r>
        <w:rPr>
          <w:sz w:val="28"/>
          <w:szCs w:val="28"/>
        </w:rPr>
        <w:t xml:space="preserve">2. </w:t>
      </w:r>
      <w:r w:rsidRPr="00C06EAB">
        <w:rPr>
          <w:rStyle w:val="Heading2Char"/>
        </w:rPr>
        <w:t>Methods</w:t>
      </w:r>
    </w:p>
    <w:p w14:paraId="2CD5AD35" w14:textId="186110DA" w:rsidR="00642653" w:rsidRPr="004A56A0" w:rsidRDefault="00642653" w:rsidP="00652C11">
      <w:pPr>
        <w:pStyle w:val="Heading3"/>
        <w:spacing w:line="480" w:lineRule="auto"/>
      </w:pPr>
      <w:r w:rsidRPr="004A56A0">
        <w:lastRenderedPageBreak/>
        <w:t xml:space="preserve">2.1. </w:t>
      </w:r>
      <w:r w:rsidR="00406F18">
        <w:t xml:space="preserve">Types of </w:t>
      </w:r>
      <w:r w:rsidR="001E41BC">
        <w:t>conservation</w:t>
      </w:r>
      <w:r w:rsidR="00406F18">
        <w:t xml:space="preserve"> area</w:t>
      </w:r>
      <w:r w:rsidR="00976CC0">
        <w:t>s</w:t>
      </w:r>
    </w:p>
    <w:p w14:paraId="18C278CF" w14:textId="7A319198" w:rsidR="00973C49" w:rsidRDefault="001C167E" w:rsidP="00A56D06">
      <w:pPr>
        <w:spacing w:line="480" w:lineRule="auto"/>
        <w:rPr>
          <w:szCs w:val="24"/>
        </w:rPr>
      </w:pPr>
      <w:r>
        <w:rPr>
          <w:szCs w:val="24"/>
        </w:rPr>
        <w:t>W</w:t>
      </w:r>
      <w:r w:rsidR="00C47B08">
        <w:rPr>
          <w:szCs w:val="24"/>
        </w:rPr>
        <w:t xml:space="preserve">e </w:t>
      </w:r>
      <w:r w:rsidR="00FD5880">
        <w:rPr>
          <w:szCs w:val="24"/>
        </w:rPr>
        <w:t>distinguished</w:t>
      </w:r>
      <w:r w:rsidR="00D46493">
        <w:rPr>
          <w:szCs w:val="24"/>
        </w:rPr>
        <w:t xml:space="preserve"> </w:t>
      </w:r>
      <w:r w:rsidR="004679A2">
        <w:rPr>
          <w:szCs w:val="24"/>
        </w:rPr>
        <w:t xml:space="preserve">four </w:t>
      </w:r>
      <w:r w:rsidR="00395C83">
        <w:rPr>
          <w:szCs w:val="24"/>
        </w:rPr>
        <w:t xml:space="preserve">categories </w:t>
      </w:r>
      <w:r w:rsidR="00642653">
        <w:rPr>
          <w:szCs w:val="24"/>
        </w:rPr>
        <w:t xml:space="preserve">of </w:t>
      </w:r>
      <w:r w:rsidR="00107885">
        <w:rPr>
          <w:szCs w:val="24"/>
        </w:rPr>
        <w:t>conservation area</w:t>
      </w:r>
      <w:r w:rsidR="00AD2A54">
        <w:rPr>
          <w:szCs w:val="24"/>
        </w:rPr>
        <w:t>s</w:t>
      </w:r>
      <w:r w:rsidR="0062135F">
        <w:rPr>
          <w:szCs w:val="24"/>
        </w:rPr>
        <w:t xml:space="preserve"> </w:t>
      </w:r>
      <w:r w:rsidR="0081163F">
        <w:rPr>
          <w:szCs w:val="24"/>
        </w:rPr>
        <w:t>in our analysis</w:t>
      </w:r>
      <w:r w:rsidR="00A67FF4">
        <w:rPr>
          <w:szCs w:val="24"/>
        </w:rPr>
        <w:t>:</w:t>
      </w:r>
      <w:r w:rsidR="00616C70">
        <w:rPr>
          <w:szCs w:val="24"/>
        </w:rPr>
        <w:t xml:space="preserve"> </w:t>
      </w:r>
    </w:p>
    <w:p w14:paraId="4978A5A8" w14:textId="071894A9" w:rsidR="00973C49" w:rsidRPr="00973C49" w:rsidRDefault="00973C49" w:rsidP="00652C11">
      <w:pPr>
        <w:pStyle w:val="ListParagraph"/>
        <w:numPr>
          <w:ilvl w:val="0"/>
          <w:numId w:val="13"/>
        </w:numPr>
        <w:spacing w:line="480" w:lineRule="auto"/>
        <w:rPr>
          <w:szCs w:val="24"/>
        </w:rPr>
      </w:pPr>
      <w:r>
        <w:rPr>
          <w:szCs w:val="24"/>
        </w:rPr>
        <w:t>Protected areas (</w:t>
      </w:r>
      <w:r w:rsidR="0081163F" w:rsidRPr="00973C49">
        <w:rPr>
          <w:szCs w:val="24"/>
        </w:rPr>
        <w:t>PAs</w:t>
      </w:r>
      <w:r>
        <w:rPr>
          <w:szCs w:val="24"/>
        </w:rPr>
        <w:t>)</w:t>
      </w:r>
      <w:r w:rsidR="005E58AF">
        <w:rPr>
          <w:szCs w:val="24"/>
        </w:rPr>
        <w:t xml:space="preserve">. </w:t>
      </w:r>
      <w:r w:rsidR="00DA23A4">
        <w:rPr>
          <w:szCs w:val="24"/>
        </w:rPr>
        <w:t>We focused on</w:t>
      </w:r>
      <w:r>
        <w:rPr>
          <w:szCs w:val="24"/>
        </w:rPr>
        <w:t xml:space="preserve"> </w:t>
      </w:r>
      <w:r w:rsidR="00E64BE1" w:rsidRPr="00973C49">
        <w:rPr>
          <w:szCs w:val="24"/>
        </w:rPr>
        <w:t>National Nature Reserves (</w:t>
      </w:r>
      <w:r w:rsidR="00642653" w:rsidRPr="00973C49">
        <w:rPr>
          <w:szCs w:val="24"/>
        </w:rPr>
        <w:t>NNRs</w:t>
      </w:r>
      <w:r w:rsidR="00E64BE1" w:rsidRPr="00973C49">
        <w:rPr>
          <w:szCs w:val="24"/>
        </w:rPr>
        <w:t>)</w:t>
      </w:r>
      <w:r w:rsidR="00EE7BCB" w:rsidRPr="00973C49">
        <w:rPr>
          <w:szCs w:val="24"/>
        </w:rPr>
        <w:t xml:space="preserve"> </w:t>
      </w:r>
      <w:r w:rsidR="00642653" w:rsidRPr="00973C49">
        <w:rPr>
          <w:szCs w:val="24"/>
        </w:rPr>
        <w:t>and</w:t>
      </w:r>
      <w:r w:rsidR="00E64BE1" w:rsidRPr="00973C49">
        <w:rPr>
          <w:szCs w:val="24"/>
        </w:rPr>
        <w:t xml:space="preserve"> Sites of Special Scientific Interest</w:t>
      </w:r>
      <w:r w:rsidR="00EE7BCB" w:rsidRPr="00973C49">
        <w:rPr>
          <w:szCs w:val="24"/>
        </w:rPr>
        <w:t xml:space="preserve"> </w:t>
      </w:r>
      <w:r w:rsidR="00E64BE1" w:rsidRPr="00973C49">
        <w:rPr>
          <w:szCs w:val="24"/>
        </w:rPr>
        <w:t>(</w:t>
      </w:r>
      <w:r w:rsidR="00642653" w:rsidRPr="00973C49">
        <w:rPr>
          <w:szCs w:val="24"/>
        </w:rPr>
        <w:t>SSSIs</w:t>
      </w:r>
      <w:r w:rsidR="00E64BE1" w:rsidRPr="00973C49">
        <w:rPr>
          <w:szCs w:val="24"/>
        </w:rPr>
        <w:t>)</w:t>
      </w:r>
      <w:r w:rsidR="00C47B08" w:rsidRPr="00973C49">
        <w:rPr>
          <w:szCs w:val="24"/>
        </w:rPr>
        <w:t xml:space="preserve">, </w:t>
      </w:r>
      <w:r w:rsidR="00F370EA" w:rsidRPr="00973C49">
        <w:rPr>
          <w:szCs w:val="24"/>
        </w:rPr>
        <w:t xml:space="preserve">the </w:t>
      </w:r>
      <w:r w:rsidR="00642653" w:rsidRPr="00973C49">
        <w:rPr>
          <w:szCs w:val="24"/>
        </w:rPr>
        <w:t>core</w:t>
      </w:r>
      <w:r w:rsidR="005E58AF">
        <w:rPr>
          <w:szCs w:val="24"/>
        </w:rPr>
        <w:t xml:space="preserve"> </w:t>
      </w:r>
      <w:r w:rsidR="00F370EA" w:rsidRPr="00973C49">
        <w:rPr>
          <w:szCs w:val="24"/>
        </w:rPr>
        <w:t xml:space="preserve">statutory </w:t>
      </w:r>
      <w:r w:rsidR="00642653" w:rsidRPr="00973C49">
        <w:rPr>
          <w:szCs w:val="24"/>
        </w:rPr>
        <w:t xml:space="preserve">designations for biodiversity </w:t>
      </w:r>
      <w:r w:rsidR="00D2116D" w:rsidRPr="00973C49">
        <w:rPr>
          <w:szCs w:val="24"/>
        </w:rPr>
        <w:t xml:space="preserve">protection </w:t>
      </w:r>
      <w:r w:rsidR="0081163F" w:rsidRPr="00973C49">
        <w:rPr>
          <w:szCs w:val="24"/>
        </w:rPr>
        <w:t>in England</w:t>
      </w:r>
      <w:r w:rsidRPr="00973C49">
        <w:rPr>
          <w:szCs w:val="24"/>
        </w:rPr>
        <w:t xml:space="preserve">. We did not include European and internationally designated PAs in this analysis, because they are already included as NNRs or SSSIs, and we excluded National Parks and Areas of Outstanding National Beauty because non-PA land within such areas is normally not managed with conservation as a primary objective </w:t>
      </w:r>
      <w:r w:rsidRPr="00B13796">
        <w:t>(Oldfield et al., 2004)</w:t>
      </w:r>
      <w:r w:rsidRPr="00973C49">
        <w:rPr>
          <w:szCs w:val="24"/>
        </w:rPr>
        <w:t>.</w:t>
      </w:r>
    </w:p>
    <w:p w14:paraId="333A54CB" w14:textId="67514E18" w:rsidR="004679A2" w:rsidRDefault="004679A2" w:rsidP="00122762">
      <w:pPr>
        <w:pStyle w:val="ListParagraph"/>
        <w:numPr>
          <w:ilvl w:val="0"/>
          <w:numId w:val="13"/>
        </w:numPr>
        <w:spacing w:line="480" w:lineRule="auto"/>
        <w:rPr>
          <w:szCs w:val="24"/>
        </w:rPr>
      </w:pPr>
      <w:r w:rsidRPr="00943A28">
        <w:rPr>
          <w:szCs w:val="24"/>
        </w:rPr>
        <w:t xml:space="preserve">Type </w:t>
      </w:r>
      <w:r>
        <w:rPr>
          <w:szCs w:val="24"/>
        </w:rPr>
        <w:t>1</w:t>
      </w:r>
      <w:r w:rsidRPr="00943A28">
        <w:rPr>
          <w:szCs w:val="24"/>
        </w:rPr>
        <w:t xml:space="preserve"> </w:t>
      </w:r>
      <w:r>
        <w:rPr>
          <w:szCs w:val="24"/>
        </w:rPr>
        <w:t xml:space="preserve">Large </w:t>
      </w:r>
      <w:r w:rsidR="00A521A7">
        <w:rPr>
          <w:szCs w:val="24"/>
        </w:rPr>
        <w:t xml:space="preserve">Scale </w:t>
      </w:r>
      <w:r>
        <w:rPr>
          <w:szCs w:val="24"/>
        </w:rPr>
        <w:t xml:space="preserve">Conservation Initiatives (LSCIs). These </w:t>
      </w:r>
      <w:r w:rsidRPr="00943A28">
        <w:rPr>
          <w:szCs w:val="24"/>
        </w:rPr>
        <w:t>consist of large, privately-owned land parcels that are managed by one or a few organisations or individuals</w:t>
      </w:r>
      <w:r>
        <w:rPr>
          <w:szCs w:val="24"/>
        </w:rPr>
        <w:t>, typically for long periods of time.</w:t>
      </w:r>
      <w:r w:rsidRPr="00943A28">
        <w:rPr>
          <w:szCs w:val="24"/>
        </w:rPr>
        <w:t xml:space="preserve"> </w:t>
      </w:r>
      <w:r>
        <w:rPr>
          <w:szCs w:val="24"/>
        </w:rPr>
        <w:t>E</w:t>
      </w:r>
      <w:r w:rsidRPr="00943A28">
        <w:rPr>
          <w:szCs w:val="24"/>
        </w:rPr>
        <w:t xml:space="preserve">xamples include </w:t>
      </w:r>
      <w:r w:rsidRPr="00637788">
        <w:rPr>
          <w:szCs w:val="24"/>
        </w:rPr>
        <w:t>the</w:t>
      </w:r>
      <w:r w:rsidR="00637788">
        <w:rPr>
          <w:szCs w:val="24"/>
        </w:rPr>
        <w:t xml:space="preserve"> Great Fen</w:t>
      </w:r>
      <w:r w:rsidR="00DA23A4">
        <w:rPr>
          <w:szCs w:val="24"/>
        </w:rPr>
        <w:t xml:space="preserve"> Project</w:t>
      </w:r>
      <w:r w:rsidR="0040543C">
        <w:t xml:space="preserve">, </w:t>
      </w:r>
      <w:r w:rsidR="0040543C" w:rsidRPr="0040543C">
        <w:rPr>
          <w:szCs w:val="24"/>
        </w:rPr>
        <w:t>Wild Ennerdale</w:t>
      </w:r>
      <w:r w:rsidR="00637788">
        <w:rPr>
          <w:szCs w:val="24"/>
        </w:rPr>
        <w:t xml:space="preserve"> </w:t>
      </w:r>
      <w:r>
        <w:rPr>
          <w:szCs w:val="24"/>
        </w:rPr>
        <w:t xml:space="preserve">and </w:t>
      </w:r>
      <w:r w:rsidRPr="00943A28">
        <w:rPr>
          <w:szCs w:val="24"/>
        </w:rPr>
        <w:t>Wicken Fen Vision</w:t>
      </w:r>
      <w:r w:rsidR="00637788">
        <w:rPr>
          <w:szCs w:val="24"/>
        </w:rPr>
        <w:t xml:space="preserve"> (Table S1</w:t>
      </w:r>
      <w:r w:rsidR="002B4273">
        <w:rPr>
          <w:szCs w:val="24"/>
        </w:rPr>
        <w:t>)</w:t>
      </w:r>
      <w:r w:rsidRPr="00943A28">
        <w:rPr>
          <w:szCs w:val="24"/>
        </w:rPr>
        <w:t xml:space="preserve">. Type 1 </w:t>
      </w:r>
      <w:r>
        <w:rPr>
          <w:szCs w:val="24"/>
        </w:rPr>
        <w:t xml:space="preserve">LSCIs </w:t>
      </w:r>
      <w:r w:rsidRPr="00943A28">
        <w:rPr>
          <w:szCs w:val="24"/>
        </w:rPr>
        <w:t xml:space="preserve">are currently managed </w:t>
      </w:r>
      <w:r w:rsidR="00122762">
        <w:rPr>
          <w:szCs w:val="24"/>
        </w:rPr>
        <w:t>primarily</w:t>
      </w:r>
      <w:r w:rsidR="00122762" w:rsidRPr="00943A28">
        <w:rPr>
          <w:szCs w:val="24"/>
        </w:rPr>
        <w:t xml:space="preserve"> </w:t>
      </w:r>
      <w:r w:rsidRPr="00943A28">
        <w:rPr>
          <w:szCs w:val="24"/>
        </w:rPr>
        <w:t>for conservation</w:t>
      </w:r>
      <w:r>
        <w:rPr>
          <w:szCs w:val="24"/>
        </w:rPr>
        <w:t>.</w:t>
      </w:r>
    </w:p>
    <w:p w14:paraId="02659102" w14:textId="77777777" w:rsidR="00122762" w:rsidRPr="00143C8F" w:rsidRDefault="00122762" w:rsidP="00122762">
      <w:pPr>
        <w:pStyle w:val="ListParagraph"/>
        <w:numPr>
          <w:ilvl w:val="0"/>
          <w:numId w:val="13"/>
        </w:numPr>
        <w:spacing w:line="480" w:lineRule="auto"/>
        <w:rPr>
          <w:szCs w:val="24"/>
        </w:rPr>
      </w:pPr>
      <w:r w:rsidRPr="00143C8F">
        <w:rPr>
          <w:szCs w:val="24"/>
        </w:rPr>
        <w:t xml:space="preserve">Incentive Payment Areas </w:t>
      </w:r>
      <w:r>
        <w:rPr>
          <w:szCs w:val="24"/>
        </w:rPr>
        <w:t>(IPAs). These are</w:t>
      </w:r>
      <w:r w:rsidRPr="00143C8F">
        <w:rPr>
          <w:szCs w:val="24"/>
        </w:rPr>
        <w:t xml:space="preserve"> agricultur</w:t>
      </w:r>
      <w:r>
        <w:rPr>
          <w:szCs w:val="24"/>
        </w:rPr>
        <w:t>al</w:t>
      </w:r>
      <w:r w:rsidRPr="00143C8F">
        <w:rPr>
          <w:szCs w:val="24"/>
        </w:rPr>
        <w:t xml:space="preserve"> land </w:t>
      </w:r>
      <w:r>
        <w:rPr>
          <w:szCs w:val="24"/>
        </w:rPr>
        <w:t xml:space="preserve">parcels </w:t>
      </w:r>
      <w:r w:rsidRPr="00143C8F">
        <w:rPr>
          <w:szCs w:val="24"/>
        </w:rPr>
        <w:t xml:space="preserve">receiving HLS or woodland grant scheme payments </w:t>
      </w:r>
      <w:r w:rsidRPr="00B13796">
        <w:t>(Natural England, 2012; Raum and Potter, 2015)</w:t>
      </w:r>
      <w:r>
        <w:rPr>
          <w:szCs w:val="24"/>
        </w:rPr>
        <w:t xml:space="preserve"> under renewable ten year contracts</w:t>
      </w:r>
      <w:r w:rsidRPr="00143C8F">
        <w:rPr>
          <w:szCs w:val="24"/>
        </w:rPr>
        <w:t xml:space="preserve">. We excluded land under Entry-Level Stewardship schemes, </w:t>
      </w:r>
      <w:r>
        <w:rPr>
          <w:szCs w:val="24"/>
        </w:rPr>
        <w:t xml:space="preserve">as they </w:t>
      </w:r>
      <w:r w:rsidRPr="00143C8F">
        <w:rPr>
          <w:szCs w:val="24"/>
        </w:rPr>
        <w:t>cover only a small proportion of any land holding</w:t>
      </w:r>
      <w:r>
        <w:rPr>
          <w:szCs w:val="24"/>
        </w:rPr>
        <w:t xml:space="preserve"> and support broader environmental improvement actions rather than conservation management </w:t>
      </w:r>
      <w:r w:rsidRPr="00901DF3">
        <w:t>(Davey et al., 2010)</w:t>
      </w:r>
      <w:r w:rsidRPr="00143C8F">
        <w:rPr>
          <w:szCs w:val="24"/>
        </w:rPr>
        <w:t>.</w:t>
      </w:r>
    </w:p>
    <w:p w14:paraId="382BB198" w14:textId="4B5D5098" w:rsidR="00143C8F" w:rsidRPr="00701D1B" w:rsidRDefault="00943A28" w:rsidP="00701D1B">
      <w:pPr>
        <w:pStyle w:val="ListParagraph"/>
        <w:numPr>
          <w:ilvl w:val="0"/>
          <w:numId w:val="13"/>
        </w:numPr>
        <w:spacing w:line="480" w:lineRule="auto"/>
        <w:rPr>
          <w:szCs w:val="24"/>
        </w:rPr>
      </w:pPr>
      <w:r w:rsidRPr="00701D1B">
        <w:rPr>
          <w:szCs w:val="24"/>
        </w:rPr>
        <w:t xml:space="preserve">Type 2 </w:t>
      </w:r>
      <w:r w:rsidR="004679A2" w:rsidRPr="00701D1B">
        <w:rPr>
          <w:szCs w:val="24"/>
        </w:rPr>
        <w:t xml:space="preserve">Large </w:t>
      </w:r>
      <w:r w:rsidR="00A521A7" w:rsidRPr="00701D1B">
        <w:rPr>
          <w:szCs w:val="24"/>
        </w:rPr>
        <w:t xml:space="preserve">Scale </w:t>
      </w:r>
      <w:r w:rsidR="004679A2" w:rsidRPr="00701D1B">
        <w:rPr>
          <w:szCs w:val="24"/>
        </w:rPr>
        <w:t>Conservation Initiatives (LSCIs)</w:t>
      </w:r>
      <w:r w:rsidR="00701D1B">
        <w:rPr>
          <w:szCs w:val="24"/>
        </w:rPr>
        <w:t xml:space="preserve"> represent l</w:t>
      </w:r>
      <w:r w:rsidR="00701D1B" w:rsidRPr="00701D1B">
        <w:rPr>
          <w:szCs w:val="24"/>
        </w:rPr>
        <w:t xml:space="preserve">arge areas that are typically </w:t>
      </w:r>
      <w:r w:rsidR="00701D1B">
        <w:t xml:space="preserve">proposed to be managed for biodiversity conservation. They </w:t>
      </w:r>
      <w:r w:rsidRPr="00701D1B">
        <w:rPr>
          <w:szCs w:val="24"/>
        </w:rPr>
        <w:t xml:space="preserve">consist of many land parcels managed by different organisations or individuals, but guided </w:t>
      </w:r>
      <w:r w:rsidR="00EB5674" w:rsidRPr="00701D1B">
        <w:rPr>
          <w:szCs w:val="24"/>
        </w:rPr>
        <w:t xml:space="preserve">through </w:t>
      </w:r>
      <w:r w:rsidRPr="00701D1B">
        <w:rPr>
          <w:szCs w:val="24"/>
        </w:rPr>
        <w:t xml:space="preserve">a single conservation initiative </w:t>
      </w:r>
      <w:r w:rsidR="007B0F3D" w:rsidRPr="00701D1B">
        <w:rPr>
          <w:szCs w:val="24"/>
        </w:rPr>
        <w:t xml:space="preserve">overseen </w:t>
      </w:r>
      <w:r w:rsidRPr="00701D1B">
        <w:rPr>
          <w:szCs w:val="24"/>
        </w:rPr>
        <w:t>by a</w:t>
      </w:r>
      <w:r w:rsidR="007B0F3D" w:rsidRPr="00701D1B">
        <w:rPr>
          <w:szCs w:val="24"/>
        </w:rPr>
        <w:t>n</w:t>
      </w:r>
      <w:r w:rsidRPr="00701D1B">
        <w:rPr>
          <w:szCs w:val="24"/>
        </w:rPr>
        <w:t xml:space="preserve"> organisation or partnership</w:t>
      </w:r>
      <w:r w:rsidR="00C37681" w:rsidRPr="00701D1B">
        <w:rPr>
          <w:szCs w:val="24"/>
        </w:rPr>
        <w:t>. E</w:t>
      </w:r>
      <w:r w:rsidRPr="00701D1B">
        <w:rPr>
          <w:szCs w:val="24"/>
        </w:rPr>
        <w:t xml:space="preserve">xamples include the </w:t>
      </w:r>
      <w:r w:rsidRPr="00701D1B">
        <w:rPr>
          <w:szCs w:val="24"/>
        </w:rPr>
        <w:lastRenderedPageBreak/>
        <w:t xml:space="preserve">UK Government’s Nature Improvement Areas, the RSPB’s “Futurescapes” and </w:t>
      </w:r>
      <w:r w:rsidR="00813B50" w:rsidRPr="00701D1B">
        <w:rPr>
          <w:szCs w:val="24"/>
        </w:rPr>
        <w:t xml:space="preserve">most of </w:t>
      </w:r>
      <w:r w:rsidR="00EB5674" w:rsidRPr="00701D1B">
        <w:rPr>
          <w:szCs w:val="24"/>
        </w:rPr>
        <w:t xml:space="preserve">the </w:t>
      </w:r>
      <w:r w:rsidRPr="00701D1B">
        <w:rPr>
          <w:szCs w:val="24"/>
        </w:rPr>
        <w:t>Wildlife Trusts’ “Living Landscapes”</w:t>
      </w:r>
      <w:r w:rsidR="00637788" w:rsidRPr="00701D1B">
        <w:rPr>
          <w:szCs w:val="24"/>
        </w:rPr>
        <w:t xml:space="preserve"> (Table S1)</w:t>
      </w:r>
      <w:r w:rsidRPr="00701D1B">
        <w:rPr>
          <w:szCs w:val="24"/>
        </w:rPr>
        <w:t>.</w:t>
      </w:r>
      <w:r w:rsidR="00C37681" w:rsidRPr="00701D1B">
        <w:rPr>
          <w:szCs w:val="24"/>
        </w:rPr>
        <w:t xml:space="preserve"> </w:t>
      </w:r>
      <w:r w:rsidR="00AF12FE" w:rsidRPr="00701D1B">
        <w:rPr>
          <w:szCs w:val="24"/>
        </w:rPr>
        <w:t>The majority of</w:t>
      </w:r>
      <w:r w:rsidRPr="00701D1B">
        <w:rPr>
          <w:szCs w:val="24"/>
        </w:rPr>
        <w:t xml:space="preserve"> Type 2 </w:t>
      </w:r>
      <w:r w:rsidR="00F47067" w:rsidRPr="00701D1B">
        <w:rPr>
          <w:szCs w:val="24"/>
        </w:rPr>
        <w:t>LSCIs</w:t>
      </w:r>
      <w:r w:rsidRPr="00701D1B">
        <w:rPr>
          <w:szCs w:val="24"/>
        </w:rPr>
        <w:t xml:space="preserve"> include PAs and farmland and </w:t>
      </w:r>
      <w:r w:rsidR="00AF12FE" w:rsidRPr="00701D1B">
        <w:rPr>
          <w:szCs w:val="24"/>
        </w:rPr>
        <w:t>thus</w:t>
      </w:r>
      <w:r w:rsidR="00C37681" w:rsidRPr="00701D1B">
        <w:rPr>
          <w:szCs w:val="24"/>
        </w:rPr>
        <w:t xml:space="preserve"> </w:t>
      </w:r>
      <w:r w:rsidRPr="00701D1B">
        <w:rPr>
          <w:szCs w:val="24"/>
        </w:rPr>
        <w:t xml:space="preserve">have multiple </w:t>
      </w:r>
      <w:r w:rsidR="00C64F92" w:rsidRPr="00701D1B">
        <w:rPr>
          <w:szCs w:val="24"/>
        </w:rPr>
        <w:t xml:space="preserve">management </w:t>
      </w:r>
      <w:r w:rsidRPr="00701D1B">
        <w:rPr>
          <w:szCs w:val="24"/>
        </w:rPr>
        <w:t>objectives</w:t>
      </w:r>
      <w:r w:rsidR="00C37681" w:rsidRPr="00701D1B">
        <w:rPr>
          <w:szCs w:val="24"/>
        </w:rPr>
        <w:t>. The</w:t>
      </w:r>
      <w:r w:rsidR="00C64F92" w:rsidRPr="00701D1B">
        <w:rPr>
          <w:szCs w:val="24"/>
        </w:rPr>
        <w:t xml:space="preserve"> conservation</w:t>
      </w:r>
      <w:r w:rsidR="00C37681" w:rsidRPr="00701D1B">
        <w:rPr>
          <w:szCs w:val="24"/>
        </w:rPr>
        <w:t xml:space="preserve"> objectives are often achieved through </w:t>
      </w:r>
      <w:r w:rsidR="00AF12FE" w:rsidRPr="00701D1B">
        <w:rPr>
          <w:szCs w:val="24"/>
        </w:rPr>
        <w:t xml:space="preserve">shorter-term </w:t>
      </w:r>
      <w:r w:rsidR="00C37681" w:rsidRPr="00701D1B">
        <w:rPr>
          <w:szCs w:val="24"/>
        </w:rPr>
        <w:t>projects t</w:t>
      </w:r>
      <w:r w:rsidR="00AF12FE" w:rsidRPr="00701D1B">
        <w:rPr>
          <w:szCs w:val="24"/>
        </w:rPr>
        <w:t>hat</w:t>
      </w:r>
      <w:r w:rsidR="00C37681" w:rsidRPr="00701D1B">
        <w:rPr>
          <w:szCs w:val="24"/>
        </w:rPr>
        <w:t xml:space="preserve"> </w:t>
      </w:r>
      <w:r w:rsidRPr="00701D1B">
        <w:rPr>
          <w:szCs w:val="24"/>
        </w:rPr>
        <w:t>encourag</w:t>
      </w:r>
      <w:r w:rsidR="00C37681" w:rsidRPr="00701D1B">
        <w:rPr>
          <w:szCs w:val="24"/>
        </w:rPr>
        <w:t xml:space="preserve">e </w:t>
      </w:r>
      <w:r w:rsidR="00C64F92" w:rsidRPr="00701D1B">
        <w:rPr>
          <w:szCs w:val="24"/>
        </w:rPr>
        <w:t>people</w:t>
      </w:r>
      <w:r w:rsidRPr="00701D1B">
        <w:rPr>
          <w:szCs w:val="24"/>
        </w:rPr>
        <w:t xml:space="preserve"> to improve the conservation</w:t>
      </w:r>
      <w:r w:rsidR="00C37681" w:rsidRPr="00701D1B">
        <w:rPr>
          <w:szCs w:val="24"/>
        </w:rPr>
        <w:t>, ecosystem service</w:t>
      </w:r>
      <w:r w:rsidR="00C64F92" w:rsidRPr="00701D1B">
        <w:rPr>
          <w:szCs w:val="24"/>
        </w:rPr>
        <w:t xml:space="preserve"> and</w:t>
      </w:r>
      <w:r w:rsidR="00AF12FE" w:rsidRPr="00701D1B">
        <w:rPr>
          <w:szCs w:val="24"/>
        </w:rPr>
        <w:t>/or</w:t>
      </w:r>
      <w:r w:rsidR="00C37681" w:rsidRPr="00701D1B">
        <w:rPr>
          <w:szCs w:val="24"/>
        </w:rPr>
        <w:t xml:space="preserve"> social capital </w:t>
      </w:r>
      <w:r w:rsidRPr="00701D1B">
        <w:rPr>
          <w:szCs w:val="24"/>
        </w:rPr>
        <w:t>value</w:t>
      </w:r>
      <w:r w:rsidR="00AF12FE" w:rsidRPr="00701D1B">
        <w:rPr>
          <w:szCs w:val="24"/>
        </w:rPr>
        <w:t xml:space="preserve"> associated with their land. P</w:t>
      </w:r>
      <w:r w:rsidR="00C37681" w:rsidRPr="00701D1B">
        <w:rPr>
          <w:szCs w:val="24"/>
        </w:rPr>
        <w:t>roject lengths are</w:t>
      </w:r>
      <w:r w:rsidR="00A62BD8" w:rsidRPr="00701D1B">
        <w:rPr>
          <w:szCs w:val="24"/>
        </w:rPr>
        <w:t xml:space="preserve"> variable</w:t>
      </w:r>
      <w:r w:rsidR="00374A77">
        <w:rPr>
          <w:szCs w:val="24"/>
        </w:rPr>
        <w:t xml:space="preserve">, often built from sequences of </w:t>
      </w:r>
      <w:r w:rsidR="007D5F7A">
        <w:rPr>
          <w:szCs w:val="24"/>
        </w:rPr>
        <w:t>funding rounds,</w:t>
      </w:r>
      <w:r w:rsidR="00A62BD8" w:rsidRPr="00701D1B">
        <w:rPr>
          <w:szCs w:val="24"/>
        </w:rPr>
        <w:t xml:space="preserve"> and</w:t>
      </w:r>
      <w:r w:rsidR="00C37681" w:rsidRPr="00701D1B">
        <w:rPr>
          <w:szCs w:val="24"/>
        </w:rPr>
        <w:t xml:space="preserve"> benefits</w:t>
      </w:r>
      <w:r w:rsidR="00A62BD8" w:rsidRPr="00701D1B">
        <w:rPr>
          <w:szCs w:val="24"/>
        </w:rPr>
        <w:t xml:space="preserve"> </w:t>
      </w:r>
      <w:r w:rsidR="00AF12FE" w:rsidRPr="00701D1B">
        <w:rPr>
          <w:szCs w:val="24"/>
        </w:rPr>
        <w:t>frequently</w:t>
      </w:r>
      <w:r w:rsidR="00AF12FE" w:rsidRPr="00701D1B" w:rsidDel="00AF12FE">
        <w:rPr>
          <w:szCs w:val="24"/>
        </w:rPr>
        <w:t xml:space="preserve"> </w:t>
      </w:r>
      <w:r w:rsidR="00C37681" w:rsidRPr="00701D1B">
        <w:rPr>
          <w:szCs w:val="24"/>
        </w:rPr>
        <w:t>only</w:t>
      </w:r>
      <w:r w:rsidR="00A62BD8" w:rsidRPr="00701D1B">
        <w:rPr>
          <w:szCs w:val="24"/>
        </w:rPr>
        <w:t xml:space="preserve"> last as long as the funding</w:t>
      </w:r>
      <w:r w:rsidR="004679A2" w:rsidRPr="00701D1B">
        <w:rPr>
          <w:szCs w:val="24"/>
        </w:rPr>
        <w:t>.</w:t>
      </w:r>
    </w:p>
    <w:p w14:paraId="0B83C055" w14:textId="731BEA34" w:rsidR="00642653" w:rsidRDefault="008027E0" w:rsidP="00652C11">
      <w:pPr>
        <w:tabs>
          <w:tab w:val="left" w:pos="6390"/>
        </w:tabs>
        <w:spacing w:line="480" w:lineRule="auto"/>
        <w:rPr>
          <w:szCs w:val="24"/>
        </w:rPr>
      </w:pPr>
      <w:r>
        <w:rPr>
          <w:szCs w:val="24"/>
        </w:rPr>
        <w:tab/>
      </w:r>
    </w:p>
    <w:p w14:paraId="6D75CA69" w14:textId="768E47DF" w:rsidR="007C79FF" w:rsidRDefault="00797CFD" w:rsidP="00122762">
      <w:pPr>
        <w:spacing w:line="480" w:lineRule="auto"/>
        <w:rPr>
          <w:szCs w:val="24"/>
        </w:rPr>
      </w:pPr>
      <w:r>
        <w:rPr>
          <w:szCs w:val="24"/>
        </w:rPr>
        <w:t>T</w:t>
      </w:r>
      <w:r w:rsidR="00DC54DE">
        <w:rPr>
          <w:szCs w:val="24"/>
        </w:rPr>
        <w:t>he</w:t>
      </w:r>
      <w:r>
        <w:rPr>
          <w:szCs w:val="24"/>
        </w:rPr>
        <w:t>se</w:t>
      </w:r>
      <w:r w:rsidR="00095F6D">
        <w:rPr>
          <w:szCs w:val="24"/>
        </w:rPr>
        <w:t xml:space="preserve"> four</w:t>
      </w:r>
      <w:r w:rsidR="004679A2">
        <w:rPr>
          <w:szCs w:val="24"/>
        </w:rPr>
        <w:t xml:space="preserve"> </w:t>
      </w:r>
      <w:r w:rsidR="00DC54DE">
        <w:rPr>
          <w:szCs w:val="24"/>
        </w:rPr>
        <w:t>conservation area</w:t>
      </w:r>
      <w:r w:rsidR="004679A2" w:rsidRPr="004679A2">
        <w:rPr>
          <w:szCs w:val="24"/>
        </w:rPr>
        <w:t xml:space="preserve"> </w:t>
      </w:r>
      <w:r w:rsidR="00A56D06">
        <w:rPr>
          <w:szCs w:val="24"/>
        </w:rPr>
        <w:t xml:space="preserve">categories </w:t>
      </w:r>
      <w:r>
        <w:rPr>
          <w:szCs w:val="24"/>
        </w:rPr>
        <w:t>are known to</w:t>
      </w:r>
      <w:r w:rsidR="00095F6D" w:rsidRPr="00095F6D">
        <w:rPr>
          <w:szCs w:val="24"/>
        </w:rPr>
        <w:t xml:space="preserve"> </w:t>
      </w:r>
      <w:r w:rsidR="00DC54DE">
        <w:rPr>
          <w:szCs w:val="24"/>
        </w:rPr>
        <w:t xml:space="preserve">overlap, </w:t>
      </w:r>
      <w:r>
        <w:rPr>
          <w:szCs w:val="24"/>
        </w:rPr>
        <w:t xml:space="preserve">so </w:t>
      </w:r>
      <w:r w:rsidR="00DC54DE">
        <w:rPr>
          <w:szCs w:val="24"/>
        </w:rPr>
        <w:t xml:space="preserve">we ranked them according to their conservation </w:t>
      </w:r>
      <w:r w:rsidR="00122762">
        <w:rPr>
          <w:szCs w:val="24"/>
        </w:rPr>
        <w:t>objectives</w:t>
      </w:r>
      <w:r>
        <w:rPr>
          <w:szCs w:val="24"/>
        </w:rPr>
        <w:t xml:space="preserve">, letting us </w:t>
      </w:r>
      <w:r w:rsidR="00DC54DE">
        <w:rPr>
          <w:szCs w:val="24"/>
        </w:rPr>
        <w:t xml:space="preserve">report </w:t>
      </w:r>
      <w:r w:rsidR="00616C70">
        <w:rPr>
          <w:szCs w:val="24"/>
        </w:rPr>
        <w:t xml:space="preserve">the amount of land belonging to the management </w:t>
      </w:r>
      <w:r w:rsidR="00A56D06">
        <w:rPr>
          <w:szCs w:val="24"/>
        </w:rPr>
        <w:t>category</w:t>
      </w:r>
      <w:r w:rsidR="00122762">
        <w:rPr>
          <w:szCs w:val="24"/>
        </w:rPr>
        <w:t xml:space="preserve"> that gave </w:t>
      </w:r>
      <w:r w:rsidR="007D5F7A">
        <w:rPr>
          <w:szCs w:val="24"/>
        </w:rPr>
        <w:t xml:space="preserve">the highest </w:t>
      </w:r>
      <w:r w:rsidR="00122762">
        <w:rPr>
          <w:szCs w:val="24"/>
        </w:rPr>
        <w:t>weight to conservation</w:t>
      </w:r>
      <w:r w:rsidR="00A56D06">
        <w:rPr>
          <w:szCs w:val="24"/>
        </w:rPr>
        <w:t xml:space="preserve"> </w:t>
      </w:r>
      <w:r w:rsidR="00F47067">
        <w:rPr>
          <w:szCs w:val="24"/>
        </w:rPr>
        <w:t>(Table 1)</w:t>
      </w:r>
      <w:r w:rsidR="00616C70">
        <w:rPr>
          <w:szCs w:val="24"/>
        </w:rPr>
        <w:t xml:space="preserve">. </w:t>
      </w:r>
      <w:r w:rsidR="004679A2">
        <w:rPr>
          <w:szCs w:val="24"/>
        </w:rPr>
        <w:t xml:space="preserve">PAs were assigned </w:t>
      </w:r>
      <w:r w:rsidR="00095F6D">
        <w:rPr>
          <w:szCs w:val="24"/>
        </w:rPr>
        <w:t>the</w:t>
      </w:r>
      <w:r w:rsidR="00616C70">
        <w:rPr>
          <w:szCs w:val="24"/>
        </w:rPr>
        <w:t xml:space="preserve"> highest management </w:t>
      </w:r>
      <w:r w:rsidR="00122762">
        <w:rPr>
          <w:szCs w:val="24"/>
        </w:rPr>
        <w:t>category</w:t>
      </w:r>
      <w:r>
        <w:rPr>
          <w:szCs w:val="24"/>
        </w:rPr>
        <w:t>,</w:t>
      </w:r>
      <w:r w:rsidR="00095F6D">
        <w:rPr>
          <w:szCs w:val="24"/>
        </w:rPr>
        <w:t xml:space="preserve"> followed</w:t>
      </w:r>
      <w:r>
        <w:rPr>
          <w:szCs w:val="24"/>
        </w:rPr>
        <w:t xml:space="preserve"> </w:t>
      </w:r>
      <w:r w:rsidR="00095F6D">
        <w:rPr>
          <w:szCs w:val="24"/>
        </w:rPr>
        <w:t xml:space="preserve">by </w:t>
      </w:r>
      <w:r w:rsidR="008027E0">
        <w:rPr>
          <w:szCs w:val="24"/>
        </w:rPr>
        <w:t>Type</w:t>
      </w:r>
      <w:r w:rsidR="00616C70">
        <w:rPr>
          <w:szCs w:val="24"/>
        </w:rPr>
        <w:t xml:space="preserve"> 1 </w:t>
      </w:r>
      <w:r w:rsidR="00F47067">
        <w:rPr>
          <w:szCs w:val="24"/>
        </w:rPr>
        <w:t>LSCIs</w:t>
      </w:r>
      <w:r w:rsidR="00095F6D">
        <w:rPr>
          <w:szCs w:val="24"/>
        </w:rPr>
        <w:t xml:space="preserve">, </w:t>
      </w:r>
      <w:r w:rsidR="00041217">
        <w:rPr>
          <w:szCs w:val="24"/>
        </w:rPr>
        <w:t>Incentive Payment Areas</w:t>
      </w:r>
      <w:r w:rsidR="00C60606">
        <w:rPr>
          <w:szCs w:val="24"/>
        </w:rPr>
        <w:t xml:space="preserve"> </w:t>
      </w:r>
      <w:r w:rsidR="00095F6D">
        <w:rPr>
          <w:szCs w:val="24"/>
        </w:rPr>
        <w:t>and</w:t>
      </w:r>
      <w:r w:rsidR="00A30E3A">
        <w:rPr>
          <w:szCs w:val="24"/>
        </w:rPr>
        <w:t>,</w:t>
      </w:r>
      <w:r w:rsidR="00095F6D">
        <w:rPr>
          <w:szCs w:val="24"/>
        </w:rPr>
        <w:t xml:space="preserve"> finally</w:t>
      </w:r>
      <w:r w:rsidR="00A30E3A">
        <w:rPr>
          <w:szCs w:val="24"/>
        </w:rPr>
        <w:t>,</w:t>
      </w:r>
      <w:r w:rsidR="00095F6D">
        <w:rPr>
          <w:szCs w:val="24"/>
        </w:rPr>
        <w:t xml:space="preserve"> </w:t>
      </w:r>
      <w:r w:rsidR="00C60606">
        <w:rPr>
          <w:szCs w:val="24"/>
        </w:rPr>
        <w:t xml:space="preserve">Type </w:t>
      </w:r>
      <w:r w:rsidR="00616C70">
        <w:rPr>
          <w:szCs w:val="24"/>
        </w:rPr>
        <w:t xml:space="preserve">2 </w:t>
      </w:r>
      <w:r w:rsidR="00F47067">
        <w:rPr>
          <w:szCs w:val="24"/>
        </w:rPr>
        <w:t>LSCIs</w:t>
      </w:r>
      <w:r w:rsidR="00C60606">
        <w:rPr>
          <w:szCs w:val="24"/>
        </w:rPr>
        <w:t>.</w:t>
      </w:r>
      <w:r w:rsidR="00616C70">
        <w:rPr>
          <w:szCs w:val="24"/>
        </w:rPr>
        <w:t xml:space="preserve"> This hierarchy was </w:t>
      </w:r>
      <w:r w:rsidR="005A0EA2">
        <w:rPr>
          <w:szCs w:val="24"/>
        </w:rPr>
        <w:t>used because</w:t>
      </w:r>
      <w:r w:rsidR="008F5060">
        <w:rPr>
          <w:szCs w:val="24"/>
        </w:rPr>
        <w:t>:</w:t>
      </w:r>
      <w:r w:rsidR="00616C70">
        <w:rPr>
          <w:szCs w:val="24"/>
        </w:rPr>
        <w:t xml:space="preserve"> PAs are managed for conservation</w:t>
      </w:r>
      <w:r w:rsidR="008F5060">
        <w:rPr>
          <w:szCs w:val="24"/>
        </w:rPr>
        <w:t>;</w:t>
      </w:r>
      <w:r w:rsidR="00616C70">
        <w:rPr>
          <w:szCs w:val="24"/>
        </w:rPr>
        <w:t xml:space="preserve"> Type 1 </w:t>
      </w:r>
      <w:r w:rsidR="00F47067">
        <w:rPr>
          <w:szCs w:val="24"/>
        </w:rPr>
        <w:t>LSCIs</w:t>
      </w:r>
      <w:r w:rsidR="00616C70">
        <w:rPr>
          <w:szCs w:val="24"/>
        </w:rPr>
        <w:t xml:space="preserve"> have similar goals to PAs</w:t>
      </w:r>
      <w:r w:rsidR="00910DC6">
        <w:rPr>
          <w:szCs w:val="24"/>
        </w:rPr>
        <w:t xml:space="preserve">, differing only in </w:t>
      </w:r>
      <w:r w:rsidR="00AC5CAB">
        <w:rPr>
          <w:szCs w:val="24"/>
        </w:rPr>
        <w:t>not hav</w:t>
      </w:r>
      <w:r w:rsidR="004679A2">
        <w:rPr>
          <w:szCs w:val="24"/>
        </w:rPr>
        <w:t>ing</w:t>
      </w:r>
      <w:r w:rsidR="00AC5CAB">
        <w:rPr>
          <w:szCs w:val="24"/>
        </w:rPr>
        <w:t xml:space="preserve"> statutory obligations to manage the whole site for conservation</w:t>
      </w:r>
      <w:r w:rsidR="008F5060">
        <w:rPr>
          <w:szCs w:val="24"/>
        </w:rPr>
        <w:t>;</w:t>
      </w:r>
      <w:r w:rsidR="00616C70">
        <w:rPr>
          <w:szCs w:val="24"/>
        </w:rPr>
        <w:t xml:space="preserve"> </w:t>
      </w:r>
      <w:r w:rsidR="003A60E6">
        <w:rPr>
          <w:szCs w:val="24"/>
        </w:rPr>
        <w:t>I</w:t>
      </w:r>
      <w:r w:rsidR="00A56D06">
        <w:rPr>
          <w:szCs w:val="24"/>
        </w:rPr>
        <w:t xml:space="preserve">PAs </w:t>
      </w:r>
      <w:r w:rsidR="008F5060">
        <w:rPr>
          <w:szCs w:val="24"/>
        </w:rPr>
        <w:t xml:space="preserve">are likely to have more biodiversity benefits on land managed specifically for conservation, and; Type 2 </w:t>
      </w:r>
      <w:r w:rsidR="00F47067">
        <w:rPr>
          <w:szCs w:val="24"/>
        </w:rPr>
        <w:t>LSCIs</w:t>
      </w:r>
      <w:r w:rsidR="008F5060">
        <w:rPr>
          <w:szCs w:val="24"/>
        </w:rPr>
        <w:t xml:space="preserve"> include land that is not currently managed for biodiversity</w:t>
      </w:r>
      <w:r w:rsidR="00E930AE">
        <w:rPr>
          <w:szCs w:val="24"/>
        </w:rPr>
        <w:t>, and the areas that are managed for conservation</w:t>
      </w:r>
      <w:r w:rsidR="004679A2">
        <w:rPr>
          <w:szCs w:val="24"/>
        </w:rPr>
        <w:t xml:space="preserve"> </w:t>
      </w:r>
      <w:r w:rsidR="008F5060">
        <w:rPr>
          <w:szCs w:val="24"/>
        </w:rPr>
        <w:t xml:space="preserve">fall within existing PAs or </w:t>
      </w:r>
      <w:r w:rsidR="009B2FF7">
        <w:rPr>
          <w:szCs w:val="24"/>
        </w:rPr>
        <w:t>IPAs</w:t>
      </w:r>
      <w:r w:rsidR="008F5060">
        <w:rPr>
          <w:szCs w:val="24"/>
        </w:rPr>
        <w:t>.</w:t>
      </w:r>
      <w:r w:rsidR="00691E85">
        <w:rPr>
          <w:szCs w:val="24"/>
        </w:rPr>
        <w:t xml:space="preserve"> </w:t>
      </w:r>
    </w:p>
    <w:p w14:paraId="5AE30073" w14:textId="77777777" w:rsidR="007C79FF" w:rsidRDefault="007C79FF" w:rsidP="00652C11">
      <w:pPr>
        <w:spacing w:line="480" w:lineRule="auto"/>
        <w:rPr>
          <w:szCs w:val="24"/>
        </w:rPr>
      </w:pPr>
    </w:p>
    <w:p w14:paraId="58764050" w14:textId="77777777" w:rsidR="00642653" w:rsidRPr="00864C10" w:rsidRDefault="00642653" w:rsidP="00652C11">
      <w:pPr>
        <w:pStyle w:val="Heading3"/>
        <w:spacing w:line="480" w:lineRule="auto"/>
      </w:pPr>
      <w:r w:rsidRPr="00864C10">
        <w:t>2.2</w:t>
      </w:r>
      <w:r>
        <w:t>.</w:t>
      </w:r>
      <w:r w:rsidRPr="00864C10">
        <w:t xml:space="preserve"> Data collection and preparation</w:t>
      </w:r>
    </w:p>
    <w:p w14:paraId="157A7948" w14:textId="3C845E4D" w:rsidR="005F1F0E" w:rsidRDefault="0000586D" w:rsidP="002E5C53">
      <w:pPr>
        <w:spacing w:line="480" w:lineRule="auto"/>
        <w:rPr>
          <w:szCs w:val="24"/>
        </w:rPr>
      </w:pPr>
      <w:r>
        <w:rPr>
          <w:szCs w:val="24"/>
        </w:rPr>
        <w:t xml:space="preserve">We </w:t>
      </w:r>
      <w:r w:rsidR="00080B83">
        <w:rPr>
          <w:szCs w:val="24"/>
        </w:rPr>
        <w:t xml:space="preserve">used data held by Natural England on </w:t>
      </w:r>
      <w:r w:rsidR="00642653" w:rsidRPr="00D741E7">
        <w:rPr>
          <w:szCs w:val="24"/>
        </w:rPr>
        <w:t>NNR</w:t>
      </w:r>
      <w:r w:rsidR="006A46A2">
        <w:rPr>
          <w:szCs w:val="24"/>
        </w:rPr>
        <w:t>s</w:t>
      </w:r>
      <w:r w:rsidR="00642653" w:rsidRPr="00D741E7">
        <w:rPr>
          <w:szCs w:val="24"/>
        </w:rPr>
        <w:t>, SSSI</w:t>
      </w:r>
      <w:r w:rsidR="006A46A2">
        <w:rPr>
          <w:szCs w:val="24"/>
        </w:rPr>
        <w:t>s</w:t>
      </w:r>
      <w:r w:rsidR="00642653" w:rsidRPr="00D741E7">
        <w:rPr>
          <w:szCs w:val="24"/>
        </w:rPr>
        <w:t xml:space="preserve">, </w:t>
      </w:r>
      <w:r w:rsidR="00C60606">
        <w:rPr>
          <w:szCs w:val="24"/>
        </w:rPr>
        <w:t>T</w:t>
      </w:r>
      <w:r w:rsidR="00642653" w:rsidRPr="00D741E7">
        <w:rPr>
          <w:szCs w:val="24"/>
        </w:rPr>
        <w:t xml:space="preserve">ype 1 </w:t>
      </w:r>
      <w:r w:rsidR="00F47067">
        <w:rPr>
          <w:szCs w:val="24"/>
        </w:rPr>
        <w:t>LSCIs</w:t>
      </w:r>
      <w:r w:rsidR="004A1082">
        <w:rPr>
          <w:szCs w:val="24"/>
        </w:rPr>
        <w:t xml:space="preserve"> </w:t>
      </w:r>
      <w:r w:rsidR="00642653" w:rsidRPr="00D741E7">
        <w:rPr>
          <w:szCs w:val="24"/>
        </w:rPr>
        <w:t>and</w:t>
      </w:r>
      <w:r w:rsidR="004A1082">
        <w:rPr>
          <w:szCs w:val="24"/>
        </w:rPr>
        <w:t xml:space="preserve"> Type</w:t>
      </w:r>
      <w:r w:rsidR="00642653" w:rsidRPr="00D741E7">
        <w:rPr>
          <w:szCs w:val="24"/>
        </w:rPr>
        <w:t xml:space="preserve"> 2</w:t>
      </w:r>
      <w:r w:rsidR="00C60606">
        <w:rPr>
          <w:szCs w:val="24"/>
        </w:rPr>
        <w:t xml:space="preserve"> </w:t>
      </w:r>
      <w:r w:rsidR="00F47067">
        <w:rPr>
          <w:szCs w:val="24"/>
        </w:rPr>
        <w:t>LSCIs</w:t>
      </w:r>
      <w:r>
        <w:rPr>
          <w:szCs w:val="24"/>
        </w:rPr>
        <w:t xml:space="preserve"> </w:t>
      </w:r>
      <w:r w:rsidR="00642653" w:rsidRPr="00D741E7">
        <w:rPr>
          <w:szCs w:val="24"/>
        </w:rPr>
        <w:t>in 2013, as well as</w:t>
      </w:r>
      <w:r w:rsidR="00D2116D">
        <w:rPr>
          <w:szCs w:val="24"/>
        </w:rPr>
        <w:t xml:space="preserve"> IPAs</w:t>
      </w:r>
      <w:r w:rsidR="004679A2">
        <w:rPr>
          <w:szCs w:val="24"/>
        </w:rPr>
        <w:t xml:space="preserve"> </w:t>
      </w:r>
      <w:r w:rsidR="00352262">
        <w:rPr>
          <w:szCs w:val="24"/>
          <w:lang w:val="en-US"/>
        </w:rPr>
        <w:t xml:space="preserve">as of </w:t>
      </w:r>
      <w:r w:rsidR="00642653">
        <w:rPr>
          <w:szCs w:val="24"/>
        </w:rPr>
        <w:t>December 2013</w:t>
      </w:r>
      <w:r w:rsidR="00642653" w:rsidRPr="00D741E7">
        <w:rPr>
          <w:szCs w:val="24"/>
        </w:rPr>
        <w:t>.</w:t>
      </w:r>
      <w:r w:rsidR="005F1F0E">
        <w:rPr>
          <w:szCs w:val="24"/>
        </w:rPr>
        <w:t xml:space="preserve"> </w:t>
      </w:r>
      <w:r w:rsidR="004F5E16">
        <w:rPr>
          <w:szCs w:val="24"/>
        </w:rPr>
        <w:t xml:space="preserve">Information </w:t>
      </w:r>
      <w:r w:rsidR="005F1F0E">
        <w:rPr>
          <w:szCs w:val="24"/>
        </w:rPr>
        <w:t>w</w:t>
      </w:r>
      <w:r w:rsidR="004F5E16">
        <w:rPr>
          <w:szCs w:val="24"/>
        </w:rPr>
        <w:t>as</w:t>
      </w:r>
      <w:r w:rsidR="005F1F0E">
        <w:rPr>
          <w:szCs w:val="24"/>
        </w:rPr>
        <w:t xml:space="preserve"> extracted from </w:t>
      </w:r>
      <w:r w:rsidR="009573DE">
        <w:rPr>
          <w:szCs w:val="24"/>
        </w:rPr>
        <w:t>the</w:t>
      </w:r>
      <w:r w:rsidR="005F1F0E">
        <w:rPr>
          <w:szCs w:val="24"/>
        </w:rPr>
        <w:t xml:space="preserve"> existing database (</w:t>
      </w:r>
      <w:r w:rsidR="009269CC">
        <w:t>Eigenbrod et al., 2017</w:t>
      </w:r>
      <w:r w:rsidR="009F521D" w:rsidRPr="009F521D">
        <w:t>)</w:t>
      </w:r>
      <w:r w:rsidR="00247B5D">
        <w:t>,</w:t>
      </w:r>
      <w:r w:rsidR="009573DE">
        <w:t xml:space="preserve"> </w:t>
      </w:r>
      <w:r w:rsidR="002838FD" w:rsidRPr="002838FD">
        <w:t xml:space="preserve">for </w:t>
      </w:r>
      <w:r w:rsidR="002838FD">
        <w:t xml:space="preserve">the </w:t>
      </w:r>
      <w:r w:rsidR="002838FD" w:rsidRPr="002838FD">
        <w:t xml:space="preserve">341 LSCIs </w:t>
      </w:r>
      <w:r w:rsidR="002838FD">
        <w:t xml:space="preserve">that are </w:t>
      </w:r>
      <w:r w:rsidR="009573DE">
        <w:t>found in England</w:t>
      </w:r>
      <w:r w:rsidR="00247B5D">
        <w:t>, hav</w:t>
      </w:r>
      <w:r w:rsidR="002838FD">
        <w:t>e</w:t>
      </w:r>
      <w:r w:rsidR="00247B5D">
        <w:t xml:space="preserve"> defined boundaries and meet the Type 1 or Type 2 criteria</w:t>
      </w:r>
      <w:r w:rsidR="005F1F0E" w:rsidRPr="009F521D">
        <w:rPr>
          <w:szCs w:val="24"/>
        </w:rPr>
        <w:t xml:space="preserve">. </w:t>
      </w:r>
      <w:r w:rsidR="00887F1E">
        <w:rPr>
          <w:szCs w:val="24"/>
        </w:rPr>
        <w:t xml:space="preserve">We then used the Land Cover Map 2007 </w:t>
      </w:r>
      <w:r w:rsidR="00887F1E">
        <w:rPr>
          <w:szCs w:val="24"/>
        </w:rPr>
        <w:lastRenderedPageBreak/>
        <w:t xml:space="preserve">to exclude urban areas from each LSCI. </w:t>
      </w:r>
      <w:r w:rsidR="004679A2" w:rsidRPr="009F521D">
        <w:rPr>
          <w:szCs w:val="24"/>
        </w:rPr>
        <w:t>The IPA boundaries</w:t>
      </w:r>
      <w:r w:rsidR="00107885" w:rsidRPr="009F521D">
        <w:rPr>
          <w:szCs w:val="24"/>
        </w:rPr>
        <w:t xml:space="preserve"> </w:t>
      </w:r>
      <w:r w:rsidR="004679A2" w:rsidRPr="009F521D">
        <w:rPr>
          <w:szCs w:val="24"/>
        </w:rPr>
        <w:t xml:space="preserve">were </w:t>
      </w:r>
      <w:r w:rsidR="002838FD">
        <w:rPr>
          <w:szCs w:val="24"/>
        </w:rPr>
        <w:t>from</w:t>
      </w:r>
      <w:r w:rsidR="00107885" w:rsidRPr="009F521D">
        <w:rPr>
          <w:szCs w:val="24"/>
        </w:rPr>
        <w:t xml:space="preserve"> map</w:t>
      </w:r>
      <w:r w:rsidR="004679A2" w:rsidRPr="009F521D">
        <w:rPr>
          <w:szCs w:val="24"/>
        </w:rPr>
        <w:t xml:space="preserve">s </w:t>
      </w:r>
      <w:r w:rsidR="002838FD">
        <w:rPr>
          <w:szCs w:val="24"/>
        </w:rPr>
        <w:t>of</w:t>
      </w:r>
      <w:r w:rsidR="00DA23A4">
        <w:rPr>
          <w:szCs w:val="24"/>
        </w:rPr>
        <w:t xml:space="preserve"> </w:t>
      </w:r>
      <w:r w:rsidR="004F5E16">
        <w:rPr>
          <w:szCs w:val="24"/>
        </w:rPr>
        <w:t xml:space="preserve">land </w:t>
      </w:r>
      <w:r w:rsidR="001837A8">
        <w:rPr>
          <w:szCs w:val="24"/>
        </w:rPr>
        <w:t>holdings</w:t>
      </w:r>
      <w:r w:rsidR="00642653">
        <w:rPr>
          <w:szCs w:val="24"/>
        </w:rPr>
        <w:t xml:space="preserve"> with </w:t>
      </w:r>
      <w:r w:rsidR="004679A2" w:rsidRPr="00B53F01">
        <w:rPr>
          <w:szCs w:val="24"/>
        </w:rPr>
        <w:t>HLS</w:t>
      </w:r>
      <w:r w:rsidR="004679A2" w:rsidRPr="002E451D">
        <w:rPr>
          <w:szCs w:val="24"/>
        </w:rPr>
        <w:t xml:space="preserve"> </w:t>
      </w:r>
      <w:r w:rsidR="004679A2">
        <w:rPr>
          <w:szCs w:val="24"/>
        </w:rPr>
        <w:t xml:space="preserve">and woodland grant scheme </w:t>
      </w:r>
      <w:r w:rsidR="00642653">
        <w:rPr>
          <w:szCs w:val="24"/>
        </w:rPr>
        <w:t xml:space="preserve">agreements. We </w:t>
      </w:r>
      <w:r w:rsidR="006257C4">
        <w:rPr>
          <w:szCs w:val="24"/>
        </w:rPr>
        <w:t xml:space="preserve">only </w:t>
      </w:r>
      <w:r w:rsidR="00642653">
        <w:rPr>
          <w:szCs w:val="24"/>
        </w:rPr>
        <w:t>considered those</w:t>
      </w:r>
      <w:r w:rsidR="002E451D">
        <w:rPr>
          <w:szCs w:val="24"/>
        </w:rPr>
        <w:t xml:space="preserve"> </w:t>
      </w:r>
      <w:r w:rsidR="00642653">
        <w:rPr>
          <w:szCs w:val="24"/>
        </w:rPr>
        <w:t>s</w:t>
      </w:r>
      <w:r w:rsidR="00642653" w:rsidRPr="003B2F1B">
        <w:rPr>
          <w:szCs w:val="24"/>
        </w:rPr>
        <w:t>tewardship</w:t>
      </w:r>
      <w:r w:rsidR="00080B83">
        <w:rPr>
          <w:szCs w:val="24"/>
        </w:rPr>
        <w:t xml:space="preserve"> options which contribute </w:t>
      </w:r>
      <w:r w:rsidR="0093057F">
        <w:rPr>
          <w:szCs w:val="24"/>
        </w:rPr>
        <w:t xml:space="preserve">to </w:t>
      </w:r>
      <w:r w:rsidR="00642653">
        <w:rPr>
          <w:szCs w:val="24"/>
        </w:rPr>
        <w:t>conservation. Whe</w:t>
      </w:r>
      <w:r w:rsidR="001837A8">
        <w:rPr>
          <w:szCs w:val="24"/>
        </w:rPr>
        <w:t>re</w:t>
      </w:r>
      <w:r w:rsidR="00642653">
        <w:rPr>
          <w:szCs w:val="24"/>
        </w:rPr>
        <w:t xml:space="preserve"> farm agreements contained at least one whole</w:t>
      </w:r>
      <w:r w:rsidR="002838FD">
        <w:rPr>
          <w:szCs w:val="24"/>
        </w:rPr>
        <w:t>-</w:t>
      </w:r>
      <w:r w:rsidR="00642653">
        <w:rPr>
          <w:szCs w:val="24"/>
        </w:rPr>
        <w:t>farm option,</w:t>
      </w:r>
      <w:r w:rsidR="002D207B">
        <w:rPr>
          <w:szCs w:val="24"/>
        </w:rPr>
        <w:t xml:space="preserve"> we </w:t>
      </w:r>
      <w:r w:rsidR="00CF34BA">
        <w:rPr>
          <w:szCs w:val="24"/>
        </w:rPr>
        <w:t>considered</w:t>
      </w:r>
      <w:r w:rsidR="00642653">
        <w:rPr>
          <w:szCs w:val="24"/>
        </w:rPr>
        <w:t xml:space="preserve"> the entire farm </w:t>
      </w:r>
      <w:r w:rsidR="00EE7BCB">
        <w:rPr>
          <w:szCs w:val="24"/>
        </w:rPr>
        <w:t xml:space="preserve">as </w:t>
      </w:r>
      <w:r w:rsidR="00CF34BA">
        <w:rPr>
          <w:szCs w:val="24"/>
        </w:rPr>
        <w:t>an IPA</w:t>
      </w:r>
      <w:r w:rsidR="003A10A8">
        <w:rPr>
          <w:szCs w:val="24"/>
        </w:rPr>
        <w:t xml:space="preserve">. </w:t>
      </w:r>
      <w:r w:rsidR="001837A8">
        <w:rPr>
          <w:szCs w:val="24"/>
        </w:rPr>
        <w:t>If</w:t>
      </w:r>
      <w:r w:rsidR="003A10A8">
        <w:rPr>
          <w:szCs w:val="24"/>
        </w:rPr>
        <w:t xml:space="preserve"> </w:t>
      </w:r>
      <w:r w:rsidR="00CF34BA">
        <w:rPr>
          <w:szCs w:val="24"/>
        </w:rPr>
        <w:t xml:space="preserve">this </w:t>
      </w:r>
      <w:r w:rsidR="003A10A8">
        <w:rPr>
          <w:szCs w:val="24"/>
        </w:rPr>
        <w:t>was not the case</w:t>
      </w:r>
      <w:r w:rsidR="00392A90">
        <w:rPr>
          <w:szCs w:val="24"/>
        </w:rPr>
        <w:t>,</w:t>
      </w:r>
      <w:r w:rsidR="003A10A8">
        <w:rPr>
          <w:szCs w:val="24"/>
        </w:rPr>
        <w:t xml:space="preserve"> we </w:t>
      </w:r>
      <w:r w:rsidR="00076E15">
        <w:rPr>
          <w:szCs w:val="24"/>
        </w:rPr>
        <w:t xml:space="preserve">used the HLS data to map the IPA </w:t>
      </w:r>
      <w:r w:rsidR="001837A8">
        <w:rPr>
          <w:szCs w:val="24"/>
        </w:rPr>
        <w:t>land parcels</w:t>
      </w:r>
      <w:r w:rsidR="00076E15">
        <w:rPr>
          <w:szCs w:val="24"/>
        </w:rPr>
        <w:t xml:space="preserve"> </w:t>
      </w:r>
      <w:r w:rsidR="003A10A8">
        <w:rPr>
          <w:szCs w:val="24"/>
        </w:rPr>
        <w:t>(see Text S1 for further details).</w:t>
      </w:r>
      <w:r w:rsidR="00477CA1">
        <w:rPr>
          <w:szCs w:val="24"/>
        </w:rPr>
        <w:t xml:space="preserve"> We clipped all of these datasets with the England political boundary to exclude any estuarine or marine areas (following Oldfield et al., 2004)</w:t>
      </w:r>
      <w:r w:rsidR="00B7389B">
        <w:rPr>
          <w:szCs w:val="24"/>
        </w:rPr>
        <w:t>.</w:t>
      </w:r>
    </w:p>
    <w:p w14:paraId="4FA9A69C" w14:textId="77777777" w:rsidR="00EA0AEA" w:rsidRDefault="00EA0AEA" w:rsidP="00652C11">
      <w:pPr>
        <w:spacing w:line="480" w:lineRule="auto"/>
        <w:rPr>
          <w:szCs w:val="24"/>
        </w:rPr>
      </w:pPr>
    </w:p>
    <w:p w14:paraId="3B7B33DE" w14:textId="2E43D748" w:rsidR="00A478C6" w:rsidRDefault="002E451D" w:rsidP="008F16E5">
      <w:pPr>
        <w:spacing w:line="480" w:lineRule="auto"/>
        <w:rPr>
          <w:szCs w:val="24"/>
        </w:rPr>
      </w:pPr>
      <w:r>
        <w:rPr>
          <w:szCs w:val="24"/>
        </w:rPr>
        <w:t xml:space="preserve">To determine the characteristics of the different conservation </w:t>
      </w:r>
      <w:r w:rsidR="00C60606">
        <w:rPr>
          <w:szCs w:val="24"/>
        </w:rPr>
        <w:t xml:space="preserve">management </w:t>
      </w:r>
      <w:r w:rsidR="002E5C53">
        <w:rPr>
          <w:szCs w:val="24"/>
        </w:rPr>
        <w:t>categories</w:t>
      </w:r>
      <w:r>
        <w:rPr>
          <w:szCs w:val="24"/>
        </w:rPr>
        <w:t xml:space="preserve">, </w:t>
      </w:r>
      <w:r w:rsidR="0046768B">
        <w:rPr>
          <w:szCs w:val="24"/>
        </w:rPr>
        <w:t xml:space="preserve">we </w:t>
      </w:r>
      <w:r w:rsidR="009E605D">
        <w:rPr>
          <w:szCs w:val="24"/>
        </w:rPr>
        <w:t>used datasets describing elevation, slope, distance to infrastructure, ecoregion type, agricultural land quality and land</w:t>
      </w:r>
      <w:r w:rsidR="007E36A5">
        <w:rPr>
          <w:szCs w:val="24"/>
        </w:rPr>
        <w:t>-</w:t>
      </w:r>
      <w:r w:rsidR="009E605D">
        <w:rPr>
          <w:szCs w:val="24"/>
        </w:rPr>
        <w:t xml:space="preserve">cover </w:t>
      </w:r>
      <w:r w:rsidR="002E5C53">
        <w:rPr>
          <w:szCs w:val="24"/>
        </w:rPr>
        <w:t>class</w:t>
      </w:r>
      <w:r w:rsidR="009E605D">
        <w:rPr>
          <w:szCs w:val="24"/>
        </w:rPr>
        <w:t xml:space="preserve">. All of these data types </w:t>
      </w:r>
      <w:r w:rsidR="002838FD">
        <w:rPr>
          <w:szCs w:val="24"/>
        </w:rPr>
        <w:t>were</w:t>
      </w:r>
      <w:r w:rsidR="009E605D">
        <w:rPr>
          <w:szCs w:val="24"/>
        </w:rPr>
        <w:t xml:space="preserve"> used in previous gap analyses to measure the </w:t>
      </w:r>
      <w:r w:rsidR="009E605D">
        <w:rPr>
          <w:szCs w:val="24"/>
        </w:rPr>
        <w:t xml:space="preserve">representativeness of PA networks and the extent to which PAs are found in remote areas on land with low agricultural potential </w:t>
      </w:r>
      <w:r w:rsidR="009E605D" w:rsidRPr="003B14D8">
        <w:rPr>
          <w:szCs w:val="24"/>
        </w:rPr>
        <w:t>(</w:t>
      </w:r>
      <w:r w:rsidR="00705BF7" w:rsidRPr="003B14D8">
        <w:rPr>
          <w:szCs w:val="24"/>
        </w:rPr>
        <w:t xml:space="preserve">e.g. </w:t>
      </w:r>
      <w:r w:rsidR="00BE04C4" w:rsidRPr="003B14D8">
        <w:t>Oldfield</w:t>
      </w:r>
      <w:r w:rsidR="00BE04C4" w:rsidRPr="00BE04C4">
        <w:t xml:space="preserve"> et al., 2004; </w:t>
      </w:r>
      <w:r w:rsidR="000016CA" w:rsidRPr="000016CA">
        <w:t>Pressey and Tully, 1994</w:t>
      </w:r>
      <w:r w:rsidR="00BE04C4" w:rsidRPr="00BE04C4">
        <w:t>)</w:t>
      </w:r>
      <w:r w:rsidR="009E605D">
        <w:rPr>
          <w:szCs w:val="24"/>
        </w:rPr>
        <w:t>.</w:t>
      </w:r>
      <w:r w:rsidR="000E4AE1">
        <w:rPr>
          <w:szCs w:val="24"/>
        </w:rPr>
        <w:t xml:space="preserve"> We did not use the available species distribution data because much of it has a spatial resolution of </w:t>
      </w:r>
      <w:r w:rsidR="000C79A7">
        <w:rPr>
          <w:szCs w:val="24"/>
        </w:rPr>
        <w:t>10 km x 10 km</w:t>
      </w:r>
      <w:r w:rsidR="000E4AE1">
        <w:rPr>
          <w:szCs w:val="24"/>
        </w:rPr>
        <w:t xml:space="preserve">, which is </w:t>
      </w:r>
      <w:r w:rsidR="007046F3">
        <w:rPr>
          <w:szCs w:val="24"/>
        </w:rPr>
        <w:t>a great</w:t>
      </w:r>
      <w:r w:rsidR="000E4AE1">
        <w:rPr>
          <w:szCs w:val="24"/>
        </w:rPr>
        <w:t xml:space="preserve"> </w:t>
      </w:r>
      <w:r w:rsidR="00AB1C81">
        <w:rPr>
          <w:szCs w:val="24"/>
        </w:rPr>
        <w:t xml:space="preserve">deal </w:t>
      </w:r>
      <w:r w:rsidR="000E4AE1">
        <w:rPr>
          <w:szCs w:val="24"/>
        </w:rPr>
        <w:t>coarser than the majority of the PAs and agri-environment scheme land parcels, making it impossible to measure levels of species representation with precision.</w:t>
      </w:r>
    </w:p>
    <w:p w14:paraId="6F967A24" w14:textId="77777777" w:rsidR="00A478C6" w:rsidRDefault="00A478C6" w:rsidP="008F16E5">
      <w:pPr>
        <w:spacing w:line="480" w:lineRule="auto"/>
        <w:rPr>
          <w:szCs w:val="24"/>
        </w:rPr>
      </w:pPr>
    </w:p>
    <w:p w14:paraId="5FC91FDC" w14:textId="74CEDEC1" w:rsidR="002D3D09" w:rsidRDefault="009E605D" w:rsidP="000D3ABC">
      <w:pPr>
        <w:spacing w:line="480" w:lineRule="auto"/>
        <w:rPr>
          <w:szCs w:val="24"/>
        </w:rPr>
      </w:pPr>
      <w:r>
        <w:rPr>
          <w:szCs w:val="24"/>
        </w:rPr>
        <w:t xml:space="preserve">The first step in the analysis was to </w:t>
      </w:r>
      <w:r w:rsidR="004878E0">
        <w:rPr>
          <w:szCs w:val="24"/>
        </w:rPr>
        <w:t xml:space="preserve">produce six GIS </w:t>
      </w:r>
      <w:r w:rsidR="008153CF">
        <w:rPr>
          <w:szCs w:val="24"/>
        </w:rPr>
        <w:t>layers</w:t>
      </w:r>
      <w:r>
        <w:rPr>
          <w:szCs w:val="24"/>
        </w:rPr>
        <w:t xml:space="preserve"> derived</w:t>
      </w:r>
      <w:r w:rsidR="004878E0">
        <w:rPr>
          <w:szCs w:val="24"/>
        </w:rPr>
        <w:t xml:space="preserve"> from five </w:t>
      </w:r>
      <w:r>
        <w:rPr>
          <w:szCs w:val="24"/>
        </w:rPr>
        <w:t xml:space="preserve">spatial </w:t>
      </w:r>
      <w:r w:rsidR="004878E0">
        <w:rPr>
          <w:szCs w:val="24"/>
        </w:rPr>
        <w:t>datasets,</w:t>
      </w:r>
      <w:r w:rsidR="0062135F">
        <w:rPr>
          <w:szCs w:val="24"/>
        </w:rPr>
        <w:t xml:space="preserve"> </w:t>
      </w:r>
      <w:r w:rsidR="004878E0">
        <w:rPr>
          <w:szCs w:val="24"/>
        </w:rPr>
        <w:t>which were resampled to</w:t>
      </w:r>
      <w:r w:rsidR="000C059A">
        <w:rPr>
          <w:szCs w:val="24"/>
        </w:rPr>
        <w:t xml:space="preserve"> produce GIS </w:t>
      </w:r>
      <w:r w:rsidR="008153CF">
        <w:rPr>
          <w:szCs w:val="24"/>
        </w:rPr>
        <w:t>layers</w:t>
      </w:r>
      <w:r w:rsidR="000C059A">
        <w:rPr>
          <w:szCs w:val="24"/>
        </w:rPr>
        <w:t xml:space="preserve"> with </w:t>
      </w:r>
      <w:r w:rsidR="0062135F">
        <w:rPr>
          <w:szCs w:val="24"/>
        </w:rPr>
        <w:t>the same</w:t>
      </w:r>
      <w:r w:rsidR="000C059A">
        <w:rPr>
          <w:szCs w:val="24"/>
        </w:rPr>
        <w:t xml:space="preserve"> resolution of 80 m</w:t>
      </w:r>
      <w:r w:rsidR="00D97587">
        <w:rPr>
          <w:szCs w:val="24"/>
        </w:rPr>
        <w:t xml:space="preserve"> (matching the dataset with the coarsest resolution)</w:t>
      </w:r>
      <w:r w:rsidR="000C059A">
        <w:rPr>
          <w:szCs w:val="24"/>
        </w:rPr>
        <w:t>.</w:t>
      </w:r>
      <w:r w:rsidR="006A46A2">
        <w:rPr>
          <w:szCs w:val="24"/>
        </w:rPr>
        <w:t xml:space="preserve"> </w:t>
      </w:r>
      <w:r w:rsidR="004878E0">
        <w:rPr>
          <w:szCs w:val="24"/>
        </w:rPr>
        <w:t xml:space="preserve">Three of the </w:t>
      </w:r>
      <w:r w:rsidR="008153CF">
        <w:rPr>
          <w:szCs w:val="24"/>
        </w:rPr>
        <w:t xml:space="preserve">layers </w:t>
      </w:r>
      <w:r w:rsidR="004878E0">
        <w:rPr>
          <w:szCs w:val="24"/>
        </w:rPr>
        <w:t xml:space="preserve">described physical factors. </w:t>
      </w:r>
      <w:r w:rsidR="007543FF">
        <w:rPr>
          <w:szCs w:val="24"/>
        </w:rPr>
        <w:t xml:space="preserve">We used the </w:t>
      </w:r>
      <w:r w:rsidR="00624E80">
        <w:rPr>
          <w:szCs w:val="24"/>
        </w:rPr>
        <w:t xml:space="preserve">SRTM </w:t>
      </w:r>
      <w:r w:rsidR="007543FF">
        <w:rPr>
          <w:szCs w:val="24"/>
        </w:rPr>
        <w:t xml:space="preserve">Digital Elevation Model (DEM) to produce </w:t>
      </w:r>
      <w:r w:rsidR="004878E0">
        <w:rPr>
          <w:szCs w:val="24"/>
        </w:rPr>
        <w:t>the</w:t>
      </w:r>
      <w:r w:rsidR="007543FF">
        <w:rPr>
          <w:szCs w:val="24"/>
        </w:rPr>
        <w:t xml:space="preserve"> elevation zone </w:t>
      </w:r>
      <w:r w:rsidR="008153CF">
        <w:rPr>
          <w:szCs w:val="24"/>
        </w:rPr>
        <w:t>layers</w:t>
      </w:r>
      <w:r w:rsidR="000B7393">
        <w:rPr>
          <w:szCs w:val="24"/>
        </w:rPr>
        <w:t xml:space="preserve"> </w:t>
      </w:r>
      <w:r w:rsidR="000B7393" w:rsidRPr="000B7393">
        <w:t>(</w:t>
      </w:r>
      <w:r w:rsidR="00D82064">
        <w:t>Table S2</w:t>
      </w:r>
      <w:r w:rsidR="000B7393" w:rsidRPr="000B7393">
        <w:t>)</w:t>
      </w:r>
      <w:r w:rsidR="007543FF">
        <w:rPr>
          <w:szCs w:val="24"/>
        </w:rPr>
        <w:t xml:space="preserve">, where each elevation value was </w:t>
      </w:r>
      <w:r w:rsidR="002D3D09">
        <w:rPr>
          <w:szCs w:val="24"/>
        </w:rPr>
        <w:t>assigned to one of</w:t>
      </w:r>
      <w:r w:rsidR="007543FF">
        <w:rPr>
          <w:szCs w:val="24"/>
        </w:rPr>
        <w:t xml:space="preserve"> the following </w:t>
      </w:r>
      <w:r w:rsidR="008F16E5">
        <w:rPr>
          <w:szCs w:val="24"/>
        </w:rPr>
        <w:t>four classes</w:t>
      </w:r>
      <w:r w:rsidR="007543FF">
        <w:rPr>
          <w:szCs w:val="24"/>
        </w:rPr>
        <w:t>: 0</w:t>
      </w:r>
      <w:r w:rsidR="00D016B1">
        <w:rPr>
          <w:szCs w:val="24"/>
        </w:rPr>
        <w:t xml:space="preserve"> to </w:t>
      </w:r>
      <w:r w:rsidR="007543FF">
        <w:rPr>
          <w:szCs w:val="24"/>
        </w:rPr>
        <w:t>200 m</w:t>
      </w:r>
      <w:r w:rsidR="008C2286">
        <w:rPr>
          <w:szCs w:val="24"/>
        </w:rPr>
        <w:t xml:space="preserve">; </w:t>
      </w:r>
      <w:r w:rsidR="007543FF">
        <w:rPr>
          <w:szCs w:val="24"/>
        </w:rPr>
        <w:t>201 to 400 m</w:t>
      </w:r>
      <w:r w:rsidR="008C2286">
        <w:rPr>
          <w:szCs w:val="24"/>
        </w:rPr>
        <w:t xml:space="preserve">; </w:t>
      </w:r>
      <w:r w:rsidR="007543FF">
        <w:rPr>
          <w:szCs w:val="24"/>
        </w:rPr>
        <w:t xml:space="preserve">401 </w:t>
      </w:r>
      <w:r w:rsidR="007543FF">
        <w:rPr>
          <w:szCs w:val="24"/>
        </w:rPr>
        <w:t xml:space="preserve">to 600 m and &gt; 600 m. </w:t>
      </w:r>
      <w:r w:rsidR="004878E0">
        <w:rPr>
          <w:szCs w:val="24"/>
        </w:rPr>
        <w:t xml:space="preserve">We also used this </w:t>
      </w:r>
      <w:r w:rsidR="002D3D09">
        <w:rPr>
          <w:szCs w:val="24"/>
        </w:rPr>
        <w:t>DEM</w:t>
      </w:r>
      <w:r w:rsidR="004878E0">
        <w:rPr>
          <w:szCs w:val="24"/>
        </w:rPr>
        <w:t xml:space="preserve"> </w:t>
      </w:r>
      <w:r w:rsidR="002D3D09">
        <w:rPr>
          <w:szCs w:val="24"/>
        </w:rPr>
        <w:t>to</w:t>
      </w:r>
      <w:r w:rsidR="007F3E44">
        <w:rPr>
          <w:szCs w:val="24"/>
        </w:rPr>
        <w:t xml:space="preserve"> </w:t>
      </w:r>
      <w:r w:rsidR="004878E0">
        <w:rPr>
          <w:szCs w:val="24"/>
        </w:rPr>
        <w:t>produce</w:t>
      </w:r>
      <w:r w:rsidR="007F3E44">
        <w:rPr>
          <w:szCs w:val="24"/>
        </w:rPr>
        <w:t xml:space="preserve"> </w:t>
      </w:r>
      <w:r w:rsidR="004878E0">
        <w:rPr>
          <w:szCs w:val="24"/>
        </w:rPr>
        <w:t>the</w:t>
      </w:r>
      <w:r w:rsidR="00406F18">
        <w:rPr>
          <w:szCs w:val="24"/>
        </w:rPr>
        <w:t xml:space="preserve"> </w:t>
      </w:r>
      <w:r w:rsidR="002D3D09">
        <w:rPr>
          <w:szCs w:val="24"/>
        </w:rPr>
        <w:t xml:space="preserve">slope </w:t>
      </w:r>
      <w:r w:rsidR="00CD3FEA">
        <w:rPr>
          <w:szCs w:val="24"/>
        </w:rPr>
        <w:lastRenderedPageBreak/>
        <w:t xml:space="preserve">layers </w:t>
      </w:r>
      <w:r w:rsidR="004878E0">
        <w:rPr>
          <w:szCs w:val="24"/>
        </w:rPr>
        <w:t xml:space="preserve">using the </w:t>
      </w:r>
      <w:r w:rsidR="00CD3FEA">
        <w:rPr>
          <w:szCs w:val="24"/>
        </w:rPr>
        <w:t>Slope</w:t>
      </w:r>
      <w:r w:rsidR="004878E0">
        <w:rPr>
          <w:szCs w:val="24"/>
        </w:rPr>
        <w:t xml:space="preserve"> function in ArcGIS</w:t>
      </w:r>
      <w:r w:rsidR="0062135F">
        <w:rPr>
          <w:szCs w:val="24"/>
        </w:rPr>
        <w:t xml:space="preserve"> (</w:t>
      </w:r>
      <w:r w:rsidR="0008291C" w:rsidRPr="0008291C">
        <w:rPr>
          <w:szCs w:val="24"/>
        </w:rPr>
        <w:t>ESRI 2011</w:t>
      </w:r>
      <w:r w:rsidR="000D3ABC">
        <w:rPr>
          <w:szCs w:val="24"/>
        </w:rPr>
        <w:t>;</w:t>
      </w:r>
      <w:r w:rsidR="0008291C" w:rsidRPr="0008291C">
        <w:rPr>
          <w:szCs w:val="24"/>
        </w:rPr>
        <w:t xml:space="preserve"> ArcGIS Desktop: Release 10. Redlands, CA</w:t>
      </w:r>
      <w:r w:rsidR="0062135F">
        <w:rPr>
          <w:szCs w:val="24"/>
        </w:rPr>
        <w:t>)</w:t>
      </w:r>
      <w:r w:rsidR="002D3D09">
        <w:rPr>
          <w:szCs w:val="24"/>
        </w:rPr>
        <w:t xml:space="preserve">. To produce the remoteness </w:t>
      </w:r>
      <w:r w:rsidR="00CD3FEA">
        <w:rPr>
          <w:szCs w:val="24"/>
        </w:rPr>
        <w:t>layer</w:t>
      </w:r>
      <w:r w:rsidR="002D3D09">
        <w:rPr>
          <w:szCs w:val="24"/>
        </w:rPr>
        <w:t xml:space="preserve"> we </w:t>
      </w:r>
      <w:r w:rsidR="00351111">
        <w:rPr>
          <w:szCs w:val="24"/>
        </w:rPr>
        <w:t xml:space="preserve">used </w:t>
      </w:r>
      <w:r w:rsidR="000B7393">
        <w:rPr>
          <w:szCs w:val="24"/>
        </w:rPr>
        <w:t>national</w:t>
      </w:r>
      <w:r w:rsidR="00351111">
        <w:rPr>
          <w:szCs w:val="24"/>
        </w:rPr>
        <w:t xml:space="preserve"> </w:t>
      </w:r>
      <w:r w:rsidR="002D3D09">
        <w:rPr>
          <w:szCs w:val="24"/>
        </w:rPr>
        <w:t>data</w:t>
      </w:r>
      <w:r w:rsidR="00351111">
        <w:rPr>
          <w:szCs w:val="24"/>
        </w:rPr>
        <w:t xml:space="preserve"> </w:t>
      </w:r>
      <w:r w:rsidR="002D3D09">
        <w:rPr>
          <w:szCs w:val="24"/>
        </w:rPr>
        <w:t xml:space="preserve">on </w:t>
      </w:r>
      <w:r w:rsidR="00D97DC0">
        <w:rPr>
          <w:szCs w:val="24"/>
        </w:rPr>
        <w:t xml:space="preserve">public </w:t>
      </w:r>
      <w:r w:rsidR="00CD3FEA">
        <w:rPr>
          <w:szCs w:val="24"/>
        </w:rPr>
        <w:t>transport infrastructure</w:t>
      </w:r>
      <w:r w:rsidR="00351111">
        <w:rPr>
          <w:szCs w:val="24"/>
        </w:rPr>
        <w:t xml:space="preserve"> </w:t>
      </w:r>
      <w:r w:rsidR="000B7393" w:rsidRPr="000B7393">
        <w:t>(</w:t>
      </w:r>
      <w:r w:rsidR="00D82064">
        <w:t>Table S2</w:t>
      </w:r>
      <w:r w:rsidR="000B7393" w:rsidRPr="000B7393">
        <w:t>)</w:t>
      </w:r>
      <w:r w:rsidR="000B7393">
        <w:rPr>
          <w:szCs w:val="24"/>
        </w:rPr>
        <w:t xml:space="preserve"> </w:t>
      </w:r>
      <w:r w:rsidR="002D3D09">
        <w:rPr>
          <w:szCs w:val="24"/>
        </w:rPr>
        <w:t xml:space="preserve">and calculated distance from nearest </w:t>
      </w:r>
      <w:r w:rsidR="00167ACA">
        <w:rPr>
          <w:szCs w:val="24"/>
        </w:rPr>
        <w:t>transport</w:t>
      </w:r>
      <w:r w:rsidR="002D3D09">
        <w:rPr>
          <w:szCs w:val="24"/>
        </w:rPr>
        <w:t xml:space="preserve"> node</w:t>
      </w:r>
      <w:r>
        <w:rPr>
          <w:szCs w:val="24"/>
        </w:rPr>
        <w:t xml:space="preserve"> points</w:t>
      </w:r>
      <w:r w:rsidR="00E93266">
        <w:rPr>
          <w:szCs w:val="24"/>
        </w:rPr>
        <w:t xml:space="preserve"> (e.g., bus </w:t>
      </w:r>
      <w:r w:rsidR="003523C5">
        <w:rPr>
          <w:szCs w:val="24"/>
        </w:rPr>
        <w:t xml:space="preserve">stops </w:t>
      </w:r>
      <w:r w:rsidR="00E93266">
        <w:rPr>
          <w:szCs w:val="24"/>
        </w:rPr>
        <w:t>and train stations)</w:t>
      </w:r>
      <w:r w:rsidR="002D3D09">
        <w:rPr>
          <w:szCs w:val="24"/>
        </w:rPr>
        <w:t>.</w:t>
      </w:r>
    </w:p>
    <w:p w14:paraId="1A6A8576" w14:textId="77777777" w:rsidR="002D3D09" w:rsidRDefault="002D3D09" w:rsidP="00652C11">
      <w:pPr>
        <w:spacing w:line="480" w:lineRule="auto"/>
        <w:rPr>
          <w:szCs w:val="24"/>
        </w:rPr>
      </w:pPr>
    </w:p>
    <w:p w14:paraId="5CE603C0" w14:textId="0574F227" w:rsidR="00AC2116" w:rsidRPr="007D5F7A" w:rsidRDefault="000D3ABC" w:rsidP="008F16E5">
      <w:pPr>
        <w:spacing w:line="480" w:lineRule="auto"/>
        <w:rPr>
          <w:szCs w:val="24"/>
          <w:lang w:val="en-US"/>
        </w:rPr>
      </w:pPr>
      <w:r>
        <w:rPr>
          <w:szCs w:val="24"/>
        </w:rPr>
        <w:t>An</w:t>
      </w:r>
      <w:r w:rsidR="004878E0">
        <w:rPr>
          <w:szCs w:val="24"/>
        </w:rPr>
        <w:t xml:space="preserve">other three </w:t>
      </w:r>
      <w:r w:rsidR="00CD3FEA">
        <w:rPr>
          <w:szCs w:val="24"/>
        </w:rPr>
        <w:t>layer</w:t>
      </w:r>
      <w:r w:rsidR="004878E0">
        <w:rPr>
          <w:szCs w:val="24"/>
        </w:rPr>
        <w:t xml:space="preserve">s described ecological </w:t>
      </w:r>
      <w:r w:rsidR="000743CA">
        <w:rPr>
          <w:szCs w:val="24"/>
        </w:rPr>
        <w:t xml:space="preserve">and environmental </w:t>
      </w:r>
      <w:r w:rsidR="004878E0">
        <w:rPr>
          <w:szCs w:val="24"/>
        </w:rPr>
        <w:t xml:space="preserve">factors. </w:t>
      </w:r>
      <w:r w:rsidR="000743CA">
        <w:rPr>
          <w:szCs w:val="24"/>
        </w:rPr>
        <w:t xml:space="preserve">For </w:t>
      </w:r>
      <w:r w:rsidR="007F3E44">
        <w:rPr>
          <w:szCs w:val="24"/>
        </w:rPr>
        <w:t>ecoregion</w:t>
      </w:r>
      <w:r w:rsidR="001A30B0">
        <w:rPr>
          <w:szCs w:val="24"/>
        </w:rPr>
        <w:t>s</w:t>
      </w:r>
      <w:r w:rsidR="007F3E44">
        <w:rPr>
          <w:szCs w:val="24"/>
        </w:rPr>
        <w:t xml:space="preserve"> </w:t>
      </w:r>
      <w:r w:rsidR="000743CA">
        <w:rPr>
          <w:szCs w:val="24"/>
        </w:rPr>
        <w:t xml:space="preserve">we used the </w:t>
      </w:r>
      <w:r w:rsidR="007F3E44" w:rsidRPr="000C059A">
        <w:rPr>
          <w:szCs w:val="24"/>
        </w:rPr>
        <w:t>National Character Area</w:t>
      </w:r>
      <w:r w:rsidR="007F3E44">
        <w:rPr>
          <w:szCs w:val="24"/>
        </w:rPr>
        <w:t xml:space="preserve">s (NCA) </w:t>
      </w:r>
      <w:r w:rsidR="00CD3FEA">
        <w:rPr>
          <w:szCs w:val="24"/>
        </w:rPr>
        <w:t>layer</w:t>
      </w:r>
      <w:r w:rsidR="007F3E44">
        <w:rPr>
          <w:szCs w:val="24"/>
        </w:rPr>
        <w:t xml:space="preserve"> produced by Natural England</w:t>
      </w:r>
      <w:r w:rsidR="00CD3FEA">
        <w:rPr>
          <w:szCs w:val="24"/>
        </w:rPr>
        <w:t xml:space="preserve"> (</w:t>
      </w:r>
      <w:r w:rsidR="00D82064">
        <w:rPr>
          <w:szCs w:val="24"/>
        </w:rPr>
        <w:t>Table S2</w:t>
      </w:r>
      <w:r w:rsidR="00CD3FEA">
        <w:rPr>
          <w:szCs w:val="24"/>
        </w:rPr>
        <w:t>)</w:t>
      </w:r>
      <w:r w:rsidR="007F3E44">
        <w:rPr>
          <w:szCs w:val="24"/>
        </w:rPr>
        <w:t xml:space="preserve">. The NCA </w:t>
      </w:r>
      <w:r w:rsidR="00CD3FEA">
        <w:rPr>
          <w:szCs w:val="24"/>
        </w:rPr>
        <w:t>layer</w:t>
      </w:r>
      <w:r w:rsidR="007F3E44">
        <w:rPr>
          <w:szCs w:val="24"/>
        </w:rPr>
        <w:t xml:space="preserve"> subdivides </w:t>
      </w:r>
      <w:r w:rsidR="00143EAA">
        <w:rPr>
          <w:szCs w:val="24"/>
        </w:rPr>
        <w:t>England</w:t>
      </w:r>
      <w:r w:rsidR="007F3E44">
        <w:rPr>
          <w:szCs w:val="24"/>
        </w:rPr>
        <w:t xml:space="preserve"> so each </w:t>
      </w:r>
      <w:r w:rsidR="00DA23A4">
        <w:rPr>
          <w:szCs w:val="24"/>
        </w:rPr>
        <w:t xml:space="preserve">of the 159 </w:t>
      </w:r>
      <w:r w:rsidR="00F47067">
        <w:rPr>
          <w:szCs w:val="24"/>
        </w:rPr>
        <w:t>NCA</w:t>
      </w:r>
      <w:r w:rsidR="00DA23A4">
        <w:rPr>
          <w:szCs w:val="24"/>
        </w:rPr>
        <w:t>s</w:t>
      </w:r>
      <w:r w:rsidR="00F47067">
        <w:rPr>
          <w:szCs w:val="24"/>
        </w:rPr>
        <w:t xml:space="preserve"> </w:t>
      </w:r>
      <w:r w:rsidR="00122762">
        <w:rPr>
          <w:szCs w:val="24"/>
        </w:rPr>
        <w:t>(which we term “ecoregions”</w:t>
      </w:r>
      <w:r w:rsidR="007D5F7A">
        <w:rPr>
          <w:szCs w:val="24"/>
        </w:rPr>
        <w:t xml:space="preserve"> hereafter</w:t>
      </w:r>
      <w:r w:rsidR="00122762">
        <w:rPr>
          <w:szCs w:val="24"/>
        </w:rPr>
        <w:t xml:space="preserve">) </w:t>
      </w:r>
      <w:r w:rsidR="007F3E44">
        <w:rPr>
          <w:szCs w:val="24"/>
        </w:rPr>
        <w:t xml:space="preserve">represent a </w:t>
      </w:r>
      <w:r w:rsidR="007F3E44" w:rsidRPr="004645A6">
        <w:rPr>
          <w:szCs w:val="24"/>
        </w:rPr>
        <w:t>unique combination of landsc</w:t>
      </w:r>
      <w:r w:rsidR="007F3E44">
        <w:rPr>
          <w:szCs w:val="24"/>
        </w:rPr>
        <w:t xml:space="preserve">ape, biodiversity, geodiversity, </w:t>
      </w:r>
      <w:r w:rsidR="007F3E44" w:rsidRPr="004645A6">
        <w:rPr>
          <w:szCs w:val="24"/>
        </w:rPr>
        <w:t>cultural and economic activity.</w:t>
      </w:r>
      <w:r w:rsidR="007F3E44">
        <w:rPr>
          <w:szCs w:val="24"/>
        </w:rPr>
        <w:t xml:space="preserve"> </w:t>
      </w:r>
      <w:r w:rsidR="00C260A1">
        <w:rPr>
          <w:szCs w:val="24"/>
        </w:rPr>
        <w:t xml:space="preserve">We </w:t>
      </w:r>
      <w:r w:rsidR="007543FF">
        <w:rPr>
          <w:szCs w:val="24"/>
        </w:rPr>
        <w:t xml:space="preserve">also </w:t>
      </w:r>
      <w:r w:rsidR="00C260A1">
        <w:rPr>
          <w:szCs w:val="24"/>
        </w:rPr>
        <w:t xml:space="preserve">used the </w:t>
      </w:r>
      <w:r w:rsidR="0000383D" w:rsidRPr="0000383D">
        <w:rPr>
          <w:szCs w:val="24"/>
        </w:rPr>
        <w:t>Provisional Agricultural Land Classification</w:t>
      </w:r>
      <w:r w:rsidR="000B7393">
        <w:rPr>
          <w:szCs w:val="24"/>
        </w:rPr>
        <w:t xml:space="preserve"> </w:t>
      </w:r>
      <w:r w:rsidR="000B7393" w:rsidRPr="000B7393">
        <w:t>(</w:t>
      </w:r>
      <w:r w:rsidR="00D82064">
        <w:t>Table S2</w:t>
      </w:r>
      <w:r w:rsidR="000B7393" w:rsidRPr="000B7393">
        <w:t>)</w:t>
      </w:r>
      <w:r w:rsidR="00C260A1">
        <w:rPr>
          <w:szCs w:val="24"/>
        </w:rPr>
        <w:t xml:space="preserve"> dataset</w:t>
      </w:r>
      <w:r w:rsidR="0000383D">
        <w:rPr>
          <w:szCs w:val="24"/>
        </w:rPr>
        <w:t xml:space="preserve">, which divides England into five categories of agricultural land </w:t>
      </w:r>
      <w:r w:rsidR="00C260A1">
        <w:rPr>
          <w:szCs w:val="24"/>
        </w:rPr>
        <w:t>(</w:t>
      </w:r>
      <w:r w:rsidR="008F16E5">
        <w:rPr>
          <w:szCs w:val="24"/>
        </w:rPr>
        <w:t xml:space="preserve">with </w:t>
      </w:r>
      <w:r w:rsidR="00C260A1">
        <w:rPr>
          <w:szCs w:val="24"/>
        </w:rPr>
        <w:t>grade 1 represent</w:t>
      </w:r>
      <w:r w:rsidR="008F16E5">
        <w:rPr>
          <w:szCs w:val="24"/>
        </w:rPr>
        <w:t>ing</w:t>
      </w:r>
      <w:r w:rsidR="00C260A1">
        <w:rPr>
          <w:szCs w:val="24"/>
        </w:rPr>
        <w:t xml:space="preserve"> the </w:t>
      </w:r>
      <w:r w:rsidR="00143EAA">
        <w:rPr>
          <w:szCs w:val="24"/>
        </w:rPr>
        <w:t xml:space="preserve">highest </w:t>
      </w:r>
      <w:r w:rsidR="008F16E5">
        <w:rPr>
          <w:szCs w:val="24"/>
        </w:rPr>
        <w:t>and grade 5 the lowest respectively</w:t>
      </w:r>
      <w:r w:rsidR="00C260A1">
        <w:rPr>
          <w:szCs w:val="24"/>
        </w:rPr>
        <w:t>)</w:t>
      </w:r>
      <w:r w:rsidR="0000383D">
        <w:rPr>
          <w:szCs w:val="24"/>
        </w:rPr>
        <w:t xml:space="preserve"> and</w:t>
      </w:r>
      <w:r w:rsidR="002D3D09">
        <w:rPr>
          <w:szCs w:val="24"/>
        </w:rPr>
        <w:t xml:space="preserve"> </w:t>
      </w:r>
      <w:r w:rsidR="00C260A1">
        <w:rPr>
          <w:szCs w:val="24"/>
        </w:rPr>
        <w:t>two additional categories of land in non-agricultural use</w:t>
      </w:r>
      <w:r w:rsidR="008C2286">
        <w:rPr>
          <w:szCs w:val="24"/>
        </w:rPr>
        <w:t xml:space="preserve"> (i.e. non-arable and suburban)</w:t>
      </w:r>
      <w:r w:rsidR="00C260A1">
        <w:rPr>
          <w:szCs w:val="24"/>
        </w:rPr>
        <w:t>. We used</w:t>
      </w:r>
      <w:r w:rsidR="00143EAA">
        <w:rPr>
          <w:szCs w:val="24"/>
        </w:rPr>
        <w:t xml:space="preserve"> the</w:t>
      </w:r>
      <w:r w:rsidR="00C260A1">
        <w:rPr>
          <w:szCs w:val="24"/>
        </w:rPr>
        <w:t xml:space="preserve"> </w:t>
      </w:r>
      <w:r w:rsidR="00387450">
        <w:rPr>
          <w:szCs w:val="24"/>
        </w:rPr>
        <w:t xml:space="preserve">Land Cover Map </w:t>
      </w:r>
      <w:r w:rsidR="00C260A1">
        <w:rPr>
          <w:szCs w:val="24"/>
        </w:rPr>
        <w:t xml:space="preserve">2007 </w:t>
      </w:r>
      <w:r w:rsidR="0000383D">
        <w:rPr>
          <w:szCs w:val="24"/>
        </w:rPr>
        <w:t>(</w:t>
      </w:r>
      <w:r w:rsidR="00D82064">
        <w:rPr>
          <w:szCs w:val="24"/>
        </w:rPr>
        <w:t>Table S2</w:t>
      </w:r>
      <w:r w:rsidR="0000383D">
        <w:rPr>
          <w:szCs w:val="24"/>
        </w:rPr>
        <w:t>)</w:t>
      </w:r>
      <w:r w:rsidR="00143EAA">
        <w:rPr>
          <w:szCs w:val="24"/>
        </w:rPr>
        <w:t xml:space="preserve">, </w:t>
      </w:r>
      <w:r w:rsidR="008F16E5">
        <w:rPr>
          <w:szCs w:val="24"/>
        </w:rPr>
        <w:t xml:space="preserve">derived from </w:t>
      </w:r>
      <w:r w:rsidR="00143EAA">
        <w:rPr>
          <w:szCs w:val="24"/>
        </w:rPr>
        <w:t xml:space="preserve">satellite imagery, </w:t>
      </w:r>
      <w:r w:rsidR="00C260A1">
        <w:rPr>
          <w:szCs w:val="24"/>
        </w:rPr>
        <w:t>to produce the land</w:t>
      </w:r>
      <w:r w:rsidR="007E36A5">
        <w:rPr>
          <w:szCs w:val="24"/>
        </w:rPr>
        <w:t>-</w:t>
      </w:r>
      <w:r w:rsidR="00C260A1">
        <w:rPr>
          <w:szCs w:val="24"/>
        </w:rPr>
        <w:t xml:space="preserve">cover </w:t>
      </w:r>
      <w:r w:rsidR="00CD3FEA">
        <w:rPr>
          <w:szCs w:val="24"/>
        </w:rPr>
        <w:t>layer</w:t>
      </w:r>
      <w:r w:rsidR="00C260A1">
        <w:rPr>
          <w:szCs w:val="24"/>
        </w:rPr>
        <w:t xml:space="preserve"> by reclassifying the original 23 land</w:t>
      </w:r>
      <w:r w:rsidR="007E36A5">
        <w:rPr>
          <w:szCs w:val="24"/>
        </w:rPr>
        <w:t>-</w:t>
      </w:r>
      <w:r w:rsidR="001C5EFA">
        <w:rPr>
          <w:szCs w:val="24"/>
        </w:rPr>
        <w:t>cover</w:t>
      </w:r>
      <w:r w:rsidR="00C260A1">
        <w:rPr>
          <w:szCs w:val="24"/>
        </w:rPr>
        <w:t xml:space="preserve"> types into seven: (</w:t>
      </w:r>
      <w:r w:rsidR="00CD3FEA">
        <w:rPr>
          <w:szCs w:val="24"/>
        </w:rPr>
        <w:t>i</w:t>
      </w:r>
      <w:r w:rsidR="00C260A1">
        <w:rPr>
          <w:szCs w:val="24"/>
        </w:rPr>
        <w:t>) co</w:t>
      </w:r>
      <w:r w:rsidR="00AF28CA">
        <w:rPr>
          <w:szCs w:val="24"/>
        </w:rPr>
        <w:t>a</w:t>
      </w:r>
      <w:r w:rsidR="00C260A1">
        <w:rPr>
          <w:szCs w:val="24"/>
        </w:rPr>
        <w:t>stal, salt and freshwater; (</w:t>
      </w:r>
      <w:r w:rsidR="00CD3FEA">
        <w:rPr>
          <w:szCs w:val="24"/>
        </w:rPr>
        <w:t>ii</w:t>
      </w:r>
      <w:r w:rsidR="00C260A1">
        <w:rPr>
          <w:szCs w:val="24"/>
        </w:rPr>
        <w:t>) mountains, heath and bog; (</w:t>
      </w:r>
      <w:r w:rsidR="00CD3FEA">
        <w:rPr>
          <w:szCs w:val="24"/>
        </w:rPr>
        <w:t>iii</w:t>
      </w:r>
      <w:r w:rsidR="00C260A1">
        <w:rPr>
          <w:szCs w:val="24"/>
        </w:rPr>
        <w:t>) woodland; (</w:t>
      </w:r>
      <w:r w:rsidR="00CD3FEA">
        <w:rPr>
          <w:szCs w:val="24"/>
        </w:rPr>
        <w:t>iv</w:t>
      </w:r>
      <w:r w:rsidR="00C260A1">
        <w:rPr>
          <w:szCs w:val="24"/>
        </w:rPr>
        <w:t>) semi-natural grassland; (</w:t>
      </w:r>
      <w:r w:rsidR="00CD3FEA">
        <w:rPr>
          <w:szCs w:val="24"/>
        </w:rPr>
        <w:t>v</w:t>
      </w:r>
      <w:r w:rsidR="00C260A1">
        <w:rPr>
          <w:szCs w:val="24"/>
        </w:rPr>
        <w:t xml:space="preserve">) </w:t>
      </w:r>
      <w:r w:rsidR="00902767">
        <w:rPr>
          <w:szCs w:val="24"/>
        </w:rPr>
        <w:t>arable</w:t>
      </w:r>
      <w:r w:rsidR="00C260A1">
        <w:rPr>
          <w:szCs w:val="24"/>
        </w:rPr>
        <w:t>; (</w:t>
      </w:r>
      <w:r w:rsidR="00CD3FEA">
        <w:rPr>
          <w:szCs w:val="24"/>
        </w:rPr>
        <w:t>vi</w:t>
      </w:r>
      <w:r w:rsidR="00C260A1">
        <w:rPr>
          <w:szCs w:val="24"/>
        </w:rPr>
        <w:t>) suburban</w:t>
      </w:r>
      <w:r w:rsidR="007F3E44">
        <w:rPr>
          <w:szCs w:val="24"/>
        </w:rPr>
        <w:t>,</w:t>
      </w:r>
      <w:r w:rsidR="00C260A1">
        <w:rPr>
          <w:szCs w:val="24"/>
        </w:rPr>
        <w:t xml:space="preserve"> and</w:t>
      </w:r>
      <w:r w:rsidR="007F3E44">
        <w:rPr>
          <w:szCs w:val="24"/>
        </w:rPr>
        <w:t>;</w:t>
      </w:r>
      <w:r w:rsidR="00C260A1">
        <w:rPr>
          <w:szCs w:val="24"/>
        </w:rPr>
        <w:t xml:space="preserve"> (</w:t>
      </w:r>
      <w:r w:rsidR="00CD3FEA">
        <w:rPr>
          <w:szCs w:val="24"/>
        </w:rPr>
        <w:t>vii</w:t>
      </w:r>
      <w:r w:rsidR="00C260A1">
        <w:rPr>
          <w:szCs w:val="24"/>
        </w:rPr>
        <w:t>) urban.</w:t>
      </w:r>
      <w:r w:rsidR="00FA10CD" w:rsidRPr="00FA10CD">
        <w:rPr>
          <w:szCs w:val="24"/>
        </w:rPr>
        <w:t xml:space="preserve"> </w:t>
      </w:r>
    </w:p>
    <w:p w14:paraId="2AF99797" w14:textId="77777777" w:rsidR="00642653" w:rsidRDefault="00642653" w:rsidP="00652C11">
      <w:pPr>
        <w:spacing w:line="480" w:lineRule="auto"/>
        <w:rPr>
          <w:szCs w:val="24"/>
        </w:rPr>
      </w:pPr>
    </w:p>
    <w:p w14:paraId="44393853" w14:textId="77777777" w:rsidR="00642653" w:rsidRPr="00A14AD4" w:rsidRDefault="00642653" w:rsidP="00652C11">
      <w:pPr>
        <w:pStyle w:val="Heading3"/>
        <w:spacing w:line="480" w:lineRule="auto"/>
      </w:pPr>
      <w:r w:rsidRPr="00A14AD4">
        <w:t>2.3</w:t>
      </w:r>
      <w:r>
        <w:t>.</w:t>
      </w:r>
      <w:r w:rsidRPr="00A14AD4">
        <w:t xml:space="preserve"> Data analysis</w:t>
      </w:r>
    </w:p>
    <w:p w14:paraId="15265D66" w14:textId="38A7DBE5" w:rsidR="00D137B0" w:rsidRDefault="00687021" w:rsidP="0098475B">
      <w:pPr>
        <w:spacing w:line="480" w:lineRule="auto"/>
        <w:rPr>
          <w:szCs w:val="24"/>
        </w:rPr>
      </w:pPr>
      <w:r>
        <w:rPr>
          <w:szCs w:val="24"/>
        </w:rPr>
        <w:t>We calculated the p</w:t>
      </w:r>
      <w:r w:rsidR="008F2138">
        <w:rPr>
          <w:szCs w:val="24"/>
        </w:rPr>
        <w:t>ercentage</w:t>
      </w:r>
      <w:r w:rsidR="008F5060">
        <w:rPr>
          <w:szCs w:val="24"/>
        </w:rPr>
        <w:t xml:space="preserve"> overlap between the different </w:t>
      </w:r>
      <w:r w:rsidR="00570395">
        <w:rPr>
          <w:szCs w:val="24"/>
        </w:rPr>
        <w:t xml:space="preserve">conservation area </w:t>
      </w:r>
      <w:r w:rsidR="008F16E5">
        <w:rPr>
          <w:szCs w:val="24"/>
        </w:rPr>
        <w:t xml:space="preserve">categories </w:t>
      </w:r>
      <w:r w:rsidR="006F7651">
        <w:rPr>
          <w:szCs w:val="24"/>
        </w:rPr>
        <w:t>by</w:t>
      </w:r>
      <w:r w:rsidR="00AC5CAB">
        <w:rPr>
          <w:szCs w:val="24"/>
        </w:rPr>
        <w:t xml:space="preserve"> </w:t>
      </w:r>
      <w:r w:rsidR="006F7651">
        <w:rPr>
          <w:szCs w:val="24"/>
        </w:rPr>
        <w:t>converting</w:t>
      </w:r>
      <w:r w:rsidR="00DA23A4">
        <w:rPr>
          <w:szCs w:val="24"/>
        </w:rPr>
        <w:t xml:space="preserve"> the vector file for</w:t>
      </w:r>
      <w:r w:rsidR="006F7651">
        <w:rPr>
          <w:szCs w:val="24"/>
        </w:rPr>
        <w:t xml:space="preserve"> each </w:t>
      </w:r>
      <w:r w:rsidR="00BF6AB9">
        <w:rPr>
          <w:szCs w:val="24"/>
        </w:rPr>
        <w:t>into</w:t>
      </w:r>
      <w:r w:rsidR="006F7651">
        <w:rPr>
          <w:szCs w:val="24"/>
        </w:rPr>
        <w:t xml:space="preserve"> </w:t>
      </w:r>
      <w:r w:rsidR="00374A77">
        <w:rPr>
          <w:szCs w:val="24"/>
        </w:rPr>
        <w:t xml:space="preserve">a </w:t>
      </w:r>
      <w:r w:rsidR="006F7651">
        <w:rPr>
          <w:szCs w:val="24"/>
        </w:rPr>
        <w:t>raster</w:t>
      </w:r>
      <w:r>
        <w:rPr>
          <w:szCs w:val="24"/>
        </w:rPr>
        <w:t xml:space="preserve"> </w:t>
      </w:r>
      <w:r w:rsidR="00374A77">
        <w:rPr>
          <w:szCs w:val="24"/>
        </w:rPr>
        <w:t xml:space="preserve">format </w:t>
      </w:r>
      <w:r>
        <w:rPr>
          <w:szCs w:val="24"/>
        </w:rPr>
        <w:t>with</w:t>
      </w:r>
      <w:r w:rsidRPr="00687021">
        <w:rPr>
          <w:szCs w:val="24"/>
        </w:rPr>
        <w:t xml:space="preserve"> </w:t>
      </w:r>
      <w:r>
        <w:rPr>
          <w:szCs w:val="24"/>
        </w:rPr>
        <w:t>a</w:t>
      </w:r>
      <w:r w:rsidR="00374A77">
        <w:rPr>
          <w:szCs w:val="24"/>
        </w:rPr>
        <w:t>n</w:t>
      </w:r>
      <w:r>
        <w:rPr>
          <w:szCs w:val="24"/>
        </w:rPr>
        <w:t xml:space="preserve"> 80 m resolution</w:t>
      </w:r>
      <w:r w:rsidR="007D5F7A">
        <w:rPr>
          <w:szCs w:val="24"/>
        </w:rPr>
        <w:t>,</w:t>
      </w:r>
      <w:r w:rsidR="0098475B">
        <w:rPr>
          <w:szCs w:val="24"/>
        </w:rPr>
        <w:t xml:space="preserve"> </w:t>
      </w:r>
      <w:r w:rsidR="007D5F7A">
        <w:rPr>
          <w:szCs w:val="24"/>
        </w:rPr>
        <w:t>and using</w:t>
      </w:r>
      <w:r w:rsidR="006F7651">
        <w:rPr>
          <w:szCs w:val="24"/>
        </w:rPr>
        <w:t xml:space="preserve"> the Raster Calculator in ArcGIS to </w:t>
      </w:r>
      <w:r w:rsidR="0098475B">
        <w:rPr>
          <w:szCs w:val="24"/>
        </w:rPr>
        <w:t>identify</w:t>
      </w:r>
      <w:r w:rsidR="006F7651">
        <w:rPr>
          <w:szCs w:val="24"/>
        </w:rPr>
        <w:t xml:space="preserve"> each combination of </w:t>
      </w:r>
      <w:r w:rsidR="008F16E5">
        <w:rPr>
          <w:szCs w:val="24"/>
        </w:rPr>
        <w:t>categories</w:t>
      </w:r>
      <w:r w:rsidR="006F7651">
        <w:rPr>
          <w:szCs w:val="24"/>
        </w:rPr>
        <w:t xml:space="preserve">. </w:t>
      </w:r>
      <w:r w:rsidR="008F16E5">
        <w:rPr>
          <w:szCs w:val="24"/>
        </w:rPr>
        <w:t xml:space="preserve">Given the overlap between the </w:t>
      </w:r>
      <w:r w:rsidR="00570395">
        <w:rPr>
          <w:szCs w:val="24"/>
        </w:rPr>
        <w:t xml:space="preserve">conservation area </w:t>
      </w:r>
      <w:r w:rsidR="008F16E5">
        <w:rPr>
          <w:szCs w:val="24"/>
        </w:rPr>
        <w:t>categories, t</w:t>
      </w:r>
      <w:r w:rsidR="006F7651">
        <w:rPr>
          <w:szCs w:val="24"/>
        </w:rPr>
        <w:t xml:space="preserve">here were </w:t>
      </w:r>
      <w:r w:rsidR="00996A8C">
        <w:rPr>
          <w:szCs w:val="24"/>
        </w:rPr>
        <w:t xml:space="preserve">15 </w:t>
      </w:r>
      <w:r w:rsidR="006F7651">
        <w:rPr>
          <w:szCs w:val="24"/>
        </w:rPr>
        <w:t>combinations</w:t>
      </w:r>
      <w:r w:rsidR="00115189">
        <w:rPr>
          <w:szCs w:val="24"/>
        </w:rPr>
        <w:t xml:space="preserve"> (e.g. </w:t>
      </w:r>
      <w:r w:rsidR="0008291C">
        <w:rPr>
          <w:szCs w:val="24"/>
        </w:rPr>
        <w:t xml:space="preserve">PA </w:t>
      </w:r>
      <w:r w:rsidR="00115189">
        <w:rPr>
          <w:szCs w:val="24"/>
        </w:rPr>
        <w:t>+</w:t>
      </w:r>
      <w:r w:rsidR="00E52F76">
        <w:rPr>
          <w:szCs w:val="24"/>
        </w:rPr>
        <w:t xml:space="preserve"> </w:t>
      </w:r>
      <w:r w:rsidR="00115189">
        <w:rPr>
          <w:szCs w:val="24"/>
        </w:rPr>
        <w:t xml:space="preserve">Type 1 </w:t>
      </w:r>
      <w:r w:rsidR="00115189">
        <w:rPr>
          <w:szCs w:val="24"/>
        </w:rPr>
        <w:lastRenderedPageBreak/>
        <w:t>LSCI)</w:t>
      </w:r>
      <w:r w:rsidR="0057682C">
        <w:rPr>
          <w:szCs w:val="24"/>
        </w:rPr>
        <w:t>, which were</w:t>
      </w:r>
      <w:r w:rsidR="008F5060">
        <w:rPr>
          <w:szCs w:val="24"/>
        </w:rPr>
        <w:t xml:space="preserve"> reclassified </w:t>
      </w:r>
      <w:r w:rsidR="0098475B">
        <w:rPr>
          <w:szCs w:val="24"/>
        </w:rPr>
        <w:t xml:space="preserve">to the category that gave most weight to conservation </w:t>
      </w:r>
      <w:r w:rsidR="008F5060">
        <w:rPr>
          <w:szCs w:val="24"/>
        </w:rPr>
        <w:t>based on the hierarchy described above</w:t>
      </w:r>
      <w:r w:rsidR="006A46A2">
        <w:rPr>
          <w:szCs w:val="24"/>
        </w:rPr>
        <w:t xml:space="preserve"> and in Table 1</w:t>
      </w:r>
      <w:r w:rsidR="006F7651">
        <w:rPr>
          <w:szCs w:val="24"/>
        </w:rPr>
        <w:t>.</w:t>
      </w:r>
    </w:p>
    <w:p w14:paraId="719FE0E5" w14:textId="77777777" w:rsidR="00B5121C" w:rsidRDefault="00B5121C" w:rsidP="00652C11">
      <w:pPr>
        <w:spacing w:line="480" w:lineRule="auto"/>
        <w:rPr>
          <w:szCs w:val="24"/>
        </w:rPr>
      </w:pPr>
    </w:p>
    <w:p w14:paraId="558179B5" w14:textId="630DD917" w:rsidR="003F660A" w:rsidRDefault="001A30B0" w:rsidP="00C825F4">
      <w:pPr>
        <w:spacing w:line="480" w:lineRule="auto"/>
        <w:rPr>
          <w:szCs w:val="24"/>
        </w:rPr>
      </w:pPr>
      <w:r>
        <w:rPr>
          <w:szCs w:val="24"/>
        </w:rPr>
        <w:t xml:space="preserve">We used </w:t>
      </w:r>
      <w:r w:rsidR="00B5121C">
        <w:rPr>
          <w:szCs w:val="24"/>
        </w:rPr>
        <w:t>ArcGIS</w:t>
      </w:r>
      <w:r>
        <w:rPr>
          <w:szCs w:val="24"/>
        </w:rPr>
        <w:t xml:space="preserve"> </w:t>
      </w:r>
      <w:r w:rsidR="00B5121C">
        <w:rPr>
          <w:szCs w:val="24"/>
        </w:rPr>
        <w:t xml:space="preserve">to </w:t>
      </w:r>
      <w:r w:rsidR="00B52285">
        <w:rPr>
          <w:szCs w:val="24"/>
        </w:rPr>
        <w:t xml:space="preserve">determine the characteristics of these different management </w:t>
      </w:r>
      <w:r w:rsidR="00301E1D">
        <w:rPr>
          <w:szCs w:val="24"/>
        </w:rPr>
        <w:t xml:space="preserve">categories </w:t>
      </w:r>
      <w:r w:rsidR="00BA7016">
        <w:rPr>
          <w:szCs w:val="24"/>
        </w:rPr>
        <w:t>based on the</w:t>
      </w:r>
      <w:r w:rsidR="00B52285">
        <w:rPr>
          <w:szCs w:val="24"/>
        </w:rPr>
        <w:t xml:space="preserve"> elevation, slope and remoteness </w:t>
      </w:r>
      <w:r w:rsidR="00CD3FEA">
        <w:rPr>
          <w:szCs w:val="24"/>
        </w:rPr>
        <w:t>layer</w:t>
      </w:r>
      <w:r w:rsidR="00B52285">
        <w:rPr>
          <w:szCs w:val="24"/>
        </w:rPr>
        <w:t>s</w:t>
      </w:r>
      <w:r w:rsidR="008A685F">
        <w:rPr>
          <w:szCs w:val="24"/>
        </w:rPr>
        <w:t>. We did this by</w:t>
      </w:r>
      <w:r w:rsidR="00B52285">
        <w:rPr>
          <w:szCs w:val="24"/>
        </w:rPr>
        <w:t xml:space="preserve"> randomly select</w:t>
      </w:r>
      <w:r w:rsidR="008A685F">
        <w:rPr>
          <w:szCs w:val="24"/>
        </w:rPr>
        <w:t>ing</w:t>
      </w:r>
      <w:r w:rsidR="009D6A5F">
        <w:rPr>
          <w:szCs w:val="24"/>
        </w:rPr>
        <w:t xml:space="preserve"> and extracting data from</w:t>
      </w:r>
      <w:r w:rsidR="008A685F">
        <w:rPr>
          <w:szCs w:val="24"/>
        </w:rPr>
        <w:t xml:space="preserve"> </w:t>
      </w:r>
      <w:r w:rsidR="00B52285">
        <w:rPr>
          <w:szCs w:val="24"/>
        </w:rPr>
        <w:t xml:space="preserve">1000 points </w:t>
      </w:r>
      <w:r w:rsidR="008A685F">
        <w:rPr>
          <w:szCs w:val="24"/>
        </w:rPr>
        <w:t>o</w:t>
      </w:r>
      <w:r w:rsidR="00BB3785">
        <w:rPr>
          <w:szCs w:val="24"/>
        </w:rPr>
        <w:t>f</w:t>
      </w:r>
      <w:r w:rsidR="00B52285">
        <w:rPr>
          <w:szCs w:val="24"/>
        </w:rPr>
        <w:t xml:space="preserve"> land be</w:t>
      </w:r>
      <w:r w:rsidR="00D443BD">
        <w:rPr>
          <w:szCs w:val="24"/>
        </w:rPr>
        <w:t xml:space="preserve">longing to each management </w:t>
      </w:r>
      <w:r w:rsidR="00301E1D">
        <w:rPr>
          <w:szCs w:val="24"/>
        </w:rPr>
        <w:t>category</w:t>
      </w:r>
      <w:r w:rsidR="00301E1D">
        <w:rPr>
          <w:szCs w:val="24"/>
          <w:lang w:bidi="he-IL"/>
        </w:rPr>
        <w:t xml:space="preserve"> </w:t>
      </w:r>
      <w:r w:rsidR="00D443BD">
        <w:rPr>
          <w:szCs w:val="24"/>
          <w:lang w:bidi="he-IL"/>
        </w:rPr>
        <w:t>(i.e. PAs, Type 1</w:t>
      </w:r>
      <w:r>
        <w:rPr>
          <w:szCs w:val="24"/>
          <w:lang w:bidi="he-IL"/>
        </w:rPr>
        <w:t xml:space="preserve"> LSCIs, Type </w:t>
      </w:r>
      <w:r w:rsidR="00D443BD">
        <w:rPr>
          <w:szCs w:val="24"/>
          <w:lang w:bidi="he-IL"/>
        </w:rPr>
        <w:t xml:space="preserve">2 </w:t>
      </w:r>
      <w:r w:rsidR="00F47067">
        <w:rPr>
          <w:szCs w:val="24"/>
          <w:lang w:bidi="he-IL"/>
        </w:rPr>
        <w:t>LSCIs</w:t>
      </w:r>
      <w:r w:rsidR="00687021">
        <w:rPr>
          <w:szCs w:val="24"/>
          <w:lang w:bidi="he-IL"/>
        </w:rPr>
        <w:t xml:space="preserve"> and </w:t>
      </w:r>
      <w:r w:rsidR="00D443BD">
        <w:rPr>
          <w:szCs w:val="24"/>
          <w:lang w:bidi="he-IL"/>
        </w:rPr>
        <w:t>IPAs</w:t>
      </w:r>
      <w:r w:rsidR="009D6A5F">
        <w:rPr>
          <w:szCs w:val="24"/>
          <w:lang w:bidi="he-IL"/>
        </w:rPr>
        <w:t>)</w:t>
      </w:r>
      <w:r w:rsidR="00D443BD">
        <w:rPr>
          <w:szCs w:val="24"/>
          <w:lang w:bidi="he-IL"/>
        </w:rPr>
        <w:t xml:space="preserve"> and</w:t>
      </w:r>
      <w:r w:rsidR="009D6A5F">
        <w:rPr>
          <w:szCs w:val="24"/>
          <w:lang w:bidi="he-IL"/>
        </w:rPr>
        <w:t xml:space="preserve"> land not within a conservation area</w:t>
      </w:r>
      <w:r w:rsidR="00B52285">
        <w:rPr>
          <w:szCs w:val="24"/>
        </w:rPr>
        <w:t>. This helped ensure our sampling points were spatially independent</w:t>
      </w:r>
      <w:r w:rsidR="00E0544D">
        <w:rPr>
          <w:szCs w:val="24"/>
        </w:rPr>
        <w:t xml:space="preserve"> and </w:t>
      </w:r>
      <w:r w:rsidR="009F61DE">
        <w:rPr>
          <w:szCs w:val="24"/>
        </w:rPr>
        <w:t>also avoid</w:t>
      </w:r>
      <w:r w:rsidR="00E0544D">
        <w:rPr>
          <w:szCs w:val="24"/>
        </w:rPr>
        <w:t xml:space="preserve">ed identifying statistically significant but </w:t>
      </w:r>
      <w:r w:rsidR="002E7983">
        <w:rPr>
          <w:szCs w:val="24"/>
        </w:rPr>
        <w:t>negligible</w:t>
      </w:r>
      <w:r w:rsidR="00E0544D">
        <w:rPr>
          <w:szCs w:val="24"/>
        </w:rPr>
        <w:t xml:space="preserve"> </w:t>
      </w:r>
      <w:r w:rsidR="002E7983">
        <w:rPr>
          <w:szCs w:val="24"/>
        </w:rPr>
        <w:t>differences because of the large sample size</w:t>
      </w:r>
      <w:r w:rsidR="00B52285">
        <w:rPr>
          <w:szCs w:val="24"/>
        </w:rPr>
        <w:t>. We then used</w:t>
      </w:r>
      <w:r w:rsidR="009D6A5F">
        <w:rPr>
          <w:szCs w:val="24"/>
        </w:rPr>
        <w:t xml:space="preserve"> non-parametric</w:t>
      </w:r>
      <w:r w:rsidR="00B52285">
        <w:rPr>
          <w:szCs w:val="24"/>
        </w:rPr>
        <w:t xml:space="preserve"> </w:t>
      </w:r>
      <w:r w:rsidR="00B52285" w:rsidRPr="004E28E9">
        <w:rPr>
          <w:szCs w:val="24"/>
        </w:rPr>
        <w:t xml:space="preserve">Kruskal–Wallis </w:t>
      </w:r>
      <w:r w:rsidR="00B52285">
        <w:rPr>
          <w:szCs w:val="24"/>
        </w:rPr>
        <w:t>rank tests</w:t>
      </w:r>
      <w:r w:rsidR="00E74454">
        <w:rPr>
          <w:szCs w:val="24"/>
        </w:rPr>
        <w:t xml:space="preserve"> and</w:t>
      </w:r>
      <w:r w:rsidR="00D443BD">
        <w:rPr>
          <w:szCs w:val="24"/>
        </w:rPr>
        <w:t xml:space="preserve"> </w:t>
      </w:r>
      <w:r w:rsidR="00E74454" w:rsidRPr="00E02719">
        <w:rPr>
          <w:i/>
          <w:szCs w:val="24"/>
        </w:rPr>
        <w:t>post-hoc</w:t>
      </w:r>
      <w:r w:rsidR="00E74454">
        <w:rPr>
          <w:szCs w:val="24"/>
        </w:rPr>
        <w:t xml:space="preserve"> pairwise Wilcoxon rank test</w:t>
      </w:r>
      <w:r>
        <w:rPr>
          <w:szCs w:val="24"/>
        </w:rPr>
        <w:t>s</w:t>
      </w:r>
      <w:r w:rsidR="00E74454">
        <w:rPr>
          <w:szCs w:val="24"/>
        </w:rPr>
        <w:t xml:space="preserve"> with a Bonferroni correction </w:t>
      </w:r>
      <w:r w:rsidR="00B52285">
        <w:rPr>
          <w:szCs w:val="24"/>
        </w:rPr>
        <w:t>to explore differen</w:t>
      </w:r>
      <w:r w:rsidR="00D443BD">
        <w:rPr>
          <w:szCs w:val="24"/>
        </w:rPr>
        <w:t xml:space="preserve">ces between the management </w:t>
      </w:r>
      <w:r w:rsidR="00301E1D">
        <w:rPr>
          <w:szCs w:val="24"/>
        </w:rPr>
        <w:t>categories</w:t>
      </w:r>
      <w:r w:rsidR="00B52285">
        <w:rPr>
          <w:szCs w:val="24"/>
        </w:rPr>
        <w:t>, since homogeneity of variance and normality assumptions were not met.</w:t>
      </w:r>
      <w:r w:rsidR="00997A63">
        <w:rPr>
          <w:szCs w:val="24"/>
        </w:rPr>
        <w:t xml:space="preserve"> </w:t>
      </w:r>
      <w:r w:rsidR="00100EFC">
        <w:rPr>
          <w:szCs w:val="24"/>
        </w:rPr>
        <w:t>This</w:t>
      </w:r>
      <w:r w:rsidR="00301E1D">
        <w:rPr>
          <w:szCs w:val="24"/>
        </w:rPr>
        <w:t xml:space="preserve"> random sampling </w:t>
      </w:r>
      <w:r w:rsidR="00884D9E">
        <w:rPr>
          <w:szCs w:val="24"/>
        </w:rPr>
        <w:t xml:space="preserve">with replacement </w:t>
      </w:r>
      <w:r w:rsidR="00301E1D">
        <w:rPr>
          <w:szCs w:val="24"/>
        </w:rPr>
        <w:t xml:space="preserve">of 1000 locations was </w:t>
      </w:r>
      <w:r w:rsidR="00B52285" w:rsidRPr="00FD1326">
        <w:rPr>
          <w:szCs w:val="24"/>
        </w:rPr>
        <w:t>repeated ten times for each environmental variable</w:t>
      </w:r>
      <w:r w:rsidR="00301E1D">
        <w:rPr>
          <w:szCs w:val="24"/>
        </w:rPr>
        <w:t xml:space="preserve"> and </w:t>
      </w:r>
      <w:r w:rsidR="00100EFC">
        <w:rPr>
          <w:szCs w:val="24"/>
        </w:rPr>
        <w:t>the data were analysed using</w:t>
      </w:r>
      <w:r w:rsidR="00C10922">
        <w:rPr>
          <w:szCs w:val="24"/>
        </w:rPr>
        <w:t xml:space="preserve"> </w:t>
      </w:r>
      <w:r w:rsidR="00C10922" w:rsidRPr="00A92FB6">
        <w:rPr>
          <w:szCs w:val="24"/>
        </w:rPr>
        <w:t>R.2.12.2 (R Development</w:t>
      </w:r>
      <w:r w:rsidR="00C10922">
        <w:rPr>
          <w:szCs w:val="24"/>
        </w:rPr>
        <w:t xml:space="preserve"> </w:t>
      </w:r>
      <w:r w:rsidR="00C10922" w:rsidRPr="00A92FB6">
        <w:rPr>
          <w:szCs w:val="24"/>
        </w:rPr>
        <w:t>Core Team 2007)</w:t>
      </w:r>
      <w:r w:rsidR="00C10922">
        <w:rPr>
          <w:szCs w:val="24"/>
        </w:rPr>
        <w:t>.</w:t>
      </w:r>
      <w:r w:rsidR="0080446C">
        <w:rPr>
          <w:szCs w:val="24"/>
        </w:rPr>
        <w:t xml:space="preserve"> To provide an overview</w:t>
      </w:r>
      <w:r w:rsidR="00213E4B">
        <w:rPr>
          <w:szCs w:val="24"/>
        </w:rPr>
        <w:t>,</w:t>
      </w:r>
      <w:r w:rsidR="0080446C">
        <w:rPr>
          <w:szCs w:val="24"/>
        </w:rPr>
        <w:t xml:space="preserve"> we </w:t>
      </w:r>
      <w:r w:rsidR="009B614A">
        <w:rPr>
          <w:szCs w:val="24"/>
        </w:rPr>
        <w:t>also reclassified the</w:t>
      </w:r>
      <w:r w:rsidR="001C6DA1">
        <w:rPr>
          <w:szCs w:val="24"/>
        </w:rPr>
        <w:t xml:space="preserve"> elevation,</w:t>
      </w:r>
      <w:r w:rsidR="009B614A">
        <w:rPr>
          <w:szCs w:val="24"/>
        </w:rPr>
        <w:t xml:space="preserve"> </w:t>
      </w:r>
      <w:r w:rsidR="0080446C">
        <w:rPr>
          <w:szCs w:val="24"/>
        </w:rPr>
        <w:t xml:space="preserve">traffic node </w:t>
      </w:r>
      <w:r w:rsidR="008C1387">
        <w:rPr>
          <w:szCs w:val="24"/>
        </w:rPr>
        <w:t xml:space="preserve">distance </w:t>
      </w:r>
      <w:r w:rsidR="0080446C">
        <w:rPr>
          <w:szCs w:val="24"/>
        </w:rPr>
        <w:t xml:space="preserve">and </w:t>
      </w:r>
      <w:r w:rsidR="009B614A">
        <w:rPr>
          <w:szCs w:val="24"/>
        </w:rPr>
        <w:t xml:space="preserve">slope layers into </w:t>
      </w:r>
      <w:r w:rsidR="001C6DA1">
        <w:rPr>
          <w:szCs w:val="24"/>
        </w:rPr>
        <w:t xml:space="preserve">classes. We then </w:t>
      </w:r>
      <w:r w:rsidR="009B614A">
        <w:rPr>
          <w:szCs w:val="24"/>
        </w:rPr>
        <w:t xml:space="preserve">calculated </w:t>
      </w:r>
      <w:r w:rsidR="001C6DA1">
        <w:rPr>
          <w:szCs w:val="24"/>
        </w:rPr>
        <w:t xml:space="preserve">for each conservation management category </w:t>
      </w:r>
      <w:r w:rsidR="009B614A">
        <w:rPr>
          <w:szCs w:val="24"/>
        </w:rPr>
        <w:t xml:space="preserve">the </w:t>
      </w:r>
      <w:r w:rsidR="008C1387">
        <w:rPr>
          <w:szCs w:val="24"/>
        </w:rPr>
        <w:t>proportion</w:t>
      </w:r>
      <w:r w:rsidR="009B614A">
        <w:rPr>
          <w:szCs w:val="24"/>
        </w:rPr>
        <w:t xml:space="preserve"> of </w:t>
      </w:r>
      <w:r w:rsidR="001C6DA1">
        <w:rPr>
          <w:szCs w:val="24"/>
        </w:rPr>
        <w:t xml:space="preserve">land that fell within </w:t>
      </w:r>
      <w:r w:rsidR="00264FCB">
        <w:rPr>
          <w:szCs w:val="24"/>
        </w:rPr>
        <w:t xml:space="preserve">each </w:t>
      </w:r>
      <w:r w:rsidR="001C6DA1">
        <w:rPr>
          <w:szCs w:val="24"/>
        </w:rPr>
        <w:t xml:space="preserve">class, </w:t>
      </w:r>
      <w:r w:rsidR="00213E4B">
        <w:rPr>
          <w:szCs w:val="24"/>
        </w:rPr>
        <w:t xml:space="preserve">and </w:t>
      </w:r>
      <w:r w:rsidR="009B614A">
        <w:rPr>
          <w:szCs w:val="24"/>
        </w:rPr>
        <w:t xml:space="preserve">compared </w:t>
      </w:r>
      <w:r w:rsidR="00264FCB">
        <w:rPr>
          <w:szCs w:val="24"/>
        </w:rPr>
        <w:t>this</w:t>
      </w:r>
      <w:r w:rsidR="009B614A">
        <w:rPr>
          <w:szCs w:val="24"/>
        </w:rPr>
        <w:t xml:space="preserve"> to the </w:t>
      </w:r>
      <w:r w:rsidR="003F660A">
        <w:rPr>
          <w:szCs w:val="24"/>
        </w:rPr>
        <w:t xml:space="preserve">overall land that fell in each class of </w:t>
      </w:r>
      <w:r w:rsidR="003F660A" w:rsidRPr="003F660A">
        <w:rPr>
          <w:szCs w:val="24"/>
        </w:rPr>
        <w:t xml:space="preserve">elevation, traffic node distance and slope </w:t>
      </w:r>
      <w:r w:rsidR="003F660A">
        <w:rPr>
          <w:szCs w:val="24"/>
        </w:rPr>
        <w:t>across England (</w:t>
      </w:r>
      <w:r w:rsidR="00C825F4">
        <w:rPr>
          <w:szCs w:val="24"/>
        </w:rPr>
        <w:t xml:space="preserve">following </w:t>
      </w:r>
      <w:r w:rsidR="00C825F4" w:rsidRPr="00C825F4">
        <w:t>Eigenbrod</w:t>
      </w:r>
      <w:r w:rsidR="00C825F4">
        <w:rPr>
          <w:szCs w:val="24"/>
        </w:rPr>
        <w:t xml:space="preserve"> et al. 2009;  </w:t>
      </w:r>
      <w:r w:rsidR="003F660A">
        <w:rPr>
          <w:szCs w:val="24"/>
        </w:rPr>
        <w:t xml:space="preserve">see Table S3 for more details). </w:t>
      </w:r>
    </w:p>
    <w:p w14:paraId="14ED0F12" w14:textId="77777777" w:rsidR="003F660A" w:rsidRDefault="003F660A" w:rsidP="00213E4B">
      <w:pPr>
        <w:spacing w:line="480" w:lineRule="auto"/>
        <w:rPr>
          <w:szCs w:val="24"/>
        </w:rPr>
      </w:pPr>
    </w:p>
    <w:p w14:paraId="67783553" w14:textId="2CED39B0" w:rsidR="007C588A" w:rsidRDefault="0092148A" w:rsidP="00301E1D">
      <w:pPr>
        <w:spacing w:line="480" w:lineRule="auto"/>
        <w:rPr>
          <w:szCs w:val="24"/>
        </w:rPr>
      </w:pPr>
      <w:r>
        <w:rPr>
          <w:szCs w:val="24"/>
        </w:rPr>
        <w:t>We conducted a</w:t>
      </w:r>
      <w:r w:rsidR="00115189">
        <w:rPr>
          <w:szCs w:val="24"/>
        </w:rPr>
        <w:t xml:space="preserve"> </w:t>
      </w:r>
      <w:r w:rsidR="00642653">
        <w:rPr>
          <w:szCs w:val="24"/>
        </w:rPr>
        <w:t>gap analysis</w:t>
      </w:r>
      <w:r>
        <w:rPr>
          <w:szCs w:val="24"/>
        </w:rPr>
        <w:t xml:space="preserve"> </w:t>
      </w:r>
      <w:r w:rsidR="00642653">
        <w:rPr>
          <w:szCs w:val="24"/>
        </w:rPr>
        <w:t xml:space="preserve">to assess the extent to which </w:t>
      </w:r>
      <w:r w:rsidR="00BA7016">
        <w:rPr>
          <w:szCs w:val="24"/>
        </w:rPr>
        <w:t xml:space="preserve">the </w:t>
      </w:r>
      <w:r w:rsidR="00642653">
        <w:rPr>
          <w:szCs w:val="24"/>
        </w:rPr>
        <w:t>different</w:t>
      </w:r>
      <w:r w:rsidR="00BD6D47">
        <w:rPr>
          <w:szCs w:val="24"/>
        </w:rPr>
        <w:t xml:space="preserve"> conservation management </w:t>
      </w:r>
      <w:r w:rsidR="00301E1D">
        <w:rPr>
          <w:szCs w:val="24"/>
        </w:rPr>
        <w:t xml:space="preserve">category </w:t>
      </w:r>
      <w:r w:rsidR="00BA7016">
        <w:rPr>
          <w:szCs w:val="24"/>
        </w:rPr>
        <w:t>networks represent</w:t>
      </w:r>
      <w:r w:rsidR="008A685F">
        <w:rPr>
          <w:szCs w:val="24"/>
        </w:rPr>
        <w:t xml:space="preserve"> </w:t>
      </w:r>
      <w:r w:rsidR="00D51B07" w:rsidRPr="00D51B07">
        <w:rPr>
          <w:szCs w:val="24"/>
        </w:rPr>
        <w:t>surrogates</w:t>
      </w:r>
      <w:r>
        <w:rPr>
          <w:szCs w:val="24"/>
        </w:rPr>
        <w:t xml:space="preserve"> </w:t>
      </w:r>
      <w:r w:rsidR="00D51B07" w:rsidRPr="00D51B07">
        <w:rPr>
          <w:szCs w:val="24"/>
        </w:rPr>
        <w:t>associated with biogeographic differences in biodiversity</w:t>
      </w:r>
      <w:r w:rsidR="00BA7016">
        <w:rPr>
          <w:szCs w:val="24"/>
        </w:rPr>
        <w:t xml:space="preserve">. </w:t>
      </w:r>
      <w:r w:rsidR="007C588A">
        <w:rPr>
          <w:szCs w:val="24"/>
        </w:rPr>
        <w:t xml:space="preserve">This involved calculating the percentage of each ecoregion, </w:t>
      </w:r>
      <w:r w:rsidR="007C588A">
        <w:rPr>
          <w:szCs w:val="24"/>
        </w:rPr>
        <w:lastRenderedPageBreak/>
        <w:t xml:space="preserve">elevation zone, agricultural land quality </w:t>
      </w:r>
      <w:r w:rsidR="00301E1D">
        <w:rPr>
          <w:szCs w:val="24"/>
        </w:rPr>
        <w:t xml:space="preserve">class </w:t>
      </w:r>
      <w:r w:rsidR="007C588A">
        <w:rPr>
          <w:szCs w:val="24"/>
        </w:rPr>
        <w:t>and land</w:t>
      </w:r>
      <w:r w:rsidR="007E36A5">
        <w:rPr>
          <w:szCs w:val="24"/>
        </w:rPr>
        <w:t>-</w:t>
      </w:r>
      <w:r w:rsidR="007C588A">
        <w:rPr>
          <w:szCs w:val="24"/>
        </w:rPr>
        <w:t xml:space="preserve">cover </w:t>
      </w:r>
      <w:r w:rsidR="00301E1D">
        <w:rPr>
          <w:szCs w:val="24"/>
        </w:rPr>
        <w:t xml:space="preserve">class </w:t>
      </w:r>
      <w:r w:rsidR="007C588A">
        <w:rPr>
          <w:szCs w:val="24"/>
        </w:rPr>
        <w:t xml:space="preserve">under each conservation management </w:t>
      </w:r>
      <w:r w:rsidR="00301E1D">
        <w:rPr>
          <w:szCs w:val="24"/>
        </w:rPr>
        <w:t>category</w:t>
      </w:r>
      <w:r w:rsidR="007C588A">
        <w:rPr>
          <w:szCs w:val="24"/>
        </w:rPr>
        <w:t xml:space="preserve">, based on data extracted using </w:t>
      </w:r>
      <w:r w:rsidR="00236A54">
        <w:rPr>
          <w:szCs w:val="24"/>
        </w:rPr>
        <w:t>the Tabulate Area function in ArcGIS</w:t>
      </w:r>
      <w:r w:rsidR="00642653" w:rsidRPr="006B5685">
        <w:rPr>
          <w:szCs w:val="24"/>
        </w:rPr>
        <w:t>.</w:t>
      </w:r>
    </w:p>
    <w:p w14:paraId="2018184C" w14:textId="77777777" w:rsidR="007C588A" w:rsidRDefault="007C588A" w:rsidP="00652C11">
      <w:pPr>
        <w:spacing w:line="480" w:lineRule="auto"/>
        <w:rPr>
          <w:szCs w:val="24"/>
        </w:rPr>
      </w:pPr>
    </w:p>
    <w:p w14:paraId="40461DBB" w14:textId="059F3014" w:rsidR="00B254D9" w:rsidRDefault="008A685F" w:rsidP="00884D9E">
      <w:pPr>
        <w:spacing w:line="480" w:lineRule="auto"/>
        <w:rPr>
          <w:szCs w:val="24"/>
        </w:rPr>
      </w:pPr>
      <w:r>
        <w:rPr>
          <w:szCs w:val="24"/>
        </w:rPr>
        <w:t xml:space="preserve">Finally, we </w:t>
      </w:r>
      <w:r w:rsidR="00C10922">
        <w:rPr>
          <w:szCs w:val="24"/>
        </w:rPr>
        <w:t>calculated the</w:t>
      </w:r>
      <w:r w:rsidR="00BA4DC6">
        <w:rPr>
          <w:szCs w:val="24"/>
        </w:rPr>
        <w:t xml:space="preserve"> protection</w:t>
      </w:r>
      <w:r w:rsidR="00C10922">
        <w:rPr>
          <w:szCs w:val="24"/>
        </w:rPr>
        <w:t xml:space="preserve"> equality scores for the conservation area networks</w:t>
      </w:r>
      <w:r w:rsidR="000D3ABC">
        <w:rPr>
          <w:szCs w:val="24"/>
        </w:rPr>
        <w:t>. This</w:t>
      </w:r>
      <w:r w:rsidR="000A0C9B">
        <w:rPr>
          <w:szCs w:val="24"/>
        </w:rPr>
        <w:t xml:space="preserve"> approach </w:t>
      </w:r>
      <w:r w:rsidR="000D3ABC">
        <w:rPr>
          <w:szCs w:val="24"/>
        </w:rPr>
        <w:t xml:space="preserve">is </w:t>
      </w:r>
      <w:r w:rsidR="000A0C9B">
        <w:rPr>
          <w:szCs w:val="24"/>
        </w:rPr>
        <w:t>based on the Gini coefficient (</w:t>
      </w:r>
      <w:r w:rsidR="00BA4DC6" w:rsidRPr="00BA4DC6">
        <w:t>Barr et al., 2011)</w:t>
      </w:r>
      <w:r w:rsidR="000A0C9B">
        <w:t>,</w:t>
      </w:r>
      <w:r w:rsidR="00C10922">
        <w:rPr>
          <w:szCs w:val="24"/>
        </w:rPr>
        <w:t xml:space="preserve"> </w:t>
      </w:r>
      <w:r w:rsidR="00884D9E">
        <w:rPr>
          <w:szCs w:val="24"/>
        </w:rPr>
        <w:t>and describes</w:t>
      </w:r>
      <w:r w:rsidR="00C10922">
        <w:rPr>
          <w:szCs w:val="24"/>
        </w:rPr>
        <w:t xml:space="preserve"> </w:t>
      </w:r>
      <w:r w:rsidR="000A0C9B">
        <w:rPr>
          <w:szCs w:val="24"/>
        </w:rPr>
        <w:t>how</w:t>
      </w:r>
      <w:r w:rsidR="00C10922">
        <w:rPr>
          <w:szCs w:val="24"/>
        </w:rPr>
        <w:t xml:space="preserve"> cumulatively adding land belonging to the different conservation management </w:t>
      </w:r>
      <w:r w:rsidR="00301E1D">
        <w:rPr>
          <w:szCs w:val="24"/>
        </w:rPr>
        <w:t xml:space="preserve">categories </w:t>
      </w:r>
      <w:r w:rsidR="000A0C9B">
        <w:rPr>
          <w:szCs w:val="24"/>
        </w:rPr>
        <w:t>changes</w:t>
      </w:r>
      <w:r w:rsidR="006559C1">
        <w:rPr>
          <w:szCs w:val="24"/>
        </w:rPr>
        <w:t xml:space="preserve"> the extent to which every ecoregion is protected equally</w:t>
      </w:r>
      <w:r w:rsidR="00C10922">
        <w:rPr>
          <w:szCs w:val="24"/>
        </w:rPr>
        <w:t xml:space="preserve">. </w:t>
      </w:r>
      <w:r w:rsidR="000A0C9B">
        <w:rPr>
          <w:szCs w:val="24"/>
        </w:rPr>
        <w:t>W</w:t>
      </w:r>
      <w:r>
        <w:rPr>
          <w:szCs w:val="24"/>
        </w:rPr>
        <w:t xml:space="preserve">e only used data on </w:t>
      </w:r>
      <w:r w:rsidR="00AC5CAB">
        <w:rPr>
          <w:szCs w:val="24"/>
        </w:rPr>
        <w:t>ecoregion</w:t>
      </w:r>
      <w:r>
        <w:rPr>
          <w:szCs w:val="24"/>
        </w:rPr>
        <w:t xml:space="preserve"> coverage</w:t>
      </w:r>
      <w:r w:rsidR="000A0C9B">
        <w:rPr>
          <w:szCs w:val="24"/>
        </w:rPr>
        <w:t xml:space="preserve"> </w:t>
      </w:r>
      <w:r>
        <w:rPr>
          <w:szCs w:val="24"/>
        </w:rPr>
        <w:t xml:space="preserve">because </w:t>
      </w:r>
      <w:r w:rsidR="00BA4DC6">
        <w:rPr>
          <w:szCs w:val="24"/>
        </w:rPr>
        <w:t xml:space="preserve">protection </w:t>
      </w:r>
      <w:r>
        <w:rPr>
          <w:szCs w:val="24"/>
        </w:rPr>
        <w:t>equality scores are more robust when based on a large number of conservation features</w:t>
      </w:r>
      <w:r w:rsidR="000A0C9B">
        <w:rPr>
          <w:szCs w:val="24"/>
        </w:rPr>
        <w:t>,</w:t>
      </w:r>
      <w:r>
        <w:rPr>
          <w:szCs w:val="24"/>
        </w:rPr>
        <w:t xml:space="preserve"> and because the </w:t>
      </w:r>
      <w:r w:rsidR="00AE610A">
        <w:rPr>
          <w:szCs w:val="24"/>
        </w:rPr>
        <w:t xml:space="preserve">different </w:t>
      </w:r>
      <w:r w:rsidR="00AC5CAB">
        <w:rPr>
          <w:szCs w:val="24"/>
        </w:rPr>
        <w:t>ecoregion</w:t>
      </w:r>
      <w:r w:rsidR="00624E80">
        <w:rPr>
          <w:szCs w:val="24"/>
        </w:rPr>
        <w:t>s</w:t>
      </w:r>
      <w:r w:rsidR="00AC5CAB">
        <w:rPr>
          <w:szCs w:val="24"/>
        </w:rPr>
        <w:t xml:space="preserve"> already </w:t>
      </w:r>
      <w:r w:rsidR="00AE610A">
        <w:rPr>
          <w:szCs w:val="24"/>
        </w:rPr>
        <w:t xml:space="preserve">represent the different </w:t>
      </w:r>
      <w:r>
        <w:rPr>
          <w:szCs w:val="24"/>
        </w:rPr>
        <w:t>elevation zone</w:t>
      </w:r>
      <w:r w:rsidR="00AC5CAB">
        <w:rPr>
          <w:szCs w:val="24"/>
        </w:rPr>
        <w:t>s</w:t>
      </w:r>
      <w:r>
        <w:rPr>
          <w:szCs w:val="24"/>
        </w:rPr>
        <w:t>, land</w:t>
      </w:r>
      <w:r w:rsidR="007E36A5">
        <w:rPr>
          <w:szCs w:val="24"/>
        </w:rPr>
        <w:t>-</w:t>
      </w:r>
      <w:r>
        <w:rPr>
          <w:szCs w:val="24"/>
        </w:rPr>
        <w:t xml:space="preserve">cover </w:t>
      </w:r>
      <w:r w:rsidR="00301E1D">
        <w:rPr>
          <w:szCs w:val="24"/>
        </w:rPr>
        <w:t xml:space="preserve">classes </w:t>
      </w:r>
      <w:r>
        <w:rPr>
          <w:szCs w:val="24"/>
        </w:rPr>
        <w:t xml:space="preserve">and land quality </w:t>
      </w:r>
      <w:r w:rsidR="00301E1D">
        <w:rPr>
          <w:szCs w:val="24"/>
        </w:rPr>
        <w:t xml:space="preserve">classes </w:t>
      </w:r>
      <w:r w:rsidR="00072E47">
        <w:rPr>
          <w:szCs w:val="24"/>
        </w:rPr>
        <w:t xml:space="preserve">(for further information on </w:t>
      </w:r>
      <w:r w:rsidR="00072E47" w:rsidRPr="00072E47">
        <w:rPr>
          <w:szCs w:val="24"/>
        </w:rPr>
        <w:t xml:space="preserve">the </w:t>
      </w:r>
      <w:r w:rsidR="00072E47">
        <w:rPr>
          <w:szCs w:val="24"/>
        </w:rPr>
        <w:t xml:space="preserve">calculation of </w:t>
      </w:r>
      <w:r w:rsidR="00072E47" w:rsidRPr="00072E47">
        <w:rPr>
          <w:szCs w:val="24"/>
        </w:rPr>
        <w:t>protection equality scores</w:t>
      </w:r>
      <w:r w:rsidR="00072E47">
        <w:rPr>
          <w:szCs w:val="24"/>
        </w:rPr>
        <w:t xml:space="preserve"> see text S2). </w:t>
      </w:r>
    </w:p>
    <w:p w14:paraId="4CAA22B7" w14:textId="77777777" w:rsidR="00AE610A" w:rsidRDefault="00AE610A" w:rsidP="00652C11">
      <w:pPr>
        <w:spacing w:line="480" w:lineRule="auto"/>
        <w:rPr>
          <w:szCs w:val="24"/>
        </w:rPr>
      </w:pPr>
    </w:p>
    <w:p w14:paraId="35C48F78" w14:textId="77777777" w:rsidR="00642653" w:rsidRDefault="00642653" w:rsidP="00652C11">
      <w:pPr>
        <w:pStyle w:val="Heading2"/>
        <w:spacing w:line="480" w:lineRule="auto"/>
      </w:pPr>
      <w:r>
        <w:t>3. Results</w:t>
      </w:r>
    </w:p>
    <w:p w14:paraId="50C0CA3B" w14:textId="3AE5E630" w:rsidR="00642653" w:rsidRPr="003E77E3" w:rsidRDefault="00642653" w:rsidP="00652C11">
      <w:pPr>
        <w:pStyle w:val="Heading3"/>
        <w:spacing w:line="480" w:lineRule="auto"/>
      </w:pPr>
      <w:r w:rsidRPr="003E77E3">
        <w:t xml:space="preserve">3.1. Temporal </w:t>
      </w:r>
      <w:r w:rsidR="006E62FA">
        <w:t>changes</w:t>
      </w:r>
      <w:r w:rsidR="00AE7949">
        <w:t xml:space="preserve"> in PA coverage</w:t>
      </w:r>
    </w:p>
    <w:p w14:paraId="0F1B18E5" w14:textId="67863787" w:rsidR="00642653" w:rsidRDefault="00642653" w:rsidP="00884D9E">
      <w:pPr>
        <w:spacing w:line="480" w:lineRule="auto"/>
        <w:rPr>
          <w:szCs w:val="24"/>
        </w:rPr>
      </w:pPr>
      <w:r w:rsidRPr="003E77E3">
        <w:rPr>
          <w:szCs w:val="24"/>
        </w:rPr>
        <w:t xml:space="preserve">The 4335 nationally designated terrestrial </w:t>
      </w:r>
      <w:r w:rsidR="00941E35">
        <w:rPr>
          <w:szCs w:val="24"/>
        </w:rPr>
        <w:t>PAs</w:t>
      </w:r>
      <w:r w:rsidRPr="003E77E3">
        <w:rPr>
          <w:szCs w:val="24"/>
        </w:rPr>
        <w:t xml:space="preserve"> (NNR</w:t>
      </w:r>
      <w:r w:rsidR="0045119D">
        <w:rPr>
          <w:szCs w:val="24"/>
        </w:rPr>
        <w:t>s</w:t>
      </w:r>
      <w:r w:rsidRPr="003E77E3">
        <w:rPr>
          <w:szCs w:val="24"/>
        </w:rPr>
        <w:t xml:space="preserve"> &amp; SSSI</w:t>
      </w:r>
      <w:r w:rsidR="0045119D">
        <w:rPr>
          <w:szCs w:val="24"/>
        </w:rPr>
        <w:t>s</w:t>
      </w:r>
      <w:r w:rsidRPr="003E77E3">
        <w:rPr>
          <w:szCs w:val="24"/>
        </w:rPr>
        <w:t xml:space="preserve">) cover 6.37% </w:t>
      </w:r>
      <w:r w:rsidR="00275972">
        <w:rPr>
          <w:szCs w:val="24"/>
        </w:rPr>
        <w:t>(</w:t>
      </w:r>
      <w:r w:rsidR="00275972" w:rsidRPr="003E77E3">
        <w:rPr>
          <w:szCs w:val="24"/>
        </w:rPr>
        <w:t>8</w:t>
      </w:r>
      <w:r w:rsidR="00275972">
        <w:rPr>
          <w:szCs w:val="24"/>
        </w:rPr>
        <w:t>,</w:t>
      </w:r>
      <w:r w:rsidR="00275972" w:rsidRPr="003E77E3">
        <w:rPr>
          <w:szCs w:val="24"/>
        </w:rPr>
        <w:t>322.4 km</w:t>
      </w:r>
      <w:r w:rsidR="00275972" w:rsidRPr="00D50A40">
        <w:rPr>
          <w:szCs w:val="24"/>
          <w:vertAlign w:val="superscript"/>
        </w:rPr>
        <w:t>2</w:t>
      </w:r>
      <w:r w:rsidR="00275972">
        <w:rPr>
          <w:szCs w:val="24"/>
        </w:rPr>
        <w:t xml:space="preserve">) </w:t>
      </w:r>
      <w:r w:rsidRPr="003E77E3">
        <w:rPr>
          <w:szCs w:val="24"/>
        </w:rPr>
        <w:t>of England’s land surface</w:t>
      </w:r>
      <w:r w:rsidR="005B5FA7">
        <w:rPr>
          <w:szCs w:val="24"/>
        </w:rPr>
        <w:t xml:space="preserve"> (Figure 1)</w:t>
      </w:r>
      <w:r w:rsidR="00E05304">
        <w:rPr>
          <w:szCs w:val="24"/>
        </w:rPr>
        <w:t xml:space="preserve">, </w:t>
      </w:r>
      <w:r w:rsidRPr="003E77E3">
        <w:rPr>
          <w:szCs w:val="24"/>
        </w:rPr>
        <w:t>represent</w:t>
      </w:r>
      <w:r w:rsidR="00FB32FD">
        <w:rPr>
          <w:szCs w:val="24"/>
        </w:rPr>
        <w:t>ing</w:t>
      </w:r>
      <w:r w:rsidRPr="003E77E3">
        <w:rPr>
          <w:szCs w:val="24"/>
        </w:rPr>
        <w:t xml:space="preserve"> an increase of </w:t>
      </w:r>
      <w:r w:rsidR="00614A0D">
        <w:rPr>
          <w:szCs w:val="24"/>
        </w:rPr>
        <w:t xml:space="preserve">83.6 </w:t>
      </w:r>
      <w:r w:rsidR="00614A0D" w:rsidRPr="00D50A40">
        <w:rPr>
          <w:szCs w:val="24"/>
        </w:rPr>
        <w:t>km</w:t>
      </w:r>
      <w:r w:rsidR="00614A0D" w:rsidRPr="00D50A40">
        <w:rPr>
          <w:szCs w:val="24"/>
          <w:vertAlign w:val="superscript"/>
        </w:rPr>
        <w:t>2</w:t>
      </w:r>
      <w:r w:rsidR="00614A0D" w:rsidRPr="00C06EAB">
        <w:rPr>
          <w:szCs w:val="24"/>
        </w:rPr>
        <w:t xml:space="preserve"> </w:t>
      </w:r>
      <w:r w:rsidR="00E05304">
        <w:rPr>
          <w:szCs w:val="24"/>
        </w:rPr>
        <w:t xml:space="preserve">(0.07%) </w:t>
      </w:r>
      <w:r w:rsidR="00614A0D">
        <w:rPr>
          <w:szCs w:val="24"/>
        </w:rPr>
        <w:t xml:space="preserve">since </w:t>
      </w:r>
      <w:r w:rsidR="008F2138">
        <w:rPr>
          <w:szCs w:val="24"/>
        </w:rPr>
        <w:t>2001</w:t>
      </w:r>
      <w:r w:rsidR="00E05304">
        <w:rPr>
          <w:szCs w:val="24"/>
        </w:rPr>
        <w:t xml:space="preserve"> </w:t>
      </w:r>
      <w:r w:rsidR="005B5FA7">
        <w:rPr>
          <w:szCs w:val="24"/>
        </w:rPr>
        <w:t>(Table 1)</w:t>
      </w:r>
      <w:r w:rsidRPr="003E77E3">
        <w:rPr>
          <w:szCs w:val="24"/>
        </w:rPr>
        <w:t>.</w:t>
      </w:r>
      <w:r w:rsidR="0000383D">
        <w:rPr>
          <w:szCs w:val="24"/>
        </w:rPr>
        <w:t xml:space="preserve"> </w:t>
      </w:r>
      <w:r w:rsidR="00884D9E">
        <w:rPr>
          <w:szCs w:val="24"/>
        </w:rPr>
        <w:t xml:space="preserve">The increase </w:t>
      </w:r>
      <w:r w:rsidR="00133612">
        <w:rPr>
          <w:szCs w:val="24"/>
        </w:rPr>
        <w:t xml:space="preserve">had little impact on the </w:t>
      </w:r>
      <w:r>
        <w:rPr>
          <w:szCs w:val="24"/>
        </w:rPr>
        <w:t xml:space="preserve">median </w:t>
      </w:r>
      <w:r w:rsidR="0045119D">
        <w:rPr>
          <w:szCs w:val="24"/>
        </w:rPr>
        <w:t xml:space="preserve">area </w:t>
      </w:r>
      <w:r>
        <w:rPr>
          <w:szCs w:val="24"/>
        </w:rPr>
        <w:t>of individual PAs</w:t>
      </w:r>
      <w:r w:rsidR="00133612">
        <w:rPr>
          <w:szCs w:val="24"/>
        </w:rPr>
        <w:t>, which</w:t>
      </w:r>
      <w:r>
        <w:rPr>
          <w:szCs w:val="24"/>
        </w:rPr>
        <w:t xml:space="preserve"> </w:t>
      </w:r>
      <w:r w:rsidR="00133612">
        <w:rPr>
          <w:szCs w:val="24"/>
        </w:rPr>
        <w:t>at</w:t>
      </w:r>
      <w:r w:rsidR="0045119D">
        <w:rPr>
          <w:szCs w:val="24"/>
        </w:rPr>
        <w:t xml:space="preserve"> 0.17 km</w:t>
      </w:r>
      <w:r w:rsidR="0045119D" w:rsidRPr="00C06EAB">
        <w:rPr>
          <w:szCs w:val="24"/>
          <w:vertAlign w:val="superscript"/>
        </w:rPr>
        <w:t>2</w:t>
      </w:r>
      <w:r w:rsidR="00133612">
        <w:rPr>
          <w:szCs w:val="24"/>
        </w:rPr>
        <w:t xml:space="preserve"> is</w:t>
      </w:r>
      <w:r w:rsidR="0045119D">
        <w:rPr>
          <w:szCs w:val="24"/>
        </w:rPr>
        <w:t xml:space="preserve"> </w:t>
      </w:r>
      <w:r>
        <w:rPr>
          <w:szCs w:val="24"/>
        </w:rPr>
        <w:t>similar</w:t>
      </w:r>
      <w:r w:rsidR="0045119D">
        <w:rPr>
          <w:szCs w:val="24"/>
        </w:rPr>
        <w:t xml:space="preserve"> to</w:t>
      </w:r>
      <w:r>
        <w:rPr>
          <w:szCs w:val="24"/>
        </w:rPr>
        <w:t xml:space="preserve"> </w:t>
      </w:r>
      <w:r w:rsidR="006B17F9">
        <w:rPr>
          <w:szCs w:val="24"/>
        </w:rPr>
        <w:t>that</w:t>
      </w:r>
      <w:r w:rsidR="0045119D">
        <w:rPr>
          <w:szCs w:val="24"/>
        </w:rPr>
        <w:t xml:space="preserve"> </w:t>
      </w:r>
      <w:r>
        <w:rPr>
          <w:szCs w:val="24"/>
        </w:rPr>
        <w:t xml:space="preserve">in </w:t>
      </w:r>
      <w:r w:rsidR="008F2138">
        <w:rPr>
          <w:szCs w:val="24"/>
        </w:rPr>
        <w:t xml:space="preserve">2001 </w:t>
      </w:r>
      <w:r w:rsidR="00687021" w:rsidRPr="00B13796">
        <w:t>(</w:t>
      </w:r>
      <w:r w:rsidR="00687021">
        <w:t>Oldfield</w:t>
      </w:r>
      <w:r w:rsidR="00B13796" w:rsidRPr="00B13796">
        <w:t xml:space="preserve"> et al., 2004)</w:t>
      </w:r>
      <w:r>
        <w:rPr>
          <w:szCs w:val="24"/>
        </w:rPr>
        <w:t>.</w:t>
      </w:r>
      <w:bookmarkStart w:id="1" w:name="OLE_LINK2"/>
      <w:bookmarkStart w:id="2" w:name="OLE_LINK3"/>
      <w:r w:rsidR="00133612">
        <w:rPr>
          <w:szCs w:val="24"/>
        </w:rPr>
        <w:t xml:space="preserve"> </w:t>
      </w:r>
      <w:r w:rsidR="002E7983">
        <w:rPr>
          <w:szCs w:val="24"/>
        </w:rPr>
        <w:t xml:space="preserve">This is because </w:t>
      </w:r>
      <w:r w:rsidR="009F61DE">
        <w:rPr>
          <w:szCs w:val="24"/>
        </w:rPr>
        <w:t xml:space="preserve">82% of the 4111 SSSIs and 46% of the 224 NNRs </w:t>
      </w:r>
      <w:r w:rsidR="002E7983">
        <w:rPr>
          <w:szCs w:val="24"/>
        </w:rPr>
        <w:t>are</w:t>
      </w:r>
      <w:r w:rsidR="009F61DE">
        <w:rPr>
          <w:szCs w:val="24"/>
        </w:rPr>
        <w:t xml:space="preserve"> smaller than 1 km</w:t>
      </w:r>
      <w:r w:rsidR="009F61DE" w:rsidRPr="00C06EAB">
        <w:rPr>
          <w:szCs w:val="24"/>
          <w:vertAlign w:val="superscript"/>
        </w:rPr>
        <w:t>2</w:t>
      </w:r>
      <w:r w:rsidR="009F61DE">
        <w:rPr>
          <w:szCs w:val="24"/>
        </w:rPr>
        <w:t xml:space="preserve">. </w:t>
      </w:r>
      <w:r w:rsidR="00021BF8">
        <w:rPr>
          <w:szCs w:val="24"/>
        </w:rPr>
        <w:t>M</w:t>
      </w:r>
      <w:r w:rsidRPr="00A93A38">
        <w:rPr>
          <w:szCs w:val="24"/>
        </w:rPr>
        <w:t xml:space="preserve">any </w:t>
      </w:r>
      <w:r w:rsidR="006D113F">
        <w:rPr>
          <w:szCs w:val="24"/>
        </w:rPr>
        <w:t>ecoregions</w:t>
      </w:r>
      <w:r w:rsidR="006D113F" w:rsidRPr="00A93A38">
        <w:rPr>
          <w:szCs w:val="24"/>
        </w:rPr>
        <w:t xml:space="preserve"> </w:t>
      </w:r>
      <w:r w:rsidR="0056311E">
        <w:rPr>
          <w:szCs w:val="24"/>
        </w:rPr>
        <w:t xml:space="preserve">are </w:t>
      </w:r>
      <w:r w:rsidRPr="00A93A38">
        <w:rPr>
          <w:szCs w:val="24"/>
        </w:rPr>
        <w:t xml:space="preserve">still </w:t>
      </w:r>
      <w:r w:rsidR="0056311E">
        <w:rPr>
          <w:szCs w:val="24"/>
        </w:rPr>
        <w:t>poorly</w:t>
      </w:r>
      <w:r w:rsidRPr="00A93A38">
        <w:rPr>
          <w:szCs w:val="24"/>
        </w:rPr>
        <w:t xml:space="preserve"> </w:t>
      </w:r>
      <w:r w:rsidR="00076E15">
        <w:rPr>
          <w:szCs w:val="24"/>
        </w:rPr>
        <w:t>represented</w:t>
      </w:r>
      <w:r w:rsidRPr="00A93A38">
        <w:rPr>
          <w:szCs w:val="24"/>
        </w:rPr>
        <w:t>, with 78%</w:t>
      </w:r>
      <w:r w:rsidR="00FA10CD">
        <w:rPr>
          <w:szCs w:val="24"/>
        </w:rPr>
        <w:t xml:space="preserve"> </w:t>
      </w:r>
      <w:r w:rsidR="0077041F">
        <w:rPr>
          <w:szCs w:val="24"/>
        </w:rPr>
        <w:t>of the</w:t>
      </w:r>
      <w:r w:rsidR="00275972">
        <w:rPr>
          <w:szCs w:val="24"/>
        </w:rPr>
        <w:t xml:space="preserve"> 159</w:t>
      </w:r>
      <w:r w:rsidR="0077041F">
        <w:rPr>
          <w:szCs w:val="24"/>
        </w:rPr>
        <w:t xml:space="preserve"> ecoregions </w:t>
      </w:r>
      <w:r w:rsidRPr="00A93A38">
        <w:rPr>
          <w:szCs w:val="24"/>
        </w:rPr>
        <w:t xml:space="preserve">having </w:t>
      </w:r>
      <w:r w:rsidR="005916CB">
        <w:rPr>
          <w:szCs w:val="24"/>
        </w:rPr>
        <w:t>&lt;</w:t>
      </w:r>
      <w:r w:rsidRPr="00A93A38">
        <w:rPr>
          <w:szCs w:val="24"/>
        </w:rPr>
        <w:t xml:space="preserve"> 10% of their area protected by </w:t>
      </w:r>
      <w:r w:rsidR="00FA10CD">
        <w:rPr>
          <w:szCs w:val="24"/>
        </w:rPr>
        <w:t>PAs</w:t>
      </w:r>
      <w:r w:rsidR="00687021">
        <w:rPr>
          <w:szCs w:val="24"/>
        </w:rPr>
        <w:t xml:space="preserve"> </w:t>
      </w:r>
      <w:r>
        <w:rPr>
          <w:szCs w:val="24"/>
        </w:rPr>
        <w:t>(</w:t>
      </w:r>
      <w:r w:rsidR="005B5FA7">
        <w:rPr>
          <w:szCs w:val="24"/>
        </w:rPr>
        <w:t>Figure 2a)</w:t>
      </w:r>
      <w:r w:rsidRPr="00A93A38">
        <w:rPr>
          <w:szCs w:val="24"/>
        </w:rPr>
        <w:t>.</w:t>
      </w:r>
      <w:r>
        <w:rPr>
          <w:szCs w:val="24"/>
        </w:rPr>
        <w:t xml:space="preserve"> </w:t>
      </w:r>
      <w:r w:rsidRPr="004A7114">
        <w:rPr>
          <w:szCs w:val="24"/>
        </w:rPr>
        <w:t xml:space="preserve">Similarly, the percentage of </w:t>
      </w:r>
      <w:r>
        <w:rPr>
          <w:szCs w:val="24"/>
        </w:rPr>
        <w:t>PAs</w:t>
      </w:r>
      <w:r w:rsidRPr="004A7114">
        <w:rPr>
          <w:szCs w:val="24"/>
        </w:rPr>
        <w:t xml:space="preserve"> within the 0-</w:t>
      </w:r>
      <w:r>
        <w:rPr>
          <w:szCs w:val="24"/>
        </w:rPr>
        <w:t xml:space="preserve">200m </w:t>
      </w:r>
      <w:r w:rsidR="00C66FBD">
        <w:rPr>
          <w:szCs w:val="24"/>
        </w:rPr>
        <w:t>elevation zone</w:t>
      </w:r>
      <w:r>
        <w:rPr>
          <w:szCs w:val="24"/>
        </w:rPr>
        <w:t xml:space="preserve"> </w:t>
      </w:r>
      <w:r w:rsidR="005B5FA7">
        <w:rPr>
          <w:szCs w:val="24"/>
        </w:rPr>
        <w:t>(Figure 3a)</w:t>
      </w:r>
      <w:r w:rsidRPr="004A7114">
        <w:rPr>
          <w:szCs w:val="24"/>
        </w:rPr>
        <w:t>, which represent</w:t>
      </w:r>
      <w:r w:rsidR="00C66FBD">
        <w:rPr>
          <w:szCs w:val="24"/>
        </w:rPr>
        <w:t>s</w:t>
      </w:r>
      <w:r w:rsidRPr="004A7114">
        <w:rPr>
          <w:szCs w:val="24"/>
        </w:rPr>
        <w:t xml:space="preserve"> 87% of England’s terrestrial area, </w:t>
      </w:r>
      <w:r w:rsidR="00C66FBD">
        <w:rPr>
          <w:szCs w:val="24"/>
        </w:rPr>
        <w:t>remain</w:t>
      </w:r>
      <w:r w:rsidR="000D6ED2">
        <w:rPr>
          <w:szCs w:val="24"/>
        </w:rPr>
        <w:t>s</w:t>
      </w:r>
      <w:r w:rsidR="00C66FBD">
        <w:rPr>
          <w:szCs w:val="24"/>
        </w:rPr>
        <w:t xml:space="preserve"> unchanged</w:t>
      </w:r>
      <w:r w:rsidR="0092148A">
        <w:rPr>
          <w:szCs w:val="24"/>
        </w:rPr>
        <w:t xml:space="preserve"> since the 200</w:t>
      </w:r>
      <w:r w:rsidR="008F2138">
        <w:rPr>
          <w:szCs w:val="24"/>
        </w:rPr>
        <w:t>1</w:t>
      </w:r>
      <w:r w:rsidR="0092148A">
        <w:rPr>
          <w:szCs w:val="24"/>
        </w:rPr>
        <w:t xml:space="preserve"> analysis</w:t>
      </w:r>
      <w:r w:rsidR="00C66FBD">
        <w:rPr>
          <w:szCs w:val="24"/>
        </w:rPr>
        <w:t xml:space="preserve"> </w:t>
      </w:r>
      <w:r w:rsidR="000E5211">
        <w:rPr>
          <w:szCs w:val="24"/>
        </w:rPr>
        <w:t>at 3.5%</w:t>
      </w:r>
      <w:r w:rsidR="0092148A">
        <w:rPr>
          <w:szCs w:val="24"/>
        </w:rPr>
        <w:t>,</w:t>
      </w:r>
      <w:r>
        <w:rPr>
          <w:szCs w:val="24"/>
        </w:rPr>
        <w:t xml:space="preserve"> </w:t>
      </w:r>
      <w:r w:rsidR="0092148A">
        <w:rPr>
          <w:szCs w:val="24"/>
        </w:rPr>
        <w:t xml:space="preserve">showing </w:t>
      </w:r>
      <w:r>
        <w:rPr>
          <w:szCs w:val="24"/>
        </w:rPr>
        <w:t>a consistent spatial bias</w:t>
      </w:r>
      <w:r w:rsidR="00D57FB2">
        <w:rPr>
          <w:szCs w:val="24"/>
        </w:rPr>
        <w:t xml:space="preserve"> in PAs</w:t>
      </w:r>
      <w:r>
        <w:rPr>
          <w:szCs w:val="24"/>
        </w:rPr>
        <w:t xml:space="preserve"> </w:t>
      </w:r>
      <w:r w:rsidR="007C588A">
        <w:rPr>
          <w:szCs w:val="24"/>
        </w:rPr>
        <w:t xml:space="preserve">towards </w:t>
      </w:r>
      <w:r w:rsidR="00997A63">
        <w:rPr>
          <w:szCs w:val="24"/>
        </w:rPr>
        <w:t>upland</w:t>
      </w:r>
      <w:r w:rsidR="006D113F">
        <w:rPr>
          <w:szCs w:val="24"/>
        </w:rPr>
        <w:t xml:space="preserve"> area</w:t>
      </w:r>
      <w:r>
        <w:rPr>
          <w:szCs w:val="24"/>
        </w:rPr>
        <w:t>s.</w:t>
      </w:r>
    </w:p>
    <w:bookmarkEnd w:id="1"/>
    <w:bookmarkEnd w:id="2"/>
    <w:p w14:paraId="1D96CC68" w14:textId="77777777" w:rsidR="00642653" w:rsidRDefault="00642653" w:rsidP="00652C11">
      <w:pPr>
        <w:spacing w:line="480" w:lineRule="auto"/>
        <w:rPr>
          <w:szCs w:val="24"/>
        </w:rPr>
      </w:pPr>
    </w:p>
    <w:p w14:paraId="3D2C62A3" w14:textId="0CF1E4BA" w:rsidR="00642653" w:rsidRDefault="00642653" w:rsidP="00301E1D">
      <w:pPr>
        <w:pStyle w:val="Heading3"/>
        <w:spacing w:line="480" w:lineRule="auto"/>
      </w:pPr>
      <w:r w:rsidRPr="00791598">
        <w:lastRenderedPageBreak/>
        <w:t xml:space="preserve">3.2. </w:t>
      </w:r>
      <w:r w:rsidR="00B254D9">
        <w:t>Extent and overlap between</w:t>
      </w:r>
      <w:r w:rsidR="00AE7949">
        <w:t xml:space="preserve"> the different conservation management </w:t>
      </w:r>
      <w:r w:rsidR="00100EFC">
        <w:t>categories</w:t>
      </w:r>
    </w:p>
    <w:p w14:paraId="2C6171E5" w14:textId="725D7555" w:rsidR="00B254D9" w:rsidRDefault="00546768" w:rsidP="005B5FA7">
      <w:pPr>
        <w:spacing w:line="480" w:lineRule="auto"/>
        <w:rPr>
          <w:szCs w:val="24"/>
        </w:rPr>
      </w:pPr>
      <w:r>
        <w:rPr>
          <w:szCs w:val="24"/>
        </w:rPr>
        <w:t>L</w:t>
      </w:r>
      <w:r w:rsidR="00B44B43">
        <w:rPr>
          <w:szCs w:val="24"/>
        </w:rPr>
        <w:t xml:space="preserve">and under </w:t>
      </w:r>
      <w:r w:rsidR="00687021">
        <w:rPr>
          <w:szCs w:val="24"/>
        </w:rPr>
        <w:t>LSCIs and IPAs</w:t>
      </w:r>
      <w:r w:rsidR="00B44B43">
        <w:rPr>
          <w:szCs w:val="24"/>
        </w:rPr>
        <w:t xml:space="preserve"> is much larger than </w:t>
      </w:r>
      <w:r w:rsidR="0087290E">
        <w:rPr>
          <w:szCs w:val="24"/>
        </w:rPr>
        <w:t xml:space="preserve">the </w:t>
      </w:r>
      <w:r w:rsidR="00BE1E07">
        <w:rPr>
          <w:szCs w:val="24"/>
        </w:rPr>
        <w:t xml:space="preserve">land dedicated </w:t>
      </w:r>
      <w:r w:rsidR="0092148A">
        <w:rPr>
          <w:szCs w:val="24"/>
        </w:rPr>
        <w:t xml:space="preserve">to </w:t>
      </w:r>
      <w:r w:rsidR="00BE1E07">
        <w:rPr>
          <w:szCs w:val="24"/>
        </w:rPr>
        <w:t>formal PAs</w:t>
      </w:r>
      <w:r w:rsidR="00FA10CD">
        <w:rPr>
          <w:szCs w:val="24"/>
        </w:rPr>
        <w:t xml:space="preserve"> </w:t>
      </w:r>
      <w:r w:rsidR="005B5FA7">
        <w:rPr>
          <w:szCs w:val="24"/>
        </w:rPr>
        <w:t>(Figure 1)</w:t>
      </w:r>
      <w:r w:rsidR="0087290E">
        <w:rPr>
          <w:szCs w:val="24"/>
        </w:rPr>
        <w:t xml:space="preserve">. Adding the </w:t>
      </w:r>
      <w:r w:rsidR="00275972">
        <w:rPr>
          <w:szCs w:val="24"/>
        </w:rPr>
        <w:t>large private</w:t>
      </w:r>
      <w:r w:rsidR="001A1866">
        <w:rPr>
          <w:szCs w:val="24"/>
        </w:rPr>
        <w:t>ly</w:t>
      </w:r>
      <w:r w:rsidR="00275972">
        <w:rPr>
          <w:szCs w:val="24"/>
        </w:rPr>
        <w:t xml:space="preserve"> owned </w:t>
      </w:r>
      <w:r w:rsidR="00133612">
        <w:rPr>
          <w:szCs w:val="24"/>
        </w:rPr>
        <w:t xml:space="preserve">Type 1 </w:t>
      </w:r>
      <w:r w:rsidR="00F47067">
        <w:rPr>
          <w:szCs w:val="24"/>
        </w:rPr>
        <w:t>LSCIs</w:t>
      </w:r>
      <w:r w:rsidR="00133612">
        <w:rPr>
          <w:szCs w:val="24"/>
        </w:rPr>
        <w:t xml:space="preserve"> </w:t>
      </w:r>
      <w:r w:rsidR="00397DBA">
        <w:rPr>
          <w:szCs w:val="24"/>
        </w:rPr>
        <w:t xml:space="preserve">expands </w:t>
      </w:r>
      <w:r w:rsidR="0087290E">
        <w:rPr>
          <w:szCs w:val="24"/>
        </w:rPr>
        <w:t xml:space="preserve">the net coverage </w:t>
      </w:r>
      <w:r w:rsidR="00441458">
        <w:rPr>
          <w:szCs w:val="24"/>
        </w:rPr>
        <w:t>of</w:t>
      </w:r>
      <w:r w:rsidR="0087290E">
        <w:rPr>
          <w:szCs w:val="24"/>
        </w:rPr>
        <w:t xml:space="preserve"> England by </w:t>
      </w:r>
      <w:r w:rsidR="004A3F16">
        <w:rPr>
          <w:szCs w:val="24"/>
        </w:rPr>
        <w:t xml:space="preserve">only </w:t>
      </w:r>
      <w:r w:rsidR="0087290E">
        <w:rPr>
          <w:szCs w:val="24"/>
        </w:rPr>
        <w:t xml:space="preserve">1%, because </w:t>
      </w:r>
      <w:r w:rsidR="00BE1E07">
        <w:rPr>
          <w:szCs w:val="24"/>
        </w:rPr>
        <w:t xml:space="preserve">they cover </w:t>
      </w:r>
      <w:r w:rsidR="005916CB">
        <w:rPr>
          <w:szCs w:val="24"/>
        </w:rPr>
        <w:t>&lt;</w:t>
      </w:r>
      <w:r w:rsidR="00BE1E07">
        <w:rPr>
          <w:szCs w:val="24"/>
        </w:rPr>
        <w:t xml:space="preserve"> 1% of England’s land surface and </w:t>
      </w:r>
      <w:r w:rsidR="0087290E">
        <w:rPr>
          <w:szCs w:val="24"/>
        </w:rPr>
        <w:t xml:space="preserve">37.9% of their area is already </w:t>
      </w:r>
      <w:r w:rsidR="0087290E" w:rsidRPr="00BE1E07">
        <w:rPr>
          <w:szCs w:val="24"/>
        </w:rPr>
        <w:t xml:space="preserve">protected </w:t>
      </w:r>
      <w:r w:rsidR="004F72C2" w:rsidRPr="00BE1E07">
        <w:rPr>
          <w:szCs w:val="24"/>
        </w:rPr>
        <w:t>by PAs</w:t>
      </w:r>
      <w:r w:rsidR="005B5FA7">
        <w:rPr>
          <w:szCs w:val="24"/>
        </w:rPr>
        <w:t xml:space="preserve"> (Table 1)</w:t>
      </w:r>
      <w:r w:rsidR="0087290E">
        <w:rPr>
          <w:szCs w:val="24"/>
        </w:rPr>
        <w:t xml:space="preserve">. However, adding the </w:t>
      </w:r>
      <w:r w:rsidR="00F4250D">
        <w:rPr>
          <w:szCs w:val="24"/>
        </w:rPr>
        <w:t>IPAs</w:t>
      </w:r>
      <w:r w:rsidR="0087290E">
        <w:rPr>
          <w:szCs w:val="24"/>
        </w:rPr>
        <w:t xml:space="preserve"> nearly triples the land under conservation management</w:t>
      </w:r>
      <w:r w:rsidR="00774282">
        <w:rPr>
          <w:szCs w:val="24"/>
        </w:rPr>
        <w:t xml:space="preserve"> from roughly 9</w:t>
      </w:r>
      <w:r w:rsidR="00260081">
        <w:rPr>
          <w:szCs w:val="24"/>
        </w:rPr>
        <w:t>,</w:t>
      </w:r>
      <w:r w:rsidR="00774282">
        <w:rPr>
          <w:szCs w:val="24"/>
        </w:rPr>
        <w:t>000 to 23</w:t>
      </w:r>
      <w:r w:rsidR="00260081">
        <w:rPr>
          <w:szCs w:val="24"/>
        </w:rPr>
        <w:t>,</w:t>
      </w:r>
      <w:r w:rsidR="00774282">
        <w:rPr>
          <w:szCs w:val="24"/>
        </w:rPr>
        <w:t>000 km</w:t>
      </w:r>
      <w:r w:rsidR="00774282">
        <w:rPr>
          <w:szCs w:val="24"/>
          <w:vertAlign w:val="superscript"/>
        </w:rPr>
        <w:t>2</w:t>
      </w:r>
      <w:r w:rsidR="0000383D">
        <w:rPr>
          <w:szCs w:val="24"/>
        </w:rPr>
        <w:t xml:space="preserve">, increasing </w:t>
      </w:r>
      <w:r w:rsidR="00301E1D">
        <w:rPr>
          <w:szCs w:val="24"/>
        </w:rPr>
        <w:t xml:space="preserve">coverage </w:t>
      </w:r>
      <w:r w:rsidR="0000383D">
        <w:rPr>
          <w:szCs w:val="24"/>
        </w:rPr>
        <w:t>to</w:t>
      </w:r>
      <w:r w:rsidR="00774282">
        <w:rPr>
          <w:szCs w:val="24"/>
        </w:rPr>
        <w:t xml:space="preserve"> </w:t>
      </w:r>
      <w:r w:rsidR="0000383D">
        <w:rPr>
          <w:szCs w:val="24"/>
        </w:rPr>
        <w:t>20.5%</w:t>
      </w:r>
      <w:r w:rsidR="00260081">
        <w:rPr>
          <w:szCs w:val="24"/>
        </w:rPr>
        <w:t xml:space="preserve">. </w:t>
      </w:r>
      <w:r w:rsidR="00301E1D">
        <w:rPr>
          <w:szCs w:val="24"/>
        </w:rPr>
        <w:t>A</w:t>
      </w:r>
      <w:r w:rsidR="0000383D">
        <w:rPr>
          <w:szCs w:val="24"/>
        </w:rPr>
        <w:t xml:space="preserve">dding Type 2 </w:t>
      </w:r>
      <w:r w:rsidR="00F47067">
        <w:rPr>
          <w:szCs w:val="24"/>
        </w:rPr>
        <w:t>LSCIs</w:t>
      </w:r>
      <w:r w:rsidR="001A1866">
        <w:rPr>
          <w:szCs w:val="24"/>
        </w:rPr>
        <w:t>, which are managed</w:t>
      </w:r>
      <w:r w:rsidR="001A1866" w:rsidRPr="00943A28">
        <w:rPr>
          <w:szCs w:val="24"/>
        </w:rPr>
        <w:t xml:space="preserve"> by multiple different organisations or individuals,</w:t>
      </w:r>
      <w:r w:rsidR="00016397">
        <w:rPr>
          <w:szCs w:val="24"/>
        </w:rPr>
        <w:t xml:space="preserve"> </w:t>
      </w:r>
      <w:r w:rsidR="00301E1D">
        <w:rPr>
          <w:szCs w:val="24"/>
        </w:rPr>
        <w:t xml:space="preserve">further </w:t>
      </w:r>
      <w:r w:rsidR="0087290E">
        <w:rPr>
          <w:szCs w:val="24"/>
        </w:rPr>
        <w:t>increases th</w:t>
      </w:r>
      <w:r w:rsidR="00880377">
        <w:rPr>
          <w:szCs w:val="24"/>
        </w:rPr>
        <w:t xml:space="preserve">is </w:t>
      </w:r>
      <w:r w:rsidR="0087290E">
        <w:rPr>
          <w:szCs w:val="24"/>
        </w:rPr>
        <w:t xml:space="preserve">coverage to nearly 64% of England’s </w:t>
      </w:r>
      <w:r w:rsidR="002E7983">
        <w:rPr>
          <w:szCs w:val="24"/>
        </w:rPr>
        <w:t xml:space="preserve">terrestrial </w:t>
      </w:r>
      <w:r w:rsidR="0087290E">
        <w:rPr>
          <w:szCs w:val="24"/>
        </w:rPr>
        <w:t>surface</w:t>
      </w:r>
      <w:r w:rsidR="00FA10CD">
        <w:rPr>
          <w:szCs w:val="24"/>
        </w:rPr>
        <w:t xml:space="preserve"> </w:t>
      </w:r>
      <w:r w:rsidR="005B5FA7">
        <w:rPr>
          <w:szCs w:val="24"/>
        </w:rPr>
        <w:t>(Figure 1, Table 1)</w:t>
      </w:r>
      <w:r w:rsidR="00F4250D">
        <w:rPr>
          <w:szCs w:val="24"/>
        </w:rPr>
        <w:t xml:space="preserve">, </w:t>
      </w:r>
      <w:r w:rsidR="005F1F0E">
        <w:rPr>
          <w:szCs w:val="24"/>
        </w:rPr>
        <w:t xml:space="preserve">as </w:t>
      </w:r>
      <w:r w:rsidR="00133612">
        <w:rPr>
          <w:szCs w:val="24"/>
        </w:rPr>
        <w:t xml:space="preserve">76% of the land in these Type 2 </w:t>
      </w:r>
      <w:r w:rsidR="00F47067">
        <w:rPr>
          <w:szCs w:val="24"/>
        </w:rPr>
        <w:t>LSCIs</w:t>
      </w:r>
      <w:r w:rsidR="00133612">
        <w:rPr>
          <w:szCs w:val="24"/>
        </w:rPr>
        <w:t xml:space="preserve"> is not part of a PA or an </w:t>
      </w:r>
      <w:r w:rsidR="00F4250D">
        <w:rPr>
          <w:szCs w:val="24"/>
        </w:rPr>
        <w:t>IPA</w:t>
      </w:r>
      <w:r w:rsidR="002E7983">
        <w:rPr>
          <w:szCs w:val="24"/>
        </w:rPr>
        <w:t xml:space="preserve"> and so </w:t>
      </w:r>
      <w:r w:rsidR="00A47BF7">
        <w:rPr>
          <w:szCs w:val="24"/>
        </w:rPr>
        <w:t xml:space="preserve">it </w:t>
      </w:r>
      <w:r w:rsidR="002E7983">
        <w:rPr>
          <w:szCs w:val="24"/>
        </w:rPr>
        <w:t xml:space="preserve">is </w:t>
      </w:r>
      <w:r w:rsidR="00A47BF7">
        <w:rPr>
          <w:szCs w:val="24"/>
        </w:rPr>
        <w:t xml:space="preserve">only </w:t>
      </w:r>
      <w:r w:rsidR="002E7983">
        <w:rPr>
          <w:szCs w:val="24"/>
        </w:rPr>
        <w:t xml:space="preserve">proposed </w:t>
      </w:r>
      <w:r w:rsidR="002E7983" w:rsidRPr="002E7983">
        <w:rPr>
          <w:szCs w:val="24"/>
        </w:rPr>
        <w:t>to be managed for biodiversity conservation</w:t>
      </w:r>
      <w:r w:rsidR="002E7983">
        <w:rPr>
          <w:szCs w:val="24"/>
        </w:rPr>
        <w:t xml:space="preserve"> </w:t>
      </w:r>
      <w:r w:rsidR="005B5FA7">
        <w:rPr>
          <w:szCs w:val="24"/>
        </w:rPr>
        <w:t>(Figure 1)</w:t>
      </w:r>
      <w:r w:rsidR="0087290E">
        <w:rPr>
          <w:szCs w:val="24"/>
        </w:rPr>
        <w:t>.</w:t>
      </w:r>
    </w:p>
    <w:p w14:paraId="354104E3" w14:textId="77777777" w:rsidR="00B254D9" w:rsidRDefault="00B254D9" w:rsidP="00652C11">
      <w:pPr>
        <w:spacing w:line="480" w:lineRule="auto"/>
        <w:rPr>
          <w:szCs w:val="24"/>
        </w:rPr>
      </w:pPr>
    </w:p>
    <w:p w14:paraId="5202EF1C" w14:textId="6CA0C884" w:rsidR="00B254D9" w:rsidRDefault="00B254D9" w:rsidP="00301E1D">
      <w:pPr>
        <w:pStyle w:val="Heading3"/>
        <w:spacing w:line="480" w:lineRule="auto"/>
      </w:pPr>
      <w:r w:rsidRPr="00791598">
        <w:t>3.</w:t>
      </w:r>
      <w:r>
        <w:t>3</w:t>
      </w:r>
      <w:r w:rsidRPr="00791598">
        <w:t xml:space="preserve">. </w:t>
      </w:r>
      <w:r>
        <w:t xml:space="preserve">Characteristics of the different conservation management </w:t>
      </w:r>
      <w:r w:rsidR="00301E1D">
        <w:t>categories</w:t>
      </w:r>
    </w:p>
    <w:p w14:paraId="6AD0CB2C" w14:textId="7DD73807" w:rsidR="00642653" w:rsidRPr="00593E6C" w:rsidRDefault="00A47BF7" w:rsidP="003A038B">
      <w:pPr>
        <w:spacing w:line="480" w:lineRule="auto"/>
        <w:rPr>
          <w:szCs w:val="24"/>
        </w:rPr>
      </w:pPr>
      <w:r>
        <w:t>A</w:t>
      </w:r>
      <w:r w:rsidR="00184CA7">
        <w:t xml:space="preserve">reas </w:t>
      </w:r>
      <w:r>
        <w:t xml:space="preserve">where conservation </w:t>
      </w:r>
      <w:r w:rsidR="007D5F7A">
        <w:t>objectives</w:t>
      </w:r>
      <w:r>
        <w:t xml:space="preserve"> were prioritised tended to be </w:t>
      </w:r>
      <w:r w:rsidR="00FA10CD">
        <w:rPr>
          <w:szCs w:val="24"/>
        </w:rPr>
        <w:t xml:space="preserve">in upland areas, </w:t>
      </w:r>
      <w:r w:rsidR="007E6334">
        <w:rPr>
          <w:szCs w:val="24"/>
        </w:rPr>
        <w:t xml:space="preserve">on </w:t>
      </w:r>
      <w:r w:rsidR="00774282">
        <w:rPr>
          <w:szCs w:val="24"/>
        </w:rPr>
        <w:t xml:space="preserve">land with </w:t>
      </w:r>
      <w:r w:rsidR="00FA10CD">
        <w:rPr>
          <w:szCs w:val="24"/>
        </w:rPr>
        <w:t xml:space="preserve">lower </w:t>
      </w:r>
      <w:r w:rsidR="00774282">
        <w:rPr>
          <w:szCs w:val="24"/>
        </w:rPr>
        <w:t xml:space="preserve">agriculture </w:t>
      </w:r>
      <w:r w:rsidR="00FA10CD">
        <w:rPr>
          <w:szCs w:val="24"/>
        </w:rPr>
        <w:t>quality and in more remote areas</w:t>
      </w:r>
      <w:r w:rsidR="007D5F7A">
        <w:rPr>
          <w:szCs w:val="24"/>
        </w:rPr>
        <w:t xml:space="preserve">, </w:t>
      </w:r>
      <w:r w:rsidR="007E6334">
        <w:rPr>
          <w:szCs w:val="24"/>
        </w:rPr>
        <w:t xml:space="preserve">e.g. </w:t>
      </w:r>
      <w:r w:rsidR="00FA10CD">
        <w:rPr>
          <w:szCs w:val="24"/>
        </w:rPr>
        <w:t xml:space="preserve">coastal, wetland and montane </w:t>
      </w:r>
      <w:r w:rsidR="00B24DA1">
        <w:rPr>
          <w:szCs w:val="24"/>
        </w:rPr>
        <w:t xml:space="preserve">areas </w:t>
      </w:r>
      <w:r w:rsidR="005B5FA7">
        <w:rPr>
          <w:szCs w:val="24"/>
        </w:rPr>
        <w:t>(Figure 3)</w:t>
      </w:r>
      <w:r w:rsidR="00FA10CD">
        <w:rPr>
          <w:szCs w:val="24"/>
        </w:rPr>
        <w:t xml:space="preserve">. </w:t>
      </w:r>
      <w:r>
        <w:rPr>
          <w:szCs w:val="24"/>
        </w:rPr>
        <w:t xml:space="preserve">A greater proportion of </w:t>
      </w:r>
      <w:r w:rsidR="00AB7710">
        <w:rPr>
          <w:szCs w:val="24"/>
        </w:rPr>
        <w:t xml:space="preserve">PAs and Type 1 </w:t>
      </w:r>
      <w:r w:rsidR="00F47067">
        <w:rPr>
          <w:szCs w:val="24"/>
        </w:rPr>
        <w:t>LSCIs</w:t>
      </w:r>
      <w:r w:rsidR="00AB7710">
        <w:rPr>
          <w:szCs w:val="24"/>
        </w:rPr>
        <w:t xml:space="preserve"> contain</w:t>
      </w:r>
      <w:r>
        <w:rPr>
          <w:szCs w:val="24"/>
        </w:rPr>
        <w:t>ed</w:t>
      </w:r>
      <w:r w:rsidR="00AB7710">
        <w:rPr>
          <w:szCs w:val="24"/>
        </w:rPr>
        <w:t xml:space="preserve"> woodland and semi-natural grasslands</w:t>
      </w:r>
      <w:r w:rsidR="007A433B">
        <w:rPr>
          <w:szCs w:val="24"/>
        </w:rPr>
        <w:t xml:space="preserve"> than </w:t>
      </w:r>
      <w:r w:rsidR="009716A5">
        <w:rPr>
          <w:szCs w:val="24"/>
        </w:rPr>
        <w:t>was the case for Type 2 LSCIs</w:t>
      </w:r>
      <w:r w:rsidR="00AB7710">
        <w:rPr>
          <w:szCs w:val="24"/>
        </w:rPr>
        <w:t xml:space="preserve">. </w:t>
      </w:r>
      <w:r w:rsidR="009716A5">
        <w:rPr>
          <w:szCs w:val="24"/>
        </w:rPr>
        <w:t xml:space="preserve">PAs and Type 1 LSCIs were on average higher, more remote, and steeper, while </w:t>
      </w:r>
      <w:r w:rsidR="007D5F7A">
        <w:rPr>
          <w:szCs w:val="24"/>
        </w:rPr>
        <w:t xml:space="preserve">Type 2 </w:t>
      </w:r>
      <w:r w:rsidR="009716A5">
        <w:rPr>
          <w:szCs w:val="24"/>
        </w:rPr>
        <w:t xml:space="preserve">LSCIs were lower, less remote and flatter </w:t>
      </w:r>
      <w:r w:rsidR="005B5FA7">
        <w:t>(Figure 4</w:t>
      </w:r>
      <w:r w:rsidR="003A038B">
        <w:t>; Table S3</w:t>
      </w:r>
      <w:r w:rsidR="005B5FA7">
        <w:t>)</w:t>
      </w:r>
      <w:r w:rsidR="00184CA7" w:rsidRPr="00593E6C">
        <w:t>.</w:t>
      </w:r>
      <w:r w:rsidR="00AB7710" w:rsidRPr="00593E6C">
        <w:rPr>
          <w:szCs w:val="24"/>
        </w:rPr>
        <w:t xml:space="preserve"> </w:t>
      </w:r>
      <w:r w:rsidR="00F14747" w:rsidRPr="00593E6C">
        <w:rPr>
          <w:szCs w:val="24"/>
        </w:rPr>
        <w:t>T</w:t>
      </w:r>
      <w:r w:rsidR="002A6EDD" w:rsidRPr="00593E6C">
        <w:rPr>
          <w:szCs w:val="24"/>
        </w:rPr>
        <w:t>hese patterns</w:t>
      </w:r>
      <w:r w:rsidR="00F14747" w:rsidRPr="00593E6C">
        <w:rPr>
          <w:szCs w:val="24"/>
        </w:rPr>
        <w:t xml:space="preserve"> </w:t>
      </w:r>
      <w:r w:rsidR="009716A5">
        <w:rPr>
          <w:szCs w:val="24"/>
        </w:rPr>
        <w:t>were</w:t>
      </w:r>
      <w:r w:rsidR="009716A5" w:rsidRPr="00593E6C">
        <w:rPr>
          <w:szCs w:val="24"/>
        </w:rPr>
        <w:t xml:space="preserve"> </w:t>
      </w:r>
      <w:r w:rsidR="00F14747" w:rsidRPr="00593E6C">
        <w:rPr>
          <w:szCs w:val="24"/>
        </w:rPr>
        <w:t>mirrored in the</w:t>
      </w:r>
      <w:r w:rsidR="006D113F" w:rsidRPr="00593E6C">
        <w:rPr>
          <w:szCs w:val="24"/>
        </w:rPr>
        <w:t xml:space="preserve"> </w:t>
      </w:r>
      <w:r w:rsidR="00994547" w:rsidRPr="00593E6C">
        <w:rPr>
          <w:szCs w:val="24"/>
        </w:rPr>
        <w:t>protection equality</w:t>
      </w:r>
      <w:r w:rsidR="00F14747" w:rsidRPr="00593E6C">
        <w:rPr>
          <w:szCs w:val="24"/>
        </w:rPr>
        <w:t xml:space="preserve"> results</w:t>
      </w:r>
      <w:r w:rsidR="007E6334">
        <w:rPr>
          <w:szCs w:val="24"/>
        </w:rPr>
        <w:t>. T</w:t>
      </w:r>
      <w:r w:rsidR="00F14747" w:rsidRPr="00593E6C">
        <w:rPr>
          <w:szCs w:val="24"/>
        </w:rPr>
        <w:t xml:space="preserve">he </w:t>
      </w:r>
      <w:r w:rsidR="00994547" w:rsidRPr="00593E6C">
        <w:rPr>
          <w:szCs w:val="24"/>
        </w:rPr>
        <w:t xml:space="preserve">PA network </w:t>
      </w:r>
      <w:r w:rsidR="00F14747" w:rsidRPr="00593E6C">
        <w:rPr>
          <w:szCs w:val="24"/>
        </w:rPr>
        <w:t xml:space="preserve">on its own </w:t>
      </w:r>
      <w:r w:rsidR="00994547" w:rsidRPr="00593E6C">
        <w:rPr>
          <w:szCs w:val="24"/>
        </w:rPr>
        <w:t xml:space="preserve">had a protection equality score of </w:t>
      </w:r>
      <w:r w:rsidR="00441458" w:rsidRPr="00593E6C">
        <w:rPr>
          <w:szCs w:val="24"/>
        </w:rPr>
        <w:t>32%</w:t>
      </w:r>
      <w:r w:rsidR="00F14747" w:rsidRPr="00593E6C">
        <w:rPr>
          <w:szCs w:val="24"/>
        </w:rPr>
        <w:t>,</w:t>
      </w:r>
      <w:r w:rsidR="006D113F" w:rsidRPr="00593E6C">
        <w:rPr>
          <w:szCs w:val="24"/>
        </w:rPr>
        <w:t xml:space="preserve"> </w:t>
      </w:r>
      <w:r w:rsidR="00994547" w:rsidRPr="00593E6C">
        <w:rPr>
          <w:szCs w:val="24"/>
        </w:rPr>
        <w:t xml:space="preserve">because many </w:t>
      </w:r>
      <w:r w:rsidR="006D113F" w:rsidRPr="00593E6C">
        <w:rPr>
          <w:szCs w:val="24"/>
        </w:rPr>
        <w:t>ecoregions</w:t>
      </w:r>
      <w:r w:rsidR="00994547" w:rsidRPr="00593E6C">
        <w:rPr>
          <w:szCs w:val="24"/>
        </w:rPr>
        <w:t xml:space="preserve"> had negligible levels of protection, </w:t>
      </w:r>
      <w:r w:rsidR="00AB118E" w:rsidRPr="00593E6C">
        <w:rPr>
          <w:szCs w:val="24"/>
        </w:rPr>
        <w:t>while</w:t>
      </w:r>
      <w:r w:rsidR="00A71344" w:rsidRPr="00593E6C">
        <w:rPr>
          <w:szCs w:val="24"/>
        </w:rPr>
        <w:t xml:space="preserve"> </w:t>
      </w:r>
      <w:r w:rsidR="00994547" w:rsidRPr="00593E6C">
        <w:rPr>
          <w:szCs w:val="24"/>
        </w:rPr>
        <w:t xml:space="preserve">a few upland and heathland </w:t>
      </w:r>
      <w:r w:rsidR="00D97DC0" w:rsidRPr="00593E6C">
        <w:rPr>
          <w:szCs w:val="24"/>
        </w:rPr>
        <w:t xml:space="preserve">ecoregions </w:t>
      </w:r>
      <w:r w:rsidR="00994547" w:rsidRPr="00593E6C">
        <w:rPr>
          <w:szCs w:val="24"/>
        </w:rPr>
        <w:t xml:space="preserve">had </w:t>
      </w:r>
      <w:r w:rsidR="00667ABE" w:rsidRPr="00593E6C">
        <w:rPr>
          <w:szCs w:val="24"/>
        </w:rPr>
        <w:t>PA coverage</w:t>
      </w:r>
      <w:r w:rsidR="009716A5">
        <w:rPr>
          <w:szCs w:val="24"/>
        </w:rPr>
        <w:t xml:space="preserve"> </w:t>
      </w:r>
      <w:r w:rsidR="007D5F7A">
        <w:rPr>
          <w:szCs w:val="24"/>
        </w:rPr>
        <w:t>of</w:t>
      </w:r>
      <w:r w:rsidR="007D5F7A" w:rsidRPr="00593E6C">
        <w:rPr>
          <w:szCs w:val="24"/>
        </w:rPr>
        <w:t xml:space="preserve"> &gt;</w:t>
      </w:r>
      <w:r w:rsidR="005916CB">
        <w:rPr>
          <w:szCs w:val="24"/>
        </w:rPr>
        <w:t xml:space="preserve"> </w:t>
      </w:r>
      <w:r w:rsidR="006D113F" w:rsidRPr="00593E6C">
        <w:rPr>
          <w:szCs w:val="24"/>
        </w:rPr>
        <w:t>40</w:t>
      </w:r>
      <w:r w:rsidR="00667ABE" w:rsidRPr="00593E6C">
        <w:rPr>
          <w:szCs w:val="24"/>
        </w:rPr>
        <w:t>%</w:t>
      </w:r>
      <w:r w:rsidR="00AB7710" w:rsidRPr="00593E6C">
        <w:rPr>
          <w:szCs w:val="24"/>
        </w:rPr>
        <w:t xml:space="preserve"> </w:t>
      </w:r>
      <w:r w:rsidR="005B5FA7">
        <w:rPr>
          <w:szCs w:val="24"/>
        </w:rPr>
        <w:t>(Figure 2)</w:t>
      </w:r>
      <w:r w:rsidR="00994547" w:rsidRPr="00593E6C">
        <w:rPr>
          <w:szCs w:val="24"/>
        </w:rPr>
        <w:t xml:space="preserve">. </w:t>
      </w:r>
      <w:r w:rsidR="00667ABE" w:rsidRPr="00593E6C">
        <w:rPr>
          <w:szCs w:val="24"/>
        </w:rPr>
        <w:t>Including</w:t>
      </w:r>
      <w:r w:rsidR="00994547" w:rsidRPr="00593E6C">
        <w:rPr>
          <w:szCs w:val="24"/>
        </w:rPr>
        <w:t xml:space="preserve"> the </w:t>
      </w:r>
      <w:r w:rsidR="008E37CC" w:rsidRPr="00593E6C">
        <w:rPr>
          <w:szCs w:val="24"/>
        </w:rPr>
        <w:t xml:space="preserve">Type 1 </w:t>
      </w:r>
      <w:r w:rsidR="00F47067" w:rsidRPr="00593E6C">
        <w:rPr>
          <w:szCs w:val="24"/>
        </w:rPr>
        <w:t>LSCIs</w:t>
      </w:r>
      <w:r w:rsidR="00014E92" w:rsidRPr="00593E6C">
        <w:rPr>
          <w:szCs w:val="24"/>
        </w:rPr>
        <w:t xml:space="preserve"> </w:t>
      </w:r>
      <w:r w:rsidR="00994547" w:rsidRPr="00593E6C">
        <w:rPr>
          <w:szCs w:val="24"/>
        </w:rPr>
        <w:t>made little difference</w:t>
      </w:r>
      <w:r w:rsidR="00F14747" w:rsidRPr="00593E6C">
        <w:rPr>
          <w:szCs w:val="24"/>
        </w:rPr>
        <w:t xml:space="preserve"> to this result</w:t>
      </w:r>
      <w:r w:rsidR="00AB118E" w:rsidRPr="00593E6C">
        <w:rPr>
          <w:szCs w:val="24"/>
        </w:rPr>
        <w:t>, increasing protection equality to 34%</w:t>
      </w:r>
      <w:r w:rsidR="00F14747" w:rsidRPr="00593E6C">
        <w:rPr>
          <w:szCs w:val="24"/>
        </w:rPr>
        <w:t xml:space="preserve">. However, </w:t>
      </w:r>
      <w:r w:rsidR="00AB118E" w:rsidRPr="00593E6C">
        <w:rPr>
          <w:szCs w:val="24"/>
        </w:rPr>
        <w:t xml:space="preserve">adding </w:t>
      </w:r>
      <w:r w:rsidR="00667ABE" w:rsidRPr="00593E6C">
        <w:rPr>
          <w:szCs w:val="24"/>
        </w:rPr>
        <w:t>land in</w:t>
      </w:r>
      <w:r w:rsidR="00994547" w:rsidRPr="00593E6C">
        <w:rPr>
          <w:szCs w:val="24"/>
        </w:rPr>
        <w:t xml:space="preserve"> </w:t>
      </w:r>
      <w:r w:rsidR="00F4250D" w:rsidRPr="00593E6C">
        <w:rPr>
          <w:szCs w:val="24"/>
        </w:rPr>
        <w:t>IPAs</w:t>
      </w:r>
      <w:r w:rsidR="00994547" w:rsidRPr="00593E6C">
        <w:rPr>
          <w:szCs w:val="24"/>
        </w:rPr>
        <w:t xml:space="preserve"> </w:t>
      </w:r>
      <w:r w:rsidR="00AB118E" w:rsidRPr="00593E6C">
        <w:rPr>
          <w:szCs w:val="24"/>
        </w:rPr>
        <w:t xml:space="preserve">increased </w:t>
      </w:r>
      <w:r w:rsidR="00CD716C" w:rsidRPr="00593E6C">
        <w:rPr>
          <w:szCs w:val="24"/>
        </w:rPr>
        <w:t>protection equality</w:t>
      </w:r>
      <w:r w:rsidR="00AB118E" w:rsidRPr="00593E6C">
        <w:rPr>
          <w:szCs w:val="24"/>
        </w:rPr>
        <w:t xml:space="preserve"> to 62%</w:t>
      </w:r>
      <w:r w:rsidR="00F14747" w:rsidRPr="00593E6C">
        <w:rPr>
          <w:szCs w:val="24"/>
        </w:rPr>
        <w:t>, and also including</w:t>
      </w:r>
      <w:r w:rsidR="00994547" w:rsidRPr="00593E6C">
        <w:rPr>
          <w:szCs w:val="24"/>
        </w:rPr>
        <w:t xml:space="preserve"> </w:t>
      </w:r>
      <w:r w:rsidR="00F14747" w:rsidRPr="00593E6C">
        <w:rPr>
          <w:szCs w:val="24"/>
        </w:rPr>
        <w:t xml:space="preserve">land in </w:t>
      </w:r>
      <w:r w:rsidR="008E37CC" w:rsidRPr="00593E6C">
        <w:rPr>
          <w:szCs w:val="24"/>
        </w:rPr>
        <w:t xml:space="preserve">Type 2 </w:t>
      </w:r>
      <w:r w:rsidR="00F47067" w:rsidRPr="00593E6C">
        <w:rPr>
          <w:szCs w:val="24"/>
        </w:rPr>
        <w:t>LSCIs</w:t>
      </w:r>
      <w:r w:rsidR="00F14747" w:rsidRPr="00593E6C">
        <w:rPr>
          <w:szCs w:val="24"/>
        </w:rPr>
        <w:t xml:space="preserve"> </w:t>
      </w:r>
      <w:r w:rsidR="00AB7710" w:rsidRPr="00593E6C">
        <w:rPr>
          <w:szCs w:val="24"/>
        </w:rPr>
        <w:t>increased</w:t>
      </w:r>
      <w:r w:rsidR="00F14747" w:rsidRPr="00593E6C">
        <w:rPr>
          <w:szCs w:val="24"/>
        </w:rPr>
        <w:t xml:space="preserve"> it</w:t>
      </w:r>
      <w:r w:rsidR="00667ABE" w:rsidRPr="00593E6C">
        <w:rPr>
          <w:szCs w:val="24"/>
        </w:rPr>
        <w:t xml:space="preserve"> to </w:t>
      </w:r>
      <w:r w:rsidR="00441458" w:rsidRPr="00593E6C">
        <w:rPr>
          <w:szCs w:val="24"/>
        </w:rPr>
        <w:t>74%</w:t>
      </w:r>
      <w:r w:rsidR="00AB7710" w:rsidRPr="00593E6C">
        <w:rPr>
          <w:szCs w:val="24"/>
        </w:rPr>
        <w:t xml:space="preserve"> </w:t>
      </w:r>
      <w:r w:rsidR="005B5FA7">
        <w:rPr>
          <w:szCs w:val="24"/>
        </w:rPr>
        <w:t>(Figure 2</w:t>
      </w:r>
      <w:r w:rsidR="00AB7710" w:rsidRPr="00593E6C">
        <w:rPr>
          <w:szCs w:val="24"/>
        </w:rPr>
        <w:t>,</w:t>
      </w:r>
      <w:r w:rsidR="00F14747" w:rsidRPr="00593E6C">
        <w:rPr>
          <w:szCs w:val="24"/>
        </w:rPr>
        <w:t xml:space="preserve"> Figure S1</w:t>
      </w:r>
      <w:r w:rsidR="00AB7710" w:rsidRPr="00593E6C">
        <w:rPr>
          <w:szCs w:val="24"/>
        </w:rPr>
        <w:t>)</w:t>
      </w:r>
      <w:r w:rsidR="00667ABE" w:rsidRPr="00593E6C">
        <w:rPr>
          <w:szCs w:val="24"/>
        </w:rPr>
        <w:t>.</w:t>
      </w:r>
    </w:p>
    <w:p w14:paraId="7423DA74" w14:textId="77777777" w:rsidR="007A433B" w:rsidRPr="00593E6C" w:rsidRDefault="007A433B" w:rsidP="00652C11">
      <w:pPr>
        <w:spacing w:line="480" w:lineRule="auto"/>
        <w:rPr>
          <w:szCs w:val="24"/>
        </w:rPr>
      </w:pPr>
    </w:p>
    <w:p w14:paraId="7F98D567" w14:textId="77777777" w:rsidR="00642653" w:rsidRDefault="00642653" w:rsidP="00652C11">
      <w:pPr>
        <w:pStyle w:val="Heading2"/>
        <w:spacing w:line="480" w:lineRule="auto"/>
      </w:pPr>
      <w:r w:rsidRPr="00593E6C">
        <w:t>4. Discussion</w:t>
      </w:r>
    </w:p>
    <w:p w14:paraId="147F68C7" w14:textId="7B260269" w:rsidR="00EC1835" w:rsidRDefault="004717E9" w:rsidP="00F74668">
      <w:pPr>
        <w:spacing w:line="480" w:lineRule="auto"/>
        <w:rPr>
          <w:lang w:val="en-US" w:bidi="he-IL"/>
        </w:rPr>
      </w:pPr>
      <w:r>
        <w:rPr>
          <w:rFonts w:cs="AdvBerling-R"/>
          <w:szCs w:val="24"/>
          <w:lang w:bidi="he-IL"/>
        </w:rPr>
        <w:t xml:space="preserve">Expanding conservation efforts beyond </w:t>
      </w:r>
      <w:r w:rsidR="00DF4F56">
        <w:rPr>
          <w:rFonts w:cs="AdvBerling-R"/>
          <w:szCs w:val="24"/>
          <w:lang w:bidi="he-IL"/>
        </w:rPr>
        <w:t>PAs</w:t>
      </w:r>
      <w:r>
        <w:rPr>
          <w:rFonts w:cs="AdvBerling-R"/>
          <w:szCs w:val="24"/>
          <w:lang w:bidi="he-IL"/>
        </w:rPr>
        <w:t xml:space="preserve"> </w:t>
      </w:r>
      <w:r w:rsidR="00745E13">
        <w:rPr>
          <w:rFonts w:cs="AdvBerling-R"/>
          <w:szCs w:val="24"/>
          <w:lang w:bidi="he-IL"/>
        </w:rPr>
        <w:t>is</w:t>
      </w:r>
      <w:r>
        <w:rPr>
          <w:rFonts w:cs="AdvBerling-R"/>
          <w:szCs w:val="24"/>
          <w:lang w:bidi="he-IL"/>
        </w:rPr>
        <w:t xml:space="preserve"> a </w:t>
      </w:r>
      <w:r>
        <w:rPr>
          <w:szCs w:val="24"/>
        </w:rPr>
        <w:t xml:space="preserve">step change in nature conservation policy </w:t>
      </w:r>
      <w:r w:rsidR="00745E13">
        <w:rPr>
          <w:szCs w:val="24"/>
        </w:rPr>
        <w:t>for many countries</w:t>
      </w:r>
      <w:r w:rsidRPr="004717E9">
        <w:rPr>
          <w:szCs w:val="24"/>
        </w:rPr>
        <w:t xml:space="preserve"> (Boitani et al. 2007; Lawton et al. 2010</w:t>
      </w:r>
      <w:r w:rsidR="00DF4F56">
        <w:rPr>
          <w:szCs w:val="24"/>
        </w:rPr>
        <w:t xml:space="preserve">; </w:t>
      </w:r>
      <w:r w:rsidR="00DF4F56" w:rsidRPr="00DF4F56">
        <w:rPr>
          <w:szCs w:val="24"/>
        </w:rPr>
        <w:t>Reyers et al. 2012</w:t>
      </w:r>
      <w:r w:rsidRPr="004717E9">
        <w:rPr>
          <w:szCs w:val="24"/>
        </w:rPr>
        <w:t>)</w:t>
      </w:r>
      <w:r w:rsidR="007D5F7A">
        <w:rPr>
          <w:szCs w:val="24"/>
        </w:rPr>
        <w:t xml:space="preserve">, but its importance is </w:t>
      </w:r>
      <w:r w:rsidR="007C4837">
        <w:rPr>
          <w:szCs w:val="24"/>
        </w:rPr>
        <w:t>increasingly</w:t>
      </w:r>
      <w:r w:rsidR="007D5F7A">
        <w:rPr>
          <w:szCs w:val="24"/>
        </w:rPr>
        <w:t xml:space="preserve"> recognised. For example</w:t>
      </w:r>
      <w:r w:rsidR="007C4837">
        <w:rPr>
          <w:szCs w:val="24"/>
        </w:rPr>
        <w:t>, the Convention on Biological Diversity’s</w:t>
      </w:r>
      <w:r w:rsidR="007C4837" w:rsidRPr="007C4837">
        <w:rPr>
          <w:szCs w:val="24"/>
        </w:rPr>
        <w:t xml:space="preserve"> </w:t>
      </w:r>
      <w:r w:rsidR="007C4837">
        <w:rPr>
          <w:szCs w:val="24"/>
        </w:rPr>
        <w:t>Aichi target 11</w:t>
      </w:r>
      <w:r w:rsidR="0007138F">
        <w:rPr>
          <w:szCs w:val="24"/>
        </w:rPr>
        <w:t xml:space="preserve"> </w:t>
      </w:r>
      <w:r w:rsidR="007C4837">
        <w:rPr>
          <w:szCs w:val="24"/>
        </w:rPr>
        <w:t>recognises that PAs are not the only approach for achieving goals for expanding land under conservation, and explicitly states the value of “other effective</w:t>
      </w:r>
      <w:r w:rsidR="00ED4E5F">
        <w:rPr>
          <w:szCs w:val="24"/>
        </w:rPr>
        <w:t xml:space="preserve"> </w:t>
      </w:r>
      <w:r w:rsidR="00ED4E5F" w:rsidRPr="00D0360E">
        <w:rPr>
          <w:szCs w:val="24"/>
        </w:rPr>
        <w:t>area-based conservation measures</w:t>
      </w:r>
      <w:r w:rsidR="007C4837">
        <w:rPr>
          <w:szCs w:val="24"/>
        </w:rPr>
        <w:t xml:space="preserve">” </w:t>
      </w:r>
      <w:r w:rsidR="007C4837" w:rsidRPr="004421A4">
        <w:t>(CBD, 2011)</w:t>
      </w:r>
      <w:r w:rsidR="00ED4E5F">
        <w:rPr>
          <w:szCs w:val="24"/>
        </w:rPr>
        <w:t xml:space="preserve">. </w:t>
      </w:r>
      <w:r w:rsidR="00DF4F56" w:rsidRPr="003676B3">
        <w:rPr>
          <w:szCs w:val="24"/>
        </w:rPr>
        <w:t>England is one of the pioneers</w:t>
      </w:r>
      <w:r w:rsidR="00DF4F56">
        <w:rPr>
          <w:szCs w:val="24"/>
        </w:rPr>
        <w:t xml:space="preserve">, as </w:t>
      </w:r>
      <w:r w:rsidR="00745E13">
        <w:rPr>
          <w:szCs w:val="24"/>
        </w:rPr>
        <w:t>shown by the development of hundreds of</w:t>
      </w:r>
      <w:r w:rsidR="00DF4F56" w:rsidRPr="003676B3">
        <w:rPr>
          <w:szCs w:val="24"/>
        </w:rPr>
        <w:t xml:space="preserve"> </w:t>
      </w:r>
      <w:r w:rsidR="00DF4F56">
        <w:rPr>
          <w:szCs w:val="24"/>
        </w:rPr>
        <w:t>LSCIs</w:t>
      </w:r>
      <w:r w:rsidR="00745E13">
        <w:rPr>
          <w:szCs w:val="24"/>
        </w:rPr>
        <w:t>, all of which</w:t>
      </w:r>
      <w:r w:rsidR="00DF4F56">
        <w:rPr>
          <w:szCs w:val="24"/>
        </w:rPr>
        <w:t xml:space="preserve"> aim to </w:t>
      </w:r>
      <w:r w:rsidR="00DF4F56" w:rsidRPr="003676B3">
        <w:rPr>
          <w:szCs w:val="24"/>
        </w:rPr>
        <w:t xml:space="preserve">bring together different </w:t>
      </w:r>
      <w:r w:rsidR="00DF4F56">
        <w:rPr>
          <w:szCs w:val="24"/>
        </w:rPr>
        <w:t>stakeholders</w:t>
      </w:r>
      <w:r w:rsidR="00DF4F56" w:rsidRPr="003676B3">
        <w:rPr>
          <w:szCs w:val="24"/>
        </w:rPr>
        <w:t xml:space="preserve"> </w:t>
      </w:r>
      <w:r w:rsidR="00745E13">
        <w:rPr>
          <w:szCs w:val="24"/>
        </w:rPr>
        <w:t>and improve</w:t>
      </w:r>
      <w:r w:rsidR="00745E13" w:rsidRPr="00745E13">
        <w:rPr>
          <w:szCs w:val="24"/>
        </w:rPr>
        <w:t xml:space="preserve"> </w:t>
      </w:r>
      <w:r w:rsidR="00745E13" w:rsidRPr="003676B3">
        <w:rPr>
          <w:szCs w:val="24"/>
        </w:rPr>
        <w:t>nature conservation</w:t>
      </w:r>
      <w:r w:rsidR="00745E13">
        <w:rPr>
          <w:szCs w:val="24"/>
        </w:rPr>
        <w:t xml:space="preserve"> through increased</w:t>
      </w:r>
      <w:r w:rsidR="00DF4F56" w:rsidRPr="003676B3">
        <w:rPr>
          <w:szCs w:val="24"/>
        </w:rPr>
        <w:t xml:space="preserve"> action and investment </w:t>
      </w:r>
      <w:r w:rsidR="00DF4F56">
        <w:rPr>
          <w:szCs w:val="24"/>
        </w:rPr>
        <w:t>(</w:t>
      </w:r>
      <w:r w:rsidR="00DF4F56">
        <w:t xml:space="preserve">Macgregor et al., 2012). </w:t>
      </w:r>
      <w:r w:rsidR="00745E13">
        <w:t xml:space="preserve">One strength of this approach is that it is decentralised, allowing projects to match local conditions, but </w:t>
      </w:r>
      <w:r w:rsidR="00DD515B">
        <w:t>measuring the effectiveness of these LSCIs at a national level is important to inform general policies and strategies.</w:t>
      </w:r>
      <w:r w:rsidR="00745E13">
        <w:t xml:space="preserve"> </w:t>
      </w:r>
      <w:r w:rsidR="00DD515B">
        <w:t>This is why</w:t>
      </w:r>
      <w:r w:rsidR="00430F8F" w:rsidRPr="00B77646">
        <w:t xml:space="preserve"> we </w:t>
      </w:r>
      <w:r w:rsidR="00EC1835" w:rsidRPr="00B77646">
        <w:t>used</w:t>
      </w:r>
      <w:r w:rsidR="00430F8F" w:rsidRPr="00B77646">
        <w:t xml:space="preserve"> a gap analysis </w:t>
      </w:r>
      <w:r w:rsidR="00EC1835" w:rsidRPr="00B77646">
        <w:t xml:space="preserve">to explore </w:t>
      </w:r>
      <w:r w:rsidR="006B0324">
        <w:t>the</w:t>
      </w:r>
      <w:r w:rsidR="00EC1835" w:rsidRPr="00B77646">
        <w:t xml:space="preserve"> extent</w:t>
      </w:r>
      <w:r w:rsidR="006B0324">
        <w:t xml:space="preserve"> to which</w:t>
      </w:r>
      <w:r w:rsidR="00EC1835" w:rsidRPr="00B77646">
        <w:t xml:space="preserve"> </w:t>
      </w:r>
      <w:r w:rsidR="00430F8F" w:rsidRPr="00B77646">
        <w:t xml:space="preserve">LSCIs </w:t>
      </w:r>
      <w:r w:rsidR="00EC1835" w:rsidRPr="00B77646">
        <w:t xml:space="preserve">help scale-up conservation efforts from </w:t>
      </w:r>
      <w:r w:rsidR="00DD515B" w:rsidRPr="00B77646">
        <w:t>PAs</w:t>
      </w:r>
      <w:r w:rsidR="00EC1835" w:rsidRPr="00B77646">
        <w:t xml:space="preserve">. We </w:t>
      </w:r>
      <w:r w:rsidR="00DD515B" w:rsidRPr="00B77646">
        <w:t>found</w:t>
      </w:r>
      <w:r w:rsidR="00EC1835" w:rsidRPr="00B77646">
        <w:t xml:space="preserve"> LSCIs </w:t>
      </w:r>
      <w:r w:rsidR="00DD515B" w:rsidRPr="00B77646">
        <w:t xml:space="preserve">could </w:t>
      </w:r>
      <w:r w:rsidR="006B0324">
        <w:t>substantially</w:t>
      </w:r>
      <w:r w:rsidR="006B0324" w:rsidRPr="00B77646">
        <w:t xml:space="preserve"> </w:t>
      </w:r>
      <w:r w:rsidR="00430F8F" w:rsidRPr="00B77646">
        <w:rPr>
          <w:szCs w:val="24"/>
        </w:rPr>
        <w:t xml:space="preserve">improve representation </w:t>
      </w:r>
      <w:r w:rsidR="00F74668">
        <w:rPr>
          <w:szCs w:val="24"/>
        </w:rPr>
        <w:t>of less remote, flatter, lowland areas, with higher grades of agricultural suitability. However</w:t>
      </w:r>
      <w:r w:rsidR="007C4837">
        <w:rPr>
          <w:szCs w:val="24"/>
        </w:rPr>
        <w:t>, the</w:t>
      </w:r>
      <w:r w:rsidR="00F74668">
        <w:rPr>
          <w:szCs w:val="24"/>
        </w:rPr>
        <w:t xml:space="preserve"> impact of LSCIs on conservation will </w:t>
      </w:r>
      <w:r w:rsidR="00DD515B" w:rsidRPr="00B77646">
        <w:rPr>
          <w:szCs w:val="24"/>
        </w:rPr>
        <w:t>depend</w:t>
      </w:r>
      <w:r w:rsidR="00AB51A8" w:rsidRPr="00B77646">
        <w:rPr>
          <w:szCs w:val="24"/>
        </w:rPr>
        <w:t xml:space="preserve"> </w:t>
      </w:r>
      <w:r w:rsidR="00EC1835" w:rsidRPr="00B77646">
        <w:rPr>
          <w:szCs w:val="24"/>
        </w:rPr>
        <w:t>on</w:t>
      </w:r>
      <w:r w:rsidR="00AB51A8" w:rsidRPr="00B77646">
        <w:rPr>
          <w:szCs w:val="24"/>
        </w:rPr>
        <w:t xml:space="preserve"> </w:t>
      </w:r>
      <w:r w:rsidR="00F74668">
        <w:rPr>
          <w:szCs w:val="24"/>
        </w:rPr>
        <w:t>how</w:t>
      </w:r>
      <w:r w:rsidR="00105D86" w:rsidRPr="00B77646">
        <w:rPr>
          <w:szCs w:val="24"/>
        </w:rPr>
        <w:t xml:space="preserve"> </w:t>
      </w:r>
      <w:r w:rsidR="00DD515B" w:rsidRPr="00B77646">
        <w:rPr>
          <w:szCs w:val="24"/>
        </w:rPr>
        <w:t>they</w:t>
      </w:r>
      <w:r w:rsidR="00AB51A8" w:rsidRPr="00B77646">
        <w:rPr>
          <w:szCs w:val="24"/>
        </w:rPr>
        <w:t xml:space="preserve"> are planned and managed</w:t>
      </w:r>
      <w:r w:rsidR="00DD515B" w:rsidRPr="00B77646">
        <w:rPr>
          <w:szCs w:val="24"/>
        </w:rPr>
        <w:t xml:space="preserve">, which is an </w:t>
      </w:r>
      <w:r w:rsidR="00F74668">
        <w:rPr>
          <w:szCs w:val="24"/>
        </w:rPr>
        <w:t>important caveat,</w:t>
      </w:r>
      <w:r w:rsidR="00F74668" w:rsidRPr="00B77646">
        <w:rPr>
          <w:szCs w:val="24"/>
        </w:rPr>
        <w:t xml:space="preserve"> </w:t>
      </w:r>
      <w:r w:rsidR="00DD515B" w:rsidRPr="00B77646">
        <w:rPr>
          <w:szCs w:val="24"/>
        </w:rPr>
        <w:t>because</w:t>
      </w:r>
      <w:r w:rsidR="00F10E8E" w:rsidRPr="00B77646">
        <w:rPr>
          <w:szCs w:val="24"/>
        </w:rPr>
        <w:t xml:space="preserve"> most </w:t>
      </w:r>
      <w:r w:rsidR="00EC1835" w:rsidRPr="00B77646">
        <w:rPr>
          <w:szCs w:val="24"/>
        </w:rPr>
        <w:t xml:space="preserve">of the </w:t>
      </w:r>
      <w:r w:rsidR="00DD515B" w:rsidRPr="00B77646">
        <w:rPr>
          <w:szCs w:val="24"/>
        </w:rPr>
        <w:t>land</w:t>
      </w:r>
      <w:r w:rsidR="00F10E8E" w:rsidRPr="00B77646">
        <w:rPr>
          <w:szCs w:val="24"/>
        </w:rPr>
        <w:t xml:space="preserve"> under</w:t>
      </w:r>
      <w:r w:rsidR="006B0324">
        <w:rPr>
          <w:szCs w:val="24"/>
        </w:rPr>
        <w:t xml:space="preserve"> Type 2</w:t>
      </w:r>
      <w:r w:rsidR="00F10E8E" w:rsidRPr="00B77646">
        <w:rPr>
          <w:szCs w:val="24"/>
        </w:rPr>
        <w:t xml:space="preserve"> LSCIs </w:t>
      </w:r>
      <w:r w:rsidR="00EC1835" w:rsidRPr="00B77646">
        <w:rPr>
          <w:szCs w:val="24"/>
        </w:rPr>
        <w:t>is</w:t>
      </w:r>
      <w:r w:rsidR="00F10E8E" w:rsidRPr="00B77646">
        <w:rPr>
          <w:szCs w:val="24"/>
        </w:rPr>
        <w:t xml:space="preserve"> not </w:t>
      </w:r>
      <w:r w:rsidR="00DD515B" w:rsidRPr="00B77646">
        <w:rPr>
          <w:szCs w:val="24"/>
        </w:rPr>
        <w:t xml:space="preserve">currently </w:t>
      </w:r>
      <w:r w:rsidR="00F10E8E" w:rsidRPr="00B77646">
        <w:rPr>
          <w:szCs w:val="24"/>
        </w:rPr>
        <w:t xml:space="preserve">managed for conservation. </w:t>
      </w:r>
      <w:r w:rsidR="00DD515B" w:rsidRPr="00B77646">
        <w:rPr>
          <w:szCs w:val="24"/>
        </w:rPr>
        <w:t>Our</w:t>
      </w:r>
      <w:r w:rsidR="00F10E8E" w:rsidRPr="00B77646">
        <w:rPr>
          <w:lang w:bidi="he-IL"/>
        </w:rPr>
        <w:t xml:space="preserve"> case study</w:t>
      </w:r>
      <w:r w:rsidR="00DD515B" w:rsidRPr="00B77646">
        <w:rPr>
          <w:lang w:bidi="he-IL"/>
        </w:rPr>
        <w:t xml:space="preserve"> is the first to measure the relative contribution of LSCIs and land under agri-environment schemes to </w:t>
      </w:r>
      <w:r w:rsidR="00B77646" w:rsidRPr="00B77646">
        <w:rPr>
          <w:lang w:bidi="he-IL"/>
        </w:rPr>
        <w:t>producing representative conservation area networks and provides a number of insights to inform policy and practice in</w:t>
      </w:r>
      <w:r w:rsidR="00EC1835" w:rsidRPr="00B77646">
        <w:rPr>
          <w:lang w:bidi="he-IL"/>
        </w:rPr>
        <w:t xml:space="preserve"> human-dominated landscapes </w:t>
      </w:r>
      <w:r w:rsidR="00B77646" w:rsidRPr="00B77646">
        <w:rPr>
          <w:lang w:bidi="he-IL"/>
        </w:rPr>
        <w:t>around the world</w:t>
      </w:r>
      <w:r w:rsidR="00EC1835" w:rsidRPr="00B77646">
        <w:rPr>
          <w:lang w:bidi="he-IL"/>
        </w:rPr>
        <w:t>.</w:t>
      </w:r>
    </w:p>
    <w:p w14:paraId="2E2FF680" w14:textId="3261463C" w:rsidR="004D3EBB" w:rsidRDefault="004D3EBB" w:rsidP="00652C11">
      <w:pPr>
        <w:spacing w:line="480" w:lineRule="auto"/>
        <w:rPr>
          <w:szCs w:val="24"/>
        </w:rPr>
      </w:pPr>
    </w:p>
    <w:p w14:paraId="64651C5E" w14:textId="4ED7D500" w:rsidR="004A56A0" w:rsidRDefault="00331A53" w:rsidP="00652C11">
      <w:pPr>
        <w:pStyle w:val="Heading3"/>
        <w:spacing w:line="480" w:lineRule="auto"/>
      </w:pPr>
      <w:r>
        <w:t xml:space="preserve">4.1 </w:t>
      </w:r>
      <w:r w:rsidR="004A56A0">
        <w:t>Protected area coverage</w:t>
      </w:r>
    </w:p>
    <w:p w14:paraId="75896F4A" w14:textId="5550CE40" w:rsidR="001D6D56" w:rsidRDefault="001D6D56" w:rsidP="00BD1DCE">
      <w:pPr>
        <w:spacing w:line="480" w:lineRule="auto"/>
        <w:rPr>
          <w:szCs w:val="24"/>
        </w:rPr>
      </w:pPr>
      <w:r>
        <w:lastRenderedPageBreak/>
        <w:t>A key step in improving the representativeness of any PA network is undertaking a gap analysis</w:t>
      </w:r>
      <w:r w:rsidR="006C66C3">
        <w:t xml:space="preserve"> to</w:t>
      </w:r>
      <w:r>
        <w:t xml:space="preserve"> identify species, habitats and ecoregions needing further protection. Such analyses should be </w:t>
      </w:r>
      <w:r w:rsidR="00DD43D1">
        <w:t xml:space="preserve">undertaken </w:t>
      </w:r>
      <w:r>
        <w:t xml:space="preserve">periodically to </w:t>
      </w:r>
      <w:r w:rsidR="00D1603E">
        <w:t xml:space="preserve">evaluate </w:t>
      </w:r>
      <w:r>
        <w:t xml:space="preserve">progress </w:t>
      </w:r>
      <w:r w:rsidRPr="00E72AC8">
        <w:t>(</w:t>
      </w:r>
      <w:r w:rsidRPr="00DE6F49">
        <w:t>Margules and Pressey, 200</w:t>
      </w:r>
      <w:r>
        <w:t xml:space="preserve">0; </w:t>
      </w:r>
      <w:r w:rsidRPr="00E72AC8">
        <w:t>Pressey et al., 2013)</w:t>
      </w:r>
      <w:r w:rsidR="00897C16">
        <w:t>.</w:t>
      </w:r>
      <w:r>
        <w:t xml:space="preserve"> </w:t>
      </w:r>
      <w:r w:rsidR="00897C16">
        <w:t>O</w:t>
      </w:r>
      <w:r>
        <w:t xml:space="preserve">ur study adopts this approach by repeating a gap analysis for England undertaken over a decade ago </w:t>
      </w:r>
      <w:r w:rsidRPr="00E72AC8">
        <w:t>(Oldfield et al., 2004)</w:t>
      </w:r>
      <w:r>
        <w:t xml:space="preserve">. </w:t>
      </w:r>
      <w:r w:rsidR="004E2213">
        <w:rPr>
          <w:szCs w:val="24"/>
        </w:rPr>
        <w:t xml:space="preserve"> </w:t>
      </w:r>
      <w:r>
        <w:rPr>
          <w:szCs w:val="24"/>
        </w:rPr>
        <w:t>I</w:t>
      </w:r>
      <w:r w:rsidR="004E2213">
        <w:rPr>
          <w:szCs w:val="24"/>
        </w:rPr>
        <w:t xml:space="preserve">n </w:t>
      </w:r>
      <w:r w:rsidR="00897C16">
        <w:rPr>
          <w:szCs w:val="24"/>
        </w:rPr>
        <w:t xml:space="preserve">England </w:t>
      </w:r>
      <w:r w:rsidR="004E2213">
        <w:rPr>
          <w:szCs w:val="24"/>
        </w:rPr>
        <w:t>there are two main types</w:t>
      </w:r>
      <w:r w:rsidR="006C07AA">
        <w:rPr>
          <w:szCs w:val="24"/>
        </w:rPr>
        <w:t xml:space="preserve"> of PA</w:t>
      </w:r>
      <w:r w:rsidR="00B77646">
        <w:rPr>
          <w:szCs w:val="24"/>
        </w:rPr>
        <w:t xml:space="preserve"> </w:t>
      </w:r>
      <w:r w:rsidR="000E44FF">
        <w:rPr>
          <w:szCs w:val="24"/>
        </w:rPr>
        <w:t xml:space="preserve">established </w:t>
      </w:r>
      <w:r w:rsidR="00B77646">
        <w:rPr>
          <w:szCs w:val="24"/>
        </w:rPr>
        <w:t>for biodiversity conservation</w:t>
      </w:r>
      <w:r w:rsidR="0009463E">
        <w:rPr>
          <w:szCs w:val="24"/>
        </w:rPr>
        <w:t xml:space="preserve">, namely </w:t>
      </w:r>
      <w:r w:rsidR="004E2213">
        <w:rPr>
          <w:szCs w:val="24"/>
        </w:rPr>
        <w:t>NNRs</w:t>
      </w:r>
      <w:r w:rsidR="0003088E">
        <w:rPr>
          <w:szCs w:val="24"/>
        </w:rPr>
        <w:t xml:space="preserve"> and SSSIs. </w:t>
      </w:r>
      <w:r w:rsidR="006C66C3">
        <w:rPr>
          <w:szCs w:val="24"/>
        </w:rPr>
        <w:t>These</w:t>
      </w:r>
      <w:r w:rsidR="004E2213">
        <w:rPr>
          <w:szCs w:val="24"/>
        </w:rPr>
        <w:t xml:space="preserve"> covered </w:t>
      </w:r>
      <w:r w:rsidR="0024492D">
        <w:rPr>
          <w:szCs w:val="24"/>
        </w:rPr>
        <w:t>6.</w:t>
      </w:r>
      <w:r w:rsidR="0003088E">
        <w:rPr>
          <w:szCs w:val="24"/>
        </w:rPr>
        <w:t>3</w:t>
      </w:r>
      <w:r w:rsidR="004E2213">
        <w:rPr>
          <w:szCs w:val="24"/>
        </w:rPr>
        <w:t>% of England</w:t>
      </w:r>
      <w:r w:rsidR="0003088E">
        <w:rPr>
          <w:szCs w:val="24"/>
        </w:rPr>
        <w:t>’s land surface</w:t>
      </w:r>
      <w:r w:rsidR="004E2213">
        <w:rPr>
          <w:szCs w:val="24"/>
        </w:rPr>
        <w:t xml:space="preserve"> </w:t>
      </w:r>
      <w:r w:rsidR="00345513">
        <w:rPr>
          <w:szCs w:val="24"/>
        </w:rPr>
        <w:t xml:space="preserve">over a decade ago </w:t>
      </w:r>
      <w:r w:rsidR="00962D16" w:rsidRPr="00962D16">
        <w:t>(Oldfield et al., 2004)</w:t>
      </w:r>
      <w:r w:rsidR="0024492D">
        <w:rPr>
          <w:szCs w:val="24"/>
        </w:rPr>
        <w:t xml:space="preserve"> </w:t>
      </w:r>
      <w:r w:rsidR="004E2213">
        <w:rPr>
          <w:szCs w:val="24"/>
        </w:rPr>
        <w:t xml:space="preserve">and our results </w:t>
      </w:r>
      <w:r w:rsidR="00D5158A">
        <w:rPr>
          <w:szCs w:val="24"/>
        </w:rPr>
        <w:t>show</w:t>
      </w:r>
      <w:r w:rsidR="004E2213">
        <w:rPr>
          <w:szCs w:val="24"/>
        </w:rPr>
        <w:t xml:space="preserve"> </w:t>
      </w:r>
      <w:r w:rsidR="00D5158A">
        <w:rPr>
          <w:szCs w:val="24"/>
        </w:rPr>
        <w:t>how</w:t>
      </w:r>
      <w:r w:rsidR="004E2213">
        <w:rPr>
          <w:szCs w:val="24"/>
        </w:rPr>
        <w:t xml:space="preserve"> little </w:t>
      </w:r>
      <w:r w:rsidR="00D5158A">
        <w:rPr>
          <w:szCs w:val="24"/>
        </w:rPr>
        <w:t xml:space="preserve">this has </w:t>
      </w:r>
      <w:r w:rsidR="004E2213">
        <w:rPr>
          <w:szCs w:val="24"/>
        </w:rPr>
        <w:t>change</w:t>
      </w:r>
      <w:r w:rsidR="00D5158A">
        <w:rPr>
          <w:szCs w:val="24"/>
        </w:rPr>
        <w:t>d</w:t>
      </w:r>
      <w:r w:rsidR="004E2213">
        <w:rPr>
          <w:szCs w:val="24"/>
        </w:rPr>
        <w:t xml:space="preserve">, with </w:t>
      </w:r>
      <w:r w:rsidR="008A5CF2">
        <w:rPr>
          <w:szCs w:val="24"/>
        </w:rPr>
        <w:t xml:space="preserve">only </w:t>
      </w:r>
      <w:r w:rsidR="00345513">
        <w:rPr>
          <w:szCs w:val="24"/>
        </w:rPr>
        <w:t xml:space="preserve">a </w:t>
      </w:r>
      <w:r w:rsidR="008A5CF2">
        <w:rPr>
          <w:szCs w:val="24"/>
        </w:rPr>
        <w:t xml:space="preserve">marginal </w:t>
      </w:r>
      <w:r w:rsidR="004E2213">
        <w:rPr>
          <w:szCs w:val="24"/>
        </w:rPr>
        <w:t>increase</w:t>
      </w:r>
      <w:r w:rsidR="00642653">
        <w:rPr>
          <w:szCs w:val="24"/>
        </w:rPr>
        <w:t xml:space="preserve">. </w:t>
      </w:r>
      <w:r w:rsidR="00D5158A">
        <w:rPr>
          <w:szCs w:val="24"/>
        </w:rPr>
        <w:t xml:space="preserve">The mean size of these </w:t>
      </w:r>
      <w:r w:rsidR="00642653">
        <w:rPr>
          <w:szCs w:val="24"/>
        </w:rPr>
        <w:t>PAs also remain</w:t>
      </w:r>
      <w:r w:rsidR="00D5158A">
        <w:rPr>
          <w:szCs w:val="24"/>
        </w:rPr>
        <w:t>s</w:t>
      </w:r>
      <w:r w:rsidR="003D0253">
        <w:rPr>
          <w:szCs w:val="24"/>
        </w:rPr>
        <w:t xml:space="preserve"> </w:t>
      </w:r>
      <w:r w:rsidR="00642653">
        <w:rPr>
          <w:szCs w:val="24"/>
        </w:rPr>
        <w:t>small, although</w:t>
      </w:r>
      <w:r w:rsidR="003D0253">
        <w:rPr>
          <w:szCs w:val="24"/>
        </w:rPr>
        <w:t xml:space="preserve"> the maximum size</w:t>
      </w:r>
      <w:r w:rsidR="00642653">
        <w:rPr>
          <w:szCs w:val="24"/>
        </w:rPr>
        <w:t xml:space="preserve"> </w:t>
      </w:r>
      <w:r w:rsidR="00022050">
        <w:rPr>
          <w:szCs w:val="24"/>
        </w:rPr>
        <w:t xml:space="preserve">has risen </w:t>
      </w:r>
      <w:r w:rsidR="003D0253">
        <w:rPr>
          <w:szCs w:val="24"/>
        </w:rPr>
        <w:t xml:space="preserve">from </w:t>
      </w:r>
      <w:r w:rsidR="0024492D">
        <w:rPr>
          <w:szCs w:val="24"/>
        </w:rPr>
        <w:t>160 km</w:t>
      </w:r>
      <w:r w:rsidR="0024492D" w:rsidRPr="00C06EAB">
        <w:rPr>
          <w:szCs w:val="24"/>
          <w:vertAlign w:val="superscript"/>
        </w:rPr>
        <w:t>2</w:t>
      </w:r>
      <w:r w:rsidR="003D0253">
        <w:rPr>
          <w:szCs w:val="24"/>
        </w:rPr>
        <w:t xml:space="preserve"> to </w:t>
      </w:r>
      <w:r w:rsidR="003D0253" w:rsidRPr="003D0253">
        <w:rPr>
          <w:szCs w:val="24"/>
        </w:rPr>
        <w:t>440</w:t>
      </w:r>
      <w:r w:rsidR="003D0253">
        <w:rPr>
          <w:szCs w:val="24"/>
        </w:rPr>
        <w:t xml:space="preserve"> km</w:t>
      </w:r>
      <w:r w:rsidR="003D0253" w:rsidRPr="00C06EAB">
        <w:rPr>
          <w:szCs w:val="24"/>
          <w:vertAlign w:val="superscript"/>
        </w:rPr>
        <w:t>2</w:t>
      </w:r>
      <w:r w:rsidR="003D0253">
        <w:rPr>
          <w:szCs w:val="24"/>
        </w:rPr>
        <w:t xml:space="preserve">, </w:t>
      </w:r>
      <w:r w:rsidR="009A05F4">
        <w:rPr>
          <w:szCs w:val="24"/>
        </w:rPr>
        <w:t>reflecti</w:t>
      </w:r>
      <w:r w:rsidR="00345513">
        <w:rPr>
          <w:szCs w:val="24"/>
        </w:rPr>
        <w:t xml:space="preserve">ng </w:t>
      </w:r>
      <w:r w:rsidR="00B70EFF">
        <w:rPr>
          <w:szCs w:val="24"/>
        </w:rPr>
        <w:t xml:space="preserve">the success of several </w:t>
      </w:r>
      <w:r w:rsidR="005D6590">
        <w:rPr>
          <w:szCs w:val="24"/>
        </w:rPr>
        <w:t>initiatives</w:t>
      </w:r>
      <w:r w:rsidR="00345513">
        <w:rPr>
          <w:szCs w:val="24"/>
        </w:rPr>
        <w:t xml:space="preserve"> </w:t>
      </w:r>
      <w:r w:rsidR="003D0253">
        <w:rPr>
          <w:szCs w:val="24"/>
        </w:rPr>
        <w:t>to</w:t>
      </w:r>
      <w:r w:rsidR="00022050">
        <w:rPr>
          <w:szCs w:val="24"/>
        </w:rPr>
        <w:t xml:space="preserve"> </w:t>
      </w:r>
      <w:r w:rsidR="00441458">
        <w:rPr>
          <w:szCs w:val="24"/>
        </w:rPr>
        <w:t>join up existing areas</w:t>
      </w:r>
      <w:r w:rsidR="003D0253">
        <w:rPr>
          <w:szCs w:val="24"/>
        </w:rPr>
        <w:t>.</w:t>
      </w:r>
      <w:r w:rsidR="000D0A1B">
        <w:rPr>
          <w:szCs w:val="24"/>
        </w:rPr>
        <w:t xml:space="preserve"> </w:t>
      </w:r>
    </w:p>
    <w:p w14:paraId="724942A3" w14:textId="77777777" w:rsidR="001D6D56" w:rsidRDefault="001D6D56" w:rsidP="001D6D56">
      <w:pPr>
        <w:spacing w:line="480" w:lineRule="auto"/>
        <w:rPr>
          <w:szCs w:val="24"/>
        </w:rPr>
      </w:pPr>
    </w:p>
    <w:p w14:paraId="507CD68D" w14:textId="46CC28D1" w:rsidR="00B619F5" w:rsidRDefault="00D540D7" w:rsidP="001D6D56">
      <w:pPr>
        <w:spacing w:line="480" w:lineRule="auto"/>
        <w:rPr>
          <w:szCs w:val="24"/>
        </w:rPr>
      </w:pPr>
      <w:r>
        <w:rPr>
          <w:szCs w:val="24"/>
        </w:rPr>
        <w:t>D</w:t>
      </w:r>
      <w:r w:rsidR="008A5CF2" w:rsidRPr="008A5CF2">
        <w:rPr>
          <w:szCs w:val="24"/>
        </w:rPr>
        <w:t xml:space="preserve">espite a decade of </w:t>
      </w:r>
      <w:r w:rsidR="00F72229" w:rsidRPr="008A5CF2">
        <w:rPr>
          <w:szCs w:val="24"/>
        </w:rPr>
        <w:t xml:space="preserve">government and </w:t>
      </w:r>
      <w:r w:rsidR="00F72229">
        <w:rPr>
          <w:szCs w:val="24"/>
        </w:rPr>
        <w:t xml:space="preserve">conservation </w:t>
      </w:r>
      <w:r w:rsidR="00F72229" w:rsidRPr="008A5CF2">
        <w:rPr>
          <w:szCs w:val="24"/>
        </w:rPr>
        <w:t>NGO</w:t>
      </w:r>
      <w:r w:rsidR="008A5CF2" w:rsidRPr="008A5CF2">
        <w:rPr>
          <w:szCs w:val="24"/>
        </w:rPr>
        <w:t xml:space="preserve"> efforts</w:t>
      </w:r>
      <w:r w:rsidR="00F72229">
        <w:rPr>
          <w:szCs w:val="24"/>
        </w:rPr>
        <w:t>,</w:t>
      </w:r>
      <w:r w:rsidR="008A5CF2" w:rsidRPr="008A5CF2">
        <w:rPr>
          <w:szCs w:val="24"/>
        </w:rPr>
        <w:t xml:space="preserve"> </w:t>
      </w:r>
      <w:r w:rsidR="0008291C">
        <w:rPr>
          <w:szCs w:val="24"/>
        </w:rPr>
        <w:t xml:space="preserve">the </w:t>
      </w:r>
      <w:r w:rsidR="003D0253">
        <w:rPr>
          <w:szCs w:val="24"/>
        </w:rPr>
        <w:t xml:space="preserve">PA network </w:t>
      </w:r>
      <w:r w:rsidR="008A5CF2">
        <w:rPr>
          <w:szCs w:val="24"/>
        </w:rPr>
        <w:t xml:space="preserve">still </w:t>
      </w:r>
      <w:r w:rsidR="00642653">
        <w:rPr>
          <w:szCs w:val="24"/>
        </w:rPr>
        <w:t>poor</w:t>
      </w:r>
      <w:r w:rsidR="003D0253">
        <w:rPr>
          <w:szCs w:val="24"/>
        </w:rPr>
        <w:t>ly</w:t>
      </w:r>
      <w:r w:rsidR="00642653">
        <w:rPr>
          <w:szCs w:val="24"/>
        </w:rPr>
        <w:t xml:space="preserve"> represent</w:t>
      </w:r>
      <w:r w:rsidR="003D0253">
        <w:rPr>
          <w:szCs w:val="24"/>
        </w:rPr>
        <w:t xml:space="preserve">s </w:t>
      </w:r>
      <w:r w:rsidR="00F72229">
        <w:rPr>
          <w:szCs w:val="24"/>
        </w:rPr>
        <w:t xml:space="preserve">England’s </w:t>
      </w:r>
      <w:r w:rsidR="00642653">
        <w:rPr>
          <w:szCs w:val="24"/>
        </w:rPr>
        <w:t xml:space="preserve">different </w:t>
      </w:r>
      <w:r w:rsidR="00D5158A">
        <w:rPr>
          <w:szCs w:val="24"/>
        </w:rPr>
        <w:t>ecoregion</w:t>
      </w:r>
      <w:r w:rsidR="00006F87">
        <w:rPr>
          <w:szCs w:val="24"/>
        </w:rPr>
        <w:t>s</w:t>
      </w:r>
      <w:r w:rsidR="003D0253">
        <w:rPr>
          <w:szCs w:val="24"/>
        </w:rPr>
        <w:t xml:space="preserve"> </w:t>
      </w:r>
      <w:r w:rsidR="00642653">
        <w:rPr>
          <w:szCs w:val="24"/>
        </w:rPr>
        <w:t xml:space="preserve">and elevation </w:t>
      </w:r>
      <w:r w:rsidR="003D0253">
        <w:rPr>
          <w:szCs w:val="24"/>
        </w:rPr>
        <w:t xml:space="preserve">zones </w:t>
      </w:r>
      <w:r w:rsidR="00962D16" w:rsidRPr="00962D16">
        <w:t>(Oldfield et al., 2004)</w:t>
      </w:r>
      <w:r w:rsidR="00642653">
        <w:rPr>
          <w:szCs w:val="24"/>
        </w:rPr>
        <w:t xml:space="preserve">. </w:t>
      </w:r>
      <w:r w:rsidR="00B14E9F">
        <w:rPr>
          <w:szCs w:val="24"/>
        </w:rPr>
        <w:t>For example,</w:t>
      </w:r>
      <w:r w:rsidR="003D0253">
        <w:rPr>
          <w:szCs w:val="24"/>
        </w:rPr>
        <w:t xml:space="preserve"> </w:t>
      </w:r>
      <w:r w:rsidR="00880377">
        <w:rPr>
          <w:szCs w:val="24"/>
        </w:rPr>
        <w:t>78</w:t>
      </w:r>
      <w:r w:rsidR="00642653">
        <w:rPr>
          <w:szCs w:val="24"/>
        </w:rPr>
        <w:t>%</w:t>
      </w:r>
      <w:r w:rsidR="003D0253">
        <w:rPr>
          <w:szCs w:val="24"/>
        </w:rPr>
        <w:t xml:space="preserve"> of </w:t>
      </w:r>
      <w:r w:rsidR="00D5158A">
        <w:rPr>
          <w:szCs w:val="24"/>
        </w:rPr>
        <w:t xml:space="preserve">ecoregions </w:t>
      </w:r>
      <w:r w:rsidR="003D0253">
        <w:rPr>
          <w:szCs w:val="24"/>
        </w:rPr>
        <w:t xml:space="preserve">have </w:t>
      </w:r>
      <w:r w:rsidR="005916CB">
        <w:rPr>
          <w:szCs w:val="24"/>
        </w:rPr>
        <w:t>&lt;</w:t>
      </w:r>
      <w:r w:rsidR="00D5158A">
        <w:rPr>
          <w:szCs w:val="24"/>
        </w:rPr>
        <w:t xml:space="preserve"> </w:t>
      </w:r>
      <w:r w:rsidR="00880377">
        <w:rPr>
          <w:szCs w:val="24"/>
        </w:rPr>
        <w:t>10</w:t>
      </w:r>
      <w:r w:rsidR="00642653">
        <w:rPr>
          <w:szCs w:val="24"/>
        </w:rPr>
        <w:t>% PA</w:t>
      </w:r>
      <w:r w:rsidR="003D0253">
        <w:rPr>
          <w:szCs w:val="24"/>
        </w:rPr>
        <w:t xml:space="preserve"> coverage</w:t>
      </w:r>
      <w:r w:rsidR="00D5158A">
        <w:rPr>
          <w:szCs w:val="24"/>
        </w:rPr>
        <w:t xml:space="preserve"> </w:t>
      </w:r>
      <w:r w:rsidR="005C4F73">
        <w:rPr>
          <w:szCs w:val="24"/>
        </w:rPr>
        <w:t xml:space="preserve">with </w:t>
      </w:r>
      <w:r w:rsidR="00642653">
        <w:rPr>
          <w:szCs w:val="24"/>
        </w:rPr>
        <w:t>only 3.5% of English lowland</w:t>
      </w:r>
      <w:r w:rsidR="00AB7710">
        <w:rPr>
          <w:szCs w:val="24"/>
        </w:rPr>
        <w:t>s</w:t>
      </w:r>
      <w:r w:rsidR="00082DDB">
        <w:rPr>
          <w:szCs w:val="24"/>
        </w:rPr>
        <w:t xml:space="preserve"> </w:t>
      </w:r>
      <w:r w:rsidR="00642653">
        <w:rPr>
          <w:szCs w:val="24"/>
        </w:rPr>
        <w:t>protected.</w:t>
      </w:r>
      <w:r w:rsidR="00B619F5">
        <w:rPr>
          <w:szCs w:val="24"/>
        </w:rPr>
        <w:t xml:space="preserve"> </w:t>
      </w:r>
      <w:r w:rsidR="00006F87">
        <w:rPr>
          <w:szCs w:val="24"/>
        </w:rPr>
        <w:t xml:space="preserve">These </w:t>
      </w:r>
      <w:r w:rsidR="000D0A1B">
        <w:rPr>
          <w:szCs w:val="24"/>
        </w:rPr>
        <w:t xml:space="preserve">analyses </w:t>
      </w:r>
      <w:r w:rsidR="0024492D">
        <w:rPr>
          <w:szCs w:val="24"/>
        </w:rPr>
        <w:t xml:space="preserve">also </w:t>
      </w:r>
      <w:r w:rsidR="00D5158A">
        <w:rPr>
          <w:szCs w:val="24"/>
        </w:rPr>
        <w:t xml:space="preserve">provide </w:t>
      </w:r>
      <w:r w:rsidR="0024492D">
        <w:rPr>
          <w:szCs w:val="24"/>
        </w:rPr>
        <w:t xml:space="preserve">more </w:t>
      </w:r>
      <w:r w:rsidR="00D5158A">
        <w:rPr>
          <w:szCs w:val="24"/>
        </w:rPr>
        <w:t>detailed</w:t>
      </w:r>
      <w:r w:rsidR="000D0A1B">
        <w:rPr>
          <w:szCs w:val="24"/>
        </w:rPr>
        <w:t xml:space="preserve"> </w:t>
      </w:r>
      <w:r w:rsidR="00D5158A">
        <w:rPr>
          <w:szCs w:val="24"/>
        </w:rPr>
        <w:t>information on</w:t>
      </w:r>
      <w:r w:rsidR="000D0A1B">
        <w:rPr>
          <w:szCs w:val="24"/>
        </w:rPr>
        <w:t xml:space="preserve"> the</w:t>
      </w:r>
      <w:r w:rsidR="00006F87">
        <w:rPr>
          <w:szCs w:val="24"/>
        </w:rPr>
        <w:t xml:space="preserve"> </w:t>
      </w:r>
      <w:r w:rsidR="005A692D">
        <w:rPr>
          <w:szCs w:val="24"/>
        </w:rPr>
        <w:t xml:space="preserve">spatial </w:t>
      </w:r>
      <w:r w:rsidR="00006F87">
        <w:rPr>
          <w:szCs w:val="24"/>
        </w:rPr>
        <w:t>distribution of the</w:t>
      </w:r>
      <w:r w:rsidR="000D0A1B">
        <w:rPr>
          <w:szCs w:val="24"/>
        </w:rPr>
        <w:t xml:space="preserve"> current PA network</w:t>
      </w:r>
      <w:r w:rsidR="007E0BC6">
        <w:rPr>
          <w:szCs w:val="24"/>
        </w:rPr>
        <w:t xml:space="preserve">, </w:t>
      </w:r>
      <w:r w:rsidR="00006F87">
        <w:rPr>
          <w:szCs w:val="24"/>
        </w:rPr>
        <w:t xml:space="preserve">reinforcing that </w:t>
      </w:r>
      <w:r w:rsidR="00761BEE">
        <w:rPr>
          <w:szCs w:val="24"/>
        </w:rPr>
        <w:t xml:space="preserve">it is still </w:t>
      </w:r>
      <w:r w:rsidR="00642653">
        <w:rPr>
          <w:szCs w:val="24"/>
        </w:rPr>
        <w:t>biased towards remote</w:t>
      </w:r>
      <w:r w:rsidR="000D0A1B">
        <w:rPr>
          <w:szCs w:val="24"/>
        </w:rPr>
        <w:t>,</w:t>
      </w:r>
      <w:r w:rsidR="00642653">
        <w:rPr>
          <w:szCs w:val="24"/>
        </w:rPr>
        <w:t xml:space="preserve"> </w:t>
      </w:r>
      <w:r w:rsidR="000D0A1B">
        <w:rPr>
          <w:szCs w:val="24"/>
        </w:rPr>
        <w:t xml:space="preserve">upland areas with lower agricultural potential. </w:t>
      </w:r>
      <w:r w:rsidR="00E52F76">
        <w:rPr>
          <w:szCs w:val="24"/>
        </w:rPr>
        <w:t>This helps explain why a</w:t>
      </w:r>
      <w:r w:rsidR="000D0A1B">
        <w:rPr>
          <w:szCs w:val="24"/>
        </w:rPr>
        <w:t xml:space="preserve">lmost half of </w:t>
      </w:r>
      <w:r w:rsidR="009A05F4">
        <w:rPr>
          <w:szCs w:val="24"/>
        </w:rPr>
        <w:t>the</w:t>
      </w:r>
      <w:r w:rsidR="00E52F76">
        <w:rPr>
          <w:szCs w:val="24"/>
        </w:rPr>
        <w:t xml:space="preserve"> P</w:t>
      </w:r>
      <w:r w:rsidR="000D0A1B">
        <w:rPr>
          <w:szCs w:val="24"/>
        </w:rPr>
        <w:t>A</w:t>
      </w:r>
      <w:r w:rsidR="008B1D67">
        <w:rPr>
          <w:szCs w:val="24"/>
        </w:rPr>
        <w:t xml:space="preserve"> network</w:t>
      </w:r>
      <w:r w:rsidR="000D0A1B">
        <w:rPr>
          <w:szCs w:val="24"/>
        </w:rPr>
        <w:t xml:space="preserve"> </w:t>
      </w:r>
      <w:r w:rsidR="009A05F4">
        <w:rPr>
          <w:szCs w:val="24"/>
        </w:rPr>
        <w:t xml:space="preserve">is composed of </w:t>
      </w:r>
      <w:r w:rsidR="000D0A1B">
        <w:rPr>
          <w:szCs w:val="24"/>
        </w:rPr>
        <w:t>land</w:t>
      </w:r>
      <w:r w:rsidR="007E36A5">
        <w:rPr>
          <w:szCs w:val="24"/>
        </w:rPr>
        <w:t>-</w:t>
      </w:r>
      <w:r w:rsidR="000D0A1B">
        <w:rPr>
          <w:szCs w:val="24"/>
        </w:rPr>
        <w:t xml:space="preserve">cover </w:t>
      </w:r>
      <w:r w:rsidR="00006F87">
        <w:rPr>
          <w:szCs w:val="24"/>
        </w:rPr>
        <w:t xml:space="preserve">classes </w:t>
      </w:r>
      <w:r w:rsidR="000D0A1B">
        <w:rPr>
          <w:szCs w:val="24"/>
        </w:rPr>
        <w:t xml:space="preserve">associated with </w:t>
      </w:r>
      <w:r w:rsidR="00B619F5" w:rsidRPr="00F124E3">
        <w:rPr>
          <w:szCs w:val="24"/>
        </w:rPr>
        <w:t xml:space="preserve">relatively remote or </w:t>
      </w:r>
      <w:r w:rsidR="00B619F5" w:rsidRPr="00E52F76">
        <w:rPr>
          <w:szCs w:val="24"/>
        </w:rPr>
        <w:t>ina</w:t>
      </w:r>
      <w:r w:rsidR="00B619F5">
        <w:rPr>
          <w:szCs w:val="24"/>
        </w:rPr>
        <w:t>ccessible</w:t>
      </w:r>
      <w:r w:rsidR="00B619F5" w:rsidDel="00E52F76">
        <w:rPr>
          <w:szCs w:val="24"/>
        </w:rPr>
        <w:t xml:space="preserve"> </w:t>
      </w:r>
      <w:r w:rsidR="00E52F76">
        <w:rPr>
          <w:szCs w:val="24"/>
        </w:rPr>
        <w:t>land</w:t>
      </w:r>
      <w:r w:rsidR="000D0A1B">
        <w:rPr>
          <w:szCs w:val="24"/>
        </w:rPr>
        <w:t>, such as coastal, montane and wetland vegetation</w:t>
      </w:r>
      <w:r w:rsidR="00BD0467">
        <w:rPr>
          <w:szCs w:val="24"/>
        </w:rPr>
        <w:t xml:space="preserve">. </w:t>
      </w:r>
      <w:r w:rsidR="00761BEE">
        <w:rPr>
          <w:szCs w:val="24"/>
        </w:rPr>
        <w:t>I</w:t>
      </w:r>
      <w:r w:rsidR="00BD0467">
        <w:rPr>
          <w:szCs w:val="24"/>
        </w:rPr>
        <w:t xml:space="preserve">t should be noted that many of these vegetation </w:t>
      </w:r>
      <w:r w:rsidR="00006F87">
        <w:rPr>
          <w:szCs w:val="24"/>
        </w:rPr>
        <w:t xml:space="preserve">classes </w:t>
      </w:r>
      <w:r w:rsidR="00BD0467">
        <w:rPr>
          <w:szCs w:val="24"/>
        </w:rPr>
        <w:t>have conservation importance and the PAs also contain a high percentage of woodland and semi-natural grassland. This suggests</w:t>
      </w:r>
      <w:r w:rsidR="004C69BE">
        <w:rPr>
          <w:szCs w:val="24"/>
        </w:rPr>
        <w:t xml:space="preserve"> that although</w:t>
      </w:r>
      <w:r w:rsidR="00BD0467">
        <w:rPr>
          <w:szCs w:val="24"/>
        </w:rPr>
        <w:t xml:space="preserve"> the P</w:t>
      </w:r>
      <w:r w:rsidR="00BD0467" w:rsidRPr="001D6887">
        <w:rPr>
          <w:szCs w:val="24"/>
        </w:rPr>
        <w:t>A network</w:t>
      </w:r>
      <w:r w:rsidR="004C69BE" w:rsidRPr="000912DD">
        <w:rPr>
          <w:szCs w:val="24"/>
        </w:rPr>
        <w:t xml:space="preserve"> is failing to represent different ecoregions adequately, it</w:t>
      </w:r>
      <w:r w:rsidR="00BD0467" w:rsidRPr="001D6887">
        <w:rPr>
          <w:szCs w:val="24"/>
        </w:rPr>
        <w:t xml:space="preserve"> is protecting many</w:t>
      </w:r>
      <w:r w:rsidR="00BD0467">
        <w:rPr>
          <w:szCs w:val="24"/>
        </w:rPr>
        <w:t xml:space="preserve"> important sites for biodiversity</w:t>
      </w:r>
      <w:r w:rsidR="0024492D">
        <w:rPr>
          <w:szCs w:val="24"/>
        </w:rPr>
        <w:t>.</w:t>
      </w:r>
    </w:p>
    <w:p w14:paraId="2E1A5BDF" w14:textId="77777777" w:rsidR="00B619F5" w:rsidRDefault="00B619F5" w:rsidP="00652C11">
      <w:pPr>
        <w:spacing w:line="480" w:lineRule="auto"/>
        <w:rPr>
          <w:szCs w:val="24"/>
        </w:rPr>
      </w:pPr>
    </w:p>
    <w:p w14:paraId="6CB2E548" w14:textId="1ECF3166" w:rsidR="003D6E52" w:rsidRDefault="00B619F5" w:rsidP="00436289">
      <w:pPr>
        <w:spacing w:line="480" w:lineRule="auto"/>
        <w:rPr>
          <w:szCs w:val="24"/>
        </w:rPr>
      </w:pPr>
      <w:r>
        <w:rPr>
          <w:szCs w:val="24"/>
        </w:rPr>
        <w:lastRenderedPageBreak/>
        <w:t xml:space="preserve">Such a </w:t>
      </w:r>
      <w:r w:rsidR="006C66C3">
        <w:rPr>
          <w:szCs w:val="24"/>
        </w:rPr>
        <w:t xml:space="preserve">bias </w:t>
      </w:r>
      <w:r>
        <w:rPr>
          <w:szCs w:val="24"/>
        </w:rPr>
        <w:t xml:space="preserve">in PA network </w:t>
      </w:r>
      <w:r w:rsidR="00AE76A3">
        <w:rPr>
          <w:szCs w:val="24"/>
        </w:rPr>
        <w:t xml:space="preserve">coverage </w:t>
      </w:r>
      <w:r>
        <w:rPr>
          <w:szCs w:val="24"/>
        </w:rPr>
        <w:t xml:space="preserve">is common, as </w:t>
      </w:r>
      <w:r w:rsidR="006A0AF1">
        <w:rPr>
          <w:szCs w:val="24"/>
        </w:rPr>
        <w:t>most national networks</w:t>
      </w:r>
      <w:r>
        <w:rPr>
          <w:szCs w:val="24"/>
        </w:rPr>
        <w:t xml:space="preserve"> over-represent</w:t>
      </w:r>
      <w:r w:rsidR="006A0AF1">
        <w:rPr>
          <w:szCs w:val="24"/>
        </w:rPr>
        <w:t xml:space="preserve"> areas </w:t>
      </w:r>
      <w:r w:rsidR="00006F87">
        <w:rPr>
          <w:szCs w:val="24"/>
        </w:rPr>
        <w:t xml:space="preserve">of </w:t>
      </w:r>
      <w:r w:rsidR="006A0AF1">
        <w:rPr>
          <w:szCs w:val="24"/>
        </w:rPr>
        <w:t xml:space="preserve">low </w:t>
      </w:r>
      <w:r w:rsidR="0024492D">
        <w:rPr>
          <w:szCs w:val="24"/>
        </w:rPr>
        <w:t xml:space="preserve">potential </w:t>
      </w:r>
      <w:r w:rsidR="00642653">
        <w:rPr>
          <w:szCs w:val="24"/>
        </w:rPr>
        <w:t>economic value</w:t>
      </w:r>
      <w:r w:rsidR="008A5CF2">
        <w:rPr>
          <w:szCs w:val="24"/>
        </w:rPr>
        <w:t xml:space="preserve"> </w:t>
      </w:r>
      <w:r w:rsidR="008A5CF2" w:rsidRPr="00E96541">
        <w:t>(Joppa and Pfaff, 2009)</w:t>
      </w:r>
      <w:r>
        <w:rPr>
          <w:szCs w:val="24"/>
        </w:rPr>
        <w:t xml:space="preserve">, but </w:t>
      </w:r>
      <w:r w:rsidR="002D6CCC">
        <w:rPr>
          <w:szCs w:val="24"/>
        </w:rPr>
        <w:t xml:space="preserve">this </w:t>
      </w:r>
      <w:r w:rsidR="00761BEE">
        <w:rPr>
          <w:szCs w:val="24"/>
        </w:rPr>
        <w:t>tendency</w:t>
      </w:r>
      <w:r w:rsidR="002D6CCC">
        <w:rPr>
          <w:szCs w:val="24"/>
        </w:rPr>
        <w:t xml:space="preserve"> seems to be particularly strong in England</w:t>
      </w:r>
      <w:r>
        <w:rPr>
          <w:szCs w:val="24"/>
        </w:rPr>
        <w:t>. This is because</w:t>
      </w:r>
      <w:r w:rsidR="002D6CCC">
        <w:rPr>
          <w:szCs w:val="24"/>
        </w:rPr>
        <w:t xml:space="preserve"> </w:t>
      </w:r>
      <w:r w:rsidR="00AB7710">
        <w:rPr>
          <w:szCs w:val="24"/>
        </w:rPr>
        <w:t>the</w:t>
      </w:r>
      <w:r w:rsidR="004C69BE">
        <w:rPr>
          <w:szCs w:val="24"/>
        </w:rPr>
        <w:t xml:space="preserve"> English</w:t>
      </w:r>
      <w:r w:rsidR="00AB7710">
        <w:rPr>
          <w:szCs w:val="24"/>
        </w:rPr>
        <w:t xml:space="preserve"> </w:t>
      </w:r>
      <w:r w:rsidR="002D6CCC">
        <w:rPr>
          <w:szCs w:val="24"/>
        </w:rPr>
        <w:t xml:space="preserve">PA system’s </w:t>
      </w:r>
      <w:r w:rsidR="00FC6380">
        <w:rPr>
          <w:szCs w:val="24"/>
        </w:rPr>
        <w:t>protection equality scor</w:t>
      </w:r>
      <w:r w:rsidR="00FC6380" w:rsidRPr="00517567">
        <w:rPr>
          <w:szCs w:val="24"/>
        </w:rPr>
        <w:t xml:space="preserve">e </w:t>
      </w:r>
      <w:r w:rsidR="00AB7710" w:rsidRPr="00517567">
        <w:rPr>
          <w:szCs w:val="24"/>
        </w:rPr>
        <w:t xml:space="preserve">of </w:t>
      </w:r>
      <w:r w:rsidR="0024492D" w:rsidRPr="00517567">
        <w:rPr>
          <w:szCs w:val="24"/>
        </w:rPr>
        <w:t>32</w:t>
      </w:r>
      <w:r w:rsidR="00BB0D83">
        <w:rPr>
          <w:szCs w:val="24"/>
        </w:rPr>
        <w:t>%</w:t>
      </w:r>
      <w:r w:rsidR="002D6CCC" w:rsidRPr="00517567">
        <w:rPr>
          <w:szCs w:val="24"/>
        </w:rPr>
        <w:t xml:space="preserve"> i</w:t>
      </w:r>
      <w:r w:rsidR="002D6CCC">
        <w:rPr>
          <w:szCs w:val="24"/>
        </w:rPr>
        <w:t xml:space="preserve">s </w:t>
      </w:r>
      <w:r w:rsidR="00AB7710">
        <w:rPr>
          <w:szCs w:val="24"/>
        </w:rPr>
        <w:t>lower</w:t>
      </w:r>
      <w:r w:rsidR="002D6CCC">
        <w:rPr>
          <w:szCs w:val="24"/>
        </w:rPr>
        <w:t xml:space="preserve"> than </w:t>
      </w:r>
      <w:r w:rsidR="00436289">
        <w:rPr>
          <w:szCs w:val="24"/>
        </w:rPr>
        <w:t xml:space="preserve">that of </w:t>
      </w:r>
      <w:r w:rsidR="004C69BE">
        <w:rPr>
          <w:szCs w:val="24"/>
        </w:rPr>
        <w:t xml:space="preserve">many </w:t>
      </w:r>
      <w:r w:rsidR="00DF2DA7">
        <w:rPr>
          <w:szCs w:val="24"/>
        </w:rPr>
        <w:t xml:space="preserve">other </w:t>
      </w:r>
      <w:r w:rsidR="00BB0D83">
        <w:rPr>
          <w:szCs w:val="24"/>
        </w:rPr>
        <w:t>nations</w:t>
      </w:r>
      <w:r w:rsidR="00687021">
        <w:rPr>
          <w:szCs w:val="24"/>
        </w:rPr>
        <w:t xml:space="preserve"> (</w:t>
      </w:r>
      <w:r w:rsidR="00687021" w:rsidRPr="00E96541">
        <w:t>Barr et al., 2011)</w:t>
      </w:r>
      <w:r w:rsidR="00902767">
        <w:rPr>
          <w:szCs w:val="24"/>
        </w:rPr>
        <w:t xml:space="preserve">, although similar </w:t>
      </w:r>
      <w:r w:rsidR="00835A9B">
        <w:rPr>
          <w:szCs w:val="24"/>
        </w:rPr>
        <w:t>to</w:t>
      </w:r>
      <w:r w:rsidR="00872473">
        <w:rPr>
          <w:szCs w:val="24"/>
        </w:rPr>
        <w:t xml:space="preserve"> </w:t>
      </w:r>
      <w:r w:rsidR="00BB0D83">
        <w:rPr>
          <w:szCs w:val="24"/>
        </w:rPr>
        <w:t xml:space="preserve">some </w:t>
      </w:r>
      <w:r w:rsidR="00835A9B">
        <w:rPr>
          <w:szCs w:val="24"/>
        </w:rPr>
        <w:t>other</w:t>
      </w:r>
      <w:r w:rsidR="00BB0D83">
        <w:rPr>
          <w:szCs w:val="24"/>
        </w:rPr>
        <w:t xml:space="preserve"> </w:t>
      </w:r>
      <w:r>
        <w:rPr>
          <w:szCs w:val="24"/>
        </w:rPr>
        <w:t xml:space="preserve">countries in </w:t>
      </w:r>
      <w:r w:rsidR="00EC054F">
        <w:rPr>
          <w:szCs w:val="24"/>
        </w:rPr>
        <w:t>Western</w:t>
      </w:r>
      <w:r>
        <w:rPr>
          <w:szCs w:val="24"/>
        </w:rPr>
        <w:t xml:space="preserve"> Europe</w:t>
      </w:r>
      <w:r w:rsidR="00006F87">
        <w:rPr>
          <w:szCs w:val="24"/>
        </w:rPr>
        <w:t>, such as Italy</w:t>
      </w:r>
      <w:r w:rsidR="00687021">
        <w:rPr>
          <w:szCs w:val="24"/>
        </w:rPr>
        <w:t xml:space="preserve"> </w:t>
      </w:r>
      <w:r w:rsidR="00006F87">
        <w:rPr>
          <w:szCs w:val="24"/>
        </w:rPr>
        <w:t>(33%)</w:t>
      </w:r>
      <w:r w:rsidR="00100EFC">
        <w:rPr>
          <w:szCs w:val="24"/>
        </w:rPr>
        <w:t xml:space="preserve"> and</w:t>
      </w:r>
      <w:r w:rsidR="00006F87">
        <w:rPr>
          <w:szCs w:val="24"/>
        </w:rPr>
        <w:t xml:space="preserve"> France (39%)</w:t>
      </w:r>
      <w:r w:rsidR="00835A9B">
        <w:rPr>
          <w:szCs w:val="24"/>
        </w:rPr>
        <w:t>.</w:t>
      </w:r>
      <w:r>
        <w:rPr>
          <w:szCs w:val="24"/>
        </w:rPr>
        <w:t xml:space="preserve"> </w:t>
      </w:r>
      <w:r w:rsidR="006855A9">
        <w:rPr>
          <w:szCs w:val="24"/>
        </w:rPr>
        <w:t xml:space="preserve">However, </w:t>
      </w:r>
      <w:r>
        <w:rPr>
          <w:szCs w:val="24"/>
        </w:rPr>
        <w:t xml:space="preserve">comparison of </w:t>
      </w:r>
      <w:r w:rsidR="004A623F">
        <w:rPr>
          <w:szCs w:val="24"/>
        </w:rPr>
        <w:t xml:space="preserve">equality scores </w:t>
      </w:r>
      <w:r w:rsidR="00AE76A3">
        <w:rPr>
          <w:szCs w:val="24"/>
        </w:rPr>
        <w:t>requires</w:t>
      </w:r>
      <w:r>
        <w:rPr>
          <w:szCs w:val="24"/>
        </w:rPr>
        <w:t xml:space="preserve"> caution, as they are </w:t>
      </w:r>
      <w:r w:rsidR="00AB7710">
        <w:rPr>
          <w:szCs w:val="24"/>
        </w:rPr>
        <w:t>based on the assumption that</w:t>
      </w:r>
      <w:r w:rsidR="004A623F">
        <w:rPr>
          <w:szCs w:val="24"/>
        </w:rPr>
        <w:t xml:space="preserve"> every conservation feature</w:t>
      </w:r>
      <w:r w:rsidR="004A623F" w:rsidRPr="004A623F">
        <w:rPr>
          <w:szCs w:val="24"/>
        </w:rPr>
        <w:t xml:space="preserve"> </w:t>
      </w:r>
      <w:r w:rsidR="0075072C">
        <w:rPr>
          <w:szCs w:val="24"/>
        </w:rPr>
        <w:t>deserves</w:t>
      </w:r>
      <w:r w:rsidR="004A623F">
        <w:rPr>
          <w:szCs w:val="24"/>
        </w:rPr>
        <w:t xml:space="preserve"> equal</w:t>
      </w:r>
      <w:r w:rsidR="0075072C">
        <w:rPr>
          <w:szCs w:val="24"/>
        </w:rPr>
        <w:t xml:space="preserve"> protection</w:t>
      </w:r>
      <w:r w:rsidR="004A623F">
        <w:rPr>
          <w:szCs w:val="24"/>
        </w:rPr>
        <w:t xml:space="preserve"> and thus implicitly </w:t>
      </w:r>
      <w:r w:rsidR="00AE5948">
        <w:rPr>
          <w:szCs w:val="24"/>
        </w:rPr>
        <w:t>has</w:t>
      </w:r>
      <w:r w:rsidR="004A623F">
        <w:rPr>
          <w:szCs w:val="24"/>
        </w:rPr>
        <w:t xml:space="preserve"> </w:t>
      </w:r>
      <w:r w:rsidR="00AE5948">
        <w:rPr>
          <w:szCs w:val="24"/>
        </w:rPr>
        <w:t>equal</w:t>
      </w:r>
      <w:r w:rsidR="004A623F">
        <w:rPr>
          <w:szCs w:val="24"/>
        </w:rPr>
        <w:t xml:space="preserve"> conservation value.</w:t>
      </w:r>
      <w:r w:rsidR="00AB7710">
        <w:rPr>
          <w:szCs w:val="24"/>
        </w:rPr>
        <w:t xml:space="preserve"> This is rarely the case </w:t>
      </w:r>
      <w:r w:rsidR="00AE5948">
        <w:rPr>
          <w:szCs w:val="24"/>
        </w:rPr>
        <w:t xml:space="preserve">but England, like most other countries, lacks </w:t>
      </w:r>
      <w:r w:rsidR="00082DDB">
        <w:rPr>
          <w:szCs w:val="24"/>
        </w:rPr>
        <w:t xml:space="preserve">nationally </w:t>
      </w:r>
      <w:r w:rsidR="00AE5948">
        <w:rPr>
          <w:szCs w:val="24"/>
        </w:rPr>
        <w:t>agreed targets on how much of each ecoregion should be protected. In the absence of such targets</w:t>
      </w:r>
      <w:r w:rsidR="00065642">
        <w:rPr>
          <w:szCs w:val="24"/>
        </w:rPr>
        <w:t>,</w:t>
      </w:r>
      <w:r w:rsidR="00AE5948">
        <w:rPr>
          <w:szCs w:val="24"/>
        </w:rPr>
        <w:t xml:space="preserve"> </w:t>
      </w:r>
      <w:r w:rsidR="00207D2B">
        <w:rPr>
          <w:szCs w:val="24"/>
        </w:rPr>
        <w:t xml:space="preserve">the </w:t>
      </w:r>
      <w:r w:rsidR="00AE5948">
        <w:rPr>
          <w:szCs w:val="24"/>
        </w:rPr>
        <w:t xml:space="preserve">protection equality analysis </w:t>
      </w:r>
      <w:r w:rsidR="00F96B90">
        <w:rPr>
          <w:szCs w:val="24"/>
        </w:rPr>
        <w:t xml:space="preserve">provides </w:t>
      </w:r>
      <w:r w:rsidR="0009463E">
        <w:rPr>
          <w:szCs w:val="24"/>
        </w:rPr>
        <w:t xml:space="preserve">a </w:t>
      </w:r>
      <w:r w:rsidR="00436289">
        <w:rPr>
          <w:szCs w:val="24"/>
        </w:rPr>
        <w:t xml:space="preserve">starting point to analyse the extent to which </w:t>
      </w:r>
      <w:r w:rsidR="003D6E52">
        <w:rPr>
          <w:szCs w:val="24"/>
        </w:rPr>
        <w:t>PA networks are representative</w:t>
      </w:r>
      <w:r w:rsidR="004E38D7">
        <w:rPr>
          <w:szCs w:val="24"/>
        </w:rPr>
        <w:t>.</w:t>
      </w:r>
      <w:r w:rsidR="0088238A" w:rsidDel="0088238A">
        <w:rPr>
          <w:szCs w:val="24"/>
        </w:rPr>
        <w:t xml:space="preserve"> </w:t>
      </w:r>
    </w:p>
    <w:p w14:paraId="31E7F500" w14:textId="77777777" w:rsidR="00B517C5" w:rsidRDefault="00B517C5" w:rsidP="00652C11">
      <w:pPr>
        <w:spacing w:line="480" w:lineRule="auto"/>
        <w:rPr>
          <w:szCs w:val="24"/>
        </w:rPr>
      </w:pPr>
    </w:p>
    <w:p w14:paraId="24F11C01" w14:textId="4913512B" w:rsidR="0033527C" w:rsidRDefault="00331A53" w:rsidP="00652C11">
      <w:pPr>
        <w:pStyle w:val="Heading3"/>
        <w:spacing w:line="480" w:lineRule="auto"/>
      </w:pPr>
      <w:r>
        <w:t xml:space="preserve">4.2 </w:t>
      </w:r>
      <w:r w:rsidR="0033527C">
        <w:t xml:space="preserve">The role of </w:t>
      </w:r>
      <w:r w:rsidR="00FC6380">
        <w:t>Large Conservation Areas</w:t>
      </w:r>
    </w:p>
    <w:p w14:paraId="1D7AE6C5" w14:textId="75075F83" w:rsidR="00642653" w:rsidRPr="00636D41" w:rsidRDefault="00642653" w:rsidP="00436289">
      <w:pPr>
        <w:pStyle w:val="CommentText"/>
        <w:spacing w:line="480" w:lineRule="auto"/>
        <w:rPr>
          <w:sz w:val="24"/>
          <w:szCs w:val="24"/>
        </w:rPr>
      </w:pPr>
      <w:r w:rsidRPr="00636D41">
        <w:rPr>
          <w:sz w:val="24"/>
          <w:szCs w:val="24"/>
        </w:rPr>
        <w:t>The</w:t>
      </w:r>
      <w:r w:rsidR="006855A9">
        <w:rPr>
          <w:sz w:val="24"/>
          <w:szCs w:val="24"/>
        </w:rPr>
        <w:t xml:space="preserve"> </w:t>
      </w:r>
      <w:r w:rsidR="006855A9" w:rsidRPr="00636D41">
        <w:rPr>
          <w:sz w:val="24"/>
          <w:szCs w:val="24"/>
        </w:rPr>
        <w:t>LSCI</w:t>
      </w:r>
      <w:r w:rsidR="006855A9">
        <w:rPr>
          <w:sz w:val="24"/>
          <w:szCs w:val="24"/>
        </w:rPr>
        <w:t xml:space="preserve"> approach</w:t>
      </w:r>
      <w:r w:rsidR="006855A9" w:rsidRPr="00636D41">
        <w:rPr>
          <w:sz w:val="24"/>
          <w:szCs w:val="24"/>
        </w:rPr>
        <w:t xml:space="preserve"> </w:t>
      </w:r>
      <w:r w:rsidR="00D53E4B" w:rsidRPr="00636D41">
        <w:rPr>
          <w:sz w:val="24"/>
          <w:szCs w:val="24"/>
        </w:rPr>
        <w:t>is seen</w:t>
      </w:r>
      <w:r w:rsidR="00C4582C">
        <w:rPr>
          <w:sz w:val="24"/>
          <w:szCs w:val="24"/>
        </w:rPr>
        <w:t xml:space="preserve"> by many</w:t>
      </w:r>
      <w:r w:rsidR="00A07CB3" w:rsidRPr="00636D41">
        <w:rPr>
          <w:sz w:val="24"/>
          <w:szCs w:val="24"/>
        </w:rPr>
        <w:t xml:space="preserve"> as </w:t>
      </w:r>
      <w:r w:rsidR="00507C2A" w:rsidRPr="00636D41">
        <w:rPr>
          <w:sz w:val="24"/>
          <w:szCs w:val="24"/>
        </w:rPr>
        <w:t xml:space="preserve">one of </w:t>
      </w:r>
      <w:r w:rsidR="00A07CB3" w:rsidRPr="00636D41">
        <w:rPr>
          <w:sz w:val="24"/>
          <w:szCs w:val="24"/>
        </w:rPr>
        <w:t xml:space="preserve">the most </w:t>
      </w:r>
      <w:r w:rsidR="00137A19" w:rsidRPr="00636D41">
        <w:rPr>
          <w:sz w:val="24"/>
          <w:szCs w:val="24"/>
        </w:rPr>
        <w:t>effective</w:t>
      </w:r>
      <w:r w:rsidR="00A07CB3" w:rsidRPr="00636D41">
        <w:rPr>
          <w:sz w:val="24"/>
          <w:szCs w:val="24"/>
        </w:rPr>
        <w:t xml:space="preserve"> way</w:t>
      </w:r>
      <w:r w:rsidR="00050EB4" w:rsidRPr="00636D41">
        <w:rPr>
          <w:sz w:val="24"/>
          <w:szCs w:val="24"/>
        </w:rPr>
        <w:t>s</w:t>
      </w:r>
      <w:r w:rsidR="00A07CB3" w:rsidRPr="00636D41">
        <w:rPr>
          <w:sz w:val="24"/>
          <w:szCs w:val="24"/>
        </w:rPr>
        <w:t xml:space="preserve"> of achieving the required </w:t>
      </w:r>
      <w:r w:rsidRPr="00636D41">
        <w:rPr>
          <w:sz w:val="24"/>
          <w:szCs w:val="24"/>
        </w:rPr>
        <w:t>change</w:t>
      </w:r>
      <w:r w:rsidR="00B40F56">
        <w:rPr>
          <w:sz w:val="24"/>
          <w:szCs w:val="24"/>
        </w:rPr>
        <w:t xml:space="preserve"> </w:t>
      </w:r>
      <w:r w:rsidRPr="00636D41">
        <w:rPr>
          <w:sz w:val="24"/>
          <w:szCs w:val="24"/>
        </w:rPr>
        <w:t>in conservation efforts</w:t>
      </w:r>
      <w:r w:rsidR="006855A9">
        <w:rPr>
          <w:sz w:val="24"/>
          <w:szCs w:val="24"/>
        </w:rPr>
        <w:t xml:space="preserve">, </w:t>
      </w:r>
      <w:r w:rsidR="00502515">
        <w:rPr>
          <w:sz w:val="24"/>
          <w:szCs w:val="24"/>
        </w:rPr>
        <w:t xml:space="preserve">to </w:t>
      </w:r>
      <w:r w:rsidR="00A07CB3" w:rsidRPr="00636D41">
        <w:rPr>
          <w:sz w:val="24"/>
          <w:szCs w:val="24"/>
        </w:rPr>
        <w:t xml:space="preserve">meet </w:t>
      </w:r>
      <w:r w:rsidR="00CF2A0C" w:rsidRPr="00636D41">
        <w:rPr>
          <w:sz w:val="24"/>
          <w:szCs w:val="24"/>
        </w:rPr>
        <w:t xml:space="preserve">both </w:t>
      </w:r>
      <w:r w:rsidR="00A07CB3" w:rsidRPr="00636D41">
        <w:rPr>
          <w:sz w:val="24"/>
          <w:szCs w:val="24"/>
        </w:rPr>
        <w:t xml:space="preserve">national </w:t>
      </w:r>
      <w:r w:rsidR="00186828" w:rsidRPr="00636D41">
        <w:rPr>
          <w:sz w:val="24"/>
          <w:szCs w:val="24"/>
        </w:rPr>
        <w:t>and international obligations</w:t>
      </w:r>
      <w:r w:rsidR="00967420">
        <w:rPr>
          <w:sz w:val="24"/>
          <w:szCs w:val="24"/>
        </w:rPr>
        <w:t xml:space="preserve"> </w:t>
      </w:r>
      <w:r w:rsidR="00967420" w:rsidRPr="00636D41">
        <w:rPr>
          <w:sz w:val="24"/>
          <w:szCs w:val="24"/>
        </w:rPr>
        <w:t>(</w:t>
      </w:r>
      <w:r w:rsidR="00436289">
        <w:rPr>
          <w:sz w:val="24"/>
          <w:szCs w:val="24"/>
        </w:rPr>
        <w:t xml:space="preserve">CBD 2011; </w:t>
      </w:r>
      <w:r w:rsidR="00967420" w:rsidRPr="00636D41">
        <w:rPr>
          <w:sz w:val="24"/>
          <w:szCs w:val="24"/>
        </w:rPr>
        <w:t>Macgregor et al., 2012)</w:t>
      </w:r>
      <w:r w:rsidRPr="00636D41">
        <w:rPr>
          <w:sz w:val="24"/>
          <w:szCs w:val="24"/>
        </w:rPr>
        <w:t xml:space="preserve">. </w:t>
      </w:r>
      <w:r w:rsidR="00FC6A4B" w:rsidRPr="00636D41">
        <w:rPr>
          <w:sz w:val="24"/>
          <w:szCs w:val="24"/>
        </w:rPr>
        <w:t>W</w:t>
      </w:r>
      <w:r w:rsidR="00A07CB3" w:rsidRPr="00636D41">
        <w:rPr>
          <w:sz w:val="24"/>
          <w:szCs w:val="24"/>
        </w:rPr>
        <w:t xml:space="preserve">e </w:t>
      </w:r>
      <w:r w:rsidR="00186828" w:rsidRPr="00636D41">
        <w:rPr>
          <w:sz w:val="24"/>
          <w:szCs w:val="24"/>
        </w:rPr>
        <w:t xml:space="preserve">investigated the </w:t>
      </w:r>
      <w:r w:rsidR="006855A9">
        <w:rPr>
          <w:sz w:val="24"/>
          <w:szCs w:val="24"/>
        </w:rPr>
        <w:t xml:space="preserve">current role of </w:t>
      </w:r>
      <w:r w:rsidR="00F47067" w:rsidRPr="00636D41">
        <w:rPr>
          <w:sz w:val="24"/>
          <w:szCs w:val="24"/>
        </w:rPr>
        <w:t>LSCIs</w:t>
      </w:r>
      <w:r w:rsidR="00186828" w:rsidRPr="00636D41">
        <w:rPr>
          <w:sz w:val="24"/>
          <w:szCs w:val="24"/>
        </w:rPr>
        <w:t xml:space="preserve"> by </w:t>
      </w:r>
      <w:r w:rsidR="00A07CB3" w:rsidRPr="00636D41">
        <w:rPr>
          <w:sz w:val="24"/>
          <w:szCs w:val="24"/>
        </w:rPr>
        <w:t>divid</w:t>
      </w:r>
      <w:r w:rsidR="00186828" w:rsidRPr="00636D41">
        <w:rPr>
          <w:sz w:val="24"/>
          <w:szCs w:val="24"/>
        </w:rPr>
        <w:t xml:space="preserve">ing them </w:t>
      </w:r>
      <w:r w:rsidR="00A07CB3" w:rsidRPr="00636D41">
        <w:rPr>
          <w:sz w:val="24"/>
          <w:szCs w:val="24"/>
        </w:rPr>
        <w:t xml:space="preserve">into two groups based on </w:t>
      </w:r>
      <w:r w:rsidR="00FC6A4B" w:rsidRPr="00636D41">
        <w:rPr>
          <w:sz w:val="24"/>
          <w:szCs w:val="24"/>
        </w:rPr>
        <w:t>tenure</w:t>
      </w:r>
      <w:r w:rsidR="00A07CB3" w:rsidRPr="00636D41">
        <w:rPr>
          <w:sz w:val="24"/>
          <w:szCs w:val="24"/>
        </w:rPr>
        <w:t xml:space="preserve"> and </w:t>
      </w:r>
      <w:r w:rsidR="00436289">
        <w:rPr>
          <w:sz w:val="24"/>
          <w:szCs w:val="24"/>
        </w:rPr>
        <w:t xml:space="preserve">level of </w:t>
      </w:r>
      <w:r w:rsidR="00A07CB3" w:rsidRPr="00636D41">
        <w:rPr>
          <w:sz w:val="24"/>
          <w:szCs w:val="24"/>
        </w:rPr>
        <w:t>management</w:t>
      </w:r>
      <w:r w:rsidR="00436289">
        <w:rPr>
          <w:sz w:val="24"/>
          <w:szCs w:val="24"/>
        </w:rPr>
        <w:t xml:space="preserve"> for conservation objectives</w:t>
      </w:r>
      <w:r w:rsidR="00A07CB3" w:rsidRPr="00636D41">
        <w:rPr>
          <w:sz w:val="24"/>
          <w:szCs w:val="24"/>
        </w:rPr>
        <w:t xml:space="preserve">. Type 1 </w:t>
      </w:r>
      <w:r w:rsidR="00F47067" w:rsidRPr="00636D41">
        <w:rPr>
          <w:sz w:val="24"/>
          <w:szCs w:val="24"/>
        </w:rPr>
        <w:t>LSCIs</w:t>
      </w:r>
      <w:r w:rsidR="00A07CB3" w:rsidRPr="00636D41">
        <w:rPr>
          <w:sz w:val="24"/>
          <w:szCs w:val="24"/>
        </w:rPr>
        <w:t xml:space="preserve"> are owned and managed</w:t>
      </w:r>
      <w:r w:rsidR="00CF2A0C" w:rsidRPr="00636D41">
        <w:rPr>
          <w:sz w:val="24"/>
          <w:szCs w:val="24"/>
        </w:rPr>
        <w:t xml:space="preserve"> primarily for conservation</w:t>
      </w:r>
      <w:r w:rsidR="00A07CB3" w:rsidRPr="00636D41">
        <w:rPr>
          <w:sz w:val="24"/>
          <w:szCs w:val="24"/>
        </w:rPr>
        <w:t xml:space="preserve"> by one or </w:t>
      </w:r>
      <w:r w:rsidR="00CF2A0C" w:rsidRPr="00636D41">
        <w:rPr>
          <w:sz w:val="24"/>
          <w:szCs w:val="24"/>
        </w:rPr>
        <w:t xml:space="preserve">a few </w:t>
      </w:r>
      <w:r w:rsidR="00186828" w:rsidRPr="00636D41">
        <w:rPr>
          <w:sz w:val="24"/>
          <w:szCs w:val="24"/>
        </w:rPr>
        <w:t>landowners and</w:t>
      </w:r>
      <w:r w:rsidR="00CF2A0C" w:rsidRPr="00636D41">
        <w:rPr>
          <w:sz w:val="24"/>
          <w:szCs w:val="24"/>
        </w:rPr>
        <w:t xml:space="preserve"> are often based on</w:t>
      </w:r>
      <w:r w:rsidR="00186828" w:rsidRPr="00636D41">
        <w:rPr>
          <w:sz w:val="24"/>
          <w:szCs w:val="24"/>
        </w:rPr>
        <w:t xml:space="preserve"> several existing</w:t>
      </w:r>
      <w:r w:rsidR="00293675" w:rsidRPr="00636D41">
        <w:rPr>
          <w:sz w:val="24"/>
          <w:szCs w:val="24"/>
        </w:rPr>
        <w:t xml:space="preserve"> NNRs and</w:t>
      </w:r>
      <w:r w:rsidR="00186828" w:rsidRPr="00636D41">
        <w:rPr>
          <w:sz w:val="24"/>
          <w:szCs w:val="24"/>
        </w:rPr>
        <w:t xml:space="preserve"> SSSIs. </w:t>
      </w:r>
      <w:r w:rsidR="004C69BE">
        <w:rPr>
          <w:sz w:val="24"/>
          <w:szCs w:val="24"/>
        </w:rPr>
        <w:t>There are relatively few of these LSCIs and n</w:t>
      </w:r>
      <w:r w:rsidR="00186828" w:rsidRPr="00636D41">
        <w:rPr>
          <w:sz w:val="24"/>
          <w:szCs w:val="24"/>
        </w:rPr>
        <w:t xml:space="preserve">early </w:t>
      </w:r>
      <w:r w:rsidR="00014ADA" w:rsidRPr="00636D41">
        <w:rPr>
          <w:sz w:val="24"/>
          <w:szCs w:val="24"/>
        </w:rPr>
        <w:t>half</w:t>
      </w:r>
      <w:r w:rsidR="00186828" w:rsidRPr="00636D41">
        <w:rPr>
          <w:sz w:val="24"/>
          <w:szCs w:val="24"/>
        </w:rPr>
        <w:t xml:space="preserve"> of the</w:t>
      </w:r>
      <w:r w:rsidR="004C69BE">
        <w:rPr>
          <w:sz w:val="24"/>
          <w:szCs w:val="24"/>
        </w:rPr>
        <w:t>m</w:t>
      </w:r>
      <w:r w:rsidR="00186828" w:rsidRPr="00636D41">
        <w:rPr>
          <w:sz w:val="24"/>
          <w:szCs w:val="24"/>
        </w:rPr>
        <w:t xml:space="preserve"> have PA status</w:t>
      </w:r>
      <w:r w:rsidR="004C69BE">
        <w:rPr>
          <w:sz w:val="24"/>
          <w:szCs w:val="24"/>
        </w:rPr>
        <w:t xml:space="preserve">, which </w:t>
      </w:r>
      <w:r w:rsidR="00186828" w:rsidRPr="00636D41">
        <w:rPr>
          <w:sz w:val="24"/>
          <w:szCs w:val="24"/>
        </w:rPr>
        <w:t xml:space="preserve">explains why adding </w:t>
      </w:r>
      <w:r w:rsidR="009D6631" w:rsidRPr="00636D41">
        <w:rPr>
          <w:sz w:val="24"/>
          <w:szCs w:val="24"/>
        </w:rPr>
        <w:t>them to the gap analysis made little difference</w:t>
      </w:r>
      <w:r w:rsidR="004C69BE">
        <w:rPr>
          <w:sz w:val="24"/>
          <w:szCs w:val="24"/>
        </w:rPr>
        <w:t xml:space="preserve"> to the area </w:t>
      </w:r>
      <w:r w:rsidRPr="00636D41">
        <w:rPr>
          <w:sz w:val="24"/>
          <w:szCs w:val="24"/>
        </w:rPr>
        <w:t>dedicated for conservation</w:t>
      </w:r>
      <w:r w:rsidR="006855A9">
        <w:rPr>
          <w:sz w:val="24"/>
          <w:szCs w:val="24"/>
        </w:rPr>
        <w:t xml:space="preserve"> </w:t>
      </w:r>
      <w:r w:rsidR="004C69BE">
        <w:rPr>
          <w:sz w:val="24"/>
          <w:szCs w:val="24"/>
        </w:rPr>
        <w:t>or</w:t>
      </w:r>
      <w:r w:rsidR="004C69BE" w:rsidRPr="00636D41">
        <w:rPr>
          <w:sz w:val="24"/>
          <w:szCs w:val="24"/>
        </w:rPr>
        <w:t xml:space="preserve"> </w:t>
      </w:r>
      <w:r w:rsidR="00A71344">
        <w:rPr>
          <w:sz w:val="24"/>
          <w:szCs w:val="24"/>
        </w:rPr>
        <w:t xml:space="preserve">the </w:t>
      </w:r>
      <w:r w:rsidR="00014ADA" w:rsidRPr="00636D41">
        <w:rPr>
          <w:sz w:val="24"/>
          <w:szCs w:val="24"/>
        </w:rPr>
        <w:t xml:space="preserve">spatial bias </w:t>
      </w:r>
      <w:r w:rsidR="006855A9">
        <w:rPr>
          <w:sz w:val="24"/>
          <w:szCs w:val="24"/>
        </w:rPr>
        <w:t>in the area conserved</w:t>
      </w:r>
      <w:r w:rsidRPr="00636D41">
        <w:rPr>
          <w:sz w:val="24"/>
          <w:szCs w:val="24"/>
        </w:rPr>
        <w:t>.</w:t>
      </w:r>
      <w:r w:rsidR="00C90293" w:rsidRPr="00636D41">
        <w:rPr>
          <w:sz w:val="24"/>
          <w:szCs w:val="24"/>
        </w:rPr>
        <w:t xml:space="preserve"> This is </w:t>
      </w:r>
      <w:r w:rsidR="00293675" w:rsidRPr="00636D41">
        <w:rPr>
          <w:sz w:val="24"/>
          <w:szCs w:val="24"/>
        </w:rPr>
        <w:t xml:space="preserve">probably </w:t>
      </w:r>
      <w:r w:rsidR="00C90293" w:rsidRPr="00636D41">
        <w:rPr>
          <w:sz w:val="24"/>
          <w:szCs w:val="24"/>
        </w:rPr>
        <w:t>because t</w:t>
      </w:r>
      <w:r w:rsidRPr="00636D41">
        <w:rPr>
          <w:sz w:val="24"/>
          <w:szCs w:val="24"/>
        </w:rPr>
        <w:t xml:space="preserve">he mechanism </w:t>
      </w:r>
      <w:r w:rsidR="00C90293" w:rsidRPr="00636D41">
        <w:rPr>
          <w:sz w:val="24"/>
          <w:szCs w:val="24"/>
        </w:rPr>
        <w:t xml:space="preserve">for </w:t>
      </w:r>
      <w:r w:rsidRPr="00636D41">
        <w:rPr>
          <w:sz w:val="24"/>
          <w:szCs w:val="24"/>
        </w:rPr>
        <w:t xml:space="preserve">establishing such </w:t>
      </w:r>
      <w:r w:rsidR="00F47067" w:rsidRPr="00636D41">
        <w:rPr>
          <w:sz w:val="24"/>
          <w:szCs w:val="24"/>
        </w:rPr>
        <w:t>LSCIs</w:t>
      </w:r>
      <w:r w:rsidRPr="00636D41">
        <w:rPr>
          <w:sz w:val="24"/>
          <w:szCs w:val="24"/>
        </w:rPr>
        <w:t xml:space="preserve"> </w:t>
      </w:r>
      <w:r w:rsidR="00B7364B" w:rsidRPr="00636D41">
        <w:rPr>
          <w:sz w:val="24"/>
          <w:szCs w:val="24"/>
        </w:rPr>
        <w:t xml:space="preserve">is </w:t>
      </w:r>
      <w:r w:rsidRPr="00636D41">
        <w:rPr>
          <w:sz w:val="24"/>
          <w:szCs w:val="24"/>
        </w:rPr>
        <w:t>similar to the creation of large PAs</w:t>
      </w:r>
      <w:r w:rsidR="00C90293" w:rsidRPr="00636D41">
        <w:rPr>
          <w:sz w:val="24"/>
          <w:szCs w:val="24"/>
        </w:rPr>
        <w:t>,</w:t>
      </w:r>
      <w:r w:rsidRPr="00636D41">
        <w:rPr>
          <w:sz w:val="24"/>
          <w:szCs w:val="24"/>
        </w:rPr>
        <w:t xml:space="preserve"> </w:t>
      </w:r>
      <w:r w:rsidR="00FB1C7B">
        <w:rPr>
          <w:sz w:val="24"/>
          <w:szCs w:val="24"/>
        </w:rPr>
        <w:t xml:space="preserve">involving </w:t>
      </w:r>
      <w:r w:rsidRPr="00636D41">
        <w:rPr>
          <w:sz w:val="24"/>
          <w:szCs w:val="24"/>
        </w:rPr>
        <w:t xml:space="preserve">considerable </w:t>
      </w:r>
      <w:r w:rsidR="00CF2A0C" w:rsidRPr="00636D41">
        <w:rPr>
          <w:sz w:val="24"/>
          <w:szCs w:val="24"/>
        </w:rPr>
        <w:t xml:space="preserve">land </w:t>
      </w:r>
      <w:r w:rsidR="00C90293" w:rsidRPr="00636D41">
        <w:rPr>
          <w:sz w:val="24"/>
          <w:szCs w:val="24"/>
        </w:rPr>
        <w:t>acquisition</w:t>
      </w:r>
      <w:r w:rsidR="0087118D">
        <w:rPr>
          <w:sz w:val="24"/>
          <w:szCs w:val="24"/>
        </w:rPr>
        <w:t xml:space="preserve"> costs</w:t>
      </w:r>
      <w:r w:rsidR="00100EFC">
        <w:rPr>
          <w:sz w:val="24"/>
          <w:szCs w:val="24"/>
        </w:rPr>
        <w:t xml:space="preserve"> </w:t>
      </w:r>
      <w:r w:rsidR="00E96541" w:rsidRPr="00636D41">
        <w:rPr>
          <w:sz w:val="24"/>
          <w:szCs w:val="24"/>
        </w:rPr>
        <w:t>(Naidoo et al., 2006)</w:t>
      </w:r>
      <w:r w:rsidRPr="00636D41">
        <w:rPr>
          <w:sz w:val="24"/>
          <w:szCs w:val="24"/>
        </w:rPr>
        <w:t xml:space="preserve">. </w:t>
      </w:r>
      <w:r w:rsidR="0087118D">
        <w:rPr>
          <w:sz w:val="24"/>
          <w:szCs w:val="24"/>
        </w:rPr>
        <w:t>Once established, m</w:t>
      </w:r>
      <w:r w:rsidR="004726C6" w:rsidRPr="00636D41">
        <w:rPr>
          <w:sz w:val="24"/>
          <w:szCs w:val="24"/>
        </w:rPr>
        <w:t xml:space="preserve">anagement costs per </w:t>
      </w:r>
      <w:r w:rsidR="00FB1C7B">
        <w:rPr>
          <w:sz w:val="24"/>
          <w:szCs w:val="24"/>
        </w:rPr>
        <w:t xml:space="preserve">unit </w:t>
      </w:r>
      <w:r w:rsidR="00851846" w:rsidRPr="00636D41">
        <w:rPr>
          <w:sz w:val="24"/>
          <w:szCs w:val="24"/>
        </w:rPr>
        <w:t>area</w:t>
      </w:r>
      <w:r w:rsidR="004726C6" w:rsidRPr="00636D41">
        <w:rPr>
          <w:sz w:val="24"/>
          <w:szCs w:val="24"/>
        </w:rPr>
        <w:t xml:space="preserve"> decline as PA size </w:t>
      </w:r>
      <w:r w:rsidR="004726C6" w:rsidRPr="00636D41">
        <w:rPr>
          <w:sz w:val="24"/>
          <w:szCs w:val="24"/>
        </w:rPr>
        <w:lastRenderedPageBreak/>
        <w:t>increases</w:t>
      </w:r>
      <w:r w:rsidR="00C90293" w:rsidRPr="00636D41">
        <w:rPr>
          <w:sz w:val="24"/>
          <w:szCs w:val="24"/>
        </w:rPr>
        <w:t xml:space="preserve"> </w:t>
      </w:r>
      <w:r w:rsidR="00E96541" w:rsidRPr="00636D41">
        <w:rPr>
          <w:sz w:val="24"/>
          <w:szCs w:val="24"/>
        </w:rPr>
        <w:t>(Armsworth et al., 2011; Ausden and Hirons, 2002)</w:t>
      </w:r>
      <w:r w:rsidR="00C90293" w:rsidRPr="00636D41">
        <w:rPr>
          <w:sz w:val="24"/>
          <w:szCs w:val="24"/>
        </w:rPr>
        <w:t xml:space="preserve">, </w:t>
      </w:r>
      <w:r w:rsidR="004726C6" w:rsidRPr="00636D41">
        <w:rPr>
          <w:sz w:val="24"/>
          <w:szCs w:val="24"/>
        </w:rPr>
        <w:t xml:space="preserve">suggesting Type 1 </w:t>
      </w:r>
      <w:r w:rsidR="00F47067" w:rsidRPr="00636D41">
        <w:rPr>
          <w:sz w:val="24"/>
          <w:szCs w:val="24"/>
        </w:rPr>
        <w:t>LSCIs</w:t>
      </w:r>
      <w:r w:rsidR="004726C6" w:rsidRPr="00636D41">
        <w:rPr>
          <w:sz w:val="24"/>
          <w:szCs w:val="24"/>
        </w:rPr>
        <w:t xml:space="preserve"> have financial as well as ecological benefits when compared to </w:t>
      </w:r>
      <w:r w:rsidRPr="00636D41">
        <w:rPr>
          <w:sz w:val="24"/>
          <w:szCs w:val="24"/>
        </w:rPr>
        <w:t xml:space="preserve">a </w:t>
      </w:r>
      <w:r w:rsidR="004726C6" w:rsidRPr="00636D41">
        <w:rPr>
          <w:sz w:val="24"/>
          <w:szCs w:val="24"/>
        </w:rPr>
        <w:t xml:space="preserve">set </w:t>
      </w:r>
      <w:r w:rsidRPr="00636D41">
        <w:rPr>
          <w:sz w:val="24"/>
          <w:szCs w:val="24"/>
        </w:rPr>
        <w:t>of small</w:t>
      </w:r>
      <w:r w:rsidR="004726C6" w:rsidRPr="00636D41">
        <w:rPr>
          <w:sz w:val="24"/>
          <w:szCs w:val="24"/>
        </w:rPr>
        <w:t>er</w:t>
      </w:r>
      <w:r w:rsidRPr="00636D41">
        <w:rPr>
          <w:sz w:val="24"/>
          <w:szCs w:val="24"/>
        </w:rPr>
        <w:t xml:space="preserve"> </w:t>
      </w:r>
      <w:r w:rsidR="004726C6" w:rsidRPr="00636D41">
        <w:rPr>
          <w:sz w:val="24"/>
          <w:szCs w:val="24"/>
        </w:rPr>
        <w:t>PAs</w:t>
      </w:r>
      <w:r w:rsidRPr="00636D41">
        <w:rPr>
          <w:sz w:val="24"/>
          <w:szCs w:val="24"/>
        </w:rPr>
        <w:t xml:space="preserve">. </w:t>
      </w:r>
      <w:r w:rsidR="00636D41" w:rsidRPr="00636D41">
        <w:rPr>
          <w:sz w:val="24"/>
          <w:szCs w:val="24"/>
        </w:rPr>
        <w:t>However, creating such LSCIs requires</w:t>
      </w:r>
      <w:r w:rsidR="004C69BE" w:rsidRPr="004C69BE">
        <w:t xml:space="preserve"> </w:t>
      </w:r>
      <w:r w:rsidR="004C69BE" w:rsidRPr="004C69BE">
        <w:rPr>
          <w:sz w:val="24"/>
          <w:szCs w:val="24"/>
        </w:rPr>
        <w:t>the availability of large blocks of existing conservation land, or</w:t>
      </w:r>
      <w:r w:rsidR="00FB1C7B">
        <w:rPr>
          <w:sz w:val="24"/>
          <w:szCs w:val="24"/>
        </w:rPr>
        <w:t xml:space="preserve"> willingness on the part of adjacent</w:t>
      </w:r>
      <w:r w:rsidR="00636D41" w:rsidRPr="00636D41">
        <w:rPr>
          <w:sz w:val="24"/>
          <w:szCs w:val="24"/>
        </w:rPr>
        <w:t xml:space="preserve"> landowners to sell or lease their land for conservation, which is </w:t>
      </w:r>
      <w:r w:rsidR="00FB1C7B">
        <w:rPr>
          <w:sz w:val="24"/>
          <w:szCs w:val="24"/>
        </w:rPr>
        <w:t>un</w:t>
      </w:r>
      <w:r w:rsidR="00636D41" w:rsidRPr="00636D41">
        <w:rPr>
          <w:sz w:val="24"/>
          <w:szCs w:val="24"/>
        </w:rPr>
        <w:t>likely on high-quality agricultural land (Adams et al., 2014; Knight et al., 2010).</w:t>
      </w:r>
    </w:p>
    <w:p w14:paraId="4E365A7F" w14:textId="77777777" w:rsidR="00FB3B8D" w:rsidRDefault="00FB3B8D" w:rsidP="00652C11">
      <w:pPr>
        <w:spacing w:line="480" w:lineRule="auto"/>
        <w:rPr>
          <w:szCs w:val="24"/>
        </w:rPr>
      </w:pPr>
    </w:p>
    <w:p w14:paraId="184C82E8" w14:textId="4ABF5C78" w:rsidR="00AC708A" w:rsidRDefault="00FB3B8D" w:rsidP="00BA5A9F">
      <w:pPr>
        <w:spacing w:line="480" w:lineRule="auto"/>
        <w:rPr>
          <w:szCs w:val="24"/>
        </w:rPr>
      </w:pPr>
      <w:r>
        <w:rPr>
          <w:szCs w:val="24"/>
        </w:rPr>
        <w:t xml:space="preserve">In contrast, Type 2 </w:t>
      </w:r>
      <w:r w:rsidR="00F47067">
        <w:rPr>
          <w:szCs w:val="24"/>
        </w:rPr>
        <w:t>LSCIs</w:t>
      </w:r>
      <w:r>
        <w:rPr>
          <w:szCs w:val="24"/>
        </w:rPr>
        <w:t xml:space="preserve"> are much more widespread than PAs and Type 1 </w:t>
      </w:r>
      <w:r w:rsidR="00F47067">
        <w:rPr>
          <w:szCs w:val="24"/>
        </w:rPr>
        <w:t>LSCIs</w:t>
      </w:r>
      <w:r>
        <w:rPr>
          <w:szCs w:val="24"/>
        </w:rPr>
        <w:t xml:space="preserve"> and</w:t>
      </w:r>
      <w:r w:rsidR="00534A3A">
        <w:rPr>
          <w:szCs w:val="24"/>
        </w:rPr>
        <w:t xml:space="preserve">, partly because of this, do not show </w:t>
      </w:r>
      <w:r w:rsidR="0094394F">
        <w:rPr>
          <w:szCs w:val="24"/>
        </w:rPr>
        <w:t>similar</w:t>
      </w:r>
      <w:r w:rsidR="00534A3A">
        <w:rPr>
          <w:szCs w:val="24"/>
        </w:rPr>
        <w:t xml:space="preserve"> spatial biases. </w:t>
      </w:r>
      <w:r w:rsidR="00457C37">
        <w:rPr>
          <w:szCs w:val="24"/>
        </w:rPr>
        <w:t xml:space="preserve">However, another </w:t>
      </w:r>
      <w:r w:rsidR="00534A3A">
        <w:rPr>
          <w:szCs w:val="24"/>
        </w:rPr>
        <w:t xml:space="preserve">reason for this </w:t>
      </w:r>
      <w:r w:rsidR="00A14822">
        <w:rPr>
          <w:szCs w:val="24"/>
        </w:rPr>
        <w:t>lack of bias</w:t>
      </w:r>
      <w:r w:rsidR="00534A3A">
        <w:rPr>
          <w:szCs w:val="24"/>
        </w:rPr>
        <w:t xml:space="preserve"> is that </w:t>
      </w:r>
      <w:r w:rsidR="00457C37">
        <w:rPr>
          <w:szCs w:val="24"/>
        </w:rPr>
        <w:t>most</w:t>
      </w:r>
      <w:r w:rsidR="00691E85">
        <w:rPr>
          <w:szCs w:val="24"/>
        </w:rPr>
        <w:t xml:space="preserve"> </w:t>
      </w:r>
      <w:r w:rsidR="00534A3A">
        <w:rPr>
          <w:szCs w:val="24"/>
        </w:rPr>
        <w:t xml:space="preserve">Type 2 </w:t>
      </w:r>
      <w:r w:rsidR="00F47067">
        <w:rPr>
          <w:szCs w:val="24"/>
        </w:rPr>
        <w:t>LSCIs</w:t>
      </w:r>
      <w:r w:rsidR="006855A9">
        <w:rPr>
          <w:szCs w:val="24"/>
        </w:rPr>
        <w:t xml:space="preserve"> </w:t>
      </w:r>
      <w:r w:rsidR="00137A19">
        <w:rPr>
          <w:szCs w:val="24"/>
        </w:rPr>
        <w:t>are</w:t>
      </w:r>
      <w:r w:rsidR="00691E85">
        <w:rPr>
          <w:szCs w:val="24"/>
        </w:rPr>
        <w:t xml:space="preserve"> </w:t>
      </w:r>
      <w:r w:rsidR="00457C37">
        <w:rPr>
          <w:szCs w:val="24"/>
        </w:rPr>
        <w:t>long-term initiatives for increasing land under</w:t>
      </w:r>
      <w:r w:rsidR="00691E85">
        <w:rPr>
          <w:szCs w:val="24"/>
        </w:rPr>
        <w:t xml:space="preserve"> conservation, </w:t>
      </w:r>
      <w:r w:rsidR="00457C37">
        <w:rPr>
          <w:szCs w:val="24"/>
        </w:rPr>
        <w:t>and at present</w:t>
      </w:r>
      <w:r w:rsidR="00137A19">
        <w:rPr>
          <w:szCs w:val="24"/>
        </w:rPr>
        <w:t xml:space="preserve"> </w:t>
      </w:r>
      <w:r w:rsidR="00457C37">
        <w:rPr>
          <w:szCs w:val="24"/>
        </w:rPr>
        <w:t>they are</w:t>
      </w:r>
      <w:r w:rsidR="00B77646">
        <w:rPr>
          <w:szCs w:val="24"/>
        </w:rPr>
        <w:t xml:space="preserve"> </w:t>
      </w:r>
      <w:r w:rsidR="00137A19">
        <w:rPr>
          <w:szCs w:val="24"/>
        </w:rPr>
        <w:t>largely made up of land</w:t>
      </w:r>
      <w:r w:rsidR="00A14822">
        <w:rPr>
          <w:szCs w:val="24"/>
        </w:rPr>
        <w:t xml:space="preserve"> that is not managed for </w:t>
      </w:r>
      <w:r w:rsidR="002B7EAB">
        <w:rPr>
          <w:szCs w:val="24"/>
        </w:rPr>
        <w:t>biodiversity</w:t>
      </w:r>
      <w:r w:rsidR="00B77646">
        <w:rPr>
          <w:szCs w:val="24"/>
        </w:rPr>
        <w:t xml:space="preserve">. </w:t>
      </w:r>
      <w:r w:rsidR="00BA5A9F">
        <w:rPr>
          <w:szCs w:val="24"/>
        </w:rPr>
        <w:t>Our result</w:t>
      </w:r>
      <w:r w:rsidR="0088238A">
        <w:rPr>
          <w:szCs w:val="24"/>
        </w:rPr>
        <w:t>s</w:t>
      </w:r>
      <w:r w:rsidR="00BA5A9F">
        <w:rPr>
          <w:szCs w:val="24"/>
        </w:rPr>
        <w:t xml:space="preserve"> </w:t>
      </w:r>
      <w:r w:rsidR="0088238A">
        <w:rPr>
          <w:szCs w:val="24"/>
        </w:rPr>
        <w:t xml:space="preserve">show </w:t>
      </w:r>
      <w:r w:rsidR="00BA5A9F">
        <w:rPr>
          <w:szCs w:val="24"/>
        </w:rPr>
        <w:t xml:space="preserve">that </w:t>
      </w:r>
      <w:r w:rsidR="007C6335">
        <w:rPr>
          <w:szCs w:val="24"/>
        </w:rPr>
        <w:t xml:space="preserve">only 24% of </w:t>
      </w:r>
      <w:r w:rsidR="0088238A">
        <w:rPr>
          <w:szCs w:val="24"/>
        </w:rPr>
        <w:t xml:space="preserve">the land under </w:t>
      </w:r>
      <w:r w:rsidR="007C6335">
        <w:rPr>
          <w:szCs w:val="24"/>
        </w:rPr>
        <w:t>Type 2 LSCI</w:t>
      </w:r>
      <w:r w:rsidR="0088238A">
        <w:rPr>
          <w:szCs w:val="24"/>
        </w:rPr>
        <w:t>s</w:t>
      </w:r>
      <w:r w:rsidR="00883207">
        <w:rPr>
          <w:szCs w:val="24"/>
        </w:rPr>
        <w:t xml:space="preserve"> </w:t>
      </w:r>
      <w:r w:rsidR="00B77646">
        <w:rPr>
          <w:szCs w:val="24"/>
        </w:rPr>
        <w:t xml:space="preserve">is currently </w:t>
      </w:r>
      <w:r w:rsidR="00BA5A9F">
        <w:rPr>
          <w:szCs w:val="24"/>
        </w:rPr>
        <w:t xml:space="preserve">managed </w:t>
      </w:r>
      <w:r w:rsidR="00BA5A9F">
        <w:rPr>
          <w:szCs w:val="24"/>
          <w:lang w:val="en-US" w:bidi="he-IL"/>
        </w:rPr>
        <w:t xml:space="preserve">to achieve </w:t>
      </w:r>
      <w:r w:rsidR="007C6335">
        <w:rPr>
          <w:szCs w:val="24"/>
        </w:rPr>
        <w:t xml:space="preserve">conservation </w:t>
      </w:r>
      <w:r w:rsidR="00BA5A9F">
        <w:rPr>
          <w:szCs w:val="24"/>
        </w:rPr>
        <w:t xml:space="preserve">objectives </w:t>
      </w:r>
      <w:r w:rsidR="00E0429B">
        <w:rPr>
          <w:szCs w:val="24"/>
        </w:rPr>
        <w:t>(i.e. PAs or IPAs)</w:t>
      </w:r>
      <w:r w:rsidR="007C6335">
        <w:rPr>
          <w:szCs w:val="24"/>
        </w:rPr>
        <w:t xml:space="preserve">. </w:t>
      </w:r>
      <w:r w:rsidR="00883207">
        <w:rPr>
          <w:szCs w:val="24"/>
        </w:rPr>
        <w:t>C</w:t>
      </w:r>
      <w:r w:rsidR="0026265D">
        <w:rPr>
          <w:szCs w:val="24"/>
        </w:rPr>
        <w:t>aution is</w:t>
      </w:r>
      <w:r w:rsidR="00883207">
        <w:rPr>
          <w:szCs w:val="24"/>
        </w:rPr>
        <w:t xml:space="preserve"> therefore</w:t>
      </w:r>
      <w:r w:rsidR="0026265D">
        <w:rPr>
          <w:szCs w:val="24"/>
        </w:rPr>
        <w:t xml:space="preserve"> needed when interpreting </w:t>
      </w:r>
      <w:r w:rsidR="004C69BE">
        <w:rPr>
          <w:szCs w:val="24"/>
        </w:rPr>
        <w:t xml:space="preserve">our </w:t>
      </w:r>
      <w:r w:rsidR="0026265D">
        <w:rPr>
          <w:szCs w:val="24"/>
        </w:rPr>
        <w:t>results</w:t>
      </w:r>
      <w:r w:rsidR="006855A9">
        <w:rPr>
          <w:szCs w:val="24"/>
        </w:rPr>
        <w:t>,</w:t>
      </w:r>
      <w:r w:rsidR="0026265D">
        <w:rPr>
          <w:szCs w:val="24"/>
        </w:rPr>
        <w:t xml:space="preserve"> as much of the higher quality agricultural land within Type 2 </w:t>
      </w:r>
      <w:r w:rsidR="00F47067">
        <w:rPr>
          <w:szCs w:val="24"/>
        </w:rPr>
        <w:t>LSCIs</w:t>
      </w:r>
      <w:r w:rsidR="0026265D">
        <w:rPr>
          <w:szCs w:val="24"/>
        </w:rPr>
        <w:t xml:space="preserve"> </w:t>
      </w:r>
      <w:r w:rsidR="00EB6B7C">
        <w:rPr>
          <w:szCs w:val="24"/>
        </w:rPr>
        <w:t xml:space="preserve">is likely to have </w:t>
      </w:r>
      <w:r w:rsidR="0026265D">
        <w:rPr>
          <w:szCs w:val="24"/>
        </w:rPr>
        <w:t xml:space="preserve">little </w:t>
      </w:r>
      <w:r w:rsidR="002A3A5E">
        <w:rPr>
          <w:szCs w:val="24"/>
        </w:rPr>
        <w:t xml:space="preserve">current </w:t>
      </w:r>
      <w:r w:rsidR="006855A9">
        <w:rPr>
          <w:szCs w:val="24"/>
        </w:rPr>
        <w:t xml:space="preserve">biodiversity </w:t>
      </w:r>
      <w:r w:rsidR="0026265D">
        <w:rPr>
          <w:szCs w:val="24"/>
        </w:rPr>
        <w:t>value</w:t>
      </w:r>
      <w:r w:rsidR="00E0429B">
        <w:rPr>
          <w:szCs w:val="24"/>
        </w:rPr>
        <w:t xml:space="preserve">, </w:t>
      </w:r>
      <w:r w:rsidR="00E0429B">
        <w:t>nor much immediate prospect of</w:t>
      </w:r>
      <w:r w:rsidR="006855A9">
        <w:t xml:space="preserve"> </w:t>
      </w:r>
      <w:r w:rsidR="00E0429B">
        <w:t xml:space="preserve">being </w:t>
      </w:r>
      <w:r w:rsidR="006855A9">
        <w:t>managed for conservation</w:t>
      </w:r>
      <w:r w:rsidR="00C37F20">
        <w:t xml:space="preserve">, </w:t>
      </w:r>
      <w:r w:rsidR="006855A9">
        <w:t xml:space="preserve">given </w:t>
      </w:r>
      <w:r w:rsidR="00C37F20">
        <w:t xml:space="preserve">that </w:t>
      </w:r>
      <w:r w:rsidR="006855A9">
        <w:t>i</w:t>
      </w:r>
      <w:r w:rsidR="006855A9">
        <w:rPr>
          <w:szCs w:val="24"/>
        </w:rPr>
        <w:t>ndividual landowners are not obliged to engage with</w:t>
      </w:r>
      <w:r w:rsidR="0088238A">
        <w:rPr>
          <w:szCs w:val="24"/>
        </w:rPr>
        <w:t xml:space="preserve"> </w:t>
      </w:r>
      <w:r w:rsidR="00374A77">
        <w:rPr>
          <w:szCs w:val="24"/>
        </w:rPr>
        <w:t xml:space="preserve">or </w:t>
      </w:r>
      <w:r w:rsidR="0088238A">
        <w:rPr>
          <w:szCs w:val="24"/>
        </w:rPr>
        <w:t>sustain</w:t>
      </w:r>
      <w:r w:rsidR="006855A9">
        <w:rPr>
          <w:szCs w:val="24"/>
        </w:rPr>
        <w:t xml:space="preserve"> any LSCI process. </w:t>
      </w:r>
      <w:r w:rsidR="00F12C07">
        <w:rPr>
          <w:szCs w:val="24"/>
        </w:rPr>
        <w:t>Moreover, even</w:t>
      </w:r>
      <w:r w:rsidR="002200DD">
        <w:rPr>
          <w:szCs w:val="24"/>
        </w:rPr>
        <w:t xml:space="preserve"> those who do manage their land for conservation</w:t>
      </w:r>
      <w:r w:rsidR="00883207">
        <w:rPr>
          <w:szCs w:val="24"/>
        </w:rPr>
        <w:t xml:space="preserve"> might only do so on selected land parcels rather than across the entire holding</w:t>
      </w:r>
      <w:r w:rsidR="00F12C07">
        <w:rPr>
          <w:szCs w:val="24"/>
        </w:rPr>
        <w:t>.</w:t>
      </w:r>
      <w:r w:rsidR="002200DD">
        <w:rPr>
          <w:szCs w:val="24"/>
        </w:rPr>
        <w:t xml:space="preserve"> </w:t>
      </w:r>
      <w:r w:rsidR="00EB6B7C">
        <w:rPr>
          <w:szCs w:val="24"/>
        </w:rPr>
        <w:t>T</w:t>
      </w:r>
      <w:r w:rsidR="0026265D">
        <w:rPr>
          <w:szCs w:val="24"/>
        </w:rPr>
        <w:t>his means</w:t>
      </w:r>
      <w:r w:rsidR="00EB6B7C">
        <w:rPr>
          <w:szCs w:val="24"/>
        </w:rPr>
        <w:t xml:space="preserve"> that at the moment</w:t>
      </w:r>
      <w:r w:rsidR="0026265D">
        <w:rPr>
          <w:szCs w:val="24"/>
        </w:rPr>
        <w:t xml:space="preserve"> a better measure of </w:t>
      </w:r>
      <w:r w:rsidR="00FD3211">
        <w:rPr>
          <w:szCs w:val="24"/>
        </w:rPr>
        <w:t xml:space="preserve">conservation </w:t>
      </w:r>
      <w:r w:rsidR="0026265D">
        <w:rPr>
          <w:szCs w:val="24"/>
        </w:rPr>
        <w:t>land</w:t>
      </w:r>
      <w:r w:rsidR="00FD3211">
        <w:rPr>
          <w:szCs w:val="24"/>
        </w:rPr>
        <w:t xml:space="preserve"> </w:t>
      </w:r>
      <w:r w:rsidR="006855A9">
        <w:rPr>
          <w:szCs w:val="24"/>
        </w:rPr>
        <w:t xml:space="preserve">comes </w:t>
      </w:r>
      <w:r w:rsidR="0026265D">
        <w:rPr>
          <w:szCs w:val="24"/>
        </w:rPr>
        <w:t xml:space="preserve">from </w:t>
      </w:r>
      <w:r w:rsidR="00883207">
        <w:rPr>
          <w:szCs w:val="24"/>
        </w:rPr>
        <w:t>IPA</w:t>
      </w:r>
      <w:r w:rsidR="00EB6B7C">
        <w:rPr>
          <w:szCs w:val="24"/>
        </w:rPr>
        <w:t xml:space="preserve"> coverage</w:t>
      </w:r>
      <w:r w:rsidR="0026265D">
        <w:rPr>
          <w:szCs w:val="24"/>
        </w:rPr>
        <w:t xml:space="preserve">, as </w:t>
      </w:r>
      <w:r w:rsidR="006855A9">
        <w:rPr>
          <w:szCs w:val="24"/>
        </w:rPr>
        <w:t xml:space="preserve">these </w:t>
      </w:r>
      <w:r w:rsidR="00F02357">
        <w:rPr>
          <w:szCs w:val="24"/>
        </w:rPr>
        <w:t>represent</w:t>
      </w:r>
      <w:r w:rsidR="006855A9" w:rsidRPr="006855A9">
        <w:rPr>
          <w:szCs w:val="24"/>
        </w:rPr>
        <w:t xml:space="preserve"> </w:t>
      </w:r>
      <w:r w:rsidR="006855A9">
        <w:rPr>
          <w:szCs w:val="24"/>
        </w:rPr>
        <w:t>land</w:t>
      </w:r>
      <w:r w:rsidR="00F02357">
        <w:rPr>
          <w:szCs w:val="24"/>
        </w:rPr>
        <w:t xml:space="preserve"> parcel</w:t>
      </w:r>
      <w:r w:rsidR="006855A9">
        <w:rPr>
          <w:szCs w:val="24"/>
        </w:rPr>
        <w:t>s</w:t>
      </w:r>
      <w:r w:rsidR="00F02357">
        <w:rPr>
          <w:szCs w:val="24"/>
        </w:rPr>
        <w:t xml:space="preserve"> managed </w:t>
      </w:r>
      <w:r w:rsidR="006855A9">
        <w:rPr>
          <w:szCs w:val="24"/>
        </w:rPr>
        <w:t xml:space="preserve">through </w:t>
      </w:r>
      <w:r w:rsidR="002F0E4B">
        <w:rPr>
          <w:szCs w:val="24"/>
        </w:rPr>
        <w:t>specific suites of conservation mechanisms</w:t>
      </w:r>
      <w:r w:rsidR="00B64969">
        <w:rPr>
          <w:szCs w:val="24"/>
        </w:rPr>
        <w:t xml:space="preserve"> (Knight et al. 2010)</w:t>
      </w:r>
      <w:r w:rsidR="0026265D">
        <w:rPr>
          <w:szCs w:val="24"/>
        </w:rPr>
        <w:t>. Adding the I</w:t>
      </w:r>
      <w:r w:rsidR="00DE799C">
        <w:rPr>
          <w:szCs w:val="24"/>
        </w:rPr>
        <w:t>PAs</w:t>
      </w:r>
      <w:r w:rsidR="0026265D">
        <w:rPr>
          <w:szCs w:val="24"/>
        </w:rPr>
        <w:t xml:space="preserve"> to the gap analysis increases the land under conservation </w:t>
      </w:r>
      <w:r w:rsidR="00851846">
        <w:rPr>
          <w:szCs w:val="24"/>
        </w:rPr>
        <w:t>from 7.4% to 20.5</w:t>
      </w:r>
      <w:r w:rsidR="0026265D">
        <w:rPr>
          <w:szCs w:val="24"/>
        </w:rPr>
        <w:t>%</w:t>
      </w:r>
      <w:r w:rsidR="00851846">
        <w:rPr>
          <w:szCs w:val="24"/>
        </w:rPr>
        <w:t>,</w:t>
      </w:r>
      <w:r w:rsidR="0026265D">
        <w:rPr>
          <w:szCs w:val="24"/>
        </w:rPr>
        <w:t xml:space="preserve"> when compared to</w:t>
      </w:r>
      <w:r w:rsidR="00851846">
        <w:rPr>
          <w:szCs w:val="24"/>
        </w:rPr>
        <w:t xml:space="preserve"> a network of</w:t>
      </w:r>
      <w:r w:rsidR="0026265D">
        <w:rPr>
          <w:szCs w:val="24"/>
        </w:rPr>
        <w:t xml:space="preserve"> PAs and </w:t>
      </w:r>
      <w:r w:rsidR="0046278E">
        <w:rPr>
          <w:szCs w:val="24"/>
        </w:rPr>
        <w:t>Type</w:t>
      </w:r>
      <w:r w:rsidR="0026265D">
        <w:rPr>
          <w:szCs w:val="24"/>
        </w:rPr>
        <w:t xml:space="preserve"> </w:t>
      </w:r>
      <w:r w:rsidR="00FD3211">
        <w:rPr>
          <w:szCs w:val="24"/>
        </w:rPr>
        <w:t>1</w:t>
      </w:r>
      <w:r w:rsidR="0026265D">
        <w:rPr>
          <w:szCs w:val="24"/>
        </w:rPr>
        <w:t xml:space="preserve"> </w:t>
      </w:r>
      <w:r w:rsidR="00F47067">
        <w:rPr>
          <w:szCs w:val="24"/>
        </w:rPr>
        <w:t>LSCIs</w:t>
      </w:r>
      <w:r w:rsidR="00813DCF">
        <w:rPr>
          <w:szCs w:val="24"/>
        </w:rPr>
        <w:t>;</w:t>
      </w:r>
      <w:r w:rsidR="0026265D">
        <w:rPr>
          <w:szCs w:val="24"/>
        </w:rPr>
        <w:t xml:space="preserve"> </w:t>
      </w:r>
      <w:r w:rsidR="0037110B">
        <w:rPr>
          <w:szCs w:val="24"/>
        </w:rPr>
        <w:t xml:space="preserve">substantially </w:t>
      </w:r>
      <w:r w:rsidR="00813DCF">
        <w:rPr>
          <w:szCs w:val="24"/>
        </w:rPr>
        <w:t>reducing</w:t>
      </w:r>
      <w:r w:rsidR="0026265D">
        <w:rPr>
          <w:szCs w:val="24"/>
        </w:rPr>
        <w:t xml:space="preserve"> spatial bias</w:t>
      </w:r>
      <w:r w:rsidR="00851846">
        <w:rPr>
          <w:szCs w:val="24"/>
        </w:rPr>
        <w:t>es</w:t>
      </w:r>
      <w:r w:rsidR="008A0CAC">
        <w:rPr>
          <w:szCs w:val="24"/>
        </w:rPr>
        <w:t xml:space="preserve"> and</w:t>
      </w:r>
      <w:r w:rsidR="00813DCF">
        <w:rPr>
          <w:szCs w:val="24"/>
        </w:rPr>
        <w:t xml:space="preserve"> improving</w:t>
      </w:r>
      <w:r w:rsidR="008A0CAC">
        <w:rPr>
          <w:szCs w:val="24"/>
        </w:rPr>
        <w:t xml:space="preserve"> protection equality.</w:t>
      </w:r>
      <w:r w:rsidR="00D60A0F">
        <w:rPr>
          <w:szCs w:val="24"/>
        </w:rPr>
        <w:t xml:space="preserve"> </w:t>
      </w:r>
    </w:p>
    <w:p w14:paraId="18E405B3" w14:textId="77777777" w:rsidR="00AC708A" w:rsidRDefault="00AC708A" w:rsidP="00652C11">
      <w:pPr>
        <w:spacing w:line="480" w:lineRule="auto"/>
        <w:rPr>
          <w:szCs w:val="24"/>
        </w:rPr>
      </w:pPr>
    </w:p>
    <w:p w14:paraId="24C08F81" w14:textId="613D5B37" w:rsidR="004B4D1C" w:rsidRDefault="004C75EA" w:rsidP="00BA5A9F">
      <w:pPr>
        <w:spacing w:line="480" w:lineRule="auto"/>
        <w:rPr>
          <w:szCs w:val="24"/>
        </w:rPr>
      </w:pPr>
      <w:r>
        <w:rPr>
          <w:szCs w:val="24"/>
        </w:rPr>
        <w:lastRenderedPageBreak/>
        <w:t xml:space="preserve">Our results </w:t>
      </w:r>
      <w:r w:rsidR="00621BE9">
        <w:rPr>
          <w:szCs w:val="24"/>
        </w:rPr>
        <w:t xml:space="preserve">also </w:t>
      </w:r>
      <w:r>
        <w:rPr>
          <w:szCs w:val="24"/>
        </w:rPr>
        <w:t xml:space="preserve">show </w:t>
      </w:r>
      <w:r w:rsidR="00C37F20">
        <w:rPr>
          <w:szCs w:val="24"/>
        </w:rPr>
        <w:t xml:space="preserve">that </w:t>
      </w:r>
      <w:r>
        <w:rPr>
          <w:szCs w:val="24"/>
        </w:rPr>
        <w:t xml:space="preserve">agri-environment payments </w:t>
      </w:r>
      <w:r w:rsidR="00B14E9F">
        <w:rPr>
          <w:szCs w:val="24"/>
        </w:rPr>
        <w:t>are</w:t>
      </w:r>
      <w:r>
        <w:rPr>
          <w:szCs w:val="24"/>
        </w:rPr>
        <w:t xml:space="preserve"> important </w:t>
      </w:r>
      <w:r w:rsidR="00B14E9F">
        <w:rPr>
          <w:szCs w:val="24"/>
        </w:rPr>
        <w:t>for</w:t>
      </w:r>
      <w:r>
        <w:rPr>
          <w:szCs w:val="24"/>
        </w:rPr>
        <w:t xml:space="preserve"> funding conservation within</w:t>
      </w:r>
      <w:r w:rsidR="004B4D1C">
        <w:rPr>
          <w:szCs w:val="24"/>
        </w:rPr>
        <w:t xml:space="preserve"> </w:t>
      </w:r>
      <w:r>
        <w:rPr>
          <w:szCs w:val="24"/>
        </w:rPr>
        <w:t>L</w:t>
      </w:r>
      <w:r w:rsidR="006E3B50">
        <w:rPr>
          <w:szCs w:val="24"/>
        </w:rPr>
        <w:t>SCI</w:t>
      </w:r>
      <w:r>
        <w:rPr>
          <w:szCs w:val="24"/>
        </w:rPr>
        <w:t xml:space="preserve">s, </w:t>
      </w:r>
      <w:r w:rsidR="00621BE9">
        <w:rPr>
          <w:szCs w:val="24"/>
        </w:rPr>
        <w:t>a</w:t>
      </w:r>
      <w:r w:rsidR="004B4D1C">
        <w:rPr>
          <w:szCs w:val="24"/>
        </w:rPr>
        <w:t xml:space="preserve">lthough there </w:t>
      </w:r>
      <w:r>
        <w:rPr>
          <w:szCs w:val="24"/>
        </w:rPr>
        <w:t>is limited information on</w:t>
      </w:r>
      <w:r w:rsidRPr="004C75EA">
        <w:rPr>
          <w:szCs w:val="24"/>
        </w:rPr>
        <w:t xml:space="preserve"> the cost-effectiveness of</w:t>
      </w:r>
      <w:r w:rsidR="004B4D1C">
        <w:rPr>
          <w:szCs w:val="24"/>
        </w:rPr>
        <w:t xml:space="preserve"> these</w:t>
      </w:r>
      <w:r w:rsidRPr="004C75EA">
        <w:rPr>
          <w:szCs w:val="24"/>
        </w:rPr>
        <w:t xml:space="preserve"> IPAs</w:t>
      </w:r>
      <w:r w:rsidR="00621BE9">
        <w:rPr>
          <w:szCs w:val="24"/>
        </w:rPr>
        <w:t xml:space="preserve"> </w:t>
      </w:r>
      <w:r w:rsidR="004B4D1C">
        <w:rPr>
          <w:szCs w:val="24"/>
        </w:rPr>
        <w:t xml:space="preserve">when </w:t>
      </w:r>
      <w:r w:rsidRPr="00B65603">
        <w:rPr>
          <w:szCs w:val="24"/>
        </w:rPr>
        <w:t>compared to</w:t>
      </w:r>
      <w:r>
        <w:rPr>
          <w:szCs w:val="24"/>
        </w:rPr>
        <w:t xml:space="preserve"> </w:t>
      </w:r>
      <w:r w:rsidRPr="00B65603">
        <w:rPr>
          <w:szCs w:val="24"/>
        </w:rPr>
        <w:t>PAs</w:t>
      </w:r>
      <w:r w:rsidR="002B7EAB">
        <w:rPr>
          <w:szCs w:val="24"/>
        </w:rPr>
        <w:t xml:space="preserve"> </w:t>
      </w:r>
      <w:r w:rsidR="002B7EAB" w:rsidRPr="004C75EA">
        <w:rPr>
          <w:rFonts w:cs="Times New Roman"/>
          <w:szCs w:val="24"/>
        </w:rPr>
        <w:t>(Batáry et al., 2015; Kleijn et al., 2006)</w:t>
      </w:r>
      <w:r w:rsidR="002B7EAB">
        <w:rPr>
          <w:szCs w:val="24"/>
        </w:rPr>
        <w:t>. Despite this</w:t>
      </w:r>
      <w:r w:rsidR="00AA2C61">
        <w:rPr>
          <w:szCs w:val="24"/>
        </w:rPr>
        <w:t xml:space="preserve"> knowledge gap</w:t>
      </w:r>
      <w:r w:rsidR="002B7EAB">
        <w:rPr>
          <w:szCs w:val="24"/>
        </w:rPr>
        <w:t xml:space="preserve">, agriculture </w:t>
      </w:r>
      <w:r w:rsidR="00E45B9C">
        <w:rPr>
          <w:szCs w:val="24"/>
        </w:rPr>
        <w:t xml:space="preserve">is likely to remain a key component of any </w:t>
      </w:r>
      <w:r w:rsidR="00D27CCD">
        <w:rPr>
          <w:szCs w:val="24"/>
        </w:rPr>
        <w:t xml:space="preserve">type of </w:t>
      </w:r>
      <w:r w:rsidR="002B7EAB">
        <w:rPr>
          <w:szCs w:val="24"/>
        </w:rPr>
        <w:t>LSCI</w:t>
      </w:r>
      <w:r w:rsidR="00D27CCD">
        <w:rPr>
          <w:szCs w:val="24"/>
        </w:rPr>
        <w:t xml:space="preserve"> in England and </w:t>
      </w:r>
      <w:r w:rsidR="002B7EAB">
        <w:rPr>
          <w:szCs w:val="24"/>
        </w:rPr>
        <w:t xml:space="preserve">elsewhere in </w:t>
      </w:r>
      <w:r w:rsidR="00D27CCD">
        <w:rPr>
          <w:szCs w:val="24"/>
        </w:rPr>
        <w:t>Europe</w:t>
      </w:r>
      <w:r w:rsidR="00DA275F">
        <w:rPr>
          <w:szCs w:val="24"/>
        </w:rPr>
        <w:t>,</w:t>
      </w:r>
      <w:r w:rsidR="00D27CCD">
        <w:rPr>
          <w:szCs w:val="24"/>
        </w:rPr>
        <w:t xml:space="preserve"> </w:t>
      </w:r>
      <w:r w:rsidR="002B7EAB">
        <w:rPr>
          <w:szCs w:val="24"/>
        </w:rPr>
        <w:t xml:space="preserve">so </w:t>
      </w:r>
      <w:r w:rsidR="00972005">
        <w:rPr>
          <w:szCs w:val="24"/>
        </w:rPr>
        <w:t>short term incentive</w:t>
      </w:r>
      <w:r w:rsidR="002B7EAB">
        <w:rPr>
          <w:szCs w:val="24"/>
        </w:rPr>
        <w:t>s</w:t>
      </w:r>
      <w:r w:rsidR="00972005">
        <w:rPr>
          <w:szCs w:val="24"/>
        </w:rPr>
        <w:t xml:space="preserve"> </w:t>
      </w:r>
      <w:r w:rsidR="002B7EAB">
        <w:rPr>
          <w:szCs w:val="24"/>
        </w:rPr>
        <w:t>will remain</w:t>
      </w:r>
      <w:r w:rsidR="00972005">
        <w:rPr>
          <w:szCs w:val="24"/>
        </w:rPr>
        <w:t xml:space="preserve"> vital for encouraging some landowners to manage their land for biodiversity</w:t>
      </w:r>
      <w:r w:rsidR="00AA2C61">
        <w:rPr>
          <w:szCs w:val="24"/>
        </w:rPr>
        <w:t xml:space="preserve">. Thus, </w:t>
      </w:r>
      <w:r w:rsidR="004B4D1C" w:rsidRPr="004B4D1C">
        <w:rPr>
          <w:szCs w:val="24"/>
        </w:rPr>
        <w:t>conservationists will need to focus efforts to ensure the most important areas are protected, and that connectivity is maintained and enhanced within these production landscapes.</w:t>
      </w:r>
      <w:r w:rsidR="004B4D1C">
        <w:rPr>
          <w:szCs w:val="24"/>
        </w:rPr>
        <w:t xml:space="preserve"> </w:t>
      </w:r>
      <w:r w:rsidR="00BA5A9F">
        <w:rPr>
          <w:szCs w:val="24"/>
        </w:rPr>
        <w:t>To achieve conservation objectives</w:t>
      </w:r>
      <w:r w:rsidR="004B4D1C">
        <w:rPr>
          <w:szCs w:val="24"/>
        </w:rPr>
        <w:t xml:space="preserve"> in</w:t>
      </w:r>
      <w:r w:rsidR="004B4D1C" w:rsidRPr="004B4D1C">
        <w:rPr>
          <w:szCs w:val="24"/>
        </w:rPr>
        <w:t xml:space="preserve"> the long-term, it is likely that other forms of funding will be needed and that conservation organisations will have to secure permanent conservation management on more land within</w:t>
      </w:r>
      <w:r w:rsidR="004B4D1C">
        <w:rPr>
          <w:szCs w:val="24"/>
        </w:rPr>
        <w:t xml:space="preserve"> </w:t>
      </w:r>
      <w:r w:rsidR="004B4D1C" w:rsidRPr="004B4D1C">
        <w:rPr>
          <w:szCs w:val="24"/>
        </w:rPr>
        <w:t>LSCIs.</w:t>
      </w:r>
    </w:p>
    <w:p w14:paraId="16A63D28" w14:textId="77777777" w:rsidR="004C75EA" w:rsidRDefault="004C75EA" w:rsidP="00652C11">
      <w:pPr>
        <w:spacing w:line="480" w:lineRule="auto"/>
        <w:rPr>
          <w:szCs w:val="24"/>
        </w:rPr>
      </w:pPr>
    </w:p>
    <w:p w14:paraId="329EE843" w14:textId="70BE7068" w:rsidR="004E2213" w:rsidRDefault="00F143EA" w:rsidP="00652C11">
      <w:pPr>
        <w:pStyle w:val="Heading2"/>
        <w:spacing w:line="480" w:lineRule="auto"/>
      </w:pPr>
      <w:r>
        <w:t xml:space="preserve">5. </w:t>
      </w:r>
      <w:r w:rsidR="004E2213" w:rsidRPr="004A3D7B">
        <w:t>Conservation implications</w:t>
      </w:r>
    </w:p>
    <w:p w14:paraId="2845EBE1" w14:textId="0DE257DC" w:rsidR="00B7364B" w:rsidRDefault="00304986" w:rsidP="0009356A">
      <w:pPr>
        <w:spacing w:line="480" w:lineRule="auto"/>
        <w:rPr>
          <w:szCs w:val="24"/>
        </w:rPr>
      </w:pPr>
      <w:r>
        <w:rPr>
          <w:szCs w:val="24"/>
        </w:rPr>
        <w:t>The</w:t>
      </w:r>
      <w:r w:rsidR="007605AD">
        <w:rPr>
          <w:szCs w:val="24"/>
        </w:rPr>
        <w:t xml:space="preserve"> </w:t>
      </w:r>
      <w:r>
        <w:rPr>
          <w:szCs w:val="24"/>
        </w:rPr>
        <w:t>English government has set an ambitious goal to “</w:t>
      </w:r>
      <w:r w:rsidRPr="00835C8D">
        <w:rPr>
          <w:szCs w:val="24"/>
        </w:rPr>
        <w:t>halt overall biodiversity loss, support healthy well-functioning ecosystems and establish coherent ecological networks, with more and better places for nature</w:t>
      </w:r>
      <w:r>
        <w:rPr>
          <w:szCs w:val="24"/>
        </w:rPr>
        <w:t>,</w:t>
      </w:r>
      <w:r w:rsidRPr="00835C8D">
        <w:rPr>
          <w:szCs w:val="24"/>
        </w:rPr>
        <w:t xml:space="preserve"> for the benefit of wildlife and people</w:t>
      </w:r>
      <w:r>
        <w:rPr>
          <w:szCs w:val="24"/>
        </w:rPr>
        <w:t xml:space="preserve">” </w:t>
      </w:r>
      <w:r w:rsidR="009544D4" w:rsidRPr="009544D4">
        <w:t>(Defra, 2011)</w:t>
      </w:r>
      <w:r>
        <w:rPr>
          <w:szCs w:val="24"/>
        </w:rPr>
        <w:t xml:space="preserve">. </w:t>
      </w:r>
      <w:r w:rsidR="00C75E95">
        <w:rPr>
          <w:szCs w:val="24"/>
        </w:rPr>
        <w:t xml:space="preserve">We found </w:t>
      </w:r>
      <w:r w:rsidR="0046278E">
        <w:rPr>
          <w:szCs w:val="24"/>
        </w:rPr>
        <w:t xml:space="preserve">that </w:t>
      </w:r>
      <w:r w:rsidR="00D85412">
        <w:rPr>
          <w:szCs w:val="24"/>
        </w:rPr>
        <w:t xml:space="preserve">Type 2 </w:t>
      </w:r>
      <w:r w:rsidR="00F47067">
        <w:rPr>
          <w:szCs w:val="24"/>
        </w:rPr>
        <w:t>LSCIs</w:t>
      </w:r>
      <w:r w:rsidR="00A60D79">
        <w:rPr>
          <w:szCs w:val="24"/>
        </w:rPr>
        <w:t xml:space="preserve">, areas that are </w:t>
      </w:r>
      <w:r w:rsidR="00A60D79" w:rsidRPr="00701D1B">
        <w:rPr>
          <w:szCs w:val="24"/>
        </w:rPr>
        <w:t xml:space="preserve">typically </w:t>
      </w:r>
      <w:r w:rsidR="00A60D79">
        <w:t>proposed to be managed for biodiversity conservation,</w:t>
      </w:r>
      <w:r w:rsidR="00A60D79">
        <w:rPr>
          <w:szCs w:val="24"/>
        </w:rPr>
        <w:t xml:space="preserve"> </w:t>
      </w:r>
      <w:r w:rsidR="00E12DDB">
        <w:rPr>
          <w:szCs w:val="24"/>
        </w:rPr>
        <w:t xml:space="preserve">cover extensive areas of England and so </w:t>
      </w:r>
      <w:r w:rsidR="008A5DDD">
        <w:rPr>
          <w:szCs w:val="24"/>
        </w:rPr>
        <w:t xml:space="preserve">could </w:t>
      </w:r>
      <w:r w:rsidR="00D85412">
        <w:rPr>
          <w:szCs w:val="24"/>
        </w:rPr>
        <w:t>play an important role in achieving this goal</w:t>
      </w:r>
      <w:r w:rsidR="008A5DDD">
        <w:rPr>
          <w:szCs w:val="24"/>
        </w:rPr>
        <w:t xml:space="preserve">, </w:t>
      </w:r>
      <w:r w:rsidR="00D85412">
        <w:rPr>
          <w:szCs w:val="24"/>
        </w:rPr>
        <w:t>complement</w:t>
      </w:r>
      <w:r w:rsidR="008A5DDD">
        <w:rPr>
          <w:szCs w:val="24"/>
        </w:rPr>
        <w:t>ing</w:t>
      </w:r>
      <w:r w:rsidR="00D85412">
        <w:rPr>
          <w:szCs w:val="24"/>
        </w:rPr>
        <w:t xml:space="preserve"> the current PAs and Type </w:t>
      </w:r>
      <w:r w:rsidR="007C30DF">
        <w:rPr>
          <w:szCs w:val="24"/>
        </w:rPr>
        <w:t>1</w:t>
      </w:r>
      <w:r w:rsidR="00D85412">
        <w:rPr>
          <w:szCs w:val="24"/>
        </w:rPr>
        <w:t xml:space="preserve"> </w:t>
      </w:r>
      <w:r w:rsidR="00F47067">
        <w:rPr>
          <w:szCs w:val="24"/>
        </w:rPr>
        <w:t>LSCIs</w:t>
      </w:r>
      <w:r w:rsidR="00D85412">
        <w:rPr>
          <w:szCs w:val="24"/>
        </w:rPr>
        <w:t xml:space="preserve">. </w:t>
      </w:r>
      <w:r w:rsidR="00642653">
        <w:rPr>
          <w:szCs w:val="24"/>
        </w:rPr>
        <w:t>Indeed, both NGOs and government</w:t>
      </w:r>
      <w:r w:rsidR="0076300F">
        <w:rPr>
          <w:szCs w:val="24"/>
        </w:rPr>
        <w:t xml:space="preserve"> </w:t>
      </w:r>
      <w:r w:rsidR="00642653">
        <w:rPr>
          <w:szCs w:val="24"/>
        </w:rPr>
        <w:t xml:space="preserve">agencies </w:t>
      </w:r>
      <w:r w:rsidR="0076300F">
        <w:rPr>
          <w:szCs w:val="24"/>
        </w:rPr>
        <w:t>now</w:t>
      </w:r>
      <w:r w:rsidR="00642653">
        <w:rPr>
          <w:szCs w:val="24"/>
        </w:rPr>
        <w:t xml:space="preserve"> see </w:t>
      </w:r>
      <w:r w:rsidR="0087118D">
        <w:rPr>
          <w:szCs w:val="24"/>
        </w:rPr>
        <w:t>LSCIs</w:t>
      </w:r>
      <w:r w:rsidR="00642653">
        <w:rPr>
          <w:szCs w:val="24"/>
        </w:rPr>
        <w:t xml:space="preserve"> as </w:t>
      </w:r>
      <w:r w:rsidR="00231890">
        <w:rPr>
          <w:szCs w:val="24"/>
        </w:rPr>
        <w:t xml:space="preserve">an essential part of </w:t>
      </w:r>
      <w:r w:rsidR="0076300F">
        <w:rPr>
          <w:szCs w:val="24"/>
        </w:rPr>
        <w:t xml:space="preserve">conservation </w:t>
      </w:r>
      <w:r w:rsidR="00642653">
        <w:rPr>
          <w:szCs w:val="24"/>
        </w:rPr>
        <w:t xml:space="preserve">in England </w:t>
      </w:r>
      <w:r w:rsidR="00C37F20" w:rsidRPr="00C37F20">
        <w:t>(Adams et al., 2016)</w:t>
      </w:r>
      <w:r w:rsidR="00642653">
        <w:rPr>
          <w:szCs w:val="24"/>
        </w:rPr>
        <w:t>. However, the success of those initiatives</w:t>
      </w:r>
      <w:r w:rsidR="00CD6726">
        <w:rPr>
          <w:szCs w:val="24"/>
        </w:rPr>
        <w:t xml:space="preserve"> in achieving these national goals</w:t>
      </w:r>
      <w:r w:rsidR="00642653">
        <w:rPr>
          <w:szCs w:val="24"/>
        </w:rPr>
        <w:t xml:space="preserve"> </w:t>
      </w:r>
      <w:r w:rsidR="00CD6726">
        <w:rPr>
          <w:szCs w:val="24"/>
        </w:rPr>
        <w:t xml:space="preserve">depends </w:t>
      </w:r>
      <w:r w:rsidR="00022050">
        <w:rPr>
          <w:szCs w:val="24"/>
        </w:rPr>
        <w:t xml:space="preserve">heavily </w:t>
      </w:r>
      <w:r w:rsidR="00CD6726">
        <w:rPr>
          <w:szCs w:val="24"/>
        </w:rPr>
        <w:t>on</w:t>
      </w:r>
      <w:r w:rsidR="00642653">
        <w:rPr>
          <w:szCs w:val="24"/>
        </w:rPr>
        <w:t xml:space="preserve"> the way the</w:t>
      </w:r>
      <w:r w:rsidR="00CD6726">
        <w:rPr>
          <w:szCs w:val="24"/>
        </w:rPr>
        <w:t>y</w:t>
      </w:r>
      <w:r w:rsidR="00642653">
        <w:rPr>
          <w:szCs w:val="24"/>
        </w:rPr>
        <w:t xml:space="preserve"> are </w:t>
      </w:r>
      <w:r w:rsidR="00CD6726">
        <w:rPr>
          <w:szCs w:val="24"/>
        </w:rPr>
        <w:t xml:space="preserve">funded, </w:t>
      </w:r>
      <w:r w:rsidR="00642653">
        <w:rPr>
          <w:szCs w:val="24"/>
        </w:rPr>
        <w:t>planned</w:t>
      </w:r>
      <w:r w:rsidR="00C14AD4">
        <w:rPr>
          <w:szCs w:val="24"/>
        </w:rPr>
        <w:t>,</w:t>
      </w:r>
      <w:r w:rsidR="00CD6726">
        <w:rPr>
          <w:szCs w:val="24"/>
        </w:rPr>
        <w:t xml:space="preserve"> </w:t>
      </w:r>
      <w:r w:rsidR="00642653">
        <w:rPr>
          <w:szCs w:val="24"/>
        </w:rPr>
        <w:t>managed</w:t>
      </w:r>
      <w:r w:rsidR="00C14AD4">
        <w:rPr>
          <w:szCs w:val="24"/>
        </w:rPr>
        <w:t xml:space="preserve"> and monitored</w:t>
      </w:r>
      <w:r w:rsidR="001B3BEF">
        <w:rPr>
          <w:szCs w:val="24"/>
        </w:rPr>
        <w:t xml:space="preserve"> </w:t>
      </w:r>
      <w:r w:rsidR="001B3BEF" w:rsidRPr="001B3BEF">
        <w:rPr>
          <w:szCs w:val="24"/>
        </w:rPr>
        <w:t>(Macgregor et al., 2015)</w:t>
      </w:r>
      <w:r w:rsidR="009307E8">
        <w:rPr>
          <w:szCs w:val="24"/>
        </w:rPr>
        <w:t>. Finding solution</w:t>
      </w:r>
      <w:r w:rsidR="00AA2C61">
        <w:rPr>
          <w:szCs w:val="24"/>
        </w:rPr>
        <w:t>s</w:t>
      </w:r>
      <w:r w:rsidR="009307E8">
        <w:rPr>
          <w:szCs w:val="24"/>
        </w:rPr>
        <w:t xml:space="preserve"> to th</w:t>
      </w:r>
      <w:r w:rsidR="00AA2C61">
        <w:rPr>
          <w:szCs w:val="24"/>
        </w:rPr>
        <w:t>e</w:t>
      </w:r>
      <w:r w:rsidR="009307E8">
        <w:rPr>
          <w:szCs w:val="24"/>
        </w:rPr>
        <w:t xml:space="preserve">se important issues </w:t>
      </w:r>
      <w:r w:rsidR="00AA2C61">
        <w:rPr>
          <w:szCs w:val="24"/>
        </w:rPr>
        <w:t>is</w:t>
      </w:r>
      <w:r w:rsidR="009307E8">
        <w:rPr>
          <w:szCs w:val="24"/>
        </w:rPr>
        <w:t xml:space="preserve"> challeng</w:t>
      </w:r>
      <w:r w:rsidR="00AA2C61">
        <w:rPr>
          <w:szCs w:val="24"/>
        </w:rPr>
        <w:t xml:space="preserve">ing, but </w:t>
      </w:r>
      <w:r w:rsidR="00C75E95">
        <w:rPr>
          <w:szCs w:val="24"/>
        </w:rPr>
        <w:lastRenderedPageBreak/>
        <w:t>could help inform</w:t>
      </w:r>
      <w:r w:rsidR="00AA2C61">
        <w:rPr>
          <w:szCs w:val="24"/>
        </w:rPr>
        <w:t xml:space="preserve"> every country seeking </w:t>
      </w:r>
      <w:r w:rsidR="009307E8">
        <w:rPr>
          <w:szCs w:val="24"/>
        </w:rPr>
        <w:t xml:space="preserve">to implement LSCIs </w:t>
      </w:r>
      <w:r w:rsidR="00AA2C61">
        <w:rPr>
          <w:szCs w:val="24"/>
        </w:rPr>
        <w:t>as a way of</w:t>
      </w:r>
      <w:r w:rsidR="009307E8">
        <w:rPr>
          <w:szCs w:val="24"/>
        </w:rPr>
        <w:t xml:space="preserve"> scal</w:t>
      </w:r>
      <w:r w:rsidR="00AA2C61">
        <w:rPr>
          <w:szCs w:val="24"/>
        </w:rPr>
        <w:t>ing</w:t>
      </w:r>
      <w:r w:rsidR="009307E8">
        <w:rPr>
          <w:szCs w:val="24"/>
        </w:rPr>
        <w:t xml:space="preserve">-up </w:t>
      </w:r>
      <w:r w:rsidR="00AA2C61">
        <w:rPr>
          <w:szCs w:val="24"/>
        </w:rPr>
        <w:t xml:space="preserve">their </w:t>
      </w:r>
      <w:r w:rsidR="009307E8">
        <w:rPr>
          <w:szCs w:val="24"/>
        </w:rPr>
        <w:t xml:space="preserve">conservation efforts </w:t>
      </w:r>
      <w:r w:rsidR="00AA2C61">
        <w:rPr>
          <w:szCs w:val="24"/>
        </w:rPr>
        <w:t>and achieving their international commitments</w:t>
      </w:r>
      <w:r w:rsidR="009307E8">
        <w:rPr>
          <w:szCs w:val="24"/>
        </w:rPr>
        <w:t xml:space="preserve"> (CBD 2011). </w:t>
      </w:r>
    </w:p>
    <w:p w14:paraId="730A1CB3" w14:textId="77777777" w:rsidR="00B7364B" w:rsidRDefault="00B7364B" w:rsidP="00652C11">
      <w:pPr>
        <w:spacing w:line="480" w:lineRule="auto"/>
        <w:rPr>
          <w:szCs w:val="24"/>
        </w:rPr>
      </w:pPr>
    </w:p>
    <w:p w14:paraId="04695EC0" w14:textId="37257FA1" w:rsidR="00CD6726" w:rsidRPr="00B1301A" w:rsidRDefault="00CD6726" w:rsidP="00F172E0">
      <w:pPr>
        <w:spacing w:line="480" w:lineRule="auto"/>
        <w:rPr>
          <w:szCs w:val="24"/>
          <w:lang w:val="en-US" w:bidi="he-IL"/>
        </w:rPr>
      </w:pPr>
      <w:r>
        <w:rPr>
          <w:szCs w:val="24"/>
        </w:rPr>
        <w:t>With regards to funding</w:t>
      </w:r>
      <w:r w:rsidR="0088238A">
        <w:rPr>
          <w:szCs w:val="24"/>
        </w:rPr>
        <w:t xml:space="preserve"> </w:t>
      </w:r>
      <w:r w:rsidR="00642653">
        <w:rPr>
          <w:szCs w:val="24"/>
        </w:rPr>
        <w:t>Lawton et al.</w:t>
      </w:r>
      <w:r w:rsidR="00B6796D">
        <w:rPr>
          <w:szCs w:val="24"/>
        </w:rPr>
        <w:t>,</w:t>
      </w:r>
      <w:r w:rsidR="00642653">
        <w:rPr>
          <w:szCs w:val="24"/>
        </w:rPr>
        <w:t xml:space="preserve"> (2010) </w:t>
      </w:r>
      <w:r>
        <w:rPr>
          <w:szCs w:val="24"/>
        </w:rPr>
        <w:t>argued</w:t>
      </w:r>
      <w:r w:rsidR="00642653">
        <w:rPr>
          <w:szCs w:val="24"/>
        </w:rPr>
        <w:t xml:space="preserve"> </w:t>
      </w:r>
      <w:r w:rsidR="00F172E0">
        <w:rPr>
          <w:szCs w:val="24"/>
        </w:rPr>
        <w:t>that</w:t>
      </w:r>
      <w:r w:rsidR="0088238A">
        <w:rPr>
          <w:szCs w:val="24"/>
        </w:rPr>
        <w:t>,</w:t>
      </w:r>
      <w:r w:rsidR="00F172E0">
        <w:rPr>
          <w:szCs w:val="24"/>
        </w:rPr>
        <w:t xml:space="preserve"> in addition to the</w:t>
      </w:r>
      <w:r w:rsidR="0088238A">
        <w:rPr>
          <w:szCs w:val="24"/>
        </w:rPr>
        <w:t xml:space="preserve">ir </w:t>
      </w:r>
      <w:r w:rsidR="00391835">
        <w:rPr>
          <w:szCs w:val="24"/>
        </w:rPr>
        <w:t xml:space="preserve">importance for </w:t>
      </w:r>
      <w:r w:rsidR="0088238A">
        <w:rPr>
          <w:szCs w:val="24"/>
        </w:rPr>
        <w:t>biodiversity value</w:t>
      </w:r>
      <w:r w:rsidR="00F172E0">
        <w:rPr>
          <w:szCs w:val="24"/>
        </w:rPr>
        <w:t xml:space="preserve">, </w:t>
      </w:r>
      <w:r w:rsidR="00642653">
        <w:rPr>
          <w:szCs w:val="24"/>
        </w:rPr>
        <w:t xml:space="preserve">the value of ecosystem services provided by </w:t>
      </w:r>
      <w:r w:rsidR="001C1951">
        <w:rPr>
          <w:szCs w:val="24"/>
        </w:rPr>
        <w:t>LSCIs</w:t>
      </w:r>
      <w:r w:rsidR="00642653">
        <w:rPr>
          <w:szCs w:val="24"/>
        </w:rPr>
        <w:t xml:space="preserve"> outweigh the costs. </w:t>
      </w:r>
      <w:r>
        <w:rPr>
          <w:szCs w:val="24"/>
        </w:rPr>
        <w:t xml:space="preserve">However, </w:t>
      </w:r>
      <w:r w:rsidR="00391835">
        <w:rPr>
          <w:szCs w:val="24"/>
        </w:rPr>
        <w:t xml:space="preserve">like </w:t>
      </w:r>
      <w:r w:rsidR="007605AD">
        <w:rPr>
          <w:szCs w:val="24"/>
        </w:rPr>
        <w:t>many other countries</w:t>
      </w:r>
      <w:r w:rsidR="00391835">
        <w:rPr>
          <w:szCs w:val="24"/>
        </w:rPr>
        <w:t>,</w:t>
      </w:r>
      <w:r w:rsidR="007605AD">
        <w:rPr>
          <w:szCs w:val="24"/>
        </w:rPr>
        <w:t xml:space="preserve"> </w:t>
      </w:r>
      <w:r w:rsidR="00AA6899">
        <w:rPr>
          <w:szCs w:val="24"/>
        </w:rPr>
        <w:t>England</w:t>
      </w:r>
      <w:r>
        <w:rPr>
          <w:szCs w:val="24"/>
        </w:rPr>
        <w:t xml:space="preserve"> lack</w:t>
      </w:r>
      <w:r w:rsidR="00AA6899">
        <w:rPr>
          <w:szCs w:val="24"/>
        </w:rPr>
        <w:t>s</w:t>
      </w:r>
      <w:r>
        <w:rPr>
          <w:szCs w:val="24"/>
        </w:rPr>
        <w:t xml:space="preserve"> mechanisms to transfer </w:t>
      </w:r>
      <w:r w:rsidR="000E1C3D">
        <w:rPr>
          <w:szCs w:val="24"/>
        </w:rPr>
        <w:t>such funds, so</w:t>
      </w:r>
      <w:r w:rsidR="00642653">
        <w:rPr>
          <w:szCs w:val="24"/>
        </w:rPr>
        <w:t xml:space="preserve"> </w:t>
      </w:r>
      <w:r w:rsidR="00F741D3">
        <w:rPr>
          <w:szCs w:val="24"/>
        </w:rPr>
        <w:t xml:space="preserve">the </w:t>
      </w:r>
      <w:r w:rsidR="00642653">
        <w:rPr>
          <w:szCs w:val="24"/>
        </w:rPr>
        <w:t xml:space="preserve">NGOs and government agencies that establish </w:t>
      </w:r>
      <w:r w:rsidR="00F47067">
        <w:rPr>
          <w:szCs w:val="24"/>
        </w:rPr>
        <w:t>LSCIs</w:t>
      </w:r>
      <w:r w:rsidR="000E1C3D">
        <w:rPr>
          <w:szCs w:val="24"/>
        </w:rPr>
        <w:t xml:space="preserve"> receive </w:t>
      </w:r>
      <w:r w:rsidR="00F172E0">
        <w:rPr>
          <w:szCs w:val="24"/>
        </w:rPr>
        <w:t xml:space="preserve">little </w:t>
      </w:r>
      <w:r w:rsidR="000E1C3D">
        <w:rPr>
          <w:szCs w:val="24"/>
        </w:rPr>
        <w:t>financial benefit</w:t>
      </w:r>
      <w:r w:rsidR="00AA6899">
        <w:rPr>
          <w:szCs w:val="24"/>
        </w:rPr>
        <w:t xml:space="preserve"> for maintaining these ecosystems</w:t>
      </w:r>
      <w:r w:rsidR="00642653">
        <w:rPr>
          <w:szCs w:val="24"/>
        </w:rPr>
        <w:t xml:space="preserve">. </w:t>
      </w:r>
      <w:r>
        <w:rPr>
          <w:szCs w:val="24"/>
        </w:rPr>
        <w:t>Moreover</w:t>
      </w:r>
      <w:r w:rsidR="00642653">
        <w:rPr>
          <w:szCs w:val="24"/>
        </w:rPr>
        <w:t xml:space="preserve">, </w:t>
      </w:r>
      <w:r>
        <w:rPr>
          <w:szCs w:val="24"/>
        </w:rPr>
        <w:t>a recent study</w:t>
      </w:r>
      <w:r w:rsidR="00642653">
        <w:rPr>
          <w:szCs w:val="24"/>
        </w:rPr>
        <w:t xml:space="preserve"> </w:t>
      </w:r>
      <w:r>
        <w:rPr>
          <w:szCs w:val="24"/>
        </w:rPr>
        <w:t xml:space="preserve">showed </w:t>
      </w:r>
      <w:r w:rsidR="00642653">
        <w:rPr>
          <w:szCs w:val="24"/>
        </w:rPr>
        <w:t>that restoration costs</w:t>
      </w:r>
      <w:r>
        <w:rPr>
          <w:szCs w:val="24"/>
        </w:rPr>
        <w:t xml:space="preserve"> </w:t>
      </w:r>
      <w:r w:rsidR="002924D6">
        <w:rPr>
          <w:szCs w:val="24"/>
        </w:rPr>
        <w:t xml:space="preserve">can </w:t>
      </w:r>
      <w:r w:rsidR="00642653">
        <w:rPr>
          <w:szCs w:val="24"/>
        </w:rPr>
        <w:t>exceed the market value of ecosystem services</w:t>
      </w:r>
      <w:r w:rsidR="002873D0">
        <w:rPr>
          <w:szCs w:val="24"/>
        </w:rPr>
        <w:t xml:space="preserve"> based on </w:t>
      </w:r>
      <w:r w:rsidR="002873D0" w:rsidRPr="002873D0">
        <w:rPr>
          <w:szCs w:val="24"/>
        </w:rPr>
        <w:t>carbon storage, crops, livestock and timber</w:t>
      </w:r>
      <w:r w:rsidR="002873D0">
        <w:rPr>
          <w:szCs w:val="24"/>
        </w:rPr>
        <w:t xml:space="preserve"> </w:t>
      </w:r>
      <w:r w:rsidR="000C70EF">
        <w:t>(Newton et al., 2012)</w:t>
      </w:r>
      <w:r>
        <w:rPr>
          <w:szCs w:val="24"/>
        </w:rPr>
        <w:t xml:space="preserve">, suggesting additional funding would be needed to establish </w:t>
      </w:r>
      <w:r w:rsidR="00F47067">
        <w:rPr>
          <w:szCs w:val="24"/>
        </w:rPr>
        <w:t>LSCIs</w:t>
      </w:r>
      <w:r>
        <w:rPr>
          <w:szCs w:val="24"/>
        </w:rPr>
        <w:t xml:space="preserve"> and restore functioning ecosystems within them</w:t>
      </w:r>
      <w:r w:rsidR="00642653">
        <w:rPr>
          <w:szCs w:val="24"/>
        </w:rPr>
        <w:t>.</w:t>
      </w:r>
      <w:r w:rsidR="007C30DF">
        <w:rPr>
          <w:szCs w:val="24"/>
        </w:rPr>
        <w:t xml:space="preserve"> Our work highlights the </w:t>
      </w:r>
      <w:r w:rsidR="007944FC">
        <w:rPr>
          <w:szCs w:val="24"/>
        </w:rPr>
        <w:t xml:space="preserve">potential contribution </w:t>
      </w:r>
      <w:r w:rsidR="0023438E">
        <w:rPr>
          <w:szCs w:val="24"/>
        </w:rPr>
        <w:t xml:space="preserve">that agri-environment schemes </w:t>
      </w:r>
      <w:r w:rsidR="00310EB6">
        <w:rPr>
          <w:szCs w:val="24"/>
        </w:rPr>
        <w:t>could</w:t>
      </w:r>
      <w:r w:rsidR="0023438E">
        <w:rPr>
          <w:szCs w:val="24"/>
        </w:rPr>
        <w:t xml:space="preserve"> play in funding such efforts, although</w:t>
      </w:r>
      <w:r w:rsidR="00AA6899">
        <w:rPr>
          <w:szCs w:val="24"/>
        </w:rPr>
        <w:t xml:space="preserve"> the effectiveness of current approaches</w:t>
      </w:r>
      <w:r w:rsidR="0023438E">
        <w:rPr>
          <w:szCs w:val="24"/>
        </w:rPr>
        <w:t xml:space="preserve"> </w:t>
      </w:r>
      <w:r w:rsidR="00AA6899">
        <w:rPr>
          <w:szCs w:val="24"/>
        </w:rPr>
        <w:t>is mixed</w:t>
      </w:r>
      <w:r w:rsidR="0023438E">
        <w:rPr>
          <w:szCs w:val="24"/>
        </w:rPr>
        <w:t xml:space="preserve"> </w:t>
      </w:r>
      <w:r w:rsidR="00AA6899">
        <w:rPr>
          <w:szCs w:val="24"/>
        </w:rPr>
        <w:t>and</w:t>
      </w:r>
      <w:r w:rsidR="0023438E">
        <w:rPr>
          <w:szCs w:val="24"/>
        </w:rPr>
        <w:t xml:space="preserve"> </w:t>
      </w:r>
      <w:r w:rsidR="00C83276">
        <w:rPr>
          <w:szCs w:val="24"/>
        </w:rPr>
        <w:t xml:space="preserve">could be </w:t>
      </w:r>
      <w:r w:rsidR="0023438E">
        <w:rPr>
          <w:szCs w:val="24"/>
        </w:rPr>
        <w:t>improve</w:t>
      </w:r>
      <w:r w:rsidR="00C83276">
        <w:rPr>
          <w:szCs w:val="24"/>
        </w:rPr>
        <w:t>d</w:t>
      </w:r>
      <w:r w:rsidR="000C70EF">
        <w:rPr>
          <w:szCs w:val="24"/>
        </w:rPr>
        <w:t xml:space="preserve"> </w:t>
      </w:r>
      <w:r w:rsidR="000C70EF" w:rsidRPr="000C70EF">
        <w:rPr>
          <w:rFonts w:cs="Times New Roman"/>
          <w:szCs w:val="24"/>
        </w:rPr>
        <w:t>(Batáry et al., 2015; Kleijn et al., 2006;</w:t>
      </w:r>
      <w:r w:rsidR="00C83276">
        <w:rPr>
          <w:rFonts w:cs="Times New Roman"/>
          <w:szCs w:val="24"/>
        </w:rPr>
        <w:t xml:space="preserve"> FERA, 2013</w:t>
      </w:r>
      <w:r w:rsidR="000C70EF" w:rsidRPr="000C70EF">
        <w:rPr>
          <w:rFonts w:cs="Times New Roman"/>
          <w:szCs w:val="24"/>
        </w:rPr>
        <w:t>)</w:t>
      </w:r>
      <w:r w:rsidR="000C70EF">
        <w:rPr>
          <w:szCs w:val="24"/>
        </w:rPr>
        <w:t>.</w:t>
      </w:r>
      <w:r w:rsidR="0023438E">
        <w:rPr>
          <w:szCs w:val="24"/>
        </w:rPr>
        <w:t xml:space="preserve"> </w:t>
      </w:r>
      <w:r w:rsidR="00A822A6" w:rsidRPr="00A822A6">
        <w:rPr>
          <w:szCs w:val="24"/>
        </w:rPr>
        <w:t xml:space="preserve">Funding for schemes in Type 2 LSCIs could boost landowner engagement and </w:t>
      </w:r>
      <w:r w:rsidR="00A822A6">
        <w:rPr>
          <w:szCs w:val="24"/>
        </w:rPr>
        <w:t xml:space="preserve">also be used to </w:t>
      </w:r>
      <w:r w:rsidR="00A822A6" w:rsidRPr="00A822A6">
        <w:rPr>
          <w:szCs w:val="24"/>
        </w:rPr>
        <w:t>assist farmers with completing the paperwork associated with</w:t>
      </w:r>
      <w:r w:rsidR="00391835">
        <w:rPr>
          <w:szCs w:val="24"/>
        </w:rPr>
        <w:t xml:space="preserve"> </w:t>
      </w:r>
      <w:r w:rsidR="00A822A6" w:rsidRPr="00A822A6">
        <w:rPr>
          <w:szCs w:val="24"/>
        </w:rPr>
        <w:t>such funding</w:t>
      </w:r>
      <w:r w:rsidR="00391835">
        <w:rPr>
          <w:szCs w:val="24"/>
        </w:rPr>
        <w:t xml:space="preserve"> schemes</w:t>
      </w:r>
      <w:r w:rsidR="00A822A6" w:rsidRPr="00A822A6">
        <w:rPr>
          <w:szCs w:val="24"/>
        </w:rPr>
        <w:t xml:space="preserve">, which </w:t>
      </w:r>
      <w:r w:rsidR="00A822A6">
        <w:rPr>
          <w:szCs w:val="24"/>
        </w:rPr>
        <w:t>can</w:t>
      </w:r>
      <w:r w:rsidR="00A822A6" w:rsidRPr="00A822A6">
        <w:rPr>
          <w:szCs w:val="24"/>
        </w:rPr>
        <w:t xml:space="preserve"> be a</w:t>
      </w:r>
      <w:r w:rsidR="00192B3F">
        <w:rPr>
          <w:szCs w:val="24"/>
        </w:rPr>
        <w:t xml:space="preserve"> significant barrier</w:t>
      </w:r>
      <w:r w:rsidR="001C1951">
        <w:rPr>
          <w:szCs w:val="24"/>
        </w:rPr>
        <w:t xml:space="preserve"> </w:t>
      </w:r>
      <w:r w:rsidR="00A822A6" w:rsidRPr="00A822A6">
        <w:rPr>
          <w:szCs w:val="24"/>
        </w:rPr>
        <w:t>to participat</w:t>
      </w:r>
      <w:r w:rsidR="001C1951">
        <w:rPr>
          <w:szCs w:val="24"/>
        </w:rPr>
        <w:t>ion</w:t>
      </w:r>
      <w:r w:rsidR="00A822A6" w:rsidRPr="00A822A6">
        <w:rPr>
          <w:szCs w:val="24"/>
        </w:rPr>
        <w:t xml:space="preserve"> (Christensen et al., 2011).</w:t>
      </w:r>
    </w:p>
    <w:p w14:paraId="04CCFF48" w14:textId="77777777" w:rsidR="00CD6726" w:rsidRDefault="00CD6726" w:rsidP="00652C11">
      <w:pPr>
        <w:spacing w:line="480" w:lineRule="auto"/>
        <w:rPr>
          <w:szCs w:val="24"/>
        </w:rPr>
      </w:pPr>
    </w:p>
    <w:p w14:paraId="7CD9E4E3" w14:textId="3111BFC2" w:rsidR="00F172E0" w:rsidRDefault="00CD6726" w:rsidP="00374A77">
      <w:pPr>
        <w:spacing w:line="480" w:lineRule="auto"/>
        <w:rPr>
          <w:szCs w:val="24"/>
        </w:rPr>
      </w:pPr>
      <w:r>
        <w:rPr>
          <w:szCs w:val="24"/>
        </w:rPr>
        <w:t xml:space="preserve">Planning and management of Type 2 </w:t>
      </w:r>
      <w:r w:rsidR="00F47067">
        <w:rPr>
          <w:szCs w:val="24"/>
        </w:rPr>
        <w:t>LSCIs</w:t>
      </w:r>
      <w:r>
        <w:rPr>
          <w:szCs w:val="24"/>
        </w:rPr>
        <w:t xml:space="preserve"> is similarly challenging</w:t>
      </w:r>
      <w:r w:rsidR="00730C21">
        <w:rPr>
          <w:szCs w:val="24"/>
        </w:rPr>
        <w:t xml:space="preserve">, since they typically </w:t>
      </w:r>
      <w:r w:rsidR="00730C21">
        <w:t>encompass a large number of individual land holdings</w:t>
      </w:r>
      <w:r w:rsidR="00053604">
        <w:t xml:space="preserve"> and land owners</w:t>
      </w:r>
      <w:r w:rsidR="00F741D3">
        <w:t>, and our results show</w:t>
      </w:r>
      <w:r w:rsidR="00730C21">
        <w:t xml:space="preserve"> most of </w:t>
      </w:r>
      <w:r w:rsidR="002200DD">
        <w:t xml:space="preserve">the land </w:t>
      </w:r>
      <w:r w:rsidR="0087118D">
        <w:t>is</w:t>
      </w:r>
      <w:r w:rsidR="00730C21">
        <w:t xml:space="preserve"> </w:t>
      </w:r>
      <w:r w:rsidR="00642653">
        <w:rPr>
          <w:szCs w:val="24"/>
        </w:rPr>
        <w:t xml:space="preserve">not managed </w:t>
      </w:r>
      <w:r w:rsidR="001C1951">
        <w:rPr>
          <w:szCs w:val="24"/>
        </w:rPr>
        <w:t xml:space="preserve">specifically </w:t>
      </w:r>
      <w:r w:rsidR="00642653">
        <w:rPr>
          <w:szCs w:val="24"/>
        </w:rPr>
        <w:t xml:space="preserve">for </w:t>
      </w:r>
      <w:r w:rsidR="00F172E0">
        <w:rPr>
          <w:szCs w:val="24"/>
        </w:rPr>
        <w:t xml:space="preserve">achieving </w:t>
      </w:r>
      <w:r w:rsidR="00642653">
        <w:rPr>
          <w:szCs w:val="24"/>
        </w:rPr>
        <w:t>conservation</w:t>
      </w:r>
      <w:r w:rsidR="00F172E0">
        <w:rPr>
          <w:szCs w:val="24"/>
        </w:rPr>
        <w:t xml:space="preserve"> objectives</w:t>
      </w:r>
      <w:r w:rsidR="00AA6899">
        <w:rPr>
          <w:szCs w:val="24"/>
        </w:rPr>
        <w:t>. T</w:t>
      </w:r>
      <w:r w:rsidR="00642653">
        <w:rPr>
          <w:szCs w:val="24"/>
        </w:rPr>
        <w:t xml:space="preserve">here is </w:t>
      </w:r>
      <w:r w:rsidR="00AA6899">
        <w:rPr>
          <w:szCs w:val="24"/>
        </w:rPr>
        <w:t xml:space="preserve">also </w:t>
      </w:r>
      <w:r w:rsidR="00642653">
        <w:rPr>
          <w:szCs w:val="24"/>
        </w:rPr>
        <w:t xml:space="preserve">a considerable </w:t>
      </w:r>
      <w:r w:rsidR="00C62B4C">
        <w:rPr>
          <w:szCs w:val="24"/>
        </w:rPr>
        <w:t xml:space="preserve">temporal and spatial </w:t>
      </w:r>
      <w:r w:rsidR="00642653">
        <w:rPr>
          <w:szCs w:val="24"/>
        </w:rPr>
        <w:t xml:space="preserve">overlap between </w:t>
      </w:r>
      <w:r w:rsidR="0088089C">
        <w:rPr>
          <w:szCs w:val="24"/>
        </w:rPr>
        <w:t>different</w:t>
      </w:r>
      <w:r w:rsidR="002825E0">
        <w:rPr>
          <w:szCs w:val="24"/>
        </w:rPr>
        <w:t xml:space="preserve"> </w:t>
      </w:r>
      <w:r w:rsidR="00F47067">
        <w:rPr>
          <w:szCs w:val="24"/>
        </w:rPr>
        <w:t>LSCIs</w:t>
      </w:r>
      <w:r w:rsidR="002825E0">
        <w:rPr>
          <w:szCs w:val="24"/>
        </w:rPr>
        <w:t xml:space="preserve">, </w:t>
      </w:r>
      <w:r w:rsidR="00AA6899">
        <w:rPr>
          <w:szCs w:val="24"/>
        </w:rPr>
        <w:t xml:space="preserve">with </w:t>
      </w:r>
      <w:r w:rsidR="0088089C">
        <w:rPr>
          <w:szCs w:val="24"/>
        </w:rPr>
        <w:t xml:space="preserve">each </w:t>
      </w:r>
      <w:r w:rsidR="00AA6899">
        <w:rPr>
          <w:szCs w:val="24"/>
        </w:rPr>
        <w:t>overlapping</w:t>
      </w:r>
      <w:r w:rsidR="0088089C">
        <w:rPr>
          <w:szCs w:val="24"/>
        </w:rPr>
        <w:t xml:space="preserve"> </w:t>
      </w:r>
      <w:r w:rsidR="00AA6899">
        <w:rPr>
          <w:szCs w:val="24"/>
        </w:rPr>
        <w:t>project being</w:t>
      </w:r>
      <w:r w:rsidR="0088089C">
        <w:rPr>
          <w:szCs w:val="24"/>
        </w:rPr>
        <w:t xml:space="preserve"> </w:t>
      </w:r>
      <w:r w:rsidR="007C30DF">
        <w:rPr>
          <w:szCs w:val="24"/>
        </w:rPr>
        <w:t xml:space="preserve">overseen </w:t>
      </w:r>
      <w:r w:rsidR="00642653">
        <w:rPr>
          <w:szCs w:val="24"/>
        </w:rPr>
        <w:t>by different</w:t>
      </w:r>
      <w:r w:rsidR="00374A77">
        <w:rPr>
          <w:szCs w:val="24"/>
        </w:rPr>
        <w:t xml:space="preserve"> configurations of </w:t>
      </w:r>
      <w:r w:rsidR="00642653">
        <w:rPr>
          <w:szCs w:val="24"/>
        </w:rPr>
        <w:t>NGO</w:t>
      </w:r>
      <w:r w:rsidR="00A822A6">
        <w:rPr>
          <w:szCs w:val="24"/>
        </w:rPr>
        <w:t xml:space="preserve">s, </w:t>
      </w:r>
      <w:r w:rsidR="00642653">
        <w:rPr>
          <w:szCs w:val="24"/>
        </w:rPr>
        <w:t xml:space="preserve">government </w:t>
      </w:r>
      <w:r w:rsidR="00AA6899">
        <w:rPr>
          <w:szCs w:val="24"/>
        </w:rPr>
        <w:t>agenc</w:t>
      </w:r>
      <w:r w:rsidR="00A822A6">
        <w:rPr>
          <w:szCs w:val="24"/>
        </w:rPr>
        <w:t>ies and partnerships</w:t>
      </w:r>
      <w:r w:rsidR="00B47ED2">
        <w:rPr>
          <w:szCs w:val="24"/>
        </w:rPr>
        <w:t xml:space="preserve"> (</w:t>
      </w:r>
      <w:r w:rsidR="009269CC">
        <w:rPr>
          <w:szCs w:val="24"/>
        </w:rPr>
        <w:t>Eigenbrod et al., 2017</w:t>
      </w:r>
      <w:r w:rsidR="00B47ED2">
        <w:rPr>
          <w:szCs w:val="24"/>
        </w:rPr>
        <w:t>)</w:t>
      </w:r>
      <w:r w:rsidR="002200DD">
        <w:rPr>
          <w:szCs w:val="24"/>
        </w:rPr>
        <w:t xml:space="preserve">, but often with distinct conservation </w:t>
      </w:r>
      <w:r w:rsidR="002200DD">
        <w:rPr>
          <w:szCs w:val="24"/>
        </w:rPr>
        <w:lastRenderedPageBreak/>
        <w:t>objectives</w:t>
      </w:r>
      <w:r w:rsidR="00057E16">
        <w:rPr>
          <w:szCs w:val="24"/>
        </w:rPr>
        <w:t>.</w:t>
      </w:r>
      <w:r w:rsidR="00642653">
        <w:rPr>
          <w:szCs w:val="24"/>
        </w:rPr>
        <w:t xml:space="preserve"> </w:t>
      </w:r>
      <w:r w:rsidR="002825E0">
        <w:rPr>
          <w:szCs w:val="24"/>
        </w:rPr>
        <w:t xml:space="preserve">Thus, the conservation benefits of these schemes </w:t>
      </w:r>
      <w:r w:rsidR="00642653">
        <w:rPr>
          <w:szCs w:val="24"/>
        </w:rPr>
        <w:t>depend on</w:t>
      </w:r>
      <w:r w:rsidR="002825E0">
        <w:rPr>
          <w:szCs w:val="24"/>
        </w:rPr>
        <w:t xml:space="preserve"> integrating </w:t>
      </w:r>
      <w:r w:rsidR="00642653">
        <w:rPr>
          <w:szCs w:val="24"/>
        </w:rPr>
        <w:t xml:space="preserve">a multitude of stakeholder </w:t>
      </w:r>
      <w:r w:rsidR="00963730">
        <w:rPr>
          <w:szCs w:val="24"/>
        </w:rPr>
        <w:t xml:space="preserve">values </w:t>
      </w:r>
      <w:r w:rsidR="00642653">
        <w:rPr>
          <w:szCs w:val="24"/>
        </w:rPr>
        <w:t xml:space="preserve">and policies to prioritise and implement conservation action </w:t>
      </w:r>
      <w:r w:rsidR="007870C0">
        <w:rPr>
          <w:szCs w:val="24"/>
        </w:rPr>
        <w:t>that</w:t>
      </w:r>
      <w:r w:rsidR="002825E0">
        <w:rPr>
          <w:szCs w:val="24"/>
        </w:rPr>
        <w:t xml:space="preserve"> complement</w:t>
      </w:r>
      <w:r w:rsidR="007870C0">
        <w:rPr>
          <w:szCs w:val="24"/>
        </w:rPr>
        <w:t>s</w:t>
      </w:r>
      <w:r w:rsidR="002825E0">
        <w:rPr>
          <w:szCs w:val="24"/>
        </w:rPr>
        <w:t xml:space="preserve"> </w:t>
      </w:r>
      <w:r w:rsidR="007870C0">
        <w:rPr>
          <w:szCs w:val="24"/>
        </w:rPr>
        <w:t xml:space="preserve">the existing </w:t>
      </w:r>
      <w:r w:rsidR="00642653">
        <w:rPr>
          <w:szCs w:val="24"/>
        </w:rPr>
        <w:t>PA</w:t>
      </w:r>
      <w:r w:rsidR="007870C0">
        <w:rPr>
          <w:szCs w:val="24"/>
        </w:rPr>
        <w:t xml:space="preserve"> network</w:t>
      </w:r>
      <w:r w:rsidR="00642653">
        <w:rPr>
          <w:szCs w:val="24"/>
        </w:rPr>
        <w:t xml:space="preserve"> </w:t>
      </w:r>
      <w:bookmarkStart w:id="3" w:name="OLE_LINK4"/>
      <w:bookmarkStart w:id="4" w:name="OLE_LINK5"/>
      <w:r w:rsidR="008A423D" w:rsidRPr="008A423D">
        <w:t>(Adams et al., 2016</w:t>
      </w:r>
      <w:r w:rsidR="001B7445">
        <w:t>)</w:t>
      </w:r>
      <w:bookmarkEnd w:id="3"/>
      <w:bookmarkEnd w:id="4"/>
      <w:r w:rsidR="00642653">
        <w:rPr>
          <w:szCs w:val="24"/>
        </w:rPr>
        <w:t>.</w:t>
      </w:r>
      <w:r w:rsidR="005307BE">
        <w:rPr>
          <w:szCs w:val="24"/>
        </w:rPr>
        <w:t xml:space="preserve"> </w:t>
      </w:r>
      <w:r w:rsidR="00F172E0">
        <w:rPr>
          <w:szCs w:val="24"/>
        </w:rPr>
        <w:t xml:space="preserve">These complexities </w:t>
      </w:r>
      <w:r w:rsidR="005307BE">
        <w:rPr>
          <w:szCs w:val="24"/>
        </w:rPr>
        <w:t xml:space="preserve">suggest a </w:t>
      </w:r>
      <w:r w:rsidR="00F5532E">
        <w:rPr>
          <w:szCs w:val="24"/>
        </w:rPr>
        <w:t xml:space="preserve">target-based </w:t>
      </w:r>
      <w:r w:rsidR="00100304">
        <w:rPr>
          <w:szCs w:val="24"/>
        </w:rPr>
        <w:t>spatial conservation prioriti</w:t>
      </w:r>
      <w:r w:rsidR="00963730">
        <w:rPr>
          <w:szCs w:val="24"/>
        </w:rPr>
        <w:t>s</w:t>
      </w:r>
      <w:r w:rsidR="00100304">
        <w:rPr>
          <w:szCs w:val="24"/>
        </w:rPr>
        <w:t>ation</w:t>
      </w:r>
      <w:r w:rsidR="005307BE">
        <w:rPr>
          <w:szCs w:val="24"/>
        </w:rPr>
        <w:t xml:space="preserve"> approach </w:t>
      </w:r>
      <w:r w:rsidR="00D25C16">
        <w:rPr>
          <w:szCs w:val="24"/>
        </w:rPr>
        <w:t>would be helpful,</w:t>
      </w:r>
      <w:r w:rsidR="00730C21">
        <w:rPr>
          <w:szCs w:val="24"/>
        </w:rPr>
        <w:t xml:space="preserve"> based on existing empirical data and expert knowledge</w:t>
      </w:r>
      <w:r w:rsidR="005307BE">
        <w:rPr>
          <w:szCs w:val="24"/>
        </w:rPr>
        <w:t xml:space="preserve">, as </w:t>
      </w:r>
      <w:r w:rsidR="00AA6899">
        <w:rPr>
          <w:szCs w:val="24"/>
        </w:rPr>
        <w:t>such</w:t>
      </w:r>
      <w:r w:rsidR="005307BE">
        <w:rPr>
          <w:szCs w:val="24"/>
        </w:rPr>
        <w:t xml:space="preserve"> system</w:t>
      </w:r>
      <w:r w:rsidR="00AA6899">
        <w:rPr>
          <w:szCs w:val="24"/>
        </w:rPr>
        <w:t>s</w:t>
      </w:r>
      <w:r w:rsidR="005307BE">
        <w:rPr>
          <w:szCs w:val="24"/>
        </w:rPr>
        <w:t xml:space="preserve"> </w:t>
      </w:r>
      <w:r w:rsidR="00AA6899">
        <w:rPr>
          <w:szCs w:val="24"/>
        </w:rPr>
        <w:t>are</w:t>
      </w:r>
      <w:r w:rsidR="005307BE">
        <w:rPr>
          <w:szCs w:val="24"/>
        </w:rPr>
        <w:t xml:space="preserve"> designed to </w:t>
      </w:r>
      <w:r w:rsidR="00D25C16">
        <w:rPr>
          <w:szCs w:val="24"/>
        </w:rPr>
        <w:t xml:space="preserve">guide the </w:t>
      </w:r>
      <w:r w:rsidR="005307BE">
        <w:rPr>
          <w:szCs w:val="24"/>
        </w:rPr>
        <w:t>prioritis</w:t>
      </w:r>
      <w:r w:rsidR="00D25C16">
        <w:rPr>
          <w:szCs w:val="24"/>
        </w:rPr>
        <w:t>ation of</w:t>
      </w:r>
      <w:r w:rsidR="005307BE">
        <w:rPr>
          <w:szCs w:val="24"/>
        </w:rPr>
        <w:t xml:space="preserve"> conservation efforts</w:t>
      </w:r>
      <w:r w:rsidR="00B677EB">
        <w:rPr>
          <w:szCs w:val="24"/>
        </w:rPr>
        <w:t xml:space="preserve">, </w:t>
      </w:r>
      <w:r w:rsidR="00F741D3">
        <w:rPr>
          <w:szCs w:val="24"/>
        </w:rPr>
        <w:t xml:space="preserve">and </w:t>
      </w:r>
      <w:r w:rsidR="00D25C16">
        <w:rPr>
          <w:szCs w:val="24"/>
        </w:rPr>
        <w:t xml:space="preserve">to help </w:t>
      </w:r>
      <w:r w:rsidR="005307BE">
        <w:rPr>
          <w:szCs w:val="24"/>
        </w:rPr>
        <w:t>understand</w:t>
      </w:r>
      <w:r w:rsidR="00B7364B">
        <w:rPr>
          <w:szCs w:val="24"/>
        </w:rPr>
        <w:t xml:space="preserve"> and balance</w:t>
      </w:r>
      <w:r w:rsidR="005307BE">
        <w:rPr>
          <w:szCs w:val="24"/>
        </w:rPr>
        <w:t xml:space="preserve"> </w:t>
      </w:r>
      <w:r w:rsidR="00D25C16">
        <w:rPr>
          <w:szCs w:val="24"/>
        </w:rPr>
        <w:t xml:space="preserve">associated </w:t>
      </w:r>
      <w:r w:rsidR="005307BE">
        <w:rPr>
          <w:szCs w:val="24"/>
        </w:rPr>
        <w:t>trade-offs</w:t>
      </w:r>
      <w:r w:rsidR="00AA6899">
        <w:rPr>
          <w:szCs w:val="24"/>
        </w:rPr>
        <w:t xml:space="preserve"> </w:t>
      </w:r>
      <w:r w:rsidR="009544D4" w:rsidRPr="009544D4">
        <w:t>(Carwardine et al., 2009; Metcalfe et al., 2015)</w:t>
      </w:r>
      <w:r w:rsidR="005307BE">
        <w:rPr>
          <w:szCs w:val="24"/>
        </w:rPr>
        <w:t>.</w:t>
      </w:r>
      <w:r w:rsidR="00F5532E">
        <w:rPr>
          <w:szCs w:val="24"/>
        </w:rPr>
        <w:t xml:space="preserve"> </w:t>
      </w:r>
    </w:p>
    <w:p w14:paraId="320DF2BB" w14:textId="77777777" w:rsidR="00F172E0" w:rsidRDefault="00F172E0" w:rsidP="00F172E0">
      <w:pPr>
        <w:spacing w:line="480" w:lineRule="auto"/>
        <w:rPr>
          <w:szCs w:val="24"/>
        </w:rPr>
      </w:pPr>
    </w:p>
    <w:p w14:paraId="44DDFC2B" w14:textId="614AFB7F" w:rsidR="00774D58" w:rsidRDefault="00375D7D" w:rsidP="00C6241A">
      <w:pPr>
        <w:spacing w:line="480" w:lineRule="auto"/>
        <w:rPr>
          <w:szCs w:val="24"/>
        </w:rPr>
      </w:pPr>
      <w:r>
        <w:rPr>
          <w:szCs w:val="24"/>
        </w:rPr>
        <w:t xml:space="preserve">Such an analysis </w:t>
      </w:r>
      <w:r w:rsidR="00A822A6">
        <w:rPr>
          <w:szCs w:val="24"/>
        </w:rPr>
        <w:t xml:space="preserve">could usefully </w:t>
      </w:r>
      <w:r>
        <w:rPr>
          <w:szCs w:val="24"/>
        </w:rPr>
        <w:t>follow a two-tiered approach</w:t>
      </w:r>
      <w:r w:rsidR="00C05C2D">
        <w:rPr>
          <w:szCs w:val="24"/>
        </w:rPr>
        <w:t xml:space="preserve">: </w:t>
      </w:r>
      <w:r>
        <w:rPr>
          <w:szCs w:val="24"/>
        </w:rPr>
        <w:t>a</w:t>
      </w:r>
      <w:r w:rsidR="00F5532E">
        <w:rPr>
          <w:szCs w:val="24"/>
        </w:rPr>
        <w:t xml:space="preserve"> national-scale </w:t>
      </w:r>
      <w:r w:rsidR="0005299B">
        <w:rPr>
          <w:szCs w:val="24"/>
        </w:rPr>
        <w:t xml:space="preserve">spatial </w:t>
      </w:r>
      <w:r w:rsidR="00F5532E">
        <w:rPr>
          <w:szCs w:val="24"/>
        </w:rPr>
        <w:t xml:space="preserve">conservation </w:t>
      </w:r>
      <w:r w:rsidR="0005299B">
        <w:rPr>
          <w:szCs w:val="24"/>
        </w:rPr>
        <w:t>prioriti</w:t>
      </w:r>
      <w:r w:rsidR="00963730">
        <w:rPr>
          <w:szCs w:val="24"/>
        </w:rPr>
        <w:t>s</w:t>
      </w:r>
      <w:r w:rsidR="0005299B">
        <w:rPr>
          <w:szCs w:val="24"/>
        </w:rPr>
        <w:t>ation</w:t>
      </w:r>
      <w:r w:rsidR="00F5532E">
        <w:rPr>
          <w:szCs w:val="24"/>
        </w:rPr>
        <w:t xml:space="preserve"> </w:t>
      </w:r>
      <w:r>
        <w:rPr>
          <w:szCs w:val="24"/>
        </w:rPr>
        <w:t>to</w:t>
      </w:r>
      <w:r w:rsidR="00C05C2D">
        <w:rPr>
          <w:szCs w:val="24"/>
        </w:rPr>
        <w:t xml:space="preserve"> identify broad focal </w:t>
      </w:r>
      <w:r w:rsidR="00F741D3">
        <w:rPr>
          <w:szCs w:val="24"/>
        </w:rPr>
        <w:t>landscapes</w:t>
      </w:r>
      <w:r w:rsidR="00C05C2D">
        <w:rPr>
          <w:szCs w:val="24"/>
        </w:rPr>
        <w:t>, followed</w:t>
      </w:r>
      <w:r w:rsidR="00F5532E">
        <w:rPr>
          <w:szCs w:val="24"/>
        </w:rPr>
        <w:t xml:space="preserve"> </w:t>
      </w:r>
      <w:r w:rsidR="00C05C2D">
        <w:rPr>
          <w:szCs w:val="24"/>
        </w:rPr>
        <w:t xml:space="preserve">by fine-scale analyses within each </w:t>
      </w:r>
      <w:r w:rsidR="00F741D3">
        <w:rPr>
          <w:szCs w:val="24"/>
        </w:rPr>
        <w:t xml:space="preserve">of these landscapes </w:t>
      </w:r>
      <w:r w:rsidR="00C05C2D">
        <w:rPr>
          <w:szCs w:val="24"/>
        </w:rPr>
        <w:t>to identify when and how conservation action should be implemented</w:t>
      </w:r>
      <w:r>
        <w:rPr>
          <w:szCs w:val="24"/>
        </w:rPr>
        <w:t>.</w:t>
      </w:r>
      <w:r w:rsidR="00F172E0">
        <w:rPr>
          <w:szCs w:val="24"/>
        </w:rPr>
        <w:t xml:space="preserve"> </w:t>
      </w:r>
      <w:r>
        <w:t>The second tier would involve local partnerships determining the best approach to take within these priority landscapes and the specific areas to focus on, based on</w:t>
      </w:r>
      <w:r w:rsidRPr="00375D7D">
        <w:t xml:space="preserve"> </w:t>
      </w:r>
      <w:r>
        <w:t xml:space="preserve">local data and knowledge of opportunities and constraints </w:t>
      </w:r>
      <w:r w:rsidR="00647703" w:rsidRPr="00647703">
        <w:t>(Smith et al., 2009)</w:t>
      </w:r>
      <w:r w:rsidR="00B517C5">
        <w:rPr>
          <w:szCs w:val="24"/>
        </w:rPr>
        <w:t>.</w:t>
      </w:r>
      <w:r>
        <w:rPr>
          <w:szCs w:val="24"/>
        </w:rPr>
        <w:t xml:space="preserve"> </w:t>
      </w:r>
      <w:r w:rsidR="000C452E" w:rsidRPr="000C452E">
        <w:rPr>
          <w:szCs w:val="24"/>
        </w:rPr>
        <w:t>The</w:t>
      </w:r>
      <w:r w:rsidR="00F172E0">
        <w:rPr>
          <w:szCs w:val="24"/>
        </w:rPr>
        <w:t>re are considerable</w:t>
      </w:r>
      <w:r w:rsidR="000C452E" w:rsidRPr="000C452E">
        <w:rPr>
          <w:szCs w:val="24"/>
        </w:rPr>
        <w:t xml:space="preserve"> benefits</w:t>
      </w:r>
      <w:r w:rsidR="00F172E0">
        <w:rPr>
          <w:szCs w:val="24"/>
        </w:rPr>
        <w:t>, in terms of building financial, human and intuitional capital,</w:t>
      </w:r>
      <w:r w:rsidR="000C452E" w:rsidRPr="000C452E">
        <w:rPr>
          <w:szCs w:val="24"/>
        </w:rPr>
        <w:t xml:space="preserve"> of </w:t>
      </w:r>
      <w:r w:rsidR="00F172E0">
        <w:rPr>
          <w:szCs w:val="24"/>
        </w:rPr>
        <w:t>adopting</w:t>
      </w:r>
      <w:r w:rsidR="00F172E0" w:rsidRPr="000C452E">
        <w:rPr>
          <w:szCs w:val="24"/>
        </w:rPr>
        <w:t xml:space="preserve"> </w:t>
      </w:r>
      <w:r w:rsidR="000C452E" w:rsidRPr="000C452E">
        <w:rPr>
          <w:szCs w:val="24"/>
        </w:rPr>
        <w:t xml:space="preserve">a systematic conservation planning approach at the landscape and LSCI level </w:t>
      </w:r>
      <w:r w:rsidR="00647703" w:rsidRPr="00647703">
        <w:t>(Bottrill et al., 2012)</w:t>
      </w:r>
      <w:r w:rsidR="00F95895">
        <w:rPr>
          <w:szCs w:val="24"/>
        </w:rPr>
        <w:t xml:space="preserve">. This approach could be used to develop more detailed conservation goals, increase collaboration between </w:t>
      </w:r>
      <w:r w:rsidR="005B2954">
        <w:rPr>
          <w:szCs w:val="24"/>
        </w:rPr>
        <w:t>individuals</w:t>
      </w:r>
      <w:r w:rsidR="00F95895">
        <w:rPr>
          <w:szCs w:val="24"/>
        </w:rPr>
        <w:t xml:space="preserve"> and organisations and so identify options for reducing overlap and costs.</w:t>
      </w:r>
      <w:r>
        <w:rPr>
          <w:szCs w:val="24"/>
        </w:rPr>
        <w:t xml:space="preserve"> This</w:t>
      </w:r>
      <w:r w:rsidR="00226470">
        <w:rPr>
          <w:szCs w:val="24"/>
        </w:rPr>
        <w:t xml:space="preserve"> </w:t>
      </w:r>
      <w:r>
        <w:rPr>
          <w:szCs w:val="24"/>
        </w:rPr>
        <w:t xml:space="preserve">would </w:t>
      </w:r>
      <w:r w:rsidR="00C6241A">
        <w:rPr>
          <w:szCs w:val="24"/>
        </w:rPr>
        <w:t xml:space="preserve">help to </w:t>
      </w:r>
      <w:r>
        <w:rPr>
          <w:szCs w:val="24"/>
        </w:rPr>
        <w:t>ensure that</w:t>
      </w:r>
      <w:r w:rsidR="00226470">
        <w:rPr>
          <w:szCs w:val="24"/>
        </w:rPr>
        <w:t xml:space="preserve"> </w:t>
      </w:r>
      <w:r>
        <w:rPr>
          <w:szCs w:val="24"/>
        </w:rPr>
        <w:t xml:space="preserve">nationally important biodiversity </w:t>
      </w:r>
      <w:r w:rsidR="00226470">
        <w:rPr>
          <w:szCs w:val="24"/>
        </w:rPr>
        <w:t xml:space="preserve">was </w:t>
      </w:r>
      <w:r>
        <w:rPr>
          <w:szCs w:val="24"/>
        </w:rPr>
        <w:t>protected</w:t>
      </w:r>
      <w:r w:rsidR="0087118D">
        <w:rPr>
          <w:szCs w:val="24"/>
        </w:rPr>
        <w:t>,</w:t>
      </w:r>
      <w:r>
        <w:rPr>
          <w:szCs w:val="24"/>
        </w:rPr>
        <w:t xml:space="preserve"> </w:t>
      </w:r>
      <w:r w:rsidR="008A3C11">
        <w:rPr>
          <w:szCs w:val="24"/>
        </w:rPr>
        <w:t>but in a way that would maximise local buy-in and likelihood of implementation.</w:t>
      </w:r>
      <w:r w:rsidR="00057E16">
        <w:rPr>
          <w:szCs w:val="24"/>
        </w:rPr>
        <w:t xml:space="preserve"> </w:t>
      </w:r>
    </w:p>
    <w:p w14:paraId="1B3159FA" w14:textId="77777777" w:rsidR="00F56A53" w:rsidRDefault="00F56A53" w:rsidP="00652C11">
      <w:pPr>
        <w:spacing w:line="480" w:lineRule="auto"/>
        <w:rPr>
          <w:szCs w:val="24"/>
        </w:rPr>
      </w:pPr>
    </w:p>
    <w:p w14:paraId="38A69113" w14:textId="5E8A10BE" w:rsidR="00F56A53" w:rsidRPr="00DA6E6F" w:rsidRDefault="00F56A53" w:rsidP="00F56A53">
      <w:pPr>
        <w:spacing w:line="480" w:lineRule="auto"/>
        <w:rPr>
          <w:sz w:val="28"/>
          <w:szCs w:val="28"/>
        </w:rPr>
      </w:pPr>
      <w:r>
        <w:rPr>
          <w:sz w:val="28"/>
          <w:szCs w:val="28"/>
        </w:rPr>
        <w:t>6</w:t>
      </w:r>
      <w:r w:rsidRPr="00DA6E6F">
        <w:rPr>
          <w:sz w:val="28"/>
          <w:szCs w:val="28"/>
        </w:rPr>
        <w:t>.</w:t>
      </w:r>
      <w:r>
        <w:rPr>
          <w:sz w:val="28"/>
          <w:szCs w:val="28"/>
        </w:rPr>
        <w:t xml:space="preserve"> </w:t>
      </w:r>
      <w:r>
        <w:rPr>
          <w:rStyle w:val="Heading2Char"/>
        </w:rPr>
        <w:t xml:space="preserve">Acknowledgments </w:t>
      </w:r>
      <w:r w:rsidRPr="00DA6E6F">
        <w:rPr>
          <w:sz w:val="28"/>
          <w:szCs w:val="28"/>
        </w:rPr>
        <w:t xml:space="preserve"> </w:t>
      </w:r>
    </w:p>
    <w:p w14:paraId="6B39552C" w14:textId="7638B5BB" w:rsidR="00F56A53" w:rsidRPr="00164DA8" w:rsidRDefault="00FC1643" w:rsidP="002200DD">
      <w:pPr>
        <w:spacing w:line="480" w:lineRule="auto"/>
        <w:rPr>
          <w:szCs w:val="24"/>
          <w:rtl/>
          <w:lang w:val="en-US" w:bidi="he-IL"/>
        </w:rPr>
      </w:pPr>
      <w:r w:rsidRPr="00FC1643">
        <w:rPr>
          <w:szCs w:val="24"/>
          <w:lang w:val="en-US" w:bidi="he-IL"/>
        </w:rPr>
        <w:lastRenderedPageBreak/>
        <w:t xml:space="preserve">We would like to thank Bill Adams, Paul Armsworth, </w:t>
      </w:r>
      <w:r w:rsidR="000938D4">
        <w:rPr>
          <w:szCs w:val="24"/>
          <w:lang w:val="en-US" w:bidi="he-IL"/>
        </w:rPr>
        <w:t xml:space="preserve">and </w:t>
      </w:r>
      <w:r w:rsidRPr="00FC1643">
        <w:rPr>
          <w:szCs w:val="24"/>
          <w:lang w:val="en-US" w:bidi="he-IL"/>
        </w:rPr>
        <w:t>Malcolm Ausden for participating in the project steering committee and sharing their expertise. We would also like to thank Jake Bicknell</w:t>
      </w:r>
      <w:r>
        <w:rPr>
          <w:szCs w:val="24"/>
          <w:lang w:val="en-US" w:bidi="he-IL"/>
        </w:rPr>
        <w:t>,</w:t>
      </w:r>
      <w:r w:rsidRPr="00FC1643">
        <w:rPr>
          <w:szCs w:val="24"/>
          <w:lang w:val="en-US" w:bidi="he-IL"/>
        </w:rPr>
        <w:t xml:space="preserve"> Janna Steadman</w:t>
      </w:r>
      <w:r>
        <w:rPr>
          <w:szCs w:val="24"/>
          <w:lang w:val="en-US" w:bidi="he-IL"/>
        </w:rPr>
        <w:t>,</w:t>
      </w:r>
      <w:r w:rsidRPr="00FC1643">
        <w:rPr>
          <w:szCs w:val="24"/>
          <w:lang w:val="en-US" w:bidi="he-IL"/>
        </w:rPr>
        <w:t xml:space="preserve"> Rachel Sykes, </w:t>
      </w:r>
      <w:r>
        <w:rPr>
          <w:szCs w:val="24"/>
          <w:lang w:val="en-US" w:bidi="he-IL"/>
        </w:rPr>
        <w:t>Rachel White</w:t>
      </w:r>
      <w:r w:rsidRPr="00FC1643">
        <w:rPr>
          <w:szCs w:val="24"/>
          <w:lang w:val="en-US" w:bidi="he-IL"/>
        </w:rPr>
        <w:t xml:space="preserve"> and the rest of the DICE team for helpful advice and discussions. This research was funded by Natural England.</w:t>
      </w:r>
      <w:r w:rsidR="00A85F4A">
        <w:rPr>
          <w:szCs w:val="24"/>
          <w:lang w:val="en-US" w:bidi="he-IL"/>
        </w:rPr>
        <w:t xml:space="preserve"> </w:t>
      </w:r>
      <w:r w:rsidR="00091144">
        <w:rPr>
          <w:szCs w:val="24"/>
          <w:lang w:val="en-US" w:bidi="he-IL"/>
        </w:rPr>
        <w:t xml:space="preserve"> </w:t>
      </w:r>
      <w:r w:rsidR="00164DA8">
        <w:rPr>
          <w:szCs w:val="24"/>
          <w:lang w:val="en-US" w:bidi="he-IL"/>
        </w:rPr>
        <w:t xml:space="preserve">  </w:t>
      </w:r>
    </w:p>
    <w:p w14:paraId="6C4A77CA" w14:textId="77777777" w:rsidR="007A58A3" w:rsidRDefault="007A58A3" w:rsidP="003A3A5B">
      <w:pPr>
        <w:rPr>
          <w:szCs w:val="24"/>
          <w:lang w:bidi="he-IL"/>
        </w:rPr>
      </w:pPr>
    </w:p>
    <w:p w14:paraId="60D2841C" w14:textId="4D69E2EE" w:rsidR="007A58A3" w:rsidRDefault="00F56A53" w:rsidP="00C06EAB">
      <w:pPr>
        <w:pStyle w:val="Heading2"/>
      </w:pPr>
      <w:r>
        <w:t>7</w:t>
      </w:r>
      <w:r w:rsidR="007A58A3">
        <w:t>. References</w:t>
      </w:r>
    </w:p>
    <w:p w14:paraId="6E98EF04" w14:textId="77777777" w:rsidR="00652C11" w:rsidRDefault="00887B38" w:rsidP="00652C11">
      <w:pPr>
        <w:pStyle w:val="Bibliography"/>
      </w:pPr>
      <w:r w:rsidRPr="00D25C16">
        <w:t>Adams</w:t>
      </w:r>
      <w:r>
        <w:t>, V.M., Pressey, R.L., Stoeckl, N., 2014. Estimating landholders’ probability of participating in a stewardship program, and the implications for spatial conservation priorities. PLoS ONE 9, e97941.</w:t>
      </w:r>
    </w:p>
    <w:p w14:paraId="5953F873" w14:textId="7C16531A" w:rsidR="00887B38" w:rsidRDefault="00887B38" w:rsidP="00652C11">
      <w:pPr>
        <w:pStyle w:val="Bibliography"/>
      </w:pPr>
      <w:r>
        <w:t xml:space="preserve"> </w:t>
      </w:r>
    </w:p>
    <w:p w14:paraId="056F33EA" w14:textId="79F99AB8" w:rsidR="00887B38" w:rsidRDefault="00887B38" w:rsidP="00227828">
      <w:pPr>
        <w:pStyle w:val="Bibliography"/>
      </w:pPr>
      <w:r w:rsidRPr="00D25C16">
        <w:t>Adams</w:t>
      </w:r>
      <w:r>
        <w:t xml:space="preserve">, W.M., Hodge, I.D., Macgregor, N.A., Sandbrook, L.C., 2016. Creating restoration landscapes: partnerships in large-scale conservation in the UK. </w:t>
      </w:r>
      <w:r w:rsidR="00227828">
        <w:t>Ecology and Society 21: 1.</w:t>
      </w:r>
    </w:p>
    <w:p w14:paraId="789E32FD" w14:textId="77777777" w:rsidR="00652C11" w:rsidRPr="00652C11" w:rsidRDefault="00652C11" w:rsidP="00652C11"/>
    <w:p w14:paraId="16274D36" w14:textId="16177551" w:rsidR="00887B38" w:rsidRDefault="00887B38" w:rsidP="00652C11">
      <w:pPr>
        <w:pStyle w:val="Bibliography"/>
      </w:pPr>
      <w:r w:rsidRPr="00F12C07">
        <w:rPr>
          <w:lang w:val="pt-PT"/>
        </w:rPr>
        <w:t xml:space="preserve">Araújo, M.B., Alagador, D., Cabeza, M., Nogués-Bravo, D., Thuiller, W., 2011. </w:t>
      </w:r>
      <w:r>
        <w:t xml:space="preserve">Climate change threatens European conservation areas. Ecol. Lett. 14, 484–492. </w:t>
      </w:r>
    </w:p>
    <w:p w14:paraId="68171E00" w14:textId="77777777" w:rsidR="00652C11" w:rsidRPr="00652C11" w:rsidRDefault="00652C11" w:rsidP="00652C11"/>
    <w:p w14:paraId="7CC9C2BE" w14:textId="07879148" w:rsidR="00887B38" w:rsidRDefault="00887B38" w:rsidP="00652C11">
      <w:pPr>
        <w:pStyle w:val="Bibliography"/>
      </w:pPr>
      <w:r w:rsidRPr="00D25C16">
        <w:t>Armsworth</w:t>
      </w:r>
      <w:r>
        <w:t xml:space="preserve">, P.R., Cantú-Salazar, L., Parnell, M., Davies, Z.G., Stoneman, R., 2011. Management costs for small protected areas and economies of scale in habitat conservation. Biol. Conserv. 144, 423–429. </w:t>
      </w:r>
    </w:p>
    <w:p w14:paraId="59E6DD36" w14:textId="77777777" w:rsidR="00652C11" w:rsidRPr="00652C11" w:rsidRDefault="00652C11" w:rsidP="00652C11"/>
    <w:p w14:paraId="6340E0B7" w14:textId="4CAEB30A" w:rsidR="00887B38" w:rsidRDefault="00887B38" w:rsidP="00652C11">
      <w:pPr>
        <w:pStyle w:val="Bibliography"/>
      </w:pPr>
      <w:r w:rsidRPr="00D25C16">
        <w:t>Ausden</w:t>
      </w:r>
      <w:r>
        <w:t xml:space="preserve">, M., Hirons, G.J.M., 2002. Grassland nature reserves for breeding wading birds in England and the implications for the ESA agri-environment scheme. Biol. Conserv. 106, 279–291. </w:t>
      </w:r>
    </w:p>
    <w:p w14:paraId="08C13A16" w14:textId="77777777" w:rsidR="00652C11" w:rsidRPr="00652C11" w:rsidRDefault="00652C11" w:rsidP="00652C11"/>
    <w:p w14:paraId="4AF9C9AF" w14:textId="5179C574" w:rsidR="00887B38" w:rsidRDefault="00887B38" w:rsidP="00652C11">
      <w:pPr>
        <w:pStyle w:val="Bibliography"/>
      </w:pPr>
      <w:r w:rsidRPr="00D25C16">
        <w:t>Barr</w:t>
      </w:r>
      <w:r>
        <w:t xml:space="preserve">, L.M., Pressey, R.L., Fuller, R.A., Segan, D.B., McDonald-Madden, E., Possingham, H.P., 2011. A new way to measure the world’s protected area coverage. PLoS ONE 6, e24707. </w:t>
      </w:r>
    </w:p>
    <w:p w14:paraId="77DE0CD2" w14:textId="77777777" w:rsidR="00652C11" w:rsidRPr="00652C11" w:rsidRDefault="00652C11" w:rsidP="00652C11"/>
    <w:p w14:paraId="6BBB2C6B" w14:textId="4798E5A2" w:rsidR="00887B38" w:rsidRDefault="00887B38" w:rsidP="00652C11">
      <w:pPr>
        <w:pStyle w:val="Bibliography"/>
      </w:pPr>
      <w:r w:rsidRPr="00D25C16">
        <w:t>Batáry</w:t>
      </w:r>
      <w:r>
        <w:t xml:space="preserve">, P., Dicks, L.V., Kleijn, D., Sutherland, W.J., 2015. The role of agri-environment schemes in conservation and environmental management. Conserv. Biol. 29, 1006–1016. </w:t>
      </w:r>
    </w:p>
    <w:p w14:paraId="1C9EC249" w14:textId="77777777" w:rsidR="00652C11" w:rsidRPr="00652C11" w:rsidRDefault="00652C11" w:rsidP="00652C11"/>
    <w:p w14:paraId="32496863" w14:textId="1454CE3F" w:rsidR="00B40F56" w:rsidRDefault="00B40F56" w:rsidP="00652C11">
      <w:pPr>
        <w:pStyle w:val="Bibliography"/>
      </w:pPr>
      <w:r w:rsidRPr="00B40F56">
        <w:lastRenderedPageBreak/>
        <w:t>Boitani, L., Falcucci, A.,</w:t>
      </w:r>
      <w:r>
        <w:t xml:space="preserve"> Maiorano, L., Rondinini, C., 2007. </w:t>
      </w:r>
      <w:r w:rsidRPr="00B40F56">
        <w:t>Ecological networks as conceptual frameworks or operational too</w:t>
      </w:r>
      <w:r>
        <w:t>ls in conservation. Conserv. Biol.</w:t>
      </w:r>
      <w:r w:rsidRPr="00B40F56">
        <w:t>, 21, 1414-1422.</w:t>
      </w:r>
    </w:p>
    <w:p w14:paraId="147911D1" w14:textId="77777777" w:rsidR="00B40F56" w:rsidRPr="00B40F56" w:rsidRDefault="00B40F56" w:rsidP="003C58A7"/>
    <w:p w14:paraId="06A3E9A7" w14:textId="348E7C0E" w:rsidR="00887B38" w:rsidRDefault="00887B38" w:rsidP="00652C11">
      <w:pPr>
        <w:pStyle w:val="Bibliography"/>
      </w:pPr>
      <w:r w:rsidRPr="00D25C16">
        <w:t>Bottrill</w:t>
      </w:r>
      <w:r>
        <w:t xml:space="preserve">, M.C., Mills, M., Pressey, R.L., Game, E.T., Groves, C., 2012. Evaluating perceived benefits of ecoregional assessments. Conserv. Biol. 26, 851–861. </w:t>
      </w:r>
    </w:p>
    <w:p w14:paraId="119036E0" w14:textId="77777777" w:rsidR="00652C11" w:rsidRPr="00652C11" w:rsidRDefault="00652C11" w:rsidP="00652C11"/>
    <w:p w14:paraId="59476AFB" w14:textId="1F2B4669" w:rsidR="00887B38" w:rsidRDefault="00887B38" w:rsidP="00652C11">
      <w:pPr>
        <w:pStyle w:val="Bibliography"/>
      </w:pPr>
      <w:r w:rsidRPr="00D25C16">
        <w:t>Bright</w:t>
      </w:r>
      <w:r>
        <w:t xml:space="preserve">, J.A., Morris, A.J., Field, R.H., Cooke, A.I., Grice, P.V., Walker, L.K., Fern, J., Peach, W.J., 2015. Higher-tier agri-environment scheme enhances breeding densities of some priority farmland birds in England. Agric. Ecosyst. Environ. 203, 69–79. </w:t>
      </w:r>
    </w:p>
    <w:p w14:paraId="65B3B0C9" w14:textId="77777777" w:rsidR="00652C11" w:rsidRPr="00652C11" w:rsidRDefault="00652C11" w:rsidP="00652C11"/>
    <w:p w14:paraId="4220FB43" w14:textId="05A2413B" w:rsidR="00887B38" w:rsidRDefault="00887B38" w:rsidP="00652C11">
      <w:pPr>
        <w:pStyle w:val="Bibliography"/>
      </w:pPr>
      <w:r w:rsidRPr="00D25C16">
        <w:t>Carwardine</w:t>
      </w:r>
      <w:r w:rsidRPr="00967420">
        <w:t xml:space="preserve">, J., Klein, C.J., Wilson, K.A., Pressey, R.L., Possingham, H.P., 2009. Hitting the target and missing the point: target-based conservation planning in context. Conserv. Lett. 2, 4–11. </w:t>
      </w:r>
    </w:p>
    <w:p w14:paraId="7CBFC304" w14:textId="77777777" w:rsidR="00652C11" w:rsidRPr="00652C11" w:rsidRDefault="00652C11" w:rsidP="00652C11"/>
    <w:p w14:paraId="0654204C" w14:textId="77777777" w:rsidR="00887B38" w:rsidRDefault="00887B38" w:rsidP="00652C11">
      <w:pPr>
        <w:pStyle w:val="Bibliography"/>
      </w:pPr>
      <w:r w:rsidRPr="00D25C16">
        <w:t>CBD</w:t>
      </w:r>
      <w:r>
        <w:t>, 2011. Conference of the Parties Decision X/2: Strategic plan for biodiversity 2011–2020.</w:t>
      </w:r>
    </w:p>
    <w:p w14:paraId="63A9596D" w14:textId="77777777" w:rsidR="00652C11" w:rsidRPr="00652C11" w:rsidRDefault="00652C11" w:rsidP="00652C11"/>
    <w:p w14:paraId="7774F4DB" w14:textId="799278BA" w:rsidR="00887B38" w:rsidRDefault="00887B38" w:rsidP="00652C11">
      <w:pPr>
        <w:pStyle w:val="Bibliography"/>
      </w:pPr>
      <w:r w:rsidRPr="00D25C16">
        <w:t>Christensen</w:t>
      </w:r>
      <w:r>
        <w:t xml:space="preserve">, T., Pedersen, A.B., Nielsen, H.O., Mørkbak, M.R., Hasler, B., Denver, S., 2011. Determinants of farmers’ willingness to participate in subsidy schemes for pesticide-free buffer zones—A choice experiment study. Ecol. Econ. 70, 1558–1564. </w:t>
      </w:r>
    </w:p>
    <w:p w14:paraId="72D896DE" w14:textId="77777777" w:rsidR="00652C11" w:rsidRPr="00652C11" w:rsidRDefault="00652C11" w:rsidP="00652C11"/>
    <w:p w14:paraId="7362B2E6" w14:textId="776D1CEF" w:rsidR="00887B38" w:rsidRDefault="00887B38" w:rsidP="00652C11">
      <w:pPr>
        <w:pStyle w:val="Bibliography"/>
      </w:pPr>
      <w:r w:rsidRPr="00D25C16">
        <w:t>Davey</w:t>
      </w:r>
      <w:r>
        <w:t xml:space="preserve">, C.M., Vickery, J.A., Boatman, N.D., Chamberlain, D.E., Parry, H.R., Siriwardena, G.M., 2010. Assessing the impact of Entry Level Stewardship on lowland farmland birds in England. Ibis 152, 459–474. </w:t>
      </w:r>
    </w:p>
    <w:p w14:paraId="7A20AE8B" w14:textId="77777777" w:rsidR="00652C11" w:rsidRPr="00652C11" w:rsidRDefault="00652C11" w:rsidP="00652C11"/>
    <w:p w14:paraId="2C761B17" w14:textId="7D968AB7" w:rsidR="00887B38" w:rsidRDefault="00887B38" w:rsidP="00652C11">
      <w:pPr>
        <w:pStyle w:val="Bibliography"/>
      </w:pPr>
      <w:r w:rsidRPr="00D25C16">
        <w:t>Defra</w:t>
      </w:r>
      <w:r>
        <w:t xml:space="preserve">, 2011. The </w:t>
      </w:r>
      <w:r w:rsidR="00652C11">
        <w:t>n</w:t>
      </w:r>
      <w:r>
        <w:t xml:space="preserve">atural </w:t>
      </w:r>
      <w:r w:rsidR="00652C11">
        <w:t>c</w:t>
      </w:r>
      <w:r>
        <w:t>hoice: securing the value of nature.</w:t>
      </w:r>
      <w:r w:rsidR="00CC1F5F">
        <w:t xml:space="preserve"> Defra, London.</w:t>
      </w:r>
    </w:p>
    <w:p w14:paraId="4F8463BE" w14:textId="77777777" w:rsidR="00652C11" w:rsidRPr="00652C11" w:rsidRDefault="00652C11" w:rsidP="00652C11"/>
    <w:p w14:paraId="647A10D5" w14:textId="15D71DA3" w:rsidR="00C825F4" w:rsidRDefault="00C825F4" w:rsidP="00C825F4">
      <w:r w:rsidRPr="00C825F4">
        <w:t>Eigenbrod, F</w:t>
      </w:r>
      <w:r>
        <w:t>.</w:t>
      </w:r>
      <w:r w:rsidRPr="00C825F4">
        <w:t>, Anderson,</w:t>
      </w:r>
      <w:r>
        <w:t xml:space="preserve"> B.J., </w:t>
      </w:r>
      <w:r w:rsidRPr="00C825F4">
        <w:t>Armsworth,</w:t>
      </w:r>
      <w:r>
        <w:t xml:space="preserve"> P.R., </w:t>
      </w:r>
      <w:r w:rsidRPr="00C825F4">
        <w:t xml:space="preserve">Heinemeyer, </w:t>
      </w:r>
      <w:r>
        <w:t xml:space="preserve">A., </w:t>
      </w:r>
      <w:r w:rsidRPr="00C825F4">
        <w:t xml:space="preserve">Jackson, </w:t>
      </w:r>
      <w:r>
        <w:t xml:space="preserve">S.F., </w:t>
      </w:r>
      <w:r w:rsidRPr="00C825F4">
        <w:t xml:space="preserve">Parnell, </w:t>
      </w:r>
      <w:r>
        <w:t xml:space="preserve">M., </w:t>
      </w:r>
      <w:r w:rsidRPr="00C825F4">
        <w:t xml:space="preserve">Thomas, </w:t>
      </w:r>
      <w:r>
        <w:t xml:space="preserve">C.D., </w:t>
      </w:r>
      <w:r w:rsidRPr="00C825F4">
        <w:t>Gaston</w:t>
      </w:r>
      <w:r>
        <w:t>, K.J.,</w:t>
      </w:r>
      <w:r w:rsidRPr="00C825F4">
        <w:t xml:space="preserve"> 2009. Ecosystem service benefits of contrasting conservation strategies in a human-dominated region. Proceedings of the Royal Society o</w:t>
      </w:r>
      <w:r>
        <w:t>f London B: Biological Sciences</w:t>
      </w:r>
      <w:r w:rsidRPr="00C825F4">
        <w:t xml:space="preserve"> 276, 2903–2911.</w:t>
      </w:r>
    </w:p>
    <w:p w14:paraId="4F573199" w14:textId="77777777" w:rsidR="00C825F4" w:rsidRDefault="00C825F4" w:rsidP="009269CC"/>
    <w:p w14:paraId="49FA0CCF" w14:textId="682D3225" w:rsidR="00887B38" w:rsidRDefault="00B7372D" w:rsidP="009269CC">
      <w:r w:rsidRPr="00B7372D">
        <w:lastRenderedPageBreak/>
        <w:t>Eigenbrod, F., Williams, M., Macgregor, N.A., Hill, C.T., Osborne, P.E., Clarke, D., Sandbrook, L.C., Hodge, I., Steyl, I., Thompson, A., van Dijk, N., Watmough, G.,</w:t>
      </w:r>
      <w:r>
        <w:t xml:space="preserve"> </w:t>
      </w:r>
      <w:r w:rsidR="009269CC">
        <w:t>2017</w:t>
      </w:r>
      <w:r w:rsidR="00887B38">
        <w:t xml:space="preserve">. A review of large-scale conservation in England, Scotland and Wales. Natural England </w:t>
      </w:r>
      <w:r w:rsidR="009269CC">
        <w:t>Joint Publication JP019</w:t>
      </w:r>
      <w:r w:rsidR="00887B38">
        <w:t>. Natural England, York, England.</w:t>
      </w:r>
      <w:r w:rsidR="009269CC">
        <w:t xml:space="preserve"> Available at: </w:t>
      </w:r>
      <w:hyperlink r:id="rId10" w:history="1">
        <w:r w:rsidR="00B8277A" w:rsidRPr="00576116">
          <w:rPr>
            <w:rStyle w:val="Hyperlink"/>
          </w:rPr>
          <w:t>http://publications.naturalengland.org.uk/publication/5762035722223616</w:t>
        </w:r>
      </w:hyperlink>
      <w:r w:rsidR="00B8277A">
        <w:t xml:space="preserve"> </w:t>
      </w:r>
    </w:p>
    <w:p w14:paraId="1622AFFA" w14:textId="77777777" w:rsidR="00D8525A" w:rsidRDefault="00D8525A" w:rsidP="000912DD"/>
    <w:p w14:paraId="1849E44A" w14:textId="7FE8AAB8" w:rsidR="00C83276" w:rsidRPr="00A822A6" w:rsidRDefault="00C83276" w:rsidP="000912DD">
      <w:r w:rsidRPr="00D25C16">
        <w:t>FERA</w:t>
      </w:r>
      <w:r w:rsidR="00B7372D">
        <w:t>, 2013.</w:t>
      </w:r>
      <w:r w:rsidRPr="00C83276">
        <w:t xml:space="preserve"> Evidence requirements to support the design of new agri-environment schemes. Final Report to Defra of project BD5011. The Food and Environment Research Agency, Sand Hutton.</w:t>
      </w:r>
    </w:p>
    <w:p w14:paraId="52D4F9EA" w14:textId="77777777" w:rsidR="00652C11" w:rsidRPr="00652C11" w:rsidRDefault="00652C11" w:rsidP="00652C11"/>
    <w:p w14:paraId="5D1419AB" w14:textId="260F2136" w:rsidR="00887B38" w:rsidRDefault="00887B38" w:rsidP="00652C11">
      <w:pPr>
        <w:pStyle w:val="Bibliography"/>
      </w:pPr>
      <w:r w:rsidRPr="00D25C16">
        <w:t>Gaston</w:t>
      </w:r>
      <w:r>
        <w:t xml:space="preserve">, K.J., Charman, K., Jackson, S.F., Armsworth, P.R., Bonn, A., </w:t>
      </w:r>
      <w:r w:rsidR="003B14D8">
        <w:t>et al.,</w:t>
      </w:r>
      <w:r>
        <w:t xml:space="preserve"> 2006. The ecological effectiveness of protected areas: The United Kingdom. Biol. Conserv. 132, 76–87. </w:t>
      </w:r>
    </w:p>
    <w:p w14:paraId="2D79D163" w14:textId="77777777" w:rsidR="00652C11" w:rsidRPr="00652C11" w:rsidRDefault="00652C11" w:rsidP="00652C11"/>
    <w:p w14:paraId="6729AC54" w14:textId="0B65EECC" w:rsidR="00887B38" w:rsidRDefault="00887B38" w:rsidP="00652C11">
      <w:pPr>
        <w:pStyle w:val="Bibliography"/>
      </w:pPr>
      <w:r w:rsidRPr="00D25C16">
        <w:t>Gillingham</w:t>
      </w:r>
      <w:r>
        <w:t xml:space="preserve">, P.K., Alison, J., Roy, D.B., Fox, R., Thomas, C.D., 2015. High </w:t>
      </w:r>
      <w:r w:rsidR="00652C11">
        <w:t>a</w:t>
      </w:r>
      <w:r>
        <w:t xml:space="preserve">bundances of </w:t>
      </w:r>
      <w:r w:rsidR="00652C11">
        <w:t>s</w:t>
      </w:r>
      <w:r>
        <w:t xml:space="preserve">pecies in </w:t>
      </w:r>
      <w:r w:rsidR="00652C11">
        <w:t>p</w:t>
      </w:r>
      <w:r>
        <w:t xml:space="preserve">rotected </w:t>
      </w:r>
      <w:r w:rsidR="00652C11">
        <w:t>a</w:t>
      </w:r>
      <w:r>
        <w:t xml:space="preserve">reas in </w:t>
      </w:r>
      <w:r w:rsidR="00652C11">
        <w:t>p</w:t>
      </w:r>
      <w:r>
        <w:t xml:space="preserve">arts of their </w:t>
      </w:r>
      <w:r w:rsidR="00652C11">
        <w:t>g</w:t>
      </w:r>
      <w:r>
        <w:t xml:space="preserve">eographic </w:t>
      </w:r>
      <w:r w:rsidR="00652C11">
        <w:t>d</w:t>
      </w:r>
      <w:r>
        <w:t xml:space="preserve">istributions </w:t>
      </w:r>
      <w:r w:rsidR="00652C11">
        <w:t>c</w:t>
      </w:r>
      <w:r>
        <w:t xml:space="preserve">olonized during a </w:t>
      </w:r>
      <w:r w:rsidR="00652C11">
        <w:t>r</w:t>
      </w:r>
      <w:r>
        <w:t xml:space="preserve">ecent </w:t>
      </w:r>
      <w:r w:rsidR="00652C11">
        <w:t>p</w:t>
      </w:r>
      <w:r>
        <w:t xml:space="preserve">eriod of </w:t>
      </w:r>
      <w:r w:rsidR="00652C11">
        <w:t>c</w:t>
      </w:r>
      <w:r>
        <w:t xml:space="preserve">limatic </w:t>
      </w:r>
      <w:r w:rsidR="00652C11">
        <w:t>c</w:t>
      </w:r>
      <w:r>
        <w:t xml:space="preserve">hange. Conserv. Lett. 8, 97–106. </w:t>
      </w:r>
    </w:p>
    <w:p w14:paraId="3562825B" w14:textId="77777777" w:rsidR="00652C11" w:rsidRPr="00652C11" w:rsidRDefault="00652C11" w:rsidP="00652C11"/>
    <w:p w14:paraId="4E687FD0" w14:textId="78EFD1D4" w:rsidR="00CF04AA" w:rsidRDefault="00CF04AA" w:rsidP="00B7372D">
      <w:r>
        <w:t>Hayhow</w:t>
      </w:r>
      <w:r w:rsidR="00B7372D">
        <w:t>,</w:t>
      </w:r>
      <w:r>
        <w:t xml:space="preserve"> D.B., Burns</w:t>
      </w:r>
      <w:r w:rsidR="00B7372D">
        <w:t>,</w:t>
      </w:r>
      <w:r>
        <w:t xml:space="preserve"> F., Eaton</w:t>
      </w:r>
      <w:r w:rsidR="00B7372D">
        <w:t>,</w:t>
      </w:r>
      <w:r>
        <w:t xml:space="preserve"> M.A., A.l. Fulaij</w:t>
      </w:r>
      <w:r w:rsidR="00B7372D">
        <w:t>,</w:t>
      </w:r>
      <w:r>
        <w:t xml:space="preserve"> N</w:t>
      </w:r>
      <w:r w:rsidR="00B7372D">
        <w:t>.</w:t>
      </w:r>
      <w:r>
        <w:t>, August</w:t>
      </w:r>
      <w:r w:rsidR="00B7372D">
        <w:t>,</w:t>
      </w:r>
      <w:r>
        <w:t xml:space="preserve"> T.A., Babey</w:t>
      </w:r>
      <w:r w:rsidR="00B7372D">
        <w:t>,</w:t>
      </w:r>
      <w:r>
        <w:t xml:space="preserve"> L., Bacon</w:t>
      </w:r>
      <w:r w:rsidR="00B7372D">
        <w:t>,</w:t>
      </w:r>
      <w:r>
        <w:t xml:space="preserve"> L., Bingham</w:t>
      </w:r>
      <w:r w:rsidR="00B7372D">
        <w:t>,</w:t>
      </w:r>
      <w:r>
        <w:t xml:space="preserve"> C., Boswell</w:t>
      </w:r>
      <w:r w:rsidR="00B7372D">
        <w:t>,</w:t>
      </w:r>
      <w:r>
        <w:t xml:space="preserve"> J., Boughey</w:t>
      </w:r>
      <w:r w:rsidR="00B7372D">
        <w:t>,</w:t>
      </w:r>
      <w:r>
        <w:t xml:space="preserve"> K.L., Brereton</w:t>
      </w:r>
      <w:r w:rsidR="00B7372D">
        <w:t>,</w:t>
      </w:r>
      <w:r>
        <w:t xml:space="preserve"> T., Brookman</w:t>
      </w:r>
      <w:r w:rsidR="00B7372D">
        <w:t>,</w:t>
      </w:r>
      <w:r>
        <w:t xml:space="preserve"> E., Brooks</w:t>
      </w:r>
      <w:r w:rsidR="00B7372D">
        <w:t>,</w:t>
      </w:r>
      <w:r>
        <w:t xml:space="preserve"> D.R., Bullock</w:t>
      </w:r>
      <w:r w:rsidR="00B7372D">
        <w:t>,</w:t>
      </w:r>
      <w:r>
        <w:t xml:space="preserve"> D.J., Burke</w:t>
      </w:r>
      <w:r w:rsidR="00B7372D">
        <w:t>,</w:t>
      </w:r>
      <w:r>
        <w:t xml:space="preserve"> O., Collis M., Corbet</w:t>
      </w:r>
      <w:r w:rsidR="00B7372D">
        <w:t>,</w:t>
      </w:r>
      <w:r>
        <w:t xml:space="preserve"> L., Cornish</w:t>
      </w:r>
      <w:r w:rsidR="00B7372D">
        <w:t>,</w:t>
      </w:r>
      <w:r>
        <w:t xml:space="preserve"> N., De Massimi</w:t>
      </w:r>
      <w:r w:rsidR="00B7372D">
        <w:t>,</w:t>
      </w:r>
      <w:r>
        <w:t xml:space="preserve"> S., Densham</w:t>
      </w:r>
      <w:r w:rsidR="00B7372D">
        <w:t>,</w:t>
      </w:r>
      <w:r>
        <w:t xml:space="preserve"> J., Dunn</w:t>
      </w:r>
      <w:r w:rsidR="00B7372D">
        <w:t>,</w:t>
      </w:r>
      <w:r>
        <w:t xml:space="preserve"> E., Elliott</w:t>
      </w:r>
      <w:r w:rsidR="00B7372D">
        <w:t>,</w:t>
      </w:r>
      <w:r>
        <w:t xml:space="preserve"> S., Gent</w:t>
      </w:r>
      <w:r w:rsidR="00B7372D">
        <w:t xml:space="preserve">, T., Godber, </w:t>
      </w:r>
      <w:r>
        <w:t>J., Hamilton</w:t>
      </w:r>
      <w:r w:rsidR="00B7372D">
        <w:t>,</w:t>
      </w:r>
      <w:r>
        <w:t xml:space="preserve"> S., Havery</w:t>
      </w:r>
      <w:r w:rsidR="00B7372D">
        <w:t>,</w:t>
      </w:r>
      <w:r>
        <w:t xml:space="preserve"> S., Hawkins</w:t>
      </w:r>
      <w:r w:rsidR="00B7372D">
        <w:t>,</w:t>
      </w:r>
      <w:r>
        <w:t xml:space="preserve"> S., Henney</w:t>
      </w:r>
      <w:r w:rsidR="00B7372D">
        <w:t>,</w:t>
      </w:r>
      <w:r>
        <w:t xml:space="preserve"> J., Holmes</w:t>
      </w:r>
      <w:r w:rsidR="00B7372D">
        <w:t>,</w:t>
      </w:r>
      <w:r>
        <w:t xml:space="preserve"> K., Hutchinson</w:t>
      </w:r>
      <w:r w:rsidR="00B7372D">
        <w:t>,</w:t>
      </w:r>
      <w:r>
        <w:t xml:space="preserve"> N., Isaac</w:t>
      </w:r>
      <w:r w:rsidR="00B7372D">
        <w:t>,</w:t>
      </w:r>
      <w:r>
        <w:t xml:space="preserve"> N.J.B., Johns</w:t>
      </w:r>
      <w:r w:rsidR="00B7372D">
        <w:t>,</w:t>
      </w:r>
      <w:r>
        <w:t xml:space="preserve"> D., Macadam</w:t>
      </w:r>
      <w:r w:rsidR="00B7372D">
        <w:t>,</w:t>
      </w:r>
      <w:r>
        <w:t xml:space="preserve"> C.R., Mathews</w:t>
      </w:r>
      <w:r w:rsidR="00B7372D">
        <w:t>,</w:t>
      </w:r>
      <w:r>
        <w:t xml:space="preserve"> F., Nicolet</w:t>
      </w:r>
      <w:r w:rsidR="00B7372D">
        <w:t>,</w:t>
      </w:r>
      <w:r>
        <w:t xml:space="preserve"> P., Noble</w:t>
      </w:r>
      <w:r w:rsidR="00B7372D">
        <w:t>,</w:t>
      </w:r>
      <w:r>
        <w:t xml:space="preserve"> D.G., Outhwaite</w:t>
      </w:r>
      <w:r w:rsidR="00B7372D">
        <w:t>,</w:t>
      </w:r>
      <w:r>
        <w:t xml:space="preserve"> C.L., Powney</w:t>
      </w:r>
      <w:r w:rsidR="00B7372D">
        <w:t>,</w:t>
      </w:r>
      <w:r>
        <w:t xml:space="preserve"> G.D., Richardson P., Roy</w:t>
      </w:r>
      <w:r w:rsidR="00B7372D">
        <w:t>,</w:t>
      </w:r>
      <w:r>
        <w:t xml:space="preserve"> D.B., Sims</w:t>
      </w:r>
      <w:r w:rsidR="00B7372D">
        <w:t>,</w:t>
      </w:r>
      <w:r>
        <w:t xml:space="preserve"> D., Smart S., Stevenson</w:t>
      </w:r>
      <w:r w:rsidR="00B7372D">
        <w:t>,</w:t>
      </w:r>
      <w:r>
        <w:t xml:space="preserve"> K., Stroud</w:t>
      </w:r>
      <w:r w:rsidR="00B7372D">
        <w:t>,</w:t>
      </w:r>
      <w:r>
        <w:t xml:space="preserve"> R.A., Walker</w:t>
      </w:r>
      <w:r w:rsidR="00B7372D">
        <w:t>,</w:t>
      </w:r>
      <w:r>
        <w:t xml:space="preserve"> K.J., Webb</w:t>
      </w:r>
      <w:r w:rsidR="00B7372D">
        <w:t>,</w:t>
      </w:r>
      <w:r>
        <w:t xml:space="preserve"> J.R., Webb</w:t>
      </w:r>
      <w:r w:rsidR="00B7372D">
        <w:t>,</w:t>
      </w:r>
      <w:r>
        <w:t xml:space="preserve"> T</w:t>
      </w:r>
      <w:r w:rsidR="00B7372D">
        <w:t xml:space="preserve">.J., Wynde, R., Gregory, R.D., </w:t>
      </w:r>
      <w:r>
        <w:t>2016</w:t>
      </w:r>
      <w:r w:rsidR="00B7372D">
        <w:t>.</w:t>
      </w:r>
      <w:r>
        <w:t xml:space="preserve"> State of Nature 2016. The State of Nature partnership</w:t>
      </w:r>
    </w:p>
    <w:p w14:paraId="29957529" w14:textId="77777777" w:rsidR="00652C11" w:rsidRDefault="00652C11" w:rsidP="00652C11"/>
    <w:p w14:paraId="7A91A434" w14:textId="15DEE1CA" w:rsidR="001B3BEF" w:rsidRDefault="001B3BEF" w:rsidP="00652C11">
      <w:r w:rsidRPr="001B3BEF">
        <w:t>Iojă, C.I., Pătroescu, M., Rozylowicz, L., Popescu, V.D., Vergheleţ, M., Zotta, M.I., Felciuc, M., 2010. The efficacy of Romania’s protected areas network in conserving biodiversity. Biol. Conserv. 143, 2468–2476.</w:t>
      </w:r>
    </w:p>
    <w:p w14:paraId="49A6569B" w14:textId="77777777" w:rsidR="001B3BEF" w:rsidRPr="00652C11" w:rsidRDefault="001B3BEF" w:rsidP="00652C11"/>
    <w:p w14:paraId="21D0C82F" w14:textId="302A4FCB" w:rsidR="00887B38" w:rsidRDefault="00887B38" w:rsidP="00652C11">
      <w:pPr>
        <w:pStyle w:val="Bibliography"/>
      </w:pPr>
      <w:r w:rsidRPr="00A47739">
        <w:t>Jackson</w:t>
      </w:r>
      <w:r>
        <w:t xml:space="preserve">, S.F., Evans, K.L., Gaston, K.J., 2009. Statutory protected areas and avian species richness in Britain. Biodivers. Conserv. 18, 2143–2151. </w:t>
      </w:r>
    </w:p>
    <w:p w14:paraId="65BC6F9F" w14:textId="77777777" w:rsidR="00652C11" w:rsidRPr="00652C11" w:rsidRDefault="00652C11" w:rsidP="00652C11"/>
    <w:p w14:paraId="619C6A12" w14:textId="6F92B1AA" w:rsidR="00887B38" w:rsidRDefault="0038380E" w:rsidP="00B7372D">
      <w:pPr>
        <w:pStyle w:val="Bibliography"/>
      </w:pPr>
      <w:r w:rsidRPr="00A47739">
        <w:t>Jackson</w:t>
      </w:r>
      <w:r w:rsidR="00B7372D">
        <w:t xml:space="preserve">, S.F., </w:t>
      </w:r>
      <w:r w:rsidR="00887B38">
        <w:t xml:space="preserve">Gaston, K.J., 2008. Land use change and the dependence of national priority species on protected areas. Glob. Change Biol. 14, 2132–2138. </w:t>
      </w:r>
    </w:p>
    <w:p w14:paraId="09131CC7" w14:textId="77777777" w:rsidR="00652C11" w:rsidRPr="00652C11" w:rsidRDefault="00652C11" w:rsidP="00652C11"/>
    <w:p w14:paraId="489E1AD1" w14:textId="36184FE7" w:rsidR="00887B38" w:rsidRDefault="00887B38" w:rsidP="00652C11">
      <w:pPr>
        <w:pStyle w:val="Bibliography"/>
      </w:pPr>
      <w:r w:rsidRPr="00A47739">
        <w:t>Jenkins</w:t>
      </w:r>
      <w:r>
        <w:t xml:space="preserve">, C.N., Houtan, K.S.V., Pimm, S.L., Sexton, J.O., 2015. US protected lands mismatch biodiversity priorities. Proc. Natl. Acad. Sci. 112, 5081–5086. </w:t>
      </w:r>
    </w:p>
    <w:p w14:paraId="3D43B4FE" w14:textId="77777777" w:rsidR="00652C11" w:rsidRPr="00652C11" w:rsidRDefault="00652C11" w:rsidP="00652C11"/>
    <w:p w14:paraId="74779B70" w14:textId="50815C4B" w:rsidR="00887B38" w:rsidRDefault="00887B38" w:rsidP="00652C11">
      <w:pPr>
        <w:pStyle w:val="Bibliography"/>
      </w:pPr>
      <w:r w:rsidRPr="00A47739">
        <w:t>Joppa</w:t>
      </w:r>
      <w:r>
        <w:t xml:space="preserve">, L.N., Pfaff, A., 2009. High and </w:t>
      </w:r>
      <w:r w:rsidR="0038380E">
        <w:t>f</w:t>
      </w:r>
      <w:r>
        <w:t xml:space="preserve">ar: Biases in the </w:t>
      </w:r>
      <w:r w:rsidR="0038380E">
        <w:t>l</w:t>
      </w:r>
      <w:r>
        <w:t xml:space="preserve">ocation of </w:t>
      </w:r>
      <w:r w:rsidR="0038380E">
        <w:t>p</w:t>
      </w:r>
      <w:r>
        <w:t xml:space="preserve">rotected </w:t>
      </w:r>
      <w:r w:rsidR="0038380E">
        <w:t>a</w:t>
      </w:r>
      <w:r>
        <w:t xml:space="preserve">reas. PLoS ONE 4, e8273. </w:t>
      </w:r>
    </w:p>
    <w:p w14:paraId="69833EAD" w14:textId="77777777" w:rsidR="00652C11" w:rsidRPr="00652C11" w:rsidRDefault="00652C11" w:rsidP="00652C11"/>
    <w:p w14:paraId="2B931DE3" w14:textId="25E07A3E" w:rsidR="00887B38" w:rsidRDefault="00CF04AA" w:rsidP="00B7372D">
      <w:pPr>
        <w:pStyle w:val="Bibliography"/>
      </w:pPr>
      <w:r w:rsidRPr="00CF04AA">
        <w:t>Kleijn, D., Baquero, R.A., Clough, Y., Diaz, M., Esteban, J.D., Fernández, F., Gabriel, D., Herz</w:t>
      </w:r>
      <w:r w:rsidR="00B7372D">
        <w:t xml:space="preserve">og, F., Holzschuh, A., Jöhl, R., </w:t>
      </w:r>
      <w:r w:rsidRPr="00CF04AA">
        <w:t>Knop, E.</w:t>
      </w:r>
      <w:r w:rsidR="00887B38" w:rsidRPr="00CF04AA">
        <w:rPr>
          <w:lang w:val="pt-PT"/>
        </w:rPr>
        <w:t xml:space="preserve">, 2006. </w:t>
      </w:r>
      <w:r w:rsidR="00887B38">
        <w:t xml:space="preserve">Mixed biodiversity benefits of agri-environment schemes in five European countries. Ecol. Lett. 9, 243–254. </w:t>
      </w:r>
    </w:p>
    <w:p w14:paraId="6B085AD9" w14:textId="77777777" w:rsidR="00652C11" w:rsidRDefault="00652C11" w:rsidP="00652C11"/>
    <w:p w14:paraId="45EE4D3B" w14:textId="5BEF29DD" w:rsidR="00887B38" w:rsidRDefault="00887B38" w:rsidP="00652C11">
      <w:pPr>
        <w:pStyle w:val="Bibliography"/>
      </w:pPr>
      <w:r w:rsidRPr="00A47739">
        <w:t>Knight</w:t>
      </w:r>
      <w:r>
        <w:t xml:space="preserve">, A.T., Cowling, R.M., Difford, M., Campbell, B.M., 2010. Mapping </w:t>
      </w:r>
      <w:r w:rsidR="0038380E">
        <w:t>h</w:t>
      </w:r>
      <w:r>
        <w:t xml:space="preserve">uman and </w:t>
      </w:r>
      <w:r w:rsidR="0038380E">
        <w:t>s</w:t>
      </w:r>
      <w:r>
        <w:t xml:space="preserve">ocial </w:t>
      </w:r>
      <w:r w:rsidR="0038380E">
        <w:t>d</w:t>
      </w:r>
      <w:r>
        <w:t xml:space="preserve">imensions of </w:t>
      </w:r>
      <w:r w:rsidR="0038380E">
        <w:t>c</w:t>
      </w:r>
      <w:r>
        <w:t xml:space="preserve">onservation </w:t>
      </w:r>
      <w:r w:rsidR="0038380E">
        <w:t>o</w:t>
      </w:r>
      <w:r>
        <w:t xml:space="preserve">pportunity for the </w:t>
      </w:r>
      <w:r w:rsidR="0038380E">
        <w:t>s</w:t>
      </w:r>
      <w:r>
        <w:t xml:space="preserve">cheduling of </w:t>
      </w:r>
      <w:r w:rsidR="0038380E">
        <w:t>c</w:t>
      </w:r>
      <w:r>
        <w:t xml:space="preserve">onservation </w:t>
      </w:r>
      <w:r w:rsidR="0038380E">
        <w:t>a</w:t>
      </w:r>
      <w:r>
        <w:t xml:space="preserve">ction on </w:t>
      </w:r>
      <w:r w:rsidR="0038380E">
        <w:t>p</w:t>
      </w:r>
      <w:r>
        <w:t xml:space="preserve">rivate </w:t>
      </w:r>
      <w:r w:rsidR="0038380E">
        <w:t>l</w:t>
      </w:r>
      <w:r>
        <w:t xml:space="preserve">and. Conserv. Biol. 24, 1348–1358. </w:t>
      </w:r>
    </w:p>
    <w:p w14:paraId="3A92152B" w14:textId="77777777" w:rsidR="00652C11" w:rsidRPr="00652C11" w:rsidRDefault="00652C11" w:rsidP="00652C11"/>
    <w:p w14:paraId="62159A03" w14:textId="4524BD05" w:rsidR="00887B38" w:rsidRDefault="00887B38" w:rsidP="00652C11">
      <w:pPr>
        <w:pStyle w:val="Bibliography"/>
      </w:pPr>
      <w:r w:rsidRPr="00A47739">
        <w:t>Lawton</w:t>
      </w:r>
      <w:r>
        <w:t xml:space="preserve">, J.H., Brotherton, P.N.M., Brown, V.K., Elphick, C., Fitter, A.H., Forshaw, J., Haddow, R.W., Hilborne, S., Leafe, R.N., Mace, G.M., Southgate, M.P., </w:t>
      </w:r>
      <w:r w:rsidR="00F436B3">
        <w:t>2010</w:t>
      </w:r>
      <w:r>
        <w:t>. Making Space for Nature: a review of England’s wildlife sites and ecological network. DEFRA.</w:t>
      </w:r>
    </w:p>
    <w:p w14:paraId="46545166" w14:textId="77777777" w:rsidR="00B47ED2" w:rsidRDefault="00B47ED2" w:rsidP="00652C11"/>
    <w:p w14:paraId="3C0E1044" w14:textId="5675C4DF" w:rsidR="001B3BEF" w:rsidRDefault="001B3BEF" w:rsidP="00B7372D">
      <w:r w:rsidRPr="001B3BEF">
        <w:t>Macgregor, N., McCarthy, B., van Dijk, N., Spriggs, P.,  Adams, W, Selman, P., Hopkins, J., Batten, J., Hughes, F., Bourn, N., Ellis, S., Plack</w:t>
      </w:r>
      <w:r w:rsidR="00B7372D">
        <w:t xml:space="preserve">ett, J., Bulman, C., Jewell, C., Hares, L., </w:t>
      </w:r>
      <w:r w:rsidRPr="001B3BEF">
        <w:t>2015</w:t>
      </w:r>
      <w:r w:rsidR="00B7372D">
        <w:t>.</w:t>
      </w:r>
      <w:r w:rsidRPr="001B3BEF">
        <w:t xml:space="preserve"> </w:t>
      </w:r>
      <w:r w:rsidRPr="001B3BEF">
        <w:rPr>
          <w:i/>
        </w:rPr>
        <w:t>Working together to make space for nature: recommendations from a conference on large-scale conservation in England</w:t>
      </w:r>
      <w:r w:rsidRPr="001B3BEF">
        <w:t>. Natural England, RSPB, The Wildlife Trusts, Butterfly Conservation and the National Trust joint publication (JP011). Natural England, York</w:t>
      </w:r>
    </w:p>
    <w:p w14:paraId="2D65BDB2" w14:textId="77777777" w:rsidR="001B3BEF" w:rsidRPr="00652C11" w:rsidRDefault="001B3BEF" w:rsidP="00652C11"/>
    <w:p w14:paraId="46172990" w14:textId="77777777" w:rsidR="00887B38" w:rsidRDefault="00887B38" w:rsidP="00652C11">
      <w:pPr>
        <w:pStyle w:val="Bibliography"/>
      </w:pPr>
      <w:r w:rsidRPr="00A47739">
        <w:t>Macgregor</w:t>
      </w:r>
      <w:r>
        <w:t>, N.A., Adams, W.M., Hill, C.T., Eigenbrod, F., Osborne, P.E., 2012. Large-scale conservation in Great Britain: taking stock. Ecos 33, 13–23.</w:t>
      </w:r>
    </w:p>
    <w:p w14:paraId="19FB2505" w14:textId="77777777" w:rsidR="00652C11" w:rsidRPr="00652C11" w:rsidRDefault="00652C11" w:rsidP="00652C11"/>
    <w:p w14:paraId="48EFECC6" w14:textId="0BB06A79" w:rsidR="00887B38" w:rsidRDefault="00887B38" w:rsidP="00652C11">
      <w:pPr>
        <w:pStyle w:val="Bibliography"/>
      </w:pPr>
      <w:r w:rsidRPr="00A47739">
        <w:t>Margules</w:t>
      </w:r>
      <w:r>
        <w:t xml:space="preserve">, C.R., Pressey, R.L., 2000. Systematic conservation planning. Nature 405, 243–253. </w:t>
      </w:r>
    </w:p>
    <w:p w14:paraId="52C7E976" w14:textId="77777777" w:rsidR="00652C11" w:rsidRPr="00652C11" w:rsidRDefault="00652C11" w:rsidP="00652C11"/>
    <w:p w14:paraId="375B491D" w14:textId="09F14AEC" w:rsidR="00887B38" w:rsidRDefault="00887B38" w:rsidP="00652C11">
      <w:pPr>
        <w:pStyle w:val="Bibliography"/>
      </w:pPr>
      <w:r w:rsidRPr="00A47739">
        <w:t>Metcalfe</w:t>
      </w:r>
      <w:r>
        <w:t xml:space="preserve">, K., Vaz, S., Engelhard, G.H., Villanueva, M.C., Smith, R.J., Mackinson, S., 2015. Evaluating conservation and fisheries management strategies by linking spatial prioritization software and ecosystem and fisheries modelling tools. J. Appl. Ecol. 52, 665–674. </w:t>
      </w:r>
    </w:p>
    <w:p w14:paraId="5A5439FE" w14:textId="77777777" w:rsidR="00652C11" w:rsidRPr="00652C11" w:rsidRDefault="00652C11" w:rsidP="00652C11"/>
    <w:p w14:paraId="4FB0F70C" w14:textId="50D3179B" w:rsidR="00887B38" w:rsidRDefault="00887B38" w:rsidP="00652C11">
      <w:pPr>
        <w:pStyle w:val="Bibliography"/>
      </w:pPr>
      <w:r w:rsidRPr="00A47739">
        <w:t>Naidoo</w:t>
      </w:r>
      <w:r>
        <w:t xml:space="preserve">, R., Balmford, A., Ferraro, P.J., Polasky, S., Ricketts, T.H., Rouget, M., 2006. Integrating economic costs into conservation planning. Trends Ecol. Evol. 21, 681–687. </w:t>
      </w:r>
    </w:p>
    <w:p w14:paraId="6C41B537" w14:textId="77777777" w:rsidR="00652C11" w:rsidRPr="00652C11" w:rsidRDefault="00652C11" w:rsidP="00652C11"/>
    <w:p w14:paraId="4395104E" w14:textId="35FCFF4B" w:rsidR="00887B38" w:rsidRDefault="00887B38" w:rsidP="00652C11">
      <w:pPr>
        <w:pStyle w:val="Bibliography"/>
      </w:pPr>
      <w:r w:rsidRPr="00A47739">
        <w:t>Natural</w:t>
      </w:r>
      <w:r>
        <w:t xml:space="preserve"> England, 2012. Environmental Stewardship: funding to farmers for environmental land management</w:t>
      </w:r>
      <w:r w:rsidR="00652C11">
        <w:t xml:space="preserve">. </w:t>
      </w:r>
      <w:hyperlink r:id="rId11" w:history="1">
        <w:r w:rsidR="00652C11" w:rsidRPr="002C6BFB">
          <w:rPr>
            <w:rStyle w:val="Hyperlink"/>
          </w:rPr>
          <w:t>https://www.gov.uk/guidance/environmental-stewardship</w:t>
        </w:r>
      </w:hyperlink>
      <w:r w:rsidR="00652C11">
        <w:t xml:space="preserve"> </w:t>
      </w:r>
      <w:r>
        <w:t xml:space="preserve">(accessed </w:t>
      </w:r>
      <w:r w:rsidR="00652C11">
        <w:t>22</w:t>
      </w:r>
      <w:r>
        <w:t>.</w:t>
      </w:r>
      <w:r w:rsidR="00652C11">
        <w:t>08</w:t>
      </w:r>
      <w:r>
        <w:t>.1</w:t>
      </w:r>
      <w:r w:rsidR="00652C11">
        <w:t>6</w:t>
      </w:r>
      <w:r>
        <w:t>).</w:t>
      </w:r>
    </w:p>
    <w:p w14:paraId="45DABA16" w14:textId="77777777" w:rsidR="00652C11" w:rsidRPr="00652C11" w:rsidRDefault="00652C11" w:rsidP="00652C11"/>
    <w:p w14:paraId="489F67A9" w14:textId="56D8CC5B" w:rsidR="00887B38" w:rsidRDefault="00887B38" w:rsidP="00652C11">
      <w:pPr>
        <w:pStyle w:val="Bibliography"/>
      </w:pPr>
      <w:r w:rsidRPr="00A47739">
        <w:t>NEA</w:t>
      </w:r>
      <w:r>
        <w:t xml:space="preserve">, 2011. The UK </w:t>
      </w:r>
      <w:r w:rsidR="00CC1F5F">
        <w:t>N</w:t>
      </w:r>
      <w:r>
        <w:t xml:space="preserve">ational </w:t>
      </w:r>
      <w:r w:rsidR="00CC1F5F">
        <w:t>E</w:t>
      </w:r>
      <w:r>
        <w:t xml:space="preserve">cosystem </w:t>
      </w:r>
      <w:r w:rsidR="00CC1F5F">
        <w:t>A</w:t>
      </w:r>
      <w:r>
        <w:t>ssessment. UNEP-WCMC. Cambridge.</w:t>
      </w:r>
    </w:p>
    <w:p w14:paraId="7321AFA9" w14:textId="77777777" w:rsidR="00652C11" w:rsidRDefault="00652C11" w:rsidP="00652C11"/>
    <w:p w14:paraId="3AB46196" w14:textId="71BCE7CE" w:rsidR="00C14AD4" w:rsidRDefault="00C83276" w:rsidP="00652C11">
      <w:r w:rsidRPr="00A47739">
        <w:t>Newton</w:t>
      </w:r>
      <w:r w:rsidRPr="00C83276">
        <w:t>, A.C., Hodder, K., Cantarello, E., Perrella, L., Birch, J.C., Robins, J., Douglas, S., Moody, C. and Cordingley, J.</w:t>
      </w:r>
      <w:r w:rsidR="000912DD">
        <w:t>,</w:t>
      </w:r>
      <w:r w:rsidR="00C14AD4">
        <w:t xml:space="preserve"> 2012.</w:t>
      </w:r>
      <w:r w:rsidR="00C14AD4" w:rsidRPr="00C14AD4">
        <w:t xml:space="preserve"> Cost–benefit analysis of ecological networks assessed through spatial </w:t>
      </w:r>
      <w:r w:rsidR="00C14AD4">
        <w:t>analysis of ecosystem services.</w:t>
      </w:r>
      <w:r w:rsidR="00C14AD4" w:rsidRPr="00C14AD4">
        <w:t xml:space="preserve"> </w:t>
      </w:r>
      <w:r>
        <w:t>J. Appl. Ecol.</w:t>
      </w:r>
      <w:r w:rsidR="00C14AD4" w:rsidRPr="00C14AD4">
        <w:t xml:space="preserve"> 49, 571-580.</w:t>
      </w:r>
    </w:p>
    <w:p w14:paraId="4293457F" w14:textId="77777777" w:rsidR="00C14AD4" w:rsidRPr="00652C11" w:rsidRDefault="00C14AD4" w:rsidP="00652C11"/>
    <w:p w14:paraId="2658AABE" w14:textId="4A7D67DE" w:rsidR="00887B38" w:rsidRDefault="00887B38" w:rsidP="00652C11">
      <w:pPr>
        <w:pStyle w:val="Bibliography"/>
      </w:pPr>
      <w:r w:rsidRPr="00A47739">
        <w:t>Oldfield</w:t>
      </w:r>
      <w:r>
        <w:t xml:space="preserve">, T.E.E., Smith, R.J., Harrop, S.R., Leader-Williams, N., 2004. A gap analysis of terrestrial protected areas in England and its implications for conservation policy. Biol. Conserv. 120, 303–309. </w:t>
      </w:r>
    </w:p>
    <w:p w14:paraId="24B651BD" w14:textId="77777777" w:rsidR="000912DD" w:rsidRPr="000912DD" w:rsidRDefault="000912DD" w:rsidP="000912DD"/>
    <w:p w14:paraId="007C8AFB" w14:textId="14914221" w:rsidR="00887B38" w:rsidRDefault="00887B38" w:rsidP="00652C11">
      <w:pPr>
        <w:pStyle w:val="Bibliography"/>
      </w:pPr>
      <w:r w:rsidRPr="00A47739">
        <w:t>Pressey</w:t>
      </w:r>
      <w:r>
        <w:t xml:space="preserve">, R.L., Mills, M., Weeks, R., Day, J.C., 2013. The plan of the day: Managing the dynamic transition from regional conservation designs to local conservation actions. Biol. Conserv. 166, 155–169. </w:t>
      </w:r>
    </w:p>
    <w:p w14:paraId="28BFAD36" w14:textId="77777777" w:rsidR="00652C11" w:rsidRDefault="00652C11" w:rsidP="00652C11"/>
    <w:p w14:paraId="64796F11" w14:textId="0057D6BF" w:rsidR="000016CA" w:rsidRDefault="000016CA" w:rsidP="00652C11">
      <w:r w:rsidRPr="000016CA">
        <w:t>Pressey, R.L., Tully, S.L., 1994. The cost of ad hoc reservation: A case study in western New South Wales. Aust. J. Ecol. 19, 375–384.</w:t>
      </w:r>
    </w:p>
    <w:p w14:paraId="10C8E975" w14:textId="77777777" w:rsidR="000016CA" w:rsidRPr="00652C11" w:rsidRDefault="000016CA" w:rsidP="00652C11"/>
    <w:p w14:paraId="7C9F8DE7" w14:textId="49F0D92E" w:rsidR="00887B38" w:rsidRDefault="0038380E" w:rsidP="00B7372D">
      <w:pPr>
        <w:pStyle w:val="Bibliography"/>
      </w:pPr>
      <w:r w:rsidRPr="00A47739">
        <w:t>Raum</w:t>
      </w:r>
      <w:r w:rsidR="00B7372D">
        <w:t xml:space="preserve">, S., </w:t>
      </w:r>
      <w:r w:rsidR="00887B38">
        <w:t xml:space="preserve">Potter, C., 2015. Forestry paradigms and policy change: The evolution of forestry policy in Britain in relation to the ecosystem approach. Land Use Policy 49, 462–470. </w:t>
      </w:r>
    </w:p>
    <w:p w14:paraId="393A2914" w14:textId="77777777" w:rsidR="00B47ED2" w:rsidRDefault="00B47ED2" w:rsidP="00CF04AA"/>
    <w:p w14:paraId="397EF6FC" w14:textId="71F6C720" w:rsidR="00B40F56" w:rsidRDefault="00B40F56" w:rsidP="00B40F56">
      <w:r w:rsidRPr="00B40F56">
        <w:lastRenderedPageBreak/>
        <w:t>Reyers, B., O'Farrell</w:t>
      </w:r>
      <w:r>
        <w:t>, P.J., Nel, J.L., Wilson, K., 2012.</w:t>
      </w:r>
      <w:r w:rsidRPr="00B40F56">
        <w:t xml:space="preserve"> Expanding the conservation toolbox: conservation planning of multifunctional landscapes. Lands</w:t>
      </w:r>
      <w:r>
        <w:t>.</w:t>
      </w:r>
      <w:r w:rsidRPr="00B40F56">
        <w:t xml:space="preserve"> Ecol</w:t>
      </w:r>
      <w:r>
        <w:t>.</w:t>
      </w:r>
      <w:r w:rsidRPr="00B40F56">
        <w:t>, 27, 1121-1134.</w:t>
      </w:r>
    </w:p>
    <w:p w14:paraId="47A6216A" w14:textId="77777777" w:rsidR="00B40F56" w:rsidRDefault="00B40F56" w:rsidP="00B40F56"/>
    <w:p w14:paraId="2353DE95" w14:textId="06E3667E" w:rsidR="000016CA" w:rsidRDefault="000016CA" w:rsidP="00CF04AA">
      <w:r w:rsidRPr="000016CA">
        <w:t>RSPB</w:t>
      </w:r>
      <w:r>
        <w:t>,</w:t>
      </w:r>
      <w:r w:rsidRPr="000016CA">
        <w:t xml:space="preserve"> 2001. Futurescapes: large-scale habitat restoration for wildlife and people. The Royal Society for the Protection of Birds, Sandy, UK</w:t>
      </w:r>
    </w:p>
    <w:p w14:paraId="28B78754" w14:textId="77777777" w:rsidR="000016CA" w:rsidRPr="00B47ED2" w:rsidRDefault="000016CA" w:rsidP="00CF04AA"/>
    <w:p w14:paraId="7751A91D" w14:textId="67972FD8" w:rsidR="00887B38" w:rsidRDefault="00887B38" w:rsidP="00652C11">
      <w:pPr>
        <w:pStyle w:val="Bibliography"/>
      </w:pPr>
      <w:r w:rsidRPr="00A47739">
        <w:t>Scott</w:t>
      </w:r>
      <w:r>
        <w:t xml:space="preserve">, J.M., Davis, F., Csuti, B., Noss, R., Butterfield, B., Groves, C., Anderson, H., Caicco, S., D’Erchia, F., Edwards, T.C., Ulliman, J., Wright, R.G., 1993. Gap </w:t>
      </w:r>
      <w:r w:rsidR="00652C11">
        <w:t>a</w:t>
      </w:r>
      <w:r>
        <w:t xml:space="preserve">nalysis: A </w:t>
      </w:r>
      <w:r w:rsidR="00967420">
        <w:t>g</w:t>
      </w:r>
      <w:r>
        <w:t xml:space="preserve">eographic </w:t>
      </w:r>
      <w:r w:rsidR="00967420">
        <w:t>a</w:t>
      </w:r>
      <w:r>
        <w:t xml:space="preserve">pproach to </w:t>
      </w:r>
      <w:r w:rsidR="00967420">
        <w:t>p</w:t>
      </w:r>
      <w:r>
        <w:t xml:space="preserve">rotection of </w:t>
      </w:r>
      <w:r w:rsidR="00967420">
        <w:t>b</w:t>
      </w:r>
      <w:r>
        <w:t xml:space="preserve">iological </w:t>
      </w:r>
      <w:r w:rsidR="00967420">
        <w:t>d</w:t>
      </w:r>
      <w:r>
        <w:t>iversity. Wildl. Monogr. 3–41.</w:t>
      </w:r>
    </w:p>
    <w:p w14:paraId="2E134D68" w14:textId="77777777" w:rsidR="00652C11" w:rsidRPr="00652C11" w:rsidRDefault="00652C11" w:rsidP="00652C11"/>
    <w:p w14:paraId="120FDCEE" w14:textId="08A5B965" w:rsidR="00887B38" w:rsidRDefault="00887B38" w:rsidP="00652C11">
      <w:pPr>
        <w:pStyle w:val="Bibliography"/>
      </w:pPr>
      <w:r w:rsidRPr="00A47739">
        <w:t>Smith</w:t>
      </w:r>
      <w:r>
        <w:t>, R.J., Veríssimo, D., Leader-Williams, N., Cowling, R.M., Knight, A.T., 2009. Let the lo</w:t>
      </w:r>
      <w:r w:rsidR="000016CA">
        <w:t>cals lead. Nature 462, 280–281.</w:t>
      </w:r>
    </w:p>
    <w:p w14:paraId="58C5FC41" w14:textId="77777777" w:rsidR="000016CA" w:rsidRDefault="000016CA" w:rsidP="000016CA"/>
    <w:p w14:paraId="52AD1C9B" w14:textId="5B16D554" w:rsidR="000016CA" w:rsidRDefault="000016CA" w:rsidP="00B7372D">
      <w:r w:rsidRPr="000016CA">
        <w:t>Venter, O., Fuller, R.A., Segan, D.B., Carwardine, J., Brooks, T., Butchart, S.H.M., Di Marco, M</w:t>
      </w:r>
      <w:r>
        <w:t>.</w:t>
      </w:r>
      <w:r w:rsidRPr="000016CA">
        <w:t>, Iwamura, T</w:t>
      </w:r>
      <w:r>
        <w:t>.</w:t>
      </w:r>
      <w:r w:rsidRPr="000016CA">
        <w:t>, Joseph, L</w:t>
      </w:r>
      <w:r>
        <w:t>.</w:t>
      </w:r>
      <w:r w:rsidRPr="000016CA">
        <w:t>, O’Grady, D</w:t>
      </w:r>
      <w:r>
        <w:t>.</w:t>
      </w:r>
      <w:r w:rsidRPr="000016CA">
        <w:t>, Possingham, H</w:t>
      </w:r>
      <w:r>
        <w:t>.</w:t>
      </w:r>
      <w:r w:rsidRPr="000016CA">
        <w:t>P</w:t>
      </w:r>
      <w:r>
        <w:t>.</w:t>
      </w:r>
      <w:r w:rsidRPr="000016CA">
        <w:t>, Rondinini, C</w:t>
      </w:r>
      <w:r>
        <w:t>.</w:t>
      </w:r>
      <w:r w:rsidRPr="000016CA">
        <w:t>, Smith, R</w:t>
      </w:r>
      <w:r>
        <w:t>.</w:t>
      </w:r>
      <w:r w:rsidRPr="000016CA">
        <w:t>J</w:t>
      </w:r>
      <w:r>
        <w:t>.</w:t>
      </w:r>
      <w:r w:rsidRPr="000016CA">
        <w:t>, Venter, M</w:t>
      </w:r>
      <w:r>
        <w:t>.</w:t>
      </w:r>
      <w:r w:rsidR="00B7372D">
        <w:t xml:space="preserve">, </w:t>
      </w:r>
      <w:r w:rsidRPr="000016CA">
        <w:t>Watson, J</w:t>
      </w:r>
      <w:r>
        <w:t>.</w:t>
      </w:r>
      <w:r w:rsidRPr="000016CA">
        <w:t>E</w:t>
      </w:r>
      <w:r>
        <w:t>.</w:t>
      </w:r>
      <w:r w:rsidRPr="000016CA">
        <w:t>M</w:t>
      </w:r>
      <w:r>
        <w:t>.</w:t>
      </w:r>
      <w:r w:rsidRPr="000016CA">
        <w:t>, 2014. Targeting global protected area expansion for imperiled biodiversity. PLoS Biol 12, e1001891.</w:t>
      </w:r>
    </w:p>
    <w:p w14:paraId="244C1C0E" w14:textId="77777777" w:rsidR="000016CA" w:rsidRDefault="000016CA" w:rsidP="000016CA"/>
    <w:p w14:paraId="24DEE1DE" w14:textId="6DAA4969" w:rsidR="0080550D" w:rsidRDefault="0080550D" w:rsidP="009F61DE">
      <w:r>
        <w:t>Watson, J.E.M., Dudley, N., Segan, D.</w:t>
      </w:r>
      <w:r w:rsidRPr="0080550D">
        <w:t>B., Hockings, M.</w:t>
      </w:r>
      <w:r>
        <w:t>, 2014</w:t>
      </w:r>
      <w:r w:rsidRPr="0080550D">
        <w:t xml:space="preserve">. The performance and potential </w:t>
      </w:r>
      <w:r>
        <w:t xml:space="preserve">of protected areas. Nature 515, </w:t>
      </w:r>
      <w:r w:rsidRPr="0080550D">
        <w:t>67-73.</w:t>
      </w:r>
    </w:p>
    <w:p w14:paraId="0E9E0DB3" w14:textId="77777777" w:rsidR="0080550D" w:rsidRDefault="0080550D" w:rsidP="000016CA"/>
    <w:p w14:paraId="37A3DD6F" w14:textId="174A5E60" w:rsidR="000016CA" w:rsidRPr="000016CA" w:rsidRDefault="000016CA" w:rsidP="000016CA">
      <w:r w:rsidRPr="000016CA">
        <w:t>Wildlife Trusts</w:t>
      </w:r>
      <w:r>
        <w:t>,</w:t>
      </w:r>
      <w:r w:rsidRPr="000016CA">
        <w:t xml:space="preserve"> 2007. A Living Landscape: a call to restore Britain’s battered ecosystems, for wildlife and people. The Wildlife Trusts, Lincoln.</w:t>
      </w:r>
    </w:p>
    <w:p w14:paraId="628473C9" w14:textId="16C307D4" w:rsidR="007757F8" w:rsidRDefault="00151D79" w:rsidP="00151D79">
      <w:pPr>
        <w:jc w:val="left"/>
      </w:pPr>
      <w:r w:rsidRPr="00151D79">
        <w:t xml:space="preserve"> </w:t>
      </w:r>
      <w:r w:rsidR="007757F8">
        <w:br w:type="page"/>
      </w:r>
    </w:p>
    <w:p w14:paraId="1A565026" w14:textId="77777777" w:rsidR="007757F8" w:rsidRPr="00543D3A" w:rsidRDefault="007757F8" w:rsidP="007757F8">
      <w:pPr>
        <w:spacing w:line="240" w:lineRule="auto"/>
        <w:jc w:val="left"/>
        <w:rPr>
          <w:b/>
          <w:bCs/>
          <w:sz w:val="28"/>
          <w:szCs w:val="28"/>
        </w:rPr>
      </w:pPr>
      <w:r w:rsidRPr="00543D3A">
        <w:rPr>
          <w:b/>
          <w:bCs/>
          <w:sz w:val="28"/>
          <w:szCs w:val="28"/>
        </w:rPr>
        <w:lastRenderedPageBreak/>
        <w:t>Figures and Tables legend</w:t>
      </w:r>
    </w:p>
    <w:p w14:paraId="7C4D7FC4" w14:textId="77777777" w:rsidR="007757F8" w:rsidRDefault="007757F8" w:rsidP="007757F8">
      <w:pPr>
        <w:pStyle w:val="Caption"/>
      </w:pPr>
    </w:p>
    <w:p w14:paraId="442B8AB9" w14:textId="77777777" w:rsidR="007757F8" w:rsidRPr="00543D3A" w:rsidRDefault="007757F8" w:rsidP="007757F8">
      <w:pPr>
        <w:pStyle w:val="Caption"/>
        <w:rPr>
          <w:b w:val="0"/>
          <w:bCs/>
          <w:u w:val="single"/>
        </w:rPr>
      </w:pPr>
      <w:r w:rsidRPr="00543D3A">
        <w:rPr>
          <w:b w:val="0"/>
          <w:bCs/>
          <w:u w:val="single"/>
        </w:rPr>
        <w:t xml:space="preserve">Table </w:t>
      </w:r>
      <w:r w:rsidRPr="00543D3A">
        <w:rPr>
          <w:b w:val="0"/>
          <w:bCs/>
          <w:u w:val="single"/>
        </w:rPr>
        <w:fldChar w:fldCharType="begin"/>
      </w:r>
      <w:r w:rsidRPr="00543D3A">
        <w:rPr>
          <w:b w:val="0"/>
          <w:bCs/>
          <w:u w:val="single"/>
        </w:rPr>
        <w:instrText xml:space="preserve"> SEQ Table \* ARABIC </w:instrText>
      </w:r>
      <w:r w:rsidRPr="00543D3A">
        <w:rPr>
          <w:b w:val="0"/>
          <w:bCs/>
          <w:u w:val="single"/>
        </w:rPr>
        <w:fldChar w:fldCharType="separate"/>
      </w:r>
      <w:r w:rsidR="00076E15">
        <w:rPr>
          <w:b w:val="0"/>
          <w:bCs/>
          <w:noProof/>
          <w:u w:val="single"/>
        </w:rPr>
        <w:t>1</w:t>
      </w:r>
      <w:r w:rsidRPr="00543D3A">
        <w:rPr>
          <w:b w:val="0"/>
          <w:bCs/>
          <w:u w:val="single"/>
        </w:rPr>
        <w:fldChar w:fldCharType="end"/>
      </w:r>
      <w:r w:rsidRPr="00543D3A">
        <w:rPr>
          <w:b w:val="0"/>
          <w:bCs/>
          <w:u w:val="single"/>
        </w:rPr>
        <w:t xml:space="preserve">: </w:t>
      </w:r>
    </w:p>
    <w:p w14:paraId="5575B33F" w14:textId="58E71FF8" w:rsidR="007757F8" w:rsidRPr="00543D3A" w:rsidRDefault="007757F8" w:rsidP="00C6241A">
      <w:pPr>
        <w:pStyle w:val="Caption"/>
        <w:rPr>
          <w:b w:val="0"/>
          <w:bCs/>
          <w:sz w:val="24"/>
          <w:szCs w:val="24"/>
        </w:rPr>
      </w:pPr>
      <w:r w:rsidRPr="00543D3A">
        <w:rPr>
          <w:b w:val="0"/>
          <w:bCs/>
          <w:sz w:val="24"/>
          <w:szCs w:val="24"/>
        </w:rPr>
        <w:t xml:space="preserve">Statistics describing the land under different conservation management </w:t>
      </w:r>
      <w:r w:rsidR="00F42E9C">
        <w:rPr>
          <w:b w:val="0"/>
          <w:bCs/>
          <w:sz w:val="24"/>
          <w:szCs w:val="24"/>
        </w:rPr>
        <w:t>categories</w:t>
      </w:r>
      <w:r w:rsidR="00F42E9C" w:rsidRPr="00543D3A">
        <w:rPr>
          <w:b w:val="0"/>
          <w:bCs/>
          <w:sz w:val="24"/>
          <w:szCs w:val="24"/>
        </w:rPr>
        <w:t xml:space="preserve"> </w:t>
      </w:r>
      <w:r w:rsidRPr="00543D3A">
        <w:rPr>
          <w:b w:val="0"/>
          <w:bCs/>
          <w:sz w:val="24"/>
          <w:szCs w:val="24"/>
        </w:rPr>
        <w:t xml:space="preserve">found in England, presented in hierarchical order based on </w:t>
      </w:r>
      <w:r w:rsidR="00C6241A">
        <w:rPr>
          <w:b w:val="0"/>
          <w:bCs/>
          <w:sz w:val="24"/>
          <w:szCs w:val="24"/>
        </w:rPr>
        <w:t xml:space="preserve">the </w:t>
      </w:r>
      <w:r w:rsidR="00BB53A4">
        <w:rPr>
          <w:b w:val="0"/>
          <w:bCs/>
          <w:sz w:val="24"/>
          <w:szCs w:val="24"/>
        </w:rPr>
        <w:t xml:space="preserve">weight given to </w:t>
      </w:r>
      <w:r w:rsidR="00C6241A">
        <w:rPr>
          <w:b w:val="0"/>
          <w:bCs/>
          <w:sz w:val="24"/>
          <w:szCs w:val="24"/>
        </w:rPr>
        <w:t xml:space="preserve">conservation </w:t>
      </w:r>
      <w:r w:rsidR="00BB53A4">
        <w:rPr>
          <w:b w:val="0"/>
          <w:bCs/>
          <w:sz w:val="24"/>
          <w:szCs w:val="24"/>
        </w:rPr>
        <w:t xml:space="preserve">as a </w:t>
      </w:r>
      <w:r w:rsidRPr="00543D3A">
        <w:rPr>
          <w:b w:val="0"/>
          <w:bCs/>
          <w:sz w:val="24"/>
          <w:szCs w:val="24"/>
        </w:rPr>
        <w:t>management</w:t>
      </w:r>
      <w:r w:rsidR="00BB53A4" w:rsidRPr="00BB53A4">
        <w:rPr>
          <w:b w:val="0"/>
          <w:bCs/>
          <w:sz w:val="24"/>
          <w:szCs w:val="24"/>
        </w:rPr>
        <w:t xml:space="preserve"> </w:t>
      </w:r>
      <w:r w:rsidR="00BB53A4">
        <w:rPr>
          <w:b w:val="0"/>
          <w:bCs/>
          <w:sz w:val="24"/>
          <w:szCs w:val="24"/>
        </w:rPr>
        <w:t>objective</w:t>
      </w:r>
      <w:r w:rsidR="00BB53A4" w:rsidRPr="00543D3A">
        <w:rPr>
          <w:b w:val="0"/>
          <w:bCs/>
          <w:sz w:val="24"/>
          <w:szCs w:val="24"/>
        </w:rPr>
        <w:t xml:space="preserve"> </w:t>
      </w:r>
      <w:r w:rsidRPr="00543D3A">
        <w:rPr>
          <w:b w:val="0"/>
          <w:bCs/>
          <w:sz w:val="24"/>
          <w:szCs w:val="24"/>
        </w:rPr>
        <w:t xml:space="preserve">(high to low). We present the total area, as well as the net cover for each </w:t>
      </w:r>
      <w:r w:rsidR="00F42E9C">
        <w:rPr>
          <w:b w:val="0"/>
          <w:bCs/>
          <w:sz w:val="24"/>
          <w:szCs w:val="24"/>
        </w:rPr>
        <w:t>category</w:t>
      </w:r>
      <w:r w:rsidR="00F42E9C" w:rsidRPr="00543D3A">
        <w:rPr>
          <w:b w:val="0"/>
          <w:bCs/>
          <w:sz w:val="24"/>
          <w:szCs w:val="24"/>
        </w:rPr>
        <w:t xml:space="preserve"> </w:t>
      </w:r>
      <w:r w:rsidRPr="00543D3A">
        <w:rPr>
          <w:b w:val="0"/>
          <w:bCs/>
          <w:sz w:val="24"/>
          <w:szCs w:val="24"/>
        </w:rPr>
        <w:t xml:space="preserve">after accounting for overlaps with land </w:t>
      </w:r>
      <w:r w:rsidR="00C6241A">
        <w:rPr>
          <w:b w:val="0"/>
          <w:bCs/>
          <w:sz w:val="24"/>
          <w:szCs w:val="24"/>
        </w:rPr>
        <w:t xml:space="preserve">in </w:t>
      </w:r>
      <w:r w:rsidRPr="00543D3A">
        <w:rPr>
          <w:b w:val="0"/>
          <w:bCs/>
          <w:sz w:val="24"/>
          <w:szCs w:val="24"/>
        </w:rPr>
        <w:t xml:space="preserve">higher conservation </w:t>
      </w:r>
      <w:r w:rsidR="00C6241A">
        <w:rPr>
          <w:b w:val="0"/>
          <w:bCs/>
          <w:sz w:val="24"/>
          <w:szCs w:val="24"/>
        </w:rPr>
        <w:t>categories</w:t>
      </w:r>
      <w:r w:rsidRPr="00543D3A">
        <w:rPr>
          <w:b w:val="0"/>
          <w:bCs/>
          <w:sz w:val="24"/>
          <w:szCs w:val="24"/>
        </w:rPr>
        <w:t xml:space="preserve">. The percentage overlap is calculated as the net cover divided by the total area of each </w:t>
      </w:r>
      <w:r w:rsidR="00526B62" w:rsidRPr="00543D3A">
        <w:rPr>
          <w:b w:val="0"/>
          <w:bCs/>
          <w:sz w:val="24"/>
          <w:szCs w:val="24"/>
        </w:rPr>
        <w:t xml:space="preserve">management </w:t>
      </w:r>
      <w:r w:rsidR="00C6241A">
        <w:rPr>
          <w:b w:val="0"/>
          <w:bCs/>
          <w:sz w:val="24"/>
          <w:szCs w:val="24"/>
        </w:rPr>
        <w:t>category</w:t>
      </w:r>
      <w:r w:rsidRPr="00543D3A">
        <w:rPr>
          <w:b w:val="0"/>
          <w:bCs/>
          <w:sz w:val="24"/>
          <w:szCs w:val="24"/>
        </w:rPr>
        <w:t xml:space="preserve">. </w:t>
      </w:r>
    </w:p>
    <w:p w14:paraId="1F6A6223" w14:textId="77777777" w:rsidR="007757F8" w:rsidRDefault="007757F8" w:rsidP="007757F8">
      <w:pPr>
        <w:rPr>
          <w:b/>
          <w:bCs/>
          <w:sz w:val="22"/>
        </w:rPr>
      </w:pPr>
    </w:p>
    <w:p w14:paraId="70A79FF7" w14:textId="28DCD5DF" w:rsidR="007757F8" w:rsidRPr="00543D3A" w:rsidRDefault="005B5FA7" w:rsidP="007757F8">
      <w:pPr>
        <w:rPr>
          <w:szCs w:val="24"/>
          <w:u w:val="single"/>
        </w:rPr>
      </w:pPr>
      <w:r>
        <w:rPr>
          <w:szCs w:val="24"/>
          <w:u w:val="single"/>
        </w:rPr>
        <w:t>Figure 1:</w:t>
      </w:r>
    </w:p>
    <w:p w14:paraId="69B0C0A3" w14:textId="5738740C" w:rsidR="007757F8" w:rsidRDefault="00526B62" w:rsidP="00C6241A">
      <w:pPr>
        <w:rPr>
          <w:szCs w:val="24"/>
        </w:rPr>
      </w:pPr>
      <w:r>
        <w:rPr>
          <w:szCs w:val="24"/>
        </w:rPr>
        <w:t>L</w:t>
      </w:r>
      <w:r w:rsidRPr="00543D3A">
        <w:rPr>
          <w:szCs w:val="24"/>
        </w:rPr>
        <w:t xml:space="preserve">and </w:t>
      </w:r>
      <w:r w:rsidR="00EA4A19">
        <w:rPr>
          <w:szCs w:val="24"/>
        </w:rPr>
        <w:t xml:space="preserve">area </w:t>
      </w:r>
      <w:r w:rsidRPr="00543D3A">
        <w:rPr>
          <w:szCs w:val="24"/>
        </w:rPr>
        <w:t xml:space="preserve">in England </w:t>
      </w:r>
      <w:r w:rsidR="007757F8" w:rsidRPr="00543D3A">
        <w:rPr>
          <w:szCs w:val="24"/>
        </w:rPr>
        <w:t xml:space="preserve">under the four conservation management </w:t>
      </w:r>
      <w:r w:rsidR="00F42E9C">
        <w:rPr>
          <w:szCs w:val="24"/>
        </w:rPr>
        <w:t>categories</w:t>
      </w:r>
      <w:r w:rsidR="000272A8">
        <w:rPr>
          <w:szCs w:val="24"/>
        </w:rPr>
        <w:t xml:space="preserve">, </w:t>
      </w:r>
      <w:r w:rsidR="00C6241A">
        <w:rPr>
          <w:szCs w:val="24"/>
        </w:rPr>
        <w:t xml:space="preserve">ordered by the </w:t>
      </w:r>
      <w:r w:rsidR="00BB53A4">
        <w:rPr>
          <w:szCs w:val="24"/>
        </w:rPr>
        <w:t xml:space="preserve">weight </w:t>
      </w:r>
      <w:r w:rsidR="00BB53A4" w:rsidRPr="00BB53A4">
        <w:rPr>
          <w:szCs w:val="24"/>
        </w:rPr>
        <w:t>given to conservation as a management objective</w:t>
      </w:r>
      <w:r w:rsidR="00BB53A4">
        <w:rPr>
          <w:szCs w:val="24"/>
        </w:rPr>
        <w:t xml:space="preserve">, </w:t>
      </w:r>
      <w:r w:rsidR="00C6241A">
        <w:rPr>
          <w:szCs w:val="24"/>
        </w:rPr>
        <w:t>from highest (</w:t>
      </w:r>
      <w:r w:rsidR="000272A8">
        <w:rPr>
          <w:szCs w:val="24"/>
        </w:rPr>
        <w:t>protected area</w:t>
      </w:r>
      <w:r w:rsidR="00C6241A">
        <w:rPr>
          <w:szCs w:val="24"/>
        </w:rPr>
        <w:t>s,</w:t>
      </w:r>
      <w:r w:rsidR="00BB53A4">
        <w:rPr>
          <w:szCs w:val="24"/>
        </w:rPr>
        <w:t xml:space="preserve"> </w:t>
      </w:r>
      <w:r w:rsidR="007757F8" w:rsidRPr="00543D3A">
        <w:rPr>
          <w:szCs w:val="24"/>
        </w:rPr>
        <w:t>P</w:t>
      </w:r>
      <w:r w:rsidR="000272A8">
        <w:rPr>
          <w:szCs w:val="24"/>
        </w:rPr>
        <w:t>A</w:t>
      </w:r>
      <w:r w:rsidR="007757F8" w:rsidRPr="00543D3A">
        <w:rPr>
          <w:szCs w:val="24"/>
        </w:rPr>
        <w:t>s</w:t>
      </w:r>
      <w:r w:rsidR="000272A8">
        <w:rPr>
          <w:szCs w:val="24"/>
        </w:rPr>
        <w:t>)</w:t>
      </w:r>
      <w:r w:rsidR="007757F8" w:rsidRPr="00543D3A">
        <w:rPr>
          <w:szCs w:val="24"/>
        </w:rPr>
        <w:t xml:space="preserve"> </w:t>
      </w:r>
      <w:r w:rsidR="00C6241A">
        <w:rPr>
          <w:szCs w:val="24"/>
        </w:rPr>
        <w:t>to lowest (</w:t>
      </w:r>
      <w:r w:rsidR="007757F8" w:rsidRPr="00543D3A">
        <w:rPr>
          <w:szCs w:val="24"/>
        </w:rPr>
        <w:t xml:space="preserve"> Type 2 </w:t>
      </w:r>
      <w:r w:rsidR="000272A8">
        <w:rPr>
          <w:szCs w:val="24"/>
          <w:lang w:val="en-US"/>
        </w:rPr>
        <w:t>L</w:t>
      </w:r>
      <w:r w:rsidRPr="00195703">
        <w:rPr>
          <w:szCs w:val="24"/>
          <w:lang w:val="en-US"/>
        </w:rPr>
        <w:t xml:space="preserve">arge-scale </w:t>
      </w:r>
      <w:r w:rsidR="000272A8">
        <w:rPr>
          <w:szCs w:val="24"/>
          <w:lang w:val="en-US"/>
        </w:rPr>
        <w:t>conservation I</w:t>
      </w:r>
      <w:r w:rsidRPr="00195703">
        <w:rPr>
          <w:szCs w:val="24"/>
          <w:lang w:val="en-US"/>
        </w:rPr>
        <w:t>nitiatives</w:t>
      </w:r>
      <w:r w:rsidR="00C6241A">
        <w:rPr>
          <w:szCs w:val="24"/>
          <w:lang w:val="en-US"/>
        </w:rPr>
        <w:t>,</w:t>
      </w:r>
      <w:r w:rsidR="000272A8">
        <w:rPr>
          <w:szCs w:val="24"/>
          <w:lang w:val="en-US"/>
        </w:rPr>
        <w:t xml:space="preserve"> LSCIs)</w:t>
      </w:r>
      <w:r w:rsidR="00BB53A4">
        <w:rPr>
          <w:szCs w:val="24"/>
        </w:rPr>
        <w:t xml:space="preserve">, </w:t>
      </w:r>
      <w:r w:rsidR="007757F8" w:rsidRPr="00543D3A">
        <w:rPr>
          <w:szCs w:val="24"/>
        </w:rPr>
        <w:t>and land not managed for conservation</w:t>
      </w:r>
      <w:r w:rsidR="00CF04AA">
        <w:rPr>
          <w:szCs w:val="24"/>
        </w:rPr>
        <w:t xml:space="preserve"> </w:t>
      </w:r>
      <w:r w:rsidR="00F42E9C">
        <w:rPr>
          <w:szCs w:val="24"/>
        </w:rPr>
        <w:t>(unmanaged)</w:t>
      </w:r>
      <w:r w:rsidR="007757F8" w:rsidRPr="00543D3A">
        <w:rPr>
          <w:szCs w:val="24"/>
        </w:rPr>
        <w:t xml:space="preserve">. Land belonging to these different </w:t>
      </w:r>
      <w:r w:rsidR="00F42E9C">
        <w:rPr>
          <w:szCs w:val="24"/>
        </w:rPr>
        <w:t>categories</w:t>
      </w:r>
      <w:r w:rsidR="00F42E9C" w:rsidRPr="00543D3A">
        <w:rPr>
          <w:szCs w:val="24"/>
        </w:rPr>
        <w:t xml:space="preserve"> </w:t>
      </w:r>
      <w:r w:rsidR="007757F8" w:rsidRPr="00543D3A">
        <w:rPr>
          <w:szCs w:val="24"/>
        </w:rPr>
        <w:t xml:space="preserve">often overlaps so the map shows the highest conservation management </w:t>
      </w:r>
      <w:r w:rsidR="00F42E9C">
        <w:rPr>
          <w:szCs w:val="24"/>
        </w:rPr>
        <w:t>category</w:t>
      </w:r>
      <w:r w:rsidR="00F42E9C" w:rsidRPr="00543D3A">
        <w:rPr>
          <w:szCs w:val="24"/>
        </w:rPr>
        <w:t xml:space="preserve"> </w:t>
      </w:r>
      <w:r w:rsidR="007757F8" w:rsidRPr="00543D3A">
        <w:rPr>
          <w:szCs w:val="24"/>
        </w:rPr>
        <w:t>for any land parcel.</w:t>
      </w:r>
    </w:p>
    <w:p w14:paraId="3CDB1B6F" w14:textId="77777777" w:rsidR="007757F8" w:rsidRDefault="007757F8" w:rsidP="007757F8">
      <w:pPr>
        <w:rPr>
          <w:szCs w:val="24"/>
        </w:rPr>
      </w:pPr>
    </w:p>
    <w:p w14:paraId="3CB85295" w14:textId="77777777" w:rsidR="007757F8" w:rsidRDefault="007757F8" w:rsidP="007757F8">
      <w:pPr>
        <w:rPr>
          <w:szCs w:val="24"/>
        </w:rPr>
      </w:pPr>
    </w:p>
    <w:p w14:paraId="0644EF21" w14:textId="737EDE6A" w:rsidR="007757F8" w:rsidRPr="00543D3A" w:rsidRDefault="005B5FA7" w:rsidP="007757F8">
      <w:pPr>
        <w:pStyle w:val="Caption"/>
        <w:rPr>
          <w:b w:val="0"/>
          <w:bCs/>
          <w:sz w:val="24"/>
          <w:szCs w:val="24"/>
          <w:u w:val="single"/>
        </w:rPr>
      </w:pPr>
      <w:r>
        <w:rPr>
          <w:b w:val="0"/>
          <w:bCs/>
          <w:sz w:val="24"/>
          <w:szCs w:val="24"/>
          <w:u w:val="single"/>
        </w:rPr>
        <w:t>Figure 2:</w:t>
      </w:r>
    </w:p>
    <w:p w14:paraId="1D968607" w14:textId="3E00E092" w:rsidR="007757F8" w:rsidRDefault="007757F8" w:rsidP="00C6241A">
      <w:pPr>
        <w:pStyle w:val="Caption"/>
        <w:rPr>
          <w:b w:val="0"/>
          <w:bCs/>
          <w:sz w:val="24"/>
          <w:szCs w:val="24"/>
        </w:rPr>
      </w:pPr>
      <w:r w:rsidRPr="00543D3A">
        <w:rPr>
          <w:b w:val="0"/>
          <w:bCs/>
          <w:sz w:val="24"/>
          <w:szCs w:val="24"/>
        </w:rPr>
        <w:t xml:space="preserve">The cumulative percentage of protected area within each National Character Area (NCA) </w:t>
      </w:r>
      <w:r w:rsidR="0087118D">
        <w:rPr>
          <w:b w:val="0"/>
          <w:bCs/>
          <w:sz w:val="24"/>
          <w:szCs w:val="24"/>
        </w:rPr>
        <w:t xml:space="preserve">ecoregions </w:t>
      </w:r>
      <w:r w:rsidRPr="00543D3A">
        <w:rPr>
          <w:b w:val="0"/>
          <w:bCs/>
          <w:sz w:val="24"/>
          <w:szCs w:val="24"/>
        </w:rPr>
        <w:t xml:space="preserve">for the four conservation management </w:t>
      </w:r>
      <w:r w:rsidR="00F42E9C">
        <w:rPr>
          <w:b w:val="0"/>
          <w:bCs/>
          <w:sz w:val="24"/>
          <w:szCs w:val="24"/>
        </w:rPr>
        <w:t>categories</w:t>
      </w:r>
      <w:r w:rsidRPr="00543D3A">
        <w:rPr>
          <w:b w:val="0"/>
          <w:bCs/>
          <w:sz w:val="24"/>
          <w:szCs w:val="24"/>
        </w:rPr>
        <w:t xml:space="preserve">: a) </w:t>
      </w:r>
      <w:r w:rsidR="000272A8">
        <w:rPr>
          <w:b w:val="0"/>
          <w:bCs/>
          <w:sz w:val="24"/>
          <w:szCs w:val="24"/>
        </w:rPr>
        <w:t>protected areas (</w:t>
      </w:r>
      <w:r w:rsidRPr="00543D3A">
        <w:rPr>
          <w:b w:val="0"/>
          <w:bCs/>
          <w:sz w:val="24"/>
          <w:szCs w:val="24"/>
        </w:rPr>
        <w:t>PAs</w:t>
      </w:r>
      <w:r w:rsidR="008813B3">
        <w:rPr>
          <w:b w:val="0"/>
          <w:bCs/>
          <w:sz w:val="24"/>
          <w:szCs w:val="24"/>
        </w:rPr>
        <w:t>);</w:t>
      </w:r>
      <w:r w:rsidR="008813B3" w:rsidRPr="00543D3A">
        <w:rPr>
          <w:b w:val="0"/>
          <w:bCs/>
          <w:sz w:val="24"/>
          <w:szCs w:val="24"/>
        </w:rPr>
        <w:t xml:space="preserve"> </w:t>
      </w:r>
      <w:r w:rsidRPr="00543D3A">
        <w:rPr>
          <w:b w:val="0"/>
          <w:bCs/>
          <w:sz w:val="24"/>
          <w:szCs w:val="24"/>
        </w:rPr>
        <w:t xml:space="preserve">b) PAs and Type 1 </w:t>
      </w:r>
      <w:r w:rsidR="000272A8">
        <w:rPr>
          <w:b w:val="0"/>
          <w:bCs/>
          <w:sz w:val="24"/>
          <w:szCs w:val="24"/>
        </w:rPr>
        <w:t>L</w:t>
      </w:r>
      <w:r w:rsidR="000272A8" w:rsidRPr="000272A8">
        <w:rPr>
          <w:b w:val="0"/>
          <w:bCs/>
          <w:sz w:val="24"/>
          <w:szCs w:val="24"/>
        </w:rPr>
        <w:t xml:space="preserve">arge-scale </w:t>
      </w:r>
      <w:r w:rsidR="000272A8">
        <w:rPr>
          <w:b w:val="0"/>
          <w:bCs/>
          <w:sz w:val="24"/>
          <w:szCs w:val="24"/>
        </w:rPr>
        <w:t>Conservation I</w:t>
      </w:r>
      <w:r w:rsidR="000272A8" w:rsidRPr="000272A8">
        <w:rPr>
          <w:b w:val="0"/>
          <w:bCs/>
          <w:sz w:val="24"/>
          <w:szCs w:val="24"/>
        </w:rPr>
        <w:t>nitiatives (LSCIs</w:t>
      </w:r>
      <w:r w:rsidR="008813B3" w:rsidRPr="000272A8">
        <w:rPr>
          <w:b w:val="0"/>
          <w:bCs/>
          <w:sz w:val="24"/>
          <w:szCs w:val="24"/>
        </w:rPr>
        <w:t>)</w:t>
      </w:r>
      <w:r w:rsidR="008813B3">
        <w:rPr>
          <w:b w:val="0"/>
          <w:bCs/>
          <w:sz w:val="24"/>
          <w:szCs w:val="24"/>
        </w:rPr>
        <w:t>;</w:t>
      </w:r>
      <w:r w:rsidR="008813B3" w:rsidRPr="00543D3A">
        <w:rPr>
          <w:b w:val="0"/>
          <w:bCs/>
          <w:sz w:val="24"/>
          <w:szCs w:val="24"/>
        </w:rPr>
        <w:t xml:space="preserve"> </w:t>
      </w:r>
      <w:r w:rsidRPr="00543D3A">
        <w:rPr>
          <w:b w:val="0"/>
          <w:bCs/>
          <w:sz w:val="24"/>
          <w:szCs w:val="24"/>
        </w:rPr>
        <w:t>c) PAs, Type 1 LSCIs and</w:t>
      </w:r>
      <w:r w:rsidR="000272A8">
        <w:rPr>
          <w:b w:val="0"/>
          <w:bCs/>
          <w:sz w:val="24"/>
          <w:szCs w:val="24"/>
        </w:rPr>
        <w:t xml:space="preserve"> Incentive Payment Areas</w:t>
      </w:r>
      <w:r w:rsidRPr="00543D3A">
        <w:rPr>
          <w:b w:val="0"/>
          <w:bCs/>
          <w:sz w:val="24"/>
          <w:szCs w:val="24"/>
        </w:rPr>
        <w:t xml:space="preserve"> </w:t>
      </w:r>
      <w:r w:rsidR="000272A8">
        <w:rPr>
          <w:b w:val="0"/>
          <w:bCs/>
          <w:sz w:val="24"/>
          <w:szCs w:val="24"/>
        </w:rPr>
        <w:t>(</w:t>
      </w:r>
      <w:r w:rsidRPr="00543D3A">
        <w:rPr>
          <w:b w:val="0"/>
          <w:bCs/>
          <w:sz w:val="24"/>
          <w:szCs w:val="24"/>
        </w:rPr>
        <w:t>IPAs</w:t>
      </w:r>
      <w:r w:rsidR="008813B3">
        <w:rPr>
          <w:b w:val="0"/>
          <w:bCs/>
          <w:sz w:val="24"/>
          <w:szCs w:val="24"/>
        </w:rPr>
        <w:t>);</w:t>
      </w:r>
      <w:r w:rsidR="008813B3" w:rsidRPr="00543D3A">
        <w:rPr>
          <w:b w:val="0"/>
          <w:bCs/>
          <w:sz w:val="24"/>
          <w:szCs w:val="24"/>
        </w:rPr>
        <w:t xml:space="preserve"> </w:t>
      </w:r>
      <w:r w:rsidRPr="00543D3A">
        <w:rPr>
          <w:b w:val="0"/>
          <w:bCs/>
          <w:sz w:val="24"/>
          <w:szCs w:val="24"/>
        </w:rPr>
        <w:t>d) PAs, Type 1 LSCIs, IPAs and Type 2 LSCIs.</w:t>
      </w:r>
    </w:p>
    <w:p w14:paraId="537ADB84" w14:textId="77777777" w:rsidR="007757F8" w:rsidRDefault="007757F8" w:rsidP="007757F8"/>
    <w:p w14:paraId="2B4442A0" w14:textId="10065B4A" w:rsidR="007757F8" w:rsidRPr="00543D3A" w:rsidRDefault="005B5FA7" w:rsidP="007757F8">
      <w:pPr>
        <w:pStyle w:val="Caption"/>
        <w:rPr>
          <w:b w:val="0"/>
          <w:bCs/>
          <w:sz w:val="24"/>
          <w:szCs w:val="24"/>
        </w:rPr>
      </w:pPr>
      <w:r>
        <w:rPr>
          <w:b w:val="0"/>
          <w:bCs/>
          <w:sz w:val="24"/>
          <w:szCs w:val="24"/>
          <w:u w:val="single"/>
        </w:rPr>
        <w:t>Figure 3:</w:t>
      </w:r>
    </w:p>
    <w:p w14:paraId="74BCCEA3" w14:textId="6A56B5C7" w:rsidR="007757F8" w:rsidRPr="00543D3A" w:rsidRDefault="007757F8" w:rsidP="00C6241A">
      <w:pPr>
        <w:pStyle w:val="Caption"/>
        <w:rPr>
          <w:b w:val="0"/>
          <w:bCs/>
          <w:noProof/>
          <w:sz w:val="24"/>
          <w:szCs w:val="24"/>
          <w:lang w:eastAsia="en-GB" w:bidi="he-IL"/>
        </w:rPr>
      </w:pPr>
      <w:r w:rsidRPr="00543D3A">
        <w:rPr>
          <w:b w:val="0"/>
          <w:bCs/>
          <w:sz w:val="24"/>
          <w:szCs w:val="24"/>
        </w:rPr>
        <w:t xml:space="preserve">Details of the different conservation management </w:t>
      </w:r>
      <w:r w:rsidR="00F42E9C">
        <w:rPr>
          <w:b w:val="0"/>
          <w:bCs/>
          <w:sz w:val="24"/>
          <w:szCs w:val="24"/>
        </w:rPr>
        <w:t xml:space="preserve">categories </w:t>
      </w:r>
      <w:r w:rsidRPr="00543D3A">
        <w:rPr>
          <w:b w:val="0"/>
          <w:bCs/>
          <w:sz w:val="24"/>
          <w:szCs w:val="24"/>
        </w:rPr>
        <w:t>by</w:t>
      </w:r>
      <w:r w:rsidR="00CD5731">
        <w:rPr>
          <w:b w:val="0"/>
          <w:bCs/>
          <w:sz w:val="24"/>
          <w:szCs w:val="24"/>
        </w:rPr>
        <w:t>:</w:t>
      </w:r>
      <w:r w:rsidRPr="00543D3A">
        <w:rPr>
          <w:b w:val="0"/>
          <w:bCs/>
          <w:sz w:val="24"/>
          <w:szCs w:val="24"/>
        </w:rPr>
        <w:t xml:space="preserve"> (a) elevation classes, (b) agricultural land quality</w:t>
      </w:r>
      <w:r w:rsidR="008813B3">
        <w:rPr>
          <w:b w:val="0"/>
          <w:bCs/>
          <w:sz w:val="24"/>
          <w:szCs w:val="24"/>
        </w:rPr>
        <w:t>;</w:t>
      </w:r>
      <w:r w:rsidRPr="00543D3A">
        <w:rPr>
          <w:b w:val="0"/>
          <w:bCs/>
          <w:sz w:val="24"/>
          <w:szCs w:val="24"/>
        </w:rPr>
        <w:t xml:space="preserve"> </w:t>
      </w:r>
      <w:r w:rsidR="0087118D" w:rsidRPr="00543D3A">
        <w:rPr>
          <w:b w:val="0"/>
          <w:bCs/>
          <w:sz w:val="24"/>
          <w:szCs w:val="24"/>
        </w:rPr>
        <w:t xml:space="preserve">and </w:t>
      </w:r>
      <w:r w:rsidR="008813B3">
        <w:rPr>
          <w:b w:val="0"/>
          <w:bCs/>
          <w:sz w:val="24"/>
          <w:szCs w:val="24"/>
        </w:rPr>
        <w:t xml:space="preserve">(c) </w:t>
      </w:r>
      <w:r w:rsidRPr="00543D3A">
        <w:rPr>
          <w:b w:val="0"/>
          <w:bCs/>
          <w:sz w:val="24"/>
          <w:szCs w:val="24"/>
        </w:rPr>
        <w:t xml:space="preserve">landcover </w:t>
      </w:r>
      <w:r w:rsidR="00F42E9C">
        <w:rPr>
          <w:b w:val="0"/>
          <w:bCs/>
          <w:sz w:val="24"/>
          <w:szCs w:val="24"/>
        </w:rPr>
        <w:t>class</w:t>
      </w:r>
      <w:r w:rsidRPr="00543D3A">
        <w:rPr>
          <w:b w:val="0"/>
          <w:bCs/>
          <w:sz w:val="24"/>
          <w:szCs w:val="24"/>
        </w:rPr>
        <w:t>.</w:t>
      </w:r>
      <w:r w:rsidRPr="00543D3A">
        <w:rPr>
          <w:b w:val="0"/>
          <w:bCs/>
          <w:noProof/>
          <w:sz w:val="24"/>
          <w:szCs w:val="24"/>
          <w:lang w:eastAsia="en-GB" w:bidi="he-IL"/>
        </w:rPr>
        <w:t xml:space="preserve"> </w:t>
      </w:r>
      <w:r w:rsidR="000272A8">
        <w:rPr>
          <w:b w:val="0"/>
          <w:bCs/>
          <w:noProof/>
          <w:sz w:val="24"/>
          <w:szCs w:val="24"/>
          <w:lang w:eastAsia="en-GB" w:bidi="he-IL"/>
        </w:rPr>
        <w:t xml:space="preserve">These </w:t>
      </w:r>
      <w:r w:rsidR="00F42E9C">
        <w:rPr>
          <w:b w:val="0"/>
          <w:bCs/>
          <w:noProof/>
          <w:sz w:val="24"/>
          <w:szCs w:val="24"/>
          <w:lang w:eastAsia="en-GB" w:bidi="he-IL"/>
        </w:rPr>
        <w:t xml:space="preserve">categories </w:t>
      </w:r>
      <w:r w:rsidR="000272A8">
        <w:rPr>
          <w:b w:val="0"/>
          <w:bCs/>
          <w:noProof/>
          <w:sz w:val="24"/>
          <w:szCs w:val="24"/>
          <w:lang w:eastAsia="en-GB" w:bidi="he-IL"/>
        </w:rPr>
        <w:t xml:space="preserve">are protected areas (PAs), </w:t>
      </w:r>
      <w:r w:rsidR="000272A8" w:rsidRPr="00543D3A">
        <w:rPr>
          <w:b w:val="0"/>
          <w:bCs/>
          <w:sz w:val="24"/>
          <w:szCs w:val="24"/>
        </w:rPr>
        <w:t xml:space="preserve">Type 1 </w:t>
      </w:r>
      <w:r w:rsidR="000272A8">
        <w:rPr>
          <w:b w:val="0"/>
          <w:bCs/>
          <w:sz w:val="24"/>
          <w:szCs w:val="24"/>
        </w:rPr>
        <w:t>and Type 2 L</w:t>
      </w:r>
      <w:r w:rsidR="000272A8" w:rsidRPr="000272A8">
        <w:rPr>
          <w:b w:val="0"/>
          <w:bCs/>
          <w:sz w:val="24"/>
          <w:szCs w:val="24"/>
        </w:rPr>
        <w:t xml:space="preserve">arge-scale </w:t>
      </w:r>
      <w:r w:rsidR="000272A8">
        <w:rPr>
          <w:b w:val="0"/>
          <w:bCs/>
          <w:sz w:val="24"/>
          <w:szCs w:val="24"/>
        </w:rPr>
        <w:t>Conservation I</w:t>
      </w:r>
      <w:r w:rsidR="000272A8" w:rsidRPr="000272A8">
        <w:rPr>
          <w:b w:val="0"/>
          <w:bCs/>
          <w:sz w:val="24"/>
          <w:szCs w:val="24"/>
        </w:rPr>
        <w:t>nitiatives (LSCIs)</w:t>
      </w:r>
      <w:r w:rsidR="000272A8">
        <w:rPr>
          <w:b w:val="0"/>
          <w:bCs/>
          <w:sz w:val="24"/>
          <w:szCs w:val="24"/>
        </w:rPr>
        <w:t xml:space="preserve"> and Incentive Payment Areas (IPAs).</w:t>
      </w:r>
    </w:p>
    <w:p w14:paraId="40E457E6" w14:textId="1262A805" w:rsidR="007757F8" w:rsidRDefault="007757F8" w:rsidP="007757F8">
      <w:pPr>
        <w:rPr>
          <w:bCs/>
          <w:u w:val="single"/>
        </w:rPr>
      </w:pPr>
    </w:p>
    <w:p w14:paraId="130CEB1F" w14:textId="3F82B234" w:rsidR="007757F8" w:rsidRPr="00543D3A" w:rsidRDefault="005B5FA7" w:rsidP="007757F8">
      <w:pPr>
        <w:rPr>
          <w:bCs/>
          <w:u w:val="single"/>
        </w:rPr>
      </w:pPr>
      <w:r>
        <w:rPr>
          <w:bCs/>
          <w:u w:val="single"/>
        </w:rPr>
        <w:t>Figure 4:</w:t>
      </w:r>
    </w:p>
    <w:p w14:paraId="71A4D28F" w14:textId="04CDEAB2" w:rsidR="007757F8" w:rsidRDefault="007757F8" w:rsidP="0035158F">
      <w:pPr>
        <w:rPr>
          <w:bCs/>
        </w:rPr>
      </w:pPr>
      <w:r w:rsidRPr="00543D3A">
        <w:rPr>
          <w:bCs/>
        </w:rPr>
        <w:t xml:space="preserve">Altitude, distance from traffic nodes and slope of the four conservation management </w:t>
      </w:r>
      <w:r w:rsidR="0087118D">
        <w:rPr>
          <w:bCs/>
        </w:rPr>
        <w:t xml:space="preserve">categories </w:t>
      </w:r>
      <w:r w:rsidR="00E37FE8">
        <w:rPr>
          <w:bCs/>
          <w:lang w:val="en-US"/>
        </w:rPr>
        <w:t xml:space="preserve">(PAs, </w:t>
      </w:r>
      <w:r w:rsidR="00CB083A" w:rsidRPr="00A33D24">
        <w:rPr>
          <w:bCs/>
        </w:rPr>
        <w:t>Type 1 and Type 2 LSCIs and IPAs)</w:t>
      </w:r>
      <w:r w:rsidR="00E37FE8">
        <w:rPr>
          <w:bCs/>
        </w:rPr>
        <w:t xml:space="preserve"> </w:t>
      </w:r>
      <w:r w:rsidRPr="00543D3A">
        <w:rPr>
          <w:bCs/>
        </w:rPr>
        <w:t xml:space="preserve">and unmanaged land. We used </w:t>
      </w:r>
      <w:r w:rsidR="00CD5731">
        <w:rPr>
          <w:bCs/>
        </w:rPr>
        <w:t>p</w:t>
      </w:r>
      <w:r w:rsidRPr="00543D3A">
        <w:rPr>
          <w:bCs/>
        </w:rPr>
        <w:t xml:space="preserve">airwise Wilcoxon tests </w:t>
      </w:r>
      <w:r w:rsidR="00E37FE8">
        <w:rPr>
          <w:bCs/>
        </w:rPr>
        <w:t xml:space="preserve">to explore differences </w:t>
      </w:r>
      <w:r w:rsidRPr="00543D3A">
        <w:rPr>
          <w:bCs/>
        </w:rPr>
        <w:t>between all possible</w:t>
      </w:r>
      <w:r w:rsidR="00E37FE8">
        <w:rPr>
          <w:bCs/>
        </w:rPr>
        <w:t xml:space="preserve"> </w:t>
      </w:r>
      <w:r w:rsidRPr="00543D3A">
        <w:rPr>
          <w:bCs/>
        </w:rPr>
        <w:t xml:space="preserve">management </w:t>
      </w:r>
      <w:r w:rsidR="001E05C9">
        <w:rPr>
          <w:bCs/>
        </w:rPr>
        <w:t xml:space="preserve">category </w:t>
      </w:r>
      <w:r w:rsidRPr="00543D3A">
        <w:rPr>
          <w:bCs/>
        </w:rPr>
        <w:t xml:space="preserve">pairs and used the Bonferroni correction </w:t>
      </w:r>
      <w:r w:rsidR="00CB083A">
        <w:rPr>
          <w:bCs/>
        </w:rPr>
        <w:t xml:space="preserve">to account for </w:t>
      </w:r>
      <w:r w:rsidRPr="00543D3A">
        <w:rPr>
          <w:bCs/>
        </w:rPr>
        <w:t>multiple testing</w:t>
      </w:r>
      <w:r w:rsidR="00CB083A">
        <w:rPr>
          <w:bCs/>
        </w:rPr>
        <w:t>. Significant d</w:t>
      </w:r>
      <w:r w:rsidRPr="00543D3A">
        <w:rPr>
          <w:bCs/>
        </w:rPr>
        <w:t>ifferences</w:t>
      </w:r>
      <w:r w:rsidR="00CB083A">
        <w:rPr>
          <w:bCs/>
        </w:rPr>
        <w:t xml:space="preserve"> (p</w:t>
      </w:r>
      <w:r w:rsidR="008813B3">
        <w:rPr>
          <w:bCs/>
        </w:rPr>
        <w:t>&lt;0.05</w:t>
      </w:r>
      <w:r w:rsidR="00CB083A">
        <w:rPr>
          <w:bCs/>
        </w:rPr>
        <w:t>)</w:t>
      </w:r>
      <w:r w:rsidRPr="00543D3A">
        <w:rPr>
          <w:bCs/>
        </w:rPr>
        <w:t xml:space="preserve"> between </w:t>
      </w:r>
      <w:r w:rsidR="00E37FE8">
        <w:rPr>
          <w:bCs/>
        </w:rPr>
        <w:t>management categories</w:t>
      </w:r>
      <w:r w:rsidR="00E37FE8" w:rsidRPr="00543D3A">
        <w:rPr>
          <w:bCs/>
        </w:rPr>
        <w:t xml:space="preserve"> </w:t>
      </w:r>
      <w:r w:rsidRPr="00543D3A">
        <w:rPr>
          <w:bCs/>
        </w:rPr>
        <w:t>a</w:t>
      </w:r>
      <w:r w:rsidR="00CB083A">
        <w:rPr>
          <w:bCs/>
        </w:rPr>
        <w:t>re indicated by letters</w:t>
      </w:r>
      <w:r w:rsidRPr="00543D3A">
        <w:rPr>
          <w:bCs/>
        </w:rPr>
        <w:t>.</w:t>
      </w:r>
      <w:r w:rsidR="003A038B">
        <w:rPr>
          <w:bCs/>
        </w:rPr>
        <w:t xml:space="preserve"> </w:t>
      </w:r>
    </w:p>
    <w:p w14:paraId="5B2EB108" w14:textId="77777777" w:rsidR="007757F8" w:rsidRDefault="007757F8" w:rsidP="007757F8">
      <w:pPr>
        <w:rPr>
          <w:bCs/>
        </w:rPr>
      </w:pPr>
    </w:p>
    <w:p w14:paraId="294A6E21" w14:textId="77777777" w:rsidR="007757F8" w:rsidRDefault="007757F8" w:rsidP="007757F8">
      <w:pPr>
        <w:rPr>
          <w:bCs/>
        </w:rPr>
      </w:pPr>
    </w:p>
    <w:p w14:paraId="08E1791C" w14:textId="2E308CEE" w:rsidR="00A726DE" w:rsidRPr="00A726DE" w:rsidRDefault="00A726DE" w:rsidP="00652C11">
      <w:pPr>
        <w:jc w:val="left"/>
      </w:pPr>
    </w:p>
    <w:p w14:paraId="53862274" w14:textId="77777777" w:rsidR="00ED34A2" w:rsidRDefault="00ED34A2">
      <w:pPr>
        <w:spacing w:line="240" w:lineRule="auto"/>
        <w:jc w:val="left"/>
        <w:sectPr w:rsidR="00ED34A2" w:rsidSect="00F54A3C">
          <w:pgSz w:w="11906" w:h="16838"/>
          <w:pgMar w:top="1440" w:right="1440" w:bottom="1440" w:left="1440" w:header="709" w:footer="709" w:gutter="0"/>
          <w:lnNumType w:countBy="1" w:restart="continuous"/>
          <w:cols w:space="708"/>
          <w:docGrid w:linePitch="360"/>
        </w:sectPr>
      </w:pPr>
    </w:p>
    <w:p w14:paraId="4B22A553" w14:textId="5BE4960E" w:rsidR="008A423D" w:rsidRDefault="008A423D">
      <w:pPr>
        <w:spacing w:line="240" w:lineRule="auto"/>
        <w:jc w:val="left"/>
      </w:pPr>
    </w:p>
    <w:p w14:paraId="731DDA97" w14:textId="4613695D" w:rsidR="00D438F7" w:rsidRPr="00543D3A" w:rsidRDefault="00543D3A" w:rsidP="00543D3A">
      <w:pPr>
        <w:pStyle w:val="Caption"/>
        <w:ind w:left="-142"/>
        <w:rPr>
          <w:sz w:val="24"/>
          <w:szCs w:val="24"/>
        </w:rPr>
      </w:pPr>
      <w:r w:rsidRPr="00543D3A">
        <w:rPr>
          <w:sz w:val="24"/>
          <w:szCs w:val="24"/>
        </w:rPr>
        <w:t>Table 1</w:t>
      </w:r>
    </w:p>
    <w:tbl>
      <w:tblPr>
        <w:tblStyle w:val="TableGrid"/>
        <w:tblW w:w="13462" w:type="dxa"/>
        <w:jc w:val="center"/>
        <w:tblBorders>
          <w:insideH w:val="none" w:sz="0" w:space="0" w:color="auto"/>
          <w:insideV w:val="none" w:sz="0" w:space="0" w:color="auto"/>
        </w:tblBorders>
        <w:tblLook w:val="04A0" w:firstRow="1" w:lastRow="0" w:firstColumn="1" w:lastColumn="0" w:noHBand="0" w:noVBand="1"/>
      </w:tblPr>
      <w:tblGrid>
        <w:gridCol w:w="2972"/>
        <w:gridCol w:w="2268"/>
        <w:gridCol w:w="1701"/>
        <w:gridCol w:w="1843"/>
        <w:gridCol w:w="2268"/>
        <w:gridCol w:w="2410"/>
      </w:tblGrid>
      <w:tr w:rsidR="008805A2" w14:paraId="73FFD207" w14:textId="77777777" w:rsidTr="008813B3">
        <w:trPr>
          <w:jc w:val="center"/>
        </w:trPr>
        <w:tc>
          <w:tcPr>
            <w:tcW w:w="2972" w:type="dxa"/>
            <w:tcBorders>
              <w:top w:val="single" w:sz="4" w:space="0" w:color="auto"/>
              <w:left w:val="single" w:sz="2" w:space="0" w:color="FFFFFF" w:themeColor="background1"/>
              <w:bottom w:val="single" w:sz="4" w:space="0" w:color="auto"/>
              <w:right w:val="single" w:sz="2" w:space="0" w:color="FFFFFF" w:themeColor="background1"/>
            </w:tcBorders>
          </w:tcPr>
          <w:p w14:paraId="222C5BB1" w14:textId="5EC53AD5" w:rsidR="000E5211" w:rsidRPr="00C06EAB" w:rsidRDefault="00F47067" w:rsidP="00C6241A">
            <w:pPr>
              <w:spacing w:line="480" w:lineRule="auto"/>
              <w:jc w:val="left"/>
              <w:rPr>
                <w:sz w:val="20"/>
              </w:rPr>
            </w:pPr>
            <w:r>
              <w:rPr>
                <w:rFonts w:cs="Times New Roman"/>
                <w:b/>
                <w:bCs/>
                <w:sz w:val="20"/>
                <w:szCs w:val="22"/>
                <w:lang w:eastAsia="en-GB" w:bidi="he-IL"/>
              </w:rPr>
              <w:t>Co</w:t>
            </w:r>
            <w:r w:rsidRPr="00F47067">
              <w:rPr>
                <w:rFonts w:cs="Times New Roman"/>
                <w:b/>
                <w:bCs/>
                <w:sz w:val="20"/>
                <w:szCs w:val="22"/>
                <w:lang w:eastAsia="en-GB" w:bidi="he-IL"/>
              </w:rPr>
              <w:t xml:space="preserve">nservation management </w:t>
            </w:r>
            <w:r w:rsidR="001E05C9">
              <w:rPr>
                <w:rFonts w:cs="Times New Roman"/>
                <w:b/>
                <w:bCs/>
                <w:sz w:val="20"/>
                <w:szCs w:val="22"/>
                <w:lang w:eastAsia="en-GB" w:bidi="he-IL"/>
              </w:rPr>
              <w:t>category</w:t>
            </w:r>
          </w:p>
        </w:tc>
        <w:tc>
          <w:tcPr>
            <w:tcW w:w="2268" w:type="dxa"/>
            <w:tcBorders>
              <w:top w:val="single" w:sz="4" w:space="0" w:color="auto"/>
              <w:left w:val="single" w:sz="2" w:space="0" w:color="FFFFFF" w:themeColor="background1"/>
              <w:bottom w:val="single" w:sz="4" w:space="0" w:color="auto"/>
              <w:right w:val="single" w:sz="2" w:space="0" w:color="FFFFFF" w:themeColor="background1"/>
            </w:tcBorders>
          </w:tcPr>
          <w:p w14:paraId="1AC6481B" w14:textId="0B23723A" w:rsidR="000E5211" w:rsidRPr="00C06EAB" w:rsidRDefault="000E5211" w:rsidP="008813B3">
            <w:pPr>
              <w:spacing w:line="480" w:lineRule="auto"/>
              <w:jc w:val="center"/>
              <w:rPr>
                <w:sz w:val="20"/>
              </w:rPr>
            </w:pPr>
            <w:r w:rsidRPr="00C06EAB">
              <w:rPr>
                <w:rFonts w:cs="Times New Roman"/>
                <w:b/>
                <w:bCs/>
                <w:sz w:val="20"/>
                <w:szCs w:val="22"/>
                <w:lang w:eastAsia="en-GB" w:bidi="he-IL"/>
              </w:rPr>
              <w:t xml:space="preserve">Median area </w:t>
            </w:r>
            <w:r w:rsidR="00C06EAB">
              <w:rPr>
                <w:rFonts w:cs="Times New Roman"/>
                <w:b/>
                <w:bCs/>
                <w:sz w:val="20"/>
                <w:szCs w:val="22"/>
                <w:lang w:eastAsia="en-GB" w:bidi="he-IL"/>
              </w:rPr>
              <w:t>(</w:t>
            </w:r>
            <w:r w:rsidRPr="00C06EAB">
              <w:rPr>
                <w:rFonts w:cs="Times New Roman"/>
                <w:b/>
                <w:bCs/>
                <w:sz w:val="20"/>
                <w:szCs w:val="22"/>
                <w:lang w:eastAsia="en-GB" w:bidi="he-IL"/>
              </w:rPr>
              <w:t>and range</w:t>
            </w:r>
            <w:r w:rsidR="00C06EAB">
              <w:rPr>
                <w:rFonts w:cs="Times New Roman"/>
                <w:b/>
                <w:bCs/>
                <w:sz w:val="20"/>
                <w:szCs w:val="22"/>
                <w:lang w:eastAsia="en-GB" w:bidi="he-IL"/>
              </w:rPr>
              <w:t>) in</w:t>
            </w:r>
            <w:r w:rsidRPr="00C06EAB">
              <w:rPr>
                <w:rFonts w:cs="Times New Roman"/>
                <w:b/>
                <w:bCs/>
                <w:sz w:val="20"/>
                <w:szCs w:val="22"/>
                <w:lang w:eastAsia="en-GB" w:bidi="he-IL"/>
              </w:rPr>
              <w:t xml:space="preserve"> km</w:t>
            </w:r>
            <w:r w:rsidRPr="00C06EAB">
              <w:rPr>
                <w:rFonts w:cs="Times New Roman"/>
                <w:b/>
                <w:bCs/>
                <w:sz w:val="20"/>
                <w:szCs w:val="22"/>
                <w:vertAlign w:val="superscript"/>
                <w:lang w:eastAsia="en-GB" w:bidi="he-IL"/>
              </w:rPr>
              <w:t>2</w:t>
            </w:r>
          </w:p>
        </w:tc>
        <w:tc>
          <w:tcPr>
            <w:tcW w:w="1701" w:type="dxa"/>
            <w:tcBorders>
              <w:top w:val="single" w:sz="4" w:space="0" w:color="auto"/>
              <w:left w:val="single" w:sz="2" w:space="0" w:color="FFFFFF" w:themeColor="background1"/>
              <w:bottom w:val="single" w:sz="4" w:space="0" w:color="auto"/>
              <w:right w:val="single" w:sz="2" w:space="0" w:color="FFFFFF" w:themeColor="background1"/>
            </w:tcBorders>
          </w:tcPr>
          <w:p w14:paraId="43C8ED21" w14:textId="722462DC" w:rsidR="000E5211" w:rsidRPr="00C06EAB" w:rsidRDefault="000E5211" w:rsidP="008813B3">
            <w:pPr>
              <w:spacing w:line="480" w:lineRule="auto"/>
              <w:jc w:val="center"/>
              <w:rPr>
                <w:sz w:val="20"/>
              </w:rPr>
            </w:pPr>
            <w:r w:rsidRPr="00C06EAB">
              <w:rPr>
                <w:rFonts w:cs="Times New Roman"/>
                <w:b/>
                <w:bCs/>
                <w:sz w:val="20"/>
                <w:szCs w:val="22"/>
                <w:lang w:eastAsia="en-GB" w:bidi="he-IL"/>
              </w:rPr>
              <w:t>Total area (km</w:t>
            </w:r>
            <w:r w:rsidRPr="00C06EAB">
              <w:rPr>
                <w:rFonts w:cs="Times New Roman"/>
                <w:b/>
                <w:bCs/>
                <w:sz w:val="20"/>
                <w:szCs w:val="22"/>
                <w:vertAlign w:val="superscript"/>
                <w:lang w:eastAsia="en-GB" w:bidi="he-IL"/>
              </w:rPr>
              <w:t>2</w:t>
            </w:r>
            <w:r w:rsidRPr="00C06EAB">
              <w:rPr>
                <w:rFonts w:cs="Times New Roman"/>
                <w:b/>
                <w:bCs/>
                <w:sz w:val="20"/>
                <w:szCs w:val="22"/>
                <w:lang w:eastAsia="en-GB" w:bidi="he-IL"/>
              </w:rPr>
              <w:t>)</w:t>
            </w:r>
          </w:p>
        </w:tc>
        <w:tc>
          <w:tcPr>
            <w:tcW w:w="1843" w:type="dxa"/>
            <w:tcBorders>
              <w:top w:val="single" w:sz="4" w:space="0" w:color="auto"/>
              <w:left w:val="single" w:sz="2" w:space="0" w:color="FFFFFF" w:themeColor="background1"/>
              <w:bottom w:val="single" w:sz="4" w:space="0" w:color="auto"/>
              <w:right w:val="single" w:sz="2" w:space="0" w:color="FFFFFF" w:themeColor="background1"/>
            </w:tcBorders>
          </w:tcPr>
          <w:p w14:paraId="0E3DE31B" w14:textId="516241B2" w:rsidR="000E5211" w:rsidRPr="00C06EAB" w:rsidRDefault="000E5211" w:rsidP="008813B3">
            <w:pPr>
              <w:spacing w:line="480" w:lineRule="auto"/>
              <w:jc w:val="center"/>
              <w:rPr>
                <w:sz w:val="20"/>
              </w:rPr>
            </w:pPr>
            <w:r w:rsidRPr="00C06EAB">
              <w:rPr>
                <w:rFonts w:cs="Times New Roman"/>
                <w:b/>
                <w:bCs/>
                <w:sz w:val="20"/>
                <w:szCs w:val="22"/>
                <w:lang w:eastAsia="en-GB" w:bidi="he-IL"/>
              </w:rPr>
              <w:t xml:space="preserve">Net </w:t>
            </w:r>
            <w:r w:rsidR="008207B2">
              <w:rPr>
                <w:rFonts w:cs="Times New Roman"/>
                <w:b/>
                <w:bCs/>
                <w:sz w:val="20"/>
                <w:szCs w:val="22"/>
                <w:lang w:eastAsia="en-GB" w:bidi="he-IL"/>
              </w:rPr>
              <w:t xml:space="preserve">additional </w:t>
            </w:r>
            <w:r w:rsidRPr="00C06EAB">
              <w:rPr>
                <w:rFonts w:cs="Times New Roman"/>
                <w:b/>
                <w:bCs/>
                <w:sz w:val="20"/>
                <w:szCs w:val="22"/>
                <w:lang w:eastAsia="en-GB" w:bidi="he-IL"/>
              </w:rPr>
              <w:t>cover (km</w:t>
            </w:r>
            <w:r w:rsidRPr="00C06EAB">
              <w:rPr>
                <w:rFonts w:cs="Times New Roman"/>
                <w:b/>
                <w:bCs/>
                <w:sz w:val="20"/>
                <w:szCs w:val="22"/>
                <w:vertAlign w:val="superscript"/>
                <w:lang w:eastAsia="en-GB" w:bidi="he-IL"/>
              </w:rPr>
              <w:t>2</w:t>
            </w:r>
            <w:r w:rsidRPr="00C06EAB">
              <w:rPr>
                <w:rFonts w:cs="Times New Roman"/>
                <w:b/>
                <w:bCs/>
                <w:sz w:val="20"/>
                <w:szCs w:val="22"/>
                <w:lang w:eastAsia="en-GB" w:bidi="he-IL"/>
              </w:rPr>
              <w:t>)</w:t>
            </w:r>
          </w:p>
        </w:tc>
        <w:tc>
          <w:tcPr>
            <w:tcW w:w="2268" w:type="dxa"/>
            <w:tcBorders>
              <w:top w:val="single" w:sz="4" w:space="0" w:color="auto"/>
              <w:left w:val="single" w:sz="2" w:space="0" w:color="FFFFFF" w:themeColor="background1"/>
              <w:bottom w:val="single" w:sz="4" w:space="0" w:color="auto"/>
              <w:right w:val="single" w:sz="2" w:space="0" w:color="FFFFFF" w:themeColor="background1"/>
            </w:tcBorders>
          </w:tcPr>
          <w:p w14:paraId="773E4DA9" w14:textId="0909B01C" w:rsidR="000E5211" w:rsidRPr="00543D3A" w:rsidRDefault="00CF04AA" w:rsidP="008813B3">
            <w:pPr>
              <w:spacing w:line="480" w:lineRule="auto"/>
              <w:jc w:val="center"/>
              <w:rPr>
                <w:sz w:val="20"/>
              </w:rPr>
            </w:pPr>
            <w:r>
              <w:rPr>
                <w:rFonts w:cs="Times New Roman"/>
                <w:b/>
                <w:bCs/>
                <w:sz w:val="20"/>
                <w:szCs w:val="22"/>
                <w:lang w:eastAsia="en-GB" w:bidi="he-IL"/>
              </w:rPr>
              <w:t>O</w:t>
            </w:r>
            <w:r w:rsidR="000E5211" w:rsidRPr="00543D3A">
              <w:rPr>
                <w:rFonts w:cs="Times New Roman"/>
                <w:b/>
                <w:bCs/>
                <w:sz w:val="20"/>
                <w:szCs w:val="22"/>
                <w:lang w:eastAsia="en-GB" w:bidi="he-IL"/>
              </w:rPr>
              <w:t xml:space="preserve">verlap </w:t>
            </w:r>
            <w:r w:rsidR="000E5211" w:rsidRPr="00543D3A">
              <w:rPr>
                <w:rFonts w:cs="Times New Roman"/>
                <w:b/>
                <w:bCs/>
                <w:sz w:val="20"/>
                <w:lang w:eastAsia="en-GB" w:bidi="he-IL"/>
              </w:rPr>
              <w:t>with</w:t>
            </w:r>
            <w:r w:rsidR="000E5211" w:rsidRPr="00543D3A">
              <w:rPr>
                <w:rFonts w:cs="Times New Roman"/>
                <w:b/>
                <w:bCs/>
                <w:sz w:val="20"/>
                <w:szCs w:val="22"/>
                <w:lang w:eastAsia="en-GB" w:bidi="he-IL"/>
              </w:rPr>
              <w:t xml:space="preserve">  </w:t>
            </w:r>
            <w:r w:rsidR="000E5211" w:rsidRPr="00543D3A">
              <w:rPr>
                <w:rFonts w:cs="Times New Roman"/>
                <w:b/>
                <w:bCs/>
                <w:sz w:val="20"/>
                <w:lang w:eastAsia="en-GB" w:bidi="he-IL"/>
              </w:rPr>
              <w:t>higher</w:t>
            </w:r>
            <w:r w:rsidR="000E5211" w:rsidRPr="00543D3A">
              <w:rPr>
                <w:rFonts w:cs="Times New Roman"/>
                <w:b/>
                <w:bCs/>
                <w:sz w:val="20"/>
                <w:szCs w:val="22"/>
                <w:lang w:eastAsia="en-GB" w:bidi="he-IL"/>
              </w:rPr>
              <w:t xml:space="preserve"> </w:t>
            </w:r>
            <w:r w:rsidR="00C97774" w:rsidRPr="00543D3A">
              <w:rPr>
                <w:rFonts w:cs="Times New Roman"/>
                <w:b/>
                <w:bCs/>
                <w:sz w:val="20"/>
                <w:szCs w:val="22"/>
                <w:lang w:eastAsia="en-GB" w:bidi="he-IL"/>
              </w:rPr>
              <w:t>CMI</w:t>
            </w:r>
            <w:r w:rsidR="000E5211" w:rsidRPr="00543D3A">
              <w:rPr>
                <w:rFonts w:cs="Times New Roman"/>
                <w:b/>
                <w:bCs/>
                <w:sz w:val="20"/>
                <w:szCs w:val="22"/>
                <w:lang w:eastAsia="en-GB" w:bidi="he-IL"/>
              </w:rPr>
              <w:t xml:space="preserve"> </w:t>
            </w:r>
            <w:r w:rsidR="001E05C9">
              <w:rPr>
                <w:rFonts w:cs="Times New Roman"/>
                <w:b/>
                <w:bCs/>
                <w:sz w:val="20"/>
                <w:szCs w:val="22"/>
                <w:lang w:eastAsia="en-GB" w:bidi="he-IL"/>
              </w:rPr>
              <w:t>categories</w:t>
            </w:r>
          </w:p>
        </w:tc>
        <w:tc>
          <w:tcPr>
            <w:tcW w:w="2410" w:type="dxa"/>
            <w:tcBorders>
              <w:top w:val="single" w:sz="4" w:space="0" w:color="auto"/>
              <w:left w:val="single" w:sz="2" w:space="0" w:color="FFFFFF" w:themeColor="background1"/>
              <w:bottom w:val="single" w:sz="4" w:space="0" w:color="auto"/>
              <w:right w:val="single" w:sz="2" w:space="0" w:color="FFFFFF" w:themeColor="background1"/>
            </w:tcBorders>
          </w:tcPr>
          <w:p w14:paraId="2C3637D8" w14:textId="11A794D0" w:rsidR="000E5211" w:rsidRPr="00C06EAB" w:rsidRDefault="000E5211" w:rsidP="008813B3">
            <w:pPr>
              <w:spacing w:line="480" w:lineRule="auto"/>
              <w:jc w:val="center"/>
              <w:rPr>
                <w:sz w:val="20"/>
              </w:rPr>
            </w:pPr>
            <w:r w:rsidRPr="00C06EAB">
              <w:rPr>
                <w:rFonts w:cs="Times New Roman"/>
                <w:b/>
                <w:bCs/>
                <w:sz w:val="20"/>
                <w:szCs w:val="22"/>
                <w:lang w:eastAsia="en-GB" w:bidi="he-IL"/>
              </w:rPr>
              <w:t>Cumulative % of England</w:t>
            </w:r>
          </w:p>
        </w:tc>
      </w:tr>
      <w:tr w:rsidR="008805A2" w14:paraId="3BB2FAFF" w14:textId="77777777" w:rsidTr="008813B3">
        <w:trPr>
          <w:jc w:val="center"/>
        </w:trPr>
        <w:tc>
          <w:tcPr>
            <w:tcW w:w="2972" w:type="dxa"/>
            <w:tcBorders>
              <w:top w:val="single" w:sz="4" w:space="0" w:color="auto"/>
              <w:left w:val="single" w:sz="2" w:space="0" w:color="FFFFFF" w:themeColor="background1"/>
              <w:right w:val="single" w:sz="2" w:space="0" w:color="FFFFFF" w:themeColor="background1"/>
            </w:tcBorders>
          </w:tcPr>
          <w:p w14:paraId="38294E34" w14:textId="6504AA74" w:rsidR="000E5211" w:rsidRPr="00C06EAB" w:rsidRDefault="000E5211" w:rsidP="008813B3">
            <w:pPr>
              <w:spacing w:line="480" w:lineRule="auto"/>
              <w:jc w:val="left"/>
              <w:rPr>
                <w:sz w:val="20"/>
              </w:rPr>
            </w:pPr>
            <w:r w:rsidRPr="00C06EAB">
              <w:rPr>
                <w:sz w:val="20"/>
                <w:szCs w:val="22"/>
              </w:rPr>
              <w:t>Protected areas</w:t>
            </w:r>
          </w:p>
        </w:tc>
        <w:tc>
          <w:tcPr>
            <w:tcW w:w="2268" w:type="dxa"/>
            <w:tcBorders>
              <w:top w:val="single" w:sz="4" w:space="0" w:color="auto"/>
              <w:left w:val="single" w:sz="2" w:space="0" w:color="FFFFFF" w:themeColor="background1"/>
              <w:right w:val="single" w:sz="2" w:space="0" w:color="FFFFFF" w:themeColor="background1"/>
            </w:tcBorders>
          </w:tcPr>
          <w:p w14:paraId="23A9FDE1" w14:textId="6A297F14" w:rsidR="000E5211" w:rsidRPr="00C06EAB" w:rsidRDefault="000E5211" w:rsidP="008813B3">
            <w:pPr>
              <w:spacing w:line="480" w:lineRule="auto"/>
              <w:jc w:val="center"/>
              <w:rPr>
                <w:sz w:val="20"/>
              </w:rPr>
            </w:pPr>
            <w:r>
              <w:rPr>
                <w:rFonts w:cs="Times New Roman"/>
                <w:sz w:val="20"/>
                <w:lang w:val="fr-FR" w:eastAsia="en-GB" w:bidi="he-IL"/>
              </w:rPr>
              <w:t>0.17</w:t>
            </w:r>
            <w:r w:rsidR="00ED34A2">
              <w:rPr>
                <w:rFonts w:cs="Times New Roman"/>
                <w:sz w:val="20"/>
                <w:lang w:val="fr-FR" w:eastAsia="en-GB" w:bidi="he-IL"/>
              </w:rPr>
              <w:t xml:space="preserve"> </w:t>
            </w:r>
            <w:r w:rsidRPr="00C06EAB">
              <w:rPr>
                <w:rFonts w:cs="Times New Roman"/>
                <w:sz w:val="20"/>
                <w:szCs w:val="22"/>
                <w:lang w:val="fr-FR" w:eastAsia="en-GB" w:bidi="he-IL"/>
              </w:rPr>
              <w:t>(</w:t>
            </w:r>
            <w:r w:rsidRPr="00C06EAB">
              <w:rPr>
                <w:rFonts w:cs="Times New Roman"/>
                <w:sz w:val="20"/>
                <w:szCs w:val="22"/>
                <w:lang w:eastAsia="en-GB" w:bidi="he-IL"/>
              </w:rPr>
              <w:t>&lt;0.01-440.9)</w:t>
            </w:r>
          </w:p>
        </w:tc>
        <w:tc>
          <w:tcPr>
            <w:tcW w:w="1701" w:type="dxa"/>
            <w:tcBorders>
              <w:top w:val="single" w:sz="4" w:space="0" w:color="auto"/>
              <w:left w:val="single" w:sz="2" w:space="0" w:color="FFFFFF" w:themeColor="background1"/>
              <w:right w:val="single" w:sz="2" w:space="0" w:color="FFFFFF" w:themeColor="background1"/>
            </w:tcBorders>
          </w:tcPr>
          <w:p w14:paraId="4B7D642C" w14:textId="0E87E4E8" w:rsidR="000E5211" w:rsidRPr="00C06EAB" w:rsidRDefault="000E5211" w:rsidP="008813B3">
            <w:pPr>
              <w:spacing w:line="480" w:lineRule="auto"/>
              <w:jc w:val="center"/>
              <w:rPr>
                <w:sz w:val="20"/>
              </w:rPr>
            </w:pPr>
            <w:r w:rsidRPr="00C06EAB">
              <w:rPr>
                <w:rFonts w:cs="Times New Roman"/>
                <w:sz w:val="20"/>
                <w:szCs w:val="22"/>
                <w:lang w:val="fr-FR" w:eastAsia="en-GB" w:bidi="he-IL"/>
              </w:rPr>
              <w:t>8957.5</w:t>
            </w:r>
          </w:p>
        </w:tc>
        <w:tc>
          <w:tcPr>
            <w:tcW w:w="1843" w:type="dxa"/>
            <w:tcBorders>
              <w:top w:val="single" w:sz="4" w:space="0" w:color="auto"/>
              <w:left w:val="single" w:sz="2" w:space="0" w:color="FFFFFF" w:themeColor="background1"/>
              <w:right w:val="single" w:sz="2" w:space="0" w:color="FFFFFF" w:themeColor="background1"/>
            </w:tcBorders>
          </w:tcPr>
          <w:p w14:paraId="2478D81C" w14:textId="1061CAC6" w:rsidR="000E5211" w:rsidRPr="00C06EAB" w:rsidRDefault="008207B2" w:rsidP="008813B3">
            <w:pPr>
              <w:spacing w:line="480" w:lineRule="auto"/>
              <w:jc w:val="center"/>
              <w:rPr>
                <w:sz w:val="20"/>
              </w:rPr>
            </w:pPr>
            <w:r w:rsidRPr="00C06EAB">
              <w:rPr>
                <w:rFonts w:cs="Times New Roman"/>
                <w:sz w:val="20"/>
                <w:szCs w:val="22"/>
                <w:lang w:val="fr-FR" w:eastAsia="en-GB" w:bidi="he-IL"/>
              </w:rPr>
              <w:t>8957.5</w:t>
            </w:r>
          </w:p>
        </w:tc>
        <w:tc>
          <w:tcPr>
            <w:tcW w:w="2268" w:type="dxa"/>
            <w:tcBorders>
              <w:top w:val="single" w:sz="4" w:space="0" w:color="auto"/>
              <w:left w:val="single" w:sz="2" w:space="0" w:color="FFFFFF" w:themeColor="background1"/>
              <w:right w:val="single" w:sz="2" w:space="0" w:color="FFFFFF" w:themeColor="background1"/>
            </w:tcBorders>
          </w:tcPr>
          <w:p w14:paraId="4B0761C5" w14:textId="5D29B964" w:rsidR="000E5211" w:rsidRPr="00543D3A" w:rsidRDefault="000E5211" w:rsidP="008813B3">
            <w:pPr>
              <w:spacing w:line="480" w:lineRule="auto"/>
              <w:jc w:val="center"/>
              <w:rPr>
                <w:sz w:val="20"/>
              </w:rPr>
            </w:pPr>
            <w:r w:rsidRPr="00543D3A">
              <w:rPr>
                <w:rFonts w:cs="Times New Roman"/>
                <w:sz w:val="20"/>
                <w:szCs w:val="22"/>
                <w:lang w:val="fr-FR" w:eastAsia="en-GB" w:bidi="he-IL"/>
              </w:rPr>
              <w:t>-</w:t>
            </w:r>
          </w:p>
        </w:tc>
        <w:tc>
          <w:tcPr>
            <w:tcW w:w="2410" w:type="dxa"/>
            <w:tcBorders>
              <w:top w:val="single" w:sz="4" w:space="0" w:color="auto"/>
              <w:left w:val="single" w:sz="2" w:space="0" w:color="FFFFFF" w:themeColor="background1"/>
              <w:right w:val="single" w:sz="2" w:space="0" w:color="FFFFFF" w:themeColor="background1"/>
            </w:tcBorders>
          </w:tcPr>
          <w:p w14:paraId="753E93DC" w14:textId="24BA1D01" w:rsidR="000E5211" w:rsidRPr="00C06EAB" w:rsidRDefault="000E5211" w:rsidP="008813B3">
            <w:pPr>
              <w:spacing w:line="480" w:lineRule="auto"/>
              <w:jc w:val="center"/>
              <w:rPr>
                <w:sz w:val="20"/>
              </w:rPr>
            </w:pPr>
            <w:r w:rsidRPr="00C06EAB">
              <w:rPr>
                <w:rFonts w:cs="Times New Roman"/>
                <w:sz w:val="20"/>
                <w:szCs w:val="22"/>
                <w:lang w:val="fr-FR" w:eastAsia="en-GB" w:bidi="he-IL"/>
              </w:rPr>
              <w:t>6.37</w:t>
            </w:r>
          </w:p>
        </w:tc>
      </w:tr>
      <w:tr w:rsidR="008805A2" w14:paraId="3B53B6C3" w14:textId="77777777" w:rsidTr="008813B3">
        <w:trPr>
          <w:jc w:val="center"/>
        </w:trPr>
        <w:tc>
          <w:tcPr>
            <w:tcW w:w="2972" w:type="dxa"/>
            <w:tcBorders>
              <w:left w:val="single" w:sz="2" w:space="0" w:color="FFFFFF" w:themeColor="background1"/>
              <w:right w:val="single" w:sz="2" w:space="0" w:color="FFFFFF" w:themeColor="background1"/>
            </w:tcBorders>
          </w:tcPr>
          <w:p w14:paraId="6EB0F2B5" w14:textId="12F76384" w:rsidR="000E5211" w:rsidRPr="00C06EAB" w:rsidRDefault="000E5211" w:rsidP="008813B3">
            <w:pPr>
              <w:spacing w:line="480" w:lineRule="auto"/>
              <w:jc w:val="left"/>
              <w:rPr>
                <w:sz w:val="20"/>
              </w:rPr>
            </w:pPr>
            <w:r w:rsidRPr="00C06EAB">
              <w:rPr>
                <w:rFonts w:cs="Times New Roman"/>
                <w:sz w:val="20"/>
                <w:szCs w:val="22"/>
                <w:lang w:val="en-US" w:eastAsia="en-GB" w:bidi="he-IL"/>
              </w:rPr>
              <w:t>Type 1 Large Conservation Areas</w:t>
            </w:r>
          </w:p>
        </w:tc>
        <w:tc>
          <w:tcPr>
            <w:tcW w:w="2268" w:type="dxa"/>
            <w:tcBorders>
              <w:left w:val="single" w:sz="2" w:space="0" w:color="FFFFFF" w:themeColor="background1"/>
              <w:right w:val="single" w:sz="2" w:space="0" w:color="FFFFFF" w:themeColor="background1"/>
            </w:tcBorders>
          </w:tcPr>
          <w:p w14:paraId="155BFD25" w14:textId="0A321489" w:rsidR="000E5211" w:rsidRPr="00C06EAB" w:rsidRDefault="000E5211" w:rsidP="008813B3">
            <w:pPr>
              <w:spacing w:line="480" w:lineRule="auto"/>
              <w:jc w:val="center"/>
              <w:rPr>
                <w:sz w:val="20"/>
              </w:rPr>
            </w:pPr>
            <w:r>
              <w:rPr>
                <w:rFonts w:cs="Times New Roman"/>
                <w:sz w:val="20"/>
                <w:lang w:val="fr-FR" w:eastAsia="en-GB" w:bidi="he-IL"/>
              </w:rPr>
              <w:t>18.91</w:t>
            </w:r>
            <w:r w:rsidR="00ED34A2">
              <w:rPr>
                <w:rFonts w:cs="Times New Roman"/>
                <w:sz w:val="20"/>
                <w:lang w:val="fr-FR" w:eastAsia="en-GB" w:bidi="he-IL"/>
              </w:rPr>
              <w:t xml:space="preserve"> </w:t>
            </w:r>
            <w:r w:rsidRPr="00C06EAB">
              <w:rPr>
                <w:rFonts w:cs="Times New Roman"/>
                <w:sz w:val="20"/>
                <w:szCs w:val="22"/>
                <w:lang w:val="fr-FR" w:eastAsia="en-GB" w:bidi="he-IL"/>
              </w:rPr>
              <w:t>(6.38-120.5)</w:t>
            </w:r>
          </w:p>
        </w:tc>
        <w:tc>
          <w:tcPr>
            <w:tcW w:w="1701" w:type="dxa"/>
            <w:tcBorders>
              <w:left w:val="single" w:sz="2" w:space="0" w:color="FFFFFF" w:themeColor="background1"/>
              <w:right w:val="single" w:sz="2" w:space="0" w:color="FFFFFF" w:themeColor="background1"/>
            </w:tcBorders>
          </w:tcPr>
          <w:p w14:paraId="050B43CB" w14:textId="2FEC9BB3" w:rsidR="000E5211" w:rsidRPr="00C06EAB" w:rsidRDefault="000E5211" w:rsidP="008813B3">
            <w:pPr>
              <w:spacing w:line="480" w:lineRule="auto"/>
              <w:jc w:val="center"/>
              <w:rPr>
                <w:sz w:val="20"/>
              </w:rPr>
            </w:pPr>
            <w:r w:rsidRPr="00C06EAB">
              <w:rPr>
                <w:rFonts w:cs="Times New Roman"/>
                <w:sz w:val="20"/>
                <w:szCs w:val="22"/>
                <w:lang w:val="fr-FR" w:eastAsia="en-GB" w:bidi="he-IL"/>
              </w:rPr>
              <w:t>2108.2</w:t>
            </w:r>
          </w:p>
        </w:tc>
        <w:tc>
          <w:tcPr>
            <w:tcW w:w="1843" w:type="dxa"/>
            <w:tcBorders>
              <w:left w:val="single" w:sz="2" w:space="0" w:color="FFFFFF" w:themeColor="background1"/>
              <w:right w:val="single" w:sz="2" w:space="0" w:color="FFFFFF" w:themeColor="background1"/>
            </w:tcBorders>
          </w:tcPr>
          <w:p w14:paraId="1C3483F0" w14:textId="231DF3A0" w:rsidR="000E5211" w:rsidRPr="00C06EAB" w:rsidRDefault="000E5211" w:rsidP="008813B3">
            <w:pPr>
              <w:spacing w:line="480" w:lineRule="auto"/>
              <w:jc w:val="center"/>
              <w:rPr>
                <w:sz w:val="20"/>
              </w:rPr>
            </w:pPr>
            <w:r w:rsidRPr="00C06EAB">
              <w:rPr>
                <w:rFonts w:cs="Times New Roman"/>
                <w:sz w:val="20"/>
                <w:szCs w:val="22"/>
                <w:lang w:val="fr-FR" w:eastAsia="en-GB" w:bidi="he-IL"/>
              </w:rPr>
              <w:t>1276.0</w:t>
            </w:r>
          </w:p>
        </w:tc>
        <w:tc>
          <w:tcPr>
            <w:tcW w:w="2268" w:type="dxa"/>
            <w:tcBorders>
              <w:left w:val="single" w:sz="2" w:space="0" w:color="FFFFFF" w:themeColor="background1"/>
              <w:right w:val="single" w:sz="2" w:space="0" w:color="FFFFFF" w:themeColor="background1"/>
            </w:tcBorders>
          </w:tcPr>
          <w:p w14:paraId="25B642B7" w14:textId="3E093748" w:rsidR="000E5211" w:rsidRPr="00543D3A" w:rsidRDefault="000E5211" w:rsidP="008813B3">
            <w:pPr>
              <w:spacing w:line="480" w:lineRule="auto"/>
              <w:jc w:val="center"/>
              <w:rPr>
                <w:sz w:val="20"/>
              </w:rPr>
            </w:pPr>
            <w:r w:rsidRPr="00543D3A">
              <w:rPr>
                <w:rFonts w:cs="Times New Roman"/>
                <w:sz w:val="20"/>
                <w:szCs w:val="22"/>
                <w:lang w:val="fr-FR" w:eastAsia="en-GB" w:bidi="he-IL"/>
              </w:rPr>
              <w:t>3</w:t>
            </w:r>
            <w:r w:rsidR="00E67632" w:rsidRPr="00543D3A">
              <w:rPr>
                <w:rFonts w:cs="Times New Roman"/>
                <w:sz w:val="20"/>
                <w:szCs w:val="22"/>
                <w:lang w:val="fr-FR" w:eastAsia="en-GB" w:bidi="he-IL"/>
              </w:rPr>
              <w:t>9.5</w:t>
            </w:r>
          </w:p>
        </w:tc>
        <w:tc>
          <w:tcPr>
            <w:tcW w:w="2410" w:type="dxa"/>
            <w:tcBorders>
              <w:left w:val="single" w:sz="2" w:space="0" w:color="FFFFFF" w:themeColor="background1"/>
              <w:right w:val="single" w:sz="2" w:space="0" w:color="FFFFFF" w:themeColor="background1"/>
            </w:tcBorders>
          </w:tcPr>
          <w:p w14:paraId="5C2A269E" w14:textId="69B2B434" w:rsidR="000E5211" w:rsidRPr="00C06EAB" w:rsidRDefault="000E5211" w:rsidP="008813B3">
            <w:pPr>
              <w:spacing w:line="480" w:lineRule="auto"/>
              <w:jc w:val="center"/>
              <w:rPr>
                <w:sz w:val="20"/>
              </w:rPr>
            </w:pPr>
            <w:r w:rsidRPr="00C06EAB">
              <w:rPr>
                <w:rFonts w:cs="Times New Roman"/>
                <w:sz w:val="20"/>
                <w:szCs w:val="22"/>
                <w:lang w:val="fr-FR" w:eastAsia="en-GB" w:bidi="he-IL"/>
              </w:rPr>
              <w:t>7.36</w:t>
            </w:r>
          </w:p>
        </w:tc>
      </w:tr>
      <w:tr w:rsidR="008805A2" w14:paraId="73522CDC" w14:textId="77777777" w:rsidTr="008813B3">
        <w:trPr>
          <w:jc w:val="center"/>
        </w:trPr>
        <w:tc>
          <w:tcPr>
            <w:tcW w:w="2972" w:type="dxa"/>
            <w:tcBorders>
              <w:left w:val="single" w:sz="2" w:space="0" w:color="FFFFFF" w:themeColor="background1"/>
              <w:right w:val="single" w:sz="2" w:space="0" w:color="FFFFFF" w:themeColor="background1"/>
            </w:tcBorders>
          </w:tcPr>
          <w:p w14:paraId="7DB07528" w14:textId="07B820A3" w:rsidR="000E5211" w:rsidRPr="00C06EAB" w:rsidRDefault="000E5211" w:rsidP="008813B3">
            <w:pPr>
              <w:spacing w:line="480" w:lineRule="auto"/>
              <w:jc w:val="left"/>
              <w:rPr>
                <w:sz w:val="20"/>
              </w:rPr>
            </w:pPr>
            <w:r w:rsidRPr="00C06EAB">
              <w:rPr>
                <w:rFonts w:cs="Times New Roman"/>
                <w:sz w:val="20"/>
                <w:szCs w:val="22"/>
                <w:lang w:val="en-US" w:eastAsia="en-GB" w:bidi="he-IL"/>
              </w:rPr>
              <w:t xml:space="preserve">Incentive Payment Areas </w:t>
            </w:r>
          </w:p>
        </w:tc>
        <w:tc>
          <w:tcPr>
            <w:tcW w:w="2268" w:type="dxa"/>
            <w:tcBorders>
              <w:left w:val="single" w:sz="2" w:space="0" w:color="FFFFFF" w:themeColor="background1"/>
              <w:right w:val="single" w:sz="2" w:space="0" w:color="FFFFFF" w:themeColor="background1"/>
            </w:tcBorders>
          </w:tcPr>
          <w:p w14:paraId="758B73F8" w14:textId="489F00FA" w:rsidR="000E5211" w:rsidRPr="00C06EAB" w:rsidRDefault="000E5211" w:rsidP="008813B3">
            <w:pPr>
              <w:spacing w:line="480" w:lineRule="auto"/>
              <w:jc w:val="center"/>
              <w:rPr>
                <w:sz w:val="20"/>
              </w:rPr>
            </w:pPr>
            <w:r>
              <w:rPr>
                <w:rFonts w:cs="Times New Roman"/>
                <w:sz w:val="20"/>
                <w:lang w:eastAsia="en-GB" w:bidi="he-IL"/>
              </w:rPr>
              <w:t>0.02</w:t>
            </w:r>
            <w:r w:rsidR="00ED34A2">
              <w:rPr>
                <w:rFonts w:cs="Times New Roman"/>
                <w:sz w:val="20"/>
                <w:lang w:eastAsia="en-GB" w:bidi="he-IL"/>
              </w:rPr>
              <w:t xml:space="preserve"> </w:t>
            </w:r>
            <w:r w:rsidRPr="00C06EAB">
              <w:rPr>
                <w:rFonts w:cs="Times New Roman"/>
                <w:sz w:val="20"/>
                <w:szCs w:val="22"/>
                <w:lang w:eastAsia="en-GB" w:bidi="he-IL"/>
              </w:rPr>
              <w:t>(&lt;0.01-220.1)</w:t>
            </w:r>
          </w:p>
        </w:tc>
        <w:tc>
          <w:tcPr>
            <w:tcW w:w="1701" w:type="dxa"/>
            <w:tcBorders>
              <w:left w:val="single" w:sz="2" w:space="0" w:color="FFFFFF" w:themeColor="background1"/>
              <w:right w:val="single" w:sz="2" w:space="0" w:color="FFFFFF" w:themeColor="background1"/>
            </w:tcBorders>
          </w:tcPr>
          <w:p w14:paraId="01ECD56D" w14:textId="580869D2" w:rsidR="000E5211" w:rsidRPr="00C06EAB" w:rsidRDefault="000E5211" w:rsidP="008813B3">
            <w:pPr>
              <w:spacing w:line="480" w:lineRule="auto"/>
              <w:jc w:val="center"/>
              <w:rPr>
                <w:sz w:val="20"/>
              </w:rPr>
            </w:pPr>
            <w:r w:rsidRPr="00C06EAB">
              <w:rPr>
                <w:rFonts w:cs="Times New Roman"/>
                <w:sz w:val="20"/>
                <w:szCs w:val="22"/>
                <w:lang w:eastAsia="en-GB" w:bidi="he-IL"/>
              </w:rPr>
              <w:t>22961.0</w:t>
            </w:r>
          </w:p>
        </w:tc>
        <w:tc>
          <w:tcPr>
            <w:tcW w:w="1843" w:type="dxa"/>
            <w:tcBorders>
              <w:left w:val="single" w:sz="2" w:space="0" w:color="FFFFFF" w:themeColor="background1"/>
              <w:right w:val="single" w:sz="2" w:space="0" w:color="FFFFFF" w:themeColor="background1"/>
            </w:tcBorders>
          </w:tcPr>
          <w:p w14:paraId="75C47276" w14:textId="55D06FEF" w:rsidR="000E5211" w:rsidRPr="00C06EAB" w:rsidRDefault="000E5211" w:rsidP="008813B3">
            <w:pPr>
              <w:spacing w:line="480" w:lineRule="auto"/>
              <w:jc w:val="center"/>
              <w:rPr>
                <w:sz w:val="20"/>
              </w:rPr>
            </w:pPr>
            <w:r w:rsidRPr="00C06EAB">
              <w:rPr>
                <w:rFonts w:cs="Times New Roman"/>
                <w:sz w:val="20"/>
                <w:szCs w:val="22"/>
                <w:lang w:eastAsia="en-GB" w:bidi="he-IL"/>
              </w:rPr>
              <w:t>17085.6</w:t>
            </w:r>
          </w:p>
        </w:tc>
        <w:tc>
          <w:tcPr>
            <w:tcW w:w="2268" w:type="dxa"/>
            <w:tcBorders>
              <w:left w:val="single" w:sz="2" w:space="0" w:color="FFFFFF" w:themeColor="background1"/>
              <w:right w:val="single" w:sz="2" w:space="0" w:color="FFFFFF" w:themeColor="background1"/>
            </w:tcBorders>
          </w:tcPr>
          <w:p w14:paraId="0C681E18" w14:textId="28F82FD5" w:rsidR="000E5211" w:rsidRPr="00543D3A" w:rsidRDefault="00E67632" w:rsidP="008813B3">
            <w:pPr>
              <w:spacing w:line="480" w:lineRule="auto"/>
              <w:jc w:val="center"/>
              <w:rPr>
                <w:sz w:val="20"/>
              </w:rPr>
            </w:pPr>
            <w:r w:rsidRPr="00543D3A">
              <w:rPr>
                <w:rFonts w:cs="Times New Roman"/>
                <w:sz w:val="20"/>
                <w:szCs w:val="22"/>
                <w:lang w:eastAsia="en-GB" w:bidi="he-IL"/>
              </w:rPr>
              <w:t>25.6</w:t>
            </w:r>
          </w:p>
        </w:tc>
        <w:tc>
          <w:tcPr>
            <w:tcW w:w="2410" w:type="dxa"/>
            <w:tcBorders>
              <w:left w:val="single" w:sz="2" w:space="0" w:color="FFFFFF" w:themeColor="background1"/>
              <w:right w:val="single" w:sz="2" w:space="0" w:color="FFFFFF" w:themeColor="background1"/>
            </w:tcBorders>
          </w:tcPr>
          <w:p w14:paraId="115747A1" w14:textId="4AACBD48" w:rsidR="000E5211" w:rsidRPr="00C06EAB" w:rsidRDefault="000E5211" w:rsidP="008813B3">
            <w:pPr>
              <w:spacing w:line="480" w:lineRule="auto"/>
              <w:jc w:val="center"/>
              <w:rPr>
                <w:sz w:val="20"/>
              </w:rPr>
            </w:pPr>
            <w:r w:rsidRPr="00C06EAB">
              <w:rPr>
                <w:rFonts w:cs="Times New Roman"/>
                <w:sz w:val="20"/>
                <w:szCs w:val="22"/>
                <w:lang w:eastAsia="en-GB" w:bidi="he-IL"/>
              </w:rPr>
              <w:t>20.45</w:t>
            </w:r>
          </w:p>
        </w:tc>
      </w:tr>
      <w:tr w:rsidR="008805A2" w14:paraId="6CC6B921" w14:textId="77777777" w:rsidTr="008813B3">
        <w:trPr>
          <w:jc w:val="center"/>
        </w:trPr>
        <w:tc>
          <w:tcPr>
            <w:tcW w:w="2972" w:type="dxa"/>
            <w:tcBorders>
              <w:left w:val="single" w:sz="2" w:space="0" w:color="FFFFFF" w:themeColor="background1"/>
              <w:bottom w:val="single" w:sz="4" w:space="0" w:color="auto"/>
              <w:right w:val="single" w:sz="2" w:space="0" w:color="FFFFFF" w:themeColor="background1"/>
            </w:tcBorders>
          </w:tcPr>
          <w:p w14:paraId="0B43476A" w14:textId="68E4AA6A" w:rsidR="000E5211" w:rsidRPr="00C06EAB" w:rsidRDefault="000E5211" w:rsidP="008813B3">
            <w:pPr>
              <w:spacing w:line="480" w:lineRule="auto"/>
              <w:jc w:val="left"/>
              <w:rPr>
                <w:sz w:val="20"/>
              </w:rPr>
            </w:pPr>
            <w:r w:rsidRPr="00C06EAB">
              <w:rPr>
                <w:rFonts w:cs="Times New Roman"/>
                <w:sz w:val="20"/>
                <w:szCs w:val="22"/>
                <w:lang w:val="en-US" w:eastAsia="en-GB" w:bidi="he-IL"/>
              </w:rPr>
              <w:t>Type 2 Large Conservation Areas</w:t>
            </w:r>
            <w:r w:rsidRPr="00C06EAB" w:rsidDel="005765EA">
              <w:rPr>
                <w:rFonts w:cs="Times New Roman"/>
                <w:sz w:val="20"/>
                <w:szCs w:val="22"/>
                <w:lang w:val="en-US" w:eastAsia="en-GB" w:bidi="he-IL"/>
              </w:rPr>
              <w:t xml:space="preserve"> </w:t>
            </w:r>
          </w:p>
        </w:tc>
        <w:tc>
          <w:tcPr>
            <w:tcW w:w="2268" w:type="dxa"/>
            <w:tcBorders>
              <w:left w:val="single" w:sz="2" w:space="0" w:color="FFFFFF" w:themeColor="background1"/>
              <w:bottom w:val="single" w:sz="4" w:space="0" w:color="auto"/>
              <w:right w:val="single" w:sz="2" w:space="0" w:color="FFFFFF" w:themeColor="background1"/>
            </w:tcBorders>
          </w:tcPr>
          <w:p w14:paraId="2F175D3D" w14:textId="5AC584D8" w:rsidR="000E5211" w:rsidRPr="00C06EAB" w:rsidRDefault="000E5211" w:rsidP="008813B3">
            <w:pPr>
              <w:spacing w:line="480" w:lineRule="auto"/>
              <w:jc w:val="center"/>
              <w:rPr>
                <w:sz w:val="20"/>
              </w:rPr>
            </w:pPr>
            <w:r>
              <w:rPr>
                <w:rFonts w:cs="Times New Roman"/>
                <w:sz w:val="20"/>
                <w:lang w:eastAsia="en-GB" w:bidi="he-IL"/>
              </w:rPr>
              <w:t>156.36</w:t>
            </w:r>
            <w:r w:rsidR="00ED34A2">
              <w:rPr>
                <w:rFonts w:cs="Times New Roman"/>
                <w:sz w:val="20"/>
                <w:lang w:eastAsia="en-GB" w:bidi="he-IL"/>
              </w:rPr>
              <w:t xml:space="preserve"> </w:t>
            </w:r>
            <w:r w:rsidRPr="00C06EAB">
              <w:rPr>
                <w:rFonts w:cs="Times New Roman"/>
                <w:sz w:val="20"/>
                <w:szCs w:val="22"/>
                <w:lang w:eastAsia="en-GB" w:bidi="he-IL"/>
              </w:rPr>
              <w:t>(9.25-5381.4)</w:t>
            </w:r>
          </w:p>
        </w:tc>
        <w:tc>
          <w:tcPr>
            <w:tcW w:w="1701" w:type="dxa"/>
            <w:tcBorders>
              <w:left w:val="single" w:sz="2" w:space="0" w:color="FFFFFF" w:themeColor="background1"/>
              <w:bottom w:val="single" w:sz="4" w:space="0" w:color="auto"/>
              <w:right w:val="single" w:sz="2" w:space="0" w:color="FFFFFF" w:themeColor="background1"/>
            </w:tcBorders>
          </w:tcPr>
          <w:p w14:paraId="2E60BBB0" w14:textId="19EB638A" w:rsidR="000E5211" w:rsidRPr="00C06EAB" w:rsidRDefault="000E5211" w:rsidP="008813B3">
            <w:pPr>
              <w:spacing w:line="480" w:lineRule="auto"/>
              <w:jc w:val="center"/>
              <w:rPr>
                <w:sz w:val="20"/>
              </w:rPr>
            </w:pPr>
            <w:r w:rsidRPr="00C06EAB">
              <w:rPr>
                <w:rFonts w:cs="Times New Roman"/>
                <w:sz w:val="20"/>
                <w:szCs w:val="22"/>
                <w:lang w:eastAsia="en-GB" w:bidi="he-IL"/>
              </w:rPr>
              <w:t>112248.9</w:t>
            </w:r>
          </w:p>
        </w:tc>
        <w:tc>
          <w:tcPr>
            <w:tcW w:w="1843" w:type="dxa"/>
            <w:tcBorders>
              <w:left w:val="single" w:sz="2" w:space="0" w:color="FFFFFF" w:themeColor="background1"/>
              <w:bottom w:val="single" w:sz="4" w:space="0" w:color="auto"/>
              <w:right w:val="single" w:sz="2" w:space="0" w:color="FFFFFF" w:themeColor="background1"/>
            </w:tcBorders>
          </w:tcPr>
          <w:p w14:paraId="500D1033" w14:textId="76566BA3" w:rsidR="000E5211" w:rsidRPr="00C06EAB" w:rsidRDefault="000E5211" w:rsidP="008813B3">
            <w:pPr>
              <w:spacing w:line="480" w:lineRule="auto"/>
              <w:jc w:val="center"/>
              <w:rPr>
                <w:sz w:val="20"/>
              </w:rPr>
            </w:pPr>
            <w:r w:rsidRPr="00C06EAB">
              <w:rPr>
                <w:rFonts w:cs="Times New Roman"/>
                <w:sz w:val="20"/>
                <w:szCs w:val="22"/>
                <w:lang w:eastAsia="en-GB" w:bidi="he-IL"/>
              </w:rPr>
              <w:t>56429.2</w:t>
            </w:r>
          </w:p>
        </w:tc>
        <w:tc>
          <w:tcPr>
            <w:tcW w:w="2268" w:type="dxa"/>
            <w:tcBorders>
              <w:left w:val="single" w:sz="2" w:space="0" w:color="FFFFFF" w:themeColor="background1"/>
              <w:bottom w:val="single" w:sz="4" w:space="0" w:color="auto"/>
              <w:right w:val="single" w:sz="2" w:space="0" w:color="FFFFFF" w:themeColor="background1"/>
            </w:tcBorders>
          </w:tcPr>
          <w:p w14:paraId="20335663" w14:textId="0B6B6629" w:rsidR="000E5211" w:rsidRPr="00543D3A" w:rsidRDefault="00E67632" w:rsidP="008813B3">
            <w:pPr>
              <w:spacing w:line="480" w:lineRule="auto"/>
              <w:jc w:val="center"/>
              <w:rPr>
                <w:sz w:val="20"/>
              </w:rPr>
            </w:pPr>
            <w:r w:rsidRPr="00543D3A">
              <w:rPr>
                <w:rFonts w:cs="Times New Roman"/>
                <w:sz w:val="20"/>
                <w:szCs w:val="22"/>
                <w:lang w:eastAsia="en-GB" w:bidi="he-IL"/>
              </w:rPr>
              <w:t>49.7</w:t>
            </w:r>
          </w:p>
        </w:tc>
        <w:tc>
          <w:tcPr>
            <w:tcW w:w="2410" w:type="dxa"/>
            <w:tcBorders>
              <w:left w:val="single" w:sz="2" w:space="0" w:color="FFFFFF" w:themeColor="background1"/>
              <w:right w:val="single" w:sz="2" w:space="0" w:color="FFFFFF" w:themeColor="background1"/>
            </w:tcBorders>
          </w:tcPr>
          <w:p w14:paraId="6C85CFFB" w14:textId="114C5B97" w:rsidR="000E5211" w:rsidRPr="00C06EAB" w:rsidRDefault="000E5211" w:rsidP="008813B3">
            <w:pPr>
              <w:spacing w:line="480" w:lineRule="auto"/>
              <w:jc w:val="center"/>
              <w:rPr>
                <w:sz w:val="20"/>
              </w:rPr>
            </w:pPr>
            <w:r w:rsidRPr="00C06EAB">
              <w:rPr>
                <w:rFonts w:cs="Times New Roman"/>
                <w:sz w:val="20"/>
                <w:szCs w:val="22"/>
                <w:lang w:eastAsia="en-GB" w:bidi="he-IL"/>
              </w:rPr>
              <w:t>63.71</w:t>
            </w:r>
          </w:p>
        </w:tc>
      </w:tr>
    </w:tbl>
    <w:p w14:paraId="17865193" w14:textId="77777777" w:rsidR="00543D3A" w:rsidRPr="00543D3A" w:rsidRDefault="00543D3A" w:rsidP="0077041F">
      <w:pPr>
        <w:rPr>
          <w:szCs w:val="24"/>
        </w:rPr>
      </w:pPr>
    </w:p>
    <w:p w14:paraId="744A01BE" w14:textId="7E7D0E11" w:rsidR="00642653" w:rsidRPr="00AB118E" w:rsidRDefault="00642653" w:rsidP="00ED34A2">
      <w:pPr>
        <w:spacing w:line="240" w:lineRule="auto"/>
        <w:rPr>
          <w:szCs w:val="24"/>
          <w:rtl/>
          <w:lang w:bidi="he-IL"/>
        </w:rPr>
      </w:pPr>
    </w:p>
    <w:sectPr w:rsidR="00642653" w:rsidRPr="00AB118E" w:rsidSect="00ED34A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FCF1C" w14:textId="77777777" w:rsidR="000E5633" w:rsidRDefault="000E5633" w:rsidP="008E37CC">
      <w:pPr>
        <w:spacing w:line="240" w:lineRule="auto"/>
      </w:pPr>
      <w:r>
        <w:separator/>
      </w:r>
    </w:p>
  </w:endnote>
  <w:endnote w:type="continuationSeparator" w:id="0">
    <w:p w14:paraId="0FEED8E9" w14:textId="77777777" w:rsidR="000E5633" w:rsidRDefault="000E5633" w:rsidP="008E3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PSFT-L">
    <w:altName w:val="Arial"/>
    <w:panose1 w:val="00000000000000000000"/>
    <w:charset w:val="00"/>
    <w:family w:val="swiss"/>
    <w:notTrueType/>
    <w:pitch w:val="default"/>
    <w:sig w:usb0="00000003" w:usb1="00000000" w:usb2="00000000" w:usb3="00000000" w:csb0="00000001" w:csb1="00000000"/>
  </w:font>
  <w:font w:name="Megano">
    <w:altName w:val="Megano"/>
    <w:panose1 w:val="00000000000000000000"/>
    <w:charset w:val="00"/>
    <w:family w:val="swiss"/>
    <w:notTrueType/>
    <w:pitch w:val="default"/>
    <w:sig w:usb0="00000003" w:usb1="00000000" w:usb2="00000000" w:usb3="00000000" w:csb0="00000001" w:csb1="00000000"/>
  </w:font>
  <w:font w:name="AdvBerling-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460962"/>
      <w:docPartObj>
        <w:docPartGallery w:val="Page Numbers (Bottom of Page)"/>
        <w:docPartUnique/>
      </w:docPartObj>
    </w:sdtPr>
    <w:sdtEndPr>
      <w:rPr>
        <w:noProof/>
      </w:rPr>
    </w:sdtEndPr>
    <w:sdtContent>
      <w:p w14:paraId="632582B2" w14:textId="4910D0A9" w:rsidR="00A47BF7" w:rsidRDefault="00A47BF7">
        <w:pPr>
          <w:pStyle w:val="Footer"/>
          <w:jc w:val="right"/>
        </w:pPr>
        <w:r>
          <w:fldChar w:fldCharType="begin"/>
        </w:r>
        <w:r>
          <w:instrText xml:space="preserve"> PAGE   \* MERGEFORMAT </w:instrText>
        </w:r>
        <w:r>
          <w:fldChar w:fldCharType="separate"/>
        </w:r>
        <w:r w:rsidR="00223FC4">
          <w:rPr>
            <w:noProof/>
          </w:rPr>
          <w:t>2</w:t>
        </w:r>
        <w:r>
          <w:rPr>
            <w:noProof/>
          </w:rPr>
          <w:fldChar w:fldCharType="end"/>
        </w:r>
      </w:p>
    </w:sdtContent>
  </w:sdt>
  <w:p w14:paraId="7B543954" w14:textId="77777777" w:rsidR="00A47BF7" w:rsidRDefault="00A4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878E6" w14:textId="77777777" w:rsidR="000E5633" w:rsidRDefault="000E5633" w:rsidP="008E37CC">
      <w:pPr>
        <w:spacing w:line="240" w:lineRule="auto"/>
      </w:pPr>
      <w:r>
        <w:separator/>
      </w:r>
    </w:p>
  </w:footnote>
  <w:footnote w:type="continuationSeparator" w:id="0">
    <w:p w14:paraId="44D32E84" w14:textId="77777777" w:rsidR="000E5633" w:rsidRDefault="000E5633" w:rsidP="008E37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7170"/>
    <w:multiLevelType w:val="hybridMultilevel"/>
    <w:tmpl w:val="50DA3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E86FFD"/>
    <w:multiLevelType w:val="hybridMultilevel"/>
    <w:tmpl w:val="BD9E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34288"/>
    <w:multiLevelType w:val="hybridMultilevel"/>
    <w:tmpl w:val="4FB2D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0F0BCA"/>
    <w:multiLevelType w:val="hybridMultilevel"/>
    <w:tmpl w:val="241CB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D52166"/>
    <w:multiLevelType w:val="hybridMultilevel"/>
    <w:tmpl w:val="191805C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5">
    <w:nsid w:val="11256D0F"/>
    <w:multiLevelType w:val="hybridMultilevel"/>
    <w:tmpl w:val="8876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A02C2"/>
    <w:multiLevelType w:val="hybridMultilevel"/>
    <w:tmpl w:val="A12E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97357"/>
    <w:multiLevelType w:val="hybridMultilevel"/>
    <w:tmpl w:val="37040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463FC"/>
    <w:multiLevelType w:val="multilevel"/>
    <w:tmpl w:val="0192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842EA"/>
    <w:multiLevelType w:val="hybridMultilevel"/>
    <w:tmpl w:val="807EF1A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AD12A7C"/>
    <w:multiLevelType w:val="hybridMultilevel"/>
    <w:tmpl w:val="6AFA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66514"/>
    <w:multiLevelType w:val="hybridMultilevel"/>
    <w:tmpl w:val="F24CD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F7D18"/>
    <w:multiLevelType w:val="hybridMultilevel"/>
    <w:tmpl w:val="679A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434574"/>
    <w:multiLevelType w:val="hybridMultilevel"/>
    <w:tmpl w:val="88BE59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257AD2"/>
    <w:multiLevelType w:val="hybridMultilevel"/>
    <w:tmpl w:val="69C0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624A0"/>
    <w:multiLevelType w:val="hybridMultilevel"/>
    <w:tmpl w:val="B2389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152878"/>
    <w:multiLevelType w:val="hybridMultilevel"/>
    <w:tmpl w:val="7934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03921"/>
    <w:multiLevelType w:val="hybridMultilevel"/>
    <w:tmpl w:val="C6309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E84487"/>
    <w:multiLevelType w:val="multilevel"/>
    <w:tmpl w:val="7528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8"/>
  </w:num>
  <w:num w:numId="4">
    <w:abstractNumId w:val="4"/>
  </w:num>
  <w:num w:numId="5">
    <w:abstractNumId w:val="5"/>
  </w:num>
  <w:num w:numId="6">
    <w:abstractNumId w:val="1"/>
  </w:num>
  <w:num w:numId="7">
    <w:abstractNumId w:val="12"/>
  </w:num>
  <w:num w:numId="8">
    <w:abstractNumId w:val="14"/>
  </w:num>
  <w:num w:numId="9">
    <w:abstractNumId w:val="11"/>
  </w:num>
  <w:num w:numId="10">
    <w:abstractNumId w:val="10"/>
  </w:num>
  <w:num w:numId="11">
    <w:abstractNumId w:val="17"/>
  </w:num>
  <w:num w:numId="12">
    <w:abstractNumId w:val="6"/>
  </w:num>
  <w:num w:numId="13">
    <w:abstractNumId w:val="0"/>
  </w:num>
  <w:num w:numId="14">
    <w:abstractNumId w:val="16"/>
  </w:num>
  <w:num w:numId="15">
    <w:abstractNumId w:val="2"/>
  </w:num>
  <w:num w:numId="16">
    <w:abstractNumId w:val="13"/>
  </w:num>
  <w:num w:numId="17">
    <w:abstractNumId w:val="7"/>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E7"/>
    <w:rsid w:val="000015A8"/>
    <w:rsid w:val="000016CA"/>
    <w:rsid w:val="00001AFD"/>
    <w:rsid w:val="00001E53"/>
    <w:rsid w:val="000031D6"/>
    <w:rsid w:val="00003704"/>
    <w:rsid w:val="0000383D"/>
    <w:rsid w:val="0000586D"/>
    <w:rsid w:val="0000612D"/>
    <w:rsid w:val="00006940"/>
    <w:rsid w:val="00006F87"/>
    <w:rsid w:val="00007695"/>
    <w:rsid w:val="00007D71"/>
    <w:rsid w:val="000111E9"/>
    <w:rsid w:val="0001134A"/>
    <w:rsid w:val="0001244B"/>
    <w:rsid w:val="000139EE"/>
    <w:rsid w:val="00014ADA"/>
    <w:rsid w:val="00014E92"/>
    <w:rsid w:val="00015337"/>
    <w:rsid w:val="00015D8B"/>
    <w:rsid w:val="00015E5E"/>
    <w:rsid w:val="00016397"/>
    <w:rsid w:val="0001695A"/>
    <w:rsid w:val="00017053"/>
    <w:rsid w:val="000174E0"/>
    <w:rsid w:val="00021909"/>
    <w:rsid w:val="00021BF8"/>
    <w:rsid w:val="00022050"/>
    <w:rsid w:val="0002387B"/>
    <w:rsid w:val="0002397D"/>
    <w:rsid w:val="000244BD"/>
    <w:rsid w:val="000250CA"/>
    <w:rsid w:val="000272A8"/>
    <w:rsid w:val="0003088E"/>
    <w:rsid w:val="0003136F"/>
    <w:rsid w:val="00031BE9"/>
    <w:rsid w:val="00032606"/>
    <w:rsid w:val="000331F1"/>
    <w:rsid w:val="00033D30"/>
    <w:rsid w:val="000353D2"/>
    <w:rsid w:val="00040482"/>
    <w:rsid w:val="00041217"/>
    <w:rsid w:val="00042A6D"/>
    <w:rsid w:val="00042CE9"/>
    <w:rsid w:val="00043AAD"/>
    <w:rsid w:val="00044992"/>
    <w:rsid w:val="00047996"/>
    <w:rsid w:val="00050A67"/>
    <w:rsid w:val="00050C34"/>
    <w:rsid w:val="00050EB4"/>
    <w:rsid w:val="0005299B"/>
    <w:rsid w:val="000531F8"/>
    <w:rsid w:val="00053604"/>
    <w:rsid w:val="00054FB3"/>
    <w:rsid w:val="000553C6"/>
    <w:rsid w:val="00057E16"/>
    <w:rsid w:val="00057E87"/>
    <w:rsid w:val="00060420"/>
    <w:rsid w:val="00060679"/>
    <w:rsid w:val="00062017"/>
    <w:rsid w:val="0006254A"/>
    <w:rsid w:val="00062817"/>
    <w:rsid w:val="00063121"/>
    <w:rsid w:val="00063593"/>
    <w:rsid w:val="000642BB"/>
    <w:rsid w:val="000651BC"/>
    <w:rsid w:val="00065642"/>
    <w:rsid w:val="0007111F"/>
    <w:rsid w:val="0007138F"/>
    <w:rsid w:val="000714BE"/>
    <w:rsid w:val="00072E47"/>
    <w:rsid w:val="00073685"/>
    <w:rsid w:val="000743CA"/>
    <w:rsid w:val="000762D0"/>
    <w:rsid w:val="00076E15"/>
    <w:rsid w:val="00080B83"/>
    <w:rsid w:val="0008291C"/>
    <w:rsid w:val="000829CA"/>
    <w:rsid w:val="00082AB0"/>
    <w:rsid w:val="00082DDB"/>
    <w:rsid w:val="000900AE"/>
    <w:rsid w:val="00091144"/>
    <w:rsid w:val="000911D9"/>
    <w:rsid w:val="000912DD"/>
    <w:rsid w:val="00092662"/>
    <w:rsid w:val="0009356A"/>
    <w:rsid w:val="000938D4"/>
    <w:rsid w:val="0009463E"/>
    <w:rsid w:val="00095718"/>
    <w:rsid w:val="00095AF5"/>
    <w:rsid w:val="00095D95"/>
    <w:rsid w:val="00095F6D"/>
    <w:rsid w:val="000972F8"/>
    <w:rsid w:val="000A0A02"/>
    <w:rsid w:val="000A0C9B"/>
    <w:rsid w:val="000A152B"/>
    <w:rsid w:val="000A22E0"/>
    <w:rsid w:val="000A3481"/>
    <w:rsid w:val="000A50E8"/>
    <w:rsid w:val="000B1B5A"/>
    <w:rsid w:val="000B7393"/>
    <w:rsid w:val="000C059A"/>
    <w:rsid w:val="000C104C"/>
    <w:rsid w:val="000C233D"/>
    <w:rsid w:val="000C452E"/>
    <w:rsid w:val="000C514D"/>
    <w:rsid w:val="000C5266"/>
    <w:rsid w:val="000C5633"/>
    <w:rsid w:val="000C672A"/>
    <w:rsid w:val="000C70EF"/>
    <w:rsid w:val="000C79A7"/>
    <w:rsid w:val="000D0A1B"/>
    <w:rsid w:val="000D1852"/>
    <w:rsid w:val="000D3ABC"/>
    <w:rsid w:val="000D50E2"/>
    <w:rsid w:val="000D5723"/>
    <w:rsid w:val="000D6ED2"/>
    <w:rsid w:val="000E1610"/>
    <w:rsid w:val="000E1C3D"/>
    <w:rsid w:val="000E230D"/>
    <w:rsid w:val="000E4087"/>
    <w:rsid w:val="000E42FD"/>
    <w:rsid w:val="000E44FF"/>
    <w:rsid w:val="000E4AE1"/>
    <w:rsid w:val="000E5211"/>
    <w:rsid w:val="000E5633"/>
    <w:rsid w:val="000E7E99"/>
    <w:rsid w:val="000F09F1"/>
    <w:rsid w:val="000F3114"/>
    <w:rsid w:val="000F3193"/>
    <w:rsid w:val="000F7EDB"/>
    <w:rsid w:val="00100304"/>
    <w:rsid w:val="00100EFC"/>
    <w:rsid w:val="00103702"/>
    <w:rsid w:val="00103A3B"/>
    <w:rsid w:val="0010447A"/>
    <w:rsid w:val="001049C4"/>
    <w:rsid w:val="00104ABC"/>
    <w:rsid w:val="00105D86"/>
    <w:rsid w:val="001070F9"/>
    <w:rsid w:val="00107885"/>
    <w:rsid w:val="00110893"/>
    <w:rsid w:val="00112A5E"/>
    <w:rsid w:val="00115189"/>
    <w:rsid w:val="00120185"/>
    <w:rsid w:val="00120BB3"/>
    <w:rsid w:val="00120FC3"/>
    <w:rsid w:val="00121161"/>
    <w:rsid w:val="0012236F"/>
    <w:rsid w:val="00122762"/>
    <w:rsid w:val="00123AFA"/>
    <w:rsid w:val="001264BC"/>
    <w:rsid w:val="001269BC"/>
    <w:rsid w:val="001276B1"/>
    <w:rsid w:val="00133612"/>
    <w:rsid w:val="00135560"/>
    <w:rsid w:val="00136286"/>
    <w:rsid w:val="00137A19"/>
    <w:rsid w:val="00137CBC"/>
    <w:rsid w:val="001403B3"/>
    <w:rsid w:val="00141D43"/>
    <w:rsid w:val="0014279F"/>
    <w:rsid w:val="00142FAB"/>
    <w:rsid w:val="00143C8F"/>
    <w:rsid w:val="00143EAA"/>
    <w:rsid w:val="001443F5"/>
    <w:rsid w:val="001454D6"/>
    <w:rsid w:val="00146632"/>
    <w:rsid w:val="00146E2B"/>
    <w:rsid w:val="001518C3"/>
    <w:rsid w:val="00151D79"/>
    <w:rsid w:val="00152CD8"/>
    <w:rsid w:val="00152FDC"/>
    <w:rsid w:val="001542C4"/>
    <w:rsid w:val="0015748E"/>
    <w:rsid w:val="00162490"/>
    <w:rsid w:val="001624E8"/>
    <w:rsid w:val="00162BD7"/>
    <w:rsid w:val="00164DA8"/>
    <w:rsid w:val="00165A23"/>
    <w:rsid w:val="00165DAE"/>
    <w:rsid w:val="001667F4"/>
    <w:rsid w:val="001670FA"/>
    <w:rsid w:val="00167493"/>
    <w:rsid w:val="0016760D"/>
    <w:rsid w:val="00167ACA"/>
    <w:rsid w:val="001752D5"/>
    <w:rsid w:val="00176125"/>
    <w:rsid w:val="00176382"/>
    <w:rsid w:val="001767AD"/>
    <w:rsid w:val="00177293"/>
    <w:rsid w:val="00177735"/>
    <w:rsid w:val="001777AA"/>
    <w:rsid w:val="001777AC"/>
    <w:rsid w:val="001810A7"/>
    <w:rsid w:val="00182E7D"/>
    <w:rsid w:val="001832FC"/>
    <w:rsid w:val="001837A8"/>
    <w:rsid w:val="00183CDD"/>
    <w:rsid w:val="00184613"/>
    <w:rsid w:val="00184CA7"/>
    <w:rsid w:val="00184D61"/>
    <w:rsid w:val="00186781"/>
    <w:rsid w:val="00186828"/>
    <w:rsid w:val="001870B2"/>
    <w:rsid w:val="0019115E"/>
    <w:rsid w:val="0019147B"/>
    <w:rsid w:val="00192B3F"/>
    <w:rsid w:val="001936CD"/>
    <w:rsid w:val="001945D4"/>
    <w:rsid w:val="0019562D"/>
    <w:rsid w:val="00195703"/>
    <w:rsid w:val="00195DE4"/>
    <w:rsid w:val="001965DC"/>
    <w:rsid w:val="0019705E"/>
    <w:rsid w:val="0019753D"/>
    <w:rsid w:val="00197EE1"/>
    <w:rsid w:val="001A0997"/>
    <w:rsid w:val="001A1866"/>
    <w:rsid w:val="001A1919"/>
    <w:rsid w:val="001A2918"/>
    <w:rsid w:val="001A30B0"/>
    <w:rsid w:val="001A40A4"/>
    <w:rsid w:val="001A62C9"/>
    <w:rsid w:val="001B0187"/>
    <w:rsid w:val="001B0561"/>
    <w:rsid w:val="001B3BEF"/>
    <w:rsid w:val="001B7445"/>
    <w:rsid w:val="001C098B"/>
    <w:rsid w:val="001C167E"/>
    <w:rsid w:val="001C1951"/>
    <w:rsid w:val="001C1DAC"/>
    <w:rsid w:val="001C279E"/>
    <w:rsid w:val="001C3D69"/>
    <w:rsid w:val="001C44B0"/>
    <w:rsid w:val="001C46DD"/>
    <w:rsid w:val="001C5EFA"/>
    <w:rsid w:val="001C6AD3"/>
    <w:rsid w:val="001C6DA1"/>
    <w:rsid w:val="001D0B97"/>
    <w:rsid w:val="001D0E30"/>
    <w:rsid w:val="001D23E0"/>
    <w:rsid w:val="001D3CD9"/>
    <w:rsid w:val="001D43EC"/>
    <w:rsid w:val="001D6887"/>
    <w:rsid w:val="001D6D56"/>
    <w:rsid w:val="001E05C9"/>
    <w:rsid w:val="001E41BC"/>
    <w:rsid w:val="001E42A1"/>
    <w:rsid w:val="001E454A"/>
    <w:rsid w:val="001E5959"/>
    <w:rsid w:val="001E666A"/>
    <w:rsid w:val="001F0EBD"/>
    <w:rsid w:val="001F6143"/>
    <w:rsid w:val="001F61BC"/>
    <w:rsid w:val="001F68A2"/>
    <w:rsid w:val="001F6A22"/>
    <w:rsid w:val="001F7E41"/>
    <w:rsid w:val="00201F1C"/>
    <w:rsid w:val="002028E3"/>
    <w:rsid w:val="00207237"/>
    <w:rsid w:val="002079DC"/>
    <w:rsid w:val="00207D2B"/>
    <w:rsid w:val="0021034B"/>
    <w:rsid w:val="00210D4A"/>
    <w:rsid w:val="00213E4B"/>
    <w:rsid w:val="00214CB7"/>
    <w:rsid w:val="00217AEB"/>
    <w:rsid w:val="002200DD"/>
    <w:rsid w:val="00220550"/>
    <w:rsid w:val="00220AC5"/>
    <w:rsid w:val="0022124C"/>
    <w:rsid w:val="00221E5F"/>
    <w:rsid w:val="00223F72"/>
    <w:rsid w:val="00223FC4"/>
    <w:rsid w:val="002253AF"/>
    <w:rsid w:val="00225B36"/>
    <w:rsid w:val="00225CDC"/>
    <w:rsid w:val="00226470"/>
    <w:rsid w:val="00227072"/>
    <w:rsid w:val="00227709"/>
    <w:rsid w:val="00227828"/>
    <w:rsid w:val="00231890"/>
    <w:rsid w:val="00231F7B"/>
    <w:rsid w:val="00232292"/>
    <w:rsid w:val="0023438E"/>
    <w:rsid w:val="00236A54"/>
    <w:rsid w:val="0024018C"/>
    <w:rsid w:val="00240738"/>
    <w:rsid w:val="00240D6A"/>
    <w:rsid w:val="00242ABB"/>
    <w:rsid w:val="00244454"/>
    <w:rsid w:val="0024492D"/>
    <w:rsid w:val="00244C17"/>
    <w:rsid w:val="00244DF2"/>
    <w:rsid w:val="00246896"/>
    <w:rsid w:val="002472BC"/>
    <w:rsid w:val="00247B5D"/>
    <w:rsid w:val="00252087"/>
    <w:rsid w:val="002546EF"/>
    <w:rsid w:val="00257396"/>
    <w:rsid w:val="00257843"/>
    <w:rsid w:val="00260081"/>
    <w:rsid w:val="00262141"/>
    <w:rsid w:val="0026265D"/>
    <w:rsid w:val="00262DCD"/>
    <w:rsid w:val="00264FCB"/>
    <w:rsid w:val="0026505C"/>
    <w:rsid w:val="0026514D"/>
    <w:rsid w:val="0026593C"/>
    <w:rsid w:val="00265DC9"/>
    <w:rsid w:val="0026624C"/>
    <w:rsid w:val="002672E9"/>
    <w:rsid w:val="00267439"/>
    <w:rsid w:val="00270B7A"/>
    <w:rsid w:val="0027169F"/>
    <w:rsid w:val="00271F8B"/>
    <w:rsid w:val="00274BA0"/>
    <w:rsid w:val="00275972"/>
    <w:rsid w:val="002825E0"/>
    <w:rsid w:val="002833BC"/>
    <w:rsid w:val="002838FD"/>
    <w:rsid w:val="002842F8"/>
    <w:rsid w:val="00284864"/>
    <w:rsid w:val="002873D0"/>
    <w:rsid w:val="002924D6"/>
    <w:rsid w:val="00293675"/>
    <w:rsid w:val="00294CBF"/>
    <w:rsid w:val="00295751"/>
    <w:rsid w:val="002A17E5"/>
    <w:rsid w:val="002A3A5E"/>
    <w:rsid w:val="002A4E82"/>
    <w:rsid w:val="002A6EDD"/>
    <w:rsid w:val="002A7599"/>
    <w:rsid w:val="002B1223"/>
    <w:rsid w:val="002B4273"/>
    <w:rsid w:val="002B49C2"/>
    <w:rsid w:val="002B5921"/>
    <w:rsid w:val="002B718B"/>
    <w:rsid w:val="002B7DFB"/>
    <w:rsid w:val="002B7EAB"/>
    <w:rsid w:val="002C1BB6"/>
    <w:rsid w:val="002C28C6"/>
    <w:rsid w:val="002C2FEF"/>
    <w:rsid w:val="002C4C90"/>
    <w:rsid w:val="002C6222"/>
    <w:rsid w:val="002D207B"/>
    <w:rsid w:val="002D3B9F"/>
    <w:rsid w:val="002D3D09"/>
    <w:rsid w:val="002D3F8E"/>
    <w:rsid w:val="002D5309"/>
    <w:rsid w:val="002D6077"/>
    <w:rsid w:val="002D6CCC"/>
    <w:rsid w:val="002E0B0A"/>
    <w:rsid w:val="002E2B0E"/>
    <w:rsid w:val="002E3507"/>
    <w:rsid w:val="002E451D"/>
    <w:rsid w:val="002E4D54"/>
    <w:rsid w:val="002E5C53"/>
    <w:rsid w:val="002E7007"/>
    <w:rsid w:val="002E7983"/>
    <w:rsid w:val="002E7D8F"/>
    <w:rsid w:val="002F0E4B"/>
    <w:rsid w:val="002F119F"/>
    <w:rsid w:val="002F23E5"/>
    <w:rsid w:val="002F3068"/>
    <w:rsid w:val="002F5CDF"/>
    <w:rsid w:val="002F7C13"/>
    <w:rsid w:val="00301E1D"/>
    <w:rsid w:val="00302117"/>
    <w:rsid w:val="00302ADC"/>
    <w:rsid w:val="00304986"/>
    <w:rsid w:val="00306F5B"/>
    <w:rsid w:val="00310EB6"/>
    <w:rsid w:val="00311CCB"/>
    <w:rsid w:val="00315217"/>
    <w:rsid w:val="003158A6"/>
    <w:rsid w:val="00315AFE"/>
    <w:rsid w:val="00315D9D"/>
    <w:rsid w:val="0031735C"/>
    <w:rsid w:val="003200B7"/>
    <w:rsid w:val="00320F7D"/>
    <w:rsid w:val="00321FB9"/>
    <w:rsid w:val="00322422"/>
    <w:rsid w:val="003231A3"/>
    <w:rsid w:val="00323272"/>
    <w:rsid w:val="003236C5"/>
    <w:rsid w:val="00323C87"/>
    <w:rsid w:val="003270BC"/>
    <w:rsid w:val="00327530"/>
    <w:rsid w:val="0033170B"/>
    <w:rsid w:val="00331A19"/>
    <w:rsid w:val="00331A53"/>
    <w:rsid w:val="00332CDA"/>
    <w:rsid w:val="00333FD1"/>
    <w:rsid w:val="0033527C"/>
    <w:rsid w:val="003352D0"/>
    <w:rsid w:val="00337A57"/>
    <w:rsid w:val="00337CC4"/>
    <w:rsid w:val="0034442F"/>
    <w:rsid w:val="00345513"/>
    <w:rsid w:val="0034744F"/>
    <w:rsid w:val="003500E4"/>
    <w:rsid w:val="00350AAA"/>
    <w:rsid w:val="00351111"/>
    <w:rsid w:val="00351355"/>
    <w:rsid w:val="003514D4"/>
    <w:rsid w:val="0035158F"/>
    <w:rsid w:val="003520C8"/>
    <w:rsid w:val="003521AB"/>
    <w:rsid w:val="00352262"/>
    <w:rsid w:val="003523C5"/>
    <w:rsid w:val="003534B6"/>
    <w:rsid w:val="00354F95"/>
    <w:rsid w:val="0035690B"/>
    <w:rsid w:val="0035716B"/>
    <w:rsid w:val="0035722E"/>
    <w:rsid w:val="0035788D"/>
    <w:rsid w:val="00360BF9"/>
    <w:rsid w:val="00361773"/>
    <w:rsid w:val="00363558"/>
    <w:rsid w:val="0036390A"/>
    <w:rsid w:val="0036504D"/>
    <w:rsid w:val="00366D5C"/>
    <w:rsid w:val="003676B3"/>
    <w:rsid w:val="0037110B"/>
    <w:rsid w:val="00372C05"/>
    <w:rsid w:val="00374A77"/>
    <w:rsid w:val="0037519C"/>
    <w:rsid w:val="00375D7D"/>
    <w:rsid w:val="00376838"/>
    <w:rsid w:val="00376F4F"/>
    <w:rsid w:val="00382EE7"/>
    <w:rsid w:val="0038380E"/>
    <w:rsid w:val="00384415"/>
    <w:rsid w:val="00385DFA"/>
    <w:rsid w:val="00387450"/>
    <w:rsid w:val="00387B64"/>
    <w:rsid w:val="00391301"/>
    <w:rsid w:val="00391835"/>
    <w:rsid w:val="00391ACE"/>
    <w:rsid w:val="00391C2B"/>
    <w:rsid w:val="00392A90"/>
    <w:rsid w:val="003942F1"/>
    <w:rsid w:val="00395C83"/>
    <w:rsid w:val="00395EF2"/>
    <w:rsid w:val="003964F5"/>
    <w:rsid w:val="00397DBA"/>
    <w:rsid w:val="003A038B"/>
    <w:rsid w:val="003A09AE"/>
    <w:rsid w:val="003A10A8"/>
    <w:rsid w:val="003A1836"/>
    <w:rsid w:val="003A3A5B"/>
    <w:rsid w:val="003A421C"/>
    <w:rsid w:val="003A60E6"/>
    <w:rsid w:val="003B14D8"/>
    <w:rsid w:val="003B2F1B"/>
    <w:rsid w:val="003B3FFF"/>
    <w:rsid w:val="003B4F30"/>
    <w:rsid w:val="003B5431"/>
    <w:rsid w:val="003B560B"/>
    <w:rsid w:val="003C1801"/>
    <w:rsid w:val="003C1EBC"/>
    <w:rsid w:val="003C37CE"/>
    <w:rsid w:val="003C58A7"/>
    <w:rsid w:val="003C75F5"/>
    <w:rsid w:val="003C7F5F"/>
    <w:rsid w:val="003D0253"/>
    <w:rsid w:val="003D136E"/>
    <w:rsid w:val="003D6601"/>
    <w:rsid w:val="003D6A5A"/>
    <w:rsid w:val="003D6D52"/>
    <w:rsid w:val="003D6E52"/>
    <w:rsid w:val="003D7057"/>
    <w:rsid w:val="003D7F95"/>
    <w:rsid w:val="003E09B9"/>
    <w:rsid w:val="003E09F4"/>
    <w:rsid w:val="003E2217"/>
    <w:rsid w:val="003E4039"/>
    <w:rsid w:val="003E6299"/>
    <w:rsid w:val="003E77E3"/>
    <w:rsid w:val="003E7830"/>
    <w:rsid w:val="003F24F9"/>
    <w:rsid w:val="003F3919"/>
    <w:rsid w:val="003F403F"/>
    <w:rsid w:val="003F4448"/>
    <w:rsid w:val="003F57D2"/>
    <w:rsid w:val="003F660A"/>
    <w:rsid w:val="003F6BFF"/>
    <w:rsid w:val="003F7BDC"/>
    <w:rsid w:val="003F7E83"/>
    <w:rsid w:val="0040178F"/>
    <w:rsid w:val="00401CB5"/>
    <w:rsid w:val="0040207B"/>
    <w:rsid w:val="00402281"/>
    <w:rsid w:val="004040FA"/>
    <w:rsid w:val="00404D92"/>
    <w:rsid w:val="00405271"/>
    <w:rsid w:val="0040543C"/>
    <w:rsid w:val="00405809"/>
    <w:rsid w:val="00406F18"/>
    <w:rsid w:val="00411B27"/>
    <w:rsid w:val="00411DB6"/>
    <w:rsid w:val="00413620"/>
    <w:rsid w:val="00415D1E"/>
    <w:rsid w:val="004163D7"/>
    <w:rsid w:val="00416A0A"/>
    <w:rsid w:val="00416B8C"/>
    <w:rsid w:val="00420BA6"/>
    <w:rsid w:val="0042204E"/>
    <w:rsid w:val="00424097"/>
    <w:rsid w:val="00425331"/>
    <w:rsid w:val="0042543C"/>
    <w:rsid w:val="00427E31"/>
    <w:rsid w:val="00430F8F"/>
    <w:rsid w:val="00433076"/>
    <w:rsid w:val="004334A8"/>
    <w:rsid w:val="00435D87"/>
    <w:rsid w:val="00436289"/>
    <w:rsid w:val="00441458"/>
    <w:rsid w:val="004421A4"/>
    <w:rsid w:val="00443CA2"/>
    <w:rsid w:val="004445E0"/>
    <w:rsid w:val="004447F5"/>
    <w:rsid w:val="004458DA"/>
    <w:rsid w:val="0045119D"/>
    <w:rsid w:val="004520CB"/>
    <w:rsid w:val="00452264"/>
    <w:rsid w:val="00457515"/>
    <w:rsid w:val="00457C37"/>
    <w:rsid w:val="00460C5C"/>
    <w:rsid w:val="0046278E"/>
    <w:rsid w:val="00463412"/>
    <w:rsid w:val="00463B7C"/>
    <w:rsid w:val="004645A6"/>
    <w:rsid w:val="0046657A"/>
    <w:rsid w:val="004673CD"/>
    <w:rsid w:val="0046768B"/>
    <w:rsid w:val="004679A2"/>
    <w:rsid w:val="00470D1C"/>
    <w:rsid w:val="00470E5B"/>
    <w:rsid w:val="004717E9"/>
    <w:rsid w:val="004726C6"/>
    <w:rsid w:val="00473464"/>
    <w:rsid w:val="00473968"/>
    <w:rsid w:val="00473F7C"/>
    <w:rsid w:val="004755BE"/>
    <w:rsid w:val="00477CA1"/>
    <w:rsid w:val="00477DF3"/>
    <w:rsid w:val="004819B5"/>
    <w:rsid w:val="00482492"/>
    <w:rsid w:val="00484080"/>
    <w:rsid w:val="00484B2F"/>
    <w:rsid w:val="004878E0"/>
    <w:rsid w:val="00493204"/>
    <w:rsid w:val="004978C9"/>
    <w:rsid w:val="004A1082"/>
    <w:rsid w:val="004A2044"/>
    <w:rsid w:val="004A20B1"/>
    <w:rsid w:val="004A3D7B"/>
    <w:rsid w:val="004A3F16"/>
    <w:rsid w:val="004A44F7"/>
    <w:rsid w:val="004A520B"/>
    <w:rsid w:val="004A53CE"/>
    <w:rsid w:val="004A56A0"/>
    <w:rsid w:val="004A623F"/>
    <w:rsid w:val="004A7114"/>
    <w:rsid w:val="004A7216"/>
    <w:rsid w:val="004A761A"/>
    <w:rsid w:val="004B32E9"/>
    <w:rsid w:val="004B49C9"/>
    <w:rsid w:val="004B4D1C"/>
    <w:rsid w:val="004B58CD"/>
    <w:rsid w:val="004B5E9F"/>
    <w:rsid w:val="004B62B7"/>
    <w:rsid w:val="004B6F7C"/>
    <w:rsid w:val="004C13AA"/>
    <w:rsid w:val="004C1453"/>
    <w:rsid w:val="004C182A"/>
    <w:rsid w:val="004C231F"/>
    <w:rsid w:val="004C2ACA"/>
    <w:rsid w:val="004C459D"/>
    <w:rsid w:val="004C4F63"/>
    <w:rsid w:val="004C51AD"/>
    <w:rsid w:val="004C5B96"/>
    <w:rsid w:val="004C69BE"/>
    <w:rsid w:val="004C7120"/>
    <w:rsid w:val="004C75EA"/>
    <w:rsid w:val="004D0E7A"/>
    <w:rsid w:val="004D336A"/>
    <w:rsid w:val="004D3583"/>
    <w:rsid w:val="004D36AE"/>
    <w:rsid w:val="004D3EBB"/>
    <w:rsid w:val="004D57E2"/>
    <w:rsid w:val="004D65A6"/>
    <w:rsid w:val="004E2213"/>
    <w:rsid w:val="004E28E9"/>
    <w:rsid w:val="004E38D7"/>
    <w:rsid w:val="004E3A2C"/>
    <w:rsid w:val="004E3F4F"/>
    <w:rsid w:val="004E563E"/>
    <w:rsid w:val="004E5C31"/>
    <w:rsid w:val="004E7700"/>
    <w:rsid w:val="004F2658"/>
    <w:rsid w:val="004F37B9"/>
    <w:rsid w:val="004F55A6"/>
    <w:rsid w:val="004F5E16"/>
    <w:rsid w:val="004F72C2"/>
    <w:rsid w:val="00500987"/>
    <w:rsid w:val="00502515"/>
    <w:rsid w:val="00504008"/>
    <w:rsid w:val="005043BC"/>
    <w:rsid w:val="00506766"/>
    <w:rsid w:val="00507C2A"/>
    <w:rsid w:val="00511839"/>
    <w:rsid w:val="0051394E"/>
    <w:rsid w:val="0051487B"/>
    <w:rsid w:val="00517567"/>
    <w:rsid w:val="00517E9B"/>
    <w:rsid w:val="00517FA5"/>
    <w:rsid w:val="0052040B"/>
    <w:rsid w:val="005214ED"/>
    <w:rsid w:val="0052156E"/>
    <w:rsid w:val="005221AF"/>
    <w:rsid w:val="00524AF1"/>
    <w:rsid w:val="00525410"/>
    <w:rsid w:val="0052544F"/>
    <w:rsid w:val="005254CE"/>
    <w:rsid w:val="005262B7"/>
    <w:rsid w:val="00526B62"/>
    <w:rsid w:val="00527762"/>
    <w:rsid w:val="005307BE"/>
    <w:rsid w:val="0053152D"/>
    <w:rsid w:val="00533C41"/>
    <w:rsid w:val="00533F43"/>
    <w:rsid w:val="00534A3A"/>
    <w:rsid w:val="0053592B"/>
    <w:rsid w:val="00535C09"/>
    <w:rsid w:val="0053629E"/>
    <w:rsid w:val="00542BC8"/>
    <w:rsid w:val="005435A3"/>
    <w:rsid w:val="00543D3A"/>
    <w:rsid w:val="00545E24"/>
    <w:rsid w:val="00546768"/>
    <w:rsid w:val="00546F9E"/>
    <w:rsid w:val="005470B8"/>
    <w:rsid w:val="00553ED3"/>
    <w:rsid w:val="00553F23"/>
    <w:rsid w:val="0055660B"/>
    <w:rsid w:val="00557D1F"/>
    <w:rsid w:val="00561C35"/>
    <w:rsid w:val="00562A97"/>
    <w:rsid w:val="0056311E"/>
    <w:rsid w:val="00566262"/>
    <w:rsid w:val="00566C43"/>
    <w:rsid w:val="00570395"/>
    <w:rsid w:val="00571A89"/>
    <w:rsid w:val="00572285"/>
    <w:rsid w:val="00572A31"/>
    <w:rsid w:val="005738CB"/>
    <w:rsid w:val="005751E8"/>
    <w:rsid w:val="0057682C"/>
    <w:rsid w:val="005776A8"/>
    <w:rsid w:val="00580589"/>
    <w:rsid w:val="0058129E"/>
    <w:rsid w:val="00582A2B"/>
    <w:rsid w:val="005857EA"/>
    <w:rsid w:val="005858C8"/>
    <w:rsid w:val="00585C07"/>
    <w:rsid w:val="0058681F"/>
    <w:rsid w:val="00586CC2"/>
    <w:rsid w:val="005878DC"/>
    <w:rsid w:val="00587B98"/>
    <w:rsid w:val="005909E7"/>
    <w:rsid w:val="005916CB"/>
    <w:rsid w:val="005934BC"/>
    <w:rsid w:val="00593E6C"/>
    <w:rsid w:val="005962CE"/>
    <w:rsid w:val="005971AF"/>
    <w:rsid w:val="005A0EA2"/>
    <w:rsid w:val="005A12B4"/>
    <w:rsid w:val="005A1812"/>
    <w:rsid w:val="005A2DC8"/>
    <w:rsid w:val="005A42EA"/>
    <w:rsid w:val="005A490F"/>
    <w:rsid w:val="005A5731"/>
    <w:rsid w:val="005A692D"/>
    <w:rsid w:val="005B0F81"/>
    <w:rsid w:val="005B28BD"/>
    <w:rsid w:val="005B2954"/>
    <w:rsid w:val="005B3395"/>
    <w:rsid w:val="005B348B"/>
    <w:rsid w:val="005B5D16"/>
    <w:rsid w:val="005B5EC9"/>
    <w:rsid w:val="005B5FA7"/>
    <w:rsid w:val="005C15C2"/>
    <w:rsid w:val="005C2343"/>
    <w:rsid w:val="005C26C4"/>
    <w:rsid w:val="005C4F73"/>
    <w:rsid w:val="005C76D4"/>
    <w:rsid w:val="005C7CDD"/>
    <w:rsid w:val="005D09F0"/>
    <w:rsid w:val="005D0C28"/>
    <w:rsid w:val="005D1129"/>
    <w:rsid w:val="005D3F7E"/>
    <w:rsid w:val="005D5CD3"/>
    <w:rsid w:val="005D6590"/>
    <w:rsid w:val="005D65BD"/>
    <w:rsid w:val="005E0DFF"/>
    <w:rsid w:val="005E1EA3"/>
    <w:rsid w:val="005E3A44"/>
    <w:rsid w:val="005E3B91"/>
    <w:rsid w:val="005E4B9C"/>
    <w:rsid w:val="005E58AF"/>
    <w:rsid w:val="005E5A42"/>
    <w:rsid w:val="005E735A"/>
    <w:rsid w:val="005E75C2"/>
    <w:rsid w:val="005E7B4F"/>
    <w:rsid w:val="005F0B05"/>
    <w:rsid w:val="005F1884"/>
    <w:rsid w:val="005F1F0E"/>
    <w:rsid w:val="005F2597"/>
    <w:rsid w:val="005F3B6B"/>
    <w:rsid w:val="005F4246"/>
    <w:rsid w:val="005F4846"/>
    <w:rsid w:val="005F6C34"/>
    <w:rsid w:val="005F7353"/>
    <w:rsid w:val="00601170"/>
    <w:rsid w:val="00601847"/>
    <w:rsid w:val="00604229"/>
    <w:rsid w:val="00604619"/>
    <w:rsid w:val="00604E6D"/>
    <w:rsid w:val="00606D70"/>
    <w:rsid w:val="00611A18"/>
    <w:rsid w:val="006128AA"/>
    <w:rsid w:val="00613A70"/>
    <w:rsid w:val="00614A0D"/>
    <w:rsid w:val="00616B5A"/>
    <w:rsid w:val="00616C70"/>
    <w:rsid w:val="00617597"/>
    <w:rsid w:val="0062135F"/>
    <w:rsid w:val="006216B7"/>
    <w:rsid w:val="00621BE9"/>
    <w:rsid w:val="00621BFD"/>
    <w:rsid w:val="00624E80"/>
    <w:rsid w:val="00624F4A"/>
    <w:rsid w:val="006257C4"/>
    <w:rsid w:val="00625F4F"/>
    <w:rsid w:val="00626312"/>
    <w:rsid w:val="006306AB"/>
    <w:rsid w:val="006324F0"/>
    <w:rsid w:val="00633072"/>
    <w:rsid w:val="0063307A"/>
    <w:rsid w:val="00633BAD"/>
    <w:rsid w:val="006348E6"/>
    <w:rsid w:val="00634ECA"/>
    <w:rsid w:val="00636B15"/>
    <w:rsid w:val="00636D41"/>
    <w:rsid w:val="00637788"/>
    <w:rsid w:val="00641753"/>
    <w:rsid w:val="00642653"/>
    <w:rsid w:val="00644C50"/>
    <w:rsid w:val="006456B6"/>
    <w:rsid w:val="006460A2"/>
    <w:rsid w:val="00647703"/>
    <w:rsid w:val="0064798A"/>
    <w:rsid w:val="00647B4E"/>
    <w:rsid w:val="00652C11"/>
    <w:rsid w:val="00654078"/>
    <w:rsid w:val="006559C1"/>
    <w:rsid w:val="00656C39"/>
    <w:rsid w:val="00657692"/>
    <w:rsid w:val="006638D9"/>
    <w:rsid w:val="00664625"/>
    <w:rsid w:val="00666709"/>
    <w:rsid w:val="006667BD"/>
    <w:rsid w:val="00666D67"/>
    <w:rsid w:val="0066735D"/>
    <w:rsid w:val="00667ABE"/>
    <w:rsid w:val="00667AD6"/>
    <w:rsid w:val="00670A4A"/>
    <w:rsid w:val="00670B7E"/>
    <w:rsid w:val="006710A1"/>
    <w:rsid w:val="00674196"/>
    <w:rsid w:val="006754E9"/>
    <w:rsid w:val="00676929"/>
    <w:rsid w:val="00677959"/>
    <w:rsid w:val="006812C6"/>
    <w:rsid w:val="00683EDB"/>
    <w:rsid w:val="00684BE5"/>
    <w:rsid w:val="006855A9"/>
    <w:rsid w:val="00687021"/>
    <w:rsid w:val="00687C38"/>
    <w:rsid w:val="00690CD2"/>
    <w:rsid w:val="00691E85"/>
    <w:rsid w:val="00692997"/>
    <w:rsid w:val="00694BC1"/>
    <w:rsid w:val="00696D72"/>
    <w:rsid w:val="006A0AF1"/>
    <w:rsid w:val="006A170E"/>
    <w:rsid w:val="006A46A2"/>
    <w:rsid w:val="006A47B5"/>
    <w:rsid w:val="006A65D5"/>
    <w:rsid w:val="006B0324"/>
    <w:rsid w:val="006B17F9"/>
    <w:rsid w:val="006B2BA6"/>
    <w:rsid w:val="006B4CBF"/>
    <w:rsid w:val="006B5685"/>
    <w:rsid w:val="006B69D2"/>
    <w:rsid w:val="006B6ED0"/>
    <w:rsid w:val="006C07AA"/>
    <w:rsid w:val="006C186E"/>
    <w:rsid w:val="006C4605"/>
    <w:rsid w:val="006C66C3"/>
    <w:rsid w:val="006C7164"/>
    <w:rsid w:val="006C7AD8"/>
    <w:rsid w:val="006D113F"/>
    <w:rsid w:val="006D342B"/>
    <w:rsid w:val="006D3436"/>
    <w:rsid w:val="006D5C38"/>
    <w:rsid w:val="006D7C57"/>
    <w:rsid w:val="006E22FE"/>
    <w:rsid w:val="006E2646"/>
    <w:rsid w:val="006E2C8C"/>
    <w:rsid w:val="006E2D3E"/>
    <w:rsid w:val="006E3B50"/>
    <w:rsid w:val="006E425C"/>
    <w:rsid w:val="006E62FA"/>
    <w:rsid w:val="006F1592"/>
    <w:rsid w:val="006F4AD0"/>
    <w:rsid w:val="006F6DB6"/>
    <w:rsid w:val="006F7651"/>
    <w:rsid w:val="006F7B0B"/>
    <w:rsid w:val="006F7D2D"/>
    <w:rsid w:val="00700160"/>
    <w:rsid w:val="007008E2"/>
    <w:rsid w:val="00701D1B"/>
    <w:rsid w:val="00702338"/>
    <w:rsid w:val="007025D4"/>
    <w:rsid w:val="00703783"/>
    <w:rsid w:val="00703E5B"/>
    <w:rsid w:val="007046F3"/>
    <w:rsid w:val="00704E2C"/>
    <w:rsid w:val="00705BF7"/>
    <w:rsid w:val="00707C3E"/>
    <w:rsid w:val="00711881"/>
    <w:rsid w:val="00711A1B"/>
    <w:rsid w:val="0071388F"/>
    <w:rsid w:val="00715817"/>
    <w:rsid w:val="00717AA9"/>
    <w:rsid w:val="0072120B"/>
    <w:rsid w:val="00727994"/>
    <w:rsid w:val="00730C21"/>
    <w:rsid w:val="00731772"/>
    <w:rsid w:val="00742B59"/>
    <w:rsid w:val="00743231"/>
    <w:rsid w:val="00743892"/>
    <w:rsid w:val="00744C74"/>
    <w:rsid w:val="00745E13"/>
    <w:rsid w:val="007466C0"/>
    <w:rsid w:val="00747625"/>
    <w:rsid w:val="0075072C"/>
    <w:rsid w:val="007543FF"/>
    <w:rsid w:val="00754CBF"/>
    <w:rsid w:val="00755F76"/>
    <w:rsid w:val="00757398"/>
    <w:rsid w:val="00757ECA"/>
    <w:rsid w:val="007605AD"/>
    <w:rsid w:val="00761BEE"/>
    <w:rsid w:val="0076216A"/>
    <w:rsid w:val="0076300F"/>
    <w:rsid w:val="00764458"/>
    <w:rsid w:val="00764B42"/>
    <w:rsid w:val="00764EDE"/>
    <w:rsid w:val="00765B52"/>
    <w:rsid w:val="007671C0"/>
    <w:rsid w:val="007701CC"/>
    <w:rsid w:val="0077041F"/>
    <w:rsid w:val="00770488"/>
    <w:rsid w:val="0077066A"/>
    <w:rsid w:val="00774282"/>
    <w:rsid w:val="00774D58"/>
    <w:rsid w:val="007757F8"/>
    <w:rsid w:val="00777AA8"/>
    <w:rsid w:val="0078038A"/>
    <w:rsid w:val="00782B19"/>
    <w:rsid w:val="00782FA1"/>
    <w:rsid w:val="0078512F"/>
    <w:rsid w:val="00785CB4"/>
    <w:rsid w:val="007870C0"/>
    <w:rsid w:val="00787611"/>
    <w:rsid w:val="0079048A"/>
    <w:rsid w:val="00791598"/>
    <w:rsid w:val="00791C58"/>
    <w:rsid w:val="00792570"/>
    <w:rsid w:val="007944FC"/>
    <w:rsid w:val="00794BA2"/>
    <w:rsid w:val="00796298"/>
    <w:rsid w:val="0079777E"/>
    <w:rsid w:val="00797CFD"/>
    <w:rsid w:val="007A0052"/>
    <w:rsid w:val="007A11E4"/>
    <w:rsid w:val="007A1AF4"/>
    <w:rsid w:val="007A433B"/>
    <w:rsid w:val="007A4506"/>
    <w:rsid w:val="007A58A3"/>
    <w:rsid w:val="007A722A"/>
    <w:rsid w:val="007A7C70"/>
    <w:rsid w:val="007B0F3D"/>
    <w:rsid w:val="007B1125"/>
    <w:rsid w:val="007B185D"/>
    <w:rsid w:val="007B1B53"/>
    <w:rsid w:val="007B447C"/>
    <w:rsid w:val="007B55AB"/>
    <w:rsid w:val="007B5AF5"/>
    <w:rsid w:val="007B6B18"/>
    <w:rsid w:val="007B742D"/>
    <w:rsid w:val="007B7E2E"/>
    <w:rsid w:val="007C01F4"/>
    <w:rsid w:val="007C30DF"/>
    <w:rsid w:val="007C3390"/>
    <w:rsid w:val="007C4837"/>
    <w:rsid w:val="007C588A"/>
    <w:rsid w:val="007C5BC4"/>
    <w:rsid w:val="007C6335"/>
    <w:rsid w:val="007C79FF"/>
    <w:rsid w:val="007D021F"/>
    <w:rsid w:val="007D2033"/>
    <w:rsid w:val="007D5F5B"/>
    <w:rsid w:val="007D5F7A"/>
    <w:rsid w:val="007E0BC6"/>
    <w:rsid w:val="007E36A5"/>
    <w:rsid w:val="007E3ACC"/>
    <w:rsid w:val="007E50DE"/>
    <w:rsid w:val="007E6334"/>
    <w:rsid w:val="007E7788"/>
    <w:rsid w:val="007F0C49"/>
    <w:rsid w:val="007F1FA0"/>
    <w:rsid w:val="007F2D05"/>
    <w:rsid w:val="007F3E44"/>
    <w:rsid w:val="007F46CD"/>
    <w:rsid w:val="007F48E5"/>
    <w:rsid w:val="007F5897"/>
    <w:rsid w:val="007F760D"/>
    <w:rsid w:val="00800CBF"/>
    <w:rsid w:val="00800F95"/>
    <w:rsid w:val="00801FB5"/>
    <w:rsid w:val="008027B2"/>
    <w:rsid w:val="008027E0"/>
    <w:rsid w:val="00803377"/>
    <w:rsid w:val="00803A8E"/>
    <w:rsid w:val="0080446C"/>
    <w:rsid w:val="00804F58"/>
    <w:rsid w:val="0080550D"/>
    <w:rsid w:val="008056C4"/>
    <w:rsid w:val="00807131"/>
    <w:rsid w:val="00810F9F"/>
    <w:rsid w:val="0081163F"/>
    <w:rsid w:val="0081294E"/>
    <w:rsid w:val="00812B31"/>
    <w:rsid w:val="00812F49"/>
    <w:rsid w:val="00813B50"/>
    <w:rsid w:val="00813CFD"/>
    <w:rsid w:val="00813DCF"/>
    <w:rsid w:val="00814922"/>
    <w:rsid w:val="0081531B"/>
    <w:rsid w:val="008153CF"/>
    <w:rsid w:val="0081764B"/>
    <w:rsid w:val="008207B2"/>
    <w:rsid w:val="00820A37"/>
    <w:rsid w:val="00821F0B"/>
    <w:rsid w:val="00823168"/>
    <w:rsid w:val="00825EA4"/>
    <w:rsid w:val="0082665F"/>
    <w:rsid w:val="00827743"/>
    <w:rsid w:val="00827C98"/>
    <w:rsid w:val="008340E6"/>
    <w:rsid w:val="00834696"/>
    <w:rsid w:val="008354AC"/>
    <w:rsid w:val="00835696"/>
    <w:rsid w:val="00835A9B"/>
    <w:rsid w:val="00835C8D"/>
    <w:rsid w:val="00836557"/>
    <w:rsid w:val="00836FB4"/>
    <w:rsid w:val="0084109F"/>
    <w:rsid w:val="00843B04"/>
    <w:rsid w:val="0084588C"/>
    <w:rsid w:val="00846853"/>
    <w:rsid w:val="00847AEF"/>
    <w:rsid w:val="00850CB7"/>
    <w:rsid w:val="00851846"/>
    <w:rsid w:val="008546E8"/>
    <w:rsid w:val="00856015"/>
    <w:rsid w:val="0085618B"/>
    <w:rsid w:val="00856D04"/>
    <w:rsid w:val="00857C19"/>
    <w:rsid w:val="0086058E"/>
    <w:rsid w:val="00860679"/>
    <w:rsid w:val="00860EBD"/>
    <w:rsid w:val="008625BE"/>
    <w:rsid w:val="00864A8D"/>
    <w:rsid w:val="00864C10"/>
    <w:rsid w:val="008650C6"/>
    <w:rsid w:val="0086609D"/>
    <w:rsid w:val="0086658A"/>
    <w:rsid w:val="00867B42"/>
    <w:rsid w:val="0087118D"/>
    <w:rsid w:val="00872473"/>
    <w:rsid w:val="0087290E"/>
    <w:rsid w:val="008733EE"/>
    <w:rsid w:val="00877E51"/>
    <w:rsid w:val="00880377"/>
    <w:rsid w:val="008805A2"/>
    <w:rsid w:val="0088089C"/>
    <w:rsid w:val="00880B3A"/>
    <w:rsid w:val="008813B3"/>
    <w:rsid w:val="00881874"/>
    <w:rsid w:val="0088238A"/>
    <w:rsid w:val="00882A52"/>
    <w:rsid w:val="00883207"/>
    <w:rsid w:val="00884A34"/>
    <w:rsid w:val="00884D9E"/>
    <w:rsid w:val="0088647F"/>
    <w:rsid w:val="00887B38"/>
    <w:rsid w:val="00887F1E"/>
    <w:rsid w:val="00890690"/>
    <w:rsid w:val="00891608"/>
    <w:rsid w:val="008922B9"/>
    <w:rsid w:val="00894B1A"/>
    <w:rsid w:val="00895175"/>
    <w:rsid w:val="00895DE8"/>
    <w:rsid w:val="0089680B"/>
    <w:rsid w:val="00896924"/>
    <w:rsid w:val="00897C16"/>
    <w:rsid w:val="008A0CAC"/>
    <w:rsid w:val="008A1D34"/>
    <w:rsid w:val="008A1D6F"/>
    <w:rsid w:val="008A2030"/>
    <w:rsid w:val="008A3A8F"/>
    <w:rsid w:val="008A3C11"/>
    <w:rsid w:val="008A423D"/>
    <w:rsid w:val="008A5CF2"/>
    <w:rsid w:val="008A5DDD"/>
    <w:rsid w:val="008A685F"/>
    <w:rsid w:val="008A6B2E"/>
    <w:rsid w:val="008A6FE5"/>
    <w:rsid w:val="008A76E9"/>
    <w:rsid w:val="008B0020"/>
    <w:rsid w:val="008B0525"/>
    <w:rsid w:val="008B16B5"/>
    <w:rsid w:val="008B1D67"/>
    <w:rsid w:val="008B2664"/>
    <w:rsid w:val="008B31DA"/>
    <w:rsid w:val="008B44A9"/>
    <w:rsid w:val="008B502F"/>
    <w:rsid w:val="008B5283"/>
    <w:rsid w:val="008B70BF"/>
    <w:rsid w:val="008C1387"/>
    <w:rsid w:val="008C2286"/>
    <w:rsid w:val="008C2785"/>
    <w:rsid w:val="008C650B"/>
    <w:rsid w:val="008C666C"/>
    <w:rsid w:val="008D185D"/>
    <w:rsid w:val="008D2DE7"/>
    <w:rsid w:val="008D4619"/>
    <w:rsid w:val="008D5861"/>
    <w:rsid w:val="008D596E"/>
    <w:rsid w:val="008D778C"/>
    <w:rsid w:val="008D7F24"/>
    <w:rsid w:val="008E03B0"/>
    <w:rsid w:val="008E1B94"/>
    <w:rsid w:val="008E37CC"/>
    <w:rsid w:val="008E490C"/>
    <w:rsid w:val="008E4986"/>
    <w:rsid w:val="008E648D"/>
    <w:rsid w:val="008E6E4B"/>
    <w:rsid w:val="008E79A3"/>
    <w:rsid w:val="008F16E5"/>
    <w:rsid w:val="008F2138"/>
    <w:rsid w:val="008F49CF"/>
    <w:rsid w:val="008F5060"/>
    <w:rsid w:val="008F55D5"/>
    <w:rsid w:val="008F7FCC"/>
    <w:rsid w:val="00901DF3"/>
    <w:rsid w:val="0090250A"/>
    <w:rsid w:val="00902767"/>
    <w:rsid w:val="009046C7"/>
    <w:rsid w:val="00906486"/>
    <w:rsid w:val="00910A4C"/>
    <w:rsid w:val="00910DC6"/>
    <w:rsid w:val="009115F3"/>
    <w:rsid w:val="009143D8"/>
    <w:rsid w:val="0092148A"/>
    <w:rsid w:val="00923095"/>
    <w:rsid w:val="00923D5E"/>
    <w:rsid w:val="00924C81"/>
    <w:rsid w:val="00924DD2"/>
    <w:rsid w:val="009269CC"/>
    <w:rsid w:val="009272A8"/>
    <w:rsid w:val="0093057F"/>
    <w:rsid w:val="009307E8"/>
    <w:rsid w:val="00930BB4"/>
    <w:rsid w:val="0094075E"/>
    <w:rsid w:val="00940E5A"/>
    <w:rsid w:val="00941E35"/>
    <w:rsid w:val="009425FE"/>
    <w:rsid w:val="0094394F"/>
    <w:rsid w:val="00943A28"/>
    <w:rsid w:val="0094483C"/>
    <w:rsid w:val="0094630C"/>
    <w:rsid w:val="00947484"/>
    <w:rsid w:val="009478F2"/>
    <w:rsid w:val="00950A83"/>
    <w:rsid w:val="0095128C"/>
    <w:rsid w:val="0095186A"/>
    <w:rsid w:val="00951DBF"/>
    <w:rsid w:val="009531A9"/>
    <w:rsid w:val="009541D4"/>
    <w:rsid w:val="009544D4"/>
    <w:rsid w:val="00954755"/>
    <w:rsid w:val="009573DE"/>
    <w:rsid w:val="0096273A"/>
    <w:rsid w:val="00962D16"/>
    <w:rsid w:val="00963440"/>
    <w:rsid w:val="00963730"/>
    <w:rsid w:val="00966765"/>
    <w:rsid w:val="00966775"/>
    <w:rsid w:val="00966954"/>
    <w:rsid w:val="00966F60"/>
    <w:rsid w:val="00966FC8"/>
    <w:rsid w:val="00966FCE"/>
    <w:rsid w:val="00967420"/>
    <w:rsid w:val="009675B1"/>
    <w:rsid w:val="00970B9A"/>
    <w:rsid w:val="009716A5"/>
    <w:rsid w:val="00972005"/>
    <w:rsid w:val="009720B1"/>
    <w:rsid w:val="00973C49"/>
    <w:rsid w:val="00976CC0"/>
    <w:rsid w:val="009776E5"/>
    <w:rsid w:val="00977859"/>
    <w:rsid w:val="00980A5A"/>
    <w:rsid w:val="00983E74"/>
    <w:rsid w:val="0098475B"/>
    <w:rsid w:val="009908A0"/>
    <w:rsid w:val="00990F89"/>
    <w:rsid w:val="00992EE6"/>
    <w:rsid w:val="009934A4"/>
    <w:rsid w:val="00994547"/>
    <w:rsid w:val="00994AD8"/>
    <w:rsid w:val="00995DA4"/>
    <w:rsid w:val="009969E8"/>
    <w:rsid w:val="00996A8C"/>
    <w:rsid w:val="00996A97"/>
    <w:rsid w:val="00997A63"/>
    <w:rsid w:val="009A01D7"/>
    <w:rsid w:val="009A05F4"/>
    <w:rsid w:val="009A1445"/>
    <w:rsid w:val="009A1713"/>
    <w:rsid w:val="009A37BA"/>
    <w:rsid w:val="009A41EF"/>
    <w:rsid w:val="009A4B8D"/>
    <w:rsid w:val="009A568A"/>
    <w:rsid w:val="009B16B5"/>
    <w:rsid w:val="009B2FF7"/>
    <w:rsid w:val="009B3528"/>
    <w:rsid w:val="009B614A"/>
    <w:rsid w:val="009B63F0"/>
    <w:rsid w:val="009B688A"/>
    <w:rsid w:val="009B7E17"/>
    <w:rsid w:val="009C2A85"/>
    <w:rsid w:val="009C5446"/>
    <w:rsid w:val="009C62C2"/>
    <w:rsid w:val="009C6A34"/>
    <w:rsid w:val="009D03DD"/>
    <w:rsid w:val="009D0CAC"/>
    <w:rsid w:val="009D11F3"/>
    <w:rsid w:val="009D1311"/>
    <w:rsid w:val="009D17EC"/>
    <w:rsid w:val="009D227C"/>
    <w:rsid w:val="009D4A1B"/>
    <w:rsid w:val="009D6631"/>
    <w:rsid w:val="009D6A5F"/>
    <w:rsid w:val="009E143E"/>
    <w:rsid w:val="009E3A02"/>
    <w:rsid w:val="009E4797"/>
    <w:rsid w:val="009E605D"/>
    <w:rsid w:val="009E734D"/>
    <w:rsid w:val="009F3679"/>
    <w:rsid w:val="009F3A6D"/>
    <w:rsid w:val="009F485E"/>
    <w:rsid w:val="009F50B5"/>
    <w:rsid w:val="009F521D"/>
    <w:rsid w:val="009F56FD"/>
    <w:rsid w:val="009F61DE"/>
    <w:rsid w:val="009F6D55"/>
    <w:rsid w:val="00A044C9"/>
    <w:rsid w:val="00A067EC"/>
    <w:rsid w:val="00A07317"/>
    <w:rsid w:val="00A07CB3"/>
    <w:rsid w:val="00A07FBF"/>
    <w:rsid w:val="00A1478D"/>
    <w:rsid w:val="00A14822"/>
    <w:rsid w:val="00A14AD4"/>
    <w:rsid w:val="00A17303"/>
    <w:rsid w:val="00A215AC"/>
    <w:rsid w:val="00A21616"/>
    <w:rsid w:val="00A24824"/>
    <w:rsid w:val="00A251B9"/>
    <w:rsid w:val="00A2622F"/>
    <w:rsid w:val="00A27F05"/>
    <w:rsid w:val="00A307DB"/>
    <w:rsid w:val="00A30E3A"/>
    <w:rsid w:val="00A32121"/>
    <w:rsid w:val="00A32191"/>
    <w:rsid w:val="00A33D24"/>
    <w:rsid w:val="00A35E05"/>
    <w:rsid w:val="00A363F1"/>
    <w:rsid w:val="00A40615"/>
    <w:rsid w:val="00A40ACA"/>
    <w:rsid w:val="00A4266F"/>
    <w:rsid w:val="00A43E8D"/>
    <w:rsid w:val="00A45F46"/>
    <w:rsid w:val="00A47739"/>
    <w:rsid w:val="00A478C6"/>
    <w:rsid w:val="00A47BF7"/>
    <w:rsid w:val="00A50BA0"/>
    <w:rsid w:val="00A521A7"/>
    <w:rsid w:val="00A52D04"/>
    <w:rsid w:val="00A53731"/>
    <w:rsid w:val="00A53AA8"/>
    <w:rsid w:val="00A5570F"/>
    <w:rsid w:val="00A5643D"/>
    <w:rsid w:val="00A5658C"/>
    <w:rsid w:val="00A56D06"/>
    <w:rsid w:val="00A60D79"/>
    <w:rsid w:val="00A61ED5"/>
    <w:rsid w:val="00A62BD8"/>
    <w:rsid w:val="00A666D5"/>
    <w:rsid w:val="00A67D4A"/>
    <w:rsid w:val="00A67FF4"/>
    <w:rsid w:val="00A71344"/>
    <w:rsid w:val="00A726DE"/>
    <w:rsid w:val="00A811EC"/>
    <w:rsid w:val="00A8171C"/>
    <w:rsid w:val="00A822A6"/>
    <w:rsid w:val="00A83157"/>
    <w:rsid w:val="00A84D8D"/>
    <w:rsid w:val="00A85F4A"/>
    <w:rsid w:val="00A86644"/>
    <w:rsid w:val="00A86FB6"/>
    <w:rsid w:val="00A90A6E"/>
    <w:rsid w:val="00A91559"/>
    <w:rsid w:val="00A92719"/>
    <w:rsid w:val="00A92FB6"/>
    <w:rsid w:val="00A93A38"/>
    <w:rsid w:val="00A9473A"/>
    <w:rsid w:val="00A95546"/>
    <w:rsid w:val="00A95C35"/>
    <w:rsid w:val="00A96325"/>
    <w:rsid w:val="00AA2299"/>
    <w:rsid w:val="00AA249C"/>
    <w:rsid w:val="00AA26BE"/>
    <w:rsid w:val="00AA2C61"/>
    <w:rsid w:val="00AA454F"/>
    <w:rsid w:val="00AA4CAB"/>
    <w:rsid w:val="00AA51E8"/>
    <w:rsid w:val="00AA52C1"/>
    <w:rsid w:val="00AA6899"/>
    <w:rsid w:val="00AB118E"/>
    <w:rsid w:val="00AB1C81"/>
    <w:rsid w:val="00AB22C4"/>
    <w:rsid w:val="00AB3CED"/>
    <w:rsid w:val="00AB4737"/>
    <w:rsid w:val="00AB51A8"/>
    <w:rsid w:val="00AB5683"/>
    <w:rsid w:val="00AB7405"/>
    <w:rsid w:val="00AB7710"/>
    <w:rsid w:val="00AC013E"/>
    <w:rsid w:val="00AC0DCC"/>
    <w:rsid w:val="00AC2116"/>
    <w:rsid w:val="00AC256E"/>
    <w:rsid w:val="00AC2E28"/>
    <w:rsid w:val="00AC3157"/>
    <w:rsid w:val="00AC3A94"/>
    <w:rsid w:val="00AC4C41"/>
    <w:rsid w:val="00AC53CC"/>
    <w:rsid w:val="00AC5614"/>
    <w:rsid w:val="00AC5CAB"/>
    <w:rsid w:val="00AC708A"/>
    <w:rsid w:val="00AC75BB"/>
    <w:rsid w:val="00AD1477"/>
    <w:rsid w:val="00AD1587"/>
    <w:rsid w:val="00AD244C"/>
    <w:rsid w:val="00AD2A54"/>
    <w:rsid w:val="00AD3AEB"/>
    <w:rsid w:val="00AD4474"/>
    <w:rsid w:val="00AE1805"/>
    <w:rsid w:val="00AE2432"/>
    <w:rsid w:val="00AE41C0"/>
    <w:rsid w:val="00AE4829"/>
    <w:rsid w:val="00AE5948"/>
    <w:rsid w:val="00AE610A"/>
    <w:rsid w:val="00AE76A3"/>
    <w:rsid w:val="00AE7949"/>
    <w:rsid w:val="00AF12FE"/>
    <w:rsid w:val="00AF2073"/>
    <w:rsid w:val="00AF2330"/>
    <w:rsid w:val="00AF28CA"/>
    <w:rsid w:val="00AF290F"/>
    <w:rsid w:val="00AF436B"/>
    <w:rsid w:val="00AF557A"/>
    <w:rsid w:val="00AF5D54"/>
    <w:rsid w:val="00AF6865"/>
    <w:rsid w:val="00AF7FD9"/>
    <w:rsid w:val="00B035CF"/>
    <w:rsid w:val="00B039AE"/>
    <w:rsid w:val="00B03D87"/>
    <w:rsid w:val="00B051DE"/>
    <w:rsid w:val="00B05E8B"/>
    <w:rsid w:val="00B063F6"/>
    <w:rsid w:val="00B07569"/>
    <w:rsid w:val="00B10C18"/>
    <w:rsid w:val="00B118B1"/>
    <w:rsid w:val="00B119E9"/>
    <w:rsid w:val="00B1301A"/>
    <w:rsid w:val="00B131F3"/>
    <w:rsid w:val="00B13796"/>
    <w:rsid w:val="00B13A95"/>
    <w:rsid w:val="00B14E9F"/>
    <w:rsid w:val="00B175E0"/>
    <w:rsid w:val="00B2079C"/>
    <w:rsid w:val="00B212D5"/>
    <w:rsid w:val="00B21F32"/>
    <w:rsid w:val="00B23F9C"/>
    <w:rsid w:val="00B2463A"/>
    <w:rsid w:val="00B24DA1"/>
    <w:rsid w:val="00B24E31"/>
    <w:rsid w:val="00B2521A"/>
    <w:rsid w:val="00B2522A"/>
    <w:rsid w:val="00B254D9"/>
    <w:rsid w:val="00B2644A"/>
    <w:rsid w:val="00B26508"/>
    <w:rsid w:val="00B30BB8"/>
    <w:rsid w:val="00B31C6F"/>
    <w:rsid w:val="00B32E9C"/>
    <w:rsid w:val="00B334EC"/>
    <w:rsid w:val="00B33A79"/>
    <w:rsid w:val="00B36B6C"/>
    <w:rsid w:val="00B36B72"/>
    <w:rsid w:val="00B40F56"/>
    <w:rsid w:val="00B44B43"/>
    <w:rsid w:val="00B45680"/>
    <w:rsid w:val="00B4641F"/>
    <w:rsid w:val="00B47ED2"/>
    <w:rsid w:val="00B5046E"/>
    <w:rsid w:val="00B50F7C"/>
    <w:rsid w:val="00B5121C"/>
    <w:rsid w:val="00B51558"/>
    <w:rsid w:val="00B517C5"/>
    <w:rsid w:val="00B52285"/>
    <w:rsid w:val="00B53435"/>
    <w:rsid w:val="00B53F01"/>
    <w:rsid w:val="00B551D2"/>
    <w:rsid w:val="00B55F4E"/>
    <w:rsid w:val="00B5686B"/>
    <w:rsid w:val="00B57500"/>
    <w:rsid w:val="00B619F5"/>
    <w:rsid w:val="00B6204F"/>
    <w:rsid w:val="00B62BE8"/>
    <w:rsid w:val="00B63B62"/>
    <w:rsid w:val="00B64969"/>
    <w:rsid w:val="00B653DA"/>
    <w:rsid w:val="00B66AFF"/>
    <w:rsid w:val="00B66BB8"/>
    <w:rsid w:val="00B677EB"/>
    <w:rsid w:val="00B6796D"/>
    <w:rsid w:val="00B7092A"/>
    <w:rsid w:val="00B709C5"/>
    <w:rsid w:val="00B70EFF"/>
    <w:rsid w:val="00B72434"/>
    <w:rsid w:val="00B73646"/>
    <w:rsid w:val="00B7364B"/>
    <w:rsid w:val="00B7372D"/>
    <w:rsid w:val="00B7389B"/>
    <w:rsid w:val="00B73DA4"/>
    <w:rsid w:val="00B77646"/>
    <w:rsid w:val="00B77A00"/>
    <w:rsid w:val="00B8277A"/>
    <w:rsid w:val="00B8529F"/>
    <w:rsid w:val="00B85F82"/>
    <w:rsid w:val="00B862A1"/>
    <w:rsid w:val="00B869AC"/>
    <w:rsid w:val="00B86EED"/>
    <w:rsid w:val="00B876DE"/>
    <w:rsid w:val="00B915BF"/>
    <w:rsid w:val="00B915CD"/>
    <w:rsid w:val="00B9268D"/>
    <w:rsid w:val="00B940BD"/>
    <w:rsid w:val="00B9681F"/>
    <w:rsid w:val="00B968C9"/>
    <w:rsid w:val="00B96FF3"/>
    <w:rsid w:val="00BA1B67"/>
    <w:rsid w:val="00BA29F4"/>
    <w:rsid w:val="00BA317D"/>
    <w:rsid w:val="00BA42A6"/>
    <w:rsid w:val="00BA4DC6"/>
    <w:rsid w:val="00BA5A9F"/>
    <w:rsid w:val="00BA60AF"/>
    <w:rsid w:val="00BA631B"/>
    <w:rsid w:val="00BA6B38"/>
    <w:rsid w:val="00BA7016"/>
    <w:rsid w:val="00BA79BA"/>
    <w:rsid w:val="00BB051A"/>
    <w:rsid w:val="00BB0D83"/>
    <w:rsid w:val="00BB25CE"/>
    <w:rsid w:val="00BB2EB4"/>
    <w:rsid w:val="00BB3785"/>
    <w:rsid w:val="00BB3E49"/>
    <w:rsid w:val="00BB53A4"/>
    <w:rsid w:val="00BB5AC3"/>
    <w:rsid w:val="00BB60DF"/>
    <w:rsid w:val="00BC088A"/>
    <w:rsid w:val="00BC14FE"/>
    <w:rsid w:val="00BC16F2"/>
    <w:rsid w:val="00BC43FD"/>
    <w:rsid w:val="00BC5DDE"/>
    <w:rsid w:val="00BC7470"/>
    <w:rsid w:val="00BC7CCF"/>
    <w:rsid w:val="00BD0467"/>
    <w:rsid w:val="00BD1157"/>
    <w:rsid w:val="00BD1389"/>
    <w:rsid w:val="00BD1DCE"/>
    <w:rsid w:val="00BD357B"/>
    <w:rsid w:val="00BD68B3"/>
    <w:rsid w:val="00BD6D47"/>
    <w:rsid w:val="00BE04C4"/>
    <w:rsid w:val="00BE1E07"/>
    <w:rsid w:val="00BE3713"/>
    <w:rsid w:val="00BE5E51"/>
    <w:rsid w:val="00BF0A67"/>
    <w:rsid w:val="00BF1CE6"/>
    <w:rsid w:val="00BF24D6"/>
    <w:rsid w:val="00BF3037"/>
    <w:rsid w:val="00BF4F34"/>
    <w:rsid w:val="00BF6AB9"/>
    <w:rsid w:val="00BF7B10"/>
    <w:rsid w:val="00C0040D"/>
    <w:rsid w:val="00C00C25"/>
    <w:rsid w:val="00C0167F"/>
    <w:rsid w:val="00C02CE4"/>
    <w:rsid w:val="00C053F0"/>
    <w:rsid w:val="00C05C2D"/>
    <w:rsid w:val="00C06B13"/>
    <w:rsid w:val="00C06C50"/>
    <w:rsid w:val="00C06EAB"/>
    <w:rsid w:val="00C10922"/>
    <w:rsid w:val="00C10DAD"/>
    <w:rsid w:val="00C12FFF"/>
    <w:rsid w:val="00C14AD4"/>
    <w:rsid w:val="00C1769E"/>
    <w:rsid w:val="00C249E2"/>
    <w:rsid w:val="00C24A07"/>
    <w:rsid w:val="00C260A1"/>
    <w:rsid w:val="00C3107C"/>
    <w:rsid w:val="00C31299"/>
    <w:rsid w:val="00C31FC7"/>
    <w:rsid w:val="00C3218D"/>
    <w:rsid w:val="00C3276D"/>
    <w:rsid w:val="00C3334C"/>
    <w:rsid w:val="00C33A97"/>
    <w:rsid w:val="00C3426A"/>
    <w:rsid w:val="00C3569B"/>
    <w:rsid w:val="00C35B47"/>
    <w:rsid w:val="00C37411"/>
    <w:rsid w:val="00C37681"/>
    <w:rsid w:val="00C37F20"/>
    <w:rsid w:val="00C37FCE"/>
    <w:rsid w:val="00C4362F"/>
    <w:rsid w:val="00C4582C"/>
    <w:rsid w:val="00C47B08"/>
    <w:rsid w:val="00C530BE"/>
    <w:rsid w:val="00C57011"/>
    <w:rsid w:val="00C60606"/>
    <w:rsid w:val="00C61373"/>
    <w:rsid w:val="00C6241A"/>
    <w:rsid w:val="00C62B4C"/>
    <w:rsid w:val="00C63C46"/>
    <w:rsid w:val="00C64625"/>
    <w:rsid w:val="00C64F92"/>
    <w:rsid w:val="00C66FBD"/>
    <w:rsid w:val="00C72A2F"/>
    <w:rsid w:val="00C74BC7"/>
    <w:rsid w:val="00C75E95"/>
    <w:rsid w:val="00C762CB"/>
    <w:rsid w:val="00C769D4"/>
    <w:rsid w:val="00C76AF8"/>
    <w:rsid w:val="00C76CA6"/>
    <w:rsid w:val="00C774A2"/>
    <w:rsid w:val="00C7769F"/>
    <w:rsid w:val="00C777EC"/>
    <w:rsid w:val="00C77F3C"/>
    <w:rsid w:val="00C811E2"/>
    <w:rsid w:val="00C825F4"/>
    <w:rsid w:val="00C83276"/>
    <w:rsid w:val="00C841E2"/>
    <w:rsid w:val="00C84C1D"/>
    <w:rsid w:val="00C84FDF"/>
    <w:rsid w:val="00C862C1"/>
    <w:rsid w:val="00C90293"/>
    <w:rsid w:val="00C94892"/>
    <w:rsid w:val="00C960BA"/>
    <w:rsid w:val="00C96664"/>
    <w:rsid w:val="00C96F0C"/>
    <w:rsid w:val="00C97023"/>
    <w:rsid w:val="00C97774"/>
    <w:rsid w:val="00C977EF"/>
    <w:rsid w:val="00CA18B6"/>
    <w:rsid w:val="00CA3CE8"/>
    <w:rsid w:val="00CA4FF7"/>
    <w:rsid w:val="00CA57C2"/>
    <w:rsid w:val="00CA5CAD"/>
    <w:rsid w:val="00CA7172"/>
    <w:rsid w:val="00CA7396"/>
    <w:rsid w:val="00CA7B50"/>
    <w:rsid w:val="00CB083A"/>
    <w:rsid w:val="00CB10ED"/>
    <w:rsid w:val="00CB12CC"/>
    <w:rsid w:val="00CB14ED"/>
    <w:rsid w:val="00CB1BFF"/>
    <w:rsid w:val="00CB4E75"/>
    <w:rsid w:val="00CB728E"/>
    <w:rsid w:val="00CB7302"/>
    <w:rsid w:val="00CC0F2A"/>
    <w:rsid w:val="00CC1F5F"/>
    <w:rsid w:val="00CC26DD"/>
    <w:rsid w:val="00CC3DE0"/>
    <w:rsid w:val="00CD0707"/>
    <w:rsid w:val="00CD0E29"/>
    <w:rsid w:val="00CD1108"/>
    <w:rsid w:val="00CD3D89"/>
    <w:rsid w:val="00CD3FEA"/>
    <w:rsid w:val="00CD42F6"/>
    <w:rsid w:val="00CD54FF"/>
    <w:rsid w:val="00CD5731"/>
    <w:rsid w:val="00CD6726"/>
    <w:rsid w:val="00CD716C"/>
    <w:rsid w:val="00CE070D"/>
    <w:rsid w:val="00CE1E8D"/>
    <w:rsid w:val="00CE430F"/>
    <w:rsid w:val="00CE496B"/>
    <w:rsid w:val="00CE5CF1"/>
    <w:rsid w:val="00CE6269"/>
    <w:rsid w:val="00CE7EA9"/>
    <w:rsid w:val="00CF04A1"/>
    <w:rsid w:val="00CF04AA"/>
    <w:rsid w:val="00CF0BF5"/>
    <w:rsid w:val="00CF1E8E"/>
    <w:rsid w:val="00CF2A0C"/>
    <w:rsid w:val="00CF2BE3"/>
    <w:rsid w:val="00CF34BA"/>
    <w:rsid w:val="00CF356C"/>
    <w:rsid w:val="00CF6B20"/>
    <w:rsid w:val="00CF6BD0"/>
    <w:rsid w:val="00CF6C2F"/>
    <w:rsid w:val="00CF6F28"/>
    <w:rsid w:val="00CF755E"/>
    <w:rsid w:val="00CF7A7B"/>
    <w:rsid w:val="00D00DCB"/>
    <w:rsid w:val="00D012E5"/>
    <w:rsid w:val="00D016B1"/>
    <w:rsid w:val="00D0360E"/>
    <w:rsid w:val="00D038C5"/>
    <w:rsid w:val="00D04A37"/>
    <w:rsid w:val="00D078FF"/>
    <w:rsid w:val="00D0795C"/>
    <w:rsid w:val="00D1099B"/>
    <w:rsid w:val="00D12087"/>
    <w:rsid w:val="00D137B0"/>
    <w:rsid w:val="00D1462E"/>
    <w:rsid w:val="00D14EAB"/>
    <w:rsid w:val="00D1603E"/>
    <w:rsid w:val="00D2116D"/>
    <w:rsid w:val="00D22511"/>
    <w:rsid w:val="00D2575B"/>
    <w:rsid w:val="00D25C16"/>
    <w:rsid w:val="00D263D5"/>
    <w:rsid w:val="00D27624"/>
    <w:rsid w:val="00D27CCD"/>
    <w:rsid w:val="00D30B12"/>
    <w:rsid w:val="00D35A25"/>
    <w:rsid w:val="00D4329C"/>
    <w:rsid w:val="00D438F7"/>
    <w:rsid w:val="00D443BD"/>
    <w:rsid w:val="00D4473A"/>
    <w:rsid w:val="00D46493"/>
    <w:rsid w:val="00D466B8"/>
    <w:rsid w:val="00D47B6F"/>
    <w:rsid w:val="00D50861"/>
    <w:rsid w:val="00D50A40"/>
    <w:rsid w:val="00D5158A"/>
    <w:rsid w:val="00D51B07"/>
    <w:rsid w:val="00D52F05"/>
    <w:rsid w:val="00D53E4B"/>
    <w:rsid w:val="00D540D7"/>
    <w:rsid w:val="00D5440D"/>
    <w:rsid w:val="00D546D6"/>
    <w:rsid w:val="00D57FB2"/>
    <w:rsid w:val="00D60A0F"/>
    <w:rsid w:val="00D635D0"/>
    <w:rsid w:val="00D64B7E"/>
    <w:rsid w:val="00D6694D"/>
    <w:rsid w:val="00D67B1D"/>
    <w:rsid w:val="00D70176"/>
    <w:rsid w:val="00D703A1"/>
    <w:rsid w:val="00D7090C"/>
    <w:rsid w:val="00D70A97"/>
    <w:rsid w:val="00D71CC9"/>
    <w:rsid w:val="00D71FAE"/>
    <w:rsid w:val="00D738DA"/>
    <w:rsid w:val="00D7405F"/>
    <w:rsid w:val="00D741DF"/>
    <w:rsid w:val="00D741E7"/>
    <w:rsid w:val="00D746BA"/>
    <w:rsid w:val="00D749F9"/>
    <w:rsid w:val="00D75484"/>
    <w:rsid w:val="00D764E3"/>
    <w:rsid w:val="00D76567"/>
    <w:rsid w:val="00D7670C"/>
    <w:rsid w:val="00D774F7"/>
    <w:rsid w:val="00D80121"/>
    <w:rsid w:val="00D816B5"/>
    <w:rsid w:val="00D82064"/>
    <w:rsid w:val="00D8525A"/>
    <w:rsid w:val="00D85412"/>
    <w:rsid w:val="00D909F0"/>
    <w:rsid w:val="00D91AE7"/>
    <w:rsid w:val="00D97587"/>
    <w:rsid w:val="00D97DC0"/>
    <w:rsid w:val="00DA23A4"/>
    <w:rsid w:val="00DA275F"/>
    <w:rsid w:val="00DA3771"/>
    <w:rsid w:val="00DA6E6F"/>
    <w:rsid w:val="00DB12D1"/>
    <w:rsid w:val="00DB20B5"/>
    <w:rsid w:val="00DB46CE"/>
    <w:rsid w:val="00DB5A8A"/>
    <w:rsid w:val="00DB6CC1"/>
    <w:rsid w:val="00DC3B44"/>
    <w:rsid w:val="00DC4BA7"/>
    <w:rsid w:val="00DC54DE"/>
    <w:rsid w:val="00DC5B17"/>
    <w:rsid w:val="00DD188A"/>
    <w:rsid w:val="00DD2356"/>
    <w:rsid w:val="00DD2D29"/>
    <w:rsid w:val="00DD311A"/>
    <w:rsid w:val="00DD43D1"/>
    <w:rsid w:val="00DD515B"/>
    <w:rsid w:val="00DD55AC"/>
    <w:rsid w:val="00DD583A"/>
    <w:rsid w:val="00DE0123"/>
    <w:rsid w:val="00DE3E05"/>
    <w:rsid w:val="00DE3E39"/>
    <w:rsid w:val="00DE697E"/>
    <w:rsid w:val="00DE6989"/>
    <w:rsid w:val="00DE6F49"/>
    <w:rsid w:val="00DE743D"/>
    <w:rsid w:val="00DE799C"/>
    <w:rsid w:val="00DF0347"/>
    <w:rsid w:val="00DF12DA"/>
    <w:rsid w:val="00DF1F8D"/>
    <w:rsid w:val="00DF25E3"/>
    <w:rsid w:val="00DF2DA7"/>
    <w:rsid w:val="00DF32BD"/>
    <w:rsid w:val="00DF38ED"/>
    <w:rsid w:val="00DF4F56"/>
    <w:rsid w:val="00DF7655"/>
    <w:rsid w:val="00DF7D4D"/>
    <w:rsid w:val="00E00013"/>
    <w:rsid w:val="00E00EDC"/>
    <w:rsid w:val="00E02719"/>
    <w:rsid w:val="00E0429B"/>
    <w:rsid w:val="00E04B8B"/>
    <w:rsid w:val="00E05304"/>
    <w:rsid w:val="00E0544D"/>
    <w:rsid w:val="00E05BD1"/>
    <w:rsid w:val="00E067E1"/>
    <w:rsid w:val="00E10CD4"/>
    <w:rsid w:val="00E111A1"/>
    <w:rsid w:val="00E118A8"/>
    <w:rsid w:val="00E11F8A"/>
    <w:rsid w:val="00E12DDB"/>
    <w:rsid w:val="00E1430B"/>
    <w:rsid w:val="00E17A6B"/>
    <w:rsid w:val="00E17DE8"/>
    <w:rsid w:val="00E20E90"/>
    <w:rsid w:val="00E21C8D"/>
    <w:rsid w:val="00E244AB"/>
    <w:rsid w:val="00E27BAA"/>
    <w:rsid w:val="00E3055F"/>
    <w:rsid w:val="00E319DE"/>
    <w:rsid w:val="00E323E0"/>
    <w:rsid w:val="00E32936"/>
    <w:rsid w:val="00E34243"/>
    <w:rsid w:val="00E37E0A"/>
    <w:rsid w:val="00E37FE8"/>
    <w:rsid w:val="00E432F0"/>
    <w:rsid w:val="00E44D8D"/>
    <w:rsid w:val="00E45646"/>
    <w:rsid w:val="00E45B9C"/>
    <w:rsid w:val="00E47382"/>
    <w:rsid w:val="00E50E00"/>
    <w:rsid w:val="00E51C6F"/>
    <w:rsid w:val="00E52F76"/>
    <w:rsid w:val="00E53860"/>
    <w:rsid w:val="00E53EA1"/>
    <w:rsid w:val="00E5481A"/>
    <w:rsid w:val="00E54DA6"/>
    <w:rsid w:val="00E55343"/>
    <w:rsid w:val="00E61B74"/>
    <w:rsid w:val="00E62A45"/>
    <w:rsid w:val="00E64481"/>
    <w:rsid w:val="00E64BE1"/>
    <w:rsid w:val="00E65299"/>
    <w:rsid w:val="00E664B6"/>
    <w:rsid w:val="00E6718A"/>
    <w:rsid w:val="00E67632"/>
    <w:rsid w:val="00E714E9"/>
    <w:rsid w:val="00E72296"/>
    <w:rsid w:val="00E72AC8"/>
    <w:rsid w:val="00E73799"/>
    <w:rsid w:val="00E74454"/>
    <w:rsid w:val="00E746E8"/>
    <w:rsid w:val="00E75B0B"/>
    <w:rsid w:val="00E7681B"/>
    <w:rsid w:val="00E81CEF"/>
    <w:rsid w:val="00E83241"/>
    <w:rsid w:val="00E83C35"/>
    <w:rsid w:val="00E85127"/>
    <w:rsid w:val="00E909B6"/>
    <w:rsid w:val="00E91D13"/>
    <w:rsid w:val="00E930AE"/>
    <w:rsid w:val="00E93266"/>
    <w:rsid w:val="00E939D9"/>
    <w:rsid w:val="00E93FDB"/>
    <w:rsid w:val="00E95768"/>
    <w:rsid w:val="00E961AA"/>
    <w:rsid w:val="00E96541"/>
    <w:rsid w:val="00EA0AEA"/>
    <w:rsid w:val="00EA1832"/>
    <w:rsid w:val="00EA4A19"/>
    <w:rsid w:val="00EA7C85"/>
    <w:rsid w:val="00EB094E"/>
    <w:rsid w:val="00EB0DCA"/>
    <w:rsid w:val="00EB2F40"/>
    <w:rsid w:val="00EB4424"/>
    <w:rsid w:val="00EB4A84"/>
    <w:rsid w:val="00EB5674"/>
    <w:rsid w:val="00EB6AB5"/>
    <w:rsid w:val="00EB6B7C"/>
    <w:rsid w:val="00EB7FD7"/>
    <w:rsid w:val="00EC054F"/>
    <w:rsid w:val="00EC1835"/>
    <w:rsid w:val="00EC4737"/>
    <w:rsid w:val="00EC68FA"/>
    <w:rsid w:val="00ED0873"/>
    <w:rsid w:val="00ED2A18"/>
    <w:rsid w:val="00ED34A2"/>
    <w:rsid w:val="00ED4E5F"/>
    <w:rsid w:val="00ED5A75"/>
    <w:rsid w:val="00ED6731"/>
    <w:rsid w:val="00EE6986"/>
    <w:rsid w:val="00EE7BCB"/>
    <w:rsid w:val="00EF0F43"/>
    <w:rsid w:val="00EF21F2"/>
    <w:rsid w:val="00EF23E8"/>
    <w:rsid w:val="00EF2968"/>
    <w:rsid w:val="00EF41C7"/>
    <w:rsid w:val="00EF6C49"/>
    <w:rsid w:val="00F00639"/>
    <w:rsid w:val="00F0107B"/>
    <w:rsid w:val="00F02357"/>
    <w:rsid w:val="00F0730F"/>
    <w:rsid w:val="00F10E8E"/>
    <w:rsid w:val="00F117AC"/>
    <w:rsid w:val="00F1275B"/>
    <w:rsid w:val="00F12C07"/>
    <w:rsid w:val="00F1357B"/>
    <w:rsid w:val="00F143EA"/>
    <w:rsid w:val="00F14747"/>
    <w:rsid w:val="00F14970"/>
    <w:rsid w:val="00F15B0D"/>
    <w:rsid w:val="00F15B28"/>
    <w:rsid w:val="00F15CD4"/>
    <w:rsid w:val="00F172E0"/>
    <w:rsid w:val="00F17880"/>
    <w:rsid w:val="00F20D1A"/>
    <w:rsid w:val="00F24B00"/>
    <w:rsid w:val="00F300F0"/>
    <w:rsid w:val="00F30178"/>
    <w:rsid w:val="00F322C7"/>
    <w:rsid w:val="00F334BF"/>
    <w:rsid w:val="00F356D2"/>
    <w:rsid w:val="00F35E09"/>
    <w:rsid w:val="00F370EA"/>
    <w:rsid w:val="00F37D77"/>
    <w:rsid w:val="00F41920"/>
    <w:rsid w:val="00F42188"/>
    <w:rsid w:val="00F4250D"/>
    <w:rsid w:val="00F42E9C"/>
    <w:rsid w:val="00F42FAB"/>
    <w:rsid w:val="00F432DE"/>
    <w:rsid w:val="00F436B3"/>
    <w:rsid w:val="00F46263"/>
    <w:rsid w:val="00F468F8"/>
    <w:rsid w:val="00F46D4B"/>
    <w:rsid w:val="00F47067"/>
    <w:rsid w:val="00F47142"/>
    <w:rsid w:val="00F47656"/>
    <w:rsid w:val="00F533F2"/>
    <w:rsid w:val="00F53403"/>
    <w:rsid w:val="00F537B9"/>
    <w:rsid w:val="00F53B6D"/>
    <w:rsid w:val="00F541AF"/>
    <w:rsid w:val="00F5426B"/>
    <w:rsid w:val="00F54A3C"/>
    <w:rsid w:val="00F5532E"/>
    <w:rsid w:val="00F55BD2"/>
    <w:rsid w:val="00F56150"/>
    <w:rsid w:val="00F56A53"/>
    <w:rsid w:val="00F57044"/>
    <w:rsid w:val="00F57136"/>
    <w:rsid w:val="00F573D6"/>
    <w:rsid w:val="00F57F43"/>
    <w:rsid w:val="00F61753"/>
    <w:rsid w:val="00F619E8"/>
    <w:rsid w:val="00F61BE7"/>
    <w:rsid w:val="00F61FE3"/>
    <w:rsid w:val="00F630CF"/>
    <w:rsid w:val="00F64F1B"/>
    <w:rsid w:val="00F65000"/>
    <w:rsid w:val="00F6521F"/>
    <w:rsid w:val="00F65A32"/>
    <w:rsid w:val="00F66EA7"/>
    <w:rsid w:val="00F70D7E"/>
    <w:rsid w:val="00F72229"/>
    <w:rsid w:val="00F72BB4"/>
    <w:rsid w:val="00F741C9"/>
    <w:rsid w:val="00F741D3"/>
    <w:rsid w:val="00F74668"/>
    <w:rsid w:val="00F75BCF"/>
    <w:rsid w:val="00F77951"/>
    <w:rsid w:val="00F77CB6"/>
    <w:rsid w:val="00F8095D"/>
    <w:rsid w:val="00F8222E"/>
    <w:rsid w:val="00F83497"/>
    <w:rsid w:val="00F87E5D"/>
    <w:rsid w:val="00F9003E"/>
    <w:rsid w:val="00F90D9A"/>
    <w:rsid w:val="00F9221B"/>
    <w:rsid w:val="00F93D0B"/>
    <w:rsid w:val="00F95895"/>
    <w:rsid w:val="00F96B90"/>
    <w:rsid w:val="00F97BBE"/>
    <w:rsid w:val="00FA10CD"/>
    <w:rsid w:val="00FA1BFF"/>
    <w:rsid w:val="00FA3E11"/>
    <w:rsid w:val="00FA5AB5"/>
    <w:rsid w:val="00FA644E"/>
    <w:rsid w:val="00FA7DC0"/>
    <w:rsid w:val="00FB1C7B"/>
    <w:rsid w:val="00FB2C8E"/>
    <w:rsid w:val="00FB2CB9"/>
    <w:rsid w:val="00FB32FD"/>
    <w:rsid w:val="00FB381B"/>
    <w:rsid w:val="00FB3B8D"/>
    <w:rsid w:val="00FB567A"/>
    <w:rsid w:val="00FB574F"/>
    <w:rsid w:val="00FB6AA0"/>
    <w:rsid w:val="00FC1643"/>
    <w:rsid w:val="00FC1C5F"/>
    <w:rsid w:val="00FC56F3"/>
    <w:rsid w:val="00FC6380"/>
    <w:rsid w:val="00FC6907"/>
    <w:rsid w:val="00FC6A4B"/>
    <w:rsid w:val="00FD0601"/>
    <w:rsid w:val="00FD1326"/>
    <w:rsid w:val="00FD3211"/>
    <w:rsid w:val="00FD5880"/>
    <w:rsid w:val="00FD63E8"/>
    <w:rsid w:val="00FE0A46"/>
    <w:rsid w:val="00FE0DFA"/>
    <w:rsid w:val="00FE3C6A"/>
    <w:rsid w:val="00FE6E07"/>
    <w:rsid w:val="00FE7F8F"/>
    <w:rsid w:val="00FF154B"/>
    <w:rsid w:val="00FF1A23"/>
    <w:rsid w:val="00FF1B4B"/>
    <w:rsid w:val="00FF2852"/>
    <w:rsid w:val="00FF4E2E"/>
    <w:rsid w:val="00FF7A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1B9E4"/>
  <w15:docId w15:val="{8B5E49EB-A428-45FB-B12A-E2566587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8D"/>
    <w:pPr>
      <w:spacing w:line="360" w:lineRule="auto"/>
      <w:jc w:val="both"/>
    </w:pPr>
    <w:rPr>
      <w:sz w:val="24"/>
      <w:lang w:val="en-GB" w:bidi="ar-SA"/>
    </w:rPr>
  </w:style>
  <w:style w:type="paragraph" w:styleId="Heading1">
    <w:name w:val="heading 1"/>
    <w:basedOn w:val="Normal"/>
    <w:next w:val="Normal"/>
    <w:link w:val="Heading1Char"/>
    <w:qFormat/>
    <w:locked/>
    <w:rsid w:val="004A56A0"/>
    <w:pPr>
      <w:jc w:val="center"/>
      <w:outlineLvl w:val="0"/>
    </w:pPr>
    <w:rPr>
      <w:b/>
      <w:bCs/>
      <w:sz w:val="32"/>
      <w:szCs w:val="32"/>
    </w:rPr>
  </w:style>
  <w:style w:type="paragraph" w:styleId="Heading2">
    <w:name w:val="heading 2"/>
    <w:basedOn w:val="Normal"/>
    <w:next w:val="Normal"/>
    <w:link w:val="Heading2Char"/>
    <w:unhideWhenUsed/>
    <w:qFormat/>
    <w:locked/>
    <w:rsid w:val="004A56A0"/>
    <w:pPr>
      <w:outlineLvl w:val="1"/>
    </w:pPr>
    <w:rPr>
      <w:sz w:val="28"/>
      <w:szCs w:val="28"/>
    </w:rPr>
  </w:style>
  <w:style w:type="paragraph" w:styleId="Heading3">
    <w:name w:val="heading 3"/>
    <w:basedOn w:val="Normal"/>
    <w:next w:val="Normal"/>
    <w:link w:val="Heading3Char"/>
    <w:unhideWhenUsed/>
    <w:qFormat/>
    <w:locked/>
    <w:rsid w:val="004A56A0"/>
    <w:pPr>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E6F"/>
    <w:pPr>
      <w:ind w:left="720"/>
      <w:contextualSpacing/>
    </w:pPr>
  </w:style>
  <w:style w:type="character" w:styleId="CommentReference">
    <w:name w:val="annotation reference"/>
    <w:basedOn w:val="DefaultParagraphFont"/>
    <w:uiPriority w:val="99"/>
    <w:semiHidden/>
    <w:rsid w:val="00A2622F"/>
    <w:rPr>
      <w:rFonts w:cs="Times New Roman"/>
      <w:sz w:val="16"/>
      <w:szCs w:val="16"/>
    </w:rPr>
  </w:style>
  <w:style w:type="paragraph" w:styleId="CommentText">
    <w:name w:val="annotation text"/>
    <w:basedOn w:val="Normal"/>
    <w:link w:val="CommentTextChar"/>
    <w:uiPriority w:val="99"/>
    <w:semiHidden/>
    <w:rsid w:val="00A2622F"/>
    <w:rPr>
      <w:sz w:val="20"/>
      <w:szCs w:val="20"/>
    </w:rPr>
  </w:style>
  <w:style w:type="character" w:customStyle="1" w:styleId="CommentTextChar">
    <w:name w:val="Comment Text Char"/>
    <w:basedOn w:val="DefaultParagraphFont"/>
    <w:link w:val="CommentText"/>
    <w:uiPriority w:val="99"/>
    <w:semiHidden/>
    <w:locked/>
    <w:rsid w:val="0086609D"/>
    <w:rPr>
      <w:rFonts w:cs="Times New Roman"/>
      <w:sz w:val="20"/>
      <w:szCs w:val="20"/>
      <w:lang w:val="en-GB" w:bidi="ar-SA"/>
    </w:rPr>
  </w:style>
  <w:style w:type="paragraph" w:styleId="CommentSubject">
    <w:name w:val="annotation subject"/>
    <w:basedOn w:val="CommentText"/>
    <w:next w:val="CommentText"/>
    <w:link w:val="CommentSubjectChar"/>
    <w:uiPriority w:val="99"/>
    <w:semiHidden/>
    <w:rsid w:val="00A2622F"/>
    <w:rPr>
      <w:b/>
      <w:bCs/>
    </w:rPr>
  </w:style>
  <w:style w:type="character" w:customStyle="1" w:styleId="CommentSubjectChar">
    <w:name w:val="Comment Subject Char"/>
    <w:basedOn w:val="CommentTextChar"/>
    <w:link w:val="CommentSubject"/>
    <w:uiPriority w:val="99"/>
    <w:semiHidden/>
    <w:locked/>
    <w:rsid w:val="0086609D"/>
    <w:rPr>
      <w:rFonts w:cs="Times New Roman"/>
      <w:b/>
      <w:bCs/>
      <w:sz w:val="20"/>
      <w:szCs w:val="20"/>
      <w:lang w:val="en-GB" w:bidi="ar-SA"/>
    </w:rPr>
  </w:style>
  <w:style w:type="paragraph" w:styleId="BalloonText">
    <w:name w:val="Balloon Text"/>
    <w:basedOn w:val="Normal"/>
    <w:link w:val="BalloonTextChar"/>
    <w:uiPriority w:val="99"/>
    <w:semiHidden/>
    <w:rsid w:val="00A262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09D"/>
    <w:rPr>
      <w:rFonts w:ascii="Times New Roman" w:hAnsi="Times New Roman" w:cs="Times New Roman"/>
      <w:sz w:val="2"/>
      <w:lang w:val="en-GB" w:bidi="ar-SA"/>
    </w:rPr>
  </w:style>
  <w:style w:type="table" w:styleId="TableGrid">
    <w:name w:val="Table Grid"/>
    <w:basedOn w:val="TableNormal"/>
    <w:uiPriority w:val="99"/>
    <w:locked/>
    <w:rsid w:val="00EF6C49"/>
    <w:rPr>
      <w:sz w:val="20"/>
      <w:szCs w:val="20"/>
      <w:lang w:val="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rsid w:val="008650C6"/>
    <w:rPr>
      <w:rFonts w:cs="Times New Roman"/>
      <w:i/>
      <w:iCs/>
    </w:rPr>
  </w:style>
  <w:style w:type="character" w:customStyle="1" w:styleId="author">
    <w:name w:val="author"/>
    <w:basedOn w:val="DefaultParagraphFont"/>
    <w:uiPriority w:val="99"/>
    <w:rsid w:val="008650C6"/>
    <w:rPr>
      <w:rFonts w:cs="Times New Roman"/>
    </w:rPr>
  </w:style>
  <w:style w:type="character" w:customStyle="1" w:styleId="apple-converted-space">
    <w:name w:val="apple-converted-space"/>
    <w:basedOn w:val="DefaultParagraphFont"/>
    <w:rsid w:val="008650C6"/>
    <w:rPr>
      <w:rFonts w:cs="Times New Roman"/>
    </w:rPr>
  </w:style>
  <w:style w:type="character" w:customStyle="1" w:styleId="pubyear">
    <w:name w:val="pubyear"/>
    <w:basedOn w:val="DefaultParagraphFont"/>
    <w:uiPriority w:val="99"/>
    <w:rsid w:val="008650C6"/>
    <w:rPr>
      <w:rFonts w:cs="Times New Roman"/>
    </w:rPr>
  </w:style>
  <w:style w:type="character" w:customStyle="1" w:styleId="booktitle">
    <w:name w:val="booktitle"/>
    <w:basedOn w:val="DefaultParagraphFont"/>
    <w:uiPriority w:val="99"/>
    <w:rsid w:val="008650C6"/>
    <w:rPr>
      <w:rFonts w:cs="Times New Roman"/>
    </w:rPr>
  </w:style>
  <w:style w:type="character" w:customStyle="1" w:styleId="publisherlocation">
    <w:name w:val="publisherlocation"/>
    <w:basedOn w:val="DefaultParagraphFont"/>
    <w:uiPriority w:val="99"/>
    <w:rsid w:val="008650C6"/>
    <w:rPr>
      <w:rFonts w:cs="Times New Roman"/>
    </w:rPr>
  </w:style>
  <w:style w:type="character" w:customStyle="1" w:styleId="Heading1Char">
    <w:name w:val="Heading 1 Char"/>
    <w:basedOn w:val="DefaultParagraphFont"/>
    <w:link w:val="Heading1"/>
    <w:rsid w:val="004A56A0"/>
    <w:rPr>
      <w:b/>
      <w:bCs/>
      <w:sz w:val="32"/>
      <w:szCs w:val="32"/>
      <w:lang w:val="en-GB" w:bidi="ar-SA"/>
    </w:rPr>
  </w:style>
  <w:style w:type="character" w:customStyle="1" w:styleId="Heading2Char">
    <w:name w:val="Heading 2 Char"/>
    <w:basedOn w:val="DefaultParagraphFont"/>
    <w:link w:val="Heading2"/>
    <w:rsid w:val="004A56A0"/>
    <w:rPr>
      <w:sz w:val="28"/>
      <w:szCs w:val="28"/>
      <w:lang w:val="en-GB" w:bidi="ar-SA"/>
    </w:rPr>
  </w:style>
  <w:style w:type="character" w:customStyle="1" w:styleId="Heading3Char">
    <w:name w:val="Heading 3 Char"/>
    <w:basedOn w:val="DefaultParagraphFont"/>
    <w:link w:val="Heading3"/>
    <w:rsid w:val="004A56A0"/>
    <w:rPr>
      <w:i/>
      <w:iCs/>
      <w:sz w:val="24"/>
      <w:szCs w:val="24"/>
      <w:lang w:val="en-GB" w:bidi="ar-SA"/>
    </w:rPr>
  </w:style>
  <w:style w:type="paragraph" w:styleId="Header">
    <w:name w:val="header"/>
    <w:basedOn w:val="Normal"/>
    <w:link w:val="HeaderChar"/>
    <w:uiPriority w:val="99"/>
    <w:unhideWhenUsed/>
    <w:rsid w:val="008E37CC"/>
    <w:pPr>
      <w:tabs>
        <w:tab w:val="center" w:pos="4513"/>
        <w:tab w:val="right" w:pos="9026"/>
      </w:tabs>
      <w:spacing w:line="240" w:lineRule="auto"/>
    </w:pPr>
  </w:style>
  <w:style w:type="character" w:customStyle="1" w:styleId="HeaderChar">
    <w:name w:val="Header Char"/>
    <w:basedOn w:val="DefaultParagraphFont"/>
    <w:link w:val="Header"/>
    <w:uiPriority w:val="99"/>
    <w:rsid w:val="008E37CC"/>
    <w:rPr>
      <w:sz w:val="24"/>
      <w:lang w:val="en-GB" w:bidi="ar-SA"/>
    </w:rPr>
  </w:style>
  <w:style w:type="paragraph" w:styleId="Footer">
    <w:name w:val="footer"/>
    <w:basedOn w:val="Normal"/>
    <w:link w:val="FooterChar"/>
    <w:uiPriority w:val="99"/>
    <w:unhideWhenUsed/>
    <w:rsid w:val="008E37CC"/>
    <w:pPr>
      <w:tabs>
        <w:tab w:val="center" w:pos="4513"/>
        <w:tab w:val="right" w:pos="9026"/>
      </w:tabs>
      <w:spacing w:line="240" w:lineRule="auto"/>
    </w:pPr>
  </w:style>
  <w:style w:type="character" w:customStyle="1" w:styleId="FooterChar">
    <w:name w:val="Footer Char"/>
    <w:basedOn w:val="DefaultParagraphFont"/>
    <w:link w:val="Footer"/>
    <w:uiPriority w:val="99"/>
    <w:rsid w:val="008E37CC"/>
    <w:rPr>
      <w:sz w:val="24"/>
      <w:lang w:val="en-GB" w:bidi="ar-SA"/>
    </w:rPr>
  </w:style>
  <w:style w:type="paragraph" w:styleId="Caption">
    <w:name w:val="caption"/>
    <w:basedOn w:val="Normal"/>
    <w:next w:val="Normal"/>
    <w:unhideWhenUsed/>
    <w:qFormat/>
    <w:locked/>
    <w:rsid w:val="00A1478D"/>
    <w:pPr>
      <w:spacing w:after="200"/>
    </w:pPr>
    <w:rPr>
      <w:b/>
      <w:sz w:val="22"/>
    </w:rPr>
  </w:style>
  <w:style w:type="character" w:styleId="Hyperlink">
    <w:name w:val="Hyperlink"/>
    <w:basedOn w:val="DefaultParagraphFont"/>
    <w:uiPriority w:val="99"/>
    <w:unhideWhenUsed/>
    <w:rsid w:val="006A65D5"/>
    <w:rPr>
      <w:color w:val="0000FF" w:themeColor="hyperlink"/>
      <w:u w:val="single"/>
    </w:rPr>
  </w:style>
  <w:style w:type="paragraph" w:styleId="Bibliography">
    <w:name w:val="Bibliography"/>
    <w:basedOn w:val="Normal"/>
    <w:next w:val="Normal"/>
    <w:uiPriority w:val="37"/>
    <w:unhideWhenUsed/>
    <w:rsid w:val="004421A4"/>
  </w:style>
  <w:style w:type="paragraph" w:styleId="Revision">
    <w:name w:val="Revision"/>
    <w:hidden/>
    <w:uiPriority w:val="99"/>
    <w:semiHidden/>
    <w:rsid w:val="00A8171C"/>
    <w:rPr>
      <w:sz w:val="24"/>
      <w:lang w:val="en-GB" w:bidi="ar-SA"/>
    </w:rPr>
  </w:style>
  <w:style w:type="paragraph" w:styleId="HTMLPreformatted">
    <w:name w:val="HTML Preformatted"/>
    <w:basedOn w:val="Normal"/>
    <w:link w:val="HTMLPreformattedChar"/>
    <w:uiPriority w:val="99"/>
    <w:semiHidden/>
    <w:unhideWhenUsed/>
    <w:rsid w:val="00581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bidi="he-IL"/>
    </w:rPr>
  </w:style>
  <w:style w:type="character" w:customStyle="1" w:styleId="HTMLPreformattedChar">
    <w:name w:val="HTML Preformatted Char"/>
    <w:basedOn w:val="DefaultParagraphFont"/>
    <w:link w:val="HTMLPreformatted"/>
    <w:uiPriority w:val="99"/>
    <w:semiHidden/>
    <w:rsid w:val="0058129E"/>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652C11"/>
  </w:style>
  <w:style w:type="paragraph" w:styleId="NormalWeb">
    <w:name w:val="Normal (Web)"/>
    <w:basedOn w:val="Normal"/>
    <w:uiPriority w:val="99"/>
    <w:semiHidden/>
    <w:unhideWhenUsed/>
    <w:rsid w:val="00D4329C"/>
    <w:pPr>
      <w:spacing w:before="100" w:beforeAutospacing="1" w:after="100" w:afterAutospacing="1" w:line="240" w:lineRule="auto"/>
      <w:jc w:val="left"/>
    </w:pPr>
    <w:rPr>
      <w:rFonts w:ascii="Times New Roman" w:eastAsiaTheme="minorHAnsi" w:hAnsi="Times New Roman" w:cs="Times New Roman"/>
      <w:szCs w:val="24"/>
      <w:lang w:eastAsia="en-GB"/>
    </w:rPr>
  </w:style>
  <w:style w:type="character" w:customStyle="1" w:styleId="gmail-m2920318361405336968afpanelgrouplayout">
    <w:name w:val="gmail-m_2920318361405336968af_panelgrouplayout"/>
    <w:basedOn w:val="DefaultParagraphFont"/>
    <w:rsid w:val="00867B42"/>
  </w:style>
  <w:style w:type="paragraph" w:customStyle="1" w:styleId="Reviewercomments">
    <w:name w:val="Reviewer comments"/>
    <w:basedOn w:val="NormalWeb"/>
    <w:link w:val="ReviewercommentsChar"/>
    <w:qFormat/>
    <w:rsid w:val="00867B42"/>
    <w:pPr>
      <w:spacing w:before="0" w:beforeAutospacing="0" w:after="60" w:afterAutospacing="0" w:line="288" w:lineRule="auto"/>
    </w:pPr>
    <w:rPr>
      <w:color w:val="1F497D" w:themeColor="text2"/>
    </w:rPr>
  </w:style>
  <w:style w:type="character" w:customStyle="1" w:styleId="ReviewercommentsChar">
    <w:name w:val="Reviewer comments Char"/>
    <w:basedOn w:val="DefaultParagraphFont"/>
    <w:link w:val="Reviewercomments"/>
    <w:rsid w:val="00867B42"/>
    <w:rPr>
      <w:rFonts w:ascii="Times New Roman" w:eastAsiaTheme="minorHAnsi" w:hAnsi="Times New Roman" w:cs="Times New Roman"/>
      <w:color w:val="1F497D" w:themeColor="text2"/>
      <w:sz w:val="24"/>
      <w:szCs w:val="24"/>
      <w:lang w:val="en-GB" w:eastAsia="en-GB" w:bidi="ar-SA"/>
    </w:rPr>
  </w:style>
  <w:style w:type="character" w:styleId="FollowedHyperlink">
    <w:name w:val="FollowedHyperlink"/>
    <w:basedOn w:val="DefaultParagraphFont"/>
    <w:uiPriority w:val="99"/>
    <w:semiHidden/>
    <w:unhideWhenUsed/>
    <w:rsid w:val="00B709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5533">
      <w:bodyDiv w:val="1"/>
      <w:marLeft w:val="0"/>
      <w:marRight w:val="0"/>
      <w:marTop w:val="0"/>
      <w:marBottom w:val="0"/>
      <w:divBdr>
        <w:top w:val="none" w:sz="0" w:space="0" w:color="auto"/>
        <w:left w:val="none" w:sz="0" w:space="0" w:color="auto"/>
        <w:bottom w:val="none" w:sz="0" w:space="0" w:color="auto"/>
        <w:right w:val="none" w:sz="0" w:space="0" w:color="auto"/>
      </w:divBdr>
    </w:div>
    <w:div w:id="252279018">
      <w:bodyDiv w:val="1"/>
      <w:marLeft w:val="0"/>
      <w:marRight w:val="0"/>
      <w:marTop w:val="0"/>
      <w:marBottom w:val="0"/>
      <w:divBdr>
        <w:top w:val="none" w:sz="0" w:space="0" w:color="auto"/>
        <w:left w:val="none" w:sz="0" w:space="0" w:color="auto"/>
        <w:bottom w:val="none" w:sz="0" w:space="0" w:color="auto"/>
        <w:right w:val="none" w:sz="0" w:space="0" w:color="auto"/>
      </w:divBdr>
    </w:div>
    <w:div w:id="460078709">
      <w:bodyDiv w:val="1"/>
      <w:marLeft w:val="0"/>
      <w:marRight w:val="0"/>
      <w:marTop w:val="0"/>
      <w:marBottom w:val="0"/>
      <w:divBdr>
        <w:top w:val="none" w:sz="0" w:space="0" w:color="auto"/>
        <w:left w:val="none" w:sz="0" w:space="0" w:color="auto"/>
        <w:bottom w:val="none" w:sz="0" w:space="0" w:color="auto"/>
        <w:right w:val="none" w:sz="0" w:space="0" w:color="auto"/>
      </w:divBdr>
    </w:div>
    <w:div w:id="605619564">
      <w:bodyDiv w:val="1"/>
      <w:marLeft w:val="0"/>
      <w:marRight w:val="0"/>
      <w:marTop w:val="0"/>
      <w:marBottom w:val="0"/>
      <w:divBdr>
        <w:top w:val="none" w:sz="0" w:space="0" w:color="auto"/>
        <w:left w:val="none" w:sz="0" w:space="0" w:color="auto"/>
        <w:bottom w:val="none" w:sz="0" w:space="0" w:color="auto"/>
        <w:right w:val="none" w:sz="0" w:space="0" w:color="auto"/>
      </w:divBdr>
      <w:divsChild>
        <w:div w:id="437261751">
          <w:marLeft w:val="0"/>
          <w:marRight w:val="0"/>
          <w:marTop w:val="0"/>
          <w:marBottom w:val="0"/>
          <w:divBdr>
            <w:top w:val="none" w:sz="0" w:space="0" w:color="auto"/>
            <w:left w:val="none" w:sz="0" w:space="0" w:color="auto"/>
            <w:bottom w:val="none" w:sz="0" w:space="0" w:color="auto"/>
            <w:right w:val="none" w:sz="0" w:space="0" w:color="auto"/>
          </w:divBdr>
          <w:divsChild>
            <w:div w:id="1943806432">
              <w:marLeft w:val="0"/>
              <w:marRight w:val="0"/>
              <w:marTop w:val="0"/>
              <w:marBottom w:val="0"/>
              <w:divBdr>
                <w:top w:val="none" w:sz="0" w:space="0" w:color="auto"/>
                <w:left w:val="none" w:sz="0" w:space="0" w:color="auto"/>
                <w:bottom w:val="none" w:sz="0" w:space="0" w:color="auto"/>
                <w:right w:val="none" w:sz="0" w:space="0" w:color="auto"/>
              </w:divBdr>
              <w:divsChild>
                <w:div w:id="1939175492">
                  <w:marLeft w:val="0"/>
                  <w:marRight w:val="0"/>
                  <w:marTop w:val="0"/>
                  <w:marBottom w:val="0"/>
                  <w:divBdr>
                    <w:top w:val="none" w:sz="0" w:space="0" w:color="auto"/>
                    <w:left w:val="none" w:sz="0" w:space="0" w:color="auto"/>
                    <w:bottom w:val="none" w:sz="0" w:space="0" w:color="auto"/>
                    <w:right w:val="none" w:sz="0" w:space="0" w:color="auto"/>
                  </w:divBdr>
                  <w:divsChild>
                    <w:div w:id="714084903">
                      <w:marLeft w:val="0"/>
                      <w:marRight w:val="0"/>
                      <w:marTop w:val="0"/>
                      <w:marBottom w:val="0"/>
                      <w:divBdr>
                        <w:top w:val="none" w:sz="0" w:space="0" w:color="auto"/>
                        <w:left w:val="none" w:sz="0" w:space="0" w:color="auto"/>
                        <w:bottom w:val="none" w:sz="0" w:space="0" w:color="auto"/>
                        <w:right w:val="none" w:sz="0" w:space="0" w:color="auto"/>
                      </w:divBdr>
                      <w:divsChild>
                        <w:div w:id="2015494205">
                          <w:marLeft w:val="0"/>
                          <w:marRight w:val="0"/>
                          <w:marTop w:val="0"/>
                          <w:marBottom w:val="0"/>
                          <w:divBdr>
                            <w:top w:val="none" w:sz="0" w:space="0" w:color="auto"/>
                            <w:left w:val="none" w:sz="0" w:space="0" w:color="auto"/>
                            <w:bottom w:val="none" w:sz="0" w:space="0" w:color="auto"/>
                            <w:right w:val="none" w:sz="0" w:space="0" w:color="auto"/>
                          </w:divBdr>
                          <w:divsChild>
                            <w:div w:id="409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459038">
      <w:bodyDiv w:val="1"/>
      <w:marLeft w:val="0"/>
      <w:marRight w:val="0"/>
      <w:marTop w:val="0"/>
      <w:marBottom w:val="0"/>
      <w:divBdr>
        <w:top w:val="none" w:sz="0" w:space="0" w:color="auto"/>
        <w:left w:val="none" w:sz="0" w:space="0" w:color="auto"/>
        <w:bottom w:val="none" w:sz="0" w:space="0" w:color="auto"/>
        <w:right w:val="none" w:sz="0" w:space="0" w:color="auto"/>
      </w:divBdr>
      <w:divsChild>
        <w:div w:id="2099401875">
          <w:marLeft w:val="0"/>
          <w:marRight w:val="0"/>
          <w:marTop w:val="0"/>
          <w:marBottom w:val="0"/>
          <w:divBdr>
            <w:top w:val="none" w:sz="0" w:space="0" w:color="auto"/>
            <w:left w:val="none" w:sz="0" w:space="0" w:color="auto"/>
            <w:bottom w:val="none" w:sz="0" w:space="0" w:color="auto"/>
            <w:right w:val="none" w:sz="0" w:space="0" w:color="auto"/>
          </w:divBdr>
          <w:divsChild>
            <w:div w:id="1608540180">
              <w:marLeft w:val="0"/>
              <w:marRight w:val="0"/>
              <w:marTop w:val="0"/>
              <w:marBottom w:val="0"/>
              <w:divBdr>
                <w:top w:val="none" w:sz="0" w:space="0" w:color="auto"/>
                <w:left w:val="none" w:sz="0" w:space="0" w:color="auto"/>
                <w:bottom w:val="none" w:sz="0" w:space="0" w:color="auto"/>
                <w:right w:val="none" w:sz="0" w:space="0" w:color="auto"/>
              </w:divBdr>
              <w:divsChild>
                <w:div w:id="2097314874">
                  <w:marLeft w:val="0"/>
                  <w:marRight w:val="0"/>
                  <w:marTop w:val="0"/>
                  <w:marBottom w:val="0"/>
                  <w:divBdr>
                    <w:top w:val="none" w:sz="0" w:space="0" w:color="auto"/>
                    <w:left w:val="none" w:sz="0" w:space="0" w:color="auto"/>
                    <w:bottom w:val="none" w:sz="0" w:space="0" w:color="auto"/>
                    <w:right w:val="none" w:sz="0" w:space="0" w:color="auto"/>
                  </w:divBdr>
                  <w:divsChild>
                    <w:div w:id="778917697">
                      <w:marLeft w:val="0"/>
                      <w:marRight w:val="0"/>
                      <w:marTop w:val="0"/>
                      <w:marBottom w:val="0"/>
                      <w:divBdr>
                        <w:top w:val="none" w:sz="0" w:space="0" w:color="auto"/>
                        <w:left w:val="none" w:sz="0" w:space="0" w:color="auto"/>
                        <w:bottom w:val="none" w:sz="0" w:space="0" w:color="auto"/>
                        <w:right w:val="none" w:sz="0" w:space="0" w:color="auto"/>
                      </w:divBdr>
                      <w:divsChild>
                        <w:div w:id="248150840">
                          <w:marLeft w:val="0"/>
                          <w:marRight w:val="0"/>
                          <w:marTop w:val="0"/>
                          <w:marBottom w:val="0"/>
                          <w:divBdr>
                            <w:top w:val="none" w:sz="0" w:space="0" w:color="auto"/>
                            <w:left w:val="none" w:sz="0" w:space="0" w:color="auto"/>
                            <w:bottom w:val="none" w:sz="0" w:space="0" w:color="auto"/>
                            <w:right w:val="none" w:sz="0" w:space="0" w:color="auto"/>
                          </w:divBdr>
                          <w:divsChild>
                            <w:div w:id="11557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9652">
      <w:bodyDiv w:val="1"/>
      <w:marLeft w:val="0"/>
      <w:marRight w:val="0"/>
      <w:marTop w:val="0"/>
      <w:marBottom w:val="0"/>
      <w:divBdr>
        <w:top w:val="none" w:sz="0" w:space="0" w:color="auto"/>
        <w:left w:val="none" w:sz="0" w:space="0" w:color="auto"/>
        <w:bottom w:val="none" w:sz="0" w:space="0" w:color="auto"/>
        <w:right w:val="none" w:sz="0" w:space="0" w:color="auto"/>
      </w:divBdr>
      <w:divsChild>
        <w:div w:id="885990564">
          <w:marLeft w:val="0"/>
          <w:marRight w:val="0"/>
          <w:marTop w:val="0"/>
          <w:marBottom w:val="0"/>
          <w:divBdr>
            <w:top w:val="none" w:sz="0" w:space="0" w:color="auto"/>
            <w:left w:val="none" w:sz="0" w:space="0" w:color="auto"/>
            <w:bottom w:val="none" w:sz="0" w:space="0" w:color="auto"/>
            <w:right w:val="none" w:sz="0" w:space="0" w:color="auto"/>
          </w:divBdr>
          <w:divsChild>
            <w:div w:id="19666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967">
      <w:bodyDiv w:val="1"/>
      <w:marLeft w:val="0"/>
      <w:marRight w:val="0"/>
      <w:marTop w:val="0"/>
      <w:marBottom w:val="0"/>
      <w:divBdr>
        <w:top w:val="none" w:sz="0" w:space="0" w:color="auto"/>
        <w:left w:val="none" w:sz="0" w:space="0" w:color="auto"/>
        <w:bottom w:val="none" w:sz="0" w:space="0" w:color="auto"/>
        <w:right w:val="none" w:sz="0" w:space="0" w:color="auto"/>
      </w:divBdr>
    </w:div>
    <w:div w:id="1382049241">
      <w:marLeft w:val="0"/>
      <w:marRight w:val="0"/>
      <w:marTop w:val="0"/>
      <w:marBottom w:val="0"/>
      <w:divBdr>
        <w:top w:val="none" w:sz="0" w:space="0" w:color="auto"/>
        <w:left w:val="none" w:sz="0" w:space="0" w:color="auto"/>
        <w:bottom w:val="none" w:sz="0" w:space="0" w:color="auto"/>
        <w:right w:val="none" w:sz="0" w:space="0" w:color="auto"/>
      </w:divBdr>
    </w:div>
    <w:div w:id="1382049242">
      <w:marLeft w:val="0"/>
      <w:marRight w:val="0"/>
      <w:marTop w:val="0"/>
      <w:marBottom w:val="0"/>
      <w:divBdr>
        <w:top w:val="none" w:sz="0" w:space="0" w:color="auto"/>
        <w:left w:val="none" w:sz="0" w:space="0" w:color="auto"/>
        <w:bottom w:val="none" w:sz="0" w:space="0" w:color="auto"/>
        <w:right w:val="none" w:sz="0" w:space="0" w:color="auto"/>
      </w:divBdr>
      <w:divsChild>
        <w:div w:id="1382049239">
          <w:marLeft w:val="0"/>
          <w:marRight w:val="0"/>
          <w:marTop w:val="0"/>
          <w:marBottom w:val="0"/>
          <w:divBdr>
            <w:top w:val="none" w:sz="0" w:space="0" w:color="auto"/>
            <w:left w:val="none" w:sz="0" w:space="0" w:color="auto"/>
            <w:bottom w:val="none" w:sz="0" w:space="0" w:color="auto"/>
            <w:right w:val="none" w:sz="0" w:space="0" w:color="auto"/>
          </w:divBdr>
          <w:divsChild>
            <w:div w:id="1382049238">
              <w:marLeft w:val="0"/>
              <w:marRight w:val="0"/>
              <w:marTop w:val="0"/>
              <w:marBottom w:val="0"/>
              <w:divBdr>
                <w:top w:val="none" w:sz="0" w:space="0" w:color="auto"/>
                <w:left w:val="none" w:sz="0" w:space="0" w:color="auto"/>
                <w:bottom w:val="none" w:sz="0" w:space="0" w:color="auto"/>
                <w:right w:val="none" w:sz="0" w:space="0" w:color="auto"/>
              </w:divBdr>
            </w:div>
            <w:div w:id="1382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243">
      <w:marLeft w:val="0"/>
      <w:marRight w:val="0"/>
      <w:marTop w:val="0"/>
      <w:marBottom w:val="0"/>
      <w:divBdr>
        <w:top w:val="none" w:sz="0" w:space="0" w:color="auto"/>
        <w:left w:val="none" w:sz="0" w:space="0" w:color="auto"/>
        <w:bottom w:val="none" w:sz="0" w:space="0" w:color="auto"/>
        <w:right w:val="none" w:sz="0" w:space="0" w:color="auto"/>
      </w:divBdr>
    </w:div>
    <w:div w:id="1422801216">
      <w:bodyDiv w:val="1"/>
      <w:marLeft w:val="0"/>
      <w:marRight w:val="0"/>
      <w:marTop w:val="0"/>
      <w:marBottom w:val="0"/>
      <w:divBdr>
        <w:top w:val="none" w:sz="0" w:space="0" w:color="auto"/>
        <w:left w:val="none" w:sz="0" w:space="0" w:color="auto"/>
        <w:bottom w:val="none" w:sz="0" w:space="0" w:color="auto"/>
        <w:right w:val="none" w:sz="0" w:space="0" w:color="auto"/>
      </w:divBdr>
    </w:div>
    <w:div w:id="1500459267">
      <w:bodyDiv w:val="1"/>
      <w:marLeft w:val="0"/>
      <w:marRight w:val="0"/>
      <w:marTop w:val="0"/>
      <w:marBottom w:val="0"/>
      <w:divBdr>
        <w:top w:val="none" w:sz="0" w:space="0" w:color="auto"/>
        <w:left w:val="none" w:sz="0" w:space="0" w:color="auto"/>
        <w:bottom w:val="none" w:sz="0" w:space="0" w:color="auto"/>
        <w:right w:val="none" w:sz="0" w:space="0" w:color="auto"/>
      </w:divBdr>
    </w:div>
    <w:div w:id="1794595356">
      <w:bodyDiv w:val="1"/>
      <w:marLeft w:val="0"/>
      <w:marRight w:val="0"/>
      <w:marTop w:val="0"/>
      <w:marBottom w:val="0"/>
      <w:divBdr>
        <w:top w:val="none" w:sz="0" w:space="0" w:color="auto"/>
        <w:left w:val="none" w:sz="0" w:space="0" w:color="auto"/>
        <w:bottom w:val="none" w:sz="0" w:space="0" w:color="auto"/>
        <w:right w:val="none" w:sz="0" w:space="0" w:color="auto"/>
      </w:divBdr>
    </w:div>
    <w:div w:id="1823081339">
      <w:bodyDiv w:val="1"/>
      <w:marLeft w:val="0"/>
      <w:marRight w:val="0"/>
      <w:marTop w:val="0"/>
      <w:marBottom w:val="0"/>
      <w:divBdr>
        <w:top w:val="none" w:sz="0" w:space="0" w:color="auto"/>
        <w:left w:val="none" w:sz="0" w:space="0" w:color="auto"/>
        <w:bottom w:val="none" w:sz="0" w:space="0" w:color="auto"/>
        <w:right w:val="none" w:sz="0" w:space="0" w:color="auto"/>
      </w:divBdr>
    </w:div>
    <w:div w:id="1875656040">
      <w:bodyDiv w:val="1"/>
      <w:marLeft w:val="0"/>
      <w:marRight w:val="0"/>
      <w:marTop w:val="0"/>
      <w:marBottom w:val="0"/>
      <w:divBdr>
        <w:top w:val="none" w:sz="0" w:space="0" w:color="auto"/>
        <w:left w:val="none" w:sz="0" w:space="0" w:color="auto"/>
        <w:bottom w:val="none" w:sz="0" w:space="0" w:color="auto"/>
        <w:right w:val="none" w:sz="0" w:space="0" w:color="auto"/>
      </w:divBdr>
    </w:div>
    <w:div w:id="2025785766">
      <w:bodyDiv w:val="1"/>
      <w:marLeft w:val="0"/>
      <w:marRight w:val="0"/>
      <w:marTop w:val="0"/>
      <w:marBottom w:val="0"/>
      <w:divBdr>
        <w:top w:val="none" w:sz="0" w:space="0" w:color="auto"/>
        <w:left w:val="none" w:sz="0" w:space="0" w:color="auto"/>
        <w:bottom w:val="none" w:sz="0" w:space="0" w:color="auto"/>
        <w:right w:val="none" w:sz="0" w:space="0" w:color="auto"/>
      </w:divBdr>
    </w:div>
    <w:div w:id="21359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environmental-stewardship" TargetMode="External"/><Relationship Id="rId5" Type="http://schemas.openxmlformats.org/officeDocument/2006/relationships/webSettings" Target="webSettings.xml"/><Relationship Id="rId10" Type="http://schemas.openxmlformats.org/officeDocument/2006/relationships/hyperlink" Target="http://publications.naturalengland.org.uk/publication/5762035722223616" TargetMode="External"/><Relationship Id="rId4" Type="http://schemas.openxmlformats.org/officeDocument/2006/relationships/settings" Target="settings.xml"/><Relationship Id="rId9" Type="http://schemas.openxmlformats.org/officeDocument/2006/relationships/hyperlink" Target="mailto:shwartza@technion.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CB68-14AB-4182-84D5-8A22F1D1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7408</Words>
  <Characters>42227</Characters>
  <Application>Microsoft Office Word</Application>
  <DocSecurity>0</DocSecurity>
  <Lines>351</Lines>
  <Paragraphs>99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Scaling up from protected areas: the value of establishing large conservation areas</vt:lpstr>
      <vt:lpstr>Scaling up from protected areas: the value of establishing large conservation areas</vt:lpstr>
    </vt:vector>
  </TitlesOfParts>
  <Company>University of Kent</Company>
  <LinksUpToDate>false</LinksUpToDate>
  <CharactersWithSpaces>49536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Scaling up from protected areas: the value of establishing large conservation areas</dc:title>
  <dc:creator>A.Shwartz</dc:creator>
  <cp:lastModifiedBy>user</cp:lastModifiedBy>
  <cp:revision>2</cp:revision>
  <cp:lastPrinted>2017-01-11T15:42:00Z</cp:lastPrinted>
  <dcterms:created xsi:type="dcterms:W3CDTF">2017-06-09T11:08:00Z</dcterms:created>
  <dcterms:modified xsi:type="dcterms:W3CDTF">2017-06-09T11:08:00Z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id="q6GdDkbY"/&gt;&lt;style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value="0"/&gt;&lt;/prefs&gt;&lt;/data&gt;</vt:lpwstr>
  </property>
</Properties>
</file>