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337BF" w14:textId="0AE6B456" w:rsidR="00F72EBB" w:rsidRDefault="00426813" w:rsidP="00004332">
      <w:pPr>
        <w:spacing w:line="480" w:lineRule="auto"/>
        <w:rPr>
          <w:b/>
        </w:rPr>
      </w:pPr>
      <w:r>
        <w:rPr>
          <w:b/>
        </w:rPr>
        <w:t>Effectiv</w:t>
      </w:r>
      <w:r w:rsidR="00252672">
        <w:rPr>
          <w:b/>
        </w:rPr>
        <w:t>e</w:t>
      </w:r>
      <w:r>
        <w:rPr>
          <w:b/>
        </w:rPr>
        <w:t>ness and cost-effectiveness</w:t>
      </w:r>
      <w:r w:rsidR="0098171E">
        <w:rPr>
          <w:b/>
        </w:rPr>
        <w:t xml:space="preserve"> of</w:t>
      </w:r>
      <w:r w:rsidR="005E758F">
        <w:rPr>
          <w:b/>
        </w:rPr>
        <w:t xml:space="preserve"> a</w:t>
      </w:r>
      <w:r w:rsidR="0098171E">
        <w:rPr>
          <w:b/>
        </w:rPr>
        <w:t xml:space="preserve"> </w:t>
      </w:r>
      <w:r w:rsidR="005E758F">
        <w:rPr>
          <w:b/>
        </w:rPr>
        <w:t>c</w:t>
      </w:r>
      <w:r w:rsidR="005E758F" w:rsidRPr="005E758F">
        <w:rPr>
          <w:b/>
        </w:rPr>
        <w:t>ardi</w:t>
      </w:r>
      <w:r w:rsidR="003270A9">
        <w:rPr>
          <w:b/>
        </w:rPr>
        <w:t>ovascular risk prediction algorithm</w:t>
      </w:r>
      <w:r w:rsidR="005E758F" w:rsidRPr="005E758F">
        <w:rPr>
          <w:b/>
        </w:rPr>
        <w:t xml:space="preserve"> for people with severe mental illness</w:t>
      </w:r>
      <w:r w:rsidR="0098171E">
        <w:rPr>
          <w:b/>
        </w:rPr>
        <w:t xml:space="preserve"> (PRIMROSE). </w:t>
      </w:r>
    </w:p>
    <w:p w14:paraId="70DE9019" w14:textId="12249E1D" w:rsidR="00F72EBB" w:rsidRDefault="00F72EBB" w:rsidP="00287366">
      <w:pPr>
        <w:spacing w:line="480" w:lineRule="auto"/>
      </w:pPr>
      <w:r w:rsidRPr="00AC0755">
        <w:t>Ella Zomer</w:t>
      </w:r>
      <w:r w:rsidR="002410CE">
        <w:rPr>
          <w:vertAlign w:val="superscript"/>
        </w:rPr>
        <w:t>1</w:t>
      </w:r>
      <w:r w:rsidR="00287366">
        <w:rPr>
          <w:vertAlign w:val="superscript"/>
        </w:rPr>
        <w:t>,2</w:t>
      </w:r>
      <w:r w:rsidR="00290195">
        <w:t xml:space="preserve"> PhD</w:t>
      </w:r>
      <w:r>
        <w:t xml:space="preserve">, </w:t>
      </w:r>
      <w:r w:rsidR="007307D4">
        <w:t>David Osborn</w:t>
      </w:r>
      <w:r w:rsidR="00287366">
        <w:rPr>
          <w:vertAlign w:val="superscript"/>
        </w:rPr>
        <w:t>3,4</w:t>
      </w:r>
      <w:r w:rsidR="00805C81">
        <w:t xml:space="preserve"> PhD</w:t>
      </w:r>
      <w:r w:rsidR="007307D4" w:rsidDel="007307D4">
        <w:t xml:space="preserve"> </w:t>
      </w:r>
      <w:r>
        <w:t xml:space="preserve">, </w:t>
      </w:r>
      <w:r w:rsidR="00757B98">
        <w:t>Irwin Nazareth</w:t>
      </w:r>
      <w:r w:rsidR="00287366">
        <w:rPr>
          <w:vertAlign w:val="superscript"/>
        </w:rPr>
        <w:t>2</w:t>
      </w:r>
      <w:r w:rsidR="00DC0064">
        <w:t xml:space="preserve"> PhD</w:t>
      </w:r>
      <w:r w:rsidR="00757B98">
        <w:t xml:space="preserve">, </w:t>
      </w:r>
      <w:r>
        <w:t>Ruth Blackburn</w:t>
      </w:r>
      <w:r w:rsidR="00287366">
        <w:rPr>
          <w:vertAlign w:val="superscript"/>
        </w:rPr>
        <w:t>3</w:t>
      </w:r>
      <w:r w:rsidR="002410CE">
        <w:t xml:space="preserve"> MSc</w:t>
      </w:r>
      <w:r>
        <w:t>, Alexandra Burton</w:t>
      </w:r>
      <w:r w:rsidR="00287366">
        <w:rPr>
          <w:vertAlign w:val="superscript"/>
        </w:rPr>
        <w:t>3</w:t>
      </w:r>
      <w:r w:rsidR="002410CE">
        <w:t xml:space="preserve"> MSc</w:t>
      </w:r>
      <w:r>
        <w:t>, Sarah Hardoon</w:t>
      </w:r>
      <w:r w:rsidR="00287366">
        <w:rPr>
          <w:vertAlign w:val="superscript"/>
        </w:rPr>
        <w:t>2</w:t>
      </w:r>
      <w:r w:rsidR="001A3238">
        <w:t xml:space="preserve"> PhD</w:t>
      </w:r>
      <w:r>
        <w:t xml:space="preserve">, </w:t>
      </w:r>
      <w:r w:rsidR="00ED1C11">
        <w:t xml:space="preserve">Richard </w:t>
      </w:r>
      <w:r w:rsidR="00472200">
        <w:t xml:space="preserve">Ian Gregory </w:t>
      </w:r>
      <w:r w:rsidR="00805C81">
        <w:t>Holt</w:t>
      </w:r>
      <w:r w:rsidR="00287366">
        <w:rPr>
          <w:vertAlign w:val="superscript"/>
        </w:rPr>
        <w:t>5</w:t>
      </w:r>
      <w:r w:rsidR="00805C81">
        <w:t xml:space="preserve"> </w:t>
      </w:r>
      <w:r w:rsidR="006703F1">
        <w:t>PhD</w:t>
      </w:r>
      <w:r w:rsidR="00D37A17">
        <w:t xml:space="preserve"> FRCP</w:t>
      </w:r>
      <w:r w:rsidR="00ED1C11">
        <w:t xml:space="preserve">, </w:t>
      </w:r>
      <w:r>
        <w:t>Michael</w:t>
      </w:r>
      <w:r w:rsidR="00707481">
        <w:t xml:space="preserve"> </w:t>
      </w:r>
      <w:r>
        <w:t>King</w:t>
      </w:r>
      <w:r w:rsidR="00287366">
        <w:rPr>
          <w:vertAlign w:val="superscript"/>
        </w:rPr>
        <w:t>3</w:t>
      </w:r>
      <w:r w:rsidR="00DC0064">
        <w:t xml:space="preserve"> PhD</w:t>
      </w:r>
      <w:r>
        <w:t>, Louise Marston</w:t>
      </w:r>
      <w:r w:rsidR="00287366">
        <w:rPr>
          <w:vertAlign w:val="superscript"/>
        </w:rPr>
        <w:t>2</w:t>
      </w:r>
      <w:r w:rsidR="00DC0064">
        <w:t xml:space="preserve"> PhD</w:t>
      </w:r>
      <w:r>
        <w:t>, Ste</w:t>
      </w:r>
      <w:r w:rsidR="00DC0064">
        <w:t>phen</w:t>
      </w:r>
      <w:r>
        <w:t xml:space="preserve"> </w:t>
      </w:r>
      <w:r w:rsidR="00805C81">
        <w:t>Morris</w:t>
      </w:r>
      <w:r w:rsidR="00287366">
        <w:rPr>
          <w:vertAlign w:val="superscript"/>
        </w:rPr>
        <w:t>6</w:t>
      </w:r>
      <w:r w:rsidR="00DC0064">
        <w:t xml:space="preserve"> PhD</w:t>
      </w:r>
      <w:r>
        <w:t xml:space="preserve">, </w:t>
      </w:r>
      <w:proofErr w:type="spellStart"/>
      <w:r>
        <w:t>Rumana</w:t>
      </w:r>
      <w:proofErr w:type="spellEnd"/>
      <w:r>
        <w:t xml:space="preserve"> Omar</w:t>
      </w:r>
      <w:r w:rsidR="00287366">
        <w:rPr>
          <w:vertAlign w:val="superscript"/>
        </w:rPr>
        <w:t>7</w:t>
      </w:r>
      <w:r w:rsidR="001A3238">
        <w:t xml:space="preserve"> PhD</w:t>
      </w:r>
      <w:r>
        <w:t>, Irene Petersen</w:t>
      </w:r>
      <w:r w:rsidR="00287366">
        <w:rPr>
          <w:vertAlign w:val="superscript"/>
        </w:rPr>
        <w:t>2</w:t>
      </w:r>
      <w:r w:rsidR="00DC0064">
        <w:t xml:space="preserve"> PhD</w:t>
      </w:r>
      <w:r>
        <w:t>, Kate Walters</w:t>
      </w:r>
      <w:r w:rsidR="00287366">
        <w:rPr>
          <w:vertAlign w:val="superscript"/>
        </w:rPr>
        <w:t>2</w:t>
      </w:r>
      <w:r w:rsidR="001A3238">
        <w:t xml:space="preserve"> PhD</w:t>
      </w:r>
      <w:r>
        <w:t xml:space="preserve">, </w:t>
      </w:r>
      <w:r w:rsidR="007307D4">
        <w:t>Rachael Maree Hunter</w:t>
      </w:r>
      <w:r w:rsidR="00287366">
        <w:rPr>
          <w:vertAlign w:val="superscript"/>
        </w:rPr>
        <w:t>2</w:t>
      </w:r>
      <w:r w:rsidR="001A3238">
        <w:t xml:space="preserve"> MSc</w:t>
      </w:r>
      <w:r w:rsidR="00757B98">
        <w:t>.</w:t>
      </w:r>
    </w:p>
    <w:p w14:paraId="254AF6A3" w14:textId="77777777" w:rsidR="005E758F" w:rsidRDefault="005E758F" w:rsidP="00004332">
      <w:pPr>
        <w:spacing w:line="480" w:lineRule="auto"/>
      </w:pPr>
      <w:r>
        <w:t>Affiliations:</w:t>
      </w:r>
    </w:p>
    <w:p w14:paraId="653618F4" w14:textId="0EEA5F5F" w:rsidR="003B5A9F" w:rsidRDefault="003B5A9F" w:rsidP="002410CE">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Department of Epidemiology and Preventive Medicine, Faculty of </w:t>
      </w:r>
      <w:r w:rsidR="00287366">
        <w:rPr>
          <w:rFonts w:ascii="Calibri" w:hAnsi="Calibri" w:cs="Calibri"/>
          <w:color w:val="000000"/>
          <w:sz w:val="24"/>
          <w:szCs w:val="24"/>
        </w:rPr>
        <w:t>Medicine, Nursing and Health Sciences, Monash University, Melbourne, Australia.</w:t>
      </w:r>
    </w:p>
    <w:p w14:paraId="3B60ABAB" w14:textId="01590381" w:rsidR="006703F1" w:rsidRDefault="00A32A8C" w:rsidP="002410CE">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Department</w:t>
      </w:r>
      <w:r w:rsidR="00805C81">
        <w:rPr>
          <w:rFonts w:ascii="Calibri" w:hAnsi="Calibri" w:cs="Calibri"/>
          <w:color w:val="000000"/>
          <w:sz w:val="24"/>
          <w:szCs w:val="24"/>
        </w:rPr>
        <w:t xml:space="preserve"> of </w:t>
      </w:r>
      <w:r w:rsidR="002410CE">
        <w:rPr>
          <w:rFonts w:ascii="Calibri" w:hAnsi="Calibri" w:cs="Calibri"/>
          <w:color w:val="000000"/>
          <w:sz w:val="24"/>
          <w:szCs w:val="24"/>
        </w:rPr>
        <w:t xml:space="preserve">Primary Care and Population Health, </w:t>
      </w:r>
      <w:r w:rsidR="00E008C5">
        <w:rPr>
          <w:rFonts w:ascii="Calibri" w:hAnsi="Calibri" w:cs="Calibri"/>
          <w:color w:val="000000"/>
          <w:sz w:val="24"/>
          <w:szCs w:val="24"/>
        </w:rPr>
        <w:t xml:space="preserve">Faculty of Population Health Sciences, </w:t>
      </w:r>
      <w:r w:rsidR="002410CE">
        <w:rPr>
          <w:rFonts w:ascii="Calibri" w:hAnsi="Calibri" w:cs="Calibri"/>
          <w:color w:val="000000"/>
          <w:sz w:val="24"/>
          <w:szCs w:val="24"/>
        </w:rPr>
        <w:t>University College London, London</w:t>
      </w:r>
      <w:r w:rsidR="00C67D31">
        <w:rPr>
          <w:rFonts w:ascii="Calibri" w:hAnsi="Calibri" w:cs="Calibri"/>
          <w:color w:val="000000"/>
          <w:sz w:val="24"/>
          <w:szCs w:val="24"/>
        </w:rPr>
        <w:t>, United Kingdom</w:t>
      </w:r>
      <w:r w:rsidR="002410CE">
        <w:rPr>
          <w:rFonts w:ascii="Calibri" w:hAnsi="Calibri" w:cs="Calibri"/>
          <w:color w:val="000000"/>
          <w:sz w:val="24"/>
          <w:szCs w:val="24"/>
        </w:rPr>
        <w:t>.</w:t>
      </w:r>
    </w:p>
    <w:p w14:paraId="44675933" w14:textId="160C278D" w:rsidR="002410CE" w:rsidRPr="00805C81" w:rsidRDefault="002410CE" w:rsidP="002410CE">
      <w:pPr>
        <w:pStyle w:val="ListParagraph"/>
        <w:numPr>
          <w:ilvl w:val="0"/>
          <w:numId w:val="7"/>
        </w:numPr>
        <w:autoSpaceDE w:val="0"/>
        <w:autoSpaceDN w:val="0"/>
        <w:adjustRightInd w:val="0"/>
        <w:spacing w:after="0" w:line="240" w:lineRule="auto"/>
        <w:rPr>
          <w:rFonts w:ascii="Calibri" w:hAnsi="Calibri" w:cs="Calibri"/>
          <w:sz w:val="24"/>
          <w:szCs w:val="24"/>
        </w:rPr>
      </w:pPr>
      <w:r>
        <w:rPr>
          <w:rFonts w:ascii="Calibri" w:hAnsi="Calibri" w:cs="Calibri"/>
          <w:color w:val="000000"/>
          <w:sz w:val="24"/>
          <w:szCs w:val="24"/>
        </w:rPr>
        <w:t>Division of Psychiatry,</w:t>
      </w:r>
      <w:r w:rsidR="00321259">
        <w:rPr>
          <w:rFonts w:ascii="Calibri" w:hAnsi="Calibri" w:cs="Calibri"/>
          <w:color w:val="000000"/>
          <w:sz w:val="24"/>
          <w:szCs w:val="24"/>
        </w:rPr>
        <w:t xml:space="preserve"> </w:t>
      </w:r>
      <w:r w:rsidR="00E008C5">
        <w:rPr>
          <w:rFonts w:ascii="Calibri" w:hAnsi="Calibri" w:cs="Calibri"/>
          <w:color w:val="000000"/>
          <w:sz w:val="24"/>
          <w:szCs w:val="24"/>
        </w:rPr>
        <w:t xml:space="preserve">Faculty of Brain </w:t>
      </w:r>
      <w:r w:rsidR="004A1D04">
        <w:rPr>
          <w:rFonts w:ascii="Calibri" w:hAnsi="Calibri" w:cs="Calibri"/>
          <w:color w:val="000000"/>
          <w:sz w:val="24"/>
          <w:szCs w:val="24"/>
        </w:rPr>
        <w:t>Sciences,</w:t>
      </w:r>
      <w:r w:rsidR="00E008C5">
        <w:rPr>
          <w:rFonts w:ascii="Calibri" w:hAnsi="Calibri" w:cs="Calibri"/>
          <w:color w:val="000000"/>
          <w:sz w:val="24"/>
          <w:szCs w:val="24"/>
        </w:rPr>
        <w:t xml:space="preserve"> </w:t>
      </w:r>
      <w:r>
        <w:rPr>
          <w:rFonts w:ascii="Calibri" w:hAnsi="Calibri" w:cs="Calibri"/>
          <w:color w:val="000000"/>
          <w:sz w:val="24"/>
          <w:szCs w:val="24"/>
        </w:rPr>
        <w:t>University College London, London</w:t>
      </w:r>
      <w:r w:rsidR="00C67D31">
        <w:rPr>
          <w:rFonts w:ascii="Calibri" w:hAnsi="Calibri" w:cs="Calibri"/>
          <w:color w:val="000000"/>
          <w:sz w:val="24"/>
          <w:szCs w:val="24"/>
        </w:rPr>
        <w:t>, United Kingdom.</w:t>
      </w:r>
    </w:p>
    <w:p w14:paraId="088F4124" w14:textId="28858844" w:rsidR="00805C81" w:rsidRPr="00805C81" w:rsidRDefault="00805C81" w:rsidP="002410CE">
      <w:pPr>
        <w:pStyle w:val="ListParagraph"/>
        <w:numPr>
          <w:ilvl w:val="0"/>
          <w:numId w:val="7"/>
        </w:numPr>
        <w:autoSpaceDE w:val="0"/>
        <w:autoSpaceDN w:val="0"/>
        <w:adjustRightInd w:val="0"/>
        <w:spacing w:after="0" w:line="240" w:lineRule="auto"/>
        <w:rPr>
          <w:rFonts w:ascii="Calibri" w:hAnsi="Calibri" w:cs="Calibri"/>
          <w:sz w:val="24"/>
          <w:szCs w:val="24"/>
        </w:rPr>
      </w:pPr>
      <w:r w:rsidRPr="00805C81">
        <w:rPr>
          <w:sz w:val="24"/>
          <w:szCs w:val="24"/>
        </w:rPr>
        <w:t>Camden and Islington N</w:t>
      </w:r>
      <w:r>
        <w:rPr>
          <w:sz w:val="24"/>
          <w:szCs w:val="24"/>
        </w:rPr>
        <w:t>ational Health Service</w:t>
      </w:r>
      <w:r w:rsidRPr="00805C81">
        <w:rPr>
          <w:sz w:val="24"/>
          <w:szCs w:val="24"/>
        </w:rPr>
        <w:t xml:space="preserve"> Foundation Trust, London, </w:t>
      </w:r>
      <w:r w:rsidR="00C67D31">
        <w:rPr>
          <w:sz w:val="24"/>
          <w:szCs w:val="24"/>
        </w:rPr>
        <w:t>United Kingdom.</w:t>
      </w:r>
    </w:p>
    <w:p w14:paraId="2721667C" w14:textId="3764D13B" w:rsidR="002410CE" w:rsidRPr="00321259" w:rsidRDefault="002410CE" w:rsidP="002410CE">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321259">
        <w:rPr>
          <w:rFonts w:ascii="Calibri" w:hAnsi="Calibri" w:cs="Calibri"/>
          <w:color w:val="000000"/>
          <w:sz w:val="24"/>
          <w:szCs w:val="24"/>
        </w:rPr>
        <w:t>Human Development and Health Academic Unit,</w:t>
      </w:r>
      <w:r w:rsidR="00E008C5">
        <w:rPr>
          <w:rFonts w:ascii="Calibri" w:hAnsi="Calibri" w:cs="Calibri"/>
          <w:color w:val="000000"/>
          <w:sz w:val="24"/>
          <w:szCs w:val="24"/>
        </w:rPr>
        <w:t xml:space="preserve"> </w:t>
      </w:r>
      <w:r w:rsidR="00E008C5" w:rsidRPr="00321259">
        <w:rPr>
          <w:rFonts w:ascii="Calibri" w:hAnsi="Calibri" w:cs="Calibri"/>
          <w:color w:val="000000"/>
          <w:sz w:val="24"/>
          <w:szCs w:val="24"/>
        </w:rPr>
        <w:t>Faculty of Medicine,</w:t>
      </w:r>
      <w:r w:rsidRPr="00321259">
        <w:rPr>
          <w:rFonts w:ascii="Calibri" w:hAnsi="Calibri" w:cs="Calibri"/>
          <w:color w:val="000000"/>
          <w:sz w:val="24"/>
          <w:szCs w:val="24"/>
        </w:rPr>
        <w:t xml:space="preserve"> University of Southampton, Southampton</w:t>
      </w:r>
      <w:r w:rsidR="00C67D31">
        <w:rPr>
          <w:rFonts w:ascii="Calibri" w:hAnsi="Calibri" w:cs="Calibri"/>
          <w:color w:val="000000"/>
          <w:sz w:val="24"/>
          <w:szCs w:val="24"/>
        </w:rPr>
        <w:t>, United Kingdom.</w:t>
      </w:r>
    </w:p>
    <w:p w14:paraId="607793A1" w14:textId="312EC488" w:rsidR="00321259" w:rsidRPr="00A95B91" w:rsidRDefault="00321259" w:rsidP="00321259">
      <w:pPr>
        <w:pStyle w:val="ListParagraph"/>
        <w:numPr>
          <w:ilvl w:val="0"/>
          <w:numId w:val="7"/>
        </w:numPr>
        <w:autoSpaceDE w:val="0"/>
        <w:autoSpaceDN w:val="0"/>
        <w:adjustRightInd w:val="0"/>
        <w:spacing w:after="0" w:line="240" w:lineRule="auto"/>
        <w:rPr>
          <w:rFonts w:ascii="Calibri" w:hAnsi="Calibri" w:cs="Calibri"/>
          <w:sz w:val="24"/>
          <w:szCs w:val="24"/>
        </w:rPr>
      </w:pPr>
      <w:r w:rsidRPr="00321259">
        <w:rPr>
          <w:sz w:val="24"/>
          <w:szCs w:val="24"/>
        </w:rPr>
        <w:t xml:space="preserve">Department of Applied Health Research, </w:t>
      </w:r>
      <w:r w:rsidR="00E008C5" w:rsidRPr="00321259">
        <w:rPr>
          <w:sz w:val="24"/>
          <w:szCs w:val="24"/>
        </w:rPr>
        <w:t xml:space="preserve">Faculty of Population Health Sciences, </w:t>
      </w:r>
      <w:r w:rsidRPr="00321259">
        <w:rPr>
          <w:sz w:val="24"/>
          <w:szCs w:val="24"/>
        </w:rPr>
        <w:t>University College London</w:t>
      </w:r>
      <w:r w:rsidR="00C67D31">
        <w:rPr>
          <w:sz w:val="24"/>
          <w:szCs w:val="24"/>
        </w:rPr>
        <w:t>, London, United Kingdom.</w:t>
      </w:r>
    </w:p>
    <w:p w14:paraId="0FDA851B" w14:textId="137835DB" w:rsidR="00C67D31" w:rsidRPr="001A3238" w:rsidRDefault="00C67D31" w:rsidP="00321259">
      <w:pPr>
        <w:pStyle w:val="ListParagraph"/>
        <w:numPr>
          <w:ilvl w:val="0"/>
          <w:numId w:val="7"/>
        </w:numPr>
        <w:autoSpaceDE w:val="0"/>
        <w:autoSpaceDN w:val="0"/>
        <w:adjustRightInd w:val="0"/>
        <w:spacing w:after="0" w:line="240" w:lineRule="auto"/>
        <w:rPr>
          <w:rFonts w:ascii="Calibri" w:hAnsi="Calibri" w:cs="Calibri"/>
          <w:sz w:val="24"/>
          <w:szCs w:val="24"/>
        </w:rPr>
      </w:pPr>
      <w:r w:rsidRPr="001A3238">
        <w:rPr>
          <w:sz w:val="24"/>
          <w:szCs w:val="24"/>
        </w:rPr>
        <w:t xml:space="preserve">Department of Statistical Science, </w:t>
      </w:r>
      <w:r w:rsidR="00E008C5">
        <w:rPr>
          <w:sz w:val="24"/>
          <w:szCs w:val="24"/>
        </w:rPr>
        <w:t xml:space="preserve">Faculty of Mathematical and </w:t>
      </w:r>
      <w:r w:rsidR="00A32409">
        <w:rPr>
          <w:sz w:val="24"/>
          <w:szCs w:val="24"/>
        </w:rPr>
        <w:t xml:space="preserve">Physical </w:t>
      </w:r>
      <w:r w:rsidR="00E008C5">
        <w:rPr>
          <w:sz w:val="24"/>
          <w:szCs w:val="24"/>
        </w:rPr>
        <w:t xml:space="preserve">Sciences, </w:t>
      </w:r>
      <w:r w:rsidRPr="001A3238">
        <w:rPr>
          <w:sz w:val="24"/>
          <w:szCs w:val="24"/>
        </w:rPr>
        <w:t>University College London, United Kingdom.</w:t>
      </w:r>
    </w:p>
    <w:p w14:paraId="47E47FE4" w14:textId="77777777" w:rsidR="005E758F" w:rsidRDefault="005E758F" w:rsidP="00004332">
      <w:pPr>
        <w:spacing w:line="480" w:lineRule="auto"/>
      </w:pPr>
    </w:p>
    <w:p w14:paraId="3C3B292D" w14:textId="30DF7232" w:rsidR="00D70C8A" w:rsidRPr="00321259" w:rsidRDefault="005E758F" w:rsidP="00004332">
      <w:pPr>
        <w:spacing w:line="480" w:lineRule="auto"/>
        <w:rPr>
          <w:color w:val="FF0000"/>
        </w:rPr>
      </w:pPr>
      <w:r>
        <w:t>Corresponding Author</w:t>
      </w:r>
      <w:r w:rsidR="00D70C8A">
        <w:t>:</w:t>
      </w:r>
    </w:p>
    <w:p w14:paraId="240B1BE8" w14:textId="655B500F" w:rsidR="005E758F" w:rsidRDefault="00D70C8A" w:rsidP="00004332">
      <w:pPr>
        <w:spacing w:line="480" w:lineRule="auto"/>
      </w:pPr>
      <w:r>
        <w:t xml:space="preserve">Name: </w:t>
      </w:r>
      <w:r w:rsidR="005E758F">
        <w:t>Ella Zomer</w:t>
      </w:r>
    </w:p>
    <w:p w14:paraId="0FFFF0C0" w14:textId="02E67348" w:rsidR="00801BAB" w:rsidRDefault="00D70C8A" w:rsidP="008A0FB1">
      <w:pPr>
        <w:spacing w:line="480" w:lineRule="auto"/>
      </w:pPr>
      <w:r>
        <w:t xml:space="preserve">Address: </w:t>
      </w:r>
      <w:r w:rsidR="00801BAB">
        <w:t xml:space="preserve">Dept. of </w:t>
      </w:r>
      <w:r w:rsidR="008A0FB1">
        <w:t>Epidemiology</w:t>
      </w:r>
      <w:r w:rsidR="00801BAB">
        <w:t xml:space="preserve"> &amp; </w:t>
      </w:r>
      <w:r w:rsidR="008A0FB1">
        <w:t>Preventive Medicine</w:t>
      </w:r>
      <w:r w:rsidR="00801BAB">
        <w:t xml:space="preserve">, </w:t>
      </w:r>
      <w:r w:rsidR="008A0FB1">
        <w:t>Monash University</w:t>
      </w:r>
      <w:r w:rsidR="00801BAB">
        <w:t>,</w:t>
      </w:r>
    </w:p>
    <w:p w14:paraId="7B1B49F4" w14:textId="1CBCDB43" w:rsidR="00D70C8A" w:rsidRDefault="008A0FB1" w:rsidP="001A3850">
      <w:pPr>
        <w:spacing w:line="480" w:lineRule="auto"/>
      </w:pPr>
      <w:r>
        <w:t>The Alfred Centre</w:t>
      </w:r>
      <w:r w:rsidR="00801BAB">
        <w:t xml:space="preserve">, </w:t>
      </w:r>
      <w:r>
        <w:t>Melbourne, Vic, Australia 3004</w:t>
      </w:r>
    </w:p>
    <w:p w14:paraId="60F1152B" w14:textId="36FAAE03" w:rsidR="00D70C8A" w:rsidRDefault="00D70C8A" w:rsidP="001A3850">
      <w:pPr>
        <w:spacing w:line="480" w:lineRule="auto"/>
      </w:pPr>
      <w:r>
        <w:t xml:space="preserve">Contact telephone number: </w:t>
      </w:r>
      <w:r w:rsidR="008A0FB1">
        <w:t>+61 3 9903 0048</w:t>
      </w:r>
    </w:p>
    <w:p w14:paraId="13ED7274" w14:textId="49F26B1A" w:rsidR="00D70C8A" w:rsidRDefault="00D70C8A" w:rsidP="001A3850">
      <w:pPr>
        <w:spacing w:line="480" w:lineRule="auto"/>
        <w:rPr>
          <w:rStyle w:val="Hyperlink"/>
        </w:rPr>
      </w:pPr>
      <w:r>
        <w:t xml:space="preserve">Email: </w:t>
      </w:r>
      <w:hyperlink r:id="rId8" w:history="1">
        <w:r w:rsidR="008A0FB1">
          <w:rPr>
            <w:rStyle w:val="Hyperlink"/>
          </w:rPr>
          <w:t>ella.zomer@monash.edu</w:t>
        </w:r>
      </w:hyperlink>
    </w:p>
    <w:p w14:paraId="659B666D" w14:textId="77777777" w:rsidR="008D1450" w:rsidRDefault="008D1450" w:rsidP="00004332">
      <w:pPr>
        <w:spacing w:line="480" w:lineRule="auto"/>
        <w:rPr>
          <w:rStyle w:val="Hyperlink"/>
        </w:rPr>
      </w:pPr>
    </w:p>
    <w:p w14:paraId="15B53E1D" w14:textId="2E84EBD6" w:rsidR="008D1450" w:rsidRPr="008D1450" w:rsidRDefault="008D1450" w:rsidP="00004332">
      <w:pPr>
        <w:spacing w:line="480" w:lineRule="auto"/>
        <w:rPr>
          <w:rStyle w:val="Hyperlink"/>
          <w:color w:val="auto"/>
          <w:u w:val="none"/>
        </w:rPr>
      </w:pPr>
      <w:r w:rsidRPr="008D1450">
        <w:rPr>
          <w:rStyle w:val="Hyperlink"/>
          <w:color w:val="auto"/>
          <w:u w:val="none"/>
        </w:rPr>
        <w:lastRenderedPageBreak/>
        <w:t>Authors’ contributions:</w:t>
      </w:r>
      <w:r w:rsidR="00A32A8C">
        <w:rPr>
          <w:rStyle w:val="Hyperlink"/>
          <w:color w:val="auto"/>
          <w:u w:val="none"/>
        </w:rPr>
        <w:t xml:space="preserve"> see Acknowledgements</w:t>
      </w:r>
    </w:p>
    <w:p w14:paraId="6E4EB35E" w14:textId="2120F417" w:rsidR="00290195" w:rsidRDefault="008D1450" w:rsidP="00004332">
      <w:pPr>
        <w:spacing w:line="480" w:lineRule="auto"/>
      </w:pPr>
      <w:r w:rsidRPr="008D1450">
        <w:rPr>
          <w:rStyle w:val="Hyperlink"/>
          <w:color w:val="auto"/>
          <w:u w:val="none"/>
        </w:rPr>
        <w:t>Conflict of interest disclosures:</w:t>
      </w:r>
      <w:r w:rsidR="00A32A8C">
        <w:rPr>
          <w:rStyle w:val="Hyperlink"/>
          <w:color w:val="auto"/>
          <w:u w:val="none"/>
        </w:rPr>
        <w:t xml:space="preserve"> None to disclose</w:t>
      </w:r>
    </w:p>
    <w:p w14:paraId="2D46004E" w14:textId="1372B15E" w:rsidR="005E758F" w:rsidRDefault="005E758F" w:rsidP="00576C52">
      <w:pPr>
        <w:spacing w:line="480" w:lineRule="auto"/>
        <w:rPr>
          <w:b/>
        </w:rPr>
      </w:pPr>
      <w:r w:rsidRPr="00290195">
        <w:t xml:space="preserve">Word </w:t>
      </w:r>
      <w:r w:rsidRPr="00E77DA9">
        <w:t>Count</w:t>
      </w:r>
      <w:r w:rsidRPr="00576C52">
        <w:t>:</w:t>
      </w:r>
      <w:r w:rsidR="007E6427" w:rsidRPr="00576C52">
        <w:t xml:space="preserve"> </w:t>
      </w:r>
      <w:r w:rsidR="00576C52" w:rsidRPr="00576C52">
        <w:t>4,620</w:t>
      </w:r>
      <w:r>
        <w:rPr>
          <w:b/>
        </w:rPr>
        <w:br w:type="page"/>
      </w:r>
    </w:p>
    <w:p w14:paraId="43FD8A06" w14:textId="77777777" w:rsidR="00C93D44" w:rsidRDefault="00C93D44" w:rsidP="00221A71">
      <w:pPr>
        <w:pStyle w:val="ListParagraph"/>
        <w:spacing w:line="480" w:lineRule="auto"/>
        <w:jc w:val="both"/>
        <w:rPr>
          <w:b/>
        </w:rPr>
      </w:pPr>
      <w:r w:rsidRPr="00C93D44">
        <w:rPr>
          <w:b/>
        </w:rPr>
        <w:lastRenderedPageBreak/>
        <w:t>ABSTRACT</w:t>
      </w:r>
    </w:p>
    <w:p w14:paraId="28FD5715" w14:textId="0CE9CC32" w:rsidR="00C93D44" w:rsidRDefault="00F661E5" w:rsidP="00454E9A">
      <w:pPr>
        <w:pStyle w:val="ListParagraph"/>
        <w:spacing w:line="480" w:lineRule="auto"/>
        <w:ind w:left="0"/>
        <w:jc w:val="both"/>
      </w:pPr>
      <w:r>
        <w:rPr>
          <w:b/>
        </w:rPr>
        <w:t>Objectives</w:t>
      </w:r>
      <w:r w:rsidR="00C93D44" w:rsidRPr="00C93D44">
        <w:rPr>
          <w:b/>
        </w:rPr>
        <w:t>:</w:t>
      </w:r>
      <w:r w:rsidR="00C93D44">
        <w:t xml:space="preserve"> </w:t>
      </w:r>
      <w:r>
        <w:t xml:space="preserve">To </w:t>
      </w:r>
      <w:r w:rsidR="00C93D44">
        <w:t xml:space="preserve">determine the cost-effectiveness of two bespoke </w:t>
      </w:r>
      <w:r>
        <w:t>severe mental illness (</w:t>
      </w:r>
      <w:r w:rsidR="00C93D44">
        <w:t>SMI</w:t>
      </w:r>
      <w:r>
        <w:t>)</w:t>
      </w:r>
      <w:r w:rsidR="00C93D44">
        <w:t xml:space="preserve">-specific risk algorithms compared to standard risk algorithms for primary </w:t>
      </w:r>
      <w:r>
        <w:t>cardiovascular disease (</w:t>
      </w:r>
      <w:r w:rsidR="00C93D44">
        <w:t>CVD</w:t>
      </w:r>
      <w:r>
        <w:t>)</w:t>
      </w:r>
      <w:r w:rsidR="00C93D44">
        <w:t xml:space="preserve"> prevention in those with SMI.</w:t>
      </w:r>
    </w:p>
    <w:p w14:paraId="708DADBC" w14:textId="234815B3" w:rsidR="00F661E5" w:rsidRPr="00FF2EA7" w:rsidRDefault="00F661E5" w:rsidP="00F661E5">
      <w:pPr>
        <w:spacing w:line="480" w:lineRule="auto"/>
        <w:jc w:val="both"/>
        <w:rPr>
          <w:bCs/>
        </w:rPr>
      </w:pPr>
      <w:r>
        <w:rPr>
          <w:b/>
        </w:rPr>
        <w:t xml:space="preserve">Setting: </w:t>
      </w:r>
      <w:r>
        <w:rPr>
          <w:bCs/>
        </w:rPr>
        <w:t>Primary care setting in the United Kingdom (UK). The analysis was from th</w:t>
      </w:r>
      <w:r w:rsidR="00FF2EA7">
        <w:rPr>
          <w:bCs/>
        </w:rPr>
        <w:t xml:space="preserve">e </w:t>
      </w:r>
      <w:r>
        <w:rPr>
          <w:bCs/>
        </w:rPr>
        <w:t>National Health Service (NHS) perspective.</w:t>
      </w:r>
    </w:p>
    <w:p w14:paraId="1E486BA2" w14:textId="004B64F2" w:rsidR="00F661E5" w:rsidRPr="00FF2EA7" w:rsidRDefault="00F661E5" w:rsidP="00454E9A">
      <w:pPr>
        <w:spacing w:line="480" w:lineRule="auto"/>
        <w:jc w:val="both"/>
        <w:rPr>
          <w:bCs/>
        </w:rPr>
      </w:pPr>
      <w:r>
        <w:rPr>
          <w:b/>
        </w:rPr>
        <w:t xml:space="preserve">Participants: </w:t>
      </w:r>
      <w:r>
        <w:rPr>
          <w:bCs/>
        </w:rPr>
        <w:t xml:space="preserve">1000 </w:t>
      </w:r>
      <w:r>
        <w:t>individuals with SMI</w:t>
      </w:r>
      <w:r w:rsidR="00FF2EA7">
        <w:t xml:space="preserve"> </w:t>
      </w:r>
      <w:r>
        <w:t>from The Health Improvement Network Database, aged 30-74 years</w:t>
      </w:r>
      <w:r w:rsidR="005C03A3">
        <w:t xml:space="preserve"> and</w:t>
      </w:r>
      <w:r>
        <w:t xml:space="preserve"> without</w:t>
      </w:r>
      <w:r w:rsidR="005C03A3">
        <w:t xml:space="preserve"> existing</w:t>
      </w:r>
      <w:r>
        <w:t xml:space="preserve"> CVD</w:t>
      </w:r>
      <w:r w:rsidR="00454E9A">
        <w:t xml:space="preserve"> populated the model</w:t>
      </w:r>
      <w:r w:rsidR="00FF2EA7">
        <w:t>.</w:t>
      </w:r>
    </w:p>
    <w:p w14:paraId="07FAD7A1" w14:textId="29794727" w:rsidR="00F661E5" w:rsidRDefault="00F661E5" w:rsidP="00FF2EA7">
      <w:pPr>
        <w:spacing w:line="480" w:lineRule="auto"/>
        <w:jc w:val="both"/>
        <w:rPr>
          <w:b/>
        </w:rPr>
      </w:pPr>
      <w:r>
        <w:rPr>
          <w:b/>
        </w:rPr>
        <w:t>Interventions:</w:t>
      </w:r>
      <w:r w:rsidR="00FF2EA7">
        <w:rPr>
          <w:b/>
        </w:rPr>
        <w:t xml:space="preserve"> </w:t>
      </w:r>
      <w:r w:rsidR="00FF2EA7">
        <w:t>Four cardiovascular risk algorithms were assessed; (1) general population lipid, (2) general population BMI, (3) SMI-specific lipid and (4) SMI-specific BMI, compared against no algorithm. At baseline, each cardiovascular risk algorithm was applied and those considered high-risk (</w:t>
      </w:r>
      <w:r w:rsidR="00FF2EA7" w:rsidRPr="00C93D44">
        <w:rPr>
          <w:u w:val="single"/>
        </w:rPr>
        <w:t>&gt;</w:t>
      </w:r>
      <w:r w:rsidR="00FF2EA7">
        <w:t>10%) were assumed to be prescribed statin therapy whilst others received usual care.</w:t>
      </w:r>
    </w:p>
    <w:p w14:paraId="6A46A1C0" w14:textId="0E0D8C77" w:rsidR="005C03A3" w:rsidRDefault="00F661E5" w:rsidP="00E05595">
      <w:pPr>
        <w:spacing w:line="480" w:lineRule="auto"/>
        <w:jc w:val="both"/>
      </w:pPr>
      <w:r>
        <w:rPr>
          <w:b/>
        </w:rPr>
        <w:t xml:space="preserve">Primary </w:t>
      </w:r>
      <w:r w:rsidR="00FF2EA7">
        <w:rPr>
          <w:b/>
        </w:rPr>
        <w:t>and secondary outcome measures:</w:t>
      </w:r>
      <w:r w:rsidR="000F28D2">
        <w:rPr>
          <w:bCs/>
        </w:rPr>
        <w:t xml:space="preserve"> Quality adjusted life years (QALYs) and costs were accrued for each algorithm including no algorithm</w:t>
      </w:r>
      <w:r w:rsidR="005C03A3">
        <w:rPr>
          <w:bCs/>
        </w:rPr>
        <w:t>,</w:t>
      </w:r>
      <w:r w:rsidR="000F28D2">
        <w:rPr>
          <w:bCs/>
        </w:rPr>
        <w:t xml:space="preserve"> and c</w:t>
      </w:r>
      <w:r w:rsidR="000F28D2">
        <w:t>ost-effectiveness was calculated using the net monetary benefit (NMB) approach. Deterministic and probabilistic sensitivity analyses were</w:t>
      </w:r>
      <w:r w:rsidR="000F28D2" w:rsidRPr="002C5BFD">
        <w:t xml:space="preserve"> performed</w:t>
      </w:r>
      <w:r w:rsidR="000F28D2">
        <w:t xml:space="preserve"> to test assumptions made and </w:t>
      </w:r>
      <w:r w:rsidR="000F28D2" w:rsidRPr="00852465">
        <w:t>uncertainty around parameter estimates.</w:t>
      </w:r>
    </w:p>
    <w:p w14:paraId="6DB9841F" w14:textId="5C2F5D40" w:rsidR="00C93D44" w:rsidRDefault="00C93D44" w:rsidP="00454E9A">
      <w:pPr>
        <w:spacing w:line="480" w:lineRule="auto"/>
        <w:jc w:val="both"/>
      </w:pPr>
      <w:r w:rsidRPr="00C93D44">
        <w:rPr>
          <w:b/>
        </w:rPr>
        <w:t>Results:</w:t>
      </w:r>
      <w:r>
        <w:t xml:space="preserve"> The SMI-specific BMI</w:t>
      </w:r>
      <w:r w:rsidR="00454E9A">
        <w:t xml:space="preserve"> algorithm</w:t>
      </w:r>
      <w:r>
        <w:t xml:space="preserve"> had the highest NMB resulting in </w:t>
      </w:r>
      <w:r w:rsidR="008035AE">
        <w:t xml:space="preserve">15 </w:t>
      </w:r>
      <w:r>
        <w:t>additional QALYs and a cost saving of approximately £</w:t>
      </w:r>
      <w:r w:rsidR="008035AE">
        <w:t>53,000</w:t>
      </w:r>
      <w:r w:rsidR="00454E9A">
        <w:t xml:space="preserve"> </w:t>
      </w:r>
      <w:r>
        <w:t>per 1,000 patients with SMI over 10 years</w:t>
      </w:r>
      <w:r w:rsidR="00454E9A">
        <w:t>, followed by the</w:t>
      </w:r>
      <w:r w:rsidR="009C5A70">
        <w:t xml:space="preserve"> general population lipid</w:t>
      </w:r>
      <w:r w:rsidR="00454E9A">
        <w:t xml:space="preserve"> algorithm </w:t>
      </w:r>
      <w:r w:rsidR="009C5A70">
        <w:t xml:space="preserve">(13 additional QALYs and a cost saving of </w:t>
      </w:r>
      <w:r w:rsidR="00454E9A">
        <w:t>£46,000)</w:t>
      </w:r>
      <w:r>
        <w:t xml:space="preserve">. </w:t>
      </w:r>
    </w:p>
    <w:p w14:paraId="0321F439" w14:textId="60333938" w:rsidR="001C6CC3" w:rsidRDefault="00C93D44" w:rsidP="00221A71">
      <w:pPr>
        <w:spacing w:line="480" w:lineRule="auto"/>
        <w:jc w:val="both"/>
      </w:pPr>
      <w:r w:rsidRPr="00C93D44">
        <w:rPr>
          <w:b/>
        </w:rPr>
        <w:t>Conclusions:</w:t>
      </w:r>
      <w:r>
        <w:t xml:space="preserve"> The general population lipid and SMI-specific BMI algorithms performed equally well. The ease and acceptability of use of an SMI-specific BMI algorithm (blood tests not required), makes it an attractive algorithm to implement in clinical settings.</w:t>
      </w:r>
      <w:r w:rsidR="001C6CC3">
        <w:br w:type="page"/>
      </w:r>
    </w:p>
    <w:p w14:paraId="3E71A867" w14:textId="033FE726" w:rsidR="001C6CC3" w:rsidRDefault="001C6CC3" w:rsidP="00221A71">
      <w:pPr>
        <w:pStyle w:val="ListParagraph"/>
        <w:spacing w:line="480" w:lineRule="auto"/>
        <w:jc w:val="both"/>
        <w:rPr>
          <w:b/>
        </w:rPr>
      </w:pPr>
      <w:r w:rsidRPr="00C93D44">
        <w:rPr>
          <w:b/>
        </w:rPr>
        <w:lastRenderedPageBreak/>
        <w:t>A</w:t>
      </w:r>
      <w:r>
        <w:rPr>
          <w:b/>
        </w:rPr>
        <w:t>RTICLE SUMMARY</w:t>
      </w:r>
    </w:p>
    <w:p w14:paraId="45933C0D" w14:textId="60B3A848" w:rsidR="001C6CC3" w:rsidRPr="005F06DE" w:rsidRDefault="001C6CC3" w:rsidP="00221A71">
      <w:pPr>
        <w:pStyle w:val="ListParagraph"/>
        <w:spacing w:line="480" w:lineRule="auto"/>
        <w:ind w:left="0"/>
        <w:jc w:val="both"/>
        <w:rPr>
          <w:b/>
        </w:rPr>
      </w:pPr>
      <w:r w:rsidRPr="005F06DE">
        <w:rPr>
          <w:b/>
        </w:rPr>
        <w:t>Strengths and limitations of this study:</w:t>
      </w:r>
    </w:p>
    <w:p w14:paraId="6499E690" w14:textId="73A4A7D2" w:rsidR="009306FA" w:rsidRPr="003057E9" w:rsidRDefault="009306FA" w:rsidP="009306FA">
      <w:pPr>
        <w:pStyle w:val="ListParagraph"/>
        <w:numPr>
          <w:ilvl w:val="0"/>
          <w:numId w:val="11"/>
        </w:numPr>
        <w:spacing w:line="480" w:lineRule="auto"/>
        <w:jc w:val="both"/>
        <w:rPr>
          <w:b/>
        </w:rPr>
      </w:pPr>
      <w:r>
        <w:rPr>
          <w:bCs/>
        </w:rPr>
        <w:t>Health economic modelling employs mathematical modelling to extrapolate outcomes including both effects and costs beyond trial data, allowing the long-term effectiveness and cost-effectiveness of an intervention to be determined.</w:t>
      </w:r>
    </w:p>
    <w:p w14:paraId="7ECA60CF" w14:textId="6143D431" w:rsidR="00E34EEC" w:rsidRPr="005F06DE" w:rsidRDefault="00453D6B" w:rsidP="00221A71">
      <w:pPr>
        <w:pStyle w:val="ListParagraph"/>
        <w:numPr>
          <w:ilvl w:val="0"/>
          <w:numId w:val="11"/>
        </w:numPr>
        <w:spacing w:line="480" w:lineRule="auto"/>
        <w:jc w:val="both"/>
        <w:rPr>
          <w:b/>
        </w:rPr>
      </w:pPr>
      <w:r w:rsidRPr="005F06DE">
        <w:t>To our knowledge, this is the first</w:t>
      </w:r>
      <w:r w:rsidR="00E34EEC" w:rsidRPr="005F06DE">
        <w:t xml:space="preserve"> economic analysis to </w:t>
      </w:r>
      <w:r w:rsidRPr="005F06DE">
        <w:t xml:space="preserve">determine the effectiveness and cost-effectiveness of using CVD risk algorithms in </w:t>
      </w:r>
      <w:r w:rsidR="00E34EEC" w:rsidRPr="005F06DE">
        <w:t>SMI patients in primary care</w:t>
      </w:r>
      <w:r w:rsidRPr="005F06DE">
        <w:t xml:space="preserve"> and subsequent treatment with statin therapy.</w:t>
      </w:r>
    </w:p>
    <w:p w14:paraId="2DB449FB" w14:textId="0EC70FA4" w:rsidR="000F463F" w:rsidRPr="005F06DE" w:rsidRDefault="000F463F" w:rsidP="00221A71">
      <w:pPr>
        <w:pStyle w:val="ListParagraph"/>
        <w:numPr>
          <w:ilvl w:val="0"/>
          <w:numId w:val="11"/>
        </w:numPr>
        <w:spacing w:line="480" w:lineRule="auto"/>
        <w:jc w:val="both"/>
        <w:rPr>
          <w:b/>
        </w:rPr>
      </w:pPr>
      <w:r w:rsidRPr="005F06DE">
        <w:t>A patient level</w:t>
      </w:r>
      <w:r w:rsidR="004B7617" w:rsidRPr="005F06DE">
        <w:t xml:space="preserve"> simulation</w:t>
      </w:r>
      <w:r w:rsidR="00453D6B" w:rsidRPr="005F06DE">
        <w:t xml:space="preserve"> model </w:t>
      </w:r>
      <w:r w:rsidR="009306FA">
        <w:t xml:space="preserve">using real patient primary care data </w:t>
      </w:r>
      <w:r w:rsidR="00453D6B" w:rsidRPr="005F06DE">
        <w:t xml:space="preserve">was developed, allowing </w:t>
      </w:r>
      <w:r w:rsidR="005F06DE" w:rsidRPr="005F06DE">
        <w:t>the</w:t>
      </w:r>
      <w:r w:rsidR="00453D6B" w:rsidRPr="005F06DE">
        <w:t xml:space="preserve"> accumulating</w:t>
      </w:r>
      <w:r w:rsidR="005F06DE" w:rsidRPr="005F06DE">
        <w:t xml:space="preserve"> </w:t>
      </w:r>
      <w:r w:rsidR="00453D6B" w:rsidRPr="005F06DE">
        <w:t>history of each individual to predict their transitions, costs and health outcomes</w:t>
      </w:r>
      <w:r w:rsidR="005F06DE" w:rsidRPr="005F06DE">
        <w:t>.</w:t>
      </w:r>
    </w:p>
    <w:p w14:paraId="7886DF66" w14:textId="58762B84" w:rsidR="000F463F" w:rsidRPr="005F06DE" w:rsidRDefault="00E34EEC" w:rsidP="00221A71">
      <w:pPr>
        <w:pStyle w:val="ListParagraph"/>
        <w:numPr>
          <w:ilvl w:val="0"/>
          <w:numId w:val="11"/>
        </w:numPr>
        <w:spacing w:line="480" w:lineRule="auto"/>
        <w:jc w:val="both"/>
        <w:rPr>
          <w:b/>
        </w:rPr>
      </w:pPr>
      <w:r w:rsidRPr="005F06DE">
        <w:rPr>
          <w:rFonts w:cs="Arial"/>
          <w:color w:val="333333"/>
          <w:lang w:val="en"/>
        </w:rPr>
        <w:t>Deterministic and probabilistic s</w:t>
      </w:r>
      <w:r w:rsidR="004B7617" w:rsidRPr="005F06DE">
        <w:rPr>
          <w:rFonts w:cs="Arial"/>
          <w:color w:val="333333"/>
          <w:lang w:val="en"/>
        </w:rPr>
        <w:t>ensitivity analyses</w:t>
      </w:r>
      <w:r w:rsidRPr="005F06DE">
        <w:rPr>
          <w:rFonts w:cs="Arial"/>
          <w:color w:val="333333"/>
          <w:lang w:val="en"/>
        </w:rPr>
        <w:t xml:space="preserve"> </w:t>
      </w:r>
      <w:r w:rsidR="005F06DE" w:rsidRPr="005F06DE">
        <w:rPr>
          <w:rFonts w:cs="Arial"/>
          <w:color w:val="333333"/>
          <w:lang w:val="en"/>
        </w:rPr>
        <w:t xml:space="preserve">was </w:t>
      </w:r>
      <w:r w:rsidRPr="005F06DE">
        <w:rPr>
          <w:rFonts w:cs="Arial"/>
          <w:color w:val="333333"/>
          <w:lang w:val="en"/>
        </w:rPr>
        <w:t>undertaken</w:t>
      </w:r>
      <w:r w:rsidR="004B7617" w:rsidRPr="005F06DE">
        <w:rPr>
          <w:rFonts w:cs="Arial"/>
          <w:color w:val="333333"/>
          <w:lang w:val="en"/>
        </w:rPr>
        <w:t xml:space="preserve"> to account for variability in data inputs.</w:t>
      </w:r>
    </w:p>
    <w:p w14:paraId="20E2268B" w14:textId="037EF260" w:rsidR="00453D6B" w:rsidRPr="005F06DE" w:rsidRDefault="00453D6B" w:rsidP="00221A71">
      <w:pPr>
        <w:pStyle w:val="ListParagraph"/>
        <w:numPr>
          <w:ilvl w:val="0"/>
          <w:numId w:val="11"/>
        </w:numPr>
        <w:spacing w:line="480" w:lineRule="auto"/>
        <w:jc w:val="both"/>
        <w:rPr>
          <w:b/>
        </w:rPr>
      </w:pPr>
      <w:r w:rsidRPr="005F06DE">
        <w:rPr>
          <w:rFonts w:cs="Arial"/>
          <w:color w:val="333333"/>
          <w:lang w:val="en"/>
        </w:rPr>
        <w:t xml:space="preserve"> </w:t>
      </w:r>
      <w:r w:rsidR="005F06DE" w:rsidRPr="005F06DE">
        <w:rPr>
          <w:rFonts w:cs="Arial"/>
          <w:color w:val="333333"/>
          <w:lang w:val="en"/>
        </w:rPr>
        <w:t>The</w:t>
      </w:r>
      <w:r w:rsidRPr="005F06DE">
        <w:rPr>
          <w:rFonts w:cs="Arial"/>
          <w:color w:val="333333"/>
          <w:lang w:val="en"/>
        </w:rPr>
        <w:t xml:space="preserve"> </w:t>
      </w:r>
      <w:r w:rsidRPr="005F06DE">
        <w:t>most widely used CVD risk algorithm in general practice in England</w:t>
      </w:r>
      <w:r w:rsidR="005F06DE" w:rsidRPr="005F06DE">
        <w:t xml:space="preserve"> was not used</w:t>
      </w:r>
      <w:r w:rsidRPr="005F06DE">
        <w:t xml:space="preserve"> due to lack of </w:t>
      </w:r>
      <w:r w:rsidRPr="005F06DE">
        <w:rPr>
          <w:rFonts w:cs="Arial"/>
          <w:color w:val="333333"/>
          <w:lang w:val="en"/>
        </w:rPr>
        <w:t xml:space="preserve">availability of </w:t>
      </w:r>
      <w:r w:rsidRPr="005F06DE">
        <w:t>coefficients for the algorithm.</w:t>
      </w:r>
    </w:p>
    <w:p w14:paraId="5D13EE8E" w14:textId="77777777" w:rsidR="001C6CC3" w:rsidRPr="005F06DE" w:rsidRDefault="001C6CC3" w:rsidP="00221A71">
      <w:pPr>
        <w:spacing w:line="480" w:lineRule="auto"/>
        <w:ind w:left="360"/>
        <w:jc w:val="both"/>
        <w:rPr>
          <w:b/>
        </w:rPr>
      </w:pPr>
    </w:p>
    <w:p w14:paraId="7E2C8344" w14:textId="77777777" w:rsidR="00426813" w:rsidRDefault="00426813" w:rsidP="00221A71">
      <w:pPr>
        <w:spacing w:line="480" w:lineRule="auto"/>
        <w:jc w:val="both"/>
        <w:rPr>
          <w:rFonts w:cs="Arial"/>
          <w:b/>
        </w:rPr>
      </w:pPr>
      <w:r>
        <w:rPr>
          <w:rFonts w:cs="Arial"/>
          <w:b/>
        </w:rPr>
        <w:br w:type="page"/>
      </w:r>
    </w:p>
    <w:p w14:paraId="0CB4D0D3" w14:textId="62267583" w:rsidR="00401A25" w:rsidRPr="001C6CAD" w:rsidRDefault="00707226" w:rsidP="00221A71">
      <w:pPr>
        <w:pStyle w:val="ListParagraph"/>
        <w:numPr>
          <w:ilvl w:val="0"/>
          <w:numId w:val="6"/>
        </w:numPr>
        <w:spacing w:line="480" w:lineRule="auto"/>
        <w:jc w:val="both"/>
        <w:rPr>
          <w:rFonts w:cs="Arial"/>
          <w:b/>
        </w:rPr>
      </w:pPr>
      <w:r w:rsidRPr="001C6CAD">
        <w:rPr>
          <w:rFonts w:cs="Arial"/>
          <w:b/>
        </w:rPr>
        <w:lastRenderedPageBreak/>
        <w:t>BACKGROUND</w:t>
      </w:r>
    </w:p>
    <w:p w14:paraId="0FBBF1B7" w14:textId="23DAB65E" w:rsidR="00F72EBB" w:rsidRDefault="00F72EBB" w:rsidP="00221A71">
      <w:pPr>
        <w:spacing w:line="480" w:lineRule="auto"/>
        <w:jc w:val="both"/>
        <w:rPr>
          <w:rFonts w:cs="Arial"/>
        </w:rPr>
      </w:pPr>
      <w:r w:rsidRPr="006D0999">
        <w:rPr>
          <w:rFonts w:cs="Arial"/>
        </w:rPr>
        <w:t xml:space="preserve">People with Severe Mental Illness (SMI), defined as schizophrenia, bipolar disorder and other non-organic psychotic conditions, </w:t>
      </w:r>
      <w:r w:rsidR="0098171E">
        <w:rPr>
          <w:rFonts w:cs="Arial"/>
        </w:rPr>
        <w:t>have an increased</w:t>
      </w:r>
      <w:r w:rsidR="00B40B5B">
        <w:rPr>
          <w:rFonts w:cs="Arial"/>
        </w:rPr>
        <w:t xml:space="preserve"> </w:t>
      </w:r>
      <w:r>
        <w:rPr>
          <w:rFonts w:cs="Arial"/>
        </w:rPr>
        <w:t xml:space="preserve">risk of cardiovascular disease (CVD) </w:t>
      </w:r>
      <w:r w:rsidR="0098171E">
        <w:rPr>
          <w:rFonts w:cs="Arial"/>
        </w:rPr>
        <w:t>compared to</w:t>
      </w:r>
      <w:r>
        <w:rPr>
          <w:rFonts w:cs="Arial"/>
        </w:rPr>
        <w:t xml:space="preserve"> the general </w:t>
      </w:r>
      <w:r w:rsidRPr="001506B5">
        <w:rPr>
          <w:rFonts w:cs="Arial"/>
        </w:rPr>
        <w:t>population</w:t>
      </w:r>
      <w:r w:rsidR="00600EEA">
        <w:rPr>
          <w:rFonts w:cs="Arial"/>
          <w:vertAlign w:val="superscript"/>
        </w:rPr>
        <w:t>1</w:t>
      </w:r>
      <w:proofErr w:type="gramStart"/>
      <w:r w:rsidR="00600EEA">
        <w:rPr>
          <w:rFonts w:cs="Arial"/>
          <w:vertAlign w:val="superscript"/>
        </w:rPr>
        <w:t>,2</w:t>
      </w:r>
      <w:proofErr w:type="gramEnd"/>
      <w:r w:rsidR="0098171E">
        <w:rPr>
          <w:rFonts w:cs="Arial"/>
        </w:rPr>
        <w:t>.</w:t>
      </w:r>
      <w:r w:rsidR="00624911">
        <w:rPr>
          <w:rFonts w:cs="Arial"/>
        </w:rPr>
        <w:t xml:space="preserve"> </w:t>
      </w:r>
      <w:r w:rsidR="0098171E">
        <w:rPr>
          <w:rFonts w:cs="Arial"/>
        </w:rPr>
        <w:t>This</w:t>
      </w:r>
      <w:r w:rsidR="007C2DCE">
        <w:rPr>
          <w:rFonts w:cs="Arial"/>
        </w:rPr>
        <w:t xml:space="preserve"> </w:t>
      </w:r>
      <w:r w:rsidR="0030555E">
        <w:rPr>
          <w:rFonts w:cs="Arial"/>
        </w:rPr>
        <w:t>is</w:t>
      </w:r>
      <w:r w:rsidR="0062021D">
        <w:rPr>
          <w:rFonts w:cs="Arial"/>
        </w:rPr>
        <w:t xml:space="preserve"> </w:t>
      </w:r>
      <w:r w:rsidR="0030555E">
        <w:rPr>
          <w:rFonts w:cs="Arial"/>
        </w:rPr>
        <w:t>due to</w:t>
      </w:r>
      <w:r w:rsidR="00FA2911">
        <w:rPr>
          <w:rFonts w:cs="Arial"/>
        </w:rPr>
        <w:t xml:space="preserve"> an</w:t>
      </w:r>
      <w:r w:rsidR="00EF3279">
        <w:rPr>
          <w:rFonts w:cs="Arial"/>
        </w:rPr>
        <w:t xml:space="preserve"> </w:t>
      </w:r>
      <w:r w:rsidR="007C2DCE">
        <w:rPr>
          <w:rFonts w:cs="Arial"/>
        </w:rPr>
        <w:t>increased</w:t>
      </w:r>
      <w:r>
        <w:rPr>
          <w:rFonts w:cs="Arial"/>
        </w:rPr>
        <w:t xml:space="preserve"> </w:t>
      </w:r>
      <w:r w:rsidR="00FA2911">
        <w:rPr>
          <w:rFonts w:cs="Arial"/>
        </w:rPr>
        <w:t>prevalence</w:t>
      </w:r>
      <w:r>
        <w:rPr>
          <w:rFonts w:cs="Arial"/>
        </w:rPr>
        <w:t xml:space="preserve"> of modifiable cardiovascular risk factors</w:t>
      </w:r>
      <w:r w:rsidR="00600EEA">
        <w:rPr>
          <w:rFonts w:cs="Arial"/>
          <w:vertAlign w:val="superscript"/>
        </w:rPr>
        <w:t>3</w:t>
      </w:r>
      <w:proofErr w:type="gramStart"/>
      <w:r w:rsidR="00600EEA">
        <w:rPr>
          <w:rFonts w:cs="Arial"/>
          <w:vertAlign w:val="superscript"/>
        </w:rPr>
        <w:t>,4,5</w:t>
      </w:r>
      <w:proofErr w:type="gramEnd"/>
      <w:r w:rsidR="00970B2A">
        <w:rPr>
          <w:rFonts w:cs="Arial"/>
        </w:rPr>
        <w:t xml:space="preserve">, </w:t>
      </w:r>
      <w:r w:rsidR="0098171E">
        <w:rPr>
          <w:rFonts w:cs="Arial"/>
        </w:rPr>
        <w:t>that some</w:t>
      </w:r>
      <w:r>
        <w:rPr>
          <w:rFonts w:cs="Arial"/>
        </w:rPr>
        <w:t xml:space="preserve"> antipsychotic drugs</w:t>
      </w:r>
      <w:r w:rsidR="0098171E">
        <w:rPr>
          <w:rFonts w:cs="Arial"/>
        </w:rPr>
        <w:t xml:space="preserve"> may</w:t>
      </w:r>
      <w:r>
        <w:rPr>
          <w:rFonts w:cs="Arial"/>
        </w:rPr>
        <w:t xml:space="preserve"> cause weight gain and abnormalities of </w:t>
      </w:r>
      <w:r w:rsidR="00AA06B6">
        <w:rPr>
          <w:rFonts w:cs="Arial"/>
        </w:rPr>
        <w:t>lipid and gluco</w:t>
      </w:r>
      <w:r w:rsidRPr="006D0999">
        <w:rPr>
          <w:rFonts w:cs="Arial"/>
        </w:rPr>
        <w:t>se metabolism</w:t>
      </w:r>
      <w:r w:rsidR="00600EEA">
        <w:rPr>
          <w:rFonts w:cs="Arial"/>
          <w:vertAlign w:val="superscript"/>
        </w:rPr>
        <w:t>6,7</w:t>
      </w:r>
      <w:r w:rsidR="009B4ABD">
        <w:rPr>
          <w:rFonts w:cs="Arial"/>
        </w:rPr>
        <w:t xml:space="preserve">, </w:t>
      </w:r>
      <w:r w:rsidR="0062021D">
        <w:rPr>
          <w:rFonts w:cs="Arial"/>
        </w:rPr>
        <w:t>and that</w:t>
      </w:r>
      <w:r>
        <w:rPr>
          <w:rFonts w:cs="Arial"/>
        </w:rPr>
        <w:t xml:space="preserve"> </w:t>
      </w:r>
      <w:r w:rsidR="007307D4">
        <w:rPr>
          <w:rFonts w:cs="Arial"/>
        </w:rPr>
        <w:t>c</w:t>
      </w:r>
      <w:r>
        <w:rPr>
          <w:rFonts w:cs="Arial"/>
        </w:rPr>
        <w:t xml:space="preserve">ardiovascular risk factors </w:t>
      </w:r>
      <w:r w:rsidR="008D6CFF">
        <w:rPr>
          <w:rFonts w:cs="Arial"/>
        </w:rPr>
        <w:t>may be un</w:t>
      </w:r>
      <w:r w:rsidR="004A174C">
        <w:rPr>
          <w:rFonts w:cs="Arial"/>
        </w:rPr>
        <w:t>der</w:t>
      </w:r>
      <w:r w:rsidR="006C56CE">
        <w:rPr>
          <w:rFonts w:cs="Arial"/>
        </w:rPr>
        <w:t>-</w:t>
      </w:r>
      <w:r>
        <w:rPr>
          <w:rFonts w:cs="Arial"/>
        </w:rPr>
        <w:t xml:space="preserve">treated </w:t>
      </w:r>
      <w:r w:rsidR="004A174C">
        <w:rPr>
          <w:rFonts w:cs="Arial"/>
        </w:rPr>
        <w:t>in people with SMI</w:t>
      </w:r>
      <w:r w:rsidR="00600EEA">
        <w:rPr>
          <w:rFonts w:cs="Arial"/>
          <w:vertAlign w:val="superscript"/>
        </w:rPr>
        <w:t>2</w:t>
      </w:r>
      <w:r w:rsidR="0062021D">
        <w:rPr>
          <w:rFonts w:cs="Arial"/>
        </w:rPr>
        <w:t>.</w:t>
      </w:r>
      <w:r w:rsidR="009B4ABD">
        <w:rPr>
          <w:rFonts w:cs="Arial"/>
        </w:rPr>
        <w:t xml:space="preserve"> </w:t>
      </w:r>
      <w:r w:rsidR="0062021D">
        <w:rPr>
          <w:rFonts w:cs="Arial"/>
        </w:rPr>
        <w:t>U</w:t>
      </w:r>
      <w:r>
        <w:rPr>
          <w:rFonts w:cs="Arial"/>
        </w:rPr>
        <w:t xml:space="preserve">p to 88% of </w:t>
      </w:r>
      <w:r w:rsidR="007307D4">
        <w:rPr>
          <w:rFonts w:cs="Arial"/>
        </w:rPr>
        <w:t>people</w:t>
      </w:r>
      <w:r>
        <w:rPr>
          <w:rFonts w:cs="Arial"/>
        </w:rPr>
        <w:t xml:space="preserve"> with schizophrenia have </w:t>
      </w:r>
      <w:r w:rsidR="00426813">
        <w:rPr>
          <w:rFonts w:cs="Arial"/>
        </w:rPr>
        <w:t xml:space="preserve">untreated </w:t>
      </w:r>
      <w:r>
        <w:rPr>
          <w:rFonts w:cs="Arial"/>
        </w:rPr>
        <w:t xml:space="preserve">dyslipidaemia and up to 66% have </w:t>
      </w:r>
      <w:r w:rsidR="00426813">
        <w:rPr>
          <w:rFonts w:cs="Arial"/>
        </w:rPr>
        <w:t xml:space="preserve">untreated </w:t>
      </w:r>
      <w:r w:rsidRPr="00ED2F31">
        <w:rPr>
          <w:rFonts w:cs="Arial"/>
        </w:rPr>
        <w:t>hypertension</w:t>
      </w:r>
      <w:r w:rsidR="00600EEA">
        <w:rPr>
          <w:rFonts w:cs="Arial"/>
          <w:vertAlign w:val="superscript"/>
        </w:rPr>
        <w:t>3</w:t>
      </w:r>
      <w:r w:rsidR="00ED2F31" w:rsidRPr="00ED2F31">
        <w:rPr>
          <w:rFonts w:cs="Arial"/>
        </w:rPr>
        <w:t>.</w:t>
      </w:r>
    </w:p>
    <w:p w14:paraId="59ED5F43" w14:textId="45E3DFE8" w:rsidR="00C72980" w:rsidRPr="00121F0C" w:rsidRDefault="00F72EBB" w:rsidP="00895C1E">
      <w:pPr>
        <w:spacing w:line="480" w:lineRule="auto"/>
        <w:jc w:val="both"/>
        <w:rPr>
          <w:rStyle w:val="paragraph"/>
        </w:rPr>
      </w:pPr>
      <w:r w:rsidRPr="006D0999">
        <w:rPr>
          <w:rFonts w:cs="Arial"/>
        </w:rPr>
        <w:t>Cardiovascular risk</w:t>
      </w:r>
      <w:r>
        <w:rPr>
          <w:rFonts w:cs="Arial"/>
        </w:rPr>
        <w:t xml:space="preserve"> </w:t>
      </w:r>
      <w:r w:rsidR="00EF3279">
        <w:rPr>
          <w:rFonts w:cs="Arial"/>
        </w:rPr>
        <w:t>algorithms</w:t>
      </w:r>
      <w:r w:rsidRPr="006D0999">
        <w:rPr>
          <w:rFonts w:cs="Arial"/>
        </w:rPr>
        <w:t xml:space="preserve"> are widely used in clinical practice </w:t>
      </w:r>
      <w:r>
        <w:rPr>
          <w:rFonts w:cs="Arial"/>
        </w:rPr>
        <w:t>to guide</w:t>
      </w:r>
      <w:r w:rsidR="002B2662">
        <w:rPr>
          <w:rFonts w:cs="Arial"/>
        </w:rPr>
        <w:t xml:space="preserve"> </w:t>
      </w:r>
      <w:r w:rsidR="0098171E">
        <w:rPr>
          <w:rFonts w:cs="Arial"/>
        </w:rPr>
        <w:t xml:space="preserve">primary </w:t>
      </w:r>
      <w:r>
        <w:rPr>
          <w:rFonts w:cs="Arial"/>
        </w:rPr>
        <w:t>prevention</w:t>
      </w:r>
      <w:r w:rsidR="003E233A">
        <w:rPr>
          <w:rFonts w:cs="Arial"/>
        </w:rPr>
        <w:t xml:space="preserve"> </w:t>
      </w:r>
      <w:r>
        <w:rPr>
          <w:rFonts w:cs="Arial"/>
        </w:rPr>
        <w:t>CVD</w:t>
      </w:r>
      <w:r w:rsidR="003E233A">
        <w:rPr>
          <w:rFonts w:cs="Arial"/>
        </w:rPr>
        <w:t xml:space="preserve"> strategies</w:t>
      </w:r>
      <w:r w:rsidR="00600EEA">
        <w:rPr>
          <w:rFonts w:cs="Arial"/>
          <w:vertAlign w:val="superscript"/>
        </w:rPr>
        <w:t>8</w:t>
      </w:r>
      <w:r w:rsidR="0030555E">
        <w:rPr>
          <w:rFonts w:cs="Arial"/>
        </w:rPr>
        <w:t xml:space="preserve">, in particular the </w:t>
      </w:r>
      <w:r w:rsidR="0015459F">
        <w:rPr>
          <w:rFonts w:cs="Arial"/>
        </w:rPr>
        <w:t>initiation</w:t>
      </w:r>
      <w:r w:rsidR="0030555E">
        <w:rPr>
          <w:rFonts w:cs="Arial"/>
        </w:rPr>
        <w:t xml:space="preserve"> of lipid-modifying medication</w:t>
      </w:r>
      <w:r w:rsidR="00B41EEB">
        <w:rPr>
          <w:rFonts w:cs="Arial"/>
        </w:rPr>
        <w:t xml:space="preserve"> (statins)</w:t>
      </w:r>
      <w:r w:rsidR="002B2662">
        <w:rPr>
          <w:rFonts w:cs="Arial"/>
        </w:rPr>
        <w:t xml:space="preserve">. </w:t>
      </w:r>
      <w:r w:rsidR="00B41EEB">
        <w:rPr>
          <w:rFonts w:cs="Arial"/>
        </w:rPr>
        <w:t xml:space="preserve">Guidelines for the initiation of statin therapy in </w:t>
      </w:r>
      <w:r w:rsidR="00FD3A39">
        <w:rPr>
          <w:rFonts w:cs="Arial"/>
        </w:rPr>
        <w:t>clinical practice</w:t>
      </w:r>
      <w:r w:rsidR="00B41EEB">
        <w:rPr>
          <w:rFonts w:cs="Arial"/>
        </w:rPr>
        <w:t xml:space="preserve"> is country-specific</w:t>
      </w:r>
      <w:r w:rsidR="00FD3A39">
        <w:rPr>
          <w:rFonts w:cs="Arial"/>
        </w:rPr>
        <w:t>,</w:t>
      </w:r>
      <w:r w:rsidR="00B41EEB">
        <w:rPr>
          <w:rFonts w:cs="Arial"/>
        </w:rPr>
        <w:t xml:space="preserve"> with </w:t>
      </w:r>
      <w:r w:rsidR="00F51347">
        <w:rPr>
          <w:rFonts w:cs="Arial"/>
        </w:rPr>
        <w:t xml:space="preserve">ten year </w:t>
      </w:r>
      <w:r w:rsidR="00B41EEB">
        <w:rPr>
          <w:rFonts w:cs="Arial"/>
        </w:rPr>
        <w:t xml:space="preserve">CVD risk thresholds </w:t>
      </w:r>
      <w:r w:rsidR="00FD3A39">
        <w:rPr>
          <w:rFonts w:cs="Arial"/>
        </w:rPr>
        <w:t xml:space="preserve">of </w:t>
      </w:r>
      <w:r w:rsidR="00B41EEB">
        <w:rPr>
          <w:rFonts w:cs="Arial"/>
        </w:rPr>
        <w:t>7.5%</w:t>
      </w:r>
      <w:r w:rsidR="00FB4571">
        <w:rPr>
          <w:rFonts w:cs="Arial"/>
        </w:rPr>
        <w:t xml:space="preserve"> being recommended</w:t>
      </w:r>
      <w:r w:rsidR="00B41EEB">
        <w:rPr>
          <w:rFonts w:cs="Arial"/>
        </w:rPr>
        <w:t xml:space="preserve"> in the </w:t>
      </w:r>
      <w:r w:rsidR="00A220A6">
        <w:rPr>
          <w:rFonts w:cs="Arial"/>
        </w:rPr>
        <w:t>USA</w:t>
      </w:r>
      <w:r w:rsidR="00600EEA">
        <w:rPr>
          <w:rFonts w:cs="Arial"/>
          <w:vertAlign w:val="superscript"/>
        </w:rPr>
        <w:t>9</w:t>
      </w:r>
      <w:r w:rsidR="00374457">
        <w:rPr>
          <w:rFonts w:cs="Arial"/>
        </w:rPr>
        <w:t>,</w:t>
      </w:r>
      <w:r w:rsidR="008F7676">
        <w:rPr>
          <w:rFonts w:cs="Arial"/>
        </w:rPr>
        <w:t xml:space="preserve"> 10% in </w:t>
      </w:r>
      <w:r w:rsidR="00A220A6">
        <w:rPr>
          <w:rFonts w:cs="Arial"/>
        </w:rPr>
        <w:t>Europe</w:t>
      </w:r>
      <w:r w:rsidR="00600EEA">
        <w:rPr>
          <w:rFonts w:cs="Arial"/>
          <w:vertAlign w:val="superscript"/>
        </w:rPr>
        <w:t>10</w:t>
      </w:r>
      <w:r w:rsidR="00600EEA">
        <w:rPr>
          <w:rFonts w:cs="Arial"/>
        </w:rPr>
        <w:t xml:space="preserve"> </w:t>
      </w:r>
      <w:r w:rsidR="008F7676">
        <w:rPr>
          <w:rFonts w:cs="Arial"/>
        </w:rPr>
        <w:t>and</w:t>
      </w:r>
      <w:r w:rsidR="00B41EEB">
        <w:rPr>
          <w:rFonts w:cs="Arial"/>
        </w:rPr>
        <w:t xml:space="preserve"> </w:t>
      </w:r>
      <w:r w:rsidR="00911DE8">
        <w:t>10% recently recommended by the National Institute for Health and Care Excellence (NICE) in the UK</w:t>
      </w:r>
      <w:r w:rsidR="00600EEA">
        <w:rPr>
          <w:vertAlign w:val="superscript"/>
        </w:rPr>
        <w:t>11</w:t>
      </w:r>
      <w:r w:rsidR="00FD3A39" w:rsidRPr="00742DB8">
        <w:rPr>
          <w:rFonts w:cs="Arial"/>
        </w:rPr>
        <w:t>.</w:t>
      </w:r>
      <w:r w:rsidR="007C6446" w:rsidRPr="00742DB8">
        <w:rPr>
          <w:rFonts w:cs="Arial"/>
        </w:rPr>
        <w:t xml:space="preserve"> </w:t>
      </w:r>
      <w:r w:rsidR="0030555E" w:rsidRPr="00742DB8">
        <w:rPr>
          <w:rFonts w:cs="Arial"/>
        </w:rPr>
        <w:t xml:space="preserve">A </w:t>
      </w:r>
      <w:r w:rsidR="00FB4571" w:rsidRPr="00B533B1">
        <w:rPr>
          <w:rFonts w:cs="Arial"/>
        </w:rPr>
        <w:t>number</w:t>
      </w:r>
      <w:r w:rsidR="0030555E" w:rsidRPr="00B533B1">
        <w:rPr>
          <w:rFonts w:cs="Arial"/>
        </w:rPr>
        <w:t xml:space="preserve"> of CVD risk algorithms exist</w:t>
      </w:r>
      <w:r w:rsidR="00865431" w:rsidRPr="00B533B1">
        <w:rPr>
          <w:rFonts w:cs="Arial"/>
          <w:vertAlign w:val="superscript"/>
        </w:rPr>
        <w:t>12</w:t>
      </w:r>
      <w:proofErr w:type="gramStart"/>
      <w:r w:rsidR="00865431" w:rsidRPr="00B533B1">
        <w:rPr>
          <w:rFonts w:cs="Arial"/>
          <w:vertAlign w:val="superscript"/>
        </w:rPr>
        <w:t>,13,14</w:t>
      </w:r>
      <w:proofErr w:type="gramEnd"/>
      <w:r w:rsidR="0030555E" w:rsidRPr="00B533B1">
        <w:rPr>
          <w:rFonts w:cs="Arial"/>
        </w:rPr>
        <w:t>,</w:t>
      </w:r>
      <w:r w:rsidR="004728FE" w:rsidRPr="00B533B1">
        <w:rPr>
          <w:rFonts w:cs="Arial"/>
        </w:rPr>
        <w:t xml:space="preserve"> including QRISK</w:t>
      </w:r>
      <w:r w:rsidR="00524306" w:rsidRPr="00B533B1">
        <w:rPr>
          <w:rFonts w:cs="Arial"/>
        </w:rPr>
        <w:t>2</w:t>
      </w:r>
      <w:r w:rsidR="004728FE" w:rsidRPr="00B533B1">
        <w:rPr>
          <w:rFonts w:cs="Arial"/>
        </w:rPr>
        <w:t xml:space="preserve"> which is endorsed by NICE for use in primary care in the UK.</w:t>
      </w:r>
      <w:r w:rsidR="0030555E" w:rsidRPr="00B533B1">
        <w:rPr>
          <w:rFonts w:cs="Arial"/>
        </w:rPr>
        <w:t xml:space="preserve"> </w:t>
      </w:r>
      <w:r w:rsidR="00913277" w:rsidRPr="00683CB5">
        <w:rPr>
          <w:rFonts w:cs="Arial"/>
        </w:rPr>
        <w:t>T</w:t>
      </w:r>
      <w:r w:rsidR="00524306" w:rsidRPr="00742DB8">
        <w:rPr>
          <w:rFonts w:cs="Arial"/>
        </w:rPr>
        <w:t>he current Quality Outcomes Framework (QOF)</w:t>
      </w:r>
      <w:r w:rsidR="00913277" w:rsidRPr="00742DB8">
        <w:rPr>
          <w:rFonts w:cs="Arial"/>
        </w:rPr>
        <w:t xml:space="preserve"> incentivises annual </w:t>
      </w:r>
      <w:r w:rsidR="002C3470" w:rsidRPr="00742DB8">
        <w:rPr>
          <w:rFonts w:cs="Arial"/>
        </w:rPr>
        <w:t xml:space="preserve">monitoring and assessment of CVD risk using QRISK2 in primary </w:t>
      </w:r>
      <w:r w:rsidR="002C3470" w:rsidRPr="00763649">
        <w:rPr>
          <w:rFonts w:cs="Arial"/>
        </w:rPr>
        <w:t>care</w:t>
      </w:r>
      <w:r w:rsidR="00763649" w:rsidRPr="00763649">
        <w:rPr>
          <w:rFonts w:cs="Arial"/>
          <w:vertAlign w:val="superscript"/>
        </w:rPr>
        <w:t>15</w:t>
      </w:r>
      <w:r w:rsidR="002C3470" w:rsidRPr="00763649">
        <w:rPr>
          <w:rFonts w:cs="Arial"/>
        </w:rPr>
        <w:t xml:space="preserve">. </w:t>
      </w:r>
      <w:r w:rsidR="002B754E" w:rsidRPr="00683CB5">
        <w:rPr>
          <w:rFonts w:cs="Arial"/>
        </w:rPr>
        <w:t>It</w:t>
      </w:r>
      <w:r w:rsidR="002C3470" w:rsidRPr="00742DB8">
        <w:rPr>
          <w:rFonts w:cs="Arial"/>
        </w:rPr>
        <w:t xml:space="preserve"> also incentivise</w:t>
      </w:r>
      <w:r w:rsidR="007A6528">
        <w:rPr>
          <w:rFonts w:cs="Arial"/>
        </w:rPr>
        <w:t>s</w:t>
      </w:r>
      <w:r w:rsidR="002C3470" w:rsidRPr="00742DB8">
        <w:rPr>
          <w:rFonts w:cs="Arial"/>
        </w:rPr>
        <w:t xml:space="preserve"> annual </w:t>
      </w:r>
      <w:r w:rsidR="00913277" w:rsidRPr="00742DB8">
        <w:rPr>
          <w:rFonts w:cs="Arial"/>
        </w:rPr>
        <w:t xml:space="preserve">monitoring of blood pressure, alcohol and smoking status for patients with </w:t>
      </w:r>
      <w:r w:rsidR="00913277" w:rsidRPr="00763649">
        <w:rPr>
          <w:rFonts w:cs="Arial"/>
        </w:rPr>
        <w:t>SMI</w:t>
      </w:r>
      <w:r w:rsidR="00763649" w:rsidRPr="00763649">
        <w:rPr>
          <w:rFonts w:cs="Arial"/>
          <w:vertAlign w:val="superscript"/>
        </w:rPr>
        <w:t>15</w:t>
      </w:r>
      <w:r w:rsidR="002C3470" w:rsidRPr="00763649">
        <w:rPr>
          <w:rFonts w:cs="Arial"/>
        </w:rPr>
        <w:t xml:space="preserve">. </w:t>
      </w:r>
      <w:r w:rsidR="002B754E" w:rsidRPr="00763649">
        <w:rPr>
          <w:rFonts w:cs="Arial"/>
        </w:rPr>
        <w:t>Previously</w:t>
      </w:r>
      <w:r w:rsidR="002B754E" w:rsidRPr="00742DB8">
        <w:rPr>
          <w:rFonts w:cs="Arial"/>
        </w:rPr>
        <w:t>, QOF indicators</w:t>
      </w:r>
      <w:r w:rsidR="002B754E" w:rsidRPr="00B533B1">
        <w:rPr>
          <w:rFonts w:cs="Arial"/>
        </w:rPr>
        <w:t xml:space="preserve"> also included measurements of total to </w:t>
      </w:r>
      <w:r w:rsidR="00895C1E">
        <w:rPr>
          <w:rFonts w:cs="Arial"/>
        </w:rPr>
        <w:t>high density lipoprotein (</w:t>
      </w:r>
      <w:r w:rsidR="002B754E" w:rsidRPr="00B533B1">
        <w:rPr>
          <w:rFonts w:cs="Arial"/>
        </w:rPr>
        <w:t>HDL</w:t>
      </w:r>
      <w:r w:rsidR="00895C1E">
        <w:rPr>
          <w:rFonts w:cs="Arial"/>
        </w:rPr>
        <w:t>)-</w:t>
      </w:r>
      <w:r w:rsidR="002B754E" w:rsidRPr="00B533B1">
        <w:rPr>
          <w:rFonts w:cs="Arial"/>
        </w:rPr>
        <w:t>cholesterol ratio</w:t>
      </w:r>
      <w:r w:rsidR="007254B8" w:rsidRPr="00683CB5">
        <w:rPr>
          <w:rFonts w:cs="Arial"/>
        </w:rPr>
        <w:t>, glucose levels</w:t>
      </w:r>
      <w:r w:rsidR="002B754E" w:rsidRPr="00742DB8">
        <w:rPr>
          <w:rFonts w:cs="Arial"/>
        </w:rPr>
        <w:t xml:space="preserve"> and weight in those with SMI</w:t>
      </w:r>
      <w:r w:rsidR="00763649">
        <w:rPr>
          <w:rFonts w:cs="Arial"/>
          <w:vertAlign w:val="superscript"/>
        </w:rPr>
        <w:t>16</w:t>
      </w:r>
      <w:r w:rsidR="002B754E" w:rsidRPr="00763649">
        <w:rPr>
          <w:rFonts w:cs="Arial"/>
        </w:rPr>
        <w:t xml:space="preserve">. </w:t>
      </w:r>
      <w:r w:rsidR="00B533B1" w:rsidRPr="00683CB5">
        <w:rPr>
          <w:rFonts w:cs="Arial"/>
        </w:rPr>
        <w:t>Despite the presence of QOF indicators, monitoring of CVD risk remains low</w:t>
      </w:r>
      <w:r w:rsidR="00763649">
        <w:rPr>
          <w:rFonts w:cs="Arial"/>
          <w:vertAlign w:val="superscript"/>
        </w:rPr>
        <w:t>17</w:t>
      </w:r>
      <w:proofErr w:type="gramStart"/>
      <w:r w:rsidR="00351CA6">
        <w:rPr>
          <w:rFonts w:cs="Arial"/>
          <w:vertAlign w:val="superscript"/>
        </w:rPr>
        <w:t>,18</w:t>
      </w:r>
      <w:proofErr w:type="gramEnd"/>
      <w:r w:rsidR="002B754E" w:rsidRPr="00763649">
        <w:rPr>
          <w:rFonts w:cs="Arial"/>
        </w:rPr>
        <w:t>.</w:t>
      </w:r>
      <w:r w:rsidR="002C3470" w:rsidRPr="00763649">
        <w:rPr>
          <w:rFonts w:cs="Arial"/>
        </w:rPr>
        <w:t xml:space="preserve"> In</w:t>
      </w:r>
      <w:r w:rsidR="002C3470">
        <w:rPr>
          <w:rFonts w:cs="Arial"/>
        </w:rPr>
        <w:t xml:space="preserve"> addition, </w:t>
      </w:r>
      <w:r w:rsidR="004728FE">
        <w:rPr>
          <w:rFonts w:cs="Arial"/>
        </w:rPr>
        <w:t>QRISK</w:t>
      </w:r>
      <w:r w:rsidR="00524306">
        <w:rPr>
          <w:rFonts w:cs="Arial"/>
        </w:rPr>
        <w:t>2</w:t>
      </w:r>
      <w:r w:rsidR="0030555E">
        <w:rPr>
          <w:rFonts w:cs="Arial"/>
        </w:rPr>
        <w:t xml:space="preserve"> </w:t>
      </w:r>
      <w:r w:rsidR="004728FE">
        <w:rPr>
          <w:rFonts w:cs="Arial"/>
        </w:rPr>
        <w:t>m</w:t>
      </w:r>
      <w:r w:rsidR="0030555E">
        <w:rPr>
          <w:rFonts w:cs="Arial"/>
        </w:rPr>
        <w:t xml:space="preserve">ay incorrectly estimate </w:t>
      </w:r>
      <w:r>
        <w:rPr>
          <w:rFonts w:cs="Arial"/>
        </w:rPr>
        <w:t xml:space="preserve">CVD risk in some high risk </w:t>
      </w:r>
      <w:r w:rsidR="00763649">
        <w:rPr>
          <w:rFonts w:cs="Arial"/>
        </w:rPr>
        <w:t>populations</w:t>
      </w:r>
      <w:r w:rsidR="00351CA6">
        <w:rPr>
          <w:rFonts w:cs="Arial"/>
          <w:vertAlign w:val="superscript"/>
        </w:rPr>
        <w:t>19</w:t>
      </w:r>
      <w:r>
        <w:t xml:space="preserve">. </w:t>
      </w:r>
      <w:r>
        <w:rPr>
          <w:rFonts w:cs="Arial"/>
        </w:rPr>
        <w:t xml:space="preserve">As a result, </w:t>
      </w:r>
      <w:r w:rsidR="00B40B5B">
        <w:rPr>
          <w:rFonts w:cs="Arial"/>
        </w:rPr>
        <w:t>population</w:t>
      </w:r>
      <w:r w:rsidR="00EF3279">
        <w:rPr>
          <w:rFonts w:cs="Arial"/>
        </w:rPr>
        <w:t xml:space="preserve"> </w:t>
      </w:r>
      <w:r w:rsidR="00B40B5B">
        <w:rPr>
          <w:rFonts w:cs="Arial"/>
        </w:rPr>
        <w:t xml:space="preserve">specific algorithms </w:t>
      </w:r>
      <w:r w:rsidR="00FB4571">
        <w:rPr>
          <w:rFonts w:cs="Arial"/>
        </w:rPr>
        <w:t>have been developed</w:t>
      </w:r>
      <w:r w:rsidR="00351CA6">
        <w:rPr>
          <w:rFonts w:cs="Arial"/>
          <w:vertAlign w:val="superscript"/>
        </w:rPr>
        <w:t>20</w:t>
      </w:r>
      <w:proofErr w:type="gramStart"/>
      <w:r w:rsidR="00865431">
        <w:rPr>
          <w:rFonts w:cs="Arial"/>
          <w:vertAlign w:val="superscript"/>
        </w:rPr>
        <w:t>,</w:t>
      </w:r>
      <w:r w:rsidR="00763649">
        <w:rPr>
          <w:rFonts w:cs="Arial"/>
          <w:vertAlign w:val="superscript"/>
        </w:rPr>
        <w:t>2</w:t>
      </w:r>
      <w:r w:rsidR="00351CA6">
        <w:rPr>
          <w:rFonts w:cs="Arial"/>
          <w:vertAlign w:val="superscript"/>
        </w:rPr>
        <w:t>1</w:t>
      </w:r>
      <w:r w:rsidR="00865431">
        <w:rPr>
          <w:rFonts w:cs="Arial"/>
          <w:vertAlign w:val="superscript"/>
        </w:rPr>
        <w:t>,</w:t>
      </w:r>
      <w:r w:rsidR="00763649">
        <w:rPr>
          <w:rFonts w:cs="Arial"/>
          <w:vertAlign w:val="superscript"/>
        </w:rPr>
        <w:t>2</w:t>
      </w:r>
      <w:r w:rsidR="00351CA6">
        <w:rPr>
          <w:rFonts w:cs="Arial"/>
          <w:vertAlign w:val="superscript"/>
        </w:rPr>
        <w:t>2</w:t>
      </w:r>
      <w:proofErr w:type="gramEnd"/>
      <w:r w:rsidR="0035657F">
        <w:rPr>
          <w:rFonts w:cs="Arial"/>
        </w:rPr>
        <w:t xml:space="preserve">. </w:t>
      </w:r>
      <w:r w:rsidR="002B309C">
        <w:rPr>
          <w:rFonts w:cs="Arial"/>
        </w:rPr>
        <w:t>In 201</w:t>
      </w:r>
      <w:r w:rsidR="003270A9">
        <w:rPr>
          <w:rFonts w:cs="Arial"/>
        </w:rPr>
        <w:t>5</w:t>
      </w:r>
      <w:r w:rsidR="006B01E2">
        <w:rPr>
          <w:rFonts w:cs="Arial"/>
        </w:rPr>
        <w:t>,</w:t>
      </w:r>
      <w:r w:rsidR="002B309C">
        <w:rPr>
          <w:rFonts w:cs="Arial"/>
        </w:rPr>
        <w:t xml:space="preserve"> an SMI</w:t>
      </w:r>
      <w:r w:rsidR="00EF3279">
        <w:rPr>
          <w:rFonts w:cs="Arial"/>
        </w:rPr>
        <w:t>-</w:t>
      </w:r>
      <w:r w:rsidR="002B309C">
        <w:rPr>
          <w:rFonts w:cs="Arial"/>
        </w:rPr>
        <w:t>specific CVD risk algorithm</w:t>
      </w:r>
      <w:r w:rsidR="002270FF">
        <w:rPr>
          <w:rFonts w:cs="Arial"/>
        </w:rPr>
        <w:t xml:space="preserve">, </w:t>
      </w:r>
      <w:r w:rsidR="002270FF">
        <w:rPr>
          <w:rFonts w:cs="Arial"/>
          <w:i/>
        </w:rPr>
        <w:t>PRIMROSE</w:t>
      </w:r>
      <w:r w:rsidR="002270FF" w:rsidRPr="001C6CAD">
        <w:rPr>
          <w:rFonts w:cs="Arial"/>
        </w:rPr>
        <w:t>, was</w:t>
      </w:r>
      <w:r w:rsidR="009B4ABD">
        <w:rPr>
          <w:rFonts w:cs="Arial"/>
        </w:rPr>
        <w:t xml:space="preserve"> </w:t>
      </w:r>
      <w:r w:rsidR="00FB4571">
        <w:rPr>
          <w:rFonts w:cs="Arial"/>
        </w:rPr>
        <w:t xml:space="preserve">developed and </w:t>
      </w:r>
      <w:r w:rsidR="00763649">
        <w:rPr>
          <w:rFonts w:cs="Arial"/>
        </w:rPr>
        <w:t>validated</w:t>
      </w:r>
      <w:r w:rsidR="00763649">
        <w:rPr>
          <w:rFonts w:cs="Arial"/>
          <w:vertAlign w:val="superscript"/>
        </w:rPr>
        <w:t>2</w:t>
      </w:r>
      <w:r w:rsidR="00351CA6">
        <w:rPr>
          <w:rFonts w:cs="Arial"/>
          <w:vertAlign w:val="superscript"/>
        </w:rPr>
        <w:t>3</w:t>
      </w:r>
      <w:r w:rsidR="00763649">
        <w:rPr>
          <w:rFonts w:cs="Arial"/>
        </w:rPr>
        <w:t xml:space="preserve"> </w:t>
      </w:r>
      <w:r w:rsidR="002B309C">
        <w:rPr>
          <w:rFonts w:cs="Arial"/>
        </w:rPr>
        <w:t>using data from primary care attendees in the UK.</w:t>
      </w:r>
      <w:r w:rsidR="00BE0025">
        <w:rPr>
          <w:rFonts w:cs="Arial"/>
        </w:rPr>
        <w:t xml:space="preserve"> </w:t>
      </w:r>
      <w:r w:rsidR="002B309C">
        <w:rPr>
          <w:rFonts w:cs="Arial"/>
        </w:rPr>
        <w:t>In addition to variables common to other CVD risk alg</w:t>
      </w:r>
      <w:r w:rsidR="002B309C" w:rsidRPr="00D73CEE">
        <w:rPr>
          <w:rFonts w:cs="Arial"/>
        </w:rPr>
        <w:t>orithms</w:t>
      </w:r>
      <w:r w:rsidR="006703F1" w:rsidRPr="00D73CEE">
        <w:rPr>
          <w:rFonts w:cs="Arial"/>
        </w:rPr>
        <w:t>,</w:t>
      </w:r>
      <w:r w:rsidR="002B309C" w:rsidRPr="00D73CEE">
        <w:rPr>
          <w:rFonts w:cs="Arial"/>
        </w:rPr>
        <w:t xml:space="preserve"> it</w:t>
      </w:r>
      <w:r w:rsidR="00BE0025" w:rsidRPr="00D73CEE">
        <w:rPr>
          <w:rFonts w:cs="Arial"/>
        </w:rPr>
        <w:t xml:space="preserve"> includes</w:t>
      </w:r>
      <w:r w:rsidR="00CD6BA9">
        <w:rPr>
          <w:rFonts w:cs="Arial"/>
        </w:rPr>
        <w:t>:</w:t>
      </w:r>
      <w:r w:rsidR="00BE0025" w:rsidRPr="00D73CEE">
        <w:rPr>
          <w:rFonts w:cs="Arial"/>
        </w:rPr>
        <w:t xml:space="preserve"> psychiatric diagnosis, </w:t>
      </w:r>
      <w:r w:rsidR="00F22599" w:rsidRPr="00D73CEE">
        <w:rPr>
          <w:rFonts w:cs="Arial"/>
        </w:rPr>
        <w:t xml:space="preserve">antipsychotic </w:t>
      </w:r>
      <w:r w:rsidR="00BE0025" w:rsidRPr="00D73CEE">
        <w:rPr>
          <w:rFonts w:cs="Arial"/>
        </w:rPr>
        <w:t xml:space="preserve">medication, harmful use of alcohol, use of antidepressants, and social deprivation. The </w:t>
      </w:r>
      <w:r w:rsidR="00A12850" w:rsidRPr="00D73CEE">
        <w:rPr>
          <w:rFonts w:cs="Arial"/>
        </w:rPr>
        <w:t xml:space="preserve">PRIMROSE </w:t>
      </w:r>
      <w:r w:rsidR="002812E7" w:rsidRPr="00D73CEE">
        <w:rPr>
          <w:rFonts w:cs="Arial"/>
        </w:rPr>
        <w:t xml:space="preserve">algorithm </w:t>
      </w:r>
      <w:r w:rsidR="00BE0025" w:rsidRPr="00D73CEE">
        <w:rPr>
          <w:rFonts w:cs="Arial"/>
        </w:rPr>
        <w:t>is available as both a lipid model</w:t>
      </w:r>
      <w:r w:rsidR="00A12850" w:rsidRPr="00D73CEE">
        <w:rPr>
          <w:rFonts w:cs="Arial"/>
        </w:rPr>
        <w:t xml:space="preserve"> (</w:t>
      </w:r>
      <w:r w:rsidR="00BE0025" w:rsidRPr="00D73CEE">
        <w:rPr>
          <w:rFonts w:cs="Arial"/>
        </w:rPr>
        <w:t>includ</w:t>
      </w:r>
      <w:r w:rsidR="00A12850" w:rsidRPr="00D73CEE">
        <w:rPr>
          <w:rFonts w:cs="Arial"/>
        </w:rPr>
        <w:t>ing</w:t>
      </w:r>
      <w:r w:rsidR="00BE0025" w:rsidRPr="00D73CEE">
        <w:rPr>
          <w:rFonts w:cs="Arial"/>
        </w:rPr>
        <w:t xml:space="preserve"> mea</w:t>
      </w:r>
      <w:r w:rsidR="00A12850" w:rsidRPr="00D73CEE">
        <w:rPr>
          <w:rFonts w:cs="Arial"/>
        </w:rPr>
        <w:t>s</w:t>
      </w:r>
      <w:r w:rsidR="00BE0025" w:rsidRPr="00D73CEE">
        <w:rPr>
          <w:rFonts w:cs="Arial"/>
        </w:rPr>
        <w:t>ures of total cholesterol and HDL</w:t>
      </w:r>
      <w:r w:rsidR="00895C1E">
        <w:rPr>
          <w:rFonts w:cs="Arial"/>
        </w:rPr>
        <w:t>-cholesterol</w:t>
      </w:r>
      <w:r w:rsidR="00A12850" w:rsidRPr="00D73CEE">
        <w:rPr>
          <w:rFonts w:cs="Arial"/>
        </w:rPr>
        <w:t>)</w:t>
      </w:r>
      <w:r w:rsidR="009B4ABD" w:rsidRPr="00D73CEE">
        <w:rPr>
          <w:rFonts w:cs="Arial"/>
        </w:rPr>
        <w:t>,</w:t>
      </w:r>
      <w:r w:rsidR="00BE0025" w:rsidRPr="00D73CEE">
        <w:rPr>
          <w:rFonts w:cs="Arial"/>
        </w:rPr>
        <w:t xml:space="preserve"> and a </w:t>
      </w:r>
      <w:r w:rsidR="00BE0025" w:rsidRPr="00D73CEE">
        <w:rPr>
          <w:rFonts w:cs="Arial"/>
        </w:rPr>
        <w:lastRenderedPageBreak/>
        <w:t xml:space="preserve">body mass index (BMI) model </w:t>
      </w:r>
      <w:r w:rsidR="00A12850" w:rsidRPr="00D73CEE">
        <w:rPr>
          <w:rFonts w:cs="Arial"/>
        </w:rPr>
        <w:t>(where</w:t>
      </w:r>
      <w:r w:rsidR="00BE0025" w:rsidRPr="00D73CEE">
        <w:rPr>
          <w:rFonts w:cs="Arial"/>
        </w:rPr>
        <w:t xml:space="preserve"> lipid measures </w:t>
      </w:r>
      <w:r w:rsidR="00A12850" w:rsidRPr="00D73CEE">
        <w:rPr>
          <w:rFonts w:cs="Arial"/>
        </w:rPr>
        <w:t xml:space="preserve">are replaced </w:t>
      </w:r>
      <w:r w:rsidR="00BE0025" w:rsidRPr="00D73CEE">
        <w:rPr>
          <w:rFonts w:cs="Arial"/>
        </w:rPr>
        <w:t>with measures of BMI</w:t>
      </w:r>
      <w:r w:rsidR="00A12850" w:rsidRPr="00D73CEE">
        <w:rPr>
          <w:rFonts w:cs="Arial"/>
        </w:rPr>
        <w:t>)</w:t>
      </w:r>
      <w:r w:rsidR="00C72980" w:rsidRPr="00D73CEE">
        <w:rPr>
          <w:rFonts w:cs="Arial"/>
        </w:rPr>
        <w:t>.</w:t>
      </w:r>
      <w:r w:rsidR="005A1689" w:rsidRPr="00D73CEE">
        <w:rPr>
          <w:rFonts w:cs="Arial"/>
        </w:rPr>
        <w:t xml:space="preserve"> </w:t>
      </w:r>
      <w:r w:rsidR="00C72980" w:rsidRPr="00D73CEE">
        <w:rPr>
          <w:rFonts w:cs="Arial"/>
        </w:rPr>
        <w:t xml:space="preserve"> Both</w:t>
      </w:r>
      <w:r w:rsidR="003270A9" w:rsidRPr="00D73CEE">
        <w:rPr>
          <w:rFonts w:cs="Arial"/>
        </w:rPr>
        <w:t xml:space="preserve"> </w:t>
      </w:r>
      <w:r w:rsidR="00690619" w:rsidRPr="00D73CEE">
        <w:rPr>
          <w:rFonts w:cs="Arial"/>
        </w:rPr>
        <w:t xml:space="preserve">PRIMROSE </w:t>
      </w:r>
      <w:r w:rsidR="003270A9" w:rsidRPr="00D73CEE">
        <w:rPr>
          <w:rFonts w:cs="Arial"/>
        </w:rPr>
        <w:t>models</w:t>
      </w:r>
      <w:r w:rsidR="00C72980" w:rsidRPr="00D73CEE">
        <w:rPr>
          <w:rFonts w:cs="Arial"/>
        </w:rPr>
        <w:t xml:space="preserve"> have been shown to</w:t>
      </w:r>
      <w:r w:rsidR="00B40B5B" w:rsidRPr="00D73CEE">
        <w:rPr>
          <w:rFonts w:cs="Arial"/>
        </w:rPr>
        <w:t xml:space="preserve"> </w:t>
      </w:r>
      <w:r w:rsidR="003270A9" w:rsidRPr="00D73CEE">
        <w:rPr>
          <w:rFonts w:cs="Arial"/>
        </w:rPr>
        <w:t xml:space="preserve">perform better than the general population based Framingham </w:t>
      </w:r>
      <w:r w:rsidR="00A220A6" w:rsidRPr="00D73CEE">
        <w:rPr>
          <w:rFonts w:cs="Arial"/>
        </w:rPr>
        <w:t>algorithm</w:t>
      </w:r>
      <w:r w:rsidR="00CD6BA9">
        <w:rPr>
          <w:rFonts w:cs="Arial"/>
        </w:rPr>
        <w:t xml:space="preserve"> </w:t>
      </w:r>
      <w:r w:rsidR="00CD6BA9" w:rsidRPr="00D73CEE">
        <w:rPr>
          <w:rFonts w:cs="Arial"/>
        </w:rPr>
        <w:t>at predicting new CVD events</w:t>
      </w:r>
      <w:r w:rsidR="00763649">
        <w:rPr>
          <w:rFonts w:cs="Arial"/>
          <w:vertAlign w:val="superscript"/>
        </w:rPr>
        <w:t>2</w:t>
      </w:r>
      <w:r w:rsidR="00351CA6">
        <w:rPr>
          <w:rFonts w:cs="Arial"/>
          <w:vertAlign w:val="superscript"/>
        </w:rPr>
        <w:t>3</w:t>
      </w:r>
      <w:r w:rsidR="00865431">
        <w:rPr>
          <w:rFonts w:cs="Arial"/>
        </w:rPr>
        <w:t>.</w:t>
      </w:r>
      <w:r w:rsidR="00C72980">
        <w:rPr>
          <w:rFonts w:cs="Arial"/>
        </w:rPr>
        <w:t xml:space="preserve"> </w:t>
      </w:r>
      <w:r w:rsidR="009306FA">
        <w:rPr>
          <w:rFonts w:cs="Arial"/>
        </w:rPr>
        <w:t>However, the effectiveness</w:t>
      </w:r>
      <w:r w:rsidR="00903414">
        <w:rPr>
          <w:rFonts w:cs="Arial"/>
        </w:rPr>
        <w:t xml:space="preserve"> </w:t>
      </w:r>
      <w:r w:rsidR="00895C1E">
        <w:rPr>
          <w:rFonts w:cs="Arial"/>
        </w:rPr>
        <w:t xml:space="preserve">and cost-effectiveness </w:t>
      </w:r>
      <w:r w:rsidR="009306FA">
        <w:rPr>
          <w:rFonts w:cs="Arial"/>
        </w:rPr>
        <w:t xml:space="preserve">of these models in </w:t>
      </w:r>
      <w:r w:rsidR="00895C1E">
        <w:rPr>
          <w:rFonts w:cs="Arial"/>
        </w:rPr>
        <w:t>clinical</w:t>
      </w:r>
      <w:r w:rsidR="00B14D67">
        <w:rPr>
          <w:rFonts w:cs="Arial"/>
        </w:rPr>
        <w:t xml:space="preserve"> </w:t>
      </w:r>
      <w:r w:rsidR="009306FA">
        <w:rPr>
          <w:rFonts w:cs="Arial"/>
        </w:rPr>
        <w:t xml:space="preserve">practice is unknown. </w:t>
      </w:r>
    </w:p>
    <w:p w14:paraId="5B207F0A" w14:textId="0AE7B317" w:rsidR="00690619" w:rsidRDefault="00F72EBB" w:rsidP="00B02B87">
      <w:pPr>
        <w:spacing w:line="480" w:lineRule="auto"/>
        <w:jc w:val="both"/>
      </w:pPr>
      <w:r>
        <w:t xml:space="preserve">The aim of this </w:t>
      </w:r>
      <w:r w:rsidR="003270A9">
        <w:t>study</w:t>
      </w:r>
      <w:r>
        <w:t xml:space="preserve"> </w:t>
      </w:r>
      <w:r w:rsidR="002B309C">
        <w:t>i</w:t>
      </w:r>
      <w:r>
        <w:t>s to</w:t>
      </w:r>
      <w:r w:rsidR="002B309C">
        <w:t xml:space="preserve"> evaluate the 10 year costs and consequences of an</w:t>
      </w:r>
      <w:r>
        <w:t xml:space="preserve"> SMI</w:t>
      </w:r>
      <w:r w:rsidR="00816BE6">
        <w:t>-</w:t>
      </w:r>
      <w:r w:rsidR="002B309C">
        <w:t>specific risk algorithm</w:t>
      </w:r>
      <w:r w:rsidR="00690619">
        <w:t xml:space="preserve"> (PRIMROSE)</w:t>
      </w:r>
      <w:r w:rsidR="002B309C">
        <w:t xml:space="preserve"> compared to</w:t>
      </w:r>
      <w:r>
        <w:t xml:space="preserve"> </w:t>
      </w:r>
      <w:r w:rsidR="000F10D0">
        <w:t xml:space="preserve">using </w:t>
      </w:r>
      <w:r w:rsidR="002B309C">
        <w:t>general population</w:t>
      </w:r>
      <w:r>
        <w:t xml:space="preserve"> CVD risk </w:t>
      </w:r>
      <w:r w:rsidR="008B2464">
        <w:t>algorithms</w:t>
      </w:r>
      <w:r w:rsidR="00EF3279">
        <w:t>, in the risk management and primary prevention of CVD in those with SMI</w:t>
      </w:r>
      <w:r w:rsidR="002B309C">
        <w:t>.</w:t>
      </w:r>
      <w:r w:rsidR="00B02B87">
        <w:t xml:space="preserve"> Our analysis was from a UK primary care population perspective using English health care costs.</w:t>
      </w:r>
      <w:r w:rsidR="00897292">
        <w:t xml:space="preserve"> </w:t>
      </w:r>
    </w:p>
    <w:p w14:paraId="4EE0E618" w14:textId="77777777" w:rsidR="00F72EBB" w:rsidRDefault="00F72EBB" w:rsidP="00221A71">
      <w:pPr>
        <w:spacing w:line="480" w:lineRule="auto"/>
        <w:jc w:val="both"/>
        <w:rPr>
          <w:b/>
        </w:rPr>
      </w:pPr>
    </w:p>
    <w:p w14:paraId="24E80D99" w14:textId="5A4677F6" w:rsidR="00D731EB" w:rsidRPr="001C6CAD" w:rsidRDefault="00707226" w:rsidP="00221A71">
      <w:pPr>
        <w:pStyle w:val="ListParagraph"/>
        <w:numPr>
          <w:ilvl w:val="0"/>
          <w:numId w:val="6"/>
        </w:numPr>
        <w:spacing w:line="480" w:lineRule="auto"/>
        <w:jc w:val="both"/>
        <w:rPr>
          <w:b/>
        </w:rPr>
      </w:pPr>
      <w:r w:rsidRPr="001C6CAD">
        <w:rPr>
          <w:b/>
        </w:rPr>
        <w:t>METHODOLOGY</w:t>
      </w:r>
    </w:p>
    <w:p w14:paraId="7E8E18DA" w14:textId="708944E0" w:rsidR="00A37AED" w:rsidRPr="00004332" w:rsidRDefault="007307D4" w:rsidP="00221A71">
      <w:pPr>
        <w:spacing w:line="480" w:lineRule="auto"/>
        <w:jc w:val="both"/>
        <w:rPr>
          <w:b/>
        </w:rPr>
      </w:pPr>
      <w:r>
        <w:rPr>
          <w:b/>
        </w:rPr>
        <w:t xml:space="preserve">2.1 </w:t>
      </w:r>
      <w:r w:rsidR="00A37AED" w:rsidRPr="00004332">
        <w:rPr>
          <w:b/>
        </w:rPr>
        <w:t>Study design</w:t>
      </w:r>
    </w:p>
    <w:p w14:paraId="620896CD" w14:textId="5CD18E95" w:rsidR="00A37AED" w:rsidRPr="001A2CCE" w:rsidRDefault="002270FF">
      <w:pPr>
        <w:spacing w:line="480" w:lineRule="auto"/>
        <w:jc w:val="both"/>
        <w:rPr>
          <w:b/>
        </w:rPr>
      </w:pPr>
      <w:r>
        <w:t xml:space="preserve">We developed a patient level simulation to </w:t>
      </w:r>
      <w:r w:rsidR="009B4ABD">
        <w:t>hypothetically</w:t>
      </w:r>
      <w:r w:rsidR="00CD6BA9">
        <w:t xml:space="preserve"> model</w:t>
      </w:r>
      <w:r>
        <w:t xml:space="preserve"> the progress of</w:t>
      </w:r>
      <w:r w:rsidR="00FB4571">
        <w:t xml:space="preserve"> people with</w:t>
      </w:r>
      <w:r>
        <w:t xml:space="preserve"> SMI over 10 years, accumulating</w:t>
      </w:r>
      <w:r w:rsidR="00014ACA">
        <w:t xml:space="preserve"> the</w:t>
      </w:r>
      <w:r>
        <w:t xml:space="preserve"> history of each </w:t>
      </w:r>
      <w:r w:rsidR="00FB4571">
        <w:t xml:space="preserve">individual </w:t>
      </w:r>
      <w:r>
        <w:t xml:space="preserve">to </w:t>
      </w:r>
      <w:r w:rsidR="00216DE1">
        <w:t>predict</w:t>
      </w:r>
      <w:r>
        <w:t xml:space="preserve"> their transitions, costs and health outcomes. </w:t>
      </w:r>
      <w:r w:rsidR="000A42C9">
        <w:t>R</w:t>
      </w:r>
      <w:r>
        <w:t>eal primary care data</w:t>
      </w:r>
      <w:r w:rsidR="000A42C9">
        <w:t xml:space="preserve"> </w:t>
      </w:r>
      <w:r w:rsidR="00FB4571">
        <w:t xml:space="preserve">were </w:t>
      </w:r>
      <w:r w:rsidR="000A42C9">
        <w:t>used</w:t>
      </w:r>
      <w:r>
        <w:t xml:space="preserve"> to capture the heterogeneity of the primary care SMI population</w:t>
      </w:r>
      <w:r w:rsidR="00BD110E">
        <w:t>.</w:t>
      </w:r>
      <w:r w:rsidR="00AD6F09">
        <w:t xml:space="preserve"> The model was created in Microsoft Excel 2010</w:t>
      </w:r>
      <w:r w:rsidR="00911DE8">
        <w:t xml:space="preserve"> in line with </w:t>
      </w:r>
      <w:r w:rsidR="00CB32B2">
        <w:t>methodological recommendations for evaluations</w:t>
      </w:r>
      <w:r w:rsidR="00911DE8">
        <w:t xml:space="preserve"> of new health care technologies and interventions</w:t>
      </w:r>
      <w:r w:rsidR="004905D8">
        <w:rPr>
          <w:vertAlign w:val="superscript"/>
        </w:rPr>
        <w:t>2</w:t>
      </w:r>
      <w:r w:rsidR="00351CA6">
        <w:rPr>
          <w:vertAlign w:val="superscript"/>
        </w:rPr>
        <w:t>4</w:t>
      </w:r>
      <w:proofErr w:type="gramStart"/>
      <w:r w:rsidR="004905D8">
        <w:rPr>
          <w:vertAlign w:val="superscript"/>
        </w:rPr>
        <w:t>,2</w:t>
      </w:r>
      <w:r w:rsidR="00351CA6">
        <w:rPr>
          <w:vertAlign w:val="superscript"/>
        </w:rPr>
        <w:t>5</w:t>
      </w:r>
      <w:proofErr w:type="gramEnd"/>
      <w:r w:rsidR="001A2CCE">
        <w:t xml:space="preserve">. </w:t>
      </w:r>
    </w:p>
    <w:p w14:paraId="755E691E" w14:textId="5D243AC9" w:rsidR="00D731EB" w:rsidRPr="00004332" w:rsidRDefault="007307D4" w:rsidP="00221A71">
      <w:pPr>
        <w:spacing w:line="480" w:lineRule="auto"/>
        <w:jc w:val="both"/>
        <w:rPr>
          <w:b/>
        </w:rPr>
      </w:pPr>
      <w:r>
        <w:rPr>
          <w:b/>
        </w:rPr>
        <w:t xml:space="preserve">2.2 </w:t>
      </w:r>
      <w:r w:rsidR="00D731EB" w:rsidRPr="00004332">
        <w:rPr>
          <w:b/>
        </w:rPr>
        <w:t>Population</w:t>
      </w:r>
    </w:p>
    <w:p w14:paraId="41F38920" w14:textId="00F9C04C" w:rsidR="003270A9" w:rsidRDefault="00F940F8" w:rsidP="00356FD1">
      <w:pPr>
        <w:spacing w:line="480" w:lineRule="auto"/>
        <w:jc w:val="both"/>
      </w:pPr>
      <w:r>
        <w:t xml:space="preserve">A cohort of </w:t>
      </w:r>
      <w:r w:rsidR="006F5C6B">
        <w:t>38,824</w:t>
      </w:r>
      <w:r w:rsidR="00CB66F1">
        <w:t xml:space="preserve"> </w:t>
      </w:r>
      <w:r w:rsidR="002270FF">
        <w:t xml:space="preserve">people </w:t>
      </w:r>
      <w:r w:rsidR="006C56CE">
        <w:t xml:space="preserve">with </w:t>
      </w:r>
      <w:r w:rsidR="0029427D">
        <w:t>SMI</w:t>
      </w:r>
      <w:r w:rsidR="00CB66F1">
        <w:t xml:space="preserve"> </w:t>
      </w:r>
      <w:r w:rsidR="009B4ABD">
        <w:t xml:space="preserve">was </w:t>
      </w:r>
      <w:r w:rsidR="006C56CE">
        <w:t>identified in</w:t>
      </w:r>
      <w:r>
        <w:t xml:space="preserve"> </w:t>
      </w:r>
      <w:r w:rsidRPr="00F32FE5">
        <w:t>The Health Improvement Network (THIN</w:t>
      </w:r>
      <w:proofErr w:type="gramStart"/>
      <w:r w:rsidRPr="00F32FE5">
        <w:t>)</w:t>
      </w:r>
      <w:r w:rsidR="00763649">
        <w:rPr>
          <w:vertAlign w:val="superscript"/>
        </w:rPr>
        <w:t>2</w:t>
      </w:r>
      <w:r w:rsidR="00351CA6">
        <w:rPr>
          <w:vertAlign w:val="superscript"/>
        </w:rPr>
        <w:t>6</w:t>
      </w:r>
      <w:proofErr w:type="gramEnd"/>
      <w:r>
        <w:t xml:space="preserve">, </w:t>
      </w:r>
      <w:r w:rsidRPr="00F32FE5">
        <w:t>a</w:t>
      </w:r>
      <w:r>
        <w:t>n anonymised</w:t>
      </w:r>
      <w:r w:rsidRPr="00F32FE5">
        <w:t xml:space="preserve"> </w:t>
      </w:r>
      <w:r>
        <w:t>longitudinal</w:t>
      </w:r>
      <w:r w:rsidRPr="00F32FE5">
        <w:t xml:space="preserve"> </w:t>
      </w:r>
      <w:r w:rsidRPr="00676DB0">
        <w:t>primary care database</w:t>
      </w:r>
      <w:r w:rsidR="00863116" w:rsidRPr="00676DB0">
        <w:t>.</w:t>
      </w:r>
      <w:r w:rsidR="00676DB0" w:rsidRPr="00676DB0">
        <w:t xml:space="preserve"> </w:t>
      </w:r>
      <w:r w:rsidR="00676DB0" w:rsidRPr="00676DB0">
        <w:rPr>
          <w:rFonts w:cs="Times New Roman"/>
        </w:rPr>
        <w:t>THIN includes electronic medical records for more than 11 million individuals, registered with over 500 general practices in the UK. Available patient information includes demographics, local area deprivation (Townsend quintile), diagnoses, prescriptions, referrals, hospitalisations, laboratory tests, immunisations and clinical measures (e.g. blood pressure, cholesterol).</w:t>
      </w:r>
      <w:r w:rsidR="00676DB0">
        <w:rPr>
          <w:rFonts w:ascii="Times New Roman" w:hAnsi="Times New Roman" w:cs="Times New Roman"/>
          <w:sz w:val="20"/>
          <w:szCs w:val="20"/>
        </w:rPr>
        <w:t xml:space="preserve"> </w:t>
      </w:r>
      <w:r w:rsidR="00E34C4A">
        <w:t xml:space="preserve">The demographics, </w:t>
      </w:r>
      <w:r w:rsidR="00E34C4A" w:rsidRPr="00F32FE5">
        <w:t>prevalence of major conditions and mortality rates</w:t>
      </w:r>
      <w:r w:rsidR="00863116">
        <w:t xml:space="preserve"> </w:t>
      </w:r>
      <w:r w:rsidR="00AD6F09">
        <w:lastRenderedPageBreak/>
        <w:t xml:space="preserve">in </w:t>
      </w:r>
      <w:r w:rsidR="00863116">
        <w:t>THIN</w:t>
      </w:r>
      <w:r w:rsidR="00E34C4A">
        <w:t xml:space="preserve"> are</w:t>
      </w:r>
      <w:r w:rsidR="00E34C4A" w:rsidRPr="00F32FE5">
        <w:t xml:space="preserve"> </w:t>
      </w:r>
      <w:r w:rsidR="00E34C4A">
        <w:t>similar</w:t>
      </w:r>
      <w:r w:rsidR="00E34C4A" w:rsidRPr="00F32FE5">
        <w:t xml:space="preserve"> to the</w:t>
      </w:r>
      <w:r w:rsidR="00E34C4A">
        <w:t xml:space="preserve"> UK</w:t>
      </w:r>
      <w:r w:rsidR="00E34C4A" w:rsidRPr="00F32FE5">
        <w:t xml:space="preserve"> general </w:t>
      </w:r>
      <w:r w:rsidR="00EC29DB">
        <w:t>population</w:t>
      </w:r>
      <w:r w:rsidR="00C91795">
        <w:rPr>
          <w:vertAlign w:val="superscript"/>
        </w:rPr>
        <w:t>2</w:t>
      </w:r>
      <w:r w:rsidR="00351CA6">
        <w:rPr>
          <w:vertAlign w:val="superscript"/>
        </w:rPr>
        <w:t>7</w:t>
      </w:r>
      <w:r w:rsidR="00E34C4A" w:rsidRPr="00F32FE5">
        <w:t xml:space="preserve">. </w:t>
      </w:r>
      <w:r w:rsidR="00726E12">
        <w:t>Rates</w:t>
      </w:r>
      <w:r w:rsidR="00E34C4A">
        <w:t xml:space="preserve"> and demographics of</w:t>
      </w:r>
      <w:r w:rsidR="00AD6D85">
        <w:t xml:space="preserve"> people with</w:t>
      </w:r>
      <w:r w:rsidR="00E34C4A">
        <w:t xml:space="preserve"> SMI are</w:t>
      </w:r>
      <w:r w:rsidR="00FB4571">
        <w:t xml:space="preserve"> also</w:t>
      </w:r>
      <w:r w:rsidR="00E34C4A">
        <w:t xml:space="preserve"> </w:t>
      </w:r>
      <w:r w:rsidR="00A220A6">
        <w:t>comparable</w:t>
      </w:r>
      <w:r w:rsidR="00EC29DB">
        <w:t xml:space="preserve"> </w:t>
      </w:r>
      <w:r w:rsidR="00D1091D">
        <w:t xml:space="preserve">to epidemiological estimates seen in previous studies of </w:t>
      </w:r>
      <w:r w:rsidR="00763649">
        <w:t>SMI</w:t>
      </w:r>
      <w:r w:rsidR="00763649">
        <w:rPr>
          <w:vertAlign w:val="superscript"/>
        </w:rPr>
        <w:t>2</w:t>
      </w:r>
      <w:r w:rsidR="00351CA6">
        <w:rPr>
          <w:vertAlign w:val="superscript"/>
        </w:rPr>
        <w:t>8</w:t>
      </w:r>
      <w:r w:rsidR="00E34C4A">
        <w:t>.</w:t>
      </w:r>
      <w:r w:rsidR="006F5C6B">
        <w:t xml:space="preserve"> </w:t>
      </w:r>
      <w:r w:rsidR="00356FD1">
        <w:t>Due to missing data, m</w:t>
      </w:r>
      <w:r w:rsidR="006F5C6B" w:rsidRPr="00A12850">
        <w:t>ult</w:t>
      </w:r>
      <w:r w:rsidR="006F5C6B">
        <w:t>iple imputation was used</w:t>
      </w:r>
      <w:r w:rsidR="006F5C6B" w:rsidRPr="00A12850">
        <w:t xml:space="preserve"> to generate</w:t>
      </w:r>
      <w:r w:rsidR="006F5C6B">
        <w:t xml:space="preserve"> 10</w:t>
      </w:r>
      <w:r w:rsidR="006F5C6B" w:rsidRPr="00A12850">
        <w:t xml:space="preserve"> imputed</w:t>
      </w:r>
      <w:r w:rsidR="006F5C6B">
        <w:t xml:space="preserve"> </w:t>
      </w:r>
      <w:r w:rsidR="006F5C6B" w:rsidRPr="00A12850">
        <w:t xml:space="preserve">data </w:t>
      </w:r>
      <w:r w:rsidR="00763649" w:rsidRPr="00A12850">
        <w:t>sets</w:t>
      </w:r>
      <w:r w:rsidR="00763649">
        <w:rPr>
          <w:vertAlign w:val="superscript"/>
        </w:rPr>
        <w:t>2</w:t>
      </w:r>
      <w:r w:rsidR="00351CA6">
        <w:rPr>
          <w:vertAlign w:val="superscript"/>
        </w:rPr>
        <w:t>9</w:t>
      </w:r>
      <w:r w:rsidR="00763649">
        <w:rPr>
          <w:vertAlign w:val="superscript"/>
        </w:rPr>
        <w:t xml:space="preserve"> </w:t>
      </w:r>
      <w:r w:rsidR="005704C1">
        <w:t>which were used to calculate transition probabilities of primary CVD events and all-cause mortality (see section 2.5)</w:t>
      </w:r>
      <w:r w:rsidR="006F5C6B">
        <w:t xml:space="preserve">. </w:t>
      </w:r>
      <w:r w:rsidR="00863116">
        <w:t>Individuals</w:t>
      </w:r>
      <w:r w:rsidR="00B40B5B">
        <w:t xml:space="preserve"> in the ex</w:t>
      </w:r>
      <w:r w:rsidR="000F10D0">
        <w:t>t</w:t>
      </w:r>
      <w:r w:rsidR="00B40B5B">
        <w:t>racted</w:t>
      </w:r>
      <w:r>
        <w:t xml:space="preserve"> cohort had a recorded diagnosis of schizophrenia</w:t>
      </w:r>
      <w:r w:rsidR="00B804DF">
        <w:t xml:space="preserve"> or schizoaffective disorder</w:t>
      </w:r>
      <w:r>
        <w:t>, bipolar disorder</w:t>
      </w:r>
      <w:r w:rsidR="0024402E">
        <w:t>,</w:t>
      </w:r>
      <w:r>
        <w:t xml:space="preserve"> other long term psychotic illness</w:t>
      </w:r>
      <w:r w:rsidR="00B804DF">
        <w:t xml:space="preserve"> (non-organic psychoses)</w:t>
      </w:r>
      <w:r>
        <w:t xml:space="preserve"> and</w:t>
      </w:r>
      <w:r w:rsidR="00033B43">
        <w:t>/or</w:t>
      </w:r>
      <w:r>
        <w:t xml:space="preserve"> were listed on the SMI regist</w:t>
      </w:r>
      <w:r w:rsidR="00033B43">
        <w:t>er</w:t>
      </w:r>
      <w:r w:rsidR="0045603D">
        <w:rPr>
          <w:vertAlign w:val="superscript"/>
        </w:rPr>
        <w:t>28</w:t>
      </w:r>
      <w:r>
        <w:t xml:space="preserve">; were </w:t>
      </w:r>
      <w:r w:rsidR="00033B43">
        <w:t xml:space="preserve">within </w:t>
      </w:r>
      <w:r>
        <w:t xml:space="preserve">the age limits of CVD risk assessment tools </w:t>
      </w:r>
      <w:r w:rsidR="00AD6F09">
        <w:t>(</w:t>
      </w:r>
      <w:r>
        <w:t>30 to 74</w:t>
      </w:r>
      <w:r w:rsidR="00FB4571">
        <w:t xml:space="preserve"> years</w:t>
      </w:r>
      <w:r w:rsidR="00AD6F09">
        <w:t>)</w:t>
      </w:r>
      <w:r>
        <w:t xml:space="preserve">; and were free of CVD at their last </w:t>
      </w:r>
      <w:r w:rsidR="00A561A0">
        <w:t>point of</w:t>
      </w:r>
      <w:r w:rsidR="00AD6F09">
        <w:t xml:space="preserve"> </w:t>
      </w:r>
      <w:r w:rsidR="00A220A6">
        <w:t>contact</w:t>
      </w:r>
      <w:r w:rsidR="00EC29DB">
        <w:t xml:space="preserve"> </w:t>
      </w:r>
      <w:r w:rsidR="006F5C6B">
        <w:t>(n = 33,206)</w:t>
      </w:r>
      <w:r w:rsidR="008051BC">
        <w:rPr>
          <w:vertAlign w:val="superscript"/>
        </w:rPr>
        <w:t>2</w:t>
      </w:r>
      <w:r w:rsidR="00351CA6">
        <w:rPr>
          <w:vertAlign w:val="superscript"/>
        </w:rPr>
        <w:t>3</w:t>
      </w:r>
      <w:r w:rsidR="00B804DF">
        <w:t>, where</w:t>
      </w:r>
      <w:r w:rsidR="0059755F" w:rsidRPr="00F940F8">
        <w:t xml:space="preserve"> </w:t>
      </w:r>
      <w:r w:rsidR="00B804DF">
        <w:t xml:space="preserve">CVD was defined as a recorded diagnosis of </w:t>
      </w:r>
      <w:r w:rsidR="0025434F">
        <w:t xml:space="preserve">coronary heart disease (CHD) including </w:t>
      </w:r>
      <w:r w:rsidR="00B804DF">
        <w:t>myocardial infarction</w:t>
      </w:r>
      <w:r w:rsidR="0025434F">
        <w:t xml:space="preserve"> (MI)</w:t>
      </w:r>
      <w:r w:rsidR="00B804DF">
        <w:t xml:space="preserve">, angina, </w:t>
      </w:r>
      <w:r w:rsidR="0025434F">
        <w:t>and</w:t>
      </w:r>
      <w:r w:rsidR="00B804DF">
        <w:t xml:space="preserve"> major coronary surgery and revascularization, </w:t>
      </w:r>
      <w:r w:rsidR="00A24B4E">
        <w:t xml:space="preserve">or </w:t>
      </w:r>
      <w:r w:rsidR="00B804DF">
        <w:t>cerebrovascular disease</w:t>
      </w:r>
      <w:r w:rsidR="0025434F">
        <w:t xml:space="preserve"> (CVA)</w:t>
      </w:r>
      <w:r w:rsidR="00B804DF">
        <w:t xml:space="preserve"> including </w:t>
      </w:r>
      <w:r w:rsidR="0025434F">
        <w:t>haemorrhagic stroke, ischaemic stroke</w:t>
      </w:r>
      <w:r w:rsidR="00B804DF">
        <w:t xml:space="preserve"> and transient isch</w:t>
      </w:r>
      <w:r w:rsidR="00A24B4E">
        <w:t>a</w:t>
      </w:r>
      <w:r w:rsidR="00B804DF">
        <w:t>emic attack</w:t>
      </w:r>
      <w:r w:rsidR="0025434F">
        <w:t xml:space="preserve"> (TIA)</w:t>
      </w:r>
      <w:r w:rsidR="00B804DF">
        <w:t>.</w:t>
      </w:r>
    </w:p>
    <w:p w14:paraId="36E079C0" w14:textId="677AA3E9" w:rsidR="00D731EB" w:rsidRPr="00B40B5B" w:rsidRDefault="00BC021A" w:rsidP="00221A71">
      <w:pPr>
        <w:spacing w:line="480" w:lineRule="auto"/>
        <w:jc w:val="both"/>
      </w:pPr>
      <w:r>
        <w:t>Due to computational complexities of our economic model, t</w:t>
      </w:r>
      <w:r w:rsidR="006F0247">
        <w:t xml:space="preserve">he patient level simulation </w:t>
      </w:r>
      <w:r w:rsidR="007307D4">
        <w:t xml:space="preserve">used </w:t>
      </w:r>
      <w:r w:rsidR="00B40B5B">
        <w:t>a</w:t>
      </w:r>
      <w:r w:rsidR="00F940F8">
        <w:t xml:space="preserve"> sample of 1</w:t>
      </w:r>
      <w:r w:rsidR="007307D4">
        <w:t>,</w:t>
      </w:r>
      <w:r w:rsidR="00F940F8">
        <w:t>000 patients</w:t>
      </w:r>
      <w:r w:rsidR="008F68EB">
        <w:t xml:space="preserve"> </w:t>
      </w:r>
      <w:r w:rsidR="00F940F8">
        <w:t>randomly selected from</w:t>
      </w:r>
      <w:r w:rsidR="00AD6F09">
        <w:t xml:space="preserve"> one of the imputed datasets </w:t>
      </w:r>
      <w:r w:rsidR="00F940F8">
        <w:t>using the random number generator in Microsoft Excel. Data</w:t>
      </w:r>
      <w:r w:rsidR="006F0247">
        <w:t xml:space="preserve"> </w:t>
      </w:r>
      <w:r w:rsidR="00F940F8">
        <w:t>from patients’ last known appointment</w:t>
      </w:r>
      <w:r w:rsidR="009B4ABD">
        <w:t>s</w:t>
      </w:r>
      <w:r w:rsidR="006F0247">
        <w:t xml:space="preserve"> (complete and imputed)</w:t>
      </w:r>
      <w:r w:rsidR="00F940F8">
        <w:t xml:space="preserve"> </w:t>
      </w:r>
      <w:r w:rsidR="0029427D">
        <w:t xml:space="preserve">were </w:t>
      </w:r>
      <w:r w:rsidR="00F940F8">
        <w:t>used as thei</w:t>
      </w:r>
      <w:r w:rsidR="00B40B5B">
        <w:t>r baseline data in the model</w:t>
      </w:r>
      <w:r w:rsidR="00D212E0">
        <w:t>.</w:t>
      </w:r>
    </w:p>
    <w:p w14:paraId="676D45E9" w14:textId="77777777" w:rsidR="002F6376" w:rsidRDefault="002F6376" w:rsidP="00221A71">
      <w:pPr>
        <w:spacing w:line="480" w:lineRule="auto"/>
        <w:jc w:val="both"/>
        <w:rPr>
          <w:b/>
        </w:rPr>
      </w:pPr>
    </w:p>
    <w:p w14:paraId="5CAB8E85" w14:textId="3EF310EA" w:rsidR="00D731EB" w:rsidRPr="0068730E" w:rsidRDefault="00CC7580" w:rsidP="00221A71">
      <w:pPr>
        <w:spacing w:line="480" w:lineRule="auto"/>
        <w:jc w:val="both"/>
        <w:rPr>
          <w:b/>
        </w:rPr>
      </w:pPr>
      <w:r>
        <w:rPr>
          <w:b/>
        </w:rPr>
        <w:t>2.</w:t>
      </w:r>
      <w:r w:rsidRPr="0068730E">
        <w:rPr>
          <w:b/>
        </w:rPr>
        <w:t xml:space="preserve">3 </w:t>
      </w:r>
      <w:r w:rsidR="00D731EB" w:rsidRPr="0068730E">
        <w:rPr>
          <w:b/>
        </w:rPr>
        <w:t>CVD risk assessment tools</w:t>
      </w:r>
    </w:p>
    <w:p w14:paraId="0A103623" w14:textId="62E4A688" w:rsidR="0068730E" w:rsidRPr="0068730E" w:rsidRDefault="0068730E" w:rsidP="00221A71">
      <w:pPr>
        <w:spacing w:line="480" w:lineRule="auto"/>
        <w:jc w:val="both"/>
      </w:pPr>
      <w:r w:rsidRPr="0068730E">
        <w:t xml:space="preserve">We calculated a CVD risk score for each of the 1,000 patients using four different </w:t>
      </w:r>
      <w:r w:rsidR="00AE0A67">
        <w:t xml:space="preserve">CVD </w:t>
      </w:r>
      <w:r w:rsidRPr="0068730E">
        <w:t>risk algorithms in four separate analyses. The risk algorithms assessed are:</w:t>
      </w:r>
    </w:p>
    <w:p w14:paraId="2AF9949D" w14:textId="77777777" w:rsidR="0068730E" w:rsidRPr="0068730E" w:rsidRDefault="0068730E" w:rsidP="00221A71">
      <w:pPr>
        <w:spacing w:line="480" w:lineRule="auto"/>
        <w:jc w:val="both"/>
      </w:pPr>
      <w:r w:rsidRPr="0068730E">
        <w:t xml:space="preserve">(1) </w:t>
      </w:r>
      <w:proofErr w:type="gramStart"/>
      <w:r w:rsidRPr="0068730E">
        <w:t>a</w:t>
      </w:r>
      <w:proofErr w:type="gramEnd"/>
      <w:r w:rsidRPr="0068730E">
        <w:t xml:space="preserve"> general population lipid algorithm,</w:t>
      </w:r>
    </w:p>
    <w:p w14:paraId="43C711D8" w14:textId="77777777" w:rsidR="0068730E" w:rsidRPr="0068730E" w:rsidRDefault="0068730E" w:rsidP="00221A71">
      <w:pPr>
        <w:spacing w:line="480" w:lineRule="auto"/>
        <w:jc w:val="both"/>
      </w:pPr>
      <w:r w:rsidRPr="0068730E">
        <w:t xml:space="preserve">(2) </w:t>
      </w:r>
      <w:proofErr w:type="gramStart"/>
      <w:r w:rsidRPr="0068730E">
        <w:t>a</w:t>
      </w:r>
      <w:proofErr w:type="gramEnd"/>
      <w:r w:rsidRPr="0068730E">
        <w:t xml:space="preserve"> general population BMI algorithm, </w:t>
      </w:r>
    </w:p>
    <w:p w14:paraId="470457E5" w14:textId="5F9CFE5B" w:rsidR="0068730E" w:rsidRPr="0068730E" w:rsidRDefault="0068730E" w:rsidP="00221A71">
      <w:pPr>
        <w:spacing w:line="480" w:lineRule="auto"/>
        <w:jc w:val="both"/>
      </w:pPr>
      <w:r w:rsidRPr="0068730E">
        <w:t xml:space="preserve">(3) </w:t>
      </w:r>
      <w:proofErr w:type="gramStart"/>
      <w:r w:rsidRPr="0068730E">
        <w:t>a</w:t>
      </w:r>
      <w:r w:rsidR="00AE0A67">
        <w:t>n</w:t>
      </w:r>
      <w:proofErr w:type="gramEnd"/>
      <w:r w:rsidRPr="0068730E">
        <w:t xml:space="preserve"> SMI</w:t>
      </w:r>
      <w:r w:rsidR="00816BE6">
        <w:t>-</w:t>
      </w:r>
      <w:r w:rsidRPr="0068730E">
        <w:t xml:space="preserve">specific lipid algorithm and </w:t>
      </w:r>
    </w:p>
    <w:p w14:paraId="0CACD086" w14:textId="24D6C96B" w:rsidR="0068730E" w:rsidRPr="00790BE4" w:rsidRDefault="0068730E" w:rsidP="00221A71">
      <w:pPr>
        <w:spacing w:line="480" w:lineRule="auto"/>
        <w:jc w:val="both"/>
        <w:rPr>
          <w:lang w:val="it-IT"/>
        </w:rPr>
      </w:pPr>
      <w:r w:rsidRPr="00790BE4">
        <w:rPr>
          <w:lang w:val="it-IT"/>
        </w:rPr>
        <w:t>(4) a</w:t>
      </w:r>
      <w:r w:rsidR="00AE0A67" w:rsidRPr="00790BE4">
        <w:rPr>
          <w:lang w:val="it-IT"/>
        </w:rPr>
        <w:t>n</w:t>
      </w:r>
      <w:r w:rsidRPr="00790BE4">
        <w:rPr>
          <w:lang w:val="it-IT"/>
        </w:rPr>
        <w:t xml:space="preserve"> SMI</w:t>
      </w:r>
      <w:r w:rsidR="00816BE6" w:rsidRPr="00790BE4">
        <w:rPr>
          <w:lang w:val="it-IT"/>
        </w:rPr>
        <w:t>-</w:t>
      </w:r>
      <w:r w:rsidRPr="00790BE4">
        <w:rPr>
          <w:lang w:val="it-IT"/>
        </w:rPr>
        <w:t xml:space="preserve">specific BMI algorithm. </w:t>
      </w:r>
    </w:p>
    <w:p w14:paraId="3BB0B7EF" w14:textId="7D170961" w:rsidR="00C72980" w:rsidRDefault="0068730E">
      <w:pPr>
        <w:spacing w:line="480" w:lineRule="auto"/>
        <w:jc w:val="both"/>
      </w:pPr>
      <w:r w:rsidRPr="0068730E">
        <w:lastRenderedPageBreak/>
        <w:t xml:space="preserve">Algorithms (1) and (2) are based on an adaptation of the widely used </w:t>
      </w:r>
      <w:r w:rsidR="00816BE6">
        <w:t xml:space="preserve">Cox </w:t>
      </w:r>
      <w:r w:rsidRPr="0068730E">
        <w:t xml:space="preserve">Framingham </w:t>
      </w:r>
      <w:r w:rsidR="00A220A6" w:rsidRPr="0068730E">
        <w:t>algorithm</w:t>
      </w:r>
      <w:r w:rsidR="00C91795">
        <w:rPr>
          <w:vertAlign w:val="superscript"/>
        </w:rPr>
        <w:t>14</w:t>
      </w:r>
      <w:r w:rsidR="00AE0A67">
        <w:t xml:space="preserve">, </w:t>
      </w:r>
      <w:r w:rsidR="00A32A8C">
        <w:t xml:space="preserve">herein referred to as the </w:t>
      </w:r>
      <w:r w:rsidR="00816BE6">
        <w:t xml:space="preserve">general </w:t>
      </w:r>
      <w:r w:rsidR="00DC2022">
        <w:t>algorithm</w:t>
      </w:r>
      <w:r w:rsidR="006F2B11">
        <w:t>, which</w:t>
      </w:r>
      <w:r w:rsidRPr="0068730E">
        <w:t xml:space="preserve"> was created and validated using THIN</w:t>
      </w:r>
      <w:r w:rsidR="00DC2022">
        <w:t xml:space="preserve"> data</w:t>
      </w:r>
      <w:r w:rsidRPr="0068730E">
        <w:t xml:space="preserve">. Algorithms (3) and (4) are </w:t>
      </w:r>
      <w:r w:rsidR="006D10E1" w:rsidRPr="00D73CEE">
        <w:t xml:space="preserve">derived </w:t>
      </w:r>
      <w:r w:rsidRPr="00D73CEE">
        <w:t xml:space="preserve">from UK SMI patients in THIN, aged 30 to 90 </w:t>
      </w:r>
      <w:r w:rsidR="00A220A6" w:rsidRPr="00D73CEE">
        <w:t>years</w:t>
      </w:r>
      <w:r w:rsidR="00121F0C" w:rsidRPr="00D73CEE">
        <w:t xml:space="preserve"> (PRIMROSE</w:t>
      </w:r>
      <w:proofErr w:type="gramStart"/>
      <w:r w:rsidR="00121F0C" w:rsidRPr="00D73CEE">
        <w:t>)</w:t>
      </w:r>
      <w:r w:rsidR="008051BC">
        <w:rPr>
          <w:vertAlign w:val="superscript"/>
        </w:rPr>
        <w:t>2</w:t>
      </w:r>
      <w:r w:rsidR="00351CA6">
        <w:rPr>
          <w:vertAlign w:val="superscript"/>
        </w:rPr>
        <w:t>3</w:t>
      </w:r>
      <w:proofErr w:type="gramEnd"/>
      <w:r w:rsidR="008051BC" w:rsidRPr="00D73CEE">
        <w:rPr>
          <w:vertAlign w:val="superscript"/>
        </w:rPr>
        <w:t xml:space="preserve"> </w:t>
      </w:r>
      <w:r w:rsidR="0056045B" w:rsidRPr="00D73CEE">
        <w:t>(</w:t>
      </w:r>
      <w:proofErr w:type="spellStart"/>
      <w:r w:rsidR="0056045B" w:rsidRPr="00D73CEE">
        <w:t>eT</w:t>
      </w:r>
      <w:r w:rsidR="00121F0C" w:rsidRPr="00D73CEE">
        <w:t>able</w:t>
      </w:r>
      <w:proofErr w:type="spellEnd"/>
      <w:r w:rsidR="00121F0C" w:rsidRPr="00D73CEE">
        <w:t xml:space="preserve"> 1). Performance of these algorithms has been previously </w:t>
      </w:r>
      <w:r w:rsidR="008051BC" w:rsidRPr="00D73CEE">
        <w:t>tested</w:t>
      </w:r>
      <w:r w:rsidR="008051BC">
        <w:rPr>
          <w:vertAlign w:val="superscript"/>
        </w:rPr>
        <w:t>2</w:t>
      </w:r>
      <w:r w:rsidR="00351CA6">
        <w:rPr>
          <w:vertAlign w:val="superscript"/>
        </w:rPr>
        <w:t>3</w:t>
      </w:r>
      <w:r w:rsidR="00121F0C" w:rsidRPr="00D73CEE">
        <w:t xml:space="preserve">. </w:t>
      </w:r>
      <w:r w:rsidR="00BF1988" w:rsidRPr="00D73CEE">
        <w:t>Results</w:t>
      </w:r>
      <w:r w:rsidR="00121F0C" w:rsidRPr="00D73CEE">
        <w:t xml:space="preserve"> demonstrated </w:t>
      </w:r>
      <w:r w:rsidR="0094505C" w:rsidRPr="00D73CEE">
        <w:t xml:space="preserve">both </w:t>
      </w:r>
      <w:r w:rsidR="00121F0C" w:rsidRPr="00D73CEE">
        <w:rPr>
          <w:rFonts w:cs="Arial"/>
        </w:rPr>
        <w:t xml:space="preserve">SMI-specific algorithms (PRIMROSE) had higher, and therefore better, </w:t>
      </w:r>
      <w:r w:rsidR="00121F0C" w:rsidRPr="00D73CEE">
        <w:rPr>
          <w:rStyle w:val="paragraph"/>
        </w:rPr>
        <w:t>discrimination</w:t>
      </w:r>
      <w:r w:rsidR="00BF1988" w:rsidRPr="00D73CEE">
        <w:rPr>
          <w:rStyle w:val="paragraph"/>
        </w:rPr>
        <w:t xml:space="preserve"> and calibration</w:t>
      </w:r>
      <w:r w:rsidR="00121F0C" w:rsidRPr="00D73CEE">
        <w:rPr>
          <w:rStyle w:val="paragraph"/>
        </w:rPr>
        <w:t xml:space="preserve"> statistics than the general population algorithms.</w:t>
      </w:r>
      <w:r w:rsidR="00BF1988" w:rsidRPr="00D73CEE">
        <w:rPr>
          <w:rStyle w:val="paragraph"/>
        </w:rPr>
        <w:t xml:space="preserve"> </w:t>
      </w:r>
      <w:r w:rsidR="0094505C" w:rsidRPr="00D73CEE">
        <w:rPr>
          <w:rStyle w:val="paragraph"/>
        </w:rPr>
        <w:t>C</w:t>
      </w:r>
      <w:r w:rsidR="00121F0C" w:rsidRPr="00D73CEE">
        <w:rPr>
          <w:rStyle w:val="paragraph"/>
        </w:rPr>
        <w:t xml:space="preserve">alibration plots </w:t>
      </w:r>
      <w:r w:rsidR="0094505C" w:rsidRPr="00D73CEE">
        <w:rPr>
          <w:rStyle w:val="paragraph"/>
        </w:rPr>
        <w:t>indicated both</w:t>
      </w:r>
      <w:r w:rsidR="00121F0C" w:rsidRPr="00D73CEE">
        <w:rPr>
          <w:rStyle w:val="paragraph"/>
        </w:rPr>
        <w:t xml:space="preserve"> </w:t>
      </w:r>
      <w:r w:rsidR="00BF1988" w:rsidRPr="00D73CEE">
        <w:rPr>
          <w:rStyle w:val="paragraph"/>
        </w:rPr>
        <w:t>SMI-specific algorithms</w:t>
      </w:r>
      <w:r w:rsidR="00121F0C" w:rsidRPr="00D73CEE">
        <w:rPr>
          <w:rStyle w:val="paragraph"/>
        </w:rPr>
        <w:t xml:space="preserve"> predicted CVD risk more accurately than t</w:t>
      </w:r>
      <w:r w:rsidR="00BF1988" w:rsidRPr="00D73CEE">
        <w:rPr>
          <w:rStyle w:val="paragraph"/>
        </w:rPr>
        <w:t xml:space="preserve">he general population </w:t>
      </w:r>
      <w:r w:rsidR="00AE4FA4" w:rsidRPr="00D73CEE">
        <w:rPr>
          <w:rStyle w:val="paragraph"/>
        </w:rPr>
        <w:t>algorithms</w:t>
      </w:r>
      <w:r w:rsidR="0094505C" w:rsidRPr="00D73CEE">
        <w:rPr>
          <w:rStyle w:val="paragraph"/>
        </w:rPr>
        <w:t>.</w:t>
      </w:r>
      <w:r w:rsidR="0094505C">
        <w:rPr>
          <w:rStyle w:val="paragraph"/>
        </w:rPr>
        <w:t xml:space="preserve"> </w:t>
      </w:r>
    </w:p>
    <w:p w14:paraId="76973624" w14:textId="058D1B67" w:rsidR="0068730E" w:rsidRPr="0068730E" w:rsidRDefault="0068730E" w:rsidP="00221A71">
      <w:pPr>
        <w:spacing w:line="480" w:lineRule="auto"/>
        <w:jc w:val="both"/>
      </w:pPr>
      <w:r w:rsidRPr="0068730E">
        <w:t>A fifth analysis using no CVD risk algorithm was included to estimate the costs and consequences of no intervention.</w:t>
      </w:r>
    </w:p>
    <w:p w14:paraId="661FF7CC" w14:textId="77777777" w:rsidR="002F6376" w:rsidRDefault="002F6376" w:rsidP="00221A71">
      <w:pPr>
        <w:spacing w:line="480" w:lineRule="auto"/>
        <w:jc w:val="both"/>
        <w:rPr>
          <w:b/>
        </w:rPr>
      </w:pPr>
    </w:p>
    <w:p w14:paraId="32ECBA20" w14:textId="2D64A6E4" w:rsidR="00D731EB" w:rsidRPr="0068730E" w:rsidRDefault="007307D4" w:rsidP="00221A71">
      <w:pPr>
        <w:spacing w:line="480" w:lineRule="auto"/>
        <w:jc w:val="both"/>
        <w:rPr>
          <w:b/>
        </w:rPr>
      </w:pPr>
      <w:r w:rsidRPr="0068730E">
        <w:rPr>
          <w:b/>
        </w:rPr>
        <w:t xml:space="preserve">2.4 </w:t>
      </w:r>
      <w:r w:rsidR="00D731EB" w:rsidRPr="0068730E">
        <w:rPr>
          <w:b/>
        </w:rPr>
        <w:t>Model Structure</w:t>
      </w:r>
    </w:p>
    <w:p w14:paraId="3EAD3A16" w14:textId="18405BC5" w:rsidR="00D731EB" w:rsidRDefault="00D731EB" w:rsidP="00742DB8">
      <w:pPr>
        <w:spacing w:line="480" w:lineRule="auto"/>
        <w:jc w:val="both"/>
      </w:pPr>
      <w:r w:rsidRPr="0068730E">
        <w:t xml:space="preserve">The patient level </w:t>
      </w:r>
      <w:r w:rsidR="002E0FE3" w:rsidRPr="0068730E">
        <w:t xml:space="preserve">economic </w:t>
      </w:r>
      <w:r w:rsidRPr="0068730E">
        <w:t xml:space="preserve">model </w:t>
      </w:r>
      <w:r w:rsidR="00726E12" w:rsidRPr="0068730E">
        <w:t>includes</w:t>
      </w:r>
      <w:r w:rsidRPr="0068730E">
        <w:t>: (</w:t>
      </w:r>
      <w:proofErr w:type="spellStart"/>
      <w:r w:rsidRPr="0068730E">
        <w:t>i</w:t>
      </w:r>
      <w:proofErr w:type="spellEnd"/>
      <w:r w:rsidRPr="0068730E">
        <w:t xml:space="preserve">) </w:t>
      </w:r>
      <w:r w:rsidR="00F4662A">
        <w:t xml:space="preserve">a </w:t>
      </w:r>
      <w:r w:rsidRPr="0068730E">
        <w:t xml:space="preserve">decision tree to identify </w:t>
      </w:r>
      <w:r w:rsidR="00FB4571">
        <w:t>those</w:t>
      </w:r>
      <w:r w:rsidR="00FB4571" w:rsidRPr="0068730E">
        <w:t xml:space="preserve"> </w:t>
      </w:r>
      <w:r w:rsidRPr="0068730E">
        <w:t xml:space="preserve">at risk </w:t>
      </w:r>
      <w:r>
        <w:t>of CVD over 10 years</w:t>
      </w:r>
      <w:r w:rsidR="00EB6089">
        <w:t xml:space="preserve"> </w:t>
      </w:r>
      <w:r w:rsidR="00B05442">
        <w:t xml:space="preserve">and </w:t>
      </w:r>
      <w:r w:rsidR="002257A9">
        <w:t>eligible for</w:t>
      </w:r>
      <w:r w:rsidR="00E54BB9" w:rsidRPr="002257A9">
        <w:t xml:space="preserve"> s</w:t>
      </w:r>
      <w:r w:rsidR="00B05442" w:rsidRPr="002257A9">
        <w:t xml:space="preserve">tatin </w:t>
      </w:r>
      <w:r w:rsidR="00BB7F60" w:rsidRPr="002257A9">
        <w:t>therapy</w:t>
      </w:r>
      <w:r w:rsidR="00B05442">
        <w:t xml:space="preserve"> </w:t>
      </w:r>
      <w:r w:rsidR="00EB6089">
        <w:t>(</w:t>
      </w:r>
      <w:r w:rsidR="001462ED">
        <w:t>F</w:t>
      </w:r>
      <w:r w:rsidR="00EB6089">
        <w:t>igure 1a)</w:t>
      </w:r>
      <w:r>
        <w:t xml:space="preserve">; and (ii) </w:t>
      </w:r>
      <w:r w:rsidR="00F4662A">
        <w:t xml:space="preserve">a </w:t>
      </w:r>
      <w:r w:rsidR="00DA0038">
        <w:t>Marko</w:t>
      </w:r>
      <w:r w:rsidR="00411392">
        <w:t>v state transition model</w:t>
      </w:r>
      <w:r>
        <w:t xml:space="preserve"> of </w:t>
      </w:r>
      <w:r w:rsidR="00AE0A67">
        <w:t xml:space="preserve">10 </w:t>
      </w:r>
      <w:r>
        <w:t>one</w:t>
      </w:r>
      <w:r w:rsidR="00AE0A67">
        <w:t>-</w:t>
      </w:r>
      <w:r>
        <w:t>year cycles where patients can remain healthy, have a primary</w:t>
      </w:r>
      <w:r w:rsidR="00A52BC0">
        <w:t xml:space="preserve"> CVD event,</w:t>
      </w:r>
      <w:r>
        <w:t xml:space="preserve"> </w:t>
      </w:r>
      <w:r w:rsidR="00A52BC0">
        <w:t>have a</w:t>
      </w:r>
      <w:r w:rsidR="000F4246">
        <w:t xml:space="preserve"> secondary CVD event or die (</w:t>
      </w:r>
      <w:r w:rsidR="001462ED">
        <w:t>F</w:t>
      </w:r>
      <w:r>
        <w:t xml:space="preserve">igure </w:t>
      </w:r>
      <w:r w:rsidR="00144504">
        <w:t>1</w:t>
      </w:r>
      <w:r w:rsidR="00EB6089">
        <w:t>b</w:t>
      </w:r>
      <w:r w:rsidR="000C152B">
        <w:t xml:space="preserve"> and section 2.5</w:t>
      </w:r>
      <w:r w:rsidR="00B40B5B">
        <w:t xml:space="preserve">). </w:t>
      </w:r>
    </w:p>
    <w:p w14:paraId="169A3D61" w14:textId="6D1DB825" w:rsidR="00384A74" w:rsidRDefault="00A52BC0" w:rsidP="00895C1E">
      <w:pPr>
        <w:spacing w:line="480" w:lineRule="auto"/>
        <w:jc w:val="both"/>
      </w:pPr>
      <w:r>
        <w:t xml:space="preserve">At baseline all patients </w:t>
      </w:r>
      <w:r w:rsidR="001136F9">
        <w:t xml:space="preserve">in the economic model </w:t>
      </w:r>
      <w:r>
        <w:t xml:space="preserve">enter the decision tree and </w:t>
      </w:r>
      <w:r w:rsidR="00D731EB">
        <w:t xml:space="preserve">one of the four CVD risk </w:t>
      </w:r>
      <w:r w:rsidR="00AE0A67">
        <w:t xml:space="preserve">algorithms </w:t>
      </w:r>
      <w:r w:rsidR="00EB6089">
        <w:t>described above</w:t>
      </w:r>
      <w:r w:rsidR="00C3740F">
        <w:t xml:space="preserve"> </w:t>
      </w:r>
      <w:r w:rsidR="001136F9">
        <w:t xml:space="preserve">is applied </w:t>
      </w:r>
      <w:r w:rsidR="00C3740F">
        <w:t>to calculate their</w:t>
      </w:r>
      <w:r w:rsidR="00D731EB">
        <w:t xml:space="preserve"> 10-year </w:t>
      </w:r>
      <w:r w:rsidR="002E0FE3">
        <w:t xml:space="preserve">CVD </w:t>
      </w:r>
      <w:r w:rsidR="00D731EB">
        <w:t xml:space="preserve">risk score. </w:t>
      </w:r>
      <w:r w:rsidR="00FB4571">
        <w:t xml:space="preserve">Those </w:t>
      </w:r>
      <w:r w:rsidR="00726E12">
        <w:t xml:space="preserve">scoring </w:t>
      </w:r>
      <w:r w:rsidR="00D731EB">
        <w:t xml:space="preserve">over the CVD risk threshold </w:t>
      </w:r>
      <w:r w:rsidR="001136F9">
        <w:t>(e</w:t>
      </w:r>
      <w:r w:rsidR="0022353E">
        <w:t>.</w:t>
      </w:r>
      <w:r w:rsidR="001136F9">
        <w:t>g</w:t>
      </w:r>
      <w:r w:rsidR="0022353E">
        <w:t>.</w:t>
      </w:r>
      <w:r w:rsidR="001136F9">
        <w:t xml:space="preserve"> 10%) </w:t>
      </w:r>
      <w:r w:rsidR="00D731EB">
        <w:t xml:space="preserve">are considered at high risk and receive statin </w:t>
      </w:r>
      <w:r w:rsidR="006F2B11">
        <w:t>therapy</w:t>
      </w:r>
      <w:r w:rsidR="00D731EB">
        <w:t xml:space="preserve">. </w:t>
      </w:r>
      <w:r w:rsidR="00FB4571">
        <w:t xml:space="preserve">Individuals </w:t>
      </w:r>
      <w:r w:rsidR="00D731EB">
        <w:t xml:space="preserve">classified as low risk </w:t>
      </w:r>
      <w:r w:rsidR="004C182B">
        <w:t xml:space="preserve">are assumed </w:t>
      </w:r>
      <w:r w:rsidR="00AE0A67">
        <w:t>not to receive statin therapy</w:t>
      </w:r>
      <w:r w:rsidR="00D731EB">
        <w:t xml:space="preserve"> and remain in </w:t>
      </w:r>
      <w:r w:rsidR="004C182B">
        <w:t>“</w:t>
      </w:r>
      <w:r w:rsidR="00D731EB">
        <w:t>usual care</w:t>
      </w:r>
      <w:r w:rsidR="004C182B">
        <w:t>”</w:t>
      </w:r>
      <w:r w:rsidR="00D731EB">
        <w:t>. Patients already on statin therapy before baseline remain on statins</w:t>
      </w:r>
      <w:r w:rsidR="0022353E">
        <w:t>,</w:t>
      </w:r>
      <w:r w:rsidR="00F17861">
        <w:t xml:space="preserve"> </w:t>
      </w:r>
      <w:r w:rsidR="00D731EB">
        <w:t xml:space="preserve">regardless of </w:t>
      </w:r>
      <w:r w:rsidR="00EB670A">
        <w:t>their risk</w:t>
      </w:r>
      <w:r w:rsidR="00D731EB">
        <w:t xml:space="preserve"> </w:t>
      </w:r>
      <w:r w:rsidR="00CC59D0">
        <w:t>characteristics</w:t>
      </w:r>
      <w:r w:rsidR="00EB6089" w:rsidRPr="004B28E0">
        <w:t xml:space="preserve">. </w:t>
      </w:r>
      <w:r w:rsidR="004B28E0" w:rsidRPr="004B28E0">
        <w:rPr>
          <w:rFonts w:cs="Times New Roman"/>
        </w:rPr>
        <w:t xml:space="preserve">However, if a patient is already on statin therapy and their cholesterol levels for their last GP consultation are above target levels (defined as total cholesterol &gt; 5 </w:t>
      </w:r>
      <w:proofErr w:type="spellStart"/>
      <w:r w:rsidR="004B28E0" w:rsidRPr="004B28E0">
        <w:rPr>
          <w:rFonts w:cs="Times New Roman"/>
        </w:rPr>
        <w:t>mmol</w:t>
      </w:r>
      <w:proofErr w:type="spellEnd"/>
      <w:r w:rsidR="004B28E0" w:rsidRPr="004B28E0">
        <w:rPr>
          <w:rFonts w:cs="Times New Roman"/>
        </w:rPr>
        <w:t>/L or total cholesterol to HDL</w:t>
      </w:r>
      <w:r w:rsidR="00895C1E">
        <w:rPr>
          <w:rFonts w:cs="Times New Roman"/>
        </w:rPr>
        <w:t>-</w:t>
      </w:r>
      <w:r w:rsidR="004B28E0" w:rsidRPr="004B28E0">
        <w:rPr>
          <w:rFonts w:cs="Times New Roman"/>
        </w:rPr>
        <w:t>cholesterol ratio &gt; 4mmol/L)</w:t>
      </w:r>
      <w:r w:rsidR="00351CA6">
        <w:rPr>
          <w:rFonts w:cs="Times New Roman"/>
          <w:vertAlign w:val="superscript"/>
        </w:rPr>
        <w:t>30</w:t>
      </w:r>
      <w:r w:rsidR="00C91795">
        <w:rPr>
          <w:rFonts w:cs="Times New Roman"/>
          <w:vertAlign w:val="superscript"/>
        </w:rPr>
        <w:t>,</w:t>
      </w:r>
      <w:r w:rsidR="008051BC">
        <w:rPr>
          <w:rFonts w:cs="Times New Roman"/>
          <w:vertAlign w:val="superscript"/>
        </w:rPr>
        <w:t>3</w:t>
      </w:r>
      <w:r w:rsidR="00351CA6">
        <w:rPr>
          <w:rFonts w:cs="Times New Roman"/>
          <w:vertAlign w:val="superscript"/>
        </w:rPr>
        <w:t>1</w:t>
      </w:r>
      <w:r w:rsidR="004B28E0" w:rsidRPr="004B28E0">
        <w:rPr>
          <w:rFonts w:cs="Times New Roman"/>
        </w:rPr>
        <w:t>, their statin therapy is altered according to the average weighted changes that occur in statin prescribing as calculated from the THIN database</w:t>
      </w:r>
      <w:r w:rsidR="004B28E0">
        <w:rPr>
          <w:rFonts w:cs="Times New Roman"/>
        </w:rPr>
        <w:t xml:space="preserve">. </w:t>
      </w:r>
      <w:r w:rsidR="00726E12">
        <w:t>We applied the</w:t>
      </w:r>
      <w:r w:rsidR="00EB6089">
        <w:t xml:space="preserve"> </w:t>
      </w:r>
      <w:r w:rsidR="006D10E1">
        <w:t xml:space="preserve">CVD </w:t>
      </w:r>
      <w:r w:rsidR="00EB6089">
        <w:lastRenderedPageBreak/>
        <w:t xml:space="preserve">threshold of 10% recently </w:t>
      </w:r>
      <w:r w:rsidR="004C182B">
        <w:t xml:space="preserve">recommended </w:t>
      </w:r>
      <w:r w:rsidR="00EB6089">
        <w:t xml:space="preserve">by </w:t>
      </w:r>
      <w:r w:rsidR="00EB6089" w:rsidRPr="00C8688C">
        <w:t>N</w:t>
      </w:r>
      <w:r w:rsidR="00B40B5B">
        <w:t xml:space="preserve">ICE </w:t>
      </w:r>
      <w:r w:rsidR="00726E12">
        <w:t>to each of the models</w:t>
      </w:r>
      <w:r w:rsidR="00DD0E07">
        <w:t xml:space="preserve"> </w:t>
      </w:r>
      <w:r w:rsidR="00EB6089">
        <w:t xml:space="preserve">to reflect future clinical </w:t>
      </w:r>
      <w:r w:rsidR="00A220A6">
        <w:t>practice</w:t>
      </w:r>
      <w:r w:rsidR="00C91795">
        <w:rPr>
          <w:vertAlign w:val="superscript"/>
        </w:rPr>
        <w:t>11</w:t>
      </w:r>
      <w:r w:rsidR="00EB6089">
        <w:t>. The 20%</w:t>
      </w:r>
      <w:r w:rsidR="00867902">
        <w:t xml:space="preserve"> </w:t>
      </w:r>
      <w:r w:rsidR="00EB6089">
        <w:t xml:space="preserve">threshold </w:t>
      </w:r>
      <w:r w:rsidR="00911DE8">
        <w:t>as per current Quality</w:t>
      </w:r>
      <w:r w:rsidR="00CB32B2">
        <w:t xml:space="preserve"> and</w:t>
      </w:r>
      <w:r w:rsidR="00911DE8">
        <w:t xml:space="preserve"> Outcomes Framework (QOF) </w:t>
      </w:r>
      <w:r w:rsidR="008051BC">
        <w:t>guidelines</w:t>
      </w:r>
      <w:r w:rsidR="008051BC">
        <w:rPr>
          <w:vertAlign w:val="superscript"/>
        </w:rPr>
        <w:t>15</w:t>
      </w:r>
      <w:r w:rsidR="008051BC">
        <w:t xml:space="preserve"> </w:t>
      </w:r>
      <w:r w:rsidR="00EB6089">
        <w:t>was also applied</w:t>
      </w:r>
      <w:r w:rsidR="00726E12">
        <w:t xml:space="preserve"> (see Supplementary Appendix). </w:t>
      </w:r>
      <w:r w:rsidR="00B40B5B">
        <w:t xml:space="preserve">In the </w:t>
      </w:r>
      <w:r w:rsidR="002E0FE3">
        <w:t xml:space="preserve">no </w:t>
      </w:r>
      <w:r w:rsidR="004C182B">
        <w:t>algorithm</w:t>
      </w:r>
      <w:r w:rsidR="002E0FE3">
        <w:t xml:space="preserve"> </w:t>
      </w:r>
      <w:r w:rsidR="00C9446A">
        <w:t xml:space="preserve">scenario </w:t>
      </w:r>
      <w:r w:rsidR="00B40B5B">
        <w:t>patients do not enter the decision tree.</w:t>
      </w:r>
    </w:p>
    <w:p w14:paraId="36316E7B" w14:textId="712D9F1C" w:rsidR="00D731EB" w:rsidRDefault="00EB6089">
      <w:pPr>
        <w:spacing w:line="480" w:lineRule="auto"/>
        <w:jc w:val="both"/>
      </w:pPr>
      <w:r>
        <w:t>After</w:t>
      </w:r>
      <w:r w:rsidR="00A52BC0">
        <w:t xml:space="preserve"> patients are classified as</w:t>
      </w:r>
      <w:r w:rsidR="00D731EB" w:rsidRPr="00C8688C">
        <w:t xml:space="preserve"> high risk and receive statin therapy, </w:t>
      </w:r>
      <w:r w:rsidR="00A52BC0">
        <w:t>or</w:t>
      </w:r>
      <w:r w:rsidR="00D731EB" w:rsidRPr="00C8688C">
        <w:t xml:space="preserve"> low risk</w:t>
      </w:r>
      <w:r w:rsidR="00A52BC0">
        <w:t xml:space="preserve"> and receive usual care</w:t>
      </w:r>
      <w:r w:rsidR="00D731EB" w:rsidRPr="00C8688C">
        <w:t xml:space="preserve">, all patients enter the </w:t>
      </w:r>
      <w:r w:rsidR="001B31AB">
        <w:t xml:space="preserve">economic </w:t>
      </w:r>
      <w:r w:rsidR="00D731EB" w:rsidRPr="00C8688C">
        <w:t>model in a ‘healthy’</w:t>
      </w:r>
      <w:r w:rsidR="00AE0A67">
        <w:t>,</w:t>
      </w:r>
      <w:r w:rsidR="00D731EB" w:rsidRPr="00C8688C">
        <w:t xml:space="preserve"> free of CVD</w:t>
      </w:r>
      <w:r w:rsidR="00AE0A67">
        <w:t>,</w:t>
      </w:r>
      <w:r w:rsidR="00D731EB" w:rsidRPr="00C8688C">
        <w:t xml:space="preserve"> state</w:t>
      </w:r>
      <w:r w:rsidR="00687931">
        <w:t xml:space="preserve"> and</w:t>
      </w:r>
      <w:r w:rsidR="00687931" w:rsidRPr="00C8688C">
        <w:t xml:space="preserve"> continue to cycle through the </w:t>
      </w:r>
      <w:r w:rsidR="00F51A02">
        <w:t xml:space="preserve">economic </w:t>
      </w:r>
      <w:r w:rsidR="00687931" w:rsidRPr="00C8688C">
        <w:t xml:space="preserve">model </w:t>
      </w:r>
      <w:r w:rsidR="00817734">
        <w:t>for 10 one</w:t>
      </w:r>
      <w:r w:rsidR="00AE7936">
        <w:t>-</w:t>
      </w:r>
      <w:r w:rsidR="00817734">
        <w:t>year cycles or until they die</w:t>
      </w:r>
      <w:r w:rsidR="00D731EB" w:rsidRPr="00C8688C">
        <w:t xml:space="preserve">. </w:t>
      </w:r>
      <w:r w:rsidR="00817734">
        <w:t>P</w:t>
      </w:r>
      <w:r w:rsidR="00A52BC0">
        <w:t xml:space="preserve">atient level survival </w:t>
      </w:r>
      <w:r w:rsidR="008051BC">
        <w:t>models</w:t>
      </w:r>
      <w:r w:rsidR="008051BC">
        <w:rPr>
          <w:vertAlign w:val="superscript"/>
        </w:rPr>
        <w:t>3</w:t>
      </w:r>
      <w:r w:rsidR="00351CA6">
        <w:rPr>
          <w:vertAlign w:val="superscript"/>
        </w:rPr>
        <w:t>2</w:t>
      </w:r>
      <w:r w:rsidR="008051BC">
        <w:t xml:space="preserve"> </w:t>
      </w:r>
      <w:r w:rsidR="00730344">
        <w:t xml:space="preserve">are </w:t>
      </w:r>
      <w:r w:rsidR="00A52BC0">
        <w:t>used f</w:t>
      </w:r>
      <w:r w:rsidR="00D731EB" w:rsidRPr="00C8688C">
        <w:t>or each annual cycle to determine if a patient (</w:t>
      </w:r>
      <w:proofErr w:type="spellStart"/>
      <w:r w:rsidR="00D731EB" w:rsidRPr="00C8688C">
        <w:t>i</w:t>
      </w:r>
      <w:proofErr w:type="spellEnd"/>
      <w:r w:rsidR="00D731EB" w:rsidRPr="00C8688C">
        <w:t>) remains in their current health state, (ii) h</w:t>
      </w:r>
      <w:r w:rsidR="00D731EB">
        <w:t>as</w:t>
      </w:r>
      <w:r w:rsidR="00D731EB" w:rsidRPr="00C8688C">
        <w:t xml:space="preserve"> a</w:t>
      </w:r>
      <w:r w:rsidR="00A32A8C">
        <w:t xml:space="preserve"> primary</w:t>
      </w:r>
      <w:r w:rsidR="00D731EB" w:rsidRPr="00C8688C">
        <w:t xml:space="preserve"> non-fatal CVD event, (iii) ha</w:t>
      </w:r>
      <w:r w:rsidR="00D731EB">
        <w:t>s</w:t>
      </w:r>
      <w:r w:rsidR="00D731EB" w:rsidRPr="00C8688C">
        <w:t xml:space="preserve"> a secondary non-fatal CVD event</w:t>
      </w:r>
      <w:r w:rsidR="00D731EB">
        <w:t>,</w:t>
      </w:r>
      <w:r w:rsidR="00D731EB" w:rsidRPr="00C8688C">
        <w:t xml:space="preserve"> </w:t>
      </w:r>
      <w:proofErr w:type="gramStart"/>
      <w:r w:rsidR="00D731EB" w:rsidRPr="00C8688C">
        <w:t>(i</w:t>
      </w:r>
      <w:r w:rsidR="00D731EB">
        <w:t>v</w:t>
      </w:r>
      <w:r w:rsidR="00D731EB" w:rsidRPr="00C8688C">
        <w:t>) ha</w:t>
      </w:r>
      <w:r w:rsidR="00D731EB">
        <w:t>s</w:t>
      </w:r>
      <w:proofErr w:type="gramEnd"/>
      <w:r w:rsidR="00D731EB" w:rsidRPr="00C8688C">
        <w:t xml:space="preserve"> a fatal CVD event</w:t>
      </w:r>
      <w:r w:rsidR="00D731EB">
        <w:t>, or</w:t>
      </w:r>
      <w:r w:rsidR="00D731EB" w:rsidRPr="00C8688C">
        <w:t xml:space="preserve"> (v) die</w:t>
      </w:r>
      <w:r w:rsidR="00D731EB">
        <w:t>s</w:t>
      </w:r>
      <w:r w:rsidR="00D731EB" w:rsidRPr="00C8688C">
        <w:t xml:space="preserve"> from non-CVD related causes. All </w:t>
      </w:r>
      <w:r w:rsidR="00216DE1">
        <w:t>events</w:t>
      </w:r>
      <w:r w:rsidR="00216DE1" w:rsidRPr="00C8688C">
        <w:t xml:space="preserve"> </w:t>
      </w:r>
      <w:r w:rsidR="003B2027">
        <w:t>occur</w:t>
      </w:r>
      <w:r w:rsidR="00D731EB" w:rsidRPr="00C8688C">
        <w:t xml:space="preserve"> at the beginning of a cycle.</w:t>
      </w:r>
      <w:r w:rsidR="00CF1D1B" w:rsidRPr="00CF1D1B">
        <w:t xml:space="preserve"> </w:t>
      </w:r>
      <w:r w:rsidR="00CF1D1B" w:rsidRPr="00C8688C">
        <w:t xml:space="preserve"> </w:t>
      </w:r>
    </w:p>
    <w:p w14:paraId="066E3A75" w14:textId="3EC51569" w:rsidR="00362C78" w:rsidRDefault="00362C78" w:rsidP="00221A71">
      <w:pPr>
        <w:spacing w:line="480" w:lineRule="auto"/>
        <w:jc w:val="both"/>
      </w:pPr>
      <w:r>
        <w:t>This was repeated for each of the CVD risk algorithms in separate analyses.</w:t>
      </w:r>
    </w:p>
    <w:p w14:paraId="09499888" w14:textId="77777777" w:rsidR="002F6376" w:rsidRDefault="002F6376" w:rsidP="00221A71">
      <w:pPr>
        <w:spacing w:line="480" w:lineRule="auto"/>
        <w:jc w:val="both"/>
        <w:rPr>
          <w:b/>
        </w:rPr>
      </w:pPr>
    </w:p>
    <w:p w14:paraId="21684006" w14:textId="6842D397" w:rsidR="00D731EB" w:rsidRPr="00004332" w:rsidRDefault="007307D4" w:rsidP="00221A71">
      <w:pPr>
        <w:spacing w:line="480" w:lineRule="auto"/>
        <w:jc w:val="both"/>
        <w:rPr>
          <w:b/>
        </w:rPr>
      </w:pPr>
      <w:r>
        <w:rPr>
          <w:b/>
        </w:rPr>
        <w:t xml:space="preserve">2.5 </w:t>
      </w:r>
      <w:r w:rsidR="00D731EB" w:rsidRPr="00004332">
        <w:rPr>
          <w:b/>
        </w:rPr>
        <w:t>Transition probabilities</w:t>
      </w:r>
    </w:p>
    <w:p w14:paraId="181839B9" w14:textId="2CCB614D" w:rsidR="004A14DF" w:rsidRPr="003B2027" w:rsidRDefault="00FB4571" w:rsidP="00221A71">
      <w:pPr>
        <w:spacing w:line="480" w:lineRule="auto"/>
        <w:jc w:val="both"/>
      </w:pPr>
      <w:r>
        <w:t xml:space="preserve">In the model, </w:t>
      </w:r>
      <w:r w:rsidR="00DC503A">
        <w:t>e</w:t>
      </w:r>
      <w:r w:rsidR="004A14DF">
        <w:t>vents</w:t>
      </w:r>
      <w:r w:rsidR="00DC503A">
        <w:t xml:space="preserve"> were assumed to have</w:t>
      </w:r>
      <w:r w:rsidR="004A14DF">
        <w:t xml:space="preserve"> occurred when the patient specific probability of </w:t>
      </w:r>
      <w:r w:rsidR="00730344">
        <w:t>an</w:t>
      </w:r>
      <w:r w:rsidR="00BD609E">
        <w:t xml:space="preserve"> event was more</w:t>
      </w:r>
      <w:r w:rsidR="004A14DF">
        <w:t xml:space="preserve"> than </w:t>
      </w:r>
      <w:r w:rsidR="00193C65">
        <w:t xml:space="preserve">a </w:t>
      </w:r>
      <w:r w:rsidR="004A14DF">
        <w:t xml:space="preserve">random number generated in Excel. For example, if a patient’s probability of a primary CVD event in a cycle was 16.3% and the random number </w:t>
      </w:r>
      <w:r w:rsidR="00F4662A">
        <w:t xml:space="preserve">(taking possible values between zero and one) </w:t>
      </w:r>
      <w:r w:rsidR="004A14DF">
        <w:t>generated was 0.155</w:t>
      </w:r>
      <w:r>
        <w:t xml:space="preserve"> (15.5%)</w:t>
      </w:r>
      <w:r w:rsidR="004A14DF">
        <w:t>, the patient</w:t>
      </w:r>
      <w:r w:rsidR="00DC503A">
        <w:t xml:space="preserve"> was</w:t>
      </w:r>
      <w:r w:rsidR="004A14DF">
        <w:t xml:space="preserve"> assumed to have had a primary CVD event. If</w:t>
      </w:r>
      <w:r w:rsidR="006F2B11">
        <w:t>, however,</w:t>
      </w:r>
      <w:r w:rsidR="004A14DF">
        <w:t xml:space="preserve"> the random number g</w:t>
      </w:r>
      <w:r w:rsidR="00730344">
        <w:t>enerated was 0.45</w:t>
      </w:r>
      <w:r>
        <w:t xml:space="preserve"> (45.0%)</w:t>
      </w:r>
      <w:r w:rsidR="00730344">
        <w:t xml:space="preserve">, </w:t>
      </w:r>
      <w:r w:rsidR="004A14DF">
        <w:t>the event did not occur. Events for patients were carried over cycles</w:t>
      </w:r>
      <w:r w:rsidR="00BA6D70">
        <w:t xml:space="preserve"> so that only patients that had a primary CVD event could have a secondary CVD event</w:t>
      </w:r>
      <w:r w:rsidR="004A14DF">
        <w:t>.</w:t>
      </w:r>
    </w:p>
    <w:p w14:paraId="19268539" w14:textId="77FFED28" w:rsidR="00BF111E" w:rsidRDefault="00736BBE" w:rsidP="00895C1E">
      <w:pPr>
        <w:spacing w:line="480" w:lineRule="auto"/>
        <w:jc w:val="both"/>
        <w:rPr>
          <w:rFonts w:cs="Times New Roman"/>
        </w:rPr>
      </w:pPr>
      <w:r w:rsidRPr="004B28E0">
        <w:t>The probability of having a primary CVD event each year after baseline was calculated</w:t>
      </w:r>
      <w:r w:rsidR="004A14DF" w:rsidRPr="004B28E0">
        <w:t xml:space="preserve"> from the 10 imputed datasets</w:t>
      </w:r>
      <w:r w:rsidRPr="004B28E0">
        <w:t xml:space="preserve"> </w:t>
      </w:r>
      <w:r w:rsidR="006F5C6B" w:rsidRPr="004B28E0">
        <w:t xml:space="preserve">of the SMI cohort </w:t>
      </w:r>
      <w:r w:rsidRPr="004B28E0">
        <w:t>using a surv</w:t>
      </w:r>
      <w:r w:rsidR="003A75E2">
        <w:t>ival model (Weibull distribution to allow calculation of time-dependent hazard functions</w:t>
      </w:r>
      <w:r w:rsidRPr="004B28E0">
        <w:t>)</w:t>
      </w:r>
      <w:r w:rsidR="008051BC">
        <w:rPr>
          <w:vertAlign w:val="superscript"/>
        </w:rPr>
        <w:t>3</w:t>
      </w:r>
      <w:r w:rsidR="00351CA6">
        <w:rPr>
          <w:vertAlign w:val="superscript"/>
        </w:rPr>
        <w:t>2</w:t>
      </w:r>
      <w:r w:rsidR="001C1365" w:rsidRPr="004B28E0">
        <w:t>. Separate models were estimated for CHD and CVA.</w:t>
      </w:r>
      <w:r w:rsidR="004B28E0" w:rsidRPr="004B28E0">
        <w:rPr>
          <w:rFonts w:cs="Times New Roman"/>
        </w:rPr>
        <w:t xml:space="preserve"> Development of these models was based on 38,824 people in THIN with SMI and aged over 18 years, </w:t>
      </w:r>
      <w:r w:rsidR="004B28E0" w:rsidRPr="004B28E0">
        <w:rPr>
          <w:rFonts w:cs="Times New Roman"/>
        </w:rPr>
        <w:lastRenderedPageBreak/>
        <w:t>with a maximum follow-up of 16 years. The covariates used included age, sex, systolic blood pressure (SBP), use of anti-hypertensive therapy, HDL</w:t>
      </w:r>
      <w:r w:rsidR="00895C1E">
        <w:rPr>
          <w:rFonts w:cs="Times New Roman"/>
        </w:rPr>
        <w:t>-</w:t>
      </w:r>
      <w:r w:rsidR="004B28E0" w:rsidRPr="004B28E0">
        <w:rPr>
          <w:rFonts w:cs="Times New Roman"/>
        </w:rPr>
        <w:t xml:space="preserve">cholesterol, use of cholesterol lowering/altering therapy, height, weight, presence of diabetes, smoking status, </w:t>
      </w:r>
      <w:proofErr w:type="gramStart"/>
      <w:r w:rsidR="004B28E0" w:rsidRPr="004B28E0">
        <w:rPr>
          <w:rFonts w:cs="Times New Roman"/>
        </w:rPr>
        <w:t>history</w:t>
      </w:r>
      <w:proofErr w:type="gramEnd"/>
      <w:r w:rsidR="004B28E0" w:rsidRPr="004B28E0">
        <w:rPr>
          <w:rFonts w:cs="Times New Roman"/>
        </w:rPr>
        <w:t xml:space="preserve"> of heavy drinking, type of SMI, use of </w:t>
      </w:r>
      <w:r w:rsidR="00FB4571">
        <w:rPr>
          <w:rFonts w:cs="Times New Roman"/>
        </w:rPr>
        <w:t>first generation</w:t>
      </w:r>
      <w:r w:rsidR="00FB4571" w:rsidRPr="004B28E0">
        <w:rPr>
          <w:rFonts w:cs="Times New Roman"/>
        </w:rPr>
        <w:t xml:space="preserve"> </w:t>
      </w:r>
      <w:r w:rsidR="004B28E0" w:rsidRPr="004B28E0">
        <w:rPr>
          <w:rFonts w:cs="Times New Roman"/>
        </w:rPr>
        <w:t xml:space="preserve">anti-psychotic therapy, use of </w:t>
      </w:r>
      <w:r w:rsidR="00FB4571">
        <w:rPr>
          <w:rFonts w:cs="Times New Roman"/>
        </w:rPr>
        <w:t>second generation</w:t>
      </w:r>
      <w:r w:rsidR="00FB4571" w:rsidRPr="004B28E0">
        <w:rPr>
          <w:rFonts w:cs="Times New Roman"/>
        </w:rPr>
        <w:t xml:space="preserve"> </w:t>
      </w:r>
      <w:r w:rsidR="004B28E0" w:rsidRPr="004B28E0">
        <w:rPr>
          <w:rFonts w:cs="Times New Roman"/>
        </w:rPr>
        <w:t xml:space="preserve">antipsychotic therapy, and history of depression or use of anti-depressant therapy. The coefficient for each covariate was calculated from </w:t>
      </w:r>
      <w:r w:rsidR="003A75E2">
        <w:rPr>
          <w:rFonts w:cs="Times New Roman"/>
        </w:rPr>
        <w:t>the 10</w:t>
      </w:r>
      <w:r w:rsidR="004B28E0" w:rsidRPr="004B28E0">
        <w:rPr>
          <w:rFonts w:cs="Times New Roman"/>
        </w:rPr>
        <w:t xml:space="preserve"> imputed datasets for each mod</w:t>
      </w:r>
      <w:r w:rsidR="003A75E2">
        <w:rPr>
          <w:rFonts w:cs="Times New Roman"/>
        </w:rPr>
        <w:t xml:space="preserve">el and is reported in </w:t>
      </w:r>
      <w:proofErr w:type="spellStart"/>
      <w:r w:rsidR="003A75E2">
        <w:rPr>
          <w:rFonts w:cs="Times New Roman"/>
        </w:rPr>
        <w:t>eTable</w:t>
      </w:r>
      <w:proofErr w:type="spellEnd"/>
      <w:r w:rsidR="003A75E2">
        <w:rPr>
          <w:rFonts w:cs="Times New Roman"/>
        </w:rPr>
        <w:t xml:space="preserve"> 2.</w:t>
      </w:r>
      <w:r w:rsidR="00EE0A64">
        <w:rPr>
          <w:rFonts w:cs="Times New Roman"/>
        </w:rPr>
        <w:t xml:space="preserve"> </w:t>
      </w:r>
    </w:p>
    <w:p w14:paraId="60DCF08D" w14:textId="3AB1206A" w:rsidR="004B28E0" w:rsidRPr="00BF111E" w:rsidRDefault="003A75E2" w:rsidP="00742DB8">
      <w:pPr>
        <w:spacing w:line="480" w:lineRule="auto"/>
        <w:jc w:val="both"/>
        <w:rPr>
          <w:rFonts w:cs="Times New Roman"/>
        </w:rPr>
      </w:pPr>
      <w:r>
        <w:rPr>
          <w:rFonts w:cs="Times New Roman"/>
        </w:rPr>
        <w:t xml:space="preserve">Primary CVD included both non-fatal and fatal events. </w:t>
      </w:r>
      <w:r w:rsidR="004B28E0" w:rsidRPr="004B28E0">
        <w:rPr>
          <w:rFonts w:cs="Times New Roman"/>
        </w:rPr>
        <w:t>A non-fatal CVD event comprised CHD and its sub-states, and CVA and its sub-states. The sub-states of a primary CHD event included stable angina, unstable angina, MI, coronary artery surgery and unclassified CHD; whilst a primary CVA event included TIA, haemorrhagic stroke, ischaemic/unclassified stroke and unspec</w:t>
      </w:r>
      <w:r w:rsidR="00BF111E">
        <w:rPr>
          <w:rFonts w:cs="Times New Roman"/>
        </w:rPr>
        <w:t xml:space="preserve">ified </w:t>
      </w:r>
      <w:r w:rsidR="00BF111E" w:rsidRPr="00BF111E">
        <w:rPr>
          <w:rFonts w:cs="Times New Roman"/>
        </w:rPr>
        <w:t xml:space="preserve">cerebrovascular disease. Non-fatal </w:t>
      </w:r>
      <w:r w:rsidR="00BF111E">
        <w:rPr>
          <w:rFonts w:cs="Times New Roman"/>
        </w:rPr>
        <w:t>primary</w:t>
      </w:r>
      <w:r w:rsidR="00BF111E" w:rsidRPr="00BF111E">
        <w:rPr>
          <w:rFonts w:cs="Times New Roman"/>
        </w:rPr>
        <w:t xml:space="preserve"> events were separated into sub-states of </w:t>
      </w:r>
      <w:r w:rsidR="00BF111E">
        <w:rPr>
          <w:rFonts w:cs="Times New Roman"/>
        </w:rPr>
        <w:t>CHD and CVA</w:t>
      </w:r>
      <w:r w:rsidR="00BF111E" w:rsidRPr="00BF111E">
        <w:rPr>
          <w:rFonts w:cs="Times New Roman"/>
        </w:rPr>
        <w:t xml:space="preserve"> </w:t>
      </w:r>
      <w:r w:rsidR="005A1689">
        <w:rPr>
          <w:rFonts w:cs="Times New Roman"/>
        </w:rPr>
        <w:t xml:space="preserve">so that </w:t>
      </w:r>
      <w:r w:rsidR="00BF111E" w:rsidRPr="00BF111E">
        <w:rPr>
          <w:rFonts w:cs="Times New Roman"/>
        </w:rPr>
        <w:t>cost</w:t>
      </w:r>
      <w:r w:rsidR="005A1689">
        <w:rPr>
          <w:rFonts w:cs="Times New Roman"/>
        </w:rPr>
        <w:t>s</w:t>
      </w:r>
      <w:r w:rsidR="00BF111E" w:rsidRPr="00BF111E">
        <w:rPr>
          <w:rFonts w:cs="Times New Roman"/>
        </w:rPr>
        <w:t xml:space="preserve"> and consequences</w:t>
      </w:r>
      <w:r w:rsidR="005A1689">
        <w:rPr>
          <w:rFonts w:cs="Times New Roman"/>
        </w:rPr>
        <w:t xml:space="preserve"> could be allocated to each sub-state.</w:t>
      </w:r>
      <w:r w:rsidR="00BF111E" w:rsidRPr="00BF111E">
        <w:rPr>
          <w:rFonts w:cs="Times New Roman"/>
        </w:rPr>
        <w:t xml:space="preserve"> </w:t>
      </w:r>
      <w:r w:rsidR="004B28E0" w:rsidRPr="00BF111E">
        <w:rPr>
          <w:rFonts w:cs="Times New Roman"/>
        </w:rPr>
        <w:t>The proportion of patients in each non-fatal CVD sub-state and the proporti</w:t>
      </w:r>
      <w:r>
        <w:rPr>
          <w:rFonts w:cs="Times New Roman"/>
        </w:rPr>
        <w:t>on of patients dying from a primary CVD event</w:t>
      </w:r>
      <w:r w:rsidR="004B28E0" w:rsidRPr="00BF111E">
        <w:rPr>
          <w:rFonts w:cs="Times New Roman"/>
        </w:rPr>
        <w:t xml:space="preserve"> was equal to the proportion of patients in each group of these diagnostic categories found in the original cohort of people with SMI used to develop and test the risk algorithms in THIN (</w:t>
      </w:r>
      <w:proofErr w:type="spellStart"/>
      <w:r w:rsidR="004B28E0" w:rsidRPr="00BF111E">
        <w:rPr>
          <w:rFonts w:cs="Times New Roman"/>
        </w:rPr>
        <w:t>eTable</w:t>
      </w:r>
      <w:proofErr w:type="spellEnd"/>
      <w:r w:rsidR="004B28E0" w:rsidRPr="00BF111E">
        <w:rPr>
          <w:rFonts w:cs="Times New Roman"/>
        </w:rPr>
        <w:t xml:space="preserve"> 3).</w:t>
      </w:r>
    </w:p>
    <w:p w14:paraId="464DF7C8" w14:textId="5F73D8B6" w:rsidR="00BF111E" w:rsidRDefault="00A10146">
      <w:pPr>
        <w:spacing w:line="480" w:lineRule="auto"/>
        <w:jc w:val="both"/>
        <w:rPr>
          <w:rFonts w:cs="Times New Roman"/>
        </w:rPr>
      </w:pPr>
      <w:r w:rsidRPr="00BF111E">
        <w:t>T</w:t>
      </w:r>
      <w:r w:rsidR="00D731EB" w:rsidRPr="00BF111E">
        <w:t xml:space="preserve">he probability of having a secondary CVD event was </w:t>
      </w:r>
      <w:r w:rsidR="005757D7" w:rsidRPr="00BF111E">
        <w:t>calculated from</w:t>
      </w:r>
      <w:r w:rsidR="00D731EB" w:rsidRPr="00BF111E">
        <w:t xml:space="preserve"> the model in the Reduction of </w:t>
      </w:r>
      <w:proofErr w:type="spellStart"/>
      <w:r w:rsidR="00D731EB" w:rsidRPr="00BF111E">
        <w:t>Atherothrombosis</w:t>
      </w:r>
      <w:proofErr w:type="spellEnd"/>
      <w:r w:rsidR="00D731EB" w:rsidRPr="00BF111E">
        <w:t xml:space="preserve"> for Continued Health (REACH) </w:t>
      </w:r>
      <w:r w:rsidR="008051BC" w:rsidRPr="00BF111E">
        <w:t>Registry</w:t>
      </w:r>
      <w:r w:rsidR="008051BC">
        <w:rPr>
          <w:vertAlign w:val="superscript"/>
        </w:rPr>
        <w:t>3</w:t>
      </w:r>
      <w:r w:rsidR="00351CA6">
        <w:rPr>
          <w:vertAlign w:val="superscript"/>
        </w:rPr>
        <w:t>3</w:t>
      </w:r>
      <w:r w:rsidR="00340512" w:rsidRPr="00BF111E">
        <w:t xml:space="preserve">. </w:t>
      </w:r>
      <w:r w:rsidR="00BF111E" w:rsidRPr="00BF111E">
        <w:rPr>
          <w:rFonts w:cs="Times New Roman"/>
        </w:rPr>
        <w:t>The REACH algorithm</w:t>
      </w:r>
      <w:r w:rsidR="00BF111E" w:rsidRPr="00BF111E">
        <w:rPr>
          <w:rFonts w:cs="Times New Roman"/>
          <w:vertAlign w:val="superscript"/>
        </w:rPr>
        <w:t xml:space="preserve"> </w:t>
      </w:r>
      <w:r w:rsidR="00BF111E" w:rsidRPr="00BF111E">
        <w:rPr>
          <w:rFonts w:cs="Times New Roman"/>
        </w:rPr>
        <w:t>is not SMI-specific; however, it is an international equation to predict recurrent CVD based on patient level characteristics over 20 months from a primary CVD event. Two equations are reported; one for secondary CVD and one for secondary fatal CVD. For each of the equations reported, the adjustment for country variable was omitted given t</w:t>
      </w:r>
      <w:r w:rsidR="003A75E2">
        <w:rPr>
          <w:rFonts w:cs="Times New Roman"/>
        </w:rPr>
        <w:t>hat UK in the REACH algorithm</w:t>
      </w:r>
      <w:r w:rsidR="00BF111E" w:rsidRPr="00BF111E">
        <w:rPr>
          <w:rFonts w:cs="Times New Roman"/>
        </w:rPr>
        <w:t xml:space="preserve"> is the comparator value and hence a coefficient for the UK is not reported. There was no information in our dataset regarding the number of vascular beds, presence of coronary heart failure (CHF), presence of atrial fibrillation (AF) and cardiovascular treatment with </w:t>
      </w:r>
      <w:r w:rsidR="00FB4571">
        <w:rPr>
          <w:rFonts w:cs="Times New Roman"/>
        </w:rPr>
        <w:t>aspirin</w:t>
      </w:r>
      <w:r w:rsidR="00BF111E" w:rsidRPr="00BF111E">
        <w:rPr>
          <w:rFonts w:cs="Times New Roman"/>
        </w:rPr>
        <w:t xml:space="preserve">. For all patients in the model it was assumed that there was only one vascular bed affected, CHF and AF were absent and they were not receiving cardiovascular treatment with </w:t>
      </w:r>
      <w:r w:rsidR="00FB4571">
        <w:rPr>
          <w:rFonts w:cs="Times New Roman"/>
        </w:rPr>
        <w:lastRenderedPageBreak/>
        <w:t>aspirin</w:t>
      </w:r>
      <w:r w:rsidR="00BF111E" w:rsidRPr="00BF111E">
        <w:rPr>
          <w:rFonts w:cs="Times New Roman"/>
        </w:rPr>
        <w:t xml:space="preserve">. The 20 month estimate was converted to a 12 month estimate using the formula </w:t>
      </w:r>
      <w:r w:rsidR="00BF111E" w:rsidRPr="00BF111E">
        <w:rPr>
          <w:rFonts w:cs="Times New Roman"/>
          <w:i/>
        </w:rPr>
        <w:t xml:space="preserve">p = 1- </w:t>
      </w:r>
      <w:proofErr w:type="spellStart"/>
      <w:r w:rsidR="00BF111E" w:rsidRPr="00BF111E">
        <w:rPr>
          <w:rFonts w:cs="Times New Roman"/>
          <w:i/>
        </w:rPr>
        <w:t>exp</w:t>
      </w:r>
      <w:proofErr w:type="spellEnd"/>
      <w:r w:rsidR="00BF111E" w:rsidRPr="00BF111E">
        <w:rPr>
          <w:rFonts w:cs="Times New Roman"/>
          <w:i/>
        </w:rPr>
        <w:t xml:space="preserve"> {-</w:t>
      </w:r>
      <w:proofErr w:type="spellStart"/>
      <w:proofErr w:type="gramStart"/>
      <w:r w:rsidR="00BF111E" w:rsidRPr="00BF111E">
        <w:rPr>
          <w:rFonts w:cs="Times New Roman"/>
          <w:i/>
        </w:rPr>
        <w:t>rt</w:t>
      </w:r>
      <w:proofErr w:type="spellEnd"/>
      <w:proofErr w:type="gramEnd"/>
      <w:r w:rsidR="00BF111E" w:rsidRPr="00BF111E">
        <w:rPr>
          <w:rFonts w:cs="Times New Roman"/>
          <w:i/>
        </w:rPr>
        <w:t>}</w:t>
      </w:r>
      <w:r w:rsidR="00BF111E" w:rsidRPr="00BF111E">
        <w:rPr>
          <w:rFonts w:cs="Times New Roman"/>
        </w:rPr>
        <w:t xml:space="preserve"> where </w:t>
      </w:r>
      <w:r w:rsidR="00BF111E" w:rsidRPr="00BF111E">
        <w:rPr>
          <w:rFonts w:cs="Times New Roman"/>
          <w:i/>
        </w:rPr>
        <w:t xml:space="preserve">p </w:t>
      </w:r>
      <w:r w:rsidR="00BF111E" w:rsidRPr="00BF111E">
        <w:rPr>
          <w:rFonts w:cs="Times New Roman"/>
        </w:rPr>
        <w:t>is the probability</w:t>
      </w:r>
      <w:r w:rsidR="00BF111E" w:rsidRPr="00BF111E">
        <w:rPr>
          <w:rFonts w:cs="Times New Roman"/>
          <w:i/>
        </w:rPr>
        <w:t xml:space="preserve">, r </w:t>
      </w:r>
      <w:r w:rsidR="00BF111E" w:rsidRPr="00BF111E">
        <w:rPr>
          <w:rFonts w:cs="Times New Roman"/>
        </w:rPr>
        <w:t>is the rate and</w:t>
      </w:r>
      <w:r w:rsidR="00BF111E" w:rsidRPr="00BF111E">
        <w:rPr>
          <w:rFonts w:cs="Times New Roman"/>
          <w:i/>
        </w:rPr>
        <w:t xml:space="preserve"> t </w:t>
      </w:r>
      <w:r w:rsidR="00BF111E" w:rsidRPr="00BF111E">
        <w:rPr>
          <w:rFonts w:cs="Times New Roman"/>
        </w:rPr>
        <w:t xml:space="preserve">is the time period of </w:t>
      </w:r>
      <w:r w:rsidR="008051BC" w:rsidRPr="00BF111E">
        <w:rPr>
          <w:rFonts w:cs="Times New Roman"/>
        </w:rPr>
        <w:t>interest</w:t>
      </w:r>
      <w:r w:rsidR="008051BC">
        <w:rPr>
          <w:rFonts w:cs="Times New Roman"/>
          <w:vertAlign w:val="superscript"/>
        </w:rPr>
        <w:t>3</w:t>
      </w:r>
      <w:r w:rsidR="00351CA6">
        <w:rPr>
          <w:rFonts w:cs="Times New Roman"/>
          <w:vertAlign w:val="superscript"/>
        </w:rPr>
        <w:t>2</w:t>
      </w:r>
      <w:r w:rsidR="00BF111E" w:rsidRPr="00BF111E">
        <w:rPr>
          <w:rFonts w:cs="Times New Roman"/>
        </w:rPr>
        <w:t xml:space="preserve">. </w:t>
      </w:r>
    </w:p>
    <w:p w14:paraId="030B11F7" w14:textId="3FF82B26" w:rsidR="00740D67" w:rsidRDefault="003A75E2">
      <w:pPr>
        <w:spacing w:line="480" w:lineRule="auto"/>
        <w:jc w:val="both"/>
      </w:pPr>
      <w:r>
        <w:rPr>
          <w:rFonts w:cs="Times New Roman"/>
        </w:rPr>
        <w:t xml:space="preserve">Secondary CVD events comprised non-fatal and fatal events. </w:t>
      </w:r>
      <w:r w:rsidR="00BF111E" w:rsidRPr="00BF111E">
        <w:rPr>
          <w:rFonts w:cs="Times New Roman"/>
        </w:rPr>
        <w:t xml:space="preserve">Non-fatal secondary events were separated into sub-states of MI and stroke for cost and consequences purposes. The proportion of patients in each sub-state was based on percentages of people in each group in the REACH registry’s four year follow-up </w:t>
      </w:r>
      <w:r w:rsidR="008051BC" w:rsidRPr="00BF111E">
        <w:rPr>
          <w:rFonts w:cs="Times New Roman"/>
        </w:rPr>
        <w:t>data</w:t>
      </w:r>
      <w:r w:rsidR="008051BC">
        <w:rPr>
          <w:rFonts w:cs="Times New Roman"/>
          <w:vertAlign w:val="superscript"/>
        </w:rPr>
        <w:t>3</w:t>
      </w:r>
      <w:r w:rsidR="00351CA6">
        <w:rPr>
          <w:rFonts w:cs="Times New Roman"/>
          <w:vertAlign w:val="superscript"/>
        </w:rPr>
        <w:t>4</w:t>
      </w:r>
      <w:r w:rsidR="008051BC" w:rsidRPr="00BF111E">
        <w:rPr>
          <w:rFonts w:cs="Times New Roman"/>
        </w:rPr>
        <w:t xml:space="preserve"> </w:t>
      </w:r>
      <w:r w:rsidR="00BF111E" w:rsidRPr="00BF111E">
        <w:rPr>
          <w:rFonts w:cs="Times New Roman"/>
        </w:rPr>
        <w:t>(</w:t>
      </w:r>
      <w:proofErr w:type="spellStart"/>
      <w:r w:rsidR="00BF111E" w:rsidRPr="00BF111E">
        <w:rPr>
          <w:rFonts w:cs="Times New Roman"/>
        </w:rPr>
        <w:t>eTable</w:t>
      </w:r>
      <w:proofErr w:type="spellEnd"/>
      <w:r w:rsidR="00BF111E" w:rsidRPr="00BF111E">
        <w:rPr>
          <w:rFonts w:cs="Times New Roman"/>
        </w:rPr>
        <w:t xml:space="preserve"> 3). As the proportion of patients in each sub-state for fatal secondary events was unknown, we assumed an equal proportional distribution.</w:t>
      </w:r>
    </w:p>
    <w:p w14:paraId="0EF149C6" w14:textId="1759DCC7" w:rsidR="00934E17" w:rsidRDefault="00D731EB" w:rsidP="00221A71">
      <w:pPr>
        <w:spacing w:line="480" w:lineRule="auto"/>
        <w:jc w:val="both"/>
        <w:rPr>
          <w:rFonts w:ascii="Times New Roman" w:hAnsi="Times New Roman" w:cs="Times New Roman"/>
          <w:sz w:val="20"/>
          <w:szCs w:val="20"/>
        </w:rPr>
      </w:pPr>
      <w:r w:rsidRPr="001F66CD">
        <w:t>The probability of dying from causes other than CVD was calculated using a</w:t>
      </w:r>
      <w:r w:rsidR="00E745A0">
        <w:t xml:space="preserve"> </w:t>
      </w:r>
      <w:r w:rsidRPr="001F66CD">
        <w:t xml:space="preserve">survival model (Weibull distribution) and </w:t>
      </w:r>
      <w:r w:rsidR="001D5CAE">
        <w:t xml:space="preserve">the </w:t>
      </w:r>
      <w:r w:rsidRPr="001F66CD">
        <w:t>THIN SMI population</w:t>
      </w:r>
      <w:r w:rsidR="00CC59D0">
        <w:t xml:space="preserve"> </w:t>
      </w:r>
      <w:r>
        <w:t>described in section</w:t>
      </w:r>
      <w:r w:rsidR="00730344">
        <w:t xml:space="preserve"> 2.2</w:t>
      </w:r>
      <w:r w:rsidR="0038381C">
        <w:t xml:space="preserve"> </w:t>
      </w:r>
      <w:r w:rsidR="00BA6D70">
        <w:t>(</w:t>
      </w:r>
      <w:proofErr w:type="spellStart"/>
      <w:r w:rsidR="0038381C">
        <w:t>e</w:t>
      </w:r>
      <w:r w:rsidR="00934E17">
        <w:t>Table</w:t>
      </w:r>
      <w:proofErr w:type="spellEnd"/>
      <w:r w:rsidR="00DC2022">
        <w:t xml:space="preserve"> 2</w:t>
      </w:r>
      <w:r w:rsidR="00BA6D70">
        <w:t>).</w:t>
      </w:r>
      <w:r w:rsidR="00FE0212">
        <w:t xml:space="preserve"> </w:t>
      </w:r>
      <w:r w:rsidRPr="001F66CD">
        <w:t xml:space="preserve"> </w:t>
      </w:r>
    </w:p>
    <w:p w14:paraId="167ABBD8" w14:textId="77777777" w:rsidR="00D731EB" w:rsidRDefault="00D731EB" w:rsidP="00221A71">
      <w:pPr>
        <w:spacing w:line="480" w:lineRule="auto"/>
        <w:jc w:val="both"/>
      </w:pPr>
    </w:p>
    <w:p w14:paraId="7D851D0A" w14:textId="66BC43DC" w:rsidR="00D731EB" w:rsidRPr="00004332" w:rsidRDefault="007307D4" w:rsidP="00221A71">
      <w:pPr>
        <w:spacing w:line="480" w:lineRule="auto"/>
        <w:jc w:val="both"/>
        <w:rPr>
          <w:b/>
        </w:rPr>
      </w:pPr>
      <w:r>
        <w:rPr>
          <w:b/>
        </w:rPr>
        <w:t xml:space="preserve">2.6 </w:t>
      </w:r>
      <w:r w:rsidR="00AF70E1" w:rsidRPr="00004332">
        <w:rPr>
          <w:b/>
        </w:rPr>
        <w:t xml:space="preserve">Effectiveness of </w:t>
      </w:r>
      <w:r w:rsidR="00D731EB" w:rsidRPr="00004332">
        <w:rPr>
          <w:b/>
        </w:rPr>
        <w:t>CVD risk management</w:t>
      </w:r>
      <w:r w:rsidR="00AF70E1" w:rsidRPr="00004332">
        <w:rPr>
          <w:b/>
        </w:rPr>
        <w:t xml:space="preserve"> strategy</w:t>
      </w:r>
    </w:p>
    <w:p w14:paraId="76B80516" w14:textId="2E9C1C7C" w:rsidR="00D731EB" w:rsidRDefault="00D731EB">
      <w:pPr>
        <w:spacing w:line="480" w:lineRule="auto"/>
        <w:jc w:val="both"/>
      </w:pPr>
      <w:r>
        <w:t xml:space="preserve">The benefits of statin therapy were modelled by applying </w:t>
      </w:r>
      <w:r w:rsidR="007977EE">
        <w:t xml:space="preserve">the </w:t>
      </w:r>
      <w:r>
        <w:t xml:space="preserve">relative risk reduction </w:t>
      </w:r>
      <w:r w:rsidR="00A32A8C">
        <w:t xml:space="preserve">of </w:t>
      </w:r>
      <w:r w:rsidR="009F4B91">
        <w:t xml:space="preserve">CVD </w:t>
      </w:r>
      <w:r w:rsidR="00EC6F72">
        <w:t>from</w:t>
      </w:r>
      <w:r w:rsidR="009F4B91">
        <w:t xml:space="preserve"> statin use </w:t>
      </w:r>
      <w:r w:rsidR="00031D1B">
        <w:t xml:space="preserve">from </w:t>
      </w:r>
      <w:r w:rsidR="00EC6F72">
        <w:t xml:space="preserve">a </w:t>
      </w:r>
      <w:r w:rsidR="00031D1B">
        <w:t xml:space="preserve">Cochrane review </w:t>
      </w:r>
      <w:r w:rsidR="009F4B91">
        <w:t>(0.73 and 0.78 for CHD and stroke respectively</w:t>
      </w:r>
      <w:proofErr w:type="gramStart"/>
      <w:r w:rsidR="009F4B91">
        <w:t>)</w:t>
      </w:r>
      <w:r w:rsidR="00C91795">
        <w:rPr>
          <w:vertAlign w:val="superscript"/>
        </w:rPr>
        <w:t>3</w:t>
      </w:r>
      <w:r w:rsidR="00351CA6">
        <w:rPr>
          <w:vertAlign w:val="superscript"/>
        </w:rPr>
        <w:t>5</w:t>
      </w:r>
      <w:proofErr w:type="gramEnd"/>
      <w:r w:rsidR="00380720">
        <w:t xml:space="preserve"> </w:t>
      </w:r>
      <w:r>
        <w:t>to the predicted risks of CVD</w:t>
      </w:r>
      <w:r w:rsidR="00553003">
        <w:t xml:space="preserve"> for all patients </w:t>
      </w:r>
      <w:r w:rsidR="009E4E5A">
        <w:t>newly</w:t>
      </w:r>
      <w:r w:rsidR="00FE6771">
        <w:t xml:space="preserve"> </w:t>
      </w:r>
      <w:r w:rsidR="00553003">
        <w:t>prescribed statins</w:t>
      </w:r>
      <w:r w:rsidR="003835A1">
        <w:t>.</w:t>
      </w:r>
      <w:r w:rsidR="009E4E5A">
        <w:t xml:space="preserve"> </w:t>
      </w:r>
      <w:r w:rsidR="00CD662E">
        <w:t xml:space="preserve"> A</w:t>
      </w:r>
      <w:r w:rsidR="007977EE">
        <w:t>s</w:t>
      </w:r>
      <w:r w:rsidR="00CD662E">
        <w:t xml:space="preserve"> prescription of statins at baseline is a variable in the primary CVD event survival model</w:t>
      </w:r>
      <w:r w:rsidR="001C1365">
        <w:t>s</w:t>
      </w:r>
      <w:r w:rsidR="00CD662E">
        <w:t xml:space="preserve"> estimated from THIN (</w:t>
      </w:r>
      <w:proofErr w:type="spellStart"/>
      <w:r w:rsidR="00CD662E">
        <w:t>eTable</w:t>
      </w:r>
      <w:proofErr w:type="spellEnd"/>
      <w:r w:rsidR="00CD662E">
        <w:t xml:space="preserve"> </w:t>
      </w:r>
      <w:r w:rsidR="00DC2022">
        <w:t>2</w:t>
      </w:r>
      <w:r w:rsidR="00CD662E">
        <w:t>)</w:t>
      </w:r>
      <w:r w:rsidR="0038381C">
        <w:t xml:space="preserve"> </w:t>
      </w:r>
      <w:r w:rsidR="00CD662E">
        <w:t xml:space="preserve">the risk of a primary CVD event for </w:t>
      </w:r>
      <w:r w:rsidR="001C1365">
        <w:t>patients with a statin prescription at baseline</w:t>
      </w:r>
      <w:r w:rsidR="007977EE">
        <w:t xml:space="preserve"> was already modified</w:t>
      </w:r>
      <w:r w:rsidR="001C1365">
        <w:t>.</w:t>
      </w:r>
    </w:p>
    <w:p w14:paraId="0CA811F5" w14:textId="77777777" w:rsidR="00D731EB" w:rsidRDefault="00D731EB" w:rsidP="00221A71">
      <w:pPr>
        <w:spacing w:line="480" w:lineRule="auto"/>
        <w:jc w:val="both"/>
      </w:pPr>
    </w:p>
    <w:p w14:paraId="26C5AC50" w14:textId="5F84405D" w:rsidR="00D731EB" w:rsidRPr="00004332" w:rsidRDefault="007307D4" w:rsidP="00221A71">
      <w:pPr>
        <w:spacing w:line="480" w:lineRule="auto"/>
        <w:jc w:val="both"/>
        <w:rPr>
          <w:b/>
        </w:rPr>
      </w:pPr>
      <w:r>
        <w:rPr>
          <w:b/>
        </w:rPr>
        <w:t xml:space="preserve">2.7 </w:t>
      </w:r>
      <w:r w:rsidR="00D731EB" w:rsidRPr="00004332">
        <w:rPr>
          <w:b/>
        </w:rPr>
        <w:t>Costs</w:t>
      </w:r>
    </w:p>
    <w:p w14:paraId="638AAE96" w14:textId="3039FDF6" w:rsidR="00BF111E" w:rsidRPr="00BF111E" w:rsidRDefault="00851ED9">
      <w:pPr>
        <w:spacing w:line="480" w:lineRule="auto"/>
        <w:jc w:val="both"/>
        <w:rPr>
          <w:rFonts w:cs="Times New Roman"/>
        </w:rPr>
      </w:pPr>
      <w:r>
        <w:t>C</w:t>
      </w:r>
      <w:r w:rsidR="00D731EB">
        <w:t>ost</w:t>
      </w:r>
      <w:r w:rsidR="00B751D5">
        <w:t>s</w:t>
      </w:r>
      <w:r>
        <w:t xml:space="preserve"> included</w:t>
      </w:r>
      <w:r w:rsidR="00D731EB">
        <w:t xml:space="preserve"> </w:t>
      </w:r>
      <w:r>
        <w:t xml:space="preserve">in our model </w:t>
      </w:r>
      <w:r w:rsidR="00CC59D0">
        <w:t>were</w:t>
      </w:r>
      <w:r>
        <w:t xml:space="preserve"> </w:t>
      </w:r>
      <w:r w:rsidR="00D731EB">
        <w:t>the</w:t>
      </w:r>
      <w:r>
        <w:t xml:space="preserve"> cost of the</w:t>
      </w:r>
      <w:r w:rsidR="00D67C36">
        <w:t xml:space="preserve"> CVD risk algorithm, CVD risk management</w:t>
      </w:r>
      <w:r w:rsidR="00D731EB">
        <w:t xml:space="preserve"> and CVD e</w:t>
      </w:r>
      <w:r w:rsidR="00D731EB" w:rsidRPr="00BF111E">
        <w:t xml:space="preserve">vents </w:t>
      </w:r>
      <w:r w:rsidR="00BF111E" w:rsidRPr="00BF111E">
        <w:t>(</w:t>
      </w:r>
      <w:proofErr w:type="spellStart"/>
      <w:r w:rsidR="007B5F4D" w:rsidRPr="00BF111E">
        <w:t>e</w:t>
      </w:r>
      <w:r w:rsidR="00D85561" w:rsidRPr="00BF111E">
        <w:t>Table</w:t>
      </w:r>
      <w:proofErr w:type="spellEnd"/>
      <w:r w:rsidR="00D85561" w:rsidRPr="00BF111E">
        <w:t xml:space="preserve"> </w:t>
      </w:r>
      <w:r w:rsidR="00DC2022" w:rsidRPr="00BF111E">
        <w:t>4</w:t>
      </w:r>
      <w:r w:rsidR="00D731EB" w:rsidRPr="00BF111E">
        <w:t>)</w:t>
      </w:r>
      <w:r w:rsidR="00FF1F7A" w:rsidRPr="00BF111E">
        <w:t>.</w:t>
      </w:r>
      <w:r w:rsidR="00695AC1" w:rsidRPr="00BF111E">
        <w:t xml:space="preserve"> </w:t>
      </w:r>
      <w:r w:rsidR="00BF111E" w:rsidRPr="00BF111E">
        <w:rPr>
          <w:rFonts w:cs="Times New Roman"/>
        </w:rPr>
        <w:t>The cost of the risk algorithm comprised of the cost of the time taken for the GP to complete the CVD risk prediction algorithm</w:t>
      </w:r>
      <w:r w:rsidR="00792984">
        <w:rPr>
          <w:rFonts w:cs="Times New Roman"/>
        </w:rPr>
        <w:t>, which was estimated to be an additional 5 minutes on top of a regular consultation</w:t>
      </w:r>
      <w:r w:rsidR="008051BC" w:rsidRPr="00DB59A4">
        <w:rPr>
          <w:rFonts w:cs="Times New Roman"/>
          <w:vertAlign w:val="superscript"/>
        </w:rPr>
        <w:t>3</w:t>
      </w:r>
      <w:r w:rsidR="00DB59A4">
        <w:rPr>
          <w:rFonts w:cs="Times New Roman"/>
          <w:vertAlign w:val="superscript"/>
        </w:rPr>
        <w:t>6</w:t>
      </w:r>
      <w:r w:rsidR="00BF111E" w:rsidRPr="00BF111E">
        <w:rPr>
          <w:rFonts w:cs="Times New Roman"/>
        </w:rPr>
        <w:t xml:space="preserve">; as well as the cost of a blood </w:t>
      </w:r>
      <w:r w:rsidR="008051BC" w:rsidRPr="00BF111E">
        <w:rPr>
          <w:rFonts w:cs="Times New Roman"/>
        </w:rPr>
        <w:t>test</w:t>
      </w:r>
      <w:r w:rsidR="008051BC" w:rsidRPr="00411392">
        <w:rPr>
          <w:rFonts w:cs="Times New Roman"/>
          <w:vertAlign w:val="superscript"/>
        </w:rPr>
        <w:t>3</w:t>
      </w:r>
      <w:r w:rsidR="00DB59A4">
        <w:rPr>
          <w:rFonts w:cs="Times New Roman"/>
          <w:vertAlign w:val="superscript"/>
        </w:rPr>
        <w:t>7</w:t>
      </w:r>
      <w:r w:rsidR="008051BC" w:rsidRPr="00BF111E">
        <w:rPr>
          <w:rFonts w:cs="Times New Roman"/>
        </w:rPr>
        <w:t xml:space="preserve"> </w:t>
      </w:r>
      <w:r w:rsidR="00BF111E" w:rsidRPr="00BF111E">
        <w:rPr>
          <w:rFonts w:cs="Times New Roman"/>
        </w:rPr>
        <w:t xml:space="preserve">for the lipid algorithms. </w:t>
      </w:r>
      <w:r w:rsidR="00792984">
        <w:rPr>
          <w:rFonts w:cs="Times New Roman"/>
        </w:rPr>
        <w:t xml:space="preserve">This </w:t>
      </w:r>
      <w:r w:rsidR="00BF111E" w:rsidRPr="00BF111E">
        <w:rPr>
          <w:rFonts w:cs="Times New Roman"/>
        </w:rPr>
        <w:t xml:space="preserve">was calculated as £20 for CVD risk algorithms requiring a blood test and £19 without. The cost of CVD risk </w:t>
      </w:r>
      <w:r w:rsidR="00BF111E" w:rsidRPr="00BF111E">
        <w:rPr>
          <w:rFonts w:cs="Times New Roman"/>
        </w:rPr>
        <w:lastRenderedPageBreak/>
        <w:t>management for those identified as high risk comprised of the cost of statin therapy (£21 per person per year). We assumed 20 mg of atorvastatin was prescribed, as per current Quality Outcomes Framework (QOF) CVD prevention guidelines</w:t>
      </w:r>
      <w:r w:rsidR="007D1E1B">
        <w:rPr>
          <w:rFonts w:cs="Times New Roman"/>
          <w:vertAlign w:val="superscript"/>
        </w:rPr>
        <w:t>15</w:t>
      </w:r>
      <w:r w:rsidR="00BF111E" w:rsidRPr="00BF111E">
        <w:rPr>
          <w:rFonts w:cs="Times New Roman"/>
        </w:rPr>
        <w:t xml:space="preserve">. This was applied for the duration of the model, assuming 100% </w:t>
      </w:r>
      <w:r w:rsidR="00FB4571">
        <w:rPr>
          <w:rFonts w:cs="Times New Roman"/>
        </w:rPr>
        <w:t>adherence</w:t>
      </w:r>
      <w:r w:rsidR="00FB4571" w:rsidRPr="00BF111E">
        <w:rPr>
          <w:rFonts w:cs="Times New Roman"/>
        </w:rPr>
        <w:t xml:space="preserve"> </w:t>
      </w:r>
      <w:r w:rsidR="00BF111E" w:rsidRPr="00BF111E">
        <w:rPr>
          <w:rFonts w:cs="Times New Roman"/>
        </w:rPr>
        <w:t>with statin therapy. For patients already on statin therapy but with high cholesterol, a weighted average change in prescription costs was applied. All prescription costs were taken from the British National Formulary (BNF</w:t>
      </w:r>
      <w:proofErr w:type="gramStart"/>
      <w:r w:rsidR="00BF111E" w:rsidRPr="00BF111E">
        <w:rPr>
          <w:rFonts w:cs="Times New Roman"/>
        </w:rPr>
        <w:t>)</w:t>
      </w:r>
      <w:r w:rsidR="00DB59A4">
        <w:rPr>
          <w:rFonts w:cs="Times New Roman"/>
          <w:vertAlign w:val="superscript"/>
        </w:rPr>
        <w:t>38</w:t>
      </w:r>
      <w:proofErr w:type="gramEnd"/>
      <w:r w:rsidR="00BF111E" w:rsidRPr="00BF111E">
        <w:rPr>
          <w:rFonts w:cs="Times New Roman"/>
        </w:rPr>
        <w:t>.</w:t>
      </w:r>
    </w:p>
    <w:p w14:paraId="6EA86A98" w14:textId="3BD08588" w:rsidR="00695AC1" w:rsidRPr="00BF111E" w:rsidRDefault="00BF111E">
      <w:pPr>
        <w:spacing w:line="480" w:lineRule="auto"/>
        <w:jc w:val="both"/>
        <w:rPr>
          <w:rFonts w:cs="Times New Roman"/>
        </w:rPr>
      </w:pPr>
      <w:r w:rsidRPr="00BF111E">
        <w:rPr>
          <w:rFonts w:cs="Times New Roman"/>
        </w:rPr>
        <w:t xml:space="preserve">The costs of fatal and non-fatal CVD events were extracted from an economic evaluation of statins for primary prevention of coronary </w:t>
      </w:r>
      <w:r w:rsidR="00DB59A4" w:rsidRPr="00BF111E">
        <w:rPr>
          <w:rFonts w:cs="Times New Roman"/>
        </w:rPr>
        <w:t>events</w:t>
      </w:r>
      <w:r w:rsidR="00DB59A4">
        <w:rPr>
          <w:rFonts w:cs="Times New Roman"/>
          <w:vertAlign w:val="superscript"/>
        </w:rPr>
        <w:t>39</w:t>
      </w:r>
      <w:r w:rsidRPr="00BF111E">
        <w:rPr>
          <w:rFonts w:cs="Times New Roman"/>
        </w:rPr>
        <w:t xml:space="preserve">. The cost of CHD surgery was calculated from the weighted mean of reference costs for CHD surgical </w:t>
      </w:r>
      <w:r w:rsidR="00DB59A4" w:rsidRPr="00BF111E">
        <w:rPr>
          <w:rFonts w:cs="Times New Roman"/>
        </w:rPr>
        <w:t>operations</w:t>
      </w:r>
      <w:r w:rsidR="00DB59A4">
        <w:rPr>
          <w:rFonts w:cs="Times New Roman"/>
          <w:vertAlign w:val="superscript"/>
        </w:rPr>
        <w:t>37</w:t>
      </w:r>
      <w:r w:rsidRPr="00BF111E">
        <w:rPr>
          <w:rFonts w:cs="Times New Roman"/>
        </w:rPr>
        <w:t xml:space="preserve">. </w:t>
      </w:r>
      <w:r w:rsidR="005A1689">
        <w:rPr>
          <w:rFonts w:cs="Times New Roman"/>
        </w:rPr>
        <w:t xml:space="preserve">The cost of </w:t>
      </w:r>
      <w:r w:rsidR="005A1689" w:rsidRPr="00BF111E">
        <w:rPr>
          <w:rFonts w:cs="Times New Roman"/>
        </w:rPr>
        <w:t>unclassified CHD and unspecified CVA</w:t>
      </w:r>
      <w:r w:rsidR="005A1689">
        <w:rPr>
          <w:rFonts w:cs="Times New Roman"/>
        </w:rPr>
        <w:t xml:space="preserve"> was calculated as the average of all CHD and CVA events respectively given there is no information on the cost of unclassified and unspecified events</w:t>
      </w:r>
      <w:r>
        <w:rPr>
          <w:rFonts w:cs="Times New Roman"/>
        </w:rPr>
        <w:t>.</w:t>
      </w:r>
      <w:r w:rsidR="002A3C3C">
        <w:rPr>
          <w:rFonts w:cs="Times New Roman"/>
        </w:rPr>
        <w:t xml:space="preserve"> </w:t>
      </w:r>
      <w:r w:rsidR="005A1689">
        <w:t xml:space="preserve">All costs </w:t>
      </w:r>
      <w:r w:rsidR="00D731EB">
        <w:t xml:space="preserve">were inflated to </w:t>
      </w:r>
      <w:r w:rsidR="001C1365">
        <w:t>2012/</w:t>
      </w:r>
      <w:r w:rsidR="00D731EB">
        <w:t xml:space="preserve">2013 </w:t>
      </w:r>
      <w:r w:rsidR="001C1365">
        <w:t>values</w:t>
      </w:r>
      <w:r w:rsidR="0095659B">
        <w:t xml:space="preserve"> </w:t>
      </w:r>
      <w:r w:rsidR="005A1689">
        <w:t xml:space="preserve">using conversion rates in </w:t>
      </w:r>
      <w:r w:rsidR="0095659B">
        <w:t>Curtis, 2013</w:t>
      </w:r>
      <w:r w:rsidR="00C91795">
        <w:rPr>
          <w:vertAlign w:val="superscript"/>
        </w:rPr>
        <w:t>36</w:t>
      </w:r>
      <w:r w:rsidR="00D731EB">
        <w:t>.</w:t>
      </w:r>
      <w:r w:rsidR="00695AC1">
        <w:t xml:space="preserve"> </w:t>
      </w:r>
    </w:p>
    <w:p w14:paraId="2F2157B3" w14:textId="0420330C" w:rsidR="00D85561" w:rsidRDefault="00D85561" w:rsidP="00221A71">
      <w:pPr>
        <w:spacing w:line="480" w:lineRule="auto"/>
        <w:jc w:val="both"/>
      </w:pPr>
    </w:p>
    <w:p w14:paraId="2D2E2DDE" w14:textId="6FA609C5" w:rsidR="00D731EB" w:rsidRPr="00004332" w:rsidRDefault="007307D4" w:rsidP="00221A71">
      <w:pPr>
        <w:spacing w:line="480" w:lineRule="auto"/>
        <w:jc w:val="both"/>
        <w:rPr>
          <w:b/>
        </w:rPr>
      </w:pPr>
      <w:r>
        <w:rPr>
          <w:b/>
        </w:rPr>
        <w:t xml:space="preserve">2.8 </w:t>
      </w:r>
      <w:r w:rsidR="0089109E">
        <w:rPr>
          <w:b/>
        </w:rPr>
        <w:t>Outcomes</w:t>
      </w:r>
    </w:p>
    <w:p w14:paraId="5B9A90FD" w14:textId="500110B4" w:rsidR="00BF111E" w:rsidRDefault="00D731EB">
      <w:pPr>
        <w:spacing w:line="480" w:lineRule="auto"/>
        <w:jc w:val="both"/>
        <w:rPr>
          <w:rFonts w:cs="Times New Roman"/>
        </w:rPr>
      </w:pPr>
      <w:r>
        <w:t xml:space="preserve">The </w:t>
      </w:r>
      <w:r w:rsidR="00307089">
        <w:t xml:space="preserve">mortality and morbidity impact </w:t>
      </w:r>
      <w:r w:rsidR="00D67C36">
        <w:t>was evaluated using</w:t>
      </w:r>
      <w:r>
        <w:t xml:space="preserve"> quality adjusted life years (QALYs)</w:t>
      </w:r>
      <w:r w:rsidR="002C24E2">
        <w:t xml:space="preserve"> as recommended by NICE in the </w:t>
      </w:r>
      <w:r w:rsidR="00DB59A4">
        <w:t>UK</w:t>
      </w:r>
      <w:r w:rsidR="00DB59A4">
        <w:rPr>
          <w:vertAlign w:val="superscript"/>
        </w:rPr>
        <w:t>40</w:t>
      </w:r>
      <w:r w:rsidR="00D67C36">
        <w:t>.</w:t>
      </w:r>
      <w:r w:rsidR="00917B93">
        <w:t xml:space="preserve"> QALYs are calculated by multiplying a utility score</w:t>
      </w:r>
      <w:r w:rsidR="007977EE">
        <w:t xml:space="preserve"> (preference based value of a health state of an individual)</w:t>
      </w:r>
      <w:r w:rsidR="00917B93">
        <w:t xml:space="preserve"> by the amount of time in that health state. A utility score of 1 represents perfect health and 0 death.</w:t>
      </w:r>
      <w:r w:rsidR="00D67C36">
        <w:t xml:space="preserve"> </w:t>
      </w:r>
      <w:r w:rsidR="00A10146">
        <w:t xml:space="preserve">All </w:t>
      </w:r>
      <w:r w:rsidR="001D5CAE">
        <w:t xml:space="preserve">patients in the model </w:t>
      </w:r>
      <w:r w:rsidR="00A10146">
        <w:t>were assumed to have</w:t>
      </w:r>
      <w:r w:rsidR="001D5CAE">
        <w:t xml:space="preserve"> </w:t>
      </w:r>
      <w:r w:rsidR="00917B93">
        <w:t xml:space="preserve">the </w:t>
      </w:r>
      <w:r>
        <w:t xml:space="preserve">utility score </w:t>
      </w:r>
      <w:r w:rsidR="00FB323C">
        <w:t>of</w:t>
      </w:r>
      <w:r w:rsidR="00917B93">
        <w:t xml:space="preserve"> someone whose SMI symptoms </w:t>
      </w:r>
      <w:r w:rsidR="00730344">
        <w:t>are</w:t>
      </w:r>
      <w:r w:rsidR="00917B93">
        <w:t xml:space="preserve"> being managed</w:t>
      </w:r>
      <w:r w:rsidR="00FB323C">
        <w:t xml:space="preserve"> </w:t>
      </w:r>
      <w:r w:rsidR="00917B93">
        <w:t>(</w:t>
      </w:r>
      <w:r>
        <w:t>0.865</w:t>
      </w:r>
      <w:r w:rsidR="00917B93">
        <w:t>)</w:t>
      </w:r>
      <w:r w:rsidR="00DB59A4">
        <w:rPr>
          <w:vertAlign w:val="superscript"/>
        </w:rPr>
        <w:t>41</w:t>
      </w:r>
      <w:r>
        <w:t>.</w:t>
      </w:r>
      <w:r w:rsidR="00FB323C">
        <w:t xml:space="preserve"> </w:t>
      </w:r>
      <w:r>
        <w:t>If a patient had a non-fatal CVD event, a utility decrement</w:t>
      </w:r>
      <w:r w:rsidR="00E379CA">
        <w:t xml:space="preserve"> </w:t>
      </w:r>
      <w:r>
        <w:t>was applied (</w:t>
      </w:r>
      <w:proofErr w:type="spellStart"/>
      <w:r w:rsidR="00527F04" w:rsidRPr="00BF111E">
        <w:t>e</w:t>
      </w:r>
      <w:r w:rsidR="00736BBE" w:rsidRPr="00BF111E">
        <w:t>Table</w:t>
      </w:r>
      <w:proofErr w:type="spellEnd"/>
      <w:r w:rsidR="00736BBE" w:rsidRPr="00BF111E">
        <w:t xml:space="preserve"> </w:t>
      </w:r>
      <w:r w:rsidR="00DC2022" w:rsidRPr="00BF111E">
        <w:t>4</w:t>
      </w:r>
      <w:r w:rsidRPr="00BF111E">
        <w:t xml:space="preserve">). This was applied for the year of the event and every year thereafter, </w:t>
      </w:r>
      <w:r w:rsidR="00917B93" w:rsidRPr="00BF111E">
        <w:t xml:space="preserve">until </w:t>
      </w:r>
      <w:r w:rsidR="00730344" w:rsidRPr="00BF111E">
        <w:t xml:space="preserve">the </w:t>
      </w:r>
      <w:r w:rsidR="00DC2022" w:rsidRPr="00BF111E">
        <w:t>end of</w:t>
      </w:r>
      <w:r w:rsidR="00730344" w:rsidRPr="00BF111E">
        <w:t xml:space="preserve"> the model</w:t>
      </w:r>
      <w:r w:rsidR="00BF111E">
        <w:t xml:space="preserve"> or the patient died</w:t>
      </w:r>
      <w:r w:rsidR="00C46944" w:rsidRPr="00BF111E">
        <w:t>.</w:t>
      </w:r>
      <w:r w:rsidRPr="00BF111E">
        <w:t xml:space="preserve"> </w:t>
      </w:r>
      <w:r w:rsidR="00BF111E" w:rsidRPr="00BF111E">
        <w:rPr>
          <w:rFonts w:cs="Times New Roman"/>
        </w:rPr>
        <w:t xml:space="preserve">The utility decrements associated with non-fatal CVD events of angina, MI, TIA and stroke were taken from the same economic model as CVD costs mentioned in the section </w:t>
      </w:r>
      <w:r w:rsidR="00B45727">
        <w:rPr>
          <w:rFonts w:cs="Times New Roman"/>
          <w:i/>
        </w:rPr>
        <w:t xml:space="preserve">2.7 </w:t>
      </w:r>
      <w:r w:rsidR="00BF111E" w:rsidRPr="00BF111E">
        <w:rPr>
          <w:rFonts w:cs="Times New Roman"/>
          <w:i/>
        </w:rPr>
        <w:t>Costs</w:t>
      </w:r>
      <w:r w:rsidR="00BF111E" w:rsidRPr="00BF111E">
        <w:rPr>
          <w:rFonts w:cs="Times New Roman"/>
        </w:rPr>
        <w:t xml:space="preserve">. Where utility decrements were unknown, we assumed the utility decrement associated with coronary heart disease (CHD) surgery was the same as myocardial </w:t>
      </w:r>
      <w:r w:rsidR="00BF111E" w:rsidRPr="00BF111E">
        <w:rPr>
          <w:rFonts w:cs="Times New Roman"/>
        </w:rPr>
        <w:lastRenderedPageBreak/>
        <w:t>infarction (MI); the utility decrement associated with unclassified CHD was the weighted average of stable angina, unstable angina and MI; and the utility decrement associated with unspecified cerebrovascular disease (CVA) was the weighted average of stroke and transient ischaemic attack (TIA).</w:t>
      </w:r>
    </w:p>
    <w:p w14:paraId="65F16EF6" w14:textId="43162698" w:rsidR="00852465" w:rsidRPr="003B2027" w:rsidRDefault="00852465">
      <w:pPr>
        <w:spacing w:line="480" w:lineRule="auto"/>
        <w:jc w:val="both"/>
        <w:rPr>
          <w:rFonts w:cs="Arial"/>
        </w:rPr>
      </w:pPr>
      <w:r>
        <w:t>Cost-effectiveness was calculated using the net monetary benefit (NMB) approach</w:t>
      </w:r>
      <w:r w:rsidR="00DB59A4">
        <w:rPr>
          <w:vertAlign w:val="superscript"/>
        </w:rPr>
        <w:t>32</w:t>
      </w:r>
      <w:r>
        <w:t>.</w:t>
      </w:r>
      <w:r w:rsidRPr="00D73BBD">
        <w:t xml:space="preserve"> </w:t>
      </w:r>
      <w:r>
        <w:t xml:space="preserve">The </w:t>
      </w:r>
      <w:r w:rsidRPr="00D73BBD">
        <w:rPr>
          <w:rFonts w:cs="Arial"/>
        </w:rPr>
        <w:t xml:space="preserve">NMB is </w:t>
      </w:r>
      <w:r>
        <w:rPr>
          <w:rFonts w:cs="Arial"/>
        </w:rPr>
        <w:t xml:space="preserve">defined as </w:t>
      </w:r>
      <w:r w:rsidRPr="00D73BBD">
        <w:rPr>
          <w:rFonts w:cs="Arial"/>
        </w:rPr>
        <w:t xml:space="preserve">the total </w:t>
      </w:r>
      <w:r>
        <w:rPr>
          <w:rFonts w:cs="Arial"/>
        </w:rPr>
        <w:t xml:space="preserve">discounted </w:t>
      </w:r>
      <w:r w:rsidRPr="00D73BBD">
        <w:rPr>
          <w:rFonts w:cs="Arial"/>
        </w:rPr>
        <w:t xml:space="preserve">QALYs for </w:t>
      </w:r>
      <w:r>
        <w:rPr>
          <w:rFonts w:cs="Arial"/>
        </w:rPr>
        <w:t>1,000</w:t>
      </w:r>
      <w:r w:rsidRPr="00D73BBD">
        <w:rPr>
          <w:rFonts w:cs="Arial"/>
        </w:rPr>
        <w:t xml:space="preserve"> patient</w:t>
      </w:r>
      <w:r>
        <w:rPr>
          <w:rFonts w:cs="Arial"/>
        </w:rPr>
        <w:t>s</w:t>
      </w:r>
      <w:r w:rsidRPr="00D73BBD">
        <w:rPr>
          <w:rFonts w:cs="Arial"/>
        </w:rPr>
        <w:t xml:space="preserve"> over 10 years, multiplied by a given willingness to pay, minus the total</w:t>
      </w:r>
      <w:r>
        <w:rPr>
          <w:rFonts w:cs="Arial"/>
        </w:rPr>
        <w:t xml:space="preserve"> discounted</w:t>
      </w:r>
      <w:r w:rsidRPr="00D73BBD">
        <w:rPr>
          <w:rFonts w:cs="Arial"/>
        </w:rPr>
        <w:t xml:space="preserve"> cost for </w:t>
      </w:r>
      <w:r>
        <w:rPr>
          <w:rFonts w:cs="Arial"/>
        </w:rPr>
        <w:t>1,000</w:t>
      </w:r>
      <w:r w:rsidRPr="00D73BBD">
        <w:rPr>
          <w:rFonts w:cs="Arial"/>
        </w:rPr>
        <w:t xml:space="preserve"> patient</w:t>
      </w:r>
      <w:r>
        <w:rPr>
          <w:rFonts w:cs="Arial"/>
        </w:rPr>
        <w:t>s</w:t>
      </w:r>
      <w:r w:rsidRPr="00D73BBD">
        <w:rPr>
          <w:rFonts w:cs="Arial"/>
        </w:rPr>
        <w:t xml:space="preserve"> over 10 years</w:t>
      </w:r>
      <w:r>
        <w:rPr>
          <w:rFonts w:cs="Arial"/>
        </w:rPr>
        <w:t>,</w:t>
      </w:r>
      <w:r w:rsidRPr="00787D18">
        <w:rPr>
          <w:rFonts w:cs="Arial"/>
        </w:rPr>
        <w:t xml:space="preserve"> </w:t>
      </w:r>
      <w:r>
        <w:rPr>
          <w:rFonts w:cs="Arial"/>
        </w:rPr>
        <w:t xml:space="preserve">where the </w:t>
      </w:r>
      <w:r w:rsidR="001505B8">
        <w:rPr>
          <w:rFonts w:cs="Arial"/>
        </w:rPr>
        <w:t>willingness to pay</w:t>
      </w:r>
      <w:r>
        <w:rPr>
          <w:rFonts w:cs="Arial"/>
        </w:rPr>
        <w:t xml:space="preserve"> is the maximum monetary value a decision maker is willing to pay for a QALY. The scenario with the highest NMB is the preferred option. We tested </w:t>
      </w:r>
      <w:r w:rsidR="001505B8">
        <w:rPr>
          <w:rFonts w:cs="Arial"/>
        </w:rPr>
        <w:t>willingness to pay</w:t>
      </w:r>
      <w:r>
        <w:rPr>
          <w:rFonts w:cs="Arial"/>
        </w:rPr>
        <w:t xml:space="preserve"> values of £20,000 and £30,000 per </w:t>
      </w:r>
      <w:r w:rsidR="00F964E5">
        <w:rPr>
          <w:rFonts w:cs="Arial"/>
        </w:rPr>
        <w:t>QALY from the results of the probabilistic sensitivity analysis</w:t>
      </w:r>
      <w:r w:rsidR="00DB59A4">
        <w:rPr>
          <w:rFonts w:cs="Arial"/>
          <w:vertAlign w:val="superscript"/>
        </w:rPr>
        <w:t>40</w:t>
      </w:r>
      <w:r>
        <w:rPr>
          <w:rFonts w:cs="Arial"/>
        </w:rPr>
        <w:t>.  C</w:t>
      </w:r>
      <w:r w:rsidRPr="00056F2A">
        <w:rPr>
          <w:rFonts w:cs="Arial"/>
        </w:rPr>
        <w:t>ost-effectiveness acceptability curves (CEACs)</w:t>
      </w:r>
      <w:r>
        <w:rPr>
          <w:rFonts w:cs="Arial"/>
        </w:rPr>
        <w:t xml:space="preserve"> were constructed to calculate the probability that each algorithm had the highest NMB for a range of values of </w:t>
      </w:r>
      <w:r w:rsidR="001505B8">
        <w:rPr>
          <w:rFonts w:cs="Arial"/>
        </w:rPr>
        <w:t>willingness to pay</w:t>
      </w:r>
      <w:r>
        <w:rPr>
          <w:rFonts w:cs="Arial"/>
        </w:rPr>
        <w:t xml:space="preserve"> for a QALY.</w:t>
      </w:r>
    </w:p>
    <w:p w14:paraId="4245B4DD" w14:textId="6744F038" w:rsidR="00D731EB" w:rsidRDefault="00D731EB" w:rsidP="00221A71">
      <w:pPr>
        <w:spacing w:line="480" w:lineRule="auto"/>
        <w:jc w:val="both"/>
      </w:pPr>
      <w:r>
        <w:t xml:space="preserve">All future benefits (QALYs) and costs were discounted at 3.5% per </w:t>
      </w:r>
      <w:r w:rsidR="00CB32B2">
        <w:t>annum</w:t>
      </w:r>
      <w:r w:rsidR="00DB59A4">
        <w:rPr>
          <w:vertAlign w:val="superscript"/>
        </w:rPr>
        <w:t>40</w:t>
      </w:r>
      <w:r>
        <w:t>.</w:t>
      </w:r>
    </w:p>
    <w:p w14:paraId="07386139" w14:textId="77777777" w:rsidR="00FE18EC" w:rsidRPr="00D73BBD" w:rsidRDefault="00FE18EC" w:rsidP="00221A71">
      <w:pPr>
        <w:spacing w:line="480" w:lineRule="auto"/>
        <w:jc w:val="both"/>
      </w:pPr>
    </w:p>
    <w:p w14:paraId="18F68081" w14:textId="4FD1D08A" w:rsidR="00D731EB" w:rsidRPr="00004332" w:rsidRDefault="007307D4" w:rsidP="00221A71">
      <w:pPr>
        <w:spacing w:line="480" w:lineRule="auto"/>
        <w:jc w:val="both"/>
        <w:rPr>
          <w:b/>
        </w:rPr>
      </w:pPr>
      <w:r>
        <w:rPr>
          <w:b/>
        </w:rPr>
        <w:t xml:space="preserve">2.9 </w:t>
      </w:r>
      <w:r w:rsidR="00D731EB" w:rsidRPr="00004332">
        <w:rPr>
          <w:b/>
        </w:rPr>
        <w:t>Sensitivity analyses</w:t>
      </w:r>
    </w:p>
    <w:p w14:paraId="43E81AB2" w14:textId="5AC06FAE" w:rsidR="00852465" w:rsidRPr="00852465" w:rsidRDefault="00917B93">
      <w:pPr>
        <w:spacing w:line="480" w:lineRule="auto"/>
        <w:jc w:val="both"/>
        <w:rPr>
          <w:rFonts w:cs="Times New Roman"/>
        </w:rPr>
      </w:pPr>
      <w:r>
        <w:t>Deterministic</w:t>
      </w:r>
      <w:r w:rsidR="005D2007" w:rsidRPr="002C5BFD">
        <w:t xml:space="preserve"> </w:t>
      </w:r>
      <w:r w:rsidR="006E6B64">
        <w:t xml:space="preserve">and probabilistic </w:t>
      </w:r>
      <w:r w:rsidR="005D2007" w:rsidRPr="002C5BFD">
        <w:t>sensitivity analyses</w:t>
      </w:r>
      <w:r>
        <w:t xml:space="preserve"> </w:t>
      </w:r>
      <w:r w:rsidR="005D2007" w:rsidRPr="002C5BFD">
        <w:t>were performed</w:t>
      </w:r>
      <w:r w:rsidR="00D34CBC">
        <w:t xml:space="preserve"> to test assumptions made and </w:t>
      </w:r>
      <w:r w:rsidR="00D34CBC" w:rsidRPr="00852465">
        <w:t>uncertainty around parameter estimates</w:t>
      </w:r>
      <w:r w:rsidR="005D2007" w:rsidRPr="00852465">
        <w:t xml:space="preserve">. </w:t>
      </w:r>
      <w:r w:rsidR="00852465" w:rsidRPr="00852465">
        <w:rPr>
          <w:rFonts w:cs="Times New Roman"/>
        </w:rPr>
        <w:t xml:space="preserve">Variables in the probabilistic sensitivity analyses, confidence intervals and distributions are reported in </w:t>
      </w:r>
      <w:proofErr w:type="spellStart"/>
      <w:r w:rsidR="00852465" w:rsidRPr="00852465">
        <w:rPr>
          <w:rFonts w:cs="Times New Roman"/>
        </w:rPr>
        <w:t>eTable</w:t>
      </w:r>
      <w:proofErr w:type="spellEnd"/>
      <w:r w:rsidR="00852465" w:rsidRPr="00852465">
        <w:rPr>
          <w:rFonts w:cs="Times New Roman"/>
        </w:rPr>
        <w:t xml:space="preserve"> 4. For cost inputs, where confidence intervals were not reported, we assumed the standard deviation was equal to the mean, as recommended by Briggs </w:t>
      </w:r>
      <w:proofErr w:type="gramStart"/>
      <w:r w:rsidR="00852465" w:rsidRPr="00852465">
        <w:rPr>
          <w:rFonts w:cs="Times New Roman"/>
        </w:rPr>
        <w:t>et</w:t>
      </w:r>
      <w:proofErr w:type="gramEnd"/>
      <w:r w:rsidR="00852465" w:rsidRPr="00852465">
        <w:rPr>
          <w:rFonts w:cs="Times New Roman"/>
        </w:rPr>
        <w:t xml:space="preserve"> al.</w:t>
      </w:r>
      <w:r w:rsidR="00DB59A4">
        <w:rPr>
          <w:rFonts w:cs="Times New Roman"/>
          <w:vertAlign w:val="superscript"/>
        </w:rPr>
        <w:t>32</w:t>
      </w:r>
      <w:r w:rsidR="003B5A9F">
        <w:rPr>
          <w:rFonts w:cs="Times New Roman"/>
        </w:rPr>
        <w:t>.</w:t>
      </w:r>
    </w:p>
    <w:p w14:paraId="3A54ED6A" w14:textId="5BB7F08C" w:rsidR="00852465" w:rsidRPr="00852465" w:rsidRDefault="00852465" w:rsidP="00221A71">
      <w:pPr>
        <w:spacing w:line="480" w:lineRule="auto"/>
        <w:jc w:val="both"/>
        <w:rPr>
          <w:rFonts w:cs="Times New Roman"/>
        </w:rPr>
      </w:pPr>
      <w:r w:rsidRPr="00852465">
        <w:rPr>
          <w:rFonts w:cs="Times New Roman"/>
        </w:rPr>
        <w:t>One way sensitivity analyses included a base case deterministic analysis where all input parameters with variability were held at their mean value, and subsequent analyses varying a single input to test the assumptions made (whilst all other input parameters remained at their mean value). We tested the following assumptions using 5,000 iterations for each analysis</w:t>
      </w:r>
      <w:r w:rsidR="00861084">
        <w:rPr>
          <w:rFonts w:cs="Times New Roman"/>
        </w:rPr>
        <w:t>:</w:t>
      </w:r>
    </w:p>
    <w:p w14:paraId="6724D1AC" w14:textId="77777777" w:rsidR="00852465" w:rsidRPr="00852465" w:rsidRDefault="00852465" w:rsidP="00221A71">
      <w:pPr>
        <w:pStyle w:val="ListParagraph"/>
        <w:numPr>
          <w:ilvl w:val="0"/>
          <w:numId w:val="8"/>
        </w:numPr>
        <w:spacing w:line="480" w:lineRule="auto"/>
        <w:jc w:val="both"/>
        <w:rPr>
          <w:rFonts w:cs="Times New Roman"/>
        </w:rPr>
      </w:pPr>
      <w:r w:rsidRPr="00852465">
        <w:rPr>
          <w:rFonts w:cs="Times New Roman"/>
        </w:rPr>
        <w:lastRenderedPageBreak/>
        <w:t>All costs, treatment costs associated with CVD risk management with statin therapy, intervention costs of using the CVD risk algorithms and cardiovascular event costs were doubled in separate analyses to explore the potential underestimation of costs in our model.</w:t>
      </w:r>
    </w:p>
    <w:p w14:paraId="0A8CAF58" w14:textId="23895029" w:rsidR="00852465" w:rsidRPr="00852465" w:rsidRDefault="00F964E5">
      <w:pPr>
        <w:pStyle w:val="ListParagraph"/>
        <w:numPr>
          <w:ilvl w:val="0"/>
          <w:numId w:val="8"/>
        </w:numPr>
        <w:spacing w:line="480" w:lineRule="auto"/>
        <w:jc w:val="both"/>
        <w:rPr>
          <w:rFonts w:cs="Times New Roman"/>
        </w:rPr>
      </w:pPr>
      <w:r>
        <w:rPr>
          <w:rFonts w:cs="Times New Roman"/>
        </w:rPr>
        <w:t>The util</w:t>
      </w:r>
      <w:r w:rsidR="00852465" w:rsidRPr="00852465">
        <w:rPr>
          <w:rFonts w:cs="Times New Roman"/>
        </w:rPr>
        <w:t>ity</w:t>
      </w:r>
      <w:r>
        <w:rPr>
          <w:rFonts w:cs="Times New Roman"/>
        </w:rPr>
        <w:t xml:space="preserve"> associated with SMI</w:t>
      </w:r>
      <w:r w:rsidR="00852465" w:rsidRPr="00852465">
        <w:rPr>
          <w:rFonts w:cs="Times New Roman"/>
        </w:rPr>
        <w:t xml:space="preserve"> was reduced to represent relapse (0.479) and SMI with extra pyramidal symptoms (EPS)</w:t>
      </w:r>
      <w:r w:rsidR="001505B8">
        <w:rPr>
          <w:rFonts w:cs="Times New Roman"/>
        </w:rPr>
        <w:t>, a drug induced movement disorder with acute and tardive symptoms</w:t>
      </w:r>
      <w:r w:rsidR="00852465" w:rsidRPr="00852465">
        <w:rPr>
          <w:rFonts w:cs="Times New Roman"/>
        </w:rPr>
        <w:t xml:space="preserve"> (0.604)</w:t>
      </w:r>
      <w:r w:rsidR="009C2E7D" w:rsidDel="009C2E7D">
        <w:rPr>
          <w:rFonts w:cs="Times New Roman"/>
          <w:vertAlign w:val="superscript"/>
        </w:rPr>
        <w:t xml:space="preserve"> </w:t>
      </w:r>
      <w:r w:rsidR="009C2E7D">
        <w:rPr>
          <w:rFonts w:cs="Times New Roman"/>
          <w:vertAlign w:val="superscript"/>
        </w:rPr>
        <w:t>41</w:t>
      </w:r>
      <w:r w:rsidR="00852465" w:rsidRPr="00B45727">
        <w:rPr>
          <w:rFonts w:cs="Times New Roman"/>
        </w:rPr>
        <w:t xml:space="preserve"> </w:t>
      </w:r>
      <w:r w:rsidR="00852465" w:rsidRPr="00852465">
        <w:rPr>
          <w:rFonts w:cs="Times New Roman"/>
        </w:rPr>
        <w:t>in separate analyses.</w:t>
      </w:r>
    </w:p>
    <w:p w14:paraId="522F801C" w14:textId="65D50896" w:rsidR="00852465" w:rsidRPr="00852465" w:rsidRDefault="00F964E5">
      <w:pPr>
        <w:pStyle w:val="ListParagraph"/>
        <w:numPr>
          <w:ilvl w:val="0"/>
          <w:numId w:val="8"/>
        </w:numPr>
        <w:spacing w:line="480" w:lineRule="auto"/>
        <w:jc w:val="both"/>
        <w:rPr>
          <w:rFonts w:cs="Times New Roman"/>
        </w:rPr>
      </w:pPr>
      <w:r>
        <w:rPr>
          <w:rFonts w:cs="Times New Roman"/>
        </w:rPr>
        <w:t>The t</w:t>
      </w:r>
      <w:r w:rsidR="00852465" w:rsidRPr="00852465">
        <w:rPr>
          <w:rFonts w:cs="Times New Roman"/>
        </w:rPr>
        <w:t>reatment effect of statin therapy was reduced to the upper odds ratio of the 95% confidence interval (CI) published in the Cochrane review of the effect of statin therapy on CVD in the general population</w:t>
      </w:r>
      <w:r w:rsidR="009C2E7D">
        <w:rPr>
          <w:rFonts w:cs="Times New Roman"/>
          <w:vertAlign w:val="superscript"/>
        </w:rPr>
        <w:t>37</w:t>
      </w:r>
      <w:r w:rsidR="003B5A9F">
        <w:rPr>
          <w:rFonts w:cs="Times New Roman"/>
        </w:rPr>
        <w:t xml:space="preserve"> </w:t>
      </w:r>
      <w:r w:rsidR="00852465" w:rsidRPr="00852465">
        <w:rPr>
          <w:rFonts w:cs="Times New Roman"/>
        </w:rPr>
        <w:t>to explore potential differences that may be present with effectiveness of statin therapy in an SMI population compared to the general population. These values were 0.8 and 0.89 for CHD and stroke respectively.</w:t>
      </w:r>
    </w:p>
    <w:p w14:paraId="03529468" w14:textId="38B75E93" w:rsidR="00852465" w:rsidRPr="00852465" w:rsidRDefault="00FB4571">
      <w:pPr>
        <w:pStyle w:val="ListParagraph"/>
        <w:numPr>
          <w:ilvl w:val="0"/>
          <w:numId w:val="8"/>
        </w:numPr>
        <w:spacing w:line="480" w:lineRule="auto"/>
        <w:jc w:val="both"/>
        <w:rPr>
          <w:rFonts w:cs="Times New Roman"/>
        </w:rPr>
      </w:pPr>
      <w:r>
        <w:rPr>
          <w:rFonts w:cs="Times New Roman"/>
        </w:rPr>
        <w:t>Adherence</w:t>
      </w:r>
      <w:r w:rsidRPr="00852465">
        <w:rPr>
          <w:rFonts w:cs="Times New Roman"/>
        </w:rPr>
        <w:t xml:space="preserve"> </w:t>
      </w:r>
      <w:r w:rsidR="00852465" w:rsidRPr="00852465">
        <w:rPr>
          <w:rFonts w:cs="Times New Roman"/>
        </w:rPr>
        <w:t>with statin therapy was reduced to 50% in line with rates of non-</w:t>
      </w:r>
      <w:r>
        <w:rPr>
          <w:rFonts w:cs="Times New Roman"/>
        </w:rPr>
        <w:t>adherence</w:t>
      </w:r>
      <w:r w:rsidR="00852465" w:rsidRPr="00852465">
        <w:rPr>
          <w:rFonts w:cs="Times New Roman"/>
        </w:rPr>
        <w:t xml:space="preserve"> with statin therapy</w:t>
      </w:r>
      <w:r w:rsidR="009C2E7D">
        <w:rPr>
          <w:rFonts w:cs="Times New Roman"/>
          <w:vertAlign w:val="superscript"/>
        </w:rPr>
        <w:t>42</w:t>
      </w:r>
      <w:r w:rsidR="00852465" w:rsidRPr="00852465">
        <w:rPr>
          <w:rFonts w:cs="Times New Roman"/>
        </w:rPr>
        <w:t xml:space="preserve">. </w:t>
      </w:r>
    </w:p>
    <w:p w14:paraId="270E05FD" w14:textId="6DB3FF72" w:rsidR="00852465" w:rsidRPr="00852465" w:rsidRDefault="00852465">
      <w:pPr>
        <w:spacing w:line="480" w:lineRule="auto"/>
        <w:jc w:val="both"/>
        <w:rPr>
          <w:rFonts w:cs="Times New Roman"/>
        </w:rPr>
      </w:pPr>
      <w:r w:rsidRPr="00852465">
        <w:rPr>
          <w:rFonts w:cs="Times New Roman"/>
        </w:rPr>
        <w:t>The probabilistic sensitivity analysis</w:t>
      </w:r>
      <w:r w:rsidR="00F964E5">
        <w:rPr>
          <w:rFonts w:cs="Times New Roman"/>
        </w:rPr>
        <w:t xml:space="preserve"> </w:t>
      </w:r>
      <w:r w:rsidRPr="00852465">
        <w:rPr>
          <w:rFonts w:cs="Times New Roman"/>
        </w:rPr>
        <w:t>was conducted in line with Decision Support Unit guidance</w:t>
      </w:r>
      <w:r w:rsidR="003B5A9F">
        <w:rPr>
          <w:rFonts w:cs="Times New Roman"/>
          <w:vertAlign w:val="superscript"/>
        </w:rPr>
        <w:t>4</w:t>
      </w:r>
      <w:r w:rsidR="009C2E7D">
        <w:rPr>
          <w:rFonts w:cs="Times New Roman"/>
          <w:vertAlign w:val="superscript"/>
        </w:rPr>
        <w:t>3</w:t>
      </w:r>
      <w:r w:rsidRPr="00852465">
        <w:rPr>
          <w:rFonts w:cs="Times New Roman"/>
        </w:rPr>
        <w:t xml:space="preserve"> for patient level simulations with 100 inner loops for the patient level simulation and 1,000 outer loops for the </w:t>
      </w:r>
      <w:r w:rsidR="001505B8">
        <w:rPr>
          <w:rFonts w:cs="Times New Roman"/>
        </w:rPr>
        <w:t>probabilistic sensitivity analysis</w:t>
      </w:r>
      <w:r w:rsidRPr="00852465">
        <w:rPr>
          <w:rFonts w:cs="Times New Roman"/>
        </w:rPr>
        <w:t xml:space="preserve">. The model values for each of the 1,000 outer loops were calculated from the mean of each inner loop. </w:t>
      </w:r>
    </w:p>
    <w:p w14:paraId="5F18A0B4" w14:textId="77777777" w:rsidR="00D731EB" w:rsidRDefault="00D731EB" w:rsidP="00221A71">
      <w:pPr>
        <w:spacing w:line="480" w:lineRule="auto"/>
        <w:jc w:val="both"/>
      </w:pPr>
    </w:p>
    <w:p w14:paraId="4ED9F840" w14:textId="31690C22" w:rsidR="00D731EB" w:rsidRPr="003B2027" w:rsidRDefault="00707226" w:rsidP="00221A71">
      <w:pPr>
        <w:pStyle w:val="ListParagraph"/>
        <w:numPr>
          <w:ilvl w:val="0"/>
          <w:numId w:val="6"/>
        </w:numPr>
        <w:spacing w:line="480" w:lineRule="auto"/>
        <w:jc w:val="both"/>
        <w:rPr>
          <w:b/>
        </w:rPr>
      </w:pPr>
      <w:r w:rsidRPr="003B2027">
        <w:rPr>
          <w:b/>
        </w:rPr>
        <w:t>RESULTS</w:t>
      </w:r>
    </w:p>
    <w:p w14:paraId="1C0FE809" w14:textId="517FA0C0" w:rsidR="00CB5E56" w:rsidRPr="00004332" w:rsidRDefault="007307D4" w:rsidP="00221A71">
      <w:pPr>
        <w:spacing w:line="480" w:lineRule="auto"/>
        <w:jc w:val="both"/>
        <w:rPr>
          <w:b/>
        </w:rPr>
      </w:pPr>
      <w:r>
        <w:rPr>
          <w:b/>
        </w:rPr>
        <w:t xml:space="preserve">3.1 </w:t>
      </w:r>
      <w:r w:rsidR="00CB5E56" w:rsidRPr="00004332">
        <w:rPr>
          <w:b/>
        </w:rPr>
        <w:t>Patient characteristics</w:t>
      </w:r>
    </w:p>
    <w:p w14:paraId="68F7152C" w14:textId="00B21C1C" w:rsidR="00CB5E56" w:rsidRDefault="00CB5E56" w:rsidP="00221A71">
      <w:pPr>
        <w:spacing w:line="480" w:lineRule="auto"/>
        <w:jc w:val="both"/>
      </w:pPr>
      <w:r>
        <w:t xml:space="preserve">Baseline characteristics of </w:t>
      </w:r>
      <w:r w:rsidR="00787D18">
        <w:t xml:space="preserve">the 1,000 patients and </w:t>
      </w:r>
      <w:r>
        <w:t xml:space="preserve">the </w:t>
      </w:r>
      <w:r w:rsidR="00787D18">
        <w:t>total eligible</w:t>
      </w:r>
      <w:r>
        <w:t xml:space="preserve"> </w:t>
      </w:r>
      <w:r w:rsidR="00787D18">
        <w:t xml:space="preserve">cohort are reported in </w:t>
      </w:r>
      <w:r>
        <w:t xml:space="preserve">Table </w:t>
      </w:r>
      <w:r w:rsidR="004B7B3B">
        <w:t>1</w:t>
      </w:r>
      <w:r>
        <w:t xml:space="preserve">. </w:t>
      </w:r>
    </w:p>
    <w:p w14:paraId="29455007" w14:textId="77777777" w:rsidR="00CB5E56" w:rsidRDefault="00CB5E56" w:rsidP="00221A71">
      <w:pPr>
        <w:spacing w:line="480" w:lineRule="auto"/>
        <w:jc w:val="both"/>
        <w:rPr>
          <w:b/>
        </w:rPr>
      </w:pPr>
    </w:p>
    <w:p w14:paraId="1B158771" w14:textId="2846CF7A" w:rsidR="00BD1522" w:rsidRPr="00004332" w:rsidRDefault="007307D4" w:rsidP="00221A71">
      <w:pPr>
        <w:spacing w:line="480" w:lineRule="auto"/>
        <w:jc w:val="both"/>
        <w:rPr>
          <w:b/>
        </w:rPr>
      </w:pPr>
      <w:r>
        <w:rPr>
          <w:b/>
        </w:rPr>
        <w:t xml:space="preserve">3.2 </w:t>
      </w:r>
      <w:r w:rsidR="00BD1522" w:rsidRPr="00004332">
        <w:rPr>
          <w:b/>
        </w:rPr>
        <w:t>Classification of those at high risk</w:t>
      </w:r>
    </w:p>
    <w:p w14:paraId="23F9CBE0" w14:textId="34BDCC4C" w:rsidR="003020EB" w:rsidRDefault="009D297B" w:rsidP="00BB5549">
      <w:pPr>
        <w:spacing w:line="480" w:lineRule="auto"/>
        <w:jc w:val="both"/>
      </w:pPr>
      <w:r w:rsidRPr="008035AE">
        <w:lastRenderedPageBreak/>
        <w:t xml:space="preserve">Table </w:t>
      </w:r>
      <w:r w:rsidR="004B7B3B" w:rsidRPr="008035AE">
        <w:t xml:space="preserve">2 </w:t>
      </w:r>
      <w:r w:rsidR="00B965E3" w:rsidRPr="008035AE">
        <w:t xml:space="preserve">and </w:t>
      </w:r>
      <w:proofErr w:type="spellStart"/>
      <w:r w:rsidR="00B965E3" w:rsidRPr="008035AE">
        <w:t>eTable</w:t>
      </w:r>
      <w:proofErr w:type="spellEnd"/>
      <w:r w:rsidR="00B965E3" w:rsidRPr="008035AE">
        <w:t xml:space="preserve"> </w:t>
      </w:r>
      <w:r w:rsidR="00DC2022" w:rsidRPr="008035AE">
        <w:t>5</w:t>
      </w:r>
      <w:r w:rsidR="00B965E3" w:rsidRPr="008035AE">
        <w:t xml:space="preserve"> </w:t>
      </w:r>
      <w:r w:rsidRPr="008035AE">
        <w:t>summarise the proportion of patients classified as ‘high risk’ of CVD by the four algorithms at 10%</w:t>
      </w:r>
      <w:r w:rsidR="005C55C5" w:rsidRPr="008035AE">
        <w:t xml:space="preserve"> and 20%</w:t>
      </w:r>
      <w:r w:rsidRPr="008035AE">
        <w:t xml:space="preserve"> threshold</w:t>
      </w:r>
      <w:r w:rsidR="00D2249F" w:rsidRPr="008035AE">
        <w:t>s</w:t>
      </w:r>
      <w:r w:rsidR="00B965E3" w:rsidRPr="008035AE">
        <w:t xml:space="preserve"> respectively</w:t>
      </w:r>
      <w:r w:rsidRPr="008035AE">
        <w:t xml:space="preserve">. </w:t>
      </w:r>
      <w:r w:rsidR="00F40EAF" w:rsidRPr="008035AE">
        <w:t>The</w:t>
      </w:r>
      <w:r w:rsidR="00373445" w:rsidRPr="008035AE">
        <w:t xml:space="preserve"> </w:t>
      </w:r>
      <w:r w:rsidR="00816BE6" w:rsidRPr="008035AE">
        <w:t xml:space="preserve">SMI-specific </w:t>
      </w:r>
      <w:r w:rsidR="00F40EAF" w:rsidRPr="008035AE">
        <w:t xml:space="preserve">BMI algorithm classified the </w:t>
      </w:r>
      <w:r w:rsidR="007F15D9" w:rsidRPr="00BB5549">
        <w:t xml:space="preserve">highest </w:t>
      </w:r>
      <w:r w:rsidR="00F40EAF" w:rsidRPr="00BB5549">
        <w:t>number of patients a</w:t>
      </w:r>
      <w:r w:rsidR="00E745A0" w:rsidRPr="00BB5549">
        <w:t>s</w:t>
      </w:r>
      <w:r w:rsidR="00F40EAF" w:rsidRPr="00BB5549">
        <w:t xml:space="preserve"> ‘high risk’ of CVD</w:t>
      </w:r>
      <w:r w:rsidR="00897292" w:rsidRPr="00BB5549">
        <w:t xml:space="preserve"> </w:t>
      </w:r>
      <w:r w:rsidR="007F15D9" w:rsidRPr="00BB5549">
        <w:t>(</w:t>
      </w:r>
      <w:r w:rsidR="008035AE" w:rsidRPr="00BB5549">
        <w:t xml:space="preserve">326 </w:t>
      </w:r>
      <w:r w:rsidR="007F15D9" w:rsidRPr="00BB5549">
        <w:t>patients</w:t>
      </w:r>
      <w:r w:rsidR="00923794" w:rsidRPr="00BB5549">
        <w:t xml:space="preserve"> at 10% and </w:t>
      </w:r>
      <w:r w:rsidR="00BB5549" w:rsidRPr="00BB5549">
        <w:t xml:space="preserve">117 </w:t>
      </w:r>
      <w:r w:rsidR="00923794" w:rsidRPr="00BB5549">
        <w:t>at 20%</w:t>
      </w:r>
      <w:r w:rsidR="007F15D9" w:rsidRPr="00BB5549">
        <w:t>) and resulted in the greatest number of new statin prescriptions (</w:t>
      </w:r>
      <w:r w:rsidR="008035AE" w:rsidRPr="00BB5549">
        <w:t xml:space="preserve">255 </w:t>
      </w:r>
      <w:r w:rsidR="00923794" w:rsidRPr="00BB5549">
        <w:t xml:space="preserve">patients at 10% and </w:t>
      </w:r>
      <w:r w:rsidR="00BB5549" w:rsidRPr="00BB5549">
        <w:t xml:space="preserve">81 </w:t>
      </w:r>
      <w:r w:rsidR="00923794" w:rsidRPr="00BB5549">
        <w:t>at 20%</w:t>
      </w:r>
      <w:r w:rsidR="007F15D9" w:rsidRPr="00BB5549">
        <w:t>)</w:t>
      </w:r>
      <w:r w:rsidR="002E16C2" w:rsidRPr="00BB5549">
        <w:t>.</w:t>
      </w:r>
      <w:r w:rsidR="007F15D9" w:rsidRPr="00BB5549">
        <w:t xml:space="preserve"> The</w:t>
      </w:r>
      <w:r w:rsidR="007F15D9" w:rsidRPr="008035AE">
        <w:t xml:space="preserve"> </w:t>
      </w:r>
      <w:r w:rsidR="00816BE6" w:rsidRPr="00BB5549">
        <w:t xml:space="preserve">general </w:t>
      </w:r>
      <w:r w:rsidR="00994729" w:rsidRPr="00BB5549">
        <w:t xml:space="preserve">BMI algorithm </w:t>
      </w:r>
      <w:r w:rsidR="007F15D9" w:rsidRPr="00BB5549">
        <w:t>classified the lowest number of patients a</w:t>
      </w:r>
      <w:r w:rsidR="00E745A0" w:rsidRPr="00BB5549">
        <w:t>s</w:t>
      </w:r>
      <w:r w:rsidR="007F15D9" w:rsidRPr="00BB5549">
        <w:t xml:space="preserve"> </w:t>
      </w:r>
      <w:r w:rsidR="00E745A0" w:rsidRPr="00BB5549">
        <w:t>‘</w:t>
      </w:r>
      <w:r w:rsidR="007F15D9" w:rsidRPr="00BB5549">
        <w:t>high risk</w:t>
      </w:r>
      <w:r w:rsidR="00E745A0" w:rsidRPr="00BB5549">
        <w:t>’</w:t>
      </w:r>
      <w:r w:rsidR="007F15D9" w:rsidRPr="00BB5549">
        <w:t xml:space="preserve"> (</w:t>
      </w:r>
      <w:r w:rsidR="008035AE" w:rsidRPr="00BB5549">
        <w:t xml:space="preserve">222 </w:t>
      </w:r>
      <w:r w:rsidR="007F15D9" w:rsidRPr="00BB5549">
        <w:t>patients</w:t>
      </w:r>
      <w:r w:rsidR="00923794" w:rsidRPr="00BB5549">
        <w:t xml:space="preserve"> at 10% and </w:t>
      </w:r>
      <w:r w:rsidR="00BB5549" w:rsidRPr="00BB5549">
        <w:t xml:space="preserve">65 </w:t>
      </w:r>
      <w:r w:rsidR="00923794" w:rsidRPr="00BB5549">
        <w:t>at 20%</w:t>
      </w:r>
      <w:r w:rsidR="007F15D9" w:rsidRPr="00BB5549">
        <w:t xml:space="preserve">) and </w:t>
      </w:r>
      <w:r w:rsidR="005D0BD2" w:rsidRPr="00BB5549">
        <w:t xml:space="preserve">generated </w:t>
      </w:r>
      <w:r w:rsidR="007F15D9" w:rsidRPr="00BB5549">
        <w:t>the lowest number of new statin prescriptions (</w:t>
      </w:r>
      <w:r w:rsidR="008035AE" w:rsidRPr="00BB5549">
        <w:t xml:space="preserve">175 </w:t>
      </w:r>
      <w:r w:rsidR="0038381C" w:rsidRPr="00BB5549">
        <w:t>patients</w:t>
      </w:r>
      <w:r w:rsidR="00897292" w:rsidRPr="00BB5549">
        <w:t xml:space="preserve"> at 10% and </w:t>
      </w:r>
      <w:r w:rsidR="00BB5549" w:rsidRPr="00BB5549">
        <w:t xml:space="preserve">44 </w:t>
      </w:r>
      <w:r w:rsidR="00897292" w:rsidRPr="00BB5549">
        <w:t>at 20%</w:t>
      </w:r>
      <w:r w:rsidR="007F15D9" w:rsidRPr="00BB5549">
        <w:t>).</w:t>
      </w:r>
      <w:r w:rsidR="00080087">
        <w:t xml:space="preserve"> </w:t>
      </w:r>
    </w:p>
    <w:p w14:paraId="3EFE442C" w14:textId="77777777" w:rsidR="002E0FE3" w:rsidRDefault="002E0FE3" w:rsidP="00221A71">
      <w:pPr>
        <w:spacing w:line="480" w:lineRule="auto"/>
        <w:jc w:val="both"/>
      </w:pPr>
    </w:p>
    <w:p w14:paraId="410F1157" w14:textId="3F923A1C" w:rsidR="00BD1522" w:rsidRPr="00004332" w:rsidRDefault="007307D4" w:rsidP="00221A71">
      <w:pPr>
        <w:spacing w:line="480" w:lineRule="auto"/>
        <w:jc w:val="both"/>
        <w:rPr>
          <w:b/>
        </w:rPr>
      </w:pPr>
      <w:r>
        <w:rPr>
          <w:b/>
        </w:rPr>
        <w:t xml:space="preserve">3.3 </w:t>
      </w:r>
      <w:r w:rsidR="009E5BEC" w:rsidRPr="00004332">
        <w:rPr>
          <w:b/>
        </w:rPr>
        <w:t>Clinical and cost outcomes</w:t>
      </w:r>
    </w:p>
    <w:p w14:paraId="7A18FC96" w14:textId="3B4CA178" w:rsidR="00FF1F7A" w:rsidRPr="0024225E" w:rsidRDefault="00897292" w:rsidP="0024225E">
      <w:pPr>
        <w:spacing w:line="480" w:lineRule="auto"/>
        <w:jc w:val="both"/>
        <w:rPr>
          <w:highlight w:val="yellow"/>
        </w:rPr>
      </w:pPr>
      <w:r w:rsidRPr="00BB5549">
        <w:t>The number of CVD events</w:t>
      </w:r>
      <w:r w:rsidR="009E5BEC" w:rsidRPr="00BB5549">
        <w:t>, cost and QALYs</w:t>
      </w:r>
      <w:r w:rsidRPr="00BB5549">
        <w:t xml:space="preserve"> per 1</w:t>
      </w:r>
      <w:r w:rsidR="00787D18" w:rsidRPr="00BB5549">
        <w:t>,</w:t>
      </w:r>
      <w:r w:rsidRPr="00BB5549">
        <w:t xml:space="preserve">000 patients with SMI over 10 years for </w:t>
      </w:r>
      <w:r w:rsidR="00CA6B4E" w:rsidRPr="00BB5549">
        <w:t xml:space="preserve">each </w:t>
      </w:r>
      <w:r w:rsidR="007977EE" w:rsidRPr="00BB5549">
        <w:t xml:space="preserve">algorithm (including no algorithm) </w:t>
      </w:r>
      <w:r w:rsidRPr="00BB5549">
        <w:t>is reported</w:t>
      </w:r>
      <w:r w:rsidR="009E5BEC" w:rsidRPr="00BB5549">
        <w:t xml:space="preserve"> in </w:t>
      </w:r>
      <w:r w:rsidR="007B5F4D" w:rsidRPr="00BB5549">
        <w:t>T</w:t>
      </w:r>
      <w:r w:rsidR="009E5BEC" w:rsidRPr="00BB5549">
        <w:t xml:space="preserve">able </w:t>
      </w:r>
      <w:r w:rsidR="00134C01" w:rsidRPr="00BB5549">
        <w:t>3</w:t>
      </w:r>
      <w:r w:rsidRPr="00BB5549">
        <w:t xml:space="preserve">. At the 10% threshold </w:t>
      </w:r>
      <w:r w:rsidR="00AC410C" w:rsidRPr="00BB5549">
        <w:t>in</w:t>
      </w:r>
      <w:r w:rsidR="00553003" w:rsidRPr="00BB5549">
        <w:t xml:space="preserve"> 1</w:t>
      </w:r>
      <w:r w:rsidR="00A33191" w:rsidRPr="00BB5549">
        <w:t>,</w:t>
      </w:r>
      <w:r w:rsidR="00553003" w:rsidRPr="00BB5549">
        <w:t xml:space="preserve">000 patients </w:t>
      </w:r>
      <w:r w:rsidR="00AC410C" w:rsidRPr="00BB5549">
        <w:t>over</w:t>
      </w:r>
      <w:r w:rsidR="00080087" w:rsidRPr="00BB5549">
        <w:t xml:space="preserve"> 10 years</w:t>
      </w:r>
      <w:r w:rsidR="00AC410C" w:rsidRPr="00BB5549">
        <w:t>,</w:t>
      </w:r>
      <w:r w:rsidR="00080087" w:rsidRPr="00BB5549">
        <w:t xml:space="preserve"> </w:t>
      </w:r>
      <w:r w:rsidR="00D2249F" w:rsidRPr="00BB5549">
        <w:t>a</w:t>
      </w:r>
      <w:r w:rsidR="00FB5A32" w:rsidRPr="00BB5549">
        <w:t xml:space="preserve"> </w:t>
      </w:r>
      <w:r w:rsidR="004A2CAF" w:rsidRPr="00BB5549">
        <w:t>CVD risk</w:t>
      </w:r>
      <w:r w:rsidR="00D2249F" w:rsidRPr="00BB5549">
        <w:t xml:space="preserve"> </w:t>
      </w:r>
      <w:r w:rsidR="005A4A23" w:rsidRPr="00BB5549">
        <w:t>algorithm</w:t>
      </w:r>
      <w:r w:rsidRPr="00BB5549">
        <w:t xml:space="preserve"> plus </w:t>
      </w:r>
      <w:r w:rsidR="00BD2097" w:rsidRPr="00BB5549">
        <w:t>statin</w:t>
      </w:r>
      <w:r w:rsidR="00B27971" w:rsidRPr="007A5C8D">
        <w:t xml:space="preserve"> treatment </w:t>
      </w:r>
      <w:r w:rsidR="00BD2097" w:rsidRPr="007A5C8D">
        <w:t xml:space="preserve">prevents a minimum of </w:t>
      </w:r>
      <w:r w:rsidR="00BB5549" w:rsidRPr="007A5C8D">
        <w:t>9</w:t>
      </w:r>
      <w:r w:rsidR="00BB5549" w:rsidRPr="00BB5549">
        <w:t xml:space="preserve"> </w:t>
      </w:r>
      <w:r w:rsidR="00BD2097" w:rsidRPr="00BB5549">
        <w:t>(</w:t>
      </w:r>
      <w:r w:rsidR="00816BE6" w:rsidRPr="00BB5549">
        <w:t xml:space="preserve">general </w:t>
      </w:r>
      <w:r w:rsidR="00BD2097" w:rsidRPr="00BB5549">
        <w:t xml:space="preserve">BMI algorithm) and maximum of </w:t>
      </w:r>
      <w:r w:rsidR="00BB5549" w:rsidRPr="007A5C8D">
        <w:t>13</w:t>
      </w:r>
      <w:r w:rsidR="00BB5549" w:rsidRPr="00BB5549">
        <w:t xml:space="preserve"> </w:t>
      </w:r>
      <w:r w:rsidR="00BD2097" w:rsidRPr="00BB5549">
        <w:t>(</w:t>
      </w:r>
      <w:r w:rsidR="00BB5549" w:rsidRPr="007A5C8D">
        <w:t>SMI-specific</w:t>
      </w:r>
      <w:r w:rsidR="00BB5549" w:rsidRPr="00BB5549">
        <w:t xml:space="preserve"> </w:t>
      </w:r>
      <w:r w:rsidR="00BB5549" w:rsidRPr="007A5C8D">
        <w:t>BMI</w:t>
      </w:r>
      <w:r w:rsidR="00BB5549" w:rsidRPr="00BB5549">
        <w:t xml:space="preserve"> </w:t>
      </w:r>
      <w:r w:rsidR="00BD2097" w:rsidRPr="00BB5549">
        <w:t xml:space="preserve">algorithm) primary CVD </w:t>
      </w:r>
      <w:r w:rsidR="00BD2097" w:rsidRPr="007A5C8D">
        <w:t>events</w:t>
      </w:r>
      <w:r w:rsidR="0030555E" w:rsidRPr="007A5C8D">
        <w:t xml:space="preserve"> (</w:t>
      </w:r>
      <w:r w:rsidR="00BD2097" w:rsidRPr="007A5C8D">
        <w:t>1 fatal</w:t>
      </w:r>
      <w:r w:rsidR="0030555E" w:rsidRPr="007A5C8D">
        <w:t>)</w:t>
      </w:r>
      <w:r w:rsidR="00A33191" w:rsidRPr="007A5C8D">
        <w:t xml:space="preserve"> </w:t>
      </w:r>
      <w:r w:rsidR="00080087" w:rsidRPr="007A5C8D">
        <w:t xml:space="preserve">and </w:t>
      </w:r>
      <w:r w:rsidR="00BB5549" w:rsidRPr="007A5C8D">
        <w:t>3 to 4</w:t>
      </w:r>
      <w:r w:rsidR="00BB5549" w:rsidRPr="00BB5549">
        <w:t xml:space="preserve"> </w:t>
      </w:r>
      <w:r w:rsidR="00080087" w:rsidRPr="00BB5549">
        <w:t>secondary CVD</w:t>
      </w:r>
      <w:r w:rsidR="00BD2097" w:rsidRPr="00BB5549">
        <w:t xml:space="preserve"> event</w:t>
      </w:r>
      <w:r w:rsidR="00080087" w:rsidRPr="00BB5549">
        <w:t xml:space="preserve">s </w:t>
      </w:r>
      <w:r w:rsidR="00BD2097" w:rsidRPr="00BB5549">
        <w:t>across all models</w:t>
      </w:r>
      <w:r w:rsidR="00080087" w:rsidRPr="007A5C8D">
        <w:t xml:space="preserve">. </w:t>
      </w:r>
      <w:r w:rsidR="00FE0212" w:rsidRPr="0024225E">
        <w:t xml:space="preserve">This is equivalent to a </w:t>
      </w:r>
      <w:r w:rsidR="0024225E" w:rsidRPr="0024225E">
        <w:t>4-6</w:t>
      </w:r>
      <w:r w:rsidR="00FE0212" w:rsidRPr="0024225E">
        <w:t xml:space="preserve">% reduction in primary CVD events and a </w:t>
      </w:r>
      <w:r w:rsidR="0024225E" w:rsidRPr="0024225E">
        <w:t>12-16</w:t>
      </w:r>
      <w:r w:rsidR="00FE0212" w:rsidRPr="0024225E">
        <w:t>% reduction in secondary CVD events.</w:t>
      </w:r>
      <w:r w:rsidR="00FE0212" w:rsidRPr="005C4455">
        <w:t xml:space="preserve"> </w:t>
      </w:r>
      <w:r w:rsidR="00080087" w:rsidRPr="005C4455">
        <w:t xml:space="preserve">The 20% model prevents </w:t>
      </w:r>
      <w:r w:rsidR="007A5C8D" w:rsidRPr="0024225E">
        <w:t>3 to 5</w:t>
      </w:r>
      <w:r w:rsidR="007A5C8D" w:rsidRPr="005C4455">
        <w:t xml:space="preserve"> </w:t>
      </w:r>
      <w:r w:rsidR="00080087" w:rsidRPr="005C4455">
        <w:t>primary events</w:t>
      </w:r>
      <w:r w:rsidR="0030555E" w:rsidRPr="005C4455">
        <w:t xml:space="preserve"> (</w:t>
      </w:r>
      <w:r w:rsidR="005C4455" w:rsidRPr="0024225E">
        <w:t xml:space="preserve">0 </w:t>
      </w:r>
      <w:r w:rsidR="007A5C8D" w:rsidRPr="0024225E">
        <w:t xml:space="preserve">to </w:t>
      </w:r>
      <w:r w:rsidR="005C4455" w:rsidRPr="0024225E">
        <w:t>1</w:t>
      </w:r>
      <w:r w:rsidR="00080087" w:rsidRPr="005C4455">
        <w:t xml:space="preserve"> fatal</w:t>
      </w:r>
      <w:r w:rsidR="0030555E" w:rsidRPr="005C4455">
        <w:t>)</w:t>
      </w:r>
      <w:r w:rsidR="00080087" w:rsidRPr="005C4455">
        <w:t xml:space="preserve"> and </w:t>
      </w:r>
      <w:r w:rsidR="005C4455" w:rsidRPr="0024225E">
        <w:t xml:space="preserve">1 to </w:t>
      </w:r>
      <w:r w:rsidR="00080087" w:rsidRPr="005C4455">
        <w:t>2 secondary events (</w:t>
      </w:r>
      <w:proofErr w:type="spellStart"/>
      <w:r w:rsidR="00527F04" w:rsidRPr="005C4455">
        <w:t>eTable</w:t>
      </w:r>
      <w:proofErr w:type="spellEnd"/>
      <w:r w:rsidR="00527F04" w:rsidRPr="005C4455">
        <w:t xml:space="preserve"> </w:t>
      </w:r>
      <w:r w:rsidR="000A0DAB" w:rsidRPr="005C4455">
        <w:t>6</w:t>
      </w:r>
      <w:r w:rsidR="00080087" w:rsidRPr="005C4455">
        <w:t xml:space="preserve">). </w:t>
      </w:r>
      <w:r w:rsidR="00BD2097" w:rsidRPr="005C4455">
        <w:t xml:space="preserve"> </w:t>
      </w:r>
      <w:r w:rsidR="00D2249F" w:rsidRPr="005C4455">
        <w:t xml:space="preserve"> </w:t>
      </w:r>
    </w:p>
    <w:p w14:paraId="2B9EF95C" w14:textId="6BCB6C0A" w:rsidR="00FF1F7A" w:rsidRPr="005C4455" w:rsidRDefault="00FF1F7A" w:rsidP="00221A71">
      <w:pPr>
        <w:spacing w:line="480" w:lineRule="auto"/>
        <w:jc w:val="both"/>
      </w:pPr>
      <w:r w:rsidRPr="005C4455">
        <w:t>The number of events stratified by risk and statin therapy at baseline</w:t>
      </w:r>
      <w:r w:rsidR="00CA6B4E" w:rsidRPr="005C4455">
        <w:t xml:space="preserve"> </w:t>
      </w:r>
      <w:r w:rsidR="00553003" w:rsidRPr="005C4455">
        <w:t>is reported</w:t>
      </w:r>
      <w:r w:rsidRPr="005C4455">
        <w:t xml:space="preserve"> in </w:t>
      </w:r>
      <w:proofErr w:type="spellStart"/>
      <w:r w:rsidR="00527F04" w:rsidRPr="005C4455">
        <w:t>eT</w:t>
      </w:r>
      <w:r w:rsidR="00890EC8" w:rsidRPr="005C4455">
        <w:t>able</w:t>
      </w:r>
      <w:proofErr w:type="spellEnd"/>
      <w:r w:rsidR="00890EC8" w:rsidRPr="005C4455">
        <w:t xml:space="preserve"> </w:t>
      </w:r>
      <w:r w:rsidR="000A0DAB" w:rsidRPr="005C4455">
        <w:t>7</w:t>
      </w:r>
      <w:r w:rsidRPr="005C4455">
        <w:t>.</w:t>
      </w:r>
    </w:p>
    <w:p w14:paraId="0CD1036F" w14:textId="40DA8E61" w:rsidR="00E771CF" w:rsidRPr="0024225E" w:rsidRDefault="009E5BEC" w:rsidP="0024225E">
      <w:pPr>
        <w:spacing w:line="480" w:lineRule="auto"/>
        <w:jc w:val="both"/>
        <w:rPr>
          <w:highlight w:val="yellow"/>
        </w:rPr>
      </w:pPr>
      <w:r w:rsidRPr="005C4455">
        <w:t xml:space="preserve">All four </w:t>
      </w:r>
      <w:r w:rsidR="00A561A0" w:rsidRPr="005C4455">
        <w:t xml:space="preserve">CVD risk algorithms </w:t>
      </w:r>
      <w:r w:rsidRPr="005C4455">
        <w:t xml:space="preserve">result in more QALYs for less cost </w:t>
      </w:r>
      <w:r w:rsidR="00A01D88" w:rsidRPr="005C4455">
        <w:t>compared to</w:t>
      </w:r>
      <w:r w:rsidR="00F51A02" w:rsidRPr="005C4455">
        <w:t xml:space="preserve"> when</w:t>
      </w:r>
      <w:r w:rsidR="00A01D88" w:rsidRPr="005C4455">
        <w:t xml:space="preserve"> no algorithm and no additional </w:t>
      </w:r>
      <w:r w:rsidR="007977EE" w:rsidRPr="005C4455">
        <w:t>statin therapy</w:t>
      </w:r>
      <w:r w:rsidR="00F51A02" w:rsidRPr="005C4455">
        <w:t xml:space="preserve"> is given</w:t>
      </w:r>
      <w:r w:rsidR="00A01D88" w:rsidRPr="005C4455">
        <w:t xml:space="preserve"> </w:t>
      </w:r>
      <w:r w:rsidRPr="005C4455">
        <w:t>(</w:t>
      </w:r>
      <w:r w:rsidR="007B5F4D" w:rsidRPr="005C4455">
        <w:t>T</w:t>
      </w:r>
      <w:r w:rsidRPr="005C4455">
        <w:t xml:space="preserve">able </w:t>
      </w:r>
      <w:r w:rsidR="00DA4270" w:rsidRPr="005C4455">
        <w:t>3</w:t>
      </w:r>
      <w:r w:rsidRPr="005C4455">
        <w:t xml:space="preserve">). </w:t>
      </w:r>
      <w:r w:rsidR="00787D18" w:rsidRPr="0024225E">
        <w:t>T</w:t>
      </w:r>
      <w:r w:rsidRPr="0024225E">
        <w:t xml:space="preserve">he </w:t>
      </w:r>
      <w:r w:rsidR="005C4455" w:rsidRPr="0024225E">
        <w:t>SMI-specific BMI</w:t>
      </w:r>
      <w:r w:rsidR="00A371DC" w:rsidRPr="0024225E">
        <w:t xml:space="preserve"> </w:t>
      </w:r>
      <w:r w:rsidR="003221F1" w:rsidRPr="0024225E">
        <w:t>algorithm</w:t>
      </w:r>
      <w:r w:rsidRPr="0024225E">
        <w:t xml:space="preserve"> has a higher </w:t>
      </w:r>
      <w:r w:rsidR="00FB4571" w:rsidRPr="0024225E">
        <w:t>net monetary benefit (</w:t>
      </w:r>
      <w:r w:rsidR="00F91C05" w:rsidRPr="0024225E">
        <w:t>NMB</w:t>
      </w:r>
      <w:r w:rsidR="00FB4571" w:rsidRPr="0024225E">
        <w:t>)</w:t>
      </w:r>
      <w:r w:rsidR="00F91C05" w:rsidRPr="0024225E">
        <w:t xml:space="preserve"> </w:t>
      </w:r>
      <w:r w:rsidR="003221F1" w:rsidRPr="0024225E">
        <w:t>(£</w:t>
      </w:r>
      <w:r w:rsidR="005C4455" w:rsidRPr="0024225E">
        <w:t>43,797</w:t>
      </w:r>
      <w:r w:rsidR="00F91C05" w:rsidRPr="0024225E">
        <w:t xml:space="preserve"> </w:t>
      </w:r>
      <w:r w:rsidR="003221F1" w:rsidRPr="0024225E">
        <w:t>representing 0.</w:t>
      </w:r>
      <w:r w:rsidR="0024225E" w:rsidRPr="0024225E">
        <w:t>0</w:t>
      </w:r>
      <w:r w:rsidR="0024225E">
        <w:t>3</w:t>
      </w:r>
      <w:r w:rsidR="003221F1" w:rsidRPr="0024225E">
        <w:t>% of the total NMB)</w:t>
      </w:r>
      <w:r w:rsidRPr="0024225E">
        <w:t xml:space="preserve"> than the </w:t>
      </w:r>
      <w:r w:rsidR="005C4455" w:rsidRPr="0024225E">
        <w:t>general lipid</w:t>
      </w:r>
      <w:r w:rsidR="003221F1" w:rsidRPr="0024225E">
        <w:t xml:space="preserve"> algorithm</w:t>
      </w:r>
      <w:r w:rsidR="005C4455" w:rsidRPr="0024225E">
        <w:t>, and all other algorithms.</w:t>
      </w:r>
      <w:r w:rsidR="003221F1" w:rsidRPr="0024225E">
        <w:t xml:space="preserve"> </w:t>
      </w:r>
      <w:r w:rsidR="0024225E">
        <w:t>T</w:t>
      </w:r>
      <w:r w:rsidR="005C4455" w:rsidRPr="0024225E">
        <w:t>he SMI-specific BMI algorithm has the</w:t>
      </w:r>
      <w:r w:rsidR="003221F1" w:rsidRPr="0024225E">
        <w:t xml:space="preserve"> highest NMB for </w:t>
      </w:r>
      <w:r w:rsidR="005C4455" w:rsidRPr="0024225E">
        <w:t>45</w:t>
      </w:r>
      <w:r w:rsidR="003221F1" w:rsidRPr="0024225E">
        <w:t xml:space="preserve">% of iterations of the </w:t>
      </w:r>
      <w:r w:rsidR="001505B8" w:rsidRPr="0024225E">
        <w:t xml:space="preserve">probabilistic sensitivity analysis </w:t>
      </w:r>
      <w:r w:rsidR="003221F1" w:rsidRPr="0024225E">
        <w:t xml:space="preserve">at a </w:t>
      </w:r>
      <w:r w:rsidR="001505B8" w:rsidRPr="0024225E">
        <w:t xml:space="preserve">willingness to pay </w:t>
      </w:r>
      <w:r w:rsidR="006C1CB4" w:rsidRPr="0024225E">
        <w:t>value</w:t>
      </w:r>
      <w:r w:rsidR="003221F1" w:rsidRPr="0024225E">
        <w:t xml:space="preserve"> of £20,000</w:t>
      </w:r>
      <w:r w:rsidR="006E6B64" w:rsidRPr="0024225E">
        <w:t xml:space="preserve"> </w:t>
      </w:r>
      <w:r w:rsidR="00787D18" w:rsidRPr="0024225E">
        <w:t>(</w:t>
      </w:r>
      <w:r w:rsidR="006E6B64" w:rsidRPr="0024225E">
        <w:t>Figure 2</w:t>
      </w:r>
      <w:r w:rsidR="00787D18" w:rsidRPr="0024225E">
        <w:t>)</w:t>
      </w:r>
      <w:r w:rsidR="00FB60FF" w:rsidRPr="0024225E">
        <w:t xml:space="preserve">. </w:t>
      </w:r>
      <w:r w:rsidR="003221F1" w:rsidRPr="00EC1B4D">
        <w:t xml:space="preserve">The results for the 20% </w:t>
      </w:r>
      <w:r w:rsidR="00BF7026" w:rsidRPr="00EC1B4D">
        <w:t xml:space="preserve">threshold </w:t>
      </w:r>
      <w:r w:rsidR="003221F1" w:rsidRPr="00EC1B4D">
        <w:t>are similar</w:t>
      </w:r>
      <w:r w:rsidR="001462ED" w:rsidRPr="00EC1B4D">
        <w:t xml:space="preserve"> (</w:t>
      </w:r>
      <w:proofErr w:type="spellStart"/>
      <w:r w:rsidR="001462ED" w:rsidRPr="00EC1B4D">
        <w:t>eFigure</w:t>
      </w:r>
      <w:proofErr w:type="spellEnd"/>
      <w:r w:rsidR="001462ED" w:rsidRPr="00EC1B4D">
        <w:t xml:space="preserve"> 1)</w:t>
      </w:r>
      <w:r w:rsidR="003B2027" w:rsidRPr="00EC1B4D">
        <w:t>.</w:t>
      </w:r>
      <w:r w:rsidR="003221F1" w:rsidRPr="00EC1B4D">
        <w:t xml:space="preserve"> </w:t>
      </w:r>
    </w:p>
    <w:p w14:paraId="1423FB9A" w14:textId="52B33137" w:rsidR="00B965E3" w:rsidRDefault="00B965E3" w:rsidP="00221A71">
      <w:pPr>
        <w:spacing w:line="480" w:lineRule="auto"/>
        <w:jc w:val="both"/>
      </w:pPr>
      <w:r w:rsidRPr="005C4455">
        <w:t xml:space="preserve">Results of sub-analyses and deterministic analyses are </w:t>
      </w:r>
      <w:r w:rsidR="007E6427" w:rsidRPr="005C4455">
        <w:t>report</w:t>
      </w:r>
      <w:r w:rsidRPr="005C4455">
        <w:t>ed in the Supplementary Appendix (</w:t>
      </w:r>
      <w:proofErr w:type="spellStart"/>
      <w:r w:rsidRPr="005C4455">
        <w:t>eResults</w:t>
      </w:r>
      <w:proofErr w:type="spellEnd"/>
      <w:r w:rsidRPr="005C4455">
        <w:t xml:space="preserve"> 1.1</w:t>
      </w:r>
      <w:r w:rsidR="00491717" w:rsidRPr="005C4455">
        <w:t xml:space="preserve"> – 1.2).</w:t>
      </w:r>
      <w:r w:rsidR="00787D18">
        <w:t xml:space="preserve">  </w:t>
      </w:r>
    </w:p>
    <w:p w14:paraId="3BEFF972" w14:textId="77777777" w:rsidR="00F454EC" w:rsidRDefault="00F454EC" w:rsidP="00221A71">
      <w:pPr>
        <w:spacing w:line="480" w:lineRule="auto"/>
        <w:jc w:val="both"/>
      </w:pPr>
    </w:p>
    <w:p w14:paraId="00416B9A" w14:textId="1DE45C8A" w:rsidR="009A4D92" w:rsidRPr="003B2027" w:rsidRDefault="00707226" w:rsidP="00221A71">
      <w:pPr>
        <w:pStyle w:val="ListParagraph"/>
        <w:numPr>
          <w:ilvl w:val="0"/>
          <w:numId w:val="6"/>
        </w:numPr>
        <w:spacing w:line="480" w:lineRule="auto"/>
        <w:jc w:val="both"/>
        <w:rPr>
          <w:b/>
        </w:rPr>
      </w:pPr>
      <w:r w:rsidRPr="003B2027">
        <w:rPr>
          <w:b/>
        </w:rPr>
        <w:t>DISCUSSION</w:t>
      </w:r>
    </w:p>
    <w:p w14:paraId="1F9D9E93" w14:textId="22966686" w:rsidR="0030084B" w:rsidRPr="0030084B" w:rsidRDefault="0030084B" w:rsidP="00221A71">
      <w:pPr>
        <w:spacing w:line="480" w:lineRule="auto"/>
        <w:jc w:val="both"/>
        <w:rPr>
          <w:b/>
        </w:rPr>
      </w:pPr>
      <w:r w:rsidRPr="0030084B">
        <w:rPr>
          <w:b/>
        </w:rPr>
        <w:t>4.</w:t>
      </w:r>
      <w:r>
        <w:rPr>
          <w:b/>
        </w:rPr>
        <w:t>1 Discussion</w:t>
      </w:r>
    </w:p>
    <w:p w14:paraId="68C9AD9D" w14:textId="47426A12" w:rsidR="00EE2FFF" w:rsidRPr="005C4455" w:rsidRDefault="00D44E8A" w:rsidP="0024225E">
      <w:pPr>
        <w:spacing w:line="480" w:lineRule="auto"/>
        <w:jc w:val="both"/>
      </w:pPr>
      <w:r w:rsidRPr="005C4455">
        <w:t>This is the first study to</w:t>
      </w:r>
      <w:r w:rsidR="00553003" w:rsidRPr="005C4455">
        <w:t xml:space="preserve"> </w:t>
      </w:r>
      <w:r w:rsidRPr="005C4455">
        <w:t xml:space="preserve">model the long-term effectiveness and cost-effectiveness of </w:t>
      </w:r>
      <w:r w:rsidR="00054575" w:rsidRPr="005C4455">
        <w:t xml:space="preserve">a </w:t>
      </w:r>
      <w:r w:rsidRPr="005C4455">
        <w:t>CVD</w:t>
      </w:r>
      <w:r w:rsidR="005A4A23" w:rsidRPr="005C4455">
        <w:t xml:space="preserve"> risk algorithm plus </w:t>
      </w:r>
      <w:r w:rsidR="00553003" w:rsidRPr="005C4455">
        <w:t xml:space="preserve">risk management strategy in </w:t>
      </w:r>
      <w:r w:rsidR="00FB4571" w:rsidRPr="005C4455">
        <w:t xml:space="preserve">people </w:t>
      </w:r>
      <w:r w:rsidR="00553003" w:rsidRPr="005C4455">
        <w:t>with SMI</w:t>
      </w:r>
      <w:r w:rsidRPr="005C4455">
        <w:t xml:space="preserve">. </w:t>
      </w:r>
      <w:r w:rsidR="003221F1" w:rsidRPr="005C4455">
        <w:t xml:space="preserve">Prescribing statins to patients with SMI in primary care with a CVD risk score over 10% </w:t>
      </w:r>
      <w:r w:rsidR="003221F1" w:rsidRPr="0024225E">
        <w:t>resulted in</w:t>
      </w:r>
      <w:r w:rsidR="00BD2097" w:rsidRPr="0024225E">
        <w:t xml:space="preserve"> a </w:t>
      </w:r>
      <w:r w:rsidR="0024225E" w:rsidRPr="0024225E">
        <w:t>4-6</w:t>
      </w:r>
      <w:r w:rsidR="00BD2097" w:rsidRPr="0024225E">
        <w:t>% reduction in primary CVD events</w:t>
      </w:r>
      <w:r w:rsidR="00EE2FFF" w:rsidRPr="0024225E">
        <w:t xml:space="preserve"> and a </w:t>
      </w:r>
      <w:r w:rsidR="0024225E" w:rsidRPr="0024225E">
        <w:t>12-16</w:t>
      </w:r>
      <w:r w:rsidR="00EE2FFF" w:rsidRPr="0024225E">
        <w:t>% reduction in secondary CVD events</w:t>
      </w:r>
      <w:r w:rsidR="00553003" w:rsidRPr="0024225E">
        <w:t xml:space="preserve"> </w:t>
      </w:r>
      <w:r w:rsidR="00EE2FFF" w:rsidRPr="0024225E">
        <w:t xml:space="preserve">over 10 years. </w:t>
      </w:r>
      <w:r w:rsidR="00EE2FFF" w:rsidRPr="005C4455">
        <w:t xml:space="preserve">The provision of a relatively </w:t>
      </w:r>
      <w:r w:rsidR="00AC410C" w:rsidRPr="005C4455">
        <w:t xml:space="preserve">low cost </w:t>
      </w:r>
      <w:r w:rsidR="00EE2FFF" w:rsidRPr="005C4455">
        <w:t>identification tool (</w:t>
      </w:r>
      <w:r w:rsidR="00BF7026" w:rsidRPr="005C4455">
        <w:t xml:space="preserve">the </w:t>
      </w:r>
      <w:r w:rsidR="00EE2FFF" w:rsidRPr="005C4455">
        <w:t xml:space="preserve">risk algorithm) and relatively </w:t>
      </w:r>
      <w:r w:rsidR="00AC410C" w:rsidRPr="005C4455">
        <w:t xml:space="preserve">low cost </w:t>
      </w:r>
      <w:r w:rsidR="00EE2FFF" w:rsidRPr="005C4455">
        <w:t>intervention (statins) compared to the high cost of CVD events means that the intervention sav</w:t>
      </w:r>
      <w:r w:rsidR="00AC410C" w:rsidRPr="005C4455">
        <w:t>es</w:t>
      </w:r>
      <w:r w:rsidR="00EE2FFF" w:rsidRPr="005C4455">
        <w:t xml:space="preserve"> up to £</w:t>
      </w:r>
      <w:r w:rsidR="008035AE" w:rsidRPr="0024225E">
        <w:t>53</w:t>
      </w:r>
      <w:r w:rsidR="00EE2FFF" w:rsidRPr="005C4455">
        <w:t>,000</w:t>
      </w:r>
      <w:r w:rsidR="00F91C05" w:rsidRPr="005C4455">
        <w:t xml:space="preserve"> </w:t>
      </w:r>
      <w:r w:rsidR="00EE2FFF" w:rsidRPr="005C4455">
        <w:t>per 1000 patients over 10 years or £</w:t>
      </w:r>
      <w:r w:rsidR="008035AE" w:rsidRPr="0024225E">
        <w:t>53</w:t>
      </w:r>
      <w:r w:rsidR="008035AE" w:rsidRPr="005C4455">
        <w:t xml:space="preserve"> </w:t>
      </w:r>
      <w:r w:rsidR="00EE2FFF" w:rsidRPr="005C4455">
        <w:t xml:space="preserve">per patient </w:t>
      </w:r>
      <w:r w:rsidR="00553003" w:rsidRPr="005C4455">
        <w:t>administered a CVD</w:t>
      </w:r>
      <w:r w:rsidR="00EE2FFF" w:rsidRPr="005C4455">
        <w:t xml:space="preserve"> risk algorithm. </w:t>
      </w:r>
      <w:r w:rsidR="00080087" w:rsidRPr="005C4455">
        <w:t xml:space="preserve">Using a 10% threshold for identifying high risk patients resulted in </w:t>
      </w:r>
      <w:r w:rsidR="0030171E" w:rsidRPr="005C4455">
        <w:t xml:space="preserve">fewer </w:t>
      </w:r>
      <w:r w:rsidR="00080087" w:rsidRPr="005C4455">
        <w:t>CVD events than the 20% threshold and hence greater c</w:t>
      </w:r>
      <w:r w:rsidR="00802695" w:rsidRPr="005C4455">
        <w:t xml:space="preserve">ost savings. </w:t>
      </w:r>
    </w:p>
    <w:p w14:paraId="5FF27E01" w14:textId="20193885" w:rsidR="0093547C" w:rsidRPr="005C4455" w:rsidRDefault="00553003" w:rsidP="00B832F8">
      <w:pPr>
        <w:spacing w:line="480" w:lineRule="auto"/>
        <w:jc w:val="both"/>
        <w:rPr>
          <w:highlight w:val="yellow"/>
        </w:rPr>
      </w:pPr>
      <w:r w:rsidRPr="008035AE">
        <w:t>The</w:t>
      </w:r>
      <w:r w:rsidR="00EE2FFF" w:rsidRPr="00BB5549">
        <w:t xml:space="preserve"> aim of </w:t>
      </w:r>
      <w:r w:rsidR="00BF7026" w:rsidRPr="00BB5549">
        <w:t xml:space="preserve">our economic </w:t>
      </w:r>
      <w:r w:rsidR="00EE2FFF" w:rsidRPr="00BB5549">
        <w:t>model</w:t>
      </w:r>
      <w:r w:rsidR="00BF7026" w:rsidRPr="005C4455">
        <w:t>ling strategy</w:t>
      </w:r>
      <w:r w:rsidR="00EE2FFF" w:rsidRPr="005C4455">
        <w:t xml:space="preserve"> was to identify if there is an</w:t>
      </w:r>
      <w:r w:rsidR="00802695" w:rsidRPr="005C4455">
        <w:t>y</w:t>
      </w:r>
      <w:r w:rsidR="00EE2FFF" w:rsidRPr="005C4455">
        <w:t xml:space="preserve"> added value in using an SMI</w:t>
      </w:r>
      <w:r w:rsidR="00816BE6" w:rsidRPr="005C4455">
        <w:t>-</w:t>
      </w:r>
      <w:r w:rsidR="00EE2FFF" w:rsidRPr="005C4455">
        <w:t>specific risk algorithm</w:t>
      </w:r>
      <w:r w:rsidR="00AC410C" w:rsidRPr="005C4455">
        <w:t>,</w:t>
      </w:r>
      <w:r w:rsidR="00802695" w:rsidRPr="005C4455">
        <w:t xml:space="preserve"> </w:t>
      </w:r>
      <w:r w:rsidR="00AC410C" w:rsidRPr="005C4455">
        <w:t xml:space="preserve">rather than standard general population risk scores, </w:t>
      </w:r>
      <w:r w:rsidR="00B27971" w:rsidRPr="005C4455">
        <w:t>for CVD prevention</w:t>
      </w:r>
      <w:r w:rsidR="006C1CB4" w:rsidRPr="005C4455">
        <w:t xml:space="preserve"> in </w:t>
      </w:r>
      <w:r w:rsidR="00FB4571" w:rsidRPr="005C4455">
        <w:t xml:space="preserve">people </w:t>
      </w:r>
      <w:r w:rsidR="006C1CB4" w:rsidRPr="008035AE">
        <w:t>with SMI</w:t>
      </w:r>
      <w:r w:rsidR="00802695" w:rsidRPr="008035AE">
        <w:t>.</w:t>
      </w:r>
      <w:r w:rsidR="00EE2FFF" w:rsidRPr="008035AE">
        <w:t xml:space="preserve"> </w:t>
      </w:r>
      <w:r w:rsidR="00802695" w:rsidRPr="008035AE">
        <w:t>The</w:t>
      </w:r>
      <w:r w:rsidR="00E93BC4" w:rsidRPr="008035AE">
        <w:t xml:space="preserve"> </w:t>
      </w:r>
      <w:r w:rsidR="00802695" w:rsidRPr="008035AE">
        <w:t>best</w:t>
      </w:r>
      <w:r w:rsidR="00E93BC4" w:rsidRPr="008035AE">
        <w:t xml:space="preserve"> performing </w:t>
      </w:r>
      <w:r w:rsidR="00F51A02" w:rsidRPr="008035AE">
        <w:t xml:space="preserve">risk assessment tool </w:t>
      </w:r>
      <w:r w:rsidR="008035AE" w:rsidRPr="008035AE">
        <w:t>w</w:t>
      </w:r>
      <w:r w:rsidR="008035AE" w:rsidRPr="005C4455">
        <w:t>as</w:t>
      </w:r>
      <w:r w:rsidR="008035AE" w:rsidRPr="008035AE">
        <w:t xml:space="preserve"> </w:t>
      </w:r>
      <w:r w:rsidR="00E93BC4" w:rsidRPr="00BB5549">
        <w:t xml:space="preserve">the </w:t>
      </w:r>
      <w:r w:rsidR="00816BE6" w:rsidRPr="00BB5549">
        <w:t xml:space="preserve">SMI-specific </w:t>
      </w:r>
      <w:r w:rsidR="00E93BC4" w:rsidRPr="00BB5549">
        <w:t>BMI algorithm</w:t>
      </w:r>
      <w:r w:rsidR="00AC410C" w:rsidRPr="005C4455">
        <w:t xml:space="preserve">. This may have been </w:t>
      </w:r>
      <w:r w:rsidR="00491717" w:rsidRPr="005C4455">
        <w:t>a</w:t>
      </w:r>
      <w:r w:rsidR="00360569" w:rsidRPr="005C4455">
        <w:t xml:space="preserve"> result of </w:t>
      </w:r>
      <w:r w:rsidR="008035AE" w:rsidRPr="005C4455">
        <w:t>its</w:t>
      </w:r>
      <w:r w:rsidR="008035AE" w:rsidRPr="008035AE">
        <w:t xml:space="preserve"> </w:t>
      </w:r>
      <w:r w:rsidR="00360569" w:rsidRPr="00BB5549">
        <w:t>classification of more individuals at high risk of CVD and eligible for statin therapy than other algorithms</w:t>
      </w:r>
      <w:r w:rsidR="00360569" w:rsidRPr="00B832F8">
        <w:t xml:space="preserve">. Differences between </w:t>
      </w:r>
      <w:r w:rsidR="00EC1B4D" w:rsidRPr="00B832F8">
        <w:t>this algorithm and the general population lipid</w:t>
      </w:r>
      <w:r w:rsidR="00360569" w:rsidRPr="00B832F8">
        <w:t xml:space="preserve"> </w:t>
      </w:r>
      <w:r w:rsidR="007D65DD" w:rsidRPr="00B832F8">
        <w:t>algorithm</w:t>
      </w:r>
      <w:r w:rsidR="00A45990" w:rsidRPr="00B832F8">
        <w:t xml:space="preserve"> </w:t>
      </w:r>
      <w:r w:rsidR="00360569" w:rsidRPr="00B832F8">
        <w:t xml:space="preserve">were </w:t>
      </w:r>
      <w:r w:rsidR="00802695" w:rsidRPr="00B832F8">
        <w:t>minimal</w:t>
      </w:r>
      <w:r w:rsidR="00B832F8" w:rsidRPr="00B832F8">
        <w:t>, with the SMI-specific BMI algorithm resulting in an additional 2 QALYs compared to the general lipid algorithm, at an additional cost saving of approximately £6,000 per 1000 individuals over 10 years</w:t>
      </w:r>
      <w:r w:rsidR="00802695" w:rsidRPr="00B832F8">
        <w:t xml:space="preserve">. Given there is </w:t>
      </w:r>
      <w:r w:rsidR="007434F9" w:rsidRPr="00B832F8">
        <w:t xml:space="preserve">little to </w:t>
      </w:r>
      <w:r w:rsidR="00802695" w:rsidRPr="00B832F8">
        <w:t xml:space="preserve">no difference between the two </w:t>
      </w:r>
      <w:r w:rsidR="00F51A02" w:rsidRPr="00B832F8">
        <w:t xml:space="preserve">tools </w:t>
      </w:r>
      <w:r w:rsidR="00802695" w:rsidRPr="00B832F8">
        <w:t>economically</w:t>
      </w:r>
      <w:r w:rsidR="00BF7026" w:rsidRPr="00B832F8">
        <w:t>,</w:t>
      </w:r>
      <w:r w:rsidR="00802695" w:rsidRPr="00B832F8">
        <w:t xml:space="preserve"> </w:t>
      </w:r>
      <w:r w:rsidR="00BF7026" w:rsidRPr="00B832F8">
        <w:t>the decision regarding which algorithm to use</w:t>
      </w:r>
      <w:r w:rsidR="009D2234" w:rsidRPr="00B832F8">
        <w:t xml:space="preserve"> </w:t>
      </w:r>
      <w:r w:rsidR="00F51A02" w:rsidRPr="00B832F8">
        <w:t>i</w:t>
      </w:r>
      <w:r w:rsidR="009D2234" w:rsidRPr="00B832F8">
        <w:t xml:space="preserve">n </w:t>
      </w:r>
      <w:r w:rsidR="00D0006D" w:rsidRPr="00B832F8">
        <w:t xml:space="preserve">routine </w:t>
      </w:r>
      <w:r w:rsidR="009D2234" w:rsidRPr="00B832F8">
        <w:t>clinical practice</w:t>
      </w:r>
      <w:r w:rsidR="00BF7026" w:rsidRPr="00B832F8">
        <w:t xml:space="preserve"> </w:t>
      </w:r>
      <w:r w:rsidR="00802695" w:rsidRPr="00B832F8">
        <w:t xml:space="preserve">becomes one of implementation, advocacy and ease of use. One could argue </w:t>
      </w:r>
      <w:r w:rsidR="00D0006D" w:rsidRPr="00B832F8">
        <w:t xml:space="preserve">in favour of using </w:t>
      </w:r>
      <w:r w:rsidR="00802695" w:rsidRPr="00B832F8">
        <w:t>a general population</w:t>
      </w:r>
      <w:r w:rsidR="00FB4571" w:rsidRPr="00B832F8">
        <w:t xml:space="preserve"> derived</w:t>
      </w:r>
      <w:r w:rsidR="00802695" w:rsidRPr="00B832F8">
        <w:t xml:space="preserve"> lipid model</w:t>
      </w:r>
      <w:r w:rsidR="002A0914" w:rsidRPr="00B832F8">
        <w:t xml:space="preserve"> as </w:t>
      </w:r>
      <w:r w:rsidR="00FB4571" w:rsidRPr="00B832F8">
        <w:t xml:space="preserve">these </w:t>
      </w:r>
      <w:r w:rsidR="00D0006D" w:rsidRPr="00B832F8">
        <w:t xml:space="preserve">are </w:t>
      </w:r>
      <w:r w:rsidR="00802695" w:rsidRPr="00B832F8">
        <w:t>already used in</w:t>
      </w:r>
      <w:r w:rsidR="00FB4571" w:rsidRPr="00B832F8">
        <w:t xml:space="preserve"> UK</w:t>
      </w:r>
      <w:r w:rsidR="00802695" w:rsidRPr="00B832F8">
        <w:t xml:space="preserve"> </w:t>
      </w:r>
      <w:r w:rsidRPr="00B832F8">
        <w:t xml:space="preserve">general </w:t>
      </w:r>
      <w:r w:rsidR="00802695" w:rsidRPr="00B832F8">
        <w:t>practice and hence require no change. On the other hand</w:t>
      </w:r>
      <w:r w:rsidR="00F34FEA" w:rsidRPr="00B832F8">
        <w:t>,</w:t>
      </w:r>
      <w:r w:rsidR="00802695" w:rsidRPr="00B832F8">
        <w:t xml:space="preserve"> the </w:t>
      </w:r>
      <w:r w:rsidR="00816BE6" w:rsidRPr="00B832F8">
        <w:t xml:space="preserve">SMI-specific </w:t>
      </w:r>
      <w:r w:rsidRPr="00B832F8">
        <w:t>BMI</w:t>
      </w:r>
      <w:r w:rsidR="00802695" w:rsidRPr="00B832F8">
        <w:t xml:space="preserve"> model, although potentially requiring additional training and implementation costs, could confer additional benefit by raising awareness of the need to improve </w:t>
      </w:r>
      <w:r w:rsidR="00802695" w:rsidRPr="00B832F8">
        <w:lastRenderedPageBreak/>
        <w:t xml:space="preserve">CVD outcomes in </w:t>
      </w:r>
      <w:r w:rsidR="00FB4571" w:rsidRPr="00B832F8">
        <w:t xml:space="preserve">people </w:t>
      </w:r>
      <w:r w:rsidR="00802695" w:rsidRPr="00B832F8">
        <w:t>with SMI</w:t>
      </w:r>
      <w:r w:rsidR="007D65DD" w:rsidRPr="00B832F8">
        <w:t>, and providing a</w:t>
      </w:r>
      <w:r w:rsidR="00802695" w:rsidRPr="00B832F8">
        <w:t xml:space="preserve"> </w:t>
      </w:r>
      <w:r w:rsidR="000F43E3" w:rsidRPr="00B832F8">
        <w:t xml:space="preserve">model which requires no blood test to estimate risk, a limitation of other CVD risk algorithms as many people, with and without SMI, decline blood </w:t>
      </w:r>
      <w:r w:rsidR="009C2E7D" w:rsidRPr="00B832F8">
        <w:t>tests</w:t>
      </w:r>
      <w:r w:rsidR="009C2E7D" w:rsidRPr="00B832F8">
        <w:rPr>
          <w:vertAlign w:val="superscript"/>
        </w:rPr>
        <w:t>44</w:t>
      </w:r>
      <w:r w:rsidR="000F43E3" w:rsidRPr="00B832F8">
        <w:t>.</w:t>
      </w:r>
      <w:r w:rsidR="000F43E3" w:rsidRPr="005C4455">
        <w:t xml:space="preserve"> The ease of implementation and delivery of the </w:t>
      </w:r>
      <w:r w:rsidR="00816BE6" w:rsidRPr="005C4455">
        <w:t xml:space="preserve">SMI-specific </w:t>
      </w:r>
      <w:r w:rsidR="000F43E3" w:rsidRPr="005C4455">
        <w:t>BMI model means it could be used in any setting, including mental health care and non-clinical</w:t>
      </w:r>
      <w:r w:rsidR="00E77DA9" w:rsidRPr="005C4455">
        <w:t xml:space="preserve"> settings</w:t>
      </w:r>
      <w:r w:rsidR="00FB4571" w:rsidRPr="005C4455">
        <w:t xml:space="preserve"> without blood results</w:t>
      </w:r>
      <w:r w:rsidR="00E77DA9" w:rsidRPr="005C4455">
        <w:t>.</w:t>
      </w:r>
      <w:r w:rsidR="000F43E3" w:rsidRPr="005C4455">
        <w:t xml:space="preserve"> </w:t>
      </w:r>
      <w:r w:rsidR="00B533B1" w:rsidRPr="005C4455">
        <w:t>This is particularly important as many people with SMI do not attend primary care and monitoring of CVD risk factors remains low in other sett</w:t>
      </w:r>
      <w:r w:rsidR="009C2E7D" w:rsidRPr="005C4455">
        <w:t>ings</w:t>
      </w:r>
      <w:r w:rsidR="009C2E7D" w:rsidRPr="005C4455">
        <w:rPr>
          <w:vertAlign w:val="superscript"/>
        </w:rPr>
        <w:t>45-49</w:t>
      </w:r>
      <w:r w:rsidR="00B533B1" w:rsidRPr="005C4455">
        <w:t xml:space="preserve">. </w:t>
      </w:r>
      <w:r w:rsidR="004A427E" w:rsidRPr="005C4455">
        <w:t xml:space="preserve">The SMI-specific BMI model provides an opportunity to target more people with SMI, to increase identification of those at high risk of CVD and </w:t>
      </w:r>
      <w:r w:rsidR="00510107" w:rsidRPr="005C4455">
        <w:t>decrease</w:t>
      </w:r>
      <w:r w:rsidR="004A427E" w:rsidRPr="005C4455">
        <w:t xml:space="preserve"> the physical, social and financial burden</w:t>
      </w:r>
      <w:r w:rsidR="005F2B35" w:rsidRPr="005C4455">
        <w:t xml:space="preserve"> </w:t>
      </w:r>
      <w:r w:rsidR="004A427E" w:rsidRPr="005C4455">
        <w:t xml:space="preserve">associated with CVD. </w:t>
      </w:r>
    </w:p>
    <w:p w14:paraId="3EEA4004" w14:textId="77777777" w:rsidR="0093547C" w:rsidRDefault="0093547C" w:rsidP="0093547C">
      <w:pPr>
        <w:spacing w:line="480" w:lineRule="auto"/>
        <w:jc w:val="both"/>
        <w:rPr>
          <w:highlight w:val="yellow"/>
        </w:rPr>
      </w:pPr>
    </w:p>
    <w:p w14:paraId="00BA4763" w14:textId="773DC6A6" w:rsidR="004A427E" w:rsidRPr="005C4455" w:rsidRDefault="0093547C" w:rsidP="0093547C">
      <w:pPr>
        <w:spacing w:line="480" w:lineRule="auto"/>
        <w:jc w:val="both"/>
      </w:pPr>
      <w:r w:rsidRPr="005C4455">
        <w:t>Whilst</w:t>
      </w:r>
      <w:r w:rsidR="00E43681" w:rsidRPr="005C4455">
        <w:t xml:space="preserve"> </w:t>
      </w:r>
      <w:r w:rsidRPr="005C4455">
        <w:t xml:space="preserve">current </w:t>
      </w:r>
      <w:r w:rsidR="00E43681" w:rsidRPr="005C4455">
        <w:t xml:space="preserve">CVD prevention </w:t>
      </w:r>
      <w:r w:rsidRPr="005C4455">
        <w:t>guidelines are based on CVD risk assessment using risk algorithms, there are other ways to target CVD prevention including identification of CVD risk factors for CVD risk management. We are currently evaluating methods of identifying CVD risk factors in those with SMI in primary care settings in England, and decreasing CVD risk via a nurse-led care intervention</w:t>
      </w:r>
      <w:r w:rsidR="007B3687" w:rsidRPr="005C4455">
        <w:rPr>
          <w:vertAlign w:val="superscript"/>
        </w:rPr>
        <w:t>50</w:t>
      </w:r>
      <w:r w:rsidRPr="005C4455">
        <w:t>.</w:t>
      </w:r>
    </w:p>
    <w:p w14:paraId="04DE68A6" w14:textId="77777777" w:rsidR="00474C39" w:rsidRPr="005C4455" w:rsidRDefault="00474C39" w:rsidP="00221A71">
      <w:pPr>
        <w:spacing w:line="480" w:lineRule="auto"/>
        <w:jc w:val="both"/>
        <w:rPr>
          <w:b/>
          <w:highlight w:val="yellow"/>
        </w:rPr>
      </w:pPr>
    </w:p>
    <w:p w14:paraId="1D01B790" w14:textId="4E73FAAD" w:rsidR="00D44E8A" w:rsidRPr="00BB5549" w:rsidRDefault="007307D4" w:rsidP="00A45990">
      <w:pPr>
        <w:spacing w:line="480" w:lineRule="auto"/>
        <w:jc w:val="both"/>
        <w:rPr>
          <w:b/>
        </w:rPr>
      </w:pPr>
      <w:r w:rsidRPr="008035AE">
        <w:rPr>
          <w:b/>
        </w:rPr>
        <w:t>4.</w:t>
      </w:r>
      <w:r w:rsidR="0030084B" w:rsidRPr="00BB5549">
        <w:rPr>
          <w:b/>
        </w:rPr>
        <w:t xml:space="preserve">2 </w:t>
      </w:r>
      <w:r w:rsidR="00D44E8A" w:rsidRPr="00BB5549">
        <w:rPr>
          <w:b/>
        </w:rPr>
        <w:t>Strengths and limitations</w:t>
      </w:r>
      <w:r w:rsidR="00EC578B">
        <w:rPr>
          <w:b/>
        </w:rPr>
        <w:t xml:space="preserve"> </w:t>
      </w:r>
    </w:p>
    <w:p w14:paraId="65EBD658" w14:textId="6B9D29FD" w:rsidR="00D44E8A" w:rsidRPr="008035AE" w:rsidRDefault="00D44E8A" w:rsidP="00221A71">
      <w:pPr>
        <w:spacing w:line="480" w:lineRule="auto"/>
        <w:jc w:val="both"/>
      </w:pPr>
      <w:r w:rsidRPr="008035AE">
        <w:t>CVD events in primary prevention popul</w:t>
      </w:r>
      <w:r w:rsidR="005A4A23" w:rsidRPr="008035AE">
        <w:t xml:space="preserve">ations are rare </w:t>
      </w:r>
      <w:r w:rsidR="007D65DD" w:rsidRPr="008035AE">
        <w:t>requiring</w:t>
      </w:r>
      <w:r w:rsidRPr="008035AE">
        <w:t xml:space="preserve"> large sample sizes and </w:t>
      </w:r>
      <w:r w:rsidR="00EF1DE4" w:rsidRPr="008035AE">
        <w:t xml:space="preserve">long </w:t>
      </w:r>
      <w:r w:rsidR="006C1CB4" w:rsidRPr="008035AE">
        <w:t>follow-</w:t>
      </w:r>
      <w:r w:rsidR="00EF1DE4" w:rsidRPr="008035AE">
        <w:t>up periods to be able to show statistically significant difference</w:t>
      </w:r>
      <w:r w:rsidR="007D65DD" w:rsidRPr="008035AE">
        <w:t>s in CVD events</w:t>
      </w:r>
      <w:r w:rsidR="00EF1DE4" w:rsidRPr="008035AE">
        <w:t xml:space="preserve"> between </w:t>
      </w:r>
      <w:r w:rsidR="007D65DD" w:rsidRPr="008035AE">
        <w:t xml:space="preserve">trial </w:t>
      </w:r>
      <w:r w:rsidR="00EF1DE4" w:rsidRPr="008035AE">
        <w:t xml:space="preserve">arms. </w:t>
      </w:r>
      <w:r w:rsidR="006C1CB4" w:rsidRPr="008035AE">
        <w:t>Therefore, m</w:t>
      </w:r>
      <w:r w:rsidR="00EF1DE4" w:rsidRPr="008035AE">
        <w:t xml:space="preserve">ost </w:t>
      </w:r>
      <w:r w:rsidR="00C6160D" w:rsidRPr="008035AE">
        <w:t xml:space="preserve">primary prevention CVD </w:t>
      </w:r>
      <w:r w:rsidR="00EF1DE4" w:rsidRPr="008035AE">
        <w:t>trials use prox</w:t>
      </w:r>
      <w:r w:rsidR="0089109E" w:rsidRPr="008035AE">
        <w:t>y</w:t>
      </w:r>
      <w:r w:rsidR="00EF1DE4" w:rsidRPr="008035AE">
        <w:t xml:space="preserve"> outcomes</w:t>
      </w:r>
      <w:r w:rsidR="00C6160D" w:rsidRPr="008035AE">
        <w:t>,</w:t>
      </w:r>
      <w:r w:rsidR="00EF1DE4" w:rsidRPr="008035AE">
        <w:t xml:space="preserve"> such as lipid levels</w:t>
      </w:r>
      <w:r w:rsidR="00C6160D" w:rsidRPr="008035AE">
        <w:t>,</w:t>
      </w:r>
      <w:r w:rsidR="00EF1DE4" w:rsidRPr="008035AE">
        <w:t xml:space="preserve"> to determine effectiveness rather than</w:t>
      </w:r>
      <w:r w:rsidR="00C6160D" w:rsidRPr="008035AE">
        <w:t xml:space="preserve"> the prevention of</w:t>
      </w:r>
      <w:r w:rsidR="00EF1DE4" w:rsidRPr="008035AE">
        <w:t xml:space="preserve"> actual </w:t>
      </w:r>
      <w:r w:rsidR="00C6160D" w:rsidRPr="008035AE">
        <w:t xml:space="preserve">CVD </w:t>
      </w:r>
      <w:r w:rsidR="00EF1DE4" w:rsidRPr="008035AE">
        <w:t xml:space="preserve">events. </w:t>
      </w:r>
      <w:r w:rsidR="00F544F1" w:rsidRPr="008035AE">
        <w:t>T</w:t>
      </w:r>
      <w:r w:rsidR="00EF1DE4" w:rsidRPr="008035AE">
        <w:t>his can</w:t>
      </w:r>
      <w:r w:rsidR="00F544F1" w:rsidRPr="008035AE">
        <w:t xml:space="preserve"> </w:t>
      </w:r>
      <w:r w:rsidR="00EF1DE4" w:rsidRPr="008035AE">
        <w:t>limit the conclusions that can be drawn f</w:t>
      </w:r>
      <w:r w:rsidR="00E93BC4" w:rsidRPr="008035AE">
        <w:t>or</w:t>
      </w:r>
      <w:r w:rsidR="00EF1DE4" w:rsidRPr="008035AE">
        <w:t xml:space="preserve"> economic evaluations of primary CVD prevention interventions using trial data only</w:t>
      </w:r>
      <w:r w:rsidR="00A371DC" w:rsidRPr="008035AE">
        <w:t>,</w:t>
      </w:r>
      <w:r w:rsidR="00553003" w:rsidRPr="008035AE">
        <w:t xml:space="preserve"> given the cost, morbidity and mortality implications of CVD events</w:t>
      </w:r>
      <w:r w:rsidR="00EF1DE4" w:rsidRPr="008035AE">
        <w:t xml:space="preserve">. Our </w:t>
      </w:r>
      <w:r w:rsidR="00D82A70" w:rsidRPr="008035AE">
        <w:t xml:space="preserve">economic </w:t>
      </w:r>
      <w:r w:rsidR="00EF1DE4" w:rsidRPr="008035AE">
        <w:t>model</w:t>
      </w:r>
      <w:r w:rsidR="00D82A70" w:rsidRPr="008035AE">
        <w:t>/ana</w:t>
      </w:r>
      <w:r w:rsidR="00527F04" w:rsidRPr="008035AE">
        <w:t>ly</w:t>
      </w:r>
      <w:r w:rsidR="00D82A70" w:rsidRPr="008035AE">
        <w:t>sis</w:t>
      </w:r>
      <w:r w:rsidR="00EF1DE4" w:rsidRPr="008035AE">
        <w:t xml:space="preserve"> has the strength of using real</w:t>
      </w:r>
      <w:r w:rsidR="0062239B" w:rsidRPr="008035AE">
        <w:t xml:space="preserve"> </w:t>
      </w:r>
      <w:r w:rsidR="00EF1DE4" w:rsidRPr="008035AE">
        <w:t>patient level</w:t>
      </w:r>
      <w:r w:rsidR="006C1CB4" w:rsidRPr="008035AE">
        <w:t xml:space="preserve"> primary care</w:t>
      </w:r>
      <w:r w:rsidR="00EF1DE4" w:rsidRPr="008035AE">
        <w:t xml:space="preserve"> data for patients to model</w:t>
      </w:r>
      <w:r w:rsidR="005A4A23" w:rsidRPr="008035AE">
        <w:t xml:space="preserve"> the</w:t>
      </w:r>
      <w:r w:rsidR="00EF1DE4" w:rsidRPr="008035AE">
        <w:t xml:space="preserve"> long term costs and </w:t>
      </w:r>
      <w:r w:rsidR="00F544F1" w:rsidRPr="008035AE">
        <w:t>consequences</w:t>
      </w:r>
      <w:r w:rsidR="00EF1DE4" w:rsidRPr="008035AE">
        <w:t xml:space="preserve"> of a CVD primary prevention intervention</w:t>
      </w:r>
      <w:r w:rsidR="00C6160D" w:rsidRPr="008035AE">
        <w:t xml:space="preserve">, making it a </w:t>
      </w:r>
      <w:r w:rsidR="00F34FEA" w:rsidRPr="008035AE">
        <w:t xml:space="preserve">better </w:t>
      </w:r>
      <w:r w:rsidR="00C6160D" w:rsidRPr="008035AE">
        <w:t xml:space="preserve">representation of </w:t>
      </w:r>
      <w:r w:rsidR="00553003" w:rsidRPr="008035AE">
        <w:t>real life</w:t>
      </w:r>
      <w:r w:rsidR="00EF1DE4" w:rsidRPr="008035AE">
        <w:t xml:space="preserve">. </w:t>
      </w:r>
      <w:r w:rsidR="00EF1DE4" w:rsidRPr="008035AE">
        <w:lastRenderedPageBreak/>
        <w:t xml:space="preserve">Few economic evaluations using patient level simulations have attempted </w:t>
      </w:r>
      <w:r w:rsidR="0079062E" w:rsidRPr="008035AE">
        <w:t xml:space="preserve">to </w:t>
      </w:r>
      <w:r w:rsidR="00C6160D" w:rsidRPr="008035AE">
        <w:t>use primary care data</w:t>
      </w:r>
      <w:r w:rsidR="00EF1DE4" w:rsidRPr="008035AE">
        <w:t xml:space="preserve"> before and none</w:t>
      </w:r>
      <w:r w:rsidR="00EA6AFB" w:rsidRPr="008035AE">
        <w:t xml:space="preserve"> have been performed w</w:t>
      </w:r>
      <w:r w:rsidR="003835A1" w:rsidRPr="008035AE">
        <w:t>i</w:t>
      </w:r>
      <w:r w:rsidR="00EA6AFB" w:rsidRPr="008035AE">
        <w:t>th</w:t>
      </w:r>
      <w:r w:rsidR="00EF1DE4" w:rsidRPr="008035AE">
        <w:t>in SMI populations</w:t>
      </w:r>
      <w:r w:rsidR="00EA6AFB" w:rsidRPr="008035AE">
        <w:t>, despite their high cardiovascular risk</w:t>
      </w:r>
      <w:r w:rsidR="00EF1DE4" w:rsidRPr="008035AE">
        <w:t>.</w:t>
      </w:r>
    </w:p>
    <w:p w14:paraId="1F3F94F1" w14:textId="645B1F6D" w:rsidR="007E1DFF" w:rsidRPr="008035AE" w:rsidRDefault="00F544F1" w:rsidP="007B3687">
      <w:pPr>
        <w:spacing w:line="480" w:lineRule="auto"/>
        <w:jc w:val="both"/>
      </w:pPr>
      <w:r w:rsidRPr="008035AE">
        <w:t>There were some weaknesses in our model</w:t>
      </w:r>
      <w:r w:rsidR="00301439" w:rsidRPr="008035AE">
        <w:t>/analysis</w:t>
      </w:r>
      <w:r w:rsidRPr="008035AE">
        <w:t xml:space="preserve">. First, we assumed </w:t>
      </w:r>
      <w:r w:rsidR="00C6160D" w:rsidRPr="008035AE">
        <w:t xml:space="preserve">that </w:t>
      </w:r>
      <w:r w:rsidR="00EB670A" w:rsidRPr="008035AE">
        <w:t xml:space="preserve">adherence </w:t>
      </w:r>
      <w:r w:rsidR="00C6160D" w:rsidRPr="008035AE">
        <w:t>with statin therapy is the same</w:t>
      </w:r>
      <w:r w:rsidR="00D44E8A" w:rsidRPr="008035AE">
        <w:t xml:space="preserve"> </w:t>
      </w:r>
      <w:r w:rsidRPr="008035AE">
        <w:t>as that seen in clinical trials</w:t>
      </w:r>
      <w:r w:rsidR="00D44E8A" w:rsidRPr="008035AE">
        <w:t>.</w:t>
      </w:r>
      <w:r w:rsidRPr="008035AE">
        <w:t xml:space="preserve"> Overall</w:t>
      </w:r>
      <w:r w:rsidR="00A371DC" w:rsidRPr="008035AE">
        <w:t>,</w:t>
      </w:r>
      <w:r w:rsidRPr="008035AE">
        <w:t xml:space="preserve"> statins </w:t>
      </w:r>
      <w:r w:rsidR="00C6160D" w:rsidRPr="008035AE">
        <w:t>tend to have</w:t>
      </w:r>
      <w:r w:rsidRPr="008035AE">
        <w:t xml:space="preserve"> high rate</w:t>
      </w:r>
      <w:r w:rsidR="00C6160D" w:rsidRPr="008035AE">
        <w:t>s</w:t>
      </w:r>
      <w:r w:rsidRPr="008035AE">
        <w:t xml:space="preserve"> of non-</w:t>
      </w:r>
      <w:r w:rsidR="009C2E7D" w:rsidRPr="008035AE">
        <w:t>adherence</w:t>
      </w:r>
      <w:r w:rsidR="009C2E7D" w:rsidRPr="008035AE">
        <w:rPr>
          <w:vertAlign w:val="superscript"/>
        </w:rPr>
        <w:t>42</w:t>
      </w:r>
      <w:r w:rsidR="009C2E7D" w:rsidRPr="008035AE">
        <w:t xml:space="preserve"> </w:t>
      </w:r>
      <w:r w:rsidR="00C6160D" w:rsidRPr="008035AE">
        <w:t xml:space="preserve">and </w:t>
      </w:r>
      <w:r w:rsidR="00EB670A" w:rsidRPr="008035AE">
        <w:t>adherence</w:t>
      </w:r>
      <w:r w:rsidR="00C6160D" w:rsidRPr="008035AE">
        <w:t xml:space="preserve"> is</w:t>
      </w:r>
      <w:r w:rsidRPr="008035AE">
        <w:t xml:space="preserve"> likely to be higher in </w:t>
      </w:r>
      <w:r w:rsidR="007B3687" w:rsidRPr="008035AE">
        <w:t>trials</w:t>
      </w:r>
      <w:r w:rsidR="007B3687" w:rsidRPr="008035AE">
        <w:rPr>
          <w:vertAlign w:val="superscript"/>
        </w:rPr>
        <w:t>51</w:t>
      </w:r>
      <w:r w:rsidR="007B3687" w:rsidRPr="008035AE">
        <w:t xml:space="preserve"> </w:t>
      </w:r>
      <w:r w:rsidRPr="008035AE">
        <w:t>where a gold standard of clinical care is provided</w:t>
      </w:r>
      <w:r w:rsidR="00C6160D" w:rsidRPr="008035AE">
        <w:t xml:space="preserve">, </w:t>
      </w:r>
      <w:r w:rsidR="00FB4571" w:rsidRPr="008035AE">
        <w:t xml:space="preserve">participants </w:t>
      </w:r>
      <w:r w:rsidR="00C6160D" w:rsidRPr="008035AE">
        <w:t>are monitored more closely</w:t>
      </w:r>
      <w:r w:rsidRPr="008035AE">
        <w:t xml:space="preserve"> and </w:t>
      </w:r>
      <w:r w:rsidR="00FB4571" w:rsidRPr="008035AE">
        <w:t xml:space="preserve">those </w:t>
      </w:r>
      <w:r w:rsidR="00F34FEA" w:rsidRPr="008035AE">
        <w:t xml:space="preserve">recruited </w:t>
      </w:r>
      <w:r w:rsidR="00C6160D" w:rsidRPr="008035AE">
        <w:t xml:space="preserve">are </w:t>
      </w:r>
      <w:r w:rsidR="00813560" w:rsidRPr="008035AE">
        <w:t xml:space="preserve">generally </w:t>
      </w:r>
      <w:r w:rsidR="00C6160D" w:rsidRPr="008035AE">
        <w:t>pre-</w:t>
      </w:r>
      <w:r w:rsidRPr="008035AE">
        <w:t xml:space="preserve">disposed to </w:t>
      </w:r>
      <w:r w:rsidR="00FB4571" w:rsidRPr="008035AE">
        <w:t>follow advice about</w:t>
      </w:r>
      <w:r w:rsidRPr="008035AE">
        <w:t xml:space="preserve"> medication</w:t>
      </w:r>
      <w:r w:rsidR="007E1DFF" w:rsidRPr="008035AE">
        <w:t>.</w:t>
      </w:r>
      <w:r w:rsidR="00E93BC4" w:rsidRPr="008035AE">
        <w:t xml:space="preserve"> When we tested this in a deterministic analysis, assuming </w:t>
      </w:r>
      <w:r w:rsidR="00EB670A" w:rsidRPr="008035AE">
        <w:t>an adherence</w:t>
      </w:r>
      <w:r w:rsidR="006513F8" w:rsidRPr="008035AE">
        <w:t xml:space="preserve"> of 50%</w:t>
      </w:r>
      <w:r w:rsidR="002C281D" w:rsidRPr="008035AE">
        <w:t xml:space="preserve">, the </w:t>
      </w:r>
      <w:r w:rsidR="00816BE6" w:rsidRPr="008035AE">
        <w:t xml:space="preserve">SMI-specific </w:t>
      </w:r>
      <w:r w:rsidR="00BE1C87" w:rsidRPr="008035AE">
        <w:t xml:space="preserve">BMI and </w:t>
      </w:r>
      <w:r w:rsidR="00816BE6" w:rsidRPr="008035AE">
        <w:t>general</w:t>
      </w:r>
      <w:r w:rsidR="00BE1C87" w:rsidRPr="008035AE">
        <w:t xml:space="preserve"> lipid algorithms </w:t>
      </w:r>
      <w:r w:rsidR="00D42FFF" w:rsidRPr="008035AE">
        <w:t>had the highest NMB at £20,000 per QALY</w:t>
      </w:r>
      <w:r w:rsidR="002C281D" w:rsidRPr="008035AE">
        <w:t xml:space="preserve">. </w:t>
      </w:r>
      <w:r w:rsidRPr="008035AE">
        <w:t>The</w:t>
      </w:r>
      <w:r w:rsidR="00D44E8A" w:rsidRPr="008035AE">
        <w:t xml:space="preserve"> effects of statin therapy were</w:t>
      </w:r>
      <w:r w:rsidRPr="008035AE">
        <w:t xml:space="preserve"> also</w:t>
      </w:r>
      <w:r w:rsidR="00D44E8A" w:rsidRPr="008035AE">
        <w:t xml:space="preserve"> taken from a systematic review and meta-analysis in a general population</w:t>
      </w:r>
      <w:r w:rsidR="00C1539F" w:rsidRPr="008035AE">
        <w:t>.</w:t>
      </w:r>
      <w:r w:rsidR="008F0C60" w:rsidRPr="008035AE">
        <w:t xml:space="preserve"> This was </w:t>
      </w:r>
      <w:r w:rsidR="00C1539F" w:rsidRPr="008035AE">
        <w:t>tested in</w:t>
      </w:r>
      <w:r w:rsidR="008F0C60" w:rsidRPr="008035AE">
        <w:t xml:space="preserve"> our</w:t>
      </w:r>
      <w:r w:rsidR="00C1539F" w:rsidRPr="008035AE">
        <w:t xml:space="preserve"> deterministic analyses assuming</w:t>
      </w:r>
      <w:r w:rsidR="008F0C60" w:rsidRPr="008035AE">
        <w:t xml:space="preserve"> a lower level of effectiveness. </w:t>
      </w:r>
      <w:r w:rsidR="00D44E8A" w:rsidRPr="008035AE">
        <w:t xml:space="preserve">We also assumed the benefits of statin therapy </w:t>
      </w:r>
      <w:r w:rsidR="00014ACA" w:rsidRPr="008035AE">
        <w:t>were constant</w:t>
      </w:r>
      <w:r w:rsidR="00D44E8A" w:rsidRPr="008035AE">
        <w:t xml:space="preserve"> over</w:t>
      </w:r>
      <w:r w:rsidR="00301439" w:rsidRPr="008035AE">
        <w:t xml:space="preserve"> </w:t>
      </w:r>
      <w:r w:rsidR="00D44E8A" w:rsidRPr="008035AE">
        <w:t xml:space="preserve">10 years, which may </w:t>
      </w:r>
      <w:r w:rsidR="00C6160D" w:rsidRPr="008035AE">
        <w:t xml:space="preserve">not be </w:t>
      </w:r>
      <w:r w:rsidR="00301439" w:rsidRPr="008035AE">
        <w:t>true</w:t>
      </w:r>
      <w:r w:rsidR="00D44E8A" w:rsidRPr="008035AE">
        <w:t>.</w:t>
      </w:r>
      <w:r w:rsidR="007E1DFF" w:rsidRPr="008035AE">
        <w:t xml:space="preserve"> </w:t>
      </w:r>
    </w:p>
    <w:p w14:paraId="65419E77" w14:textId="21A51EB6" w:rsidR="00D44E8A" w:rsidRPr="008035AE" w:rsidRDefault="005A4A23" w:rsidP="007B3687">
      <w:pPr>
        <w:spacing w:line="480" w:lineRule="auto"/>
        <w:jc w:val="both"/>
      </w:pPr>
      <w:r w:rsidRPr="008035AE">
        <w:t xml:space="preserve">Secondly, we were unable to obtain the </w:t>
      </w:r>
      <w:r w:rsidR="00F91C05" w:rsidRPr="008035AE">
        <w:t xml:space="preserve">coefficients for the </w:t>
      </w:r>
      <w:r w:rsidRPr="008035AE">
        <w:t xml:space="preserve">algorithm used </w:t>
      </w:r>
      <w:r w:rsidR="00F91C05" w:rsidRPr="008035AE">
        <w:t xml:space="preserve">most widely </w:t>
      </w:r>
      <w:r w:rsidRPr="008035AE">
        <w:t>in general practice in England,</w:t>
      </w:r>
      <w:r w:rsidR="00D44E8A" w:rsidRPr="008035AE">
        <w:t xml:space="preserve"> </w:t>
      </w:r>
      <w:r w:rsidRPr="008035AE">
        <w:t>QRISK</w:t>
      </w:r>
      <w:r w:rsidR="00090E20" w:rsidRPr="008035AE">
        <w:t>2</w:t>
      </w:r>
      <w:r w:rsidR="003B5A9F" w:rsidRPr="008035AE">
        <w:rPr>
          <w:vertAlign w:val="superscript"/>
        </w:rPr>
        <w:t>12</w:t>
      </w:r>
      <w:r w:rsidR="00D44E8A" w:rsidRPr="008035AE">
        <w:t xml:space="preserve">. </w:t>
      </w:r>
      <w:r w:rsidRPr="008035AE">
        <w:t>Instead we used</w:t>
      </w:r>
      <w:r w:rsidR="00D44E8A" w:rsidRPr="008035AE">
        <w:t xml:space="preserve"> the Framingham CVD risk prediction algorithm</w:t>
      </w:r>
      <w:r w:rsidR="00B56571" w:rsidRPr="008035AE">
        <w:t>, but</w:t>
      </w:r>
      <w:r w:rsidR="00D44E8A" w:rsidRPr="008035AE">
        <w:t xml:space="preserve"> re-estimated to the UK</w:t>
      </w:r>
      <w:r w:rsidR="00B56571" w:rsidRPr="008035AE">
        <w:t xml:space="preserve"> general</w:t>
      </w:r>
      <w:r w:rsidR="00D44E8A" w:rsidRPr="008035AE">
        <w:t xml:space="preserve"> population. We cannot be sure this version is equivalent to QRISK</w:t>
      </w:r>
      <w:r w:rsidR="00373445" w:rsidRPr="008035AE">
        <w:t>2</w:t>
      </w:r>
      <w:r w:rsidR="00D44E8A" w:rsidRPr="008035AE">
        <w:t xml:space="preserve"> in predicting risk</w:t>
      </w:r>
      <w:r w:rsidR="00EE5440" w:rsidRPr="008035AE">
        <w:t xml:space="preserve"> although </w:t>
      </w:r>
      <w:r w:rsidR="001E67D1" w:rsidRPr="008035AE">
        <w:t>previous analyses showed the re-estimated Framingham perform</w:t>
      </w:r>
      <w:r w:rsidR="005373F4" w:rsidRPr="008035AE">
        <w:t>ed</w:t>
      </w:r>
      <w:r w:rsidR="001E67D1" w:rsidRPr="008035AE">
        <w:t xml:space="preserve"> well in the SMI population</w:t>
      </w:r>
      <w:r w:rsidR="009C2E7D" w:rsidRPr="008035AE">
        <w:rPr>
          <w:vertAlign w:val="superscript"/>
        </w:rPr>
        <w:t>23</w:t>
      </w:r>
      <w:r w:rsidR="00D44E8A" w:rsidRPr="008035AE">
        <w:t>.</w:t>
      </w:r>
      <w:r w:rsidR="00E77DA9" w:rsidRPr="008035AE">
        <w:t xml:space="preserve"> Further to this,</w:t>
      </w:r>
      <w:r w:rsidR="00D44E8A" w:rsidRPr="008035AE">
        <w:t xml:space="preserve"> </w:t>
      </w:r>
      <w:r w:rsidR="00E77DA9" w:rsidRPr="008035AE">
        <w:t xml:space="preserve">previous </w:t>
      </w:r>
      <w:r w:rsidRPr="008035AE">
        <w:t>studies</w:t>
      </w:r>
      <w:r w:rsidR="00CB1E52" w:rsidRPr="008035AE">
        <w:t xml:space="preserve"> </w:t>
      </w:r>
      <w:r w:rsidRPr="008035AE">
        <w:t xml:space="preserve">have reported that it is unlikely that using a different </w:t>
      </w:r>
      <w:r w:rsidR="002257A9" w:rsidRPr="008035AE">
        <w:t xml:space="preserve">general population </w:t>
      </w:r>
      <w:r w:rsidRPr="008035AE">
        <w:t xml:space="preserve">CVD risk algorithm </w:t>
      </w:r>
      <w:r w:rsidR="00DA70E4" w:rsidRPr="008035AE">
        <w:t>will</w:t>
      </w:r>
      <w:r w:rsidR="007125A2" w:rsidRPr="008035AE">
        <w:t xml:space="preserve"> </w:t>
      </w:r>
      <w:r w:rsidRPr="008035AE">
        <w:t xml:space="preserve">have a significant impact on the results of a cost-effectiveness </w:t>
      </w:r>
      <w:r w:rsidR="007B3687" w:rsidRPr="008035AE">
        <w:t>analysis</w:t>
      </w:r>
      <w:r w:rsidR="007B3687" w:rsidRPr="008035AE">
        <w:rPr>
          <w:vertAlign w:val="superscript"/>
        </w:rPr>
        <w:t>52</w:t>
      </w:r>
      <w:r w:rsidR="00F85C93" w:rsidRPr="008035AE">
        <w:t>.</w:t>
      </w:r>
      <w:r w:rsidR="006A435E" w:rsidRPr="008035AE">
        <w:t xml:space="preserve"> </w:t>
      </w:r>
    </w:p>
    <w:p w14:paraId="21692EEC" w14:textId="16388562" w:rsidR="00CB1E52" w:rsidRPr="008035AE" w:rsidRDefault="00CB1E52" w:rsidP="00221A71">
      <w:pPr>
        <w:spacing w:line="480" w:lineRule="auto"/>
        <w:jc w:val="both"/>
      </w:pPr>
      <w:r w:rsidRPr="008035AE">
        <w:t>It was assumed that all</w:t>
      </w:r>
      <w:r w:rsidR="00B56571" w:rsidRPr="008035AE">
        <w:t xml:space="preserve"> people with</w:t>
      </w:r>
      <w:r w:rsidRPr="008035AE">
        <w:t xml:space="preserve"> SMI were </w:t>
      </w:r>
      <w:r w:rsidR="00CB5E56" w:rsidRPr="008035AE">
        <w:t xml:space="preserve">in a </w:t>
      </w:r>
      <w:r w:rsidRPr="008035AE">
        <w:t>“stable”</w:t>
      </w:r>
      <w:r w:rsidR="00CB5E56" w:rsidRPr="008035AE">
        <w:t xml:space="preserve"> mental state</w:t>
      </w:r>
      <w:r w:rsidR="00BE1C87" w:rsidRPr="008035AE">
        <w:t xml:space="preserve"> free of symptoms</w:t>
      </w:r>
      <w:r w:rsidR="00CB5E56" w:rsidRPr="008035AE">
        <w:t>,</w:t>
      </w:r>
      <w:r w:rsidRPr="008035AE">
        <w:t xml:space="preserve"> which might not be realistic.</w:t>
      </w:r>
      <w:r w:rsidR="007E1DFF" w:rsidRPr="008035AE">
        <w:t xml:space="preserve"> This was done for simplicity and because the focus was reduced CVD events</w:t>
      </w:r>
      <w:r w:rsidR="005C18E0" w:rsidRPr="008035AE">
        <w:t xml:space="preserve"> and</w:t>
      </w:r>
      <w:r w:rsidR="007E1DFF" w:rsidRPr="008035AE">
        <w:t xml:space="preserve"> not improved SMI treatment.</w:t>
      </w:r>
      <w:r w:rsidRPr="008035AE">
        <w:t xml:space="preserve"> Our deterministic </w:t>
      </w:r>
      <w:r w:rsidR="002D6BC9" w:rsidRPr="008035AE">
        <w:t xml:space="preserve">models demonstrated that reducing the assumed utilities for SMI </w:t>
      </w:r>
      <w:r w:rsidR="00D42FFF" w:rsidRPr="008035AE">
        <w:t>patients</w:t>
      </w:r>
      <w:r w:rsidR="002D6BC9" w:rsidRPr="008035AE">
        <w:t xml:space="preserve"> </w:t>
      </w:r>
      <w:r w:rsidR="00184130" w:rsidRPr="008035AE">
        <w:t>did not have a significant impact on the results</w:t>
      </w:r>
      <w:r w:rsidRPr="008035AE">
        <w:t>.</w:t>
      </w:r>
      <w:r w:rsidR="007E1DFF" w:rsidRPr="008035AE">
        <w:t xml:space="preserve"> </w:t>
      </w:r>
    </w:p>
    <w:p w14:paraId="55371649" w14:textId="7C4F6BE4" w:rsidR="00C6160D" w:rsidRPr="008035AE" w:rsidRDefault="00C6160D" w:rsidP="00742DB8">
      <w:pPr>
        <w:spacing w:line="480" w:lineRule="auto"/>
        <w:jc w:val="both"/>
      </w:pPr>
      <w:r w:rsidRPr="008035AE">
        <w:lastRenderedPageBreak/>
        <w:t>Thirdly, we were unable to validate the</w:t>
      </w:r>
      <w:r w:rsidR="00D162DA" w:rsidRPr="008035AE">
        <w:t xml:space="preserve"> economic</w:t>
      </w:r>
      <w:r w:rsidRPr="008035AE">
        <w:t xml:space="preserve"> model</w:t>
      </w:r>
      <w:r w:rsidR="00F870DA" w:rsidRPr="008035AE">
        <w:t xml:space="preserve"> externally</w:t>
      </w:r>
      <w:r w:rsidRPr="008035AE">
        <w:t xml:space="preserve"> as there </w:t>
      </w:r>
      <w:r w:rsidR="0002168F" w:rsidRPr="008035AE">
        <w:t>was no other data source</w:t>
      </w:r>
      <w:r w:rsidRPr="008035AE">
        <w:t xml:space="preserve"> on CVD events in primary care patients with SMI.</w:t>
      </w:r>
      <w:r w:rsidR="002E0799" w:rsidRPr="008035AE">
        <w:t xml:space="preserve"> </w:t>
      </w:r>
      <w:r w:rsidR="00032607" w:rsidRPr="008035AE">
        <w:t>A</w:t>
      </w:r>
      <w:r w:rsidR="00CB1E52" w:rsidRPr="008035AE">
        <w:t xml:space="preserve">n </w:t>
      </w:r>
      <w:r w:rsidR="002E0799" w:rsidRPr="008035AE">
        <w:t>internal validation comparing the number of CVD events recorded in the THIN data and the number of CVD events predicted when no algorithm was employed, showed comparable results.</w:t>
      </w:r>
      <w:r w:rsidR="00B13A4C" w:rsidRPr="008035AE">
        <w:t xml:space="preserve"> </w:t>
      </w:r>
      <w:r w:rsidR="0078096C" w:rsidRPr="008035AE">
        <w:t>Therefore,</w:t>
      </w:r>
      <w:r w:rsidR="004A519D" w:rsidRPr="008035AE">
        <w:t xml:space="preserve"> whilst our model population was </w:t>
      </w:r>
      <w:r w:rsidR="0078096C" w:rsidRPr="008035AE">
        <w:t xml:space="preserve">considerably </w:t>
      </w:r>
      <w:r w:rsidR="004A519D" w:rsidRPr="008035AE">
        <w:t>smaller than the larger cohort of 38,824</w:t>
      </w:r>
      <w:r w:rsidR="0078096C" w:rsidRPr="008035AE">
        <w:t xml:space="preserve"> individuals, </w:t>
      </w:r>
      <w:r w:rsidR="004A519D" w:rsidRPr="008035AE">
        <w:t>it was representative</w:t>
      </w:r>
      <w:r w:rsidR="0078096C" w:rsidRPr="008035AE">
        <w:t xml:space="preserve"> of the SMI population in THIN.</w:t>
      </w:r>
    </w:p>
    <w:p w14:paraId="3219FD4D" w14:textId="77777777" w:rsidR="00B13A4C" w:rsidRPr="00D4690F" w:rsidRDefault="00B13A4C" w:rsidP="00221A71">
      <w:pPr>
        <w:spacing w:line="480" w:lineRule="auto"/>
        <w:jc w:val="both"/>
        <w:rPr>
          <w:highlight w:val="yellow"/>
        </w:rPr>
      </w:pPr>
    </w:p>
    <w:p w14:paraId="789AFEB2" w14:textId="6E6DA06F" w:rsidR="00D44E8A" w:rsidRPr="00D4690F" w:rsidRDefault="00707226" w:rsidP="00221A71">
      <w:pPr>
        <w:pStyle w:val="ListParagraph"/>
        <w:numPr>
          <w:ilvl w:val="0"/>
          <w:numId w:val="6"/>
        </w:numPr>
        <w:spacing w:line="480" w:lineRule="auto"/>
        <w:jc w:val="both"/>
        <w:rPr>
          <w:b/>
        </w:rPr>
      </w:pPr>
      <w:r w:rsidRPr="00D4690F">
        <w:rPr>
          <w:b/>
        </w:rPr>
        <w:t>CONCLUSIONS</w:t>
      </w:r>
    </w:p>
    <w:p w14:paraId="69FF647F" w14:textId="5032FEDB" w:rsidR="004A427E" w:rsidRDefault="001174F7" w:rsidP="008035AE">
      <w:pPr>
        <w:spacing w:line="480" w:lineRule="auto"/>
        <w:jc w:val="both"/>
      </w:pPr>
      <w:r w:rsidRPr="00D4690F">
        <w:t xml:space="preserve">This is the first </w:t>
      </w:r>
      <w:r w:rsidR="00AC67B9" w:rsidRPr="00D4690F">
        <w:t xml:space="preserve">economic </w:t>
      </w:r>
      <w:r w:rsidRPr="00D4690F">
        <w:t>model</w:t>
      </w:r>
      <w:r w:rsidR="00AC67B9" w:rsidRPr="00D4690F">
        <w:t>/analysis</w:t>
      </w:r>
      <w:r w:rsidRPr="00D4690F">
        <w:t xml:space="preserve"> to quantify the costs and consequences of </w:t>
      </w:r>
      <w:r w:rsidR="00AC67B9" w:rsidRPr="00D4690F">
        <w:t xml:space="preserve">assessing </w:t>
      </w:r>
      <w:r w:rsidRPr="00D4690F">
        <w:t xml:space="preserve">SMI patients in primary care </w:t>
      </w:r>
      <w:r w:rsidR="00AC67B9" w:rsidRPr="00D4690F">
        <w:t>with</w:t>
      </w:r>
      <w:r w:rsidRPr="00D4690F">
        <w:t xml:space="preserve"> </w:t>
      </w:r>
      <w:r w:rsidR="00404576" w:rsidRPr="00D4690F">
        <w:t xml:space="preserve">a </w:t>
      </w:r>
      <w:r w:rsidRPr="00D4690F">
        <w:t>CVD risk algorithm and</w:t>
      </w:r>
      <w:r w:rsidR="00B41EEB" w:rsidRPr="007A64DE">
        <w:t xml:space="preserve"> </w:t>
      </w:r>
      <w:r w:rsidR="00F91C05" w:rsidRPr="00D4690F">
        <w:t>prescribing statins</w:t>
      </w:r>
      <w:r w:rsidRPr="00D4690F">
        <w:t xml:space="preserve"> to those </w:t>
      </w:r>
      <w:r w:rsidR="00AC67B9" w:rsidRPr="00D4690F">
        <w:t xml:space="preserve">classified </w:t>
      </w:r>
      <w:r w:rsidRPr="00D4690F">
        <w:t>a</w:t>
      </w:r>
      <w:r w:rsidR="00AC67B9" w:rsidRPr="00D4690F">
        <w:t>s</w:t>
      </w:r>
      <w:r w:rsidRPr="00D4690F">
        <w:t xml:space="preserve"> high risk. Our model suggests that there is a significant economic benefit</w:t>
      </w:r>
      <w:r w:rsidR="00621C52" w:rsidRPr="00D4690F">
        <w:t xml:space="preserve"> associated with the improved management of </w:t>
      </w:r>
      <w:r w:rsidR="007E1DFF" w:rsidRPr="00D4690F">
        <w:t xml:space="preserve">modifiable </w:t>
      </w:r>
      <w:r w:rsidR="00621C52" w:rsidRPr="00D4690F">
        <w:t>CVD risk</w:t>
      </w:r>
      <w:r w:rsidR="007E1DFF" w:rsidRPr="00D4690F">
        <w:t xml:space="preserve"> factors</w:t>
      </w:r>
      <w:r w:rsidR="00621C52" w:rsidRPr="00D4690F">
        <w:t xml:space="preserve"> for patients with SMI</w:t>
      </w:r>
      <w:r w:rsidR="00AC67B9" w:rsidRPr="00D4690F">
        <w:t>, using statins</w:t>
      </w:r>
      <w:r w:rsidR="00621C52" w:rsidRPr="00D4690F">
        <w:t>.</w:t>
      </w:r>
      <w:r w:rsidRPr="00D4690F">
        <w:t xml:space="preserve"> </w:t>
      </w:r>
      <w:r w:rsidR="00F91C05" w:rsidRPr="00D4690F">
        <w:t>T</w:t>
      </w:r>
      <w:r w:rsidR="00C6160D" w:rsidRPr="00D4690F">
        <w:t>he</w:t>
      </w:r>
      <w:r w:rsidR="00D44E8A" w:rsidRPr="00D4690F">
        <w:t xml:space="preserve"> </w:t>
      </w:r>
      <w:r w:rsidR="00A220A6" w:rsidRPr="00D4690F">
        <w:t xml:space="preserve">SMI-specific </w:t>
      </w:r>
      <w:r w:rsidR="00D44E8A" w:rsidRPr="00D4690F">
        <w:t>BMI algorithm</w:t>
      </w:r>
      <w:r w:rsidR="00C6160D" w:rsidRPr="00D4690F">
        <w:t xml:space="preserve"> function</w:t>
      </w:r>
      <w:r w:rsidR="00F91C05" w:rsidRPr="00D4690F">
        <w:t>ed</w:t>
      </w:r>
      <w:r w:rsidR="00C6160D" w:rsidRPr="00D4690F">
        <w:t xml:space="preserve"> </w:t>
      </w:r>
      <w:r w:rsidR="008035AE" w:rsidRPr="00D4690F">
        <w:t xml:space="preserve">better than </w:t>
      </w:r>
      <w:r w:rsidR="00D4690F" w:rsidRPr="00D4690F">
        <w:t xml:space="preserve">the </w:t>
      </w:r>
      <w:r w:rsidR="008035AE" w:rsidRPr="00D4690F">
        <w:t>other CVD risk algorithms</w:t>
      </w:r>
      <w:r w:rsidR="00D4690F" w:rsidRPr="00D4690F">
        <w:t xml:space="preserve"> tested</w:t>
      </w:r>
      <w:r w:rsidR="008035AE" w:rsidRPr="00D4690F">
        <w:t>.</w:t>
      </w:r>
      <w:r w:rsidR="00A45990">
        <w:t xml:space="preserve"> </w:t>
      </w:r>
      <w:r w:rsidR="008035AE" w:rsidRPr="00D4690F">
        <w:t>The</w:t>
      </w:r>
      <w:r w:rsidR="00C6160D" w:rsidRPr="00D4690F">
        <w:t xml:space="preserve"> ease </w:t>
      </w:r>
      <w:r w:rsidR="00AC67B9" w:rsidRPr="00D4690F">
        <w:t xml:space="preserve">and acceptability </w:t>
      </w:r>
      <w:r w:rsidR="00C6160D" w:rsidRPr="00D4690F">
        <w:t>of use</w:t>
      </w:r>
      <w:r w:rsidR="00AC67B9" w:rsidRPr="00D4690F">
        <w:t xml:space="preserve"> for patients (due to lack of blood test)</w:t>
      </w:r>
      <w:r w:rsidR="00C6160D" w:rsidRPr="00D4690F">
        <w:t xml:space="preserve"> and </w:t>
      </w:r>
      <w:r w:rsidR="007E1DFF" w:rsidRPr="00D4690F">
        <w:t xml:space="preserve">potential to </w:t>
      </w:r>
      <w:r w:rsidR="00C6160D" w:rsidRPr="00D4690F">
        <w:t>increase</w:t>
      </w:r>
      <w:r w:rsidR="007E1DFF" w:rsidRPr="00D4690F">
        <w:t xml:space="preserve"> </w:t>
      </w:r>
      <w:r w:rsidR="00C6160D" w:rsidRPr="00D4690F">
        <w:t>awareness of CVD risk in SMI patients</w:t>
      </w:r>
      <w:r w:rsidR="00AC67B9" w:rsidRPr="00D4690F">
        <w:t>,</w:t>
      </w:r>
      <w:r w:rsidR="00C6160D" w:rsidRPr="00D4690F">
        <w:t xml:space="preserve"> makes it an attractive algorithm to implement in a range of settings.</w:t>
      </w:r>
      <w:r w:rsidR="00D44E8A" w:rsidRPr="00D4690F">
        <w:t xml:space="preserve"> </w:t>
      </w:r>
      <w:r w:rsidR="00510107" w:rsidRPr="00D4690F">
        <w:t xml:space="preserve">Once implemented, </w:t>
      </w:r>
      <w:r w:rsidR="00CA3100" w:rsidRPr="00D4690F">
        <w:t>re-</w:t>
      </w:r>
      <w:r w:rsidR="00A3517B" w:rsidRPr="00D4690F">
        <w:t>evaluation and comparison of</w:t>
      </w:r>
      <w:r w:rsidR="00CA3100" w:rsidRPr="00D4690F">
        <w:t xml:space="preserve"> the</w:t>
      </w:r>
      <w:r w:rsidR="00510107" w:rsidRPr="00D4690F">
        <w:t xml:space="preserve"> SMI-specific BMI algorithm to current </w:t>
      </w:r>
      <w:r w:rsidR="00CA3100" w:rsidRPr="00D4690F">
        <w:t>practice</w:t>
      </w:r>
      <w:r w:rsidR="00510107" w:rsidRPr="00D4690F">
        <w:t xml:space="preserve"> using real-life data</w:t>
      </w:r>
      <w:r w:rsidR="00A3517B" w:rsidRPr="00D4690F">
        <w:t xml:space="preserve"> is necessary,</w:t>
      </w:r>
      <w:r w:rsidR="00CA3100" w:rsidRPr="00D4690F">
        <w:t xml:space="preserve"> as this has the potential to influence continuity of care for people with SMI at risk of CVD the UK</w:t>
      </w:r>
      <w:r w:rsidR="00510107" w:rsidRPr="00D4690F">
        <w:t>.</w:t>
      </w:r>
      <w:r w:rsidR="00510107">
        <w:t xml:space="preserve"> </w:t>
      </w:r>
    </w:p>
    <w:p w14:paraId="3392539A" w14:textId="77777777" w:rsidR="00510107" w:rsidRDefault="00510107">
      <w:r>
        <w:br w:type="page"/>
      </w:r>
    </w:p>
    <w:p w14:paraId="55455CEB" w14:textId="3C584377" w:rsidR="002F26F2" w:rsidRDefault="00707226">
      <w:pPr>
        <w:spacing w:line="480" w:lineRule="auto"/>
        <w:jc w:val="both"/>
        <w:rPr>
          <w:b/>
        </w:rPr>
      </w:pPr>
      <w:r>
        <w:rPr>
          <w:b/>
        </w:rPr>
        <w:lastRenderedPageBreak/>
        <w:t>ACKNOWLEDGEMENT</w:t>
      </w:r>
      <w:r w:rsidR="00A32A8C">
        <w:rPr>
          <w:b/>
        </w:rPr>
        <w:t>S</w:t>
      </w:r>
    </w:p>
    <w:p w14:paraId="05D4BEA2" w14:textId="787AA722" w:rsidR="000C3271" w:rsidRPr="0050387A" w:rsidRDefault="0065491B" w:rsidP="00221A71">
      <w:pPr>
        <w:spacing w:line="480" w:lineRule="auto"/>
        <w:jc w:val="both"/>
        <w:rPr>
          <w:color w:val="000000" w:themeColor="text1"/>
        </w:rPr>
      </w:pPr>
      <w:r w:rsidRPr="0050387A">
        <w:rPr>
          <w:b/>
          <w:color w:val="000000" w:themeColor="text1"/>
        </w:rPr>
        <w:t>Co</w:t>
      </w:r>
      <w:r w:rsidR="000F463F">
        <w:rPr>
          <w:b/>
          <w:color w:val="000000" w:themeColor="text1"/>
        </w:rPr>
        <w:t>mpeting interests</w:t>
      </w:r>
      <w:r w:rsidRPr="0050387A">
        <w:rPr>
          <w:b/>
          <w:color w:val="000000" w:themeColor="text1"/>
        </w:rPr>
        <w:t>:</w:t>
      </w:r>
      <w:r w:rsidRPr="0050387A">
        <w:rPr>
          <w:color w:val="000000" w:themeColor="text1"/>
        </w:rPr>
        <w:t xml:space="preserve"> </w:t>
      </w:r>
      <w:r w:rsidR="000F463F">
        <w:rPr>
          <w:lang w:val="en"/>
        </w:rPr>
        <w:t xml:space="preserve">All authors declare: no support from any </w:t>
      </w:r>
      <w:proofErr w:type="spellStart"/>
      <w:r w:rsidR="000F463F">
        <w:rPr>
          <w:lang w:val="en"/>
        </w:rPr>
        <w:t>organisation</w:t>
      </w:r>
      <w:proofErr w:type="spellEnd"/>
      <w:r w:rsidR="000F463F">
        <w:rPr>
          <w:lang w:val="en"/>
        </w:rPr>
        <w:t xml:space="preserve"> for the submitted work, no financial relationships with any </w:t>
      </w:r>
      <w:proofErr w:type="spellStart"/>
      <w:r w:rsidR="000F463F">
        <w:rPr>
          <w:lang w:val="en"/>
        </w:rPr>
        <w:t>organisations</w:t>
      </w:r>
      <w:proofErr w:type="spellEnd"/>
      <w:r w:rsidR="000F463F">
        <w:rPr>
          <w:lang w:val="en"/>
        </w:rPr>
        <w:t xml:space="preserve"> that might have an interest in the submitted work in the previous three years, and no other relationships or activities that could appear to have influenced the submitted work.</w:t>
      </w:r>
    </w:p>
    <w:p w14:paraId="5827A863" w14:textId="146ACBA6" w:rsidR="000C3271" w:rsidRPr="0093547C" w:rsidRDefault="00676DB0" w:rsidP="00221A71">
      <w:pPr>
        <w:shd w:val="clear" w:color="auto" w:fill="FFFFFF"/>
        <w:spacing w:after="150" w:line="480" w:lineRule="auto"/>
        <w:jc w:val="both"/>
        <w:rPr>
          <w:rFonts w:eastAsia="Times New Roman" w:cs="Times New Roman"/>
          <w:lang w:eastAsia="en-GB"/>
        </w:rPr>
      </w:pPr>
      <w:r w:rsidRPr="0093547C">
        <w:rPr>
          <w:rFonts w:eastAsia="Times New Roman" w:cs="Times New Roman"/>
          <w:b/>
          <w:bCs/>
          <w:lang w:eastAsia="en-GB"/>
        </w:rPr>
        <w:t>Financial support</w:t>
      </w:r>
      <w:r w:rsidR="000C3271" w:rsidRPr="0093547C">
        <w:rPr>
          <w:rFonts w:eastAsia="Times New Roman" w:cs="Times New Roman"/>
          <w:b/>
          <w:bCs/>
          <w:lang w:eastAsia="en-GB"/>
        </w:rPr>
        <w:t>:</w:t>
      </w:r>
      <w:r w:rsidR="000C3271" w:rsidRPr="0093547C">
        <w:rPr>
          <w:rFonts w:eastAsia="Times New Roman" w:cs="Times New Roman"/>
          <w:lang w:eastAsia="en-GB"/>
        </w:rPr>
        <w:t xml:space="preserve"> </w:t>
      </w:r>
      <w:r w:rsidR="00B400F7" w:rsidRPr="0093547C">
        <w:t xml:space="preserve">This paper summarises independent research </w:t>
      </w:r>
      <w:r w:rsidR="001C6CC3" w:rsidRPr="0093547C">
        <w:t>supported</w:t>
      </w:r>
      <w:r w:rsidR="001C6CC3" w:rsidRPr="007B3687">
        <w:t xml:space="preserve"> </w:t>
      </w:r>
      <w:r w:rsidR="00B400F7" w:rsidRPr="003057E9">
        <w:t xml:space="preserve">by the National Institute for Health Research (NIHR) under its Programme Grants for Applied Research Programme (Grant Reference Number: RP-PG-0609-10156). </w:t>
      </w:r>
      <w:r w:rsidR="000C3271" w:rsidRPr="0093547C">
        <w:rPr>
          <w:rFonts w:eastAsia="Times New Roman" w:cs="Times New Roman"/>
          <w:lang w:eastAsia="en-GB"/>
        </w:rPr>
        <w:t>The funder had no role in the design and conduct of the study; collection, management, analysis, and interpretation of the data; preparation, review, or approval of the manuscript; and decision to submit the manuscript for publication.</w:t>
      </w:r>
    </w:p>
    <w:p w14:paraId="686F8A9E" w14:textId="5B4E9A84" w:rsidR="000C3271" w:rsidRPr="0093547C" w:rsidRDefault="000C3271" w:rsidP="00221A71">
      <w:pPr>
        <w:shd w:val="clear" w:color="auto" w:fill="FFFFFF"/>
        <w:spacing w:after="150" w:line="480" w:lineRule="auto"/>
        <w:jc w:val="both"/>
        <w:rPr>
          <w:rFonts w:eastAsia="Times New Roman" w:cs="Times New Roman"/>
          <w:lang w:eastAsia="en-GB"/>
        </w:rPr>
      </w:pPr>
      <w:r w:rsidRPr="0093547C">
        <w:rPr>
          <w:rFonts w:eastAsia="Times New Roman" w:cs="Times New Roman"/>
          <w:b/>
          <w:bCs/>
          <w:lang w:eastAsia="en-GB"/>
        </w:rPr>
        <w:t>Disclaimer:</w:t>
      </w:r>
      <w:r w:rsidRPr="0093547C">
        <w:rPr>
          <w:rFonts w:eastAsia="Times New Roman" w:cs="Times New Roman"/>
          <w:lang w:eastAsia="en-GB"/>
        </w:rPr>
        <w:t xml:space="preserve"> The views expressed are those of the authors and not necessarily those of the National Health Service, the NIHR, or the Department of Health.</w:t>
      </w:r>
    </w:p>
    <w:p w14:paraId="525211FF" w14:textId="77777777" w:rsidR="005C03A3" w:rsidRPr="0093547C" w:rsidRDefault="005C03A3" w:rsidP="00221A71">
      <w:pPr>
        <w:shd w:val="clear" w:color="auto" w:fill="FFFFFF"/>
        <w:spacing w:after="150" w:line="480" w:lineRule="auto"/>
        <w:jc w:val="both"/>
        <w:rPr>
          <w:rFonts w:eastAsia="Times New Roman" w:cs="Times New Roman"/>
          <w:lang w:eastAsia="en-GB"/>
        </w:rPr>
      </w:pPr>
    </w:p>
    <w:p w14:paraId="31894352" w14:textId="302E0569" w:rsidR="005C03A3" w:rsidRPr="0093547C" w:rsidRDefault="005C03A3" w:rsidP="00221A71">
      <w:pPr>
        <w:shd w:val="clear" w:color="auto" w:fill="FFFFFF"/>
        <w:spacing w:after="150" w:line="480" w:lineRule="auto"/>
        <w:jc w:val="both"/>
        <w:rPr>
          <w:rFonts w:eastAsia="Times New Roman" w:cs="Times New Roman"/>
          <w:b/>
          <w:bCs/>
          <w:lang w:eastAsia="en-GB"/>
        </w:rPr>
      </w:pPr>
      <w:r w:rsidRPr="0093547C">
        <w:rPr>
          <w:rFonts w:eastAsia="Times New Roman" w:cs="Times New Roman"/>
          <w:b/>
          <w:bCs/>
          <w:lang w:eastAsia="en-GB"/>
        </w:rPr>
        <w:t>DATA SHARING</w:t>
      </w:r>
    </w:p>
    <w:p w14:paraId="0522F3CE" w14:textId="77DD641F" w:rsidR="000F463F" w:rsidRPr="0093547C" w:rsidRDefault="005C03A3" w:rsidP="005C03A3">
      <w:pPr>
        <w:shd w:val="clear" w:color="auto" w:fill="FFFFFF"/>
        <w:spacing w:after="150" w:line="480" w:lineRule="auto"/>
        <w:jc w:val="both"/>
        <w:rPr>
          <w:rFonts w:eastAsia="Times New Roman" w:cs="Times New Roman"/>
          <w:lang w:eastAsia="en-GB"/>
        </w:rPr>
      </w:pPr>
      <w:r w:rsidRPr="0093547C">
        <w:rPr>
          <w:rFonts w:eastAsia="Times New Roman" w:cs="Times New Roman"/>
          <w:lang w:eastAsia="en-GB"/>
        </w:rPr>
        <w:t>No additional data available.</w:t>
      </w:r>
    </w:p>
    <w:p w14:paraId="02B66525" w14:textId="77777777" w:rsidR="000F463F" w:rsidRDefault="000F463F" w:rsidP="00221A71">
      <w:pPr>
        <w:shd w:val="clear" w:color="auto" w:fill="FFFFFF"/>
        <w:spacing w:after="150" w:line="480" w:lineRule="auto"/>
        <w:jc w:val="both"/>
        <w:rPr>
          <w:rFonts w:eastAsia="Times New Roman" w:cs="Times New Roman"/>
          <w:b/>
          <w:bCs/>
          <w:color w:val="333333"/>
          <w:lang w:eastAsia="en-GB"/>
        </w:rPr>
      </w:pPr>
      <w:r>
        <w:rPr>
          <w:rFonts w:eastAsia="Times New Roman" w:cs="Times New Roman"/>
          <w:b/>
          <w:bCs/>
          <w:color w:val="333333"/>
          <w:lang w:eastAsia="en-GB"/>
        </w:rPr>
        <w:br w:type="page"/>
      </w:r>
    </w:p>
    <w:p w14:paraId="28EFCAA1" w14:textId="18474F35" w:rsidR="000F463F" w:rsidRPr="00411392" w:rsidRDefault="000F463F" w:rsidP="00221A71">
      <w:pPr>
        <w:shd w:val="clear" w:color="auto" w:fill="FFFFFF"/>
        <w:spacing w:after="150" w:line="480" w:lineRule="auto"/>
        <w:jc w:val="both"/>
        <w:rPr>
          <w:b/>
          <w:bCs/>
        </w:rPr>
      </w:pPr>
      <w:r w:rsidRPr="00411392">
        <w:rPr>
          <w:rFonts w:eastAsia="Times New Roman" w:cs="Times New Roman"/>
          <w:b/>
          <w:bCs/>
          <w:color w:val="333333"/>
          <w:lang w:eastAsia="en-GB"/>
        </w:rPr>
        <w:lastRenderedPageBreak/>
        <w:t>Author contributions:</w:t>
      </w:r>
    </w:p>
    <w:p w14:paraId="5C2B8AF3" w14:textId="77777777" w:rsidR="000F463F" w:rsidRPr="0050387A" w:rsidRDefault="000F463F" w:rsidP="00221A71">
      <w:pPr>
        <w:spacing w:line="480" w:lineRule="auto"/>
        <w:jc w:val="both"/>
        <w:rPr>
          <w:b/>
          <w:color w:val="000000" w:themeColor="text1"/>
        </w:rPr>
      </w:pPr>
      <w:r w:rsidRPr="0050387A">
        <w:rPr>
          <w:color w:val="000000" w:themeColor="text1"/>
        </w:rPr>
        <w:t>Dr Zomer and Ms Hunter had full access to all the data in the study and take responsibility for the integrity of the data and the accuracy of the data analysis.</w:t>
      </w:r>
    </w:p>
    <w:p w14:paraId="0D7E7B06" w14:textId="77777777" w:rsidR="000F463F" w:rsidRPr="0050387A" w:rsidRDefault="000F463F" w:rsidP="00221A71">
      <w:pPr>
        <w:shd w:val="clear" w:color="auto" w:fill="FFFFFF"/>
        <w:spacing w:after="150" w:line="480" w:lineRule="auto"/>
        <w:jc w:val="both"/>
        <w:rPr>
          <w:rFonts w:eastAsia="Times New Roman" w:cs="Times New Roman"/>
          <w:color w:val="000000" w:themeColor="text1"/>
          <w:lang w:eastAsia="en-GB"/>
        </w:rPr>
      </w:pPr>
      <w:r w:rsidRPr="0050387A">
        <w:rPr>
          <w:rFonts w:eastAsia="Times New Roman" w:cs="Times New Roman"/>
          <w:i/>
          <w:iCs/>
          <w:color w:val="000000" w:themeColor="text1"/>
          <w:lang w:eastAsia="en-GB"/>
        </w:rPr>
        <w:t>Study concept and design:</w:t>
      </w:r>
      <w:r w:rsidRPr="0050387A">
        <w:rPr>
          <w:rFonts w:eastAsia="Times New Roman" w:cs="Times New Roman"/>
          <w:color w:val="000000" w:themeColor="text1"/>
          <w:lang w:eastAsia="en-GB"/>
        </w:rPr>
        <w:t xml:space="preserve"> David Osborn, Stephen Morris, Rachael Hunter.</w:t>
      </w:r>
    </w:p>
    <w:p w14:paraId="48425A7D" w14:textId="77777777" w:rsidR="000F463F" w:rsidRPr="0050387A" w:rsidRDefault="000F463F" w:rsidP="00221A71">
      <w:pPr>
        <w:shd w:val="clear" w:color="auto" w:fill="FFFFFF"/>
        <w:spacing w:after="150" w:line="480" w:lineRule="auto"/>
        <w:jc w:val="both"/>
        <w:rPr>
          <w:rFonts w:eastAsia="Times New Roman" w:cs="Times New Roman"/>
          <w:color w:val="000000" w:themeColor="text1"/>
          <w:lang w:eastAsia="en-GB"/>
        </w:rPr>
      </w:pPr>
      <w:r w:rsidRPr="0050387A">
        <w:rPr>
          <w:rFonts w:eastAsia="Times New Roman" w:cs="Times New Roman"/>
          <w:i/>
          <w:iCs/>
          <w:color w:val="000000" w:themeColor="text1"/>
          <w:lang w:eastAsia="en-GB"/>
        </w:rPr>
        <w:t>Acquisition, analysis, or interpretation of data:</w:t>
      </w:r>
      <w:r w:rsidRPr="0050387A">
        <w:rPr>
          <w:rFonts w:eastAsia="Times New Roman" w:cs="Times New Roman"/>
          <w:color w:val="000000" w:themeColor="text1"/>
          <w:lang w:eastAsia="en-GB"/>
        </w:rPr>
        <w:t xml:space="preserve"> Ella Zomer, Rachael Hunter, Ruth Blackburn, Sarah </w:t>
      </w:r>
      <w:proofErr w:type="spellStart"/>
      <w:r w:rsidRPr="0050387A">
        <w:rPr>
          <w:rFonts w:eastAsia="Times New Roman" w:cs="Times New Roman"/>
          <w:color w:val="000000" w:themeColor="text1"/>
          <w:lang w:eastAsia="en-GB"/>
        </w:rPr>
        <w:t>Hardoon</w:t>
      </w:r>
      <w:proofErr w:type="spellEnd"/>
      <w:r w:rsidRPr="0050387A">
        <w:rPr>
          <w:rFonts w:eastAsia="Times New Roman" w:cs="Times New Roman"/>
          <w:color w:val="000000" w:themeColor="text1"/>
          <w:lang w:eastAsia="en-GB"/>
        </w:rPr>
        <w:t>, Kate Walters, Louise Marston.</w:t>
      </w:r>
    </w:p>
    <w:p w14:paraId="349647ED" w14:textId="77777777" w:rsidR="000F463F" w:rsidRPr="0050387A" w:rsidRDefault="000F463F" w:rsidP="00221A71">
      <w:pPr>
        <w:shd w:val="clear" w:color="auto" w:fill="FFFFFF"/>
        <w:spacing w:after="150" w:line="480" w:lineRule="auto"/>
        <w:jc w:val="both"/>
        <w:rPr>
          <w:rFonts w:eastAsia="Times New Roman" w:cs="Times New Roman"/>
          <w:color w:val="000000" w:themeColor="text1"/>
          <w:lang w:eastAsia="en-GB"/>
        </w:rPr>
      </w:pPr>
      <w:r w:rsidRPr="0050387A">
        <w:rPr>
          <w:rFonts w:eastAsia="Times New Roman" w:cs="Times New Roman"/>
          <w:i/>
          <w:iCs/>
          <w:color w:val="000000" w:themeColor="text1"/>
          <w:lang w:eastAsia="en-GB"/>
        </w:rPr>
        <w:t>Drafting of the manuscript:</w:t>
      </w:r>
      <w:r w:rsidRPr="0050387A">
        <w:rPr>
          <w:rFonts w:eastAsia="Times New Roman" w:cs="Times New Roman"/>
          <w:color w:val="000000" w:themeColor="text1"/>
          <w:lang w:eastAsia="en-GB"/>
        </w:rPr>
        <w:t xml:space="preserve"> Ella Zomer, Rachael Hunter, David Osborn, </w:t>
      </w:r>
      <w:proofErr w:type="gramStart"/>
      <w:r w:rsidRPr="0050387A">
        <w:rPr>
          <w:rFonts w:eastAsia="Times New Roman" w:cs="Times New Roman"/>
          <w:color w:val="000000" w:themeColor="text1"/>
          <w:lang w:eastAsia="en-GB"/>
        </w:rPr>
        <w:t>Irwin</w:t>
      </w:r>
      <w:proofErr w:type="gramEnd"/>
      <w:r w:rsidRPr="0050387A">
        <w:rPr>
          <w:rFonts w:eastAsia="Times New Roman" w:cs="Times New Roman"/>
          <w:color w:val="000000" w:themeColor="text1"/>
          <w:lang w:eastAsia="en-GB"/>
        </w:rPr>
        <w:t xml:space="preserve"> Nazareth.</w:t>
      </w:r>
    </w:p>
    <w:p w14:paraId="045212C3" w14:textId="77777777" w:rsidR="000F463F" w:rsidRPr="0050387A" w:rsidRDefault="000F463F" w:rsidP="00221A71">
      <w:pPr>
        <w:shd w:val="clear" w:color="auto" w:fill="FFFFFF"/>
        <w:spacing w:after="150" w:line="480" w:lineRule="auto"/>
        <w:jc w:val="both"/>
        <w:rPr>
          <w:rFonts w:eastAsia="Times New Roman" w:cs="Times New Roman"/>
          <w:color w:val="000000" w:themeColor="text1"/>
          <w:lang w:eastAsia="en-GB"/>
        </w:rPr>
      </w:pPr>
      <w:r w:rsidRPr="0050387A">
        <w:rPr>
          <w:rFonts w:eastAsia="Times New Roman" w:cs="Times New Roman"/>
          <w:i/>
          <w:iCs/>
          <w:color w:val="000000" w:themeColor="text1"/>
          <w:lang w:eastAsia="en-GB"/>
        </w:rPr>
        <w:t>Critical revision of the manuscript for important intellectual content:</w:t>
      </w:r>
      <w:r w:rsidRPr="0050387A">
        <w:rPr>
          <w:rFonts w:eastAsia="Times New Roman" w:cs="Times New Roman"/>
          <w:color w:val="000000" w:themeColor="text1"/>
          <w:lang w:eastAsia="en-GB"/>
        </w:rPr>
        <w:t xml:space="preserve"> All authors.</w:t>
      </w:r>
    </w:p>
    <w:p w14:paraId="5BA67723" w14:textId="77777777" w:rsidR="000F463F" w:rsidRPr="00411392" w:rsidRDefault="000F463F" w:rsidP="00221A71">
      <w:pPr>
        <w:shd w:val="clear" w:color="auto" w:fill="FFFFFF"/>
        <w:spacing w:after="150" w:line="480" w:lineRule="auto"/>
        <w:jc w:val="both"/>
        <w:rPr>
          <w:rFonts w:eastAsia="Times New Roman" w:cs="Times New Roman"/>
          <w:color w:val="000000" w:themeColor="text1"/>
          <w:lang w:val="es-ES_tradnl" w:eastAsia="en-GB"/>
        </w:rPr>
      </w:pPr>
      <w:proofErr w:type="spellStart"/>
      <w:r w:rsidRPr="00411392">
        <w:rPr>
          <w:rFonts w:eastAsia="Times New Roman" w:cs="Times New Roman"/>
          <w:i/>
          <w:iCs/>
          <w:color w:val="000000" w:themeColor="text1"/>
          <w:lang w:val="es-ES_tradnl" w:eastAsia="en-GB"/>
        </w:rPr>
        <w:t>Statistical</w:t>
      </w:r>
      <w:proofErr w:type="spellEnd"/>
      <w:r w:rsidRPr="00411392">
        <w:rPr>
          <w:rFonts w:eastAsia="Times New Roman" w:cs="Times New Roman"/>
          <w:i/>
          <w:iCs/>
          <w:color w:val="000000" w:themeColor="text1"/>
          <w:lang w:val="es-ES_tradnl" w:eastAsia="en-GB"/>
        </w:rPr>
        <w:t xml:space="preserve"> </w:t>
      </w:r>
      <w:proofErr w:type="spellStart"/>
      <w:r w:rsidRPr="00411392">
        <w:rPr>
          <w:rFonts w:eastAsia="Times New Roman" w:cs="Times New Roman"/>
          <w:i/>
          <w:iCs/>
          <w:color w:val="000000" w:themeColor="text1"/>
          <w:lang w:val="es-ES_tradnl" w:eastAsia="en-GB"/>
        </w:rPr>
        <w:t>analysis</w:t>
      </w:r>
      <w:proofErr w:type="spellEnd"/>
      <w:r w:rsidRPr="00411392">
        <w:rPr>
          <w:rFonts w:eastAsia="Times New Roman" w:cs="Times New Roman"/>
          <w:i/>
          <w:iCs/>
          <w:color w:val="000000" w:themeColor="text1"/>
          <w:lang w:val="es-ES_tradnl" w:eastAsia="en-GB"/>
        </w:rPr>
        <w:t>:</w:t>
      </w:r>
      <w:r w:rsidRPr="00411392">
        <w:rPr>
          <w:rFonts w:eastAsia="Times New Roman" w:cs="Times New Roman"/>
          <w:color w:val="000000" w:themeColor="text1"/>
          <w:lang w:val="es-ES_tradnl" w:eastAsia="en-GB"/>
        </w:rPr>
        <w:t xml:space="preserve"> Ella Zomer, </w:t>
      </w:r>
      <w:proofErr w:type="spellStart"/>
      <w:r w:rsidRPr="00411392">
        <w:rPr>
          <w:rFonts w:eastAsia="Times New Roman" w:cs="Times New Roman"/>
          <w:color w:val="000000" w:themeColor="text1"/>
          <w:lang w:val="es-ES_tradnl" w:eastAsia="en-GB"/>
        </w:rPr>
        <w:t>Rachael</w:t>
      </w:r>
      <w:proofErr w:type="spellEnd"/>
      <w:r w:rsidRPr="00411392">
        <w:rPr>
          <w:rFonts w:eastAsia="Times New Roman" w:cs="Times New Roman"/>
          <w:color w:val="000000" w:themeColor="text1"/>
          <w:lang w:val="es-ES_tradnl" w:eastAsia="en-GB"/>
        </w:rPr>
        <w:t xml:space="preserve"> Hunter.</w:t>
      </w:r>
    </w:p>
    <w:p w14:paraId="1C3571AD" w14:textId="77777777" w:rsidR="000F463F" w:rsidRPr="00411392" w:rsidRDefault="000F463F" w:rsidP="00221A71">
      <w:pPr>
        <w:shd w:val="clear" w:color="auto" w:fill="FFFFFF"/>
        <w:spacing w:after="150" w:line="480" w:lineRule="auto"/>
        <w:jc w:val="both"/>
        <w:rPr>
          <w:rFonts w:eastAsia="Times New Roman" w:cs="Times New Roman"/>
          <w:color w:val="000000" w:themeColor="text1"/>
          <w:lang w:val="es-ES_tradnl" w:eastAsia="en-GB"/>
        </w:rPr>
      </w:pPr>
      <w:proofErr w:type="spellStart"/>
      <w:r w:rsidRPr="00411392">
        <w:rPr>
          <w:rFonts w:eastAsia="Times New Roman" w:cs="Times New Roman"/>
          <w:i/>
          <w:iCs/>
          <w:color w:val="000000" w:themeColor="text1"/>
          <w:lang w:val="es-ES_tradnl" w:eastAsia="en-GB"/>
        </w:rPr>
        <w:t>Obtained</w:t>
      </w:r>
      <w:proofErr w:type="spellEnd"/>
      <w:r w:rsidRPr="00411392">
        <w:rPr>
          <w:rFonts w:eastAsia="Times New Roman" w:cs="Times New Roman"/>
          <w:i/>
          <w:iCs/>
          <w:color w:val="000000" w:themeColor="text1"/>
          <w:lang w:val="es-ES_tradnl" w:eastAsia="en-GB"/>
        </w:rPr>
        <w:t xml:space="preserve"> </w:t>
      </w:r>
      <w:proofErr w:type="spellStart"/>
      <w:r w:rsidRPr="00411392">
        <w:rPr>
          <w:rFonts w:eastAsia="Times New Roman" w:cs="Times New Roman"/>
          <w:i/>
          <w:iCs/>
          <w:color w:val="000000" w:themeColor="text1"/>
          <w:lang w:val="es-ES_tradnl" w:eastAsia="en-GB"/>
        </w:rPr>
        <w:t>funding</w:t>
      </w:r>
      <w:proofErr w:type="spellEnd"/>
      <w:r w:rsidRPr="00411392">
        <w:rPr>
          <w:rFonts w:eastAsia="Times New Roman" w:cs="Times New Roman"/>
          <w:i/>
          <w:iCs/>
          <w:color w:val="000000" w:themeColor="text1"/>
          <w:lang w:val="es-ES_tradnl" w:eastAsia="en-GB"/>
        </w:rPr>
        <w:t>:</w:t>
      </w:r>
      <w:r w:rsidRPr="00411392">
        <w:rPr>
          <w:rFonts w:eastAsia="Times New Roman" w:cs="Times New Roman"/>
          <w:color w:val="000000" w:themeColor="text1"/>
          <w:lang w:val="es-ES_tradnl" w:eastAsia="en-GB"/>
        </w:rPr>
        <w:t xml:space="preserve"> David </w:t>
      </w:r>
      <w:proofErr w:type="spellStart"/>
      <w:r w:rsidRPr="00411392">
        <w:rPr>
          <w:rFonts w:eastAsia="Times New Roman" w:cs="Times New Roman"/>
          <w:color w:val="000000" w:themeColor="text1"/>
          <w:lang w:val="es-ES_tradnl" w:eastAsia="en-GB"/>
        </w:rPr>
        <w:t>Osborn</w:t>
      </w:r>
      <w:proofErr w:type="spellEnd"/>
      <w:r w:rsidRPr="00411392">
        <w:rPr>
          <w:rFonts w:eastAsia="Times New Roman" w:cs="Times New Roman"/>
          <w:color w:val="000000" w:themeColor="text1"/>
          <w:lang w:val="es-ES_tradnl" w:eastAsia="en-GB"/>
        </w:rPr>
        <w:t>.</w:t>
      </w:r>
    </w:p>
    <w:p w14:paraId="4956CC45" w14:textId="77777777" w:rsidR="000F463F" w:rsidRPr="00411392" w:rsidRDefault="000F463F" w:rsidP="00221A71">
      <w:pPr>
        <w:shd w:val="clear" w:color="auto" w:fill="FFFFFF"/>
        <w:spacing w:after="150" w:line="480" w:lineRule="auto"/>
        <w:jc w:val="both"/>
        <w:rPr>
          <w:rFonts w:eastAsia="Times New Roman" w:cs="Times New Roman"/>
          <w:color w:val="000000" w:themeColor="text1"/>
          <w:lang w:val="es-ES_tradnl" w:eastAsia="en-GB"/>
        </w:rPr>
      </w:pPr>
      <w:proofErr w:type="spellStart"/>
      <w:r w:rsidRPr="00411392">
        <w:rPr>
          <w:rFonts w:eastAsia="Times New Roman" w:cs="Times New Roman"/>
          <w:i/>
          <w:iCs/>
          <w:color w:val="000000" w:themeColor="text1"/>
          <w:lang w:val="es-ES_tradnl" w:eastAsia="en-GB"/>
        </w:rPr>
        <w:t>Administrative</w:t>
      </w:r>
      <w:proofErr w:type="spellEnd"/>
      <w:r w:rsidRPr="00411392">
        <w:rPr>
          <w:rFonts w:eastAsia="Times New Roman" w:cs="Times New Roman"/>
          <w:i/>
          <w:iCs/>
          <w:color w:val="000000" w:themeColor="text1"/>
          <w:lang w:val="es-ES_tradnl" w:eastAsia="en-GB"/>
        </w:rPr>
        <w:t xml:space="preserve">, </w:t>
      </w:r>
      <w:proofErr w:type="spellStart"/>
      <w:r w:rsidRPr="00411392">
        <w:rPr>
          <w:rFonts w:eastAsia="Times New Roman" w:cs="Times New Roman"/>
          <w:i/>
          <w:iCs/>
          <w:color w:val="000000" w:themeColor="text1"/>
          <w:lang w:val="es-ES_tradnl" w:eastAsia="en-GB"/>
        </w:rPr>
        <w:t>technical</w:t>
      </w:r>
      <w:proofErr w:type="spellEnd"/>
      <w:r w:rsidRPr="00411392">
        <w:rPr>
          <w:rFonts w:eastAsia="Times New Roman" w:cs="Times New Roman"/>
          <w:i/>
          <w:iCs/>
          <w:color w:val="000000" w:themeColor="text1"/>
          <w:lang w:val="es-ES_tradnl" w:eastAsia="en-GB"/>
        </w:rPr>
        <w:t xml:space="preserve">, </w:t>
      </w:r>
      <w:proofErr w:type="spellStart"/>
      <w:r w:rsidRPr="00411392">
        <w:rPr>
          <w:rFonts w:eastAsia="Times New Roman" w:cs="Times New Roman"/>
          <w:i/>
          <w:iCs/>
          <w:color w:val="000000" w:themeColor="text1"/>
          <w:lang w:val="es-ES_tradnl" w:eastAsia="en-GB"/>
        </w:rPr>
        <w:t>or</w:t>
      </w:r>
      <w:proofErr w:type="spellEnd"/>
      <w:r w:rsidRPr="00411392">
        <w:rPr>
          <w:rFonts w:eastAsia="Times New Roman" w:cs="Times New Roman"/>
          <w:i/>
          <w:iCs/>
          <w:color w:val="000000" w:themeColor="text1"/>
          <w:lang w:val="es-ES_tradnl" w:eastAsia="en-GB"/>
        </w:rPr>
        <w:t xml:space="preserve"> material </w:t>
      </w:r>
      <w:proofErr w:type="spellStart"/>
      <w:r w:rsidRPr="00411392">
        <w:rPr>
          <w:rFonts w:eastAsia="Times New Roman" w:cs="Times New Roman"/>
          <w:i/>
          <w:iCs/>
          <w:color w:val="000000" w:themeColor="text1"/>
          <w:lang w:val="es-ES_tradnl" w:eastAsia="en-GB"/>
        </w:rPr>
        <w:t>support</w:t>
      </w:r>
      <w:proofErr w:type="spellEnd"/>
      <w:r w:rsidRPr="00411392">
        <w:rPr>
          <w:rFonts w:eastAsia="Times New Roman" w:cs="Times New Roman"/>
          <w:i/>
          <w:iCs/>
          <w:color w:val="000000" w:themeColor="text1"/>
          <w:lang w:val="es-ES_tradnl" w:eastAsia="en-GB"/>
        </w:rPr>
        <w:t>:</w:t>
      </w:r>
      <w:r w:rsidRPr="00411392">
        <w:rPr>
          <w:rFonts w:eastAsia="Times New Roman" w:cs="Times New Roman"/>
          <w:color w:val="000000" w:themeColor="text1"/>
          <w:lang w:val="es-ES_tradnl" w:eastAsia="en-GB"/>
        </w:rPr>
        <w:t xml:space="preserve"> Ruth Blackburn, Alexandra Burton, Sarah </w:t>
      </w:r>
      <w:proofErr w:type="spellStart"/>
      <w:r w:rsidRPr="00411392">
        <w:rPr>
          <w:rFonts w:eastAsia="Times New Roman" w:cs="Times New Roman"/>
          <w:color w:val="000000" w:themeColor="text1"/>
          <w:lang w:val="es-ES_tradnl" w:eastAsia="en-GB"/>
        </w:rPr>
        <w:t>Hardoon</w:t>
      </w:r>
      <w:proofErr w:type="spellEnd"/>
      <w:r w:rsidRPr="00411392">
        <w:rPr>
          <w:rFonts w:eastAsia="Times New Roman" w:cs="Times New Roman"/>
          <w:color w:val="000000" w:themeColor="text1"/>
          <w:lang w:val="es-ES_tradnl" w:eastAsia="en-GB"/>
        </w:rPr>
        <w:t xml:space="preserve">, Richard </w:t>
      </w:r>
      <w:proofErr w:type="spellStart"/>
      <w:r w:rsidRPr="00411392">
        <w:rPr>
          <w:rFonts w:eastAsia="Times New Roman" w:cs="Times New Roman"/>
          <w:color w:val="000000" w:themeColor="text1"/>
          <w:lang w:val="es-ES_tradnl" w:eastAsia="en-GB"/>
        </w:rPr>
        <w:t>Holt</w:t>
      </w:r>
      <w:proofErr w:type="spellEnd"/>
      <w:r w:rsidRPr="00411392">
        <w:rPr>
          <w:rFonts w:eastAsia="Times New Roman" w:cs="Times New Roman"/>
          <w:color w:val="000000" w:themeColor="text1"/>
          <w:lang w:val="es-ES_tradnl" w:eastAsia="en-GB"/>
        </w:rPr>
        <w:t xml:space="preserve">, Michael King, </w:t>
      </w:r>
      <w:proofErr w:type="spellStart"/>
      <w:r w:rsidRPr="00411392">
        <w:rPr>
          <w:rFonts w:eastAsia="Times New Roman" w:cs="Times New Roman"/>
          <w:color w:val="000000" w:themeColor="text1"/>
          <w:lang w:val="es-ES_tradnl" w:eastAsia="en-GB"/>
        </w:rPr>
        <w:t>Louise</w:t>
      </w:r>
      <w:proofErr w:type="spellEnd"/>
      <w:r w:rsidRPr="00411392">
        <w:rPr>
          <w:rFonts w:eastAsia="Times New Roman" w:cs="Times New Roman"/>
          <w:color w:val="000000" w:themeColor="text1"/>
          <w:lang w:val="es-ES_tradnl" w:eastAsia="en-GB"/>
        </w:rPr>
        <w:t xml:space="preserve"> </w:t>
      </w:r>
      <w:proofErr w:type="spellStart"/>
      <w:r w:rsidRPr="00411392">
        <w:rPr>
          <w:rFonts w:eastAsia="Times New Roman" w:cs="Times New Roman"/>
          <w:color w:val="000000" w:themeColor="text1"/>
          <w:lang w:val="es-ES_tradnl" w:eastAsia="en-GB"/>
        </w:rPr>
        <w:t>Marston</w:t>
      </w:r>
      <w:proofErr w:type="spellEnd"/>
      <w:r w:rsidRPr="00411392">
        <w:rPr>
          <w:rFonts w:eastAsia="Times New Roman" w:cs="Times New Roman"/>
          <w:color w:val="000000" w:themeColor="text1"/>
          <w:lang w:val="es-ES_tradnl" w:eastAsia="en-GB"/>
        </w:rPr>
        <w:t xml:space="preserve">, Rumana Omar, Irene </w:t>
      </w:r>
      <w:proofErr w:type="spellStart"/>
      <w:r w:rsidRPr="00411392">
        <w:rPr>
          <w:rFonts w:eastAsia="Times New Roman" w:cs="Times New Roman"/>
          <w:color w:val="000000" w:themeColor="text1"/>
          <w:lang w:val="es-ES_tradnl" w:eastAsia="en-GB"/>
        </w:rPr>
        <w:t>Petersen</w:t>
      </w:r>
      <w:proofErr w:type="spellEnd"/>
      <w:r w:rsidRPr="00411392">
        <w:rPr>
          <w:rFonts w:eastAsia="Times New Roman" w:cs="Times New Roman"/>
          <w:color w:val="000000" w:themeColor="text1"/>
          <w:lang w:val="es-ES_tradnl" w:eastAsia="en-GB"/>
        </w:rPr>
        <w:t xml:space="preserve">, Kate </w:t>
      </w:r>
      <w:proofErr w:type="spellStart"/>
      <w:r w:rsidRPr="00411392">
        <w:rPr>
          <w:rFonts w:eastAsia="Times New Roman" w:cs="Times New Roman"/>
          <w:color w:val="000000" w:themeColor="text1"/>
          <w:lang w:val="es-ES_tradnl" w:eastAsia="en-GB"/>
        </w:rPr>
        <w:t>Walters</w:t>
      </w:r>
      <w:proofErr w:type="spellEnd"/>
      <w:r w:rsidRPr="00411392">
        <w:rPr>
          <w:rFonts w:eastAsia="Times New Roman" w:cs="Times New Roman"/>
          <w:color w:val="000000" w:themeColor="text1"/>
          <w:lang w:val="es-ES_tradnl" w:eastAsia="en-GB"/>
        </w:rPr>
        <w:t>.</w:t>
      </w:r>
    </w:p>
    <w:p w14:paraId="21E7456A" w14:textId="77777777" w:rsidR="000F463F" w:rsidRPr="0050387A" w:rsidRDefault="000F463F" w:rsidP="00221A71">
      <w:pPr>
        <w:shd w:val="clear" w:color="auto" w:fill="FFFFFF"/>
        <w:spacing w:after="150" w:line="480" w:lineRule="auto"/>
        <w:jc w:val="both"/>
        <w:rPr>
          <w:rFonts w:eastAsia="Times New Roman" w:cs="Times New Roman"/>
          <w:color w:val="000000" w:themeColor="text1"/>
          <w:lang w:eastAsia="en-GB"/>
        </w:rPr>
      </w:pPr>
      <w:r w:rsidRPr="0050387A">
        <w:rPr>
          <w:rFonts w:eastAsia="Times New Roman" w:cs="Times New Roman"/>
          <w:i/>
          <w:iCs/>
          <w:color w:val="000000" w:themeColor="text1"/>
          <w:lang w:eastAsia="en-GB"/>
        </w:rPr>
        <w:t>Study supervision:</w:t>
      </w:r>
      <w:r w:rsidRPr="0050387A">
        <w:rPr>
          <w:rFonts w:eastAsia="Times New Roman" w:cs="Times New Roman"/>
          <w:color w:val="000000" w:themeColor="text1"/>
          <w:lang w:eastAsia="en-GB"/>
        </w:rPr>
        <w:t xml:space="preserve"> Rachael Hunter, David Osborn.</w:t>
      </w:r>
    </w:p>
    <w:p w14:paraId="038CF470" w14:textId="77777777" w:rsidR="002F26F2" w:rsidRDefault="002F26F2" w:rsidP="00221A71">
      <w:pPr>
        <w:spacing w:line="480" w:lineRule="auto"/>
        <w:jc w:val="both"/>
        <w:rPr>
          <w:b/>
        </w:rPr>
      </w:pPr>
      <w:r>
        <w:rPr>
          <w:b/>
        </w:rPr>
        <w:br w:type="page"/>
      </w:r>
    </w:p>
    <w:p w14:paraId="5FA52ED5" w14:textId="6F9639C0" w:rsidR="007245F9" w:rsidRDefault="00707226" w:rsidP="00221A71">
      <w:pPr>
        <w:spacing w:line="480" w:lineRule="auto"/>
        <w:jc w:val="both"/>
        <w:rPr>
          <w:b/>
        </w:rPr>
      </w:pPr>
      <w:r>
        <w:rPr>
          <w:b/>
        </w:rPr>
        <w:lastRenderedPageBreak/>
        <w:t>REFERENCES</w:t>
      </w:r>
    </w:p>
    <w:p w14:paraId="067797EE" w14:textId="1ACE2FD2" w:rsidR="001A3850" w:rsidRPr="00411392" w:rsidRDefault="001A3850" w:rsidP="00221A71">
      <w:pPr>
        <w:pStyle w:val="ListParagraph"/>
        <w:numPr>
          <w:ilvl w:val="0"/>
          <w:numId w:val="10"/>
        </w:numPr>
        <w:spacing w:line="480" w:lineRule="auto"/>
        <w:jc w:val="both"/>
        <w:rPr>
          <w:bCs/>
          <w:noProof/>
        </w:rPr>
      </w:pPr>
      <w:r w:rsidRPr="00411392">
        <w:rPr>
          <w:bCs/>
          <w:noProof/>
        </w:rPr>
        <w:t xml:space="preserve">Osborn DP, Levy G, Nazareth I, </w:t>
      </w:r>
      <w:r>
        <w:rPr>
          <w:bCs/>
          <w:i/>
          <w:iCs/>
          <w:noProof/>
        </w:rPr>
        <w:t>et al</w:t>
      </w:r>
      <w:r w:rsidRPr="00411392">
        <w:rPr>
          <w:bCs/>
          <w:noProof/>
        </w:rPr>
        <w:t>. Relative risk of cardiovascular and cancer mortality in people with severe mental illness from the United Kingdom’s General Practice R</w:t>
      </w:r>
      <w:r>
        <w:rPr>
          <w:bCs/>
          <w:noProof/>
        </w:rPr>
        <w:t>e</w:t>
      </w:r>
      <w:r w:rsidRPr="00411392">
        <w:rPr>
          <w:bCs/>
          <w:noProof/>
        </w:rPr>
        <w:t xml:space="preserve">search Databaase. </w:t>
      </w:r>
      <w:r w:rsidRPr="00411392">
        <w:rPr>
          <w:bCs/>
          <w:i/>
          <w:noProof/>
        </w:rPr>
        <w:t>Arch Gen Psychiatry</w:t>
      </w:r>
      <w:r>
        <w:rPr>
          <w:bCs/>
          <w:i/>
          <w:noProof/>
        </w:rPr>
        <w:t xml:space="preserve"> </w:t>
      </w:r>
      <w:r w:rsidRPr="00185027">
        <w:rPr>
          <w:bCs/>
          <w:noProof/>
        </w:rPr>
        <w:t>2007</w:t>
      </w:r>
      <w:r>
        <w:rPr>
          <w:bCs/>
          <w:noProof/>
        </w:rPr>
        <w:t>;</w:t>
      </w:r>
      <w:r w:rsidRPr="001A3850">
        <w:rPr>
          <w:b/>
          <w:noProof/>
        </w:rPr>
        <w:t>64</w:t>
      </w:r>
      <w:r>
        <w:rPr>
          <w:bCs/>
          <w:noProof/>
        </w:rPr>
        <w:t>:</w:t>
      </w:r>
      <w:r w:rsidRPr="00411392">
        <w:rPr>
          <w:bCs/>
          <w:noProof/>
        </w:rPr>
        <w:t>242-9.</w:t>
      </w:r>
    </w:p>
    <w:p w14:paraId="4D76D0D1" w14:textId="0B3F5AA5" w:rsidR="001A3850" w:rsidRPr="00411392" w:rsidRDefault="001A3850" w:rsidP="00221A71">
      <w:pPr>
        <w:pStyle w:val="ListParagraph"/>
        <w:numPr>
          <w:ilvl w:val="0"/>
          <w:numId w:val="10"/>
        </w:numPr>
        <w:spacing w:line="480" w:lineRule="auto"/>
        <w:jc w:val="both"/>
        <w:rPr>
          <w:bCs/>
          <w:noProof/>
        </w:rPr>
      </w:pPr>
      <w:r w:rsidRPr="00411392">
        <w:rPr>
          <w:bCs/>
          <w:noProof/>
          <w:lang w:val="fr-FR"/>
        </w:rPr>
        <w:t xml:space="preserve">De Hert M, Correll CU, Bobes J, </w:t>
      </w:r>
      <w:r w:rsidRPr="00411392">
        <w:rPr>
          <w:bCs/>
          <w:i/>
          <w:iCs/>
          <w:noProof/>
          <w:lang w:val="fr-FR"/>
        </w:rPr>
        <w:t>et al</w:t>
      </w:r>
      <w:r w:rsidRPr="00411392">
        <w:rPr>
          <w:bCs/>
          <w:noProof/>
          <w:lang w:val="fr-FR"/>
        </w:rPr>
        <w:t xml:space="preserve">. </w:t>
      </w:r>
      <w:r w:rsidRPr="00411392">
        <w:rPr>
          <w:bCs/>
          <w:noProof/>
        </w:rPr>
        <w:t xml:space="preserve">Physical illness in patients with severe mental disorders. I. Prevalence, impact of medications and disparities in health care. </w:t>
      </w:r>
      <w:r w:rsidRPr="00411392">
        <w:rPr>
          <w:bCs/>
          <w:i/>
          <w:noProof/>
        </w:rPr>
        <w:t>World Psychiatry</w:t>
      </w:r>
      <w:r w:rsidRPr="001A3850">
        <w:rPr>
          <w:bCs/>
          <w:i/>
          <w:noProof/>
        </w:rPr>
        <w:t xml:space="preserve"> </w:t>
      </w:r>
      <w:r w:rsidRPr="001A3850">
        <w:rPr>
          <w:bCs/>
          <w:noProof/>
          <w:lang w:val="fr-FR"/>
        </w:rPr>
        <w:t>2011</w:t>
      </w:r>
      <w:r>
        <w:rPr>
          <w:bCs/>
          <w:noProof/>
          <w:lang w:val="fr-FR"/>
        </w:rPr>
        <w:t> ;</w:t>
      </w:r>
      <w:r w:rsidRPr="001A3850">
        <w:rPr>
          <w:b/>
          <w:noProof/>
        </w:rPr>
        <w:t>10</w:t>
      </w:r>
      <w:r>
        <w:rPr>
          <w:bCs/>
          <w:noProof/>
        </w:rPr>
        <w:t>:</w:t>
      </w:r>
      <w:r w:rsidRPr="00411392">
        <w:rPr>
          <w:bCs/>
          <w:noProof/>
        </w:rPr>
        <w:t>52-77.</w:t>
      </w:r>
    </w:p>
    <w:p w14:paraId="297DA1F5" w14:textId="22BD05D1" w:rsidR="001A3850" w:rsidRPr="00411392" w:rsidRDefault="001A3850" w:rsidP="00221A71">
      <w:pPr>
        <w:pStyle w:val="ListParagraph"/>
        <w:numPr>
          <w:ilvl w:val="0"/>
          <w:numId w:val="10"/>
        </w:numPr>
        <w:spacing w:line="480" w:lineRule="auto"/>
        <w:jc w:val="both"/>
        <w:rPr>
          <w:bCs/>
          <w:noProof/>
        </w:rPr>
      </w:pPr>
      <w:r w:rsidRPr="00411392">
        <w:rPr>
          <w:bCs/>
          <w:noProof/>
        </w:rPr>
        <w:t xml:space="preserve">Newcomer JW, Hennekens CH. Severe mental illness and risk of cardiovascular disease. </w:t>
      </w:r>
      <w:r>
        <w:rPr>
          <w:bCs/>
          <w:i/>
          <w:noProof/>
        </w:rPr>
        <w:t xml:space="preserve">JAMA </w:t>
      </w:r>
      <w:r>
        <w:rPr>
          <w:bCs/>
          <w:iCs/>
          <w:noProof/>
        </w:rPr>
        <w:t>2007;</w:t>
      </w:r>
      <w:r w:rsidRPr="001A3850">
        <w:rPr>
          <w:b/>
          <w:noProof/>
        </w:rPr>
        <w:t>298</w:t>
      </w:r>
      <w:r>
        <w:rPr>
          <w:bCs/>
          <w:noProof/>
        </w:rPr>
        <w:t>:</w:t>
      </w:r>
      <w:r w:rsidRPr="00411392">
        <w:rPr>
          <w:bCs/>
          <w:noProof/>
        </w:rPr>
        <w:t>1794-6.</w:t>
      </w:r>
    </w:p>
    <w:p w14:paraId="22908CE6" w14:textId="76A1FC71" w:rsidR="001A3850" w:rsidRPr="00411392" w:rsidRDefault="001A3850" w:rsidP="00221A71">
      <w:pPr>
        <w:pStyle w:val="ListParagraph"/>
        <w:numPr>
          <w:ilvl w:val="0"/>
          <w:numId w:val="10"/>
        </w:numPr>
        <w:spacing w:line="480" w:lineRule="auto"/>
        <w:jc w:val="both"/>
        <w:rPr>
          <w:bCs/>
          <w:noProof/>
        </w:rPr>
      </w:pPr>
      <w:r w:rsidRPr="00411392">
        <w:rPr>
          <w:bCs/>
          <w:noProof/>
        </w:rPr>
        <w:t xml:space="preserve">Osborn DP, Nazareth I, King MB. Risk for coronary heart disease in people with severe mental illness: cross-sectional comparative study in primary care. </w:t>
      </w:r>
      <w:r>
        <w:rPr>
          <w:bCs/>
          <w:i/>
          <w:noProof/>
        </w:rPr>
        <w:t>Br J</w:t>
      </w:r>
      <w:r w:rsidRPr="00411392">
        <w:rPr>
          <w:bCs/>
          <w:i/>
          <w:noProof/>
        </w:rPr>
        <w:t xml:space="preserve"> Psychiatry</w:t>
      </w:r>
      <w:r>
        <w:rPr>
          <w:bCs/>
          <w:iCs/>
          <w:noProof/>
        </w:rPr>
        <w:t xml:space="preserve"> 2006;</w:t>
      </w:r>
      <w:r w:rsidRPr="001A3850">
        <w:rPr>
          <w:b/>
          <w:noProof/>
        </w:rPr>
        <w:t>188</w:t>
      </w:r>
      <w:r>
        <w:rPr>
          <w:bCs/>
          <w:noProof/>
        </w:rPr>
        <w:t>:</w:t>
      </w:r>
      <w:r w:rsidRPr="00411392">
        <w:rPr>
          <w:bCs/>
          <w:noProof/>
        </w:rPr>
        <w:t>271-7.</w:t>
      </w:r>
    </w:p>
    <w:p w14:paraId="5B214CC0" w14:textId="0D4F771B" w:rsidR="00315426" w:rsidRDefault="00315426" w:rsidP="00221A71">
      <w:pPr>
        <w:pStyle w:val="ListParagraph"/>
        <w:numPr>
          <w:ilvl w:val="0"/>
          <w:numId w:val="10"/>
        </w:numPr>
        <w:spacing w:line="480" w:lineRule="auto"/>
        <w:jc w:val="both"/>
        <w:rPr>
          <w:noProof/>
        </w:rPr>
      </w:pPr>
      <w:r w:rsidRPr="00411392">
        <w:rPr>
          <w:bCs/>
          <w:noProof/>
        </w:rPr>
        <w:t>Osborn DP, Nazareth I, King MB.</w:t>
      </w:r>
      <w:r>
        <w:rPr>
          <w:noProof/>
        </w:rPr>
        <w:t xml:space="preserve"> Physical activity, dietary habits and Coronary Heart Disease risk factor knowledge amongst people with severe mental illness: a cross sectional comparative study in primary care. </w:t>
      </w:r>
      <w:r w:rsidRPr="00315426">
        <w:rPr>
          <w:i/>
          <w:noProof/>
        </w:rPr>
        <w:t>Soc Psychiatry Psychiatr Epidemiol</w:t>
      </w:r>
      <w:r>
        <w:rPr>
          <w:i/>
          <w:noProof/>
        </w:rPr>
        <w:t xml:space="preserve"> </w:t>
      </w:r>
      <w:r>
        <w:rPr>
          <w:iCs/>
          <w:noProof/>
        </w:rPr>
        <w:t>2007;</w:t>
      </w:r>
      <w:r w:rsidRPr="00315426">
        <w:rPr>
          <w:b/>
          <w:noProof/>
        </w:rPr>
        <w:t>42</w:t>
      </w:r>
      <w:r>
        <w:rPr>
          <w:noProof/>
        </w:rPr>
        <w:t>:787-93.</w:t>
      </w:r>
    </w:p>
    <w:p w14:paraId="3B4320D5" w14:textId="2D406526" w:rsidR="008836C5" w:rsidRDefault="008836C5" w:rsidP="00221A71">
      <w:pPr>
        <w:pStyle w:val="ListParagraph"/>
        <w:numPr>
          <w:ilvl w:val="0"/>
          <w:numId w:val="10"/>
        </w:numPr>
        <w:spacing w:line="480" w:lineRule="auto"/>
        <w:jc w:val="both"/>
      </w:pPr>
      <w:proofErr w:type="spellStart"/>
      <w:r w:rsidRPr="00411392">
        <w:rPr>
          <w:bCs/>
        </w:rPr>
        <w:t>Marder</w:t>
      </w:r>
      <w:proofErr w:type="spellEnd"/>
      <w:r w:rsidRPr="00411392">
        <w:rPr>
          <w:bCs/>
        </w:rPr>
        <w:t xml:space="preserve"> SR, </w:t>
      </w:r>
      <w:proofErr w:type="spellStart"/>
      <w:r w:rsidRPr="00411392">
        <w:rPr>
          <w:bCs/>
        </w:rPr>
        <w:t>Essock</w:t>
      </w:r>
      <w:proofErr w:type="spellEnd"/>
      <w:r w:rsidRPr="00411392">
        <w:rPr>
          <w:bCs/>
        </w:rPr>
        <w:t xml:space="preserve"> SM, Miller AL, </w:t>
      </w:r>
      <w:r>
        <w:rPr>
          <w:bCs/>
          <w:i/>
          <w:iCs/>
        </w:rPr>
        <w:t>et al</w:t>
      </w:r>
      <w:r w:rsidRPr="00411392">
        <w:rPr>
          <w:bCs/>
        </w:rPr>
        <w:t>. Physical</w:t>
      </w:r>
      <w:r w:rsidRPr="00E57A1B">
        <w:t xml:space="preserve"> health monitoring of patients with schizophrenia. </w:t>
      </w:r>
      <w:r w:rsidRPr="008836C5">
        <w:rPr>
          <w:i/>
        </w:rPr>
        <w:t>Am</w:t>
      </w:r>
      <w:r>
        <w:rPr>
          <w:i/>
        </w:rPr>
        <w:t xml:space="preserve"> J</w:t>
      </w:r>
      <w:r w:rsidRPr="008836C5">
        <w:rPr>
          <w:i/>
        </w:rPr>
        <w:t xml:space="preserve"> Psychiatry</w:t>
      </w:r>
      <w:r>
        <w:rPr>
          <w:iCs/>
        </w:rPr>
        <w:t xml:space="preserve"> 2004</w:t>
      </w:r>
      <w:proofErr w:type="gramStart"/>
      <w:r>
        <w:rPr>
          <w:iCs/>
        </w:rPr>
        <w:t>;</w:t>
      </w:r>
      <w:r w:rsidRPr="008836C5">
        <w:rPr>
          <w:b/>
        </w:rPr>
        <w:t>161</w:t>
      </w:r>
      <w:r>
        <w:t>:</w:t>
      </w:r>
      <w:r w:rsidRPr="00E57A1B">
        <w:t>1334</w:t>
      </w:r>
      <w:proofErr w:type="gramEnd"/>
      <w:r w:rsidRPr="00E57A1B">
        <w:t>–49.</w:t>
      </w:r>
    </w:p>
    <w:p w14:paraId="4391A58D" w14:textId="6B11C037" w:rsidR="001304CD" w:rsidRPr="00411392" w:rsidRDefault="001304CD" w:rsidP="00221A71">
      <w:pPr>
        <w:pStyle w:val="ListParagraph"/>
        <w:numPr>
          <w:ilvl w:val="0"/>
          <w:numId w:val="10"/>
        </w:numPr>
        <w:spacing w:line="480" w:lineRule="auto"/>
        <w:jc w:val="both"/>
        <w:rPr>
          <w:bCs/>
          <w:noProof/>
        </w:rPr>
      </w:pPr>
      <w:r w:rsidRPr="00411392">
        <w:rPr>
          <w:bCs/>
          <w:noProof/>
        </w:rPr>
        <w:t xml:space="preserve">Robson D, Gray R. Serious mental illness and physical health problems: A discussion paper. </w:t>
      </w:r>
      <w:r w:rsidRPr="00411392">
        <w:rPr>
          <w:bCs/>
          <w:i/>
          <w:noProof/>
        </w:rPr>
        <w:t>Int J</w:t>
      </w:r>
      <w:r w:rsidRPr="001304CD">
        <w:rPr>
          <w:bCs/>
          <w:i/>
          <w:noProof/>
        </w:rPr>
        <w:t xml:space="preserve"> </w:t>
      </w:r>
      <w:r w:rsidRPr="00411392">
        <w:rPr>
          <w:bCs/>
          <w:i/>
          <w:noProof/>
        </w:rPr>
        <w:t>Nurs Stud</w:t>
      </w:r>
      <w:r w:rsidRPr="001304CD">
        <w:rPr>
          <w:bCs/>
          <w:iCs/>
          <w:noProof/>
        </w:rPr>
        <w:t xml:space="preserve"> 2007;</w:t>
      </w:r>
      <w:r w:rsidRPr="001304CD">
        <w:rPr>
          <w:b/>
          <w:noProof/>
        </w:rPr>
        <w:t>44</w:t>
      </w:r>
      <w:r w:rsidRPr="00411392">
        <w:rPr>
          <w:bCs/>
          <w:noProof/>
        </w:rPr>
        <w:t>:457-66.</w:t>
      </w:r>
    </w:p>
    <w:p w14:paraId="2ACDA174" w14:textId="77D42D0F" w:rsidR="001304CD" w:rsidRPr="00411392" w:rsidRDefault="001304CD" w:rsidP="00221A71">
      <w:pPr>
        <w:pStyle w:val="ListParagraph"/>
        <w:numPr>
          <w:ilvl w:val="0"/>
          <w:numId w:val="10"/>
        </w:numPr>
        <w:spacing w:line="480" w:lineRule="auto"/>
        <w:jc w:val="both"/>
        <w:rPr>
          <w:bCs/>
        </w:rPr>
      </w:pPr>
      <w:r w:rsidRPr="00411392">
        <w:rPr>
          <w:bCs/>
        </w:rPr>
        <w:t xml:space="preserve">JBS3 Board. Joint British Societies’ consensus recommendations for the prevention of cardiovascular disease (JBS3). </w:t>
      </w:r>
      <w:r w:rsidRPr="00411392">
        <w:rPr>
          <w:bCs/>
          <w:i/>
        </w:rPr>
        <w:t>Heart</w:t>
      </w:r>
      <w:r w:rsidRPr="00411392">
        <w:rPr>
          <w:bCs/>
        </w:rPr>
        <w:t xml:space="preserve"> </w:t>
      </w:r>
      <w:r>
        <w:rPr>
          <w:bCs/>
        </w:rPr>
        <w:t>2014</w:t>
      </w:r>
      <w:proofErr w:type="gramStart"/>
      <w:r>
        <w:rPr>
          <w:bCs/>
        </w:rPr>
        <w:t>;</w:t>
      </w:r>
      <w:r w:rsidRPr="001304CD">
        <w:rPr>
          <w:b/>
        </w:rPr>
        <w:t>100</w:t>
      </w:r>
      <w:r>
        <w:rPr>
          <w:bCs/>
        </w:rPr>
        <w:t>:</w:t>
      </w:r>
      <w:r w:rsidRPr="00411392">
        <w:rPr>
          <w:bCs/>
        </w:rPr>
        <w:t>ii1</w:t>
      </w:r>
      <w:proofErr w:type="gramEnd"/>
      <w:r w:rsidRPr="00411392">
        <w:rPr>
          <w:bCs/>
        </w:rPr>
        <w:t>-ii67.</w:t>
      </w:r>
    </w:p>
    <w:p w14:paraId="567D5B5A" w14:textId="09727591" w:rsidR="00087CE1" w:rsidRPr="009D43CF" w:rsidRDefault="00087CE1" w:rsidP="00221A71">
      <w:pPr>
        <w:pStyle w:val="ListParagraph"/>
        <w:numPr>
          <w:ilvl w:val="0"/>
          <w:numId w:val="10"/>
        </w:numPr>
        <w:spacing w:line="480" w:lineRule="auto"/>
        <w:jc w:val="both"/>
      </w:pPr>
      <w:r w:rsidRPr="00411392">
        <w:rPr>
          <w:bCs/>
        </w:rPr>
        <w:t xml:space="preserve">Goff DC, Lloyd-Jones DM, Bennett G, </w:t>
      </w:r>
      <w:r>
        <w:rPr>
          <w:bCs/>
          <w:i/>
          <w:iCs/>
        </w:rPr>
        <w:t>et al.</w:t>
      </w:r>
      <w:r w:rsidRPr="00411392">
        <w:rPr>
          <w:bCs/>
        </w:rPr>
        <w:t>; American College of Cardiology/American Heart Association Task Force on Practice Guidelines</w:t>
      </w:r>
      <w:r w:rsidRPr="009D43CF">
        <w:t xml:space="preserve">. 2013 ACC/AHA guideline on the assessment of cardiovascular risk: a report of the American College of Cardiology/American Heart Association Task Force on Practice Guidelines. </w:t>
      </w:r>
      <w:r w:rsidRPr="00087CE1">
        <w:rPr>
          <w:i/>
        </w:rPr>
        <w:t>Circulation</w:t>
      </w:r>
      <w:r w:rsidRPr="009D43CF">
        <w:t xml:space="preserve"> </w:t>
      </w:r>
      <w:r>
        <w:t>2014</w:t>
      </w:r>
      <w:proofErr w:type="gramStart"/>
      <w:r>
        <w:t>;</w:t>
      </w:r>
      <w:r>
        <w:rPr>
          <w:b/>
        </w:rPr>
        <w:t>129</w:t>
      </w:r>
      <w:proofErr w:type="gramEnd"/>
      <w:r w:rsidRPr="00411392">
        <w:rPr>
          <w:bCs/>
        </w:rPr>
        <w:t>(</w:t>
      </w:r>
      <w:proofErr w:type="spellStart"/>
      <w:r w:rsidRPr="00411392">
        <w:rPr>
          <w:bCs/>
        </w:rPr>
        <w:t>Suppl</w:t>
      </w:r>
      <w:proofErr w:type="spellEnd"/>
      <w:r w:rsidRPr="00411392">
        <w:rPr>
          <w:bCs/>
        </w:rPr>
        <w:t xml:space="preserve"> 2)</w:t>
      </w:r>
      <w:r>
        <w:t>:</w:t>
      </w:r>
      <w:r w:rsidRPr="009D43CF">
        <w:t>S49-73.</w:t>
      </w:r>
    </w:p>
    <w:p w14:paraId="2A4BBDAB" w14:textId="792E285D" w:rsidR="00087CE1" w:rsidRDefault="00087CE1" w:rsidP="00221A71">
      <w:pPr>
        <w:pStyle w:val="ListParagraph"/>
        <w:numPr>
          <w:ilvl w:val="0"/>
          <w:numId w:val="10"/>
        </w:numPr>
        <w:spacing w:line="480" w:lineRule="auto"/>
        <w:jc w:val="both"/>
      </w:pPr>
      <w:r w:rsidRPr="00411392">
        <w:rPr>
          <w:bCs/>
        </w:rPr>
        <w:t xml:space="preserve">Perk J, De Backer G, </w:t>
      </w:r>
      <w:proofErr w:type="spellStart"/>
      <w:r w:rsidRPr="00411392">
        <w:rPr>
          <w:bCs/>
        </w:rPr>
        <w:t>Gohlke</w:t>
      </w:r>
      <w:proofErr w:type="spellEnd"/>
      <w:r w:rsidRPr="00411392">
        <w:rPr>
          <w:bCs/>
        </w:rPr>
        <w:t xml:space="preserve"> H, </w:t>
      </w:r>
      <w:r>
        <w:rPr>
          <w:bCs/>
          <w:i/>
          <w:iCs/>
        </w:rPr>
        <w:t>et al</w:t>
      </w:r>
      <w:r w:rsidRPr="00411392">
        <w:rPr>
          <w:bCs/>
        </w:rPr>
        <w:t xml:space="preserve">. European guidelines on cardiovascular disease prevention in clinical practice (version 2012). The Fifth Joint Task Force of the European Society of </w:t>
      </w:r>
      <w:r w:rsidRPr="00411392">
        <w:rPr>
          <w:bCs/>
        </w:rPr>
        <w:lastRenderedPageBreak/>
        <w:t xml:space="preserve">Cardiology and Other Societies on Cardiovascular Disease Prevention in Clinical Practice (constituted by representatives of nine societies and by invited experts). </w:t>
      </w:r>
      <w:proofErr w:type="spellStart"/>
      <w:r>
        <w:rPr>
          <w:bCs/>
          <w:i/>
        </w:rPr>
        <w:t>Eur</w:t>
      </w:r>
      <w:proofErr w:type="spellEnd"/>
      <w:r w:rsidRPr="00411392">
        <w:rPr>
          <w:bCs/>
          <w:i/>
        </w:rPr>
        <w:t xml:space="preserve"> Heart J</w:t>
      </w:r>
      <w:r w:rsidRPr="001C52C4">
        <w:t xml:space="preserve"> </w:t>
      </w:r>
      <w:r>
        <w:t>2012</w:t>
      </w:r>
      <w:proofErr w:type="gramStart"/>
      <w:r>
        <w:t>;</w:t>
      </w:r>
      <w:r w:rsidRPr="00087CE1">
        <w:rPr>
          <w:b/>
        </w:rPr>
        <w:t>33</w:t>
      </w:r>
      <w:r>
        <w:t>:1635</w:t>
      </w:r>
      <w:proofErr w:type="gramEnd"/>
      <w:r>
        <w:t>-</w:t>
      </w:r>
      <w:r w:rsidRPr="001C52C4">
        <w:t>701.</w:t>
      </w:r>
    </w:p>
    <w:p w14:paraId="0CA042FB" w14:textId="1D816870" w:rsidR="00087CE1" w:rsidRPr="00411392" w:rsidRDefault="00087CE1" w:rsidP="00221A71">
      <w:pPr>
        <w:pStyle w:val="ListParagraph"/>
        <w:numPr>
          <w:ilvl w:val="0"/>
          <w:numId w:val="10"/>
        </w:numPr>
        <w:spacing w:line="480" w:lineRule="auto"/>
        <w:jc w:val="both"/>
      </w:pPr>
      <w:r w:rsidRPr="00411392">
        <w:rPr>
          <w:bCs/>
        </w:rPr>
        <w:t>National Institute for Health and Care Excellence</w:t>
      </w:r>
      <w:r w:rsidRPr="00790BE4">
        <w:t xml:space="preserve">. </w:t>
      </w:r>
      <w:r w:rsidRPr="00790BE4">
        <w:rPr>
          <w:i/>
        </w:rPr>
        <w:t xml:space="preserve">Lipid modification: cardiovascular risk assessment and the </w:t>
      </w:r>
      <w:r w:rsidRPr="00411392">
        <w:rPr>
          <w:i/>
        </w:rPr>
        <w:t>modification of blood lipids for the primary and secondary prevention of cardiovascular disease. NICE clinical guideline 181</w:t>
      </w:r>
      <w:r w:rsidRPr="00411392">
        <w:t xml:space="preserve">. </w:t>
      </w:r>
      <w:r w:rsidR="00790BE4" w:rsidRPr="00411392">
        <w:t xml:space="preserve">United Kingdom: </w:t>
      </w:r>
      <w:r w:rsidRPr="00411392">
        <w:t>National Institute</w:t>
      </w:r>
      <w:r w:rsidR="00790BE4" w:rsidRPr="00411392">
        <w:t xml:space="preserve"> for Health and Care Excellence, 2014.</w:t>
      </w:r>
      <w:r w:rsidRPr="00411392">
        <w:t xml:space="preserve"> </w:t>
      </w:r>
      <w:hyperlink r:id="rId9" w:history="1">
        <w:r w:rsidR="00790BE4" w:rsidRPr="00411392">
          <w:rPr>
            <w:rStyle w:val="Hyperlink"/>
            <w:color w:val="auto"/>
            <w:u w:val="none"/>
          </w:rPr>
          <w:t>http://www.nice.org.uk/guidance/cg181. (Accessed November 2014</w:t>
        </w:r>
      </w:hyperlink>
      <w:r w:rsidRPr="00411392">
        <w:t>).</w:t>
      </w:r>
    </w:p>
    <w:p w14:paraId="7835FAAE" w14:textId="27D43813" w:rsidR="00087CE1" w:rsidRPr="00411392" w:rsidRDefault="00087CE1" w:rsidP="00221A71">
      <w:pPr>
        <w:pStyle w:val="ListParagraph"/>
        <w:numPr>
          <w:ilvl w:val="0"/>
          <w:numId w:val="10"/>
        </w:numPr>
        <w:spacing w:line="480" w:lineRule="auto"/>
        <w:jc w:val="both"/>
        <w:rPr>
          <w:lang w:val="en-AU"/>
        </w:rPr>
      </w:pPr>
      <w:r w:rsidRPr="00411392">
        <w:rPr>
          <w:bCs/>
        </w:rPr>
        <w:t xml:space="preserve">Conroy RM, </w:t>
      </w:r>
      <w:proofErr w:type="spellStart"/>
      <w:r w:rsidRPr="00411392">
        <w:rPr>
          <w:bCs/>
        </w:rPr>
        <w:t>Pyorala</w:t>
      </w:r>
      <w:proofErr w:type="spellEnd"/>
      <w:r w:rsidRPr="00411392">
        <w:rPr>
          <w:bCs/>
        </w:rPr>
        <w:t xml:space="preserve"> K, Fitzgerald AP, </w:t>
      </w:r>
      <w:r w:rsidRPr="00790BE4">
        <w:rPr>
          <w:bCs/>
          <w:i/>
          <w:iCs/>
        </w:rPr>
        <w:t>et al.</w:t>
      </w:r>
      <w:r w:rsidRPr="00411392">
        <w:rPr>
          <w:bCs/>
        </w:rPr>
        <w:t xml:space="preserve">; SCORE project group. </w:t>
      </w:r>
      <w:r w:rsidRPr="00411392">
        <w:t xml:space="preserve">Estimation of ten-year risk of fatal cardiovascular disease in Europe: the SCORE project. </w:t>
      </w:r>
      <w:r w:rsidRPr="00411392">
        <w:rPr>
          <w:i/>
          <w:lang w:val="en-AU"/>
        </w:rPr>
        <w:t>European Heart Journal</w:t>
      </w:r>
      <w:r w:rsidRPr="00411392">
        <w:rPr>
          <w:iCs/>
          <w:lang w:val="en-AU"/>
        </w:rPr>
        <w:t xml:space="preserve"> 2003</w:t>
      </w:r>
      <w:proofErr w:type="gramStart"/>
      <w:r w:rsidRPr="00411392">
        <w:rPr>
          <w:iCs/>
          <w:lang w:val="en-AU"/>
        </w:rPr>
        <w:t>;</w:t>
      </w:r>
      <w:r w:rsidRPr="00411392">
        <w:rPr>
          <w:b/>
          <w:lang w:val="en-AU"/>
        </w:rPr>
        <w:t>24</w:t>
      </w:r>
      <w:r w:rsidRPr="00411392">
        <w:rPr>
          <w:lang w:val="en-AU"/>
        </w:rPr>
        <w:t>:987</w:t>
      </w:r>
      <w:proofErr w:type="gramEnd"/>
      <w:r w:rsidRPr="00411392">
        <w:rPr>
          <w:lang w:val="en-AU"/>
        </w:rPr>
        <w:t>-1003.</w:t>
      </w:r>
    </w:p>
    <w:p w14:paraId="09336049" w14:textId="77777777" w:rsidR="00087CE1" w:rsidRPr="00790BE4" w:rsidRDefault="00087CE1" w:rsidP="00221A71">
      <w:pPr>
        <w:pStyle w:val="ListParagraph"/>
        <w:numPr>
          <w:ilvl w:val="0"/>
          <w:numId w:val="10"/>
        </w:numPr>
        <w:spacing w:line="480" w:lineRule="auto"/>
        <w:jc w:val="both"/>
        <w:rPr>
          <w:lang w:val="en"/>
        </w:rPr>
      </w:pPr>
      <w:r w:rsidRPr="00411392">
        <w:rPr>
          <w:bCs/>
          <w:lang w:val="en"/>
        </w:rPr>
        <w:t>University of Nottingham and EMIS.</w:t>
      </w:r>
      <w:r w:rsidRPr="00411392">
        <w:rPr>
          <w:lang w:val="en"/>
        </w:rPr>
        <w:t xml:space="preserve"> QRISK2-2014 risk calculator website. (</w:t>
      </w:r>
      <w:hyperlink r:id="rId10" w:history="1">
        <w:r w:rsidRPr="00790BE4">
          <w:rPr>
            <w:rStyle w:val="Hyperlink"/>
            <w:color w:val="auto"/>
            <w:lang w:val="en"/>
          </w:rPr>
          <w:t>http://www.qrisk.org/</w:t>
        </w:r>
      </w:hyperlink>
      <w:r w:rsidRPr="00790BE4">
        <w:rPr>
          <w:lang w:val="en"/>
        </w:rPr>
        <w:t xml:space="preserve">). </w:t>
      </w:r>
    </w:p>
    <w:p w14:paraId="59C16994" w14:textId="08A98289" w:rsidR="00087CE1" w:rsidRDefault="00087CE1" w:rsidP="00221A71">
      <w:pPr>
        <w:pStyle w:val="ListParagraph"/>
        <w:numPr>
          <w:ilvl w:val="0"/>
          <w:numId w:val="10"/>
        </w:numPr>
        <w:spacing w:line="480" w:lineRule="auto"/>
        <w:jc w:val="both"/>
        <w:rPr>
          <w:bCs/>
        </w:rPr>
      </w:pPr>
      <w:proofErr w:type="spellStart"/>
      <w:r w:rsidRPr="00411392">
        <w:rPr>
          <w:bCs/>
          <w:lang w:val="en-AU"/>
        </w:rPr>
        <w:t>D’Agostino</w:t>
      </w:r>
      <w:proofErr w:type="spellEnd"/>
      <w:r w:rsidRPr="00411392">
        <w:rPr>
          <w:bCs/>
          <w:lang w:val="en-AU"/>
        </w:rPr>
        <w:t xml:space="preserve"> RB </w:t>
      </w:r>
      <w:proofErr w:type="spellStart"/>
      <w:r w:rsidRPr="00411392">
        <w:rPr>
          <w:bCs/>
          <w:lang w:val="en-AU"/>
        </w:rPr>
        <w:t>Sr</w:t>
      </w:r>
      <w:proofErr w:type="spellEnd"/>
      <w:r w:rsidRPr="00411392">
        <w:rPr>
          <w:bCs/>
          <w:lang w:val="en-AU"/>
        </w:rPr>
        <w:t xml:space="preserve">, </w:t>
      </w:r>
      <w:proofErr w:type="spellStart"/>
      <w:r w:rsidRPr="00411392">
        <w:rPr>
          <w:bCs/>
          <w:lang w:val="en-AU"/>
        </w:rPr>
        <w:t>Vasan</w:t>
      </w:r>
      <w:proofErr w:type="spellEnd"/>
      <w:r w:rsidRPr="00411392">
        <w:rPr>
          <w:bCs/>
          <w:lang w:val="en-AU"/>
        </w:rPr>
        <w:t xml:space="preserve"> RS, </w:t>
      </w:r>
      <w:proofErr w:type="spellStart"/>
      <w:r w:rsidRPr="00411392">
        <w:rPr>
          <w:bCs/>
          <w:lang w:val="en-AU"/>
        </w:rPr>
        <w:t>Pencina</w:t>
      </w:r>
      <w:proofErr w:type="spellEnd"/>
      <w:r w:rsidRPr="00411392">
        <w:rPr>
          <w:bCs/>
          <w:lang w:val="en-AU"/>
        </w:rPr>
        <w:t xml:space="preserve"> MJ, </w:t>
      </w:r>
      <w:r w:rsidRPr="00790BE4">
        <w:rPr>
          <w:bCs/>
          <w:i/>
          <w:iCs/>
          <w:lang w:val="en-AU"/>
        </w:rPr>
        <w:t>et al</w:t>
      </w:r>
      <w:r w:rsidRPr="00411392">
        <w:rPr>
          <w:bCs/>
          <w:lang w:val="en-AU"/>
        </w:rPr>
        <w:t xml:space="preserve">. </w:t>
      </w:r>
      <w:r w:rsidRPr="00411392">
        <w:rPr>
          <w:bCs/>
        </w:rPr>
        <w:t xml:space="preserve">General cardiovascular risk profile for use in primary care: The Framingham Heart Study. </w:t>
      </w:r>
      <w:r w:rsidRPr="00411392">
        <w:rPr>
          <w:bCs/>
          <w:i/>
        </w:rPr>
        <w:t xml:space="preserve">Circulation </w:t>
      </w:r>
      <w:r w:rsidRPr="00411392">
        <w:rPr>
          <w:bCs/>
          <w:iCs/>
        </w:rPr>
        <w:t>2008</w:t>
      </w:r>
      <w:proofErr w:type="gramStart"/>
      <w:r w:rsidRPr="00411392">
        <w:rPr>
          <w:bCs/>
          <w:iCs/>
        </w:rPr>
        <w:t>;</w:t>
      </w:r>
      <w:r w:rsidRPr="00411392">
        <w:rPr>
          <w:bCs/>
        </w:rPr>
        <w:t>117</w:t>
      </w:r>
      <w:r w:rsidRPr="00790BE4">
        <w:rPr>
          <w:bCs/>
        </w:rPr>
        <w:t>:</w:t>
      </w:r>
      <w:r w:rsidRPr="00411392">
        <w:rPr>
          <w:bCs/>
        </w:rPr>
        <w:t>743</w:t>
      </w:r>
      <w:proofErr w:type="gramEnd"/>
      <w:r w:rsidRPr="00411392">
        <w:rPr>
          <w:bCs/>
        </w:rPr>
        <w:t>-53.</w:t>
      </w:r>
    </w:p>
    <w:p w14:paraId="18377DBB" w14:textId="77777777" w:rsidR="009E70F1" w:rsidRPr="00763649" w:rsidRDefault="009E70F1" w:rsidP="009E70F1">
      <w:pPr>
        <w:pStyle w:val="ListParagraph"/>
        <w:numPr>
          <w:ilvl w:val="0"/>
          <w:numId w:val="10"/>
        </w:numPr>
        <w:spacing w:line="480" w:lineRule="auto"/>
        <w:jc w:val="both"/>
        <w:rPr>
          <w:bCs/>
        </w:rPr>
      </w:pPr>
      <w:r w:rsidRPr="00763649">
        <w:rPr>
          <w:bCs/>
        </w:rPr>
        <w:t xml:space="preserve">British Medical Association, NHS Employers, NHS England. </w:t>
      </w:r>
      <w:r w:rsidRPr="00763649">
        <w:rPr>
          <w:bCs/>
          <w:i/>
        </w:rPr>
        <w:t>2014/15 General medical services (GMS) contract quality and outcomes framework (QOF).</w:t>
      </w:r>
      <w:r w:rsidRPr="00763649">
        <w:rPr>
          <w:bCs/>
        </w:rPr>
        <w:t xml:space="preserve"> United Kingdom: NHS Employers, 2014. http://www.hscic.gov.uk/media/14019/QOF-Guidance-GMS-Contract-2014-15/pdf/QOF_guidance_GMS_contract_2014_15.pdf. (Accessed November 2014).</w:t>
      </w:r>
    </w:p>
    <w:p w14:paraId="282F0D94" w14:textId="509E1FBE" w:rsidR="009E70F1" w:rsidRPr="00411392" w:rsidRDefault="009E70F1" w:rsidP="00742DB8">
      <w:pPr>
        <w:pStyle w:val="ListParagraph"/>
        <w:numPr>
          <w:ilvl w:val="0"/>
          <w:numId w:val="10"/>
        </w:numPr>
        <w:spacing w:line="480" w:lineRule="auto"/>
        <w:jc w:val="both"/>
        <w:rPr>
          <w:bCs/>
        </w:rPr>
      </w:pPr>
      <w:r>
        <w:rPr>
          <w:bCs/>
        </w:rPr>
        <w:t xml:space="preserve">British Medical Association, NHS Employers, NHS England. </w:t>
      </w:r>
      <w:r>
        <w:rPr>
          <w:bCs/>
          <w:i/>
          <w:iCs/>
        </w:rPr>
        <w:t>Quality and outcomes framework guidance for GMS contract 2011/2012: Delivering investment in general practice</w:t>
      </w:r>
      <w:r>
        <w:rPr>
          <w:bCs/>
        </w:rPr>
        <w:t xml:space="preserve">. United Kingdom: NHS Employers, 2011. </w:t>
      </w:r>
      <w:hyperlink r:id="rId11" w:history="1">
        <w:r w:rsidR="00683CB5" w:rsidRPr="00683CB5">
          <w:rPr>
            <w:rStyle w:val="Hyperlink"/>
            <w:bCs/>
            <w:color w:val="auto"/>
            <w:u w:val="none"/>
          </w:rPr>
          <w:t>http://www.nhsemployers.org/~/media/Employers/Documents/Primary%20care%20contracts/QOF/2011-12/Quality%20and%20Outcomes%20Framework%20guidance%20for%20GMS%20contract%</w:t>
        </w:r>
        <w:r w:rsidR="00683CB5" w:rsidRPr="00683CB5">
          <w:rPr>
            <w:rStyle w:val="Hyperlink"/>
            <w:bCs/>
            <w:color w:val="auto"/>
            <w:u w:val="none"/>
          </w:rPr>
          <w:lastRenderedPageBreak/>
          <w:t>202011-12%20-%20Delivering%20investment%20in%20general%20practice.pdf</w:t>
        </w:r>
      </w:hyperlink>
      <w:r>
        <w:rPr>
          <w:bCs/>
        </w:rPr>
        <w:t xml:space="preserve"> (Accessed September 2016).</w:t>
      </w:r>
    </w:p>
    <w:p w14:paraId="24DA03EC" w14:textId="1F1D9E5F" w:rsidR="00763649" w:rsidRDefault="00763649" w:rsidP="00221A71">
      <w:pPr>
        <w:pStyle w:val="ListParagraph"/>
        <w:numPr>
          <w:ilvl w:val="0"/>
          <w:numId w:val="10"/>
        </w:numPr>
        <w:spacing w:line="480" w:lineRule="auto"/>
        <w:jc w:val="both"/>
      </w:pPr>
      <w:r>
        <w:t xml:space="preserve">Osborn DPJ, </w:t>
      </w:r>
      <w:proofErr w:type="spellStart"/>
      <w:r>
        <w:t>Baio</w:t>
      </w:r>
      <w:proofErr w:type="spellEnd"/>
      <w:r>
        <w:t xml:space="preserve"> G, Walters K, </w:t>
      </w:r>
      <w:r>
        <w:rPr>
          <w:i/>
          <w:iCs/>
        </w:rPr>
        <w:t>et al</w:t>
      </w:r>
      <w:r>
        <w:t xml:space="preserve">. Inequalities in the provision of cardiovascular screening to people with severe mental illnesses in primary care: Cohort study in the United Kingdom THIN Primary Care Database 2000-2007. </w:t>
      </w:r>
      <w:proofErr w:type="spellStart"/>
      <w:r>
        <w:rPr>
          <w:i/>
          <w:iCs/>
        </w:rPr>
        <w:t>Schizophr</w:t>
      </w:r>
      <w:proofErr w:type="spellEnd"/>
      <w:r>
        <w:rPr>
          <w:i/>
          <w:iCs/>
        </w:rPr>
        <w:t xml:space="preserve"> Res</w:t>
      </w:r>
      <w:r>
        <w:t xml:space="preserve"> 2011</w:t>
      </w:r>
      <w:proofErr w:type="gramStart"/>
      <w:r>
        <w:t>;</w:t>
      </w:r>
      <w:r w:rsidRPr="00683CB5">
        <w:rPr>
          <w:b/>
          <w:bCs/>
        </w:rPr>
        <w:t>129</w:t>
      </w:r>
      <w:r>
        <w:t>:104</w:t>
      </w:r>
      <w:proofErr w:type="gramEnd"/>
      <w:r>
        <w:t>-10.</w:t>
      </w:r>
    </w:p>
    <w:p w14:paraId="28D3E3B3" w14:textId="362D313D" w:rsidR="00351CA6" w:rsidRPr="00683CB5" w:rsidRDefault="00351CA6" w:rsidP="00221A71">
      <w:pPr>
        <w:pStyle w:val="ListParagraph"/>
        <w:numPr>
          <w:ilvl w:val="0"/>
          <w:numId w:val="10"/>
        </w:numPr>
        <w:spacing w:line="480" w:lineRule="auto"/>
        <w:jc w:val="both"/>
      </w:pPr>
      <w:proofErr w:type="spellStart"/>
      <w:r>
        <w:t>Yeomans</w:t>
      </w:r>
      <w:proofErr w:type="spellEnd"/>
      <w:r>
        <w:t xml:space="preserve"> D, Dale K, </w:t>
      </w:r>
      <w:proofErr w:type="spellStart"/>
      <w:r>
        <w:t>Beedle</w:t>
      </w:r>
      <w:proofErr w:type="spellEnd"/>
      <w:r>
        <w:t xml:space="preserve"> K. Systematic computerised cardiovascular health screening for people with severe mental illness. </w:t>
      </w:r>
      <w:proofErr w:type="spellStart"/>
      <w:r>
        <w:rPr>
          <w:i/>
          <w:iCs/>
        </w:rPr>
        <w:t>Psychiatr</w:t>
      </w:r>
      <w:proofErr w:type="spellEnd"/>
      <w:r>
        <w:rPr>
          <w:i/>
          <w:iCs/>
        </w:rPr>
        <w:t xml:space="preserve"> Bull</w:t>
      </w:r>
      <w:r>
        <w:t xml:space="preserve"> 2014</w:t>
      </w:r>
      <w:proofErr w:type="gramStart"/>
      <w:r>
        <w:t>;</w:t>
      </w:r>
      <w:r w:rsidRPr="00683CB5">
        <w:rPr>
          <w:b/>
          <w:bCs/>
        </w:rPr>
        <w:t>38</w:t>
      </w:r>
      <w:r>
        <w:t>:280</w:t>
      </w:r>
      <w:proofErr w:type="gramEnd"/>
      <w:r>
        <w:t>-4.</w:t>
      </w:r>
    </w:p>
    <w:p w14:paraId="2AE86634" w14:textId="0CE73E12" w:rsidR="00087CE1" w:rsidRPr="00411392" w:rsidRDefault="00087CE1" w:rsidP="00221A71">
      <w:pPr>
        <w:pStyle w:val="ListParagraph"/>
        <w:numPr>
          <w:ilvl w:val="0"/>
          <w:numId w:val="10"/>
        </w:numPr>
        <w:spacing w:line="480" w:lineRule="auto"/>
        <w:jc w:val="both"/>
      </w:pPr>
      <w:proofErr w:type="gramStart"/>
      <w:r w:rsidRPr="00411392">
        <w:rPr>
          <w:bCs/>
        </w:rPr>
        <w:t>van</w:t>
      </w:r>
      <w:proofErr w:type="gramEnd"/>
      <w:r w:rsidRPr="00411392">
        <w:rPr>
          <w:bCs/>
        </w:rPr>
        <w:t xml:space="preserve"> </w:t>
      </w:r>
      <w:proofErr w:type="spellStart"/>
      <w:r w:rsidRPr="00411392">
        <w:rPr>
          <w:bCs/>
        </w:rPr>
        <w:t>Staa</w:t>
      </w:r>
      <w:proofErr w:type="spellEnd"/>
      <w:r w:rsidRPr="00411392">
        <w:rPr>
          <w:bCs/>
        </w:rPr>
        <w:t xml:space="preserve"> TP, </w:t>
      </w:r>
      <w:proofErr w:type="spellStart"/>
      <w:r w:rsidRPr="00411392">
        <w:rPr>
          <w:bCs/>
        </w:rPr>
        <w:t>Gulliford</w:t>
      </w:r>
      <w:proofErr w:type="spellEnd"/>
      <w:r w:rsidRPr="00411392">
        <w:rPr>
          <w:bCs/>
        </w:rPr>
        <w:t xml:space="preserve"> M, Nq ES, </w:t>
      </w:r>
      <w:r w:rsidRPr="00790BE4">
        <w:rPr>
          <w:bCs/>
          <w:i/>
          <w:iCs/>
        </w:rPr>
        <w:t>et al</w:t>
      </w:r>
      <w:r w:rsidRPr="00790BE4">
        <w:t xml:space="preserve">. Prediction of cardiovascular risk using Framingham, ASSIGN and QRISK2: how well do they predict individual rather than population risk? </w:t>
      </w:r>
      <w:proofErr w:type="spellStart"/>
      <w:r w:rsidR="00B45E1D" w:rsidRPr="00411392">
        <w:rPr>
          <w:i/>
        </w:rPr>
        <w:t>PLoS</w:t>
      </w:r>
      <w:proofErr w:type="spellEnd"/>
      <w:r w:rsidR="00B45E1D" w:rsidRPr="00411392">
        <w:rPr>
          <w:i/>
        </w:rPr>
        <w:t xml:space="preserve"> One</w:t>
      </w:r>
      <w:r w:rsidRPr="00411392">
        <w:rPr>
          <w:iCs/>
        </w:rPr>
        <w:t xml:space="preserve"> 2014</w:t>
      </w:r>
      <w:proofErr w:type="gramStart"/>
      <w:r w:rsidRPr="00411392">
        <w:rPr>
          <w:iCs/>
        </w:rPr>
        <w:t>;</w:t>
      </w:r>
      <w:r w:rsidRPr="00411392">
        <w:rPr>
          <w:b/>
        </w:rPr>
        <w:t>9:</w:t>
      </w:r>
      <w:r w:rsidRPr="00411392">
        <w:t>e106455</w:t>
      </w:r>
      <w:proofErr w:type="gramEnd"/>
      <w:r w:rsidRPr="00411392">
        <w:t>.</w:t>
      </w:r>
    </w:p>
    <w:p w14:paraId="67A2C82A" w14:textId="6C1EFFE5" w:rsidR="00B45E1D" w:rsidRPr="00411392" w:rsidRDefault="00B45E1D" w:rsidP="00221A71">
      <w:pPr>
        <w:pStyle w:val="ListParagraph"/>
        <w:numPr>
          <w:ilvl w:val="0"/>
          <w:numId w:val="10"/>
        </w:numPr>
        <w:spacing w:line="480" w:lineRule="auto"/>
        <w:jc w:val="both"/>
      </w:pPr>
      <w:r w:rsidRPr="00411392">
        <w:rPr>
          <w:bCs/>
        </w:rPr>
        <w:t xml:space="preserve">Brindle P, May M, Gill P, </w:t>
      </w:r>
      <w:r w:rsidRPr="00790BE4">
        <w:rPr>
          <w:bCs/>
          <w:i/>
          <w:iCs/>
        </w:rPr>
        <w:t>et al</w:t>
      </w:r>
      <w:r w:rsidRPr="00411392">
        <w:rPr>
          <w:bCs/>
        </w:rPr>
        <w:t>.</w:t>
      </w:r>
      <w:r w:rsidRPr="00411392">
        <w:t xml:space="preserve"> Primary prevention of cardiovascular disease: a web-based risk score for seven British black and minority ethnic groups. </w:t>
      </w:r>
      <w:r w:rsidRPr="00411392">
        <w:rPr>
          <w:i/>
        </w:rPr>
        <w:t xml:space="preserve">Heart </w:t>
      </w:r>
      <w:r w:rsidRPr="00411392">
        <w:rPr>
          <w:iCs/>
        </w:rPr>
        <w:t>2006</w:t>
      </w:r>
      <w:proofErr w:type="gramStart"/>
      <w:r w:rsidRPr="00411392">
        <w:rPr>
          <w:iCs/>
        </w:rPr>
        <w:t>;</w:t>
      </w:r>
      <w:r w:rsidRPr="00411392">
        <w:rPr>
          <w:b/>
        </w:rPr>
        <w:t>92:</w:t>
      </w:r>
      <w:r w:rsidRPr="00411392">
        <w:t>1595</w:t>
      </w:r>
      <w:proofErr w:type="gramEnd"/>
      <w:r w:rsidRPr="00411392">
        <w:t>-602.</w:t>
      </w:r>
    </w:p>
    <w:p w14:paraId="50934ED4" w14:textId="74891DAD" w:rsidR="00B45E1D" w:rsidRPr="00411392" w:rsidRDefault="00B45E1D" w:rsidP="00221A71">
      <w:pPr>
        <w:pStyle w:val="ListParagraph"/>
        <w:numPr>
          <w:ilvl w:val="0"/>
          <w:numId w:val="10"/>
        </w:numPr>
        <w:spacing w:line="480" w:lineRule="auto"/>
        <w:jc w:val="both"/>
      </w:pPr>
      <w:r w:rsidRPr="00411392">
        <w:rPr>
          <w:bCs/>
        </w:rPr>
        <w:t xml:space="preserve">May M, Lawlor DA, Brindle P, </w:t>
      </w:r>
      <w:r w:rsidRPr="00790BE4">
        <w:rPr>
          <w:bCs/>
          <w:i/>
          <w:iCs/>
        </w:rPr>
        <w:t>et al</w:t>
      </w:r>
      <w:r w:rsidRPr="00790BE4">
        <w:t xml:space="preserve">. Cardiovascular disease risk assessment in older women: can we improve on Framingham? British Women’s Heart and Health prospective cohort study. </w:t>
      </w:r>
      <w:r w:rsidRPr="00411392">
        <w:rPr>
          <w:i/>
        </w:rPr>
        <w:t xml:space="preserve">Heart </w:t>
      </w:r>
      <w:r w:rsidRPr="00411392">
        <w:rPr>
          <w:iCs/>
        </w:rPr>
        <w:t>2006</w:t>
      </w:r>
      <w:proofErr w:type="gramStart"/>
      <w:r w:rsidRPr="00411392">
        <w:rPr>
          <w:iCs/>
        </w:rPr>
        <w:t>;</w:t>
      </w:r>
      <w:r w:rsidRPr="00411392">
        <w:rPr>
          <w:b/>
        </w:rPr>
        <w:t>92:</w:t>
      </w:r>
      <w:r w:rsidRPr="00411392">
        <w:t>1396</w:t>
      </w:r>
      <w:proofErr w:type="gramEnd"/>
      <w:r w:rsidRPr="00411392">
        <w:t>-401.</w:t>
      </w:r>
    </w:p>
    <w:p w14:paraId="5A1BE329" w14:textId="4787618F" w:rsidR="00B45E1D" w:rsidRPr="00411392" w:rsidRDefault="00B45E1D" w:rsidP="00221A71">
      <w:pPr>
        <w:pStyle w:val="ListParagraph"/>
        <w:numPr>
          <w:ilvl w:val="0"/>
          <w:numId w:val="10"/>
        </w:numPr>
        <w:spacing w:line="480" w:lineRule="auto"/>
        <w:jc w:val="both"/>
        <w:rPr>
          <w:lang w:val="en"/>
        </w:rPr>
      </w:pPr>
      <w:r w:rsidRPr="00411392">
        <w:rPr>
          <w:bCs/>
          <w:lang w:val="de-DE"/>
        </w:rPr>
        <w:t xml:space="preserve">van der Leeuw J, van Dieren S, Beulens JW, </w:t>
      </w:r>
      <w:r w:rsidRPr="00411392">
        <w:rPr>
          <w:bCs/>
          <w:i/>
          <w:iCs/>
          <w:lang w:val="de-DE"/>
        </w:rPr>
        <w:t>et al</w:t>
      </w:r>
      <w:r w:rsidRPr="00411392">
        <w:rPr>
          <w:lang w:val="de-DE"/>
        </w:rPr>
        <w:t xml:space="preserve">. </w:t>
      </w:r>
      <w:r w:rsidRPr="00790BE4">
        <w:t>The validation of cardiovascular ris</w:t>
      </w:r>
      <w:r w:rsidRPr="00411392">
        <w:t xml:space="preserve">k scores for patients with type 2 diabetes mellitus. </w:t>
      </w:r>
      <w:r w:rsidRPr="00411392">
        <w:rPr>
          <w:i/>
        </w:rPr>
        <w:t xml:space="preserve">Heart </w:t>
      </w:r>
      <w:r w:rsidRPr="00411392">
        <w:rPr>
          <w:iCs/>
        </w:rPr>
        <w:t>2006</w:t>
      </w:r>
      <w:proofErr w:type="gramStart"/>
      <w:r w:rsidRPr="00411392">
        <w:rPr>
          <w:iCs/>
        </w:rPr>
        <w:t>;</w:t>
      </w:r>
      <w:r w:rsidRPr="00411392">
        <w:rPr>
          <w:b/>
        </w:rPr>
        <w:t>101:</w:t>
      </w:r>
      <w:r w:rsidRPr="00411392">
        <w:t>222</w:t>
      </w:r>
      <w:proofErr w:type="gramEnd"/>
      <w:r w:rsidRPr="00411392">
        <w:t>-9.</w:t>
      </w:r>
    </w:p>
    <w:p w14:paraId="617764DF" w14:textId="6137ECC3" w:rsidR="00B45E1D" w:rsidRPr="00411392" w:rsidRDefault="00B45E1D" w:rsidP="00221A71">
      <w:pPr>
        <w:pStyle w:val="ListParagraph"/>
        <w:numPr>
          <w:ilvl w:val="0"/>
          <w:numId w:val="10"/>
        </w:numPr>
        <w:spacing w:line="480" w:lineRule="auto"/>
        <w:jc w:val="both"/>
        <w:rPr>
          <w:noProof/>
        </w:rPr>
      </w:pPr>
      <w:r w:rsidRPr="00411392">
        <w:rPr>
          <w:bCs/>
        </w:rPr>
        <w:t xml:space="preserve">Osborn DP, </w:t>
      </w:r>
      <w:proofErr w:type="spellStart"/>
      <w:r w:rsidRPr="00411392">
        <w:rPr>
          <w:bCs/>
        </w:rPr>
        <w:t>Hardoon</w:t>
      </w:r>
      <w:proofErr w:type="spellEnd"/>
      <w:r w:rsidRPr="00411392">
        <w:rPr>
          <w:bCs/>
        </w:rPr>
        <w:t xml:space="preserve"> S, Omar RZ, </w:t>
      </w:r>
      <w:r w:rsidRPr="00411392">
        <w:rPr>
          <w:bCs/>
          <w:i/>
          <w:iCs/>
        </w:rPr>
        <w:t>et al</w:t>
      </w:r>
      <w:r w:rsidRPr="00411392">
        <w:rPr>
          <w:bCs/>
        </w:rPr>
        <w:t>. Cardiovascular</w:t>
      </w:r>
      <w:r w:rsidRPr="00411392">
        <w:t xml:space="preserve"> risk prediction models for people with severe mental illness: Results from the Prediction and Management of Cardiovascular Risk in People with Severe Mental Illnesses (PRIMROSE) Research Program. </w:t>
      </w:r>
      <w:r w:rsidRPr="00411392">
        <w:rPr>
          <w:i/>
        </w:rPr>
        <w:t xml:space="preserve">JAMA Psychiatry </w:t>
      </w:r>
      <w:r w:rsidRPr="00411392">
        <w:rPr>
          <w:iCs/>
        </w:rPr>
        <w:t>2015</w:t>
      </w:r>
      <w:proofErr w:type="gramStart"/>
      <w:r w:rsidRPr="00411392">
        <w:rPr>
          <w:iCs/>
        </w:rPr>
        <w:t>;</w:t>
      </w:r>
      <w:r w:rsidRPr="00411392">
        <w:rPr>
          <w:b/>
        </w:rPr>
        <w:t>72:</w:t>
      </w:r>
      <w:r w:rsidRPr="00411392">
        <w:t>143</w:t>
      </w:r>
      <w:proofErr w:type="gramEnd"/>
      <w:r w:rsidRPr="00411392">
        <w:t>-51.</w:t>
      </w:r>
    </w:p>
    <w:p w14:paraId="5A3E750C" w14:textId="46144A1D" w:rsidR="00B45E1D" w:rsidRPr="00411392" w:rsidRDefault="00B45E1D" w:rsidP="00221A71">
      <w:pPr>
        <w:pStyle w:val="ListParagraph"/>
        <w:numPr>
          <w:ilvl w:val="0"/>
          <w:numId w:val="10"/>
        </w:numPr>
        <w:spacing w:line="480" w:lineRule="auto"/>
        <w:jc w:val="both"/>
      </w:pPr>
      <w:proofErr w:type="spellStart"/>
      <w:r w:rsidRPr="00411392">
        <w:rPr>
          <w:rFonts w:cs="Times New Roman"/>
          <w:bCs/>
        </w:rPr>
        <w:t>Petrou</w:t>
      </w:r>
      <w:proofErr w:type="spellEnd"/>
      <w:r w:rsidRPr="00411392">
        <w:rPr>
          <w:rFonts w:cs="Times New Roman"/>
          <w:bCs/>
        </w:rPr>
        <w:t xml:space="preserve"> S, </w:t>
      </w:r>
      <w:proofErr w:type="spellStart"/>
      <w:r w:rsidRPr="00411392">
        <w:rPr>
          <w:rFonts w:cs="Times New Roman"/>
          <w:bCs/>
        </w:rPr>
        <w:t>Gray</w:t>
      </w:r>
      <w:proofErr w:type="spellEnd"/>
      <w:r w:rsidRPr="00411392">
        <w:rPr>
          <w:rFonts w:cs="Times New Roman"/>
          <w:bCs/>
        </w:rPr>
        <w:t xml:space="preserve"> A</w:t>
      </w:r>
      <w:r w:rsidRPr="00790BE4">
        <w:rPr>
          <w:rFonts w:cs="Times New Roman"/>
        </w:rPr>
        <w:t xml:space="preserve">. Economic evaluation using decision analytical modelling: design, conduct, analysis, and reporting. </w:t>
      </w:r>
      <w:r w:rsidRPr="00790BE4">
        <w:rPr>
          <w:rFonts w:cs="Times New Roman"/>
          <w:i/>
        </w:rPr>
        <w:t xml:space="preserve">BMJ </w:t>
      </w:r>
      <w:r w:rsidRPr="00411392">
        <w:rPr>
          <w:rFonts w:cs="Times New Roman"/>
          <w:iCs/>
        </w:rPr>
        <w:t>2011</w:t>
      </w:r>
      <w:proofErr w:type="gramStart"/>
      <w:r w:rsidRPr="00411392">
        <w:rPr>
          <w:rFonts w:cs="Times New Roman"/>
          <w:iCs/>
        </w:rPr>
        <w:t>;</w:t>
      </w:r>
      <w:r w:rsidRPr="00411392">
        <w:rPr>
          <w:rFonts w:cs="Times New Roman"/>
          <w:b/>
        </w:rPr>
        <w:t>342</w:t>
      </w:r>
      <w:r w:rsidRPr="00411392">
        <w:rPr>
          <w:rFonts w:cs="Times New Roman"/>
        </w:rPr>
        <w:t>:d1766</w:t>
      </w:r>
      <w:proofErr w:type="gramEnd"/>
      <w:r w:rsidRPr="00411392">
        <w:rPr>
          <w:rFonts w:cs="Times New Roman"/>
        </w:rPr>
        <w:t>.</w:t>
      </w:r>
    </w:p>
    <w:p w14:paraId="0176C05C" w14:textId="576CB4AC" w:rsidR="00B45E1D" w:rsidRPr="00411392" w:rsidRDefault="00B45E1D" w:rsidP="00221A71">
      <w:pPr>
        <w:pStyle w:val="ListParagraph"/>
        <w:numPr>
          <w:ilvl w:val="0"/>
          <w:numId w:val="10"/>
        </w:numPr>
        <w:spacing w:line="480" w:lineRule="auto"/>
        <w:jc w:val="both"/>
      </w:pPr>
      <w:proofErr w:type="spellStart"/>
      <w:r w:rsidRPr="00411392">
        <w:rPr>
          <w:bCs/>
        </w:rPr>
        <w:t>Husereau</w:t>
      </w:r>
      <w:proofErr w:type="spellEnd"/>
      <w:r w:rsidRPr="00411392">
        <w:rPr>
          <w:bCs/>
        </w:rPr>
        <w:t xml:space="preserve"> D, Drummond M, </w:t>
      </w:r>
      <w:proofErr w:type="spellStart"/>
      <w:r w:rsidRPr="00411392">
        <w:rPr>
          <w:bCs/>
        </w:rPr>
        <w:t>Petrou</w:t>
      </w:r>
      <w:proofErr w:type="spellEnd"/>
      <w:r w:rsidRPr="00411392">
        <w:rPr>
          <w:bCs/>
        </w:rPr>
        <w:t xml:space="preserve"> S, on behalf of the CHEERS Task Force</w:t>
      </w:r>
      <w:r w:rsidRPr="00790BE4">
        <w:t xml:space="preserve">. Consolidated Health Economic Evaluation Reporting Standards (CHEERS) statement. </w:t>
      </w:r>
      <w:r w:rsidRPr="00411392">
        <w:rPr>
          <w:i/>
        </w:rPr>
        <w:t xml:space="preserve">BMJ </w:t>
      </w:r>
      <w:r w:rsidRPr="00411392">
        <w:rPr>
          <w:iCs/>
        </w:rPr>
        <w:t>2013</w:t>
      </w:r>
      <w:proofErr w:type="gramStart"/>
      <w:r w:rsidRPr="00411392">
        <w:rPr>
          <w:iCs/>
        </w:rPr>
        <w:t>;</w:t>
      </w:r>
      <w:r w:rsidRPr="00411392">
        <w:rPr>
          <w:b/>
        </w:rPr>
        <w:t>346</w:t>
      </w:r>
      <w:r w:rsidRPr="00411392">
        <w:t>:f1049</w:t>
      </w:r>
      <w:proofErr w:type="gramEnd"/>
      <w:r w:rsidRPr="00411392">
        <w:t>.</w:t>
      </w:r>
    </w:p>
    <w:p w14:paraId="58BC3D7C" w14:textId="77777777" w:rsidR="00B45E1D" w:rsidRPr="00411392" w:rsidRDefault="00B45E1D" w:rsidP="00221A71">
      <w:pPr>
        <w:pStyle w:val="ListParagraph"/>
        <w:numPr>
          <w:ilvl w:val="0"/>
          <w:numId w:val="10"/>
        </w:numPr>
        <w:spacing w:line="480" w:lineRule="auto"/>
        <w:jc w:val="both"/>
        <w:rPr>
          <w:noProof/>
        </w:rPr>
      </w:pPr>
      <w:r w:rsidRPr="00411392">
        <w:rPr>
          <w:bCs/>
        </w:rPr>
        <w:lastRenderedPageBreak/>
        <w:t>IMS Health Real World Evidence Solutions.</w:t>
      </w:r>
      <w:r w:rsidRPr="00790BE4">
        <w:rPr>
          <w:b/>
        </w:rPr>
        <w:t xml:space="preserve"> </w:t>
      </w:r>
      <w:r w:rsidRPr="00790BE4">
        <w:rPr>
          <w:i/>
        </w:rPr>
        <w:t>The Health Improvement Network home page.</w:t>
      </w:r>
      <w:r w:rsidRPr="00411392">
        <w:t xml:space="preserve"> (http://www.epic-uk.org/index.html/). Accessed August 2013.</w:t>
      </w:r>
    </w:p>
    <w:p w14:paraId="295ED7BF" w14:textId="369A366C" w:rsidR="0092095C" w:rsidRPr="00411392" w:rsidRDefault="0092095C" w:rsidP="00221A71">
      <w:pPr>
        <w:pStyle w:val="ListParagraph"/>
        <w:numPr>
          <w:ilvl w:val="0"/>
          <w:numId w:val="10"/>
        </w:numPr>
        <w:spacing w:line="480" w:lineRule="auto"/>
        <w:jc w:val="both"/>
      </w:pPr>
      <w:proofErr w:type="spellStart"/>
      <w:r w:rsidRPr="00411392">
        <w:rPr>
          <w:bCs/>
          <w:lang w:val="fr-FR"/>
        </w:rPr>
        <w:t>Blak</w:t>
      </w:r>
      <w:proofErr w:type="spellEnd"/>
      <w:r w:rsidRPr="00411392">
        <w:rPr>
          <w:bCs/>
          <w:lang w:val="fr-FR"/>
        </w:rPr>
        <w:t xml:space="preserve"> BT, Thompson M, </w:t>
      </w:r>
      <w:proofErr w:type="spellStart"/>
      <w:r w:rsidRPr="00411392">
        <w:rPr>
          <w:bCs/>
          <w:lang w:val="fr-FR"/>
        </w:rPr>
        <w:t>Dattani</w:t>
      </w:r>
      <w:proofErr w:type="spellEnd"/>
      <w:r w:rsidRPr="00411392">
        <w:rPr>
          <w:bCs/>
          <w:lang w:val="fr-FR"/>
        </w:rPr>
        <w:t xml:space="preserve"> H, </w:t>
      </w:r>
      <w:r w:rsidRPr="00411392">
        <w:rPr>
          <w:bCs/>
          <w:i/>
          <w:iCs/>
          <w:lang w:val="fr-FR"/>
        </w:rPr>
        <w:t>et al</w:t>
      </w:r>
      <w:r w:rsidRPr="00411392">
        <w:rPr>
          <w:lang w:val="fr-FR"/>
        </w:rPr>
        <w:t xml:space="preserve">. </w:t>
      </w:r>
      <w:r w:rsidRPr="00790BE4">
        <w:t xml:space="preserve">Generalisability of The Health Improvement Network (THIN) database: demographics, chronic disease prevalence and mortality rates. </w:t>
      </w:r>
      <w:r w:rsidRPr="00790BE4">
        <w:rPr>
          <w:i/>
        </w:rPr>
        <w:t>Info</w:t>
      </w:r>
      <w:r w:rsidRPr="00411392">
        <w:rPr>
          <w:i/>
        </w:rPr>
        <w:t>rm Prim Care</w:t>
      </w:r>
      <w:r w:rsidRPr="00411392">
        <w:rPr>
          <w:iCs/>
        </w:rPr>
        <w:t xml:space="preserve"> 2011</w:t>
      </w:r>
      <w:proofErr w:type="gramStart"/>
      <w:r w:rsidRPr="00411392">
        <w:rPr>
          <w:iCs/>
        </w:rPr>
        <w:t>;</w:t>
      </w:r>
      <w:r w:rsidRPr="00411392">
        <w:rPr>
          <w:b/>
        </w:rPr>
        <w:t>19:</w:t>
      </w:r>
      <w:r w:rsidRPr="00411392">
        <w:t>251</w:t>
      </w:r>
      <w:proofErr w:type="gramEnd"/>
      <w:r w:rsidRPr="00411392">
        <w:t>-5.</w:t>
      </w:r>
    </w:p>
    <w:p w14:paraId="7E64C3EE" w14:textId="147087E2" w:rsidR="008045C3" w:rsidRPr="00411392" w:rsidRDefault="008045C3" w:rsidP="00221A71">
      <w:pPr>
        <w:pStyle w:val="ListParagraph"/>
        <w:numPr>
          <w:ilvl w:val="0"/>
          <w:numId w:val="10"/>
        </w:numPr>
        <w:spacing w:line="480" w:lineRule="auto"/>
        <w:jc w:val="both"/>
      </w:pPr>
      <w:proofErr w:type="spellStart"/>
      <w:r w:rsidRPr="00411392">
        <w:rPr>
          <w:bCs/>
        </w:rPr>
        <w:t>Hardoon</w:t>
      </w:r>
      <w:proofErr w:type="spellEnd"/>
      <w:r w:rsidRPr="00411392">
        <w:rPr>
          <w:bCs/>
        </w:rPr>
        <w:t xml:space="preserve"> S, Hayes JF, Blackburn R, </w:t>
      </w:r>
      <w:r w:rsidRPr="00790BE4">
        <w:rPr>
          <w:bCs/>
          <w:i/>
          <w:iCs/>
        </w:rPr>
        <w:t>et al</w:t>
      </w:r>
      <w:r w:rsidRPr="00790BE4">
        <w:t xml:space="preserve">. Recording of severe mental illness in United Kingdom primary care, 2000-2010. </w:t>
      </w:r>
      <w:proofErr w:type="spellStart"/>
      <w:r w:rsidRPr="00411392">
        <w:rPr>
          <w:i/>
        </w:rPr>
        <w:t>PLoS</w:t>
      </w:r>
      <w:proofErr w:type="spellEnd"/>
      <w:r w:rsidRPr="00411392">
        <w:rPr>
          <w:i/>
        </w:rPr>
        <w:t xml:space="preserve"> One </w:t>
      </w:r>
      <w:r w:rsidRPr="00411392">
        <w:rPr>
          <w:iCs/>
        </w:rPr>
        <w:t>2013</w:t>
      </w:r>
      <w:proofErr w:type="gramStart"/>
      <w:r w:rsidRPr="00411392">
        <w:rPr>
          <w:iCs/>
        </w:rPr>
        <w:t>;</w:t>
      </w:r>
      <w:r w:rsidRPr="00411392">
        <w:rPr>
          <w:b/>
        </w:rPr>
        <w:t>8:</w:t>
      </w:r>
      <w:r w:rsidRPr="00411392">
        <w:t>e82365</w:t>
      </w:r>
      <w:proofErr w:type="gramEnd"/>
      <w:r w:rsidRPr="00411392">
        <w:t xml:space="preserve">. </w:t>
      </w:r>
    </w:p>
    <w:p w14:paraId="5CAC69AC" w14:textId="1F5BBC88" w:rsidR="0092095C" w:rsidRPr="00411392" w:rsidRDefault="0092095C" w:rsidP="00221A71">
      <w:pPr>
        <w:pStyle w:val="ListParagraph"/>
        <w:numPr>
          <w:ilvl w:val="0"/>
          <w:numId w:val="10"/>
        </w:numPr>
        <w:spacing w:line="480" w:lineRule="auto"/>
        <w:jc w:val="both"/>
      </w:pPr>
      <w:r w:rsidRPr="00411392">
        <w:rPr>
          <w:bCs/>
          <w:lang w:val="en-AU"/>
        </w:rPr>
        <w:t>Welch CA, Bartlett JW, Petersen I</w:t>
      </w:r>
      <w:r w:rsidRPr="00790BE4">
        <w:rPr>
          <w:lang w:val="en-AU"/>
        </w:rPr>
        <w:t xml:space="preserve">. </w:t>
      </w:r>
      <w:r w:rsidRPr="00790BE4">
        <w:t>Application of multiple imputation using the two-fold fully conditional specification algorithm in longitudinal clin</w:t>
      </w:r>
      <w:r w:rsidRPr="00411392">
        <w:t xml:space="preserve">ical data. </w:t>
      </w:r>
      <w:r w:rsidR="008045C3" w:rsidRPr="00411392">
        <w:rPr>
          <w:i/>
        </w:rPr>
        <w:t>Stata J</w:t>
      </w:r>
      <w:r w:rsidRPr="00411392">
        <w:rPr>
          <w:i/>
        </w:rPr>
        <w:t xml:space="preserve"> </w:t>
      </w:r>
      <w:r w:rsidR="008045C3" w:rsidRPr="00411392">
        <w:rPr>
          <w:iCs/>
        </w:rPr>
        <w:t>2014</w:t>
      </w:r>
      <w:proofErr w:type="gramStart"/>
      <w:r w:rsidR="008045C3" w:rsidRPr="00411392">
        <w:rPr>
          <w:iCs/>
        </w:rPr>
        <w:t>;</w:t>
      </w:r>
      <w:r w:rsidRPr="00411392">
        <w:rPr>
          <w:b/>
        </w:rPr>
        <w:t>14</w:t>
      </w:r>
      <w:r w:rsidR="008045C3" w:rsidRPr="00411392">
        <w:rPr>
          <w:bCs/>
        </w:rPr>
        <w:t>:</w:t>
      </w:r>
      <w:r w:rsidRPr="00411392">
        <w:t>418</w:t>
      </w:r>
      <w:proofErr w:type="gramEnd"/>
      <w:r w:rsidRPr="00411392">
        <w:t>-31.</w:t>
      </w:r>
    </w:p>
    <w:p w14:paraId="00C21BFB" w14:textId="6CA4ACF9" w:rsidR="00116A46" w:rsidRPr="00411392" w:rsidRDefault="00116A46" w:rsidP="00221A71">
      <w:pPr>
        <w:pStyle w:val="ListParagraph"/>
        <w:numPr>
          <w:ilvl w:val="0"/>
          <w:numId w:val="10"/>
        </w:numPr>
        <w:spacing w:line="480" w:lineRule="auto"/>
        <w:jc w:val="both"/>
      </w:pPr>
      <w:r w:rsidRPr="00411392">
        <w:rPr>
          <w:bCs/>
        </w:rPr>
        <w:t>National Health Service</w:t>
      </w:r>
      <w:r w:rsidRPr="00790BE4">
        <w:t xml:space="preserve">. </w:t>
      </w:r>
      <w:r w:rsidRPr="00411392">
        <w:rPr>
          <w:i/>
        </w:rPr>
        <w:t>High cholesterol – Diagnosis:</w:t>
      </w:r>
      <w:r w:rsidRPr="00411392">
        <w:rPr>
          <w:rFonts w:cs="Times New Roman"/>
          <w:i/>
        </w:rPr>
        <w:t xml:space="preserve"> Diagnosing high cholesterol – getting a cholesterol test.</w:t>
      </w:r>
      <w:r w:rsidRPr="00411392">
        <w:rPr>
          <w:rFonts w:cs="Times New Roman"/>
        </w:rPr>
        <w:t xml:space="preserve"> </w:t>
      </w:r>
      <w:r w:rsidR="00790BE4" w:rsidRPr="00411392">
        <w:rPr>
          <w:rFonts w:cs="Times New Roman"/>
        </w:rPr>
        <w:t xml:space="preserve">United Kingdom: </w:t>
      </w:r>
      <w:r w:rsidRPr="004204EB">
        <w:rPr>
          <w:rFonts w:cs="Times New Roman"/>
          <w:lang w:val="en-AU"/>
        </w:rPr>
        <w:t>NHS England</w:t>
      </w:r>
      <w:r w:rsidR="00790BE4" w:rsidRPr="004204EB">
        <w:rPr>
          <w:rFonts w:cs="Times New Roman"/>
          <w:lang w:val="en-AU"/>
        </w:rPr>
        <w:t>, 2013</w:t>
      </w:r>
      <w:r w:rsidRPr="004204EB">
        <w:rPr>
          <w:rFonts w:cs="Times New Roman"/>
          <w:lang w:val="en-AU"/>
        </w:rPr>
        <w:t xml:space="preserve">. </w:t>
      </w:r>
      <w:hyperlink r:id="rId12" w:history="1">
        <w:r w:rsidR="00790BE4" w:rsidRPr="00411392">
          <w:rPr>
            <w:rStyle w:val="Hyperlink"/>
            <w:rFonts w:cs="Times New Roman"/>
            <w:color w:val="auto"/>
            <w:u w:val="none"/>
            <w:lang w:val="en-AU"/>
          </w:rPr>
          <w:t>http://www.nhs.uk/conditions/cholesterol/pages/diagnosis.aspx. (</w:t>
        </w:r>
        <w:r w:rsidR="00790BE4" w:rsidRPr="00411392">
          <w:rPr>
            <w:rStyle w:val="Hyperlink"/>
            <w:rFonts w:cs="Times New Roman"/>
            <w:color w:val="auto"/>
            <w:u w:val="none"/>
          </w:rPr>
          <w:t>Accessed February 2014</w:t>
        </w:r>
      </w:hyperlink>
      <w:r w:rsidR="00790BE4" w:rsidRPr="00411392">
        <w:rPr>
          <w:rStyle w:val="Hyperlink"/>
          <w:rFonts w:cs="Times New Roman"/>
          <w:color w:val="auto"/>
          <w:u w:val="none"/>
          <w:lang w:val="en-AU"/>
        </w:rPr>
        <w:t>)</w:t>
      </w:r>
      <w:r w:rsidRPr="00411392">
        <w:rPr>
          <w:rFonts w:cs="Times New Roman"/>
        </w:rPr>
        <w:t>.</w:t>
      </w:r>
    </w:p>
    <w:p w14:paraId="66AAB802" w14:textId="12A0B00E" w:rsidR="00116A46" w:rsidRPr="00411392" w:rsidRDefault="00116A46" w:rsidP="00221A71">
      <w:pPr>
        <w:pStyle w:val="ListParagraph"/>
        <w:numPr>
          <w:ilvl w:val="0"/>
          <w:numId w:val="10"/>
        </w:numPr>
        <w:spacing w:line="480" w:lineRule="auto"/>
        <w:jc w:val="both"/>
        <w:rPr>
          <w:rFonts w:cs="Times New Roman"/>
        </w:rPr>
      </w:pPr>
      <w:r w:rsidRPr="00411392">
        <w:rPr>
          <w:rFonts w:cs="Times New Roman"/>
          <w:bCs/>
        </w:rPr>
        <w:t>Heart UK</w:t>
      </w:r>
      <w:r w:rsidRPr="00790BE4">
        <w:rPr>
          <w:rFonts w:cs="Times New Roman"/>
        </w:rPr>
        <w:t xml:space="preserve">. </w:t>
      </w:r>
      <w:r w:rsidRPr="00411392">
        <w:rPr>
          <w:rFonts w:cs="Times New Roman"/>
          <w:i/>
        </w:rPr>
        <w:t xml:space="preserve">Health and high cholesterol. Cholesterol Tests – Know your number. </w:t>
      </w:r>
      <w:r w:rsidR="00790BE4" w:rsidRPr="00411392">
        <w:rPr>
          <w:rFonts w:cs="Times New Roman"/>
          <w:iCs/>
        </w:rPr>
        <w:t xml:space="preserve">United Kingdom: </w:t>
      </w:r>
      <w:r w:rsidRPr="00411392">
        <w:rPr>
          <w:rFonts w:cs="Times New Roman"/>
        </w:rPr>
        <w:t>Heart UK</w:t>
      </w:r>
      <w:r w:rsidR="00790BE4" w:rsidRPr="00411392">
        <w:rPr>
          <w:rFonts w:cs="Times New Roman"/>
        </w:rPr>
        <w:t>, 2012</w:t>
      </w:r>
      <w:r w:rsidRPr="00411392">
        <w:rPr>
          <w:rFonts w:cs="Times New Roman"/>
        </w:rPr>
        <w:t xml:space="preserve">. </w:t>
      </w:r>
      <w:hyperlink r:id="rId13" w:history="1">
        <w:r w:rsidRPr="00411392">
          <w:rPr>
            <w:rStyle w:val="Hyperlink"/>
            <w:rFonts w:cs="Times New Roman"/>
            <w:color w:val="auto"/>
            <w:u w:val="none"/>
          </w:rPr>
          <w:t>http://heartuk.org.uk/health-and-high-cholesterol/cholesterol-tests---know-your-number</w:t>
        </w:r>
      </w:hyperlink>
      <w:r w:rsidRPr="00411392">
        <w:rPr>
          <w:rFonts w:cs="Times New Roman"/>
        </w:rPr>
        <w:t xml:space="preserve">. </w:t>
      </w:r>
      <w:r w:rsidR="00790BE4" w:rsidRPr="00411392">
        <w:rPr>
          <w:rFonts w:cs="Times New Roman"/>
        </w:rPr>
        <w:t>(</w:t>
      </w:r>
      <w:r w:rsidRPr="00411392">
        <w:rPr>
          <w:rFonts w:cs="Times New Roman"/>
        </w:rPr>
        <w:t>Accessed February 2014</w:t>
      </w:r>
      <w:r w:rsidR="00790BE4" w:rsidRPr="00411392">
        <w:rPr>
          <w:rFonts w:cs="Times New Roman"/>
        </w:rPr>
        <w:t>)</w:t>
      </w:r>
      <w:r w:rsidRPr="00411392">
        <w:rPr>
          <w:rFonts w:cs="Times New Roman"/>
        </w:rPr>
        <w:t>.</w:t>
      </w:r>
    </w:p>
    <w:p w14:paraId="1BCB71A5" w14:textId="4A9F7692" w:rsidR="00116A46" w:rsidRPr="00411392" w:rsidRDefault="00116A46" w:rsidP="00221A71">
      <w:pPr>
        <w:pStyle w:val="ListParagraph"/>
        <w:numPr>
          <w:ilvl w:val="0"/>
          <w:numId w:val="10"/>
        </w:numPr>
        <w:spacing w:line="480" w:lineRule="auto"/>
        <w:jc w:val="both"/>
        <w:rPr>
          <w:rFonts w:eastAsia="SimSun"/>
          <w:bCs/>
        </w:rPr>
      </w:pPr>
      <w:r w:rsidRPr="00411392">
        <w:rPr>
          <w:rFonts w:eastAsia="SimSun"/>
          <w:bCs/>
        </w:rPr>
        <w:t xml:space="preserve">Briggs A, Claxton K, </w:t>
      </w:r>
      <w:proofErr w:type="spellStart"/>
      <w:r w:rsidRPr="00411392">
        <w:rPr>
          <w:rFonts w:eastAsia="SimSun"/>
          <w:bCs/>
        </w:rPr>
        <w:t>Sculpher</w:t>
      </w:r>
      <w:proofErr w:type="spellEnd"/>
      <w:r w:rsidRPr="00411392">
        <w:rPr>
          <w:rFonts w:eastAsia="SimSun"/>
          <w:bCs/>
        </w:rPr>
        <w:t xml:space="preserve"> M. </w:t>
      </w:r>
      <w:r w:rsidRPr="00411392">
        <w:rPr>
          <w:rFonts w:eastAsia="SimSun"/>
          <w:bCs/>
          <w:i/>
          <w:iCs/>
        </w:rPr>
        <w:t>Decision modelling for health economic evaluation</w:t>
      </w:r>
      <w:r w:rsidRPr="00411392">
        <w:rPr>
          <w:rFonts w:eastAsia="SimSun"/>
          <w:bCs/>
        </w:rPr>
        <w:t xml:space="preserve">. </w:t>
      </w:r>
      <w:r w:rsidR="00790BE4" w:rsidRPr="00411392">
        <w:rPr>
          <w:rFonts w:eastAsia="SimSun"/>
          <w:bCs/>
        </w:rPr>
        <w:t xml:space="preserve">United Kingdom: </w:t>
      </w:r>
      <w:r w:rsidRPr="00411392">
        <w:rPr>
          <w:rFonts w:eastAsia="SimSun"/>
          <w:bCs/>
        </w:rPr>
        <w:t>Oxford University Press</w:t>
      </w:r>
      <w:r w:rsidR="00790BE4" w:rsidRPr="00411392">
        <w:rPr>
          <w:rFonts w:eastAsia="SimSun"/>
          <w:bCs/>
        </w:rPr>
        <w:t>, 2006</w:t>
      </w:r>
      <w:r w:rsidRPr="00411392">
        <w:rPr>
          <w:rFonts w:eastAsia="SimSun"/>
          <w:bCs/>
        </w:rPr>
        <w:t>.</w:t>
      </w:r>
    </w:p>
    <w:p w14:paraId="309CD3D4" w14:textId="0DE5CDA2" w:rsidR="00116A46" w:rsidRPr="00411392" w:rsidRDefault="00116A46" w:rsidP="00221A71">
      <w:pPr>
        <w:pStyle w:val="ListParagraph"/>
        <w:numPr>
          <w:ilvl w:val="0"/>
          <w:numId w:val="10"/>
        </w:numPr>
        <w:spacing w:line="480" w:lineRule="auto"/>
        <w:jc w:val="both"/>
        <w:rPr>
          <w:bCs/>
        </w:rPr>
      </w:pPr>
      <w:r w:rsidRPr="00411392">
        <w:rPr>
          <w:bCs/>
        </w:rPr>
        <w:t xml:space="preserve">Wilson PWF, </w:t>
      </w:r>
      <w:proofErr w:type="spellStart"/>
      <w:r w:rsidRPr="00411392">
        <w:rPr>
          <w:bCs/>
        </w:rPr>
        <w:t>D’Agostino</w:t>
      </w:r>
      <w:proofErr w:type="spellEnd"/>
      <w:r w:rsidRPr="00411392">
        <w:rPr>
          <w:bCs/>
        </w:rPr>
        <w:t xml:space="preserve"> R, Bhatt DL, </w:t>
      </w:r>
      <w:r w:rsidRPr="00790BE4">
        <w:rPr>
          <w:bCs/>
          <w:i/>
          <w:iCs/>
        </w:rPr>
        <w:t>et al.</w:t>
      </w:r>
      <w:r w:rsidRPr="00411392">
        <w:rPr>
          <w:bCs/>
        </w:rPr>
        <w:t xml:space="preserve">; REACH Registry. An international model to predict recurrent cardiovascular disease. </w:t>
      </w:r>
      <w:r w:rsidRPr="00411392">
        <w:rPr>
          <w:bCs/>
          <w:i/>
        </w:rPr>
        <w:t>Am J Med</w:t>
      </w:r>
      <w:r w:rsidRPr="00411392">
        <w:rPr>
          <w:bCs/>
          <w:iCs/>
        </w:rPr>
        <w:t xml:space="preserve"> 2012</w:t>
      </w:r>
      <w:proofErr w:type="gramStart"/>
      <w:r w:rsidRPr="00411392">
        <w:rPr>
          <w:bCs/>
          <w:iCs/>
        </w:rPr>
        <w:t>;</w:t>
      </w:r>
      <w:r w:rsidRPr="00411392">
        <w:rPr>
          <w:b/>
        </w:rPr>
        <w:t>125</w:t>
      </w:r>
      <w:r w:rsidRPr="00411392">
        <w:rPr>
          <w:bCs/>
        </w:rPr>
        <w:t>:695</w:t>
      </w:r>
      <w:proofErr w:type="gramEnd"/>
      <w:r w:rsidRPr="00411392">
        <w:rPr>
          <w:bCs/>
        </w:rPr>
        <w:t>-703.</w:t>
      </w:r>
    </w:p>
    <w:p w14:paraId="0995D972" w14:textId="42646987" w:rsidR="00116A46" w:rsidRPr="00411392" w:rsidRDefault="00116A46" w:rsidP="00221A71">
      <w:pPr>
        <w:pStyle w:val="ListParagraph"/>
        <w:numPr>
          <w:ilvl w:val="0"/>
          <w:numId w:val="10"/>
        </w:numPr>
        <w:spacing w:line="480" w:lineRule="auto"/>
        <w:jc w:val="both"/>
        <w:rPr>
          <w:rFonts w:cs="Times New Roman"/>
        </w:rPr>
      </w:pPr>
      <w:r w:rsidRPr="00411392">
        <w:rPr>
          <w:rFonts w:cs="Times New Roman"/>
          <w:bCs/>
        </w:rPr>
        <w:t xml:space="preserve">Bhatt DL, Eagle KA, </w:t>
      </w:r>
      <w:proofErr w:type="spellStart"/>
      <w:r w:rsidRPr="00411392">
        <w:rPr>
          <w:rFonts w:cs="Times New Roman"/>
          <w:bCs/>
        </w:rPr>
        <w:t>Ohman</w:t>
      </w:r>
      <w:proofErr w:type="spellEnd"/>
      <w:r w:rsidRPr="00411392">
        <w:rPr>
          <w:rFonts w:cs="Times New Roman"/>
          <w:bCs/>
        </w:rPr>
        <w:t xml:space="preserve"> EM, </w:t>
      </w:r>
      <w:r w:rsidRPr="00790BE4">
        <w:rPr>
          <w:rFonts w:cs="Times New Roman"/>
          <w:bCs/>
          <w:i/>
          <w:iCs/>
        </w:rPr>
        <w:t>et al.</w:t>
      </w:r>
      <w:r w:rsidRPr="00411392">
        <w:rPr>
          <w:rFonts w:cs="Times New Roman"/>
          <w:bCs/>
        </w:rPr>
        <w:t>; REACH Registry Investigators</w:t>
      </w:r>
      <w:r w:rsidRPr="00790BE4">
        <w:rPr>
          <w:rFonts w:cs="Times New Roman"/>
        </w:rPr>
        <w:t xml:space="preserve">. Comparative determinants of 4-year cardiovascular event rates in stable outpatients at risk of or with </w:t>
      </w:r>
      <w:proofErr w:type="spellStart"/>
      <w:r w:rsidRPr="00790BE4">
        <w:rPr>
          <w:rFonts w:cs="Times New Roman"/>
        </w:rPr>
        <w:t>atherothrombosis</w:t>
      </w:r>
      <w:proofErr w:type="spellEnd"/>
      <w:r w:rsidRPr="00790BE4">
        <w:rPr>
          <w:rFonts w:cs="Times New Roman"/>
        </w:rPr>
        <w:t xml:space="preserve">. </w:t>
      </w:r>
      <w:r w:rsidRPr="00411392">
        <w:rPr>
          <w:rFonts w:cs="Times New Roman"/>
          <w:i/>
        </w:rPr>
        <w:t xml:space="preserve">JAMA </w:t>
      </w:r>
      <w:r w:rsidRPr="00411392">
        <w:rPr>
          <w:rFonts w:cs="Times New Roman"/>
          <w:iCs/>
        </w:rPr>
        <w:t>2010</w:t>
      </w:r>
      <w:proofErr w:type="gramStart"/>
      <w:r w:rsidRPr="00411392">
        <w:rPr>
          <w:rFonts w:cs="Times New Roman"/>
          <w:iCs/>
        </w:rPr>
        <w:t>;</w:t>
      </w:r>
      <w:r w:rsidRPr="00411392">
        <w:rPr>
          <w:rFonts w:cs="Times New Roman"/>
          <w:b/>
        </w:rPr>
        <w:t>304:</w:t>
      </w:r>
      <w:r w:rsidRPr="00411392">
        <w:rPr>
          <w:rFonts w:cs="Times New Roman"/>
        </w:rPr>
        <w:t>1350</w:t>
      </w:r>
      <w:proofErr w:type="gramEnd"/>
      <w:r w:rsidRPr="00411392">
        <w:rPr>
          <w:rFonts w:cs="Times New Roman"/>
        </w:rPr>
        <w:t>-7.</w:t>
      </w:r>
    </w:p>
    <w:p w14:paraId="4BCBA636" w14:textId="1E186BDC" w:rsidR="000D7911" w:rsidRDefault="000D7911" w:rsidP="00221A71">
      <w:pPr>
        <w:pStyle w:val="ListParagraph"/>
        <w:numPr>
          <w:ilvl w:val="0"/>
          <w:numId w:val="10"/>
        </w:numPr>
        <w:spacing w:line="480" w:lineRule="auto"/>
        <w:jc w:val="both"/>
        <w:rPr>
          <w:noProof/>
        </w:rPr>
      </w:pPr>
      <w:r w:rsidRPr="00411392">
        <w:rPr>
          <w:bCs/>
        </w:rPr>
        <w:t xml:space="preserve">Taylor F, Huffman MD, </w:t>
      </w:r>
      <w:proofErr w:type="spellStart"/>
      <w:r w:rsidRPr="00411392">
        <w:rPr>
          <w:bCs/>
        </w:rPr>
        <w:t>Macedo</w:t>
      </w:r>
      <w:proofErr w:type="spellEnd"/>
      <w:r w:rsidRPr="00411392">
        <w:rPr>
          <w:bCs/>
        </w:rPr>
        <w:t xml:space="preserve"> AF,</w:t>
      </w:r>
      <w:r w:rsidRPr="00790BE4">
        <w:rPr>
          <w:bCs/>
          <w:i/>
          <w:iCs/>
        </w:rPr>
        <w:t xml:space="preserve"> et al.</w:t>
      </w:r>
      <w:r w:rsidRPr="00411392">
        <w:t xml:space="preserve"> Statins for the primary prevention of cardiovascular disease. </w:t>
      </w:r>
      <w:r w:rsidRPr="00411392">
        <w:rPr>
          <w:i/>
        </w:rPr>
        <w:t xml:space="preserve">Cochrane Database </w:t>
      </w:r>
      <w:proofErr w:type="spellStart"/>
      <w:r w:rsidRPr="00411392">
        <w:rPr>
          <w:i/>
        </w:rPr>
        <w:t>Syst</w:t>
      </w:r>
      <w:proofErr w:type="spellEnd"/>
      <w:r w:rsidRPr="00411392">
        <w:rPr>
          <w:i/>
        </w:rPr>
        <w:t xml:space="preserve"> Rev </w:t>
      </w:r>
      <w:r w:rsidRPr="00411392">
        <w:rPr>
          <w:iCs/>
        </w:rPr>
        <w:t>2013</w:t>
      </w:r>
      <w:proofErr w:type="gramStart"/>
      <w:r w:rsidRPr="00411392">
        <w:rPr>
          <w:iCs/>
        </w:rPr>
        <w:t>;</w:t>
      </w:r>
      <w:r w:rsidRPr="00411392">
        <w:rPr>
          <w:b/>
        </w:rPr>
        <w:t>1</w:t>
      </w:r>
      <w:r w:rsidRPr="00411392">
        <w:t>:CD004816</w:t>
      </w:r>
      <w:proofErr w:type="gramEnd"/>
      <w:r w:rsidRPr="00411392">
        <w:t xml:space="preserve">. </w:t>
      </w:r>
    </w:p>
    <w:p w14:paraId="1F2513A8" w14:textId="5B15CDAE" w:rsidR="002A3C3C" w:rsidRPr="00683CB5" w:rsidRDefault="002A3C3C" w:rsidP="00683CB5">
      <w:pPr>
        <w:pStyle w:val="ListParagraph"/>
        <w:numPr>
          <w:ilvl w:val="0"/>
          <w:numId w:val="10"/>
        </w:numPr>
        <w:spacing w:line="480" w:lineRule="auto"/>
        <w:rPr>
          <w:bCs/>
          <w:lang w:val="en-AU"/>
        </w:rPr>
      </w:pPr>
      <w:r>
        <w:rPr>
          <w:bCs/>
        </w:rPr>
        <w:lastRenderedPageBreak/>
        <w:t>Curtis L</w:t>
      </w:r>
      <w:r w:rsidRPr="00683CB5">
        <w:rPr>
          <w:bCs/>
        </w:rPr>
        <w:t xml:space="preserve">. </w:t>
      </w:r>
      <w:r w:rsidRPr="00683CB5">
        <w:rPr>
          <w:bCs/>
          <w:i/>
        </w:rPr>
        <w:t>Unit costs of health and social care 2013</w:t>
      </w:r>
      <w:r w:rsidRPr="00683CB5">
        <w:rPr>
          <w:bCs/>
        </w:rPr>
        <w:t xml:space="preserve">. </w:t>
      </w:r>
      <w:r>
        <w:rPr>
          <w:bCs/>
        </w:rPr>
        <w:t xml:space="preserve">United Kingdom: </w:t>
      </w:r>
      <w:r w:rsidRPr="00683CB5">
        <w:rPr>
          <w:rFonts w:ascii="Calibri" w:hAnsi="Calibri" w:cs="Calibri"/>
          <w:bCs/>
        </w:rPr>
        <w:t>Persona</w:t>
      </w:r>
      <w:r>
        <w:rPr>
          <w:rFonts w:ascii="Calibri" w:hAnsi="Calibri" w:cs="Calibri"/>
          <w:bCs/>
        </w:rPr>
        <w:t>l Social Services Research Unit, 2013</w:t>
      </w:r>
      <w:r w:rsidRPr="00683CB5">
        <w:rPr>
          <w:bCs/>
        </w:rPr>
        <w:t>.</w:t>
      </w:r>
      <w:r w:rsidRPr="00683CB5">
        <w:rPr>
          <w:rFonts w:ascii="Calibri" w:hAnsi="Calibri" w:cs="Calibri"/>
          <w:bCs/>
        </w:rPr>
        <w:t xml:space="preserve"> </w:t>
      </w:r>
      <w:hyperlink r:id="rId14" w:history="1">
        <w:r w:rsidRPr="00683CB5">
          <w:rPr>
            <w:rStyle w:val="Hyperlink"/>
            <w:rFonts w:ascii="Calibri" w:hAnsi="Calibri" w:cs="Calibri"/>
            <w:bCs/>
            <w:color w:val="auto"/>
            <w:u w:val="none"/>
          </w:rPr>
          <w:t>http://www.pssru.ac.uk/project-pages/unit-costs/2013/</w:t>
        </w:r>
      </w:hyperlink>
      <w:r w:rsidRPr="00683CB5">
        <w:rPr>
          <w:rFonts w:ascii="Calibri" w:hAnsi="Calibri" w:cs="Calibri"/>
          <w:bCs/>
        </w:rPr>
        <w:t xml:space="preserve">. </w:t>
      </w:r>
      <w:r>
        <w:rPr>
          <w:rFonts w:ascii="Calibri" w:hAnsi="Calibri" w:cs="Calibri"/>
          <w:bCs/>
        </w:rPr>
        <w:t>(</w:t>
      </w:r>
      <w:r w:rsidRPr="00683CB5">
        <w:rPr>
          <w:rFonts w:ascii="Calibri" w:hAnsi="Calibri" w:cs="Calibri"/>
          <w:bCs/>
        </w:rPr>
        <w:t>Accessed April 2014</w:t>
      </w:r>
      <w:r>
        <w:rPr>
          <w:rFonts w:ascii="Calibri" w:hAnsi="Calibri" w:cs="Calibri"/>
          <w:bCs/>
        </w:rPr>
        <w:t>)</w:t>
      </w:r>
      <w:r w:rsidRPr="00683CB5">
        <w:rPr>
          <w:rFonts w:ascii="Calibri" w:hAnsi="Calibri" w:cs="Calibri"/>
          <w:bCs/>
        </w:rPr>
        <w:t>.</w:t>
      </w:r>
    </w:p>
    <w:p w14:paraId="28268D70" w14:textId="1D5CB21A" w:rsidR="008051BC" w:rsidRPr="00411392" w:rsidRDefault="008051BC">
      <w:pPr>
        <w:pStyle w:val="ListParagraph"/>
        <w:numPr>
          <w:ilvl w:val="0"/>
          <w:numId w:val="10"/>
        </w:numPr>
        <w:spacing w:line="480" w:lineRule="auto"/>
        <w:jc w:val="both"/>
        <w:rPr>
          <w:noProof/>
        </w:rPr>
      </w:pPr>
      <w:r w:rsidRPr="00411392">
        <w:rPr>
          <w:rFonts w:cs="Times New Roman"/>
          <w:bCs/>
        </w:rPr>
        <w:t xml:space="preserve">Department of Health. </w:t>
      </w:r>
      <w:r w:rsidRPr="00411392">
        <w:rPr>
          <w:rFonts w:cs="Times New Roman"/>
          <w:bCs/>
          <w:i/>
        </w:rPr>
        <w:t>National Schedule of Reference Costs 2011-12 for NHS trusts and NHS foundation trusts.</w:t>
      </w:r>
      <w:r w:rsidRPr="00411392">
        <w:rPr>
          <w:rFonts w:cs="Times New Roman"/>
          <w:bCs/>
        </w:rPr>
        <w:t xml:space="preserve"> United Kingdom: Department of Health, 2012. </w:t>
      </w:r>
      <w:hyperlink r:id="rId15" w:history="1">
        <w:r w:rsidR="002A3C3C" w:rsidRPr="00411392">
          <w:rPr>
            <w:rStyle w:val="Hyperlink"/>
            <w:rFonts w:cs="Times New Roman"/>
            <w:bCs/>
            <w:color w:val="auto"/>
            <w:u w:val="none"/>
          </w:rPr>
          <w:t>https://www.gov.uk/government/uploads/system/uploads/attachment_data/file/213060/2011-12-reference-costs-publication.pdf</w:t>
        </w:r>
      </w:hyperlink>
      <w:r w:rsidR="002A3C3C" w:rsidRPr="00411392">
        <w:rPr>
          <w:rFonts w:cs="Times New Roman"/>
          <w:bCs/>
        </w:rPr>
        <w:t>. (Accessed April 2014).</w:t>
      </w:r>
    </w:p>
    <w:p w14:paraId="1DFA0A3F" w14:textId="09E71F3A" w:rsidR="000D7911" w:rsidRPr="00411392" w:rsidRDefault="000D7911" w:rsidP="00221A71">
      <w:pPr>
        <w:pStyle w:val="ListParagraph"/>
        <w:numPr>
          <w:ilvl w:val="0"/>
          <w:numId w:val="10"/>
        </w:numPr>
        <w:spacing w:line="480" w:lineRule="auto"/>
        <w:jc w:val="both"/>
        <w:rPr>
          <w:bCs/>
        </w:rPr>
      </w:pPr>
      <w:r w:rsidRPr="00411392">
        <w:rPr>
          <w:rFonts w:cs="Times New Roman"/>
          <w:bCs/>
        </w:rPr>
        <w:t xml:space="preserve">Joint Formulary Committee. </w:t>
      </w:r>
      <w:r w:rsidRPr="00411392">
        <w:rPr>
          <w:rStyle w:val="Emphasis"/>
          <w:rFonts w:cs="Times New Roman"/>
          <w:bCs/>
        </w:rPr>
        <w:t>British National Formulary</w:t>
      </w:r>
      <w:r w:rsidRPr="00411392">
        <w:rPr>
          <w:rFonts w:cs="Times New Roman"/>
          <w:bCs/>
        </w:rPr>
        <w:t xml:space="preserve"> (online) </w:t>
      </w:r>
      <w:r w:rsidR="00790BE4" w:rsidRPr="00411392">
        <w:rPr>
          <w:rFonts w:cs="Times New Roman"/>
          <w:bCs/>
        </w:rPr>
        <w:t xml:space="preserve">United Kingdom: </w:t>
      </w:r>
      <w:r w:rsidRPr="00411392">
        <w:rPr>
          <w:rFonts w:cs="Times New Roman"/>
          <w:bCs/>
        </w:rPr>
        <w:t>BMJ</w:t>
      </w:r>
      <w:r w:rsidR="00790BE4" w:rsidRPr="00411392">
        <w:rPr>
          <w:rFonts w:cs="Times New Roman"/>
          <w:bCs/>
        </w:rPr>
        <w:t xml:space="preserve"> Group and Pharmaceutical Press</w:t>
      </w:r>
      <w:r w:rsidRPr="00411392">
        <w:rPr>
          <w:rFonts w:cs="Times New Roman"/>
          <w:bCs/>
        </w:rPr>
        <w:t xml:space="preserve">. </w:t>
      </w:r>
      <w:hyperlink r:id="rId16" w:history="1">
        <w:r w:rsidRPr="00411392">
          <w:rPr>
            <w:rStyle w:val="Hyperlink"/>
            <w:rFonts w:cs="Times New Roman"/>
            <w:bCs/>
            <w:color w:val="auto"/>
            <w:u w:val="none"/>
          </w:rPr>
          <w:t>http://www.medicinescomplete.com</w:t>
        </w:r>
      </w:hyperlink>
      <w:r w:rsidRPr="00411392">
        <w:rPr>
          <w:rFonts w:cs="Times New Roman"/>
          <w:bCs/>
        </w:rPr>
        <w:t xml:space="preserve">. </w:t>
      </w:r>
      <w:r w:rsidR="00790BE4" w:rsidRPr="00411392">
        <w:rPr>
          <w:rFonts w:cs="Times New Roman"/>
          <w:bCs/>
        </w:rPr>
        <w:t>(</w:t>
      </w:r>
      <w:r w:rsidRPr="00411392">
        <w:rPr>
          <w:rFonts w:cs="Times New Roman"/>
          <w:bCs/>
        </w:rPr>
        <w:t>Accessed April 2014</w:t>
      </w:r>
      <w:r w:rsidR="00790BE4" w:rsidRPr="00411392">
        <w:rPr>
          <w:rFonts w:cs="Times New Roman"/>
          <w:bCs/>
        </w:rPr>
        <w:t>)</w:t>
      </w:r>
      <w:r w:rsidRPr="00411392">
        <w:rPr>
          <w:rFonts w:cs="Times New Roman"/>
          <w:bCs/>
        </w:rPr>
        <w:t>.</w:t>
      </w:r>
    </w:p>
    <w:p w14:paraId="4C349105" w14:textId="25C62FAA" w:rsidR="000D7911" w:rsidRPr="00411392" w:rsidRDefault="000D7911" w:rsidP="00221A71">
      <w:pPr>
        <w:pStyle w:val="ListParagraph"/>
        <w:numPr>
          <w:ilvl w:val="0"/>
          <w:numId w:val="10"/>
        </w:numPr>
        <w:spacing w:line="480" w:lineRule="auto"/>
        <w:jc w:val="both"/>
      </w:pPr>
      <w:r w:rsidRPr="00411392">
        <w:rPr>
          <w:rFonts w:cs="Times New Roman"/>
          <w:bCs/>
        </w:rPr>
        <w:t xml:space="preserve">Ward S, Lloyd Jones M, </w:t>
      </w:r>
      <w:proofErr w:type="spellStart"/>
      <w:r w:rsidRPr="00411392">
        <w:rPr>
          <w:rFonts w:cs="Times New Roman"/>
          <w:bCs/>
        </w:rPr>
        <w:t>Pandor</w:t>
      </w:r>
      <w:proofErr w:type="spellEnd"/>
      <w:r w:rsidRPr="00411392">
        <w:rPr>
          <w:rFonts w:cs="Times New Roman"/>
          <w:bCs/>
        </w:rPr>
        <w:t xml:space="preserve"> A, </w:t>
      </w:r>
      <w:r w:rsidRPr="00790BE4">
        <w:rPr>
          <w:rFonts w:cs="Times New Roman"/>
          <w:bCs/>
          <w:i/>
          <w:iCs/>
        </w:rPr>
        <w:t>et al.</w:t>
      </w:r>
      <w:r w:rsidRPr="00411392">
        <w:rPr>
          <w:rFonts w:cs="Times New Roman"/>
        </w:rPr>
        <w:t xml:space="preserve"> A systematic review and economic evaluation of statins for the prevention of coronary events. </w:t>
      </w:r>
      <w:r w:rsidRPr="00411392">
        <w:rPr>
          <w:rFonts w:cs="Times New Roman"/>
          <w:i/>
        </w:rPr>
        <w:t xml:space="preserve">HTA </w:t>
      </w:r>
      <w:r w:rsidRPr="00411392">
        <w:rPr>
          <w:rFonts w:cs="Times New Roman"/>
          <w:iCs/>
        </w:rPr>
        <w:t>2007</w:t>
      </w:r>
      <w:proofErr w:type="gramStart"/>
      <w:r w:rsidRPr="00411392">
        <w:rPr>
          <w:rFonts w:cs="Times New Roman"/>
          <w:iCs/>
        </w:rPr>
        <w:t>;</w:t>
      </w:r>
      <w:r w:rsidRPr="00411392">
        <w:rPr>
          <w:rFonts w:cs="Times New Roman"/>
          <w:b/>
        </w:rPr>
        <w:t>11:</w:t>
      </w:r>
      <w:r w:rsidRPr="00411392">
        <w:rPr>
          <w:rFonts w:cs="Times New Roman"/>
        </w:rPr>
        <w:t>1</w:t>
      </w:r>
      <w:proofErr w:type="gramEnd"/>
      <w:r w:rsidRPr="00411392">
        <w:rPr>
          <w:rFonts w:cs="Times New Roman"/>
        </w:rPr>
        <w:t>-160.</w:t>
      </w:r>
    </w:p>
    <w:p w14:paraId="6BF62B9B" w14:textId="32CBEA36" w:rsidR="000D7911" w:rsidRPr="00411392" w:rsidRDefault="000D7911" w:rsidP="00221A71">
      <w:pPr>
        <w:pStyle w:val="ListParagraph"/>
        <w:numPr>
          <w:ilvl w:val="0"/>
          <w:numId w:val="10"/>
        </w:numPr>
        <w:spacing w:line="480" w:lineRule="auto"/>
        <w:jc w:val="both"/>
        <w:rPr>
          <w:bCs/>
        </w:rPr>
      </w:pPr>
      <w:r w:rsidRPr="00411392">
        <w:rPr>
          <w:bCs/>
        </w:rPr>
        <w:t xml:space="preserve">National Institute for Health and Care Excellence. Process and methods guides: Guide to the methods of technology appraisal 2013. </w:t>
      </w:r>
      <w:r w:rsidR="00790BE4" w:rsidRPr="00411392">
        <w:rPr>
          <w:bCs/>
        </w:rPr>
        <w:t xml:space="preserve">United Kingdom: </w:t>
      </w:r>
      <w:r w:rsidRPr="00411392">
        <w:rPr>
          <w:bCs/>
        </w:rPr>
        <w:t>National Institute for</w:t>
      </w:r>
      <w:r w:rsidR="00790BE4" w:rsidRPr="00411392">
        <w:rPr>
          <w:bCs/>
        </w:rPr>
        <w:t xml:space="preserve"> Health and Care Excellence, 2013</w:t>
      </w:r>
      <w:r w:rsidRPr="00411392">
        <w:rPr>
          <w:bCs/>
        </w:rPr>
        <w:t xml:space="preserve">. </w:t>
      </w:r>
      <w:hyperlink r:id="rId17" w:history="1">
        <w:r w:rsidRPr="00411392">
          <w:rPr>
            <w:rStyle w:val="Hyperlink"/>
            <w:bCs/>
            <w:color w:val="auto"/>
            <w:u w:val="none"/>
          </w:rPr>
          <w:t>http://publications.nice.org.uk/guide-to-the-methods-of-technology-appraisal-2013-pmg9</w:t>
        </w:r>
      </w:hyperlink>
      <w:r w:rsidRPr="00411392">
        <w:rPr>
          <w:bCs/>
        </w:rPr>
        <w:t xml:space="preserve">. </w:t>
      </w:r>
      <w:r w:rsidR="00790BE4" w:rsidRPr="00411392">
        <w:rPr>
          <w:bCs/>
        </w:rPr>
        <w:t>(</w:t>
      </w:r>
      <w:r w:rsidRPr="00411392">
        <w:rPr>
          <w:bCs/>
        </w:rPr>
        <w:t>Accessed March 2014</w:t>
      </w:r>
      <w:r w:rsidR="00790BE4" w:rsidRPr="00411392">
        <w:rPr>
          <w:bCs/>
        </w:rPr>
        <w:t>)</w:t>
      </w:r>
      <w:r w:rsidRPr="00411392">
        <w:rPr>
          <w:bCs/>
        </w:rPr>
        <w:t>.</w:t>
      </w:r>
    </w:p>
    <w:p w14:paraId="3488C71C" w14:textId="58D32BD2" w:rsidR="000D7911" w:rsidRPr="00411392" w:rsidRDefault="000D7911" w:rsidP="00221A71">
      <w:pPr>
        <w:pStyle w:val="ListParagraph"/>
        <w:numPr>
          <w:ilvl w:val="0"/>
          <w:numId w:val="10"/>
        </w:numPr>
        <w:spacing w:line="480" w:lineRule="auto"/>
        <w:jc w:val="both"/>
      </w:pPr>
      <w:r w:rsidRPr="00411392">
        <w:rPr>
          <w:bCs/>
        </w:rPr>
        <w:t xml:space="preserve">Briggs A, Wild D, Lees M, </w:t>
      </w:r>
      <w:r w:rsidRPr="00411392">
        <w:rPr>
          <w:bCs/>
          <w:i/>
          <w:iCs/>
        </w:rPr>
        <w:t>et al.</w:t>
      </w:r>
      <w:r w:rsidRPr="00790BE4">
        <w:t xml:space="preserve"> Impact of schizophrenia and schizophrenia treatment-related adverse events on quality of life: direct utility elicitation. </w:t>
      </w:r>
      <w:r w:rsidRPr="00411392">
        <w:rPr>
          <w:i/>
        </w:rPr>
        <w:t xml:space="preserve">Health </w:t>
      </w:r>
      <w:proofErr w:type="spellStart"/>
      <w:r w:rsidRPr="00411392">
        <w:rPr>
          <w:i/>
        </w:rPr>
        <w:t>Qual</w:t>
      </w:r>
      <w:proofErr w:type="spellEnd"/>
      <w:r w:rsidRPr="00411392">
        <w:rPr>
          <w:i/>
        </w:rPr>
        <w:t xml:space="preserve"> Life Outcomes</w:t>
      </w:r>
      <w:r w:rsidRPr="00411392">
        <w:t xml:space="preserve"> 2008</w:t>
      </w:r>
      <w:proofErr w:type="gramStart"/>
      <w:r w:rsidRPr="00411392">
        <w:t>;</w:t>
      </w:r>
      <w:r w:rsidRPr="00411392">
        <w:rPr>
          <w:b/>
        </w:rPr>
        <w:t>6</w:t>
      </w:r>
      <w:r w:rsidRPr="00411392">
        <w:t>:105</w:t>
      </w:r>
      <w:proofErr w:type="gramEnd"/>
      <w:r w:rsidRPr="00411392">
        <w:t>.</w:t>
      </w:r>
    </w:p>
    <w:p w14:paraId="4EE78BFE" w14:textId="030267D4" w:rsidR="00A1423A" w:rsidRPr="00411392" w:rsidRDefault="00A1423A" w:rsidP="00221A71">
      <w:pPr>
        <w:pStyle w:val="ListParagraph"/>
        <w:numPr>
          <w:ilvl w:val="0"/>
          <w:numId w:val="10"/>
        </w:numPr>
        <w:spacing w:line="480" w:lineRule="auto"/>
        <w:jc w:val="both"/>
        <w:rPr>
          <w:noProof/>
        </w:rPr>
      </w:pPr>
      <w:proofErr w:type="spellStart"/>
      <w:r w:rsidRPr="00411392">
        <w:rPr>
          <w:bCs/>
        </w:rPr>
        <w:t>Lardizabal</w:t>
      </w:r>
      <w:proofErr w:type="spellEnd"/>
      <w:r w:rsidRPr="00411392">
        <w:rPr>
          <w:bCs/>
        </w:rPr>
        <w:t xml:space="preserve"> JA and </w:t>
      </w:r>
      <w:proofErr w:type="spellStart"/>
      <w:r w:rsidRPr="00411392">
        <w:rPr>
          <w:bCs/>
        </w:rPr>
        <w:t>Deedwania</w:t>
      </w:r>
      <w:proofErr w:type="spellEnd"/>
      <w:r w:rsidRPr="00411392">
        <w:rPr>
          <w:bCs/>
        </w:rPr>
        <w:t xml:space="preserve"> PC</w:t>
      </w:r>
      <w:r w:rsidRPr="00790BE4">
        <w:t xml:space="preserve">. Benefits of statin therapy and compliance in high risk cardiovascular patients. </w:t>
      </w:r>
      <w:proofErr w:type="spellStart"/>
      <w:r w:rsidRPr="00411392">
        <w:rPr>
          <w:i/>
        </w:rPr>
        <w:t>Vasc</w:t>
      </w:r>
      <w:proofErr w:type="spellEnd"/>
      <w:r w:rsidRPr="00411392">
        <w:rPr>
          <w:i/>
        </w:rPr>
        <w:t xml:space="preserve"> Health Risk </w:t>
      </w:r>
      <w:proofErr w:type="spellStart"/>
      <w:r w:rsidRPr="00411392">
        <w:rPr>
          <w:i/>
        </w:rPr>
        <w:t>Manag</w:t>
      </w:r>
      <w:proofErr w:type="spellEnd"/>
      <w:r w:rsidRPr="00411392">
        <w:rPr>
          <w:i/>
        </w:rPr>
        <w:t xml:space="preserve"> </w:t>
      </w:r>
      <w:r w:rsidRPr="00411392">
        <w:rPr>
          <w:iCs/>
        </w:rPr>
        <w:t>2010</w:t>
      </w:r>
      <w:proofErr w:type="gramStart"/>
      <w:r w:rsidRPr="00411392">
        <w:rPr>
          <w:iCs/>
        </w:rPr>
        <w:t>;</w:t>
      </w:r>
      <w:r w:rsidRPr="00411392">
        <w:rPr>
          <w:b/>
        </w:rPr>
        <w:t>6</w:t>
      </w:r>
      <w:r w:rsidRPr="00411392">
        <w:t>:843</w:t>
      </w:r>
      <w:proofErr w:type="gramEnd"/>
      <w:r w:rsidRPr="00411392">
        <w:t>-53.</w:t>
      </w:r>
    </w:p>
    <w:p w14:paraId="28BF9A4C" w14:textId="5D770195" w:rsidR="006F2731" w:rsidRPr="00DB59A4" w:rsidRDefault="006F2731" w:rsidP="00221A71">
      <w:pPr>
        <w:pStyle w:val="ListParagraph"/>
        <w:numPr>
          <w:ilvl w:val="0"/>
          <w:numId w:val="10"/>
        </w:numPr>
        <w:spacing w:line="480" w:lineRule="auto"/>
        <w:jc w:val="both"/>
        <w:rPr>
          <w:bCs/>
        </w:rPr>
      </w:pPr>
      <w:r w:rsidRPr="00DB59A4">
        <w:rPr>
          <w:bCs/>
        </w:rPr>
        <w:t xml:space="preserve">University of Sheffield, University of York and University of Leicester. </w:t>
      </w:r>
      <w:r w:rsidRPr="00DB59A4">
        <w:rPr>
          <w:bCs/>
          <w:i/>
        </w:rPr>
        <w:t>NICE decision support unit (DSU).</w:t>
      </w:r>
      <w:r w:rsidRPr="00DB59A4">
        <w:rPr>
          <w:bCs/>
        </w:rPr>
        <w:t xml:space="preserve"> </w:t>
      </w:r>
      <w:r w:rsidR="00790BE4" w:rsidRPr="00DB59A4">
        <w:rPr>
          <w:bCs/>
        </w:rPr>
        <w:t xml:space="preserve">United Kingdom: </w:t>
      </w:r>
      <w:r w:rsidRPr="00DB59A4">
        <w:rPr>
          <w:bCs/>
        </w:rPr>
        <w:t xml:space="preserve">NICE DSU Decision Support Unit. </w:t>
      </w:r>
      <w:hyperlink r:id="rId18" w:history="1">
        <w:r w:rsidRPr="00DB59A4">
          <w:rPr>
            <w:rStyle w:val="Hyperlink"/>
            <w:bCs/>
            <w:color w:val="auto"/>
            <w:u w:val="none"/>
          </w:rPr>
          <w:t>http://www.nicedsu.org.uk</w:t>
        </w:r>
      </w:hyperlink>
      <w:r w:rsidRPr="00DB59A4">
        <w:rPr>
          <w:bCs/>
        </w:rPr>
        <w:t xml:space="preserve">. </w:t>
      </w:r>
      <w:r w:rsidR="00B375B9" w:rsidRPr="00DB59A4">
        <w:rPr>
          <w:bCs/>
        </w:rPr>
        <w:t>(</w:t>
      </w:r>
      <w:r w:rsidRPr="00DB59A4">
        <w:rPr>
          <w:bCs/>
        </w:rPr>
        <w:t>Accessed May 2014.</w:t>
      </w:r>
      <w:r w:rsidR="00B375B9" w:rsidRPr="00DB59A4">
        <w:rPr>
          <w:bCs/>
        </w:rPr>
        <w:t>)</w:t>
      </w:r>
    </w:p>
    <w:p w14:paraId="78548D81" w14:textId="3A6996CE" w:rsidR="006F2731" w:rsidRDefault="006F2731" w:rsidP="00221A71">
      <w:pPr>
        <w:pStyle w:val="ListParagraph"/>
        <w:numPr>
          <w:ilvl w:val="0"/>
          <w:numId w:val="10"/>
        </w:numPr>
        <w:spacing w:line="480" w:lineRule="auto"/>
        <w:jc w:val="both"/>
        <w:rPr>
          <w:noProof/>
        </w:rPr>
      </w:pPr>
      <w:r w:rsidRPr="00411392">
        <w:rPr>
          <w:bCs/>
        </w:rPr>
        <w:t xml:space="preserve">Osborn DPJ, King MB, </w:t>
      </w:r>
      <w:proofErr w:type="gramStart"/>
      <w:r w:rsidRPr="00411392">
        <w:rPr>
          <w:bCs/>
        </w:rPr>
        <w:t>Nazareth</w:t>
      </w:r>
      <w:proofErr w:type="gramEnd"/>
      <w:r w:rsidRPr="00411392">
        <w:rPr>
          <w:bCs/>
        </w:rPr>
        <w:t xml:space="preserve"> I</w:t>
      </w:r>
      <w:r w:rsidRPr="00790BE4">
        <w:t xml:space="preserve">. Participation in screening for cardiovascular risk by people with schizophrenia or similar mental illnesses: cross sectional study in general practice. </w:t>
      </w:r>
      <w:r w:rsidRPr="00411392">
        <w:rPr>
          <w:i/>
        </w:rPr>
        <w:t>BMJ</w:t>
      </w:r>
      <w:r w:rsidRPr="00411392">
        <w:t xml:space="preserve"> 2003</w:t>
      </w:r>
      <w:proofErr w:type="gramStart"/>
      <w:r w:rsidRPr="00411392">
        <w:t>;</w:t>
      </w:r>
      <w:r w:rsidRPr="00411392">
        <w:rPr>
          <w:b/>
        </w:rPr>
        <w:t>326:</w:t>
      </w:r>
      <w:r w:rsidRPr="00411392">
        <w:t>1122</w:t>
      </w:r>
      <w:proofErr w:type="gramEnd"/>
      <w:r w:rsidRPr="00411392">
        <w:t>-3.</w:t>
      </w:r>
    </w:p>
    <w:p w14:paraId="303C9694" w14:textId="6A9CF13C" w:rsidR="007D1E1B" w:rsidRDefault="007D1E1B" w:rsidP="00221A71">
      <w:pPr>
        <w:pStyle w:val="ListParagraph"/>
        <w:numPr>
          <w:ilvl w:val="0"/>
          <w:numId w:val="10"/>
        </w:numPr>
        <w:spacing w:line="480" w:lineRule="auto"/>
        <w:jc w:val="both"/>
        <w:rPr>
          <w:noProof/>
          <w:lang w:val="en-AU"/>
        </w:rPr>
      </w:pPr>
      <w:r w:rsidRPr="00683CB5">
        <w:rPr>
          <w:lang w:val="fr-FR"/>
        </w:rPr>
        <w:lastRenderedPageBreak/>
        <w:t xml:space="preserve">Barnes T, </w:t>
      </w:r>
      <w:proofErr w:type="spellStart"/>
      <w:r w:rsidRPr="00683CB5">
        <w:rPr>
          <w:lang w:val="fr-FR"/>
        </w:rPr>
        <w:t>Paton</w:t>
      </w:r>
      <w:proofErr w:type="spellEnd"/>
      <w:r w:rsidRPr="00683CB5">
        <w:rPr>
          <w:lang w:val="fr-FR"/>
        </w:rPr>
        <w:t xml:space="preserve"> C, </w:t>
      </w:r>
      <w:proofErr w:type="spellStart"/>
      <w:r w:rsidRPr="00683CB5">
        <w:rPr>
          <w:lang w:val="fr-FR"/>
        </w:rPr>
        <w:t>Cavanagh</w:t>
      </w:r>
      <w:proofErr w:type="spellEnd"/>
      <w:r w:rsidRPr="00683CB5">
        <w:rPr>
          <w:lang w:val="fr-FR"/>
        </w:rPr>
        <w:t xml:space="preserve"> M</w:t>
      </w:r>
      <w:r w:rsidRPr="007D1E1B">
        <w:rPr>
          <w:lang w:val="fr-FR"/>
        </w:rPr>
        <w:t>,</w:t>
      </w:r>
      <w:r w:rsidRPr="00683CB5">
        <w:rPr>
          <w:lang w:val="fr-FR"/>
        </w:rPr>
        <w:t xml:space="preserve"> </w:t>
      </w:r>
      <w:r w:rsidRPr="007D1E1B">
        <w:rPr>
          <w:i/>
          <w:iCs/>
          <w:lang w:val="fr-FR"/>
        </w:rPr>
        <w:t>et al</w:t>
      </w:r>
      <w:r w:rsidRPr="007D1E1B">
        <w:rPr>
          <w:lang w:val="fr-FR"/>
        </w:rPr>
        <w:t xml:space="preserve">. </w:t>
      </w:r>
      <w:r w:rsidRPr="007D1E1B">
        <w:rPr>
          <w:lang w:val="en-AU"/>
        </w:rPr>
        <w:t>A</w:t>
      </w:r>
      <w:r w:rsidRPr="00683CB5">
        <w:rPr>
          <w:lang w:val="en-AU"/>
        </w:rPr>
        <w:t xml:space="preserve"> UK audit of screening for the</w:t>
      </w:r>
      <w:r>
        <w:rPr>
          <w:lang w:val="en-AU"/>
        </w:rPr>
        <w:t xml:space="preserve"> metabolic side effects of anti</w:t>
      </w:r>
      <w:r w:rsidRPr="00683CB5">
        <w:rPr>
          <w:lang w:val="en-AU"/>
        </w:rPr>
        <w:t>psychotics in community patients</w:t>
      </w:r>
      <w:r>
        <w:rPr>
          <w:lang w:val="en-AU"/>
        </w:rPr>
        <w:t xml:space="preserve">. </w:t>
      </w:r>
      <w:proofErr w:type="spellStart"/>
      <w:r>
        <w:rPr>
          <w:i/>
          <w:iCs/>
          <w:lang w:val="en-AU"/>
        </w:rPr>
        <w:t>Schizophr</w:t>
      </w:r>
      <w:proofErr w:type="spellEnd"/>
      <w:r>
        <w:rPr>
          <w:i/>
          <w:iCs/>
          <w:lang w:val="en-AU"/>
        </w:rPr>
        <w:t xml:space="preserve"> Bull</w:t>
      </w:r>
      <w:r>
        <w:rPr>
          <w:lang w:val="en-AU"/>
        </w:rPr>
        <w:t xml:space="preserve"> 2007</w:t>
      </w:r>
      <w:proofErr w:type="gramStart"/>
      <w:r>
        <w:rPr>
          <w:lang w:val="en-AU"/>
        </w:rPr>
        <w:t>;</w:t>
      </w:r>
      <w:r w:rsidRPr="00683CB5">
        <w:rPr>
          <w:b/>
          <w:bCs/>
          <w:lang w:val="en-AU"/>
        </w:rPr>
        <w:t>33</w:t>
      </w:r>
      <w:r>
        <w:rPr>
          <w:lang w:val="en-AU"/>
        </w:rPr>
        <w:t>:1397</w:t>
      </w:r>
      <w:proofErr w:type="gramEnd"/>
      <w:r>
        <w:rPr>
          <w:lang w:val="en-AU"/>
        </w:rPr>
        <w:t>-403.</w:t>
      </w:r>
    </w:p>
    <w:p w14:paraId="21DF7F16" w14:textId="787CDF75" w:rsidR="007D1E1B" w:rsidRDefault="007D1E1B" w:rsidP="00221A71">
      <w:pPr>
        <w:pStyle w:val="ListParagraph"/>
        <w:numPr>
          <w:ilvl w:val="0"/>
          <w:numId w:val="10"/>
        </w:numPr>
        <w:spacing w:line="480" w:lineRule="auto"/>
        <w:jc w:val="both"/>
        <w:rPr>
          <w:noProof/>
          <w:lang w:val="en-AU"/>
        </w:rPr>
      </w:pPr>
      <w:r w:rsidRPr="00683CB5">
        <w:rPr>
          <w:lang w:val="fr-FR"/>
        </w:rPr>
        <w:t xml:space="preserve">Barnes T, </w:t>
      </w:r>
      <w:proofErr w:type="spellStart"/>
      <w:r w:rsidRPr="00683CB5">
        <w:rPr>
          <w:lang w:val="fr-FR"/>
        </w:rPr>
        <w:t>Paton</w:t>
      </w:r>
      <w:proofErr w:type="spellEnd"/>
      <w:r w:rsidRPr="00683CB5">
        <w:rPr>
          <w:lang w:val="fr-FR"/>
        </w:rPr>
        <w:t xml:space="preserve"> C, Hancock E, </w:t>
      </w:r>
      <w:r w:rsidRPr="00683CB5">
        <w:rPr>
          <w:i/>
          <w:iCs/>
          <w:lang w:val="fr-FR"/>
        </w:rPr>
        <w:t>et al</w:t>
      </w:r>
      <w:r>
        <w:rPr>
          <w:lang w:val="fr-FR"/>
        </w:rPr>
        <w:t xml:space="preserve">. </w:t>
      </w:r>
      <w:r w:rsidRPr="00683CB5">
        <w:rPr>
          <w:lang w:val="en-AU"/>
        </w:rPr>
        <w:t xml:space="preserve">Screening for the metabolic syndrome in community psychiatric patients prescribed </w:t>
      </w:r>
      <w:proofErr w:type="gramStart"/>
      <w:r w:rsidRPr="00683CB5">
        <w:rPr>
          <w:lang w:val="en-AU"/>
        </w:rPr>
        <w:t>antipsychotics :</w:t>
      </w:r>
      <w:proofErr w:type="gramEnd"/>
      <w:r w:rsidRPr="00683CB5">
        <w:rPr>
          <w:lang w:val="en-AU"/>
        </w:rPr>
        <w:t xml:space="preserve"> a quality improvement programme. </w:t>
      </w:r>
      <w:proofErr w:type="spellStart"/>
      <w:r>
        <w:rPr>
          <w:i/>
          <w:iCs/>
          <w:lang w:val="en-AU"/>
        </w:rPr>
        <w:t>Acta</w:t>
      </w:r>
      <w:proofErr w:type="spellEnd"/>
      <w:r>
        <w:rPr>
          <w:i/>
          <w:iCs/>
          <w:lang w:val="en-AU"/>
        </w:rPr>
        <w:t xml:space="preserve"> </w:t>
      </w:r>
      <w:proofErr w:type="spellStart"/>
      <w:r>
        <w:rPr>
          <w:i/>
          <w:iCs/>
          <w:lang w:val="en-AU"/>
        </w:rPr>
        <w:t>Psychiatr</w:t>
      </w:r>
      <w:proofErr w:type="spellEnd"/>
      <w:r>
        <w:rPr>
          <w:i/>
          <w:iCs/>
          <w:lang w:val="en-AU"/>
        </w:rPr>
        <w:t xml:space="preserve"> </w:t>
      </w:r>
      <w:proofErr w:type="spellStart"/>
      <w:r>
        <w:rPr>
          <w:i/>
          <w:iCs/>
          <w:lang w:val="en-AU"/>
        </w:rPr>
        <w:t>Scand</w:t>
      </w:r>
      <w:proofErr w:type="spellEnd"/>
      <w:r>
        <w:rPr>
          <w:lang w:val="en-AU"/>
        </w:rPr>
        <w:t xml:space="preserve"> 2008</w:t>
      </w:r>
      <w:proofErr w:type="gramStart"/>
      <w:r>
        <w:rPr>
          <w:lang w:val="en-AU"/>
        </w:rPr>
        <w:t>;</w:t>
      </w:r>
      <w:r w:rsidRPr="00683CB5">
        <w:rPr>
          <w:b/>
          <w:bCs/>
          <w:lang w:val="en-AU"/>
        </w:rPr>
        <w:t>118</w:t>
      </w:r>
      <w:r>
        <w:rPr>
          <w:lang w:val="en-AU"/>
        </w:rPr>
        <w:t>:26</w:t>
      </w:r>
      <w:proofErr w:type="gramEnd"/>
      <w:r>
        <w:rPr>
          <w:lang w:val="en-AU"/>
        </w:rPr>
        <w:t>-33.</w:t>
      </w:r>
    </w:p>
    <w:p w14:paraId="4F0015B9" w14:textId="4DEE3976" w:rsidR="001108A1" w:rsidRPr="001108A1" w:rsidRDefault="001108A1" w:rsidP="00221A71">
      <w:pPr>
        <w:pStyle w:val="ListParagraph"/>
        <w:numPr>
          <w:ilvl w:val="0"/>
          <w:numId w:val="10"/>
        </w:numPr>
        <w:spacing w:line="480" w:lineRule="auto"/>
        <w:jc w:val="both"/>
        <w:rPr>
          <w:noProof/>
          <w:lang w:val="en-AU"/>
        </w:rPr>
      </w:pPr>
      <w:r w:rsidRPr="001108A1">
        <w:rPr>
          <w:lang w:val="en-AU"/>
        </w:rPr>
        <w:t xml:space="preserve">De </w:t>
      </w:r>
      <w:proofErr w:type="spellStart"/>
      <w:r w:rsidRPr="001108A1">
        <w:rPr>
          <w:lang w:val="en-AU"/>
        </w:rPr>
        <w:t>Hert</w:t>
      </w:r>
      <w:proofErr w:type="spellEnd"/>
      <w:r w:rsidRPr="001108A1">
        <w:rPr>
          <w:lang w:val="en-AU"/>
        </w:rPr>
        <w:t xml:space="preserve"> M, </w:t>
      </w:r>
      <w:proofErr w:type="spellStart"/>
      <w:r w:rsidRPr="001108A1">
        <w:rPr>
          <w:lang w:val="en-AU"/>
        </w:rPr>
        <w:t>Correll</w:t>
      </w:r>
      <w:proofErr w:type="spellEnd"/>
      <w:r w:rsidRPr="001108A1">
        <w:rPr>
          <w:lang w:val="en-AU"/>
        </w:rPr>
        <w:t xml:space="preserve"> CU, </w:t>
      </w:r>
      <w:proofErr w:type="spellStart"/>
      <w:r w:rsidRPr="001108A1">
        <w:rPr>
          <w:lang w:val="en-AU"/>
        </w:rPr>
        <w:t>Bobes</w:t>
      </w:r>
      <w:proofErr w:type="spellEnd"/>
      <w:r w:rsidRPr="001108A1">
        <w:rPr>
          <w:lang w:val="en-AU"/>
        </w:rPr>
        <w:t xml:space="preserve"> J. </w:t>
      </w:r>
      <w:r w:rsidRPr="00683CB5">
        <w:rPr>
          <w:lang w:val="en-AU"/>
        </w:rPr>
        <w:t xml:space="preserve">Physical illness in patients with severe mental disorders. </w:t>
      </w:r>
      <w:r>
        <w:rPr>
          <w:lang w:val="en-AU"/>
        </w:rPr>
        <w:t xml:space="preserve">I. Prevalence, impact of medications and disparities in health care. </w:t>
      </w:r>
      <w:r>
        <w:rPr>
          <w:i/>
          <w:iCs/>
          <w:lang w:val="en-AU"/>
        </w:rPr>
        <w:t>World Psychiatry</w:t>
      </w:r>
      <w:r>
        <w:rPr>
          <w:lang w:val="en-AU"/>
        </w:rPr>
        <w:t xml:space="preserve"> 2011</w:t>
      </w:r>
      <w:proofErr w:type="gramStart"/>
      <w:r>
        <w:rPr>
          <w:lang w:val="en-AU"/>
        </w:rPr>
        <w:t>;</w:t>
      </w:r>
      <w:r w:rsidRPr="00683CB5">
        <w:rPr>
          <w:b/>
          <w:bCs/>
          <w:lang w:val="en-AU"/>
        </w:rPr>
        <w:t>10</w:t>
      </w:r>
      <w:r>
        <w:rPr>
          <w:lang w:val="en-AU"/>
        </w:rPr>
        <w:t>:52</w:t>
      </w:r>
      <w:proofErr w:type="gramEnd"/>
      <w:r>
        <w:rPr>
          <w:lang w:val="en-AU"/>
        </w:rPr>
        <w:t>-77.</w:t>
      </w:r>
    </w:p>
    <w:p w14:paraId="6995845C" w14:textId="73D362A8" w:rsidR="007D1E1B" w:rsidRDefault="001108A1" w:rsidP="00221A71">
      <w:pPr>
        <w:pStyle w:val="ListParagraph"/>
        <w:numPr>
          <w:ilvl w:val="0"/>
          <w:numId w:val="10"/>
        </w:numPr>
        <w:spacing w:line="480" w:lineRule="auto"/>
        <w:jc w:val="both"/>
        <w:rPr>
          <w:noProof/>
          <w:lang w:val="en-AU"/>
        </w:rPr>
      </w:pPr>
      <w:proofErr w:type="spellStart"/>
      <w:r>
        <w:rPr>
          <w:lang w:val="en-AU"/>
        </w:rPr>
        <w:t>Gubbins</w:t>
      </w:r>
      <w:proofErr w:type="spellEnd"/>
      <w:r>
        <w:rPr>
          <w:lang w:val="en-AU"/>
        </w:rPr>
        <w:t xml:space="preserve"> A, </w:t>
      </w:r>
      <w:proofErr w:type="spellStart"/>
      <w:r>
        <w:rPr>
          <w:lang w:val="en-AU"/>
        </w:rPr>
        <w:t>Lally</w:t>
      </w:r>
      <w:proofErr w:type="spellEnd"/>
      <w:r>
        <w:rPr>
          <w:lang w:val="en-AU"/>
        </w:rPr>
        <w:t xml:space="preserve"> J, McDonald C. Metabolic syndrome in patients attending psychiatric day centres: prevalence and associations. </w:t>
      </w:r>
      <w:r>
        <w:rPr>
          <w:i/>
          <w:iCs/>
          <w:lang w:val="en-AU"/>
        </w:rPr>
        <w:t>Psychiatrist</w:t>
      </w:r>
      <w:r>
        <w:rPr>
          <w:lang w:val="en-AU"/>
        </w:rPr>
        <w:t xml:space="preserve"> 2012</w:t>
      </w:r>
      <w:proofErr w:type="gramStart"/>
      <w:r>
        <w:rPr>
          <w:lang w:val="en-AU"/>
        </w:rPr>
        <w:t>;</w:t>
      </w:r>
      <w:r w:rsidRPr="00683CB5">
        <w:rPr>
          <w:b/>
          <w:bCs/>
          <w:lang w:val="en-AU"/>
        </w:rPr>
        <w:t>36</w:t>
      </w:r>
      <w:r>
        <w:rPr>
          <w:lang w:val="en-AU"/>
        </w:rPr>
        <w:t>:326</w:t>
      </w:r>
      <w:proofErr w:type="gramEnd"/>
      <w:r>
        <w:rPr>
          <w:lang w:val="en-AU"/>
        </w:rPr>
        <w:t>-31.</w:t>
      </w:r>
    </w:p>
    <w:p w14:paraId="6D6FC487" w14:textId="006F759F" w:rsidR="001108A1" w:rsidRDefault="001108A1" w:rsidP="00221A71">
      <w:pPr>
        <w:pStyle w:val="ListParagraph"/>
        <w:numPr>
          <w:ilvl w:val="0"/>
          <w:numId w:val="10"/>
        </w:numPr>
        <w:spacing w:line="480" w:lineRule="auto"/>
        <w:jc w:val="both"/>
        <w:rPr>
          <w:noProof/>
          <w:lang w:val="en-AU"/>
        </w:rPr>
      </w:pPr>
      <w:r>
        <w:rPr>
          <w:lang w:val="en-AU"/>
        </w:rPr>
        <w:t xml:space="preserve">Lack D, Holt RIG, Baldwin DS. Poor monitoring of physical health in patients referred to a mood disorders service. </w:t>
      </w:r>
      <w:proofErr w:type="spellStart"/>
      <w:r>
        <w:rPr>
          <w:i/>
          <w:iCs/>
          <w:lang w:val="en-AU"/>
        </w:rPr>
        <w:t>Ther</w:t>
      </w:r>
      <w:proofErr w:type="spellEnd"/>
      <w:r>
        <w:rPr>
          <w:i/>
          <w:iCs/>
          <w:lang w:val="en-AU"/>
        </w:rPr>
        <w:t xml:space="preserve"> </w:t>
      </w:r>
      <w:proofErr w:type="spellStart"/>
      <w:r>
        <w:rPr>
          <w:i/>
          <w:iCs/>
          <w:lang w:val="en-AU"/>
        </w:rPr>
        <w:t>Adv</w:t>
      </w:r>
      <w:proofErr w:type="spellEnd"/>
      <w:r>
        <w:rPr>
          <w:i/>
          <w:iCs/>
          <w:lang w:val="en-AU"/>
        </w:rPr>
        <w:t xml:space="preserve"> </w:t>
      </w:r>
      <w:proofErr w:type="spellStart"/>
      <w:r>
        <w:rPr>
          <w:i/>
          <w:iCs/>
          <w:lang w:val="en-AU"/>
        </w:rPr>
        <w:t>Psychopharmacol</w:t>
      </w:r>
      <w:proofErr w:type="spellEnd"/>
      <w:r>
        <w:rPr>
          <w:lang w:val="en-AU"/>
        </w:rPr>
        <w:t xml:space="preserve"> 2015</w:t>
      </w:r>
      <w:proofErr w:type="gramStart"/>
      <w:r>
        <w:rPr>
          <w:lang w:val="en-AU"/>
        </w:rPr>
        <w:t>;</w:t>
      </w:r>
      <w:r w:rsidRPr="00683CB5">
        <w:rPr>
          <w:b/>
          <w:bCs/>
          <w:lang w:val="en-AU"/>
        </w:rPr>
        <w:t>5</w:t>
      </w:r>
      <w:r>
        <w:rPr>
          <w:lang w:val="en-AU"/>
        </w:rPr>
        <w:t>:22</w:t>
      </w:r>
      <w:proofErr w:type="gramEnd"/>
      <w:r>
        <w:rPr>
          <w:lang w:val="en-AU"/>
        </w:rPr>
        <w:t>-5.</w:t>
      </w:r>
    </w:p>
    <w:p w14:paraId="126D3C3B" w14:textId="1FC2BF04" w:rsidR="007B3687" w:rsidRPr="00683CB5" w:rsidRDefault="007B3687" w:rsidP="00221A71">
      <w:pPr>
        <w:pStyle w:val="ListParagraph"/>
        <w:numPr>
          <w:ilvl w:val="0"/>
          <w:numId w:val="10"/>
        </w:numPr>
        <w:spacing w:line="480" w:lineRule="auto"/>
        <w:jc w:val="both"/>
        <w:rPr>
          <w:noProof/>
          <w:lang w:val="en-AU"/>
        </w:rPr>
      </w:pPr>
      <w:r>
        <w:rPr>
          <w:lang w:val="en-AU"/>
        </w:rPr>
        <w:t xml:space="preserve">Osborn D, Burton A, Walters K, </w:t>
      </w:r>
      <w:r>
        <w:rPr>
          <w:i/>
          <w:iCs/>
          <w:lang w:val="en-AU"/>
        </w:rPr>
        <w:t>et al</w:t>
      </w:r>
      <w:r>
        <w:rPr>
          <w:lang w:val="en-AU"/>
        </w:rPr>
        <w:t xml:space="preserve">. Evaluating the clinical and cost effectiveness of a behaviour change intervention for lowering cardiovascular disease risk for people with severe mental illnesses in primary care (PRIMROSE study): study protocol for a cluster randomised controlled trial. </w:t>
      </w:r>
      <w:r>
        <w:rPr>
          <w:i/>
          <w:iCs/>
          <w:lang w:val="en-AU"/>
        </w:rPr>
        <w:t>Trials</w:t>
      </w:r>
      <w:r>
        <w:rPr>
          <w:lang w:val="en-AU"/>
        </w:rPr>
        <w:t xml:space="preserve"> 2016</w:t>
      </w:r>
      <w:proofErr w:type="gramStart"/>
      <w:r>
        <w:rPr>
          <w:lang w:val="en-AU"/>
        </w:rPr>
        <w:t>;</w:t>
      </w:r>
      <w:r>
        <w:rPr>
          <w:b/>
          <w:bCs/>
          <w:lang w:val="en-AU"/>
        </w:rPr>
        <w:t>17</w:t>
      </w:r>
      <w:r>
        <w:rPr>
          <w:lang w:val="en-AU"/>
        </w:rPr>
        <w:t>:80</w:t>
      </w:r>
      <w:proofErr w:type="gramEnd"/>
      <w:r>
        <w:rPr>
          <w:lang w:val="en-AU"/>
        </w:rPr>
        <w:t>.</w:t>
      </w:r>
    </w:p>
    <w:p w14:paraId="67F8B611" w14:textId="3722DC4D" w:rsidR="006F2731" w:rsidRPr="00411392" w:rsidRDefault="006F2731" w:rsidP="00221A71">
      <w:pPr>
        <w:pStyle w:val="ListParagraph"/>
        <w:numPr>
          <w:ilvl w:val="0"/>
          <w:numId w:val="10"/>
        </w:numPr>
        <w:spacing w:line="480" w:lineRule="auto"/>
        <w:jc w:val="both"/>
        <w:rPr>
          <w:noProof/>
        </w:rPr>
      </w:pPr>
      <w:proofErr w:type="spellStart"/>
      <w:r w:rsidRPr="00411392">
        <w:rPr>
          <w:bCs/>
        </w:rPr>
        <w:t>Frolkis</w:t>
      </w:r>
      <w:proofErr w:type="spellEnd"/>
      <w:r w:rsidRPr="00411392">
        <w:rPr>
          <w:bCs/>
        </w:rPr>
        <w:t xml:space="preserve"> JP, Pearce GL, </w:t>
      </w:r>
      <w:proofErr w:type="spellStart"/>
      <w:r w:rsidRPr="00411392">
        <w:rPr>
          <w:bCs/>
        </w:rPr>
        <w:t>Nambi</w:t>
      </w:r>
      <w:proofErr w:type="spellEnd"/>
      <w:r w:rsidRPr="00411392">
        <w:rPr>
          <w:bCs/>
        </w:rPr>
        <w:t xml:space="preserve"> V, </w:t>
      </w:r>
      <w:r w:rsidRPr="00411392">
        <w:rPr>
          <w:bCs/>
          <w:i/>
          <w:iCs/>
        </w:rPr>
        <w:t>et al</w:t>
      </w:r>
      <w:r w:rsidRPr="00790BE4">
        <w:t>. Statins do not meet expectations for lower</w:t>
      </w:r>
      <w:r w:rsidRPr="00411392">
        <w:t xml:space="preserve">ing low-density lipoprotein cholesterol levels when used in clinical practice. </w:t>
      </w:r>
      <w:r w:rsidRPr="00411392">
        <w:rPr>
          <w:i/>
        </w:rPr>
        <w:t xml:space="preserve">Am J Med </w:t>
      </w:r>
      <w:r w:rsidRPr="00411392">
        <w:rPr>
          <w:iCs/>
        </w:rPr>
        <w:t>2002</w:t>
      </w:r>
      <w:proofErr w:type="gramStart"/>
      <w:r w:rsidRPr="00411392">
        <w:rPr>
          <w:iCs/>
        </w:rPr>
        <w:t>;</w:t>
      </w:r>
      <w:r w:rsidRPr="00411392">
        <w:rPr>
          <w:b/>
        </w:rPr>
        <w:t>113</w:t>
      </w:r>
      <w:r w:rsidRPr="00411392">
        <w:t>:625</w:t>
      </w:r>
      <w:proofErr w:type="gramEnd"/>
      <w:r w:rsidRPr="00411392">
        <w:t>-9.</w:t>
      </w:r>
    </w:p>
    <w:p w14:paraId="201B8C0D" w14:textId="48A32060" w:rsidR="006F2731" w:rsidRPr="00411392" w:rsidRDefault="006F2731" w:rsidP="00221A71">
      <w:pPr>
        <w:pStyle w:val="ListParagraph"/>
        <w:numPr>
          <w:ilvl w:val="0"/>
          <w:numId w:val="10"/>
        </w:numPr>
        <w:spacing w:line="480" w:lineRule="auto"/>
        <w:jc w:val="both"/>
        <w:rPr>
          <w:noProof/>
        </w:rPr>
      </w:pPr>
      <w:r w:rsidRPr="00411392">
        <w:rPr>
          <w:bCs/>
          <w:noProof/>
          <w:lang w:val="fr-FR"/>
        </w:rPr>
        <w:t>Barton P, Adronis L, Briggs A,</w:t>
      </w:r>
      <w:r w:rsidRPr="00411392">
        <w:rPr>
          <w:b/>
          <w:noProof/>
          <w:lang w:val="fr-FR"/>
        </w:rPr>
        <w:t xml:space="preserve"> </w:t>
      </w:r>
      <w:r w:rsidRPr="00411392">
        <w:rPr>
          <w:bCs/>
          <w:i/>
          <w:iCs/>
          <w:noProof/>
          <w:lang w:val="fr-FR"/>
        </w:rPr>
        <w:t>et al.</w:t>
      </w:r>
      <w:r w:rsidRPr="00411392">
        <w:rPr>
          <w:noProof/>
          <w:lang w:val="fr-FR"/>
        </w:rPr>
        <w:t xml:space="preserve"> </w:t>
      </w:r>
      <w:r w:rsidRPr="00790BE4">
        <w:rPr>
          <w:noProof/>
        </w:rPr>
        <w:t xml:space="preserve">Effectiveness and cost effectiveness of cardiovascular disease prevention in whole populations: modelling study. </w:t>
      </w:r>
      <w:r w:rsidRPr="00411392">
        <w:rPr>
          <w:iCs/>
          <w:noProof/>
        </w:rPr>
        <w:t>BMJ</w:t>
      </w:r>
      <w:r w:rsidRPr="00790BE4">
        <w:rPr>
          <w:iCs/>
          <w:noProof/>
        </w:rPr>
        <w:t xml:space="preserve"> 2011;</w:t>
      </w:r>
      <w:r w:rsidRPr="00411392">
        <w:rPr>
          <w:b/>
          <w:iCs/>
          <w:noProof/>
        </w:rPr>
        <w:t>343</w:t>
      </w:r>
      <w:r w:rsidRPr="00411392">
        <w:rPr>
          <w:noProof/>
        </w:rPr>
        <w:t>:d4044.</w:t>
      </w:r>
    </w:p>
    <w:p w14:paraId="3489D8C0" w14:textId="7B72482E" w:rsidR="00D5782A" w:rsidRDefault="00D5782A" w:rsidP="00221A71">
      <w:pPr>
        <w:spacing w:line="480" w:lineRule="auto"/>
        <w:jc w:val="both"/>
        <w:rPr>
          <w:b/>
          <w:noProof/>
        </w:rPr>
      </w:pPr>
    </w:p>
    <w:p w14:paraId="4726B4E4" w14:textId="77777777" w:rsidR="007245F9" w:rsidRDefault="007245F9" w:rsidP="00221A71">
      <w:pPr>
        <w:spacing w:line="480" w:lineRule="auto"/>
        <w:jc w:val="both"/>
        <w:rPr>
          <w:i/>
        </w:rPr>
      </w:pPr>
      <w:r>
        <w:rPr>
          <w:i/>
        </w:rPr>
        <w:br w:type="page"/>
      </w:r>
    </w:p>
    <w:p w14:paraId="70F3FA23" w14:textId="42EEBFD5" w:rsidR="007245F9" w:rsidRDefault="007245F9" w:rsidP="00F00BC6">
      <w:pPr>
        <w:spacing w:line="480" w:lineRule="auto"/>
        <w:jc w:val="both"/>
      </w:pPr>
      <w:r w:rsidRPr="00004332">
        <w:rPr>
          <w:b/>
        </w:rPr>
        <w:lastRenderedPageBreak/>
        <w:t>Table 1:</w:t>
      </w:r>
      <w:r>
        <w:t xml:space="preserve"> Baseline characteristics for extracted SMI population </w:t>
      </w:r>
      <w:r w:rsidR="00192903">
        <w:t xml:space="preserve">who </w:t>
      </w:r>
      <w:r>
        <w:t>were free of CVD and aged 30-74 years and sample of 1000 patients</w:t>
      </w:r>
      <w:r w:rsidR="0071314E">
        <w:t>, where continuous variables are reported as mean (standard deviation) and discrete variables are reported as n (%)</w:t>
      </w:r>
      <w:r>
        <w:t xml:space="preserve">. </w:t>
      </w:r>
    </w:p>
    <w:tbl>
      <w:tblPr>
        <w:tblW w:w="6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540"/>
        <w:gridCol w:w="1540"/>
      </w:tblGrid>
      <w:tr w:rsidR="00A91606" w:rsidRPr="00A91606" w14:paraId="1978CB71" w14:textId="77777777" w:rsidTr="005C29F8">
        <w:trPr>
          <w:trHeight w:val="600"/>
        </w:trPr>
        <w:tc>
          <w:tcPr>
            <w:tcW w:w="3580" w:type="dxa"/>
            <w:shd w:val="clear" w:color="auto" w:fill="auto"/>
            <w:noWrap/>
            <w:vAlign w:val="bottom"/>
            <w:hideMark/>
          </w:tcPr>
          <w:p w14:paraId="4F57430B" w14:textId="529CE196" w:rsidR="00A91606" w:rsidRPr="003B075B" w:rsidRDefault="00A91606" w:rsidP="00792FD8">
            <w:pPr>
              <w:spacing w:after="0" w:line="240" w:lineRule="auto"/>
              <w:rPr>
                <w:rFonts w:ascii="Calibri" w:eastAsia="Times New Roman" w:hAnsi="Calibri" w:cs="Times New Roman"/>
                <w:b/>
                <w:color w:val="000000"/>
                <w:sz w:val="20"/>
                <w:szCs w:val="20"/>
                <w:lang w:eastAsia="en-GB"/>
              </w:rPr>
            </w:pPr>
            <w:r w:rsidRPr="003B075B">
              <w:rPr>
                <w:rFonts w:ascii="Calibri" w:eastAsia="Times New Roman" w:hAnsi="Calibri" w:cs="Times New Roman"/>
                <w:b/>
                <w:color w:val="000000"/>
                <w:sz w:val="20"/>
                <w:szCs w:val="20"/>
                <w:lang w:eastAsia="en-GB"/>
              </w:rPr>
              <w:t>Baseline characteristics</w:t>
            </w:r>
          </w:p>
        </w:tc>
        <w:tc>
          <w:tcPr>
            <w:tcW w:w="1540" w:type="dxa"/>
            <w:shd w:val="clear" w:color="auto" w:fill="auto"/>
            <w:vAlign w:val="bottom"/>
            <w:hideMark/>
          </w:tcPr>
          <w:p w14:paraId="61B3EDC3" w14:textId="77777777" w:rsidR="00A91606" w:rsidRPr="003B075B" w:rsidRDefault="00A91606" w:rsidP="00792FD8">
            <w:pPr>
              <w:spacing w:after="0" w:line="240" w:lineRule="auto"/>
              <w:rPr>
                <w:rFonts w:ascii="Calibri" w:eastAsia="Times New Roman" w:hAnsi="Calibri" w:cs="Times New Roman"/>
                <w:b/>
                <w:color w:val="000000"/>
                <w:sz w:val="20"/>
                <w:szCs w:val="20"/>
                <w:lang w:eastAsia="en-GB"/>
              </w:rPr>
            </w:pPr>
            <w:r w:rsidRPr="003B075B">
              <w:rPr>
                <w:rFonts w:ascii="Calibri" w:eastAsia="Times New Roman" w:hAnsi="Calibri" w:cs="Times New Roman"/>
                <w:b/>
                <w:color w:val="000000"/>
                <w:sz w:val="20"/>
                <w:szCs w:val="20"/>
                <w:lang w:eastAsia="en-GB"/>
              </w:rPr>
              <w:t>Total population</w:t>
            </w:r>
          </w:p>
        </w:tc>
        <w:tc>
          <w:tcPr>
            <w:tcW w:w="1540" w:type="dxa"/>
            <w:shd w:val="clear" w:color="auto" w:fill="auto"/>
            <w:vAlign w:val="bottom"/>
            <w:hideMark/>
          </w:tcPr>
          <w:p w14:paraId="4EB539D7" w14:textId="77777777" w:rsidR="00A91606" w:rsidRPr="003B075B" w:rsidRDefault="00A91606" w:rsidP="00792FD8">
            <w:pPr>
              <w:spacing w:after="0" w:line="240" w:lineRule="auto"/>
              <w:rPr>
                <w:rFonts w:ascii="Calibri" w:eastAsia="Times New Roman" w:hAnsi="Calibri" w:cs="Times New Roman"/>
                <w:b/>
                <w:color w:val="000000"/>
                <w:sz w:val="20"/>
                <w:szCs w:val="20"/>
                <w:lang w:eastAsia="en-GB"/>
              </w:rPr>
            </w:pPr>
            <w:r w:rsidRPr="003B075B">
              <w:rPr>
                <w:rFonts w:ascii="Calibri" w:eastAsia="Times New Roman" w:hAnsi="Calibri" w:cs="Times New Roman"/>
                <w:b/>
                <w:color w:val="000000"/>
                <w:sz w:val="20"/>
                <w:szCs w:val="20"/>
                <w:lang w:eastAsia="en-GB"/>
              </w:rPr>
              <w:t>Sample of population</w:t>
            </w:r>
          </w:p>
        </w:tc>
      </w:tr>
      <w:tr w:rsidR="00A91606" w:rsidRPr="00A91606" w14:paraId="18EC9269" w14:textId="77777777" w:rsidTr="005C29F8">
        <w:trPr>
          <w:trHeight w:val="300"/>
        </w:trPr>
        <w:tc>
          <w:tcPr>
            <w:tcW w:w="3580" w:type="dxa"/>
            <w:shd w:val="clear" w:color="auto" w:fill="auto"/>
            <w:noWrap/>
            <w:vAlign w:val="bottom"/>
            <w:hideMark/>
          </w:tcPr>
          <w:p w14:paraId="4A217BD3" w14:textId="77777777"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n</w:t>
            </w:r>
          </w:p>
        </w:tc>
        <w:tc>
          <w:tcPr>
            <w:tcW w:w="1540" w:type="dxa"/>
            <w:shd w:val="clear" w:color="auto" w:fill="auto"/>
            <w:noWrap/>
            <w:vAlign w:val="bottom"/>
            <w:hideMark/>
          </w:tcPr>
          <w:p w14:paraId="01983C5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33,026</w:t>
            </w:r>
          </w:p>
        </w:tc>
        <w:tc>
          <w:tcPr>
            <w:tcW w:w="1540" w:type="dxa"/>
            <w:shd w:val="clear" w:color="auto" w:fill="auto"/>
            <w:noWrap/>
            <w:vAlign w:val="bottom"/>
            <w:hideMark/>
          </w:tcPr>
          <w:p w14:paraId="484EFA7E"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1,000</w:t>
            </w:r>
          </w:p>
        </w:tc>
      </w:tr>
      <w:tr w:rsidR="00A91606" w:rsidRPr="00A91606" w14:paraId="015FDD84" w14:textId="77777777" w:rsidTr="005C29F8">
        <w:trPr>
          <w:trHeight w:val="300"/>
        </w:trPr>
        <w:tc>
          <w:tcPr>
            <w:tcW w:w="3580" w:type="dxa"/>
            <w:shd w:val="clear" w:color="auto" w:fill="auto"/>
            <w:noWrap/>
            <w:vAlign w:val="bottom"/>
            <w:hideMark/>
          </w:tcPr>
          <w:p w14:paraId="46B994E5" w14:textId="738D8392" w:rsidR="00A91606" w:rsidRPr="00004332" w:rsidRDefault="00A91606" w:rsidP="00D22F1D">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Age</w:t>
            </w:r>
            <w:r w:rsidR="00D22F1D">
              <w:rPr>
                <w:rFonts w:ascii="Calibri" w:eastAsia="Times New Roman" w:hAnsi="Calibri" w:cs="Times New Roman"/>
                <w:color w:val="000000"/>
                <w:sz w:val="20"/>
                <w:szCs w:val="20"/>
                <w:lang w:eastAsia="en-GB"/>
              </w:rPr>
              <w:t>, mean (SD), years</w:t>
            </w:r>
          </w:p>
        </w:tc>
        <w:tc>
          <w:tcPr>
            <w:tcW w:w="1540" w:type="dxa"/>
            <w:shd w:val="clear" w:color="auto" w:fill="auto"/>
            <w:noWrap/>
            <w:vAlign w:val="bottom"/>
            <w:hideMark/>
          </w:tcPr>
          <w:p w14:paraId="5891EB5C"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50.3 (12.0)</w:t>
            </w:r>
          </w:p>
        </w:tc>
        <w:tc>
          <w:tcPr>
            <w:tcW w:w="1540" w:type="dxa"/>
            <w:shd w:val="clear" w:color="auto" w:fill="auto"/>
            <w:noWrap/>
            <w:vAlign w:val="bottom"/>
            <w:hideMark/>
          </w:tcPr>
          <w:p w14:paraId="70FEFDEA"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50.2 (12.0)</w:t>
            </w:r>
          </w:p>
        </w:tc>
      </w:tr>
      <w:tr w:rsidR="00A91606" w:rsidRPr="00A91606" w14:paraId="6630E4AB" w14:textId="77777777" w:rsidTr="005C29F8">
        <w:trPr>
          <w:trHeight w:val="300"/>
        </w:trPr>
        <w:tc>
          <w:tcPr>
            <w:tcW w:w="3580" w:type="dxa"/>
            <w:shd w:val="clear" w:color="auto" w:fill="auto"/>
            <w:noWrap/>
            <w:vAlign w:val="bottom"/>
            <w:hideMark/>
          </w:tcPr>
          <w:p w14:paraId="55C1CCD2" w14:textId="16082778" w:rsidR="00A91606" w:rsidRPr="00004332" w:rsidRDefault="00A67543" w:rsidP="007C01F5">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F</w:t>
            </w:r>
            <w:r w:rsidR="0002759D">
              <w:rPr>
                <w:rFonts w:ascii="Calibri" w:eastAsia="Times New Roman" w:hAnsi="Calibri" w:cs="Times New Roman"/>
                <w:color w:val="000000"/>
                <w:sz w:val="20"/>
                <w:szCs w:val="20"/>
                <w:lang w:eastAsia="en-GB"/>
              </w:rPr>
              <w:t>emale, No.</w:t>
            </w:r>
            <w:r w:rsidR="00A91606"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06DB7327"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16,155 (48.7)</w:t>
            </w:r>
          </w:p>
        </w:tc>
        <w:tc>
          <w:tcPr>
            <w:tcW w:w="1540" w:type="dxa"/>
            <w:shd w:val="clear" w:color="auto" w:fill="auto"/>
            <w:noWrap/>
            <w:vAlign w:val="bottom"/>
            <w:hideMark/>
          </w:tcPr>
          <w:p w14:paraId="2BDD5C76"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513 (51.3)</w:t>
            </w:r>
          </w:p>
        </w:tc>
      </w:tr>
      <w:tr w:rsidR="00A91606" w:rsidRPr="00A91606" w14:paraId="1F6FC060" w14:textId="77777777" w:rsidTr="005C29F8">
        <w:trPr>
          <w:trHeight w:val="300"/>
        </w:trPr>
        <w:tc>
          <w:tcPr>
            <w:tcW w:w="3580" w:type="dxa"/>
            <w:shd w:val="clear" w:color="auto" w:fill="auto"/>
            <w:noWrap/>
            <w:vAlign w:val="bottom"/>
            <w:hideMark/>
          </w:tcPr>
          <w:p w14:paraId="7CC17119" w14:textId="2A230A53"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Type of SMI</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241CCB6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c>
          <w:tcPr>
            <w:tcW w:w="1540" w:type="dxa"/>
            <w:shd w:val="clear" w:color="auto" w:fill="auto"/>
            <w:noWrap/>
            <w:vAlign w:val="bottom"/>
            <w:hideMark/>
          </w:tcPr>
          <w:p w14:paraId="7FB35FD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r>
      <w:tr w:rsidR="00A91606" w:rsidRPr="00A91606" w14:paraId="69F88C80" w14:textId="77777777" w:rsidTr="005C29F8">
        <w:trPr>
          <w:trHeight w:val="300"/>
        </w:trPr>
        <w:tc>
          <w:tcPr>
            <w:tcW w:w="3580" w:type="dxa"/>
            <w:shd w:val="clear" w:color="auto" w:fill="auto"/>
            <w:noWrap/>
            <w:vAlign w:val="bottom"/>
            <w:hideMark/>
          </w:tcPr>
          <w:p w14:paraId="1D33E87C" w14:textId="22CBC75C"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Schizophrenia</w:t>
            </w:r>
          </w:p>
        </w:tc>
        <w:tc>
          <w:tcPr>
            <w:tcW w:w="1540" w:type="dxa"/>
            <w:shd w:val="clear" w:color="auto" w:fill="auto"/>
            <w:noWrap/>
            <w:vAlign w:val="bottom"/>
            <w:hideMark/>
          </w:tcPr>
          <w:p w14:paraId="6B6AAD1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11,495 (34.8)</w:t>
            </w:r>
          </w:p>
        </w:tc>
        <w:tc>
          <w:tcPr>
            <w:tcW w:w="1540" w:type="dxa"/>
            <w:shd w:val="clear" w:color="auto" w:fill="auto"/>
            <w:noWrap/>
            <w:vAlign w:val="bottom"/>
            <w:hideMark/>
          </w:tcPr>
          <w:p w14:paraId="767E651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335 (33.5)</w:t>
            </w:r>
          </w:p>
        </w:tc>
      </w:tr>
      <w:tr w:rsidR="00A91606" w:rsidRPr="00A91606" w14:paraId="541527C0" w14:textId="77777777" w:rsidTr="005C29F8">
        <w:trPr>
          <w:trHeight w:val="300"/>
        </w:trPr>
        <w:tc>
          <w:tcPr>
            <w:tcW w:w="3580" w:type="dxa"/>
            <w:shd w:val="clear" w:color="auto" w:fill="auto"/>
            <w:noWrap/>
            <w:vAlign w:val="bottom"/>
            <w:hideMark/>
          </w:tcPr>
          <w:p w14:paraId="7F32FB6A" w14:textId="7EABC98B"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Bipolar disorder</w:t>
            </w:r>
          </w:p>
        </w:tc>
        <w:tc>
          <w:tcPr>
            <w:tcW w:w="1540" w:type="dxa"/>
            <w:shd w:val="clear" w:color="auto" w:fill="auto"/>
            <w:noWrap/>
            <w:vAlign w:val="bottom"/>
            <w:hideMark/>
          </w:tcPr>
          <w:p w14:paraId="61E4077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8,822 (26.7)</w:t>
            </w:r>
          </w:p>
        </w:tc>
        <w:tc>
          <w:tcPr>
            <w:tcW w:w="1540" w:type="dxa"/>
            <w:shd w:val="clear" w:color="auto" w:fill="auto"/>
            <w:noWrap/>
            <w:vAlign w:val="bottom"/>
            <w:hideMark/>
          </w:tcPr>
          <w:p w14:paraId="03FE768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256 (25.6)</w:t>
            </w:r>
          </w:p>
        </w:tc>
      </w:tr>
      <w:tr w:rsidR="00A91606" w:rsidRPr="00A91606" w14:paraId="66EFCDDB" w14:textId="77777777" w:rsidTr="005C29F8">
        <w:trPr>
          <w:trHeight w:val="300"/>
        </w:trPr>
        <w:tc>
          <w:tcPr>
            <w:tcW w:w="3580" w:type="dxa"/>
            <w:shd w:val="clear" w:color="auto" w:fill="auto"/>
            <w:noWrap/>
            <w:vAlign w:val="bottom"/>
            <w:hideMark/>
          </w:tcPr>
          <w:p w14:paraId="4AA2D860" w14:textId="1F5FD162"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Other non-organic psychotic disorders</w:t>
            </w:r>
          </w:p>
        </w:tc>
        <w:tc>
          <w:tcPr>
            <w:tcW w:w="1540" w:type="dxa"/>
            <w:shd w:val="clear" w:color="auto" w:fill="auto"/>
            <w:noWrap/>
            <w:vAlign w:val="bottom"/>
            <w:hideMark/>
          </w:tcPr>
          <w:p w14:paraId="6453BCBB"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9,098 (27.6)</w:t>
            </w:r>
          </w:p>
        </w:tc>
        <w:tc>
          <w:tcPr>
            <w:tcW w:w="1540" w:type="dxa"/>
            <w:shd w:val="clear" w:color="auto" w:fill="auto"/>
            <w:noWrap/>
            <w:vAlign w:val="bottom"/>
            <w:hideMark/>
          </w:tcPr>
          <w:p w14:paraId="7B7C345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313 (31.3)</w:t>
            </w:r>
          </w:p>
        </w:tc>
      </w:tr>
      <w:tr w:rsidR="00A91606" w:rsidRPr="00A91606" w14:paraId="2393AEA5" w14:textId="77777777" w:rsidTr="005C29F8">
        <w:trPr>
          <w:trHeight w:val="300"/>
        </w:trPr>
        <w:tc>
          <w:tcPr>
            <w:tcW w:w="3580" w:type="dxa"/>
            <w:shd w:val="clear" w:color="auto" w:fill="auto"/>
            <w:noWrap/>
            <w:vAlign w:val="bottom"/>
            <w:hideMark/>
          </w:tcPr>
          <w:p w14:paraId="18B940E0" w14:textId="39F0680E"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On SMI registry but no diagnoses</w:t>
            </w:r>
          </w:p>
        </w:tc>
        <w:tc>
          <w:tcPr>
            <w:tcW w:w="1540" w:type="dxa"/>
            <w:shd w:val="clear" w:color="auto" w:fill="auto"/>
            <w:noWrap/>
            <w:vAlign w:val="bottom"/>
            <w:hideMark/>
          </w:tcPr>
          <w:p w14:paraId="15FA7D96"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3,611 (10.9)</w:t>
            </w:r>
          </w:p>
        </w:tc>
        <w:tc>
          <w:tcPr>
            <w:tcW w:w="1540" w:type="dxa"/>
            <w:shd w:val="clear" w:color="auto" w:fill="auto"/>
            <w:noWrap/>
            <w:vAlign w:val="bottom"/>
            <w:hideMark/>
          </w:tcPr>
          <w:p w14:paraId="45B09D69"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96 (9.6)</w:t>
            </w:r>
          </w:p>
        </w:tc>
      </w:tr>
      <w:tr w:rsidR="00A91606" w:rsidRPr="00A91606" w14:paraId="77A0528D" w14:textId="77777777" w:rsidTr="005C29F8">
        <w:trPr>
          <w:trHeight w:val="300"/>
        </w:trPr>
        <w:tc>
          <w:tcPr>
            <w:tcW w:w="3580" w:type="dxa"/>
            <w:shd w:val="clear" w:color="auto" w:fill="auto"/>
            <w:noWrap/>
            <w:vAlign w:val="bottom"/>
            <w:hideMark/>
          </w:tcPr>
          <w:p w14:paraId="739FC030" w14:textId="7A89D2D7"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SBP</w:t>
            </w:r>
            <w:r w:rsidR="00D22F1D">
              <w:rPr>
                <w:rFonts w:ascii="Calibri" w:eastAsia="Times New Roman" w:hAnsi="Calibri" w:cs="Times New Roman"/>
                <w:color w:val="000000"/>
                <w:sz w:val="20"/>
                <w:szCs w:val="20"/>
                <w:lang w:eastAsia="en-GB"/>
              </w:rPr>
              <w:t>, mean (SD), mmHg</w:t>
            </w:r>
          </w:p>
        </w:tc>
        <w:tc>
          <w:tcPr>
            <w:tcW w:w="1540" w:type="dxa"/>
            <w:shd w:val="clear" w:color="auto" w:fill="auto"/>
            <w:noWrap/>
            <w:vAlign w:val="bottom"/>
            <w:hideMark/>
          </w:tcPr>
          <w:p w14:paraId="529CDFE2" w14:textId="0534A761"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128 (16)</w:t>
            </w:r>
          </w:p>
        </w:tc>
        <w:tc>
          <w:tcPr>
            <w:tcW w:w="1540" w:type="dxa"/>
            <w:shd w:val="clear" w:color="auto" w:fill="auto"/>
            <w:noWrap/>
            <w:vAlign w:val="bottom"/>
            <w:hideMark/>
          </w:tcPr>
          <w:p w14:paraId="6745B0E6" w14:textId="0D1B8EB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128 (16)</w:t>
            </w:r>
          </w:p>
        </w:tc>
      </w:tr>
      <w:tr w:rsidR="00A91606" w:rsidRPr="00A91606" w14:paraId="77C0668B" w14:textId="77777777" w:rsidTr="005C29F8">
        <w:trPr>
          <w:trHeight w:val="300"/>
        </w:trPr>
        <w:tc>
          <w:tcPr>
            <w:tcW w:w="3580" w:type="dxa"/>
            <w:shd w:val="clear" w:color="auto" w:fill="auto"/>
            <w:noWrap/>
            <w:vAlign w:val="bottom"/>
            <w:hideMark/>
          </w:tcPr>
          <w:p w14:paraId="5C8BD3BF" w14:textId="17BE9DD4"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Anti-hypertensive therapy</w:t>
            </w:r>
            <w:r w:rsidR="006829E6">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7B472F35"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5,402 (16.4)</w:t>
            </w:r>
          </w:p>
        </w:tc>
        <w:tc>
          <w:tcPr>
            <w:tcW w:w="1540" w:type="dxa"/>
            <w:shd w:val="clear" w:color="auto" w:fill="auto"/>
            <w:noWrap/>
            <w:vAlign w:val="bottom"/>
            <w:hideMark/>
          </w:tcPr>
          <w:p w14:paraId="74EB08E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164 (16.4)</w:t>
            </w:r>
          </w:p>
        </w:tc>
      </w:tr>
      <w:tr w:rsidR="00A91606" w:rsidRPr="00A91606" w14:paraId="0FDF26E6" w14:textId="77777777" w:rsidTr="005C29F8">
        <w:trPr>
          <w:trHeight w:val="300"/>
        </w:trPr>
        <w:tc>
          <w:tcPr>
            <w:tcW w:w="3580" w:type="dxa"/>
            <w:shd w:val="clear" w:color="auto" w:fill="auto"/>
            <w:noWrap/>
            <w:vAlign w:val="bottom"/>
            <w:hideMark/>
          </w:tcPr>
          <w:p w14:paraId="2B2AD55D" w14:textId="65D1A798" w:rsidR="00A91606" w:rsidRPr="00004332" w:rsidRDefault="00D22F1D" w:rsidP="00D22F1D">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 xml:space="preserve">Total cholesterol, mean (SD), </w:t>
            </w:r>
            <w:proofErr w:type="spellStart"/>
            <w:r>
              <w:rPr>
                <w:rFonts w:ascii="Calibri" w:eastAsia="Times New Roman" w:hAnsi="Calibri" w:cs="Times New Roman"/>
                <w:color w:val="000000"/>
                <w:sz w:val="20"/>
                <w:szCs w:val="20"/>
                <w:lang w:eastAsia="en-GB"/>
              </w:rPr>
              <w:t>mmol</w:t>
            </w:r>
            <w:proofErr w:type="spellEnd"/>
            <w:r>
              <w:rPr>
                <w:rFonts w:ascii="Calibri" w:eastAsia="Times New Roman" w:hAnsi="Calibri" w:cs="Times New Roman"/>
                <w:color w:val="000000"/>
                <w:sz w:val="20"/>
                <w:szCs w:val="20"/>
                <w:lang w:eastAsia="en-GB"/>
              </w:rPr>
              <w:t>/L</w:t>
            </w:r>
          </w:p>
        </w:tc>
        <w:tc>
          <w:tcPr>
            <w:tcW w:w="1540" w:type="dxa"/>
            <w:shd w:val="clear" w:color="auto" w:fill="auto"/>
            <w:noWrap/>
            <w:vAlign w:val="bottom"/>
            <w:hideMark/>
          </w:tcPr>
          <w:p w14:paraId="254815CC"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5.4 (1.1)</w:t>
            </w:r>
          </w:p>
        </w:tc>
        <w:tc>
          <w:tcPr>
            <w:tcW w:w="1540" w:type="dxa"/>
            <w:shd w:val="clear" w:color="auto" w:fill="auto"/>
            <w:noWrap/>
            <w:vAlign w:val="bottom"/>
            <w:hideMark/>
          </w:tcPr>
          <w:p w14:paraId="5978F1C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5.3 (1.0)</w:t>
            </w:r>
          </w:p>
        </w:tc>
      </w:tr>
      <w:tr w:rsidR="00A91606" w:rsidRPr="00A91606" w14:paraId="6F1B66CD" w14:textId="77777777" w:rsidTr="005C29F8">
        <w:trPr>
          <w:trHeight w:val="300"/>
        </w:trPr>
        <w:tc>
          <w:tcPr>
            <w:tcW w:w="3580" w:type="dxa"/>
            <w:shd w:val="clear" w:color="auto" w:fill="auto"/>
            <w:noWrap/>
            <w:vAlign w:val="bottom"/>
            <w:hideMark/>
          </w:tcPr>
          <w:p w14:paraId="7EE3F85A" w14:textId="0CAF3ED6" w:rsidR="00A91606" w:rsidRPr="00004332" w:rsidRDefault="00A91606" w:rsidP="00D22F1D">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HDL-cholesterol</w:t>
            </w:r>
            <w:r w:rsidR="00D22F1D">
              <w:rPr>
                <w:rFonts w:ascii="Calibri" w:eastAsia="Times New Roman" w:hAnsi="Calibri" w:cs="Times New Roman"/>
                <w:color w:val="000000"/>
                <w:sz w:val="20"/>
                <w:szCs w:val="20"/>
                <w:lang w:eastAsia="en-GB"/>
              </w:rPr>
              <w:t xml:space="preserve">, mean (SD), </w:t>
            </w:r>
            <w:proofErr w:type="spellStart"/>
            <w:r w:rsidR="00D22F1D">
              <w:rPr>
                <w:rFonts w:ascii="Calibri" w:eastAsia="Times New Roman" w:hAnsi="Calibri" w:cs="Times New Roman"/>
                <w:color w:val="000000"/>
                <w:sz w:val="20"/>
                <w:szCs w:val="20"/>
                <w:lang w:eastAsia="en-GB"/>
              </w:rPr>
              <w:t>mmol</w:t>
            </w:r>
            <w:proofErr w:type="spellEnd"/>
            <w:r w:rsidR="00D22F1D">
              <w:rPr>
                <w:rFonts w:ascii="Calibri" w:eastAsia="Times New Roman" w:hAnsi="Calibri" w:cs="Times New Roman"/>
                <w:color w:val="000000"/>
                <w:sz w:val="20"/>
                <w:szCs w:val="20"/>
                <w:lang w:eastAsia="en-GB"/>
              </w:rPr>
              <w:t>/L</w:t>
            </w:r>
          </w:p>
        </w:tc>
        <w:tc>
          <w:tcPr>
            <w:tcW w:w="1540" w:type="dxa"/>
            <w:shd w:val="clear" w:color="auto" w:fill="auto"/>
            <w:noWrap/>
            <w:vAlign w:val="bottom"/>
            <w:hideMark/>
          </w:tcPr>
          <w:p w14:paraId="0ABB9ABF"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1.3 (0.4)</w:t>
            </w:r>
          </w:p>
        </w:tc>
        <w:tc>
          <w:tcPr>
            <w:tcW w:w="1540" w:type="dxa"/>
            <w:shd w:val="clear" w:color="auto" w:fill="auto"/>
            <w:noWrap/>
            <w:vAlign w:val="bottom"/>
            <w:hideMark/>
          </w:tcPr>
          <w:p w14:paraId="5A2C4336"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1.4 (0.4)</w:t>
            </w:r>
          </w:p>
        </w:tc>
      </w:tr>
      <w:tr w:rsidR="00A91606" w:rsidRPr="00A91606" w14:paraId="7B9CAB8C" w14:textId="77777777" w:rsidTr="005C29F8">
        <w:trPr>
          <w:trHeight w:val="300"/>
        </w:trPr>
        <w:tc>
          <w:tcPr>
            <w:tcW w:w="3580" w:type="dxa"/>
            <w:shd w:val="clear" w:color="auto" w:fill="auto"/>
            <w:noWrap/>
            <w:vAlign w:val="bottom"/>
            <w:hideMark/>
          </w:tcPr>
          <w:p w14:paraId="0943ADCD" w14:textId="7DD64A74"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Lipid lowering therapy</w:t>
            </w:r>
            <w:r w:rsidR="006829E6">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046F5789"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3,545 (10.7)</w:t>
            </w:r>
          </w:p>
        </w:tc>
        <w:tc>
          <w:tcPr>
            <w:tcW w:w="1540" w:type="dxa"/>
            <w:shd w:val="clear" w:color="auto" w:fill="auto"/>
            <w:noWrap/>
            <w:vAlign w:val="bottom"/>
            <w:hideMark/>
          </w:tcPr>
          <w:p w14:paraId="3E7DCFE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97 (9.7)</w:t>
            </w:r>
          </w:p>
        </w:tc>
      </w:tr>
      <w:tr w:rsidR="00A91606" w:rsidRPr="00A91606" w14:paraId="350F5A48" w14:textId="77777777" w:rsidTr="005C29F8">
        <w:trPr>
          <w:trHeight w:val="300"/>
        </w:trPr>
        <w:tc>
          <w:tcPr>
            <w:tcW w:w="3580" w:type="dxa"/>
            <w:shd w:val="clear" w:color="auto" w:fill="auto"/>
            <w:noWrap/>
            <w:vAlign w:val="bottom"/>
            <w:hideMark/>
          </w:tcPr>
          <w:p w14:paraId="446E1EA2" w14:textId="4D482635" w:rsidR="00A91606" w:rsidRPr="00004332" w:rsidRDefault="00D22F1D" w:rsidP="007C01F5">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Weight, mean (SD), kg</w:t>
            </w:r>
          </w:p>
        </w:tc>
        <w:tc>
          <w:tcPr>
            <w:tcW w:w="1540" w:type="dxa"/>
            <w:shd w:val="clear" w:color="auto" w:fill="auto"/>
            <w:noWrap/>
            <w:vAlign w:val="bottom"/>
            <w:hideMark/>
          </w:tcPr>
          <w:p w14:paraId="4F9A0198"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80.0 (18.9)</w:t>
            </w:r>
          </w:p>
        </w:tc>
        <w:tc>
          <w:tcPr>
            <w:tcW w:w="1540" w:type="dxa"/>
            <w:shd w:val="clear" w:color="auto" w:fill="auto"/>
            <w:noWrap/>
            <w:vAlign w:val="bottom"/>
            <w:hideMark/>
          </w:tcPr>
          <w:p w14:paraId="623C0EC4"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79.5 (18.8)</w:t>
            </w:r>
          </w:p>
        </w:tc>
      </w:tr>
      <w:tr w:rsidR="00A91606" w:rsidRPr="00A91606" w14:paraId="6BBF7506" w14:textId="77777777" w:rsidTr="005C29F8">
        <w:trPr>
          <w:trHeight w:val="300"/>
        </w:trPr>
        <w:tc>
          <w:tcPr>
            <w:tcW w:w="3580" w:type="dxa"/>
            <w:shd w:val="clear" w:color="auto" w:fill="auto"/>
            <w:noWrap/>
            <w:vAlign w:val="bottom"/>
            <w:hideMark/>
          </w:tcPr>
          <w:p w14:paraId="29075745" w14:textId="0F62B257" w:rsidR="00A91606" w:rsidRPr="00004332" w:rsidRDefault="00D22F1D" w:rsidP="007C01F5">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Height, mean (SD), m</w:t>
            </w:r>
          </w:p>
        </w:tc>
        <w:tc>
          <w:tcPr>
            <w:tcW w:w="1540" w:type="dxa"/>
            <w:shd w:val="clear" w:color="auto" w:fill="auto"/>
            <w:noWrap/>
            <w:vAlign w:val="bottom"/>
            <w:hideMark/>
          </w:tcPr>
          <w:p w14:paraId="19ABC71D"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1.7 (0.1)</w:t>
            </w:r>
          </w:p>
        </w:tc>
        <w:tc>
          <w:tcPr>
            <w:tcW w:w="1540" w:type="dxa"/>
            <w:shd w:val="clear" w:color="auto" w:fill="auto"/>
            <w:noWrap/>
            <w:vAlign w:val="bottom"/>
            <w:hideMark/>
          </w:tcPr>
          <w:p w14:paraId="6E025D3A"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1.7 (0.1)</w:t>
            </w:r>
          </w:p>
        </w:tc>
      </w:tr>
      <w:tr w:rsidR="00A91606" w:rsidRPr="00A91606" w14:paraId="3F31221C" w14:textId="77777777" w:rsidTr="005C29F8">
        <w:trPr>
          <w:trHeight w:val="300"/>
        </w:trPr>
        <w:tc>
          <w:tcPr>
            <w:tcW w:w="3580" w:type="dxa"/>
            <w:shd w:val="clear" w:color="auto" w:fill="auto"/>
            <w:noWrap/>
            <w:vAlign w:val="bottom"/>
            <w:hideMark/>
          </w:tcPr>
          <w:p w14:paraId="2AF96A3B" w14:textId="25115464" w:rsidR="00A91606" w:rsidRPr="00004332" w:rsidRDefault="00A91606" w:rsidP="00D22F1D">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BMI</w:t>
            </w:r>
            <w:r w:rsidR="00D22F1D">
              <w:rPr>
                <w:rFonts w:ascii="Calibri" w:eastAsia="Times New Roman" w:hAnsi="Calibri" w:cs="Times New Roman"/>
                <w:color w:val="000000"/>
                <w:sz w:val="20"/>
                <w:szCs w:val="20"/>
                <w:lang w:eastAsia="en-GB"/>
              </w:rPr>
              <w:t xml:space="preserve">, mean (SD), </w:t>
            </w:r>
            <w:r w:rsidRPr="00004332">
              <w:rPr>
                <w:rFonts w:ascii="Calibri" w:eastAsia="Times New Roman" w:hAnsi="Calibri" w:cs="Times New Roman"/>
                <w:color w:val="000000"/>
                <w:sz w:val="20"/>
                <w:szCs w:val="20"/>
                <w:lang w:eastAsia="en-GB"/>
              </w:rPr>
              <w:t>kg/m</w:t>
            </w:r>
            <w:r w:rsidRPr="00004332">
              <w:rPr>
                <w:rFonts w:ascii="Calibri" w:eastAsia="Times New Roman" w:hAnsi="Calibri" w:cs="Times New Roman"/>
                <w:color w:val="000000"/>
                <w:sz w:val="20"/>
                <w:szCs w:val="20"/>
                <w:vertAlign w:val="superscript"/>
                <w:lang w:eastAsia="en-GB"/>
              </w:rPr>
              <w:t>2</w:t>
            </w:r>
          </w:p>
        </w:tc>
        <w:tc>
          <w:tcPr>
            <w:tcW w:w="1540" w:type="dxa"/>
            <w:shd w:val="clear" w:color="auto" w:fill="auto"/>
            <w:noWrap/>
            <w:vAlign w:val="bottom"/>
            <w:hideMark/>
          </w:tcPr>
          <w:p w14:paraId="3D6D276F"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28.0 (6.1)</w:t>
            </w:r>
          </w:p>
        </w:tc>
        <w:tc>
          <w:tcPr>
            <w:tcW w:w="1540" w:type="dxa"/>
            <w:shd w:val="clear" w:color="auto" w:fill="auto"/>
            <w:noWrap/>
            <w:vAlign w:val="bottom"/>
            <w:hideMark/>
          </w:tcPr>
          <w:p w14:paraId="1F8EAA8A"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27.9 (6.0)</w:t>
            </w:r>
          </w:p>
        </w:tc>
      </w:tr>
      <w:tr w:rsidR="00A91606" w:rsidRPr="00A91606" w14:paraId="59B551AD" w14:textId="77777777" w:rsidTr="005C29F8">
        <w:trPr>
          <w:trHeight w:val="300"/>
        </w:trPr>
        <w:tc>
          <w:tcPr>
            <w:tcW w:w="3580" w:type="dxa"/>
            <w:shd w:val="clear" w:color="auto" w:fill="auto"/>
            <w:noWrap/>
            <w:vAlign w:val="bottom"/>
            <w:hideMark/>
          </w:tcPr>
          <w:p w14:paraId="5AF66BEE" w14:textId="57A9CAB5"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Diabetes</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3A97688C"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2,412 (7.3)</w:t>
            </w:r>
          </w:p>
        </w:tc>
        <w:tc>
          <w:tcPr>
            <w:tcW w:w="1540" w:type="dxa"/>
            <w:shd w:val="clear" w:color="auto" w:fill="auto"/>
            <w:noWrap/>
            <w:vAlign w:val="bottom"/>
            <w:hideMark/>
          </w:tcPr>
          <w:p w14:paraId="5D928997"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74 (7.4)</w:t>
            </w:r>
          </w:p>
        </w:tc>
      </w:tr>
      <w:tr w:rsidR="00A91606" w:rsidRPr="00A91606" w14:paraId="7FF7D593" w14:textId="77777777" w:rsidTr="005C29F8">
        <w:trPr>
          <w:trHeight w:val="300"/>
        </w:trPr>
        <w:tc>
          <w:tcPr>
            <w:tcW w:w="3580" w:type="dxa"/>
            <w:shd w:val="clear" w:color="auto" w:fill="auto"/>
            <w:noWrap/>
            <w:vAlign w:val="bottom"/>
            <w:hideMark/>
          </w:tcPr>
          <w:p w14:paraId="1C0B424D" w14:textId="43F17D33"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Smoking status</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76FB3F6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c>
          <w:tcPr>
            <w:tcW w:w="1540" w:type="dxa"/>
            <w:shd w:val="clear" w:color="auto" w:fill="auto"/>
            <w:noWrap/>
            <w:vAlign w:val="bottom"/>
            <w:hideMark/>
          </w:tcPr>
          <w:p w14:paraId="1FBBBABE"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r>
      <w:tr w:rsidR="00A91606" w:rsidRPr="00A91606" w14:paraId="50BF72D9" w14:textId="77777777" w:rsidTr="005C29F8">
        <w:trPr>
          <w:trHeight w:val="300"/>
        </w:trPr>
        <w:tc>
          <w:tcPr>
            <w:tcW w:w="3580" w:type="dxa"/>
            <w:shd w:val="clear" w:color="auto" w:fill="auto"/>
            <w:noWrap/>
            <w:vAlign w:val="bottom"/>
            <w:hideMark/>
          </w:tcPr>
          <w:p w14:paraId="61C95E56" w14:textId="56D4B78D" w:rsidR="00A91606" w:rsidRPr="00AB3DEA" w:rsidRDefault="00B83E27" w:rsidP="007C01F5">
            <w:pPr>
              <w:spacing w:after="0" w:line="240" w:lineRule="auto"/>
              <w:rPr>
                <w:rFonts w:ascii="Calibri" w:eastAsia="Times New Roman" w:hAnsi="Calibri" w:cs="Times New Roman"/>
                <w:iCs/>
                <w:color w:val="000000"/>
                <w:sz w:val="20"/>
                <w:szCs w:val="20"/>
                <w:lang w:eastAsia="en-GB"/>
              </w:rPr>
            </w:pPr>
            <w:r w:rsidRPr="00AB3DEA">
              <w:rPr>
                <w:rFonts w:ascii="Calibri" w:eastAsia="Times New Roman" w:hAnsi="Calibri" w:cs="Times New Roman"/>
                <w:iCs/>
                <w:color w:val="000000"/>
                <w:sz w:val="20"/>
                <w:szCs w:val="20"/>
                <w:lang w:eastAsia="en-GB"/>
              </w:rPr>
              <w:t xml:space="preserve">  </w:t>
            </w:r>
            <w:r w:rsidR="00A91606" w:rsidRPr="00AB3DEA">
              <w:rPr>
                <w:rFonts w:ascii="Calibri" w:eastAsia="Times New Roman" w:hAnsi="Calibri" w:cs="Times New Roman"/>
                <w:iCs/>
                <w:color w:val="000000"/>
                <w:sz w:val="20"/>
                <w:szCs w:val="20"/>
                <w:lang w:eastAsia="en-GB"/>
              </w:rPr>
              <w:t>Non-smoker</w:t>
            </w:r>
          </w:p>
        </w:tc>
        <w:tc>
          <w:tcPr>
            <w:tcW w:w="1540" w:type="dxa"/>
            <w:shd w:val="clear" w:color="auto" w:fill="auto"/>
            <w:noWrap/>
            <w:vAlign w:val="bottom"/>
            <w:hideMark/>
          </w:tcPr>
          <w:p w14:paraId="053505B4" w14:textId="77777777" w:rsidR="00A91606" w:rsidRPr="00AB3DEA" w:rsidRDefault="00A91606" w:rsidP="00004332">
            <w:pPr>
              <w:spacing w:after="0" w:line="240" w:lineRule="auto"/>
              <w:rPr>
                <w:rFonts w:ascii="Calibri" w:eastAsia="Times New Roman" w:hAnsi="Calibri" w:cs="Times New Roman"/>
                <w:color w:val="000000"/>
                <w:sz w:val="20"/>
                <w:szCs w:val="20"/>
                <w:lang w:eastAsia="en-GB"/>
              </w:rPr>
            </w:pPr>
            <w:r w:rsidRPr="00AB3DEA">
              <w:rPr>
                <w:rFonts w:ascii="Calibri" w:eastAsia="Times New Roman" w:hAnsi="Calibri" w:cs="Times New Roman"/>
                <w:color w:val="000000"/>
                <w:sz w:val="20"/>
                <w:szCs w:val="20"/>
                <w:lang w:eastAsia="en-GB"/>
              </w:rPr>
              <w:t>11,474 (34.7)</w:t>
            </w:r>
          </w:p>
        </w:tc>
        <w:tc>
          <w:tcPr>
            <w:tcW w:w="1540" w:type="dxa"/>
            <w:shd w:val="clear" w:color="auto" w:fill="auto"/>
            <w:noWrap/>
            <w:vAlign w:val="bottom"/>
            <w:hideMark/>
          </w:tcPr>
          <w:p w14:paraId="5E28728D" w14:textId="77777777" w:rsidR="00A91606" w:rsidRPr="00A7396D" w:rsidRDefault="00A91606" w:rsidP="00004332">
            <w:pPr>
              <w:spacing w:after="0" w:line="240" w:lineRule="auto"/>
              <w:rPr>
                <w:rFonts w:ascii="Calibri" w:eastAsia="Times New Roman" w:hAnsi="Calibri" w:cs="Times New Roman"/>
                <w:color w:val="000000"/>
                <w:sz w:val="20"/>
                <w:szCs w:val="20"/>
                <w:lang w:eastAsia="en-GB"/>
              </w:rPr>
            </w:pPr>
            <w:r w:rsidRPr="00A7396D">
              <w:rPr>
                <w:rFonts w:ascii="Calibri" w:eastAsia="Times New Roman" w:hAnsi="Calibri" w:cs="Times New Roman"/>
                <w:color w:val="000000"/>
                <w:sz w:val="20"/>
                <w:szCs w:val="20"/>
                <w:lang w:eastAsia="en-GB"/>
              </w:rPr>
              <w:t>355 (35.5)</w:t>
            </w:r>
          </w:p>
        </w:tc>
      </w:tr>
      <w:tr w:rsidR="00A91606" w:rsidRPr="00A91606" w14:paraId="7BDA0CA8" w14:textId="77777777" w:rsidTr="005C29F8">
        <w:trPr>
          <w:trHeight w:val="300"/>
        </w:trPr>
        <w:tc>
          <w:tcPr>
            <w:tcW w:w="3580" w:type="dxa"/>
            <w:shd w:val="clear" w:color="auto" w:fill="auto"/>
            <w:noWrap/>
            <w:vAlign w:val="bottom"/>
            <w:hideMark/>
          </w:tcPr>
          <w:p w14:paraId="5BA5D0B0" w14:textId="39928D97" w:rsidR="00A91606" w:rsidRPr="00AB3DEA" w:rsidRDefault="00B83E27" w:rsidP="007C01F5">
            <w:pPr>
              <w:spacing w:after="0" w:line="240" w:lineRule="auto"/>
              <w:rPr>
                <w:rFonts w:ascii="Calibri" w:eastAsia="Times New Roman" w:hAnsi="Calibri" w:cs="Times New Roman"/>
                <w:iCs/>
                <w:color w:val="000000"/>
                <w:sz w:val="20"/>
                <w:szCs w:val="20"/>
                <w:lang w:eastAsia="en-GB"/>
              </w:rPr>
            </w:pPr>
            <w:r w:rsidRPr="00AB3DEA">
              <w:rPr>
                <w:rFonts w:ascii="Calibri" w:eastAsia="Times New Roman" w:hAnsi="Calibri" w:cs="Times New Roman"/>
                <w:iCs/>
                <w:color w:val="000000"/>
                <w:sz w:val="20"/>
                <w:szCs w:val="20"/>
                <w:lang w:eastAsia="en-GB"/>
              </w:rPr>
              <w:t xml:space="preserve">  </w:t>
            </w:r>
            <w:r w:rsidR="00A91606" w:rsidRPr="00AB3DEA">
              <w:rPr>
                <w:rFonts w:ascii="Calibri" w:eastAsia="Times New Roman" w:hAnsi="Calibri" w:cs="Times New Roman"/>
                <w:iCs/>
                <w:color w:val="000000"/>
                <w:sz w:val="20"/>
                <w:szCs w:val="20"/>
                <w:lang w:eastAsia="en-GB"/>
              </w:rPr>
              <w:t>Ex-smoker</w:t>
            </w:r>
          </w:p>
        </w:tc>
        <w:tc>
          <w:tcPr>
            <w:tcW w:w="1540" w:type="dxa"/>
            <w:shd w:val="clear" w:color="auto" w:fill="auto"/>
            <w:noWrap/>
            <w:vAlign w:val="bottom"/>
            <w:hideMark/>
          </w:tcPr>
          <w:p w14:paraId="0343D253" w14:textId="77777777" w:rsidR="00A91606" w:rsidRPr="00AB3DEA" w:rsidRDefault="00A91606" w:rsidP="00004332">
            <w:pPr>
              <w:spacing w:after="0" w:line="240" w:lineRule="auto"/>
              <w:rPr>
                <w:rFonts w:ascii="Calibri" w:eastAsia="Times New Roman" w:hAnsi="Calibri" w:cs="Times New Roman"/>
                <w:color w:val="000000"/>
                <w:sz w:val="20"/>
                <w:szCs w:val="20"/>
                <w:lang w:eastAsia="en-GB"/>
              </w:rPr>
            </w:pPr>
            <w:r w:rsidRPr="00AB3DEA">
              <w:rPr>
                <w:rFonts w:ascii="Calibri" w:eastAsia="Times New Roman" w:hAnsi="Calibri" w:cs="Times New Roman"/>
                <w:color w:val="000000"/>
                <w:sz w:val="20"/>
                <w:szCs w:val="20"/>
                <w:lang w:eastAsia="en-GB"/>
              </w:rPr>
              <w:t>3,726 (11.3)</w:t>
            </w:r>
          </w:p>
        </w:tc>
        <w:tc>
          <w:tcPr>
            <w:tcW w:w="1540" w:type="dxa"/>
            <w:shd w:val="clear" w:color="auto" w:fill="auto"/>
            <w:noWrap/>
            <w:vAlign w:val="bottom"/>
            <w:hideMark/>
          </w:tcPr>
          <w:p w14:paraId="5BE85A38" w14:textId="77777777" w:rsidR="00A91606" w:rsidRPr="00A7396D" w:rsidRDefault="00A91606" w:rsidP="00004332">
            <w:pPr>
              <w:spacing w:after="0" w:line="240" w:lineRule="auto"/>
              <w:rPr>
                <w:rFonts w:ascii="Calibri" w:eastAsia="Times New Roman" w:hAnsi="Calibri" w:cs="Times New Roman"/>
                <w:color w:val="000000"/>
                <w:sz w:val="20"/>
                <w:szCs w:val="20"/>
                <w:lang w:eastAsia="en-GB"/>
              </w:rPr>
            </w:pPr>
            <w:r w:rsidRPr="00A7396D">
              <w:rPr>
                <w:rFonts w:ascii="Calibri" w:eastAsia="Times New Roman" w:hAnsi="Calibri" w:cs="Times New Roman"/>
                <w:color w:val="000000"/>
                <w:sz w:val="20"/>
                <w:szCs w:val="20"/>
                <w:lang w:eastAsia="en-GB"/>
              </w:rPr>
              <w:t>100 (10.0)</w:t>
            </w:r>
          </w:p>
        </w:tc>
      </w:tr>
      <w:tr w:rsidR="00A91606" w:rsidRPr="00A91606" w14:paraId="2BD1764D" w14:textId="77777777" w:rsidTr="005C29F8">
        <w:trPr>
          <w:trHeight w:val="300"/>
        </w:trPr>
        <w:tc>
          <w:tcPr>
            <w:tcW w:w="3580" w:type="dxa"/>
            <w:shd w:val="clear" w:color="auto" w:fill="auto"/>
            <w:noWrap/>
            <w:vAlign w:val="bottom"/>
            <w:hideMark/>
          </w:tcPr>
          <w:p w14:paraId="7724729A" w14:textId="464EACE0" w:rsidR="00A91606" w:rsidRPr="00AB3DEA" w:rsidRDefault="00B83E27" w:rsidP="007C01F5">
            <w:pPr>
              <w:spacing w:after="0" w:line="240" w:lineRule="auto"/>
              <w:rPr>
                <w:rFonts w:ascii="Calibri" w:eastAsia="Times New Roman" w:hAnsi="Calibri" w:cs="Times New Roman"/>
                <w:iCs/>
                <w:color w:val="000000"/>
                <w:sz w:val="20"/>
                <w:szCs w:val="20"/>
                <w:lang w:eastAsia="en-GB"/>
              </w:rPr>
            </w:pPr>
            <w:r w:rsidRPr="00AB3DEA">
              <w:rPr>
                <w:rFonts w:ascii="Calibri" w:eastAsia="Times New Roman" w:hAnsi="Calibri" w:cs="Times New Roman"/>
                <w:iCs/>
                <w:color w:val="000000"/>
                <w:sz w:val="20"/>
                <w:szCs w:val="20"/>
                <w:lang w:eastAsia="en-GB"/>
              </w:rPr>
              <w:t xml:space="preserve">  </w:t>
            </w:r>
            <w:r w:rsidR="00A91606" w:rsidRPr="00AB3DEA">
              <w:rPr>
                <w:rFonts w:ascii="Calibri" w:eastAsia="Times New Roman" w:hAnsi="Calibri" w:cs="Times New Roman"/>
                <w:iCs/>
                <w:color w:val="000000"/>
                <w:sz w:val="20"/>
                <w:szCs w:val="20"/>
                <w:lang w:eastAsia="en-GB"/>
              </w:rPr>
              <w:t>Current smoker</w:t>
            </w:r>
          </w:p>
        </w:tc>
        <w:tc>
          <w:tcPr>
            <w:tcW w:w="1540" w:type="dxa"/>
            <w:shd w:val="clear" w:color="auto" w:fill="auto"/>
            <w:noWrap/>
            <w:vAlign w:val="bottom"/>
            <w:hideMark/>
          </w:tcPr>
          <w:p w14:paraId="4C4D7B9A" w14:textId="77777777" w:rsidR="00A91606" w:rsidRPr="00AB3DEA" w:rsidRDefault="00A91606" w:rsidP="00004332">
            <w:pPr>
              <w:spacing w:after="0" w:line="240" w:lineRule="auto"/>
              <w:rPr>
                <w:rFonts w:ascii="Calibri" w:eastAsia="Times New Roman" w:hAnsi="Calibri" w:cs="Times New Roman"/>
                <w:color w:val="000000"/>
                <w:sz w:val="20"/>
                <w:szCs w:val="20"/>
                <w:lang w:eastAsia="en-GB"/>
              </w:rPr>
            </w:pPr>
            <w:r w:rsidRPr="00AB3DEA">
              <w:rPr>
                <w:rFonts w:ascii="Calibri" w:eastAsia="Times New Roman" w:hAnsi="Calibri" w:cs="Times New Roman"/>
                <w:color w:val="000000"/>
                <w:sz w:val="20"/>
                <w:szCs w:val="20"/>
                <w:lang w:eastAsia="en-GB"/>
              </w:rPr>
              <w:t>17,826 (54.0)</w:t>
            </w:r>
          </w:p>
        </w:tc>
        <w:tc>
          <w:tcPr>
            <w:tcW w:w="1540" w:type="dxa"/>
            <w:shd w:val="clear" w:color="auto" w:fill="auto"/>
            <w:noWrap/>
            <w:vAlign w:val="bottom"/>
            <w:hideMark/>
          </w:tcPr>
          <w:p w14:paraId="538B8DF3" w14:textId="77777777" w:rsidR="00A91606" w:rsidRPr="00A7396D" w:rsidRDefault="00A91606" w:rsidP="00004332">
            <w:pPr>
              <w:spacing w:after="0" w:line="240" w:lineRule="auto"/>
              <w:rPr>
                <w:rFonts w:ascii="Calibri" w:eastAsia="Times New Roman" w:hAnsi="Calibri" w:cs="Times New Roman"/>
                <w:color w:val="000000"/>
                <w:sz w:val="20"/>
                <w:szCs w:val="20"/>
                <w:lang w:eastAsia="en-GB"/>
              </w:rPr>
            </w:pPr>
            <w:r w:rsidRPr="00A7396D">
              <w:rPr>
                <w:rFonts w:ascii="Calibri" w:eastAsia="Times New Roman" w:hAnsi="Calibri" w:cs="Times New Roman"/>
                <w:color w:val="000000"/>
                <w:sz w:val="20"/>
                <w:szCs w:val="20"/>
                <w:lang w:eastAsia="en-GB"/>
              </w:rPr>
              <w:t>545 (54.5)</w:t>
            </w:r>
          </w:p>
        </w:tc>
      </w:tr>
      <w:tr w:rsidR="00A91606" w:rsidRPr="00A91606" w14:paraId="5745F79C" w14:textId="77777777" w:rsidTr="005C29F8">
        <w:trPr>
          <w:trHeight w:val="300"/>
        </w:trPr>
        <w:tc>
          <w:tcPr>
            <w:tcW w:w="3580" w:type="dxa"/>
            <w:shd w:val="clear" w:color="auto" w:fill="auto"/>
            <w:noWrap/>
            <w:vAlign w:val="bottom"/>
            <w:hideMark/>
          </w:tcPr>
          <w:p w14:paraId="1DB42557" w14:textId="6A854C8D"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History of heavy drinking</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23094B6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4,706 (14.3)</w:t>
            </w:r>
          </w:p>
        </w:tc>
        <w:tc>
          <w:tcPr>
            <w:tcW w:w="1540" w:type="dxa"/>
            <w:shd w:val="clear" w:color="auto" w:fill="auto"/>
            <w:noWrap/>
            <w:vAlign w:val="bottom"/>
            <w:hideMark/>
          </w:tcPr>
          <w:p w14:paraId="369D9ABC"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139 (13.9)</w:t>
            </w:r>
          </w:p>
        </w:tc>
      </w:tr>
      <w:tr w:rsidR="00A91606" w:rsidRPr="00A91606" w14:paraId="36C414B1" w14:textId="77777777" w:rsidTr="005C29F8">
        <w:trPr>
          <w:trHeight w:val="300"/>
        </w:trPr>
        <w:tc>
          <w:tcPr>
            <w:tcW w:w="3580" w:type="dxa"/>
            <w:shd w:val="clear" w:color="auto" w:fill="auto"/>
            <w:noWrap/>
            <w:vAlign w:val="bottom"/>
            <w:hideMark/>
          </w:tcPr>
          <w:p w14:paraId="3239094B" w14:textId="43F917C7"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Depression</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5126521E"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21,190 (64.2)</w:t>
            </w:r>
          </w:p>
        </w:tc>
        <w:tc>
          <w:tcPr>
            <w:tcW w:w="1540" w:type="dxa"/>
            <w:shd w:val="clear" w:color="auto" w:fill="auto"/>
            <w:noWrap/>
            <w:vAlign w:val="bottom"/>
            <w:hideMark/>
          </w:tcPr>
          <w:p w14:paraId="46293ADD"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633 (66.3)</w:t>
            </w:r>
          </w:p>
        </w:tc>
      </w:tr>
      <w:tr w:rsidR="00A91606" w:rsidRPr="00A91606" w14:paraId="310A11ED" w14:textId="77777777" w:rsidTr="005C29F8">
        <w:trPr>
          <w:trHeight w:val="300"/>
        </w:trPr>
        <w:tc>
          <w:tcPr>
            <w:tcW w:w="3580" w:type="dxa"/>
            <w:shd w:val="clear" w:color="auto" w:fill="auto"/>
            <w:noWrap/>
            <w:vAlign w:val="bottom"/>
            <w:hideMark/>
          </w:tcPr>
          <w:p w14:paraId="1B5A8D11" w14:textId="7C766828" w:rsidR="00A91606" w:rsidRPr="00004332" w:rsidRDefault="00A91606" w:rsidP="007C01F5">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Anti-depressant therapy</w:t>
            </w:r>
            <w:r w:rsidR="0002759D">
              <w:rPr>
                <w:rFonts w:ascii="Calibri" w:eastAsia="Times New Roman" w:hAnsi="Calibri" w:cs="Times New Roman"/>
                <w:color w:val="000000"/>
                <w:sz w:val="20"/>
                <w:szCs w:val="20"/>
                <w:lang w:eastAsia="en-GB"/>
              </w:rPr>
              <w:t>, 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7BE27294"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13,055 (39.5)</w:t>
            </w:r>
          </w:p>
        </w:tc>
        <w:tc>
          <w:tcPr>
            <w:tcW w:w="1540" w:type="dxa"/>
            <w:shd w:val="clear" w:color="auto" w:fill="auto"/>
            <w:noWrap/>
            <w:vAlign w:val="bottom"/>
            <w:hideMark/>
          </w:tcPr>
          <w:p w14:paraId="39529AD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377 (37.7)</w:t>
            </w:r>
          </w:p>
        </w:tc>
      </w:tr>
      <w:tr w:rsidR="00A91606" w:rsidRPr="00A91606" w14:paraId="1ECB8B6A" w14:textId="77777777" w:rsidTr="005C29F8">
        <w:trPr>
          <w:trHeight w:val="300"/>
        </w:trPr>
        <w:tc>
          <w:tcPr>
            <w:tcW w:w="3580" w:type="dxa"/>
            <w:shd w:val="clear" w:color="auto" w:fill="auto"/>
            <w:noWrap/>
            <w:vAlign w:val="bottom"/>
            <w:hideMark/>
          </w:tcPr>
          <w:p w14:paraId="6A5E8E4E" w14:textId="1161C90F" w:rsidR="00A91606" w:rsidRPr="00004332" w:rsidRDefault="00B56571" w:rsidP="00B5657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First generation</w:t>
            </w:r>
            <w:r w:rsidR="00A91606" w:rsidRPr="00004332">
              <w:rPr>
                <w:rFonts w:ascii="Calibri" w:eastAsia="Times New Roman" w:hAnsi="Calibri" w:cs="Times New Roman"/>
                <w:color w:val="000000"/>
                <w:sz w:val="20"/>
                <w:szCs w:val="20"/>
                <w:lang w:eastAsia="en-GB"/>
              </w:rPr>
              <w:t xml:space="preserve"> antipsychotic therapy</w:t>
            </w:r>
            <w:r w:rsidR="00D22F1D">
              <w:rPr>
                <w:rFonts w:ascii="Calibri" w:eastAsia="Times New Roman" w:hAnsi="Calibri" w:cs="Times New Roman"/>
                <w:color w:val="000000"/>
                <w:sz w:val="20"/>
                <w:szCs w:val="20"/>
                <w:lang w:eastAsia="en-GB"/>
              </w:rPr>
              <w:t xml:space="preserve">, </w:t>
            </w:r>
            <w:r w:rsidR="0002759D">
              <w:rPr>
                <w:rFonts w:ascii="Calibri" w:eastAsia="Times New Roman" w:hAnsi="Calibri" w:cs="Times New Roman"/>
                <w:color w:val="000000"/>
                <w:sz w:val="20"/>
                <w:szCs w:val="20"/>
                <w:lang w:eastAsia="en-GB"/>
              </w:rPr>
              <w:t>No.</w:t>
            </w:r>
            <w:r w:rsidR="00A91606"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4886450A"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4,982 (15.1)</w:t>
            </w:r>
          </w:p>
        </w:tc>
        <w:tc>
          <w:tcPr>
            <w:tcW w:w="1540" w:type="dxa"/>
            <w:shd w:val="clear" w:color="auto" w:fill="auto"/>
            <w:noWrap/>
            <w:vAlign w:val="bottom"/>
            <w:hideMark/>
          </w:tcPr>
          <w:p w14:paraId="62137064"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133 (13.3)</w:t>
            </w:r>
          </w:p>
        </w:tc>
      </w:tr>
      <w:tr w:rsidR="00A91606" w:rsidRPr="00A91606" w14:paraId="5A531FA2" w14:textId="77777777" w:rsidTr="005C29F8">
        <w:trPr>
          <w:trHeight w:val="300"/>
        </w:trPr>
        <w:tc>
          <w:tcPr>
            <w:tcW w:w="3580" w:type="dxa"/>
            <w:shd w:val="clear" w:color="auto" w:fill="auto"/>
            <w:noWrap/>
            <w:vAlign w:val="bottom"/>
            <w:hideMark/>
          </w:tcPr>
          <w:p w14:paraId="01B0283F" w14:textId="6F6B10B9" w:rsidR="00A91606" w:rsidRPr="00004332" w:rsidRDefault="00B56571" w:rsidP="007C01F5">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Second generation</w:t>
            </w:r>
            <w:r w:rsidRPr="00004332">
              <w:rPr>
                <w:rFonts w:ascii="Calibri" w:eastAsia="Times New Roman" w:hAnsi="Calibri" w:cs="Times New Roman"/>
                <w:color w:val="000000"/>
                <w:sz w:val="20"/>
                <w:szCs w:val="20"/>
                <w:lang w:eastAsia="en-GB"/>
              </w:rPr>
              <w:t xml:space="preserve"> </w:t>
            </w:r>
            <w:r w:rsidR="00A91606" w:rsidRPr="00004332">
              <w:rPr>
                <w:rFonts w:ascii="Calibri" w:eastAsia="Times New Roman" w:hAnsi="Calibri" w:cs="Times New Roman"/>
                <w:color w:val="000000"/>
                <w:sz w:val="20"/>
                <w:szCs w:val="20"/>
                <w:lang w:eastAsia="en-GB"/>
              </w:rPr>
              <w:t>antipsychotic therapy</w:t>
            </w:r>
            <w:r w:rsidR="0002759D">
              <w:rPr>
                <w:rFonts w:ascii="Calibri" w:eastAsia="Times New Roman" w:hAnsi="Calibri" w:cs="Times New Roman"/>
                <w:color w:val="000000"/>
                <w:sz w:val="20"/>
                <w:szCs w:val="20"/>
                <w:lang w:eastAsia="en-GB"/>
              </w:rPr>
              <w:t>, No.</w:t>
            </w:r>
            <w:r w:rsidR="00A91606"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5E0497FB"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10,691 (32.4)</w:t>
            </w:r>
          </w:p>
        </w:tc>
        <w:tc>
          <w:tcPr>
            <w:tcW w:w="1540" w:type="dxa"/>
            <w:shd w:val="clear" w:color="auto" w:fill="auto"/>
            <w:noWrap/>
            <w:vAlign w:val="bottom"/>
            <w:hideMark/>
          </w:tcPr>
          <w:p w14:paraId="714760A2"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311 (31.1)</w:t>
            </w:r>
          </w:p>
        </w:tc>
      </w:tr>
      <w:tr w:rsidR="00A91606" w:rsidRPr="00A91606" w14:paraId="7B7A8998" w14:textId="77777777" w:rsidTr="005C29F8">
        <w:trPr>
          <w:trHeight w:val="300"/>
        </w:trPr>
        <w:tc>
          <w:tcPr>
            <w:tcW w:w="3580" w:type="dxa"/>
            <w:shd w:val="clear" w:color="auto" w:fill="auto"/>
            <w:noWrap/>
            <w:vAlign w:val="bottom"/>
            <w:hideMark/>
          </w:tcPr>
          <w:p w14:paraId="41F18290" w14:textId="68649FA5" w:rsidR="00A91606" w:rsidRPr="00004332" w:rsidRDefault="00A91606" w:rsidP="0002759D">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xml:space="preserve">Townsend score of </w:t>
            </w:r>
            <w:proofErr w:type="spellStart"/>
            <w:r w:rsidRPr="00004332">
              <w:rPr>
                <w:rFonts w:ascii="Calibri" w:eastAsia="Times New Roman" w:hAnsi="Calibri" w:cs="Times New Roman"/>
                <w:color w:val="000000"/>
                <w:sz w:val="20"/>
                <w:szCs w:val="20"/>
                <w:lang w:eastAsia="en-GB"/>
              </w:rPr>
              <w:t>deprivation</w:t>
            </w:r>
            <w:r w:rsidR="007C01F5" w:rsidRPr="00004332">
              <w:rPr>
                <w:rFonts w:ascii="Calibri" w:eastAsia="Times New Roman" w:hAnsi="Calibri" w:cs="Times New Roman"/>
                <w:color w:val="000000"/>
                <w:sz w:val="20"/>
                <w:szCs w:val="20"/>
                <w:vertAlign w:val="superscript"/>
                <w:lang w:eastAsia="en-GB"/>
              </w:rPr>
              <w:t>a</w:t>
            </w:r>
            <w:proofErr w:type="spellEnd"/>
            <w:r w:rsidR="00D22F1D">
              <w:rPr>
                <w:rFonts w:ascii="Calibri" w:eastAsia="Times New Roman" w:hAnsi="Calibri" w:cs="Times New Roman"/>
                <w:color w:val="000000"/>
                <w:sz w:val="20"/>
                <w:szCs w:val="20"/>
                <w:lang w:eastAsia="en-GB"/>
              </w:rPr>
              <w:t xml:space="preserve">, </w:t>
            </w:r>
            <w:r w:rsidR="0002759D">
              <w:rPr>
                <w:rFonts w:ascii="Calibri" w:eastAsia="Times New Roman" w:hAnsi="Calibri" w:cs="Times New Roman"/>
                <w:color w:val="000000"/>
                <w:sz w:val="20"/>
                <w:szCs w:val="20"/>
                <w:lang w:eastAsia="en-GB"/>
              </w:rPr>
              <w:t>No.</w:t>
            </w:r>
            <w:r w:rsidRPr="00004332">
              <w:rPr>
                <w:rFonts w:ascii="Calibri" w:eastAsia="Times New Roman" w:hAnsi="Calibri" w:cs="Times New Roman"/>
                <w:color w:val="000000"/>
                <w:sz w:val="20"/>
                <w:szCs w:val="20"/>
                <w:lang w:eastAsia="en-GB"/>
              </w:rPr>
              <w:t xml:space="preserve"> (%)</w:t>
            </w:r>
          </w:p>
        </w:tc>
        <w:tc>
          <w:tcPr>
            <w:tcW w:w="1540" w:type="dxa"/>
            <w:shd w:val="clear" w:color="auto" w:fill="auto"/>
            <w:noWrap/>
            <w:vAlign w:val="bottom"/>
            <w:hideMark/>
          </w:tcPr>
          <w:p w14:paraId="692A99B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c>
          <w:tcPr>
            <w:tcW w:w="1540" w:type="dxa"/>
            <w:shd w:val="clear" w:color="auto" w:fill="auto"/>
            <w:noWrap/>
            <w:vAlign w:val="bottom"/>
            <w:hideMark/>
          </w:tcPr>
          <w:p w14:paraId="2256EACD"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 </w:t>
            </w:r>
          </w:p>
        </w:tc>
      </w:tr>
      <w:tr w:rsidR="00A91606" w:rsidRPr="00A91606" w14:paraId="2D81B023" w14:textId="77777777" w:rsidTr="005C29F8">
        <w:trPr>
          <w:trHeight w:val="300"/>
        </w:trPr>
        <w:tc>
          <w:tcPr>
            <w:tcW w:w="3580" w:type="dxa"/>
            <w:shd w:val="clear" w:color="auto" w:fill="auto"/>
            <w:noWrap/>
            <w:vAlign w:val="bottom"/>
            <w:hideMark/>
          </w:tcPr>
          <w:p w14:paraId="26FD853B" w14:textId="534AF11B"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1</w:t>
            </w:r>
          </w:p>
        </w:tc>
        <w:tc>
          <w:tcPr>
            <w:tcW w:w="1540" w:type="dxa"/>
            <w:shd w:val="clear" w:color="auto" w:fill="auto"/>
            <w:noWrap/>
            <w:vAlign w:val="bottom"/>
            <w:hideMark/>
          </w:tcPr>
          <w:p w14:paraId="66ECE965"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4,886 (14.8)</w:t>
            </w:r>
          </w:p>
        </w:tc>
        <w:tc>
          <w:tcPr>
            <w:tcW w:w="1540" w:type="dxa"/>
            <w:shd w:val="clear" w:color="auto" w:fill="auto"/>
            <w:noWrap/>
            <w:vAlign w:val="bottom"/>
            <w:hideMark/>
          </w:tcPr>
          <w:p w14:paraId="29C2B40A"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143 (14.3)</w:t>
            </w:r>
          </w:p>
        </w:tc>
      </w:tr>
      <w:tr w:rsidR="00A91606" w:rsidRPr="00A91606" w14:paraId="2245EDCE" w14:textId="77777777" w:rsidTr="005C29F8">
        <w:trPr>
          <w:trHeight w:val="300"/>
        </w:trPr>
        <w:tc>
          <w:tcPr>
            <w:tcW w:w="3580" w:type="dxa"/>
            <w:shd w:val="clear" w:color="auto" w:fill="auto"/>
            <w:noWrap/>
            <w:vAlign w:val="bottom"/>
            <w:hideMark/>
          </w:tcPr>
          <w:p w14:paraId="634EF3A6" w14:textId="7D106994"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2</w:t>
            </w:r>
          </w:p>
        </w:tc>
        <w:tc>
          <w:tcPr>
            <w:tcW w:w="1540" w:type="dxa"/>
            <w:shd w:val="clear" w:color="auto" w:fill="auto"/>
            <w:noWrap/>
            <w:vAlign w:val="bottom"/>
            <w:hideMark/>
          </w:tcPr>
          <w:p w14:paraId="66E60556"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5,332 (16.2)</w:t>
            </w:r>
          </w:p>
        </w:tc>
        <w:tc>
          <w:tcPr>
            <w:tcW w:w="1540" w:type="dxa"/>
            <w:shd w:val="clear" w:color="auto" w:fill="auto"/>
            <w:noWrap/>
            <w:vAlign w:val="bottom"/>
            <w:hideMark/>
          </w:tcPr>
          <w:p w14:paraId="2167B2E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158 (15.8)</w:t>
            </w:r>
          </w:p>
        </w:tc>
      </w:tr>
      <w:tr w:rsidR="00A91606" w:rsidRPr="00A91606" w14:paraId="19FD1D62" w14:textId="77777777" w:rsidTr="005C29F8">
        <w:trPr>
          <w:trHeight w:val="300"/>
        </w:trPr>
        <w:tc>
          <w:tcPr>
            <w:tcW w:w="3580" w:type="dxa"/>
            <w:shd w:val="clear" w:color="auto" w:fill="auto"/>
            <w:noWrap/>
            <w:vAlign w:val="bottom"/>
            <w:hideMark/>
          </w:tcPr>
          <w:p w14:paraId="6FC0B4AD" w14:textId="79AF4B9F"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3</w:t>
            </w:r>
          </w:p>
        </w:tc>
        <w:tc>
          <w:tcPr>
            <w:tcW w:w="1540" w:type="dxa"/>
            <w:shd w:val="clear" w:color="auto" w:fill="auto"/>
            <w:noWrap/>
            <w:vAlign w:val="bottom"/>
            <w:hideMark/>
          </w:tcPr>
          <w:p w14:paraId="4EE03D91"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6,639 (20.1)</w:t>
            </w:r>
          </w:p>
        </w:tc>
        <w:tc>
          <w:tcPr>
            <w:tcW w:w="1540" w:type="dxa"/>
            <w:shd w:val="clear" w:color="auto" w:fill="auto"/>
            <w:noWrap/>
            <w:vAlign w:val="bottom"/>
            <w:hideMark/>
          </w:tcPr>
          <w:p w14:paraId="0BA6D319"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183 (18.3)</w:t>
            </w:r>
          </w:p>
        </w:tc>
      </w:tr>
      <w:tr w:rsidR="00A91606" w:rsidRPr="00A91606" w14:paraId="60A99D56" w14:textId="77777777" w:rsidTr="005C29F8">
        <w:trPr>
          <w:trHeight w:val="300"/>
        </w:trPr>
        <w:tc>
          <w:tcPr>
            <w:tcW w:w="3580" w:type="dxa"/>
            <w:shd w:val="clear" w:color="auto" w:fill="auto"/>
            <w:noWrap/>
            <w:vAlign w:val="bottom"/>
            <w:hideMark/>
          </w:tcPr>
          <w:p w14:paraId="1E5CEE07" w14:textId="54F51283"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4</w:t>
            </w:r>
          </w:p>
        </w:tc>
        <w:tc>
          <w:tcPr>
            <w:tcW w:w="1540" w:type="dxa"/>
            <w:shd w:val="clear" w:color="auto" w:fill="auto"/>
            <w:noWrap/>
            <w:vAlign w:val="bottom"/>
            <w:hideMark/>
          </w:tcPr>
          <w:p w14:paraId="6E244993"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8,048 (24.4)</w:t>
            </w:r>
          </w:p>
        </w:tc>
        <w:tc>
          <w:tcPr>
            <w:tcW w:w="1540" w:type="dxa"/>
            <w:shd w:val="clear" w:color="auto" w:fill="auto"/>
            <w:noWrap/>
            <w:vAlign w:val="bottom"/>
            <w:hideMark/>
          </w:tcPr>
          <w:p w14:paraId="01276DBD"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269 (26.9)</w:t>
            </w:r>
          </w:p>
        </w:tc>
      </w:tr>
      <w:tr w:rsidR="00A91606" w:rsidRPr="00A91606" w14:paraId="50B767B0" w14:textId="77777777" w:rsidTr="005C29F8">
        <w:trPr>
          <w:trHeight w:val="300"/>
        </w:trPr>
        <w:tc>
          <w:tcPr>
            <w:tcW w:w="3580" w:type="dxa"/>
            <w:shd w:val="clear" w:color="auto" w:fill="auto"/>
            <w:noWrap/>
            <w:vAlign w:val="bottom"/>
            <w:hideMark/>
          </w:tcPr>
          <w:p w14:paraId="6605D67D" w14:textId="58D42041" w:rsidR="00A91606" w:rsidRPr="00B83E27" w:rsidRDefault="00B83E27" w:rsidP="007C01F5">
            <w:pPr>
              <w:spacing w:after="0" w:line="240" w:lineRule="auto"/>
              <w:rPr>
                <w:rFonts w:ascii="Calibri" w:eastAsia="Times New Roman" w:hAnsi="Calibri" w:cs="Times New Roman"/>
                <w:iCs/>
                <w:color w:val="000000"/>
                <w:sz w:val="20"/>
                <w:szCs w:val="20"/>
                <w:lang w:eastAsia="en-GB"/>
              </w:rPr>
            </w:pPr>
            <w:r>
              <w:rPr>
                <w:rFonts w:ascii="Calibri" w:eastAsia="Times New Roman" w:hAnsi="Calibri" w:cs="Times New Roman"/>
                <w:iCs/>
                <w:color w:val="000000"/>
                <w:sz w:val="20"/>
                <w:szCs w:val="20"/>
                <w:lang w:eastAsia="en-GB"/>
              </w:rPr>
              <w:t xml:space="preserve">  </w:t>
            </w:r>
            <w:r w:rsidR="00A91606" w:rsidRPr="00B83E27">
              <w:rPr>
                <w:rFonts w:ascii="Calibri" w:eastAsia="Times New Roman" w:hAnsi="Calibri" w:cs="Times New Roman"/>
                <w:iCs/>
                <w:color w:val="000000"/>
                <w:sz w:val="20"/>
                <w:szCs w:val="20"/>
                <w:lang w:eastAsia="en-GB"/>
              </w:rPr>
              <w:t>5</w:t>
            </w:r>
          </w:p>
        </w:tc>
        <w:tc>
          <w:tcPr>
            <w:tcW w:w="1540" w:type="dxa"/>
            <w:shd w:val="clear" w:color="auto" w:fill="auto"/>
            <w:noWrap/>
            <w:vAlign w:val="bottom"/>
            <w:hideMark/>
          </w:tcPr>
          <w:p w14:paraId="09027472"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8,121 (24.6)</w:t>
            </w:r>
          </w:p>
        </w:tc>
        <w:tc>
          <w:tcPr>
            <w:tcW w:w="1540" w:type="dxa"/>
            <w:shd w:val="clear" w:color="auto" w:fill="auto"/>
            <w:noWrap/>
            <w:vAlign w:val="bottom"/>
            <w:hideMark/>
          </w:tcPr>
          <w:p w14:paraId="3E39F6A2"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247 (24.7)</w:t>
            </w:r>
          </w:p>
        </w:tc>
      </w:tr>
      <w:tr w:rsidR="00A91606" w:rsidRPr="00A91606" w14:paraId="2DD9ADFF" w14:textId="77777777" w:rsidTr="005C29F8">
        <w:trPr>
          <w:trHeight w:val="300"/>
        </w:trPr>
        <w:tc>
          <w:tcPr>
            <w:tcW w:w="3580" w:type="dxa"/>
            <w:shd w:val="clear" w:color="auto" w:fill="auto"/>
            <w:noWrap/>
            <w:vAlign w:val="bottom"/>
            <w:hideMark/>
          </w:tcPr>
          <w:p w14:paraId="2711A5AD" w14:textId="0AD9B044" w:rsidR="00A91606" w:rsidRPr="001E586F" w:rsidRDefault="0018704D" w:rsidP="0018704D">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C</w:t>
            </w:r>
            <w:r w:rsidR="00A91606" w:rsidRPr="00004332">
              <w:rPr>
                <w:rFonts w:ascii="Calibri" w:eastAsia="Times New Roman" w:hAnsi="Calibri" w:cs="Times New Roman"/>
                <w:color w:val="000000"/>
                <w:sz w:val="20"/>
                <w:szCs w:val="20"/>
                <w:lang w:eastAsia="en-GB"/>
              </w:rPr>
              <w:t xml:space="preserve">alendar </w:t>
            </w:r>
            <w:proofErr w:type="spellStart"/>
            <w:r w:rsidR="00A91606" w:rsidRPr="00004332">
              <w:rPr>
                <w:rFonts w:ascii="Calibri" w:eastAsia="Times New Roman" w:hAnsi="Calibri" w:cs="Times New Roman"/>
                <w:color w:val="000000"/>
                <w:sz w:val="20"/>
                <w:szCs w:val="20"/>
                <w:lang w:eastAsia="en-GB"/>
              </w:rPr>
              <w:t>year</w:t>
            </w:r>
            <w:r>
              <w:rPr>
                <w:rFonts w:ascii="Calibri" w:eastAsia="Times New Roman" w:hAnsi="Calibri" w:cs="Times New Roman"/>
                <w:color w:val="000000"/>
                <w:sz w:val="20"/>
                <w:szCs w:val="20"/>
                <w:vertAlign w:val="superscript"/>
                <w:lang w:eastAsia="en-GB"/>
              </w:rPr>
              <w:t>b</w:t>
            </w:r>
            <w:proofErr w:type="spellEnd"/>
            <w:r w:rsidR="001E586F">
              <w:rPr>
                <w:rFonts w:ascii="Calibri" w:eastAsia="Times New Roman" w:hAnsi="Calibri" w:cs="Times New Roman"/>
                <w:color w:val="000000"/>
                <w:sz w:val="20"/>
                <w:szCs w:val="20"/>
                <w:lang w:eastAsia="en-GB"/>
              </w:rPr>
              <w:t>, mean (SD)</w:t>
            </w:r>
          </w:p>
        </w:tc>
        <w:tc>
          <w:tcPr>
            <w:tcW w:w="1540" w:type="dxa"/>
            <w:shd w:val="clear" w:color="auto" w:fill="auto"/>
            <w:noWrap/>
            <w:vAlign w:val="bottom"/>
            <w:hideMark/>
          </w:tcPr>
          <w:p w14:paraId="6B0DB669"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2007.7 (3.5)</w:t>
            </w:r>
          </w:p>
        </w:tc>
        <w:tc>
          <w:tcPr>
            <w:tcW w:w="1540" w:type="dxa"/>
            <w:shd w:val="clear" w:color="auto" w:fill="auto"/>
            <w:noWrap/>
            <w:vAlign w:val="bottom"/>
            <w:hideMark/>
          </w:tcPr>
          <w:p w14:paraId="081BCED0" w14:textId="77777777" w:rsidR="00A91606" w:rsidRPr="00004332" w:rsidRDefault="00A91606" w:rsidP="00004332">
            <w:pPr>
              <w:spacing w:after="0" w:line="240" w:lineRule="auto"/>
              <w:rPr>
                <w:rFonts w:ascii="Calibri" w:eastAsia="Times New Roman" w:hAnsi="Calibri" w:cs="Times New Roman"/>
                <w:color w:val="000000"/>
                <w:sz w:val="20"/>
                <w:szCs w:val="20"/>
                <w:lang w:eastAsia="en-GB"/>
              </w:rPr>
            </w:pPr>
            <w:r w:rsidRPr="00004332">
              <w:rPr>
                <w:rFonts w:ascii="Calibri" w:eastAsia="Times New Roman" w:hAnsi="Calibri" w:cs="Times New Roman"/>
                <w:color w:val="000000"/>
                <w:sz w:val="20"/>
                <w:szCs w:val="20"/>
                <w:lang w:eastAsia="en-GB"/>
              </w:rPr>
              <w:t>2007.7 (3.5)</w:t>
            </w:r>
          </w:p>
        </w:tc>
      </w:tr>
    </w:tbl>
    <w:p w14:paraId="1FC8F720" w14:textId="77777777" w:rsidR="00F31C39" w:rsidRDefault="00F31C39" w:rsidP="00221A71">
      <w:pPr>
        <w:jc w:val="both"/>
      </w:pPr>
    </w:p>
    <w:p w14:paraId="21AC39E7" w14:textId="69ABABE7" w:rsidR="00FA3914" w:rsidRDefault="007C01F5" w:rsidP="00221A71">
      <w:pPr>
        <w:jc w:val="both"/>
      </w:pPr>
      <w:r>
        <w:lastRenderedPageBreak/>
        <w:t>a.</w:t>
      </w:r>
      <w:r w:rsidR="00004332">
        <w:t xml:space="preserve"> </w:t>
      </w:r>
      <w:r w:rsidR="009D2D8E">
        <w:t>Townsend score</w:t>
      </w:r>
      <w:r w:rsidR="00214D40">
        <w:t xml:space="preserve"> of deprivation is an index made up of unemployment, overcrowding, </w:t>
      </w:r>
      <w:proofErr w:type="spellStart"/>
      <w:r w:rsidR="00214D40">
        <w:t>non car</w:t>
      </w:r>
      <w:proofErr w:type="spellEnd"/>
      <w:r w:rsidR="00214D40">
        <w:t xml:space="preserve"> ownership and </w:t>
      </w:r>
      <w:proofErr w:type="spellStart"/>
      <w:r w:rsidR="00214D40">
        <w:t>non home</w:t>
      </w:r>
      <w:proofErr w:type="spellEnd"/>
      <w:r w:rsidR="00214D40">
        <w:t xml:space="preserve"> ownership,</w:t>
      </w:r>
      <w:r w:rsidR="009D2D8E">
        <w:t xml:space="preserve"> where 1 represents lower degree of deprivation and 5 represents higher degree of deprivation</w:t>
      </w:r>
      <w:r w:rsidR="0018704D">
        <w:t>, b. Calendar year refers to the calendar year in which the baseline data was collected to account for any time trends</w:t>
      </w:r>
      <w:r w:rsidR="009D2D8E">
        <w:t>.</w:t>
      </w:r>
    </w:p>
    <w:p w14:paraId="05AE2732" w14:textId="77777777" w:rsidR="00FA3914" w:rsidRDefault="00FA3914" w:rsidP="00221A71">
      <w:pPr>
        <w:jc w:val="both"/>
      </w:pPr>
      <w:r>
        <w:br w:type="page"/>
      </w:r>
    </w:p>
    <w:p w14:paraId="3F208A5C" w14:textId="70FD2436" w:rsidR="00B95F5E" w:rsidRDefault="00B95F5E" w:rsidP="00221A71">
      <w:pPr>
        <w:spacing w:line="480" w:lineRule="auto"/>
        <w:jc w:val="both"/>
      </w:pPr>
      <w:r w:rsidRPr="00004332">
        <w:rPr>
          <w:b/>
        </w:rPr>
        <w:lastRenderedPageBreak/>
        <w:t xml:space="preserve">Table </w:t>
      </w:r>
      <w:r w:rsidR="00484F56" w:rsidRPr="00004332">
        <w:rPr>
          <w:b/>
        </w:rPr>
        <w:t>2</w:t>
      </w:r>
      <w:r w:rsidRPr="00004332">
        <w:rPr>
          <w:b/>
        </w:rPr>
        <w:t>:</w:t>
      </w:r>
      <w:r>
        <w:t xml:space="preserve"> Number of people </w:t>
      </w:r>
      <w:r w:rsidR="007E5C65">
        <w:t xml:space="preserve">(out of 1000) </w:t>
      </w:r>
      <w:r>
        <w:t xml:space="preserve">classified as high and low risk by the various </w:t>
      </w:r>
      <w:r w:rsidR="00E5594A">
        <w:t xml:space="preserve">CVD risk </w:t>
      </w:r>
      <w:r>
        <w:t xml:space="preserve">algorithms </w:t>
      </w:r>
      <w:r w:rsidR="00B965E3">
        <w:t xml:space="preserve">at a </w:t>
      </w:r>
      <w:r>
        <w:t>CVD risk threshold</w:t>
      </w:r>
      <w:r w:rsidR="00B965E3">
        <w:t xml:space="preserve"> of 10%</w:t>
      </w:r>
      <w:r>
        <w:t>; further stratified by use of statin therapy at baseline.</w:t>
      </w:r>
    </w:p>
    <w:tbl>
      <w:tblPr>
        <w:tblStyle w:val="TableGrid"/>
        <w:tblW w:w="0" w:type="auto"/>
        <w:tblLook w:val="04A0" w:firstRow="1" w:lastRow="0" w:firstColumn="1" w:lastColumn="0" w:noHBand="0" w:noVBand="1"/>
      </w:tblPr>
      <w:tblGrid>
        <w:gridCol w:w="2603"/>
        <w:gridCol w:w="1604"/>
        <w:gridCol w:w="1603"/>
        <w:gridCol w:w="1603"/>
        <w:gridCol w:w="1603"/>
      </w:tblGrid>
      <w:tr w:rsidR="00504BCE" w:rsidRPr="00504BCE" w14:paraId="06EC4E74" w14:textId="77777777" w:rsidTr="005C29F8">
        <w:trPr>
          <w:trHeight w:val="300"/>
        </w:trPr>
        <w:tc>
          <w:tcPr>
            <w:tcW w:w="2670" w:type="dxa"/>
            <w:vMerge w:val="restart"/>
            <w:noWrap/>
            <w:hideMark/>
          </w:tcPr>
          <w:p w14:paraId="24290B3A" w14:textId="77777777" w:rsidR="00504BCE" w:rsidRPr="00004332" w:rsidRDefault="00504BCE" w:rsidP="007C01F5">
            <w:pPr>
              <w:rPr>
                <w:sz w:val="20"/>
                <w:szCs w:val="20"/>
              </w:rPr>
            </w:pPr>
            <w:r w:rsidRPr="00004332">
              <w:rPr>
                <w:sz w:val="20"/>
                <w:szCs w:val="20"/>
              </w:rPr>
              <w:t> </w:t>
            </w:r>
          </w:p>
        </w:tc>
        <w:tc>
          <w:tcPr>
            <w:tcW w:w="6572" w:type="dxa"/>
            <w:gridSpan w:val="4"/>
            <w:noWrap/>
            <w:vAlign w:val="bottom"/>
            <w:hideMark/>
          </w:tcPr>
          <w:p w14:paraId="55A06FC2" w14:textId="77777777" w:rsidR="00504BCE" w:rsidRPr="003B075B" w:rsidRDefault="00504BCE" w:rsidP="00792FD8">
            <w:pPr>
              <w:jc w:val="center"/>
              <w:rPr>
                <w:b/>
                <w:sz w:val="20"/>
                <w:szCs w:val="20"/>
              </w:rPr>
            </w:pPr>
            <w:r w:rsidRPr="003B075B">
              <w:rPr>
                <w:b/>
                <w:sz w:val="20"/>
                <w:szCs w:val="20"/>
              </w:rPr>
              <w:t>Algorithm</w:t>
            </w:r>
          </w:p>
        </w:tc>
      </w:tr>
      <w:tr w:rsidR="00504BCE" w:rsidRPr="00504BCE" w14:paraId="5BCBA65B" w14:textId="77777777" w:rsidTr="005C29F8">
        <w:trPr>
          <w:trHeight w:val="537"/>
        </w:trPr>
        <w:tc>
          <w:tcPr>
            <w:tcW w:w="2670" w:type="dxa"/>
            <w:vMerge/>
            <w:hideMark/>
          </w:tcPr>
          <w:p w14:paraId="328A7DFA" w14:textId="77777777" w:rsidR="00504BCE" w:rsidRPr="00004332" w:rsidRDefault="00504BCE" w:rsidP="00004332">
            <w:pPr>
              <w:rPr>
                <w:sz w:val="20"/>
                <w:szCs w:val="20"/>
              </w:rPr>
            </w:pPr>
          </w:p>
        </w:tc>
        <w:tc>
          <w:tcPr>
            <w:tcW w:w="1643" w:type="dxa"/>
            <w:vMerge w:val="restart"/>
            <w:vAlign w:val="bottom"/>
            <w:hideMark/>
          </w:tcPr>
          <w:p w14:paraId="060F9E64" w14:textId="26787965" w:rsidR="00504BCE" w:rsidRPr="003B075B" w:rsidRDefault="00A220A6" w:rsidP="00E07BB0">
            <w:pPr>
              <w:rPr>
                <w:b/>
                <w:sz w:val="20"/>
                <w:szCs w:val="20"/>
              </w:rPr>
            </w:pPr>
            <w:r>
              <w:rPr>
                <w:b/>
                <w:sz w:val="20"/>
                <w:szCs w:val="20"/>
              </w:rPr>
              <w:t>General</w:t>
            </w:r>
            <w:r w:rsidR="00504BCE" w:rsidRPr="003B075B">
              <w:rPr>
                <w:b/>
                <w:sz w:val="20"/>
                <w:szCs w:val="20"/>
              </w:rPr>
              <w:t xml:space="preserve"> lipid algorithm</w:t>
            </w:r>
          </w:p>
        </w:tc>
        <w:tc>
          <w:tcPr>
            <w:tcW w:w="1643" w:type="dxa"/>
            <w:vMerge w:val="restart"/>
            <w:vAlign w:val="bottom"/>
            <w:hideMark/>
          </w:tcPr>
          <w:p w14:paraId="203C0925" w14:textId="054CE65D" w:rsidR="00504BCE" w:rsidRPr="003B075B" w:rsidRDefault="00A220A6" w:rsidP="00792FD8">
            <w:pPr>
              <w:rPr>
                <w:b/>
                <w:sz w:val="20"/>
                <w:szCs w:val="20"/>
              </w:rPr>
            </w:pPr>
            <w:r>
              <w:rPr>
                <w:b/>
                <w:sz w:val="20"/>
                <w:szCs w:val="20"/>
              </w:rPr>
              <w:t xml:space="preserve">SMI-specific </w:t>
            </w:r>
            <w:r w:rsidR="00504BCE" w:rsidRPr="003B075B">
              <w:rPr>
                <w:b/>
                <w:sz w:val="20"/>
                <w:szCs w:val="20"/>
              </w:rPr>
              <w:t>lipid algorithm</w:t>
            </w:r>
          </w:p>
        </w:tc>
        <w:tc>
          <w:tcPr>
            <w:tcW w:w="1643" w:type="dxa"/>
            <w:vMerge w:val="restart"/>
            <w:vAlign w:val="bottom"/>
            <w:hideMark/>
          </w:tcPr>
          <w:p w14:paraId="3A37875D" w14:textId="722E2904" w:rsidR="00504BCE" w:rsidRPr="003B075B" w:rsidRDefault="00A220A6" w:rsidP="00E07BB0">
            <w:pPr>
              <w:rPr>
                <w:b/>
                <w:sz w:val="20"/>
                <w:szCs w:val="20"/>
              </w:rPr>
            </w:pPr>
            <w:r>
              <w:rPr>
                <w:b/>
                <w:sz w:val="20"/>
                <w:szCs w:val="20"/>
              </w:rPr>
              <w:t>General</w:t>
            </w:r>
            <w:r w:rsidR="00504BCE" w:rsidRPr="003B075B">
              <w:rPr>
                <w:b/>
                <w:sz w:val="20"/>
                <w:szCs w:val="20"/>
              </w:rPr>
              <w:t xml:space="preserve"> BMI algorithm</w:t>
            </w:r>
          </w:p>
        </w:tc>
        <w:tc>
          <w:tcPr>
            <w:tcW w:w="1643" w:type="dxa"/>
            <w:vMerge w:val="restart"/>
            <w:vAlign w:val="bottom"/>
            <w:hideMark/>
          </w:tcPr>
          <w:p w14:paraId="7F50DA17" w14:textId="44333182" w:rsidR="00504BCE" w:rsidRPr="003B075B" w:rsidRDefault="00A220A6" w:rsidP="00792FD8">
            <w:pPr>
              <w:rPr>
                <w:b/>
                <w:sz w:val="20"/>
                <w:szCs w:val="20"/>
              </w:rPr>
            </w:pPr>
            <w:r>
              <w:rPr>
                <w:b/>
                <w:sz w:val="20"/>
                <w:szCs w:val="20"/>
              </w:rPr>
              <w:t>SMI-specific</w:t>
            </w:r>
            <w:r w:rsidRPr="003B075B">
              <w:rPr>
                <w:b/>
                <w:sz w:val="20"/>
                <w:szCs w:val="20"/>
              </w:rPr>
              <w:t xml:space="preserve"> </w:t>
            </w:r>
            <w:r w:rsidR="00504BCE" w:rsidRPr="003B075B">
              <w:rPr>
                <w:b/>
                <w:sz w:val="20"/>
                <w:szCs w:val="20"/>
              </w:rPr>
              <w:t>BMI algorithm</w:t>
            </w:r>
          </w:p>
        </w:tc>
      </w:tr>
      <w:tr w:rsidR="00504BCE" w:rsidRPr="00504BCE" w14:paraId="5D0D90D3" w14:textId="77777777" w:rsidTr="005C29F8">
        <w:trPr>
          <w:trHeight w:val="870"/>
        </w:trPr>
        <w:tc>
          <w:tcPr>
            <w:tcW w:w="2670" w:type="dxa"/>
            <w:vMerge/>
            <w:hideMark/>
          </w:tcPr>
          <w:p w14:paraId="2EB9D098" w14:textId="77777777" w:rsidR="00504BCE" w:rsidRPr="00004332" w:rsidRDefault="00504BCE" w:rsidP="00004332">
            <w:pPr>
              <w:rPr>
                <w:sz w:val="20"/>
                <w:szCs w:val="20"/>
              </w:rPr>
            </w:pPr>
          </w:p>
        </w:tc>
        <w:tc>
          <w:tcPr>
            <w:tcW w:w="1643" w:type="dxa"/>
            <w:vMerge/>
            <w:hideMark/>
          </w:tcPr>
          <w:p w14:paraId="29842166" w14:textId="77777777" w:rsidR="00504BCE" w:rsidRPr="00004332" w:rsidRDefault="00504BCE" w:rsidP="00004332">
            <w:pPr>
              <w:rPr>
                <w:sz w:val="20"/>
                <w:szCs w:val="20"/>
              </w:rPr>
            </w:pPr>
          </w:p>
        </w:tc>
        <w:tc>
          <w:tcPr>
            <w:tcW w:w="1643" w:type="dxa"/>
            <w:vMerge/>
            <w:hideMark/>
          </w:tcPr>
          <w:p w14:paraId="4D021926" w14:textId="77777777" w:rsidR="00504BCE" w:rsidRPr="00004332" w:rsidRDefault="00504BCE" w:rsidP="00004332">
            <w:pPr>
              <w:rPr>
                <w:sz w:val="20"/>
                <w:szCs w:val="20"/>
              </w:rPr>
            </w:pPr>
          </w:p>
        </w:tc>
        <w:tc>
          <w:tcPr>
            <w:tcW w:w="1643" w:type="dxa"/>
            <w:vMerge/>
            <w:hideMark/>
          </w:tcPr>
          <w:p w14:paraId="648BB180" w14:textId="77777777" w:rsidR="00504BCE" w:rsidRPr="00004332" w:rsidRDefault="00504BCE" w:rsidP="00004332">
            <w:pPr>
              <w:rPr>
                <w:sz w:val="20"/>
                <w:szCs w:val="20"/>
              </w:rPr>
            </w:pPr>
          </w:p>
        </w:tc>
        <w:tc>
          <w:tcPr>
            <w:tcW w:w="1643" w:type="dxa"/>
            <w:vMerge/>
            <w:hideMark/>
          </w:tcPr>
          <w:p w14:paraId="5E256E83" w14:textId="77777777" w:rsidR="00504BCE" w:rsidRPr="00004332" w:rsidRDefault="00504BCE" w:rsidP="00004332">
            <w:pPr>
              <w:rPr>
                <w:sz w:val="20"/>
                <w:szCs w:val="20"/>
              </w:rPr>
            </w:pPr>
          </w:p>
        </w:tc>
      </w:tr>
      <w:tr w:rsidR="00504BCE" w:rsidRPr="00504BCE" w14:paraId="6C7E07E4" w14:textId="77777777" w:rsidTr="005C29F8">
        <w:trPr>
          <w:trHeight w:val="300"/>
        </w:trPr>
        <w:tc>
          <w:tcPr>
            <w:tcW w:w="2670" w:type="dxa"/>
            <w:noWrap/>
            <w:hideMark/>
          </w:tcPr>
          <w:p w14:paraId="339FA7B5" w14:textId="77777777" w:rsidR="00504BCE" w:rsidRPr="00004332" w:rsidRDefault="00504BCE" w:rsidP="007C01F5">
            <w:pPr>
              <w:rPr>
                <w:sz w:val="20"/>
                <w:szCs w:val="20"/>
              </w:rPr>
            </w:pPr>
            <w:r w:rsidRPr="00004332">
              <w:rPr>
                <w:sz w:val="20"/>
                <w:szCs w:val="20"/>
              </w:rPr>
              <w:t>High risk (</w:t>
            </w:r>
            <w:r w:rsidRPr="00004332">
              <w:rPr>
                <w:sz w:val="20"/>
                <w:szCs w:val="20"/>
                <w:u w:val="single"/>
              </w:rPr>
              <w:t>&gt;</w:t>
            </w:r>
            <w:r w:rsidRPr="00004332">
              <w:rPr>
                <w:sz w:val="20"/>
                <w:szCs w:val="20"/>
              </w:rPr>
              <w:t>10%)</w:t>
            </w:r>
          </w:p>
        </w:tc>
        <w:tc>
          <w:tcPr>
            <w:tcW w:w="1643" w:type="dxa"/>
            <w:noWrap/>
            <w:hideMark/>
          </w:tcPr>
          <w:p w14:paraId="0EF1AB1D" w14:textId="77777777" w:rsidR="00504BCE" w:rsidRPr="00004332" w:rsidRDefault="00504BCE" w:rsidP="007C01F5">
            <w:pPr>
              <w:rPr>
                <w:sz w:val="20"/>
                <w:szCs w:val="20"/>
              </w:rPr>
            </w:pPr>
            <w:r w:rsidRPr="00004332">
              <w:rPr>
                <w:sz w:val="20"/>
                <w:szCs w:val="20"/>
              </w:rPr>
              <w:t> </w:t>
            </w:r>
          </w:p>
        </w:tc>
        <w:tc>
          <w:tcPr>
            <w:tcW w:w="1643" w:type="dxa"/>
            <w:noWrap/>
            <w:hideMark/>
          </w:tcPr>
          <w:p w14:paraId="683E41A3" w14:textId="77777777" w:rsidR="00504BCE" w:rsidRPr="00004332" w:rsidRDefault="00504BCE" w:rsidP="00FD2A11">
            <w:pPr>
              <w:rPr>
                <w:sz w:val="20"/>
                <w:szCs w:val="20"/>
              </w:rPr>
            </w:pPr>
            <w:r w:rsidRPr="00004332">
              <w:rPr>
                <w:sz w:val="20"/>
                <w:szCs w:val="20"/>
              </w:rPr>
              <w:t> </w:t>
            </w:r>
          </w:p>
        </w:tc>
        <w:tc>
          <w:tcPr>
            <w:tcW w:w="1643" w:type="dxa"/>
            <w:noWrap/>
            <w:hideMark/>
          </w:tcPr>
          <w:p w14:paraId="3768FCB5" w14:textId="77777777" w:rsidR="00504BCE" w:rsidRPr="00004332" w:rsidRDefault="00504BCE" w:rsidP="00004332">
            <w:pPr>
              <w:rPr>
                <w:sz w:val="20"/>
                <w:szCs w:val="20"/>
              </w:rPr>
            </w:pPr>
            <w:r w:rsidRPr="00004332">
              <w:rPr>
                <w:sz w:val="20"/>
                <w:szCs w:val="20"/>
              </w:rPr>
              <w:t> </w:t>
            </w:r>
          </w:p>
        </w:tc>
        <w:tc>
          <w:tcPr>
            <w:tcW w:w="1643" w:type="dxa"/>
            <w:noWrap/>
            <w:hideMark/>
          </w:tcPr>
          <w:p w14:paraId="51B37435" w14:textId="77777777" w:rsidR="00504BCE" w:rsidRPr="00004332" w:rsidRDefault="00504BCE" w:rsidP="00004332">
            <w:pPr>
              <w:rPr>
                <w:sz w:val="20"/>
                <w:szCs w:val="20"/>
              </w:rPr>
            </w:pPr>
            <w:r w:rsidRPr="00004332">
              <w:rPr>
                <w:sz w:val="20"/>
                <w:szCs w:val="20"/>
              </w:rPr>
              <w:t> </w:t>
            </w:r>
          </w:p>
        </w:tc>
      </w:tr>
      <w:tr w:rsidR="00504BCE" w:rsidRPr="00504BCE" w14:paraId="18502C16" w14:textId="77777777" w:rsidTr="000A6F37">
        <w:trPr>
          <w:trHeight w:val="300"/>
        </w:trPr>
        <w:tc>
          <w:tcPr>
            <w:tcW w:w="2670" w:type="dxa"/>
            <w:noWrap/>
            <w:hideMark/>
          </w:tcPr>
          <w:p w14:paraId="3A01B296" w14:textId="6D492D9A" w:rsidR="00504BCE" w:rsidRPr="00B83E27" w:rsidRDefault="00B83E27" w:rsidP="007C01F5">
            <w:pPr>
              <w:rPr>
                <w:iCs/>
                <w:sz w:val="20"/>
                <w:szCs w:val="20"/>
              </w:rPr>
            </w:pPr>
            <w:r>
              <w:rPr>
                <w:iCs/>
                <w:sz w:val="20"/>
                <w:szCs w:val="20"/>
              </w:rPr>
              <w:t xml:space="preserve">  </w:t>
            </w:r>
            <w:r w:rsidR="00504BCE" w:rsidRPr="00B83E27">
              <w:rPr>
                <w:iCs/>
                <w:sz w:val="20"/>
                <w:szCs w:val="20"/>
              </w:rPr>
              <w:t xml:space="preserve">Total </w:t>
            </w:r>
          </w:p>
        </w:tc>
        <w:tc>
          <w:tcPr>
            <w:tcW w:w="1643" w:type="dxa"/>
            <w:noWrap/>
          </w:tcPr>
          <w:p w14:paraId="6E2CE899" w14:textId="3FA47D56" w:rsidR="00504BCE" w:rsidRPr="00004332" w:rsidRDefault="000A6F37" w:rsidP="007C01F5">
            <w:pPr>
              <w:rPr>
                <w:sz w:val="20"/>
                <w:szCs w:val="20"/>
              </w:rPr>
            </w:pPr>
            <w:r>
              <w:rPr>
                <w:sz w:val="20"/>
                <w:szCs w:val="20"/>
              </w:rPr>
              <w:t>268</w:t>
            </w:r>
          </w:p>
        </w:tc>
        <w:tc>
          <w:tcPr>
            <w:tcW w:w="1643" w:type="dxa"/>
            <w:noWrap/>
          </w:tcPr>
          <w:p w14:paraId="4BE43A0E" w14:textId="24691B12" w:rsidR="00504BCE" w:rsidRPr="00004332" w:rsidRDefault="000A6F37" w:rsidP="00FD2A11">
            <w:pPr>
              <w:rPr>
                <w:sz w:val="20"/>
                <w:szCs w:val="20"/>
              </w:rPr>
            </w:pPr>
            <w:r>
              <w:rPr>
                <w:sz w:val="20"/>
                <w:szCs w:val="20"/>
              </w:rPr>
              <w:t>241</w:t>
            </w:r>
          </w:p>
        </w:tc>
        <w:tc>
          <w:tcPr>
            <w:tcW w:w="1643" w:type="dxa"/>
            <w:noWrap/>
          </w:tcPr>
          <w:p w14:paraId="0D940A53" w14:textId="6F40384F" w:rsidR="00504BCE" w:rsidRPr="00004332" w:rsidRDefault="000A6F37" w:rsidP="00004332">
            <w:pPr>
              <w:rPr>
                <w:sz w:val="20"/>
                <w:szCs w:val="20"/>
              </w:rPr>
            </w:pPr>
            <w:r>
              <w:rPr>
                <w:sz w:val="20"/>
                <w:szCs w:val="20"/>
              </w:rPr>
              <w:t>222</w:t>
            </w:r>
          </w:p>
        </w:tc>
        <w:tc>
          <w:tcPr>
            <w:tcW w:w="1643" w:type="dxa"/>
            <w:noWrap/>
          </w:tcPr>
          <w:p w14:paraId="035CC076" w14:textId="0DBD2670" w:rsidR="00504BCE" w:rsidRPr="00004332" w:rsidRDefault="000A6F37" w:rsidP="00004332">
            <w:pPr>
              <w:rPr>
                <w:sz w:val="20"/>
                <w:szCs w:val="20"/>
              </w:rPr>
            </w:pPr>
            <w:r>
              <w:rPr>
                <w:sz w:val="20"/>
                <w:szCs w:val="20"/>
              </w:rPr>
              <w:t>326</w:t>
            </w:r>
          </w:p>
        </w:tc>
      </w:tr>
      <w:tr w:rsidR="00504BCE" w:rsidRPr="00504BCE" w14:paraId="1FCF76EC" w14:textId="77777777" w:rsidTr="000A6F37">
        <w:trPr>
          <w:trHeight w:val="300"/>
        </w:trPr>
        <w:tc>
          <w:tcPr>
            <w:tcW w:w="2670" w:type="dxa"/>
            <w:noWrap/>
            <w:hideMark/>
          </w:tcPr>
          <w:p w14:paraId="56B80AD4" w14:textId="2B67546C" w:rsidR="00504BCE" w:rsidRPr="00B83E27" w:rsidRDefault="00B83E27" w:rsidP="007C01F5">
            <w:pPr>
              <w:rPr>
                <w:iCs/>
                <w:sz w:val="20"/>
                <w:szCs w:val="20"/>
              </w:rPr>
            </w:pPr>
            <w:r>
              <w:rPr>
                <w:iCs/>
                <w:sz w:val="20"/>
                <w:szCs w:val="20"/>
              </w:rPr>
              <w:t xml:space="preserve">  </w:t>
            </w:r>
            <w:r w:rsidR="00504BCE" w:rsidRPr="00B83E27">
              <w:rPr>
                <w:iCs/>
                <w:sz w:val="20"/>
                <w:szCs w:val="20"/>
              </w:rPr>
              <w:t>Currently prescribed statins</w:t>
            </w:r>
          </w:p>
        </w:tc>
        <w:tc>
          <w:tcPr>
            <w:tcW w:w="1643" w:type="dxa"/>
            <w:noWrap/>
          </w:tcPr>
          <w:p w14:paraId="6D8441C0" w14:textId="2C78545B" w:rsidR="00504BCE" w:rsidRPr="00004332" w:rsidRDefault="000A6F37" w:rsidP="007C01F5">
            <w:pPr>
              <w:rPr>
                <w:sz w:val="20"/>
                <w:szCs w:val="20"/>
              </w:rPr>
            </w:pPr>
            <w:r>
              <w:rPr>
                <w:sz w:val="20"/>
                <w:szCs w:val="20"/>
              </w:rPr>
              <w:t>58</w:t>
            </w:r>
          </w:p>
        </w:tc>
        <w:tc>
          <w:tcPr>
            <w:tcW w:w="1643" w:type="dxa"/>
            <w:noWrap/>
          </w:tcPr>
          <w:p w14:paraId="05DB61AF" w14:textId="1F48ED58" w:rsidR="00504BCE" w:rsidRPr="00004332" w:rsidRDefault="000A6F37" w:rsidP="00FD2A11">
            <w:pPr>
              <w:rPr>
                <w:sz w:val="20"/>
                <w:szCs w:val="20"/>
              </w:rPr>
            </w:pPr>
            <w:r>
              <w:rPr>
                <w:sz w:val="20"/>
                <w:szCs w:val="20"/>
              </w:rPr>
              <w:t>59</w:t>
            </w:r>
          </w:p>
        </w:tc>
        <w:tc>
          <w:tcPr>
            <w:tcW w:w="1643" w:type="dxa"/>
            <w:noWrap/>
          </w:tcPr>
          <w:p w14:paraId="4C3F1E83" w14:textId="4BC60AFB" w:rsidR="00504BCE" w:rsidRPr="00004332" w:rsidRDefault="000A6F37" w:rsidP="00004332">
            <w:pPr>
              <w:rPr>
                <w:sz w:val="20"/>
                <w:szCs w:val="20"/>
              </w:rPr>
            </w:pPr>
            <w:r>
              <w:rPr>
                <w:sz w:val="20"/>
                <w:szCs w:val="20"/>
              </w:rPr>
              <w:t>47</w:t>
            </w:r>
          </w:p>
        </w:tc>
        <w:tc>
          <w:tcPr>
            <w:tcW w:w="1643" w:type="dxa"/>
            <w:noWrap/>
          </w:tcPr>
          <w:p w14:paraId="2C825A50" w14:textId="07A01A00" w:rsidR="00504BCE" w:rsidRPr="00004332" w:rsidRDefault="000A6F37" w:rsidP="00004332">
            <w:pPr>
              <w:rPr>
                <w:sz w:val="20"/>
                <w:szCs w:val="20"/>
              </w:rPr>
            </w:pPr>
            <w:r>
              <w:rPr>
                <w:sz w:val="20"/>
                <w:szCs w:val="20"/>
              </w:rPr>
              <w:t xml:space="preserve">71 </w:t>
            </w:r>
          </w:p>
        </w:tc>
      </w:tr>
      <w:tr w:rsidR="00504BCE" w:rsidRPr="00504BCE" w14:paraId="3A2E41F0" w14:textId="77777777" w:rsidTr="000A6F37">
        <w:trPr>
          <w:trHeight w:val="300"/>
        </w:trPr>
        <w:tc>
          <w:tcPr>
            <w:tcW w:w="2670" w:type="dxa"/>
            <w:noWrap/>
            <w:hideMark/>
          </w:tcPr>
          <w:p w14:paraId="7511F6A0" w14:textId="3E1D550F" w:rsidR="00504BCE" w:rsidRPr="00B83E27" w:rsidRDefault="00B83E27" w:rsidP="00B83E27">
            <w:pPr>
              <w:rPr>
                <w:iCs/>
                <w:sz w:val="20"/>
                <w:szCs w:val="20"/>
              </w:rPr>
            </w:pPr>
            <w:r>
              <w:rPr>
                <w:iCs/>
                <w:sz w:val="20"/>
                <w:szCs w:val="20"/>
              </w:rPr>
              <w:t xml:space="preserve">  Not curren</w:t>
            </w:r>
            <w:bookmarkStart w:id="0" w:name="_GoBack"/>
            <w:bookmarkEnd w:id="0"/>
            <w:r>
              <w:rPr>
                <w:iCs/>
                <w:sz w:val="20"/>
                <w:szCs w:val="20"/>
              </w:rPr>
              <w:t xml:space="preserve">tly prescribed </w:t>
            </w:r>
            <w:r w:rsidR="00BC2C05" w:rsidRPr="00B83E27">
              <w:rPr>
                <w:iCs/>
                <w:sz w:val="20"/>
                <w:szCs w:val="20"/>
              </w:rPr>
              <w:t>statins</w:t>
            </w:r>
          </w:p>
        </w:tc>
        <w:tc>
          <w:tcPr>
            <w:tcW w:w="1643" w:type="dxa"/>
            <w:noWrap/>
          </w:tcPr>
          <w:p w14:paraId="4D2F4F7C" w14:textId="24122B2C" w:rsidR="00504BCE" w:rsidRPr="00004332" w:rsidRDefault="000A6F37" w:rsidP="007C01F5">
            <w:pPr>
              <w:rPr>
                <w:sz w:val="20"/>
                <w:szCs w:val="20"/>
              </w:rPr>
            </w:pPr>
            <w:r>
              <w:rPr>
                <w:sz w:val="20"/>
                <w:szCs w:val="20"/>
              </w:rPr>
              <w:t>210</w:t>
            </w:r>
          </w:p>
        </w:tc>
        <w:tc>
          <w:tcPr>
            <w:tcW w:w="1643" w:type="dxa"/>
            <w:noWrap/>
          </w:tcPr>
          <w:p w14:paraId="2B092F86" w14:textId="680F0129" w:rsidR="00504BCE" w:rsidRPr="00004332" w:rsidRDefault="000A6F37" w:rsidP="00FD2A11">
            <w:pPr>
              <w:rPr>
                <w:sz w:val="20"/>
                <w:szCs w:val="20"/>
              </w:rPr>
            </w:pPr>
            <w:r>
              <w:rPr>
                <w:sz w:val="20"/>
                <w:szCs w:val="20"/>
              </w:rPr>
              <w:t>182</w:t>
            </w:r>
          </w:p>
        </w:tc>
        <w:tc>
          <w:tcPr>
            <w:tcW w:w="1643" w:type="dxa"/>
            <w:noWrap/>
          </w:tcPr>
          <w:p w14:paraId="1A70FB9A" w14:textId="22AC7B5B" w:rsidR="00504BCE" w:rsidRPr="00004332" w:rsidRDefault="000A6F37" w:rsidP="00004332">
            <w:pPr>
              <w:rPr>
                <w:sz w:val="20"/>
                <w:szCs w:val="20"/>
              </w:rPr>
            </w:pPr>
            <w:r>
              <w:rPr>
                <w:sz w:val="20"/>
                <w:szCs w:val="20"/>
              </w:rPr>
              <w:t>175</w:t>
            </w:r>
          </w:p>
        </w:tc>
        <w:tc>
          <w:tcPr>
            <w:tcW w:w="1643" w:type="dxa"/>
            <w:noWrap/>
          </w:tcPr>
          <w:p w14:paraId="7B710734" w14:textId="4E051665" w:rsidR="00504BCE" w:rsidRPr="00004332" w:rsidRDefault="000A6F37" w:rsidP="00004332">
            <w:pPr>
              <w:rPr>
                <w:sz w:val="20"/>
                <w:szCs w:val="20"/>
              </w:rPr>
            </w:pPr>
            <w:r>
              <w:rPr>
                <w:sz w:val="20"/>
                <w:szCs w:val="20"/>
              </w:rPr>
              <w:t>255</w:t>
            </w:r>
          </w:p>
        </w:tc>
      </w:tr>
      <w:tr w:rsidR="00504BCE" w:rsidRPr="00504BCE" w14:paraId="05F7070B" w14:textId="77777777" w:rsidTr="000A6F37">
        <w:trPr>
          <w:trHeight w:val="300"/>
        </w:trPr>
        <w:tc>
          <w:tcPr>
            <w:tcW w:w="2670" w:type="dxa"/>
            <w:noWrap/>
            <w:hideMark/>
          </w:tcPr>
          <w:p w14:paraId="1BA46B2F" w14:textId="77777777" w:rsidR="00504BCE" w:rsidRPr="00004332" w:rsidRDefault="00504BCE" w:rsidP="007C01F5">
            <w:pPr>
              <w:rPr>
                <w:sz w:val="20"/>
                <w:szCs w:val="20"/>
              </w:rPr>
            </w:pPr>
            <w:r w:rsidRPr="00004332">
              <w:rPr>
                <w:sz w:val="20"/>
                <w:szCs w:val="20"/>
              </w:rPr>
              <w:t> </w:t>
            </w:r>
          </w:p>
        </w:tc>
        <w:tc>
          <w:tcPr>
            <w:tcW w:w="1643" w:type="dxa"/>
            <w:noWrap/>
          </w:tcPr>
          <w:p w14:paraId="0DB09922" w14:textId="3438ED58" w:rsidR="00504BCE" w:rsidRPr="00004332" w:rsidRDefault="00504BCE" w:rsidP="007C01F5">
            <w:pPr>
              <w:rPr>
                <w:sz w:val="20"/>
                <w:szCs w:val="20"/>
              </w:rPr>
            </w:pPr>
          </w:p>
        </w:tc>
        <w:tc>
          <w:tcPr>
            <w:tcW w:w="1643" w:type="dxa"/>
            <w:noWrap/>
          </w:tcPr>
          <w:p w14:paraId="4AEF6386" w14:textId="06F61BD8" w:rsidR="00504BCE" w:rsidRPr="00004332" w:rsidRDefault="00504BCE" w:rsidP="00FD2A11">
            <w:pPr>
              <w:rPr>
                <w:sz w:val="20"/>
                <w:szCs w:val="20"/>
              </w:rPr>
            </w:pPr>
          </w:p>
        </w:tc>
        <w:tc>
          <w:tcPr>
            <w:tcW w:w="1643" w:type="dxa"/>
            <w:noWrap/>
          </w:tcPr>
          <w:p w14:paraId="5CC9F208" w14:textId="2A96DCE6" w:rsidR="00504BCE" w:rsidRPr="00004332" w:rsidRDefault="00504BCE" w:rsidP="00004332">
            <w:pPr>
              <w:rPr>
                <w:sz w:val="20"/>
                <w:szCs w:val="20"/>
              </w:rPr>
            </w:pPr>
          </w:p>
        </w:tc>
        <w:tc>
          <w:tcPr>
            <w:tcW w:w="1643" w:type="dxa"/>
            <w:noWrap/>
          </w:tcPr>
          <w:p w14:paraId="4A56FB64" w14:textId="78A53C91" w:rsidR="00504BCE" w:rsidRPr="00004332" w:rsidRDefault="00504BCE" w:rsidP="00004332">
            <w:pPr>
              <w:rPr>
                <w:sz w:val="20"/>
                <w:szCs w:val="20"/>
              </w:rPr>
            </w:pPr>
          </w:p>
        </w:tc>
      </w:tr>
      <w:tr w:rsidR="00504BCE" w:rsidRPr="00504BCE" w14:paraId="6D833D4E" w14:textId="77777777" w:rsidTr="000A6F37">
        <w:trPr>
          <w:trHeight w:val="300"/>
        </w:trPr>
        <w:tc>
          <w:tcPr>
            <w:tcW w:w="2670" w:type="dxa"/>
            <w:noWrap/>
            <w:hideMark/>
          </w:tcPr>
          <w:p w14:paraId="70D5F10F" w14:textId="77777777" w:rsidR="00504BCE" w:rsidRPr="00004332" w:rsidRDefault="00504BCE" w:rsidP="007C01F5">
            <w:pPr>
              <w:rPr>
                <w:sz w:val="20"/>
                <w:szCs w:val="20"/>
              </w:rPr>
            </w:pPr>
            <w:r w:rsidRPr="00004332">
              <w:rPr>
                <w:sz w:val="20"/>
                <w:szCs w:val="20"/>
              </w:rPr>
              <w:t>Low risk (&lt;10%)</w:t>
            </w:r>
          </w:p>
        </w:tc>
        <w:tc>
          <w:tcPr>
            <w:tcW w:w="1643" w:type="dxa"/>
            <w:noWrap/>
          </w:tcPr>
          <w:p w14:paraId="5A8DB1E7" w14:textId="76117EC8" w:rsidR="00504BCE" w:rsidRPr="00004332" w:rsidRDefault="00504BCE" w:rsidP="007C01F5">
            <w:pPr>
              <w:rPr>
                <w:sz w:val="20"/>
                <w:szCs w:val="20"/>
              </w:rPr>
            </w:pPr>
          </w:p>
        </w:tc>
        <w:tc>
          <w:tcPr>
            <w:tcW w:w="1643" w:type="dxa"/>
            <w:noWrap/>
          </w:tcPr>
          <w:p w14:paraId="08EEC283" w14:textId="1839C574" w:rsidR="00504BCE" w:rsidRPr="00004332" w:rsidRDefault="00504BCE" w:rsidP="00FD2A11">
            <w:pPr>
              <w:rPr>
                <w:sz w:val="20"/>
                <w:szCs w:val="20"/>
              </w:rPr>
            </w:pPr>
          </w:p>
        </w:tc>
        <w:tc>
          <w:tcPr>
            <w:tcW w:w="1643" w:type="dxa"/>
            <w:noWrap/>
          </w:tcPr>
          <w:p w14:paraId="4AA8DC07" w14:textId="7B58C449" w:rsidR="00504BCE" w:rsidRPr="00004332" w:rsidRDefault="00504BCE" w:rsidP="00004332">
            <w:pPr>
              <w:rPr>
                <w:sz w:val="20"/>
                <w:szCs w:val="20"/>
              </w:rPr>
            </w:pPr>
          </w:p>
        </w:tc>
        <w:tc>
          <w:tcPr>
            <w:tcW w:w="1643" w:type="dxa"/>
            <w:noWrap/>
          </w:tcPr>
          <w:p w14:paraId="4B0DDA79" w14:textId="176F19DC" w:rsidR="00504BCE" w:rsidRPr="00004332" w:rsidRDefault="00504BCE" w:rsidP="00004332">
            <w:pPr>
              <w:rPr>
                <w:sz w:val="20"/>
                <w:szCs w:val="20"/>
              </w:rPr>
            </w:pPr>
          </w:p>
        </w:tc>
      </w:tr>
      <w:tr w:rsidR="00504BCE" w:rsidRPr="00504BCE" w14:paraId="5A3F5861" w14:textId="77777777" w:rsidTr="000A6F37">
        <w:trPr>
          <w:trHeight w:val="300"/>
        </w:trPr>
        <w:tc>
          <w:tcPr>
            <w:tcW w:w="2670" w:type="dxa"/>
            <w:noWrap/>
            <w:hideMark/>
          </w:tcPr>
          <w:p w14:paraId="5ED3C202" w14:textId="74F16F56" w:rsidR="00504BCE" w:rsidRPr="00B83E27" w:rsidRDefault="00B83E27" w:rsidP="007C01F5">
            <w:pPr>
              <w:rPr>
                <w:iCs/>
                <w:sz w:val="20"/>
                <w:szCs w:val="20"/>
              </w:rPr>
            </w:pPr>
            <w:r>
              <w:rPr>
                <w:iCs/>
                <w:sz w:val="20"/>
                <w:szCs w:val="20"/>
              </w:rPr>
              <w:t xml:space="preserve">  </w:t>
            </w:r>
            <w:r w:rsidR="00504BCE" w:rsidRPr="00B83E27">
              <w:rPr>
                <w:iCs/>
                <w:sz w:val="20"/>
                <w:szCs w:val="20"/>
              </w:rPr>
              <w:t>Total</w:t>
            </w:r>
          </w:p>
        </w:tc>
        <w:tc>
          <w:tcPr>
            <w:tcW w:w="1643" w:type="dxa"/>
            <w:noWrap/>
          </w:tcPr>
          <w:p w14:paraId="7CC6BD7C" w14:textId="1C3FD1C9" w:rsidR="00504BCE" w:rsidRPr="00004332" w:rsidRDefault="000A6F37" w:rsidP="007C01F5">
            <w:pPr>
              <w:rPr>
                <w:sz w:val="20"/>
                <w:szCs w:val="20"/>
              </w:rPr>
            </w:pPr>
            <w:r>
              <w:rPr>
                <w:sz w:val="20"/>
                <w:szCs w:val="20"/>
              </w:rPr>
              <w:t>732</w:t>
            </w:r>
          </w:p>
        </w:tc>
        <w:tc>
          <w:tcPr>
            <w:tcW w:w="1643" w:type="dxa"/>
            <w:noWrap/>
          </w:tcPr>
          <w:p w14:paraId="6F603A6D" w14:textId="575FBCB9" w:rsidR="00504BCE" w:rsidRPr="00004332" w:rsidRDefault="000A6F37" w:rsidP="00FD2A11">
            <w:pPr>
              <w:rPr>
                <w:sz w:val="20"/>
                <w:szCs w:val="20"/>
              </w:rPr>
            </w:pPr>
            <w:r>
              <w:rPr>
                <w:sz w:val="20"/>
                <w:szCs w:val="20"/>
              </w:rPr>
              <w:t>759</w:t>
            </w:r>
          </w:p>
        </w:tc>
        <w:tc>
          <w:tcPr>
            <w:tcW w:w="1643" w:type="dxa"/>
            <w:noWrap/>
          </w:tcPr>
          <w:p w14:paraId="59AE5584" w14:textId="0ED7E199" w:rsidR="00504BCE" w:rsidRPr="00004332" w:rsidRDefault="000A6F37" w:rsidP="00004332">
            <w:pPr>
              <w:rPr>
                <w:sz w:val="20"/>
                <w:szCs w:val="20"/>
              </w:rPr>
            </w:pPr>
            <w:r>
              <w:rPr>
                <w:sz w:val="20"/>
                <w:szCs w:val="20"/>
              </w:rPr>
              <w:t>778</w:t>
            </w:r>
          </w:p>
        </w:tc>
        <w:tc>
          <w:tcPr>
            <w:tcW w:w="1643" w:type="dxa"/>
            <w:noWrap/>
          </w:tcPr>
          <w:p w14:paraId="101394C7" w14:textId="0AF65CA3" w:rsidR="00504BCE" w:rsidRPr="00004332" w:rsidRDefault="000A6F37" w:rsidP="00004332">
            <w:pPr>
              <w:rPr>
                <w:sz w:val="20"/>
                <w:szCs w:val="20"/>
              </w:rPr>
            </w:pPr>
            <w:r>
              <w:rPr>
                <w:sz w:val="20"/>
                <w:szCs w:val="20"/>
              </w:rPr>
              <w:t>674</w:t>
            </w:r>
          </w:p>
        </w:tc>
      </w:tr>
      <w:tr w:rsidR="00504BCE" w:rsidRPr="00504BCE" w14:paraId="7818AA9A" w14:textId="77777777" w:rsidTr="000A6F37">
        <w:trPr>
          <w:trHeight w:val="300"/>
        </w:trPr>
        <w:tc>
          <w:tcPr>
            <w:tcW w:w="2670" w:type="dxa"/>
            <w:noWrap/>
            <w:hideMark/>
          </w:tcPr>
          <w:p w14:paraId="4B2E6305" w14:textId="5CE63055" w:rsidR="00504BCE" w:rsidRPr="00B83E27" w:rsidRDefault="00B83E27" w:rsidP="007C01F5">
            <w:pPr>
              <w:rPr>
                <w:iCs/>
                <w:sz w:val="20"/>
                <w:szCs w:val="20"/>
              </w:rPr>
            </w:pPr>
            <w:r>
              <w:rPr>
                <w:iCs/>
                <w:sz w:val="20"/>
                <w:szCs w:val="20"/>
              </w:rPr>
              <w:t xml:space="preserve">  </w:t>
            </w:r>
            <w:r w:rsidR="00504BCE" w:rsidRPr="00B83E27">
              <w:rPr>
                <w:iCs/>
                <w:sz w:val="20"/>
                <w:szCs w:val="20"/>
              </w:rPr>
              <w:t>Currently prescribed statins</w:t>
            </w:r>
          </w:p>
        </w:tc>
        <w:tc>
          <w:tcPr>
            <w:tcW w:w="1643" w:type="dxa"/>
            <w:noWrap/>
          </w:tcPr>
          <w:p w14:paraId="4D99923A" w14:textId="284C9994" w:rsidR="00504BCE" w:rsidRPr="00004332" w:rsidRDefault="000A6F37" w:rsidP="007C01F5">
            <w:pPr>
              <w:rPr>
                <w:sz w:val="20"/>
                <w:szCs w:val="20"/>
              </w:rPr>
            </w:pPr>
            <w:r>
              <w:rPr>
                <w:sz w:val="20"/>
                <w:szCs w:val="20"/>
              </w:rPr>
              <w:t>39</w:t>
            </w:r>
          </w:p>
        </w:tc>
        <w:tc>
          <w:tcPr>
            <w:tcW w:w="1643" w:type="dxa"/>
            <w:noWrap/>
          </w:tcPr>
          <w:p w14:paraId="178BABFD" w14:textId="1DAC9DBB" w:rsidR="00504BCE" w:rsidRPr="00004332" w:rsidRDefault="000A6F37" w:rsidP="00FD2A11">
            <w:pPr>
              <w:rPr>
                <w:sz w:val="20"/>
                <w:szCs w:val="20"/>
              </w:rPr>
            </w:pPr>
            <w:r>
              <w:rPr>
                <w:sz w:val="20"/>
                <w:szCs w:val="20"/>
              </w:rPr>
              <w:t>38</w:t>
            </w:r>
          </w:p>
        </w:tc>
        <w:tc>
          <w:tcPr>
            <w:tcW w:w="1643" w:type="dxa"/>
            <w:noWrap/>
          </w:tcPr>
          <w:p w14:paraId="6451D87B" w14:textId="022BD60B" w:rsidR="00504BCE" w:rsidRPr="00004332" w:rsidRDefault="000A6F37" w:rsidP="00004332">
            <w:pPr>
              <w:rPr>
                <w:sz w:val="20"/>
                <w:szCs w:val="20"/>
              </w:rPr>
            </w:pPr>
            <w:r>
              <w:rPr>
                <w:sz w:val="20"/>
                <w:szCs w:val="20"/>
              </w:rPr>
              <w:t>50</w:t>
            </w:r>
          </w:p>
        </w:tc>
        <w:tc>
          <w:tcPr>
            <w:tcW w:w="1643" w:type="dxa"/>
            <w:noWrap/>
          </w:tcPr>
          <w:p w14:paraId="32EAE324" w14:textId="66BF25EE" w:rsidR="00504BCE" w:rsidRPr="00004332" w:rsidRDefault="000A6F37" w:rsidP="00004332">
            <w:pPr>
              <w:rPr>
                <w:sz w:val="20"/>
                <w:szCs w:val="20"/>
              </w:rPr>
            </w:pPr>
            <w:r>
              <w:rPr>
                <w:sz w:val="20"/>
                <w:szCs w:val="20"/>
              </w:rPr>
              <w:t>26</w:t>
            </w:r>
          </w:p>
        </w:tc>
      </w:tr>
      <w:tr w:rsidR="00504BCE" w:rsidRPr="00504BCE" w14:paraId="2E891C1D" w14:textId="77777777" w:rsidTr="000A6F37">
        <w:trPr>
          <w:trHeight w:val="300"/>
        </w:trPr>
        <w:tc>
          <w:tcPr>
            <w:tcW w:w="2670" w:type="dxa"/>
            <w:noWrap/>
            <w:hideMark/>
          </w:tcPr>
          <w:p w14:paraId="6555BD92" w14:textId="05D91B1A" w:rsidR="00504BCE" w:rsidRPr="00B83E27" w:rsidRDefault="00B83E27" w:rsidP="007C01F5">
            <w:pPr>
              <w:rPr>
                <w:iCs/>
                <w:sz w:val="20"/>
                <w:szCs w:val="20"/>
              </w:rPr>
            </w:pPr>
            <w:r>
              <w:rPr>
                <w:iCs/>
                <w:sz w:val="20"/>
                <w:szCs w:val="20"/>
              </w:rPr>
              <w:t xml:space="preserve">  </w:t>
            </w:r>
            <w:r w:rsidR="00BC2C05" w:rsidRPr="00B83E27">
              <w:rPr>
                <w:iCs/>
                <w:sz w:val="20"/>
                <w:szCs w:val="20"/>
              </w:rPr>
              <w:t>Not currently prescribed statins</w:t>
            </w:r>
          </w:p>
        </w:tc>
        <w:tc>
          <w:tcPr>
            <w:tcW w:w="1643" w:type="dxa"/>
            <w:noWrap/>
          </w:tcPr>
          <w:p w14:paraId="25566BF9" w14:textId="4E1F15AC" w:rsidR="00504BCE" w:rsidRPr="00004332" w:rsidRDefault="000A6F37" w:rsidP="007C01F5">
            <w:pPr>
              <w:rPr>
                <w:sz w:val="20"/>
                <w:szCs w:val="20"/>
              </w:rPr>
            </w:pPr>
            <w:r>
              <w:rPr>
                <w:sz w:val="20"/>
                <w:szCs w:val="20"/>
              </w:rPr>
              <w:t>693</w:t>
            </w:r>
          </w:p>
        </w:tc>
        <w:tc>
          <w:tcPr>
            <w:tcW w:w="1643" w:type="dxa"/>
            <w:noWrap/>
          </w:tcPr>
          <w:p w14:paraId="7F78F270" w14:textId="198F3BC8" w:rsidR="00504BCE" w:rsidRPr="00004332" w:rsidRDefault="000A6F37" w:rsidP="00FD2A11">
            <w:pPr>
              <w:rPr>
                <w:sz w:val="20"/>
                <w:szCs w:val="20"/>
              </w:rPr>
            </w:pPr>
            <w:r>
              <w:rPr>
                <w:sz w:val="20"/>
                <w:szCs w:val="20"/>
              </w:rPr>
              <w:t>721</w:t>
            </w:r>
          </w:p>
        </w:tc>
        <w:tc>
          <w:tcPr>
            <w:tcW w:w="1643" w:type="dxa"/>
            <w:noWrap/>
          </w:tcPr>
          <w:p w14:paraId="5DF9C1B9" w14:textId="26F52865" w:rsidR="00504BCE" w:rsidRPr="00004332" w:rsidRDefault="000A6F37" w:rsidP="00004332">
            <w:pPr>
              <w:rPr>
                <w:sz w:val="20"/>
                <w:szCs w:val="20"/>
              </w:rPr>
            </w:pPr>
            <w:r>
              <w:rPr>
                <w:sz w:val="20"/>
                <w:szCs w:val="20"/>
              </w:rPr>
              <w:t>728</w:t>
            </w:r>
          </w:p>
        </w:tc>
        <w:tc>
          <w:tcPr>
            <w:tcW w:w="1643" w:type="dxa"/>
            <w:noWrap/>
          </w:tcPr>
          <w:p w14:paraId="5189CCF8" w14:textId="261B8222" w:rsidR="00504BCE" w:rsidRPr="00004332" w:rsidRDefault="000A6F37" w:rsidP="00004332">
            <w:pPr>
              <w:rPr>
                <w:sz w:val="20"/>
                <w:szCs w:val="20"/>
              </w:rPr>
            </w:pPr>
            <w:r>
              <w:rPr>
                <w:sz w:val="20"/>
                <w:szCs w:val="20"/>
              </w:rPr>
              <w:t>648</w:t>
            </w:r>
          </w:p>
        </w:tc>
      </w:tr>
    </w:tbl>
    <w:p w14:paraId="0CAC78D5" w14:textId="70A24E7D" w:rsidR="004B7B3B" w:rsidRDefault="004B7B3B" w:rsidP="00004332">
      <w:pPr>
        <w:spacing w:line="480" w:lineRule="auto"/>
      </w:pPr>
    </w:p>
    <w:p w14:paraId="016C66B0" w14:textId="340472FF" w:rsidR="00AD41B2" w:rsidRDefault="00AD41B2" w:rsidP="00004332">
      <w:pPr>
        <w:spacing w:line="480" w:lineRule="auto"/>
      </w:pPr>
    </w:p>
    <w:p w14:paraId="36AC3220" w14:textId="77777777" w:rsidR="00FC1893" w:rsidRDefault="00FC1893" w:rsidP="00004332">
      <w:pPr>
        <w:spacing w:line="480" w:lineRule="auto"/>
        <w:sectPr w:rsidR="00FC1893">
          <w:footerReference w:type="default" r:id="rId19"/>
          <w:pgSz w:w="11906" w:h="16838"/>
          <w:pgMar w:top="1440" w:right="1440" w:bottom="1440" w:left="1440" w:header="708" w:footer="708" w:gutter="0"/>
          <w:cols w:space="708"/>
          <w:docGrid w:linePitch="360"/>
        </w:sectPr>
      </w:pPr>
    </w:p>
    <w:p w14:paraId="070BB458" w14:textId="1A6CF2EB" w:rsidR="00754929" w:rsidRDefault="00754929" w:rsidP="00221A71">
      <w:pPr>
        <w:spacing w:line="480" w:lineRule="auto"/>
        <w:jc w:val="both"/>
      </w:pPr>
      <w:r w:rsidRPr="00004332">
        <w:rPr>
          <w:b/>
        </w:rPr>
        <w:lastRenderedPageBreak/>
        <w:t xml:space="preserve">Table </w:t>
      </w:r>
      <w:r w:rsidR="00134C01">
        <w:rPr>
          <w:b/>
        </w:rPr>
        <w:t>3</w:t>
      </w:r>
      <w:r w:rsidRPr="00004332">
        <w:rPr>
          <w:b/>
        </w:rPr>
        <w:t>:</w:t>
      </w:r>
      <w:r>
        <w:t xml:space="preserve"> </w:t>
      </w:r>
      <w:r w:rsidR="00AD41B2">
        <w:t xml:space="preserve">Costs, QALYs, NMBs and number of events per 1000 individuals for each CVD algorithm (including no algorithm) when a CVD risk threshold of </w:t>
      </w:r>
      <w:r w:rsidR="00D75DB8">
        <w:t>10%</w:t>
      </w:r>
      <w:r w:rsidR="00820A20">
        <w:t xml:space="preserve"> was employed</w:t>
      </w:r>
      <w:r w:rsidR="00CA598E">
        <w:t>.</w:t>
      </w:r>
    </w:p>
    <w:tbl>
      <w:tblPr>
        <w:tblStyle w:val="TableGrid"/>
        <w:tblW w:w="0" w:type="auto"/>
        <w:tblLook w:val="04A0" w:firstRow="1" w:lastRow="0" w:firstColumn="1" w:lastColumn="0" w:noHBand="0" w:noVBand="1"/>
      </w:tblPr>
      <w:tblGrid>
        <w:gridCol w:w="2019"/>
        <w:gridCol w:w="2385"/>
        <w:gridCol w:w="2386"/>
        <w:gridCol w:w="2386"/>
        <w:gridCol w:w="2386"/>
        <w:gridCol w:w="2386"/>
      </w:tblGrid>
      <w:tr w:rsidR="002031D8" w:rsidRPr="002031D8" w14:paraId="0BBFA28A" w14:textId="77777777" w:rsidTr="00646277">
        <w:trPr>
          <w:trHeight w:val="300"/>
        </w:trPr>
        <w:tc>
          <w:tcPr>
            <w:tcW w:w="2019" w:type="dxa"/>
            <w:vMerge w:val="restart"/>
            <w:noWrap/>
            <w:vAlign w:val="bottom"/>
            <w:hideMark/>
          </w:tcPr>
          <w:p w14:paraId="6DBF309F" w14:textId="77777777" w:rsidR="002031D8" w:rsidRPr="00FB4FB3" w:rsidRDefault="002031D8" w:rsidP="00792FD8">
            <w:pPr>
              <w:rPr>
                <w:b/>
                <w:sz w:val="20"/>
                <w:szCs w:val="20"/>
              </w:rPr>
            </w:pPr>
            <w:r w:rsidRPr="00FB4FB3">
              <w:rPr>
                <w:b/>
                <w:sz w:val="20"/>
                <w:szCs w:val="20"/>
              </w:rPr>
              <w:t>Outcomes</w:t>
            </w:r>
          </w:p>
        </w:tc>
        <w:tc>
          <w:tcPr>
            <w:tcW w:w="11929" w:type="dxa"/>
            <w:gridSpan w:val="5"/>
            <w:noWrap/>
            <w:vAlign w:val="bottom"/>
            <w:hideMark/>
          </w:tcPr>
          <w:p w14:paraId="5AB924A5" w14:textId="77777777" w:rsidR="002031D8" w:rsidRPr="00FB4FB3" w:rsidRDefault="002031D8" w:rsidP="00792FD8">
            <w:pPr>
              <w:jc w:val="center"/>
              <w:rPr>
                <w:b/>
                <w:sz w:val="20"/>
                <w:szCs w:val="20"/>
              </w:rPr>
            </w:pPr>
            <w:r w:rsidRPr="00FB4FB3">
              <w:rPr>
                <w:b/>
                <w:sz w:val="20"/>
                <w:szCs w:val="20"/>
              </w:rPr>
              <w:t>Algorithm</w:t>
            </w:r>
          </w:p>
        </w:tc>
      </w:tr>
      <w:tr w:rsidR="002031D8" w:rsidRPr="002031D8" w14:paraId="5B266032" w14:textId="77777777" w:rsidTr="00646277">
        <w:trPr>
          <w:trHeight w:val="537"/>
        </w:trPr>
        <w:tc>
          <w:tcPr>
            <w:tcW w:w="2019" w:type="dxa"/>
            <w:vMerge/>
            <w:vAlign w:val="bottom"/>
            <w:hideMark/>
          </w:tcPr>
          <w:p w14:paraId="51CB3E61" w14:textId="77777777" w:rsidR="002031D8" w:rsidRPr="00FB4FB3" w:rsidRDefault="002031D8" w:rsidP="00792FD8">
            <w:pPr>
              <w:rPr>
                <w:b/>
                <w:sz w:val="20"/>
                <w:szCs w:val="20"/>
              </w:rPr>
            </w:pPr>
          </w:p>
        </w:tc>
        <w:tc>
          <w:tcPr>
            <w:tcW w:w="2385" w:type="dxa"/>
            <w:vMerge w:val="restart"/>
            <w:vAlign w:val="bottom"/>
            <w:hideMark/>
          </w:tcPr>
          <w:p w14:paraId="7D24FC8E" w14:textId="7AFF13AD" w:rsidR="002031D8" w:rsidRPr="00FB4FB3" w:rsidRDefault="00A220A6" w:rsidP="00E07BB0">
            <w:pPr>
              <w:rPr>
                <w:b/>
                <w:sz w:val="20"/>
                <w:szCs w:val="20"/>
              </w:rPr>
            </w:pPr>
            <w:r>
              <w:rPr>
                <w:b/>
                <w:sz w:val="20"/>
                <w:szCs w:val="20"/>
              </w:rPr>
              <w:t>General</w:t>
            </w:r>
            <w:r w:rsidR="002031D8" w:rsidRPr="00FB4FB3">
              <w:rPr>
                <w:b/>
                <w:sz w:val="20"/>
                <w:szCs w:val="20"/>
              </w:rPr>
              <w:t xml:space="preserve"> lipid algorithm</w:t>
            </w:r>
          </w:p>
        </w:tc>
        <w:tc>
          <w:tcPr>
            <w:tcW w:w="2386" w:type="dxa"/>
            <w:vMerge w:val="restart"/>
            <w:vAlign w:val="bottom"/>
            <w:hideMark/>
          </w:tcPr>
          <w:p w14:paraId="0EF9D451" w14:textId="4F2C6E37" w:rsidR="002031D8" w:rsidRPr="00FB4FB3" w:rsidRDefault="00A220A6" w:rsidP="00792FD8">
            <w:pPr>
              <w:rPr>
                <w:b/>
                <w:sz w:val="20"/>
                <w:szCs w:val="20"/>
              </w:rPr>
            </w:pPr>
            <w:r>
              <w:rPr>
                <w:b/>
                <w:sz w:val="20"/>
                <w:szCs w:val="20"/>
              </w:rPr>
              <w:t>SMI-specific</w:t>
            </w:r>
            <w:r w:rsidRPr="00FB4FB3">
              <w:rPr>
                <w:b/>
                <w:sz w:val="20"/>
                <w:szCs w:val="20"/>
              </w:rPr>
              <w:t xml:space="preserve"> </w:t>
            </w:r>
            <w:r w:rsidR="002031D8" w:rsidRPr="00FB4FB3">
              <w:rPr>
                <w:b/>
                <w:sz w:val="20"/>
                <w:szCs w:val="20"/>
              </w:rPr>
              <w:t>lipid algorithm</w:t>
            </w:r>
          </w:p>
        </w:tc>
        <w:tc>
          <w:tcPr>
            <w:tcW w:w="2386" w:type="dxa"/>
            <w:vMerge w:val="restart"/>
            <w:vAlign w:val="bottom"/>
            <w:hideMark/>
          </w:tcPr>
          <w:p w14:paraId="2152DD27" w14:textId="768D06FF" w:rsidR="002031D8" w:rsidRPr="00FB4FB3" w:rsidRDefault="00A220A6" w:rsidP="00E07BB0">
            <w:pPr>
              <w:rPr>
                <w:b/>
                <w:sz w:val="20"/>
                <w:szCs w:val="20"/>
              </w:rPr>
            </w:pPr>
            <w:r>
              <w:rPr>
                <w:b/>
                <w:sz w:val="20"/>
                <w:szCs w:val="20"/>
              </w:rPr>
              <w:t>General</w:t>
            </w:r>
            <w:r w:rsidR="002031D8" w:rsidRPr="00FB4FB3">
              <w:rPr>
                <w:b/>
                <w:sz w:val="20"/>
                <w:szCs w:val="20"/>
              </w:rPr>
              <w:t xml:space="preserve"> BMI algorithm</w:t>
            </w:r>
          </w:p>
        </w:tc>
        <w:tc>
          <w:tcPr>
            <w:tcW w:w="2386" w:type="dxa"/>
            <w:vMerge w:val="restart"/>
            <w:vAlign w:val="bottom"/>
            <w:hideMark/>
          </w:tcPr>
          <w:p w14:paraId="02FADDB7" w14:textId="1B526EBB" w:rsidR="002031D8" w:rsidRPr="00FB4FB3" w:rsidRDefault="00A220A6" w:rsidP="00792FD8">
            <w:pPr>
              <w:rPr>
                <w:b/>
                <w:sz w:val="20"/>
                <w:szCs w:val="20"/>
              </w:rPr>
            </w:pPr>
            <w:r>
              <w:rPr>
                <w:b/>
                <w:sz w:val="20"/>
                <w:szCs w:val="20"/>
              </w:rPr>
              <w:t xml:space="preserve">SMI-specific </w:t>
            </w:r>
            <w:r w:rsidR="002031D8" w:rsidRPr="00FB4FB3">
              <w:rPr>
                <w:b/>
                <w:sz w:val="20"/>
                <w:szCs w:val="20"/>
              </w:rPr>
              <w:t>BMI algorithm</w:t>
            </w:r>
          </w:p>
        </w:tc>
        <w:tc>
          <w:tcPr>
            <w:tcW w:w="2386" w:type="dxa"/>
            <w:vMerge w:val="restart"/>
            <w:noWrap/>
            <w:vAlign w:val="bottom"/>
            <w:hideMark/>
          </w:tcPr>
          <w:p w14:paraId="6D185FF6" w14:textId="77777777" w:rsidR="002031D8" w:rsidRPr="00FB4FB3" w:rsidRDefault="002031D8" w:rsidP="00792FD8">
            <w:pPr>
              <w:rPr>
                <w:b/>
                <w:sz w:val="20"/>
                <w:szCs w:val="20"/>
              </w:rPr>
            </w:pPr>
            <w:r w:rsidRPr="00FB4FB3">
              <w:rPr>
                <w:b/>
                <w:sz w:val="20"/>
                <w:szCs w:val="20"/>
              </w:rPr>
              <w:t>No algorithm</w:t>
            </w:r>
          </w:p>
        </w:tc>
      </w:tr>
      <w:tr w:rsidR="002031D8" w:rsidRPr="002031D8" w14:paraId="01AEC63D" w14:textId="77777777" w:rsidTr="00646277">
        <w:trPr>
          <w:trHeight w:val="537"/>
        </w:trPr>
        <w:tc>
          <w:tcPr>
            <w:tcW w:w="2019" w:type="dxa"/>
            <w:vMerge/>
            <w:hideMark/>
          </w:tcPr>
          <w:p w14:paraId="6A454A49" w14:textId="77777777" w:rsidR="002031D8" w:rsidRPr="00004332" w:rsidRDefault="002031D8" w:rsidP="00004332">
            <w:pPr>
              <w:rPr>
                <w:sz w:val="20"/>
                <w:szCs w:val="20"/>
              </w:rPr>
            </w:pPr>
          </w:p>
        </w:tc>
        <w:tc>
          <w:tcPr>
            <w:tcW w:w="2385" w:type="dxa"/>
            <w:vMerge/>
            <w:hideMark/>
          </w:tcPr>
          <w:p w14:paraId="7F3FB07A" w14:textId="77777777" w:rsidR="002031D8" w:rsidRPr="00004332" w:rsidRDefault="002031D8" w:rsidP="00004332">
            <w:pPr>
              <w:rPr>
                <w:sz w:val="20"/>
                <w:szCs w:val="20"/>
              </w:rPr>
            </w:pPr>
          </w:p>
        </w:tc>
        <w:tc>
          <w:tcPr>
            <w:tcW w:w="2386" w:type="dxa"/>
            <w:vMerge/>
            <w:hideMark/>
          </w:tcPr>
          <w:p w14:paraId="49622FFB" w14:textId="77777777" w:rsidR="002031D8" w:rsidRPr="00004332" w:rsidRDefault="002031D8" w:rsidP="00004332">
            <w:pPr>
              <w:rPr>
                <w:sz w:val="20"/>
                <w:szCs w:val="20"/>
              </w:rPr>
            </w:pPr>
          </w:p>
        </w:tc>
        <w:tc>
          <w:tcPr>
            <w:tcW w:w="2386" w:type="dxa"/>
            <w:vMerge/>
            <w:hideMark/>
          </w:tcPr>
          <w:p w14:paraId="56D78D2B" w14:textId="77777777" w:rsidR="002031D8" w:rsidRPr="00004332" w:rsidRDefault="002031D8" w:rsidP="00004332">
            <w:pPr>
              <w:rPr>
                <w:sz w:val="20"/>
                <w:szCs w:val="20"/>
              </w:rPr>
            </w:pPr>
          </w:p>
        </w:tc>
        <w:tc>
          <w:tcPr>
            <w:tcW w:w="2386" w:type="dxa"/>
            <w:vMerge/>
            <w:hideMark/>
          </w:tcPr>
          <w:p w14:paraId="264F946C" w14:textId="77777777" w:rsidR="002031D8" w:rsidRPr="00004332" w:rsidRDefault="002031D8" w:rsidP="00004332">
            <w:pPr>
              <w:rPr>
                <w:sz w:val="20"/>
                <w:szCs w:val="20"/>
              </w:rPr>
            </w:pPr>
          </w:p>
        </w:tc>
        <w:tc>
          <w:tcPr>
            <w:tcW w:w="2386" w:type="dxa"/>
            <w:vMerge/>
            <w:hideMark/>
          </w:tcPr>
          <w:p w14:paraId="55FDB8FE" w14:textId="77777777" w:rsidR="002031D8" w:rsidRPr="00004332" w:rsidRDefault="002031D8" w:rsidP="00004332">
            <w:pPr>
              <w:rPr>
                <w:sz w:val="20"/>
                <w:szCs w:val="20"/>
              </w:rPr>
            </w:pPr>
          </w:p>
        </w:tc>
      </w:tr>
      <w:tr w:rsidR="005C29F8" w:rsidRPr="002031D8" w14:paraId="431E1EA2" w14:textId="77777777" w:rsidTr="00646277">
        <w:trPr>
          <w:trHeight w:val="300"/>
        </w:trPr>
        <w:tc>
          <w:tcPr>
            <w:tcW w:w="2019" w:type="dxa"/>
            <w:tcBorders>
              <w:bottom w:val="single" w:sz="4" w:space="0" w:color="auto"/>
            </w:tcBorders>
            <w:noWrap/>
            <w:hideMark/>
          </w:tcPr>
          <w:p w14:paraId="2BA5A95E" w14:textId="4B3EF0D4" w:rsidR="005C29F8" w:rsidRPr="000E310F" w:rsidRDefault="005C29F8" w:rsidP="007C01F5">
            <w:pPr>
              <w:rPr>
                <w:sz w:val="20"/>
                <w:szCs w:val="20"/>
              </w:rPr>
            </w:pPr>
            <w:r w:rsidRPr="000E310F">
              <w:rPr>
                <w:sz w:val="20"/>
                <w:szCs w:val="20"/>
              </w:rPr>
              <w:t>Costs and QALYs</w:t>
            </w:r>
            <w:r w:rsidR="004B2749" w:rsidRPr="000E310F">
              <w:rPr>
                <w:sz w:val="20"/>
                <w:szCs w:val="20"/>
              </w:rPr>
              <w:t>, mean (95% CI)</w:t>
            </w:r>
          </w:p>
        </w:tc>
        <w:tc>
          <w:tcPr>
            <w:tcW w:w="2385" w:type="dxa"/>
            <w:tcBorders>
              <w:bottom w:val="single" w:sz="4" w:space="0" w:color="auto"/>
            </w:tcBorders>
          </w:tcPr>
          <w:p w14:paraId="0D5F3452" w14:textId="77777777" w:rsidR="005C29F8" w:rsidRPr="00FB4FB3" w:rsidRDefault="005C29F8" w:rsidP="007C01F5">
            <w:pPr>
              <w:rPr>
                <w:b/>
                <w:sz w:val="20"/>
                <w:szCs w:val="20"/>
              </w:rPr>
            </w:pPr>
          </w:p>
        </w:tc>
        <w:tc>
          <w:tcPr>
            <w:tcW w:w="2386" w:type="dxa"/>
            <w:tcBorders>
              <w:bottom w:val="single" w:sz="4" w:space="0" w:color="auto"/>
            </w:tcBorders>
          </w:tcPr>
          <w:p w14:paraId="1866F7F9" w14:textId="77777777" w:rsidR="005C29F8" w:rsidRPr="00FB4FB3" w:rsidRDefault="005C29F8" w:rsidP="007C01F5">
            <w:pPr>
              <w:rPr>
                <w:b/>
                <w:sz w:val="20"/>
                <w:szCs w:val="20"/>
              </w:rPr>
            </w:pPr>
          </w:p>
        </w:tc>
        <w:tc>
          <w:tcPr>
            <w:tcW w:w="2386" w:type="dxa"/>
            <w:tcBorders>
              <w:bottom w:val="single" w:sz="4" w:space="0" w:color="auto"/>
            </w:tcBorders>
          </w:tcPr>
          <w:p w14:paraId="4143B831" w14:textId="77777777" w:rsidR="005C29F8" w:rsidRPr="00FB4FB3" w:rsidRDefault="005C29F8" w:rsidP="007C01F5">
            <w:pPr>
              <w:rPr>
                <w:b/>
                <w:sz w:val="20"/>
                <w:szCs w:val="20"/>
              </w:rPr>
            </w:pPr>
          </w:p>
        </w:tc>
        <w:tc>
          <w:tcPr>
            <w:tcW w:w="2386" w:type="dxa"/>
            <w:tcBorders>
              <w:bottom w:val="single" w:sz="4" w:space="0" w:color="auto"/>
            </w:tcBorders>
          </w:tcPr>
          <w:p w14:paraId="5DFDF422" w14:textId="77777777" w:rsidR="005C29F8" w:rsidRPr="00FB4FB3" w:rsidRDefault="005C29F8" w:rsidP="007C01F5">
            <w:pPr>
              <w:rPr>
                <w:b/>
                <w:sz w:val="20"/>
                <w:szCs w:val="20"/>
              </w:rPr>
            </w:pPr>
          </w:p>
        </w:tc>
        <w:tc>
          <w:tcPr>
            <w:tcW w:w="2386" w:type="dxa"/>
            <w:tcBorders>
              <w:bottom w:val="single" w:sz="4" w:space="0" w:color="auto"/>
            </w:tcBorders>
          </w:tcPr>
          <w:p w14:paraId="28F7BD19" w14:textId="0D7A65F2" w:rsidR="005C29F8" w:rsidRPr="00FB4FB3" w:rsidRDefault="005C29F8" w:rsidP="007C01F5">
            <w:pPr>
              <w:rPr>
                <w:b/>
                <w:sz w:val="20"/>
                <w:szCs w:val="20"/>
              </w:rPr>
            </w:pPr>
          </w:p>
        </w:tc>
      </w:tr>
      <w:tr w:rsidR="000F3F85" w:rsidRPr="002031D8" w14:paraId="7A6F89C5" w14:textId="77777777" w:rsidTr="00A45990">
        <w:trPr>
          <w:trHeight w:val="300"/>
        </w:trPr>
        <w:tc>
          <w:tcPr>
            <w:tcW w:w="2019" w:type="dxa"/>
            <w:vMerge w:val="restart"/>
            <w:noWrap/>
            <w:hideMark/>
          </w:tcPr>
          <w:p w14:paraId="758A0052" w14:textId="5D97E5F5" w:rsidR="000F3F85" w:rsidRPr="00004332" w:rsidRDefault="000F3F85" w:rsidP="000F3F85">
            <w:pPr>
              <w:rPr>
                <w:sz w:val="20"/>
                <w:szCs w:val="20"/>
              </w:rPr>
            </w:pPr>
            <w:r>
              <w:rPr>
                <w:sz w:val="20"/>
                <w:szCs w:val="20"/>
              </w:rPr>
              <w:t xml:space="preserve">  </w:t>
            </w:r>
            <w:r w:rsidRPr="00004332">
              <w:rPr>
                <w:sz w:val="20"/>
                <w:szCs w:val="20"/>
              </w:rPr>
              <w:t>Costs of administering algorithm</w:t>
            </w:r>
          </w:p>
        </w:tc>
        <w:tc>
          <w:tcPr>
            <w:tcW w:w="2385" w:type="dxa"/>
            <w:tcBorders>
              <w:bottom w:val="nil"/>
            </w:tcBorders>
            <w:noWrap/>
          </w:tcPr>
          <w:p w14:paraId="4A3B30F7" w14:textId="1F4372BD" w:rsidR="000F3F85" w:rsidRPr="00004332" w:rsidRDefault="000F3F85" w:rsidP="000F3F85">
            <w:pPr>
              <w:rPr>
                <w:sz w:val="20"/>
                <w:szCs w:val="20"/>
              </w:rPr>
            </w:pPr>
            <w:r>
              <w:rPr>
                <w:sz w:val="20"/>
                <w:szCs w:val="20"/>
              </w:rPr>
              <w:t xml:space="preserve">20,006  </w:t>
            </w:r>
          </w:p>
        </w:tc>
        <w:tc>
          <w:tcPr>
            <w:tcW w:w="2386" w:type="dxa"/>
            <w:tcBorders>
              <w:bottom w:val="nil"/>
            </w:tcBorders>
            <w:noWrap/>
          </w:tcPr>
          <w:p w14:paraId="5BD25237" w14:textId="1769790E" w:rsidR="000F3F85" w:rsidRPr="00004332" w:rsidRDefault="000F3F85" w:rsidP="000F3F85">
            <w:pPr>
              <w:rPr>
                <w:sz w:val="20"/>
                <w:szCs w:val="20"/>
              </w:rPr>
            </w:pPr>
            <w:r>
              <w:rPr>
                <w:sz w:val="20"/>
                <w:szCs w:val="20"/>
              </w:rPr>
              <w:t xml:space="preserve">20,006  </w:t>
            </w:r>
          </w:p>
        </w:tc>
        <w:tc>
          <w:tcPr>
            <w:tcW w:w="2386" w:type="dxa"/>
            <w:tcBorders>
              <w:bottom w:val="nil"/>
            </w:tcBorders>
            <w:noWrap/>
          </w:tcPr>
          <w:p w14:paraId="2EA8E3B2" w14:textId="0809AF00" w:rsidR="000F3F85" w:rsidRPr="00004332" w:rsidRDefault="000F3F85" w:rsidP="000F3F85">
            <w:pPr>
              <w:rPr>
                <w:sz w:val="20"/>
                <w:szCs w:val="20"/>
              </w:rPr>
            </w:pPr>
            <w:r>
              <w:rPr>
                <w:sz w:val="20"/>
                <w:szCs w:val="20"/>
              </w:rPr>
              <w:t>19,010</w:t>
            </w:r>
          </w:p>
        </w:tc>
        <w:tc>
          <w:tcPr>
            <w:tcW w:w="2386" w:type="dxa"/>
            <w:tcBorders>
              <w:bottom w:val="nil"/>
            </w:tcBorders>
            <w:noWrap/>
          </w:tcPr>
          <w:p w14:paraId="2033E3BB" w14:textId="05718B56" w:rsidR="000F3F85" w:rsidRPr="00004332" w:rsidRDefault="000F3F85" w:rsidP="000F3F85">
            <w:pPr>
              <w:rPr>
                <w:sz w:val="20"/>
                <w:szCs w:val="20"/>
              </w:rPr>
            </w:pPr>
            <w:r>
              <w:rPr>
                <w:sz w:val="20"/>
                <w:szCs w:val="20"/>
              </w:rPr>
              <w:t>19,010</w:t>
            </w:r>
          </w:p>
        </w:tc>
        <w:tc>
          <w:tcPr>
            <w:tcW w:w="2386" w:type="dxa"/>
            <w:tcBorders>
              <w:bottom w:val="nil"/>
            </w:tcBorders>
            <w:noWrap/>
            <w:vAlign w:val="bottom"/>
            <w:hideMark/>
          </w:tcPr>
          <w:p w14:paraId="01B43C07" w14:textId="77777777" w:rsidR="000F3F85" w:rsidRPr="00004332" w:rsidRDefault="000F3F85" w:rsidP="000F3F85">
            <w:pPr>
              <w:rPr>
                <w:sz w:val="20"/>
                <w:szCs w:val="20"/>
              </w:rPr>
            </w:pPr>
            <w:r w:rsidRPr="00004332">
              <w:rPr>
                <w:sz w:val="20"/>
                <w:szCs w:val="20"/>
              </w:rPr>
              <w:t>n/a</w:t>
            </w:r>
          </w:p>
        </w:tc>
      </w:tr>
      <w:tr w:rsidR="000F3F85" w:rsidRPr="002031D8" w14:paraId="1C67F30B" w14:textId="77777777" w:rsidTr="00646277">
        <w:trPr>
          <w:trHeight w:val="300"/>
        </w:trPr>
        <w:tc>
          <w:tcPr>
            <w:tcW w:w="2019" w:type="dxa"/>
            <w:vMerge/>
            <w:tcBorders>
              <w:bottom w:val="single" w:sz="4" w:space="0" w:color="auto"/>
            </w:tcBorders>
            <w:noWrap/>
          </w:tcPr>
          <w:p w14:paraId="469754B0" w14:textId="31F7E471" w:rsidR="000F3F85" w:rsidRPr="00004332" w:rsidRDefault="000F3F85" w:rsidP="000F3F85">
            <w:pPr>
              <w:rPr>
                <w:sz w:val="20"/>
                <w:szCs w:val="20"/>
              </w:rPr>
            </w:pPr>
          </w:p>
        </w:tc>
        <w:tc>
          <w:tcPr>
            <w:tcW w:w="2385" w:type="dxa"/>
            <w:tcBorders>
              <w:top w:val="nil"/>
              <w:bottom w:val="single" w:sz="4" w:space="0" w:color="auto"/>
            </w:tcBorders>
            <w:noWrap/>
          </w:tcPr>
          <w:p w14:paraId="3698BB88" w14:textId="6F97551C" w:rsidR="000F3F85" w:rsidRPr="00004332" w:rsidRDefault="000F3F85" w:rsidP="000F3F85">
            <w:pPr>
              <w:rPr>
                <w:sz w:val="20"/>
                <w:szCs w:val="20"/>
              </w:rPr>
            </w:pPr>
            <w:r>
              <w:rPr>
                <w:sz w:val="20"/>
                <w:szCs w:val="20"/>
              </w:rPr>
              <w:t>(19,906 - 20,106)</w:t>
            </w:r>
          </w:p>
        </w:tc>
        <w:tc>
          <w:tcPr>
            <w:tcW w:w="2386" w:type="dxa"/>
            <w:tcBorders>
              <w:top w:val="nil"/>
              <w:bottom w:val="single" w:sz="4" w:space="0" w:color="auto"/>
            </w:tcBorders>
            <w:noWrap/>
          </w:tcPr>
          <w:p w14:paraId="1C5F10D9" w14:textId="4455DCC3" w:rsidR="000F3F85" w:rsidRPr="00004332" w:rsidRDefault="000F3F85" w:rsidP="000F3F85">
            <w:pPr>
              <w:rPr>
                <w:sz w:val="20"/>
                <w:szCs w:val="20"/>
              </w:rPr>
            </w:pPr>
            <w:r>
              <w:rPr>
                <w:sz w:val="20"/>
                <w:szCs w:val="20"/>
              </w:rPr>
              <w:t>(19,906 - 20,106)</w:t>
            </w:r>
          </w:p>
        </w:tc>
        <w:tc>
          <w:tcPr>
            <w:tcW w:w="2386" w:type="dxa"/>
            <w:tcBorders>
              <w:top w:val="nil"/>
              <w:bottom w:val="single" w:sz="4" w:space="0" w:color="auto"/>
            </w:tcBorders>
            <w:noWrap/>
          </w:tcPr>
          <w:p w14:paraId="06161067" w14:textId="556CCB0E" w:rsidR="000F3F85" w:rsidRPr="00004332" w:rsidRDefault="000F3F85" w:rsidP="000F3F85">
            <w:pPr>
              <w:rPr>
                <w:sz w:val="20"/>
                <w:szCs w:val="20"/>
              </w:rPr>
            </w:pPr>
            <w:r>
              <w:rPr>
                <w:sz w:val="20"/>
                <w:szCs w:val="20"/>
              </w:rPr>
              <w:t>(18,935 - 19,085)</w:t>
            </w:r>
          </w:p>
        </w:tc>
        <w:tc>
          <w:tcPr>
            <w:tcW w:w="2386" w:type="dxa"/>
            <w:tcBorders>
              <w:top w:val="nil"/>
              <w:bottom w:val="single" w:sz="4" w:space="0" w:color="auto"/>
            </w:tcBorders>
            <w:noWrap/>
          </w:tcPr>
          <w:p w14:paraId="17800268" w14:textId="6FFB1172" w:rsidR="000F3F85" w:rsidRPr="00004332" w:rsidRDefault="000F3F85" w:rsidP="000F3F85">
            <w:pPr>
              <w:rPr>
                <w:sz w:val="20"/>
                <w:szCs w:val="20"/>
              </w:rPr>
            </w:pPr>
            <w:r>
              <w:rPr>
                <w:sz w:val="20"/>
                <w:szCs w:val="20"/>
              </w:rPr>
              <w:t>(18,935 - 19,085)</w:t>
            </w:r>
          </w:p>
        </w:tc>
        <w:tc>
          <w:tcPr>
            <w:tcW w:w="2386" w:type="dxa"/>
            <w:tcBorders>
              <w:top w:val="nil"/>
              <w:bottom w:val="single" w:sz="4" w:space="0" w:color="auto"/>
            </w:tcBorders>
            <w:noWrap/>
            <w:vAlign w:val="bottom"/>
          </w:tcPr>
          <w:p w14:paraId="24E91218" w14:textId="6F36F7BB" w:rsidR="000F3F85" w:rsidRPr="00004332" w:rsidRDefault="000F3F85" w:rsidP="000F3F85">
            <w:pPr>
              <w:rPr>
                <w:sz w:val="20"/>
                <w:szCs w:val="20"/>
              </w:rPr>
            </w:pPr>
          </w:p>
        </w:tc>
      </w:tr>
      <w:tr w:rsidR="000F3F85" w:rsidRPr="002031D8" w14:paraId="5F31EA7E" w14:textId="77777777" w:rsidTr="00646277">
        <w:trPr>
          <w:trHeight w:val="300"/>
        </w:trPr>
        <w:tc>
          <w:tcPr>
            <w:tcW w:w="2019" w:type="dxa"/>
            <w:noWrap/>
            <w:hideMark/>
          </w:tcPr>
          <w:p w14:paraId="2405315F" w14:textId="275DD600" w:rsidR="000F3F85" w:rsidRPr="00004332" w:rsidRDefault="000F3F85" w:rsidP="000F3F85">
            <w:pPr>
              <w:rPr>
                <w:sz w:val="20"/>
                <w:szCs w:val="20"/>
              </w:rPr>
            </w:pPr>
            <w:r>
              <w:rPr>
                <w:sz w:val="20"/>
                <w:szCs w:val="20"/>
              </w:rPr>
              <w:t xml:space="preserve">  </w:t>
            </w:r>
            <w:r w:rsidRPr="00004332">
              <w:rPr>
                <w:sz w:val="20"/>
                <w:szCs w:val="20"/>
              </w:rPr>
              <w:t>Costs of new statin prescriptions</w:t>
            </w:r>
          </w:p>
        </w:tc>
        <w:tc>
          <w:tcPr>
            <w:tcW w:w="2385" w:type="dxa"/>
            <w:tcBorders>
              <w:bottom w:val="nil"/>
            </w:tcBorders>
            <w:noWrap/>
          </w:tcPr>
          <w:p w14:paraId="431ABEC0" w14:textId="77777777" w:rsidR="000F3F85" w:rsidRDefault="000F3F85" w:rsidP="000F3F85">
            <w:pPr>
              <w:rPr>
                <w:sz w:val="20"/>
                <w:szCs w:val="20"/>
              </w:rPr>
            </w:pPr>
            <w:r>
              <w:rPr>
                <w:sz w:val="20"/>
                <w:szCs w:val="20"/>
              </w:rPr>
              <w:t xml:space="preserve">38,371 </w:t>
            </w:r>
          </w:p>
          <w:p w14:paraId="7643DC01" w14:textId="2F404815" w:rsidR="000F3F85" w:rsidRPr="00004332" w:rsidRDefault="000F3F85" w:rsidP="000F3F85">
            <w:pPr>
              <w:rPr>
                <w:sz w:val="20"/>
                <w:szCs w:val="20"/>
              </w:rPr>
            </w:pPr>
            <w:r>
              <w:rPr>
                <w:sz w:val="20"/>
                <w:szCs w:val="20"/>
              </w:rPr>
              <w:t>(37,849 - 38,892)</w:t>
            </w:r>
          </w:p>
        </w:tc>
        <w:tc>
          <w:tcPr>
            <w:tcW w:w="2386" w:type="dxa"/>
            <w:tcBorders>
              <w:bottom w:val="nil"/>
            </w:tcBorders>
            <w:noWrap/>
          </w:tcPr>
          <w:p w14:paraId="5F9BDEA6" w14:textId="77777777" w:rsidR="000F3F85" w:rsidRDefault="000F3F85" w:rsidP="000F3F85">
            <w:pPr>
              <w:rPr>
                <w:sz w:val="20"/>
                <w:szCs w:val="20"/>
              </w:rPr>
            </w:pPr>
            <w:r>
              <w:rPr>
                <w:sz w:val="20"/>
                <w:szCs w:val="20"/>
              </w:rPr>
              <w:t>33,465</w:t>
            </w:r>
          </w:p>
          <w:p w14:paraId="245C120B" w14:textId="2859B9FF" w:rsidR="000F3F85" w:rsidRPr="00004332" w:rsidRDefault="000F3F85" w:rsidP="000F3F85">
            <w:pPr>
              <w:rPr>
                <w:sz w:val="20"/>
                <w:szCs w:val="20"/>
              </w:rPr>
            </w:pPr>
            <w:r>
              <w:rPr>
                <w:sz w:val="20"/>
                <w:szCs w:val="20"/>
              </w:rPr>
              <w:t>(33,012</w:t>
            </w:r>
            <w:r w:rsidR="00E45DD9">
              <w:rPr>
                <w:sz w:val="20"/>
                <w:szCs w:val="20"/>
              </w:rPr>
              <w:t xml:space="preserve"> </w:t>
            </w:r>
            <w:r>
              <w:rPr>
                <w:sz w:val="20"/>
                <w:szCs w:val="20"/>
              </w:rPr>
              <w:t>- 33,919)</w:t>
            </w:r>
          </w:p>
        </w:tc>
        <w:tc>
          <w:tcPr>
            <w:tcW w:w="2386" w:type="dxa"/>
            <w:tcBorders>
              <w:bottom w:val="nil"/>
            </w:tcBorders>
            <w:noWrap/>
          </w:tcPr>
          <w:p w14:paraId="4C66E10E" w14:textId="77777777" w:rsidR="000F3F85" w:rsidRDefault="000F3F85" w:rsidP="000F3F85">
            <w:pPr>
              <w:rPr>
                <w:sz w:val="20"/>
                <w:szCs w:val="20"/>
              </w:rPr>
            </w:pPr>
            <w:r>
              <w:rPr>
                <w:sz w:val="20"/>
                <w:szCs w:val="20"/>
              </w:rPr>
              <w:t>31,611</w:t>
            </w:r>
          </w:p>
          <w:p w14:paraId="7B2CF740" w14:textId="071F437D" w:rsidR="000F3F85" w:rsidRPr="00004332" w:rsidRDefault="000F3F85" w:rsidP="000F3F85">
            <w:pPr>
              <w:rPr>
                <w:sz w:val="20"/>
                <w:szCs w:val="20"/>
              </w:rPr>
            </w:pPr>
            <w:r>
              <w:rPr>
                <w:sz w:val="20"/>
                <w:szCs w:val="20"/>
              </w:rPr>
              <w:t>(31,183 - 32,040)</w:t>
            </w:r>
          </w:p>
        </w:tc>
        <w:tc>
          <w:tcPr>
            <w:tcW w:w="2386" w:type="dxa"/>
            <w:tcBorders>
              <w:bottom w:val="nil"/>
            </w:tcBorders>
            <w:noWrap/>
          </w:tcPr>
          <w:p w14:paraId="7FAC5DAF" w14:textId="77777777" w:rsidR="000F3F85" w:rsidRDefault="00E45DD9" w:rsidP="000F3F85">
            <w:pPr>
              <w:rPr>
                <w:sz w:val="20"/>
                <w:szCs w:val="20"/>
              </w:rPr>
            </w:pPr>
            <w:r>
              <w:rPr>
                <w:sz w:val="20"/>
                <w:szCs w:val="20"/>
              </w:rPr>
              <w:t>47,152</w:t>
            </w:r>
          </w:p>
          <w:p w14:paraId="0716487E" w14:textId="5474D04D" w:rsidR="00E45DD9" w:rsidRPr="00004332" w:rsidRDefault="00E45DD9" w:rsidP="000F3F85">
            <w:pPr>
              <w:rPr>
                <w:sz w:val="20"/>
                <w:szCs w:val="20"/>
              </w:rPr>
            </w:pPr>
            <w:r>
              <w:rPr>
                <w:sz w:val="20"/>
                <w:szCs w:val="20"/>
              </w:rPr>
              <w:t>(46,510 - 47,794)</w:t>
            </w:r>
          </w:p>
        </w:tc>
        <w:tc>
          <w:tcPr>
            <w:tcW w:w="2386" w:type="dxa"/>
            <w:tcBorders>
              <w:bottom w:val="nil"/>
            </w:tcBorders>
            <w:noWrap/>
            <w:vAlign w:val="bottom"/>
            <w:hideMark/>
          </w:tcPr>
          <w:p w14:paraId="7CE7AF02" w14:textId="1D4FC2A4" w:rsidR="000F3F85" w:rsidRPr="00004332" w:rsidRDefault="000F3F85" w:rsidP="000F3F85">
            <w:pPr>
              <w:rPr>
                <w:sz w:val="20"/>
                <w:szCs w:val="20"/>
              </w:rPr>
            </w:pPr>
            <w:r w:rsidRPr="00004332">
              <w:rPr>
                <w:sz w:val="20"/>
                <w:szCs w:val="20"/>
              </w:rPr>
              <w:t>n/a</w:t>
            </w:r>
          </w:p>
        </w:tc>
      </w:tr>
      <w:tr w:rsidR="000F3F85" w:rsidRPr="002031D8" w14:paraId="79C43C15" w14:textId="77777777" w:rsidTr="00646277">
        <w:trPr>
          <w:trHeight w:val="300"/>
        </w:trPr>
        <w:tc>
          <w:tcPr>
            <w:tcW w:w="2019" w:type="dxa"/>
            <w:vMerge w:val="restart"/>
            <w:noWrap/>
            <w:hideMark/>
          </w:tcPr>
          <w:p w14:paraId="18FDCCE7" w14:textId="55E78A5A" w:rsidR="000F3F85" w:rsidRPr="00004332" w:rsidRDefault="000F3F85" w:rsidP="000F3F85">
            <w:pPr>
              <w:rPr>
                <w:sz w:val="20"/>
                <w:szCs w:val="20"/>
              </w:rPr>
            </w:pPr>
            <w:r>
              <w:rPr>
                <w:sz w:val="20"/>
                <w:szCs w:val="20"/>
              </w:rPr>
              <w:t xml:space="preserve">  </w:t>
            </w:r>
            <w:r w:rsidRPr="00004332">
              <w:rPr>
                <w:sz w:val="20"/>
                <w:szCs w:val="20"/>
              </w:rPr>
              <w:t>Costs of CVD events</w:t>
            </w:r>
          </w:p>
        </w:tc>
        <w:tc>
          <w:tcPr>
            <w:tcW w:w="2385" w:type="dxa"/>
            <w:tcBorders>
              <w:bottom w:val="nil"/>
            </w:tcBorders>
            <w:noWrap/>
          </w:tcPr>
          <w:p w14:paraId="5BAA6753" w14:textId="13D0C2D4" w:rsidR="000F3F85" w:rsidRPr="00004332" w:rsidRDefault="000F3F85" w:rsidP="000F3F85">
            <w:pPr>
              <w:rPr>
                <w:sz w:val="20"/>
                <w:szCs w:val="20"/>
              </w:rPr>
            </w:pPr>
            <w:r>
              <w:rPr>
                <w:sz w:val="20"/>
                <w:szCs w:val="20"/>
              </w:rPr>
              <w:t>1,871,508</w:t>
            </w:r>
          </w:p>
        </w:tc>
        <w:tc>
          <w:tcPr>
            <w:tcW w:w="2386" w:type="dxa"/>
            <w:tcBorders>
              <w:bottom w:val="nil"/>
            </w:tcBorders>
            <w:noWrap/>
          </w:tcPr>
          <w:p w14:paraId="334AB7D7" w14:textId="4C599AF5" w:rsidR="000F3F85" w:rsidRPr="00004332" w:rsidRDefault="000F3F85" w:rsidP="000F3F85">
            <w:pPr>
              <w:rPr>
                <w:sz w:val="20"/>
                <w:szCs w:val="20"/>
              </w:rPr>
            </w:pPr>
            <w:r>
              <w:rPr>
                <w:sz w:val="20"/>
                <w:szCs w:val="20"/>
              </w:rPr>
              <w:t>1,882,462</w:t>
            </w:r>
          </w:p>
        </w:tc>
        <w:tc>
          <w:tcPr>
            <w:tcW w:w="2386" w:type="dxa"/>
            <w:tcBorders>
              <w:bottom w:val="nil"/>
            </w:tcBorders>
            <w:noWrap/>
          </w:tcPr>
          <w:p w14:paraId="547B8108" w14:textId="7A05EAE4" w:rsidR="000F3F85" w:rsidRPr="00004332" w:rsidRDefault="000F3F85" w:rsidP="000F3F85">
            <w:pPr>
              <w:rPr>
                <w:sz w:val="20"/>
                <w:szCs w:val="20"/>
              </w:rPr>
            </w:pPr>
            <w:r>
              <w:rPr>
                <w:sz w:val="20"/>
                <w:szCs w:val="20"/>
              </w:rPr>
              <w:t>1,891,266</w:t>
            </w:r>
          </w:p>
        </w:tc>
        <w:tc>
          <w:tcPr>
            <w:tcW w:w="2386" w:type="dxa"/>
            <w:tcBorders>
              <w:bottom w:val="nil"/>
            </w:tcBorders>
            <w:noWrap/>
          </w:tcPr>
          <w:p w14:paraId="2111E627" w14:textId="2D6E1793" w:rsidR="000F3F85" w:rsidRPr="00004332" w:rsidRDefault="00E45DD9" w:rsidP="000F3F85">
            <w:pPr>
              <w:rPr>
                <w:sz w:val="20"/>
                <w:szCs w:val="20"/>
              </w:rPr>
            </w:pPr>
            <w:r>
              <w:rPr>
                <w:sz w:val="20"/>
                <w:szCs w:val="20"/>
              </w:rPr>
              <w:t>1,855,697</w:t>
            </w:r>
          </w:p>
        </w:tc>
        <w:tc>
          <w:tcPr>
            <w:tcW w:w="2386" w:type="dxa"/>
            <w:tcBorders>
              <w:bottom w:val="nil"/>
            </w:tcBorders>
            <w:noWrap/>
          </w:tcPr>
          <w:p w14:paraId="46B71C44" w14:textId="4AEE0A7F" w:rsidR="000F3F85" w:rsidRPr="00004332" w:rsidRDefault="000F3F85" w:rsidP="000F3F85">
            <w:pPr>
              <w:rPr>
                <w:sz w:val="20"/>
                <w:szCs w:val="20"/>
              </w:rPr>
            </w:pPr>
            <w:r>
              <w:rPr>
                <w:sz w:val="20"/>
                <w:szCs w:val="20"/>
              </w:rPr>
              <w:t xml:space="preserve">1,985,044 </w:t>
            </w:r>
          </w:p>
        </w:tc>
      </w:tr>
      <w:tr w:rsidR="000F3F85" w:rsidRPr="002031D8" w14:paraId="4560CC09" w14:textId="77777777" w:rsidTr="00646277">
        <w:trPr>
          <w:trHeight w:val="300"/>
        </w:trPr>
        <w:tc>
          <w:tcPr>
            <w:tcW w:w="2019" w:type="dxa"/>
            <w:vMerge/>
            <w:tcBorders>
              <w:bottom w:val="single" w:sz="4" w:space="0" w:color="auto"/>
            </w:tcBorders>
            <w:noWrap/>
          </w:tcPr>
          <w:p w14:paraId="2E95B807" w14:textId="6BF6E66D" w:rsidR="000F3F85" w:rsidRPr="00004332" w:rsidRDefault="000F3F85" w:rsidP="000F3F85">
            <w:pPr>
              <w:rPr>
                <w:sz w:val="20"/>
                <w:szCs w:val="20"/>
              </w:rPr>
            </w:pPr>
          </w:p>
        </w:tc>
        <w:tc>
          <w:tcPr>
            <w:tcW w:w="2385" w:type="dxa"/>
            <w:tcBorders>
              <w:top w:val="nil"/>
              <w:bottom w:val="single" w:sz="4" w:space="0" w:color="auto"/>
            </w:tcBorders>
            <w:noWrap/>
          </w:tcPr>
          <w:p w14:paraId="40C19E2A" w14:textId="4574DC9D" w:rsidR="000F3F85" w:rsidRPr="00004332" w:rsidRDefault="000F3F85" w:rsidP="000F3F85">
            <w:pPr>
              <w:rPr>
                <w:sz w:val="20"/>
                <w:szCs w:val="20"/>
              </w:rPr>
            </w:pPr>
            <w:r>
              <w:rPr>
                <w:sz w:val="20"/>
                <w:szCs w:val="20"/>
              </w:rPr>
              <w:t>(1,698,400 - 2,044,617)</w:t>
            </w:r>
          </w:p>
        </w:tc>
        <w:tc>
          <w:tcPr>
            <w:tcW w:w="2386" w:type="dxa"/>
            <w:tcBorders>
              <w:top w:val="nil"/>
              <w:bottom w:val="single" w:sz="4" w:space="0" w:color="auto"/>
            </w:tcBorders>
            <w:noWrap/>
          </w:tcPr>
          <w:p w14:paraId="5EDD7EE2" w14:textId="33DFB619" w:rsidR="000F3F85" w:rsidRPr="00004332" w:rsidRDefault="000F3F85" w:rsidP="000F3F85">
            <w:pPr>
              <w:rPr>
                <w:sz w:val="20"/>
                <w:szCs w:val="20"/>
              </w:rPr>
            </w:pPr>
            <w:r>
              <w:rPr>
                <w:sz w:val="20"/>
                <w:szCs w:val="20"/>
              </w:rPr>
              <w:t>(1,708,721</w:t>
            </w:r>
            <w:r w:rsidR="00E45DD9">
              <w:rPr>
                <w:sz w:val="20"/>
                <w:szCs w:val="20"/>
              </w:rPr>
              <w:t xml:space="preserve"> </w:t>
            </w:r>
            <w:r>
              <w:rPr>
                <w:sz w:val="20"/>
                <w:szCs w:val="20"/>
              </w:rPr>
              <w:t>- 2,056,202)</w:t>
            </w:r>
          </w:p>
        </w:tc>
        <w:tc>
          <w:tcPr>
            <w:tcW w:w="2386" w:type="dxa"/>
            <w:tcBorders>
              <w:top w:val="nil"/>
              <w:bottom w:val="single" w:sz="4" w:space="0" w:color="auto"/>
            </w:tcBorders>
            <w:noWrap/>
          </w:tcPr>
          <w:p w14:paraId="725984D5" w14:textId="1F011214" w:rsidR="000F3F85" w:rsidRPr="00004332" w:rsidRDefault="000F3F85" w:rsidP="000F3F85">
            <w:pPr>
              <w:rPr>
                <w:sz w:val="20"/>
                <w:szCs w:val="20"/>
              </w:rPr>
            </w:pPr>
            <w:r>
              <w:rPr>
                <w:sz w:val="20"/>
                <w:szCs w:val="20"/>
              </w:rPr>
              <w:t>(1,717,495 - 2,065,038)</w:t>
            </w:r>
          </w:p>
        </w:tc>
        <w:tc>
          <w:tcPr>
            <w:tcW w:w="2386" w:type="dxa"/>
            <w:tcBorders>
              <w:top w:val="nil"/>
              <w:bottom w:val="single" w:sz="4" w:space="0" w:color="auto"/>
            </w:tcBorders>
            <w:noWrap/>
          </w:tcPr>
          <w:p w14:paraId="6F49CC52" w14:textId="35A9F6FB" w:rsidR="000F3F85" w:rsidRPr="00004332" w:rsidRDefault="00E45DD9" w:rsidP="000F3F85">
            <w:pPr>
              <w:rPr>
                <w:sz w:val="20"/>
                <w:szCs w:val="20"/>
              </w:rPr>
            </w:pPr>
            <w:r>
              <w:rPr>
                <w:sz w:val="20"/>
                <w:szCs w:val="20"/>
              </w:rPr>
              <w:t>(1,683,643 - 2,027,751)</w:t>
            </w:r>
          </w:p>
        </w:tc>
        <w:tc>
          <w:tcPr>
            <w:tcW w:w="2386" w:type="dxa"/>
            <w:tcBorders>
              <w:top w:val="nil"/>
              <w:bottom w:val="single" w:sz="4" w:space="0" w:color="auto"/>
            </w:tcBorders>
            <w:noWrap/>
          </w:tcPr>
          <w:p w14:paraId="7D306A09" w14:textId="60FA3E7C" w:rsidR="000F3F85" w:rsidRPr="00004332" w:rsidRDefault="000F3F85" w:rsidP="000F3F85">
            <w:pPr>
              <w:rPr>
                <w:sz w:val="20"/>
                <w:szCs w:val="20"/>
              </w:rPr>
            </w:pPr>
            <w:r>
              <w:rPr>
                <w:sz w:val="20"/>
                <w:szCs w:val="20"/>
              </w:rPr>
              <w:t>(1,807,487 - 2,162,602)</w:t>
            </w:r>
          </w:p>
        </w:tc>
      </w:tr>
      <w:tr w:rsidR="000F3F85" w:rsidRPr="002031D8" w14:paraId="25865F7D" w14:textId="77777777" w:rsidTr="00646277">
        <w:trPr>
          <w:trHeight w:val="300"/>
        </w:trPr>
        <w:tc>
          <w:tcPr>
            <w:tcW w:w="2019" w:type="dxa"/>
            <w:vMerge w:val="restart"/>
            <w:noWrap/>
            <w:hideMark/>
          </w:tcPr>
          <w:p w14:paraId="7841FA98" w14:textId="2EB37C0F" w:rsidR="000F3F85" w:rsidRPr="00004332" w:rsidRDefault="000F3F85" w:rsidP="000F3F85">
            <w:pPr>
              <w:rPr>
                <w:sz w:val="20"/>
                <w:szCs w:val="20"/>
              </w:rPr>
            </w:pPr>
            <w:r>
              <w:rPr>
                <w:sz w:val="20"/>
                <w:szCs w:val="20"/>
              </w:rPr>
              <w:t xml:space="preserve">  </w:t>
            </w:r>
            <w:r w:rsidRPr="00004332">
              <w:rPr>
                <w:sz w:val="20"/>
                <w:szCs w:val="20"/>
              </w:rPr>
              <w:t>Total costs undiscounted</w:t>
            </w:r>
          </w:p>
        </w:tc>
        <w:tc>
          <w:tcPr>
            <w:tcW w:w="2385" w:type="dxa"/>
            <w:tcBorders>
              <w:bottom w:val="nil"/>
            </w:tcBorders>
            <w:noWrap/>
          </w:tcPr>
          <w:p w14:paraId="16379AEC" w14:textId="042A900E" w:rsidR="000F3F85" w:rsidRPr="00004332" w:rsidRDefault="000F3F85" w:rsidP="000F3F85">
            <w:pPr>
              <w:rPr>
                <w:sz w:val="20"/>
                <w:szCs w:val="20"/>
              </w:rPr>
            </w:pPr>
            <w:r>
              <w:rPr>
                <w:sz w:val="20"/>
                <w:szCs w:val="20"/>
              </w:rPr>
              <w:t>1,929,885</w:t>
            </w:r>
          </w:p>
        </w:tc>
        <w:tc>
          <w:tcPr>
            <w:tcW w:w="2386" w:type="dxa"/>
            <w:tcBorders>
              <w:bottom w:val="nil"/>
            </w:tcBorders>
            <w:noWrap/>
          </w:tcPr>
          <w:p w14:paraId="6E3F1364" w14:textId="596BE9AE" w:rsidR="000F3F85" w:rsidRPr="00004332" w:rsidRDefault="000F3F85" w:rsidP="000F3F85">
            <w:pPr>
              <w:rPr>
                <w:sz w:val="20"/>
                <w:szCs w:val="20"/>
              </w:rPr>
            </w:pPr>
            <w:r>
              <w:rPr>
                <w:sz w:val="20"/>
                <w:szCs w:val="20"/>
              </w:rPr>
              <w:t>1,935,933</w:t>
            </w:r>
          </w:p>
        </w:tc>
        <w:tc>
          <w:tcPr>
            <w:tcW w:w="2386" w:type="dxa"/>
            <w:tcBorders>
              <w:bottom w:val="nil"/>
            </w:tcBorders>
            <w:noWrap/>
          </w:tcPr>
          <w:p w14:paraId="04D7E45C" w14:textId="3EF93212" w:rsidR="000F3F85" w:rsidRPr="00004332" w:rsidRDefault="000F3F85" w:rsidP="000F3F85">
            <w:pPr>
              <w:rPr>
                <w:sz w:val="20"/>
                <w:szCs w:val="20"/>
              </w:rPr>
            </w:pPr>
            <w:r>
              <w:rPr>
                <w:sz w:val="20"/>
                <w:szCs w:val="20"/>
              </w:rPr>
              <w:t>1,941,887</w:t>
            </w:r>
          </w:p>
        </w:tc>
        <w:tc>
          <w:tcPr>
            <w:tcW w:w="2386" w:type="dxa"/>
            <w:tcBorders>
              <w:bottom w:val="nil"/>
            </w:tcBorders>
            <w:noWrap/>
          </w:tcPr>
          <w:p w14:paraId="696048A7" w14:textId="3E6AD584" w:rsidR="000F3F85" w:rsidRPr="00004332" w:rsidRDefault="00E45DD9" w:rsidP="000F3F85">
            <w:pPr>
              <w:rPr>
                <w:sz w:val="20"/>
                <w:szCs w:val="20"/>
              </w:rPr>
            </w:pPr>
            <w:r>
              <w:rPr>
                <w:sz w:val="20"/>
                <w:szCs w:val="20"/>
              </w:rPr>
              <w:t>1,921,859</w:t>
            </w:r>
          </w:p>
        </w:tc>
        <w:tc>
          <w:tcPr>
            <w:tcW w:w="2386" w:type="dxa"/>
            <w:tcBorders>
              <w:bottom w:val="nil"/>
            </w:tcBorders>
            <w:noWrap/>
          </w:tcPr>
          <w:p w14:paraId="2DD02774" w14:textId="4F1B75B2" w:rsidR="000F3F85" w:rsidRPr="00004332" w:rsidRDefault="000F3F85" w:rsidP="000F3F85">
            <w:pPr>
              <w:rPr>
                <w:sz w:val="20"/>
                <w:szCs w:val="20"/>
              </w:rPr>
            </w:pPr>
            <w:r>
              <w:rPr>
                <w:sz w:val="20"/>
                <w:szCs w:val="20"/>
              </w:rPr>
              <w:t xml:space="preserve">1,985,044 </w:t>
            </w:r>
          </w:p>
        </w:tc>
      </w:tr>
      <w:tr w:rsidR="000F3F85" w:rsidRPr="002031D8" w14:paraId="78C4CAF4" w14:textId="77777777" w:rsidTr="00646277">
        <w:trPr>
          <w:trHeight w:val="300"/>
        </w:trPr>
        <w:tc>
          <w:tcPr>
            <w:tcW w:w="2019" w:type="dxa"/>
            <w:vMerge/>
            <w:tcBorders>
              <w:bottom w:val="single" w:sz="4" w:space="0" w:color="auto"/>
            </w:tcBorders>
            <w:noWrap/>
          </w:tcPr>
          <w:p w14:paraId="5A8C9913" w14:textId="70517746" w:rsidR="000F3F85" w:rsidRPr="00004332" w:rsidRDefault="000F3F85" w:rsidP="000F3F85">
            <w:pPr>
              <w:rPr>
                <w:sz w:val="20"/>
                <w:szCs w:val="20"/>
              </w:rPr>
            </w:pPr>
          </w:p>
        </w:tc>
        <w:tc>
          <w:tcPr>
            <w:tcW w:w="2385" w:type="dxa"/>
            <w:tcBorders>
              <w:top w:val="nil"/>
              <w:bottom w:val="single" w:sz="4" w:space="0" w:color="auto"/>
            </w:tcBorders>
            <w:noWrap/>
          </w:tcPr>
          <w:p w14:paraId="5ED943B2" w14:textId="3054EF80" w:rsidR="000F3F85" w:rsidRPr="00004332" w:rsidRDefault="000F3F85" w:rsidP="000F3F85">
            <w:pPr>
              <w:rPr>
                <w:sz w:val="20"/>
                <w:szCs w:val="20"/>
              </w:rPr>
            </w:pPr>
            <w:r>
              <w:rPr>
                <w:sz w:val="20"/>
                <w:szCs w:val="20"/>
              </w:rPr>
              <w:t>(1,756,824 - 2,102,946)</w:t>
            </w:r>
          </w:p>
        </w:tc>
        <w:tc>
          <w:tcPr>
            <w:tcW w:w="2386" w:type="dxa"/>
            <w:tcBorders>
              <w:top w:val="nil"/>
              <w:bottom w:val="single" w:sz="4" w:space="0" w:color="auto"/>
            </w:tcBorders>
            <w:noWrap/>
          </w:tcPr>
          <w:p w14:paraId="5006DCAE" w14:textId="6086F130" w:rsidR="000F3F85" w:rsidRPr="00004332" w:rsidRDefault="000F3F85" w:rsidP="000F3F85">
            <w:pPr>
              <w:rPr>
                <w:sz w:val="20"/>
                <w:szCs w:val="20"/>
              </w:rPr>
            </w:pPr>
            <w:r>
              <w:rPr>
                <w:sz w:val="20"/>
                <w:szCs w:val="20"/>
              </w:rPr>
              <w:t>(1,762,235</w:t>
            </w:r>
            <w:r w:rsidR="00E45DD9">
              <w:rPr>
                <w:sz w:val="20"/>
                <w:szCs w:val="20"/>
              </w:rPr>
              <w:t xml:space="preserve"> </w:t>
            </w:r>
            <w:r>
              <w:rPr>
                <w:sz w:val="20"/>
                <w:szCs w:val="20"/>
              </w:rPr>
              <w:t>- 2,109,631)</w:t>
            </w:r>
          </w:p>
        </w:tc>
        <w:tc>
          <w:tcPr>
            <w:tcW w:w="2386" w:type="dxa"/>
            <w:tcBorders>
              <w:top w:val="nil"/>
              <w:bottom w:val="single" w:sz="4" w:space="0" w:color="auto"/>
            </w:tcBorders>
            <w:noWrap/>
          </w:tcPr>
          <w:p w14:paraId="324CD0F5" w14:textId="539BE731" w:rsidR="000F3F85" w:rsidRPr="00004332" w:rsidRDefault="000F3F85" w:rsidP="000F3F85">
            <w:pPr>
              <w:rPr>
                <w:sz w:val="20"/>
                <w:szCs w:val="20"/>
              </w:rPr>
            </w:pPr>
            <w:r>
              <w:rPr>
                <w:sz w:val="20"/>
                <w:szCs w:val="20"/>
              </w:rPr>
              <w:t>(1,768,154 - 2,115,621)</w:t>
            </w:r>
          </w:p>
        </w:tc>
        <w:tc>
          <w:tcPr>
            <w:tcW w:w="2386" w:type="dxa"/>
            <w:tcBorders>
              <w:top w:val="nil"/>
              <w:bottom w:val="single" w:sz="4" w:space="0" w:color="auto"/>
            </w:tcBorders>
            <w:noWrap/>
          </w:tcPr>
          <w:p w14:paraId="47F9275D" w14:textId="34B24265" w:rsidR="000F3F85" w:rsidRPr="00004332" w:rsidRDefault="00E45DD9" w:rsidP="000F3F85">
            <w:pPr>
              <w:rPr>
                <w:sz w:val="20"/>
                <w:szCs w:val="20"/>
              </w:rPr>
            </w:pPr>
            <w:r>
              <w:rPr>
                <w:sz w:val="20"/>
                <w:szCs w:val="20"/>
              </w:rPr>
              <w:t>(1,749,857 - 2,093,861)</w:t>
            </w:r>
          </w:p>
        </w:tc>
        <w:tc>
          <w:tcPr>
            <w:tcW w:w="2386" w:type="dxa"/>
            <w:tcBorders>
              <w:top w:val="nil"/>
              <w:bottom w:val="single" w:sz="4" w:space="0" w:color="auto"/>
            </w:tcBorders>
            <w:noWrap/>
          </w:tcPr>
          <w:p w14:paraId="3C67E4E4" w14:textId="1D910F07" w:rsidR="000F3F85" w:rsidRPr="00004332" w:rsidRDefault="000F3F85" w:rsidP="000F3F85">
            <w:pPr>
              <w:rPr>
                <w:sz w:val="20"/>
                <w:szCs w:val="20"/>
              </w:rPr>
            </w:pPr>
            <w:r>
              <w:rPr>
                <w:sz w:val="20"/>
                <w:szCs w:val="20"/>
              </w:rPr>
              <w:t>(1,807,487 - 2,162,602)</w:t>
            </w:r>
          </w:p>
        </w:tc>
      </w:tr>
      <w:tr w:rsidR="000F3F85" w:rsidRPr="002031D8" w14:paraId="3464F294" w14:textId="77777777" w:rsidTr="00646277">
        <w:trPr>
          <w:trHeight w:val="300"/>
        </w:trPr>
        <w:tc>
          <w:tcPr>
            <w:tcW w:w="2019" w:type="dxa"/>
            <w:vMerge w:val="restart"/>
            <w:noWrap/>
            <w:hideMark/>
          </w:tcPr>
          <w:p w14:paraId="2F0A09CA" w14:textId="36AB0B5D" w:rsidR="000F3F85" w:rsidRPr="00004332" w:rsidRDefault="000F3F85" w:rsidP="000F3F85">
            <w:pPr>
              <w:rPr>
                <w:sz w:val="20"/>
                <w:szCs w:val="20"/>
              </w:rPr>
            </w:pPr>
            <w:r>
              <w:rPr>
                <w:sz w:val="20"/>
                <w:szCs w:val="20"/>
              </w:rPr>
              <w:t xml:space="preserve">  </w:t>
            </w:r>
            <w:r w:rsidRPr="00004332">
              <w:rPr>
                <w:sz w:val="20"/>
                <w:szCs w:val="20"/>
              </w:rPr>
              <w:t>Total costs discounted</w:t>
            </w:r>
          </w:p>
        </w:tc>
        <w:tc>
          <w:tcPr>
            <w:tcW w:w="2385" w:type="dxa"/>
            <w:tcBorders>
              <w:bottom w:val="nil"/>
            </w:tcBorders>
            <w:noWrap/>
          </w:tcPr>
          <w:p w14:paraId="2F2659E2" w14:textId="45265F3B" w:rsidR="000F3F85" w:rsidRPr="00004332" w:rsidRDefault="000F3F85" w:rsidP="000F3F85">
            <w:pPr>
              <w:rPr>
                <w:sz w:val="20"/>
                <w:szCs w:val="20"/>
              </w:rPr>
            </w:pPr>
            <w:r>
              <w:rPr>
                <w:sz w:val="20"/>
                <w:szCs w:val="20"/>
              </w:rPr>
              <w:t>1,666,228</w:t>
            </w:r>
          </w:p>
        </w:tc>
        <w:tc>
          <w:tcPr>
            <w:tcW w:w="2386" w:type="dxa"/>
            <w:tcBorders>
              <w:bottom w:val="nil"/>
            </w:tcBorders>
            <w:noWrap/>
          </w:tcPr>
          <w:p w14:paraId="6D530239" w14:textId="77452CB6" w:rsidR="000F3F85" w:rsidRPr="00004332" w:rsidRDefault="000F3F85" w:rsidP="000F3F85">
            <w:pPr>
              <w:rPr>
                <w:sz w:val="20"/>
                <w:szCs w:val="20"/>
              </w:rPr>
            </w:pPr>
            <w:r>
              <w:rPr>
                <w:sz w:val="20"/>
                <w:szCs w:val="20"/>
              </w:rPr>
              <w:t>1,671,497</w:t>
            </w:r>
          </w:p>
        </w:tc>
        <w:tc>
          <w:tcPr>
            <w:tcW w:w="2386" w:type="dxa"/>
            <w:tcBorders>
              <w:bottom w:val="nil"/>
            </w:tcBorders>
            <w:noWrap/>
          </w:tcPr>
          <w:p w14:paraId="24893DB8" w14:textId="74D13ECD" w:rsidR="000F3F85" w:rsidRPr="00004332" w:rsidRDefault="000F3F85" w:rsidP="000F3F85">
            <w:pPr>
              <w:rPr>
                <w:sz w:val="20"/>
                <w:szCs w:val="20"/>
              </w:rPr>
            </w:pPr>
            <w:r>
              <w:rPr>
                <w:sz w:val="20"/>
                <w:szCs w:val="20"/>
              </w:rPr>
              <w:t>1,676,569</w:t>
            </w:r>
          </w:p>
        </w:tc>
        <w:tc>
          <w:tcPr>
            <w:tcW w:w="2386" w:type="dxa"/>
            <w:tcBorders>
              <w:bottom w:val="nil"/>
            </w:tcBorders>
            <w:noWrap/>
          </w:tcPr>
          <w:p w14:paraId="40117CCF" w14:textId="1A5E73CD" w:rsidR="000F3F85" w:rsidRPr="00004332" w:rsidRDefault="00E45DD9" w:rsidP="000F3F85">
            <w:pPr>
              <w:rPr>
                <w:sz w:val="20"/>
                <w:szCs w:val="20"/>
              </w:rPr>
            </w:pPr>
            <w:r>
              <w:rPr>
                <w:sz w:val="20"/>
                <w:szCs w:val="20"/>
              </w:rPr>
              <w:t>1,659,340</w:t>
            </w:r>
          </w:p>
        </w:tc>
        <w:tc>
          <w:tcPr>
            <w:tcW w:w="2386" w:type="dxa"/>
            <w:tcBorders>
              <w:bottom w:val="nil"/>
            </w:tcBorders>
            <w:noWrap/>
          </w:tcPr>
          <w:p w14:paraId="79EDD72E" w14:textId="4A5DE6B9" w:rsidR="000F3F85" w:rsidRPr="00004332" w:rsidRDefault="000F3F85" w:rsidP="000F3F85">
            <w:pPr>
              <w:rPr>
                <w:sz w:val="20"/>
                <w:szCs w:val="20"/>
              </w:rPr>
            </w:pPr>
            <w:r>
              <w:rPr>
                <w:sz w:val="20"/>
                <w:szCs w:val="20"/>
              </w:rPr>
              <w:t>1,712,136</w:t>
            </w:r>
          </w:p>
        </w:tc>
      </w:tr>
      <w:tr w:rsidR="000F3F85" w:rsidRPr="002031D8" w14:paraId="265DD868" w14:textId="77777777" w:rsidTr="00646277">
        <w:trPr>
          <w:trHeight w:val="300"/>
        </w:trPr>
        <w:tc>
          <w:tcPr>
            <w:tcW w:w="2019" w:type="dxa"/>
            <w:vMerge/>
            <w:noWrap/>
          </w:tcPr>
          <w:p w14:paraId="59A45E69" w14:textId="07831233" w:rsidR="000F3F85" w:rsidRPr="00004332" w:rsidRDefault="000F3F85" w:rsidP="000F3F85">
            <w:pPr>
              <w:rPr>
                <w:sz w:val="20"/>
                <w:szCs w:val="20"/>
              </w:rPr>
            </w:pPr>
          </w:p>
        </w:tc>
        <w:tc>
          <w:tcPr>
            <w:tcW w:w="2385" w:type="dxa"/>
            <w:tcBorders>
              <w:top w:val="nil"/>
            </w:tcBorders>
            <w:noWrap/>
          </w:tcPr>
          <w:p w14:paraId="11C6CB1F" w14:textId="3BDD355C" w:rsidR="000F3F85" w:rsidRPr="00004332" w:rsidRDefault="000F3F85" w:rsidP="000F3F85">
            <w:pPr>
              <w:rPr>
                <w:sz w:val="20"/>
                <w:szCs w:val="20"/>
              </w:rPr>
            </w:pPr>
            <w:r>
              <w:rPr>
                <w:sz w:val="20"/>
                <w:szCs w:val="20"/>
              </w:rPr>
              <w:t>(1,515,958 - 1,816,499)</w:t>
            </w:r>
          </w:p>
        </w:tc>
        <w:tc>
          <w:tcPr>
            <w:tcW w:w="2386" w:type="dxa"/>
            <w:tcBorders>
              <w:top w:val="nil"/>
            </w:tcBorders>
            <w:noWrap/>
          </w:tcPr>
          <w:p w14:paraId="126B2A19" w14:textId="68495677" w:rsidR="000F3F85" w:rsidRPr="00004332" w:rsidRDefault="000F3F85" w:rsidP="000F3F85">
            <w:pPr>
              <w:rPr>
                <w:sz w:val="20"/>
                <w:szCs w:val="20"/>
              </w:rPr>
            </w:pPr>
            <w:r>
              <w:rPr>
                <w:sz w:val="20"/>
                <w:szCs w:val="20"/>
              </w:rPr>
              <w:t>(1,520,650</w:t>
            </w:r>
            <w:r w:rsidR="00E45DD9">
              <w:rPr>
                <w:sz w:val="20"/>
                <w:szCs w:val="20"/>
              </w:rPr>
              <w:t xml:space="preserve"> </w:t>
            </w:r>
            <w:r>
              <w:rPr>
                <w:sz w:val="20"/>
                <w:szCs w:val="20"/>
              </w:rPr>
              <w:t>- 1,822,345)</w:t>
            </w:r>
          </w:p>
        </w:tc>
        <w:tc>
          <w:tcPr>
            <w:tcW w:w="2386" w:type="dxa"/>
            <w:tcBorders>
              <w:top w:val="nil"/>
            </w:tcBorders>
            <w:noWrap/>
          </w:tcPr>
          <w:p w14:paraId="343ABFA6" w14:textId="244A5B43" w:rsidR="000F3F85" w:rsidRPr="00004332" w:rsidRDefault="000F3F85" w:rsidP="000F3F85">
            <w:pPr>
              <w:rPr>
                <w:sz w:val="20"/>
                <w:szCs w:val="20"/>
              </w:rPr>
            </w:pPr>
            <w:r>
              <w:rPr>
                <w:sz w:val="20"/>
                <w:szCs w:val="20"/>
              </w:rPr>
              <w:t>(1,525,676 - 1,827,462)</w:t>
            </w:r>
          </w:p>
        </w:tc>
        <w:tc>
          <w:tcPr>
            <w:tcW w:w="2386" w:type="dxa"/>
            <w:tcBorders>
              <w:top w:val="nil"/>
            </w:tcBorders>
            <w:noWrap/>
          </w:tcPr>
          <w:p w14:paraId="4CD7107B" w14:textId="6E0AF051" w:rsidR="000F3F85" w:rsidRPr="00004332" w:rsidRDefault="00E45DD9" w:rsidP="000F3F85">
            <w:pPr>
              <w:rPr>
                <w:sz w:val="20"/>
                <w:szCs w:val="20"/>
              </w:rPr>
            </w:pPr>
            <w:r>
              <w:rPr>
                <w:sz w:val="20"/>
                <w:szCs w:val="20"/>
              </w:rPr>
              <w:t>(1,509,988 - 1,808,692)</w:t>
            </w:r>
          </w:p>
        </w:tc>
        <w:tc>
          <w:tcPr>
            <w:tcW w:w="2386" w:type="dxa"/>
            <w:tcBorders>
              <w:top w:val="nil"/>
            </w:tcBorders>
            <w:noWrap/>
          </w:tcPr>
          <w:p w14:paraId="71A01BF7" w14:textId="49B6BE37" w:rsidR="000F3F85" w:rsidRPr="00004332" w:rsidRDefault="000F3F85" w:rsidP="000F3F85">
            <w:pPr>
              <w:rPr>
                <w:sz w:val="20"/>
                <w:szCs w:val="20"/>
              </w:rPr>
            </w:pPr>
            <w:r>
              <w:rPr>
                <w:sz w:val="20"/>
                <w:szCs w:val="20"/>
              </w:rPr>
              <w:t>(1,557,767 - 1,866,506)</w:t>
            </w:r>
          </w:p>
        </w:tc>
      </w:tr>
      <w:tr w:rsidR="000F3F85" w:rsidRPr="002031D8" w14:paraId="0A60E572" w14:textId="77777777" w:rsidTr="00646277">
        <w:trPr>
          <w:trHeight w:val="300"/>
        </w:trPr>
        <w:tc>
          <w:tcPr>
            <w:tcW w:w="2019" w:type="dxa"/>
            <w:noWrap/>
            <w:hideMark/>
          </w:tcPr>
          <w:p w14:paraId="1FBADCC7" w14:textId="6F7ECAE5" w:rsidR="000F3F85" w:rsidRPr="00004332" w:rsidRDefault="000F3F85" w:rsidP="000F3F85">
            <w:pPr>
              <w:rPr>
                <w:sz w:val="20"/>
                <w:szCs w:val="20"/>
              </w:rPr>
            </w:pPr>
            <w:r>
              <w:rPr>
                <w:sz w:val="20"/>
                <w:szCs w:val="20"/>
              </w:rPr>
              <w:t xml:space="preserve">  </w:t>
            </w:r>
            <w:r w:rsidRPr="00004332">
              <w:rPr>
                <w:sz w:val="20"/>
                <w:szCs w:val="20"/>
              </w:rPr>
              <w:t>QALY</w:t>
            </w:r>
            <w:r>
              <w:rPr>
                <w:sz w:val="20"/>
                <w:szCs w:val="20"/>
              </w:rPr>
              <w:t>s discounted</w:t>
            </w:r>
          </w:p>
        </w:tc>
        <w:tc>
          <w:tcPr>
            <w:tcW w:w="2385" w:type="dxa"/>
            <w:noWrap/>
          </w:tcPr>
          <w:p w14:paraId="5EB47CEE" w14:textId="68BD2910" w:rsidR="000F3F85" w:rsidRPr="00004332" w:rsidRDefault="000F3F85" w:rsidP="000F3F85">
            <w:pPr>
              <w:rPr>
                <w:sz w:val="20"/>
                <w:szCs w:val="20"/>
              </w:rPr>
            </w:pPr>
            <w:r>
              <w:rPr>
                <w:sz w:val="20"/>
                <w:szCs w:val="20"/>
              </w:rPr>
              <w:t>6,828 (6,813 - 6,843)</w:t>
            </w:r>
          </w:p>
        </w:tc>
        <w:tc>
          <w:tcPr>
            <w:tcW w:w="2386" w:type="dxa"/>
            <w:noWrap/>
          </w:tcPr>
          <w:p w14:paraId="4D29B0F8" w14:textId="11F7BE39" w:rsidR="000F3F85" w:rsidRPr="00004332" w:rsidRDefault="00E45DD9" w:rsidP="000F3F85">
            <w:pPr>
              <w:rPr>
                <w:sz w:val="20"/>
                <w:szCs w:val="20"/>
              </w:rPr>
            </w:pPr>
            <w:r>
              <w:rPr>
                <w:sz w:val="20"/>
                <w:szCs w:val="20"/>
              </w:rPr>
              <w:t>6,827 (6,812 - 6,842)</w:t>
            </w:r>
          </w:p>
        </w:tc>
        <w:tc>
          <w:tcPr>
            <w:tcW w:w="2386" w:type="dxa"/>
            <w:noWrap/>
          </w:tcPr>
          <w:p w14:paraId="5376F342" w14:textId="332818C0" w:rsidR="000F3F85" w:rsidRPr="00004332" w:rsidRDefault="000F3F85" w:rsidP="000F3F85">
            <w:pPr>
              <w:rPr>
                <w:sz w:val="20"/>
                <w:szCs w:val="20"/>
              </w:rPr>
            </w:pPr>
            <w:r>
              <w:rPr>
                <w:sz w:val="20"/>
                <w:szCs w:val="20"/>
              </w:rPr>
              <w:t>6,826 (6,811 - 6,841)</w:t>
            </w:r>
          </w:p>
        </w:tc>
        <w:tc>
          <w:tcPr>
            <w:tcW w:w="2386" w:type="dxa"/>
            <w:noWrap/>
          </w:tcPr>
          <w:p w14:paraId="155F0AAA" w14:textId="4ADBD1C3" w:rsidR="000F3F85" w:rsidRPr="00004332" w:rsidRDefault="00E45DD9" w:rsidP="000F3F85">
            <w:pPr>
              <w:rPr>
                <w:sz w:val="20"/>
                <w:szCs w:val="20"/>
              </w:rPr>
            </w:pPr>
            <w:r>
              <w:rPr>
                <w:sz w:val="20"/>
                <w:szCs w:val="20"/>
              </w:rPr>
              <w:t>6,830 (6,815 - 6,845)</w:t>
            </w:r>
          </w:p>
        </w:tc>
        <w:tc>
          <w:tcPr>
            <w:tcW w:w="2386" w:type="dxa"/>
            <w:noWrap/>
          </w:tcPr>
          <w:p w14:paraId="7A28CD82" w14:textId="02AC0D90" w:rsidR="000F3F85" w:rsidRPr="00004332" w:rsidRDefault="000F3F85" w:rsidP="000F3F85">
            <w:pPr>
              <w:rPr>
                <w:sz w:val="20"/>
                <w:szCs w:val="20"/>
              </w:rPr>
            </w:pPr>
            <w:r>
              <w:rPr>
                <w:sz w:val="20"/>
                <w:szCs w:val="20"/>
              </w:rPr>
              <w:t>6,815 (6,800 - 6,831)</w:t>
            </w:r>
          </w:p>
        </w:tc>
      </w:tr>
      <w:tr w:rsidR="000F3F85" w:rsidRPr="002031D8" w14:paraId="4E74242A" w14:textId="77777777" w:rsidTr="00646277">
        <w:trPr>
          <w:trHeight w:val="300"/>
        </w:trPr>
        <w:tc>
          <w:tcPr>
            <w:tcW w:w="2019" w:type="dxa"/>
            <w:noWrap/>
            <w:hideMark/>
          </w:tcPr>
          <w:p w14:paraId="424F0B93" w14:textId="7FE90C29" w:rsidR="000F3F85" w:rsidRPr="00004332" w:rsidRDefault="000F3F85" w:rsidP="000F3F85">
            <w:pPr>
              <w:rPr>
                <w:sz w:val="20"/>
                <w:szCs w:val="20"/>
              </w:rPr>
            </w:pPr>
            <w:r>
              <w:rPr>
                <w:sz w:val="20"/>
                <w:szCs w:val="20"/>
              </w:rPr>
              <w:t xml:space="preserve">  </w:t>
            </w:r>
            <w:r w:rsidRPr="00004332">
              <w:rPr>
                <w:sz w:val="20"/>
                <w:szCs w:val="20"/>
              </w:rPr>
              <w:t>Cost compared to no algorithm</w:t>
            </w:r>
          </w:p>
        </w:tc>
        <w:tc>
          <w:tcPr>
            <w:tcW w:w="2385" w:type="dxa"/>
            <w:noWrap/>
          </w:tcPr>
          <w:p w14:paraId="6D7BD2FA" w14:textId="2164CB10" w:rsidR="000F3F85" w:rsidRPr="00004332" w:rsidRDefault="002E78D3" w:rsidP="000F3F85">
            <w:pPr>
              <w:rPr>
                <w:sz w:val="20"/>
                <w:szCs w:val="20"/>
              </w:rPr>
            </w:pPr>
            <w:r>
              <w:rPr>
                <w:sz w:val="20"/>
                <w:szCs w:val="20"/>
              </w:rPr>
              <w:t>-45,908</w:t>
            </w:r>
          </w:p>
        </w:tc>
        <w:tc>
          <w:tcPr>
            <w:tcW w:w="2386" w:type="dxa"/>
            <w:noWrap/>
          </w:tcPr>
          <w:p w14:paraId="4259B316" w14:textId="32CEFA75" w:rsidR="000F3F85" w:rsidRPr="00004332" w:rsidRDefault="002E78D3" w:rsidP="000F3F85">
            <w:pPr>
              <w:rPr>
                <w:sz w:val="20"/>
                <w:szCs w:val="20"/>
              </w:rPr>
            </w:pPr>
            <w:r>
              <w:rPr>
                <w:sz w:val="20"/>
                <w:szCs w:val="20"/>
              </w:rPr>
              <w:t>-40,639</w:t>
            </w:r>
          </w:p>
        </w:tc>
        <w:tc>
          <w:tcPr>
            <w:tcW w:w="2386" w:type="dxa"/>
            <w:noWrap/>
          </w:tcPr>
          <w:p w14:paraId="06382CFC" w14:textId="496B2595" w:rsidR="000F3F85" w:rsidRPr="00004332" w:rsidRDefault="002E78D3" w:rsidP="000F3F85">
            <w:pPr>
              <w:rPr>
                <w:sz w:val="20"/>
                <w:szCs w:val="20"/>
              </w:rPr>
            </w:pPr>
            <w:r>
              <w:rPr>
                <w:sz w:val="20"/>
                <w:szCs w:val="20"/>
              </w:rPr>
              <w:t>-35,567</w:t>
            </w:r>
          </w:p>
        </w:tc>
        <w:tc>
          <w:tcPr>
            <w:tcW w:w="2386" w:type="dxa"/>
            <w:noWrap/>
          </w:tcPr>
          <w:p w14:paraId="342278CB" w14:textId="2E8D9F1F" w:rsidR="000F3F85" w:rsidRPr="00004332" w:rsidRDefault="002E78D3" w:rsidP="000F3F85">
            <w:pPr>
              <w:rPr>
                <w:sz w:val="20"/>
                <w:szCs w:val="20"/>
              </w:rPr>
            </w:pPr>
            <w:r>
              <w:rPr>
                <w:sz w:val="20"/>
                <w:szCs w:val="20"/>
              </w:rPr>
              <w:t>-52,797</w:t>
            </w:r>
          </w:p>
        </w:tc>
        <w:tc>
          <w:tcPr>
            <w:tcW w:w="2386" w:type="dxa"/>
            <w:noWrap/>
            <w:hideMark/>
          </w:tcPr>
          <w:p w14:paraId="2980D4E5" w14:textId="77777777" w:rsidR="000F3F85" w:rsidRPr="00004332" w:rsidRDefault="000F3F85" w:rsidP="000F3F85">
            <w:pPr>
              <w:rPr>
                <w:sz w:val="20"/>
                <w:szCs w:val="20"/>
              </w:rPr>
            </w:pPr>
            <w:r w:rsidRPr="00004332">
              <w:rPr>
                <w:sz w:val="20"/>
                <w:szCs w:val="20"/>
              </w:rPr>
              <w:t> </w:t>
            </w:r>
          </w:p>
        </w:tc>
      </w:tr>
      <w:tr w:rsidR="000F3F85" w:rsidRPr="002031D8" w14:paraId="6F66DF6A" w14:textId="77777777" w:rsidTr="00646277">
        <w:trPr>
          <w:trHeight w:val="300"/>
        </w:trPr>
        <w:tc>
          <w:tcPr>
            <w:tcW w:w="2019" w:type="dxa"/>
            <w:noWrap/>
            <w:hideMark/>
          </w:tcPr>
          <w:p w14:paraId="589C4A54" w14:textId="6E3A9E56" w:rsidR="000F3F85" w:rsidRPr="00004332" w:rsidRDefault="000F3F85" w:rsidP="000F3F85">
            <w:pPr>
              <w:rPr>
                <w:sz w:val="20"/>
                <w:szCs w:val="20"/>
              </w:rPr>
            </w:pPr>
            <w:r>
              <w:rPr>
                <w:sz w:val="20"/>
                <w:szCs w:val="20"/>
              </w:rPr>
              <w:t xml:space="preserve">  </w:t>
            </w:r>
            <w:r w:rsidRPr="00004332">
              <w:rPr>
                <w:sz w:val="20"/>
                <w:szCs w:val="20"/>
              </w:rPr>
              <w:t>QALY</w:t>
            </w:r>
            <w:r>
              <w:rPr>
                <w:sz w:val="20"/>
                <w:szCs w:val="20"/>
              </w:rPr>
              <w:t>s</w:t>
            </w:r>
            <w:r w:rsidRPr="00004332">
              <w:rPr>
                <w:sz w:val="20"/>
                <w:szCs w:val="20"/>
              </w:rPr>
              <w:t xml:space="preserve"> compared to no algorithm</w:t>
            </w:r>
          </w:p>
        </w:tc>
        <w:tc>
          <w:tcPr>
            <w:tcW w:w="2385" w:type="dxa"/>
            <w:noWrap/>
          </w:tcPr>
          <w:p w14:paraId="7EDC6801" w14:textId="0A1E2183" w:rsidR="000F3F85" w:rsidRPr="00004332" w:rsidRDefault="002E78D3" w:rsidP="000F3F85">
            <w:pPr>
              <w:rPr>
                <w:sz w:val="20"/>
                <w:szCs w:val="20"/>
              </w:rPr>
            </w:pPr>
            <w:r>
              <w:rPr>
                <w:sz w:val="20"/>
                <w:szCs w:val="20"/>
              </w:rPr>
              <w:t>13</w:t>
            </w:r>
          </w:p>
        </w:tc>
        <w:tc>
          <w:tcPr>
            <w:tcW w:w="2386" w:type="dxa"/>
            <w:noWrap/>
          </w:tcPr>
          <w:p w14:paraId="688EF95A" w14:textId="40F84960" w:rsidR="000F3F85" w:rsidRPr="00004332" w:rsidRDefault="002E78D3" w:rsidP="000F3F85">
            <w:pPr>
              <w:rPr>
                <w:sz w:val="20"/>
                <w:szCs w:val="20"/>
              </w:rPr>
            </w:pPr>
            <w:r>
              <w:rPr>
                <w:sz w:val="20"/>
                <w:szCs w:val="20"/>
              </w:rPr>
              <w:t>12</w:t>
            </w:r>
          </w:p>
        </w:tc>
        <w:tc>
          <w:tcPr>
            <w:tcW w:w="2386" w:type="dxa"/>
            <w:noWrap/>
          </w:tcPr>
          <w:p w14:paraId="5000EFCD" w14:textId="1023B6DA" w:rsidR="000F3F85" w:rsidRPr="00004332" w:rsidRDefault="002E78D3" w:rsidP="000F3F85">
            <w:pPr>
              <w:rPr>
                <w:sz w:val="20"/>
                <w:szCs w:val="20"/>
              </w:rPr>
            </w:pPr>
            <w:r>
              <w:rPr>
                <w:sz w:val="20"/>
                <w:szCs w:val="20"/>
              </w:rPr>
              <w:t>11</w:t>
            </w:r>
          </w:p>
        </w:tc>
        <w:tc>
          <w:tcPr>
            <w:tcW w:w="2386" w:type="dxa"/>
            <w:noWrap/>
          </w:tcPr>
          <w:p w14:paraId="4EFC59D9" w14:textId="452A8DE8" w:rsidR="000F3F85" w:rsidRPr="00004332" w:rsidRDefault="002E78D3" w:rsidP="000F3F85">
            <w:pPr>
              <w:rPr>
                <w:sz w:val="20"/>
                <w:szCs w:val="20"/>
              </w:rPr>
            </w:pPr>
            <w:r>
              <w:rPr>
                <w:sz w:val="20"/>
                <w:szCs w:val="20"/>
              </w:rPr>
              <w:t>15</w:t>
            </w:r>
          </w:p>
        </w:tc>
        <w:tc>
          <w:tcPr>
            <w:tcW w:w="2386" w:type="dxa"/>
            <w:noWrap/>
            <w:hideMark/>
          </w:tcPr>
          <w:p w14:paraId="420FB385" w14:textId="77777777" w:rsidR="000F3F85" w:rsidRPr="00004332" w:rsidRDefault="000F3F85" w:rsidP="000F3F85">
            <w:pPr>
              <w:rPr>
                <w:sz w:val="20"/>
                <w:szCs w:val="20"/>
              </w:rPr>
            </w:pPr>
            <w:r w:rsidRPr="00004332">
              <w:rPr>
                <w:sz w:val="20"/>
                <w:szCs w:val="20"/>
              </w:rPr>
              <w:t> </w:t>
            </w:r>
          </w:p>
        </w:tc>
      </w:tr>
    </w:tbl>
    <w:p w14:paraId="3F51871B" w14:textId="77777777" w:rsidR="002031D8" w:rsidRDefault="002031D8" w:rsidP="00004332">
      <w:pPr>
        <w:spacing w:line="480" w:lineRule="auto"/>
      </w:pPr>
    </w:p>
    <w:p w14:paraId="13F706FE" w14:textId="195D353F" w:rsidR="00DA4270" w:rsidRDefault="00DA4270" w:rsidP="00221A71">
      <w:pPr>
        <w:spacing w:line="480" w:lineRule="auto"/>
        <w:jc w:val="both"/>
      </w:pPr>
      <w:r w:rsidRPr="00004332">
        <w:rPr>
          <w:b/>
        </w:rPr>
        <w:lastRenderedPageBreak/>
        <w:t xml:space="preserve">Table </w:t>
      </w:r>
      <w:r>
        <w:rPr>
          <w:b/>
        </w:rPr>
        <w:t>3</w:t>
      </w:r>
      <w:r w:rsidRPr="00004332">
        <w:rPr>
          <w:b/>
        </w:rPr>
        <w:t>:</w:t>
      </w:r>
      <w:r>
        <w:t xml:space="preserve"> Costs, QALYs, NMBs and number of events per 1000 individuals for each CVD algorithm (including no algorithm) when a CVD risk threshold of 10%</w:t>
      </w:r>
      <w:r w:rsidR="001377B4">
        <w:t xml:space="preserve"> was employed</w:t>
      </w:r>
      <w:r>
        <w:t xml:space="preserve"> (continued).</w:t>
      </w:r>
    </w:p>
    <w:tbl>
      <w:tblPr>
        <w:tblStyle w:val="TableGrid"/>
        <w:tblW w:w="0" w:type="auto"/>
        <w:tblLook w:val="04A0" w:firstRow="1" w:lastRow="0" w:firstColumn="1" w:lastColumn="0" w:noHBand="0" w:noVBand="1"/>
      </w:tblPr>
      <w:tblGrid>
        <w:gridCol w:w="2019"/>
        <w:gridCol w:w="2385"/>
        <w:gridCol w:w="2386"/>
        <w:gridCol w:w="2386"/>
        <w:gridCol w:w="2386"/>
        <w:gridCol w:w="2386"/>
      </w:tblGrid>
      <w:tr w:rsidR="00DA4270" w:rsidRPr="00FB4FB3" w14:paraId="53644F72" w14:textId="77777777" w:rsidTr="00792FD8">
        <w:trPr>
          <w:trHeight w:val="300"/>
        </w:trPr>
        <w:tc>
          <w:tcPr>
            <w:tcW w:w="2050" w:type="dxa"/>
            <w:vMerge w:val="restart"/>
            <w:noWrap/>
            <w:vAlign w:val="bottom"/>
            <w:hideMark/>
          </w:tcPr>
          <w:p w14:paraId="3C32C7A8" w14:textId="77777777" w:rsidR="00DA4270" w:rsidRPr="00FB4FB3" w:rsidRDefault="00DA4270" w:rsidP="00792FD8">
            <w:pPr>
              <w:rPr>
                <w:b/>
                <w:sz w:val="20"/>
                <w:szCs w:val="20"/>
              </w:rPr>
            </w:pPr>
            <w:r w:rsidRPr="00FB4FB3">
              <w:rPr>
                <w:b/>
                <w:sz w:val="20"/>
                <w:szCs w:val="20"/>
              </w:rPr>
              <w:t>Outcomes</w:t>
            </w:r>
          </w:p>
        </w:tc>
        <w:tc>
          <w:tcPr>
            <w:tcW w:w="12124" w:type="dxa"/>
            <w:gridSpan w:val="5"/>
            <w:noWrap/>
            <w:vAlign w:val="bottom"/>
            <w:hideMark/>
          </w:tcPr>
          <w:p w14:paraId="03223BFF" w14:textId="77777777" w:rsidR="00DA4270" w:rsidRPr="00FB4FB3" w:rsidRDefault="00DA4270" w:rsidP="00792FD8">
            <w:pPr>
              <w:jc w:val="center"/>
              <w:rPr>
                <w:b/>
                <w:sz w:val="20"/>
                <w:szCs w:val="20"/>
              </w:rPr>
            </w:pPr>
            <w:r w:rsidRPr="00FB4FB3">
              <w:rPr>
                <w:b/>
                <w:sz w:val="20"/>
                <w:szCs w:val="20"/>
              </w:rPr>
              <w:t>Algorithm</w:t>
            </w:r>
          </w:p>
        </w:tc>
      </w:tr>
      <w:tr w:rsidR="00DA4270" w:rsidRPr="00FB4FB3" w14:paraId="5BE788FB" w14:textId="77777777" w:rsidTr="00792FD8">
        <w:trPr>
          <w:trHeight w:val="537"/>
        </w:trPr>
        <w:tc>
          <w:tcPr>
            <w:tcW w:w="2050" w:type="dxa"/>
            <w:vMerge/>
            <w:vAlign w:val="bottom"/>
            <w:hideMark/>
          </w:tcPr>
          <w:p w14:paraId="4A48AFE4" w14:textId="77777777" w:rsidR="00DA4270" w:rsidRPr="00FB4FB3" w:rsidRDefault="00DA4270" w:rsidP="00792FD8">
            <w:pPr>
              <w:rPr>
                <w:b/>
                <w:sz w:val="20"/>
                <w:szCs w:val="20"/>
              </w:rPr>
            </w:pPr>
          </w:p>
        </w:tc>
        <w:tc>
          <w:tcPr>
            <w:tcW w:w="2424" w:type="dxa"/>
            <w:vMerge w:val="restart"/>
            <w:vAlign w:val="bottom"/>
            <w:hideMark/>
          </w:tcPr>
          <w:p w14:paraId="6190A8C0" w14:textId="446ECCC8" w:rsidR="00DA4270" w:rsidRPr="00FB4FB3" w:rsidRDefault="00A220A6" w:rsidP="00DC3F63">
            <w:pPr>
              <w:rPr>
                <w:b/>
                <w:sz w:val="20"/>
                <w:szCs w:val="20"/>
              </w:rPr>
            </w:pPr>
            <w:r>
              <w:rPr>
                <w:b/>
                <w:sz w:val="20"/>
                <w:szCs w:val="20"/>
              </w:rPr>
              <w:t>General</w:t>
            </w:r>
            <w:r w:rsidR="00DA4270" w:rsidRPr="00FB4FB3">
              <w:rPr>
                <w:b/>
                <w:sz w:val="20"/>
                <w:szCs w:val="20"/>
              </w:rPr>
              <w:t xml:space="preserve"> lipid algorithm</w:t>
            </w:r>
          </w:p>
        </w:tc>
        <w:tc>
          <w:tcPr>
            <w:tcW w:w="2425" w:type="dxa"/>
            <w:vMerge w:val="restart"/>
            <w:vAlign w:val="bottom"/>
            <w:hideMark/>
          </w:tcPr>
          <w:p w14:paraId="05A6AF4F" w14:textId="5C688E35" w:rsidR="00DA4270" w:rsidRPr="00FB4FB3" w:rsidRDefault="00A220A6" w:rsidP="00792FD8">
            <w:pPr>
              <w:rPr>
                <w:b/>
                <w:sz w:val="20"/>
                <w:szCs w:val="20"/>
              </w:rPr>
            </w:pPr>
            <w:r>
              <w:rPr>
                <w:b/>
                <w:sz w:val="20"/>
                <w:szCs w:val="20"/>
              </w:rPr>
              <w:t>SMI-specific</w:t>
            </w:r>
            <w:r w:rsidR="00DA4270" w:rsidRPr="00FB4FB3">
              <w:rPr>
                <w:b/>
                <w:sz w:val="20"/>
                <w:szCs w:val="20"/>
              </w:rPr>
              <w:t xml:space="preserve"> lipid algorithm</w:t>
            </w:r>
          </w:p>
        </w:tc>
        <w:tc>
          <w:tcPr>
            <w:tcW w:w="2425" w:type="dxa"/>
            <w:vMerge w:val="restart"/>
            <w:vAlign w:val="bottom"/>
            <w:hideMark/>
          </w:tcPr>
          <w:p w14:paraId="66A03034" w14:textId="32246D4F" w:rsidR="00DA4270" w:rsidRPr="00FB4FB3" w:rsidRDefault="00A220A6" w:rsidP="00DC3F63">
            <w:pPr>
              <w:rPr>
                <w:b/>
                <w:sz w:val="20"/>
                <w:szCs w:val="20"/>
              </w:rPr>
            </w:pPr>
            <w:r>
              <w:rPr>
                <w:b/>
                <w:sz w:val="20"/>
                <w:szCs w:val="20"/>
              </w:rPr>
              <w:t>General</w:t>
            </w:r>
            <w:r w:rsidR="00DA4270" w:rsidRPr="00FB4FB3">
              <w:rPr>
                <w:b/>
                <w:sz w:val="20"/>
                <w:szCs w:val="20"/>
              </w:rPr>
              <w:t xml:space="preserve"> BMI algorithm</w:t>
            </w:r>
          </w:p>
        </w:tc>
        <w:tc>
          <w:tcPr>
            <w:tcW w:w="2425" w:type="dxa"/>
            <w:vMerge w:val="restart"/>
            <w:vAlign w:val="bottom"/>
            <w:hideMark/>
          </w:tcPr>
          <w:p w14:paraId="2A66382C" w14:textId="2FD0ECE6" w:rsidR="00DA4270" w:rsidRPr="00FB4FB3" w:rsidRDefault="00A220A6" w:rsidP="00792FD8">
            <w:pPr>
              <w:rPr>
                <w:b/>
                <w:sz w:val="20"/>
                <w:szCs w:val="20"/>
              </w:rPr>
            </w:pPr>
            <w:r>
              <w:rPr>
                <w:b/>
                <w:sz w:val="20"/>
                <w:szCs w:val="20"/>
              </w:rPr>
              <w:t>SMI-specific</w:t>
            </w:r>
            <w:r w:rsidRPr="00FB4FB3">
              <w:rPr>
                <w:b/>
                <w:sz w:val="20"/>
                <w:szCs w:val="20"/>
              </w:rPr>
              <w:t xml:space="preserve"> </w:t>
            </w:r>
            <w:r w:rsidR="00DA4270" w:rsidRPr="00FB4FB3">
              <w:rPr>
                <w:b/>
                <w:sz w:val="20"/>
                <w:szCs w:val="20"/>
              </w:rPr>
              <w:t>BMI algorithm</w:t>
            </w:r>
          </w:p>
        </w:tc>
        <w:tc>
          <w:tcPr>
            <w:tcW w:w="2425" w:type="dxa"/>
            <w:vMerge w:val="restart"/>
            <w:noWrap/>
            <w:vAlign w:val="bottom"/>
            <w:hideMark/>
          </w:tcPr>
          <w:p w14:paraId="2E85BE70" w14:textId="77777777" w:rsidR="00DA4270" w:rsidRPr="00FB4FB3" w:rsidRDefault="00DA4270" w:rsidP="00792FD8">
            <w:pPr>
              <w:rPr>
                <w:b/>
                <w:sz w:val="20"/>
                <w:szCs w:val="20"/>
              </w:rPr>
            </w:pPr>
            <w:r w:rsidRPr="00FB4FB3">
              <w:rPr>
                <w:b/>
                <w:sz w:val="20"/>
                <w:szCs w:val="20"/>
              </w:rPr>
              <w:t>No algorithm</w:t>
            </w:r>
          </w:p>
        </w:tc>
      </w:tr>
      <w:tr w:rsidR="00DA4270" w:rsidRPr="00004332" w14:paraId="52AE28B9" w14:textId="77777777" w:rsidTr="00116D02">
        <w:trPr>
          <w:trHeight w:val="537"/>
        </w:trPr>
        <w:tc>
          <w:tcPr>
            <w:tcW w:w="2050" w:type="dxa"/>
            <w:vMerge/>
            <w:hideMark/>
          </w:tcPr>
          <w:p w14:paraId="5C7EEB29" w14:textId="77777777" w:rsidR="00DA4270" w:rsidRPr="00004332" w:rsidRDefault="00DA4270" w:rsidP="00116D02">
            <w:pPr>
              <w:rPr>
                <w:sz w:val="20"/>
                <w:szCs w:val="20"/>
              </w:rPr>
            </w:pPr>
          </w:p>
        </w:tc>
        <w:tc>
          <w:tcPr>
            <w:tcW w:w="2424" w:type="dxa"/>
            <w:vMerge/>
            <w:hideMark/>
          </w:tcPr>
          <w:p w14:paraId="0C1065E7" w14:textId="77777777" w:rsidR="00DA4270" w:rsidRPr="00004332" w:rsidRDefault="00DA4270" w:rsidP="00116D02">
            <w:pPr>
              <w:rPr>
                <w:sz w:val="20"/>
                <w:szCs w:val="20"/>
              </w:rPr>
            </w:pPr>
          </w:p>
        </w:tc>
        <w:tc>
          <w:tcPr>
            <w:tcW w:w="2425" w:type="dxa"/>
            <w:vMerge/>
            <w:hideMark/>
          </w:tcPr>
          <w:p w14:paraId="6C2218DF" w14:textId="77777777" w:rsidR="00DA4270" w:rsidRPr="00004332" w:rsidRDefault="00DA4270" w:rsidP="00116D02">
            <w:pPr>
              <w:rPr>
                <w:sz w:val="20"/>
                <w:szCs w:val="20"/>
              </w:rPr>
            </w:pPr>
          </w:p>
        </w:tc>
        <w:tc>
          <w:tcPr>
            <w:tcW w:w="2425" w:type="dxa"/>
            <w:vMerge/>
            <w:hideMark/>
          </w:tcPr>
          <w:p w14:paraId="73210790" w14:textId="77777777" w:rsidR="00DA4270" w:rsidRPr="00004332" w:rsidRDefault="00DA4270" w:rsidP="00116D02">
            <w:pPr>
              <w:rPr>
                <w:sz w:val="20"/>
                <w:szCs w:val="20"/>
              </w:rPr>
            </w:pPr>
          </w:p>
        </w:tc>
        <w:tc>
          <w:tcPr>
            <w:tcW w:w="2425" w:type="dxa"/>
            <w:vMerge/>
            <w:hideMark/>
          </w:tcPr>
          <w:p w14:paraId="552C165F" w14:textId="77777777" w:rsidR="00DA4270" w:rsidRPr="00004332" w:rsidRDefault="00DA4270" w:rsidP="00116D02">
            <w:pPr>
              <w:rPr>
                <w:sz w:val="20"/>
                <w:szCs w:val="20"/>
              </w:rPr>
            </w:pPr>
          </w:p>
        </w:tc>
        <w:tc>
          <w:tcPr>
            <w:tcW w:w="2425" w:type="dxa"/>
            <w:vMerge/>
            <w:hideMark/>
          </w:tcPr>
          <w:p w14:paraId="17632C7B" w14:textId="77777777" w:rsidR="00DA4270" w:rsidRPr="00004332" w:rsidRDefault="00DA4270" w:rsidP="00116D02">
            <w:pPr>
              <w:rPr>
                <w:sz w:val="20"/>
                <w:szCs w:val="20"/>
              </w:rPr>
            </w:pPr>
          </w:p>
        </w:tc>
      </w:tr>
      <w:tr w:rsidR="00DC3F63" w:rsidRPr="00FB4FB3" w14:paraId="5D7E71C5" w14:textId="77777777" w:rsidTr="00A32409">
        <w:trPr>
          <w:trHeight w:val="300"/>
        </w:trPr>
        <w:tc>
          <w:tcPr>
            <w:tcW w:w="2050" w:type="dxa"/>
            <w:tcBorders>
              <w:bottom w:val="single" w:sz="4" w:space="0" w:color="auto"/>
            </w:tcBorders>
            <w:noWrap/>
            <w:hideMark/>
          </w:tcPr>
          <w:p w14:paraId="4FB2CCC8" w14:textId="77777777" w:rsidR="00C21386" w:rsidRPr="000E310F" w:rsidRDefault="00DC3F63" w:rsidP="00A32409">
            <w:pPr>
              <w:rPr>
                <w:sz w:val="20"/>
                <w:szCs w:val="20"/>
              </w:rPr>
            </w:pPr>
            <w:r w:rsidRPr="000E310F">
              <w:rPr>
                <w:sz w:val="20"/>
                <w:szCs w:val="20"/>
              </w:rPr>
              <w:t>Net monetary benefit</w:t>
            </w:r>
            <w:r w:rsidR="004B2749" w:rsidRPr="000E310F">
              <w:rPr>
                <w:sz w:val="20"/>
                <w:szCs w:val="20"/>
              </w:rPr>
              <w:t xml:space="preserve">, </w:t>
            </w:r>
          </w:p>
          <w:p w14:paraId="5628EC13" w14:textId="1966F34B" w:rsidR="00DC3F63" w:rsidRPr="00FB4FB3" w:rsidRDefault="004B2749" w:rsidP="00A32409">
            <w:pPr>
              <w:rPr>
                <w:b/>
                <w:sz w:val="20"/>
                <w:szCs w:val="20"/>
              </w:rPr>
            </w:pPr>
            <w:r w:rsidRPr="000E310F">
              <w:rPr>
                <w:sz w:val="20"/>
                <w:szCs w:val="20"/>
              </w:rPr>
              <w:t>mean (95% CI)</w:t>
            </w:r>
          </w:p>
        </w:tc>
        <w:tc>
          <w:tcPr>
            <w:tcW w:w="2424" w:type="dxa"/>
            <w:tcBorders>
              <w:bottom w:val="single" w:sz="4" w:space="0" w:color="auto"/>
            </w:tcBorders>
          </w:tcPr>
          <w:p w14:paraId="7AF567B2" w14:textId="77777777" w:rsidR="00DC3F63" w:rsidRPr="00FB4FB3" w:rsidRDefault="00DC3F63" w:rsidP="00A32409">
            <w:pPr>
              <w:rPr>
                <w:b/>
                <w:sz w:val="20"/>
                <w:szCs w:val="20"/>
              </w:rPr>
            </w:pPr>
          </w:p>
        </w:tc>
        <w:tc>
          <w:tcPr>
            <w:tcW w:w="2425" w:type="dxa"/>
            <w:tcBorders>
              <w:bottom w:val="single" w:sz="4" w:space="0" w:color="auto"/>
            </w:tcBorders>
          </w:tcPr>
          <w:p w14:paraId="33980CDA" w14:textId="77777777" w:rsidR="00DC3F63" w:rsidRPr="00FB4FB3" w:rsidRDefault="00DC3F63" w:rsidP="00A32409">
            <w:pPr>
              <w:rPr>
                <w:b/>
                <w:sz w:val="20"/>
                <w:szCs w:val="20"/>
              </w:rPr>
            </w:pPr>
          </w:p>
        </w:tc>
        <w:tc>
          <w:tcPr>
            <w:tcW w:w="2425" w:type="dxa"/>
            <w:tcBorders>
              <w:bottom w:val="single" w:sz="4" w:space="0" w:color="auto"/>
            </w:tcBorders>
          </w:tcPr>
          <w:p w14:paraId="6B31E454" w14:textId="77777777" w:rsidR="00DC3F63" w:rsidRPr="00FB4FB3" w:rsidRDefault="00DC3F63" w:rsidP="00A32409">
            <w:pPr>
              <w:rPr>
                <w:b/>
                <w:sz w:val="20"/>
                <w:szCs w:val="20"/>
              </w:rPr>
            </w:pPr>
          </w:p>
        </w:tc>
        <w:tc>
          <w:tcPr>
            <w:tcW w:w="2425" w:type="dxa"/>
            <w:tcBorders>
              <w:bottom w:val="single" w:sz="4" w:space="0" w:color="auto"/>
            </w:tcBorders>
          </w:tcPr>
          <w:p w14:paraId="74116240" w14:textId="77777777" w:rsidR="00DC3F63" w:rsidRPr="00FB4FB3" w:rsidRDefault="00DC3F63" w:rsidP="00A32409">
            <w:pPr>
              <w:rPr>
                <w:b/>
                <w:sz w:val="20"/>
                <w:szCs w:val="20"/>
              </w:rPr>
            </w:pPr>
          </w:p>
        </w:tc>
        <w:tc>
          <w:tcPr>
            <w:tcW w:w="2425" w:type="dxa"/>
            <w:tcBorders>
              <w:bottom w:val="single" w:sz="4" w:space="0" w:color="auto"/>
            </w:tcBorders>
          </w:tcPr>
          <w:p w14:paraId="59F31521" w14:textId="77777777" w:rsidR="00DC3F63" w:rsidRPr="00FB4FB3" w:rsidRDefault="00DC3F63" w:rsidP="00A32409">
            <w:pPr>
              <w:rPr>
                <w:b/>
                <w:sz w:val="20"/>
                <w:szCs w:val="20"/>
              </w:rPr>
            </w:pPr>
          </w:p>
        </w:tc>
      </w:tr>
      <w:tr w:rsidR="005D5989" w:rsidRPr="00004332" w14:paraId="2F38657C" w14:textId="77777777" w:rsidTr="00646277">
        <w:trPr>
          <w:trHeight w:val="300"/>
        </w:trPr>
        <w:tc>
          <w:tcPr>
            <w:tcW w:w="2050" w:type="dxa"/>
            <w:vMerge w:val="restart"/>
            <w:noWrap/>
            <w:hideMark/>
          </w:tcPr>
          <w:p w14:paraId="56DF8A27" w14:textId="35AD4C9C" w:rsidR="005D5989" w:rsidRPr="00004332" w:rsidRDefault="000E310F" w:rsidP="00A32409">
            <w:pPr>
              <w:rPr>
                <w:sz w:val="20"/>
                <w:szCs w:val="20"/>
              </w:rPr>
            </w:pPr>
            <w:r>
              <w:rPr>
                <w:sz w:val="20"/>
                <w:szCs w:val="20"/>
              </w:rPr>
              <w:t xml:space="preserve">  </w:t>
            </w:r>
            <w:r w:rsidR="005D5989" w:rsidRPr="00004332">
              <w:rPr>
                <w:sz w:val="20"/>
                <w:szCs w:val="20"/>
              </w:rPr>
              <w:t>£20,000 WTP threshold</w:t>
            </w:r>
          </w:p>
        </w:tc>
        <w:tc>
          <w:tcPr>
            <w:tcW w:w="2424" w:type="dxa"/>
            <w:tcBorders>
              <w:bottom w:val="nil"/>
            </w:tcBorders>
            <w:noWrap/>
          </w:tcPr>
          <w:p w14:paraId="58C3D01C" w14:textId="14C2CB15" w:rsidR="005D5989" w:rsidRPr="00004332" w:rsidRDefault="009D0C9E" w:rsidP="00A32409">
            <w:pPr>
              <w:rPr>
                <w:sz w:val="20"/>
                <w:szCs w:val="20"/>
              </w:rPr>
            </w:pPr>
            <w:r>
              <w:rPr>
                <w:sz w:val="20"/>
                <w:szCs w:val="20"/>
              </w:rPr>
              <w:t>134,898,309</w:t>
            </w:r>
          </w:p>
        </w:tc>
        <w:tc>
          <w:tcPr>
            <w:tcW w:w="2425" w:type="dxa"/>
            <w:tcBorders>
              <w:bottom w:val="nil"/>
            </w:tcBorders>
            <w:noWrap/>
          </w:tcPr>
          <w:p w14:paraId="6B13A91F" w14:textId="248B726A" w:rsidR="005D5989" w:rsidRPr="00004332" w:rsidRDefault="009D0C9E" w:rsidP="00A32409">
            <w:pPr>
              <w:rPr>
                <w:sz w:val="20"/>
                <w:szCs w:val="20"/>
              </w:rPr>
            </w:pPr>
            <w:r>
              <w:rPr>
                <w:sz w:val="20"/>
                <w:szCs w:val="20"/>
              </w:rPr>
              <w:t>134,872,660</w:t>
            </w:r>
          </w:p>
        </w:tc>
        <w:tc>
          <w:tcPr>
            <w:tcW w:w="2425" w:type="dxa"/>
            <w:tcBorders>
              <w:bottom w:val="nil"/>
            </w:tcBorders>
            <w:noWrap/>
          </w:tcPr>
          <w:p w14:paraId="6C4BFA21" w14:textId="0FCAD6A8" w:rsidR="005D5989" w:rsidRPr="00004332" w:rsidRDefault="002E78D3" w:rsidP="00A32409">
            <w:pPr>
              <w:rPr>
                <w:sz w:val="20"/>
                <w:szCs w:val="20"/>
              </w:rPr>
            </w:pPr>
            <w:r>
              <w:rPr>
                <w:sz w:val="20"/>
                <w:szCs w:val="20"/>
              </w:rPr>
              <w:t>134,841,184</w:t>
            </w:r>
          </w:p>
        </w:tc>
        <w:tc>
          <w:tcPr>
            <w:tcW w:w="2425" w:type="dxa"/>
            <w:tcBorders>
              <w:bottom w:val="nil"/>
            </w:tcBorders>
            <w:noWrap/>
          </w:tcPr>
          <w:p w14:paraId="39C7A52C" w14:textId="09132E3C" w:rsidR="005D5989" w:rsidRPr="00004332" w:rsidRDefault="002E78D3" w:rsidP="00A32409">
            <w:pPr>
              <w:rPr>
                <w:sz w:val="20"/>
                <w:szCs w:val="20"/>
              </w:rPr>
            </w:pPr>
            <w:r>
              <w:rPr>
                <w:sz w:val="20"/>
                <w:szCs w:val="20"/>
              </w:rPr>
              <w:t>134,942,106</w:t>
            </w:r>
          </w:p>
        </w:tc>
        <w:tc>
          <w:tcPr>
            <w:tcW w:w="2425" w:type="dxa"/>
            <w:tcBorders>
              <w:bottom w:val="nil"/>
            </w:tcBorders>
            <w:noWrap/>
          </w:tcPr>
          <w:p w14:paraId="3B185317" w14:textId="5F0DA62D" w:rsidR="009D0C9E" w:rsidRPr="00004332" w:rsidRDefault="009D0C9E" w:rsidP="009D0C9E">
            <w:pPr>
              <w:rPr>
                <w:sz w:val="20"/>
                <w:szCs w:val="20"/>
              </w:rPr>
            </w:pPr>
            <w:r>
              <w:rPr>
                <w:sz w:val="20"/>
                <w:szCs w:val="20"/>
              </w:rPr>
              <w:t>134,593,353</w:t>
            </w:r>
          </w:p>
        </w:tc>
      </w:tr>
      <w:tr w:rsidR="005D5989" w:rsidRPr="00004332" w14:paraId="17E97195" w14:textId="77777777" w:rsidTr="001967E5">
        <w:trPr>
          <w:trHeight w:val="300"/>
        </w:trPr>
        <w:tc>
          <w:tcPr>
            <w:tcW w:w="2050" w:type="dxa"/>
            <w:vMerge/>
            <w:tcBorders>
              <w:bottom w:val="single" w:sz="4" w:space="0" w:color="auto"/>
            </w:tcBorders>
            <w:noWrap/>
          </w:tcPr>
          <w:p w14:paraId="219A0E81" w14:textId="5BC2E665" w:rsidR="005D5989" w:rsidRPr="00004332" w:rsidRDefault="005D5989" w:rsidP="00A32409">
            <w:pPr>
              <w:rPr>
                <w:sz w:val="20"/>
                <w:szCs w:val="20"/>
              </w:rPr>
            </w:pPr>
          </w:p>
        </w:tc>
        <w:tc>
          <w:tcPr>
            <w:tcW w:w="2424" w:type="dxa"/>
            <w:tcBorders>
              <w:top w:val="nil"/>
              <w:bottom w:val="single" w:sz="4" w:space="0" w:color="auto"/>
            </w:tcBorders>
            <w:noWrap/>
          </w:tcPr>
          <w:p w14:paraId="2E2B3724" w14:textId="5A7A6542" w:rsidR="005D5989" w:rsidRPr="00004332" w:rsidRDefault="009D0C9E" w:rsidP="00A32409">
            <w:pPr>
              <w:rPr>
                <w:sz w:val="20"/>
                <w:szCs w:val="20"/>
              </w:rPr>
            </w:pPr>
            <w:r>
              <w:rPr>
                <w:sz w:val="20"/>
                <w:szCs w:val="20"/>
              </w:rPr>
              <w:t>(134,467,161 - 135,329,457)</w:t>
            </w:r>
          </w:p>
        </w:tc>
        <w:tc>
          <w:tcPr>
            <w:tcW w:w="2425" w:type="dxa"/>
            <w:tcBorders>
              <w:top w:val="nil"/>
              <w:bottom w:val="single" w:sz="4" w:space="0" w:color="auto"/>
            </w:tcBorders>
            <w:noWrap/>
          </w:tcPr>
          <w:p w14:paraId="4AEF3678" w14:textId="6841B6B9" w:rsidR="005D5989" w:rsidRPr="00004332" w:rsidRDefault="009D0C9E" w:rsidP="00A32409">
            <w:pPr>
              <w:rPr>
                <w:sz w:val="20"/>
                <w:szCs w:val="20"/>
              </w:rPr>
            </w:pPr>
            <w:r>
              <w:rPr>
                <w:sz w:val="20"/>
                <w:szCs w:val="20"/>
              </w:rPr>
              <w:t>(134,439,483 - 135,305,838)</w:t>
            </w:r>
          </w:p>
        </w:tc>
        <w:tc>
          <w:tcPr>
            <w:tcW w:w="2425" w:type="dxa"/>
            <w:tcBorders>
              <w:top w:val="nil"/>
              <w:bottom w:val="single" w:sz="4" w:space="0" w:color="auto"/>
            </w:tcBorders>
            <w:noWrap/>
          </w:tcPr>
          <w:p w14:paraId="560983FE" w14:textId="6A5990C1" w:rsidR="005D5989" w:rsidRPr="00004332" w:rsidRDefault="002E78D3" w:rsidP="00A32409">
            <w:pPr>
              <w:rPr>
                <w:sz w:val="20"/>
                <w:szCs w:val="20"/>
              </w:rPr>
            </w:pPr>
            <w:r>
              <w:rPr>
                <w:sz w:val="20"/>
                <w:szCs w:val="20"/>
              </w:rPr>
              <w:t>(134,407,261 - 135,275,106)</w:t>
            </w:r>
          </w:p>
        </w:tc>
        <w:tc>
          <w:tcPr>
            <w:tcW w:w="2425" w:type="dxa"/>
            <w:tcBorders>
              <w:top w:val="nil"/>
              <w:bottom w:val="single" w:sz="4" w:space="0" w:color="auto"/>
            </w:tcBorders>
            <w:noWrap/>
          </w:tcPr>
          <w:p w14:paraId="46197E6A" w14:textId="432FF207" w:rsidR="005D5989" w:rsidRPr="00004332" w:rsidRDefault="002E78D3" w:rsidP="00A32409">
            <w:pPr>
              <w:rPr>
                <w:sz w:val="20"/>
                <w:szCs w:val="20"/>
              </w:rPr>
            </w:pPr>
            <w:r>
              <w:rPr>
                <w:sz w:val="20"/>
                <w:szCs w:val="20"/>
              </w:rPr>
              <w:t>(134,513,538 - 135,370,673)</w:t>
            </w:r>
          </w:p>
        </w:tc>
        <w:tc>
          <w:tcPr>
            <w:tcW w:w="2425" w:type="dxa"/>
            <w:tcBorders>
              <w:top w:val="nil"/>
              <w:bottom w:val="single" w:sz="4" w:space="0" w:color="auto"/>
            </w:tcBorders>
            <w:noWrap/>
          </w:tcPr>
          <w:p w14:paraId="5B138BDD" w14:textId="6DB35B4F" w:rsidR="005D5989" w:rsidRPr="00004332" w:rsidRDefault="009D0C9E" w:rsidP="00A32409">
            <w:pPr>
              <w:rPr>
                <w:sz w:val="20"/>
                <w:szCs w:val="20"/>
              </w:rPr>
            </w:pPr>
            <w:r>
              <w:rPr>
                <w:sz w:val="20"/>
                <w:szCs w:val="20"/>
              </w:rPr>
              <w:t>(134,147,224 - 135,039,482)</w:t>
            </w:r>
          </w:p>
        </w:tc>
      </w:tr>
      <w:tr w:rsidR="005D5989" w:rsidRPr="00004332" w14:paraId="5FF2AE17" w14:textId="77777777" w:rsidTr="00646277">
        <w:trPr>
          <w:trHeight w:val="300"/>
        </w:trPr>
        <w:tc>
          <w:tcPr>
            <w:tcW w:w="2050" w:type="dxa"/>
            <w:vMerge w:val="restart"/>
            <w:noWrap/>
            <w:hideMark/>
          </w:tcPr>
          <w:p w14:paraId="71B721DD" w14:textId="5460CC65" w:rsidR="005D5989" w:rsidRPr="00004332" w:rsidRDefault="000E310F" w:rsidP="004B2749">
            <w:pPr>
              <w:rPr>
                <w:sz w:val="20"/>
                <w:szCs w:val="20"/>
              </w:rPr>
            </w:pPr>
            <w:r>
              <w:rPr>
                <w:sz w:val="20"/>
                <w:szCs w:val="20"/>
              </w:rPr>
              <w:t xml:space="preserve">  </w:t>
            </w:r>
            <w:r w:rsidR="005D5989" w:rsidRPr="00004332">
              <w:rPr>
                <w:sz w:val="20"/>
                <w:szCs w:val="20"/>
              </w:rPr>
              <w:t>£30,000 WTP threshold</w:t>
            </w:r>
          </w:p>
        </w:tc>
        <w:tc>
          <w:tcPr>
            <w:tcW w:w="2424" w:type="dxa"/>
            <w:tcBorders>
              <w:bottom w:val="nil"/>
            </w:tcBorders>
            <w:noWrap/>
          </w:tcPr>
          <w:p w14:paraId="0D38555C" w14:textId="77777777" w:rsidR="005D5989" w:rsidRDefault="00646277" w:rsidP="00A32409">
            <w:pPr>
              <w:rPr>
                <w:sz w:val="20"/>
                <w:szCs w:val="20"/>
              </w:rPr>
            </w:pPr>
            <w:r>
              <w:rPr>
                <w:sz w:val="20"/>
                <w:szCs w:val="20"/>
              </w:rPr>
              <w:t>203,180,577</w:t>
            </w:r>
          </w:p>
          <w:p w14:paraId="199B1918" w14:textId="3B287690" w:rsidR="00646277" w:rsidRPr="00004332" w:rsidRDefault="00646277" w:rsidP="00A32409">
            <w:pPr>
              <w:rPr>
                <w:sz w:val="20"/>
                <w:szCs w:val="20"/>
              </w:rPr>
            </w:pPr>
            <w:r>
              <w:rPr>
                <w:sz w:val="20"/>
                <w:szCs w:val="20"/>
              </w:rPr>
              <w:t>(202,601,927 - 203,759,228)</w:t>
            </w:r>
          </w:p>
        </w:tc>
        <w:tc>
          <w:tcPr>
            <w:tcW w:w="2425" w:type="dxa"/>
            <w:tcBorders>
              <w:bottom w:val="nil"/>
            </w:tcBorders>
            <w:noWrap/>
          </w:tcPr>
          <w:p w14:paraId="5E702BC4" w14:textId="77777777" w:rsidR="005D5989" w:rsidRDefault="00646277" w:rsidP="00A32409">
            <w:pPr>
              <w:rPr>
                <w:sz w:val="20"/>
                <w:szCs w:val="20"/>
              </w:rPr>
            </w:pPr>
            <w:r>
              <w:rPr>
                <w:sz w:val="20"/>
                <w:szCs w:val="20"/>
              </w:rPr>
              <w:t>203,144,739</w:t>
            </w:r>
          </w:p>
          <w:p w14:paraId="6E1E604B" w14:textId="25E41C90" w:rsidR="00646277" w:rsidRPr="00004332" w:rsidRDefault="00646277" w:rsidP="00A32409">
            <w:pPr>
              <w:rPr>
                <w:sz w:val="20"/>
                <w:szCs w:val="20"/>
              </w:rPr>
            </w:pPr>
            <w:r>
              <w:rPr>
                <w:sz w:val="20"/>
                <w:szCs w:val="20"/>
              </w:rPr>
              <w:t>(202,563,347 - 203,682,603)</w:t>
            </w:r>
          </w:p>
        </w:tc>
        <w:tc>
          <w:tcPr>
            <w:tcW w:w="2425" w:type="dxa"/>
            <w:tcBorders>
              <w:bottom w:val="nil"/>
            </w:tcBorders>
            <w:noWrap/>
          </w:tcPr>
          <w:p w14:paraId="53923408" w14:textId="77777777" w:rsidR="005D5989" w:rsidRDefault="00646277" w:rsidP="00A32409">
            <w:pPr>
              <w:rPr>
                <w:sz w:val="20"/>
                <w:szCs w:val="20"/>
              </w:rPr>
            </w:pPr>
            <w:r>
              <w:rPr>
                <w:sz w:val="20"/>
                <w:szCs w:val="20"/>
              </w:rPr>
              <w:t>203,100,060</w:t>
            </w:r>
          </w:p>
          <w:p w14:paraId="1E610E64" w14:textId="0E3F1A64" w:rsidR="00646277" w:rsidRPr="00004332" w:rsidRDefault="00646277" w:rsidP="00A32409">
            <w:pPr>
              <w:rPr>
                <w:sz w:val="20"/>
                <w:szCs w:val="20"/>
              </w:rPr>
            </w:pPr>
            <w:r>
              <w:rPr>
                <w:sz w:val="20"/>
                <w:szCs w:val="20"/>
              </w:rPr>
              <w:t>(202,517,517 - 203,682,603)</w:t>
            </w:r>
          </w:p>
        </w:tc>
        <w:tc>
          <w:tcPr>
            <w:tcW w:w="2425" w:type="dxa"/>
            <w:tcBorders>
              <w:bottom w:val="nil"/>
            </w:tcBorders>
            <w:noWrap/>
          </w:tcPr>
          <w:p w14:paraId="14373661" w14:textId="77777777" w:rsidR="005D5989" w:rsidRDefault="00646277" w:rsidP="00A32409">
            <w:pPr>
              <w:rPr>
                <w:sz w:val="20"/>
                <w:szCs w:val="20"/>
              </w:rPr>
            </w:pPr>
            <w:r>
              <w:rPr>
                <w:sz w:val="20"/>
                <w:szCs w:val="20"/>
              </w:rPr>
              <w:t>203,242,828</w:t>
            </w:r>
          </w:p>
          <w:p w14:paraId="0C71D072" w14:textId="322D9F2D" w:rsidR="00646277" w:rsidRPr="00004332" w:rsidRDefault="00646277" w:rsidP="00A32409">
            <w:pPr>
              <w:rPr>
                <w:sz w:val="20"/>
                <w:szCs w:val="20"/>
              </w:rPr>
            </w:pPr>
            <w:r>
              <w:rPr>
                <w:sz w:val="20"/>
                <w:szCs w:val="20"/>
              </w:rPr>
              <w:t>(202,667,604 - 203,818,053)</w:t>
            </w:r>
          </w:p>
        </w:tc>
        <w:tc>
          <w:tcPr>
            <w:tcW w:w="2425" w:type="dxa"/>
            <w:tcBorders>
              <w:bottom w:val="nil"/>
            </w:tcBorders>
            <w:noWrap/>
          </w:tcPr>
          <w:p w14:paraId="16428E01" w14:textId="77777777" w:rsidR="005D5989" w:rsidRDefault="00646277" w:rsidP="00A32409">
            <w:pPr>
              <w:rPr>
                <w:sz w:val="20"/>
                <w:szCs w:val="20"/>
              </w:rPr>
            </w:pPr>
            <w:r>
              <w:rPr>
                <w:sz w:val="20"/>
                <w:szCs w:val="20"/>
              </w:rPr>
              <w:t>202,746,098</w:t>
            </w:r>
          </w:p>
          <w:p w14:paraId="05566F26" w14:textId="1B405665" w:rsidR="00646277" w:rsidRPr="00004332" w:rsidRDefault="00646277" w:rsidP="00A32409">
            <w:pPr>
              <w:rPr>
                <w:sz w:val="20"/>
                <w:szCs w:val="20"/>
              </w:rPr>
            </w:pPr>
            <w:r>
              <w:rPr>
                <w:sz w:val="20"/>
                <w:szCs w:val="20"/>
              </w:rPr>
              <w:t>(202,146,931 - 203,345,265)</w:t>
            </w:r>
          </w:p>
        </w:tc>
      </w:tr>
      <w:tr w:rsidR="005D5989" w:rsidRPr="00004332" w14:paraId="72047D23" w14:textId="77777777" w:rsidTr="001967E5">
        <w:trPr>
          <w:trHeight w:val="300"/>
        </w:trPr>
        <w:tc>
          <w:tcPr>
            <w:tcW w:w="2050" w:type="dxa"/>
            <w:vMerge/>
            <w:noWrap/>
          </w:tcPr>
          <w:p w14:paraId="7C0D856A" w14:textId="252DEB6D" w:rsidR="005D5989" w:rsidRPr="00004332" w:rsidRDefault="005D5989" w:rsidP="00A32409">
            <w:pPr>
              <w:rPr>
                <w:sz w:val="20"/>
                <w:szCs w:val="20"/>
              </w:rPr>
            </w:pPr>
          </w:p>
        </w:tc>
        <w:tc>
          <w:tcPr>
            <w:tcW w:w="2424" w:type="dxa"/>
            <w:tcBorders>
              <w:top w:val="nil"/>
            </w:tcBorders>
            <w:noWrap/>
          </w:tcPr>
          <w:p w14:paraId="2DC42447" w14:textId="4B2C05EE" w:rsidR="005D5989" w:rsidRPr="00004332" w:rsidRDefault="005D5989" w:rsidP="00A32409">
            <w:pPr>
              <w:rPr>
                <w:sz w:val="20"/>
                <w:szCs w:val="20"/>
              </w:rPr>
            </w:pPr>
          </w:p>
        </w:tc>
        <w:tc>
          <w:tcPr>
            <w:tcW w:w="2425" w:type="dxa"/>
            <w:tcBorders>
              <w:top w:val="nil"/>
            </w:tcBorders>
            <w:noWrap/>
          </w:tcPr>
          <w:p w14:paraId="58B07981" w14:textId="72EC48B6" w:rsidR="005D5989" w:rsidRPr="00004332" w:rsidRDefault="005D5989" w:rsidP="00A32409">
            <w:pPr>
              <w:rPr>
                <w:sz w:val="20"/>
                <w:szCs w:val="20"/>
              </w:rPr>
            </w:pPr>
          </w:p>
        </w:tc>
        <w:tc>
          <w:tcPr>
            <w:tcW w:w="2425" w:type="dxa"/>
            <w:tcBorders>
              <w:top w:val="nil"/>
            </w:tcBorders>
            <w:noWrap/>
          </w:tcPr>
          <w:p w14:paraId="05322F2C" w14:textId="6DAE525E" w:rsidR="005D5989" w:rsidRPr="00004332" w:rsidRDefault="005D5989" w:rsidP="00A32409">
            <w:pPr>
              <w:rPr>
                <w:sz w:val="20"/>
                <w:szCs w:val="20"/>
              </w:rPr>
            </w:pPr>
          </w:p>
        </w:tc>
        <w:tc>
          <w:tcPr>
            <w:tcW w:w="2425" w:type="dxa"/>
            <w:tcBorders>
              <w:top w:val="nil"/>
            </w:tcBorders>
            <w:noWrap/>
          </w:tcPr>
          <w:p w14:paraId="71484E46" w14:textId="77D72BDA" w:rsidR="005D5989" w:rsidRPr="00004332" w:rsidRDefault="005D5989" w:rsidP="00A32409">
            <w:pPr>
              <w:rPr>
                <w:sz w:val="20"/>
                <w:szCs w:val="20"/>
              </w:rPr>
            </w:pPr>
          </w:p>
        </w:tc>
        <w:tc>
          <w:tcPr>
            <w:tcW w:w="2425" w:type="dxa"/>
            <w:tcBorders>
              <w:top w:val="nil"/>
            </w:tcBorders>
            <w:noWrap/>
          </w:tcPr>
          <w:p w14:paraId="7DEFC278" w14:textId="14BA4B3A" w:rsidR="005D5989" w:rsidRPr="00004332" w:rsidRDefault="005D5989" w:rsidP="00A32409">
            <w:pPr>
              <w:rPr>
                <w:sz w:val="20"/>
                <w:szCs w:val="20"/>
              </w:rPr>
            </w:pPr>
          </w:p>
        </w:tc>
      </w:tr>
      <w:tr w:rsidR="00DC3F63" w:rsidRPr="00FB4FB3" w14:paraId="4A350A33" w14:textId="77777777" w:rsidTr="00A32409">
        <w:trPr>
          <w:trHeight w:val="300"/>
        </w:trPr>
        <w:tc>
          <w:tcPr>
            <w:tcW w:w="2050" w:type="dxa"/>
            <w:noWrap/>
            <w:hideMark/>
          </w:tcPr>
          <w:p w14:paraId="57E12A5A" w14:textId="77777777" w:rsidR="00C21386" w:rsidRPr="000E310F" w:rsidRDefault="00DC3F63" w:rsidP="00A32409">
            <w:pPr>
              <w:rPr>
                <w:sz w:val="20"/>
                <w:szCs w:val="20"/>
              </w:rPr>
            </w:pPr>
            <w:r w:rsidRPr="000E310F">
              <w:rPr>
                <w:sz w:val="20"/>
                <w:szCs w:val="20"/>
              </w:rPr>
              <w:t>Events</w:t>
            </w:r>
            <w:r w:rsidR="004B2749" w:rsidRPr="000E310F">
              <w:rPr>
                <w:sz w:val="20"/>
                <w:szCs w:val="20"/>
              </w:rPr>
              <w:t>,</w:t>
            </w:r>
          </w:p>
          <w:p w14:paraId="78853102" w14:textId="6E8A6E35" w:rsidR="00DC3F63" w:rsidRPr="00FB4FB3" w:rsidRDefault="004B2749" w:rsidP="00A32409">
            <w:pPr>
              <w:rPr>
                <w:b/>
                <w:sz w:val="20"/>
                <w:szCs w:val="20"/>
              </w:rPr>
            </w:pPr>
            <w:r w:rsidRPr="000E310F">
              <w:rPr>
                <w:sz w:val="20"/>
                <w:szCs w:val="20"/>
              </w:rPr>
              <w:t>mean (95% CI)</w:t>
            </w:r>
          </w:p>
        </w:tc>
        <w:tc>
          <w:tcPr>
            <w:tcW w:w="2424" w:type="dxa"/>
          </w:tcPr>
          <w:p w14:paraId="28B61656" w14:textId="77777777" w:rsidR="00DC3F63" w:rsidRPr="00FB4FB3" w:rsidRDefault="00DC3F63" w:rsidP="00A32409">
            <w:pPr>
              <w:rPr>
                <w:b/>
                <w:sz w:val="20"/>
                <w:szCs w:val="20"/>
              </w:rPr>
            </w:pPr>
          </w:p>
        </w:tc>
        <w:tc>
          <w:tcPr>
            <w:tcW w:w="2425" w:type="dxa"/>
          </w:tcPr>
          <w:p w14:paraId="6C83976A" w14:textId="77777777" w:rsidR="00DC3F63" w:rsidRPr="00FB4FB3" w:rsidRDefault="00DC3F63" w:rsidP="00A32409">
            <w:pPr>
              <w:rPr>
                <w:b/>
                <w:sz w:val="20"/>
                <w:szCs w:val="20"/>
              </w:rPr>
            </w:pPr>
          </w:p>
        </w:tc>
        <w:tc>
          <w:tcPr>
            <w:tcW w:w="2425" w:type="dxa"/>
          </w:tcPr>
          <w:p w14:paraId="0F54A3DD" w14:textId="77777777" w:rsidR="00DC3F63" w:rsidRPr="00FB4FB3" w:rsidRDefault="00DC3F63" w:rsidP="00A32409">
            <w:pPr>
              <w:rPr>
                <w:b/>
                <w:sz w:val="20"/>
                <w:szCs w:val="20"/>
              </w:rPr>
            </w:pPr>
          </w:p>
        </w:tc>
        <w:tc>
          <w:tcPr>
            <w:tcW w:w="2425" w:type="dxa"/>
          </w:tcPr>
          <w:p w14:paraId="3D1F0D68" w14:textId="77777777" w:rsidR="00DC3F63" w:rsidRPr="00FB4FB3" w:rsidRDefault="00DC3F63" w:rsidP="00A32409">
            <w:pPr>
              <w:rPr>
                <w:b/>
                <w:sz w:val="20"/>
                <w:szCs w:val="20"/>
              </w:rPr>
            </w:pPr>
          </w:p>
        </w:tc>
        <w:tc>
          <w:tcPr>
            <w:tcW w:w="2425" w:type="dxa"/>
          </w:tcPr>
          <w:p w14:paraId="6B522A7E" w14:textId="77777777" w:rsidR="00DC3F63" w:rsidRPr="00FB4FB3" w:rsidRDefault="00DC3F63" w:rsidP="00A32409">
            <w:pPr>
              <w:rPr>
                <w:b/>
                <w:sz w:val="20"/>
                <w:szCs w:val="20"/>
              </w:rPr>
            </w:pPr>
          </w:p>
        </w:tc>
      </w:tr>
      <w:tr w:rsidR="00DA4270" w:rsidRPr="00004332" w14:paraId="0FF1F636" w14:textId="77777777" w:rsidTr="00646277">
        <w:trPr>
          <w:trHeight w:val="300"/>
        </w:trPr>
        <w:tc>
          <w:tcPr>
            <w:tcW w:w="2050" w:type="dxa"/>
            <w:noWrap/>
            <w:hideMark/>
          </w:tcPr>
          <w:p w14:paraId="3C997211" w14:textId="208E22B9" w:rsidR="00DA4270" w:rsidRPr="00004332" w:rsidRDefault="000E310F" w:rsidP="00116D02">
            <w:pPr>
              <w:rPr>
                <w:sz w:val="20"/>
                <w:szCs w:val="20"/>
              </w:rPr>
            </w:pPr>
            <w:r>
              <w:rPr>
                <w:sz w:val="20"/>
                <w:szCs w:val="20"/>
              </w:rPr>
              <w:t xml:space="preserve">  </w:t>
            </w:r>
            <w:r w:rsidR="00DA4270" w:rsidRPr="00004332">
              <w:rPr>
                <w:sz w:val="20"/>
                <w:szCs w:val="20"/>
              </w:rPr>
              <w:t>Primary non-fatal CHD</w:t>
            </w:r>
          </w:p>
        </w:tc>
        <w:tc>
          <w:tcPr>
            <w:tcW w:w="2424" w:type="dxa"/>
            <w:noWrap/>
          </w:tcPr>
          <w:p w14:paraId="65B9C466" w14:textId="449D7C7A" w:rsidR="00DA4270" w:rsidRPr="00004332" w:rsidRDefault="000F3F85" w:rsidP="00116D02">
            <w:pPr>
              <w:rPr>
                <w:sz w:val="20"/>
                <w:szCs w:val="20"/>
              </w:rPr>
            </w:pPr>
            <w:r>
              <w:rPr>
                <w:sz w:val="20"/>
                <w:szCs w:val="20"/>
              </w:rPr>
              <w:t>81.87 (75.70 - 88.05)</w:t>
            </w:r>
          </w:p>
        </w:tc>
        <w:tc>
          <w:tcPr>
            <w:tcW w:w="2425" w:type="dxa"/>
            <w:noWrap/>
          </w:tcPr>
          <w:p w14:paraId="22B06F2C" w14:textId="0891BADC" w:rsidR="00DA4270" w:rsidRPr="00004332" w:rsidRDefault="00E45DD9" w:rsidP="00116D02">
            <w:pPr>
              <w:rPr>
                <w:sz w:val="20"/>
                <w:szCs w:val="20"/>
              </w:rPr>
            </w:pPr>
            <w:r>
              <w:rPr>
                <w:sz w:val="20"/>
                <w:szCs w:val="20"/>
              </w:rPr>
              <w:t>82.53 (76.33 - 88.74)</w:t>
            </w:r>
          </w:p>
        </w:tc>
        <w:tc>
          <w:tcPr>
            <w:tcW w:w="2425" w:type="dxa"/>
            <w:noWrap/>
          </w:tcPr>
          <w:p w14:paraId="65A5B6F6" w14:textId="357BF597" w:rsidR="00DA4270" w:rsidRPr="00004332" w:rsidRDefault="000F3F85" w:rsidP="00116D02">
            <w:pPr>
              <w:rPr>
                <w:sz w:val="20"/>
                <w:szCs w:val="20"/>
              </w:rPr>
            </w:pPr>
            <w:r>
              <w:rPr>
                <w:sz w:val="20"/>
                <w:szCs w:val="20"/>
              </w:rPr>
              <w:t>82.98 (76.76 - 89.21)</w:t>
            </w:r>
          </w:p>
        </w:tc>
        <w:tc>
          <w:tcPr>
            <w:tcW w:w="2425" w:type="dxa"/>
            <w:noWrap/>
          </w:tcPr>
          <w:p w14:paraId="2168DC40" w14:textId="78F2E8A9" w:rsidR="00DA4270" w:rsidRPr="00004332" w:rsidRDefault="00E45DD9" w:rsidP="00116D02">
            <w:pPr>
              <w:rPr>
                <w:sz w:val="20"/>
                <w:szCs w:val="20"/>
              </w:rPr>
            </w:pPr>
            <w:r>
              <w:rPr>
                <w:sz w:val="20"/>
                <w:szCs w:val="20"/>
              </w:rPr>
              <w:t>81.25 (75.14 - 87.37)</w:t>
            </w:r>
          </w:p>
        </w:tc>
        <w:tc>
          <w:tcPr>
            <w:tcW w:w="2425" w:type="dxa"/>
            <w:noWrap/>
          </w:tcPr>
          <w:p w14:paraId="4ED657C5" w14:textId="5CD16223" w:rsidR="00DA4270" w:rsidRPr="00004332" w:rsidRDefault="00646277" w:rsidP="00116D02">
            <w:pPr>
              <w:rPr>
                <w:sz w:val="20"/>
                <w:szCs w:val="20"/>
              </w:rPr>
            </w:pPr>
            <w:r>
              <w:rPr>
                <w:sz w:val="20"/>
                <w:szCs w:val="20"/>
              </w:rPr>
              <w:t>87.57 (81.12 - 94.02)</w:t>
            </w:r>
          </w:p>
        </w:tc>
      </w:tr>
      <w:tr w:rsidR="00DA4270" w:rsidRPr="00004332" w14:paraId="45A1FC3E" w14:textId="77777777" w:rsidTr="00646277">
        <w:trPr>
          <w:trHeight w:val="300"/>
        </w:trPr>
        <w:tc>
          <w:tcPr>
            <w:tcW w:w="2050" w:type="dxa"/>
            <w:noWrap/>
            <w:hideMark/>
          </w:tcPr>
          <w:p w14:paraId="507F40B2" w14:textId="07D6D97E" w:rsidR="00DA4270" w:rsidRPr="00004332" w:rsidRDefault="000E310F" w:rsidP="00116D02">
            <w:pPr>
              <w:rPr>
                <w:sz w:val="20"/>
                <w:szCs w:val="20"/>
              </w:rPr>
            </w:pPr>
            <w:r>
              <w:rPr>
                <w:sz w:val="20"/>
                <w:szCs w:val="20"/>
              </w:rPr>
              <w:t xml:space="preserve">  </w:t>
            </w:r>
            <w:r w:rsidR="00DA4270" w:rsidRPr="00004332">
              <w:rPr>
                <w:sz w:val="20"/>
                <w:szCs w:val="20"/>
              </w:rPr>
              <w:t>Primary fatal CHD</w:t>
            </w:r>
          </w:p>
        </w:tc>
        <w:tc>
          <w:tcPr>
            <w:tcW w:w="2424" w:type="dxa"/>
            <w:noWrap/>
          </w:tcPr>
          <w:p w14:paraId="3CE1C6A7" w14:textId="6CA30256" w:rsidR="00DA4270" w:rsidRPr="00004332" w:rsidRDefault="000F3F85" w:rsidP="00116D02">
            <w:pPr>
              <w:rPr>
                <w:sz w:val="20"/>
                <w:szCs w:val="20"/>
              </w:rPr>
            </w:pPr>
            <w:r>
              <w:rPr>
                <w:sz w:val="20"/>
                <w:szCs w:val="20"/>
              </w:rPr>
              <w:t>9.26 (8.56 - 9.95)</w:t>
            </w:r>
          </w:p>
        </w:tc>
        <w:tc>
          <w:tcPr>
            <w:tcW w:w="2425" w:type="dxa"/>
            <w:noWrap/>
          </w:tcPr>
          <w:p w14:paraId="3C8ED447" w14:textId="59BA4890" w:rsidR="00DA4270" w:rsidRPr="00004332" w:rsidRDefault="00E45DD9" w:rsidP="00116D02">
            <w:pPr>
              <w:rPr>
                <w:sz w:val="20"/>
                <w:szCs w:val="20"/>
              </w:rPr>
            </w:pPr>
            <w:r>
              <w:rPr>
                <w:sz w:val="20"/>
                <w:szCs w:val="20"/>
              </w:rPr>
              <w:t>9.33 (8.63 - 10.03)</w:t>
            </w:r>
          </w:p>
        </w:tc>
        <w:tc>
          <w:tcPr>
            <w:tcW w:w="2425" w:type="dxa"/>
            <w:noWrap/>
          </w:tcPr>
          <w:p w14:paraId="4E7278F1" w14:textId="6F897FBD" w:rsidR="00DA4270" w:rsidRPr="00004332" w:rsidRDefault="000F3F85" w:rsidP="00116D02">
            <w:pPr>
              <w:rPr>
                <w:sz w:val="20"/>
                <w:szCs w:val="20"/>
              </w:rPr>
            </w:pPr>
            <w:r>
              <w:rPr>
                <w:sz w:val="20"/>
                <w:szCs w:val="20"/>
              </w:rPr>
              <w:t>9.38 (8.68 - 10.09)</w:t>
            </w:r>
          </w:p>
        </w:tc>
        <w:tc>
          <w:tcPr>
            <w:tcW w:w="2425" w:type="dxa"/>
            <w:noWrap/>
          </w:tcPr>
          <w:p w14:paraId="18968487" w14:textId="19D49681" w:rsidR="00DA4270" w:rsidRPr="00004332" w:rsidRDefault="00E45DD9" w:rsidP="00116D02">
            <w:pPr>
              <w:rPr>
                <w:sz w:val="20"/>
                <w:szCs w:val="20"/>
              </w:rPr>
            </w:pPr>
            <w:r>
              <w:rPr>
                <w:sz w:val="20"/>
                <w:szCs w:val="20"/>
              </w:rPr>
              <w:t>9.18 (8.49 - 9.87)</w:t>
            </w:r>
          </w:p>
        </w:tc>
        <w:tc>
          <w:tcPr>
            <w:tcW w:w="2425" w:type="dxa"/>
            <w:noWrap/>
          </w:tcPr>
          <w:p w14:paraId="6166F3C0" w14:textId="6A5BBF93" w:rsidR="00DA4270" w:rsidRPr="00004332" w:rsidRDefault="00646277" w:rsidP="00116D02">
            <w:pPr>
              <w:rPr>
                <w:sz w:val="20"/>
                <w:szCs w:val="20"/>
              </w:rPr>
            </w:pPr>
            <w:r>
              <w:rPr>
                <w:sz w:val="20"/>
                <w:szCs w:val="20"/>
              </w:rPr>
              <w:t>9.89 (9.16 - 10.62)</w:t>
            </w:r>
          </w:p>
        </w:tc>
      </w:tr>
      <w:tr w:rsidR="00DA4270" w:rsidRPr="00004332" w14:paraId="3D92E792" w14:textId="77777777" w:rsidTr="00646277">
        <w:trPr>
          <w:trHeight w:val="300"/>
        </w:trPr>
        <w:tc>
          <w:tcPr>
            <w:tcW w:w="2050" w:type="dxa"/>
            <w:noWrap/>
            <w:hideMark/>
          </w:tcPr>
          <w:p w14:paraId="7256BB26" w14:textId="586278C9" w:rsidR="00DA4270" w:rsidRPr="00004332" w:rsidRDefault="000E310F" w:rsidP="00116D02">
            <w:pPr>
              <w:rPr>
                <w:sz w:val="20"/>
                <w:szCs w:val="20"/>
              </w:rPr>
            </w:pPr>
            <w:r>
              <w:rPr>
                <w:sz w:val="20"/>
                <w:szCs w:val="20"/>
              </w:rPr>
              <w:t xml:space="preserve">  </w:t>
            </w:r>
            <w:r w:rsidR="00DA4270" w:rsidRPr="00004332">
              <w:rPr>
                <w:sz w:val="20"/>
                <w:szCs w:val="20"/>
              </w:rPr>
              <w:t>Primary non-fatal stroke</w:t>
            </w:r>
          </w:p>
        </w:tc>
        <w:tc>
          <w:tcPr>
            <w:tcW w:w="2424" w:type="dxa"/>
            <w:noWrap/>
          </w:tcPr>
          <w:p w14:paraId="04569ED7" w14:textId="56F0BD82" w:rsidR="000F3F85" w:rsidRPr="00004332" w:rsidRDefault="000F3F85" w:rsidP="000F3F85">
            <w:pPr>
              <w:rPr>
                <w:sz w:val="20"/>
                <w:szCs w:val="20"/>
              </w:rPr>
            </w:pPr>
            <w:r>
              <w:rPr>
                <w:sz w:val="20"/>
                <w:szCs w:val="20"/>
              </w:rPr>
              <w:t>104.18 (94.50 - 113.86)</w:t>
            </w:r>
          </w:p>
        </w:tc>
        <w:tc>
          <w:tcPr>
            <w:tcW w:w="2425" w:type="dxa"/>
            <w:noWrap/>
          </w:tcPr>
          <w:p w14:paraId="0A183F27" w14:textId="5A7E9075" w:rsidR="00DA4270" w:rsidRPr="00004332" w:rsidRDefault="00E45DD9" w:rsidP="00116D02">
            <w:pPr>
              <w:rPr>
                <w:sz w:val="20"/>
                <w:szCs w:val="20"/>
              </w:rPr>
            </w:pPr>
            <w:r>
              <w:rPr>
                <w:sz w:val="20"/>
                <w:szCs w:val="20"/>
              </w:rPr>
              <w:t>104.64 (94.93 - 114.35)</w:t>
            </w:r>
          </w:p>
        </w:tc>
        <w:tc>
          <w:tcPr>
            <w:tcW w:w="2425" w:type="dxa"/>
            <w:noWrap/>
          </w:tcPr>
          <w:p w14:paraId="5F3B729D" w14:textId="08F6665B" w:rsidR="00DA4270" w:rsidRPr="00004332" w:rsidRDefault="000F3F85" w:rsidP="00116D02">
            <w:pPr>
              <w:rPr>
                <w:sz w:val="20"/>
                <w:szCs w:val="20"/>
              </w:rPr>
            </w:pPr>
            <w:r>
              <w:rPr>
                <w:sz w:val="20"/>
                <w:szCs w:val="20"/>
              </w:rPr>
              <w:t>104.92 (95.21 - 114.63)</w:t>
            </w:r>
          </w:p>
        </w:tc>
        <w:tc>
          <w:tcPr>
            <w:tcW w:w="2425" w:type="dxa"/>
            <w:noWrap/>
          </w:tcPr>
          <w:p w14:paraId="06A8DAC3" w14:textId="0B9E9720" w:rsidR="00DA4270" w:rsidRPr="00004332" w:rsidRDefault="00E45DD9" w:rsidP="00116D02">
            <w:pPr>
              <w:rPr>
                <w:sz w:val="20"/>
                <w:szCs w:val="20"/>
              </w:rPr>
            </w:pPr>
            <w:r>
              <w:rPr>
                <w:sz w:val="20"/>
                <w:szCs w:val="20"/>
              </w:rPr>
              <w:t>103.43 (93.80 - 113.06)</w:t>
            </w:r>
          </w:p>
        </w:tc>
        <w:tc>
          <w:tcPr>
            <w:tcW w:w="2425" w:type="dxa"/>
            <w:noWrap/>
          </w:tcPr>
          <w:p w14:paraId="16DD29A2" w14:textId="284B4326" w:rsidR="00DA4270" w:rsidRPr="00004332" w:rsidRDefault="00646277" w:rsidP="00116D02">
            <w:pPr>
              <w:rPr>
                <w:sz w:val="20"/>
                <w:szCs w:val="20"/>
              </w:rPr>
            </w:pPr>
            <w:r>
              <w:rPr>
                <w:sz w:val="20"/>
                <w:szCs w:val="20"/>
              </w:rPr>
              <w:t>108.77 (98.91 - 118.63)</w:t>
            </w:r>
          </w:p>
        </w:tc>
      </w:tr>
      <w:tr w:rsidR="00DA4270" w:rsidRPr="00004332" w14:paraId="18A3B8EA" w14:textId="77777777" w:rsidTr="00646277">
        <w:trPr>
          <w:trHeight w:val="300"/>
        </w:trPr>
        <w:tc>
          <w:tcPr>
            <w:tcW w:w="2050" w:type="dxa"/>
            <w:noWrap/>
            <w:hideMark/>
          </w:tcPr>
          <w:p w14:paraId="47CA9CF6" w14:textId="7F9F4460" w:rsidR="00DA4270" w:rsidRPr="00004332" w:rsidRDefault="000E310F" w:rsidP="00116D02">
            <w:pPr>
              <w:rPr>
                <w:sz w:val="20"/>
                <w:szCs w:val="20"/>
              </w:rPr>
            </w:pPr>
            <w:r>
              <w:rPr>
                <w:sz w:val="20"/>
                <w:szCs w:val="20"/>
              </w:rPr>
              <w:t xml:space="preserve">  </w:t>
            </w:r>
            <w:r w:rsidR="00DA4270" w:rsidRPr="00004332">
              <w:rPr>
                <w:sz w:val="20"/>
                <w:szCs w:val="20"/>
              </w:rPr>
              <w:t>Primary fatal stroke</w:t>
            </w:r>
          </w:p>
        </w:tc>
        <w:tc>
          <w:tcPr>
            <w:tcW w:w="2424" w:type="dxa"/>
            <w:noWrap/>
          </w:tcPr>
          <w:p w14:paraId="42F469CD" w14:textId="600FBDC9" w:rsidR="00DA4270" w:rsidRPr="00004332" w:rsidRDefault="000F3F85" w:rsidP="00116D02">
            <w:pPr>
              <w:rPr>
                <w:sz w:val="20"/>
                <w:szCs w:val="20"/>
              </w:rPr>
            </w:pPr>
            <w:r>
              <w:rPr>
                <w:sz w:val="20"/>
                <w:szCs w:val="20"/>
              </w:rPr>
              <w:t>7.25 (6.56 - 7.93)</w:t>
            </w:r>
          </w:p>
        </w:tc>
        <w:tc>
          <w:tcPr>
            <w:tcW w:w="2425" w:type="dxa"/>
            <w:noWrap/>
          </w:tcPr>
          <w:p w14:paraId="358BAE8C" w14:textId="4478B1AB" w:rsidR="00DA4270" w:rsidRPr="00004332" w:rsidRDefault="00E45DD9" w:rsidP="00116D02">
            <w:pPr>
              <w:rPr>
                <w:sz w:val="20"/>
                <w:szCs w:val="20"/>
              </w:rPr>
            </w:pPr>
            <w:r>
              <w:rPr>
                <w:sz w:val="20"/>
                <w:szCs w:val="20"/>
              </w:rPr>
              <w:t>7.27 (6.58 - 7.95)</w:t>
            </w:r>
          </w:p>
        </w:tc>
        <w:tc>
          <w:tcPr>
            <w:tcW w:w="2425" w:type="dxa"/>
            <w:noWrap/>
          </w:tcPr>
          <w:p w14:paraId="4AB3F8DD" w14:textId="6FC16BBA" w:rsidR="00DA4270" w:rsidRPr="00004332" w:rsidRDefault="000F3F85" w:rsidP="00116D02">
            <w:pPr>
              <w:rPr>
                <w:sz w:val="20"/>
                <w:szCs w:val="20"/>
              </w:rPr>
            </w:pPr>
            <w:r>
              <w:rPr>
                <w:sz w:val="20"/>
                <w:szCs w:val="20"/>
              </w:rPr>
              <w:t>7.30 (6.62 - 7.99)</w:t>
            </w:r>
          </w:p>
        </w:tc>
        <w:tc>
          <w:tcPr>
            <w:tcW w:w="2425" w:type="dxa"/>
            <w:noWrap/>
          </w:tcPr>
          <w:p w14:paraId="755F257A" w14:textId="5E186C4F" w:rsidR="00DA4270" w:rsidRPr="00004332" w:rsidRDefault="00E45DD9" w:rsidP="00116D02">
            <w:pPr>
              <w:rPr>
                <w:sz w:val="20"/>
                <w:szCs w:val="20"/>
              </w:rPr>
            </w:pPr>
            <w:r>
              <w:rPr>
                <w:sz w:val="20"/>
                <w:szCs w:val="20"/>
              </w:rPr>
              <w:t>7.18 (6.50 - 7.85)</w:t>
            </w:r>
          </w:p>
        </w:tc>
        <w:tc>
          <w:tcPr>
            <w:tcW w:w="2425" w:type="dxa"/>
            <w:noWrap/>
          </w:tcPr>
          <w:p w14:paraId="5E2DA870" w14:textId="69421C79" w:rsidR="00DA4270" w:rsidRPr="00004332" w:rsidRDefault="00646277" w:rsidP="00116D02">
            <w:pPr>
              <w:rPr>
                <w:sz w:val="20"/>
                <w:szCs w:val="20"/>
              </w:rPr>
            </w:pPr>
            <w:r>
              <w:rPr>
                <w:sz w:val="20"/>
                <w:szCs w:val="20"/>
              </w:rPr>
              <w:t>7.55 (6.86 - 8.24)</w:t>
            </w:r>
          </w:p>
        </w:tc>
      </w:tr>
      <w:tr w:rsidR="00DA4270" w:rsidRPr="00004332" w14:paraId="0F3E84B8" w14:textId="77777777" w:rsidTr="00646277">
        <w:trPr>
          <w:trHeight w:val="300"/>
        </w:trPr>
        <w:tc>
          <w:tcPr>
            <w:tcW w:w="2050" w:type="dxa"/>
            <w:noWrap/>
            <w:hideMark/>
          </w:tcPr>
          <w:p w14:paraId="5BF9B5E2" w14:textId="7AA777E9" w:rsidR="00DA4270" w:rsidRPr="00004332" w:rsidRDefault="000E310F" w:rsidP="00116D02">
            <w:pPr>
              <w:rPr>
                <w:sz w:val="20"/>
                <w:szCs w:val="20"/>
              </w:rPr>
            </w:pPr>
            <w:r>
              <w:rPr>
                <w:sz w:val="20"/>
                <w:szCs w:val="20"/>
              </w:rPr>
              <w:t xml:space="preserve">  </w:t>
            </w:r>
            <w:r w:rsidR="00DA4270" w:rsidRPr="00004332">
              <w:rPr>
                <w:sz w:val="20"/>
                <w:szCs w:val="20"/>
              </w:rPr>
              <w:t>Secondary non-fatal CVD</w:t>
            </w:r>
          </w:p>
        </w:tc>
        <w:tc>
          <w:tcPr>
            <w:tcW w:w="2424" w:type="dxa"/>
            <w:noWrap/>
          </w:tcPr>
          <w:p w14:paraId="15C386E1" w14:textId="008DEED3" w:rsidR="00DA4270" w:rsidRPr="00004332" w:rsidRDefault="000F3F85" w:rsidP="00116D02">
            <w:pPr>
              <w:rPr>
                <w:sz w:val="20"/>
                <w:szCs w:val="20"/>
              </w:rPr>
            </w:pPr>
            <w:r>
              <w:rPr>
                <w:sz w:val="20"/>
                <w:szCs w:val="20"/>
              </w:rPr>
              <w:t>14.77 (13.73 - 15.81)</w:t>
            </w:r>
          </w:p>
        </w:tc>
        <w:tc>
          <w:tcPr>
            <w:tcW w:w="2425" w:type="dxa"/>
            <w:noWrap/>
          </w:tcPr>
          <w:p w14:paraId="091A2F2C" w14:textId="6544CCCD" w:rsidR="00DA4270" w:rsidRPr="00004332" w:rsidRDefault="00E45DD9" w:rsidP="00116D02">
            <w:pPr>
              <w:rPr>
                <w:sz w:val="20"/>
                <w:szCs w:val="20"/>
              </w:rPr>
            </w:pPr>
            <w:r>
              <w:rPr>
                <w:sz w:val="20"/>
                <w:szCs w:val="20"/>
              </w:rPr>
              <w:t>14.97 (13.92 - 16.03)</w:t>
            </w:r>
          </w:p>
        </w:tc>
        <w:tc>
          <w:tcPr>
            <w:tcW w:w="2425" w:type="dxa"/>
            <w:noWrap/>
          </w:tcPr>
          <w:p w14:paraId="4C905EC2" w14:textId="6A4EA106" w:rsidR="00DA4270" w:rsidRPr="00004332" w:rsidRDefault="000F3F85" w:rsidP="00116D02">
            <w:pPr>
              <w:rPr>
                <w:sz w:val="20"/>
                <w:szCs w:val="20"/>
              </w:rPr>
            </w:pPr>
            <w:r>
              <w:rPr>
                <w:sz w:val="20"/>
                <w:szCs w:val="20"/>
              </w:rPr>
              <w:t>15.15 (14.09 - 16.21)</w:t>
            </w:r>
          </w:p>
        </w:tc>
        <w:tc>
          <w:tcPr>
            <w:tcW w:w="2425" w:type="dxa"/>
            <w:noWrap/>
          </w:tcPr>
          <w:p w14:paraId="59902605" w14:textId="69FFE9B0" w:rsidR="00DA4270" w:rsidRPr="00004332" w:rsidRDefault="00E45DD9" w:rsidP="00116D02">
            <w:pPr>
              <w:rPr>
                <w:sz w:val="20"/>
                <w:szCs w:val="20"/>
              </w:rPr>
            </w:pPr>
            <w:r>
              <w:rPr>
                <w:sz w:val="20"/>
                <w:szCs w:val="20"/>
              </w:rPr>
              <w:t>14.48 (13.46 - 15.50)</w:t>
            </w:r>
          </w:p>
        </w:tc>
        <w:tc>
          <w:tcPr>
            <w:tcW w:w="2425" w:type="dxa"/>
            <w:noWrap/>
          </w:tcPr>
          <w:p w14:paraId="0A0F7D17" w14:textId="0588B987" w:rsidR="00DA4270" w:rsidRPr="00004332" w:rsidRDefault="00646277" w:rsidP="00116D02">
            <w:pPr>
              <w:rPr>
                <w:sz w:val="20"/>
                <w:szCs w:val="20"/>
              </w:rPr>
            </w:pPr>
            <w:r>
              <w:rPr>
                <w:sz w:val="20"/>
                <w:szCs w:val="20"/>
              </w:rPr>
              <w:t>17.20 (16.03 - 18.38)</w:t>
            </w:r>
          </w:p>
        </w:tc>
      </w:tr>
      <w:tr w:rsidR="00DA4270" w:rsidRPr="00004332" w14:paraId="5A644F21" w14:textId="77777777" w:rsidTr="00646277">
        <w:trPr>
          <w:trHeight w:val="300"/>
        </w:trPr>
        <w:tc>
          <w:tcPr>
            <w:tcW w:w="2050" w:type="dxa"/>
            <w:noWrap/>
            <w:hideMark/>
          </w:tcPr>
          <w:p w14:paraId="6C764482" w14:textId="05B01631" w:rsidR="00DA4270" w:rsidRPr="00004332" w:rsidRDefault="000E310F" w:rsidP="00116D02">
            <w:pPr>
              <w:rPr>
                <w:sz w:val="20"/>
                <w:szCs w:val="20"/>
              </w:rPr>
            </w:pPr>
            <w:r>
              <w:rPr>
                <w:sz w:val="20"/>
                <w:szCs w:val="20"/>
              </w:rPr>
              <w:t xml:space="preserve">  </w:t>
            </w:r>
            <w:r w:rsidR="00DA4270" w:rsidRPr="00004332">
              <w:rPr>
                <w:sz w:val="20"/>
                <w:szCs w:val="20"/>
              </w:rPr>
              <w:t>Secondary fatal CVD</w:t>
            </w:r>
          </w:p>
        </w:tc>
        <w:tc>
          <w:tcPr>
            <w:tcW w:w="2424" w:type="dxa"/>
            <w:noWrap/>
          </w:tcPr>
          <w:p w14:paraId="102F1BE0" w14:textId="69807824" w:rsidR="00DA4270" w:rsidRPr="00004332" w:rsidRDefault="000F3F85" w:rsidP="00116D02">
            <w:pPr>
              <w:rPr>
                <w:sz w:val="20"/>
                <w:szCs w:val="20"/>
              </w:rPr>
            </w:pPr>
            <w:r>
              <w:rPr>
                <w:sz w:val="20"/>
                <w:szCs w:val="20"/>
              </w:rPr>
              <w:t>6.53 (6.10 - 6.96)</w:t>
            </w:r>
          </w:p>
        </w:tc>
        <w:tc>
          <w:tcPr>
            <w:tcW w:w="2425" w:type="dxa"/>
            <w:noWrap/>
          </w:tcPr>
          <w:p w14:paraId="7A4D2262" w14:textId="1B71D2F4" w:rsidR="00DA4270" w:rsidRPr="00004332" w:rsidRDefault="00E45DD9" w:rsidP="00116D02">
            <w:pPr>
              <w:rPr>
                <w:sz w:val="20"/>
                <w:szCs w:val="20"/>
              </w:rPr>
            </w:pPr>
            <w:r>
              <w:rPr>
                <w:sz w:val="20"/>
                <w:szCs w:val="20"/>
              </w:rPr>
              <w:t>6.64 (6.20 - 7.07)</w:t>
            </w:r>
          </w:p>
        </w:tc>
        <w:tc>
          <w:tcPr>
            <w:tcW w:w="2425" w:type="dxa"/>
            <w:noWrap/>
          </w:tcPr>
          <w:p w14:paraId="7C2D0AC6" w14:textId="65845717" w:rsidR="00DA4270" w:rsidRPr="00004332" w:rsidRDefault="000F3F85" w:rsidP="00116D02">
            <w:pPr>
              <w:rPr>
                <w:sz w:val="20"/>
                <w:szCs w:val="20"/>
              </w:rPr>
            </w:pPr>
            <w:r>
              <w:rPr>
                <w:sz w:val="20"/>
                <w:szCs w:val="20"/>
              </w:rPr>
              <w:t>6.65 (6.22 - 7.09)</w:t>
            </w:r>
          </w:p>
        </w:tc>
        <w:tc>
          <w:tcPr>
            <w:tcW w:w="2425" w:type="dxa"/>
            <w:noWrap/>
          </w:tcPr>
          <w:p w14:paraId="670353D3" w14:textId="19B500B9" w:rsidR="00DA4270" w:rsidRPr="00004332" w:rsidRDefault="00E45DD9" w:rsidP="00116D02">
            <w:pPr>
              <w:rPr>
                <w:sz w:val="20"/>
                <w:szCs w:val="20"/>
              </w:rPr>
            </w:pPr>
            <w:r>
              <w:rPr>
                <w:sz w:val="20"/>
                <w:szCs w:val="20"/>
              </w:rPr>
              <w:t>6.41 (5.99 - 6.83)</w:t>
            </w:r>
          </w:p>
        </w:tc>
        <w:tc>
          <w:tcPr>
            <w:tcW w:w="2425" w:type="dxa"/>
            <w:noWrap/>
          </w:tcPr>
          <w:p w14:paraId="05B3B646" w14:textId="3DEB437C" w:rsidR="00DA4270" w:rsidRPr="00004332" w:rsidRDefault="00646277" w:rsidP="00116D02">
            <w:pPr>
              <w:rPr>
                <w:sz w:val="20"/>
                <w:szCs w:val="20"/>
              </w:rPr>
            </w:pPr>
            <w:r>
              <w:rPr>
                <w:sz w:val="20"/>
                <w:szCs w:val="20"/>
              </w:rPr>
              <w:t>7.78 (7.28 - 8.27)</w:t>
            </w:r>
          </w:p>
        </w:tc>
      </w:tr>
      <w:tr w:rsidR="00DA4270" w:rsidRPr="00004332" w14:paraId="35B62514" w14:textId="77777777" w:rsidTr="00646277">
        <w:trPr>
          <w:trHeight w:val="300"/>
        </w:trPr>
        <w:tc>
          <w:tcPr>
            <w:tcW w:w="2050" w:type="dxa"/>
            <w:noWrap/>
            <w:hideMark/>
          </w:tcPr>
          <w:p w14:paraId="553C8B90" w14:textId="4F500288" w:rsidR="00DA4270" w:rsidRPr="00004332" w:rsidRDefault="000E310F" w:rsidP="00116D02">
            <w:pPr>
              <w:rPr>
                <w:sz w:val="20"/>
                <w:szCs w:val="20"/>
              </w:rPr>
            </w:pPr>
            <w:r>
              <w:rPr>
                <w:sz w:val="20"/>
                <w:szCs w:val="20"/>
              </w:rPr>
              <w:t xml:space="preserve">  </w:t>
            </w:r>
            <w:r w:rsidR="00DA4270" w:rsidRPr="00004332">
              <w:rPr>
                <w:sz w:val="20"/>
                <w:szCs w:val="20"/>
              </w:rPr>
              <w:t>Death from other causes</w:t>
            </w:r>
          </w:p>
        </w:tc>
        <w:tc>
          <w:tcPr>
            <w:tcW w:w="2424" w:type="dxa"/>
            <w:noWrap/>
          </w:tcPr>
          <w:p w14:paraId="0EC306B5" w14:textId="471AC83C" w:rsidR="00DA4270" w:rsidRPr="00004332" w:rsidRDefault="000F3F85" w:rsidP="00116D02">
            <w:pPr>
              <w:rPr>
                <w:sz w:val="20"/>
                <w:szCs w:val="20"/>
              </w:rPr>
            </w:pPr>
            <w:r>
              <w:rPr>
                <w:sz w:val="20"/>
                <w:szCs w:val="20"/>
              </w:rPr>
              <w:t>119.43 (118.63 - 120.24)</w:t>
            </w:r>
          </w:p>
        </w:tc>
        <w:tc>
          <w:tcPr>
            <w:tcW w:w="2425" w:type="dxa"/>
            <w:noWrap/>
          </w:tcPr>
          <w:p w14:paraId="6AE4F6BD" w14:textId="78B6A57E" w:rsidR="00DA4270" w:rsidRPr="00004332" w:rsidRDefault="00E45DD9" w:rsidP="00116D02">
            <w:pPr>
              <w:rPr>
                <w:sz w:val="20"/>
                <w:szCs w:val="20"/>
              </w:rPr>
            </w:pPr>
            <w:r>
              <w:rPr>
                <w:sz w:val="20"/>
                <w:szCs w:val="20"/>
              </w:rPr>
              <w:t>119.40 (118.59 - 120.21)</w:t>
            </w:r>
          </w:p>
        </w:tc>
        <w:tc>
          <w:tcPr>
            <w:tcW w:w="2425" w:type="dxa"/>
            <w:noWrap/>
          </w:tcPr>
          <w:p w14:paraId="6CDA9835" w14:textId="210E0D7C" w:rsidR="00DA4270" w:rsidRPr="00004332" w:rsidRDefault="000F3F85" w:rsidP="00116D02">
            <w:pPr>
              <w:rPr>
                <w:sz w:val="20"/>
                <w:szCs w:val="20"/>
              </w:rPr>
            </w:pPr>
            <w:r>
              <w:rPr>
                <w:sz w:val="20"/>
                <w:szCs w:val="20"/>
              </w:rPr>
              <w:t>119.35 (118.55 - 120.16)</w:t>
            </w:r>
          </w:p>
        </w:tc>
        <w:tc>
          <w:tcPr>
            <w:tcW w:w="2425" w:type="dxa"/>
            <w:noWrap/>
          </w:tcPr>
          <w:p w14:paraId="190E2A82" w14:textId="4FE96F61" w:rsidR="00DA4270" w:rsidRPr="00004332" w:rsidRDefault="00E45DD9" w:rsidP="00116D02">
            <w:pPr>
              <w:rPr>
                <w:sz w:val="20"/>
                <w:szCs w:val="20"/>
              </w:rPr>
            </w:pPr>
            <w:r>
              <w:rPr>
                <w:sz w:val="20"/>
                <w:szCs w:val="20"/>
              </w:rPr>
              <w:t>119.40 (118.59 - 120.20)</w:t>
            </w:r>
          </w:p>
        </w:tc>
        <w:tc>
          <w:tcPr>
            <w:tcW w:w="2425" w:type="dxa"/>
            <w:noWrap/>
          </w:tcPr>
          <w:p w14:paraId="4F817D71" w14:textId="07E6D7A3" w:rsidR="00DA4270" w:rsidRPr="00004332" w:rsidRDefault="00646277" w:rsidP="00116D02">
            <w:pPr>
              <w:rPr>
                <w:sz w:val="20"/>
                <w:szCs w:val="20"/>
              </w:rPr>
            </w:pPr>
            <w:r>
              <w:rPr>
                <w:sz w:val="20"/>
                <w:szCs w:val="20"/>
              </w:rPr>
              <w:t>119.05 (118.25 - 119.85)</w:t>
            </w:r>
          </w:p>
        </w:tc>
      </w:tr>
    </w:tbl>
    <w:p w14:paraId="3AF6AE44" w14:textId="69D24DC6" w:rsidR="00A64B61" w:rsidRDefault="00874EF4" w:rsidP="00221A71">
      <w:pPr>
        <w:jc w:val="both"/>
      </w:pPr>
      <w:r>
        <w:lastRenderedPageBreak/>
        <w:t>QALYs are the quality adjusted life years</w:t>
      </w:r>
      <w:r w:rsidR="00AD1BC2">
        <w:t xml:space="preserve">, </w:t>
      </w:r>
      <w:r>
        <w:t>NMB is the net monetary benefit, WTP is the willingness to pay</w:t>
      </w:r>
      <w:r w:rsidR="0018704D">
        <w:t xml:space="preserve">, </w:t>
      </w:r>
      <w:r w:rsidR="00AD1BC2">
        <w:t xml:space="preserve">and </w:t>
      </w:r>
      <w:r w:rsidR="0018704D">
        <w:t>discounted costs and QALYs reflect time-preference for current benefits over future ones.</w:t>
      </w:r>
    </w:p>
    <w:sectPr w:rsidR="00A64B61" w:rsidSect="005C29F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D33F8" w14:textId="77777777" w:rsidR="00A7396D" w:rsidRDefault="00A7396D" w:rsidP="002D5275">
      <w:pPr>
        <w:spacing w:after="0" w:line="240" w:lineRule="auto"/>
      </w:pPr>
      <w:r>
        <w:separator/>
      </w:r>
    </w:p>
  </w:endnote>
  <w:endnote w:type="continuationSeparator" w:id="0">
    <w:p w14:paraId="38E608F3" w14:textId="77777777" w:rsidR="00A7396D" w:rsidRDefault="00A7396D" w:rsidP="002D5275">
      <w:pPr>
        <w:spacing w:after="0" w:line="240" w:lineRule="auto"/>
      </w:pPr>
      <w:r>
        <w:continuationSeparator/>
      </w:r>
    </w:p>
  </w:endnote>
  <w:endnote w:type="continuationNotice" w:id="1">
    <w:p w14:paraId="45316575" w14:textId="77777777" w:rsidR="00A7396D" w:rsidRDefault="00A73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473950"/>
      <w:docPartObj>
        <w:docPartGallery w:val="Page Numbers (Bottom of Page)"/>
        <w:docPartUnique/>
      </w:docPartObj>
    </w:sdtPr>
    <w:sdtEndPr>
      <w:rPr>
        <w:noProof/>
      </w:rPr>
    </w:sdtEndPr>
    <w:sdtContent>
      <w:p w14:paraId="6911A72E" w14:textId="77777777" w:rsidR="00A7396D" w:rsidRDefault="00A7396D">
        <w:pPr>
          <w:pStyle w:val="Footer"/>
          <w:jc w:val="right"/>
        </w:pPr>
        <w:r>
          <w:fldChar w:fldCharType="begin"/>
        </w:r>
        <w:r>
          <w:instrText xml:space="preserve"> PAGE   \* MERGEFORMAT </w:instrText>
        </w:r>
        <w:r>
          <w:fldChar w:fldCharType="separate"/>
        </w:r>
        <w:r w:rsidR="00AB3DEA">
          <w:rPr>
            <w:noProof/>
          </w:rPr>
          <w:t>31</w:t>
        </w:r>
        <w:r>
          <w:rPr>
            <w:noProof/>
          </w:rPr>
          <w:fldChar w:fldCharType="end"/>
        </w:r>
      </w:p>
    </w:sdtContent>
  </w:sdt>
  <w:p w14:paraId="6547880B" w14:textId="77777777" w:rsidR="00A7396D" w:rsidRDefault="00A73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7F25F" w14:textId="77777777" w:rsidR="00A7396D" w:rsidRDefault="00A7396D" w:rsidP="002D5275">
      <w:pPr>
        <w:spacing w:after="0" w:line="240" w:lineRule="auto"/>
      </w:pPr>
      <w:r>
        <w:separator/>
      </w:r>
    </w:p>
  </w:footnote>
  <w:footnote w:type="continuationSeparator" w:id="0">
    <w:p w14:paraId="62B74B51" w14:textId="77777777" w:rsidR="00A7396D" w:rsidRDefault="00A7396D" w:rsidP="002D5275">
      <w:pPr>
        <w:spacing w:after="0" w:line="240" w:lineRule="auto"/>
      </w:pPr>
      <w:r>
        <w:continuationSeparator/>
      </w:r>
    </w:p>
  </w:footnote>
  <w:footnote w:type="continuationNotice" w:id="1">
    <w:p w14:paraId="770C744E" w14:textId="77777777" w:rsidR="00A7396D" w:rsidRDefault="00A7396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2B4A"/>
    <w:multiLevelType w:val="hybridMultilevel"/>
    <w:tmpl w:val="39E44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350534"/>
    <w:multiLevelType w:val="hybridMultilevel"/>
    <w:tmpl w:val="1A2A08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E14072"/>
    <w:multiLevelType w:val="hybridMultilevel"/>
    <w:tmpl w:val="42F0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C506B"/>
    <w:multiLevelType w:val="multilevel"/>
    <w:tmpl w:val="ACF8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803DA"/>
    <w:multiLevelType w:val="hybridMultilevel"/>
    <w:tmpl w:val="30B8750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BDD2A36"/>
    <w:multiLevelType w:val="hybridMultilevel"/>
    <w:tmpl w:val="4B36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D7F31"/>
    <w:multiLevelType w:val="hybridMultilevel"/>
    <w:tmpl w:val="05C2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0E055A"/>
    <w:multiLevelType w:val="hybridMultilevel"/>
    <w:tmpl w:val="FDA2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77344"/>
    <w:multiLevelType w:val="multilevel"/>
    <w:tmpl w:val="B0CE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4A60D7"/>
    <w:multiLevelType w:val="hybridMultilevel"/>
    <w:tmpl w:val="B1CA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760CB5"/>
    <w:multiLevelType w:val="multilevel"/>
    <w:tmpl w:val="6F6E3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5"/>
  </w:num>
  <w:num w:numId="3">
    <w:abstractNumId w:val="3"/>
  </w:num>
  <w:num w:numId="4">
    <w:abstractNumId w:val="7"/>
  </w:num>
  <w:num w:numId="5">
    <w:abstractNumId w:val="8"/>
  </w:num>
  <w:num w:numId="6">
    <w:abstractNumId w:val="10"/>
  </w:num>
  <w:num w:numId="7">
    <w:abstractNumId w:val="6"/>
  </w:num>
  <w:num w:numId="8">
    <w:abstractNumId w:val="2"/>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04"/>
    <w:rsid w:val="0000002B"/>
    <w:rsid w:val="00003530"/>
    <w:rsid w:val="00004332"/>
    <w:rsid w:val="00005609"/>
    <w:rsid w:val="000056F9"/>
    <w:rsid w:val="000064C6"/>
    <w:rsid w:val="00014ACA"/>
    <w:rsid w:val="00015B04"/>
    <w:rsid w:val="0002168F"/>
    <w:rsid w:val="0002759D"/>
    <w:rsid w:val="00031D1B"/>
    <w:rsid w:val="00032607"/>
    <w:rsid w:val="00033B43"/>
    <w:rsid w:val="00040F46"/>
    <w:rsid w:val="00041CA0"/>
    <w:rsid w:val="00043B83"/>
    <w:rsid w:val="00043C50"/>
    <w:rsid w:val="000528CE"/>
    <w:rsid w:val="00052B07"/>
    <w:rsid w:val="00054575"/>
    <w:rsid w:val="0005640D"/>
    <w:rsid w:val="00057C1F"/>
    <w:rsid w:val="00060565"/>
    <w:rsid w:val="000717C0"/>
    <w:rsid w:val="00071C78"/>
    <w:rsid w:val="000744E3"/>
    <w:rsid w:val="00080087"/>
    <w:rsid w:val="00086E51"/>
    <w:rsid w:val="00087CE1"/>
    <w:rsid w:val="00090E20"/>
    <w:rsid w:val="00091A11"/>
    <w:rsid w:val="00094615"/>
    <w:rsid w:val="00096033"/>
    <w:rsid w:val="000A0DAB"/>
    <w:rsid w:val="000A31A5"/>
    <w:rsid w:val="000A42C9"/>
    <w:rsid w:val="000A53EC"/>
    <w:rsid w:val="000A5C67"/>
    <w:rsid w:val="000A6F37"/>
    <w:rsid w:val="000B2E17"/>
    <w:rsid w:val="000B2E1A"/>
    <w:rsid w:val="000B69B7"/>
    <w:rsid w:val="000B6CB1"/>
    <w:rsid w:val="000B7B00"/>
    <w:rsid w:val="000C152B"/>
    <w:rsid w:val="000C3271"/>
    <w:rsid w:val="000C776E"/>
    <w:rsid w:val="000D020A"/>
    <w:rsid w:val="000D2A6B"/>
    <w:rsid w:val="000D3A7A"/>
    <w:rsid w:val="000D7911"/>
    <w:rsid w:val="000D7EE8"/>
    <w:rsid w:val="000E2236"/>
    <w:rsid w:val="000E310F"/>
    <w:rsid w:val="000E58DB"/>
    <w:rsid w:val="000E6B78"/>
    <w:rsid w:val="000F10D0"/>
    <w:rsid w:val="000F28D2"/>
    <w:rsid w:val="000F2D66"/>
    <w:rsid w:val="000F3F85"/>
    <w:rsid w:val="000F4246"/>
    <w:rsid w:val="000F42B0"/>
    <w:rsid w:val="000F43E3"/>
    <w:rsid w:val="000F463F"/>
    <w:rsid w:val="000F4965"/>
    <w:rsid w:val="000F5F06"/>
    <w:rsid w:val="000F7D9D"/>
    <w:rsid w:val="000F7ECE"/>
    <w:rsid w:val="001108A1"/>
    <w:rsid w:val="001121C1"/>
    <w:rsid w:val="001136F9"/>
    <w:rsid w:val="00116A46"/>
    <w:rsid w:val="00116D02"/>
    <w:rsid w:val="001174F7"/>
    <w:rsid w:val="00121F0C"/>
    <w:rsid w:val="001304CD"/>
    <w:rsid w:val="0013400B"/>
    <w:rsid w:val="00134C01"/>
    <w:rsid w:val="001377B4"/>
    <w:rsid w:val="00140E39"/>
    <w:rsid w:val="00141322"/>
    <w:rsid w:val="00142739"/>
    <w:rsid w:val="00144504"/>
    <w:rsid w:val="001462ED"/>
    <w:rsid w:val="00150542"/>
    <w:rsid w:val="001505B8"/>
    <w:rsid w:val="001506B5"/>
    <w:rsid w:val="00152EA5"/>
    <w:rsid w:val="0015459F"/>
    <w:rsid w:val="00154E18"/>
    <w:rsid w:val="00157D65"/>
    <w:rsid w:val="00176C60"/>
    <w:rsid w:val="00177762"/>
    <w:rsid w:val="00184130"/>
    <w:rsid w:val="00184C70"/>
    <w:rsid w:val="0018704D"/>
    <w:rsid w:val="00187DE0"/>
    <w:rsid w:val="001906DD"/>
    <w:rsid w:val="00192903"/>
    <w:rsid w:val="0019394A"/>
    <w:rsid w:val="00193C65"/>
    <w:rsid w:val="00195759"/>
    <w:rsid w:val="001967E5"/>
    <w:rsid w:val="001A0158"/>
    <w:rsid w:val="001A29EC"/>
    <w:rsid w:val="001A2CCE"/>
    <w:rsid w:val="001A3238"/>
    <w:rsid w:val="001A3850"/>
    <w:rsid w:val="001A3EFB"/>
    <w:rsid w:val="001A626C"/>
    <w:rsid w:val="001A7702"/>
    <w:rsid w:val="001B31AB"/>
    <w:rsid w:val="001B4CC7"/>
    <w:rsid w:val="001C1365"/>
    <w:rsid w:val="001C2144"/>
    <w:rsid w:val="001C4A9C"/>
    <w:rsid w:val="001C52C4"/>
    <w:rsid w:val="001C6CAD"/>
    <w:rsid w:val="001C6CC3"/>
    <w:rsid w:val="001C72A4"/>
    <w:rsid w:val="001D5CAE"/>
    <w:rsid w:val="001E03DF"/>
    <w:rsid w:val="001E413C"/>
    <w:rsid w:val="001E586F"/>
    <w:rsid w:val="001E67D1"/>
    <w:rsid w:val="001F4FDD"/>
    <w:rsid w:val="001F7245"/>
    <w:rsid w:val="00200D59"/>
    <w:rsid w:val="002031D8"/>
    <w:rsid w:val="00203852"/>
    <w:rsid w:val="002063EB"/>
    <w:rsid w:val="0020682A"/>
    <w:rsid w:val="00206D32"/>
    <w:rsid w:val="00211E6E"/>
    <w:rsid w:val="00212E72"/>
    <w:rsid w:val="00214D40"/>
    <w:rsid w:val="002151BD"/>
    <w:rsid w:val="00216DE1"/>
    <w:rsid w:val="0022018D"/>
    <w:rsid w:val="00221A71"/>
    <w:rsid w:val="0022353E"/>
    <w:rsid w:val="00225086"/>
    <w:rsid w:val="002257A9"/>
    <w:rsid w:val="002270FF"/>
    <w:rsid w:val="002328CB"/>
    <w:rsid w:val="002410CE"/>
    <w:rsid w:val="0024225E"/>
    <w:rsid w:val="0024402E"/>
    <w:rsid w:val="00252672"/>
    <w:rsid w:val="0025434F"/>
    <w:rsid w:val="0025618A"/>
    <w:rsid w:val="002571B1"/>
    <w:rsid w:val="00261BEF"/>
    <w:rsid w:val="00266EA4"/>
    <w:rsid w:val="0027247A"/>
    <w:rsid w:val="00272A1A"/>
    <w:rsid w:val="00274425"/>
    <w:rsid w:val="002746F3"/>
    <w:rsid w:val="00275120"/>
    <w:rsid w:val="002753D7"/>
    <w:rsid w:val="00275F0E"/>
    <w:rsid w:val="00275FDB"/>
    <w:rsid w:val="00276C3E"/>
    <w:rsid w:val="00277F5D"/>
    <w:rsid w:val="002812E7"/>
    <w:rsid w:val="00283263"/>
    <w:rsid w:val="0028677E"/>
    <w:rsid w:val="00287366"/>
    <w:rsid w:val="00290195"/>
    <w:rsid w:val="002904F0"/>
    <w:rsid w:val="002931DB"/>
    <w:rsid w:val="002940BC"/>
    <w:rsid w:val="0029427D"/>
    <w:rsid w:val="00295939"/>
    <w:rsid w:val="0029738D"/>
    <w:rsid w:val="002A0914"/>
    <w:rsid w:val="002A34D9"/>
    <w:rsid w:val="002A3C3C"/>
    <w:rsid w:val="002A3CE9"/>
    <w:rsid w:val="002A4F7F"/>
    <w:rsid w:val="002A6104"/>
    <w:rsid w:val="002A7B3D"/>
    <w:rsid w:val="002B0B25"/>
    <w:rsid w:val="002B2662"/>
    <w:rsid w:val="002B2A27"/>
    <w:rsid w:val="002B309C"/>
    <w:rsid w:val="002B37BA"/>
    <w:rsid w:val="002B3867"/>
    <w:rsid w:val="002B5D28"/>
    <w:rsid w:val="002B67B0"/>
    <w:rsid w:val="002B754E"/>
    <w:rsid w:val="002C0697"/>
    <w:rsid w:val="002C24E2"/>
    <w:rsid w:val="002C281D"/>
    <w:rsid w:val="002C3470"/>
    <w:rsid w:val="002C44B8"/>
    <w:rsid w:val="002C5BFD"/>
    <w:rsid w:val="002C620B"/>
    <w:rsid w:val="002C7E2A"/>
    <w:rsid w:val="002D3BA2"/>
    <w:rsid w:val="002D5275"/>
    <w:rsid w:val="002D6BC9"/>
    <w:rsid w:val="002E0799"/>
    <w:rsid w:val="002E0FE3"/>
    <w:rsid w:val="002E16C2"/>
    <w:rsid w:val="002E78D3"/>
    <w:rsid w:val="002F26F2"/>
    <w:rsid w:val="002F2A09"/>
    <w:rsid w:val="002F6376"/>
    <w:rsid w:val="00300724"/>
    <w:rsid w:val="0030084B"/>
    <w:rsid w:val="00301439"/>
    <w:rsid w:val="0030171E"/>
    <w:rsid w:val="003020EB"/>
    <w:rsid w:val="0030216F"/>
    <w:rsid w:val="00304185"/>
    <w:rsid w:val="0030444F"/>
    <w:rsid w:val="0030555E"/>
    <w:rsid w:val="003057E9"/>
    <w:rsid w:val="00307089"/>
    <w:rsid w:val="00310878"/>
    <w:rsid w:val="00311263"/>
    <w:rsid w:val="00313727"/>
    <w:rsid w:val="00315426"/>
    <w:rsid w:val="00321259"/>
    <w:rsid w:val="0032163E"/>
    <w:rsid w:val="003221F1"/>
    <w:rsid w:val="00322C1A"/>
    <w:rsid w:val="003270A9"/>
    <w:rsid w:val="00340512"/>
    <w:rsid w:val="00350B1B"/>
    <w:rsid w:val="00351CA6"/>
    <w:rsid w:val="00351F22"/>
    <w:rsid w:val="0035657F"/>
    <w:rsid w:val="00356FD1"/>
    <w:rsid w:val="00360569"/>
    <w:rsid w:val="00362C78"/>
    <w:rsid w:val="00366731"/>
    <w:rsid w:val="00366799"/>
    <w:rsid w:val="00370F82"/>
    <w:rsid w:val="003733D1"/>
    <w:rsid w:val="00373445"/>
    <w:rsid w:val="00374457"/>
    <w:rsid w:val="00380720"/>
    <w:rsid w:val="00383582"/>
    <w:rsid w:val="003835A1"/>
    <w:rsid w:val="0038381C"/>
    <w:rsid w:val="00384A74"/>
    <w:rsid w:val="00384E0E"/>
    <w:rsid w:val="0038577F"/>
    <w:rsid w:val="003906F6"/>
    <w:rsid w:val="003919A9"/>
    <w:rsid w:val="00391B56"/>
    <w:rsid w:val="00394F06"/>
    <w:rsid w:val="003A3436"/>
    <w:rsid w:val="003A4455"/>
    <w:rsid w:val="003A602B"/>
    <w:rsid w:val="003A75E2"/>
    <w:rsid w:val="003B075B"/>
    <w:rsid w:val="003B2027"/>
    <w:rsid w:val="003B4A14"/>
    <w:rsid w:val="003B5A9F"/>
    <w:rsid w:val="003C0B3E"/>
    <w:rsid w:val="003C1AED"/>
    <w:rsid w:val="003C7C28"/>
    <w:rsid w:val="003D0711"/>
    <w:rsid w:val="003D16FA"/>
    <w:rsid w:val="003D2E2B"/>
    <w:rsid w:val="003D3178"/>
    <w:rsid w:val="003D3504"/>
    <w:rsid w:val="003D3D2C"/>
    <w:rsid w:val="003D6B86"/>
    <w:rsid w:val="003D7F3B"/>
    <w:rsid w:val="003E233A"/>
    <w:rsid w:val="003E4B93"/>
    <w:rsid w:val="003E5643"/>
    <w:rsid w:val="003E7F27"/>
    <w:rsid w:val="003F2B55"/>
    <w:rsid w:val="003F3185"/>
    <w:rsid w:val="003F6471"/>
    <w:rsid w:val="00401A25"/>
    <w:rsid w:val="00402B81"/>
    <w:rsid w:val="00404576"/>
    <w:rsid w:val="00404EA3"/>
    <w:rsid w:val="00406FE8"/>
    <w:rsid w:val="004070B4"/>
    <w:rsid w:val="00411392"/>
    <w:rsid w:val="00414926"/>
    <w:rsid w:val="004169D9"/>
    <w:rsid w:val="004204EB"/>
    <w:rsid w:val="00422E77"/>
    <w:rsid w:val="00425A89"/>
    <w:rsid w:val="00426813"/>
    <w:rsid w:val="00432D58"/>
    <w:rsid w:val="00441A89"/>
    <w:rsid w:val="00442AF8"/>
    <w:rsid w:val="0044363E"/>
    <w:rsid w:val="00450333"/>
    <w:rsid w:val="00451B6C"/>
    <w:rsid w:val="00452A38"/>
    <w:rsid w:val="004532BB"/>
    <w:rsid w:val="00453D6B"/>
    <w:rsid w:val="00454E9A"/>
    <w:rsid w:val="00455621"/>
    <w:rsid w:val="0045603D"/>
    <w:rsid w:val="00460053"/>
    <w:rsid w:val="00462DA5"/>
    <w:rsid w:val="00472200"/>
    <w:rsid w:val="004728FE"/>
    <w:rsid w:val="00474674"/>
    <w:rsid w:val="00474C39"/>
    <w:rsid w:val="0047766E"/>
    <w:rsid w:val="00484F56"/>
    <w:rsid w:val="00485BFE"/>
    <w:rsid w:val="00485E00"/>
    <w:rsid w:val="004905D8"/>
    <w:rsid w:val="00491717"/>
    <w:rsid w:val="004943E2"/>
    <w:rsid w:val="004A14DF"/>
    <w:rsid w:val="004A174C"/>
    <w:rsid w:val="004A1D04"/>
    <w:rsid w:val="004A281D"/>
    <w:rsid w:val="004A2CAF"/>
    <w:rsid w:val="004A427E"/>
    <w:rsid w:val="004A519D"/>
    <w:rsid w:val="004B168E"/>
    <w:rsid w:val="004B2499"/>
    <w:rsid w:val="004B2749"/>
    <w:rsid w:val="004B28E0"/>
    <w:rsid w:val="004B7617"/>
    <w:rsid w:val="004B7A6A"/>
    <w:rsid w:val="004B7B3B"/>
    <w:rsid w:val="004C0D0A"/>
    <w:rsid w:val="004C182B"/>
    <w:rsid w:val="004C185F"/>
    <w:rsid w:val="004C2CE8"/>
    <w:rsid w:val="004D436D"/>
    <w:rsid w:val="004E2A4E"/>
    <w:rsid w:val="004E4032"/>
    <w:rsid w:val="004E44D0"/>
    <w:rsid w:val="004E7702"/>
    <w:rsid w:val="004F007D"/>
    <w:rsid w:val="004F1985"/>
    <w:rsid w:val="0050387A"/>
    <w:rsid w:val="00503EB8"/>
    <w:rsid w:val="00504BCE"/>
    <w:rsid w:val="00507534"/>
    <w:rsid w:val="00507552"/>
    <w:rsid w:val="00510107"/>
    <w:rsid w:val="00513808"/>
    <w:rsid w:val="00514B11"/>
    <w:rsid w:val="0051626B"/>
    <w:rsid w:val="00517BC5"/>
    <w:rsid w:val="00524306"/>
    <w:rsid w:val="00527F04"/>
    <w:rsid w:val="00531F6D"/>
    <w:rsid w:val="0053305B"/>
    <w:rsid w:val="0053342F"/>
    <w:rsid w:val="005366F2"/>
    <w:rsid w:val="005373F4"/>
    <w:rsid w:val="005448FF"/>
    <w:rsid w:val="00552389"/>
    <w:rsid w:val="00553003"/>
    <w:rsid w:val="00554714"/>
    <w:rsid w:val="0056045B"/>
    <w:rsid w:val="00561DB3"/>
    <w:rsid w:val="00563FC2"/>
    <w:rsid w:val="00567792"/>
    <w:rsid w:val="005704C1"/>
    <w:rsid w:val="00572D50"/>
    <w:rsid w:val="00573A66"/>
    <w:rsid w:val="005757D7"/>
    <w:rsid w:val="00575F89"/>
    <w:rsid w:val="00576422"/>
    <w:rsid w:val="00576C52"/>
    <w:rsid w:val="00576C7A"/>
    <w:rsid w:val="00576DA1"/>
    <w:rsid w:val="00580FC5"/>
    <w:rsid w:val="005811AE"/>
    <w:rsid w:val="005829B4"/>
    <w:rsid w:val="00585287"/>
    <w:rsid w:val="005872DF"/>
    <w:rsid w:val="00596855"/>
    <w:rsid w:val="00596DE6"/>
    <w:rsid w:val="0059755F"/>
    <w:rsid w:val="005A0FCD"/>
    <w:rsid w:val="005A1545"/>
    <w:rsid w:val="005A1689"/>
    <w:rsid w:val="005A4A23"/>
    <w:rsid w:val="005A64DC"/>
    <w:rsid w:val="005B107E"/>
    <w:rsid w:val="005B1B4D"/>
    <w:rsid w:val="005B1C55"/>
    <w:rsid w:val="005C03A3"/>
    <w:rsid w:val="005C18E0"/>
    <w:rsid w:val="005C29F8"/>
    <w:rsid w:val="005C4455"/>
    <w:rsid w:val="005C55C5"/>
    <w:rsid w:val="005D0BD2"/>
    <w:rsid w:val="005D2007"/>
    <w:rsid w:val="005D4EC1"/>
    <w:rsid w:val="005D5989"/>
    <w:rsid w:val="005D5EFC"/>
    <w:rsid w:val="005D79A7"/>
    <w:rsid w:val="005E758F"/>
    <w:rsid w:val="005F06DE"/>
    <w:rsid w:val="005F2B35"/>
    <w:rsid w:val="005F74E7"/>
    <w:rsid w:val="00600EEA"/>
    <w:rsid w:val="00602849"/>
    <w:rsid w:val="0060473A"/>
    <w:rsid w:val="00605673"/>
    <w:rsid w:val="006073FB"/>
    <w:rsid w:val="00607E85"/>
    <w:rsid w:val="0062021D"/>
    <w:rsid w:val="00620248"/>
    <w:rsid w:val="00621C52"/>
    <w:rsid w:val="0062239B"/>
    <w:rsid w:val="00623C21"/>
    <w:rsid w:val="00624911"/>
    <w:rsid w:val="006363F2"/>
    <w:rsid w:val="00640994"/>
    <w:rsid w:val="00640B43"/>
    <w:rsid w:val="00644019"/>
    <w:rsid w:val="00646277"/>
    <w:rsid w:val="006506B7"/>
    <w:rsid w:val="006513F8"/>
    <w:rsid w:val="00653245"/>
    <w:rsid w:val="0065491B"/>
    <w:rsid w:val="00660E0F"/>
    <w:rsid w:val="00663973"/>
    <w:rsid w:val="0066438F"/>
    <w:rsid w:val="00665529"/>
    <w:rsid w:val="006703F1"/>
    <w:rsid w:val="00675E56"/>
    <w:rsid w:val="00675F12"/>
    <w:rsid w:val="00676DB0"/>
    <w:rsid w:val="0068000F"/>
    <w:rsid w:val="006829E6"/>
    <w:rsid w:val="00682BD2"/>
    <w:rsid w:val="00683708"/>
    <w:rsid w:val="00683CB5"/>
    <w:rsid w:val="00683DF4"/>
    <w:rsid w:val="006844C0"/>
    <w:rsid w:val="006870DE"/>
    <w:rsid w:val="0068730E"/>
    <w:rsid w:val="00687931"/>
    <w:rsid w:val="00690619"/>
    <w:rsid w:val="00695AC1"/>
    <w:rsid w:val="006A06C5"/>
    <w:rsid w:val="006A252D"/>
    <w:rsid w:val="006A39B0"/>
    <w:rsid w:val="006A435E"/>
    <w:rsid w:val="006A7120"/>
    <w:rsid w:val="006A75D2"/>
    <w:rsid w:val="006B01E2"/>
    <w:rsid w:val="006B0695"/>
    <w:rsid w:val="006B0979"/>
    <w:rsid w:val="006B3B5B"/>
    <w:rsid w:val="006C1CB4"/>
    <w:rsid w:val="006C56CE"/>
    <w:rsid w:val="006C67A7"/>
    <w:rsid w:val="006D10E1"/>
    <w:rsid w:val="006D1ABC"/>
    <w:rsid w:val="006D5CDD"/>
    <w:rsid w:val="006E1AB3"/>
    <w:rsid w:val="006E3790"/>
    <w:rsid w:val="006E58E4"/>
    <w:rsid w:val="006E6B64"/>
    <w:rsid w:val="006E7014"/>
    <w:rsid w:val="006F0247"/>
    <w:rsid w:val="006F1E00"/>
    <w:rsid w:val="006F2731"/>
    <w:rsid w:val="006F2B11"/>
    <w:rsid w:val="006F5C6B"/>
    <w:rsid w:val="00703787"/>
    <w:rsid w:val="007041AC"/>
    <w:rsid w:val="007051A9"/>
    <w:rsid w:val="00706AB7"/>
    <w:rsid w:val="00707226"/>
    <w:rsid w:val="00707481"/>
    <w:rsid w:val="00707860"/>
    <w:rsid w:val="007125A2"/>
    <w:rsid w:val="0071314E"/>
    <w:rsid w:val="0071697F"/>
    <w:rsid w:val="00720F97"/>
    <w:rsid w:val="00723536"/>
    <w:rsid w:val="00724099"/>
    <w:rsid w:val="007245F9"/>
    <w:rsid w:val="007254B8"/>
    <w:rsid w:val="00726E12"/>
    <w:rsid w:val="00730344"/>
    <w:rsid w:val="007307D4"/>
    <w:rsid w:val="007351BF"/>
    <w:rsid w:val="00736BBE"/>
    <w:rsid w:val="00736F29"/>
    <w:rsid w:val="00740D67"/>
    <w:rsid w:val="00742DB8"/>
    <w:rsid w:val="0074318D"/>
    <w:rsid w:val="007434F9"/>
    <w:rsid w:val="00744591"/>
    <w:rsid w:val="00744D57"/>
    <w:rsid w:val="007471E0"/>
    <w:rsid w:val="007511D3"/>
    <w:rsid w:val="0075461F"/>
    <w:rsid w:val="00754929"/>
    <w:rsid w:val="007549A1"/>
    <w:rsid w:val="007569B3"/>
    <w:rsid w:val="00757B98"/>
    <w:rsid w:val="0076028B"/>
    <w:rsid w:val="00761A65"/>
    <w:rsid w:val="00763649"/>
    <w:rsid w:val="007743C7"/>
    <w:rsid w:val="00774D2D"/>
    <w:rsid w:val="007761DB"/>
    <w:rsid w:val="0078096C"/>
    <w:rsid w:val="007813A9"/>
    <w:rsid w:val="00782521"/>
    <w:rsid w:val="00787D18"/>
    <w:rsid w:val="0079062E"/>
    <w:rsid w:val="00790BE4"/>
    <w:rsid w:val="00792984"/>
    <w:rsid w:val="00792FD8"/>
    <w:rsid w:val="00795083"/>
    <w:rsid w:val="007971EB"/>
    <w:rsid w:val="00797642"/>
    <w:rsid w:val="007977EE"/>
    <w:rsid w:val="007A5C8D"/>
    <w:rsid w:val="007A64DE"/>
    <w:rsid w:val="007A6528"/>
    <w:rsid w:val="007A7F8B"/>
    <w:rsid w:val="007B23E1"/>
    <w:rsid w:val="007B3687"/>
    <w:rsid w:val="007B5F4D"/>
    <w:rsid w:val="007C01F5"/>
    <w:rsid w:val="007C2A2A"/>
    <w:rsid w:val="007C2DCE"/>
    <w:rsid w:val="007C6446"/>
    <w:rsid w:val="007C7316"/>
    <w:rsid w:val="007C7FFC"/>
    <w:rsid w:val="007D1E1B"/>
    <w:rsid w:val="007D2FED"/>
    <w:rsid w:val="007D65DD"/>
    <w:rsid w:val="007E0BC4"/>
    <w:rsid w:val="007E1DFF"/>
    <w:rsid w:val="007E2AEC"/>
    <w:rsid w:val="007E2B18"/>
    <w:rsid w:val="007E5C65"/>
    <w:rsid w:val="007E6427"/>
    <w:rsid w:val="007F15D9"/>
    <w:rsid w:val="007F2483"/>
    <w:rsid w:val="007F459D"/>
    <w:rsid w:val="00801BAB"/>
    <w:rsid w:val="00801D6C"/>
    <w:rsid w:val="00802695"/>
    <w:rsid w:val="008035AE"/>
    <w:rsid w:val="00803E84"/>
    <w:rsid w:val="008045C3"/>
    <w:rsid w:val="008051BC"/>
    <w:rsid w:val="00805C81"/>
    <w:rsid w:val="00806FB1"/>
    <w:rsid w:val="00807400"/>
    <w:rsid w:val="00810D25"/>
    <w:rsid w:val="00813560"/>
    <w:rsid w:val="00816476"/>
    <w:rsid w:val="00816BE6"/>
    <w:rsid w:val="00817734"/>
    <w:rsid w:val="00820A20"/>
    <w:rsid w:val="008276B3"/>
    <w:rsid w:val="00833E8E"/>
    <w:rsid w:val="00840326"/>
    <w:rsid w:val="00841EE1"/>
    <w:rsid w:val="008469D3"/>
    <w:rsid w:val="00851ED9"/>
    <w:rsid w:val="00852465"/>
    <w:rsid w:val="0085300F"/>
    <w:rsid w:val="00861084"/>
    <w:rsid w:val="00862B01"/>
    <w:rsid w:val="00863116"/>
    <w:rsid w:val="00863AEE"/>
    <w:rsid w:val="00865431"/>
    <w:rsid w:val="00867902"/>
    <w:rsid w:val="00871099"/>
    <w:rsid w:val="0087387B"/>
    <w:rsid w:val="00874278"/>
    <w:rsid w:val="00874EF4"/>
    <w:rsid w:val="00876004"/>
    <w:rsid w:val="0087635A"/>
    <w:rsid w:val="008836C5"/>
    <w:rsid w:val="00887CF5"/>
    <w:rsid w:val="00890963"/>
    <w:rsid w:val="00890EC8"/>
    <w:rsid w:val="0089109E"/>
    <w:rsid w:val="00895C1E"/>
    <w:rsid w:val="0089693B"/>
    <w:rsid w:val="00897292"/>
    <w:rsid w:val="008A021D"/>
    <w:rsid w:val="008A0423"/>
    <w:rsid w:val="008A0E25"/>
    <w:rsid w:val="008A0FB1"/>
    <w:rsid w:val="008A15EF"/>
    <w:rsid w:val="008B2464"/>
    <w:rsid w:val="008B3031"/>
    <w:rsid w:val="008B410B"/>
    <w:rsid w:val="008B43E5"/>
    <w:rsid w:val="008B5D55"/>
    <w:rsid w:val="008B7336"/>
    <w:rsid w:val="008C24B7"/>
    <w:rsid w:val="008C2516"/>
    <w:rsid w:val="008D1450"/>
    <w:rsid w:val="008D2EA9"/>
    <w:rsid w:val="008D56F8"/>
    <w:rsid w:val="008D6CFF"/>
    <w:rsid w:val="008D7843"/>
    <w:rsid w:val="008E2824"/>
    <w:rsid w:val="008E51F0"/>
    <w:rsid w:val="008E5906"/>
    <w:rsid w:val="008E73A1"/>
    <w:rsid w:val="008F0C60"/>
    <w:rsid w:val="008F56DA"/>
    <w:rsid w:val="008F68EB"/>
    <w:rsid w:val="008F7676"/>
    <w:rsid w:val="00900D3F"/>
    <w:rsid w:val="00903414"/>
    <w:rsid w:val="0090645F"/>
    <w:rsid w:val="0091084B"/>
    <w:rsid w:val="00911DE8"/>
    <w:rsid w:val="00913277"/>
    <w:rsid w:val="00915EA2"/>
    <w:rsid w:val="00917B93"/>
    <w:rsid w:val="0092095C"/>
    <w:rsid w:val="00923794"/>
    <w:rsid w:val="00927E4E"/>
    <w:rsid w:val="009306FA"/>
    <w:rsid w:val="009331DD"/>
    <w:rsid w:val="00933E11"/>
    <w:rsid w:val="00934E17"/>
    <w:rsid w:val="0093547C"/>
    <w:rsid w:val="00935B2F"/>
    <w:rsid w:val="0094183E"/>
    <w:rsid w:val="00943FF5"/>
    <w:rsid w:val="0094505C"/>
    <w:rsid w:val="00946566"/>
    <w:rsid w:val="00950520"/>
    <w:rsid w:val="009528DC"/>
    <w:rsid w:val="0095659B"/>
    <w:rsid w:val="0096660B"/>
    <w:rsid w:val="00970B2A"/>
    <w:rsid w:val="00972C60"/>
    <w:rsid w:val="009750C2"/>
    <w:rsid w:val="0097773D"/>
    <w:rsid w:val="0098098C"/>
    <w:rsid w:val="0098171E"/>
    <w:rsid w:val="00984B63"/>
    <w:rsid w:val="00991448"/>
    <w:rsid w:val="00994729"/>
    <w:rsid w:val="009A27D4"/>
    <w:rsid w:val="009A4D92"/>
    <w:rsid w:val="009A67F5"/>
    <w:rsid w:val="009B20D3"/>
    <w:rsid w:val="009B434A"/>
    <w:rsid w:val="009B4ABD"/>
    <w:rsid w:val="009B5EF1"/>
    <w:rsid w:val="009C2E7D"/>
    <w:rsid w:val="009C5A70"/>
    <w:rsid w:val="009D0C9E"/>
    <w:rsid w:val="009D2234"/>
    <w:rsid w:val="009D297B"/>
    <w:rsid w:val="009D2D8E"/>
    <w:rsid w:val="009D369C"/>
    <w:rsid w:val="009D43CF"/>
    <w:rsid w:val="009E3484"/>
    <w:rsid w:val="009E34F6"/>
    <w:rsid w:val="009E4E5A"/>
    <w:rsid w:val="009E5BEC"/>
    <w:rsid w:val="009E61E3"/>
    <w:rsid w:val="009E70F1"/>
    <w:rsid w:val="009F09BC"/>
    <w:rsid w:val="009F122D"/>
    <w:rsid w:val="009F2DB2"/>
    <w:rsid w:val="009F407A"/>
    <w:rsid w:val="009F4B91"/>
    <w:rsid w:val="009F5458"/>
    <w:rsid w:val="00A01D88"/>
    <w:rsid w:val="00A03315"/>
    <w:rsid w:val="00A070BF"/>
    <w:rsid w:val="00A0799A"/>
    <w:rsid w:val="00A100ED"/>
    <w:rsid w:val="00A10146"/>
    <w:rsid w:val="00A12850"/>
    <w:rsid w:val="00A12919"/>
    <w:rsid w:val="00A1423A"/>
    <w:rsid w:val="00A152C3"/>
    <w:rsid w:val="00A220A6"/>
    <w:rsid w:val="00A24410"/>
    <w:rsid w:val="00A24B4E"/>
    <w:rsid w:val="00A32409"/>
    <w:rsid w:val="00A32A8C"/>
    <w:rsid w:val="00A3309F"/>
    <w:rsid w:val="00A33191"/>
    <w:rsid w:val="00A3517B"/>
    <w:rsid w:val="00A371DC"/>
    <w:rsid w:val="00A37AED"/>
    <w:rsid w:val="00A408FC"/>
    <w:rsid w:val="00A45990"/>
    <w:rsid w:val="00A50248"/>
    <w:rsid w:val="00A52BC0"/>
    <w:rsid w:val="00A53232"/>
    <w:rsid w:val="00A561A0"/>
    <w:rsid w:val="00A64B61"/>
    <w:rsid w:val="00A67543"/>
    <w:rsid w:val="00A67D4D"/>
    <w:rsid w:val="00A70F3F"/>
    <w:rsid w:val="00A7396D"/>
    <w:rsid w:val="00A75CFB"/>
    <w:rsid w:val="00A81E89"/>
    <w:rsid w:val="00A83024"/>
    <w:rsid w:val="00A83093"/>
    <w:rsid w:val="00A832BB"/>
    <w:rsid w:val="00A83569"/>
    <w:rsid w:val="00A83D45"/>
    <w:rsid w:val="00A84D56"/>
    <w:rsid w:val="00A91606"/>
    <w:rsid w:val="00A954B8"/>
    <w:rsid w:val="00A95B91"/>
    <w:rsid w:val="00A95C88"/>
    <w:rsid w:val="00AA06B6"/>
    <w:rsid w:val="00AA146F"/>
    <w:rsid w:val="00AA4C5C"/>
    <w:rsid w:val="00AB284F"/>
    <w:rsid w:val="00AB3DEA"/>
    <w:rsid w:val="00AB4563"/>
    <w:rsid w:val="00AB6117"/>
    <w:rsid w:val="00AC410C"/>
    <w:rsid w:val="00AC4DD9"/>
    <w:rsid w:val="00AC5B69"/>
    <w:rsid w:val="00AC67B9"/>
    <w:rsid w:val="00AC68CB"/>
    <w:rsid w:val="00AD1BC2"/>
    <w:rsid w:val="00AD385D"/>
    <w:rsid w:val="00AD3E98"/>
    <w:rsid w:val="00AD41B2"/>
    <w:rsid w:val="00AD6B84"/>
    <w:rsid w:val="00AD6D85"/>
    <w:rsid w:val="00AD6F09"/>
    <w:rsid w:val="00AE0A67"/>
    <w:rsid w:val="00AE2855"/>
    <w:rsid w:val="00AE4864"/>
    <w:rsid w:val="00AE4FA4"/>
    <w:rsid w:val="00AE7936"/>
    <w:rsid w:val="00AF140A"/>
    <w:rsid w:val="00AF2AC4"/>
    <w:rsid w:val="00AF70E1"/>
    <w:rsid w:val="00B02B87"/>
    <w:rsid w:val="00B05442"/>
    <w:rsid w:val="00B13A4C"/>
    <w:rsid w:val="00B14D67"/>
    <w:rsid w:val="00B161F8"/>
    <w:rsid w:val="00B162BB"/>
    <w:rsid w:val="00B20779"/>
    <w:rsid w:val="00B20B47"/>
    <w:rsid w:val="00B2179A"/>
    <w:rsid w:val="00B25A6D"/>
    <w:rsid w:val="00B26CE5"/>
    <w:rsid w:val="00B27971"/>
    <w:rsid w:val="00B3089F"/>
    <w:rsid w:val="00B30CFE"/>
    <w:rsid w:val="00B33B6C"/>
    <w:rsid w:val="00B361A5"/>
    <w:rsid w:val="00B375B9"/>
    <w:rsid w:val="00B400F7"/>
    <w:rsid w:val="00B40B5B"/>
    <w:rsid w:val="00B40F7F"/>
    <w:rsid w:val="00B41EEB"/>
    <w:rsid w:val="00B43109"/>
    <w:rsid w:val="00B45727"/>
    <w:rsid w:val="00B45E1D"/>
    <w:rsid w:val="00B533B1"/>
    <w:rsid w:val="00B55FFD"/>
    <w:rsid w:val="00B56571"/>
    <w:rsid w:val="00B61B37"/>
    <w:rsid w:val="00B62CCD"/>
    <w:rsid w:val="00B6328D"/>
    <w:rsid w:val="00B675E1"/>
    <w:rsid w:val="00B71B06"/>
    <w:rsid w:val="00B73B6B"/>
    <w:rsid w:val="00B75004"/>
    <w:rsid w:val="00B751D5"/>
    <w:rsid w:val="00B804DF"/>
    <w:rsid w:val="00B832F8"/>
    <w:rsid w:val="00B83E27"/>
    <w:rsid w:val="00B847E0"/>
    <w:rsid w:val="00B84986"/>
    <w:rsid w:val="00B850EA"/>
    <w:rsid w:val="00B87816"/>
    <w:rsid w:val="00B95F5E"/>
    <w:rsid w:val="00B965E3"/>
    <w:rsid w:val="00BA0AF8"/>
    <w:rsid w:val="00BA15E2"/>
    <w:rsid w:val="00BA25B6"/>
    <w:rsid w:val="00BA3207"/>
    <w:rsid w:val="00BA6D70"/>
    <w:rsid w:val="00BB027A"/>
    <w:rsid w:val="00BB24D2"/>
    <w:rsid w:val="00BB302E"/>
    <w:rsid w:val="00BB5063"/>
    <w:rsid w:val="00BB5549"/>
    <w:rsid w:val="00BB7F60"/>
    <w:rsid w:val="00BC01C4"/>
    <w:rsid w:val="00BC021A"/>
    <w:rsid w:val="00BC2C05"/>
    <w:rsid w:val="00BC496A"/>
    <w:rsid w:val="00BC5304"/>
    <w:rsid w:val="00BD110E"/>
    <w:rsid w:val="00BD1522"/>
    <w:rsid w:val="00BD2097"/>
    <w:rsid w:val="00BD4F3F"/>
    <w:rsid w:val="00BD5FA1"/>
    <w:rsid w:val="00BD609E"/>
    <w:rsid w:val="00BD6354"/>
    <w:rsid w:val="00BE0025"/>
    <w:rsid w:val="00BE1C87"/>
    <w:rsid w:val="00BF111E"/>
    <w:rsid w:val="00BF1988"/>
    <w:rsid w:val="00BF2330"/>
    <w:rsid w:val="00BF7026"/>
    <w:rsid w:val="00C03A11"/>
    <w:rsid w:val="00C10C61"/>
    <w:rsid w:val="00C12637"/>
    <w:rsid w:val="00C14544"/>
    <w:rsid w:val="00C1539F"/>
    <w:rsid w:val="00C21386"/>
    <w:rsid w:val="00C238B4"/>
    <w:rsid w:val="00C23F5A"/>
    <w:rsid w:val="00C24E9E"/>
    <w:rsid w:val="00C254B9"/>
    <w:rsid w:val="00C26B11"/>
    <w:rsid w:val="00C3321D"/>
    <w:rsid w:val="00C36CFC"/>
    <w:rsid w:val="00C3740F"/>
    <w:rsid w:val="00C37A2F"/>
    <w:rsid w:val="00C40FDB"/>
    <w:rsid w:val="00C42640"/>
    <w:rsid w:val="00C46653"/>
    <w:rsid w:val="00C46944"/>
    <w:rsid w:val="00C47393"/>
    <w:rsid w:val="00C51653"/>
    <w:rsid w:val="00C57060"/>
    <w:rsid w:val="00C613F0"/>
    <w:rsid w:val="00C6160D"/>
    <w:rsid w:val="00C6164B"/>
    <w:rsid w:val="00C63507"/>
    <w:rsid w:val="00C64712"/>
    <w:rsid w:val="00C6584B"/>
    <w:rsid w:val="00C67D31"/>
    <w:rsid w:val="00C72980"/>
    <w:rsid w:val="00C743EF"/>
    <w:rsid w:val="00C754F9"/>
    <w:rsid w:val="00C80496"/>
    <w:rsid w:val="00C82A5F"/>
    <w:rsid w:val="00C85BE3"/>
    <w:rsid w:val="00C91795"/>
    <w:rsid w:val="00C92D8E"/>
    <w:rsid w:val="00C93D44"/>
    <w:rsid w:val="00C9446A"/>
    <w:rsid w:val="00C94565"/>
    <w:rsid w:val="00C96D8F"/>
    <w:rsid w:val="00CA101E"/>
    <w:rsid w:val="00CA1D11"/>
    <w:rsid w:val="00CA3100"/>
    <w:rsid w:val="00CA598E"/>
    <w:rsid w:val="00CA6B4E"/>
    <w:rsid w:val="00CB05BF"/>
    <w:rsid w:val="00CB1E52"/>
    <w:rsid w:val="00CB32B2"/>
    <w:rsid w:val="00CB5E56"/>
    <w:rsid w:val="00CB66F1"/>
    <w:rsid w:val="00CC02A0"/>
    <w:rsid w:val="00CC59D0"/>
    <w:rsid w:val="00CC7580"/>
    <w:rsid w:val="00CD662E"/>
    <w:rsid w:val="00CD6BA9"/>
    <w:rsid w:val="00CE2FB4"/>
    <w:rsid w:val="00CE7B40"/>
    <w:rsid w:val="00CF1D1B"/>
    <w:rsid w:val="00CF275E"/>
    <w:rsid w:val="00CF495E"/>
    <w:rsid w:val="00D0006D"/>
    <w:rsid w:val="00D01DED"/>
    <w:rsid w:val="00D0352F"/>
    <w:rsid w:val="00D1091D"/>
    <w:rsid w:val="00D11EDE"/>
    <w:rsid w:val="00D13241"/>
    <w:rsid w:val="00D13FC6"/>
    <w:rsid w:val="00D162DA"/>
    <w:rsid w:val="00D162F2"/>
    <w:rsid w:val="00D17BB2"/>
    <w:rsid w:val="00D212E0"/>
    <w:rsid w:val="00D2249F"/>
    <w:rsid w:val="00D22F1D"/>
    <w:rsid w:val="00D27873"/>
    <w:rsid w:val="00D3353D"/>
    <w:rsid w:val="00D34CBC"/>
    <w:rsid w:val="00D37A17"/>
    <w:rsid w:val="00D42309"/>
    <w:rsid w:val="00D42FFF"/>
    <w:rsid w:val="00D44E8A"/>
    <w:rsid w:val="00D4690F"/>
    <w:rsid w:val="00D52934"/>
    <w:rsid w:val="00D5616F"/>
    <w:rsid w:val="00D577C5"/>
    <w:rsid w:val="00D5782A"/>
    <w:rsid w:val="00D62227"/>
    <w:rsid w:val="00D6344E"/>
    <w:rsid w:val="00D67C36"/>
    <w:rsid w:val="00D70C8A"/>
    <w:rsid w:val="00D7134A"/>
    <w:rsid w:val="00D731EB"/>
    <w:rsid w:val="00D73CEE"/>
    <w:rsid w:val="00D75DB8"/>
    <w:rsid w:val="00D82A70"/>
    <w:rsid w:val="00D82F31"/>
    <w:rsid w:val="00D8381C"/>
    <w:rsid w:val="00D85281"/>
    <w:rsid w:val="00D85561"/>
    <w:rsid w:val="00D92C47"/>
    <w:rsid w:val="00D92DF5"/>
    <w:rsid w:val="00D95416"/>
    <w:rsid w:val="00D970E0"/>
    <w:rsid w:val="00D976E6"/>
    <w:rsid w:val="00DA0038"/>
    <w:rsid w:val="00DA4270"/>
    <w:rsid w:val="00DA4A3D"/>
    <w:rsid w:val="00DA66A7"/>
    <w:rsid w:val="00DA676C"/>
    <w:rsid w:val="00DA70E4"/>
    <w:rsid w:val="00DB0FC4"/>
    <w:rsid w:val="00DB2A87"/>
    <w:rsid w:val="00DB523B"/>
    <w:rsid w:val="00DB59A4"/>
    <w:rsid w:val="00DC0064"/>
    <w:rsid w:val="00DC2022"/>
    <w:rsid w:val="00DC3F63"/>
    <w:rsid w:val="00DC44E9"/>
    <w:rsid w:val="00DC503A"/>
    <w:rsid w:val="00DD0E07"/>
    <w:rsid w:val="00DD5B1A"/>
    <w:rsid w:val="00DE1EE6"/>
    <w:rsid w:val="00DE3B47"/>
    <w:rsid w:val="00DF27B9"/>
    <w:rsid w:val="00E008C5"/>
    <w:rsid w:val="00E05595"/>
    <w:rsid w:val="00E07BB0"/>
    <w:rsid w:val="00E10783"/>
    <w:rsid w:val="00E11EA0"/>
    <w:rsid w:val="00E124FF"/>
    <w:rsid w:val="00E13710"/>
    <w:rsid w:val="00E214A9"/>
    <w:rsid w:val="00E31F83"/>
    <w:rsid w:val="00E32A14"/>
    <w:rsid w:val="00E34C4A"/>
    <w:rsid w:val="00E34EEC"/>
    <w:rsid w:val="00E379CA"/>
    <w:rsid w:val="00E37D43"/>
    <w:rsid w:val="00E40560"/>
    <w:rsid w:val="00E43681"/>
    <w:rsid w:val="00E45DD9"/>
    <w:rsid w:val="00E46FE4"/>
    <w:rsid w:val="00E52BDD"/>
    <w:rsid w:val="00E5390A"/>
    <w:rsid w:val="00E54BB9"/>
    <w:rsid w:val="00E5594A"/>
    <w:rsid w:val="00E57A1B"/>
    <w:rsid w:val="00E6210E"/>
    <w:rsid w:val="00E63868"/>
    <w:rsid w:val="00E66664"/>
    <w:rsid w:val="00E7093D"/>
    <w:rsid w:val="00E736A6"/>
    <w:rsid w:val="00E745A0"/>
    <w:rsid w:val="00E7588E"/>
    <w:rsid w:val="00E771CF"/>
    <w:rsid w:val="00E776A4"/>
    <w:rsid w:val="00E77DA9"/>
    <w:rsid w:val="00E80769"/>
    <w:rsid w:val="00E81FB8"/>
    <w:rsid w:val="00E850A9"/>
    <w:rsid w:val="00E93BC4"/>
    <w:rsid w:val="00E94B01"/>
    <w:rsid w:val="00EA6AFB"/>
    <w:rsid w:val="00EB6089"/>
    <w:rsid w:val="00EB61EB"/>
    <w:rsid w:val="00EB670A"/>
    <w:rsid w:val="00EC1B4D"/>
    <w:rsid w:val="00EC297E"/>
    <w:rsid w:val="00EC29DB"/>
    <w:rsid w:val="00EC4C02"/>
    <w:rsid w:val="00EC578B"/>
    <w:rsid w:val="00EC6F72"/>
    <w:rsid w:val="00EC6FB4"/>
    <w:rsid w:val="00ED022A"/>
    <w:rsid w:val="00ED1C11"/>
    <w:rsid w:val="00ED2F31"/>
    <w:rsid w:val="00EE0A64"/>
    <w:rsid w:val="00EE2FFA"/>
    <w:rsid w:val="00EE2FFF"/>
    <w:rsid w:val="00EE3D57"/>
    <w:rsid w:val="00EE5440"/>
    <w:rsid w:val="00EE76A1"/>
    <w:rsid w:val="00EE7929"/>
    <w:rsid w:val="00EF06DB"/>
    <w:rsid w:val="00EF1DE4"/>
    <w:rsid w:val="00EF3279"/>
    <w:rsid w:val="00EF32CB"/>
    <w:rsid w:val="00EF421E"/>
    <w:rsid w:val="00EF4B7A"/>
    <w:rsid w:val="00EF5B49"/>
    <w:rsid w:val="00EF7628"/>
    <w:rsid w:val="00F00B4F"/>
    <w:rsid w:val="00F00BC6"/>
    <w:rsid w:val="00F0423D"/>
    <w:rsid w:val="00F1343A"/>
    <w:rsid w:val="00F17861"/>
    <w:rsid w:val="00F22599"/>
    <w:rsid w:val="00F2459E"/>
    <w:rsid w:val="00F267AA"/>
    <w:rsid w:val="00F3132F"/>
    <w:rsid w:val="00F31C39"/>
    <w:rsid w:val="00F325C3"/>
    <w:rsid w:val="00F34C29"/>
    <w:rsid w:val="00F34FEA"/>
    <w:rsid w:val="00F36C7F"/>
    <w:rsid w:val="00F37165"/>
    <w:rsid w:val="00F40389"/>
    <w:rsid w:val="00F40EAF"/>
    <w:rsid w:val="00F42437"/>
    <w:rsid w:val="00F454EC"/>
    <w:rsid w:val="00F4662A"/>
    <w:rsid w:val="00F51347"/>
    <w:rsid w:val="00F51A02"/>
    <w:rsid w:val="00F53238"/>
    <w:rsid w:val="00F544F1"/>
    <w:rsid w:val="00F54691"/>
    <w:rsid w:val="00F636B7"/>
    <w:rsid w:val="00F65661"/>
    <w:rsid w:val="00F661E5"/>
    <w:rsid w:val="00F72EBB"/>
    <w:rsid w:val="00F76AF3"/>
    <w:rsid w:val="00F83815"/>
    <w:rsid w:val="00F84950"/>
    <w:rsid w:val="00F85C93"/>
    <w:rsid w:val="00F870DA"/>
    <w:rsid w:val="00F87B8D"/>
    <w:rsid w:val="00F91C05"/>
    <w:rsid w:val="00F940F8"/>
    <w:rsid w:val="00F964E5"/>
    <w:rsid w:val="00F97004"/>
    <w:rsid w:val="00FA2911"/>
    <w:rsid w:val="00FA2E93"/>
    <w:rsid w:val="00FA3914"/>
    <w:rsid w:val="00FA4CC8"/>
    <w:rsid w:val="00FA5994"/>
    <w:rsid w:val="00FA6349"/>
    <w:rsid w:val="00FB124A"/>
    <w:rsid w:val="00FB323C"/>
    <w:rsid w:val="00FB4571"/>
    <w:rsid w:val="00FB4FB3"/>
    <w:rsid w:val="00FB5A32"/>
    <w:rsid w:val="00FB60FF"/>
    <w:rsid w:val="00FC0112"/>
    <w:rsid w:val="00FC0157"/>
    <w:rsid w:val="00FC1893"/>
    <w:rsid w:val="00FC57CF"/>
    <w:rsid w:val="00FD05BB"/>
    <w:rsid w:val="00FD1C83"/>
    <w:rsid w:val="00FD2A11"/>
    <w:rsid w:val="00FD3A39"/>
    <w:rsid w:val="00FD7A2E"/>
    <w:rsid w:val="00FE0212"/>
    <w:rsid w:val="00FE18EC"/>
    <w:rsid w:val="00FE6771"/>
    <w:rsid w:val="00FF1F7A"/>
    <w:rsid w:val="00FF2EA7"/>
    <w:rsid w:val="00FF33CB"/>
    <w:rsid w:val="00FF51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4A087"/>
  <w15:docId w15:val="{AA582E9A-4456-4F3E-B849-D9E42088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5E"/>
    <w:rPr>
      <w:rFonts w:ascii="Tahoma" w:hAnsi="Tahoma" w:cs="Tahoma"/>
      <w:sz w:val="16"/>
      <w:szCs w:val="16"/>
    </w:rPr>
  </w:style>
  <w:style w:type="paragraph" w:styleId="ListParagraph">
    <w:name w:val="List Paragraph"/>
    <w:basedOn w:val="Normal"/>
    <w:uiPriority w:val="34"/>
    <w:qFormat/>
    <w:rsid w:val="00D731EB"/>
    <w:pPr>
      <w:ind w:left="720"/>
      <w:contextualSpacing/>
    </w:pPr>
  </w:style>
  <w:style w:type="character" w:styleId="CommentReference">
    <w:name w:val="annotation reference"/>
    <w:basedOn w:val="DefaultParagraphFont"/>
    <w:uiPriority w:val="99"/>
    <w:semiHidden/>
    <w:unhideWhenUsed/>
    <w:rsid w:val="005757D7"/>
    <w:rPr>
      <w:sz w:val="16"/>
      <w:szCs w:val="16"/>
    </w:rPr>
  </w:style>
  <w:style w:type="paragraph" w:styleId="CommentText">
    <w:name w:val="annotation text"/>
    <w:basedOn w:val="Normal"/>
    <w:link w:val="CommentTextChar"/>
    <w:uiPriority w:val="99"/>
    <w:semiHidden/>
    <w:unhideWhenUsed/>
    <w:rsid w:val="005757D7"/>
    <w:pPr>
      <w:spacing w:line="240" w:lineRule="auto"/>
    </w:pPr>
    <w:rPr>
      <w:sz w:val="20"/>
      <w:szCs w:val="20"/>
    </w:rPr>
  </w:style>
  <w:style w:type="character" w:customStyle="1" w:styleId="CommentTextChar">
    <w:name w:val="Comment Text Char"/>
    <w:basedOn w:val="DefaultParagraphFont"/>
    <w:link w:val="CommentText"/>
    <w:uiPriority w:val="99"/>
    <w:semiHidden/>
    <w:rsid w:val="005757D7"/>
    <w:rPr>
      <w:sz w:val="20"/>
      <w:szCs w:val="20"/>
    </w:rPr>
  </w:style>
  <w:style w:type="paragraph" w:styleId="CommentSubject">
    <w:name w:val="annotation subject"/>
    <w:basedOn w:val="CommentText"/>
    <w:next w:val="CommentText"/>
    <w:link w:val="CommentSubjectChar"/>
    <w:uiPriority w:val="99"/>
    <w:semiHidden/>
    <w:unhideWhenUsed/>
    <w:rsid w:val="005757D7"/>
    <w:rPr>
      <w:b/>
      <w:bCs/>
    </w:rPr>
  </w:style>
  <w:style w:type="character" w:customStyle="1" w:styleId="CommentSubjectChar">
    <w:name w:val="Comment Subject Char"/>
    <w:basedOn w:val="CommentTextChar"/>
    <w:link w:val="CommentSubject"/>
    <w:uiPriority w:val="99"/>
    <w:semiHidden/>
    <w:rsid w:val="005757D7"/>
    <w:rPr>
      <w:b/>
      <w:bCs/>
      <w:sz w:val="20"/>
      <w:szCs w:val="20"/>
    </w:rPr>
  </w:style>
  <w:style w:type="character" w:styleId="Hyperlink">
    <w:name w:val="Hyperlink"/>
    <w:basedOn w:val="DefaultParagraphFont"/>
    <w:uiPriority w:val="99"/>
    <w:unhideWhenUsed/>
    <w:rsid w:val="00FC0112"/>
    <w:rPr>
      <w:color w:val="0000FF" w:themeColor="hyperlink"/>
      <w:u w:val="single"/>
    </w:rPr>
  </w:style>
  <w:style w:type="table" w:styleId="TableGrid">
    <w:name w:val="Table Grid"/>
    <w:basedOn w:val="TableNormal"/>
    <w:uiPriority w:val="59"/>
    <w:rsid w:val="008F5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275"/>
  </w:style>
  <w:style w:type="paragraph" w:styleId="Footer">
    <w:name w:val="footer"/>
    <w:basedOn w:val="Normal"/>
    <w:link w:val="FooterChar"/>
    <w:uiPriority w:val="99"/>
    <w:unhideWhenUsed/>
    <w:rsid w:val="002D5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275"/>
  </w:style>
  <w:style w:type="character" w:customStyle="1" w:styleId="paragraph">
    <w:name w:val="paragraph"/>
    <w:basedOn w:val="DefaultParagraphFont"/>
    <w:rsid w:val="00BE0025"/>
  </w:style>
  <w:style w:type="character" w:styleId="Strong">
    <w:name w:val="Strong"/>
    <w:basedOn w:val="DefaultParagraphFont"/>
    <w:uiPriority w:val="22"/>
    <w:qFormat/>
    <w:rsid w:val="000C3271"/>
    <w:rPr>
      <w:b/>
      <w:bCs/>
    </w:rPr>
  </w:style>
  <w:style w:type="paragraph" w:customStyle="1" w:styleId="para1">
    <w:name w:val="para1"/>
    <w:basedOn w:val="Normal"/>
    <w:rsid w:val="000C3271"/>
    <w:pPr>
      <w:spacing w:after="150" w:line="240" w:lineRule="auto"/>
    </w:pPr>
    <w:rPr>
      <w:rFonts w:ascii="Georgia" w:eastAsia="Times New Roman" w:hAnsi="Georgia" w:cs="Times New Roman"/>
      <w:sz w:val="24"/>
      <w:szCs w:val="24"/>
      <w:lang w:eastAsia="en-GB"/>
    </w:rPr>
  </w:style>
  <w:style w:type="character" w:styleId="FollowedHyperlink">
    <w:name w:val="FollowedHyperlink"/>
    <w:basedOn w:val="DefaultParagraphFont"/>
    <w:uiPriority w:val="99"/>
    <w:semiHidden/>
    <w:unhideWhenUsed/>
    <w:rsid w:val="002151BD"/>
    <w:rPr>
      <w:color w:val="800080" w:themeColor="followedHyperlink"/>
      <w:u w:val="single"/>
    </w:rPr>
  </w:style>
  <w:style w:type="paragraph" w:styleId="Revision">
    <w:name w:val="Revision"/>
    <w:hidden/>
    <w:uiPriority w:val="99"/>
    <w:semiHidden/>
    <w:rsid w:val="002151BD"/>
    <w:pPr>
      <w:spacing w:after="0" w:line="240" w:lineRule="auto"/>
    </w:pPr>
  </w:style>
  <w:style w:type="paragraph" w:customStyle="1" w:styleId="Default">
    <w:name w:val="Default"/>
    <w:rsid w:val="006703F1"/>
    <w:pPr>
      <w:autoSpaceDE w:val="0"/>
      <w:autoSpaceDN w:val="0"/>
      <w:adjustRightInd w:val="0"/>
      <w:spacing w:after="0" w:line="240" w:lineRule="auto"/>
    </w:pPr>
    <w:rPr>
      <w:rFonts w:ascii="Tahoma" w:hAnsi="Tahoma" w:cs="Tahoma"/>
      <w:color w:val="000000"/>
      <w:sz w:val="24"/>
      <w:szCs w:val="24"/>
    </w:rPr>
  </w:style>
  <w:style w:type="character" w:styleId="HTMLCite">
    <w:name w:val="HTML Cite"/>
    <w:basedOn w:val="DefaultParagraphFont"/>
    <w:uiPriority w:val="99"/>
    <w:semiHidden/>
    <w:unhideWhenUsed/>
    <w:rsid w:val="00C14544"/>
    <w:rPr>
      <w:i/>
      <w:iCs/>
    </w:rPr>
  </w:style>
  <w:style w:type="character" w:styleId="Emphasis">
    <w:name w:val="Emphasis"/>
    <w:basedOn w:val="DefaultParagraphFont"/>
    <w:uiPriority w:val="20"/>
    <w:qFormat/>
    <w:rsid w:val="00C14544"/>
    <w:rPr>
      <w:i/>
      <w:iCs/>
    </w:rPr>
  </w:style>
  <w:style w:type="character" w:customStyle="1" w:styleId="cit-source">
    <w:name w:val="cit-source"/>
    <w:basedOn w:val="DefaultParagraphFont"/>
    <w:rsid w:val="00C14544"/>
  </w:style>
  <w:style w:type="character" w:customStyle="1" w:styleId="cit-pub-date">
    <w:name w:val="cit-pub-date"/>
    <w:basedOn w:val="DefaultParagraphFont"/>
    <w:rsid w:val="00C14544"/>
  </w:style>
  <w:style w:type="character" w:customStyle="1" w:styleId="cit-vol4">
    <w:name w:val="cit-vol4"/>
    <w:basedOn w:val="DefaultParagraphFont"/>
    <w:rsid w:val="00C14544"/>
  </w:style>
  <w:style w:type="character" w:customStyle="1" w:styleId="cit-fpage">
    <w:name w:val="cit-fpage"/>
    <w:basedOn w:val="DefaultParagraphFont"/>
    <w:rsid w:val="00C14544"/>
  </w:style>
  <w:style w:type="character" w:customStyle="1" w:styleId="apple-converted-space">
    <w:name w:val="apple-converted-space"/>
    <w:basedOn w:val="DefaultParagraphFont"/>
    <w:rsid w:val="001505B8"/>
  </w:style>
  <w:style w:type="character" w:customStyle="1" w:styleId="search-term-highlight1">
    <w:name w:val="search-term-highlight1"/>
    <w:basedOn w:val="DefaultParagraphFont"/>
    <w:rsid w:val="000F28D2"/>
    <w:rPr>
      <w:b/>
      <w:bCs/>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01516">
      <w:bodyDiv w:val="1"/>
      <w:marLeft w:val="0"/>
      <w:marRight w:val="0"/>
      <w:marTop w:val="0"/>
      <w:marBottom w:val="0"/>
      <w:divBdr>
        <w:top w:val="none" w:sz="0" w:space="0" w:color="auto"/>
        <w:left w:val="none" w:sz="0" w:space="0" w:color="auto"/>
        <w:bottom w:val="none" w:sz="0" w:space="0" w:color="auto"/>
        <w:right w:val="none" w:sz="0" w:space="0" w:color="auto"/>
      </w:divBdr>
    </w:div>
    <w:div w:id="198127820">
      <w:bodyDiv w:val="1"/>
      <w:marLeft w:val="0"/>
      <w:marRight w:val="0"/>
      <w:marTop w:val="0"/>
      <w:marBottom w:val="0"/>
      <w:divBdr>
        <w:top w:val="none" w:sz="0" w:space="0" w:color="auto"/>
        <w:left w:val="none" w:sz="0" w:space="0" w:color="auto"/>
        <w:bottom w:val="none" w:sz="0" w:space="0" w:color="auto"/>
        <w:right w:val="none" w:sz="0" w:space="0" w:color="auto"/>
      </w:divBdr>
    </w:div>
    <w:div w:id="202600126">
      <w:bodyDiv w:val="1"/>
      <w:marLeft w:val="0"/>
      <w:marRight w:val="0"/>
      <w:marTop w:val="0"/>
      <w:marBottom w:val="0"/>
      <w:divBdr>
        <w:top w:val="none" w:sz="0" w:space="0" w:color="auto"/>
        <w:left w:val="none" w:sz="0" w:space="0" w:color="auto"/>
        <w:bottom w:val="none" w:sz="0" w:space="0" w:color="auto"/>
        <w:right w:val="none" w:sz="0" w:space="0" w:color="auto"/>
      </w:divBdr>
    </w:div>
    <w:div w:id="232664933">
      <w:bodyDiv w:val="1"/>
      <w:marLeft w:val="0"/>
      <w:marRight w:val="0"/>
      <w:marTop w:val="0"/>
      <w:marBottom w:val="0"/>
      <w:divBdr>
        <w:top w:val="none" w:sz="0" w:space="0" w:color="auto"/>
        <w:left w:val="none" w:sz="0" w:space="0" w:color="auto"/>
        <w:bottom w:val="none" w:sz="0" w:space="0" w:color="auto"/>
        <w:right w:val="none" w:sz="0" w:space="0" w:color="auto"/>
      </w:divBdr>
    </w:div>
    <w:div w:id="378745006">
      <w:bodyDiv w:val="1"/>
      <w:marLeft w:val="0"/>
      <w:marRight w:val="0"/>
      <w:marTop w:val="0"/>
      <w:marBottom w:val="0"/>
      <w:divBdr>
        <w:top w:val="none" w:sz="0" w:space="0" w:color="auto"/>
        <w:left w:val="none" w:sz="0" w:space="0" w:color="auto"/>
        <w:bottom w:val="none" w:sz="0" w:space="0" w:color="auto"/>
        <w:right w:val="none" w:sz="0" w:space="0" w:color="auto"/>
      </w:divBdr>
    </w:div>
    <w:div w:id="469828096">
      <w:bodyDiv w:val="1"/>
      <w:marLeft w:val="0"/>
      <w:marRight w:val="0"/>
      <w:marTop w:val="0"/>
      <w:marBottom w:val="0"/>
      <w:divBdr>
        <w:top w:val="none" w:sz="0" w:space="0" w:color="auto"/>
        <w:left w:val="none" w:sz="0" w:space="0" w:color="auto"/>
        <w:bottom w:val="none" w:sz="0" w:space="0" w:color="auto"/>
        <w:right w:val="none" w:sz="0" w:space="0" w:color="auto"/>
      </w:divBdr>
    </w:div>
    <w:div w:id="496579281">
      <w:bodyDiv w:val="1"/>
      <w:marLeft w:val="0"/>
      <w:marRight w:val="0"/>
      <w:marTop w:val="0"/>
      <w:marBottom w:val="0"/>
      <w:divBdr>
        <w:top w:val="none" w:sz="0" w:space="0" w:color="auto"/>
        <w:left w:val="none" w:sz="0" w:space="0" w:color="auto"/>
        <w:bottom w:val="none" w:sz="0" w:space="0" w:color="auto"/>
        <w:right w:val="none" w:sz="0" w:space="0" w:color="auto"/>
      </w:divBdr>
    </w:div>
    <w:div w:id="573903698">
      <w:bodyDiv w:val="1"/>
      <w:marLeft w:val="0"/>
      <w:marRight w:val="0"/>
      <w:marTop w:val="0"/>
      <w:marBottom w:val="0"/>
      <w:divBdr>
        <w:top w:val="none" w:sz="0" w:space="0" w:color="auto"/>
        <w:left w:val="none" w:sz="0" w:space="0" w:color="auto"/>
        <w:bottom w:val="none" w:sz="0" w:space="0" w:color="auto"/>
        <w:right w:val="none" w:sz="0" w:space="0" w:color="auto"/>
      </w:divBdr>
    </w:div>
    <w:div w:id="603878087">
      <w:bodyDiv w:val="1"/>
      <w:marLeft w:val="0"/>
      <w:marRight w:val="0"/>
      <w:marTop w:val="0"/>
      <w:marBottom w:val="0"/>
      <w:divBdr>
        <w:top w:val="none" w:sz="0" w:space="0" w:color="auto"/>
        <w:left w:val="none" w:sz="0" w:space="0" w:color="auto"/>
        <w:bottom w:val="none" w:sz="0" w:space="0" w:color="auto"/>
        <w:right w:val="none" w:sz="0" w:space="0" w:color="auto"/>
      </w:divBdr>
    </w:div>
    <w:div w:id="674500434">
      <w:bodyDiv w:val="1"/>
      <w:marLeft w:val="0"/>
      <w:marRight w:val="0"/>
      <w:marTop w:val="0"/>
      <w:marBottom w:val="0"/>
      <w:divBdr>
        <w:top w:val="none" w:sz="0" w:space="0" w:color="auto"/>
        <w:left w:val="none" w:sz="0" w:space="0" w:color="auto"/>
        <w:bottom w:val="none" w:sz="0" w:space="0" w:color="auto"/>
        <w:right w:val="none" w:sz="0" w:space="0" w:color="auto"/>
      </w:divBdr>
    </w:div>
    <w:div w:id="952401388">
      <w:bodyDiv w:val="1"/>
      <w:marLeft w:val="0"/>
      <w:marRight w:val="0"/>
      <w:marTop w:val="0"/>
      <w:marBottom w:val="0"/>
      <w:divBdr>
        <w:top w:val="none" w:sz="0" w:space="0" w:color="auto"/>
        <w:left w:val="none" w:sz="0" w:space="0" w:color="auto"/>
        <w:bottom w:val="none" w:sz="0" w:space="0" w:color="auto"/>
        <w:right w:val="none" w:sz="0" w:space="0" w:color="auto"/>
      </w:divBdr>
      <w:divsChild>
        <w:div w:id="1719747316">
          <w:marLeft w:val="0"/>
          <w:marRight w:val="0"/>
          <w:marTop w:val="15"/>
          <w:marBottom w:val="0"/>
          <w:divBdr>
            <w:top w:val="single" w:sz="6" w:space="0" w:color="B6BBBF"/>
            <w:left w:val="none" w:sz="0" w:space="0" w:color="auto"/>
            <w:bottom w:val="none" w:sz="0" w:space="0" w:color="auto"/>
            <w:right w:val="none" w:sz="0" w:space="0" w:color="auto"/>
          </w:divBdr>
          <w:divsChild>
            <w:div w:id="1154564784">
              <w:marLeft w:val="0"/>
              <w:marRight w:val="0"/>
              <w:marTop w:val="0"/>
              <w:marBottom w:val="0"/>
              <w:divBdr>
                <w:top w:val="none" w:sz="0" w:space="0" w:color="auto"/>
                <w:left w:val="none" w:sz="0" w:space="0" w:color="auto"/>
                <w:bottom w:val="none" w:sz="0" w:space="0" w:color="auto"/>
                <w:right w:val="none" w:sz="0" w:space="0" w:color="auto"/>
              </w:divBdr>
              <w:divsChild>
                <w:div w:id="1858614744">
                  <w:marLeft w:val="0"/>
                  <w:marRight w:val="0"/>
                  <w:marTop w:val="0"/>
                  <w:marBottom w:val="0"/>
                  <w:divBdr>
                    <w:top w:val="none" w:sz="0" w:space="0" w:color="auto"/>
                    <w:left w:val="none" w:sz="0" w:space="0" w:color="auto"/>
                    <w:bottom w:val="none" w:sz="0" w:space="0" w:color="auto"/>
                    <w:right w:val="none" w:sz="0" w:space="0" w:color="auto"/>
                  </w:divBdr>
                  <w:divsChild>
                    <w:div w:id="1700660461">
                      <w:marLeft w:val="0"/>
                      <w:marRight w:val="0"/>
                      <w:marTop w:val="168"/>
                      <w:marBottom w:val="0"/>
                      <w:divBdr>
                        <w:top w:val="none" w:sz="0" w:space="0" w:color="auto"/>
                        <w:left w:val="none" w:sz="0" w:space="0" w:color="auto"/>
                        <w:bottom w:val="none" w:sz="0" w:space="0" w:color="auto"/>
                        <w:right w:val="none" w:sz="0" w:space="0" w:color="auto"/>
                      </w:divBdr>
                      <w:divsChild>
                        <w:div w:id="12177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560296">
      <w:bodyDiv w:val="1"/>
      <w:marLeft w:val="0"/>
      <w:marRight w:val="0"/>
      <w:marTop w:val="0"/>
      <w:marBottom w:val="0"/>
      <w:divBdr>
        <w:top w:val="none" w:sz="0" w:space="0" w:color="auto"/>
        <w:left w:val="none" w:sz="0" w:space="0" w:color="auto"/>
        <w:bottom w:val="none" w:sz="0" w:space="0" w:color="auto"/>
        <w:right w:val="none" w:sz="0" w:space="0" w:color="auto"/>
      </w:divBdr>
    </w:div>
    <w:div w:id="1023242211">
      <w:bodyDiv w:val="1"/>
      <w:marLeft w:val="0"/>
      <w:marRight w:val="0"/>
      <w:marTop w:val="0"/>
      <w:marBottom w:val="0"/>
      <w:divBdr>
        <w:top w:val="none" w:sz="0" w:space="0" w:color="auto"/>
        <w:left w:val="none" w:sz="0" w:space="0" w:color="auto"/>
        <w:bottom w:val="none" w:sz="0" w:space="0" w:color="auto"/>
        <w:right w:val="none" w:sz="0" w:space="0" w:color="auto"/>
      </w:divBdr>
    </w:div>
    <w:div w:id="1048723644">
      <w:bodyDiv w:val="1"/>
      <w:marLeft w:val="0"/>
      <w:marRight w:val="0"/>
      <w:marTop w:val="0"/>
      <w:marBottom w:val="0"/>
      <w:divBdr>
        <w:top w:val="none" w:sz="0" w:space="0" w:color="auto"/>
        <w:left w:val="none" w:sz="0" w:space="0" w:color="auto"/>
        <w:bottom w:val="none" w:sz="0" w:space="0" w:color="auto"/>
        <w:right w:val="none" w:sz="0" w:space="0" w:color="auto"/>
      </w:divBdr>
    </w:div>
    <w:div w:id="1049299047">
      <w:bodyDiv w:val="1"/>
      <w:marLeft w:val="0"/>
      <w:marRight w:val="0"/>
      <w:marTop w:val="0"/>
      <w:marBottom w:val="0"/>
      <w:divBdr>
        <w:top w:val="none" w:sz="0" w:space="0" w:color="auto"/>
        <w:left w:val="none" w:sz="0" w:space="0" w:color="auto"/>
        <w:bottom w:val="none" w:sz="0" w:space="0" w:color="auto"/>
        <w:right w:val="none" w:sz="0" w:space="0" w:color="auto"/>
      </w:divBdr>
    </w:div>
    <w:div w:id="1051227603">
      <w:bodyDiv w:val="1"/>
      <w:marLeft w:val="0"/>
      <w:marRight w:val="0"/>
      <w:marTop w:val="0"/>
      <w:marBottom w:val="0"/>
      <w:divBdr>
        <w:top w:val="none" w:sz="0" w:space="0" w:color="auto"/>
        <w:left w:val="none" w:sz="0" w:space="0" w:color="auto"/>
        <w:bottom w:val="none" w:sz="0" w:space="0" w:color="auto"/>
        <w:right w:val="none" w:sz="0" w:space="0" w:color="auto"/>
      </w:divBdr>
    </w:div>
    <w:div w:id="1079523406">
      <w:bodyDiv w:val="1"/>
      <w:marLeft w:val="0"/>
      <w:marRight w:val="0"/>
      <w:marTop w:val="0"/>
      <w:marBottom w:val="0"/>
      <w:divBdr>
        <w:top w:val="none" w:sz="0" w:space="0" w:color="auto"/>
        <w:left w:val="none" w:sz="0" w:space="0" w:color="auto"/>
        <w:bottom w:val="none" w:sz="0" w:space="0" w:color="auto"/>
        <w:right w:val="none" w:sz="0" w:space="0" w:color="auto"/>
      </w:divBdr>
    </w:div>
    <w:div w:id="1095057293">
      <w:bodyDiv w:val="1"/>
      <w:marLeft w:val="0"/>
      <w:marRight w:val="0"/>
      <w:marTop w:val="0"/>
      <w:marBottom w:val="0"/>
      <w:divBdr>
        <w:top w:val="none" w:sz="0" w:space="0" w:color="auto"/>
        <w:left w:val="none" w:sz="0" w:space="0" w:color="auto"/>
        <w:bottom w:val="none" w:sz="0" w:space="0" w:color="auto"/>
        <w:right w:val="none" w:sz="0" w:space="0" w:color="auto"/>
      </w:divBdr>
    </w:div>
    <w:div w:id="1114787867">
      <w:bodyDiv w:val="1"/>
      <w:marLeft w:val="0"/>
      <w:marRight w:val="0"/>
      <w:marTop w:val="0"/>
      <w:marBottom w:val="0"/>
      <w:divBdr>
        <w:top w:val="none" w:sz="0" w:space="0" w:color="auto"/>
        <w:left w:val="none" w:sz="0" w:space="0" w:color="auto"/>
        <w:bottom w:val="none" w:sz="0" w:space="0" w:color="auto"/>
        <w:right w:val="none" w:sz="0" w:space="0" w:color="auto"/>
      </w:divBdr>
      <w:divsChild>
        <w:div w:id="1827088552">
          <w:marLeft w:val="0"/>
          <w:marRight w:val="0"/>
          <w:marTop w:val="0"/>
          <w:marBottom w:val="0"/>
          <w:divBdr>
            <w:top w:val="none" w:sz="0" w:space="0" w:color="auto"/>
            <w:left w:val="none" w:sz="0" w:space="0" w:color="auto"/>
            <w:bottom w:val="none" w:sz="0" w:space="0" w:color="auto"/>
            <w:right w:val="none" w:sz="0" w:space="0" w:color="auto"/>
          </w:divBdr>
          <w:divsChild>
            <w:div w:id="1391153961">
              <w:marLeft w:val="0"/>
              <w:marRight w:val="0"/>
              <w:marTop w:val="0"/>
              <w:marBottom w:val="0"/>
              <w:divBdr>
                <w:top w:val="none" w:sz="0" w:space="0" w:color="auto"/>
                <w:left w:val="none" w:sz="0" w:space="0" w:color="auto"/>
                <w:bottom w:val="none" w:sz="0" w:space="0" w:color="auto"/>
                <w:right w:val="none" w:sz="0" w:space="0" w:color="auto"/>
              </w:divBdr>
              <w:divsChild>
                <w:div w:id="1892109840">
                  <w:marLeft w:val="0"/>
                  <w:marRight w:val="0"/>
                  <w:marTop w:val="0"/>
                  <w:marBottom w:val="0"/>
                  <w:divBdr>
                    <w:top w:val="none" w:sz="0" w:space="0" w:color="auto"/>
                    <w:left w:val="none" w:sz="0" w:space="0" w:color="auto"/>
                    <w:bottom w:val="none" w:sz="0" w:space="0" w:color="auto"/>
                    <w:right w:val="none" w:sz="0" w:space="0" w:color="auto"/>
                  </w:divBdr>
                  <w:divsChild>
                    <w:div w:id="570848614">
                      <w:marLeft w:val="0"/>
                      <w:marRight w:val="0"/>
                      <w:marTop w:val="0"/>
                      <w:marBottom w:val="0"/>
                      <w:divBdr>
                        <w:top w:val="none" w:sz="0" w:space="0" w:color="auto"/>
                        <w:left w:val="none" w:sz="0" w:space="0" w:color="auto"/>
                        <w:bottom w:val="none" w:sz="0" w:space="0" w:color="auto"/>
                        <w:right w:val="none" w:sz="0" w:space="0" w:color="auto"/>
                      </w:divBdr>
                      <w:divsChild>
                        <w:div w:id="1914705896">
                          <w:marLeft w:val="0"/>
                          <w:marRight w:val="0"/>
                          <w:marTop w:val="0"/>
                          <w:marBottom w:val="0"/>
                          <w:divBdr>
                            <w:top w:val="none" w:sz="0" w:space="0" w:color="auto"/>
                            <w:left w:val="none" w:sz="0" w:space="0" w:color="auto"/>
                            <w:bottom w:val="none" w:sz="0" w:space="0" w:color="auto"/>
                            <w:right w:val="none" w:sz="0" w:space="0" w:color="auto"/>
                          </w:divBdr>
                          <w:divsChild>
                            <w:div w:id="645866211">
                              <w:marLeft w:val="0"/>
                              <w:marRight w:val="0"/>
                              <w:marTop w:val="0"/>
                              <w:marBottom w:val="0"/>
                              <w:divBdr>
                                <w:top w:val="single" w:sz="6" w:space="0" w:color="999999"/>
                                <w:left w:val="none" w:sz="0" w:space="0" w:color="auto"/>
                                <w:bottom w:val="none" w:sz="0" w:space="0" w:color="auto"/>
                                <w:right w:val="none" w:sz="0" w:space="0" w:color="auto"/>
                              </w:divBdr>
                              <w:divsChild>
                                <w:div w:id="391347403">
                                  <w:marLeft w:val="0"/>
                                  <w:marRight w:val="0"/>
                                  <w:marTop w:val="0"/>
                                  <w:marBottom w:val="0"/>
                                  <w:divBdr>
                                    <w:top w:val="none" w:sz="0" w:space="0" w:color="auto"/>
                                    <w:left w:val="none" w:sz="0" w:space="0" w:color="auto"/>
                                    <w:bottom w:val="none" w:sz="0" w:space="0" w:color="auto"/>
                                    <w:right w:val="none" w:sz="0" w:space="0" w:color="auto"/>
                                  </w:divBdr>
                                  <w:divsChild>
                                    <w:div w:id="135027772">
                                      <w:marLeft w:val="0"/>
                                      <w:marRight w:val="0"/>
                                      <w:marTop w:val="0"/>
                                      <w:marBottom w:val="0"/>
                                      <w:divBdr>
                                        <w:top w:val="none" w:sz="0" w:space="0" w:color="auto"/>
                                        <w:left w:val="none" w:sz="0" w:space="0" w:color="auto"/>
                                        <w:bottom w:val="none" w:sz="0" w:space="0" w:color="auto"/>
                                        <w:right w:val="none" w:sz="0" w:space="0" w:color="auto"/>
                                      </w:divBdr>
                                      <w:divsChild>
                                        <w:div w:id="1163743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952109">
      <w:bodyDiv w:val="1"/>
      <w:marLeft w:val="0"/>
      <w:marRight w:val="0"/>
      <w:marTop w:val="0"/>
      <w:marBottom w:val="0"/>
      <w:divBdr>
        <w:top w:val="none" w:sz="0" w:space="0" w:color="auto"/>
        <w:left w:val="none" w:sz="0" w:space="0" w:color="auto"/>
        <w:bottom w:val="none" w:sz="0" w:space="0" w:color="auto"/>
        <w:right w:val="none" w:sz="0" w:space="0" w:color="auto"/>
      </w:divBdr>
    </w:div>
    <w:div w:id="1197080907">
      <w:bodyDiv w:val="1"/>
      <w:marLeft w:val="0"/>
      <w:marRight w:val="0"/>
      <w:marTop w:val="0"/>
      <w:marBottom w:val="0"/>
      <w:divBdr>
        <w:top w:val="none" w:sz="0" w:space="0" w:color="auto"/>
        <w:left w:val="none" w:sz="0" w:space="0" w:color="auto"/>
        <w:bottom w:val="none" w:sz="0" w:space="0" w:color="auto"/>
        <w:right w:val="none" w:sz="0" w:space="0" w:color="auto"/>
      </w:divBdr>
    </w:div>
    <w:div w:id="1260212592">
      <w:bodyDiv w:val="1"/>
      <w:marLeft w:val="0"/>
      <w:marRight w:val="0"/>
      <w:marTop w:val="0"/>
      <w:marBottom w:val="0"/>
      <w:divBdr>
        <w:top w:val="none" w:sz="0" w:space="0" w:color="auto"/>
        <w:left w:val="none" w:sz="0" w:space="0" w:color="auto"/>
        <w:bottom w:val="none" w:sz="0" w:space="0" w:color="auto"/>
        <w:right w:val="none" w:sz="0" w:space="0" w:color="auto"/>
      </w:divBdr>
    </w:div>
    <w:div w:id="1282692037">
      <w:bodyDiv w:val="1"/>
      <w:marLeft w:val="0"/>
      <w:marRight w:val="0"/>
      <w:marTop w:val="0"/>
      <w:marBottom w:val="0"/>
      <w:divBdr>
        <w:top w:val="none" w:sz="0" w:space="0" w:color="auto"/>
        <w:left w:val="none" w:sz="0" w:space="0" w:color="auto"/>
        <w:bottom w:val="none" w:sz="0" w:space="0" w:color="auto"/>
        <w:right w:val="none" w:sz="0" w:space="0" w:color="auto"/>
      </w:divBdr>
    </w:div>
    <w:div w:id="1410535891">
      <w:bodyDiv w:val="1"/>
      <w:marLeft w:val="0"/>
      <w:marRight w:val="0"/>
      <w:marTop w:val="0"/>
      <w:marBottom w:val="0"/>
      <w:divBdr>
        <w:top w:val="none" w:sz="0" w:space="0" w:color="auto"/>
        <w:left w:val="none" w:sz="0" w:space="0" w:color="auto"/>
        <w:bottom w:val="none" w:sz="0" w:space="0" w:color="auto"/>
        <w:right w:val="none" w:sz="0" w:space="0" w:color="auto"/>
      </w:divBdr>
    </w:div>
    <w:div w:id="1412504809">
      <w:bodyDiv w:val="1"/>
      <w:marLeft w:val="0"/>
      <w:marRight w:val="0"/>
      <w:marTop w:val="0"/>
      <w:marBottom w:val="0"/>
      <w:divBdr>
        <w:top w:val="none" w:sz="0" w:space="0" w:color="auto"/>
        <w:left w:val="none" w:sz="0" w:space="0" w:color="auto"/>
        <w:bottom w:val="none" w:sz="0" w:space="0" w:color="auto"/>
        <w:right w:val="none" w:sz="0" w:space="0" w:color="auto"/>
      </w:divBdr>
      <w:divsChild>
        <w:div w:id="424502571">
          <w:marLeft w:val="0"/>
          <w:marRight w:val="0"/>
          <w:marTop w:val="0"/>
          <w:marBottom w:val="0"/>
          <w:divBdr>
            <w:top w:val="none" w:sz="0" w:space="0" w:color="auto"/>
            <w:left w:val="none" w:sz="0" w:space="0" w:color="auto"/>
            <w:bottom w:val="none" w:sz="0" w:space="0" w:color="auto"/>
            <w:right w:val="none" w:sz="0" w:space="0" w:color="auto"/>
          </w:divBdr>
        </w:div>
        <w:div w:id="996762077">
          <w:marLeft w:val="0"/>
          <w:marRight w:val="0"/>
          <w:marTop w:val="0"/>
          <w:marBottom w:val="0"/>
          <w:divBdr>
            <w:top w:val="none" w:sz="0" w:space="0" w:color="auto"/>
            <w:left w:val="none" w:sz="0" w:space="0" w:color="auto"/>
            <w:bottom w:val="none" w:sz="0" w:space="0" w:color="auto"/>
            <w:right w:val="none" w:sz="0" w:space="0" w:color="auto"/>
          </w:divBdr>
        </w:div>
        <w:div w:id="139856603">
          <w:marLeft w:val="0"/>
          <w:marRight w:val="0"/>
          <w:marTop w:val="0"/>
          <w:marBottom w:val="0"/>
          <w:divBdr>
            <w:top w:val="none" w:sz="0" w:space="0" w:color="auto"/>
            <w:left w:val="none" w:sz="0" w:space="0" w:color="auto"/>
            <w:bottom w:val="none" w:sz="0" w:space="0" w:color="auto"/>
            <w:right w:val="none" w:sz="0" w:space="0" w:color="auto"/>
          </w:divBdr>
        </w:div>
        <w:div w:id="297565985">
          <w:marLeft w:val="0"/>
          <w:marRight w:val="0"/>
          <w:marTop w:val="0"/>
          <w:marBottom w:val="0"/>
          <w:divBdr>
            <w:top w:val="none" w:sz="0" w:space="0" w:color="auto"/>
            <w:left w:val="none" w:sz="0" w:space="0" w:color="auto"/>
            <w:bottom w:val="none" w:sz="0" w:space="0" w:color="auto"/>
            <w:right w:val="none" w:sz="0" w:space="0" w:color="auto"/>
          </w:divBdr>
        </w:div>
        <w:div w:id="1180194125">
          <w:marLeft w:val="0"/>
          <w:marRight w:val="0"/>
          <w:marTop w:val="0"/>
          <w:marBottom w:val="0"/>
          <w:divBdr>
            <w:top w:val="none" w:sz="0" w:space="0" w:color="auto"/>
            <w:left w:val="none" w:sz="0" w:space="0" w:color="auto"/>
            <w:bottom w:val="none" w:sz="0" w:space="0" w:color="auto"/>
            <w:right w:val="none" w:sz="0" w:space="0" w:color="auto"/>
          </w:divBdr>
        </w:div>
        <w:div w:id="41557995">
          <w:marLeft w:val="0"/>
          <w:marRight w:val="0"/>
          <w:marTop w:val="0"/>
          <w:marBottom w:val="0"/>
          <w:divBdr>
            <w:top w:val="none" w:sz="0" w:space="0" w:color="auto"/>
            <w:left w:val="none" w:sz="0" w:space="0" w:color="auto"/>
            <w:bottom w:val="none" w:sz="0" w:space="0" w:color="auto"/>
            <w:right w:val="none" w:sz="0" w:space="0" w:color="auto"/>
          </w:divBdr>
        </w:div>
        <w:div w:id="248082236">
          <w:marLeft w:val="0"/>
          <w:marRight w:val="0"/>
          <w:marTop w:val="0"/>
          <w:marBottom w:val="0"/>
          <w:divBdr>
            <w:top w:val="none" w:sz="0" w:space="0" w:color="auto"/>
            <w:left w:val="none" w:sz="0" w:space="0" w:color="auto"/>
            <w:bottom w:val="none" w:sz="0" w:space="0" w:color="auto"/>
            <w:right w:val="none" w:sz="0" w:space="0" w:color="auto"/>
          </w:divBdr>
        </w:div>
        <w:div w:id="74859337">
          <w:marLeft w:val="0"/>
          <w:marRight w:val="0"/>
          <w:marTop w:val="0"/>
          <w:marBottom w:val="0"/>
          <w:divBdr>
            <w:top w:val="none" w:sz="0" w:space="0" w:color="auto"/>
            <w:left w:val="none" w:sz="0" w:space="0" w:color="auto"/>
            <w:bottom w:val="none" w:sz="0" w:space="0" w:color="auto"/>
            <w:right w:val="none" w:sz="0" w:space="0" w:color="auto"/>
          </w:divBdr>
        </w:div>
      </w:divsChild>
    </w:div>
    <w:div w:id="1440953107">
      <w:bodyDiv w:val="1"/>
      <w:marLeft w:val="0"/>
      <w:marRight w:val="0"/>
      <w:marTop w:val="0"/>
      <w:marBottom w:val="0"/>
      <w:divBdr>
        <w:top w:val="none" w:sz="0" w:space="0" w:color="auto"/>
        <w:left w:val="none" w:sz="0" w:space="0" w:color="auto"/>
        <w:bottom w:val="none" w:sz="0" w:space="0" w:color="auto"/>
        <w:right w:val="none" w:sz="0" w:space="0" w:color="auto"/>
      </w:divBdr>
    </w:div>
    <w:div w:id="1449815159">
      <w:bodyDiv w:val="1"/>
      <w:marLeft w:val="0"/>
      <w:marRight w:val="0"/>
      <w:marTop w:val="0"/>
      <w:marBottom w:val="0"/>
      <w:divBdr>
        <w:top w:val="none" w:sz="0" w:space="0" w:color="auto"/>
        <w:left w:val="none" w:sz="0" w:space="0" w:color="auto"/>
        <w:bottom w:val="none" w:sz="0" w:space="0" w:color="auto"/>
        <w:right w:val="none" w:sz="0" w:space="0" w:color="auto"/>
      </w:divBdr>
    </w:div>
    <w:div w:id="1470243549">
      <w:bodyDiv w:val="1"/>
      <w:marLeft w:val="0"/>
      <w:marRight w:val="0"/>
      <w:marTop w:val="0"/>
      <w:marBottom w:val="0"/>
      <w:divBdr>
        <w:top w:val="none" w:sz="0" w:space="0" w:color="auto"/>
        <w:left w:val="none" w:sz="0" w:space="0" w:color="auto"/>
        <w:bottom w:val="none" w:sz="0" w:space="0" w:color="auto"/>
        <w:right w:val="none" w:sz="0" w:space="0" w:color="auto"/>
      </w:divBdr>
    </w:div>
    <w:div w:id="1619679330">
      <w:bodyDiv w:val="1"/>
      <w:marLeft w:val="0"/>
      <w:marRight w:val="0"/>
      <w:marTop w:val="0"/>
      <w:marBottom w:val="0"/>
      <w:divBdr>
        <w:top w:val="none" w:sz="0" w:space="0" w:color="auto"/>
        <w:left w:val="none" w:sz="0" w:space="0" w:color="auto"/>
        <w:bottom w:val="none" w:sz="0" w:space="0" w:color="auto"/>
        <w:right w:val="none" w:sz="0" w:space="0" w:color="auto"/>
      </w:divBdr>
    </w:div>
    <w:div w:id="1634171016">
      <w:bodyDiv w:val="1"/>
      <w:marLeft w:val="0"/>
      <w:marRight w:val="0"/>
      <w:marTop w:val="0"/>
      <w:marBottom w:val="0"/>
      <w:divBdr>
        <w:top w:val="none" w:sz="0" w:space="0" w:color="auto"/>
        <w:left w:val="none" w:sz="0" w:space="0" w:color="auto"/>
        <w:bottom w:val="none" w:sz="0" w:space="0" w:color="auto"/>
        <w:right w:val="none" w:sz="0" w:space="0" w:color="auto"/>
      </w:divBdr>
    </w:div>
    <w:div w:id="1648703881">
      <w:bodyDiv w:val="1"/>
      <w:marLeft w:val="0"/>
      <w:marRight w:val="0"/>
      <w:marTop w:val="0"/>
      <w:marBottom w:val="0"/>
      <w:divBdr>
        <w:top w:val="none" w:sz="0" w:space="0" w:color="auto"/>
        <w:left w:val="none" w:sz="0" w:space="0" w:color="auto"/>
        <w:bottom w:val="none" w:sz="0" w:space="0" w:color="auto"/>
        <w:right w:val="none" w:sz="0" w:space="0" w:color="auto"/>
      </w:divBdr>
    </w:div>
    <w:div w:id="1728989372">
      <w:bodyDiv w:val="1"/>
      <w:marLeft w:val="0"/>
      <w:marRight w:val="0"/>
      <w:marTop w:val="0"/>
      <w:marBottom w:val="0"/>
      <w:divBdr>
        <w:top w:val="none" w:sz="0" w:space="0" w:color="auto"/>
        <w:left w:val="none" w:sz="0" w:space="0" w:color="auto"/>
        <w:bottom w:val="none" w:sz="0" w:space="0" w:color="auto"/>
        <w:right w:val="none" w:sz="0" w:space="0" w:color="auto"/>
      </w:divBdr>
    </w:div>
    <w:div w:id="1765566921">
      <w:bodyDiv w:val="1"/>
      <w:marLeft w:val="0"/>
      <w:marRight w:val="0"/>
      <w:marTop w:val="0"/>
      <w:marBottom w:val="0"/>
      <w:divBdr>
        <w:top w:val="none" w:sz="0" w:space="0" w:color="auto"/>
        <w:left w:val="none" w:sz="0" w:space="0" w:color="auto"/>
        <w:bottom w:val="none" w:sz="0" w:space="0" w:color="auto"/>
        <w:right w:val="none" w:sz="0" w:space="0" w:color="auto"/>
      </w:divBdr>
    </w:div>
    <w:div w:id="1812673905">
      <w:bodyDiv w:val="1"/>
      <w:marLeft w:val="0"/>
      <w:marRight w:val="0"/>
      <w:marTop w:val="0"/>
      <w:marBottom w:val="0"/>
      <w:divBdr>
        <w:top w:val="none" w:sz="0" w:space="0" w:color="auto"/>
        <w:left w:val="none" w:sz="0" w:space="0" w:color="auto"/>
        <w:bottom w:val="none" w:sz="0" w:space="0" w:color="auto"/>
        <w:right w:val="none" w:sz="0" w:space="0" w:color="auto"/>
      </w:divBdr>
    </w:div>
    <w:div w:id="1947036443">
      <w:bodyDiv w:val="1"/>
      <w:marLeft w:val="0"/>
      <w:marRight w:val="0"/>
      <w:marTop w:val="0"/>
      <w:marBottom w:val="0"/>
      <w:divBdr>
        <w:top w:val="none" w:sz="0" w:space="0" w:color="auto"/>
        <w:left w:val="none" w:sz="0" w:space="0" w:color="auto"/>
        <w:bottom w:val="none" w:sz="0" w:space="0" w:color="auto"/>
        <w:right w:val="none" w:sz="0" w:space="0" w:color="auto"/>
      </w:divBdr>
    </w:div>
    <w:div w:id="1951275188">
      <w:bodyDiv w:val="1"/>
      <w:marLeft w:val="0"/>
      <w:marRight w:val="0"/>
      <w:marTop w:val="0"/>
      <w:marBottom w:val="0"/>
      <w:divBdr>
        <w:top w:val="none" w:sz="0" w:space="0" w:color="auto"/>
        <w:left w:val="none" w:sz="0" w:space="0" w:color="auto"/>
        <w:bottom w:val="none" w:sz="0" w:space="0" w:color="auto"/>
        <w:right w:val="none" w:sz="0" w:space="0" w:color="auto"/>
      </w:divBdr>
    </w:div>
    <w:div w:id="2007711809">
      <w:bodyDiv w:val="1"/>
      <w:marLeft w:val="0"/>
      <w:marRight w:val="0"/>
      <w:marTop w:val="0"/>
      <w:marBottom w:val="0"/>
      <w:divBdr>
        <w:top w:val="none" w:sz="0" w:space="0" w:color="auto"/>
        <w:left w:val="none" w:sz="0" w:space="0" w:color="auto"/>
        <w:bottom w:val="none" w:sz="0" w:space="0" w:color="auto"/>
        <w:right w:val="none" w:sz="0" w:space="0" w:color="auto"/>
      </w:divBdr>
    </w:div>
    <w:div w:id="2064325090">
      <w:bodyDiv w:val="1"/>
      <w:marLeft w:val="0"/>
      <w:marRight w:val="0"/>
      <w:marTop w:val="0"/>
      <w:marBottom w:val="0"/>
      <w:divBdr>
        <w:top w:val="none" w:sz="0" w:space="0" w:color="auto"/>
        <w:left w:val="none" w:sz="0" w:space="0" w:color="auto"/>
        <w:bottom w:val="none" w:sz="0" w:space="0" w:color="auto"/>
        <w:right w:val="none" w:sz="0" w:space="0" w:color="auto"/>
      </w:divBdr>
    </w:div>
    <w:div w:id="2077705497">
      <w:bodyDiv w:val="1"/>
      <w:marLeft w:val="0"/>
      <w:marRight w:val="0"/>
      <w:marTop w:val="0"/>
      <w:marBottom w:val="0"/>
      <w:divBdr>
        <w:top w:val="none" w:sz="0" w:space="0" w:color="auto"/>
        <w:left w:val="none" w:sz="0" w:space="0" w:color="auto"/>
        <w:bottom w:val="none" w:sz="0" w:space="0" w:color="auto"/>
        <w:right w:val="none" w:sz="0" w:space="0" w:color="auto"/>
      </w:divBdr>
    </w:div>
    <w:div w:id="2107655437">
      <w:bodyDiv w:val="1"/>
      <w:marLeft w:val="0"/>
      <w:marRight w:val="0"/>
      <w:marTop w:val="0"/>
      <w:marBottom w:val="0"/>
      <w:divBdr>
        <w:top w:val="none" w:sz="0" w:space="0" w:color="auto"/>
        <w:left w:val="none" w:sz="0" w:space="0" w:color="auto"/>
        <w:bottom w:val="none" w:sz="0" w:space="0" w:color="auto"/>
        <w:right w:val="none" w:sz="0" w:space="0" w:color="auto"/>
      </w:divBdr>
      <w:divsChild>
        <w:div w:id="1945308301">
          <w:marLeft w:val="0"/>
          <w:marRight w:val="0"/>
          <w:marTop w:val="0"/>
          <w:marBottom w:val="0"/>
          <w:divBdr>
            <w:top w:val="none" w:sz="0" w:space="0" w:color="auto"/>
            <w:left w:val="none" w:sz="0" w:space="0" w:color="auto"/>
            <w:bottom w:val="none" w:sz="0" w:space="0" w:color="auto"/>
            <w:right w:val="none" w:sz="0" w:space="0" w:color="auto"/>
          </w:divBdr>
          <w:divsChild>
            <w:div w:id="1404372812">
              <w:marLeft w:val="0"/>
              <w:marRight w:val="0"/>
              <w:marTop w:val="0"/>
              <w:marBottom w:val="0"/>
              <w:divBdr>
                <w:top w:val="none" w:sz="0" w:space="0" w:color="auto"/>
                <w:left w:val="none" w:sz="0" w:space="0" w:color="auto"/>
                <w:bottom w:val="none" w:sz="0" w:space="0" w:color="auto"/>
                <w:right w:val="none" w:sz="0" w:space="0" w:color="auto"/>
              </w:divBdr>
              <w:divsChild>
                <w:div w:id="161358749">
                  <w:marLeft w:val="0"/>
                  <w:marRight w:val="0"/>
                  <w:marTop w:val="0"/>
                  <w:marBottom w:val="0"/>
                  <w:divBdr>
                    <w:top w:val="none" w:sz="0" w:space="0" w:color="auto"/>
                    <w:left w:val="none" w:sz="0" w:space="0" w:color="auto"/>
                    <w:bottom w:val="none" w:sz="0" w:space="0" w:color="auto"/>
                    <w:right w:val="none" w:sz="0" w:space="0" w:color="auto"/>
                  </w:divBdr>
                  <w:divsChild>
                    <w:div w:id="1331102023">
                      <w:marLeft w:val="0"/>
                      <w:marRight w:val="0"/>
                      <w:marTop w:val="0"/>
                      <w:marBottom w:val="0"/>
                      <w:divBdr>
                        <w:top w:val="none" w:sz="0" w:space="0" w:color="auto"/>
                        <w:left w:val="none" w:sz="0" w:space="0" w:color="auto"/>
                        <w:bottom w:val="none" w:sz="0" w:space="0" w:color="auto"/>
                        <w:right w:val="none" w:sz="0" w:space="0" w:color="auto"/>
                      </w:divBdr>
                      <w:divsChild>
                        <w:div w:id="1040471101">
                          <w:marLeft w:val="0"/>
                          <w:marRight w:val="0"/>
                          <w:marTop w:val="0"/>
                          <w:marBottom w:val="0"/>
                          <w:divBdr>
                            <w:top w:val="none" w:sz="0" w:space="0" w:color="auto"/>
                            <w:left w:val="none" w:sz="0" w:space="0" w:color="auto"/>
                            <w:bottom w:val="none" w:sz="0" w:space="0" w:color="auto"/>
                            <w:right w:val="none" w:sz="0" w:space="0" w:color="auto"/>
                          </w:divBdr>
                          <w:divsChild>
                            <w:div w:id="32196875">
                              <w:marLeft w:val="0"/>
                              <w:marRight w:val="0"/>
                              <w:marTop w:val="0"/>
                              <w:marBottom w:val="0"/>
                              <w:divBdr>
                                <w:top w:val="single" w:sz="6" w:space="0" w:color="999999"/>
                                <w:left w:val="none" w:sz="0" w:space="0" w:color="auto"/>
                                <w:bottom w:val="none" w:sz="0" w:space="0" w:color="auto"/>
                                <w:right w:val="none" w:sz="0" w:space="0" w:color="auto"/>
                              </w:divBdr>
                              <w:divsChild>
                                <w:div w:id="1488323961">
                                  <w:marLeft w:val="0"/>
                                  <w:marRight w:val="0"/>
                                  <w:marTop w:val="0"/>
                                  <w:marBottom w:val="0"/>
                                  <w:divBdr>
                                    <w:top w:val="none" w:sz="0" w:space="0" w:color="auto"/>
                                    <w:left w:val="none" w:sz="0" w:space="0" w:color="auto"/>
                                    <w:bottom w:val="none" w:sz="0" w:space="0" w:color="auto"/>
                                    <w:right w:val="none" w:sz="0" w:space="0" w:color="auto"/>
                                  </w:divBdr>
                                  <w:divsChild>
                                    <w:div w:id="1123377745">
                                      <w:marLeft w:val="0"/>
                                      <w:marRight w:val="0"/>
                                      <w:marTop w:val="0"/>
                                      <w:marBottom w:val="0"/>
                                      <w:divBdr>
                                        <w:top w:val="none" w:sz="0" w:space="0" w:color="auto"/>
                                        <w:left w:val="none" w:sz="0" w:space="0" w:color="auto"/>
                                        <w:bottom w:val="none" w:sz="0" w:space="0" w:color="auto"/>
                                        <w:right w:val="none" w:sz="0" w:space="0" w:color="auto"/>
                                      </w:divBdr>
                                      <w:divsChild>
                                        <w:div w:id="6686743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zomer@ucl.ac.uk" TargetMode="External"/><Relationship Id="rId13" Type="http://schemas.openxmlformats.org/officeDocument/2006/relationships/hyperlink" Target="http://heartuk.org.uk/health-and-high-cholesterol/cholesterol-tests---know-your-number" TargetMode="External"/><Relationship Id="rId18" Type="http://schemas.openxmlformats.org/officeDocument/2006/relationships/hyperlink" Target="http://www.nicedsu.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hs.uk/conditions/cholesterol/pages/diagnosis.aspx.%20(Accessed%20February%202014" TargetMode="External"/><Relationship Id="rId17" Type="http://schemas.openxmlformats.org/officeDocument/2006/relationships/hyperlink" Target="http://publications.nice.org.uk/guide-to-the-methods-of-technology-appraisal-2013-pmg9" TargetMode="External"/><Relationship Id="rId2" Type="http://schemas.openxmlformats.org/officeDocument/2006/relationships/numbering" Target="numbering.xml"/><Relationship Id="rId16" Type="http://schemas.openxmlformats.org/officeDocument/2006/relationships/hyperlink" Target="http://www.medicinescomple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employers.org/~/media/Employers/Documents/Primary%20care%20contracts/QOF/2011-12/Quality%20and%20Outcomes%20Framework%20guidance%20for%20GMS%20contract%202011-12%20-%20Delivering%20investment%20in%20general%20practice.pdf"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213060/2011-12-reference-costs-publication.pdf" TargetMode="External"/><Relationship Id="rId10" Type="http://schemas.openxmlformats.org/officeDocument/2006/relationships/hyperlink" Target="http://www.qri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ce.org.uk/guidance/cg181.%20(Accessed%20November%202014" TargetMode="External"/><Relationship Id="rId14" Type="http://schemas.openxmlformats.org/officeDocument/2006/relationships/hyperlink" Target="http://www.pssru.ac.uk/project-pages/unit-costs/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AEE22-F6D8-4B0F-8F53-C202AC58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33</Pages>
  <Words>8015</Words>
  <Characters>45690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 Zomer</dc:creator>
  <cp:lastModifiedBy>Ella Zomer</cp:lastModifiedBy>
  <cp:revision>6</cp:revision>
  <cp:lastPrinted>2017-06-09T04:53:00Z</cp:lastPrinted>
  <dcterms:created xsi:type="dcterms:W3CDTF">2017-06-07T23:22:00Z</dcterms:created>
  <dcterms:modified xsi:type="dcterms:W3CDTF">2017-06-12T02:22:00Z</dcterms:modified>
</cp:coreProperties>
</file>