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30" w:rsidRDefault="00F40C30" w:rsidP="00F40C30">
      <w:pPr>
        <w:spacing w:after="0" w:line="480" w:lineRule="auto"/>
        <w:contextualSpacing/>
        <w:rPr>
          <w:rFonts w:asciiTheme="minorBidi" w:hAnsiTheme="minorBidi"/>
          <w:sz w:val="24"/>
          <w:szCs w:val="24"/>
        </w:rPr>
      </w:pPr>
      <w:bookmarkStart w:id="0" w:name="_GoBack"/>
      <w:bookmarkEnd w:id="0"/>
      <w:r w:rsidRPr="00F40C30">
        <w:rPr>
          <w:rFonts w:asciiTheme="minorBidi" w:hAnsiTheme="minorBidi"/>
          <w:sz w:val="24"/>
          <w:szCs w:val="24"/>
        </w:rPr>
        <w:t xml:space="preserve">Lack of Effectiveness of </w:t>
      </w:r>
      <w:proofErr w:type="spellStart"/>
      <w:r w:rsidRPr="00F40C30">
        <w:rPr>
          <w:rFonts w:asciiTheme="minorBidi" w:hAnsiTheme="minorBidi"/>
          <w:sz w:val="24"/>
          <w:szCs w:val="24"/>
        </w:rPr>
        <w:t>Postchemotherapy</w:t>
      </w:r>
      <w:proofErr w:type="spellEnd"/>
      <w:r w:rsidRPr="00F40C30">
        <w:rPr>
          <w:rFonts w:asciiTheme="minorBidi" w:hAnsiTheme="minorBidi"/>
          <w:sz w:val="24"/>
          <w:szCs w:val="24"/>
        </w:rPr>
        <w:t xml:space="preserve"> Lymphadenectomy in Bladder Cancer Patients with Clinical Evidence of Metastatic Pelvic or Retroperitoneal Lymph Nodes Only: A Propensity Score-based Analysis </w:t>
      </w:r>
    </w:p>
    <w:p w:rsidR="00F40C30" w:rsidRPr="00F40C30" w:rsidRDefault="00F40C30" w:rsidP="00F40C30">
      <w:pPr>
        <w:spacing w:after="0" w:line="480" w:lineRule="auto"/>
        <w:contextualSpacing/>
        <w:rPr>
          <w:rFonts w:asciiTheme="minorBidi" w:hAnsiTheme="minorBidi"/>
          <w:sz w:val="24"/>
          <w:szCs w:val="24"/>
        </w:rPr>
      </w:pP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Andrea </w:t>
      </w:r>
      <w:proofErr w:type="spellStart"/>
      <w:r w:rsidRPr="00F40C30">
        <w:rPr>
          <w:rFonts w:asciiTheme="minorBidi" w:hAnsiTheme="minorBidi"/>
          <w:sz w:val="24"/>
          <w:szCs w:val="24"/>
        </w:rPr>
        <w:t>Necchi</w:t>
      </w:r>
      <w:proofErr w:type="spellEnd"/>
      <w:r w:rsidRPr="00F40C30">
        <w:rPr>
          <w:rFonts w:asciiTheme="minorBidi" w:hAnsiTheme="minorBidi"/>
          <w:sz w:val="24"/>
          <w:szCs w:val="24"/>
        </w:rPr>
        <w:t xml:space="preserve"> </w:t>
      </w:r>
      <w:r w:rsidRPr="00F40C30">
        <w:rPr>
          <w:rFonts w:asciiTheme="minorBidi" w:hAnsiTheme="minorBidi"/>
          <w:sz w:val="24"/>
          <w:szCs w:val="24"/>
          <w:vertAlign w:val="superscript"/>
        </w:rPr>
        <w:t>a,*</w:t>
      </w:r>
      <w:r w:rsidRPr="00F40C30">
        <w:rPr>
          <w:rFonts w:asciiTheme="minorBidi" w:hAnsiTheme="minorBidi"/>
          <w:sz w:val="24"/>
          <w:szCs w:val="24"/>
        </w:rPr>
        <w:t xml:space="preserve">, Luigi Mariani </w:t>
      </w:r>
      <w:r w:rsidRPr="00F40C30">
        <w:rPr>
          <w:rFonts w:asciiTheme="minorBidi" w:hAnsiTheme="minorBidi"/>
          <w:sz w:val="24"/>
          <w:szCs w:val="24"/>
          <w:vertAlign w:val="superscript"/>
        </w:rPr>
        <w:t>a</w:t>
      </w:r>
      <w:r w:rsidRPr="00F40C30">
        <w:rPr>
          <w:rFonts w:asciiTheme="minorBidi" w:hAnsiTheme="minorBidi"/>
          <w:sz w:val="24"/>
          <w:szCs w:val="24"/>
        </w:rPr>
        <w:t xml:space="preserve">, Salvatore Lo Vullo </w:t>
      </w:r>
      <w:r w:rsidRPr="00F40C30">
        <w:rPr>
          <w:rFonts w:asciiTheme="minorBidi" w:hAnsiTheme="minorBidi"/>
          <w:sz w:val="24"/>
          <w:szCs w:val="24"/>
          <w:vertAlign w:val="superscript"/>
        </w:rPr>
        <w:t>a</w:t>
      </w:r>
      <w:r w:rsidRPr="00F40C30">
        <w:rPr>
          <w:rFonts w:asciiTheme="minorBidi" w:hAnsiTheme="minorBidi"/>
          <w:sz w:val="24"/>
          <w:szCs w:val="24"/>
        </w:rPr>
        <w:t xml:space="preserve">, Evan Y. Yu </w:t>
      </w:r>
      <w:r w:rsidRPr="00F40C30">
        <w:rPr>
          <w:rFonts w:asciiTheme="minorBidi" w:hAnsiTheme="minorBidi"/>
          <w:sz w:val="24"/>
          <w:szCs w:val="24"/>
          <w:vertAlign w:val="superscript"/>
        </w:rPr>
        <w:t>b</w:t>
      </w:r>
      <w:r w:rsidRPr="00F40C30">
        <w:rPr>
          <w:rFonts w:asciiTheme="minorBidi" w:hAnsiTheme="minorBidi"/>
          <w:sz w:val="24"/>
          <w:szCs w:val="24"/>
        </w:rPr>
        <w:t xml:space="preserve">, Michael E. Woods </w:t>
      </w:r>
      <w:r w:rsidRPr="00F40C30">
        <w:rPr>
          <w:rFonts w:asciiTheme="minorBidi" w:hAnsiTheme="minorBidi"/>
          <w:sz w:val="24"/>
          <w:szCs w:val="24"/>
          <w:vertAlign w:val="superscript"/>
        </w:rPr>
        <w:t>c</w:t>
      </w:r>
      <w:r w:rsidRPr="00F40C30">
        <w:rPr>
          <w:rFonts w:asciiTheme="minorBidi" w:hAnsiTheme="minorBidi"/>
          <w:sz w:val="24"/>
          <w:szCs w:val="24"/>
        </w:rPr>
        <w:t xml:space="preserve">, Yu-Ning </w:t>
      </w:r>
      <w:proofErr w:type="spellStart"/>
      <w:r w:rsidRPr="00F40C30">
        <w:rPr>
          <w:rFonts w:asciiTheme="minorBidi" w:hAnsiTheme="minorBidi"/>
          <w:sz w:val="24"/>
          <w:szCs w:val="24"/>
        </w:rPr>
        <w:t>Wong</w:t>
      </w:r>
      <w:r w:rsidRPr="00F40C30">
        <w:rPr>
          <w:rFonts w:asciiTheme="minorBidi" w:hAnsiTheme="minorBidi"/>
          <w:sz w:val="24"/>
          <w:szCs w:val="24"/>
          <w:vertAlign w:val="superscript"/>
        </w:rPr>
        <w:t>d</w:t>
      </w:r>
      <w:proofErr w:type="spellEnd"/>
      <w:r w:rsidRPr="00F40C30">
        <w:rPr>
          <w:rFonts w:asciiTheme="minorBidi" w:hAnsiTheme="minorBidi"/>
          <w:sz w:val="24"/>
          <w:szCs w:val="24"/>
        </w:rPr>
        <w:t xml:space="preserve">, Lauren C. Harshman </w:t>
      </w:r>
      <w:r w:rsidRPr="00F40C30">
        <w:rPr>
          <w:rFonts w:asciiTheme="minorBidi" w:hAnsiTheme="minorBidi"/>
          <w:sz w:val="24"/>
          <w:szCs w:val="24"/>
          <w:vertAlign w:val="superscript"/>
        </w:rPr>
        <w:t>e</w:t>
      </w:r>
      <w:r w:rsidRPr="00F40C30">
        <w:rPr>
          <w:rFonts w:asciiTheme="minorBidi" w:hAnsiTheme="minorBidi"/>
          <w:sz w:val="24"/>
          <w:szCs w:val="24"/>
        </w:rPr>
        <w:t xml:space="preserve">, </w:t>
      </w:r>
      <w:proofErr w:type="spellStart"/>
      <w:r w:rsidRPr="00F40C30">
        <w:rPr>
          <w:rFonts w:asciiTheme="minorBidi" w:hAnsiTheme="minorBidi"/>
          <w:sz w:val="24"/>
          <w:szCs w:val="24"/>
        </w:rPr>
        <w:t>Ajjaj</w:t>
      </w:r>
      <w:proofErr w:type="spellEnd"/>
      <w:r w:rsidRPr="00F40C30">
        <w:rPr>
          <w:rFonts w:asciiTheme="minorBidi" w:hAnsiTheme="minorBidi"/>
          <w:sz w:val="24"/>
          <w:szCs w:val="24"/>
        </w:rPr>
        <w:t xml:space="preserve"> Alva </w:t>
      </w:r>
      <w:r w:rsidRPr="00F40C30">
        <w:rPr>
          <w:rFonts w:asciiTheme="minorBidi" w:hAnsiTheme="minorBidi"/>
          <w:sz w:val="24"/>
          <w:szCs w:val="24"/>
          <w:vertAlign w:val="superscript"/>
        </w:rPr>
        <w:t>f</w:t>
      </w:r>
      <w:r w:rsidRPr="00F40C30">
        <w:rPr>
          <w:rFonts w:asciiTheme="minorBidi" w:hAnsiTheme="minorBidi"/>
          <w:sz w:val="24"/>
          <w:szCs w:val="24"/>
        </w:rPr>
        <w:t xml:space="preserve">, Cora N. Sternberg </w:t>
      </w:r>
      <w:r w:rsidRPr="00F40C30">
        <w:rPr>
          <w:rFonts w:asciiTheme="minorBidi" w:hAnsiTheme="minorBidi"/>
          <w:sz w:val="24"/>
          <w:szCs w:val="24"/>
          <w:vertAlign w:val="superscript"/>
        </w:rPr>
        <w:t>g</w:t>
      </w:r>
      <w:r w:rsidRPr="00F40C30">
        <w:rPr>
          <w:rFonts w:asciiTheme="minorBidi" w:hAnsiTheme="minorBidi"/>
          <w:sz w:val="24"/>
          <w:szCs w:val="24"/>
        </w:rPr>
        <w:t xml:space="preserve">, </w:t>
      </w:r>
      <w:proofErr w:type="spellStart"/>
      <w:r w:rsidRPr="00F40C30">
        <w:rPr>
          <w:rFonts w:asciiTheme="minorBidi" w:hAnsiTheme="minorBidi"/>
          <w:sz w:val="24"/>
          <w:szCs w:val="24"/>
        </w:rPr>
        <w:t>Aristotelis</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Bamias</w:t>
      </w:r>
      <w:proofErr w:type="spellEnd"/>
      <w:r w:rsidRPr="00F40C30">
        <w:rPr>
          <w:rFonts w:asciiTheme="minorBidi" w:hAnsiTheme="minorBidi"/>
          <w:sz w:val="24"/>
          <w:szCs w:val="24"/>
        </w:rPr>
        <w:t xml:space="preserve"> </w:t>
      </w:r>
      <w:r w:rsidRPr="00F40C30">
        <w:rPr>
          <w:rFonts w:asciiTheme="minorBidi" w:hAnsiTheme="minorBidi"/>
          <w:sz w:val="24"/>
          <w:szCs w:val="24"/>
          <w:vertAlign w:val="superscript"/>
        </w:rPr>
        <w:t>h</w:t>
      </w:r>
      <w:r w:rsidRPr="00F40C30">
        <w:rPr>
          <w:rFonts w:asciiTheme="minorBidi" w:hAnsiTheme="minorBidi"/>
          <w:sz w:val="24"/>
          <w:szCs w:val="24"/>
        </w:rPr>
        <w:t xml:space="preserve">, </w:t>
      </w:r>
      <w:proofErr w:type="spellStart"/>
      <w:r w:rsidRPr="00F40C30">
        <w:rPr>
          <w:rFonts w:asciiTheme="minorBidi" w:hAnsiTheme="minorBidi"/>
          <w:sz w:val="24"/>
          <w:szCs w:val="24"/>
        </w:rPr>
        <w:t>Petros</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Grivas</w:t>
      </w:r>
      <w:proofErr w:type="spellEnd"/>
      <w:r w:rsidRPr="00F40C30">
        <w:rPr>
          <w:rFonts w:asciiTheme="minorBidi" w:hAnsiTheme="minorBidi"/>
          <w:sz w:val="24"/>
          <w:szCs w:val="24"/>
        </w:rPr>
        <w:t xml:space="preserve"> </w:t>
      </w:r>
      <w:r w:rsidRPr="00F40C30">
        <w:rPr>
          <w:rFonts w:asciiTheme="minorBidi" w:hAnsiTheme="minorBidi"/>
          <w:sz w:val="24"/>
          <w:szCs w:val="24"/>
          <w:vertAlign w:val="superscript"/>
        </w:rPr>
        <w:t>i</w:t>
      </w:r>
      <w:r w:rsidRPr="00F40C30">
        <w:rPr>
          <w:rFonts w:asciiTheme="minorBidi" w:hAnsiTheme="minorBidi"/>
          <w:sz w:val="24"/>
          <w:szCs w:val="24"/>
        </w:rPr>
        <w:t xml:space="preserve">, Vadim S. </w:t>
      </w:r>
      <w:proofErr w:type="spellStart"/>
      <w:r w:rsidRPr="00F40C30">
        <w:rPr>
          <w:rFonts w:asciiTheme="minorBidi" w:hAnsiTheme="minorBidi"/>
          <w:sz w:val="24"/>
          <w:szCs w:val="24"/>
        </w:rPr>
        <w:t>Koshkin</w:t>
      </w:r>
      <w:proofErr w:type="spellEnd"/>
      <w:r w:rsidRPr="00F40C30">
        <w:rPr>
          <w:rFonts w:asciiTheme="minorBidi" w:hAnsiTheme="minorBidi"/>
          <w:sz w:val="24"/>
          <w:szCs w:val="24"/>
        </w:rPr>
        <w:t xml:space="preserve"> </w:t>
      </w:r>
      <w:r w:rsidRPr="00F40C30">
        <w:rPr>
          <w:rFonts w:asciiTheme="minorBidi" w:hAnsiTheme="minorBidi"/>
          <w:sz w:val="24"/>
          <w:szCs w:val="24"/>
          <w:vertAlign w:val="superscript"/>
        </w:rPr>
        <w:t>i</w:t>
      </w:r>
      <w:r w:rsidRPr="00F40C30">
        <w:rPr>
          <w:rFonts w:asciiTheme="minorBidi" w:hAnsiTheme="minorBidi"/>
          <w:sz w:val="24"/>
          <w:szCs w:val="24"/>
        </w:rPr>
        <w:t xml:space="preserve">, Florian </w:t>
      </w:r>
      <w:proofErr w:type="spellStart"/>
      <w:r w:rsidRPr="00F40C30">
        <w:rPr>
          <w:rFonts w:asciiTheme="minorBidi" w:hAnsiTheme="minorBidi"/>
          <w:sz w:val="24"/>
          <w:szCs w:val="24"/>
        </w:rPr>
        <w:t>Roghmann</w:t>
      </w:r>
      <w:proofErr w:type="spellEnd"/>
      <w:r w:rsidRPr="00F40C30">
        <w:rPr>
          <w:rFonts w:asciiTheme="minorBidi" w:hAnsiTheme="minorBidi"/>
          <w:sz w:val="24"/>
          <w:szCs w:val="24"/>
        </w:rPr>
        <w:t xml:space="preserve"> </w:t>
      </w:r>
      <w:r w:rsidRPr="00F40C30">
        <w:rPr>
          <w:rFonts w:asciiTheme="minorBidi" w:hAnsiTheme="minorBidi"/>
          <w:sz w:val="24"/>
          <w:szCs w:val="24"/>
          <w:vertAlign w:val="superscript"/>
        </w:rPr>
        <w:t>j</w:t>
      </w:r>
      <w:r w:rsidRPr="00F40C30">
        <w:rPr>
          <w:rFonts w:asciiTheme="minorBidi" w:hAnsiTheme="minorBidi"/>
          <w:sz w:val="24"/>
          <w:szCs w:val="24"/>
        </w:rPr>
        <w:t xml:space="preserve">, Jakub </w:t>
      </w:r>
      <w:proofErr w:type="spellStart"/>
      <w:r w:rsidRPr="00F40C30">
        <w:rPr>
          <w:rFonts w:asciiTheme="minorBidi" w:hAnsiTheme="minorBidi"/>
          <w:sz w:val="24"/>
          <w:szCs w:val="24"/>
        </w:rPr>
        <w:t>Dobruch</w:t>
      </w:r>
      <w:proofErr w:type="spellEnd"/>
      <w:r w:rsidRPr="00F40C30">
        <w:rPr>
          <w:rFonts w:asciiTheme="minorBidi" w:hAnsiTheme="minorBidi"/>
          <w:sz w:val="24"/>
          <w:szCs w:val="24"/>
        </w:rPr>
        <w:t xml:space="preserve"> </w:t>
      </w:r>
      <w:r w:rsidRPr="00F40C30">
        <w:rPr>
          <w:rFonts w:asciiTheme="minorBidi" w:hAnsiTheme="minorBidi"/>
          <w:sz w:val="24"/>
          <w:szCs w:val="24"/>
          <w:vertAlign w:val="superscript"/>
        </w:rPr>
        <w:t>k</w:t>
      </w:r>
      <w:r w:rsidRPr="00F40C30">
        <w:rPr>
          <w:rFonts w:asciiTheme="minorBidi" w:hAnsiTheme="minorBidi"/>
          <w:sz w:val="24"/>
          <w:szCs w:val="24"/>
        </w:rPr>
        <w:t xml:space="preserve">, Bernie J. </w:t>
      </w:r>
      <w:proofErr w:type="spellStart"/>
      <w:r w:rsidRPr="00F40C30">
        <w:rPr>
          <w:rFonts w:asciiTheme="minorBidi" w:hAnsiTheme="minorBidi"/>
          <w:sz w:val="24"/>
          <w:szCs w:val="24"/>
        </w:rPr>
        <w:t>Eigl</w:t>
      </w:r>
      <w:proofErr w:type="spellEnd"/>
      <w:r w:rsidRPr="00F40C30">
        <w:rPr>
          <w:rFonts w:asciiTheme="minorBidi" w:hAnsiTheme="minorBidi"/>
          <w:sz w:val="24"/>
          <w:szCs w:val="24"/>
        </w:rPr>
        <w:t xml:space="preserve"> </w:t>
      </w:r>
      <w:r w:rsidRPr="00F40C30">
        <w:rPr>
          <w:rFonts w:asciiTheme="minorBidi" w:hAnsiTheme="minorBidi"/>
          <w:sz w:val="24"/>
          <w:szCs w:val="24"/>
          <w:vertAlign w:val="superscript"/>
        </w:rPr>
        <w:t>l</w:t>
      </w:r>
      <w:r w:rsidRPr="00F40C30">
        <w:rPr>
          <w:rFonts w:asciiTheme="minorBidi" w:hAnsiTheme="minorBidi"/>
          <w:sz w:val="24"/>
          <w:szCs w:val="24"/>
        </w:rPr>
        <w:t xml:space="preserve">, Lucia </w:t>
      </w:r>
      <w:proofErr w:type="spellStart"/>
      <w:r w:rsidRPr="00F40C30">
        <w:rPr>
          <w:rFonts w:asciiTheme="minorBidi" w:hAnsiTheme="minorBidi"/>
          <w:sz w:val="24"/>
          <w:szCs w:val="24"/>
        </w:rPr>
        <w:t>Nappi</w:t>
      </w:r>
      <w:proofErr w:type="spellEnd"/>
      <w:r w:rsidRPr="00F40C30">
        <w:rPr>
          <w:rFonts w:asciiTheme="minorBidi" w:hAnsiTheme="minorBidi"/>
          <w:sz w:val="24"/>
          <w:szCs w:val="24"/>
        </w:rPr>
        <w:t xml:space="preserve"> </w:t>
      </w:r>
      <w:r w:rsidRPr="00F40C30">
        <w:rPr>
          <w:rFonts w:asciiTheme="minorBidi" w:hAnsiTheme="minorBidi"/>
          <w:sz w:val="24"/>
          <w:szCs w:val="24"/>
          <w:vertAlign w:val="superscript"/>
        </w:rPr>
        <w:t>l</w:t>
      </w:r>
      <w:r w:rsidRPr="00F40C30">
        <w:rPr>
          <w:rFonts w:asciiTheme="minorBidi" w:hAnsiTheme="minorBidi"/>
          <w:sz w:val="24"/>
          <w:szCs w:val="24"/>
        </w:rPr>
        <w:t xml:space="preserve">, Matthew I. Milowsky </w:t>
      </w:r>
      <w:r w:rsidRPr="00F40C30">
        <w:rPr>
          <w:rFonts w:asciiTheme="minorBidi" w:hAnsiTheme="minorBidi"/>
          <w:sz w:val="24"/>
          <w:szCs w:val="24"/>
          <w:vertAlign w:val="superscript"/>
        </w:rPr>
        <w:t>c</w:t>
      </w:r>
      <w:r w:rsidRPr="00F40C30">
        <w:rPr>
          <w:rFonts w:asciiTheme="minorBidi" w:hAnsiTheme="minorBidi"/>
          <w:sz w:val="24"/>
          <w:szCs w:val="24"/>
        </w:rPr>
        <w:t xml:space="preserve">, </w:t>
      </w:r>
      <w:proofErr w:type="spellStart"/>
      <w:r w:rsidRPr="00F40C30">
        <w:rPr>
          <w:rFonts w:asciiTheme="minorBidi" w:hAnsiTheme="minorBidi"/>
          <w:sz w:val="24"/>
          <w:szCs w:val="24"/>
        </w:rPr>
        <w:t>Guenter</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Niegisch</w:t>
      </w:r>
      <w:r w:rsidRPr="00F40C30">
        <w:rPr>
          <w:rFonts w:asciiTheme="minorBidi" w:hAnsiTheme="minorBidi"/>
          <w:sz w:val="24"/>
          <w:szCs w:val="24"/>
          <w:vertAlign w:val="superscript"/>
        </w:rPr>
        <w:t>m</w:t>
      </w:r>
      <w:proofErr w:type="spellEnd"/>
      <w:r w:rsidRPr="00F40C30">
        <w:rPr>
          <w:rFonts w:asciiTheme="minorBidi" w:hAnsiTheme="minorBidi"/>
          <w:sz w:val="24"/>
          <w:szCs w:val="24"/>
        </w:rPr>
        <w:t xml:space="preserve">, Sumanta K. Pal </w:t>
      </w:r>
      <w:r w:rsidRPr="00F40C30">
        <w:rPr>
          <w:rFonts w:asciiTheme="minorBidi" w:hAnsiTheme="minorBidi"/>
          <w:sz w:val="24"/>
          <w:szCs w:val="24"/>
          <w:vertAlign w:val="superscript"/>
        </w:rPr>
        <w:t>n</w:t>
      </w:r>
      <w:r w:rsidRPr="00F40C30">
        <w:rPr>
          <w:rFonts w:asciiTheme="minorBidi" w:hAnsiTheme="minorBidi"/>
          <w:sz w:val="24"/>
          <w:szCs w:val="24"/>
        </w:rPr>
        <w:t xml:space="preserve">, Ugo De Giorgi </w:t>
      </w:r>
      <w:r w:rsidRPr="00F40C30">
        <w:rPr>
          <w:rFonts w:asciiTheme="minorBidi" w:hAnsiTheme="minorBidi"/>
          <w:sz w:val="24"/>
          <w:szCs w:val="24"/>
          <w:vertAlign w:val="superscript"/>
        </w:rPr>
        <w:t>o</w:t>
      </w:r>
      <w:r w:rsidRPr="00F40C30">
        <w:rPr>
          <w:rFonts w:asciiTheme="minorBidi" w:hAnsiTheme="minorBidi"/>
          <w:sz w:val="24"/>
          <w:szCs w:val="24"/>
        </w:rPr>
        <w:t xml:space="preserve">, Federica </w:t>
      </w:r>
      <w:proofErr w:type="spellStart"/>
      <w:r w:rsidRPr="00F40C30">
        <w:rPr>
          <w:rFonts w:asciiTheme="minorBidi" w:hAnsiTheme="minorBidi"/>
          <w:sz w:val="24"/>
          <w:szCs w:val="24"/>
        </w:rPr>
        <w:t>Recine</w:t>
      </w:r>
      <w:proofErr w:type="spellEnd"/>
      <w:r w:rsidRPr="00F40C30">
        <w:rPr>
          <w:rFonts w:asciiTheme="minorBidi" w:hAnsiTheme="minorBidi"/>
          <w:sz w:val="24"/>
          <w:szCs w:val="24"/>
        </w:rPr>
        <w:t xml:space="preserve"> </w:t>
      </w:r>
      <w:r w:rsidRPr="00F40C30">
        <w:rPr>
          <w:rFonts w:asciiTheme="minorBidi" w:hAnsiTheme="minorBidi"/>
          <w:sz w:val="24"/>
          <w:szCs w:val="24"/>
          <w:vertAlign w:val="superscript"/>
        </w:rPr>
        <w:t>o</w:t>
      </w:r>
      <w:r w:rsidRPr="00F40C30">
        <w:rPr>
          <w:rFonts w:asciiTheme="minorBidi" w:hAnsiTheme="minorBidi"/>
          <w:sz w:val="24"/>
          <w:szCs w:val="24"/>
        </w:rPr>
        <w:t xml:space="preserve">, Ulka Vaishampayan </w:t>
      </w:r>
      <w:r w:rsidRPr="00F40C30">
        <w:rPr>
          <w:rFonts w:asciiTheme="minorBidi" w:hAnsiTheme="minorBidi"/>
          <w:sz w:val="24"/>
          <w:szCs w:val="24"/>
          <w:vertAlign w:val="superscript"/>
        </w:rPr>
        <w:t>p</w:t>
      </w:r>
      <w:r w:rsidRPr="00F40C30">
        <w:rPr>
          <w:rFonts w:asciiTheme="minorBidi" w:hAnsiTheme="minorBidi"/>
          <w:sz w:val="24"/>
          <w:szCs w:val="24"/>
        </w:rPr>
        <w:t xml:space="preserve">, Dominik D. Berthold </w:t>
      </w:r>
      <w:r w:rsidRPr="00F40C30">
        <w:rPr>
          <w:rFonts w:asciiTheme="minorBidi" w:hAnsiTheme="minorBidi"/>
          <w:sz w:val="24"/>
          <w:szCs w:val="24"/>
          <w:vertAlign w:val="superscript"/>
        </w:rPr>
        <w:t>q</w:t>
      </w:r>
      <w:r w:rsidRPr="00F40C30">
        <w:rPr>
          <w:rFonts w:asciiTheme="minorBidi" w:hAnsiTheme="minorBidi"/>
          <w:sz w:val="24"/>
          <w:szCs w:val="24"/>
        </w:rPr>
        <w:t xml:space="preserve">, Daniel W. Bowles </w:t>
      </w:r>
      <w:r w:rsidRPr="00F40C30">
        <w:rPr>
          <w:rFonts w:asciiTheme="minorBidi" w:hAnsiTheme="minorBidi"/>
          <w:sz w:val="24"/>
          <w:szCs w:val="24"/>
          <w:vertAlign w:val="superscript"/>
        </w:rPr>
        <w:t>r</w:t>
      </w:r>
      <w:r w:rsidRPr="00F40C30">
        <w:rPr>
          <w:rFonts w:asciiTheme="minorBidi" w:hAnsiTheme="minorBidi"/>
          <w:sz w:val="24"/>
          <w:szCs w:val="24"/>
        </w:rPr>
        <w:t xml:space="preserve">, Jack Baniel </w:t>
      </w:r>
      <w:r w:rsidRPr="00F40C30">
        <w:rPr>
          <w:rFonts w:asciiTheme="minorBidi" w:hAnsiTheme="minorBidi"/>
          <w:sz w:val="24"/>
          <w:szCs w:val="24"/>
          <w:vertAlign w:val="superscript"/>
        </w:rPr>
        <w:t>s</w:t>
      </w:r>
      <w:r w:rsidRPr="00F40C30">
        <w:rPr>
          <w:rFonts w:asciiTheme="minorBidi" w:hAnsiTheme="minorBidi"/>
          <w:sz w:val="24"/>
          <w:szCs w:val="24"/>
        </w:rPr>
        <w:t xml:space="preserve">, Christine Theodore </w:t>
      </w:r>
      <w:r w:rsidRPr="00F40C30">
        <w:rPr>
          <w:rFonts w:asciiTheme="minorBidi" w:hAnsiTheme="minorBidi"/>
          <w:sz w:val="24"/>
          <w:szCs w:val="24"/>
          <w:vertAlign w:val="superscript"/>
        </w:rPr>
        <w:t>t</w:t>
      </w:r>
      <w:r w:rsidRPr="00F40C30">
        <w:rPr>
          <w:rFonts w:asciiTheme="minorBidi" w:hAnsiTheme="minorBidi"/>
          <w:sz w:val="24"/>
          <w:szCs w:val="24"/>
        </w:rPr>
        <w:t xml:space="preserve">, Sylvain Ladoire </w:t>
      </w:r>
      <w:r w:rsidRPr="00F40C30">
        <w:rPr>
          <w:rFonts w:asciiTheme="minorBidi" w:hAnsiTheme="minorBidi"/>
          <w:sz w:val="24"/>
          <w:szCs w:val="24"/>
          <w:vertAlign w:val="superscript"/>
        </w:rPr>
        <w:t>u</w:t>
      </w:r>
      <w:r w:rsidRPr="00F40C30">
        <w:rPr>
          <w:rFonts w:asciiTheme="minorBidi" w:hAnsiTheme="minorBidi"/>
          <w:sz w:val="24"/>
          <w:szCs w:val="24"/>
        </w:rPr>
        <w:t xml:space="preserve">, Sandy Srinivas </w:t>
      </w:r>
      <w:r w:rsidRPr="00F40C30">
        <w:rPr>
          <w:rFonts w:asciiTheme="minorBidi" w:hAnsiTheme="minorBidi"/>
          <w:sz w:val="24"/>
          <w:szCs w:val="24"/>
          <w:vertAlign w:val="superscript"/>
        </w:rPr>
        <w:t>v</w:t>
      </w:r>
      <w:r w:rsidRPr="00F40C30">
        <w:rPr>
          <w:rFonts w:asciiTheme="minorBidi" w:hAnsiTheme="minorBidi"/>
          <w:sz w:val="24"/>
          <w:szCs w:val="24"/>
        </w:rPr>
        <w:t xml:space="preserve">, Neeraj Agarwal </w:t>
      </w:r>
      <w:r w:rsidRPr="00F40C30">
        <w:rPr>
          <w:rFonts w:asciiTheme="minorBidi" w:hAnsiTheme="minorBidi"/>
          <w:sz w:val="24"/>
          <w:szCs w:val="24"/>
          <w:vertAlign w:val="superscript"/>
        </w:rPr>
        <w:t>w</w:t>
      </w:r>
      <w:r w:rsidRPr="00F40C30">
        <w:rPr>
          <w:rFonts w:asciiTheme="minorBidi" w:hAnsiTheme="minorBidi"/>
          <w:sz w:val="24"/>
          <w:szCs w:val="24"/>
        </w:rPr>
        <w:t xml:space="preserve">, Simon Crabb </w:t>
      </w:r>
      <w:r w:rsidRPr="00F40C30">
        <w:rPr>
          <w:rFonts w:asciiTheme="minorBidi" w:hAnsiTheme="minorBidi"/>
          <w:sz w:val="24"/>
          <w:szCs w:val="24"/>
          <w:vertAlign w:val="superscript"/>
        </w:rPr>
        <w:t>x</w:t>
      </w:r>
      <w:r w:rsidRPr="00F40C30">
        <w:rPr>
          <w:rFonts w:asciiTheme="minorBidi" w:hAnsiTheme="minorBidi"/>
          <w:sz w:val="24"/>
          <w:szCs w:val="24"/>
        </w:rPr>
        <w:t xml:space="preserve">, Srikala Sridhar </w:t>
      </w:r>
      <w:r w:rsidRPr="00F40C30">
        <w:rPr>
          <w:rFonts w:asciiTheme="minorBidi" w:hAnsiTheme="minorBidi"/>
          <w:sz w:val="24"/>
          <w:szCs w:val="24"/>
          <w:vertAlign w:val="superscript"/>
        </w:rPr>
        <w:t>y</w:t>
      </w:r>
      <w:r w:rsidRPr="00F40C30">
        <w:rPr>
          <w:rFonts w:asciiTheme="minorBidi" w:hAnsiTheme="minorBidi"/>
          <w:sz w:val="24"/>
          <w:szCs w:val="24"/>
        </w:rPr>
        <w:t xml:space="preserve">, Ali-Reza </w:t>
      </w:r>
      <w:proofErr w:type="spellStart"/>
      <w:r w:rsidRPr="00F40C30">
        <w:rPr>
          <w:rFonts w:asciiTheme="minorBidi" w:hAnsiTheme="minorBidi"/>
          <w:sz w:val="24"/>
          <w:szCs w:val="24"/>
        </w:rPr>
        <w:t>Golshayan</w:t>
      </w:r>
      <w:proofErr w:type="spellEnd"/>
      <w:r w:rsidRPr="00F40C30">
        <w:rPr>
          <w:rFonts w:asciiTheme="minorBidi" w:hAnsiTheme="minorBidi"/>
          <w:sz w:val="24"/>
          <w:szCs w:val="24"/>
        </w:rPr>
        <w:t xml:space="preserve"> </w:t>
      </w:r>
      <w:r w:rsidRPr="00F40C30">
        <w:rPr>
          <w:rFonts w:asciiTheme="minorBidi" w:hAnsiTheme="minorBidi"/>
          <w:sz w:val="24"/>
          <w:szCs w:val="24"/>
          <w:vertAlign w:val="superscript"/>
        </w:rPr>
        <w:t>z</w:t>
      </w:r>
      <w:r w:rsidRPr="00F40C30">
        <w:rPr>
          <w:rFonts w:asciiTheme="minorBidi" w:hAnsiTheme="minorBidi"/>
          <w:sz w:val="24"/>
          <w:szCs w:val="24"/>
        </w:rPr>
        <w:t xml:space="preserve">, Carsten Ohlmann </w:t>
      </w:r>
      <w:r w:rsidRPr="00F40C30">
        <w:rPr>
          <w:rFonts w:asciiTheme="minorBidi" w:hAnsiTheme="minorBidi"/>
          <w:sz w:val="24"/>
          <w:szCs w:val="24"/>
          <w:vertAlign w:val="superscript"/>
        </w:rPr>
        <w:t>aa</w:t>
      </w:r>
      <w:r w:rsidRPr="00F40C30">
        <w:rPr>
          <w:rFonts w:asciiTheme="minorBidi" w:hAnsiTheme="minorBidi"/>
          <w:sz w:val="24"/>
          <w:szCs w:val="24"/>
        </w:rPr>
        <w:t xml:space="preserve">, </w:t>
      </w:r>
      <w:proofErr w:type="spellStart"/>
      <w:r w:rsidRPr="00F40C30">
        <w:rPr>
          <w:rFonts w:asciiTheme="minorBidi" w:hAnsiTheme="minorBidi"/>
          <w:sz w:val="24"/>
          <w:szCs w:val="24"/>
        </w:rPr>
        <w:t>Evanguelos</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Xylinas</w:t>
      </w:r>
      <w:proofErr w:type="spellEnd"/>
      <w:r w:rsidRPr="00F40C30">
        <w:rPr>
          <w:rFonts w:asciiTheme="minorBidi" w:hAnsiTheme="minorBidi"/>
          <w:sz w:val="24"/>
          <w:szCs w:val="24"/>
        </w:rPr>
        <w:t xml:space="preserve"> </w:t>
      </w:r>
      <w:r w:rsidRPr="00F40C30">
        <w:rPr>
          <w:rFonts w:asciiTheme="minorBidi" w:hAnsiTheme="minorBidi"/>
          <w:sz w:val="24"/>
          <w:szCs w:val="24"/>
          <w:vertAlign w:val="superscript"/>
        </w:rPr>
        <w:t>bb</w:t>
      </w:r>
      <w:r w:rsidRPr="00F40C30">
        <w:rPr>
          <w:rFonts w:asciiTheme="minorBidi" w:hAnsiTheme="minorBidi"/>
          <w:sz w:val="24"/>
          <w:szCs w:val="24"/>
        </w:rPr>
        <w:t xml:space="preserve">, Thomas Powles </w:t>
      </w:r>
      <w:r w:rsidRPr="00F40C30">
        <w:rPr>
          <w:rFonts w:asciiTheme="minorBidi" w:hAnsiTheme="minorBidi"/>
          <w:sz w:val="24"/>
          <w:szCs w:val="24"/>
          <w:vertAlign w:val="superscript"/>
        </w:rPr>
        <w:t>cc</w:t>
      </w:r>
      <w:r w:rsidRPr="00F40C30">
        <w:rPr>
          <w:rFonts w:asciiTheme="minorBidi" w:hAnsiTheme="minorBidi"/>
          <w:sz w:val="24"/>
          <w:szCs w:val="24"/>
        </w:rPr>
        <w:t xml:space="preserve">, Johnathan E. Rosenberg </w:t>
      </w:r>
      <w:proofErr w:type="spellStart"/>
      <w:r w:rsidRPr="00F40C30">
        <w:rPr>
          <w:rFonts w:asciiTheme="minorBidi" w:hAnsiTheme="minorBidi"/>
          <w:sz w:val="24"/>
          <w:szCs w:val="24"/>
          <w:vertAlign w:val="superscript"/>
        </w:rPr>
        <w:t>dd</w:t>
      </w:r>
      <w:proofErr w:type="spellEnd"/>
      <w:r w:rsidRPr="00F40C30">
        <w:rPr>
          <w:rFonts w:asciiTheme="minorBidi" w:hAnsiTheme="minorBidi"/>
          <w:sz w:val="24"/>
          <w:szCs w:val="24"/>
        </w:rPr>
        <w:t xml:space="preserve">, Joaquim Bellmunt </w:t>
      </w:r>
      <w:r w:rsidRPr="00F40C30">
        <w:rPr>
          <w:rFonts w:asciiTheme="minorBidi" w:hAnsiTheme="minorBidi"/>
          <w:sz w:val="24"/>
          <w:szCs w:val="24"/>
          <w:vertAlign w:val="superscript"/>
        </w:rPr>
        <w:t>e</w:t>
      </w:r>
      <w:r w:rsidRPr="00F40C30">
        <w:rPr>
          <w:rFonts w:asciiTheme="minorBidi" w:hAnsiTheme="minorBidi"/>
          <w:sz w:val="24"/>
          <w:szCs w:val="24"/>
        </w:rPr>
        <w:t xml:space="preserve">, Bas van </w:t>
      </w:r>
      <w:proofErr w:type="spellStart"/>
      <w:r w:rsidRPr="00F40C30">
        <w:rPr>
          <w:rFonts w:asciiTheme="minorBidi" w:hAnsiTheme="minorBidi"/>
          <w:sz w:val="24"/>
          <w:szCs w:val="24"/>
        </w:rPr>
        <w:t>Rhijn</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vertAlign w:val="superscript"/>
        </w:rPr>
        <w:t>ee</w:t>
      </w:r>
      <w:proofErr w:type="spellEnd"/>
      <w:r w:rsidRPr="00F40C30">
        <w:rPr>
          <w:rFonts w:asciiTheme="minorBidi" w:hAnsiTheme="minorBidi"/>
          <w:sz w:val="24"/>
          <w:szCs w:val="24"/>
        </w:rPr>
        <w:t xml:space="preserve">, Matthew D. </w:t>
      </w:r>
      <w:proofErr w:type="spellStart"/>
      <w:r w:rsidRPr="00F40C30">
        <w:rPr>
          <w:rFonts w:asciiTheme="minorBidi" w:hAnsiTheme="minorBidi"/>
          <w:sz w:val="24"/>
          <w:szCs w:val="24"/>
        </w:rPr>
        <w:t>Galsky</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vertAlign w:val="superscript"/>
        </w:rPr>
        <w:t>ff</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Kees</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Hendricksen</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vertAlign w:val="superscript"/>
        </w:rPr>
        <w:t>ee</w:t>
      </w:r>
      <w:proofErr w:type="spellEnd"/>
      <w:r w:rsidRPr="00F40C30">
        <w:rPr>
          <w:rFonts w:asciiTheme="minorBidi" w:hAnsiTheme="minorBidi"/>
          <w:sz w:val="24"/>
          <w:szCs w:val="24"/>
        </w:rPr>
        <w:t>, on behalf of the Young Academic Urologists-Urothelial Carcinoma Group-European Association of Urology and the Retrospective International Study of Invasive/Advanced Cancer of the Urothelium group</w:t>
      </w:r>
    </w:p>
    <w:p w:rsidR="00F40C30" w:rsidRPr="00F40C30" w:rsidRDefault="00F40C30" w:rsidP="00F40C30">
      <w:pPr>
        <w:spacing w:after="0" w:line="480" w:lineRule="auto"/>
        <w:contextualSpacing/>
        <w:rPr>
          <w:rFonts w:asciiTheme="minorBidi" w:hAnsiTheme="minorBidi"/>
          <w:sz w:val="24"/>
          <w:szCs w:val="24"/>
        </w:rPr>
      </w:pP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vertAlign w:val="superscript"/>
        </w:rPr>
        <w:t>a</w:t>
      </w:r>
      <w:r w:rsidRPr="00F40C30">
        <w:rPr>
          <w:rFonts w:asciiTheme="minorBidi" w:hAnsiTheme="minorBidi"/>
          <w:sz w:val="24"/>
          <w:szCs w:val="24"/>
        </w:rPr>
        <w:t xml:space="preserve"> Fondazione IRCCS </w:t>
      </w:r>
      <w:proofErr w:type="spellStart"/>
      <w:r w:rsidRPr="00F40C30">
        <w:rPr>
          <w:rFonts w:asciiTheme="minorBidi" w:hAnsiTheme="minorBidi"/>
          <w:sz w:val="24"/>
          <w:szCs w:val="24"/>
        </w:rPr>
        <w:t>Istituto</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Nazionale</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dei</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Tumori</w:t>
      </w:r>
      <w:proofErr w:type="spellEnd"/>
      <w:r w:rsidRPr="00F40C30">
        <w:rPr>
          <w:rFonts w:asciiTheme="minorBidi" w:hAnsiTheme="minorBidi"/>
          <w:sz w:val="24"/>
          <w:szCs w:val="24"/>
        </w:rPr>
        <w:t xml:space="preserve">, Milano, Italy; </w:t>
      </w:r>
      <w:r w:rsidRPr="00F40C30">
        <w:rPr>
          <w:rFonts w:asciiTheme="minorBidi" w:hAnsiTheme="minorBidi"/>
          <w:sz w:val="24"/>
          <w:szCs w:val="24"/>
          <w:vertAlign w:val="superscript"/>
        </w:rPr>
        <w:t>b</w:t>
      </w:r>
      <w:r w:rsidRPr="00F40C30">
        <w:rPr>
          <w:rFonts w:asciiTheme="minorBidi" w:hAnsiTheme="minorBidi"/>
          <w:sz w:val="24"/>
          <w:szCs w:val="24"/>
        </w:rPr>
        <w:t xml:space="preserve"> University of Washington, Seattle, WA, USA; </w:t>
      </w:r>
      <w:r w:rsidRPr="00F40C30">
        <w:rPr>
          <w:rFonts w:asciiTheme="minorBidi" w:hAnsiTheme="minorBidi"/>
          <w:sz w:val="24"/>
          <w:szCs w:val="24"/>
          <w:vertAlign w:val="superscript"/>
        </w:rPr>
        <w:t>c</w:t>
      </w:r>
      <w:r w:rsidRPr="00F40C30">
        <w:rPr>
          <w:rFonts w:asciiTheme="minorBidi" w:hAnsiTheme="minorBidi"/>
          <w:sz w:val="24"/>
          <w:szCs w:val="24"/>
        </w:rPr>
        <w:t xml:space="preserve"> University of North Carolina at Chapel Hill, </w:t>
      </w:r>
      <w:proofErr w:type="spellStart"/>
      <w:r w:rsidRPr="00F40C30">
        <w:rPr>
          <w:rFonts w:asciiTheme="minorBidi" w:hAnsiTheme="minorBidi"/>
          <w:sz w:val="24"/>
          <w:szCs w:val="24"/>
        </w:rPr>
        <w:t>Lineberger</w:t>
      </w:r>
      <w:proofErr w:type="spellEnd"/>
      <w:r w:rsidRPr="00F40C30">
        <w:rPr>
          <w:rFonts w:asciiTheme="minorBidi" w:hAnsiTheme="minorBidi"/>
          <w:sz w:val="24"/>
          <w:szCs w:val="24"/>
        </w:rPr>
        <w:t xml:space="preserve"> Comprehensive Cancer </w:t>
      </w:r>
      <w:proofErr w:type="spellStart"/>
      <w:r w:rsidRPr="00F40C30">
        <w:rPr>
          <w:rFonts w:asciiTheme="minorBidi" w:hAnsiTheme="minorBidi"/>
          <w:sz w:val="24"/>
          <w:szCs w:val="24"/>
        </w:rPr>
        <w:t>Center</w:t>
      </w:r>
      <w:proofErr w:type="spellEnd"/>
      <w:r w:rsidRPr="00F40C30">
        <w:rPr>
          <w:rFonts w:asciiTheme="minorBidi" w:hAnsiTheme="minorBidi"/>
          <w:sz w:val="24"/>
          <w:szCs w:val="24"/>
        </w:rPr>
        <w:t xml:space="preserve">, NC, USA; </w:t>
      </w:r>
      <w:r w:rsidRPr="00F40C30">
        <w:rPr>
          <w:rFonts w:asciiTheme="minorBidi" w:hAnsiTheme="minorBidi"/>
          <w:sz w:val="24"/>
          <w:szCs w:val="24"/>
          <w:vertAlign w:val="superscript"/>
        </w:rPr>
        <w:t>d</w:t>
      </w:r>
      <w:r w:rsidRPr="00F40C30">
        <w:rPr>
          <w:rFonts w:asciiTheme="minorBidi" w:hAnsiTheme="minorBidi"/>
          <w:sz w:val="24"/>
          <w:szCs w:val="24"/>
        </w:rPr>
        <w:t xml:space="preserve"> Fox Chase Cancer </w:t>
      </w:r>
      <w:proofErr w:type="spellStart"/>
      <w:r w:rsidRPr="00F40C30">
        <w:rPr>
          <w:rFonts w:asciiTheme="minorBidi" w:hAnsiTheme="minorBidi"/>
          <w:sz w:val="24"/>
          <w:szCs w:val="24"/>
        </w:rPr>
        <w:t>Center</w:t>
      </w:r>
      <w:proofErr w:type="spellEnd"/>
      <w:r w:rsidRPr="00F40C30">
        <w:rPr>
          <w:rFonts w:asciiTheme="minorBidi" w:hAnsiTheme="minorBidi"/>
          <w:sz w:val="24"/>
          <w:szCs w:val="24"/>
        </w:rPr>
        <w:t xml:space="preserve">, Philadelphia, PA, USA; </w:t>
      </w:r>
      <w:r w:rsidRPr="00F40C30">
        <w:rPr>
          <w:rFonts w:asciiTheme="minorBidi" w:hAnsiTheme="minorBidi"/>
          <w:sz w:val="24"/>
          <w:szCs w:val="24"/>
          <w:vertAlign w:val="superscript"/>
        </w:rPr>
        <w:t>e</w:t>
      </w:r>
      <w:r w:rsidRPr="00F40C30">
        <w:rPr>
          <w:rFonts w:asciiTheme="minorBidi" w:hAnsiTheme="minorBidi"/>
          <w:sz w:val="24"/>
          <w:szCs w:val="24"/>
        </w:rPr>
        <w:t xml:space="preserve"> Dana-Farber Cancer Institute, Boston, MA, USA; </w:t>
      </w:r>
      <w:r w:rsidRPr="00F40C30">
        <w:rPr>
          <w:rFonts w:asciiTheme="minorBidi" w:hAnsiTheme="minorBidi"/>
          <w:sz w:val="24"/>
          <w:szCs w:val="24"/>
          <w:vertAlign w:val="superscript"/>
        </w:rPr>
        <w:t>f</w:t>
      </w:r>
      <w:r w:rsidRPr="00F40C30">
        <w:rPr>
          <w:rFonts w:asciiTheme="minorBidi" w:hAnsiTheme="minorBidi"/>
          <w:sz w:val="24"/>
          <w:szCs w:val="24"/>
        </w:rPr>
        <w:t xml:space="preserve"> University of Michigan, Ann </w:t>
      </w:r>
      <w:proofErr w:type="spellStart"/>
      <w:r w:rsidRPr="00F40C30">
        <w:rPr>
          <w:rFonts w:asciiTheme="minorBidi" w:hAnsiTheme="minorBidi"/>
          <w:sz w:val="24"/>
          <w:szCs w:val="24"/>
        </w:rPr>
        <w:t>Arbor</w:t>
      </w:r>
      <w:proofErr w:type="spellEnd"/>
      <w:r w:rsidRPr="00F40C30">
        <w:rPr>
          <w:rFonts w:asciiTheme="minorBidi" w:hAnsiTheme="minorBidi"/>
          <w:sz w:val="24"/>
          <w:szCs w:val="24"/>
        </w:rPr>
        <w:t xml:space="preserve">, MI, USA; </w:t>
      </w:r>
      <w:r w:rsidRPr="00F40C30">
        <w:rPr>
          <w:rFonts w:asciiTheme="minorBidi" w:hAnsiTheme="minorBidi"/>
          <w:sz w:val="24"/>
          <w:szCs w:val="24"/>
          <w:vertAlign w:val="superscript"/>
        </w:rPr>
        <w:t>g</w:t>
      </w:r>
      <w:r w:rsidRPr="00F40C30">
        <w:rPr>
          <w:rFonts w:asciiTheme="minorBidi" w:hAnsiTheme="minorBidi"/>
          <w:sz w:val="24"/>
          <w:szCs w:val="24"/>
        </w:rPr>
        <w:t xml:space="preserve"> San Camillo Forlanini Hospital, Rome, Italy; </w:t>
      </w:r>
      <w:r w:rsidRPr="00F40C30">
        <w:rPr>
          <w:rFonts w:asciiTheme="minorBidi" w:hAnsiTheme="minorBidi"/>
          <w:sz w:val="24"/>
          <w:szCs w:val="24"/>
          <w:vertAlign w:val="superscript"/>
        </w:rPr>
        <w:t>h</w:t>
      </w:r>
      <w:r w:rsidRPr="00F40C30">
        <w:rPr>
          <w:rFonts w:asciiTheme="minorBidi" w:hAnsiTheme="minorBidi"/>
          <w:sz w:val="24"/>
          <w:szCs w:val="24"/>
        </w:rPr>
        <w:t xml:space="preserve"> University of Athens, Athens, Greece; </w:t>
      </w:r>
      <w:r w:rsidRPr="00F40C30">
        <w:rPr>
          <w:rFonts w:asciiTheme="minorBidi" w:hAnsiTheme="minorBidi"/>
          <w:sz w:val="24"/>
          <w:szCs w:val="24"/>
          <w:vertAlign w:val="superscript"/>
        </w:rPr>
        <w:t>i</w:t>
      </w:r>
      <w:r w:rsidRPr="00F40C30">
        <w:rPr>
          <w:rFonts w:asciiTheme="minorBidi" w:hAnsiTheme="minorBidi"/>
          <w:sz w:val="24"/>
          <w:szCs w:val="24"/>
        </w:rPr>
        <w:t xml:space="preserve"> </w:t>
      </w:r>
      <w:proofErr w:type="spellStart"/>
      <w:r w:rsidRPr="00F40C30">
        <w:rPr>
          <w:rFonts w:asciiTheme="minorBidi" w:hAnsiTheme="minorBidi"/>
          <w:sz w:val="24"/>
          <w:szCs w:val="24"/>
        </w:rPr>
        <w:t>Taussig</w:t>
      </w:r>
      <w:proofErr w:type="spellEnd"/>
      <w:r w:rsidRPr="00F40C30">
        <w:rPr>
          <w:rFonts w:asciiTheme="minorBidi" w:hAnsiTheme="minorBidi"/>
          <w:sz w:val="24"/>
          <w:szCs w:val="24"/>
        </w:rPr>
        <w:t xml:space="preserve"> Cancer Institute, Cleveland Clinic, Cleveland, OH, USA; </w:t>
      </w:r>
      <w:r w:rsidRPr="00F40C30">
        <w:rPr>
          <w:rFonts w:asciiTheme="minorBidi" w:hAnsiTheme="minorBidi"/>
          <w:sz w:val="24"/>
          <w:szCs w:val="24"/>
          <w:vertAlign w:val="superscript"/>
        </w:rPr>
        <w:t>j</w:t>
      </w:r>
      <w:r w:rsidRPr="00F40C30">
        <w:rPr>
          <w:rFonts w:asciiTheme="minorBidi" w:hAnsiTheme="minorBidi"/>
          <w:sz w:val="24"/>
          <w:szCs w:val="24"/>
        </w:rPr>
        <w:t xml:space="preserve"> Ruhr-University Bochum, </w:t>
      </w:r>
      <w:proofErr w:type="spellStart"/>
      <w:r w:rsidRPr="00F40C30">
        <w:rPr>
          <w:rFonts w:asciiTheme="minorBidi" w:hAnsiTheme="minorBidi"/>
          <w:sz w:val="24"/>
          <w:szCs w:val="24"/>
        </w:rPr>
        <w:t>Marien</w:t>
      </w:r>
      <w:proofErr w:type="spellEnd"/>
      <w:r w:rsidRPr="00F40C30">
        <w:rPr>
          <w:rFonts w:asciiTheme="minorBidi" w:hAnsiTheme="minorBidi"/>
          <w:sz w:val="24"/>
          <w:szCs w:val="24"/>
        </w:rPr>
        <w:t xml:space="preserve"> Hospital Herne, </w:t>
      </w:r>
      <w:r w:rsidRPr="00F40C30">
        <w:rPr>
          <w:rFonts w:asciiTheme="minorBidi" w:hAnsiTheme="minorBidi"/>
          <w:sz w:val="24"/>
          <w:szCs w:val="24"/>
        </w:rPr>
        <w:lastRenderedPageBreak/>
        <w:t xml:space="preserve">Herne, Germany; </w:t>
      </w:r>
      <w:r w:rsidRPr="00F40C30">
        <w:rPr>
          <w:rFonts w:asciiTheme="minorBidi" w:hAnsiTheme="minorBidi"/>
          <w:sz w:val="24"/>
          <w:szCs w:val="24"/>
          <w:vertAlign w:val="superscript"/>
        </w:rPr>
        <w:t>k</w:t>
      </w:r>
      <w:r w:rsidRPr="00F40C30">
        <w:rPr>
          <w:rFonts w:asciiTheme="minorBidi" w:hAnsiTheme="minorBidi"/>
          <w:sz w:val="24"/>
          <w:szCs w:val="24"/>
        </w:rPr>
        <w:t xml:space="preserve"> Centre of Postgraduate Medical Education, European Health Centre </w:t>
      </w:r>
      <w:proofErr w:type="spellStart"/>
      <w:r w:rsidRPr="00F40C30">
        <w:rPr>
          <w:rFonts w:asciiTheme="minorBidi" w:hAnsiTheme="minorBidi"/>
          <w:sz w:val="24"/>
          <w:szCs w:val="24"/>
        </w:rPr>
        <w:t>Otwock</w:t>
      </w:r>
      <w:proofErr w:type="spellEnd"/>
      <w:r w:rsidRPr="00F40C30">
        <w:rPr>
          <w:rFonts w:asciiTheme="minorBidi" w:hAnsiTheme="minorBidi"/>
          <w:sz w:val="24"/>
          <w:szCs w:val="24"/>
        </w:rPr>
        <w:t xml:space="preserve">, Poland; </w:t>
      </w:r>
      <w:r w:rsidRPr="00F40C30">
        <w:rPr>
          <w:rFonts w:asciiTheme="minorBidi" w:hAnsiTheme="minorBidi"/>
          <w:sz w:val="24"/>
          <w:szCs w:val="24"/>
          <w:vertAlign w:val="superscript"/>
        </w:rPr>
        <w:t>l</w:t>
      </w:r>
      <w:r w:rsidRPr="00F40C30">
        <w:rPr>
          <w:rFonts w:asciiTheme="minorBidi" w:hAnsiTheme="minorBidi"/>
          <w:sz w:val="24"/>
          <w:szCs w:val="24"/>
        </w:rPr>
        <w:t xml:space="preserve"> British Columbia Cancer Agency, Vancouver, BC, Canada; </w:t>
      </w:r>
      <w:proofErr w:type="spellStart"/>
      <w:r w:rsidRPr="00F40C30">
        <w:rPr>
          <w:rFonts w:asciiTheme="minorBidi" w:hAnsiTheme="minorBidi"/>
          <w:sz w:val="24"/>
          <w:szCs w:val="24"/>
          <w:vertAlign w:val="superscript"/>
        </w:rPr>
        <w:t>m</w:t>
      </w:r>
      <w:r w:rsidRPr="00F40C30">
        <w:rPr>
          <w:rFonts w:asciiTheme="minorBidi" w:hAnsiTheme="minorBidi"/>
          <w:sz w:val="24"/>
          <w:szCs w:val="24"/>
        </w:rPr>
        <w:t>Heinrich</w:t>
      </w:r>
      <w:proofErr w:type="spellEnd"/>
      <w:r w:rsidRPr="00F40C30">
        <w:rPr>
          <w:rFonts w:asciiTheme="minorBidi" w:hAnsiTheme="minorBidi"/>
          <w:sz w:val="24"/>
          <w:szCs w:val="24"/>
        </w:rPr>
        <w:t>-Heine-Univ</w:t>
      </w:r>
      <w:r>
        <w:rPr>
          <w:rFonts w:asciiTheme="minorBidi" w:hAnsiTheme="minorBidi"/>
          <w:sz w:val="24"/>
          <w:szCs w:val="24"/>
        </w:rPr>
        <w:t>ersity, Medical faculty, Depart</w:t>
      </w:r>
      <w:r w:rsidRPr="00F40C30">
        <w:rPr>
          <w:rFonts w:asciiTheme="minorBidi" w:hAnsiTheme="minorBidi"/>
          <w:sz w:val="24"/>
          <w:szCs w:val="24"/>
        </w:rPr>
        <w:t xml:space="preserve">ment of Urology, Düsseldorf, Germany; </w:t>
      </w:r>
      <w:r w:rsidRPr="00F40C30">
        <w:rPr>
          <w:rFonts w:asciiTheme="minorBidi" w:hAnsiTheme="minorBidi"/>
          <w:sz w:val="24"/>
          <w:szCs w:val="24"/>
          <w:vertAlign w:val="superscript"/>
        </w:rPr>
        <w:t>n</w:t>
      </w:r>
      <w:r w:rsidRPr="00F40C30">
        <w:rPr>
          <w:rFonts w:asciiTheme="minorBidi" w:hAnsiTheme="minorBidi"/>
          <w:sz w:val="24"/>
          <w:szCs w:val="24"/>
        </w:rPr>
        <w:t xml:space="preserve"> City of Hope Comprehensive Cancer </w:t>
      </w:r>
      <w:proofErr w:type="spellStart"/>
      <w:r w:rsidRPr="00F40C30">
        <w:rPr>
          <w:rFonts w:asciiTheme="minorBidi" w:hAnsiTheme="minorBidi"/>
          <w:sz w:val="24"/>
          <w:szCs w:val="24"/>
        </w:rPr>
        <w:t>Center</w:t>
      </w:r>
      <w:proofErr w:type="spellEnd"/>
      <w:r w:rsidRPr="00F40C30">
        <w:rPr>
          <w:rFonts w:asciiTheme="minorBidi" w:hAnsiTheme="minorBidi"/>
          <w:sz w:val="24"/>
          <w:szCs w:val="24"/>
        </w:rPr>
        <w:t xml:space="preserve">, Duarte, CA, USA; </w:t>
      </w:r>
      <w:r w:rsidRPr="00F40C30">
        <w:rPr>
          <w:rFonts w:asciiTheme="minorBidi" w:hAnsiTheme="minorBidi"/>
          <w:sz w:val="24"/>
          <w:szCs w:val="24"/>
          <w:vertAlign w:val="superscript"/>
        </w:rPr>
        <w:t>o</w:t>
      </w:r>
      <w:r w:rsidRPr="00F40C30">
        <w:rPr>
          <w:rFonts w:asciiTheme="minorBidi" w:hAnsiTheme="minorBidi"/>
          <w:sz w:val="24"/>
          <w:szCs w:val="24"/>
        </w:rPr>
        <w:t xml:space="preserve"> IRCCS </w:t>
      </w:r>
      <w:proofErr w:type="spellStart"/>
      <w:r w:rsidRPr="00F40C30">
        <w:rPr>
          <w:rFonts w:asciiTheme="minorBidi" w:hAnsiTheme="minorBidi"/>
          <w:sz w:val="24"/>
          <w:szCs w:val="24"/>
        </w:rPr>
        <w:t>Istituto</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Scientifico</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Romagnolo</w:t>
      </w:r>
      <w:proofErr w:type="spellEnd"/>
      <w:r w:rsidRPr="00F40C30">
        <w:rPr>
          <w:rFonts w:asciiTheme="minorBidi" w:hAnsiTheme="minorBidi"/>
          <w:sz w:val="24"/>
          <w:szCs w:val="24"/>
        </w:rPr>
        <w:t xml:space="preserve"> per lo studio e la </w:t>
      </w:r>
      <w:proofErr w:type="spellStart"/>
      <w:r w:rsidRPr="00F40C30">
        <w:rPr>
          <w:rFonts w:asciiTheme="minorBidi" w:hAnsiTheme="minorBidi"/>
          <w:sz w:val="24"/>
          <w:szCs w:val="24"/>
        </w:rPr>
        <w:t>Cura</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dei</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Tumori</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Meldola</w:t>
      </w:r>
      <w:proofErr w:type="spellEnd"/>
      <w:r w:rsidRPr="00F40C30">
        <w:rPr>
          <w:rFonts w:asciiTheme="minorBidi" w:hAnsiTheme="minorBidi"/>
          <w:sz w:val="24"/>
          <w:szCs w:val="24"/>
        </w:rPr>
        <w:t xml:space="preserve">, Italy; </w:t>
      </w:r>
      <w:r w:rsidRPr="00F40C30">
        <w:rPr>
          <w:rFonts w:asciiTheme="minorBidi" w:hAnsiTheme="minorBidi"/>
          <w:sz w:val="24"/>
          <w:szCs w:val="24"/>
          <w:vertAlign w:val="superscript"/>
        </w:rPr>
        <w:t>p</w:t>
      </w:r>
      <w:r w:rsidRPr="00F40C30">
        <w:rPr>
          <w:rFonts w:asciiTheme="minorBidi" w:hAnsiTheme="minorBidi"/>
          <w:sz w:val="24"/>
          <w:szCs w:val="24"/>
        </w:rPr>
        <w:t xml:space="preserve"> </w:t>
      </w:r>
      <w:proofErr w:type="spellStart"/>
      <w:r w:rsidRPr="00F40C30">
        <w:rPr>
          <w:rFonts w:asciiTheme="minorBidi" w:hAnsiTheme="minorBidi"/>
          <w:sz w:val="24"/>
          <w:szCs w:val="24"/>
        </w:rPr>
        <w:t>Karmanos</w:t>
      </w:r>
      <w:proofErr w:type="spellEnd"/>
      <w:r w:rsidRPr="00F40C30">
        <w:rPr>
          <w:rFonts w:asciiTheme="minorBidi" w:hAnsiTheme="minorBidi"/>
          <w:sz w:val="24"/>
          <w:szCs w:val="24"/>
        </w:rPr>
        <w:t xml:space="preserve"> Cancer Institute, Detroit, MI, USA; </w:t>
      </w:r>
      <w:r w:rsidRPr="00F40C30">
        <w:rPr>
          <w:rFonts w:asciiTheme="minorBidi" w:hAnsiTheme="minorBidi"/>
          <w:sz w:val="24"/>
          <w:szCs w:val="24"/>
          <w:vertAlign w:val="superscript"/>
        </w:rPr>
        <w:t>q</w:t>
      </w:r>
      <w:r w:rsidRPr="00F40C30">
        <w:rPr>
          <w:rFonts w:asciiTheme="minorBidi" w:hAnsiTheme="minorBidi"/>
          <w:sz w:val="24"/>
          <w:szCs w:val="24"/>
        </w:rPr>
        <w:t xml:space="preserve"> Centre </w:t>
      </w:r>
      <w:proofErr w:type="spellStart"/>
      <w:r w:rsidRPr="00F40C30">
        <w:rPr>
          <w:rFonts w:asciiTheme="minorBidi" w:hAnsiTheme="minorBidi"/>
          <w:sz w:val="24"/>
          <w:szCs w:val="24"/>
        </w:rPr>
        <w:t>Hospitalier</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Universitaire</w:t>
      </w:r>
      <w:proofErr w:type="spellEnd"/>
      <w:r w:rsidRPr="00F40C30">
        <w:rPr>
          <w:rFonts w:asciiTheme="minorBidi" w:hAnsiTheme="minorBidi"/>
          <w:sz w:val="24"/>
          <w:szCs w:val="24"/>
        </w:rPr>
        <w:t xml:space="preserve"> Vaudois, Lausanne, Switzerland; </w:t>
      </w:r>
      <w:r w:rsidRPr="00F40C30">
        <w:rPr>
          <w:rFonts w:asciiTheme="minorBidi" w:hAnsiTheme="minorBidi"/>
          <w:sz w:val="24"/>
          <w:szCs w:val="24"/>
          <w:vertAlign w:val="superscript"/>
        </w:rPr>
        <w:t>r</w:t>
      </w:r>
      <w:r w:rsidRPr="00F40C30">
        <w:rPr>
          <w:rFonts w:asciiTheme="minorBidi" w:hAnsiTheme="minorBidi"/>
          <w:sz w:val="24"/>
          <w:szCs w:val="24"/>
        </w:rPr>
        <w:t xml:space="preserve"> Denver Veterans Affairs Medical </w:t>
      </w:r>
      <w:proofErr w:type="spellStart"/>
      <w:r w:rsidRPr="00F40C30">
        <w:rPr>
          <w:rFonts w:asciiTheme="minorBidi" w:hAnsiTheme="minorBidi"/>
          <w:sz w:val="24"/>
          <w:szCs w:val="24"/>
        </w:rPr>
        <w:t>Center</w:t>
      </w:r>
      <w:proofErr w:type="spellEnd"/>
      <w:r w:rsidRPr="00F40C30">
        <w:rPr>
          <w:rFonts w:asciiTheme="minorBidi" w:hAnsiTheme="minorBidi"/>
          <w:sz w:val="24"/>
          <w:szCs w:val="24"/>
        </w:rPr>
        <w:t xml:space="preserve">, Eastern Colorado Health Care System, Denver, CO, USA; </w:t>
      </w:r>
      <w:r w:rsidRPr="00F40C30">
        <w:rPr>
          <w:rFonts w:asciiTheme="minorBidi" w:hAnsiTheme="minorBidi"/>
          <w:sz w:val="24"/>
          <w:szCs w:val="24"/>
          <w:vertAlign w:val="superscript"/>
        </w:rPr>
        <w:t>s</w:t>
      </w:r>
      <w:r w:rsidRPr="00F40C30">
        <w:rPr>
          <w:rFonts w:asciiTheme="minorBidi" w:hAnsiTheme="minorBidi"/>
          <w:sz w:val="24"/>
          <w:szCs w:val="24"/>
        </w:rPr>
        <w:t xml:space="preserve"> Rabin Medical </w:t>
      </w:r>
      <w:proofErr w:type="spellStart"/>
      <w:r w:rsidRPr="00F40C30">
        <w:rPr>
          <w:rFonts w:asciiTheme="minorBidi" w:hAnsiTheme="minorBidi"/>
          <w:sz w:val="24"/>
          <w:szCs w:val="24"/>
        </w:rPr>
        <w:t>Center</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Petach</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Tikva</w:t>
      </w:r>
      <w:proofErr w:type="spellEnd"/>
      <w:r w:rsidRPr="00F40C30">
        <w:rPr>
          <w:rFonts w:asciiTheme="minorBidi" w:hAnsiTheme="minorBidi"/>
          <w:sz w:val="24"/>
          <w:szCs w:val="24"/>
        </w:rPr>
        <w:t xml:space="preserve">, Israel; </w:t>
      </w:r>
      <w:r w:rsidRPr="00F40C30">
        <w:rPr>
          <w:rFonts w:asciiTheme="minorBidi" w:hAnsiTheme="minorBidi"/>
          <w:sz w:val="24"/>
          <w:szCs w:val="24"/>
          <w:vertAlign w:val="superscript"/>
        </w:rPr>
        <w:t>t</w:t>
      </w:r>
      <w:r w:rsidRPr="00F40C30">
        <w:rPr>
          <w:rFonts w:asciiTheme="minorBidi" w:hAnsiTheme="minorBidi"/>
          <w:sz w:val="24"/>
          <w:szCs w:val="24"/>
        </w:rPr>
        <w:t xml:space="preserve"> Hospital Foch, </w:t>
      </w:r>
      <w:proofErr w:type="spellStart"/>
      <w:r w:rsidRPr="00F40C30">
        <w:rPr>
          <w:rFonts w:asciiTheme="minorBidi" w:hAnsiTheme="minorBidi"/>
          <w:sz w:val="24"/>
          <w:szCs w:val="24"/>
        </w:rPr>
        <w:t>Suresnes</w:t>
      </w:r>
      <w:proofErr w:type="spellEnd"/>
      <w:r w:rsidRPr="00F40C30">
        <w:rPr>
          <w:rFonts w:asciiTheme="minorBidi" w:hAnsiTheme="minorBidi"/>
          <w:sz w:val="24"/>
          <w:szCs w:val="24"/>
        </w:rPr>
        <w:t xml:space="preserve">, France; </w:t>
      </w:r>
      <w:r w:rsidRPr="00F40C30">
        <w:rPr>
          <w:rFonts w:asciiTheme="minorBidi" w:hAnsiTheme="minorBidi"/>
          <w:sz w:val="24"/>
          <w:szCs w:val="24"/>
          <w:vertAlign w:val="superscript"/>
        </w:rPr>
        <w:t>u</w:t>
      </w:r>
      <w:r w:rsidRPr="00F40C30">
        <w:rPr>
          <w:rFonts w:asciiTheme="minorBidi" w:hAnsiTheme="minorBidi"/>
          <w:sz w:val="24"/>
          <w:szCs w:val="24"/>
        </w:rPr>
        <w:t xml:space="preserve"> </w:t>
      </w:r>
      <w:proofErr w:type="spellStart"/>
      <w:r w:rsidRPr="00F40C30">
        <w:rPr>
          <w:rFonts w:asciiTheme="minorBidi" w:hAnsiTheme="minorBidi"/>
          <w:sz w:val="24"/>
          <w:szCs w:val="24"/>
        </w:rPr>
        <w:t>Center</w:t>
      </w:r>
      <w:proofErr w:type="spellEnd"/>
      <w:r w:rsidRPr="00F40C30">
        <w:rPr>
          <w:rFonts w:asciiTheme="minorBidi" w:hAnsiTheme="minorBidi"/>
          <w:sz w:val="24"/>
          <w:szCs w:val="24"/>
        </w:rPr>
        <w:t xml:space="preserve"> Georges-François Leclerc, Dijon, France; </w:t>
      </w:r>
      <w:r w:rsidRPr="00F40C30">
        <w:rPr>
          <w:rFonts w:asciiTheme="minorBidi" w:hAnsiTheme="minorBidi"/>
          <w:sz w:val="24"/>
          <w:szCs w:val="24"/>
          <w:vertAlign w:val="superscript"/>
        </w:rPr>
        <w:t>v</w:t>
      </w:r>
      <w:r w:rsidRPr="00F40C30">
        <w:rPr>
          <w:rFonts w:asciiTheme="minorBidi" w:hAnsiTheme="minorBidi"/>
          <w:sz w:val="24"/>
          <w:szCs w:val="24"/>
        </w:rPr>
        <w:t xml:space="preserve"> Stanford University School of Medicine, Stanford, CA, USA; </w:t>
      </w:r>
      <w:r w:rsidRPr="00F40C30">
        <w:rPr>
          <w:rFonts w:asciiTheme="minorBidi" w:hAnsiTheme="minorBidi"/>
          <w:sz w:val="24"/>
          <w:szCs w:val="24"/>
          <w:vertAlign w:val="superscript"/>
        </w:rPr>
        <w:t>w</w:t>
      </w:r>
      <w:r w:rsidRPr="00F40C30">
        <w:rPr>
          <w:rFonts w:asciiTheme="minorBidi" w:hAnsiTheme="minorBidi"/>
          <w:sz w:val="24"/>
          <w:szCs w:val="24"/>
        </w:rPr>
        <w:t xml:space="preserve"> University of Utah, Salt Lake City, UT, USA; </w:t>
      </w:r>
      <w:r w:rsidRPr="00F40C30">
        <w:rPr>
          <w:rFonts w:asciiTheme="minorBidi" w:hAnsiTheme="minorBidi"/>
          <w:sz w:val="24"/>
          <w:szCs w:val="24"/>
          <w:vertAlign w:val="superscript"/>
        </w:rPr>
        <w:t>x</w:t>
      </w:r>
      <w:r w:rsidRPr="00F40C30">
        <w:rPr>
          <w:rFonts w:asciiTheme="minorBidi" w:hAnsiTheme="minorBidi"/>
          <w:sz w:val="24"/>
          <w:szCs w:val="24"/>
        </w:rPr>
        <w:t xml:space="preserve"> University of Southampton, Southampton, United Kingdom; </w:t>
      </w:r>
      <w:r w:rsidRPr="00F40C30">
        <w:rPr>
          <w:rFonts w:asciiTheme="minorBidi" w:hAnsiTheme="minorBidi"/>
          <w:sz w:val="24"/>
          <w:szCs w:val="24"/>
          <w:vertAlign w:val="superscript"/>
        </w:rPr>
        <w:t>y</w:t>
      </w:r>
      <w:r w:rsidRPr="00F40C30">
        <w:rPr>
          <w:rFonts w:asciiTheme="minorBidi" w:hAnsiTheme="minorBidi"/>
          <w:sz w:val="24"/>
          <w:szCs w:val="24"/>
        </w:rPr>
        <w:t xml:space="preserve"> Princess Margaret Hospital, University Health Network, Toronto, Canada; </w:t>
      </w:r>
      <w:r w:rsidRPr="00F40C30">
        <w:rPr>
          <w:rFonts w:asciiTheme="minorBidi" w:hAnsiTheme="minorBidi"/>
          <w:sz w:val="24"/>
          <w:szCs w:val="24"/>
          <w:vertAlign w:val="superscript"/>
        </w:rPr>
        <w:t>z</w:t>
      </w:r>
      <w:r w:rsidRPr="00F40C30">
        <w:rPr>
          <w:rFonts w:asciiTheme="minorBidi" w:hAnsiTheme="minorBidi"/>
          <w:sz w:val="24"/>
          <w:szCs w:val="24"/>
        </w:rPr>
        <w:t xml:space="preserve"> Medical University of South Carolina, Charleston, SC, USA; </w:t>
      </w:r>
      <w:r w:rsidRPr="00F40C30">
        <w:rPr>
          <w:rFonts w:asciiTheme="minorBidi" w:hAnsiTheme="minorBidi"/>
          <w:sz w:val="24"/>
          <w:szCs w:val="24"/>
          <w:vertAlign w:val="superscript"/>
        </w:rPr>
        <w:t>aa</w:t>
      </w:r>
      <w:r w:rsidRPr="00F40C30">
        <w:rPr>
          <w:rFonts w:asciiTheme="minorBidi" w:hAnsiTheme="minorBidi"/>
          <w:sz w:val="24"/>
          <w:szCs w:val="24"/>
        </w:rPr>
        <w:t xml:space="preserve"> Saarland University, Homburg, Germany; </w:t>
      </w:r>
      <w:r w:rsidRPr="00F40C30">
        <w:rPr>
          <w:rFonts w:asciiTheme="minorBidi" w:hAnsiTheme="minorBidi"/>
          <w:sz w:val="24"/>
          <w:szCs w:val="24"/>
          <w:vertAlign w:val="superscript"/>
        </w:rPr>
        <w:t>bb</w:t>
      </w:r>
      <w:r w:rsidRPr="00F40C30">
        <w:rPr>
          <w:rFonts w:asciiTheme="minorBidi" w:hAnsiTheme="minorBidi"/>
          <w:sz w:val="24"/>
          <w:szCs w:val="24"/>
        </w:rPr>
        <w:t xml:space="preserve"> Cochin Hospital, Assistance-</w:t>
      </w:r>
      <w:proofErr w:type="spellStart"/>
      <w:r w:rsidRPr="00F40C30">
        <w:rPr>
          <w:rFonts w:asciiTheme="minorBidi" w:hAnsiTheme="minorBidi"/>
          <w:sz w:val="24"/>
          <w:szCs w:val="24"/>
        </w:rPr>
        <w:t>Publique</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Hôpitaux</w:t>
      </w:r>
      <w:proofErr w:type="spellEnd"/>
      <w:r w:rsidRPr="00F40C30">
        <w:rPr>
          <w:rFonts w:asciiTheme="minorBidi" w:hAnsiTheme="minorBidi"/>
          <w:sz w:val="24"/>
          <w:szCs w:val="24"/>
        </w:rPr>
        <w:t xml:space="preserve"> de Paris, Paris Descartes University, Paris, France; </w:t>
      </w:r>
      <w:r w:rsidRPr="00F40C30">
        <w:rPr>
          <w:rFonts w:asciiTheme="minorBidi" w:hAnsiTheme="minorBidi"/>
          <w:sz w:val="24"/>
          <w:szCs w:val="24"/>
          <w:vertAlign w:val="superscript"/>
        </w:rPr>
        <w:t>cc</w:t>
      </w:r>
      <w:r w:rsidRPr="00F40C30">
        <w:rPr>
          <w:rFonts w:asciiTheme="minorBidi" w:hAnsiTheme="minorBidi"/>
          <w:sz w:val="24"/>
          <w:szCs w:val="24"/>
        </w:rPr>
        <w:t xml:space="preserve"> </w:t>
      </w:r>
      <w:proofErr w:type="spellStart"/>
      <w:r w:rsidRPr="00F40C30">
        <w:rPr>
          <w:rFonts w:asciiTheme="minorBidi" w:hAnsiTheme="minorBidi"/>
          <w:sz w:val="24"/>
          <w:szCs w:val="24"/>
        </w:rPr>
        <w:t>Barts</w:t>
      </w:r>
      <w:proofErr w:type="spellEnd"/>
      <w:r w:rsidRPr="00F40C30">
        <w:rPr>
          <w:rFonts w:asciiTheme="minorBidi" w:hAnsiTheme="minorBidi"/>
          <w:sz w:val="24"/>
          <w:szCs w:val="24"/>
        </w:rPr>
        <w:t xml:space="preserve"> Health and the Royal Free NHS Trust, Queen Mary University of London, London, UK; </w:t>
      </w:r>
      <w:proofErr w:type="spellStart"/>
      <w:r w:rsidRPr="00F40C30">
        <w:rPr>
          <w:rFonts w:asciiTheme="minorBidi" w:hAnsiTheme="minorBidi"/>
          <w:sz w:val="24"/>
          <w:szCs w:val="24"/>
          <w:vertAlign w:val="superscript"/>
        </w:rPr>
        <w:t>dd</w:t>
      </w:r>
      <w:proofErr w:type="spellEnd"/>
      <w:r w:rsidRPr="00F40C30">
        <w:rPr>
          <w:rFonts w:asciiTheme="minorBidi" w:hAnsiTheme="minorBidi"/>
          <w:sz w:val="24"/>
          <w:szCs w:val="24"/>
        </w:rPr>
        <w:t xml:space="preserve"> Memorial Sloan- Kettering Cancer </w:t>
      </w:r>
      <w:proofErr w:type="spellStart"/>
      <w:r w:rsidRPr="00F40C30">
        <w:rPr>
          <w:rFonts w:asciiTheme="minorBidi" w:hAnsiTheme="minorBidi"/>
          <w:sz w:val="24"/>
          <w:szCs w:val="24"/>
        </w:rPr>
        <w:t>Center</w:t>
      </w:r>
      <w:proofErr w:type="spellEnd"/>
      <w:r w:rsidRPr="00F40C30">
        <w:rPr>
          <w:rFonts w:asciiTheme="minorBidi" w:hAnsiTheme="minorBidi"/>
          <w:sz w:val="24"/>
          <w:szCs w:val="24"/>
        </w:rPr>
        <w:t xml:space="preserve">, New York, NY, USA; </w:t>
      </w:r>
      <w:proofErr w:type="spellStart"/>
      <w:r w:rsidRPr="00F40C30">
        <w:rPr>
          <w:rFonts w:asciiTheme="minorBidi" w:hAnsiTheme="minorBidi"/>
          <w:sz w:val="24"/>
          <w:szCs w:val="24"/>
          <w:vertAlign w:val="superscript"/>
        </w:rPr>
        <w:t>ee</w:t>
      </w:r>
      <w:proofErr w:type="spellEnd"/>
      <w:r w:rsidRPr="00F40C30">
        <w:rPr>
          <w:rFonts w:asciiTheme="minorBidi" w:hAnsiTheme="minorBidi"/>
          <w:sz w:val="24"/>
          <w:szCs w:val="24"/>
        </w:rPr>
        <w:t xml:space="preserve"> The Netherlands Cancer Institute, Amsterdam, The Netherlands; </w:t>
      </w:r>
      <w:proofErr w:type="spellStart"/>
      <w:r w:rsidRPr="00F40C30">
        <w:rPr>
          <w:rFonts w:asciiTheme="minorBidi" w:hAnsiTheme="minorBidi"/>
          <w:sz w:val="24"/>
          <w:szCs w:val="24"/>
          <w:vertAlign w:val="superscript"/>
        </w:rPr>
        <w:t>ff</w:t>
      </w:r>
      <w:proofErr w:type="spellEnd"/>
      <w:r w:rsidRPr="00F40C30">
        <w:rPr>
          <w:rFonts w:asciiTheme="minorBidi" w:hAnsiTheme="minorBidi"/>
          <w:sz w:val="24"/>
          <w:szCs w:val="24"/>
        </w:rPr>
        <w:t xml:space="preserve"> Mount Sinai School of Medicine, </w:t>
      </w:r>
      <w:proofErr w:type="spellStart"/>
      <w:r w:rsidRPr="00F40C30">
        <w:rPr>
          <w:rFonts w:asciiTheme="minorBidi" w:hAnsiTheme="minorBidi"/>
          <w:sz w:val="24"/>
          <w:szCs w:val="24"/>
        </w:rPr>
        <w:t>Tisch</w:t>
      </w:r>
      <w:proofErr w:type="spellEnd"/>
      <w:r w:rsidRPr="00F40C30">
        <w:rPr>
          <w:rFonts w:asciiTheme="minorBidi" w:hAnsiTheme="minorBidi"/>
          <w:sz w:val="24"/>
          <w:szCs w:val="24"/>
        </w:rPr>
        <w:t xml:space="preserve"> Cancer Institute, New York, NY, USA</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br w:type="page"/>
      </w:r>
    </w:p>
    <w:p w:rsidR="00F40C30" w:rsidRDefault="00F40C30" w:rsidP="00F40C30">
      <w:pPr>
        <w:spacing w:after="0" w:line="480" w:lineRule="auto"/>
        <w:contextualSpacing/>
        <w:rPr>
          <w:rFonts w:asciiTheme="minorBidi" w:hAnsiTheme="minorBidi"/>
          <w:sz w:val="24"/>
          <w:szCs w:val="24"/>
        </w:rPr>
      </w:pPr>
      <w:r>
        <w:rPr>
          <w:rFonts w:asciiTheme="minorBidi" w:hAnsiTheme="minorBidi"/>
          <w:sz w:val="24"/>
          <w:szCs w:val="24"/>
        </w:rPr>
        <w:lastRenderedPageBreak/>
        <w:t>Abstract</w:t>
      </w:r>
    </w:p>
    <w:p w:rsidR="00F40C30" w:rsidRDefault="00F40C30" w:rsidP="00F40C30">
      <w:pPr>
        <w:spacing w:after="0" w:line="480" w:lineRule="auto"/>
        <w:contextualSpacing/>
        <w:rPr>
          <w:rFonts w:asciiTheme="minorBidi" w:hAnsiTheme="minorBidi"/>
          <w:sz w:val="24"/>
          <w:szCs w:val="24"/>
        </w:rPr>
      </w:pP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Background: Limited data is available on the role, and extent of, </w:t>
      </w:r>
      <w:proofErr w:type="spellStart"/>
      <w:r w:rsidRPr="00F40C30">
        <w:rPr>
          <w:rFonts w:asciiTheme="minorBidi" w:hAnsiTheme="minorBidi"/>
          <w:sz w:val="24"/>
          <w:szCs w:val="24"/>
        </w:rPr>
        <w:t>postchemotherapy</w:t>
      </w:r>
      <w:proofErr w:type="spellEnd"/>
      <w:r w:rsidRPr="00F40C30">
        <w:rPr>
          <w:rFonts w:asciiTheme="minorBidi" w:hAnsiTheme="minorBidi"/>
          <w:sz w:val="24"/>
          <w:szCs w:val="24"/>
        </w:rPr>
        <w:t xml:space="preserve"> lymphadenectomy (PC-LND) in patients with clinical evidence of pelvic (cN1–3) or retroperitoneal (RP) lymph node spread from urothelial bladder carcinoma.</w:t>
      </w:r>
    </w:p>
    <w:p w:rsidR="00F40C30" w:rsidRPr="00F40C30" w:rsidRDefault="00F40C30" w:rsidP="00F40C30">
      <w:pPr>
        <w:spacing w:after="0" w:line="480" w:lineRule="auto"/>
        <w:contextualSpacing/>
        <w:rPr>
          <w:rFonts w:asciiTheme="minorBidi" w:hAnsiTheme="minorBidi"/>
          <w:sz w:val="24"/>
          <w:szCs w:val="24"/>
        </w:rPr>
      </w:pP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Objective: To compare the outcomes of operated versus </w:t>
      </w:r>
      <w:proofErr w:type="spellStart"/>
      <w:r w:rsidRPr="00F40C30">
        <w:rPr>
          <w:rFonts w:asciiTheme="minorBidi" w:hAnsiTheme="minorBidi"/>
          <w:sz w:val="24"/>
          <w:szCs w:val="24"/>
        </w:rPr>
        <w:t>nonoperated</w:t>
      </w:r>
      <w:proofErr w:type="spellEnd"/>
      <w:r w:rsidRPr="00F40C30">
        <w:rPr>
          <w:rFonts w:asciiTheme="minorBidi" w:hAnsiTheme="minorBidi"/>
          <w:sz w:val="24"/>
          <w:szCs w:val="24"/>
        </w:rPr>
        <w:t xml:space="preserve"> patients after first-line chemotherapy.</w:t>
      </w:r>
    </w:p>
    <w:p w:rsidR="00F40C30" w:rsidRPr="00F40C30" w:rsidRDefault="00F40C30" w:rsidP="00F40C30">
      <w:pPr>
        <w:spacing w:after="0" w:line="480" w:lineRule="auto"/>
        <w:contextualSpacing/>
        <w:rPr>
          <w:rFonts w:asciiTheme="minorBidi" w:hAnsiTheme="minorBidi"/>
          <w:sz w:val="24"/>
          <w:szCs w:val="24"/>
        </w:rPr>
      </w:pP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Design, setting, and participants: Data from 34 </w:t>
      </w:r>
      <w:proofErr w:type="spellStart"/>
      <w:r w:rsidRPr="00F40C30">
        <w:rPr>
          <w:rFonts w:asciiTheme="minorBidi" w:hAnsiTheme="minorBidi"/>
          <w:sz w:val="24"/>
          <w:szCs w:val="24"/>
        </w:rPr>
        <w:t>centers</w:t>
      </w:r>
      <w:proofErr w:type="spellEnd"/>
      <w:r w:rsidRPr="00F40C30">
        <w:rPr>
          <w:rFonts w:asciiTheme="minorBidi" w:hAnsiTheme="minorBidi"/>
          <w:sz w:val="24"/>
          <w:szCs w:val="24"/>
        </w:rPr>
        <w:t xml:space="preserve"> was collected, </w:t>
      </w:r>
      <w:proofErr w:type="spellStart"/>
      <w:r w:rsidRPr="00F40C30">
        <w:rPr>
          <w:rFonts w:asciiTheme="minorBidi" w:hAnsiTheme="minorBidi"/>
          <w:sz w:val="24"/>
          <w:szCs w:val="24"/>
        </w:rPr>
        <w:t>totaling</w:t>
      </w:r>
      <w:proofErr w:type="spellEnd"/>
      <w:r w:rsidRPr="00F40C30">
        <w:rPr>
          <w:rFonts w:asciiTheme="minorBidi" w:hAnsiTheme="minorBidi"/>
          <w:sz w:val="24"/>
          <w:szCs w:val="24"/>
        </w:rPr>
        <w:t xml:space="preserve"> 522 patients, treated between January 2000 and June 2015. Criteria for patient selection were the following: bladder primary </w:t>
      </w:r>
      <w:proofErr w:type="spellStart"/>
      <w:r w:rsidRPr="00F40C30">
        <w:rPr>
          <w:rFonts w:asciiTheme="minorBidi" w:hAnsiTheme="minorBidi"/>
          <w:sz w:val="24"/>
          <w:szCs w:val="24"/>
        </w:rPr>
        <w:t>tumor</w:t>
      </w:r>
      <w:proofErr w:type="spellEnd"/>
      <w:r w:rsidRPr="00F40C30">
        <w:rPr>
          <w:rFonts w:asciiTheme="minorBidi" w:hAnsiTheme="minorBidi"/>
          <w:sz w:val="24"/>
          <w:szCs w:val="24"/>
        </w:rPr>
        <w:t>, lymph node metastases (</w:t>
      </w:r>
      <w:proofErr w:type="gramStart"/>
      <w:r w:rsidRPr="00F40C30">
        <w:rPr>
          <w:rFonts w:asciiTheme="minorBidi" w:hAnsiTheme="minorBidi"/>
          <w:sz w:val="24"/>
          <w:szCs w:val="24"/>
        </w:rPr>
        <w:t>pelvic  _</w:t>
      </w:r>
      <w:proofErr w:type="gramEnd"/>
      <w:r w:rsidRPr="00F40C30">
        <w:rPr>
          <w:rFonts w:asciiTheme="minorBidi" w:hAnsiTheme="minorBidi"/>
          <w:sz w:val="24"/>
          <w:szCs w:val="24"/>
        </w:rPr>
        <w:t xml:space="preserve"> RP) only, first-line platinum-based chemotherapy given.</w:t>
      </w:r>
    </w:p>
    <w:p w:rsidR="00F40C30" w:rsidRPr="00F40C30" w:rsidRDefault="00F40C30" w:rsidP="00F40C30">
      <w:pPr>
        <w:spacing w:after="0" w:line="480" w:lineRule="auto"/>
        <w:contextualSpacing/>
        <w:rPr>
          <w:rFonts w:asciiTheme="minorBidi" w:hAnsiTheme="minorBidi"/>
          <w:sz w:val="24"/>
          <w:szCs w:val="24"/>
        </w:rPr>
      </w:pP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Intervention: LND (with cystectomy) versus observation after first-line chemotherapy for metastatic urothelial bladder carcinoma.</w:t>
      </w:r>
    </w:p>
    <w:p w:rsidR="00F40C30" w:rsidRPr="00F40C30" w:rsidRDefault="00F40C30" w:rsidP="00F40C30">
      <w:pPr>
        <w:spacing w:after="0" w:line="480" w:lineRule="auto"/>
        <w:contextualSpacing/>
        <w:rPr>
          <w:rFonts w:asciiTheme="minorBidi" w:hAnsiTheme="minorBidi"/>
          <w:sz w:val="24"/>
          <w:szCs w:val="24"/>
        </w:rPr>
      </w:pP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Outcome measures and statistical analysis: Overall survival (OS) was the primary endpoint. Multiple propensity score techniques were adopted, including 1:1 propensity score matching and inverse probability of treatment weighting. Additionally, the inverse probability of treatment weighting analysis was performed with the inclusion of the covariates, that is, with doubly robust estimation.</w:t>
      </w:r>
    </w:p>
    <w:p w:rsidR="00F40C30" w:rsidRPr="00F40C30" w:rsidRDefault="00F40C30" w:rsidP="00F40C30">
      <w:pPr>
        <w:spacing w:after="0" w:line="480" w:lineRule="auto"/>
        <w:contextualSpacing/>
        <w:rPr>
          <w:rFonts w:asciiTheme="minorBidi" w:hAnsiTheme="minorBidi"/>
          <w:sz w:val="24"/>
          <w:szCs w:val="24"/>
        </w:rPr>
      </w:pP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Results and limitations: Overall, 242 (46.4%) patients received PC-LND and 280 (53.6%) observation after chemotherapy. There were 177 (33.9%) and 345 (66.1%) </w:t>
      </w:r>
      <w:r w:rsidRPr="00F40C30">
        <w:rPr>
          <w:rFonts w:asciiTheme="minorBidi" w:hAnsiTheme="minorBidi"/>
          <w:sz w:val="24"/>
          <w:szCs w:val="24"/>
        </w:rPr>
        <w:lastRenderedPageBreak/>
        <w:t xml:space="preserve">patients with either RP or pelvic LND only, respectively. Doubly robust estimation-adjusted </w:t>
      </w:r>
      <w:proofErr w:type="spellStart"/>
      <w:r w:rsidRPr="00F40C30">
        <w:rPr>
          <w:rFonts w:asciiTheme="minorBidi" w:hAnsiTheme="minorBidi"/>
          <w:sz w:val="24"/>
          <w:szCs w:val="24"/>
        </w:rPr>
        <w:t>compari</w:t>
      </w:r>
      <w:proofErr w:type="spellEnd"/>
      <w:r w:rsidRPr="00F40C30">
        <w:rPr>
          <w:rFonts w:asciiTheme="minorBidi" w:hAnsiTheme="minorBidi"/>
          <w:sz w:val="24"/>
          <w:szCs w:val="24"/>
        </w:rPr>
        <w:t>-son was not significant for improved OS for PC-LND (hazard ratio [HR]: 0.86, 95% confidence interval [CI]: 0.56–1.31, p = 0.479), confirmed by matched analysis (HR: 0.91, 95% CI: 0.60–1.36, p = 0.628). This was also observed in the RP subgroup (HR: 1.12, 95% CI: 0.68–1.84). The retrospective nature of the data and the heterogeneous patient population were the major limitations.</w:t>
      </w:r>
    </w:p>
    <w:p w:rsidR="00F40C30" w:rsidRPr="00F40C30" w:rsidRDefault="00F40C30" w:rsidP="00F40C30">
      <w:pPr>
        <w:spacing w:after="0" w:line="480" w:lineRule="auto"/>
        <w:contextualSpacing/>
        <w:rPr>
          <w:rFonts w:asciiTheme="minorBidi" w:hAnsiTheme="minorBidi"/>
          <w:sz w:val="24"/>
          <w:szCs w:val="24"/>
        </w:rPr>
      </w:pP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Conclusions: Although there were substantial differences between the two groups, after accounting for major confounders we report a nonsignificant OS difference with PC-LND compared with observation only. These findings may be hypothesis-generating for future prospective trials.</w:t>
      </w:r>
    </w:p>
    <w:p w:rsidR="00F40C30" w:rsidRPr="00F40C30" w:rsidRDefault="00F40C30" w:rsidP="00F40C30">
      <w:pPr>
        <w:spacing w:after="0" w:line="480" w:lineRule="auto"/>
        <w:contextualSpacing/>
        <w:rPr>
          <w:rFonts w:asciiTheme="minorBidi" w:hAnsiTheme="minorBidi"/>
          <w:sz w:val="24"/>
          <w:szCs w:val="24"/>
        </w:rPr>
      </w:pP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Patient summary: We found no differences in survival by adding </w:t>
      </w:r>
      <w:proofErr w:type="spellStart"/>
      <w:r w:rsidRPr="00F40C30">
        <w:rPr>
          <w:rFonts w:asciiTheme="minorBidi" w:hAnsiTheme="minorBidi"/>
          <w:sz w:val="24"/>
          <w:szCs w:val="24"/>
        </w:rPr>
        <w:t>postchemotherapy</w:t>
      </w:r>
      <w:proofErr w:type="spellEnd"/>
      <w:r w:rsidRPr="00F40C30">
        <w:rPr>
          <w:rFonts w:asciiTheme="minorBidi" w:hAnsiTheme="minorBidi"/>
          <w:sz w:val="24"/>
          <w:szCs w:val="24"/>
        </w:rPr>
        <w:t xml:space="preserve"> lymphadenectomy in patients with pelvic or retroperitoneal lymph node metastatic bladder cancer. The indication to perform </w:t>
      </w:r>
      <w:proofErr w:type="spellStart"/>
      <w:r w:rsidRPr="00F40C30">
        <w:rPr>
          <w:rFonts w:asciiTheme="minorBidi" w:hAnsiTheme="minorBidi"/>
          <w:sz w:val="24"/>
          <w:szCs w:val="24"/>
        </w:rPr>
        <w:t>postchemotherapy</w:t>
      </w:r>
      <w:proofErr w:type="spellEnd"/>
      <w:r w:rsidRPr="00F40C30">
        <w:rPr>
          <w:rFonts w:asciiTheme="minorBidi" w:hAnsiTheme="minorBidi"/>
          <w:sz w:val="24"/>
          <w:szCs w:val="24"/>
        </w:rPr>
        <w:t xml:space="preserve"> lymphadenectomy in the most suitable patients requires additional studies.</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br w:type="page"/>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lastRenderedPageBreak/>
        <w:t>1.</w:t>
      </w:r>
      <w:r>
        <w:rPr>
          <w:rFonts w:asciiTheme="minorBidi" w:hAnsiTheme="minorBidi"/>
          <w:sz w:val="24"/>
          <w:szCs w:val="24"/>
        </w:rPr>
        <w:t xml:space="preserve"> </w:t>
      </w:r>
      <w:r w:rsidRPr="00F40C30">
        <w:rPr>
          <w:rFonts w:asciiTheme="minorBidi" w:hAnsiTheme="minorBidi"/>
          <w:sz w:val="24"/>
          <w:szCs w:val="24"/>
        </w:rPr>
        <w:t>Introduction</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Patients with metastatic urothelial bladder carcinoma (UBC) have a poor outcome and limited survival [1]</w:t>
      </w:r>
      <w:r>
        <w:rPr>
          <w:rFonts w:asciiTheme="minorBidi" w:hAnsiTheme="minorBidi"/>
          <w:sz w:val="24"/>
          <w:szCs w:val="24"/>
        </w:rPr>
        <w:t>. How</w:t>
      </w:r>
      <w:r w:rsidRPr="00F40C30">
        <w:rPr>
          <w:rFonts w:asciiTheme="minorBidi" w:hAnsiTheme="minorBidi"/>
          <w:sz w:val="24"/>
          <w:szCs w:val="24"/>
        </w:rPr>
        <w:t>ever, a small subgroup of patients with limited metastatic spread, usually limited to the lymph nodes, may still benefit from curative treatment. The therapeutic indication of these patients includes the adm</w:t>
      </w:r>
      <w:r>
        <w:rPr>
          <w:rFonts w:asciiTheme="minorBidi" w:hAnsiTheme="minorBidi"/>
          <w:sz w:val="24"/>
          <w:szCs w:val="24"/>
        </w:rPr>
        <w:t>inistration of first-line chemo</w:t>
      </w:r>
      <w:r w:rsidRPr="00F40C30">
        <w:rPr>
          <w:rFonts w:asciiTheme="minorBidi" w:hAnsiTheme="minorBidi"/>
          <w:sz w:val="24"/>
          <w:szCs w:val="24"/>
        </w:rPr>
        <w:t>therapy for four to six cy</w:t>
      </w:r>
      <w:r>
        <w:rPr>
          <w:rFonts w:asciiTheme="minorBidi" w:hAnsiTheme="minorBidi"/>
          <w:sz w:val="24"/>
          <w:szCs w:val="24"/>
        </w:rPr>
        <w:t>cles. After chemotherapy comple</w:t>
      </w:r>
      <w:r w:rsidRPr="00F40C30">
        <w:rPr>
          <w:rFonts w:asciiTheme="minorBidi" w:hAnsiTheme="minorBidi"/>
          <w:sz w:val="24"/>
          <w:szCs w:val="24"/>
        </w:rPr>
        <w:t>tion, the net benefit obta</w:t>
      </w:r>
      <w:r>
        <w:rPr>
          <w:rFonts w:asciiTheme="minorBidi" w:hAnsiTheme="minorBidi"/>
          <w:sz w:val="24"/>
          <w:szCs w:val="24"/>
        </w:rPr>
        <w:t xml:space="preserve">ined from </w:t>
      </w:r>
      <w:proofErr w:type="spellStart"/>
      <w:r>
        <w:rPr>
          <w:rFonts w:asciiTheme="minorBidi" w:hAnsiTheme="minorBidi"/>
          <w:sz w:val="24"/>
          <w:szCs w:val="24"/>
        </w:rPr>
        <w:t>postchemotherapy</w:t>
      </w:r>
      <w:proofErr w:type="spellEnd"/>
      <w:r>
        <w:rPr>
          <w:rFonts w:asciiTheme="minorBidi" w:hAnsiTheme="minorBidi"/>
          <w:sz w:val="24"/>
          <w:szCs w:val="24"/>
        </w:rPr>
        <w:t xml:space="preserve"> sur</w:t>
      </w:r>
      <w:r w:rsidRPr="00F40C30">
        <w:rPr>
          <w:rFonts w:asciiTheme="minorBidi" w:hAnsiTheme="minorBidi"/>
          <w:sz w:val="24"/>
          <w:szCs w:val="24"/>
        </w:rPr>
        <w:t>gery is hardly evaluable, owing to limited available data. In fact, data exist mostly from few small, retrospective, usually single-</w:t>
      </w:r>
      <w:proofErr w:type="spellStart"/>
      <w:r w:rsidRPr="00F40C30">
        <w:rPr>
          <w:rFonts w:asciiTheme="minorBidi" w:hAnsiTheme="minorBidi"/>
          <w:sz w:val="24"/>
          <w:szCs w:val="24"/>
        </w:rPr>
        <w:t>center</w:t>
      </w:r>
      <w:proofErr w:type="spellEnd"/>
      <w:r w:rsidRPr="00F40C30">
        <w:rPr>
          <w:rFonts w:asciiTheme="minorBidi" w:hAnsiTheme="minorBidi"/>
          <w:sz w:val="24"/>
          <w:szCs w:val="24"/>
        </w:rPr>
        <w:t>, experiences, with just a few larger analyses [2–15]. All these studies ulti</w:t>
      </w:r>
      <w:r>
        <w:rPr>
          <w:rFonts w:asciiTheme="minorBidi" w:hAnsiTheme="minorBidi"/>
          <w:sz w:val="24"/>
          <w:szCs w:val="24"/>
        </w:rPr>
        <w:t>mately resulted in similar find</w:t>
      </w:r>
      <w:r w:rsidRPr="00F40C30">
        <w:rPr>
          <w:rFonts w:asciiTheme="minorBidi" w:hAnsiTheme="minorBidi"/>
          <w:sz w:val="24"/>
          <w:szCs w:val="24"/>
        </w:rPr>
        <w:t>ings, that is, significant survival improvement can be obtained in selected patients, in par</w:t>
      </w:r>
      <w:r>
        <w:rPr>
          <w:rFonts w:asciiTheme="minorBidi" w:hAnsiTheme="minorBidi"/>
          <w:sz w:val="24"/>
          <w:szCs w:val="24"/>
        </w:rPr>
        <w:t>ticular when cis</w:t>
      </w:r>
      <w:r w:rsidRPr="00F40C30">
        <w:rPr>
          <w:rFonts w:asciiTheme="minorBidi" w:hAnsiTheme="minorBidi"/>
          <w:sz w:val="24"/>
          <w:szCs w:val="24"/>
        </w:rPr>
        <w:t>platin-based chemotherapy</w:t>
      </w:r>
      <w:r>
        <w:rPr>
          <w:rFonts w:asciiTheme="minorBidi" w:hAnsiTheme="minorBidi"/>
          <w:sz w:val="24"/>
          <w:szCs w:val="24"/>
        </w:rPr>
        <w:t xml:space="preserve"> can be administered, and objec</w:t>
      </w:r>
      <w:r w:rsidRPr="00F40C30">
        <w:rPr>
          <w:rFonts w:asciiTheme="minorBidi" w:hAnsiTheme="minorBidi"/>
          <w:sz w:val="24"/>
          <w:szCs w:val="24"/>
        </w:rPr>
        <w:t xml:space="preserve">tive response to chemotherapy is obtained. In the published series, patients with more extensive metastatic lymph node spread did not usually undergo </w:t>
      </w:r>
      <w:proofErr w:type="spellStart"/>
      <w:r w:rsidRPr="00F40C30">
        <w:rPr>
          <w:rFonts w:asciiTheme="minorBidi" w:hAnsiTheme="minorBidi"/>
          <w:sz w:val="24"/>
          <w:szCs w:val="24"/>
        </w:rPr>
        <w:t>postchemotherapy</w:t>
      </w:r>
      <w:proofErr w:type="spellEnd"/>
      <w:r w:rsidRPr="00F40C30">
        <w:rPr>
          <w:rFonts w:asciiTheme="minorBidi" w:hAnsiTheme="minorBidi"/>
          <w:sz w:val="24"/>
          <w:szCs w:val="24"/>
        </w:rPr>
        <w:t xml:space="preserve"> lymphadenectomy (PC-LND). However, patients with enlarged pelvic and retroperitoneal lymph nodes without other metas</w:t>
      </w:r>
      <w:r>
        <w:rPr>
          <w:rFonts w:asciiTheme="minorBidi" w:hAnsiTheme="minorBidi"/>
          <w:sz w:val="24"/>
          <w:szCs w:val="24"/>
        </w:rPr>
        <w:t>tatic sites before starting che</w:t>
      </w:r>
      <w:r w:rsidRPr="00F40C30">
        <w:rPr>
          <w:rFonts w:asciiTheme="minorBidi" w:hAnsiTheme="minorBidi"/>
          <w:sz w:val="24"/>
          <w:szCs w:val="24"/>
        </w:rPr>
        <w:t xml:space="preserve">motherapy were usually discussed in multidisciplinary clinics at the time of chemotherapy completion, and radical surgical clearance was sometimes pursued in these patients, mainly in </w:t>
      </w:r>
      <w:proofErr w:type="spellStart"/>
      <w:r w:rsidRPr="00F40C30">
        <w:rPr>
          <w:rFonts w:asciiTheme="minorBidi" w:hAnsiTheme="minorBidi"/>
          <w:sz w:val="24"/>
          <w:szCs w:val="24"/>
        </w:rPr>
        <w:t>centers</w:t>
      </w:r>
      <w:proofErr w:type="spellEnd"/>
      <w:r w:rsidRPr="00F40C30">
        <w:rPr>
          <w:rFonts w:asciiTheme="minorBidi" w:hAnsiTheme="minorBidi"/>
          <w:sz w:val="24"/>
          <w:szCs w:val="24"/>
        </w:rPr>
        <w:t xml:space="preserve"> offering high surgical expertise. There are few retrospective and long-dated series available about multimodal strategies for these patients, their sample sizes ranging from 11 to 80 patients, generally reporting highly heterogeneous findings [2–15]. Alternative options for such patients are close surveillance or the inclusion in clinical trials of maintenance therapy.</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br w:type="page"/>
      </w: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lastRenderedPageBreak/>
        <w:t>2. Patients and methods</w:t>
      </w:r>
    </w:p>
    <w:p w:rsidR="00F40C30" w:rsidRPr="00F40C30" w:rsidRDefault="00F40C30" w:rsidP="00F40C30">
      <w:pPr>
        <w:spacing w:after="0" w:line="480" w:lineRule="auto"/>
        <w:contextualSpacing/>
        <w:rPr>
          <w:rFonts w:asciiTheme="minorBidi" w:hAnsiTheme="minorBidi"/>
          <w:sz w:val="24"/>
          <w:szCs w:val="24"/>
        </w:rPr>
      </w:pP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2.1. Patient selection</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The European Association of Urology-Young Academic Urologists and the Retrospective International Study of Invasive/Advanced Cancer of the Urothelium groups jointly proposed a retrospective study to compare the outcomes of operated versus </w:t>
      </w:r>
      <w:proofErr w:type="spellStart"/>
      <w:r w:rsidRPr="00F40C30">
        <w:rPr>
          <w:rFonts w:asciiTheme="minorBidi" w:hAnsiTheme="minorBidi"/>
          <w:sz w:val="24"/>
          <w:szCs w:val="24"/>
        </w:rPr>
        <w:t>nonoperated</w:t>
      </w:r>
      <w:proofErr w:type="spellEnd"/>
      <w:r w:rsidRPr="00F40C30">
        <w:rPr>
          <w:rFonts w:asciiTheme="minorBidi" w:hAnsiTheme="minorBidi"/>
          <w:sz w:val="24"/>
          <w:szCs w:val="24"/>
        </w:rPr>
        <w:t xml:space="preserve"> patients after they have received first-line chemotherapy for clinically-evident pelvic lymph node metastases, including possible retroperitoneal lymph node involvement. These contemporary databases include data from hospitals in the USA, Europe, Israel, and Canada. Selected patients who fulfilled the following characteristics were </w:t>
      </w:r>
      <w:proofErr w:type="spellStart"/>
      <w:r w:rsidRPr="00F40C30">
        <w:rPr>
          <w:rFonts w:asciiTheme="minorBidi" w:hAnsiTheme="minorBidi"/>
          <w:sz w:val="24"/>
          <w:szCs w:val="24"/>
        </w:rPr>
        <w:t>analyzed</w:t>
      </w:r>
      <w:proofErr w:type="spellEnd"/>
      <w:r w:rsidRPr="00F40C30">
        <w:rPr>
          <w:rFonts w:asciiTheme="minorBidi" w:hAnsiTheme="minorBidi"/>
          <w:sz w:val="24"/>
          <w:szCs w:val="24"/>
        </w:rPr>
        <w:t xml:space="preserve">: bladder </w:t>
      </w:r>
      <w:proofErr w:type="spellStart"/>
      <w:r w:rsidRPr="00F40C30">
        <w:rPr>
          <w:rFonts w:asciiTheme="minorBidi" w:hAnsiTheme="minorBidi"/>
          <w:sz w:val="24"/>
          <w:szCs w:val="24"/>
        </w:rPr>
        <w:t>tumor</w:t>
      </w:r>
      <w:proofErr w:type="spellEnd"/>
      <w:r w:rsidRPr="00F40C30">
        <w:rPr>
          <w:rFonts w:asciiTheme="minorBidi" w:hAnsiTheme="minorBidi"/>
          <w:sz w:val="24"/>
          <w:szCs w:val="24"/>
        </w:rPr>
        <w:t xml:space="preserve"> primary sit</w:t>
      </w:r>
      <w:r>
        <w:rPr>
          <w:rFonts w:asciiTheme="minorBidi" w:hAnsiTheme="minorBidi"/>
          <w:sz w:val="24"/>
          <w:szCs w:val="24"/>
        </w:rPr>
        <w:t>e, predominant urothelial carci</w:t>
      </w:r>
      <w:r w:rsidRPr="00F40C30">
        <w:rPr>
          <w:rFonts w:asciiTheme="minorBidi" w:hAnsiTheme="minorBidi"/>
          <w:sz w:val="24"/>
          <w:szCs w:val="24"/>
        </w:rPr>
        <w:t xml:space="preserve">noma histology, de novo metastatic urothelial carcinoma or relapse after local treatment for muscle-invasive </w:t>
      </w:r>
      <w:proofErr w:type="spellStart"/>
      <w:r w:rsidRPr="00F40C30">
        <w:rPr>
          <w:rFonts w:asciiTheme="minorBidi" w:hAnsiTheme="minorBidi"/>
          <w:sz w:val="24"/>
          <w:szCs w:val="24"/>
        </w:rPr>
        <w:t>tumor</w:t>
      </w:r>
      <w:proofErr w:type="spellEnd"/>
      <w:r w:rsidRPr="00F40C30">
        <w:rPr>
          <w:rFonts w:asciiTheme="minorBidi" w:hAnsiTheme="minorBidi"/>
          <w:sz w:val="24"/>
          <w:szCs w:val="24"/>
        </w:rPr>
        <w:t xml:space="preserve"> (defined by radical cystectomy or by radical radiotherapy or </w:t>
      </w:r>
      <w:proofErr w:type="spellStart"/>
      <w:r w:rsidRPr="00F40C30">
        <w:rPr>
          <w:rFonts w:asciiTheme="minorBidi" w:hAnsiTheme="minorBidi"/>
          <w:sz w:val="24"/>
          <w:szCs w:val="24"/>
        </w:rPr>
        <w:t>chemoradiation</w:t>
      </w:r>
      <w:proofErr w:type="spellEnd"/>
      <w:r w:rsidRPr="00F40C30">
        <w:rPr>
          <w:rFonts w:asciiTheme="minorBidi" w:hAnsiTheme="minorBidi"/>
          <w:sz w:val="24"/>
          <w:szCs w:val="24"/>
        </w:rPr>
        <w:t>), presence of radiologically-identified pelvic and/or retroperitoneal lymph node metastases only (visceral metastases were excluded, as well as more distant lymph nodal sites), and administr</w:t>
      </w:r>
      <w:r>
        <w:rPr>
          <w:rFonts w:asciiTheme="minorBidi" w:hAnsiTheme="minorBidi"/>
          <w:sz w:val="24"/>
          <w:szCs w:val="24"/>
        </w:rPr>
        <w:t xml:space="preserve">ation of cisplatin- or carboplatin </w:t>
      </w:r>
      <w:r w:rsidRPr="00F40C30">
        <w:rPr>
          <w:rFonts w:asciiTheme="minorBidi" w:hAnsiTheme="minorBidi"/>
          <w:sz w:val="24"/>
          <w:szCs w:val="24"/>
        </w:rPr>
        <w:t>containing chemotherapy in the first-line, metastatic setting.</w:t>
      </w:r>
    </w:p>
    <w:p w:rsidR="00F40C30" w:rsidRPr="00F40C30" w:rsidRDefault="00F40C30" w:rsidP="00F40C30">
      <w:pPr>
        <w:spacing w:after="0" w:line="480" w:lineRule="auto"/>
        <w:contextualSpacing/>
        <w:rPr>
          <w:rFonts w:asciiTheme="minorBidi" w:hAnsiTheme="minorBidi"/>
          <w:sz w:val="24"/>
          <w:szCs w:val="24"/>
        </w:rPr>
      </w:pP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2.2. Statistical methods</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Main series characteristics were summa</w:t>
      </w:r>
      <w:r>
        <w:rPr>
          <w:rFonts w:asciiTheme="minorBidi" w:hAnsiTheme="minorBidi"/>
          <w:sz w:val="24"/>
          <w:szCs w:val="24"/>
        </w:rPr>
        <w:t>rized using conventional statis</w:t>
      </w:r>
      <w:r w:rsidRPr="00F40C30">
        <w:rPr>
          <w:rFonts w:asciiTheme="minorBidi" w:hAnsiTheme="minorBidi"/>
          <w:sz w:val="24"/>
          <w:szCs w:val="24"/>
        </w:rPr>
        <w:t>tics, like median and range for continuous variables, and absolute or relative frequencies for categorical data. We used the standardized differences (SD) approach to compare covariates between patients who received PC-LND (</w:t>
      </w:r>
      <w:proofErr w:type="spellStart"/>
      <w:r w:rsidRPr="00F40C30">
        <w:rPr>
          <w:rFonts w:asciiTheme="minorBidi" w:hAnsiTheme="minorBidi"/>
          <w:sz w:val="24"/>
          <w:szCs w:val="24"/>
        </w:rPr>
        <w:t>ie</w:t>
      </w:r>
      <w:proofErr w:type="spellEnd"/>
      <w:r w:rsidRPr="00F40C30">
        <w:rPr>
          <w:rFonts w:asciiTheme="minorBidi" w:hAnsiTheme="minorBidi"/>
          <w:sz w:val="24"/>
          <w:szCs w:val="24"/>
        </w:rPr>
        <w:t xml:space="preserve">, treated cohort) versus those who did not [16]. The main endpoint of this study was overall survival (OS). The survival time of each patient was computed as the interval between the date of </w:t>
      </w:r>
      <w:r w:rsidRPr="00F40C30">
        <w:rPr>
          <w:rFonts w:asciiTheme="minorBidi" w:hAnsiTheme="minorBidi"/>
          <w:sz w:val="24"/>
          <w:szCs w:val="24"/>
        </w:rPr>
        <w:lastRenderedPageBreak/>
        <w:t xml:space="preserve">chemotherapy initiation and the date of death for any reason, with censoring at the date of last follow-up in </w:t>
      </w:r>
      <w:proofErr w:type="gramStart"/>
      <w:r w:rsidRPr="00F40C30">
        <w:rPr>
          <w:rFonts w:asciiTheme="minorBidi" w:hAnsiTheme="minorBidi"/>
          <w:sz w:val="24"/>
          <w:szCs w:val="24"/>
        </w:rPr>
        <w:t>alive</w:t>
      </w:r>
      <w:proofErr w:type="gramEnd"/>
      <w:r w:rsidRPr="00F40C30">
        <w:rPr>
          <w:rFonts w:asciiTheme="minorBidi" w:hAnsiTheme="minorBidi"/>
          <w:sz w:val="24"/>
          <w:szCs w:val="24"/>
        </w:rPr>
        <w:t xml:space="preserve"> patients. The association between OS and treatment group was investigated with the use of Cox regression models using several propensity score (PS) techniques, and summarized with hazard ratios (HRs) and 95% confidence intervals (CIs). Since the available data did not originate from a randomized clinical trial, the PS was adopted to control for </w:t>
      </w:r>
      <w:proofErr w:type="spellStart"/>
      <w:r w:rsidRPr="00F40C30">
        <w:rPr>
          <w:rFonts w:asciiTheme="minorBidi" w:hAnsiTheme="minorBidi"/>
          <w:sz w:val="24"/>
          <w:szCs w:val="24"/>
        </w:rPr>
        <w:t>pretreatment</w:t>
      </w:r>
      <w:proofErr w:type="spellEnd"/>
      <w:r w:rsidRPr="00F40C30">
        <w:rPr>
          <w:rFonts w:asciiTheme="minorBidi" w:hAnsiTheme="minorBidi"/>
          <w:sz w:val="24"/>
          <w:szCs w:val="24"/>
        </w:rPr>
        <w:t xml:space="preserve"> imbalances on observed covariates and in order to establish the marginal causal effects of intervention. PS building relied on the inclusion of all available covariates into a generalized boosted model (GBM) [17]. This machine learning method has been shown to ou</w:t>
      </w:r>
      <w:r>
        <w:rPr>
          <w:rFonts w:asciiTheme="minorBidi" w:hAnsiTheme="minorBidi"/>
          <w:sz w:val="24"/>
          <w:szCs w:val="24"/>
        </w:rPr>
        <w:t>tperform simple logistic regres</w:t>
      </w:r>
      <w:r w:rsidRPr="00F40C30">
        <w:rPr>
          <w:rFonts w:asciiTheme="minorBidi" w:hAnsiTheme="minorBidi"/>
          <w:sz w:val="24"/>
          <w:szCs w:val="24"/>
        </w:rPr>
        <w:t xml:space="preserve">sion in the context of case-mix adjustment. The PS techniques adopted to </w:t>
      </w:r>
      <w:proofErr w:type="spellStart"/>
      <w:r w:rsidRPr="00F40C30">
        <w:rPr>
          <w:rFonts w:asciiTheme="minorBidi" w:hAnsiTheme="minorBidi"/>
          <w:sz w:val="24"/>
          <w:szCs w:val="24"/>
        </w:rPr>
        <w:t>analyze</w:t>
      </w:r>
      <w:proofErr w:type="spellEnd"/>
      <w:r w:rsidRPr="00F40C30">
        <w:rPr>
          <w:rFonts w:asciiTheme="minorBidi" w:hAnsiTheme="minorBidi"/>
          <w:sz w:val="24"/>
          <w:szCs w:val="24"/>
        </w:rPr>
        <w:t xml:space="preserve"> OS included 1:1 PS matching and inverse p</w:t>
      </w:r>
      <w:r>
        <w:rPr>
          <w:rFonts w:asciiTheme="minorBidi" w:hAnsiTheme="minorBidi"/>
          <w:sz w:val="24"/>
          <w:szCs w:val="24"/>
        </w:rPr>
        <w:t>robability of treat</w:t>
      </w:r>
      <w:r w:rsidRPr="00F40C30">
        <w:rPr>
          <w:rFonts w:asciiTheme="minorBidi" w:hAnsiTheme="minorBidi"/>
          <w:sz w:val="24"/>
          <w:szCs w:val="24"/>
        </w:rPr>
        <w:t xml:space="preserve">ment weighting (IPTW). Regarding the first approach, we created a matched sample by matching treated and untreated patients on the logit of the PS using </w:t>
      </w:r>
      <w:proofErr w:type="spellStart"/>
      <w:r w:rsidRPr="00F40C30">
        <w:rPr>
          <w:rFonts w:asciiTheme="minorBidi" w:hAnsiTheme="minorBidi"/>
          <w:sz w:val="24"/>
          <w:szCs w:val="24"/>
        </w:rPr>
        <w:t>calipers</w:t>
      </w:r>
      <w:proofErr w:type="spellEnd"/>
      <w:r w:rsidRPr="00F40C30">
        <w:rPr>
          <w:rFonts w:asciiTheme="minorBidi" w:hAnsiTheme="minorBidi"/>
          <w:sz w:val="24"/>
          <w:szCs w:val="24"/>
        </w:rPr>
        <w:t xml:space="preserve"> of width equal to 0.2 of the standard deviation of the logit of the PS. A greedy, nearest-</w:t>
      </w:r>
      <w:proofErr w:type="spellStart"/>
      <w:r w:rsidRPr="00F40C30">
        <w:rPr>
          <w:rFonts w:asciiTheme="minorBidi" w:hAnsiTheme="minorBidi"/>
          <w:sz w:val="24"/>
          <w:szCs w:val="24"/>
        </w:rPr>
        <w:t>neighbor</w:t>
      </w:r>
      <w:proofErr w:type="spellEnd"/>
      <w:r w:rsidRPr="00F40C30">
        <w:rPr>
          <w:rFonts w:asciiTheme="minorBidi" w:hAnsiTheme="minorBidi"/>
          <w:sz w:val="24"/>
          <w:szCs w:val="24"/>
        </w:rPr>
        <w:t xml:space="preserve"> matching algorithm was employed to form pairs of treated and untreated patients. This sample was then </w:t>
      </w:r>
      <w:proofErr w:type="spellStart"/>
      <w:r w:rsidRPr="00F40C30">
        <w:rPr>
          <w:rFonts w:asciiTheme="minorBidi" w:hAnsiTheme="minorBidi"/>
          <w:sz w:val="24"/>
          <w:szCs w:val="24"/>
        </w:rPr>
        <w:t>analyzed</w:t>
      </w:r>
      <w:proofErr w:type="spellEnd"/>
      <w:r w:rsidRPr="00F40C30">
        <w:rPr>
          <w:rFonts w:asciiTheme="minorBidi" w:hAnsiTheme="minorBidi"/>
          <w:sz w:val="24"/>
          <w:szCs w:val="24"/>
        </w:rPr>
        <w:t xml:space="preserve"> with a Cox model including treatment as the only covariate. The second approach also consisted in fitting a Cox model including treatment as covariate; a weight derived from the PS was also applied to each observation in order to produce an “average treatment effect among the treated” estimate [18]. This choice was preferred over the “average treatment effect” option for two reasons: to allow for the unavoidable selection of surgical patients and for coherence with PS matching (intrinsically estimating average treat- </w:t>
      </w:r>
      <w:proofErr w:type="spellStart"/>
      <w:r w:rsidRPr="00F40C30">
        <w:rPr>
          <w:rFonts w:asciiTheme="minorBidi" w:hAnsiTheme="minorBidi"/>
          <w:sz w:val="24"/>
          <w:szCs w:val="24"/>
        </w:rPr>
        <w:t>ment</w:t>
      </w:r>
      <w:proofErr w:type="spellEnd"/>
      <w:r w:rsidRPr="00F40C30">
        <w:rPr>
          <w:rFonts w:asciiTheme="minorBidi" w:hAnsiTheme="minorBidi"/>
          <w:sz w:val="24"/>
          <w:szCs w:val="24"/>
        </w:rPr>
        <w:t xml:space="preserve"> effect among the treated). Since some covariate imbalance remained after weighting, the IPTW analysis was also performed with the inclusion of the covariates, that is, with “doubly robust” </w:t>
      </w:r>
      <w:r>
        <w:rPr>
          <w:rFonts w:asciiTheme="minorBidi" w:hAnsiTheme="minorBidi"/>
          <w:sz w:val="24"/>
          <w:szCs w:val="24"/>
        </w:rPr>
        <w:t>estima</w:t>
      </w:r>
      <w:r w:rsidRPr="00F40C30">
        <w:rPr>
          <w:rFonts w:asciiTheme="minorBidi" w:hAnsiTheme="minorBidi"/>
          <w:sz w:val="24"/>
          <w:szCs w:val="24"/>
        </w:rPr>
        <w:t xml:space="preserve">tion. Given the presence of missing data for some </w:t>
      </w:r>
      <w:r w:rsidRPr="00F40C30">
        <w:rPr>
          <w:rFonts w:asciiTheme="minorBidi" w:hAnsiTheme="minorBidi"/>
          <w:sz w:val="24"/>
          <w:szCs w:val="24"/>
        </w:rPr>
        <w:lastRenderedPageBreak/>
        <w:t xml:space="preserve">covariates, we resorted to 10-fold multiple imputations and used the Rubin rules for obtaining the doubly robust estimates of Cox regression coefficients. In particular, complete records were available in 62.1% of the overall series, and the proportion of missing data varied between 0.6% (for age) and 23.9% (for objective response to chemotherapy), with a median value of 8.8%. Other analyses were carried out as complementary, like estimation of adjusted survival curves, as described by </w:t>
      </w:r>
      <w:proofErr w:type="spellStart"/>
      <w:r w:rsidRPr="00F40C30">
        <w:rPr>
          <w:rFonts w:asciiTheme="minorBidi" w:hAnsiTheme="minorBidi"/>
          <w:sz w:val="24"/>
          <w:szCs w:val="24"/>
        </w:rPr>
        <w:t>Colea</w:t>
      </w:r>
      <w:proofErr w:type="spellEnd"/>
      <w:r w:rsidRPr="00F40C30">
        <w:rPr>
          <w:rFonts w:asciiTheme="minorBidi" w:hAnsiTheme="minorBidi"/>
          <w:sz w:val="24"/>
          <w:szCs w:val="24"/>
        </w:rPr>
        <w:t xml:space="preserve"> and Hernan [19]</w:t>
      </w:r>
      <w:r>
        <w:rPr>
          <w:rFonts w:asciiTheme="minorBidi" w:hAnsiTheme="minorBidi"/>
          <w:sz w:val="24"/>
          <w:szCs w:val="24"/>
        </w:rPr>
        <w:t>, and 3</w:t>
      </w:r>
      <w:r w:rsidRPr="00F40C30">
        <w:rPr>
          <w:rFonts w:asciiTheme="minorBidi" w:hAnsiTheme="minorBidi"/>
          <w:sz w:val="24"/>
          <w:szCs w:val="24"/>
        </w:rPr>
        <w:t xml:space="preserve">mo conditional landmark analysis, in order to assess the impact of immortal bias. Furthermore, interaction tests were used to assess the heterogeneity of treatment effect across distinct patient subgroups and a forest plot was drawn thereof. Such an analysis was exploratory, but major interest was a priori focused on extent of lymph node involvement. Statistical analyses were performed using SAS version 9.2, the R version 3.3.1 (R Foundation for Statistical Computing, Vienna, Austria) and the following R packages, all accessible at http://cran.r-project.org/web/ packages/: twang for PS building, </w:t>
      </w:r>
      <w:proofErr w:type="spellStart"/>
      <w:r w:rsidRPr="00F40C30">
        <w:rPr>
          <w:rFonts w:asciiTheme="minorBidi" w:hAnsiTheme="minorBidi"/>
          <w:sz w:val="24"/>
          <w:szCs w:val="24"/>
        </w:rPr>
        <w:t>nonrandom</w:t>
      </w:r>
      <w:proofErr w:type="spellEnd"/>
      <w:r w:rsidRPr="00F40C30">
        <w:rPr>
          <w:rFonts w:asciiTheme="minorBidi" w:hAnsiTheme="minorBidi"/>
          <w:sz w:val="24"/>
          <w:szCs w:val="24"/>
        </w:rPr>
        <w:t xml:space="preserve"> for matching, mice for multiple imputation. All tests were two-sided and p values &lt;0.05 were considered statistically significant.</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br w:type="page"/>
      </w: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lastRenderedPageBreak/>
        <w:t>3. Results</w:t>
      </w:r>
    </w:p>
    <w:p w:rsidR="00F40C30" w:rsidRPr="00F40C30" w:rsidRDefault="00F40C30" w:rsidP="00F40C30">
      <w:pPr>
        <w:spacing w:after="0" w:line="480" w:lineRule="auto"/>
        <w:contextualSpacing/>
        <w:rPr>
          <w:rFonts w:asciiTheme="minorBidi" w:hAnsiTheme="minorBidi"/>
          <w:sz w:val="24"/>
          <w:szCs w:val="24"/>
        </w:rPr>
      </w:pP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3.1. Characteristics of the study groups</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The study flow chart is presented in Fig.1. Of 3266 registered cases, 522 patients, from 34 contributing </w:t>
      </w:r>
      <w:proofErr w:type="spellStart"/>
      <w:r w:rsidRPr="00F40C30">
        <w:rPr>
          <w:rFonts w:asciiTheme="minorBidi" w:hAnsiTheme="minorBidi"/>
          <w:sz w:val="24"/>
          <w:szCs w:val="24"/>
        </w:rPr>
        <w:t>centers</w:t>
      </w:r>
      <w:proofErr w:type="spellEnd"/>
      <w:r w:rsidRPr="00F40C30">
        <w:rPr>
          <w:rFonts w:asciiTheme="minorBidi" w:hAnsiTheme="minorBidi"/>
          <w:sz w:val="24"/>
          <w:szCs w:val="24"/>
        </w:rPr>
        <w:t xml:space="preserve">, treated between January 2000 and June 2015, were suitable for analyses. Of these, 242 (46.4%) patients received PC-LND and 280 (53.6%) did not. Cystectomy was performed in all patients who were included in the PC-LND group. PC-LND consisted of pelvic LND in 193 (79.8%) and retroperitoneal LND in 40 (16.5%) patients (9 patients received LND and were included in the analyses, but the extent is unknown). The median follow-up was 32.6 </w:t>
      </w:r>
      <w:proofErr w:type="spellStart"/>
      <w:r w:rsidRPr="00F40C30">
        <w:rPr>
          <w:rFonts w:asciiTheme="minorBidi" w:hAnsiTheme="minorBidi"/>
          <w:sz w:val="24"/>
          <w:szCs w:val="24"/>
        </w:rPr>
        <w:t>mo</w:t>
      </w:r>
      <w:proofErr w:type="spellEnd"/>
      <w:r w:rsidRPr="00F40C30">
        <w:rPr>
          <w:rFonts w:asciiTheme="minorBidi" w:hAnsiTheme="minorBidi"/>
          <w:sz w:val="24"/>
          <w:szCs w:val="24"/>
        </w:rPr>
        <w:t xml:space="preserve"> (interquartile range: 17.2–55.9 </w:t>
      </w:r>
      <w:proofErr w:type="spellStart"/>
      <w:r w:rsidRPr="00F40C30">
        <w:rPr>
          <w:rFonts w:asciiTheme="minorBidi" w:hAnsiTheme="minorBidi"/>
          <w:sz w:val="24"/>
          <w:szCs w:val="24"/>
        </w:rPr>
        <w:t>mo</w:t>
      </w:r>
      <w:proofErr w:type="spellEnd"/>
      <w:r w:rsidRPr="00F40C30">
        <w:rPr>
          <w:rFonts w:asciiTheme="minorBidi" w:hAnsiTheme="minorBidi"/>
          <w:sz w:val="24"/>
          <w:szCs w:val="24"/>
        </w:rPr>
        <w:t xml:space="preserve">) and the median number of cycles was the same between operated and </w:t>
      </w:r>
      <w:proofErr w:type="spellStart"/>
      <w:r w:rsidRPr="00F40C30">
        <w:rPr>
          <w:rFonts w:asciiTheme="minorBidi" w:hAnsiTheme="minorBidi"/>
          <w:sz w:val="24"/>
          <w:szCs w:val="24"/>
        </w:rPr>
        <w:t>nonoperated</w:t>
      </w:r>
      <w:proofErr w:type="spellEnd"/>
      <w:r w:rsidRPr="00F40C30">
        <w:rPr>
          <w:rFonts w:asciiTheme="minorBidi" w:hAnsiTheme="minorBidi"/>
          <w:sz w:val="24"/>
          <w:szCs w:val="24"/>
        </w:rPr>
        <w:t xml:space="preserve"> patients (n = 4, interquartile range: 4–4). Two hundred and eighty deaths were recorded, of which 116 and 164 occurred among treated and untreated patients, respectively. Table 1 shows the distribution of main patient and disease characteristics together with SD. For this statistic, a value &gt;50% is generally considered an index of severe imbalance, while values &lt;20% (or a more restrictive 10%) are reassuring. It is possible to observe that the 50% threshold was frequently exceeded, delineating the main differences between the groups in the clinical practice. The majority of the few patients who started chemotherapy due to a relapse after local treatment did not receive </w:t>
      </w:r>
      <w:proofErr w:type="spellStart"/>
      <w:r w:rsidRPr="00F40C30">
        <w:rPr>
          <w:rFonts w:asciiTheme="minorBidi" w:hAnsiTheme="minorBidi"/>
          <w:sz w:val="24"/>
          <w:szCs w:val="24"/>
        </w:rPr>
        <w:t>postchemotherapy</w:t>
      </w:r>
      <w:proofErr w:type="spellEnd"/>
      <w:r w:rsidRPr="00F40C30">
        <w:rPr>
          <w:rFonts w:asciiTheme="minorBidi" w:hAnsiTheme="minorBidi"/>
          <w:sz w:val="24"/>
          <w:szCs w:val="24"/>
        </w:rPr>
        <w:t xml:space="preserve"> surgery subsequently (SD = 187.58%). Poor response to chemotherapy (SD = 95.95%) as well as poor performance status at the end of chemotherapy (SD = 26.51%) were other important drivers for treatment selection, as it was expected. Finally, there were 177 (33.9%) patients with retroperitoneal metastases, while 345 (66.1%) patients had pelvic lymph nodes only, delineating significant difference in the distribution between the </w:t>
      </w:r>
      <w:r w:rsidRPr="00F40C30">
        <w:rPr>
          <w:rFonts w:asciiTheme="minorBidi" w:hAnsiTheme="minorBidi"/>
          <w:sz w:val="24"/>
          <w:szCs w:val="24"/>
        </w:rPr>
        <w:lastRenderedPageBreak/>
        <w:t xml:space="preserve">two groups (SD = 37.36%). The GBM model used to build the propensity score yielded as a by-product relative influence measures that may be regarded as a multivariate summary of the degree of imbalance in each covariate between the two cohorts (Supplementary Fig. S1). </w:t>
      </w:r>
      <w:proofErr w:type="gramStart"/>
      <w:r w:rsidRPr="00F40C30">
        <w:rPr>
          <w:rFonts w:asciiTheme="minorBidi" w:hAnsiTheme="minorBidi"/>
          <w:sz w:val="24"/>
          <w:szCs w:val="24"/>
        </w:rPr>
        <w:t>In addition, Supplementary Fig.</w:t>
      </w:r>
      <w:proofErr w:type="gramEnd"/>
      <w:r w:rsidRPr="00F40C30">
        <w:rPr>
          <w:rFonts w:asciiTheme="minorBidi" w:hAnsiTheme="minorBidi"/>
          <w:sz w:val="24"/>
          <w:szCs w:val="24"/>
        </w:rPr>
        <w:t xml:space="preserve"> S2) shows the flow of patients’ treatments.</w:t>
      </w:r>
    </w:p>
    <w:p w:rsidR="00F40C30" w:rsidRPr="00F40C30" w:rsidRDefault="00F40C30" w:rsidP="00F40C30">
      <w:pPr>
        <w:spacing w:after="0" w:line="480" w:lineRule="auto"/>
        <w:contextualSpacing/>
        <w:rPr>
          <w:rFonts w:asciiTheme="minorBidi" w:hAnsiTheme="minorBidi"/>
          <w:sz w:val="24"/>
          <w:szCs w:val="24"/>
        </w:rPr>
      </w:pP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3.2. Results of the PS-matched Cox models</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Cox model results are shown in Table 2. The crude comparison between treated and untreated patients yielded a highly significant result (p &lt; 0.0001) and an estimated HR (HR = 0.60, 95% CI: 0.47–0.76) denoting an unrealistic 40% relative hazard reduction. Paired 1:1 matching was clearly effective in controlling covariate imbalance. As shown in Table 1, SD obtained for the matched sample </w:t>
      </w:r>
      <w:proofErr w:type="gramStart"/>
      <w:r w:rsidRPr="00F40C30">
        <w:rPr>
          <w:rFonts w:asciiTheme="minorBidi" w:hAnsiTheme="minorBidi"/>
          <w:sz w:val="24"/>
          <w:szCs w:val="24"/>
        </w:rPr>
        <w:t>were</w:t>
      </w:r>
      <w:proofErr w:type="gramEnd"/>
      <w:r w:rsidRPr="00F40C30">
        <w:rPr>
          <w:rFonts w:asciiTheme="minorBidi" w:hAnsiTheme="minorBidi"/>
          <w:sz w:val="24"/>
          <w:szCs w:val="24"/>
        </w:rPr>
        <w:t xml:space="preserve"> generally shrunk below 20%. A drawback, however, was the exclusion of many observations from the analysis, as far as only 84 treated patients and as many untreated patients could be matched. The treatment effect estimated with the Cox model in the matched sample was much less strong (HR = 0.91, 95% CI: 0.60-1.36) and no longer statistically significant (p = 0.628).</w:t>
      </w:r>
    </w:p>
    <w:p w:rsidR="00F40C30" w:rsidRPr="00F40C30" w:rsidRDefault="00F40C30" w:rsidP="00F40C30">
      <w:pPr>
        <w:spacing w:after="0" w:line="480" w:lineRule="auto"/>
        <w:contextualSpacing/>
        <w:rPr>
          <w:rFonts w:asciiTheme="minorBidi" w:hAnsiTheme="minorBidi"/>
          <w:sz w:val="24"/>
          <w:szCs w:val="24"/>
        </w:rPr>
      </w:pP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3.3. Results of the PS-weighted</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Cox models Using the IPTW approach, the estimated treatment effect (HR = 0.78, 95% CI: 0.52–1.16, p = 0.216) was toned down compared with the raw estimate of the unadjusted model, but not so much as in paired matching. At the same time, compared with the latter, the IPTW approach was slightly less effective in controlling baseline imbalance, as revealed by Table 1 and the plot of SD (Supplementary Fig. </w:t>
      </w:r>
      <w:proofErr w:type="gramStart"/>
      <w:r w:rsidRPr="00F40C30">
        <w:rPr>
          <w:rFonts w:asciiTheme="minorBidi" w:hAnsiTheme="minorBidi"/>
          <w:sz w:val="24"/>
          <w:szCs w:val="24"/>
        </w:rPr>
        <w:t xml:space="preserve">S3), with the figures many times in the range between 20% and 50% rather than </w:t>
      </w:r>
      <w:r w:rsidRPr="00F40C30">
        <w:rPr>
          <w:rFonts w:asciiTheme="minorBidi" w:hAnsiTheme="minorBidi"/>
          <w:sz w:val="24"/>
          <w:szCs w:val="24"/>
        </w:rPr>
        <w:lastRenderedPageBreak/>
        <w:t>below the more satisfactory 20%.</w:t>
      </w:r>
      <w:proofErr w:type="gramEnd"/>
      <w:r w:rsidRPr="00F40C30">
        <w:rPr>
          <w:rFonts w:asciiTheme="minorBidi" w:hAnsiTheme="minorBidi"/>
          <w:sz w:val="24"/>
          <w:szCs w:val="24"/>
        </w:rPr>
        <w:t xml:space="preserve"> For this reason, we also performed “doubly robust” estimation, with which we achieved a further slight correction in the estimated treatment effect (HR = 0.86, 95% CI: 0.56–1.31, p = 0.479). The 3-mo landmark analysis demonstrated little impact of immortal time bias of treatment effect (HR: 0.89, 95% CI: 0.58–1.36, p = 0.592). None of the covariates was statistically significant, but low p values were obtained for lymph node extent (p = 0.083) and for response to chemotherapy (p = 0.080). Namely, increased hazard of death was observed for patients with retroperitoneal metastases compared to those with pelvic involvement (HR = 1.47, 95% CI: 0.95–2.26), while a trend toward increased mortality was observed over the distinct response categories from complete response to disease progression.</w:t>
      </w:r>
    </w:p>
    <w:p w:rsidR="00F40C30" w:rsidRPr="00F40C30" w:rsidRDefault="00F40C30" w:rsidP="00F40C30">
      <w:pPr>
        <w:spacing w:after="0" w:line="480" w:lineRule="auto"/>
        <w:contextualSpacing/>
        <w:rPr>
          <w:rFonts w:asciiTheme="minorBidi" w:hAnsiTheme="minorBidi"/>
          <w:sz w:val="24"/>
          <w:szCs w:val="24"/>
        </w:rPr>
      </w:pP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3.4. Additional analyses</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Forest plots of the treatment effect across the subgroups are shown in Supplementary Fig. S4). As for the interaction between surgical treatment and extent of lymph node invol</w:t>
      </w:r>
      <w:r>
        <w:rPr>
          <w:rFonts w:asciiTheme="minorBidi" w:hAnsiTheme="minorBidi"/>
          <w:sz w:val="24"/>
          <w:szCs w:val="24"/>
        </w:rPr>
        <w:t>vement, stratum-specific esti</w:t>
      </w:r>
      <w:r w:rsidRPr="00F40C30">
        <w:rPr>
          <w:rFonts w:asciiTheme="minorBidi" w:hAnsiTheme="minorBidi"/>
          <w:sz w:val="24"/>
          <w:szCs w:val="24"/>
        </w:rPr>
        <w:t xml:space="preserve">mates of treatment effect were HR = 0.75 (95% CI: 0.52– 1.08) for the pelvic group and HR = 1.12 (95% CI: 0.68–1.84) for the pelvic + retroperitoneal group, respectively. </w:t>
      </w:r>
      <w:proofErr w:type="gramStart"/>
      <w:r w:rsidRPr="00F40C30">
        <w:rPr>
          <w:rFonts w:asciiTheme="minorBidi" w:hAnsiTheme="minorBidi"/>
          <w:sz w:val="24"/>
          <w:szCs w:val="24"/>
        </w:rPr>
        <w:t xml:space="preserve">The </w:t>
      </w:r>
      <w:proofErr w:type="spellStart"/>
      <w:r w:rsidRPr="00F40C30">
        <w:rPr>
          <w:rFonts w:asciiTheme="minorBidi" w:hAnsiTheme="minorBidi"/>
          <w:sz w:val="24"/>
          <w:szCs w:val="24"/>
        </w:rPr>
        <w:t>cor</w:t>
      </w:r>
      <w:proofErr w:type="spellEnd"/>
      <w:proofErr w:type="gramEnd"/>
      <w:r w:rsidRPr="00F40C30">
        <w:rPr>
          <w:rFonts w:asciiTheme="minorBidi" w:hAnsiTheme="minorBidi"/>
          <w:sz w:val="24"/>
          <w:szCs w:val="24"/>
        </w:rPr>
        <w:t>- responding interaction test failed to reach statistical significance (</w:t>
      </w:r>
      <w:proofErr w:type="spellStart"/>
      <w:r w:rsidRPr="00F40C30">
        <w:rPr>
          <w:rFonts w:asciiTheme="minorBidi" w:hAnsiTheme="minorBidi"/>
          <w:sz w:val="24"/>
          <w:szCs w:val="24"/>
        </w:rPr>
        <w:t>Pinteraction</w:t>
      </w:r>
      <w:proofErr w:type="spellEnd"/>
      <w:r w:rsidRPr="00F40C30">
        <w:rPr>
          <w:rFonts w:asciiTheme="minorBidi" w:hAnsiTheme="minorBidi"/>
          <w:sz w:val="24"/>
          <w:szCs w:val="24"/>
        </w:rPr>
        <w:t xml:space="preserve"> = 0.182). Interaction tests, however, notoriously suffer from low power. Confirmation of this finding was sought also considering the matched set, and the results we obtained thereof were HR = 0.71 (95% CI: 0.42– 1.20) for the pelvic group and HR = 1.37 (95% CI: 0.71–2.66) for the pelvic + retroperitoneal</w:t>
      </w:r>
      <w:r>
        <w:rPr>
          <w:rFonts w:asciiTheme="minorBidi" w:hAnsiTheme="minorBidi"/>
          <w:sz w:val="24"/>
          <w:szCs w:val="24"/>
        </w:rPr>
        <w:t xml:space="preserve"> group, respectively. Interest</w:t>
      </w:r>
      <w:r w:rsidRPr="00F40C30">
        <w:rPr>
          <w:rFonts w:asciiTheme="minorBidi" w:hAnsiTheme="minorBidi"/>
          <w:sz w:val="24"/>
          <w:szCs w:val="24"/>
        </w:rPr>
        <w:t xml:space="preserve">ingly, PC-LND seemed to be beneficial for patients who had failed prior local treatment. Finally, PS-adjusted OS curves according to the treatment group and site of lymph node metastases are </w:t>
      </w:r>
      <w:r w:rsidRPr="00F40C30">
        <w:rPr>
          <w:rFonts w:asciiTheme="minorBidi" w:hAnsiTheme="minorBidi"/>
          <w:sz w:val="24"/>
          <w:szCs w:val="24"/>
        </w:rPr>
        <w:lastRenderedPageBreak/>
        <w:t>shown in Fig. 2, either with (Fig. 2A) or without (Fig. 2B) landmark analysis. The treatment effect was confined in the pelvic group of patients, coherently with Cox model results. In this case, 36mo OS for operated patient</w:t>
      </w:r>
      <w:r>
        <w:rPr>
          <w:rFonts w:asciiTheme="minorBidi" w:hAnsiTheme="minorBidi"/>
          <w:sz w:val="24"/>
          <w:szCs w:val="24"/>
        </w:rPr>
        <w:t>s was 51.7% versus 41.1%, corre</w:t>
      </w:r>
      <w:r w:rsidRPr="00F40C30">
        <w:rPr>
          <w:rFonts w:asciiTheme="minorBidi" w:hAnsiTheme="minorBidi"/>
          <w:sz w:val="24"/>
          <w:szCs w:val="24"/>
        </w:rPr>
        <w:t>sponding to a survival benefit of 10.6%. PS-adjusted OS curves according to the treatment group and the clinical history of prior local treatment for muscle-invasive disease are provided in Supplementary Fig. S5).</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br w:type="page"/>
      </w: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lastRenderedPageBreak/>
        <w:t>4. Discussion</w:t>
      </w:r>
    </w:p>
    <w:p w:rsidR="00F40C30" w:rsidRPr="00F40C30" w:rsidRDefault="00F40C30" w:rsidP="00F40C30">
      <w:pPr>
        <w:spacing w:after="0" w:line="480" w:lineRule="auto"/>
        <w:contextualSpacing/>
        <w:rPr>
          <w:rFonts w:asciiTheme="minorBidi" w:hAnsiTheme="minorBidi"/>
          <w:sz w:val="24"/>
          <w:szCs w:val="24"/>
        </w:rPr>
      </w:pP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This retrospective study provides one of the largest comparative data analyses, at the individual patient-level, on the role of surgical clearance of residual disease after chemotherapy for advanced UBC. The optimal management of patients with clinically-evident lymph node involvement from UBC is still debated. Indeed, elucidating the role of surgical clearance of residual disease (</w:t>
      </w:r>
      <w:proofErr w:type="spellStart"/>
      <w:r w:rsidRPr="00F40C30">
        <w:rPr>
          <w:rFonts w:asciiTheme="minorBidi" w:hAnsiTheme="minorBidi"/>
          <w:sz w:val="24"/>
          <w:szCs w:val="24"/>
        </w:rPr>
        <w:t>ie</w:t>
      </w:r>
      <w:proofErr w:type="spellEnd"/>
      <w:r w:rsidRPr="00F40C30">
        <w:rPr>
          <w:rFonts w:asciiTheme="minorBidi" w:hAnsiTheme="minorBidi"/>
          <w:sz w:val="24"/>
          <w:szCs w:val="24"/>
        </w:rPr>
        <w:t xml:space="preserve">, radical cystectomy with pelvic lymph node dissection) after chemotherapy is of noteworthy importance, as such patients are usually recommended to receive upfront chemotherapy instead of surgery. At present, one large population-based Netherlands Cancer Registry study, another analysis from the US National Cancer Database and one US–European </w:t>
      </w:r>
      <w:proofErr w:type="spellStart"/>
      <w:r w:rsidRPr="00F40C30">
        <w:rPr>
          <w:rFonts w:asciiTheme="minorBidi" w:hAnsiTheme="minorBidi"/>
          <w:sz w:val="24"/>
          <w:szCs w:val="24"/>
        </w:rPr>
        <w:t>multicenter</w:t>
      </w:r>
      <w:proofErr w:type="spellEnd"/>
      <w:r w:rsidRPr="00F40C30">
        <w:rPr>
          <w:rFonts w:asciiTheme="minorBidi" w:hAnsiTheme="minorBidi"/>
          <w:sz w:val="24"/>
          <w:szCs w:val="24"/>
        </w:rPr>
        <w:t xml:space="preserve"> study, added to a few smaller studies, attempted to </w:t>
      </w:r>
      <w:proofErr w:type="spellStart"/>
      <w:r w:rsidRPr="00F40C30">
        <w:rPr>
          <w:rFonts w:asciiTheme="minorBidi" w:hAnsiTheme="minorBidi"/>
          <w:sz w:val="24"/>
          <w:szCs w:val="24"/>
        </w:rPr>
        <w:t>analyze</w:t>
      </w:r>
      <w:proofErr w:type="spellEnd"/>
      <w:r w:rsidRPr="00F40C30">
        <w:rPr>
          <w:rFonts w:asciiTheme="minorBidi" w:hAnsiTheme="minorBidi"/>
          <w:sz w:val="24"/>
          <w:szCs w:val="24"/>
        </w:rPr>
        <w:t xml:space="preserve"> the net benefit from administering multimodal therapy in such patients [13–15]. As important differences from our study, the above studies focused on patients presenting with enlarged pelvic lymph nodes as the only metastatic site, and focused on de novo metastatic patients. According to their analyses, performing PC-LND was beneficial for OS, and a proportion of patients became long-term survivors. Conversely, very limited information is available regarding those patients who present with more extensive disease and received first-line chemotherapy followed by surgery. In particular, patients who presented with enlarged lymph nodes in the retroperitoneum, or those with lymph node-only relapse after prior surgery, radiation or </w:t>
      </w:r>
      <w:proofErr w:type="spellStart"/>
      <w:r w:rsidRPr="00F40C30">
        <w:rPr>
          <w:rFonts w:asciiTheme="minorBidi" w:hAnsiTheme="minorBidi"/>
          <w:sz w:val="24"/>
          <w:szCs w:val="24"/>
        </w:rPr>
        <w:t>chemoradiation</w:t>
      </w:r>
      <w:proofErr w:type="spellEnd"/>
      <w:r w:rsidRPr="00F40C30">
        <w:rPr>
          <w:rFonts w:asciiTheme="minorBidi" w:hAnsiTheme="minorBidi"/>
          <w:sz w:val="24"/>
          <w:szCs w:val="24"/>
        </w:rPr>
        <w:t xml:space="preserve"> for muscle-invasive UBC were included in our study, and comparative outcomes of surgery versus observation were provided for the first time to our knowledge. Additionally, data of patients who did not benefit from partial or complete response to chemotherapy, who were usually excluded from prior studies, </w:t>
      </w:r>
      <w:r w:rsidRPr="00F40C30">
        <w:rPr>
          <w:rFonts w:asciiTheme="minorBidi" w:hAnsiTheme="minorBidi"/>
          <w:sz w:val="24"/>
          <w:szCs w:val="24"/>
        </w:rPr>
        <w:lastRenderedPageBreak/>
        <w:t>were included in our analysis. Of note, PC-LND did not provide statistically significant OS improvement regardless of response to chemotherapy, although the bias of small numbers may be acknowledged in the CR subgroup. However, a numerical improvement in OS should be acknowledged in the cohort of pelvic lymph node-involved patients, and</w:t>
      </w:r>
      <w:r>
        <w:rPr>
          <w:rFonts w:asciiTheme="minorBidi" w:hAnsiTheme="minorBidi"/>
          <w:sz w:val="24"/>
          <w:szCs w:val="24"/>
        </w:rPr>
        <w:t xml:space="preserve"> it might be important in clini</w:t>
      </w:r>
      <w:r w:rsidRPr="00F40C30">
        <w:rPr>
          <w:rFonts w:asciiTheme="minorBidi" w:hAnsiTheme="minorBidi"/>
          <w:sz w:val="24"/>
          <w:szCs w:val="24"/>
        </w:rPr>
        <w:t xml:space="preserve">cal decision-making. Most noteworthy, performing PC-LND in patients with metastatic disease beyond the pelvic boundaries is not indicated. Of course, there are a few biases in interpreting the present findings. First, and most importantly, our study mirrors the real-world practice by showing that there is substantial difference in patient and disease characteristics between patients who are considered for multimodal approach and those who are not. The most relevant parameters are age, prior local therapy, and Eastern Cooperative Oncology Group performance status, as resulted from the GBM analysis. These confounders may be partly unaccounted for even with the use of advanced statistics, and explain why our study was negative. Secondly, as in the majority of retrospective studies aimed at </w:t>
      </w:r>
      <w:proofErr w:type="spellStart"/>
      <w:r w:rsidRPr="00F40C30">
        <w:rPr>
          <w:rFonts w:asciiTheme="minorBidi" w:hAnsiTheme="minorBidi"/>
          <w:sz w:val="24"/>
          <w:szCs w:val="24"/>
        </w:rPr>
        <w:t>analyzing</w:t>
      </w:r>
      <w:proofErr w:type="spellEnd"/>
      <w:r w:rsidRPr="00F40C30">
        <w:rPr>
          <w:rFonts w:asciiTheme="minorBidi" w:hAnsiTheme="minorBidi"/>
          <w:sz w:val="24"/>
          <w:szCs w:val="24"/>
        </w:rPr>
        <w:t xml:space="preserve"> real-world data, the assessment of clinical lymph node involvement may be difficult in some cases unless a biopsy for histological confirmation is performed. Unfortunately, we were unable to get this information in our database, as well as capturing the results of any additional staging procedure, such as </w:t>
      </w:r>
      <w:proofErr w:type="spellStart"/>
      <w:r w:rsidRPr="00F40C30">
        <w:rPr>
          <w:rFonts w:asciiTheme="minorBidi" w:hAnsiTheme="minorBidi"/>
          <w:sz w:val="24"/>
          <w:szCs w:val="24"/>
        </w:rPr>
        <w:t>fluorodeoxyglucose</w:t>
      </w:r>
      <w:proofErr w:type="spellEnd"/>
      <w:r w:rsidRPr="00F40C30">
        <w:rPr>
          <w:rFonts w:asciiTheme="minorBidi" w:hAnsiTheme="minorBidi"/>
          <w:sz w:val="24"/>
          <w:szCs w:val="24"/>
        </w:rPr>
        <w:t xml:space="preserve"> positron emission tomography scans. Third, as in our prior analysis from part of the same database [1], the response to the chemotherapy parameter relied on the investigators’ judgment rather than the result of a formal assessment applying standardized criteria. The heterogeneity of lymphadenectomy templates is another important, unrecognized bias. Some important </w:t>
      </w:r>
      <w:proofErr w:type="gramStart"/>
      <w:r w:rsidRPr="00F40C30">
        <w:rPr>
          <w:rFonts w:asciiTheme="minorBidi" w:hAnsiTheme="minorBidi"/>
          <w:sz w:val="24"/>
          <w:szCs w:val="24"/>
        </w:rPr>
        <w:t>strengths</w:t>
      </w:r>
      <w:proofErr w:type="gramEnd"/>
      <w:r w:rsidRPr="00F40C30">
        <w:rPr>
          <w:rFonts w:asciiTheme="minorBidi" w:hAnsiTheme="minorBidi"/>
          <w:sz w:val="24"/>
          <w:szCs w:val="24"/>
        </w:rPr>
        <w:t xml:space="preserve"> should be recognized in our study as well. Advanced statistical approaches were used to minimize the confounding effect of several covariates, so </w:t>
      </w:r>
      <w:r w:rsidRPr="00F40C30">
        <w:rPr>
          <w:rFonts w:asciiTheme="minorBidi" w:hAnsiTheme="minorBidi"/>
          <w:sz w:val="24"/>
          <w:szCs w:val="24"/>
        </w:rPr>
        <w:lastRenderedPageBreak/>
        <w:t xml:space="preserve">that we can compare present results with those from the available studies. The analyses mainly relied on the use of the PS. In particular, the IPTW approach gets rid of the above limitation by allowing analysis of the full sample, while case-mix adjustment is achieved with the use of suitable weights to individual observations. Doubly robust procedure was further applied, allowing us to obtain the </w:t>
      </w:r>
      <w:proofErr w:type="spellStart"/>
      <w:r w:rsidRPr="00F40C30">
        <w:rPr>
          <w:rFonts w:asciiTheme="minorBidi" w:hAnsiTheme="minorBidi"/>
          <w:sz w:val="24"/>
          <w:szCs w:val="24"/>
        </w:rPr>
        <w:t>prog-nostic</w:t>
      </w:r>
      <w:proofErr w:type="spellEnd"/>
      <w:r w:rsidRPr="00F40C30">
        <w:rPr>
          <w:rFonts w:asciiTheme="minorBidi" w:hAnsiTheme="minorBidi"/>
          <w:sz w:val="24"/>
          <w:szCs w:val="24"/>
        </w:rPr>
        <w:t xml:space="preserve"> role of multiple covariates added to the effect of PC-LND. Finally, to corroborate our findings, a matched-paired analysis was performed. Provided that even findings from the latter analysis should be taken with caution, considering that also “incomplete matching” is likely to generate bias [16], two groups of patients that were comparable according to their baseline characteristics were obtained. Furthermore, in our study we were able to access detailed information about the type of administered chemotherapy, and get patients who had received platinum-based chemotherapy included. The possible inclusion of patients who had received single-agent or </w:t>
      </w:r>
      <w:proofErr w:type="spellStart"/>
      <w:r w:rsidRPr="00F40C30">
        <w:rPr>
          <w:rFonts w:asciiTheme="minorBidi" w:hAnsiTheme="minorBidi"/>
          <w:sz w:val="24"/>
          <w:szCs w:val="24"/>
        </w:rPr>
        <w:t>nonplatinum</w:t>
      </w:r>
      <w:proofErr w:type="spellEnd"/>
      <w:r w:rsidRPr="00F40C30">
        <w:rPr>
          <w:rFonts w:asciiTheme="minorBidi" w:hAnsiTheme="minorBidi"/>
          <w:sz w:val="24"/>
          <w:szCs w:val="24"/>
        </w:rPr>
        <w:t xml:space="preserve"> chemotherapy did represent a bias in the US National Cancer Database analysis. Finally, the doubly robust procedure allowed us to weight the effect of surgical treatment in the two cohorts of patients with pelvic only and retroperitoneal lymph nodes, and any trend to survival benefit disappeared in the latter group. Owing to the fact that it will be unlikely to ascertain randomized, prospective trial data of </w:t>
      </w:r>
      <w:proofErr w:type="spellStart"/>
      <w:r w:rsidRPr="00F40C30">
        <w:rPr>
          <w:rFonts w:asciiTheme="minorBidi" w:hAnsiTheme="minorBidi"/>
          <w:sz w:val="24"/>
          <w:szCs w:val="24"/>
        </w:rPr>
        <w:t>postchemotherapy</w:t>
      </w:r>
      <w:proofErr w:type="spellEnd"/>
      <w:r w:rsidRPr="00F40C30">
        <w:rPr>
          <w:rFonts w:asciiTheme="minorBidi" w:hAnsiTheme="minorBidi"/>
          <w:sz w:val="24"/>
          <w:szCs w:val="24"/>
        </w:rPr>
        <w:t xml:space="preserve"> surgery, large retrospective appraisals like the present one may provide useful information to enhance clinical practice and patient </w:t>
      </w:r>
      <w:proofErr w:type="spellStart"/>
      <w:r w:rsidRPr="00F40C30">
        <w:rPr>
          <w:rFonts w:asciiTheme="minorBidi" w:hAnsiTheme="minorBidi"/>
          <w:sz w:val="24"/>
          <w:szCs w:val="24"/>
        </w:rPr>
        <w:t>counseling</w:t>
      </w:r>
      <w:proofErr w:type="spellEnd"/>
      <w:r w:rsidRPr="00F40C30">
        <w:rPr>
          <w:rFonts w:asciiTheme="minorBidi" w:hAnsiTheme="minorBidi"/>
          <w:sz w:val="24"/>
          <w:szCs w:val="24"/>
        </w:rPr>
        <w:t xml:space="preserve">. 5. Conclusions In summary, in this large retrospective, </w:t>
      </w:r>
      <w:proofErr w:type="spellStart"/>
      <w:r w:rsidRPr="00F40C30">
        <w:rPr>
          <w:rFonts w:asciiTheme="minorBidi" w:hAnsiTheme="minorBidi"/>
          <w:sz w:val="24"/>
          <w:szCs w:val="24"/>
        </w:rPr>
        <w:t>multicenter</w:t>
      </w:r>
      <w:proofErr w:type="spellEnd"/>
      <w:r w:rsidRPr="00F40C30">
        <w:rPr>
          <w:rFonts w:asciiTheme="minorBidi" w:hAnsiTheme="minorBidi"/>
          <w:sz w:val="24"/>
          <w:szCs w:val="24"/>
        </w:rPr>
        <w:t xml:space="preserve"> study, we provided original data on the role of surgery after chemotherapy for clinically metastatic patients with pelvic or retroperitoneal lymph</w:t>
      </w:r>
      <w:r>
        <w:rPr>
          <w:rFonts w:asciiTheme="minorBidi" w:hAnsiTheme="minorBidi"/>
          <w:sz w:val="24"/>
          <w:szCs w:val="24"/>
        </w:rPr>
        <w:t xml:space="preserve"> nodes. Results showed a </w:t>
      </w:r>
      <w:proofErr w:type="spellStart"/>
      <w:r>
        <w:rPr>
          <w:rFonts w:asciiTheme="minorBidi" w:hAnsiTheme="minorBidi"/>
          <w:sz w:val="24"/>
          <w:szCs w:val="24"/>
        </w:rPr>
        <w:t>nonsta</w:t>
      </w:r>
      <w:r w:rsidRPr="00F40C30">
        <w:rPr>
          <w:rFonts w:asciiTheme="minorBidi" w:hAnsiTheme="minorBidi"/>
          <w:sz w:val="24"/>
          <w:szCs w:val="24"/>
        </w:rPr>
        <w:t>tistically</w:t>
      </w:r>
      <w:proofErr w:type="spellEnd"/>
      <w:r w:rsidRPr="00F40C30">
        <w:rPr>
          <w:rFonts w:asciiTheme="minorBidi" w:hAnsiTheme="minorBidi"/>
          <w:sz w:val="24"/>
          <w:szCs w:val="24"/>
        </w:rPr>
        <w:t xml:space="preserve"> significant improvement in OS with surgery in patients with pelvic lymph node extent. In the remaining patients, no role for more extended LND, like </w:t>
      </w:r>
      <w:r w:rsidRPr="00F40C30">
        <w:rPr>
          <w:rFonts w:asciiTheme="minorBidi" w:hAnsiTheme="minorBidi"/>
          <w:sz w:val="24"/>
          <w:szCs w:val="24"/>
        </w:rPr>
        <w:lastRenderedPageBreak/>
        <w:t>re</w:t>
      </w:r>
      <w:r>
        <w:rPr>
          <w:rFonts w:asciiTheme="minorBidi" w:hAnsiTheme="minorBidi"/>
          <w:sz w:val="24"/>
          <w:szCs w:val="24"/>
        </w:rPr>
        <w:t>troperito</w:t>
      </w:r>
      <w:r w:rsidRPr="00F40C30">
        <w:rPr>
          <w:rFonts w:asciiTheme="minorBidi" w:hAnsiTheme="minorBidi"/>
          <w:sz w:val="24"/>
          <w:szCs w:val="24"/>
        </w:rPr>
        <w:t>neal lymph node dissection, was found. In future clinical trials, more active treatments may provide a viable alternative to active surveillance for these patients.</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br w:type="page"/>
      </w:r>
    </w:p>
    <w:p w:rsidR="00F40C30" w:rsidRPr="00F40C30" w:rsidRDefault="00F40C30" w:rsidP="00F40C30">
      <w:pPr>
        <w:spacing w:after="0" w:line="480" w:lineRule="auto"/>
        <w:contextualSpacing/>
        <w:rPr>
          <w:rFonts w:asciiTheme="minorBidi" w:hAnsiTheme="minorBidi"/>
          <w:sz w:val="24"/>
          <w:szCs w:val="24"/>
        </w:rPr>
      </w:pPr>
      <w:proofErr w:type="gramStart"/>
      <w:r w:rsidRPr="00F40C30">
        <w:rPr>
          <w:rFonts w:asciiTheme="minorBidi" w:hAnsiTheme="minorBidi"/>
          <w:sz w:val="24"/>
          <w:szCs w:val="24"/>
        </w:rPr>
        <w:lastRenderedPageBreak/>
        <w:t>Presented at the 2016 Annual Meeting of the Society of Urologic Oncology, November 29, 2016 to December 1, 2016, San Antonio, TX, USA.</w:t>
      </w:r>
      <w:proofErr w:type="gramEnd"/>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Author contributions: Andrea </w:t>
      </w:r>
      <w:proofErr w:type="spellStart"/>
      <w:r w:rsidRPr="00F40C30">
        <w:rPr>
          <w:rFonts w:asciiTheme="minorBidi" w:hAnsiTheme="minorBidi"/>
          <w:sz w:val="24"/>
          <w:szCs w:val="24"/>
        </w:rPr>
        <w:t>Necchi</w:t>
      </w:r>
      <w:proofErr w:type="spellEnd"/>
      <w:r w:rsidRPr="00F40C30">
        <w:rPr>
          <w:rFonts w:asciiTheme="minorBidi" w:hAnsiTheme="minorBidi"/>
          <w:sz w:val="24"/>
          <w:szCs w:val="24"/>
        </w:rPr>
        <w:t xml:space="preserve"> had full access to all the data in the study and takes responsibility for the integrity of the data and the accuracy of the data analysis.</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Study concept and design: </w:t>
      </w:r>
      <w:proofErr w:type="spellStart"/>
      <w:r w:rsidRPr="00F40C30">
        <w:rPr>
          <w:rFonts w:asciiTheme="minorBidi" w:hAnsiTheme="minorBidi"/>
          <w:sz w:val="24"/>
          <w:szCs w:val="24"/>
        </w:rPr>
        <w:t>Necchi</w:t>
      </w:r>
      <w:proofErr w:type="spellEnd"/>
      <w:r w:rsidRPr="00F40C30">
        <w:rPr>
          <w:rFonts w:asciiTheme="minorBidi" w:hAnsiTheme="minorBidi"/>
          <w:sz w:val="24"/>
          <w:szCs w:val="24"/>
        </w:rPr>
        <w:t>.</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Acquisition of data: All authors.</w:t>
      </w:r>
    </w:p>
    <w:p w:rsidR="00F40C30" w:rsidRPr="00F40C30" w:rsidRDefault="00F40C30" w:rsidP="00F40C30">
      <w:pPr>
        <w:spacing w:after="0" w:line="480" w:lineRule="auto"/>
        <w:contextualSpacing/>
        <w:rPr>
          <w:rFonts w:asciiTheme="minorBidi" w:hAnsiTheme="minorBidi"/>
          <w:sz w:val="24"/>
          <w:szCs w:val="24"/>
          <w:lang w:val="it-IT"/>
        </w:rPr>
      </w:pPr>
      <w:r w:rsidRPr="00F40C30">
        <w:rPr>
          <w:rFonts w:asciiTheme="minorBidi" w:hAnsiTheme="minorBidi"/>
          <w:sz w:val="24"/>
          <w:szCs w:val="24"/>
          <w:lang w:val="it-IT"/>
        </w:rPr>
        <w:t xml:space="preserve">Analysis and </w:t>
      </w:r>
      <w:proofErr w:type="spellStart"/>
      <w:r w:rsidRPr="00F40C30">
        <w:rPr>
          <w:rFonts w:asciiTheme="minorBidi" w:hAnsiTheme="minorBidi"/>
          <w:sz w:val="24"/>
          <w:szCs w:val="24"/>
          <w:lang w:val="it-IT"/>
        </w:rPr>
        <w:t>interpretation</w:t>
      </w:r>
      <w:proofErr w:type="spellEnd"/>
      <w:r w:rsidRPr="00F40C30">
        <w:rPr>
          <w:rFonts w:asciiTheme="minorBidi" w:hAnsiTheme="minorBidi"/>
          <w:sz w:val="24"/>
          <w:szCs w:val="24"/>
          <w:lang w:val="it-IT"/>
        </w:rPr>
        <w:t xml:space="preserve"> of data: Necchi, Mariani, Lo Vullo.</w:t>
      </w:r>
    </w:p>
    <w:p w:rsidR="00F40C30" w:rsidRPr="00F40C30" w:rsidRDefault="00F40C30" w:rsidP="00F40C30">
      <w:pPr>
        <w:spacing w:after="0" w:line="480" w:lineRule="auto"/>
        <w:contextualSpacing/>
        <w:rPr>
          <w:rFonts w:asciiTheme="minorBidi" w:hAnsiTheme="minorBidi"/>
          <w:sz w:val="24"/>
          <w:szCs w:val="24"/>
        </w:rPr>
      </w:pPr>
      <w:proofErr w:type="gramStart"/>
      <w:r w:rsidRPr="00F40C30">
        <w:rPr>
          <w:rFonts w:asciiTheme="minorBidi" w:hAnsiTheme="minorBidi"/>
          <w:sz w:val="24"/>
          <w:szCs w:val="24"/>
        </w:rPr>
        <w:t xml:space="preserve">Drafting of the manuscript: </w:t>
      </w:r>
      <w:proofErr w:type="spellStart"/>
      <w:r w:rsidRPr="00F40C30">
        <w:rPr>
          <w:rFonts w:asciiTheme="minorBidi" w:hAnsiTheme="minorBidi"/>
          <w:sz w:val="24"/>
          <w:szCs w:val="24"/>
        </w:rPr>
        <w:t>Necchi</w:t>
      </w:r>
      <w:proofErr w:type="spellEnd"/>
      <w:r w:rsidRPr="00F40C30">
        <w:rPr>
          <w:rFonts w:asciiTheme="minorBidi" w:hAnsiTheme="minorBidi"/>
          <w:sz w:val="24"/>
          <w:szCs w:val="24"/>
        </w:rPr>
        <w:t>.</w:t>
      </w:r>
      <w:proofErr w:type="gramEnd"/>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Critical revision of the manuscript for important intellectual content: All authors.</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Statistical analysis: Mariani, Lo Vullo.</w:t>
      </w:r>
    </w:p>
    <w:p w:rsidR="00F40C30" w:rsidRPr="00F40C30" w:rsidRDefault="00F40C30" w:rsidP="00F40C30">
      <w:pPr>
        <w:spacing w:after="0" w:line="480" w:lineRule="auto"/>
        <w:contextualSpacing/>
        <w:rPr>
          <w:rFonts w:asciiTheme="minorBidi" w:hAnsiTheme="minorBidi"/>
          <w:sz w:val="24"/>
          <w:szCs w:val="24"/>
        </w:rPr>
      </w:pPr>
      <w:proofErr w:type="gramStart"/>
      <w:r w:rsidRPr="00F40C30">
        <w:rPr>
          <w:rFonts w:asciiTheme="minorBidi" w:hAnsiTheme="minorBidi"/>
          <w:sz w:val="24"/>
          <w:szCs w:val="24"/>
        </w:rPr>
        <w:t>Obtaining funding: None.</w:t>
      </w:r>
      <w:proofErr w:type="gramEnd"/>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Administrative, technical, or material support: None.</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Supervision: None.</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Other: None.</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Financial disclosures: Andrea </w:t>
      </w:r>
      <w:proofErr w:type="spellStart"/>
      <w:r w:rsidRPr="00F40C30">
        <w:rPr>
          <w:rFonts w:asciiTheme="minorBidi" w:hAnsiTheme="minorBidi"/>
          <w:sz w:val="24"/>
          <w:szCs w:val="24"/>
        </w:rPr>
        <w:t>Necchi</w:t>
      </w:r>
      <w:proofErr w:type="spellEnd"/>
      <w:r w:rsidRPr="00F40C30">
        <w:rPr>
          <w:rFonts w:asciiTheme="minorBidi" w:hAnsiTheme="minorBidi"/>
          <w:sz w:val="24"/>
          <w:szCs w:val="24"/>
        </w:rPr>
        <w:t xml:space="preserve"> certifies that all conflicts of interest, including specific financial interests and relationships and affiliations relevant to the subject matter or materials discussed in the manuscript (</w:t>
      </w:r>
      <w:proofErr w:type="spellStart"/>
      <w:r w:rsidRPr="00F40C30">
        <w:rPr>
          <w:rFonts w:asciiTheme="minorBidi" w:hAnsiTheme="minorBidi"/>
          <w:sz w:val="24"/>
          <w:szCs w:val="24"/>
        </w:rPr>
        <w:t>eg</w:t>
      </w:r>
      <w:proofErr w:type="spellEnd"/>
      <w:r w:rsidRPr="00F40C30">
        <w:rPr>
          <w:rFonts w:asciiTheme="minorBidi" w:hAnsiTheme="minorBidi"/>
          <w:sz w:val="24"/>
          <w:szCs w:val="24"/>
        </w:rPr>
        <w:t>, employment/affiliation, grants or funding, consultancies, honoraria, stock ownership or options, expert testimony, royalties, or patents filed, received, or pending), are the following: None.</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Funding/Support and role of the sponsor: None. </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br w:type="page"/>
      </w:r>
    </w:p>
    <w:p w:rsid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lastRenderedPageBreak/>
        <w:t>References</w:t>
      </w:r>
    </w:p>
    <w:p w:rsidR="00F40C30" w:rsidRPr="00F40C30" w:rsidRDefault="00F40C30" w:rsidP="00F40C30">
      <w:pPr>
        <w:spacing w:after="0" w:line="480" w:lineRule="auto"/>
        <w:contextualSpacing/>
        <w:rPr>
          <w:rFonts w:asciiTheme="minorBidi" w:hAnsiTheme="minorBidi"/>
          <w:sz w:val="24"/>
          <w:szCs w:val="24"/>
        </w:rPr>
      </w:pPr>
    </w:p>
    <w:p w:rsidR="00F40C30" w:rsidRPr="00F40C30" w:rsidRDefault="00F40C30" w:rsidP="00F40C30">
      <w:pPr>
        <w:spacing w:after="0" w:line="480" w:lineRule="auto"/>
        <w:contextualSpacing/>
        <w:rPr>
          <w:rFonts w:asciiTheme="minorBidi" w:hAnsiTheme="minorBidi"/>
          <w:sz w:val="24"/>
          <w:szCs w:val="24"/>
          <w:lang w:val="it-IT"/>
        </w:rPr>
      </w:pPr>
      <w:r w:rsidRPr="0087049D">
        <w:rPr>
          <w:rFonts w:asciiTheme="minorBidi" w:hAnsiTheme="minorBidi"/>
          <w:sz w:val="24"/>
          <w:szCs w:val="24"/>
          <w:lang w:val="it-IT"/>
        </w:rPr>
        <w:t xml:space="preserve">[1] Necchi A, Sonpavde G, Lo Vullo S, et al. </w:t>
      </w:r>
      <w:r w:rsidRPr="00F40C30">
        <w:rPr>
          <w:rFonts w:asciiTheme="minorBidi" w:hAnsiTheme="minorBidi"/>
          <w:sz w:val="24"/>
          <w:szCs w:val="24"/>
        </w:rPr>
        <w:t xml:space="preserve">Nomogram-based prediction of overall survival in patients with metastatic urothelial carcinoma receiving first-line platinum-based chemotherapy: Retrospective International Study of Invasive/Advanced Cancer of the Urothelium (RISC). </w:t>
      </w:r>
      <w:proofErr w:type="spellStart"/>
      <w:r w:rsidRPr="00F40C30">
        <w:rPr>
          <w:rFonts w:asciiTheme="minorBidi" w:hAnsiTheme="minorBidi"/>
          <w:sz w:val="24"/>
          <w:szCs w:val="24"/>
          <w:lang w:val="it-IT"/>
        </w:rPr>
        <w:t>Eur</w:t>
      </w:r>
      <w:proofErr w:type="spellEnd"/>
      <w:r w:rsidRPr="00F40C30">
        <w:rPr>
          <w:rFonts w:asciiTheme="minorBidi" w:hAnsiTheme="minorBidi"/>
          <w:sz w:val="24"/>
          <w:szCs w:val="24"/>
          <w:lang w:val="it-IT"/>
        </w:rPr>
        <w:t xml:space="preserve"> </w:t>
      </w:r>
      <w:proofErr w:type="spellStart"/>
      <w:r w:rsidRPr="00F40C30">
        <w:rPr>
          <w:rFonts w:asciiTheme="minorBidi" w:hAnsiTheme="minorBidi"/>
          <w:sz w:val="24"/>
          <w:szCs w:val="24"/>
          <w:lang w:val="it-IT"/>
        </w:rPr>
        <w:t>Urol</w:t>
      </w:r>
      <w:proofErr w:type="spellEnd"/>
      <w:r w:rsidRPr="00F40C30">
        <w:rPr>
          <w:rFonts w:asciiTheme="minorBidi" w:hAnsiTheme="minorBidi"/>
          <w:sz w:val="24"/>
          <w:szCs w:val="24"/>
          <w:lang w:val="it-IT"/>
        </w:rPr>
        <w:t xml:space="preserve"> 2017;</w:t>
      </w:r>
      <w:proofErr w:type="gramStart"/>
      <w:r w:rsidRPr="00F40C30">
        <w:rPr>
          <w:rFonts w:asciiTheme="minorBidi" w:hAnsiTheme="minorBidi"/>
          <w:sz w:val="24"/>
          <w:szCs w:val="24"/>
          <w:lang w:val="it-IT"/>
        </w:rPr>
        <w:t>71</w:t>
      </w:r>
      <w:proofErr w:type="gramEnd"/>
      <w:r w:rsidRPr="00F40C30">
        <w:rPr>
          <w:rFonts w:asciiTheme="minorBidi" w:hAnsiTheme="minorBidi"/>
          <w:sz w:val="24"/>
          <w:szCs w:val="24"/>
          <w:lang w:val="it-IT"/>
        </w:rPr>
        <w:t>:281–9.</w:t>
      </w:r>
    </w:p>
    <w:p w:rsidR="00F40C30" w:rsidRPr="00F40C30" w:rsidRDefault="00F40C30" w:rsidP="00F40C30">
      <w:pPr>
        <w:spacing w:after="0" w:line="480" w:lineRule="auto"/>
        <w:contextualSpacing/>
        <w:rPr>
          <w:rFonts w:asciiTheme="minorBidi" w:hAnsiTheme="minorBidi"/>
          <w:sz w:val="24"/>
          <w:szCs w:val="24"/>
        </w:rPr>
      </w:pPr>
      <w:proofErr w:type="gramStart"/>
      <w:r w:rsidRPr="00F40C30">
        <w:rPr>
          <w:rFonts w:asciiTheme="minorBidi" w:hAnsiTheme="minorBidi"/>
          <w:sz w:val="24"/>
          <w:szCs w:val="24"/>
          <w:lang w:val="it-IT"/>
        </w:rPr>
        <w:t>[2</w:t>
      </w:r>
      <w:proofErr w:type="gramEnd"/>
      <w:r w:rsidRPr="00F40C30">
        <w:rPr>
          <w:rFonts w:asciiTheme="minorBidi" w:hAnsiTheme="minorBidi"/>
          <w:sz w:val="24"/>
          <w:szCs w:val="24"/>
          <w:lang w:val="it-IT"/>
        </w:rPr>
        <w:t xml:space="preserve">] Necchi A, Giannatempo P, Lo Vullo S, et al. </w:t>
      </w:r>
      <w:proofErr w:type="spellStart"/>
      <w:r w:rsidRPr="00F40C30">
        <w:rPr>
          <w:rFonts w:asciiTheme="minorBidi" w:hAnsiTheme="minorBidi"/>
          <w:sz w:val="24"/>
          <w:szCs w:val="24"/>
        </w:rPr>
        <w:t>Postchemotherapy</w:t>
      </w:r>
      <w:proofErr w:type="spellEnd"/>
      <w:r w:rsidRPr="00F40C30">
        <w:rPr>
          <w:rFonts w:asciiTheme="minorBidi" w:hAnsiTheme="minorBidi"/>
          <w:sz w:val="24"/>
          <w:szCs w:val="24"/>
        </w:rPr>
        <w:t xml:space="preserve"> lymphadenectomy in patients with metastatic urothelial </w:t>
      </w:r>
      <w:proofErr w:type="spellStart"/>
      <w:r w:rsidRPr="00F40C30">
        <w:rPr>
          <w:rFonts w:asciiTheme="minorBidi" w:hAnsiTheme="minorBidi"/>
          <w:sz w:val="24"/>
          <w:szCs w:val="24"/>
        </w:rPr>
        <w:t>carci-noma</w:t>
      </w:r>
      <w:proofErr w:type="spellEnd"/>
      <w:r w:rsidRPr="00F40C30">
        <w:rPr>
          <w:rFonts w:asciiTheme="minorBidi" w:hAnsiTheme="minorBidi"/>
          <w:sz w:val="24"/>
          <w:szCs w:val="24"/>
        </w:rPr>
        <w:t xml:space="preserve">: long-term efficacy and implications for trial design. </w:t>
      </w:r>
      <w:proofErr w:type="spellStart"/>
      <w:r w:rsidRPr="00F40C30">
        <w:rPr>
          <w:rFonts w:asciiTheme="minorBidi" w:hAnsiTheme="minorBidi"/>
          <w:sz w:val="24"/>
          <w:szCs w:val="24"/>
        </w:rPr>
        <w:t>Clin</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Genitourin</w:t>
      </w:r>
      <w:proofErr w:type="spellEnd"/>
      <w:r w:rsidRPr="00F40C30">
        <w:rPr>
          <w:rFonts w:asciiTheme="minorBidi" w:hAnsiTheme="minorBidi"/>
          <w:sz w:val="24"/>
          <w:szCs w:val="24"/>
        </w:rPr>
        <w:t xml:space="preserve"> Cancer 2015</w:t>
      </w:r>
      <w:proofErr w:type="gramStart"/>
      <w:r w:rsidRPr="00F40C30">
        <w:rPr>
          <w:rFonts w:asciiTheme="minorBidi" w:hAnsiTheme="minorBidi"/>
          <w:sz w:val="24"/>
          <w:szCs w:val="24"/>
        </w:rPr>
        <w:t>;13:80</w:t>
      </w:r>
      <w:proofErr w:type="gramEnd"/>
      <w:r w:rsidRPr="00F40C30">
        <w:rPr>
          <w:rFonts w:asciiTheme="minorBidi" w:hAnsiTheme="minorBidi"/>
          <w:sz w:val="24"/>
          <w:szCs w:val="24"/>
        </w:rPr>
        <w:t>–6.</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[3] Dodd PM, McCaffrey JA, Herr H, et al. Outcome of </w:t>
      </w:r>
      <w:proofErr w:type="spellStart"/>
      <w:r w:rsidRPr="00F40C30">
        <w:rPr>
          <w:rFonts w:asciiTheme="minorBidi" w:hAnsiTheme="minorBidi"/>
          <w:sz w:val="24"/>
          <w:szCs w:val="24"/>
        </w:rPr>
        <w:t>postchemotherapy</w:t>
      </w:r>
      <w:proofErr w:type="spellEnd"/>
      <w:r w:rsidRPr="00F40C30">
        <w:rPr>
          <w:rFonts w:asciiTheme="minorBidi" w:hAnsiTheme="minorBidi"/>
          <w:sz w:val="24"/>
          <w:szCs w:val="24"/>
        </w:rPr>
        <w:t xml:space="preserve"> surgery after treatment with methotrexate, vinblastine, doxorubicin, and cisplatin in patients with </w:t>
      </w:r>
      <w:proofErr w:type="spellStart"/>
      <w:r w:rsidRPr="00F40C30">
        <w:rPr>
          <w:rFonts w:asciiTheme="minorBidi" w:hAnsiTheme="minorBidi"/>
          <w:sz w:val="24"/>
          <w:szCs w:val="24"/>
        </w:rPr>
        <w:t>unresectable</w:t>
      </w:r>
      <w:proofErr w:type="spellEnd"/>
      <w:r w:rsidRPr="00F40C30">
        <w:rPr>
          <w:rFonts w:asciiTheme="minorBidi" w:hAnsiTheme="minorBidi"/>
          <w:sz w:val="24"/>
          <w:szCs w:val="24"/>
        </w:rPr>
        <w:t xml:space="preserve"> or metastatic transitional cell carcinoma. J </w:t>
      </w:r>
      <w:proofErr w:type="spellStart"/>
      <w:r w:rsidRPr="00F40C30">
        <w:rPr>
          <w:rFonts w:asciiTheme="minorBidi" w:hAnsiTheme="minorBidi"/>
          <w:sz w:val="24"/>
          <w:szCs w:val="24"/>
        </w:rPr>
        <w:t>Clin</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Oncol</w:t>
      </w:r>
      <w:proofErr w:type="spellEnd"/>
      <w:r w:rsidRPr="00F40C30">
        <w:rPr>
          <w:rFonts w:asciiTheme="minorBidi" w:hAnsiTheme="minorBidi"/>
          <w:sz w:val="24"/>
          <w:szCs w:val="24"/>
        </w:rPr>
        <w:t xml:space="preserve"> 1999</w:t>
      </w:r>
      <w:proofErr w:type="gramStart"/>
      <w:r w:rsidRPr="00F40C30">
        <w:rPr>
          <w:rFonts w:asciiTheme="minorBidi" w:hAnsiTheme="minorBidi"/>
          <w:sz w:val="24"/>
          <w:szCs w:val="24"/>
        </w:rPr>
        <w:t>;17:2546</w:t>
      </w:r>
      <w:proofErr w:type="gramEnd"/>
      <w:r w:rsidRPr="00F40C30">
        <w:rPr>
          <w:rFonts w:asciiTheme="minorBidi" w:hAnsiTheme="minorBidi"/>
          <w:sz w:val="24"/>
          <w:szCs w:val="24"/>
        </w:rPr>
        <w:t>–52.</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[4] Herr HW, </w:t>
      </w:r>
      <w:proofErr w:type="spellStart"/>
      <w:r w:rsidRPr="00F40C30">
        <w:rPr>
          <w:rFonts w:asciiTheme="minorBidi" w:hAnsiTheme="minorBidi"/>
          <w:sz w:val="24"/>
          <w:szCs w:val="24"/>
        </w:rPr>
        <w:t>Donat</w:t>
      </w:r>
      <w:proofErr w:type="spellEnd"/>
      <w:r w:rsidRPr="00F40C30">
        <w:rPr>
          <w:rFonts w:asciiTheme="minorBidi" w:hAnsiTheme="minorBidi"/>
          <w:sz w:val="24"/>
          <w:szCs w:val="24"/>
        </w:rPr>
        <w:t xml:space="preserve"> SM, </w:t>
      </w:r>
      <w:proofErr w:type="spellStart"/>
      <w:r w:rsidRPr="00F40C30">
        <w:rPr>
          <w:rFonts w:asciiTheme="minorBidi" w:hAnsiTheme="minorBidi"/>
          <w:sz w:val="24"/>
          <w:szCs w:val="24"/>
        </w:rPr>
        <w:t>Bajorin</w:t>
      </w:r>
      <w:proofErr w:type="spellEnd"/>
      <w:r w:rsidRPr="00F40C30">
        <w:rPr>
          <w:rFonts w:asciiTheme="minorBidi" w:hAnsiTheme="minorBidi"/>
          <w:sz w:val="24"/>
          <w:szCs w:val="24"/>
        </w:rPr>
        <w:t xml:space="preserve"> DF. </w:t>
      </w:r>
      <w:proofErr w:type="gramStart"/>
      <w:r w:rsidRPr="00F40C30">
        <w:rPr>
          <w:rFonts w:asciiTheme="minorBidi" w:hAnsiTheme="minorBidi"/>
          <w:sz w:val="24"/>
          <w:szCs w:val="24"/>
        </w:rPr>
        <w:t xml:space="preserve">Post-chemotherapy surgery in patients with </w:t>
      </w:r>
      <w:proofErr w:type="spellStart"/>
      <w:r w:rsidRPr="00F40C30">
        <w:rPr>
          <w:rFonts w:asciiTheme="minorBidi" w:hAnsiTheme="minorBidi"/>
          <w:sz w:val="24"/>
          <w:szCs w:val="24"/>
        </w:rPr>
        <w:t>unresectable</w:t>
      </w:r>
      <w:proofErr w:type="spellEnd"/>
      <w:r w:rsidRPr="00F40C30">
        <w:rPr>
          <w:rFonts w:asciiTheme="minorBidi" w:hAnsiTheme="minorBidi"/>
          <w:sz w:val="24"/>
          <w:szCs w:val="24"/>
        </w:rPr>
        <w:t xml:space="preserve"> or regionally metastatic bladder cancer.</w:t>
      </w:r>
      <w:proofErr w:type="gramEnd"/>
      <w:r w:rsidRPr="00F40C30">
        <w:rPr>
          <w:rFonts w:asciiTheme="minorBidi" w:hAnsiTheme="minorBidi"/>
          <w:sz w:val="24"/>
          <w:szCs w:val="24"/>
        </w:rPr>
        <w:t xml:space="preserve"> J </w:t>
      </w:r>
      <w:proofErr w:type="spellStart"/>
      <w:r w:rsidRPr="00F40C30">
        <w:rPr>
          <w:rFonts w:asciiTheme="minorBidi" w:hAnsiTheme="minorBidi"/>
          <w:sz w:val="24"/>
          <w:szCs w:val="24"/>
        </w:rPr>
        <w:t>Urol</w:t>
      </w:r>
      <w:proofErr w:type="spellEnd"/>
      <w:r w:rsidRPr="00F40C30">
        <w:rPr>
          <w:rFonts w:asciiTheme="minorBidi" w:hAnsiTheme="minorBidi"/>
          <w:sz w:val="24"/>
          <w:szCs w:val="24"/>
        </w:rPr>
        <w:t xml:space="preserve"> 2001</w:t>
      </w:r>
      <w:proofErr w:type="gramStart"/>
      <w:r w:rsidRPr="00F40C30">
        <w:rPr>
          <w:rFonts w:asciiTheme="minorBidi" w:hAnsiTheme="minorBidi"/>
          <w:sz w:val="24"/>
          <w:szCs w:val="24"/>
        </w:rPr>
        <w:t>;165:811</w:t>
      </w:r>
      <w:proofErr w:type="gramEnd"/>
      <w:r w:rsidRPr="00F40C30">
        <w:rPr>
          <w:rFonts w:asciiTheme="minorBidi" w:hAnsiTheme="minorBidi"/>
          <w:sz w:val="24"/>
          <w:szCs w:val="24"/>
        </w:rPr>
        <w:t>–4.</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[5] Abe T, Shinohara N, </w:t>
      </w:r>
      <w:proofErr w:type="spellStart"/>
      <w:r w:rsidRPr="00F40C30">
        <w:rPr>
          <w:rFonts w:asciiTheme="minorBidi" w:hAnsiTheme="minorBidi"/>
          <w:sz w:val="24"/>
          <w:szCs w:val="24"/>
        </w:rPr>
        <w:t>Harabayashi</w:t>
      </w:r>
      <w:proofErr w:type="spellEnd"/>
      <w:r w:rsidRPr="00F40C30">
        <w:rPr>
          <w:rFonts w:asciiTheme="minorBidi" w:hAnsiTheme="minorBidi"/>
          <w:sz w:val="24"/>
          <w:szCs w:val="24"/>
        </w:rPr>
        <w:t xml:space="preserve"> T, et al. Impact of multimodal treatment on survival in patients with metastatic urothelial cancer. </w:t>
      </w:r>
      <w:proofErr w:type="spellStart"/>
      <w:r w:rsidRPr="00F40C30">
        <w:rPr>
          <w:rFonts w:asciiTheme="minorBidi" w:hAnsiTheme="minorBidi"/>
          <w:sz w:val="24"/>
          <w:szCs w:val="24"/>
        </w:rPr>
        <w:t>Eur</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Urol</w:t>
      </w:r>
      <w:proofErr w:type="spellEnd"/>
      <w:r w:rsidRPr="00F40C30">
        <w:rPr>
          <w:rFonts w:asciiTheme="minorBidi" w:hAnsiTheme="minorBidi"/>
          <w:sz w:val="24"/>
          <w:szCs w:val="24"/>
        </w:rPr>
        <w:t xml:space="preserve"> 2007</w:t>
      </w:r>
      <w:proofErr w:type="gramStart"/>
      <w:r w:rsidRPr="00F40C30">
        <w:rPr>
          <w:rFonts w:asciiTheme="minorBidi" w:hAnsiTheme="minorBidi"/>
          <w:sz w:val="24"/>
          <w:szCs w:val="24"/>
        </w:rPr>
        <w:t>;52:1106</w:t>
      </w:r>
      <w:proofErr w:type="gramEnd"/>
      <w:r w:rsidRPr="00F40C30">
        <w:rPr>
          <w:rFonts w:asciiTheme="minorBidi" w:hAnsiTheme="minorBidi"/>
          <w:sz w:val="24"/>
          <w:szCs w:val="24"/>
        </w:rPr>
        <w:t>–13.</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[6] Sweeney P, Millikan R, </w:t>
      </w:r>
      <w:proofErr w:type="spellStart"/>
      <w:r w:rsidRPr="00F40C30">
        <w:rPr>
          <w:rFonts w:asciiTheme="minorBidi" w:hAnsiTheme="minorBidi"/>
          <w:sz w:val="24"/>
          <w:szCs w:val="24"/>
        </w:rPr>
        <w:t>Donat</w:t>
      </w:r>
      <w:proofErr w:type="spellEnd"/>
      <w:r w:rsidRPr="00F40C30">
        <w:rPr>
          <w:rFonts w:asciiTheme="minorBidi" w:hAnsiTheme="minorBidi"/>
          <w:sz w:val="24"/>
          <w:szCs w:val="24"/>
        </w:rPr>
        <w:t xml:space="preserve"> M, et al. Is there a therapeutic role for post-chemotherapy retroperitoneal lymph node dissection in met-astatic transitional cell carcinoma of the bladder? J </w:t>
      </w:r>
      <w:proofErr w:type="spellStart"/>
      <w:r w:rsidRPr="00F40C30">
        <w:rPr>
          <w:rFonts w:asciiTheme="minorBidi" w:hAnsiTheme="minorBidi"/>
          <w:sz w:val="24"/>
          <w:szCs w:val="24"/>
        </w:rPr>
        <w:t>Urol</w:t>
      </w:r>
      <w:proofErr w:type="spellEnd"/>
      <w:r w:rsidRPr="00F40C30">
        <w:rPr>
          <w:rFonts w:asciiTheme="minorBidi" w:hAnsiTheme="minorBidi"/>
          <w:sz w:val="24"/>
          <w:szCs w:val="24"/>
        </w:rPr>
        <w:t xml:space="preserve"> 2003; 169:2113–7.</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[7] de </w:t>
      </w:r>
      <w:proofErr w:type="spellStart"/>
      <w:r w:rsidRPr="00F40C30">
        <w:rPr>
          <w:rFonts w:asciiTheme="minorBidi" w:hAnsiTheme="minorBidi"/>
          <w:sz w:val="24"/>
          <w:szCs w:val="24"/>
        </w:rPr>
        <w:t>Vries</w:t>
      </w:r>
      <w:proofErr w:type="spellEnd"/>
      <w:r w:rsidRPr="00F40C30">
        <w:rPr>
          <w:rFonts w:asciiTheme="minorBidi" w:hAnsiTheme="minorBidi"/>
          <w:sz w:val="24"/>
          <w:szCs w:val="24"/>
        </w:rPr>
        <w:t xml:space="preserve"> RR, </w:t>
      </w:r>
      <w:proofErr w:type="spellStart"/>
      <w:r w:rsidRPr="00F40C30">
        <w:rPr>
          <w:rFonts w:asciiTheme="minorBidi" w:hAnsiTheme="minorBidi"/>
          <w:sz w:val="24"/>
          <w:szCs w:val="24"/>
        </w:rPr>
        <w:t>Nieuwenhuijzen</w:t>
      </w:r>
      <w:proofErr w:type="spellEnd"/>
      <w:r w:rsidRPr="00F40C30">
        <w:rPr>
          <w:rFonts w:asciiTheme="minorBidi" w:hAnsiTheme="minorBidi"/>
          <w:sz w:val="24"/>
          <w:szCs w:val="24"/>
        </w:rPr>
        <w:t xml:space="preserve"> JA, </w:t>
      </w:r>
      <w:proofErr w:type="spellStart"/>
      <w:r w:rsidRPr="00F40C30">
        <w:rPr>
          <w:rFonts w:asciiTheme="minorBidi" w:hAnsiTheme="minorBidi"/>
          <w:sz w:val="24"/>
          <w:szCs w:val="24"/>
        </w:rPr>
        <w:t>Meinhardt</w:t>
      </w:r>
      <w:proofErr w:type="spellEnd"/>
      <w:r w:rsidRPr="00F40C30">
        <w:rPr>
          <w:rFonts w:asciiTheme="minorBidi" w:hAnsiTheme="minorBidi"/>
          <w:sz w:val="24"/>
          <w:szCs w:val="24"/>
        </w:rPr>
        <w:t xml:space="preserve"> W, </w:t>
      </w:r>
      <w:proofErr w:type="spellStart"/>
      <w:r w:rsidRPr="00F40C30">
        <w:rPr>
          <w:rFonts w:asciiTheme="minorBidi" w:hAnsiTheme="minorBidi"/>
          <w:sz w:val="24"/>
          <w:szCs w:val="24"/>
        </w:rPr>
        <w:t>Bais</w:t>
      </w:r>
      <w:proofErr w:type="spellEnd"/>
      <w:r w:rsidRPr="00F40C30">
        <w:rPr>
          <w:rFonts w:asciiTheme="minorBidi" w:hAnsiTheme="minorBidi"/>
          <w:sz w:val="24"/>
          <w:szCs w:val="24"/>
        </w:rPr>
        <w:t xml:space="preserve"> EM, </w:t>
      </w:r>
      <w:proofErr w:type="spellStart"/>
      <w:r w:rsidRPr="00F40C30">
        <w:rPr>
          <w:rFonts w:asciiTheme="minorBidi" w:hAnsiTheme="minorBidi"/>
          <w:sz w:val="24"/>
          <w:szCs w:val="24"/>
        </w:rPr>
        <w:t>Horenblas</w:t>
      </w:r>
      <w:proofErr w:type="spellEnd"/>
      <w:r w:rsidRPr="00F40C30">
        <w:rPr>
          <w:rFonts w:asciiTheme="minorBidi" w:hAnsiTheme="minorBidi"/>
          <w:sz w:val="24"/>
          <w:szCs w:val="24"/>
        </w:rPr>
        <w:t xml:space="preserve"> S. Long-term survival after combined modality treatment in meta-static bladder cancer patients presenting with supra-regional </w:t>
      </w:r>
      <w:proofErr w:type="spellStart"/>
      <w:r w:rsidRPr="00F40C30">
        <w:rPr>
          <w:rFonts w:asciiTheme="minorBidi" w:hAnsiTheme="minorBidi"/>
          <w:sz w:val="24"/>
          <w:szCs w:val="24"/>
        </w:rPr>
        <w:t>tumor</w:t>
      </w:r>
      <w:proofErr w:type="spellEnd"/>
      <w:r w:rsidRPr="00F40C30">
        <w:rPr>
          <w:rFonts w:asciiTheme="minorBidi" w:hAnsiTheme="minorBidi"/>
          <w:sz w:val="24"/>
          <w:szCs w:val="24"/>
        </w:rPr>
        <w:t xml:space="preserve"> positive lymph nodes only. </w:t>
      </w:r>
      <w:proofErr w:type="spellStart"/>
      <w:r w:rsidRPr="00F40C30">
        <w:rPr>
          <w:rFonts w:asciiTheme="minorBidi" w:hAnsiTheme="minorBidi"/>
          <w:sz w:val="24"/>
          <w:szCs w:val="24"/>
        </w:rPr>
        <w:t>Eur</w:t>
      </w:r>
      <w:proofErr w:type="spellEnd"/>
      <w:r w:rsidRPr="00F40C30">
        <w:rPr>
          <w:rFonts w:asciiTheme="minorBidi" w:hAnsiTheme="minorBidi"/>
          <w:sz w:val="24"/>
          <w:szCs w:val="24"/>
        </w:rPr>
        <w:t xml:space="preserve"> J </w:t>
      </w:r>
      <w:proofErr w:type="spellStart"/>
      <w:r w:rsidRPr="00F40C30">
        <w:rPr>
          <w:rFonts w:asciiTheme="minorBidi" w:hAnsiTheme="minorBidi"/>
          <w:sz w:val="24"/>
          <w:szCs w:val="24"/>
        </w:rPr>
        <w:t>Surg</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Oncol</w:t>
      </w:r>
      <w:proofErr w:type="spellEnd"/>
      <w:r w:rsidRPr="00F40C30">
        <w:rPr>
          <w:rFonts w:asciiTheme="minorBidi" w:hAnsiTheme="minorBidi"/>
          <w:sz w:val="24"/>
          <w:szCs w:val="24"/>
        </w:rPr>
        <w:t xml:space="preserve"> 2009</w:t>
      </w:r>
      <w:proofErr w:type="gramStart"/>
      <w:r w:rsidRPr="00F40C30">
        <w:rPr>
          <w:rFonts w:asciiTheme="minorBidi" w:hAnsiTheme="minorBidi"/>
          <w:sz w:val="24"/>
          <w:szCs w:val="24"/>
        </w:rPr>
        <w:t>;35:352</w:t>
      </w:r>
      <w:proofErr w:type="gramEnd"/>
      <w:r w:rsidRPr="00F40C30">
        <w:rPr>
          <w:rFonts w:asciiTheme="minorBidi" w:hAnsiTheme="minorBidi"/>
          <w:sz w:val="24"/>
          <w:szCs w:val="24"/>
        </w:rPr>
        <w:t>–5.</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lastRenderedPageBreak/>
        <w:t xml:space="preserve">[8] </w:t>
      </w:r>
      <w:proofErr w:type="spellStart"/>
      <w:r w:rsidRPr="00F40C30">
        <w:rPr>
          <w:rFonts w:asciiTheme="minorBidi" w:hAnsiTheme="minorBidi"/>
          <w:sz w:val="24"/>
          <w:szCs w:val="24"/>
        </w:rPr>
        <w:t>Siefker-Radtke</w:t>
      </w:r>
      <w:proofErr w:type="spellEnd"/>
      <w:r w:rsidRPr="00F40C30">
        <w:rPr>
          <w:rFonts w:asciiTheme="minorBidi" w:hAnsiTheme="minorBidi"/>
          <w:sz w:val="24"/>
          <w:szCs w:val="24"/>
        </w:rPr>
        <w:t xml:space="preserve"> AO, Walsh GL, Pisters LL, et al. Is there a role for surgery in the management of metastatic urothelial cancer? </w:t>
      </w:r>
      <w:proofErr w:type="gramStart"/>
      <w:r w:rsidRPr="00F40C30">
        <w:rPr>
          <w:rFonts w:asciiTheme="minorBidi" w:hAnsiTheme="minorBidi"/>
          <w:sz w:val="24"/>
          <w:szCs w:val="24"/>
        </w:rPr>
        <w:t>The M. D. Anderson experience.</w:t>
      </w:r>
      <w:proofErr w:type="gramEnd"/>
      <w:r w:rsidRPr="00F40C30">
        <w:rPr>
          <w:rFonts w:asciiTheme="minorBidi" w:hAnsiTheme="minorBidi"/>
          <w:sz w:val="24"/>
          <w:szCs w:val="24"/>
        </w:rPr>
        <w:t xml:space="preserve"> J </w:t>
      </w:r>
      <w:proofErr w:type="spellStart"/>
      <w:r w:rsidRPr="00F40C30">
        <w:rPr>
          <w:rFonts w:asciiTheme="minorBidi" w:hAnsiTheme="minorBidi"/>
          <w:sz w:val="24"/>
          <w:szCs w:val="24"/>
        </w:rPr>
        <w:t>Urol</w:t>
      </w:r>
      <w:proofErr w:type="spellEnd"/>
      <w:r w:rsidRPr="00F40C30">
        <w:rPr>
          <w:rFonts w:asciiTheme="minorBidi" w:hAnsiTheme="minorBidi"/>
          <w:sz w:val="24"/>
          <w:szCs w:val="24"/>
        </w:rPr>
        <w:t xml:space="preserve"> 2004</w:t>
      </w:r>
      <w:proofErr w:type="gramStart"/>
      <w:r w:rsidRPr="00F40C30">
        <w:rPr>
          <w:rFonts w:asciiTheme="minorBidi" w:hAnsiTheme="minorBidi"/>
          <w:sz w:val="24"/>
          <w:szCs w:val="24"/>
        </w:rPr>
        <w:t>;171:145</w:t>
      </w:r>
      <w:proofErr w:type="gramEnd"/>
      <w:r w:rsidRPr="00F40C30">
        <w:rPr>
          <w:rFonts w:asciiTheme="minorBidi" w:hAnsiTheme="minorBidi"/>
          <w:sz w:val="24"/>
          <w:szCs w:val="24"/>
        </w:rPr>
        <w:t>–8.</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[9] Otto T, </w:t>
      </w:r>
      <w:proofErr w:type="spellStart"/>
      <w:r w:rsidRPr="00F40C30">
        <w:rPr>
          <w:rFonts w:asciiTheme="minorBidi" w:hAnsiTheme="minorBidi"/>
          <w:sz w:val="24"/>
          <w:szCs w:val="24"/>
        </w:rPr>
        <w:t>Krege</w:t>
      </w:r>
      <w:proofErr w:type="spellEnd"/>
      <w:r w:rsidRPr="00F40C30">
        <w:rPr>
          <w:rFonts w:asciiTheme="minorBidi" w:hAnsiTheme="minorBidi"/>
          <w:sz w:val="24"/>
          <w:szCs w:val="24"/>
        </w:rPr>
        <w:t xml:space="preserve"> S, Suhr J, </w:t>
      </w:r>
      <w:proofErr w:type="spellStart"/>
      <w:r w:rsidRPr="00F40C30">
        <w:rPr>
          <w:rFonts w:asciiTheme="minorBidi" w:hAnsiTheme="minorBidi"/>
          <w:sz w:val="24"/>
          <w:szCs w:val="24"/>
        </w:rPr>
        <w:t>Rübben</w:t>
      </w:r>
      <w:proofErr w:type="spellEnd"/>
      <w:r w:rsidRPr="00F40C30">
        <w:rPr>
          <w:rFonts w:asciiTheme="minorBidi" w:hAnsiTheme="minorBidi"/>
          <w:sz w:val="24"/>
          <w:szCs w:val="24"/>
        </w:rPr>
        <w:t xml:space="preserve"> H. Impact of surgical resection of bladder cancer metastases refractory to systemic therapy on performance score: a phase II trial. Urology 2001</w:t>
      </w:r>
      <w:proofErr w:type="gramStart"/>
      <w:r w:rsidRPr="00F40C30">
        <w:rPr>
          <w:rFonts w:asciiTheme="minorBidi" w:hAnsiTheme="minorBidi"/>
          <w:sz w:val="24"/>
          <w:szCs w:val="24"/>
        </w:rPr>
        <w:t>;57:55</w:t>
      </w:r>
      <w:proofErr w:type="gramEnd"/>
      <w:r w:rsidRPr="00F40C30">
        <w:rPr>
          <w:rFonts w:asciiTheme="minorBidi" w:hAnsiTheme="minorBidi"/>
          <w:sz w:val="24"/>
          <w:szCs w:val="24"/>
        </w:rPr>
        <w:t>–9.</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lang w:val="de-DE"/>
        </w:rPr>
        <w:t xml:space="preserve">[10] Lehmann J, </w:t>
      </w:r>
      <w:proofErr w:type="spellStart"/>
      <w:r w:rsidRPr="00F40C30">
        <w:rPr>
          <w:rFonts w:asciiTheme="minorBidi" w:hAnsiTheme="minorBidi"/>
          <w:sz w:val="24"/>
          <w:szCs w:val="24"/>
          <w:lang w:val="de-DE"/>
        </w:rPr>
        <w:t>Suttmann</w:t>
      </w:r>
      <w:proofErr w:type="spellEnd"/>
      <w:r w:rsidRPr="00F40C30">
        <w:rPr>
          <w:rFonts w:asciiTheme="minorBidi" w:hAnsiTheme="minorBidi"/>
          <w:sz w:val="24"/>
          <w:szCs w:val="24"/>
          <w:lang w:val="de-DE"/>
        </w:rPr>
        <w:t xml:space="preserve"> H, Albers P, et al. </w:t>
      </w:r>
      <w:r w:rsidRPr="00F40C30">
        <w:rPr>
          <w:rFonts w:asciiTheme="minorBidi" w:hAnsiTheme="minorBidi"/>
          <w:sz w:val="24"/>
          <w:szCs w:val="24"/>
        </w:rPr>
        <w:t xml:space="preserve">Surgery for metastatic urothelial carcinoma with curative intent: the German experience (AUO AB 30/05). </w:t>
      </w:r>
      <w:proofErr w:type="spellStart"/>
      <w:r w:rsidRPr="00F40C30">
        <w:rPr>
          <w:rFonts w:asciiTheme="minorBidi" w:hAnsiTheme="minorBidi"/>
          <w:sz w:val="24"/>
          <w:szCs w:val="24"/>
        </w:rPr>
        <w:t>Eur</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Urol</w:t>
      </w:r>
      <w:proofErr w:type="spellEnd"/>
      <w:r w:rsidRPr="00F40C30">
        <w:rPr>
          <w:rFonts w:asciiTheme="minorBidi" w:hAnsiTheme="minorBidi"/>
          <w:sz w:val="24"/>
          <w:szCs w:val="24"/>
        </w:rPr>
        <w:t xml:space="preserve"> 2009</w:t>
      </w:r>
      <w:proofErr w:type="gramStart"/>
      <w:r w:rsidRPr="00F40C30">
        <w:rPr>
          <w:rFonts w:asciiTheme="minorBidi" w:hAnsiTheme="minorBidi"/>
          <w:sz w:val="24"/>
          <w:szCs w:val="24"/>
        </w:rPr>
        <w:t>;55:1293</w:t>
      </w:r>
      <w:proofErr w:type="gramEnd"/>
      <w:r w:rsidRPr="00F40C30">
        <w:rPr>
          <w:rFonts w:asciiTheme="minorBidi" w:hAnsiTheme="minorBidi"/>
          <w:sz w:val="24"/>
          <w:szCs w:val="24"/>
        </w:rPr>
        <w:t>–9.</w:t>
      </w:r>
    </w:p>
    <w:p w:rsidR="00F40C30" w:rsidRPr="00F40C30" w:rsidRDefault="00F40C30" w:rsidP="00F40C30">
      <w:pPr>
        <w:spacing w:after="0" w:line="480" w:lineRule="auto"/>
        <w:contextualSpacing/>
        <w:rPr>
          <w:rFonts w:asciiTheme="minorBidi" w:hAnsiTheme="minorBidi"/>
          <w:sz w:val="24"/>
          <w:szCs w:val="24"/>
          <w:lang w:val="pt-PT"/>
        </w:rPr>
      </w:pPr>
      <w:r w:rsidRPr="00F40C30">
        <w:rPr>
          <w:rFonts w:asciiTheme="minorBidi" w:hAnsiTheme="minorBidi"/>
          <w:sz w:val="24"/>
          <w:szCs w:val="24"/>
        </w:rPr>
        <w:t xml:space="preserve">[11] Abe T, Kitamura H, </w:t>
      </w:r>
      <w:proofErr w:type="spellStart"/>
      <w:r w:rsidRPr="00F40C30">
        <w:rPr>
          <w:rFonts w:asciiTheme="minorBidi" w:hAnsiTheme="minorBidi"/>
          <w:sz w:val="24"/>
          <w:szCs w:val="24"/>
        </w:rPr>
        <w:t>Obara</w:t>
      </w:r>
      <w:proofErr w:type="spellEnd"/>
      <w:r w:rsidRPr="00F40C30">
        <w:rPr>
          <w:rFonts w:asciiTheme="minorBidi" w:hAnsiTheme="minorBidi"/>
          <w:sz w:val="24"/>
          <w:szCs w:val="24"/>
        </w:rPr>
        <w:t xml:space="preserve"> W, et al. Outcome of </w:t>
      </w:r>
      <w:proofErr w:type="spellStart"/>
      <w:r w:rsidRPr="00F40C30">
        <w:rPr>
          <w:rFonts w:asciiTheme="minorBidi" w:hAnsiTheme="minorBidi"/>
          <w:sz w:val="24"/>
          <w:szCs w:val="24"/>
        </w:rPr>
        <w:t>metastasectomy</w:t>
      </w:r>
      <w:proofErr w:type="spellEnd"/>
      <w:r w:rsidRPr="00F40C30">
        <w:rPr>
          <w:rFonts w:asciiTheme="minorBidi" w:hAnsiTheme="minorBidi"/>
          <w:sz w:val="24"/>
          <w:szCs w:val="24"/>
        </w:rPr>
        <w:t xml:space="preserve"> for urothelial carcinoma: a </w:t>
      </w:r>
      <w:proofErr w:type="spellStart"/>
      <w:r w:rsidRPr="00F40C30">
        <w:rPr>
          <w:rFonts w:asciiTheme="minorBidi" w:hAnsiTheme="minorBidi"/>
          <w:sz w:val="24"/>
          <w:szCs w:val="24"/>
        </w:rPr>
        <w:t>multiinstitutional</w:t>
      </w:r>
      <w:proofErr w:type="spellEnd"/>
      <w:r w:rsidRPr="00F40C30">
        <w:rPr>
          <w:rFonts w:asciiTheme="minorBidi" w:hAnsiTheme="minorBidi"/>
          <w:sz w:val="24"/>
          <w:szCs w:val="24"/>
        </w:rPr>
        <w:t xml:space="preserve"> retrospective study in Japan. </w:t>
      </w:r>
      <w:r w:rsidRPr="00F40C30">
        <w:rPr>
          <w:rFonts w:asciiTheme="minorBidi" w:hAnsiTheme="minorBidi"/>
          <w:sz w:val="24"/>
          <w:szCs w:val="24"/>
          <w:lang w:val="pt-PT"/>
        </w:rPr>
        <w:t xml:space="preserve">J </w:t>
      </w:r>
      <w:proofErr w:type="spellStart"/>
      <w:r w:rsidRPr="00F40C30">
        <w:rPr>
          <w:rFonts w:asciiTheme="minorBidi" w:hAnsiTheme="minorBidi"/>
          <w:sz w:val="24"/>
          <w:szCs w:val="24"/>
          <w:lang w:val="pt-PT"/>
        </w:rPr>
        <w:t>Urol</w:t>
      </w:r>
      <w:proofErr w:type="spellEnd"/>
      <w:r w:rsidRPr="00F40C30">
        <w:rPr>
          <w:rFonts w:asciiTheme="minorBidi" w:hAnsiTheme="minorBidi"/>
          <w:sz w:val="24"/>
          <w:szCs w:val="24"/>
          <w:lang w:val="pt-PT"/>
        </w:rPr>
        <w:t xml:space="preserve"> 2014;191:</w:t>
      </w:r>
      <w:proofErr w:type="gramStart"/>
      <w:r w:rsidRPr="00F40C30">
        <w:rPr>
          <w:rFonts w:asciiTheme="minorBidi" w:hAnsiTheme="minorBidi"/>
          <w:sz w:val="24"/>
          <w:szCs w:val="24"/>
          <w:lang w:val="pt-PT"/>
        </w:rPr>
        <w:t>932–6.</w:t>
      </w:r>
      <w:proofErr w:type="gramEnd"/>
    </w:p>
    <w:p w:rsidR="00F40C30" w:rsidRPr="00F40C30" w:rsidRDefault="00F40C30" w:rsidP="00F40C30">
      <w:pPr>
        <w:spacing w:after="0" w:line="480" w:lineRule="auto"/>
        <w:contextualSpacing/>
        <w:rPr>
          <w:rFonts w:asciiTheme="minorBidi" w:hAnsiTheme="minorBidi"/>
          <w:sz w:val="24"/>
          <w:szCs w:val="24"/>
          <w:lang w:val="es-ES"/>
        </w:rPr>
      </w:pPr>
      <w:r w:rsidRPr="00F40C30">
        <w:rPr>
          <w:rFonts w:asciiTheme="minorBidi" w:hAnsiTheme="minorBidi"/>
          <w:sz w:val="24"/>
          <w:szCs w:val="24"/>
          <w:lang w:val="pt-PT"/>
        </w:rPr>
        <w:t xml:space="preserve">[12] </w:t>
      </w:r>
      <w:proofErr w:type="spellStart"/>
      <w:r w:rsidRPr="00F40C30">
        <w:rPr>
          <w:rFonts w:asciiTheme="minorBidi" w:hAnsiTheme="minorBidi"/>
          <w:sz w:val="24"/>
          <w:szCs w:val="24"/>
          <w:lang w:val="pt-PT"/>
        </w:rPr>
        <w:t>Matsuguma</w:t>
      </w:r>
      <w:proofErr w:type="spellEnd"/>
      <w:r w:rsidRPr="00F40C30">
        <w:rPr>
          <w:rFonts w:asciiTheme="minorBidi" w:hAnsiTheme="minorBidi"/>
          <w:sz w:val="24"/>
          <w:szCs w:val="24"/>
          <w:lang w:val="pt-PT"/>
        </w:rPr>
        <w:t xml:space="preserve"> H, </w:t>
      </w:r>
      <w:proofErr w:type="spellStart"/>
      <w:r w:rsidRPr="00F40C30">
        <w:rPr>
          <w:rFonts w:asciiTheme="minorBidi" w:hAnsiTheme="minorBidi"/>
          <w:sz w:val="24"/>
          <w:szCs w:val="24"/>
          <w:lang w:val="pt-PT"/>
        </w:rPr>
        <w:t>Yoshino</w:t>
      </w:r>
      <w:proofErr w:type="spellEnd"/>
      <w:r w:rsidRPr="00F40C30">
        <w:rPr>
          <w:rFonts w:asciiTheme="minorBidi" w:hAnsiTheme="minorBidi"/>
          <w:sz w:val="24"/>
          <w:szCs w:val="24"/>
          <w:lang w:val="pt-PT"/>
        </w:rPr>
        <w:t xml:space="preserve"> I, </w:t>
      </w:r>
      <w:proofErr w:type="spellStart"/>
      <w:r w:rsidRPr="00F40C30">
        <w:rPr>
          <w:rFonts w:asciiTheme="minorBidi" w:hAnsiTheme="minorBidi"/>
          <w:sz w:val="24"/>
          <w:szCs w:val="24"/>
          <w:lang w:val="pt-PT"/>
        </w:rPr>
        <w:t>Ito</w:t>
      </w:r>
      <w:proofErr w:type="spellEnd"/>
      <w:r w:rsidRPr="00F40C30">
        <w:rPr>
          <w:rFonts w:asciiTheme="minorBidi" w:hAnsiTheme="minorBidi"/>
          <w:sz w:val="24"/>
          <w:szCs w:val="24"/>
          <w:lang w:val="pt-PT"/>
        </w:rPr>
        <w:t xml:space="preserve"> H, </w:t>
      </w:r>
      <w:proofErr w:type="spellStart"/>
      <w:r w:rsidRPr="00F40C30">
        <w:rPr>
          <w:rFonts w:asciiTheme="minorBidi" w:hAnsiTheme="minorBidi"/>
          <w:sz w:val="24"/>
          <w:szCs w:val="24"/>
          <w:lang w:val="pt-PT"/>
        </w:rPr>
        <w:t>et</w:t>
      </w:r>
      <w:proofErr w:type="spellEnd"/>
      <w:r w:rsidRPr="00F40C30">
        <w:rPr>
          <w:rFonts w:asciiTheme="minorBidi" w:hAnsiTheme="minorBidi"/>
          <w:sz w:val="24"/>
          <w:szCs w:val="24"/>
          <w:lang w:val="pt-PT"/>
        </w:rPr>
        <w:t xml:space="preserve"> al. </w:t>
      </w:r>
      <w:r w:rsidRPr="00F40C30">
        <w:rPr>
          <w:rFonts w:asciiTheme="minorBidi" w:hAnsiTheme="minorBidi"/>
          <w:sz w:val="24"/>
          <w:szCs w:val="24"/>
        </w:rPr>
        <w:t xml:space="preserve">Is there a </w:t>
      </w:r>
      <w:proofErr w:type="gramStart"/>
      <w:r w:rsidRPr="00F40C30">
        <w:rPr>
          <w:rFonts w:asciiTheme="minorBidi" w:hAnsiTheme="minorBidi"/>
          <w:sz w:val="24"/>
          <w:szCs w:val="24"/>
        </w:rPr>
        <w:t>role</w:t>
      </w:r>
      <w:proofErr w:type="gramEnd"/>
      <w:r w:rsidRPr="00F40C30">
        <w:rPr>
          <w:rFonts w:asciiTheme="minorBidi" w:hAnsiTheme="minorBidi"/>
          <w:sz w:val="24"/>
          <w:szCs w:val="24"/>
        </w:rPr>
        <w:t xml:space="preserve"> </w:t>
      </w:r>
      <w:proofErr w:type="gramStart"/>
      <w:r w:rsidRPr="00F40C30">
        <w:rPr>
          <w:rFonts w:asciiTheme="minorBidi" w:hAnsiTheme="minorBidi"/>
          <w:sz w:val="24"/>
          <w:szCs w:val="24"/>
        </w:rPr>
        <w:t>for</w:t>
      </w:r>
      <w:proofErr w:type="gramEnd"/>
      <w:r w:rsidRPr="00F40C30">
        <w:rPr>
          <w:rFonts w:asciiTheme="minorBidi" w:hAnsiTheme="minorBidi"/>
          <w:sz w:val="24"/>
          <w:szCs w:val="24"/>
        </w:rPr>
        <w:t xml:space="preserve"> pulmonary </w:t>
      </w:r>
      <w:proofErr w:type="spellStart"/>
      <w:r w:rsidRPr="00F40C30">
        <w:rPr>
          <w:rFonts w:asciiTheme="minorBidi" w:hAnsiTheme="minorBidi"/>
          <w:sz w:val="24"/>
          <w:szCs w:val="24"/>
        </w:rPr>
        <w:t>metastasectomy</w:t>
      </w:r>
      <w:proofErr w:type="spellEnd"/>
      <w:r w:rsidRPr="00F40C30">
        <w:rPr>
          <w:rFonts w:asciiTheme="minorBidi" w:hAnsiTheme="minorBidi"/>
          <w:sz w:val="24"/>
          <w:szCs w:val="24"/>
        </w:rPr>
        <w:t xml:space="preserve"> with a curative intent in patients with metastatic urinary transitional cell carcinoma? </w:t>
      </w:r>
      <w:r w:rsidRPr="00F40C30">
        <w:rPr>
          <w:rFonts w:asciiTheme="minorBidi" w:hAnsiTheme="minorBidi"/>
          <w:sz w:val="24"/>
          <w:szCs w:val="24"/>
          <w:lang w:val="es-ES"/>
        </w:rPr>
        <w:t xml:space="preserve">Ann </w:t>
      </w:r>
      <w:proofErr w:type="spellStart"/>
      <w:r w:rsidRPr="00F40C30">
        <w:rPr>
          <w:rFonts w:asciiTheme="minorBidi" w:hAnsiTheme="minorBidi"/>
          <w:sz w:val="24"/>
          <w:szCs w:val="24"/>
          <w:lang w:val="es-ES"/>
        </w:rPr>
        <w:t>Thorac</w:t>
      </w:r>
      <w:proofErr w:type="spellEnd"/>
      <w:r w:rsidRPr="00F40C30">
        <w:rPr>
          <w:rFonts w:asciiTheme="minorBidi" w:hAnsiTheme="minorBidi"/>
          <w:sz w:val="24"/>
          <w:szCs w:val="24"/>
          <w:lang w:val="es-ES"/>
        </w:rPr>
        <w:t xml:space="preserve"> </w:t>
      </w:r>
      <w:proofErr w:type="spellStart"/>
      <w:r w:rsidRPr="00F40C30">
        <w:rPr>
          <w:rFonts w:asciiTheme="minorBidi" w:hAnsiTheme="minorBidi"/>
          <w:sz w:val="24"/>
          <w:szCs w:val="24"/>
          <w:lang w:val="es-ES"/>
        </w:rPr>
        <w:t>Surg</w:t>
      </w:r>
      <w:proofErr w:type="spellEnd"/>
      <w:r w:rsidRPr="00F40C30">
        <w:rPr>
          <w:rFonts w:asciiTheme="minorBidi" w:hAnsiTheme="minorBidi"/>
          <w:sz w:val="24"/>
          <w:szCs w:val="24"/>
          <w:lang w:val="es-ES"/>
        </w:rPr>
        <w:t xml:space="preserve"> 2011</w:t>
      </w:r>
      <w:proofErr w:type="gramStart"/>
      <w:r w:rsidRPr="00F40C30">
        <w:rPr>
          <w:rFonts w:asciiTheme="minorBidi" w:hAnsiTheme="minorBidi"/>
          <w:sz w:val="24"/>
          <w:szCs w:val="24"/>
          <w:lang w:val="es-ES"/>
        </w:rPr>
        <w:t>;92</w:t>
      </w:r>
      <w:proofErr w:type="gramEnd"/>
      <w:r w:rsidRPr="00F40C30">
        <w:rPr>
          <w:rFonts w:asciiTheme="minorBidi" w:hAnsiTheme="minorBidi"/>
          <w:sz w:val="24"/>
          <w:szCs w:val="24"/>
          <w:lang w:val="es-ES"/>
        </w:rPr>
        <w:t>: 449–54.</w:t>
      </w:r>
    </w:p>
    <w:p w:rsidR="00F40C30" w:rsidRPr="00F40C30" w:rsidRDefault="00F40C30" w:rsidP="00F40C30">
      <w:pPr>
        <w:spacing w:after="0" w:line="480" w:lineRule="auto"/>
        <w:contextualSpacing/>
        <w:rPr>
          <w:rFonts w:asciiTheme="minorBidi" w:hAnsiTheme="minorBidi"/>
          <w:sz w:val="24"/>
          <w:szCs w:val="24"/>
        </w:rPr>
      </w:pPr>
      <w:r w:rsidRPr="0087049D">
        <w:rPr>
          <w:rFonts w:asciiTheme="minorBidi" w:hAnsiTheme="minorBidi"/>
          <w:sz w:val="24"/>
          <w:szCs w:val="24"/>
          <w:lang w:val="es-ES"/>
        </w:rPr>
        <w:t xml:space="preserve">[13] Hermans TJ, Fransen van de Putte EE, Horenblas S, et al. </w:t>
      </w:r>
      <w:r w:rsidRPr="00F40C30">
        <w:rPr>
          <w:rFonts w:asciiTheme="minorBidi" w:hAnsiTheme="minorBidi"/>
          <w:sz w:val="24"/>
          <w:szCs w:val="24"/>
        </w:rPr>
        <w:t xml:space="preserve">Pathological </w:t>
      </w:r>
      <w:proofErr w:type="spellStart"/>
      <w:r w:rsidRPr="00F40C30">
        <w:rPr>
          <w:rFonts w:asciiTheme="minorBidi" w:hAnsiTheme="minorBidi"/>
          <w:sz w:val="24"/>
          <w:szCs w:val="24"/>
        </w:rPr>
        <w:t>downstaging</w:t>
      </w:r>
      <w:proofErr w:type="spellEnd"/>
      <w:r w:rsidRPr="00F40C30">
        <w:rPr>
          <w:rFonts w:asciiTheme="minorBidi" w:hAnsiTheme="minorBidi"/>
          <w:sz w:val="24"/>
          <w:szCs w:val="24"/>
        </w:rPr>
        <w:t xml:space="preserve"> and survival after induction chemotherapy and radical cystectomy for clinically node-positive bladder cancer-Results of a nationwide population-based study. </w:t>
      </w:r>
      <w:proofErr w:type="spellStart"/>
      <w:r w:rsidRPr="00F40C30">
        <w:rPr>
          <w:rFonts w:asciiTheme="minorBidi" w:hAnsiTheme="minorBidi"/>
          <w:sz w:val="24"/>
          <w:szCs w:val="24"/>
          <w:lang w:val="es-ES"/>
        </w:rPr>
        <w:t>Eur</w:t>
      </w:r>
      <w:proofErr w:type="spellEnd"/>
      <w:r w:rsidRPr="00F40C30">
        <w:rPr>
          <w:rFonts w:asciiTheme="minorBidi" w:hAnsiTheme="minorBidi"/>
          <w:sz w:val="24"/>
          <w:szCs w:val="24"/>
          <w:lang w:val="es-ES"/>
        </w:rPr>
        <w:t xml:space="preserve"> J Cancer 2016</w:t>
      </w:r>
      <w:proofErr w:type="gramStart"/>
      <w:r w:rsidRPr="00F40C30">
        <w:rPr>
          <w:rFonts w:asciiTheme="minorBidi" w:hAnsiTheme="minorBidi"/>
          <w:sz w:val="24"/>
          <w:szCs w:val="24"/>
          <w:lang w:val="es-ES"/>
        </w:rPr>
        <w:t>;69:1</w:t>
      </w:r>
      <w:proofErr w:type="gramEnd"/>
      <w:r w:rsidRPr="00F40C30">
        <w:rPr>
          <w:rFonts w:asciiTheme="minorBidi" w:hAnsiTheme="minorBidi"/>
          <w:sz w:val="24"/>
          <w:szCs w:val="24"/>
          <w:lang w:val="es-ES"/>
        </w:rPr>
        <w:t xml:space="preserve">–8. [14] </w:t>
      </w:r>
      <w:proofErr w:type="spellStart"/>
      <w:r w:rsidRPr="00F40C30">
        <w:rPr>
          <w:rFonts w:asciiTheme="minorBidi" w:hAnsiTheme="minorBidi"/>
          <w:sz w:val="24"/>
          <w:szCs w:val="24"/>
          <w:lang w:val="es-ES"/>
        </w:rPr>
        <w:t>Zargar-Shoshtari</w:t>
      </w:r>
      <w:proofErr w:type="spellEnd"/>
      <w:r w:rsidRPr="00F40C30">
        <w:rPr>
          <w:rFonts w:asciiTheme="minorBidi" w:hAnsiTheme="minorBidi"/>
          <w:sz w:val="24"/>
          <w:szCs w:val="24"/>
          <w:lang w:val="es-ES"/>
        </w:rPr>
        <w:t xml:space="preserve"> K, </w:t>
      </w:r>
      <w:proofErr w:type="spellStart"/>
      <w:r w:rsidRPr="00F40C30">
        <w:rPr>
          <w:rFonts w:asciiTheme="minorBidi" w:hAnsiTheme="minorBidi"/>
          <w:sz w:val="24"/>
          <w:szCs w:val="24"/>
          <w:lang w:val="es-ES"/>
        </w:rPr>
        <w:t>Zargar</w:t>
      </w:r>
      <w:proofErr w:type="spellEnd"/>
      <w:r w:rsidRPr="00F40C30">
        <w:rPr>
          <w:rFonts w:asciiTheme="minorBidi" w:hAnsiTheme="minorBidi"/>
          <w:sz w:val="24"/>
          <w:szCs w:val="24"/>
          <w:lang w:val="es-ES"/>
        </w:rPr>
        <w:t xml:space="preserve"> H, </w:t>
      </w:r>
      <w:proofErr w:type="spellStart"/>
      <w:r w:rsidRPr="00F40C30">
        <w:rPr>
          <w:rFonts w:asciiTheme="minorBidi" w:hAnsiTheme="minorBidi"/>
          <w:sz w:val="24"/>
          <w:szCs w:val="24"/>
          <w:lang w:val="es-ES"/>
        </w:rPr>
        <w:t>Lotan</w:t>
      </w:r>
      <w:proofErr w:type="spellEnd"/>
      <w:r w:rsidRPr="00F40C30">
        <w:rPr>
          <w:rFonts w:asciiTheme="minorBidi" w:hAnsiTheme="minorBidi"/>
          <w:sz w:val="24"/>
          <w:szCs w:val="24"/>
          <w:lang w:val="es-ES"/>
        </w:rPr>
        <w:t xml:space="preserve"> Y, et al. </w:t>
      </w:r>
      <w:r w:rsidRPr="00F40C30">
        <w:rPr>
          <w:rFonts w:asciiTheme="minorBidi" w:hAnsiTheme="minorBidi"/>
          <w:sz w:val="24"/>
          <w:szCs w:val="24"/>
        </w:rPr>
        <w:t xml:space="preserve">A multi-institutional analysis of outcomes of patients with clinically node positive urothelial bladder cancer treated with induction chemotherapy and radical cystectomy. J </w:t>
      </w:r>
      <w:proofErr w:type="spellStart"/>
      <w:r w:rsidRPr="00F40C30">
        <w:rPr>
          <w:rFonts w:asciiTheme="minorBidi" w:hAnsiTheme="minorBidi"/>
          <w:sz w:val="24"/>
          <w:szCs w:val="24"/>
        </w:rPr>
        <w:t>Urol</w:t>
      </w:r>
      <w:proofErr w:type="spellEnd"/>
      <w:r w:rsidRPr="00F40C30">
        <w:rPr>
          <w:rFonts w:asciiTheme="minorBidi" w:hAnsiTheme="minorBidi"/>
          <w:sz w:val="24"/>
          <w:szCs w:val="24"/>
        </w:rPr>
        <w:t xml:space="preserve"> 2016</w:t>
      </w:r>
      <w:proofErr w:type="gramStart"/>
      <w:r w:rsidRPr="00F40C30">
        <w:rPr>
          <w:rFonts w:asciiTheme="minorBidi" w:hAnsiTheme="minorBidi"/>
          <w:sz w:val="24"/>
          <w:szCs w:val="24"/>
        </w:rPr>
        <w:t>;195:53</w:t>
      </w:r>
      <w:proofErr w:type="gramEnd"/>
      <w:r w:rsidRPr="00F40C30">
        <w:rPr>
          <w:rFonts w:asciiTheme="minorBidi" w:hAnsiTheme="minorBidi"/>
          <w:sz w:val="24"/>
          <w:szCs w:val="24"/>
        </w:rPr>
        <w:t>–9.</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[15] </w:t>
      </w:r>
      <w:proofErr w:type="spellStart"/>
      <w:r w:rsidRPr="00F40C30">
        <w:rPr>
          <w:rFonts w:asciiTheme="minorBidi" w:hAnsiTheme="minorBidi"/>
          <w:sz w:val="24"/>
          <w:szCs w:val="24"/>
        </w:rPr>
        <w:t>Galsky</w:t>
      </w:r>
      <w:proofErr w:type="spellEnd"/>
      <w:r w:rsidRPr="00F40C30">
        <w:rPr>
          <w:rFonts w:asciiTheme="minorBidi" w:hAnsiTheme="minorBidi"/>
          <w:sz w:val="24"/>
          <w:szCs w:val="24"/>
        </w:rPr>
        <w:t xml:space="preserve"> MD, </w:t>
      </w:r>
      <w:proofErr w:type="spellStart"/>
      <w:r w:rsidRPr="00F40C30">
        <w:rPr>
          <w:rFonts w:asciiTheme="minorBidi" w:hAnsiTheme="minorBidi"/>
          <w:sz w:val="24"/>
          <w:szCs w:val="24"/>
        </w:rPr>
        <w:t>Stensland</w:t>
      </w:r>
      <w:proofErr w:type="spellEnd"/>
      <w:r w:rsidRPr="00F40C30">
        <w:rPr>
          <w:rFonts w:asciiTheme="minorBidi" w:hAnsiTheme="minorBidi"/>
          <w:sz w:val="24"/>
          <w:szCs w:val="24"/>
        </w:rPr>
        <w:t xml:space="preserve"> K, </w:t>
      </w:r>
      <w:proofErr w:type="spellStart"/>
      <w:r w:rsidRPr="00F40C30">
        <w:rPr>
          <w:rFonts w:asciiTheme="minorBidi" w:hAnsiTheme="minorBidi"/>
          <w:sz w:val="24"/>
          <w:szCs w:val="24"/>
        </w:rPr>
        <w:t>Sfakianos</w:t>
      </w:r>
      <w:proofErr w:type="spellEnd"/>
      <w:r w:rsidRPr="00F40C30">
        <w:rPr>
          <w:rFonts w:asciiTheme="minorBidi" w:hAnsiTheme="minorBidi"/>
          <w:sz w:val="24"/>
          <w:szCs w:val="24"/>
        </w:rPr>
        <w:t xml:space="preserve"> JP, et al. Comparative effective- ness of treatment strategies for bladder cancer with clinical evidence of regional lymph node involvement. J </w:t>
      </w:r>
      <w:proofErr w:type="spellStart"/>
      <w:r w:rsidRPr="00F40C30">
        <w:rPr>
          <w:rFonts w:asciiTheme="minorBidi" w:hAnsiTheme="minorBidi"/>
          <w:sz w:val="24"/>
          <w:szCs w:val="24"/>
        </w:rPr>
        <w:t>Clin</w:t>
      </w:r>
      <w:proofErr w:type="spellEnd"/>
      <w:r w:rsidRPr="00F40C30">
        <w:rPr>
          <w:rFonts w:asciiTheme="minorBidi" w:hAnsiTheme="minorBidi"/>
          <w:sz w:val="24"/>
          <w:szCs w:val="24"/>
        </w:rPr>
        <w:t xml:space="preserve"> </w:t>
      </w:r>
      <w:proofErr w:type="spellStart"/>
      <w:r w:rsidRPr="00F40C30">
        <w:rPr>
          <w:rFonts w:asciiTheme="minorBidi" w:hAnsiTheme="minorBidi"/>
          <w:sz w:val="24"/>
          <w:szCs w:val="24"/>
        </w:rPr>
        <w:t>Oncol</w:t>
      </w:r>
      <w:proofErr w:type="spellEnd"/>
      <w:r w:rsidRPr="00F40C30">
        <w:rPr>
          <w:rFonts w:asciiTheme="minorBidi" w:hAnsiTheme="minorBidi"/>
          <w:sz w:val="24"/>
          <w:szCs w:val="24"/>
        </w:rPr>
        <w:t xml:space="preserve"> 2016</w:t>
      </w:r>
      <w:proofErr w:type="gramStart"/>
      <w:r w:rsidRPr="00F40C30">
        <w:rPr>
          <w:rFonts w:asciiTheme="minorBidi" w:hAnsiTheme="minorBidi"/>
          <w:sz w:val="24"/>
          <w:szCs w:val="24"/>
        </w:rPr>
        <w:t>;34</w:t>
      </w:r>
      <w:proofErr w:type="gramEnd"/>
      <w:r w:rsidRPr="00F40C30">
        <w:rPr>
          <w:rFonts w:asciiTheme="minorBidi" w:hAnsiTheme="minorBidi"/>
          <w:sz w:val="24"/>
          <w:szCs w:val="24"/>
        </w:rPr>
        <w:t>: 2627–35.</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lastRenderedPageBreak/>
        <w:t>[16] Austin PC. Balance diagnostics for comparing the distribution of baseline covariates between treatment groups in propensity-score matched samples. Stat Med 2009</w:t>
      </w:r>
      <w:proofErr w:type="gramStart"/>
      <w:r w:rsidRPr="00F40C30">
        <w:rPr>
          <w:rFonts w:asciiTheme="minorBidi" w:hAnsiTheme="minorBidi"/>
          <w:sz w:val="24"/>
          <w:szCs w:val="24"/>
        </w:rPr>
        <w:t>;28:3083</w:t>
      </w:r>
      <w:proofErr w:type="gramEnd"/>
      <w:r w:rsidRPr="00F40C30">
        <w:rPr>
          <w:rFonts w:asciiTheme="minorBidi" w:hAnsiTheme="minorBidi"/>
          <w:sz w:val="24"/>
          <w:szCs w:val="24"/>
        </w:rPr>
        <w:t>–107.</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[17] McCaffrey DF, Griffin BA, </w:t>
      </w:r>
      <w:proofErr w:type="spellStart"/>
      <w:r w:rsidRPr="00F40C30">
        <w:rPr>
          <w:rFonts w:asciiTheme="minorBidi" w:hAnsiTheme="minorBidi"/>
          <w:sz w:val="24"/>
          <w:szCs w:val="24"/>
        </w:rPr>
        <w:t>Almirall</w:t>
      </w:r>
      <w:proofErr w:type="spellEnd"/>
      <w:r w:rsidRPr="00F40C30">
        <w:rPr>
          <w:rFonts w:asciiTheme="minorBidi" w:hAnsiTheme="minorBidi"/>
          <w:sz w:val="24"/>
          <w:szCs w:val="24"/>
        </w:rPr>
        <w:t xml:space="preserve"> D, et al. A tutorial on propensity score estimation for multiple treatments using generalized boosted models. Stat Med 2013</w:t>
      </w:r>
      <w:proofErr w:type="gramStart"/>
      <w:r w:rsidRPr="00F40C30">
        <w:rPr>
          <w:rFonts w:asciiTheme="minorBidi" w:hAnsiTheme="minorBidi"/>
          <w:sz w:val="24"/>
          <w:szCs w:val="24"/>
        </w:rPr>
        <w:t>;32:3388</w:t>
      </w:r>
      <w:proofErr w:type="gramEnd"/>
      <w:r w:rsidRPr="00F40C30">
        <w:rPr>
          <w:rFonts w:asciiTheme="minorBidi" w:hAnsiTheme="minorBidi"/>
          <w:sz w:val="24"/>
          <w:szCs w:val="24"/>
        </w:rPr>
        <w:t>–414.</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[18] Austin PC. The performance of different propensity score methods for estimating marginal hazard ratios. Stat Med 2013</w:t>
      </w:r>
      <w:proofErr w:type="gramStart"/>
      <w:r w:rsidRPr="00F40C30">
        <w:rPr>
          <w:rFonts w:asciiTheme="minorBidi" w:hAnsiTheme="minorBidi"/>
          <w:sz w:val="24"/>
          <w:szCs w:val="24"/>
        </w:rPr>
        <w:t>;32:2837</w:t>
      </w:r>
      <w:proofErr w:type="gramEnd"/>
      <w:r w:rsidRPr="00F40C30">
        <w:rPr>
          <w:rFonts w:asciiTheme="minorBidi" w:hAnsiTheme="minorBidi"/>
          <w:sz w:val="24"/>
          <w:szCs w:val="24"/>
        </w:rPr>
        <w:t>–49.</w:t>
      </w:r>
    </w:p>
    <w:p w:rsidR="00F40C30" w:rsidRPr="00F40C30" w:rsidRDefault="00F40C30" w:rsidP="00F40C30">
      <w:pPr>
        <w:spacing w:after="0" w:line="480" w:lineRule="auto"/>
        <w:contextualSpacing/>
        <w:rPr>
          <w:rFonts w:asciiTheme="minorBidi" w:hAnsiTheme="minorBidi"/>
          <w:sz w:val="24"/>
          <w:szCs w:val="24"/>
        </w:rPr>
      </w:pPr>
      <w:r w:rsidRPr="00F40C30">
        <w:rPr>
          <w:rFonts w:asciiTheme="minorBidi" w:hAnsiTheme="minorBidi"/>
          <w:sz w:val="24"/>
          <w:szCs w:val="24"/>
        </w:rPr>
        <w:t xml:space="preserve">[19] </w:t>
      </w:r>
      <w:proofErr w:type="spellStart"/>
      <w:r w:rsidRPr="00F40C30">
        <w:rPr>
          <w:rFonts w:asciiTheme="minorBidi" w:hAnsiTheme="minorBidi"/>
          <w:sz w:val="24"/>
          <w:szCs w:val="24"/>
        </w:rPr>
        <w:t>Colea</w:t>
      </w:r>
      <w:proofErr w:type="spellEnd"/>
      <w:r w:rsidRPr="00F40C30">
        <w:rPr>
          <w:rFonts w:asciiTheme="minorBidi" w:hAnsiTheme="minorBidi"/>
          <w:sz w:val="24"/>
          <w:szCs w:val="24"/>
        </w:rPr>
        <w:t xml:space="preserve"> SR, </w:t>
      </w:r>
      <w:proofErr w:type="spellStart"/>
      <w:r w:rsidRPr="00F40C30">
        <w:rPr>
          <w:rFonts w:asciiTheme="minorBidi" w:hAnsiTheme="minorBidi"/>
          <w:sz w:val="24"/>
          <w:szCs w:val="24"/>
        </w:rPr>
        <w:t>Hernán</w:t>
      </w:r>
      <w:proofErr w:type="spellEnd"/>
      <w:r w:rsidRPr="00F40C30">
        <w:rPr>
          <w:rFonts w:asciiTheme="minorBidi" w:hAnsiTheme="minorBidi"/>
          <w:sz w:val="24"/>
          <w:szCs w:val="24"/>
        </w:rPr>
        <w:t xml:space="preserve"> MA. Adjusted survival curves with inverse </w:t>
      </w:r>
      <w:proofErr w:type="spellStart"/>
      <w:r w:rsidRPr="00F40C30">
        <w:rPr>
          <w:rFonts w:asciiTheme="minorBidi" w:hAnsiTheme="minorBidi"/>
          <w:sz w:val="24"/>
          <w:szCs w:val="24"/>
        </w:rPr>
        <w:t>prob</w:t>
      </w:r>
      <w:proofErr w:type="spellEnd"/>
      <w:r w:rsidRPr="00F40C30">
        <w:rPr>
          <w:rFonts w:asciiTheme="minorBidi" w:hAnsiTheme="minorBidi"/>
          <w:sz w:val="24"/>
          <w:szCs w:val="24"/>
        </w:rPr>
        <w:t xml:space="preserve">-ability weights. </w:t>
      </w:r>
      <w:proofErr w:type="spellStart"/>
      <w:r w:rsidRPr="00F40C30">
        <w:rPr>
          <w:rFonts w:asciiTheme="minorBidi" w:hAnsiTheme="minorBidi"/>
          <w:sz w:val="24"/>
          <w:szCs w:val="24"/>
        </w:rPr>
        <w:t>Comput</w:t>
      </w:r>
      <w:proofErr w:type="spellEnd"/>
      <w:r w:rsidRPr="00F40C30">
        <w:rPr>
          <w:rFonts w:asciiTheme="minorBidi" w:hAnsiTheme="minorBidi"/>
          <w:sz w:val="24"/>
          <w:szCs w:val="24"/>
        </w:rPr>
        <w:t xml:space="preserve"> Methods Programs Biomed 2004</w:t>
      </w:r>
      <w:proofErr w:type="gramStart"/>
      <w:r w:rsidRPr="00F40C30">
        <w:rPr>
          <w:rFonts w:asciiTheme="minorBidi" w:hAnsiTheme="minorBidi"/>
          <w:sz w:val="24"/>
          <w:szCs w:val="24"/>
        </w:rPr>
        <w:t>;75:45</w:t>
      </w:r>
      <w:proofErr w:type="gramEnd"/>
      <w:r w:rsidRPr="00F40C30">
        <w:rPr>
          <w:rFonts w:asciiTheme="minorBidi" w:hAnsiTheme="minorBidi"/>
          <w:sz w:val="24"/>
          <w:szCs w:val="24"/>
        </w:rPr>
        <w:t>–9.</w:t>
      </w:r>
    </w:p>
    <w:sectPr w:rsidR="00F40C30" w:rsidRPr="00F40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44B8B"/>
    <w:multiLevelType w:val="hybridMultilevel"/>
    <w:tmpl w:val="B554D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30"/>
    <w:rsid w:val="0087049D"/>
    <w:rsid w:val="00F40C30"/>
    <w:rsid w:val="00FD74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4386</Words>
  <Characters>25006</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Crabb S.J</dc:creator>
  <cp:lastModifiedBy>Crabb S.J</cp:lastModifiedBy>
  <cp:revision>2</cp:revision>
  <dcterms:created xsi:type="dcterms:W3CDTF">2017-07-10T10:15:00Z</dcterms:created>
  <dcterms:modified xsi:type="dcterms:W3CDTF">2017-07-10T10:15:00Z</dcterms:modified>
</cp:coreProperties>
</file>