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63E7D" w14:textId="77777777" w:rsidR="00B23444" w:rsidRDefault="005E4537">
      <w:r>
        <w:t xml:space="preserve">Welcome to edition 2 of volume 11 of the Journal of Enabling Technologies.  In this edition, we have published four papers which we hope will be of interest to our readers. </w:t>
      </w:r>
      <w:r w:rsidR="000625CA">
        <w:t xml:space="preserve"> </w:t>
      </w:r>
      <w:r w:rsidR="00927462">
        <w:t xml:space="preserve">They cover a diverse range of issues: the first two relating to neurodiversity and autism. The first of these is a paper offering an account of the ways in which two autistic teenagers collaborated in developing an interactive game and the second a shorter commentary structured around </w:t>
      </w:r>
      <w:r w:rsidR="0037708B">
        <w:t>the proceedings of a seminar series.</w:t>
      </w:r>
      <w:r w:rsidR="00530C81">
        <w:t xml:space="preserve"> </w:t>
      </w:r>
      <w:r w:rsidR="00927462">
        <w:t>The third paper</w:t>
      </w:r>
      <w:r w:rsidR="00EE4542">
        <w:t xml:space="preserve"> of this issue</w:t>
      </w:r>
      <w:r w:rsidR="00927462">
        <w:t xml:space="preserve"> offers an interesting exploration of factors that shape professionals’ choice of graphic symbol sets commonly used to augment</w:t>
      </w:r>
      <w:r w:rsidR="00530C81">
        <w:t>,</w:t>
      </w:r>
      <w:r w:rsidR="00927462">
        <w:t xml:space="preserve"> or </w:t>
      </w:r>
      <w:r w:rsidR="00530C81">
        <w:t xml:space="preserve">act </w:t>
      </w:r>
      <w:r w:rsidR="00927462">
        <w:t>as a primary form of communication for people with learning disabilities of various kinds</w:t>
      </w:r>
      <w:r w:rsidR="00EE4542">
        <w:t>,</w:t>
      </w:r>
      <w:r w:rsidR="00927462">
        <w:t xml:space="preserve"> and the fourth another extremely interesting paper documenting the design and evaluation of a self-transfer device for wheelchair users. </w:t>
      </w:r>
    </w:p>
    <w:p w14:paraId="4097FF9A" w14:textId="04953A81" w:rsidR="00927462" w:rsidRDefault="00927462">
      <w:r>
        <w:t xml:space="preserve">Editorials usually try to whet the reader’s appetite for the contents of the edition by describing in a little more detail its contents. This one is no exception. </w:t>
      </w:r>
      <w:r w:rsidR="00127F4B">
        <w:t>We recognise that most of our readers will have specific research or professional interests and that not all of our papers will interest all our readers.  However, it is also true that sometimes papers offer insights that can be applied in other contexts and fields.  While the studies published here are small</w:t>
      </w:r>
      <w:r w:rsidR="00EE4542">
        <w:t>-</w:t>
      </w:r>
      <w:r w:rsidR="00127F4B">
        <w:t>scale and therefore not formally speaking generalizable, they nonetheless offer interesting observations that may be of inter-disciplinary interest.</w:t>
      </w:r>
    </w:p>
    <w:p w14:paraId="223587A5" w14:textId="5524C329" w:rsidR="00CB0326" w:rsidRDefault="005E4537">
      <w:r>
        <w:t xml:space="preserve">The first </w:t>
      </w:r>
      <w:r w:rsidR="008264BC">
        <w:t xml:space="preserve">paper by </w:t>
      </w:r>
      <w:r w:rsidR="008264BC" w:rsidRPr="00CB0326">
        <w:rPr>
          <w:b/>
        </w:rPr>
        <w:t>Bossav</w:t>
      </w:r>
      <w:r w:rsidR="00127F4B" w:rsidRPr="00CB0326">
        <w:rPr>
          <w:b/>
        </w:rPr>
        <w:t xml:space="preserve">it </w:t>
      </w:r>
      <w:r w:rsidR="00CB0326">
        <w:rPr>
          <w:b/>
        </w:rPr>
        <w:t xml:space="preserve">and </w:t>
      </w:r>
      <w:r w:rsidR="008264BC" w:rsidRPr="00CB0326">
        <w:rPr>
          <w:b/>
        </w:rPr>
        <w:t>Parsons</w:t>
      </w:r>
      <w:r w:rsidR="008264BC">
        <w:t xml:space="preserve"> is a small</w:t>
      </w:r>
      <w:r w:rsidR="00EE4542">
        <w:t>-</w:t>
      </w:r>
      <w:r w:rsidR="008264BC">
        <w:t>scale investigation of how two teenagers with autism participate</w:t>
      </w:r>
      <w:r w:rsidR="00EE4542">
        <w:t>d</w:t>
      </w:r>
      <w:r w:rsidR="008264BC">
        <w:t xml:space="preserve"> in the development of a computer</w:t>
      </w:r>
      <w:r w:rsidR="00EE4542">
        <w:t>-</w:t>
      </w:r>
      <w:r w:rsidR="008264BC">
        <w:t>based collaborative game.   The paper demonstrates the potential of younger people with autism to participate, problem</w:t>
      </w:r>
      <w:r w:rsidR="00EE4542">
        <w:t>-</w:t>
      </w:r>
      <w:r w:rsidR="008264BC">
        <w:t>solve and programme a computer game, but found that though they interacted via the computer and were inventive and creatively involved in the construction of the game, they did not</w:t>
      </w:r>
      <w:r w:rsidR="00EE4542">
        <w:t xml:space="preserve"> tend to</w:t>
      </w:r>
      <w:r w:rsidR="008264BC">
        <w:t xml:space="preserve"> interact with one another, but with adult professionals who supervised the </w:t>
      </w:r>
      <w:r w:rsidR="00EE4542">
        <w:t>project</w:t>
      </w:r>
      <w:r w:rsidR="008264BC">
        <w:t>.  The authors nonetheless make the insightful claim that even though peer-to-peer interaction was indirect, interactive games such as the one used</w:t>
      </w:r>
      <w:r w:rsidR="00EE4542">
        <w:t>,</w:t>
      </w:r>
      <w:r w:rsidR="008264BC">
        <w:t xml:space="preserve"> can help disengaged students develop new skills though they caution that collaborative learning is unlikely through an interactive game alone.  The study concludes with </w:t>
      </w:r>
      <w:r w:rsidR="00CB0326">
        <w:t xml:space="preserve">some insights into the </w:t>
      </w:r>
      <w:r w:rsidR="0037708B">
        <w:t xml:space="preserve">potential of interactive games </w:t>
      </w:r>
      <w:r w:rsidR="00CB0326">
        <w:t xml:space="preserve">to support learning amongst other people on the autism spectrum. </w:t>
      </w:r>
    </w:p>
    <w:p w14:paraId="7AA19077" w14:textId="4A6653B1" w:rsidR="005E4537" w:rsidRDefault="00CB0326">
      <w:r>
        <w:t xml:space="preserve">The second paper by </w:t>
      </w:r>
      <w:r w:rsidRPr="00CB0326">
        <w:rPr>
          <w:b/>
        </w:rPr>
        <w:t xml:space="preserve">Brosnan </w:t>
      </w:r>
      <w:r w:rsidR="00EE4542">
        <w:t>and colleagues</w:t>
      </w:r>
      <w:r w:rsidR="008264BC">
        <w:t xml:space="preserve"> </w:t>
      </w:r>
      <w:r>
        <w:t xml:space="preserve">is a shorter </w:t>
      </w:r>
      <w:r w:rsidR="00EE4542">
        <w:t>project report</w:t>
      </w:r>
      <w:r>
        <w:t xml:space="preserve"> based around a seminar series: </w:t>
      </w:r>
      <w:r w:rsidRPr="00CB0326">
        <w:rPr>
          <w:i/>
        </w:rPr>
        <w:t>Innovative Technologies for Autism: Critical Reflections on Digital Bubbles</w:t>
      </w:r>
      <w:r>
        <w:t>.  The article</w:t>
      </w:r>
      <w:r w:rsidR="00EE4542">
        <w:t xml:space="preserve"> </w:t>
      </w:r>
      <w:r>
        <w:t xml:space="preserve">explores implications for neuro-diverse populations for technology developed </w:t>
      </w:r>
      <w:r w:rsidR="0037708B">
        <w:t xml:space="preserve">to support people </w:t>
      </w:r>
      <w:r w:rsidR="00EE4542">
        <w:t xml:space="preserve">with </w:t>
      </w:r>
      <w:r w:rsidR="0037708B">
        <w:t>autism</w:t>
      </w:r>
      <w:r w:rsidR="00EE4542">
        <w:t xml:space="preserve"> and their families / friends</w:t>
      </w:r>
      <w:r w:rsidR="0037708B">
        <w:t>.  Examples are offered of how everyday technologies can support families who have a child who has autism, and how changes in design and functionality can cause distress to children: a graphic example is offered of a</w:t>
      </w:r>
      <w:r w:rsidR="00EE4542">
        <w:t xml:space="preserve"> favourite</w:t>
      </w:r>
      <w:r w:rsidR="0037708B">
        <w:t xml:space="preserve"> media player</w:t>
      </w:r>
      <w:r w:rsidR="00EE4542">
        <w:t xml:space="preserve"> of a young woman with autism</w:t>
      </w:r>
      <w:r w:rsidR="0037708B">
        <w:t xml:space="preserve"> that malfunctioned and could not readily be replaced.  Key principles on which participants</w:t>
      </w:r>
      <w:r w:rsidR="00F305DD">
        <w:t xml:space="preserve"> of the seminar</w:t>
      </w:r>
      <w:r w:rsidR="0037708B">
        <w:t xml:space="preserve"> seemed in agreement were for the need for deep engagement with neuro-diverse people when developing new or existing technologies, the inter-disciplinarian nature of such development, the </w:t>
      </w:r>
      <w:r w:rsidR="00F305DD">
        <w:t>importance of</w:t>
      </w:r>
      <w:r w:rsidR="0037708B">
        <w:t xml:space="preserve"> address</w:t>
      </w:r>
      <w:r w:rsidR="00F305DD">
        <w:t>ing</w:t>
      </w:r>
      <w:r w:rsidR="0037708B">
        <w:t xml:space="preserve"> individual need</w:t>
      </w:r>
      <w:r w:rsidR="00F305DD">
        <w:t>s</w:t>
      </w:r>
      <w:r w:rsidR="0037708B">
        <w:t xml:space="preserve"> in highly person-centred ways</w:t>
      </w:r>
      <w:r w:rsidR="00F305DD">
        <w:t>,</w:t>
      </w:r>
      <w:r w:rsidR="0037708B">
        <w:t xml:space="preserve"> and for technologies to offer practicality.  </w:t>
      </w:r>
    </w:p>
    <w:p w14:paraId="23302908" w14:textId="06D9A310" w:rsidR="0037708B" w:rsidRDefault="0037708B">
      <w:r>
        <w:t xml:space="preserve">The third paper by </w:t>
      </w:r>
      <w:r w:rsidRPr="0037708B">
        <w:rPr>
          <w:b/>
        </w:rPr>
        <w:t>Pampoulou</w:t>
      </w:r>
      <w:r>
        <w:rPr>
          <w:b/>
        </w:rPr>
        <w:t xml:space="preserve"> </w:t>
      </w:r>
      <w:r>
        <w:t>focuses primarily on professionals working with disabled people rather than disabled people themselves</w:t>
      </w:r>
      <w:r w:rsidR="00D7419A">
        <w:t xml:space="preserve">, and looks at factors that determine which graphic symbol sets </w:t>
      </w:r>
      <w:r w:rsidR="00F305DD">
        <w:t>are</w:t>
      </w:r>
      <w:r w:rsidR="00D7419A">
        <w:t xml:space="preserve"> used by professionals to communicate with disabled children and adults. </w:t>
      </w:r>
      <w:r>
        <w:t>The topic is an interesting one, though, as the author herself points out, one that is</w:t>
      </w:r>
      <w:r w:rsidR="00F305DD">
        <w:t xml:space="preserve"> often</w:t>
      </w:r>
      <w:r>
        <w:t xml:space="preserve"> overlooked</w:t>
      </w:r>
      <w:r w:rsidR="00583821">
        <w:t xml:space="preserve"> by researchers</w:t>
      </w:r>
      <w:r w:rsidR="00F305DD">
        <w:t xml:space="preserve">. This means that, as Pampoulou’s paper suggests, </w:t>
      </w:r>
      <w:r w:rsidR="00583821">
        <w:t>professionals often tend to be guided –by what is available to them, and their own experience and familiarity with particular forms of graphic symbol sets</w:t>
      </w:r>
      <w:r w:rsidR="00F305DD">
        <w:t>, rather than by evidence. T</w:t>
      </w:r>
      <w:r w:rsidR="00583821">
        <w:t>he factors that support the choices made are the availability of some symbol sets (but not others)</w:t>
      </w:r>
      <w:r w:rsidR="00F305DD">
        <w:t>,</w:t>
      </w:r>
      <w:r w:rsidR="00583821">
        <w:t xml:space="preserve"> iconicity (the extent to which the symbol </w:t>
      </w:r>
      <w:r w:rsidR="00583821">
        <w:lastRenderedPageBreak/>
        <w:t>represents what it refers to</w:t>
      </w:r>
      <w:r w:rsidR="00F305DD">
        <w:t>)</w:t>
      </w:r>
      <w:r w:rsidR="00583821">
        <w:t>, and pre-existing policies within schools and other institutions</w:t>
      </w:r>
      <w:r w:rsidR="00F305DD">
        <w:t xml:space="preserve">. </w:t>
      </w:r>
      <w:r w:rsidR="00B3176D">
        <w:t>The authors correctly draw attention to the importance of this: assessments and plan</w:t>
      </w:r>
      <w:r w:rsidR="00F305DD">
        <w:t>ning</w:t>
      </w:r>
      <w:r w:rsidR="00B3176D">
        <w:t xml:space="preserve"> depend on effective communication and </w:t>
      </w:r>
      <w:r w:rsidR="00F305DD">
        <w:t>Pampoulou</w:t>
      </w:r>
      <w:r w:rsidR="00B3176D">
        <w:t xml:space="preserve"> call</w:t>
      </w:r>
      <w:r w:rsidR="00F305DD">
        <w:t>s</w:t>
      </w:r>
      <w:r w:rsidR="00B3176D">
        <w:t xml:space="preserve"> for more research in the field of augment</w:t>
      </w:r>
      <w:r w:rsidR="00F305DD">
        <w:t>at</w:t>
      </w:r>
      <w:r w:rsidR="00B3176D">
        <w:t xml:space="preserve">ive and alternative communication (AAC). </w:t>
      </w:r>
    </w:p>
    <w:p w14:paraId="09A2DEDE" w14:textId="5D337379" w:rsidR="00B3176D" w:rsidRDefault="00B3176D" w:rsidP="00B3176D">
      <w:r>
        <w:t xml:space="preserve">The fourth paper is another really interesting read.  </w:t>
      </w:r>
      <w:r w:rsidRPr="00E826AD">
        <w:rPr>
          <w:b/>
        </w:rPr>
        <w:t>Pugazhenthi and Hari Krishnan</w:t>
      </w:r>
      <w:r>
        <w:t xml:space="preserve"> offer a fascinating account of the development and trial of a robotic self-transfer device for wheelchair users.  As the authors point out, much existing technology to support safe transfer is designed for use by carers rather than for self-use, and a self-operated device supports both goals of empowerment and independence.  </w:t>
      </w:r>
      <w:r w:rsidR="008A7A98">
        <w:t>The authors also suggest that by being designed to attach to a wheelchair, and its small size</w:t>
      </w:r>
      <w:r w:rsidR="00F305DD">
        <w:t>,</w:t>
      </w:r>
      <w:r w:rsidR="008A7A98">
        <w:t xml:space="preserve"> would make it suitable for most ordinary domestic environments as well as institutions</w:t>
      </w:r>
      <w:r w:rsidR="00F305DD">
        <w:t>.</w:t>
      </w:r>
      <w:r w:rsidR="008A7A98">
        <w:t xml:space="preserve"> </w:t>
      </w:r>
      <w:r w:rsidR="00F305DD">
        <w:t>I</w:t>
      </w:r>
      <w:r w:rsidR="008A7A98">
        <w:t xml:space="preserve">ts </w:t>
      </w:r>
      <w:r>
        <w:t>‘frugal’</w:t>
      </w:r>
      <w:r w:rsidR="008A7A98">
        <w:t xml:space="preserve"> design </w:t>
      </w:r>
      <w:r>
        <w:t>would</w:t>
      </w:r>
      <w:r w:rsidR="00F305DD">
        <w:t xml:space="preserve"> also</w:t>
      </w:r>
      <w:r>
        <w:t xml:space="preserve"> make it inexpensive to manufacture, in contrast with self-transfer devices that are currently available. </w:t>
      </w:r>
      <w:r w:rsidR="008A7A98">
        <w:t xml:space="preserve"> The authors report on a very small</w:t>
      </w:r>
      <w:r w:rsidR="00F305DD">
        <w:t>-</w:t>
      </w:r>
      <w:r w:rsidR="008A7A98">
        <w:t>scale evaluation of the effectiveness of the design which produced positive feedback from disabled participants.  This paper should be of particular interest to manufacturers</w:t>
      </w:r>
      <w:r w:rsidR="00F305DD">
        <w:t xml:space="preserve"> and researchers</w:t>
      </w:r>
      <w:r w:rsidR="008A7A98">
        <w:t xml:space="preserve">: there should be an enormous untapped market for a device of this kind providing larger trials confirm its reliability. </w:t>
      </w:r>
    </w:p>
    <w:p w14:paraId="484C9EA6" w14:textId="77777777" w:rsidR="008A7A98" w:rsidRDefault="008A7A98" w:rsidP="00B3176D">
      <w:r>
        <w:t xml:space="preserve">As ever, we would like to thank our reviewers who continue to offer timely, insightful and constructive comments to our contributors and to the contributors themselves for their interesting and useful papers. </w:t>
      </w:r>
    </w:p>
    <w:p w14:paraId="3E6F2264" w14:textId="77777777" w:rsidR="008A7A98" w:rsidRDefault="008A7A98" w:rsidP="00B3176D"/>
    <w:p w14:paraId="4887393C" w14:textId="77777777" w:rsidR="008A7A98" w:rsidRDefault="008A7A98" w:rsidP="00B3176D">
      <w:r>
        <w:t xml:space="preserve">John Woolham &amp; Sarah Parsons. </w:t>
      </w:r>
    </w:p>
    <w:p w14:paraId="06AB83A6" w14:textId="77777777" w:rsidR="008A7A98" w:rsidRPr="0037708B" w:rsidRDefault="008A7A98" w:rsidP="00B3176D"/>
    <w:p w14:paraId="7CE62A67" w14:textId="77777777" w:rsidR="00B3176D" w:rsidRPr="0037708B" w:rsidRDefault="00B3176D" w:rsidP="00B3176D">
      <w:bookmarkStart w:id="0" w:name="_GoBack"/>
      <w:bookmarkEnd w:id="0"/>
    </w:p>
    <w:sectPr w:rsidR="00B3176D" w:rsidRPr="00377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37"/>
    <w:rsid w:val="000625CA"/>
    <w:rsid w:val="00127F4B"/>
    <w:rsid w:val="0037708B"/>
    <w:rsid w:val="00530C81"/>
    <w:rsid w:val="00583821"/>
    <w:rsid w:val="005E4537"/>
    <w:rsid w:val="00807213"/>
    <w:rsid w:val="008264BC"/>
    <w:rsid w:val="008A7A98"/>
    <w:rsid w:val="00927462"/>
    <w:rsid w:val="00B23444"/>
    <w:rsid w:val="00B3176D"/>
    <w:rsid w:val="00CB0326"/>
    <w:rsid w:val="00D7419A"/>
    <w:rsid w:val="00E54F4B"/>
    <w:rsid w:val="00E826AD"/>
    <w:rsid w:val="00EE4542"/>
    <w:rsid w:val="00F3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71D4"/>
  <w15:docId w15:val="{92094CF7-5BF9-4F2B-ACC7-19121331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05DD"/>
    <w:rPr>
      <w:sz w:val="16"/>
      <w:szCs w:val="16"/>
    </w:rPr>
  </w:style>
  <w:style w:type="paragraph" w:styleId="CommentText">
    <w:name w:val="annotation text"/>
    <w:basedOn w:val="Normal"/>
    <w:link w:val="CommentTextChar"/>
    <w:uiPriority w:val="99"/>
    <w:semiHidden/>
    <w:unhideWhenUsed/>
    <w:rsid w:val="00F305DD"/>
    <w:pPr>
      <w:spacing w:line="240" w:lineRule="auto"/>
    </w:pPr>
    <w:rPr>
      <w:sz w:val="20"/>
      <w:szCs w:val="20"/>
    </w:rPr>
  </w:style>
  <w:style w:type="character" w:customStyle="1" w:styleId="CommentTextChar">
    <w:name w:val="Comment Text Char"/>
    <w:basedOn w:val="DefaultParagraphFont"/>
    <w:link w:val="CommentText"/>
    <w:uiPriority w:val="99"/>
    <w:semiHidden/>
    <w:rsid w:val="00F305DD"/>
    <w:rPr>
      <w:sz w:val="20"/>
      <w:szCs w:val="20"/>
    </w:rPr>
  </w:style>
  <w:style w:type="paragraph" w:styleId="CommentSubject">
    <w:name w:val="annotation subject"/>
    <w:basedOn w:val="CommentText"/>
    <w:next w:val="CommentText"/>
    <w:link w:val="CommentSubjectChar"/>
    <w:uiPriority w:val="99"/>
    <w:semiHidden/>
    <w:unhideWhenUsed/>
    <w:rsid w:val="00F305DD"/>
    <w:rPr>
      <w:b/>
      <w:bCs/>
    </w:rPr>
  </w:style>
  <w:style w:type="character" w:customStyle="1" w:styleId="CommentSubjectChar">
    <w:name w:val="Comment Subject Char"/>
    <w:basedOn w:val="CommentTextChar"/>
    <w:link w:val="CommentSubject"/>
    <w:uiPriority w:val="99"/>
    <w:semiHidden/>
    <w:rsid w:val="00F305DD"/>
    <w:rPr>
      <w:b/>
      <w:bCs/>
      <w:sz w:val="20"/>
      <w:szCs w:val="20"/>
    </w:rPr>
  </w:style>
  <w:style w:type="paragraph" w:styleId="BalloonText">
    <w:name w:val="Balloon Text"/>
    <w:basedOn w:val="Normal"/>
    <w:link w:val="BalloonTextChar"/>
    <w:uiPriority w:val="99"/>
    <w:semiHidden/>
    <w:unhideWhenUsed/>
    <w:rsid w:val="00F30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Parsons S.J.</cp:lastModifiedBy>
  <cp:revision>2</cp:revision>
  <dcterms:created xsi:type="dcterms:W3CDTF">2017-07-15T08:36:00Z</dcterms:created>
  <dcterms:modified xsi:type="dcterms:W3CDTF">2017-07-15T08:36:00Z</dcterms:modified>
</cp:coreProperties>
</file>