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C86E0" w14:textId="0C073EC0" w:rsidR="001126BC" w:rsidRPr="008374B5" w:rsidRDefault="00874E63" w:rsidP="008374B5">
      <w:pPr>
        <w:spacing w:after="0" w:line="360" w:lineRule="auto"/>
        <w:rPr>
          <w:rFonts w:ascii="Times New Roman" w:hAnsi="Times New Roman" w:cs="Times New Roman"/>
          <w:sz w:val="24"/>
          <w:szCs w:val="24"/>
        </w:rPr>
      </w:pPr>
      <w:bookmarkStart w:id="0" w:name="_GoBack"/>
      <w:bookmarkEnd w:id="0"/>
      <w:r w:rsidRPr="008374B5">
        <w:rPr>
          <w:rFonts w:ascii="Times New Roman" w:hAnsi="Times New Roman" w:cs="Times New Roman"/>
          <w:sz w:val="24"/>
          <w:szCs w:val="24"/>
        </w:rPr>
        <w:t xml:space="preserve">Circadian </w:t>
      </w:r>
      <w:r w:rsidR="001126BC" w:rsidRPr="008374B5">
        <w:rPr>
          <w:rFonts w:ascii="Times New Roman" w:hAnsi="Times New Roman" w:cs="Times New Roman"/>
          <w:sz w:val="24"/>
          <w:szCs w:val="24"/>
        </w:rPr>
        <w:t>feeding pattern</w:t>
      </w:r>
      <w:r w:rsidRPr="008374B5">
        <w:rPr>
          <w:rFonts w:ascii="Times New Roman" w:hAnsi="Times New Roman" w:cs="Times New Roman"/>
          <w:sz w:val="24"/>
          <w:szCs w:val="24"/>
        </w:rPr>
        <w:t>s</w:t>
      </w:r>
      <w:r w:rsidR="001126BC" w:rsidRPr="008374B5">
        <w:rPr>
          <w:rFonts w:ascii="Times New Roman" w:hAnsi="Times New Roman" w:cs="Times New Roman"/>
          <w:sz w:val="24"/>
          <w:szCs w:val="24"/>
        </w:rPr>
        <w:t xml:space="preserve"> of 12</w:t>
      </w:r>
      <w:r w:rsidR="000B1D17" w:rsidRPr="008374B5">
        <w:rPr>
          <w:rFonts w:ascii="Times New Roman" w:hAnsi="Times New Roman" w:cs="Times New Roman"/>
          <w:sz w:val="24"/>
          <w:szCs w:val="24"/>
        </w:rPr>
        <w:t>-</w:t>
      </w:r>
      <w:r w:rsidR="001126BC" w:rsidRPr="008374B5">
        <w:rPr>
          <w:rFonts w:ascii="Times New Roman" w:hAnsi="Times New Roman" w:cs="Times New Roman"/>
          <w:sz w:val="24"/>
          <w:szCs w:val="24"/>
        </w:rPr>
        <w:t>month</w:t>
      </w:r>
      <w:r w:rsidR="000B1D17" w:rsidRPr="008374B5">
        <w:rPr>
          <w:rFonts w:ascii="Times New Roman" w:hAnsi="Times New Roman" w:cs="Times New Roman"/>
          <w:sz w:val="24"/>
          <w:szCs w:val="24"/>
        </w:rPr>
        <w:t>-</w:t>
      </w:r>
      <w:r w:rsidR="001126BC" w:rsidRPr="008374B5">
        <w:rPr>
          <w:rFonts w:ascii="Times New Roman" w:hAnsi="Times New Roman" w:cs="Times New Roman"/>
          <w:sz w:val="24"/>
          <w:szCs w:val="24"/>
        </w:rPr>
        <w:t>old infants</w:t>
      </w:r>
    </w:p>
    <w:p w14:paraId="0097B845" w14:textId="77777777" w:rsidR="001E6B09" w:rsidRPr="008374B5" w:rsidRDefault="001E6B09" w:rsidP="008374B5">
      <w:pPr>
        <w:spacing w:after="0" w:line="360" w:lineRule="auto"/>
        <w:rPr>
          <w:rFonts w:ascii="Times New Roman" w:hAnsi="Times New Roman" w:cs="Times New Roman"/>
          <w:sz w:val="24"/>
          <w:szCs w:val="24"/>
        </w:rPr>
      </w:pPr>
    </w:p>
    <w:p w14:paraId="2CC5A213" w14:textId="084331E0" w:rsidR="0088403C" w:rsidRPr="008374B5" w:rsidRDefault="00026E02" w:rsidP="008374B5">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rPr>
        <w:t>Poh Hui Wee</w:t>
      </w:r>
      <w:r w:rsidRPr="008374B5">
        <w:rPr>
          <w:rFonts w:ascii="Times New Roman" w:hAnsi="Times New Roman" w:cs="Times New Roman"/>
          <w:sz w:val="24"/>
          <w:szCs w:val="24"/>
          <w:vertAlign w:val="superscript"/>
        </w:rPr>
        <w:t>1</w:t>
      </w:r>
      <w:r w:rsidRPr="008374B5">
        <w:rPr>
          <w:rFonts w:ascii="Times New Roman" w:hAnsi="Times New Roman" w:cs="Times New Roman"/>
          <w:sz w:val="24"/>
          <w:szCs w:val="24"/>
        </w:rPr>
        <w:t>, See Ling Loy</w:t>
      </w:r>
      <w:r w:rsidRPr="008374B5">
        <w:rPr>
          <w:rFonts w:ascii="Times New Roman" w:hAnsi="Times New Roman" w:cs="Times New Roman"/>
          <w:sz w:val="24"/>
          <w:szCs w:val="24"/>
          <w:vertAlign w:val="superscript"/>
        </w:rPr>
        <w:t>2</w:t>
      </w:r>
      <w:r w:rsidR="00774522" w:rsidRPr="008374B5">
        <w:rPr>
          <w:rFonts w:ascii="Times New Roman" w:hAnsi="Times New Roman" w:cs="Times New Roman"/>
          <w:sz w:val="24"/>
          <w:szCs w:val="24"/>
          <w:vertAlign w:val="superscript"/>
        </w:rPr>
        <w:t>,3</w:t>
      </w:r>
      <w:r w:rsidRPr="008374B5">
        <w:rPr>
          <w:rFonts w:ascii="Times New Roman" w:hAnsi="Times New Roman" w:cs="Times New Roman"/>
          <w:sz w:val="24"/>
          <w:szCs w:val="24"/>
        </w:rPr>
        <w:t xml:space="preserve">, </w:t>
      </w:r>
      <w:proofErr w:type="spellStart"/>
      <w:r w:rsidRPr="008374B5">
        <w:rPr>
          <w:rFonts w:ascii="Times New Roman" w:hAnsi="Times New Roman" w:cs="Times New Roman"/>
          <w:sz w:val="24"/>
          <w:szCs w:val="24"/>
        </w:rPr>
        <w:t>Jia</w:t>
      </w:r>
      <w:proofErr w:type="spellEnd"/>
      <w:r w:rsidRPr="008374B5">
        <w:rPr>
          <w:rFonts w:ascii="Times New Roman" w:hAnsi="Times New Roman" w:cs="Times New Roman"/>
          <w:sz w:val="24"/>
          <w:szCs w:val="24"/>
        </w:rPr>
        <w:t xml:space="preserve"> Ying Toh</w:t>
      </w:r>
      <w:r w:rsidR="00774522" w:rsidRPr="008374B5">
        <w:rPr>
          <w:rFonts w:ascii="Times New Roman" w:hAnsi="Times New Roman" w:cs="Times New Roman"/>
          <w:sz w:val="24"/>
          <w:szCs w:val="24"/>
          <w:vertAlign w:val="superscript"/>
        </w:rPr>
        <w:t>4</w:t>
      </w:r>
      <w:r w:rsidRPr="008374B5">
        <w:rPr>
          <w:rFonts w:ascii="Times New Roman" w:hAnsi="Times New Roman" w:cs="Times New Roman"/>
          <w:sz w:val="24"/>
          <w:szCs w:val="24"/>
        </w:rPr>
        <w:t xml:space="preserve">, </w:t>
      </w:r>
      <w:r w:rsidR="00B36211" w:rsidRPr="008374B5">
        <w:rPr>
          <w:rFonts w:ascii="Times New Roman" w:hAnsi="Times New Roman" w:cs="Times New Roman"/>
          <w:sz w:val="24"/>
          <w:szCs w:val="24"/>
        </w:rPr>
        <w:t>Elaine Kwang Hsia Tham</w:t>
      </w:r>
      <w:r w:rsidR="00D81C84" w:rsidRPr="008374B5">
        <w:rPr>
          <w:rFonts w:ascii="Times New Roman" w:hAnsi="Times New Roman" w:cs="Times New Roman"/>
          <w:sz w:val="24"/>
          <w:szCs w:val="24"/>
          <w:vertAlign w:val="superscript"/>
        </w:rPr>
        <w:t>4</w:t>
      </w:r>
      <w:r w:rsidR="00B36211" w:rsidRPr="008374B5">
        <w:rPr>
          <w:rFonts w:ascii="Times New Roman" w:hAnsi="Times New Roman" w:cs="Times New Roman"/>
          <w:sz w:val="24"/>
          <w:szCs w:val="24"/>
        </w:rPr>
        <w:t xml:space="preserve">, </w:t>
      </w:r>
      <w:r w:rsidRPr="008374B5">
        <w:rPr>
          <w:rFonts w:ascii="Times New Roman" w:hAnsi="Times New Roman" w:cs="Times New Roman"/>
          <w:sz w:val="24"/>
          <w:szCs w:val="24"/>
        </w:rPr>
        <w:t>Yin Bun Cheung</w:t>
      </w:r>
      <w:r w:rsidRPr="008374B5">
        <w:rPr>
          <w:rFonts w:ascii="Times New Roman" w:hAnsi="Times New Roman" w:cs="Times New Roman"/>
          <w:sz w:val="24"/>
          <w:szCs w:val="24"/>
          <w:vertAlign w:val="superscript"/>
        </w:rPr>
        <w:t>5</w:t>
      </w:r>
      <w:r w:rsidR="00774522" w:rsidRPr="008374B5">
        <w:rPr>
          <w:rFonts w:ascii="Times New Roman" w:hAnsi="Times New Roman" w:cs="Times New Roman"/>
          <w:sz w:val="24"/>
          <w:szCs w:val="24"/>
          <w:vertAlign w:val="superscript"/>
        </w:rPr>
        <w:t>,6</w:t>
      </w:r>
      <w:r w:rsidRPr="008374B5">
        <w:rPr>
          <w:rFonts w:ascii="Times New Roman" w:hAnsi="Times New Roman" w:cs="Times New Roman"/>
          <w:sz w:val="24"/>
          <w:szCs w:val="24"/>
        </w:rPr>
        <w:t>, Keith M. Godfrey</w:t>
      </w:r>
      <w:r w:rsidRPr="008374B5">
        <w:rPr>
          <w:rFonts w:ascii="Times New Roman" w:hAnsi="Times New Roman" w:cs="Times New Roman"/>
          <w:sz w:val="24"/>
          <w:szCs w:val="24"/>
          <w:vertAlign w:val="superscript"/>
        </w:rPr>
        <w:t>7,</w:t>
      </w:r>
      <w:r w:rsidR="007D099C" w:rsidRPr="008374B5">
        <w:rPr>
          <w:rFonts w:ascii="Times New Roman" w:hAnsi="Times New Roman" w:cs="Times New Roman"/>
          <w:sz w:val="24"/>
          <w:szCs w:val="24"/>
          <w:vertAlign w:val="superscript"/>
        </w:rPr>
        <w:t>8</w:t>
      </w:r>
      <w:r w:rsidR="007D099C" w:rsidRPr="008374B5">
        <w:rPr>
          <w:rFonts w:ascii="Times New Roman" w:hAnsi="Times New Roman" w:cs="Times New Roman"/>
          <w:sz w:val="24"/>
          <w:szCs w:val="24"/>
        </w:rPr>
        <w:t>,</w:t>
      </w:r>
      <w:r w:rsidRPr="008374B5">
        <w:rPr>
          <w:rFonts w:ascii="Times New Roman" w:hAnsi="Times New Roman" w:cs="Times New Roman"/>
          <w:sz w:val="24"/>
          <w:szCs w:val="24"/>
        </w:rPr>
        <w:t xml:space="preserve"> Peter D. Gluckman</w:t>
      </w:r>
      <w:r w:rsidR="00FC3B15" w:rsidRPr="008374B5">
        <w:rPr>
          <w:rFonts w:ascii="Times New Roman" w:hAnsi="Times New Roman" w:cs="Times New Roman"/>
          <w:sz w:val="24"/>
          <w:szCs w:val="24"/>
          <w:vertAlign w:val="superscript"/>
        </w:rPr>
        <w:t>4,9</w:t>
      </w:r>
      <w:r w:rsidRPr="008374B5">
        <w:rPr>
          <w:rFonts w:ascii="Times New Roman" w:hAnsi="Times New Roman" w:cs="Times New Roman"/>
          <w:sz w:val="24"/>
          <w:szCs w:val="24"/>
        </w:rPr>
        <w:t>, Seang Mei Saw</w:t>
      </w:r>
      <w:r w:rsidR="00FC3B15" w:rsidRPr="008374B5">
        <w:rPr>
          <w:rFonts w:ascii="Times New Roman" w:hAnsi="Times New Roman" w:cs="Times New Roman"/>
          <w:sz w:val="24"/>
          <w:szCs w:val="24"/>
          <w:vertAlign w:val="superscript"/>
        </w:rPr>
        <w:t>10</w:t>
      </w:r>
      <w:r w:rsidRPr="008374B5">
        <w:rPr>
          <w:rFonts w:ascii="Times New Roman" w:hAnsi="Times New Roman" w:cs="Times New Roman"/>
          <w:sz w:val="24"/>
          <w:szCs w:val="24"/>
        </w:rPr>
        <w:t>, Yap</w:t>
      </w:r>
      <w:r w:rsidR="000B1D17" w:rsidRPr="008374B5">
        <w:rPr>
          <w:rFonts w:ascii="Times New Roman" w:hAnsi="Times New Roman" w:cs="Times New Roman"/>
          <w:sz w:val="24"/>
          <w:szCs w:val="24"/>
        </w:rPr>
        <w:t>-</w:t>
      </w:r>
      <w:r w:rsidRPr="008374B5">
        <w:rPr>
          <w:rFonts w:ascii="Times New Roman" w:hAnsi="Times New Roman" w:cs="Times New Roman"/>
          <w:sz w:val="24"/>
          <w:szCs w:val="24"/>
        </w:rPr>
        <w:t>Seng Chong</w:t>
      </w:r>
      <w:r w:rsidR="00FC3B15" w:rsidRPr="008374B5">
        <w:rPr>
          <w:rFonts w:ascii="Times New Roman" w:hAnsi="Times New Roman" w:cs="Times New Roman"/>
          <w:sz w:val="24"/>
          <w:szCs w:val="24"/>
          <w:vertAlign w:val="superscript"/>
        </w:rPr>
        <w:t>4</w:t>
      </w:r>
      <w:r w:rsidRPr="008374B5">
        <w:rPr>
          <w:rFonts w:ascii="Times New Roman" w:hAnsi="Times New Roman" w:cs="Times New Roman"/>
          <w:sz w:val="24"/>
          <w:szCs w:val="24"/>
          <w:vertAlign w:val="superscript"/>
        </w:rPr>
        <w:t>,1</w:t>
      </w:r>
      <w:r w:rsidR="00FC3B15" w:rsidRPr="008374B5">
        <w:rPr>
          <w:rFonts w:ascii="Times New Roman" w:hAnsi="Times New Roman" w:cs="Times New Roman"/>
          <w:sz w:val="24"/>
          <w:szCs w:val="24"/>
          <w:vertAlign w:val="superscript"/>
        </w:rPr>
        <w:t>1</w:t>
      </w:r>
      <w:r w:rsidRPr="008374B5">
        <w:rPr>
          <w:rFonts w:ascii="Times New Roman" w:hAnsi="Times New Roman" w:cs="Times New Roman"/>
          <w:sz w:val="24"/>
          <w:szCs w:val="24"/>
        </w:rPr>
        <w:t xml:space="preserve">, </w:t>
      </w:r>
      <w:r w:rsidR="0088403C" w:rsidRPr="008374B5">
        <w:rPr>
          <w:rFonts w:ascii="Times New Roman" w:hAnsi="Times New Roman" w:cs="Times New Roman"/>
          <w:sz w:val="24"/>
          <w:szCs w:val="24"/>
        </w:rPr>
        <w:t>Ngee Lek</w:t>
      </w:r>
      <w:r w:rsidR="00FC3B15" w:rsidRPr="008374B5">
        <w:rPr>
          <w:rFonts w:ascii="Times New Roman" w:hAnsi="Times New Roman" w:cs="Times New Roman"/>
          <w:sz w:val="24"/>
          <w:szCs w:val="24"/>
          <w:vertAlign w:val="superscript"/>
        </w:rPr>
        <w:t>1,3</w:t>
      </w:r>
      <w:r w:rsidRPr="008374B5">
        <w:rPr>
          <w:rFonts w:ascii="Times New Roman" w:hAnsi="Times New Roman" w:cs="Times New Roman"/>
          <w:sz w:val="24"/>
          <w:szCs w:val="24"/>
        </w:rPr>
        <w:t xml:space="preserve">, </w:t>
      </w:r>
      <w:r w:rsidR="00727DE6" w:rsidRPr="008374B5">
        <w:rPr>
          <w:rFonts w:ascii="Times New Roman" w:hAnsi="Times New Roman" w:cs="Times New Roman"/>
          <w:sz w:val="24"/>
          <w:szCs w:val="24"/>
        </w:rPr>
        <w:t>Jerry Kok Yen Chan</w:t>
      </w:r>
      <w:r w:rsidR="001E6B09" w:rsidRPr="008374B5">
        <w:rPr>
          <w:rFonts w:ascii="Times New Roman" w:hAnsi="Times New Roman" w:cs="Times New Roman"/>
          <w:sz w:val="24"/>
          <w:szCs w:val="24"/>
          <w:vertAlign w:val="superscript"/>
        </w:rPr>
        <w:t>2,</w:t>
      </w:r>
      <w:r w:rsidR="00FC3B15" w:rsidRPr="008374B5">
        <w:rPr>
          <w:rFonts w:ascii="Times New Roman" w:hAnsi="Times New Roman" w:cs="Times New Roman"/>
          <w:sz w:val="24"/>
          <w:szCs w:val="24"/>
          <w:vertAlign w:val="superscript"/>
        </w:rPr>
        <w:t>3</w:t>
      </w:r>
      <w:r w:rsidR="00727DE6" w:rsidRPr="008374B5">
        <w:rPr>
          <w:rFonts w:ascii="Times New Roman" w:hAnsi="Times New Roman" w:cs="Times New Roman"/>
          <w:sz w:val="24"/>
          <w:szCs w:val="24"/>
        </w:rPr>
        <w:t xml:space="preserve">, </w:t>
      </w:r>
      <w:r w:rsidR="001A5916" w:rsidRPr="008374B5">
        <w:rPr>
          <w:rFonts w:ascii="Times New Roman" w:hAnsi="Times New Roman" w:cs="Times New Roman"/>
          <w:sz w:val="24"/>
          <w:szCs w:val="24"/>
        </w:rPr>
        <w:t xml:space="preserve">Daniel </w:t>
      </w:r>
      <w:r w:rsidR="00B36211" w:rsidRPr="008374B5">
        <w:rPr>
          <w:rFonts w:ascii="Times New Roman" w:hAnsi="Times New Roman" w:cs="Times New Roman"/>
          <w:sz w:val="24"/>
          <w:szCs w:val="24"/>
        </w:rPr>
        <w:t>Yam Thiam Goh</w:t>
      </w:r>
      <w:r w:rsidR="00B36211" w:rsidRPr="008374B5">
        <w:rPr>
          <w:rFonts w:ascii="Times New Roman" w:hAnsi="Times New Roman" w:cs="Times New Roman"/>
          <w:sz w:val="24"/>
          <w:szCs w:val="24"/>
          <w:vertAlign w:val="superscript"/>
        </w:rPr>
        <w:t>12</w:t>
      </w:r>
      <w:r w:rsidR="00B36211" w:rsidRPr="008374B5">
        <w:rPr>
          <w:rFonts w:ascii="Times New Roman" w:hAnsi="Times New Roman" w:cs="Times New Roman"/>
          <w:sz w:val="24"/>
          <w:szCs w:val="24"/>
        </w:rPr>
        <w:t xml:space="preserve">, </w:t>
      </w:r>
      <w:r w:rsidR="00727DE6" w:rsidRPr="008374B5">
        <w:rPr>
          <w:rFonts w:ascii="Times New Roman" w:hAnsi="Times New Roman" w:cs="Times New Roman"/>
          <w:sz w:val="24"/>
          <w:szCs w:val="24"/>
        </w:rPr>
        <w:t>Mary Foong</w:t>
      </w:r>
      <w:r w:rsidR="000B1D17" w:rsidRPr="008374B5">
        <w:rPr>
          <w:rFonts w:ascii="Times New Roman" w:hAnsi="Times New Roman" w:cs="Times New Roman"/>
          <w:sz w:val="24"/>
          <w:szCs w:val="24"/>
        </w:rPr>
        <w:t>-</w:t>
      </w:r>
      <w:r w:rsidR="00727DE6" w:rsidRPr="008374B5">
        <w:rPr>
          <w:rFonts w:ascii="Times New Roman" w:hAnsi="Times New Roman" w:cs="Times New Roman"/>
          <w:sz w:val="24"/>
          <w:szCs w:val="24"/>
        </w:rPr>
        <w:t>Fong Chong</w:t>
      </w:r>
      <w:r w:rsidR="00FC3B15" w:rsidRPr="008374B5">
        <w:rPr>
          <w:rFonts w:ascii="Times New Roman" w:hAnsi="Times New Roman" w:cs="Times New Roman"/>
          <w:sz w:val="24"/>
          <w:szCs w:val="24"/>
          <w:vertAlign w:val="superscript"/>
        </w:rPr>
        <w:t>4</w:t>
      </w:r>
      <w:r w:rsidR="00516B15" w:rsidRPr="008374B5">
        <w:rPr>
          <w:rFonts w:ascii="Times New Roman" w:hAnsi="Times New Roman" w:cs="Times New Roman"/>
          <w:sz w:val="24"/>
          <w:szCs w:val="24"/>
          <w:vertAlign w:val="superscript"/>
        </w:rPr>
        <w:t>,</w:t>
      </w:r>
      <w:r w:rsidR="00110C48" w:rsidRPr="008374B5">
        <w:rPr>
          <w:rFonts w:ascii="Times New Roman" w:hAnsi="Times New Roman" w:cs="Times New Roman"/>
          <w:sz w:val="24"/>
          <w:szCs w:val="24"/>
          <w:vertAlign w:val="superscript"/>
        </w:rPr>
        <w:t>10,13</w:t>
      </w:r>
      <w:r w:rsidR="00727DE6" w:rsidRPr="008374B5">
        <w:rPr>
          <w:rFonts w:ascii="Times New Roman" w:hAnsi="Times New Roman" w:cs="Times New Roman"/>
          <w:sz w:val="24"/>
          <w:szCs w:val="24"/>
        </w:rPr>
        <w:t xml:space="preserve"> and </w:t>
      </w:r>
      <w:r w:rsidRPr="008374B5">
        <w:rPr>
          <w:rFonts w:ascii="Times New Roman" w:hAnsi="Times New Roman" w:cs="Times New Roman"/>
          <w:sz w:val="24"/>
          <w:szCs w:val="24"/>
        </w:rPr>
        <w:t xml:space="preserve">Fabian </w:t>
      </w:r>
      <w:r w:rsidR="00727DE6" w:rsidRPr="008374B5">
        <w:rPr>
          <w:rFonts w:ascii="Times New Roman" w:hAnsi="Times New Roman" w:cs="Times New Roman"/>
          <w:sz w:val="24"/>
          <w:szCs w:val="24"/>
        </w:rPr>
        <w:t>Yap</w:t>
      </w:r>
      <w:r w:rsidR="00110C48" w:rsidRPr="008374B5">
        <w:rPr>
          <w:rFonts w:ascii="Times New Roman" w:hAnsi="Times New Roman" w:cs="Times New Roman"/>
          <w:sz w:val="24"/>
          <w:szCs w:val="24"/>
          <w:vertAlign w:val="superscript"/>
        </w:rPr>
        <w:t>1,3,14</w:t>
      </w:r>
      <w:r w:rsidR="00604A66" w:rsidRPr="008374B5">
        <w:rPr>
          <w:rFonts w:ascii="Times New Roman" w:hAnsi="Times New Roman" w:cs="Times New Roman"/>
          <w:sz w:val="24"/>
          <w:szCs w:val="24"/>
        </w:rPr>
        <w:t xml:space="preserve"> </w:t>
      </w:r>
      <w:r w:rsidRPr="008374B5">
        <w:rPr>
          <w:rFonts w:ascii="Times New Roman" w:hAnsi="Times New Roman" w:cs="Times New Roman"/>
          <w:sz w:val="24"/>
          <w:szCs w:val="24"/>
        </w:rPr>
        <w:t xml:space="preserve">on behalf of the Growing Up in Singapore Towards Healthy Outcomes (GUSTO) study group </w:t>
      </w:r>
    </w:p>
    <w:p w14:paraId="68E3413D" w14:textId="77777777" w:rsidR="001E6B09" w:rsidRPr="008374B5" w:rsidRDefault="001E6B09" w:rsidP="008374B5">
      <w:pPr>
        <w:spacing w:after="0" w:line="360" w:lineRule="auto"/>
        <w:jc w:val="both"/>
        <w:rPr>
          <w:rFonts w:ascii="Times New Roman" w:hAnsi="Times New Roman" w:cs="Times New Roman"/>
          <w:sz w:val="24"/>
          <w:szCs w:val="24"/>
        </w:rPr>
      </w:pPr>
    </w:p>
    <w:p w14:paraId="2983962D" w14:textId="77777777" w:rsidR="0088403C" w:rsidRPr="008374B5" w:rsidRDefault="00026E02" w:rsidP="008374B5">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vertAlign w:val="superscript"/>
        </w:rPr>
        <w:t>1</w:t>
      </w:r>
      <w:r w:rsidR="0088403C" w:rsidRPr="008374B5">
        <w:rPr>
          <w:rFonts w:ascii="Times New Roman" w:hAnsi="Times New Roman" w:cs="Times New Roman"/>
          <w:sz w:val="24"/>
          <w:szCs w:val="24"/>
        </w:rPr>
        <w:t>Department of Paediatrics, KK Women’s and Children’s Hospital, Singapore 229899, Singapore</w:t>
      </w:r>
    </w:p>
    <w:p w14:paraId="265DC431" w14:textId="027F51BF" w:rsidR="0088403C" w:rsidRPr="008374B5" w:rsidRDefault="0088403C" w:rsidP="008374B5">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vertAlign w:val="superscript"/>
        </w:rPr>
        <w:t>2</w:t>
      </w:r>
      <w:r w:rsidR="00774522" w:rsidRPr="008374B5">
        <w:rPr>
          <w:rFonts w:ascii="Times New Roman" w:hAnsi="Times New Roman" w:cs="Times New Roman"/>
          <w:sz w:val="24"/>
          <w:szCs w:val="24"/>
        </w:rPr>
        <w:t>Department of Reproductive Medicine</w:t>
      </w:r>
      <w:r w:rsidR="00026E02" w:rsidRPr="008374B5">
        <w:rPr>
          <w:rFonts w:ascii="Times New Roman" w:hAnsi="Times New Roman" w:cs="Times New Roman"/>
          <w:sz w:val="24"/>
          <w:szCs w:val="24"/>
        </w:rPr>
        <w:t>, KK Women’s and Children’s Hospit</w:t>
      </w:r>
      <w:r w:rsidRPr="008374B5">
        <w:rPr>
          <w:rFonts w:ascii="Times New Roman" w:hAnsi="Times New Roman" w:cs="Times New Roman"/>
          <w:sz w:val="24"/>
          <w:szCs w:val="24"/>
        </w:rPr>
        <w:t>al, Singapore 229899, Singapore</w:t>
      </w:r>
    </w:p>
    <w:p w14:paraId="26079BD3" w14:textId="0041E707" w:rsidR="00774522" w:rsidRPr="008374B5" w:rsidRDefault="00774522" w:rsidP="008374B5">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vertAlign w:val="superscript"/>
        </w:rPr>
        <w:t>3</w:t>
      </w:r>
      <w:r w:rsidRPr="008374B5">
        <w:rPr>
          <w:rFonts w:ascii="Times New Roman" w:hAnsi="Times New Roman" w:cs="Times New Roman"/>
          <w:sz w:val="24"/>
          <w:szCs w:val="24"/>
        </w:rPr>
        <w:t>Duke</w:t>
      </w:r>
      <w:r w:rsidR="000B1D17" w:rsidRPr="008374B5">
        <w:rPr>
          <w:rFonts w:ascii="Times New Roman" w:hAnsi="Times New Roman" w:cs="Times New Roman"/>
          <w:sz w:val="24"/>
          <w:szCs w:val="24"/>
        </w:rPr>
        <w:t>-</w:t>
      </w:r>
      <w:r w:rsidRPr="008374B5">
        <w:rPr>
          <w:rFonts w:ascii="Times New Roman" w:hAnsi="Times New Roman" w:cs="Times New Roman"/>
          <w:sz w:val="24"/>
          <w:szCs w:val="24"/>
        </w:rPr>
        <w:t>NUS Medical School, Singapore 169857, Singapore</w:t>
      </w:r>
    </w:p>
    <w:p w14:paraId="67777A11" w14:textId="7BBCBDE7" w:rsidR="000E73E6" w:rsidRPr="008374B5" w:rsidRDefault="00774522" w:rsidP="008374B5">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vertAlign w:val="superscript"/>
        </w:rPr>
        <w:t>4</w:t>
      </w:r>
      <w:r w:rsidR="00026E02" w:rsidRPr="008374B5">
        <w:rPr>
          <w:rFonts w:ascii="Times New Roman" w:hAnsi="Times New Roman" w:cs="Times New Roman"/>
          <w:sz w:val="24"/>
          <w:szCs w:val="24"/>
        </w:rPr>
        <w:t>Singapore Institute for Clinical Sciences, Agency for Science, Technology and Research (A*STA</w:t>
      </w:r>
      <w:r w:rsidR="000E73E6" w:rsidRPr="008374B5">
        <w:rPr>
          <w:rFonts w:ascii="Times New Roman" w:hAnsi="Times New Roman" w:cs="Times New Roman"/>
          <w:sz w:val="24"/>
          <w:szCs w:val="24"/>
        </w:rPr>
        <w:t>R), Singapore 117609, Singapore</w:t>
      </w:r>
    </w:p>
    <w:p w14:paraId="51295BAC" w14:textId="2BADC952" w:rsidR="005A33C2" w:rsidRPr="008374B5" w:rsidRDefault="00774522" w:rsidP="008374B5">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vertAlign w:val="superscript"/>
        </w:rPr>
        <w:t>5</w:t>
      </w:r>
      <w:r w:rsidR="00026E02" w:rsidRPr="008374B5">
        <w:rPr>
          <w:rFonts w:ascii="Times New Roman" w:hAnsi="Times New Roman" w:cs="Times New Roman"/>
          <w:sz w:val="24"/>
          <w:szCs w:val="24"/>
        </w:rPr>
        <w:t>Duke</w:t>
      </w:r>
      <w:r w:rsidR="000B1D17" w:rsidRPr="008374B5">
        <w:rPr>
          <w:rFonts w:ascii="Times New Roman" w:hAnsi="Times New Roman" w:cs="Times New Roman"/>
          <w:sz w:val="24"/>
          <w:szCs w:val="24"/>
        </w:rPr>
        <w:t>-</w:t>
      </w:r>
      <w:r w:rsidR="00026E02" w:rsidRPr="008374B5">
        <w:rPr>
          <w:rFonts w:ascii="Times New Roman" w:hAnsi="Times New Roman" w:cs="Times New Roman"/>
          <w:sz w:val="24"/>
          <w:szCs w:val="24"/>
        </w:rPr>
        <w:t>NUS Medical School, Center for Quantitative Medicin</w:t>
      </w:r>
      <w:r w:rsidR="005A33C2" w:rsidRPr="008374B5">
        <w:rPr>
          <w:rFonts w:ascii="Times New Roman" w:hAnsi="Times New Roman" w:cs="Times New Roman"/>
          <w:sz w:val="24"/>
          <w:szCs w:val="24"/>
        </w:rPr>
        <w:t>e, Singapore 169857, Singapore</w:t>
      </w:r>
    </w:p>
    <w:p w14:paraId="301F27C2" w14:textId="3E3F3AF0" w:rsidR="005A33C2" w:rsidRPr="008374B5" w:rsidRDefault="00774522" w:rsidP="008374B5">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vertAlign w:val="superscript"/>
        </w:rPr>
        <w:t>6</w:t>
      </w:r>
      <w:r w:rsidRPr="008374B5">
        <w:rPr>
          <w:rFonts w:ascii="Times New Roman" w:hAnsi="Times New Roman" w:cs="Times New Roman"/>
          <w:sz w:val="24"/>
          <w:szCs w:val="24"/>
        </w:rPr>
        <w:t xml:space="preserve">Tampere Center for Child Health Research, University of Tampere and Tampere University Hospital, </w:t>
      </w:r>
      <w:r w:rsidR="007D099C" w:rsidRPr="008374B5">
        <w:rPr>
          <w:rFonts w:ascii="Times New Roman" w:hAnsi="Times New Roman" w:cs="Times New Roman"/>
          <w:sz w:val="24"/>
          <w:szCs w:val="24"/>
        </w:rPr>
        <w:t>FI</w:t>
      </w:r>
      <w:r w:rsidR="000B1D17" w:rsidRPr="008374B5">
        <w:rPr>
          <w:rFonts w:ascii="Times New Roman" w:hAnsi="Times New Roman" w:cs="Times New Roman"/>
          <w:sz w:val="24"/>
          <w:szCs w:val="24"/>
        </w:rPr>
        <w:t>-</w:t>
      </w:r>
      <w:r w:rsidR="005A33C2" w:rsidRPr="008374B5">
        <w:rPr>
          <w:rFonts w:ascii="Times New Roman" w:hAnsi="Times New Roman" w:cs="Times New Roman"/>
          <w:sz w:val="24"/>
          <w:szCs w:val="24"/>
        </w:rPr>
        <w:t>33014, Finland</w:t>
      </w:r>
    </w:p>
    <w:p w14:paraId="3993F34A" w14:textId="6BB84A23" w:rsidR="005A33C2" w:rsidRPr="008374B5" w:rsidRDefault="007D099C" w:rsidP="008374B5">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vertAlign w:val="superscript"/>
        </w:rPr>
        <w:t>7</w:t>
      </w:r>
      <w:r w:rsidR="00026E02" w:rsidRPr="008374B5">
        <w:rPr>
          <w:rFonts w:ascii="Times New Roman" w:hAnsi="Times New Roman" w:cs="Times New Roman"/>
          <w:sz w:val="24"/>
          <w:szCs w:val="24"/>
        </w:rPr>
        <w:t>Medical Research Council Lifecourse Epidemiology Unit, University of Southa</w:t>
      </w:r>
      <w:r w:rsidR="00B91898" w:rsidRPr="008374B5">
        <w:rPr>
          <w:rFonts w:ascii="Times New Roman" w:hAnsi="Times New Roman" w:cs="Times New Roman"/>
          <w:sz w:val="24"/>
          <w:szCs w:val="24"/>
        </w:rPr>
        <w:t xml:space="preserve">mpton, Southampton </w:t>
      </w:r>
      <w:r w:rsidR="005A33C2" w:rsidRPr="008374B5">
        <w:rPr>
          <w:rFonts w:ascii="Times New Roman" w:hAnsi="Times New Roman" w:cs="Times New Roman"/>
          <w:sz w:val="24"/>
          <w:szCs w:val="24"/>
        </w:rPr>
        <w:t>SO16 6YD, UK</w:t>
      </w:r>
    </w:p>
    <w:p w14:paraId="04EA3A2D" w14:textId="54488430" w:rsidR="005A33C2" w:rsidRPr="008374B5" w:rsidRDefault="007D099C" w:rsidP="008374B5">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vertAlign w:val="superscript"/>
        </w:rPr>
        <w:t>8</w:t>
      </w:r>
      <w:r w:rsidR="00026E02" w:rsidRPr="008374B5">
        <w:rPr>
          <w:rFonts w:ascii="Times New Roman" w:hAnsi="Times New Roman" w:cs="Times New Roman"/>
          <w:sz w:val="24"/>
          <w:szCs w:val="24"/>
        </w:rPr>
        <w:t xml:space="preserve">National Institute for Health Research Southampton Biomedical Research Centre, University of Southampton and University Hospital Southampton National Health Service Foundation </w:t>
      </w:r>
      <w:r w:rsidR="005A33C2" w:rsidRPr="008374B5">
        <w:rPr>
          <w:rFonts w:ascii="Times New Roman" w:hAnsi="Times New Roman" w:cs="Times New Roman"/>
          <w:sz w:val="24"/>
          <w:szCs w:val="24"/>
        </w:rPr>
        <w:t>Trust, Southampton SO16 6YD, UK</w:t>
      </w:r>
    </w:p>
    <w:p w14:paraId="75F66CDB" w14:textId="0C71B3DE" w:rsidR="005A33C2" w:rsidRPr="008374B5" w:rsidRDefault="00FC3B15" w:rsidP="008374B5">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vertAlign w:val="superscript"/>
        </w:rPr>
        <w:t>9</w:t>
      </w:r>
      <w:r w:rsidR="00026E02" w:rsidRPr="008374B5">
        <w:rPr>
          <w:rFonts w:ascii="Times New Roman" w:hAnsi="Times New Roman" w:cs="Times New Roman"/>
          <w:sz w:val="24"/>
          <w:szCs w:val="24"/>
        </w:rPr>
        <w:t xml:space="preserve">Liggins Institute, University of Auckland, </w:t>
      </w:r>
      <w:r w:rsidR="006B01EC" w:rsidRPr="008374B5">
        <w:rPr>
          <w:rFonts w:ascii="Times New Roman" w:hAnsi="Times New Roman" w:cs="Times New Roman"/>
          <w:sz w:val="24"/>
          <w:szCs w:val="24"/>
        </w:rPr>
        <w:t>Auckland</w:t>
      </w:r>
      <w:r w:rsidR="00026E02" w:rsidRPr="008374B5">
        <w:rPr>
          <w:rFonts w:ascii="Times New Roman" w:hAnsi="Times New Roman" w:cs="Times New Roman"/>
          <w:sz w:val="24"/>
          <w:szCs w:val="24"/>
        </w:rPr>
        <w:t xml:space="preserve"> 1142, New Zeal</w:t>
      </w:r>
      <w:r w:rsidR="005A33C2" w:rsidRPr="008374B5">
        <w:rPr>
          <w:rFonts w:ascii="Times New Roman" w:hAnsi="Times New Roman" w:cs="Times New Roman"/>
          <w:sz w:val="24"/>
          <w:szCs w:val="24"/>
        </w:rPr>
        <w:t>and</w:t>
      </w:r>
    </w:p>
    <w:p w14:paraId="1B92CB31" w14:textId="4B5349D3" w:rsidR="005A33C2" w:rsidRPr="008374B5" w:rsidRDefault="00FC3B15" w:rsidP="008374B5">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vertAlign w:val="superscript"/>
        </w:rPr>
        <w:t>10</w:t>
      </w:r>
      <w:r w:rsidR="00026E02" w:rsidRPr="008374B5">
        <w:rPr>
          <w:rFonts w:ascii="Times New Roman" w:hAnsi="Times New Roman" w:cs="Times New Roman"/>
          <w:sz w:val="24"/>
          <w:szCs w:val="24"/>
        </w:rPr>
        <w:t>Saw Swee Hock School of Public Health, National University of Singapo</w:t>
      </w:r>
      <w:r w:rsidR="005A33C2" w:rsidRPr="008374B5">
        <w:rPr>
          <w:rFonts w:ascii="Times New Roman" w:hAnsi="Times New Roman" w:cs="Times New Roman"/>
          <w:sz w:val="24"/>
          <w:szCs w:val="24"/>
        </w:rPr>
        <w:t>re, Singapore 117549, Singapore</w:t>
      </w:r>
    </w:p>
    <w:p w14:paraId="0C5F5753" w14:textId="36799D1E" w:rsidR="005A33C2" w:rsidRPr="008374B5" w:rsidRDefault="005A33C2" w:rsidP="008374B5">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vertAlign w:val="superscript"/>
        </w:rPr>
        <w:t>1</w:t>
      </w:r>
      <w:r w:rsidR="00FC3B15" w:rsidRPr="008374B5">
        <w:rPr>
          <w:rFonts w:ascii="Times New Roman" w:hAnsi="Times New Roman" w:cs="Times New Roman"/>
          <w:sz w:val="24"/>
          <w:szCs w:val="24"/>
          <w:vertAlign w:val="superscript"/>
        </w:rPr>
        <w:t>1</w:t>
      </w:r>
      <w:r w:rsidR="00026E02" w:rsidRPr="008374B5">
        <w:rPr>
          <w:rFonts w:ascii="Times New Roman" w:hAnsi="Times New Roman" w:cs="Times New Roman"/>
          <w:sz w:val="24"/>
          <w:szCs w:val="24"/>
        </w:rPr>
        <w:t xml:space="preserve">Department of Obstetrics &amp; </w:t>
      </w:r>
      <w:proofErr w:type="spellStart"/>
      <w:r w:rsidR="00026E02" w:rsidRPr="008374B5">
        <w:rPr>
          <w:rFonts w:ascii="Times New Roman" w:hAnsi="Times New Roman" w:cs="Times New Roman"/>
          <w:sz w:val="24"/>
          <w:szCs w:val="24"/>
        </w:rPr>
        <w:t>Gynaecology</w:t>
      </w:r>
      <w:proofErr w:type="spellEnd"/>
      <w:r w:rsidR="00026E02" w:rsidRPr="008374B5">
        <w:rPr>
          <w:rFonts w:ascii="Times New Roman" w:hAnsi="Times New Roman" w:cs="Times New Roman"/>
          <w:sz w:val="24"/>
          <w:szCs w:val="24"/>
        </w:rPr>
        <w:t xml:space="preserve">, </w:t>
      </w:r>
      <w:r w:rsidR="00DD5A59" w:rsidRPr="008374B5">
        <w:rPr>
          <w:rFonts w:ascii="Times New Roman" w:hAnsi="Times New Roman" w:cs="Times New Roman"/>
          <w:sz w:val="24"/>
          <w:szCs w:val="24"/>
        </w:rPr>
        <w:t>National University of Singapore and National University Health System</w:t>
      </w:r>
      <w:r w:rsidRPr="008374B5">
        <w:rPr>
          <w:rFonts w:ascii="Times New Roman" w:hAnsi="Times New Roman" w:cs="Times New Roman"/>
          <w:sz w:val="24"/>
          <w:szCs w:val="24"/>
        </w:rPr>
        <w:t>, Singapore 119228, Singapore</w:t>
      </w:r>
    </w:p>
    <w:p w14:paraId="14DDA773" w14:textId="77777777" w:rsidR="00DD5A59" w:rsidRPr="008374B5" w:rsidRDefault="00DD5A59" w:rsidP="008374B5">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vertAlign w:val="superscript"/>
        </w:rPr>
        <w:t>12</w:t>
      </w:r>
      <w:r w:rsidRPr="008374B5">
        <w:rPr>
          <w:rFonts w:ascii="Times New Roman" w:hAnsi="Times New Roman" w:cs="Times New Roman"/>
          <w:sz w:val="24"/>
          <w:szCs w:val="24"/>
        </w:rPr>
        <w:t>Department of Paediatrics, Yong Loo Lin School of Medicine, National University of Singapore and National University Health System, Singapore 119228, Singapore</w:t>
      </w:r>
    </w:p>
    <w:p w14:paraId="6EDE9F17" w14:textId="11434D28" w:rsidR="00516B15" w:rsidRPr="008374B5" w:rsidRDefault="00110C48" w:rsidP="008374B5">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vertAlign w:val="superscript"/>
        </w:rPr>
        <w:t>13</w:t>
      </w:r>
      <w:r w:rsidR="00026E02" w:rsidRPr="008374B5">
        <w:rPr>
          <w:rFonts w:ascii="Times New Roman" w:hAnsi="Times New Roman" w:cs="Times New Roman"/>
          <w:sz w:val="24"/>
          <w:szCs w:val="24"/>
        </w:rPr>
        <w:t>Clinical Nutrition Research Centre, Singapore Institute for Clinical Sciences (SICS), Agency for Science, Technology and Research (A*STA</w:t>
      </w:r>
      <w:r w:rsidR="00516B15" w:rsidRPr="008374B5">
        <w:rPr>
          <w:rFonts w:ascii="Times New Roman" w:hAnsi="Times New Roman" w:cs="Times New Roman"/>
          <w:sz w:val="24"/>
          <w:szCs w:val="24"/>
        </w:rPr>
        <w:t>R), Singapore 117599, Singapore</w:t>
      </w:r>
    </w:p>
    <w:p w14:paraId="0F00E95D" w14:textId="26932D23" w:rsidR="00026E02" w:rsidRPr="008374B5" w:rsidRDefault="00110C48" w:rsidP="008374B5">
      <w:pPr>
        <w:spacing w:after="0" w:line="360" w:lineRule="auto"/>
        <w:jc w:val="both"/>
        <w:rPr>
          <w:rFonts w:ascii="Times New Roman" w:hAnsi="Times New Roman" w:cs="Times New Roman"/>
          <w:b/>
          <w:sz w:val="24"/>
          <w:szCs w:val="24"/>
        </w:rPr>
      </w:pPr>
      <w:r w:rsidRPr="008374B5">
        <w:rPr>
          <w:rFonts w:ascii="Times New Roman" w:hAnsi="Times New Roman" w:cs="Times New Roman"/>
          <w:sz w:val="24"/>
          <w:szCs w:val="24"/>
          <w:vertAlign w:val="superscript"/>
        </w:rPr>
        <w:t>14</w:t>
      </w:r>
      <w:r w:rsidR="00FC3B15" w:rsidRPr="008374B5">
        <w:rPr>
          <w:rFonts w:ascii="Times New Roman" w:hAnsi="Times New Roman" w:cs="Times New Roman"/>
          <w:sz w:val="24"/>
          <w:szCs w:val="24"/>
        </w:rPr>
        <w:t xml:space="preserve">Lee Kong </w:t>
      </w:r>
      <w:proofErr w:type="spellStart"/>
      <w:r w:rsidR="00FC3B15" w:rsidRPr="008374B5">
        <w:rPr>
          <w:rFonts w:ascii="Times New Roman" w:hAnsi="Times New Roman" w:cs="Times New Roman"/>
          <w:sz w:val="24"/>
          <w:szCs w:val="24"/>
        </w:rPr>
        <w:t>Chian</w:t>
      </w:r>
      <w:proofErr w:type="spellEnd"/>
      <w:r w:rsidR="00FC3B15" w:rsidRPr="008374B5">
        <w:rPr>
          <w:rFonts w:ascii="Times New Roman" w:hAnsi="Times New Roman" w:cs="Times New Roman"/>
          <w:sz w:val="24"/>
          <w:szCs w:val="24"/>
        </w:rPr>
        <w:t xml:space="preserve"> School of Medicine, Nanyang Technological University, Singapore 636921, Singapore</w:t>
      </w:r>
    </w:p>
    <w:p w14:paraId="31053F0C" w14:textId="77777777" w:rsidR="00026E02" w:rsidRPr="008374B5" w:rsidRDefault="00026E02" w:rsidP="008374B5">
      <w:pPr>
        <w:spacing w:after="0" w:line="360" w:lineRule="auto"/>
        <w:rPr>
          <w:rFonts w:ascii="Times New Roman" w:hAnsi="Times New Roman" w:cs="Times New Roman"/>
          <w:b/>
          <w:sz w:val="24"/>
          <w:szCs w:val="24"/>
        </w:rPr>
      </w:pPr>
    </w:p>
    <w:p w14:paraId="35981F9C" w14:textId="77777777" w:rsidR="00D842D6" w:rsidRPr="008374B5" w:rsidRDefault="00D842D6" w:rsidP="008374B5">
      <w:pPr>
        <w:spacing w:after="0" w:line="360" w:lineRule="auto"/>
        <w:rPr>
          <w:rFonts w:ascii="Times New Roman" w:hAnsi="Times New Roman" w:cs="Times New Roman"/>
          <w:i/>
          <w:sz w:val="24"/>
          <w:szCs w:val="24"/>
        </w:rPr>
      </w:pPr>
      <w:r w:rsidRPr="008374B5">
        <w:rPr>
          <w:rFonts w:ascii="Times New Roman" w:hAnsi="Times New Roman" w:cs="Times New Roman"/>
          <w:i/>
          <w:sz w:val="24"/>
          <w:szCs w:val="24"/>
        </w:rPr>
        <w:t>Corresponding author:</w:t>
      </w:r>
    </w:p>
    <w:p w14:paraId="2D1BF254" w14:textId="5CDA13FA" w:rsidR="00D842D6" w:rsidRPr="008374B5" w:rsidRDefault="00313A2C" w:rsidP="008374B5">
      <w:pPr>
        <w:spacing w:after="0" w:line="360" w:lineRule="auto"/>
        <w:rPr>
          <w:rFonts w:ascii="Times New Roman" w:hAnsi="Times New Roman" w:cs="Times New Roman"/>
          <w:sz w:val="24"/>
          <w:szCs w:val="24"/>
        </w:rPr>
      </w:pPr>
      <w:r w:rsidRPr="008374B5">
        <w:rPr>
          <w:rFonts w:ascii="Times New Roman" w:hAnsi="Times New Roman" w:cs="Times New Roman"/>
          <w:sz w:val="24"/>
          <w:szCs w:val="24"/>
        </w:rPr>
        <w:lastRenderedPageBreak/>
        <w:t>Dr</w:t>
      </w:r>
      <w:r w:rsidR="00D842D6" w:rsidRPr="008374B5">
        <w:rPr>
          <w:rFonts w:ascii="Times New Roman" w:hAnsi="Times New Roman" w:cs="Times New Roman"/>
          <w:sz w:val="24"/>
          <w:szCs w:val="24"/>
        </w:rPr>
        <w:t xml:space="preserve"> Fabian Yap</w:t>
      </w:r>
    </w:p>
    <w:p w14:paraId="51DBD820" w14:textId="77777777" w:rsidR="00D842D6" w:rsidRPr="008374B5" w:rsidRDefault="00D842D6" w:rsidP="008374B5">
      <w:pPr>
        <w:spacing w:after="0" w:line="360" w:lineRule="auto"/>
        <w:rPr>
          <w:rFonts w:ascii="Times New Roman" w:eastAsia="Times New Roman" w:hAnsi="Times New Roman" w:cs="Times New Roman"/>
          <w:sz w:val="24"/>
          <w:szCs w:val="24"/>
        </w:rPr>
      </w:pPr>
      <w:r w:rsidRPr="008374B5">
        <w:rPr>
          <w:rFonts w:ascii="Times New Roman" w:eastAsia="Times New Roman" w:hAnsi="Times New Roman" w:cs="Times New Roman"/>
          <w:sz w:val="24"/>
          <w:szCs w:val="24"/>
        </w:rPr>
        <w:t>Department of Paediatrics</w:t>
      </w:r>
    </w:p>
    <w:p w14:paraId="77835D41" w14:textId="77777777" w:rsidR="00D842D6" w:rsidRPr="008374B5" w:rsidRDefault="00D842D6" w:rsidP="008374B5">
      <w:pPr>
        <w:spacing w:after="0" w:line="360" w:lineRule="auto"/>
        <w:rPr>
          <w:rFonts w:ascii="Times New Roman" w:eastAsia="Times New Roman" w:hAnsi="Times New Roman" w:cs="Times New Roman"/>
          <w:sz w:val="24"/>
          <w:szCs w:val="24"/>
        </w:rPr>
      </w:pPr>
      <w:r w:rsidRPr="008374B5">
        <w:rPr>
          <w:rFonts w:ascii="Times New Roman" w:eastAsia="Times New Roman" w:hAnsi="Times New Roman" w:cs="Times New Roman"/>
          <w:sz w:val="24"/>
          <w:szCs w:val="24"/>
        </w:rPr>
        <w:t>KK Women’s and Children’s Hospital</w:t>
      </w:r>
    </w:p>
    <w:p w14:paraId="295D6392" w14:textId="77777777" w:rsidR="00D842D6" w:rsidRPr="008374B5" w:rsidRDefault="00D842D6" w:rsidP="008374B5">
      <w:pPr>
        <w:spacing w:after="0" w:line="360" w:lineRule="auto"/>
        <w:rPr>
          <w:rFonts w:ascii="Times New Roman" w:eastAsia="Times New Roman" w:hAnsi="Times New Roman" w:cs="Times New Roman"/>
          <w:sz w:val="24"/>
          <w:szCs w:val="24"/>
        </w:rPr>
      </w:pPr>
      <w:r w:rsidRPr="008374B5">
        <w:rPr>
          <w:rFonts w:ascii="Times New Roman" w:eastAsia="Times New Roman" w:hAnsi="Times New Roman" w:cs="Times New Roman"/>
          <w:sz w:val="24"/>
          <w:szCs w:val="24"/>
        </w:rPr>
        <w:t xml:space="preserve">100, Bukit </w:t>
      </w:r>
      <w:proofErr w:type="spellStart"/>
      <w:r w:rsidRPr="008374B5">
        <w:rPr>
          <w:rFonts w:ascii="Times New Roman" w:eastAsia="Times New Roman" w:hAnsi="Times New Roman" w:cs="Times New Roman"/>
          <w:sz w:val="24"/>
          <w:szCs w:val="24"/>
        </w:rPr>
        <w:t>Timah</w:t>
      </w:r>
      <w:proofErr w:type="spellEnd"/>
      <w:r w:rsidRPr="008374B5">
        <w:rPr>
          <w:rFonts w:ascii="Times New Roman" w:eastAsia="Times New Roman" w:hAnsi="Times New Roman" w:cs="Times New Roman"/>
          <w:sz w:val="24"/>
          <w:szCs w:val="24"/>
        </w:rPr>
        <w:t xml:space="preserve"> Road</w:t>
      </w:r>
    </w:p>
    <w:p w14:paraId="200FBB00" w14:textId="0D04BEBE" w:rsidR="00D842D6" w:rsidRPr="008374B5" w:rsidRDefault="001A4C49" w:rsidP="008374B5">
      <w:pPr>
        <w:spacing w:after="0" w:line="360" w:lineRule="auto"/>
        <w:rPr>
          <w:rFonts w:ascii="Times New Roman" w:hAnsi="Times New Roman" w:cs="Times New Roman"/>
          <w:sz w:val="24"/>
          <w:szCs w:val="24"/>
        </w:rPr>
      </w:pPr>
      <w:r w:rsidRPr="008374B5">
        <w:rPr>
          <w:rFonts w:ascii="Times New Roman" w:eastAsia="Times New Roman" w:hAnsi="Times New Roman" w:cs="Times New Roman"/>
          <w:sz w:val="24"/>
          <w:szCs w:val="24"/>
        </w:rPr>
        <w:t>Singapore 229899</w:t>
      </w:r>
    </w:p>
    <w:p w14:paraId="7750FD48" w14:textId="514FFB65" w:rsidR="00D842D6" w:rsidRPr="008374B5" w:rsidRDefault="00D842D6" w:rsidP="008374B5">
      <w:pPr>
        <w:spacing w:after="0" w:line="360" w:lineRule="auto"/>
        <w:rPr>
          <w:rFonts w:ascii="Times New Roman" w:eastAsia="Times New Roman" w:hAnsi="Times New Roman" w:cs="Times New Roman"/>
          <w:sz w:val="24"/>
          <w:szCs w:val="24"/>
        </w:rPr>
      </w:pPr>
      <w:r w:rsidRPr="008374B5">
        <w:rPr>
          <w:rFonts w:ascii="Times New Roman" w:eastAsia="Times New Roman" w:hAnsi="Times New Roman" w:cs="Times New Roman"/>
          <w:sz w:val="24"/>
          <w:szCs w:val="24"/>
        </w:rPr>
        <w:t>Phone:</w:t>
      </w:r>
      <w:r w:rsidR="00D734FF" w:rsidRPr="008374B5">
        <w:rPr>
          <w:rFonts w:ascii="Times New Roman" w:eastAsia="Times New Roman" w:hAnsi="Times New Roman" w:cs="Times New Roman"/>
          <w:sz w:val="24"/>
          <w:szCs w:val="24"/>
        </w:rPr>
        <w:t xml:space="preserve"> </w:t>
      </w:r>
      <w:r w:rsidRPr="008374B5">
        <w:rPr>
          <w:rFonts w:ascii="Times New Roman" w:eastAsia="Times New Roman" w:hAnsi="Times New Roman" w:cs="Times New Roman"/>
          <w:sz w:val="24"/>
          <w:szCs w:val="24"/>
        </w:rPr>
        <w:t>+65 6394 1127</w:t>
      </w:r>
    </w:p>
    <w:p w14:paraId="4CA33CAF" w14:textId="395ED720" w:rsidR="00D842D6" w:rsidRPr="008374B5" w:rsidRDefault="00D842D6" w:rsidP="008374B5">
      <w:pPr>
        <w:spacing w:after="0" w:line="360" w:lineRule="auto"/>
        <w:rPr>
          <w:rFonts w:ascii="Times New Roman" w:hAnsi="Times New Roman" w:cs="Times New Roman"/>
          <w:sz w:val="24"/>
          <w:szCs w:val="24"/>
        </w:rPr>
      </w:pPr>
      <w:r w:rsidRPr="008374B5">
        <w:rPr>
          <w:rFonts w:ascii="Times New Roman" w:eastAsia="Times New Roman" w:hAnsi="Times New Roman" w:cs="Times New Roman"/>
          <w:sz w:val="24"/>
          <w:szCs w:val="24"/>
        </w:rPr>
        <w:t>Email:</w:t>
      </w:r>
      <w:r w:rsidR="00D734FF" w:rsidRPr="008374B5">
        <w:rPr>
          <w:rFonts w:ascii="Times New Roman" w:eastAsia="Times New Roman" w:hAnsi="Times New Roman" w:cs="Times New Roman"/>
          <w:sz w:val="24"/>
          <w:szCs w:val="24"/>
        </w:rPr>
        <w:t xml:space="preserve"> </w:t>
      </w:r>
      <w:r w:rsidRPr="008374B5">
        <w:rPr>
          <w:rFonts w:ascii="Times New Roman" w:eastAsia="Times New Roman" w:hAnsi="Times New Roman" w:cs="Times New Roman"/>
          <w:sz w:val="24"/>
          <w:szCs w:val="24"/>
        </w:rPr>
        <w:t>Fabian.Yap.K.P@singhealth.com.sg</w:t>
      </w:r>
    </w:p>
    <w:p w14:paraId="13822F1F" w14:textId="77777777" w:rsidR="00D842D6" w:rsidRPr="008374B5" w:rsidRDefault="00D842D6" w:rsidP="008374B5">
      <w:pPr>
        <w:spacing w:after="0" w:line="360" w:lineRule="auto"/>
        <w:rPr>
          <w:rFonts w:ascii="Times New Roman" w:hAnsi="Times New Roman" w:cs="Times New Roman"/>
          <w:sz w:val="24"/>
          <w:szCs w:val="24"/>
        </w:rPr>
      </w:pPr>
    </w:p>
    <w:p w14:paraId="04567E66" w14:textId="2045419C" w:rsidR="00D842D6" w:rsidRPr="008374B5" w:rsidRDefault="00D842D6" w:rsidP="008374B5">
      <w:pPr>
        <w:spacing w:after="0" w:line="360" w:lineRule="auto"/>
        <w:rPr>
          <w:rFonts w:ascii="Times New Roman" w:hAnsi="Times New Roman" w:cs="Times New Roman"/>
          <w:sz w:val="24"/>
          <w:szCs w:val="24"/>
        </w:rPr>
      </w:pPr>
      <w:r w:rsidRPr="008374B5">
        <w:rPr>
          <w:rFonts w:ascii="Times New Roman" w:hAnsi="Times New Roman" w:cs="Times New Roman"/>
          <w:b/>
          <w:i/>
          <w:sz w:val="24"/>
          <w:szCs w:val="24"/>
        </w:rPr>
        <w:t>Abbreviated Title:</w:t>
      </w:r>
      <w:r w:rsidRPr="008374B5">
        <w:rPr>
          <w:rFonts w:ascii="Times New Roman" w:hAnsi="Times New Roman" w:cs="Times New Roman"/>
          <w:sz w:val="24"/>
          <w:szCs w:val="24"/>
        </w:rPr>
        <w:t xml:space="preserve"> </w:t>
      </w:r>
      <w:r w:rsidR="004E40AA" w:rsidRPr="008374B5">
        <w:rPr>
          <w:rFonts w:ascii="Times New Roman" w:hAnsi="Times New Roman" w:cs="Times New Roman"/>
          <w:sz w:val="24"/>
          <w:szCs w:val="24"/>
        </w:rPr>
        <w:t>Infant</w:t>
      </w:r>
      <w:r w:rsidR="00BB3232" w:rsidRPr="008374B5">
        <w:rPr>
          <w:rFonts w:ascii="Times New Roman" w:hAnsi="Times New Roman" w:cs="Times New Roman"/>
          <w:sz w:val="24"/>
          <w:szCs w:val="24"/>
        </w:rPr>
        <w:t>s’</w:t>
      </w:r>
      <w:r w:rsidR="004E40AA" w:rsidRPr="008374B5">
        <w:rPr>
          <w:rFonts w:ascii="Times New Roman" w:hAnsi="Times New Roman" w:cs="Times New Roman"/>
          <w:sz w:val="24"/>
          <w:szCs w:val="24"/>
        </w:rPr>
        <w:t xml:space="preserve"> </w:t>
      </w:r>
      <w:r w:rsidR="00AD5D99" w:rsidRPr="008374B5">
        <w:rPr>
          <w:rFonts w:ascii="Times New Roman" w:hAnsi="Times New Roman" w:cs="Times New Roman"/>
          <w:sz w:val="24"/>
          <w:szCs w:val="24"/>
        </w:rPr>
        <w:t xml:space="preserve">circadian </w:t>
      </w:r>
      <w:r w:rsidR="004E40AA" w:rsidRPr="008374B5">
        <w:rPr>
          <w:rFonts w:ascii="Times New Roman" w:hAnsi="Times New Roman" w:cs="Times New Roman"/>
          <w:sz w:val="24"/>
          <w:szCs w:val="24"/>
        </w:rPr>
        <w:t>f</w:t>
      </w:r>
      <w:r w:rsidRPr="008374B5">
        <w:rPr>
          <w:rFonts w:ascii="Times New Roman" w:hAnsi="Times New Roman" w:cs="Times New Roman"/>
          <w:sz w:val="24"/>
          <w:szCs w:val="24"/>
        </w:rPr>
        <w:t xml:space="preserve">eeding patterns </w:t>
      </w:r>
    </w:p>
    <w:p w14:paraId="31507F6C" w14:textId="47B3C2BC" w:rsidR="00026E02" w:rsidRPr="008374B5" w:rsidRDefault="00D842D6" w:rsidP="008374B5">
      <w:pPr>
        <w:autoSpaceDE w:val="0"/>
        <w:autoSpaceDN w:val="0"/>
        <w:adjustRightInd w:val="0"/>
        <w:spacing w:after="0" w:line="360" w:lineRule="auto"/>
        <w:rPr>
          <w:rFonts w:ascii="Times New Roman" w:hAnsi="Times New Roman" w:cs="Times New Roman"/>
          <w:sz w:val="24"/>
          <w:szCs w:val="24"/>
        </w:rPr>
      </w:pPr>
      <w:r w:rsidRPr="008374B5">
        <w:rPr>
          <w:rFonts w:ascii="Times New Roman" w:hAnsi="Times New Roman" w:cs="Times New Roman"/>
          <w:b/>
          <w:i/>
          <w:sz w:val="24"/>
          <w:szCs w:val="24"/>
        </w:rPr>
        <w:t xml:space="preserve">Key terms: </w:t>
      </w:r>
      <w:r w:rsidRPr="008374B5">
        <w:rPr>
          <w:rFonts w:ascii="Times New Roman" w:hAnsi="Times New Roman" w:cs="Times New Roman"/>
          <w:sz w:val="24"/>
          <w:szCs w:val="24"/>
        </w:rPr>
        <w:t>Fe</w:t>
      </w:r>
      <w:r w:rsidR="00CF580D" w:rsidRPr="008374B5">
        <w:rPr>
          <w:rFonts w:ascii="Times New Roman" w:hAnsi="Times New Roman" w:cs="Times New Roman"/>
          <w:sz w:val="24"/>
          <w:szCs w:val="24"/>
        </w:rPr>
        <w:t>eding pattern</w:t>
      </w:r>
      <w:r w:rsidRPr="008374B5">
        <w:rPr>
          <w:rFonts w:ascii="Times New Roman" w:hAnsi="Times New Roman" w:cs="Times New Roman"/>
          <w:sz w:val="24"/>
          <w:szCs w:val="24"/>
        </w:rPr>
        <w:t>, circadian</w:t>
      </w:r>
      <w:r w:rsidR="00975D7B" w:rsidRPr="008374B5">
        <w:rPr>
          <w:rFonts w:ascii="Times New Roman" w:hAnsi="Times New Roman" w:cs="Times New Roman"/>
          <w:sz w:val="24"/>
          <w:szCs w:val="24"/>
        </w:rPr>
        <w:t xml:space="preserve"> feeding</w:t>
      </w:r>
      <w:r w:rsidRPr="008374B5">
        <w:rPr>
          <w:rFonts w:ascii="Times New Roman" w:hAnsi="Times New Roman" w:cs="Times New Roman"/>
          <w:sz w:val="24"/>
          <w:szCs w:val="24"/>
        </w:rPr>
        <w:t xml:space="preserve">, </w:t>
      </w:r>
      <w:r w:rsidR="00AD5D99" w:rsidRPr="008374B5">
        <w:rPr>
          <w:rFonts w:ascii="Times New Roman" w:hAnsi="Times New Roman" w:cs="Times New Roman"/>
          <w:sz w:val="24"/>
          <w:szCs w:val="24"/>
        </w:rPr>
        <w:t>midnight feeding</w:t>
      </w:r>
      <w:r w:rsidRPr="008374B5">
        <w:rPr>
          <w:rFonts w:ascii="Times New Roman" w:hAnsi="Times New Roman" w:cs="Times New Roman"/>
          <w:sz w:val="24"/>
          <w:szCs w:val="24"/>
        </w:rPr>
        <w:t xml:space="preserve">, </w:t>
      </w:r>
      <w:r w:rsidR="00CC415C" w:rsidRPr="008374B5">
        <w:rPr>
          <w:rFonts w:ascii="Times New Roman" w:hAnsi="Times New Roman" w:cs="Times New Roman"/>
          <w:sz w:val="24"/>
          <w:szCs w:val="24"/>
        </w:rPr>
        <w:t xml:space="preserve">daily </w:t>
      </w:r>
      <w:r w:rsidR="00AD5D99" w:rsidRPr="008374B5">
        <w:rPr>
          <w:rFonts w:ascii="Times New Roman" w:hAnsi="Times New Roman" w:cs="Times New Roman"/>
          <w:sz w:val="24"/>
          <w:szCs w:val="24"/>
        </w:rPr>
        <w:t>energy intake, infancy</w:t>
      </w:r>
    </w:p>
    <w:p w14:paraId="7761DAE8" w14:textId="77777777" w:rsidR="00D842D6" w:rsidRPr="008374B5" w:rsidRDefault="00D842D6" w:rsidP="008374B5">
      <w:pPr>
        <w:autoSpaceDE w:val="0"/>
        <w:autoSpaceDN w:val="0"/>
        <w:adjustRightInd w:val="0"/>
        <w:spacing w:after="0" w:line="360" w:lineRule="auto"/>
        <w:rPr>
          <w:rFonts w:ascii="Times New Roman" w:hAnsi="Times New Roman" w:cs="Times New Roman"/>
          <w:b/>
          <w:sz w:val="24"/>
          <w:szCs w:val="24"/>
        </w:rPr>
      </w:pPr>
    </w:p>
    <w:p w14:paraId="5E7EF65F" w14:textId="77777777" w:rsidR="006F0BF4" w:rsidRPr="008374B5" w:rsidRDefault="001D19E4" w:rsidP="008374B5">
      <w:pPr>
        <w:spacing w:after="0" w:line="360" w:lineRule="auto"/>
        <w:rPr>
          <w:rFonts w:ascii="Times New Roman" w:hAnsi="Times New Roman" w:cs="Times New Roman"/>
          <w:b/>
          <w:sz w:val="24"/>
          <w:szCs w:val="24"/>
        </w:rPr>
      </w:pPr>
      <w:r w:rsidRPr="008374B5">
        <w:rPr>
          <w:rFonts w:ascii="Times New Roman" w:hAnsi="Times New Roman" w:cs="Times New Roman"/>
          <w:b/>
          <w:sz w:val="24"/>
          <w:szCs w:val="24"/>
        </w:rPr>
        <w:t>Abstract</w:t>
      </w:r>
    </w:p>
    <w:p w14:paraId="40C91874" w14:textId="659CF1EA" w:rsidR="00F5723E" w:rsidRPr="008374B5" w:rsidRDefault="00D734FF" w:rsidP="00326AD1">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rPr>
        <w:t>E</w:t>
      </w:r>
      <w:r w:rsidR="00556669" w:rsidRPr="008374B5">
        <w:rPr>
          <w:rFonts w:ascii="Times New Roman" w:hAnsi="Times New Roman" w:cs="Times New Roman"/>
          <w:sz w:val="24"/>
          <w:szCs w:val="24"/>
        </w:rPr>
        <w:t>arly life</w:t>
      </w:r>
      <w:r w:rsidR="00DB50DD" w:rsidRPr="008374B5">
        <w:rPr>
          <w:rFonts w:ascii="Times New Roman" w:hAnsi="Times New Roman" w:cs="Times New Roman"/>
          <w:sz w:val="24"/>
          <w:szCs w:val="24"/>
        </w:rPr>
        <w:t xml:space="preserve"> nutrition and feeding practices </w:t>
      </w:r>
      <w:r w:rsidRPr="008374B5">
        <w:rPr>
          <w:rFonts w:ascii="Times New Roman" w:hAnsi="Times New Roman" w:cs="Times New Roman"/>
          <w:sz w:val="24"/>
          <w:szCs w:val="24"/>
        </w:rPr>
        <w:t xml:space="preserve">are </w:t>
      </w:r>
      <w:r w:rsidR="003B11D7" w:rsidRPr="008374B5">
        <w:rPr>
          <w:rFonts w:ascii="Times New Roman" w:hAnsi="Times New Roman" w:cs="Times New Roman"/>
          <w:sz w:val="24"/>
          <w:szCs w:val="24"/>
        </w:rPr>
        <w:t xml:space="preserve">important </w:t>
      </w:r>
      <w:r w:rsidR="00DB50DD" w:rsidRPr="008374B5">
        <w:rPr>
          <w:rFonts w:ascii="Times New Roman" w:hAnsi="Times New Roman" w:cs="Times New Roman"/>
          <w:sz w:val="24"/>
          <w:szCs w:val="24"/>
        </w:rPr>
        <w:t>modifiable determinant</w:t>
      </w:r>
      <w:r w:rsidR="00556669" w:rsidRPr="008374B5">
        <w:rPr>
          <w:rFonts w:ascii="Times New Roman" w:hAnsi="Times New Roman" w:cs="Times New Roman"/>
          <w:sz w:val="24"/>
          <w:szCs w:val="24"/>
        </w:rPr>
        <w:t>s</w:t>
      </w:r>
      <w:r w:rsidR="00DB50DD" w:rsidRPr="008374B5">
        <w:rPr>
          <w:rFonts w:ascii="Times New Roman" w:hAnsi="Times New Roman" w:cs="Times New Roman"/>
          <w:sz w:val="24"/>
          <w:szCs w:val="24"/>
        </w:rPr>
        <w:t xml:space="preserve"> of subsequent obesity</w:t>
      </w:r>
      <w:r w:rsidRPr="008374B5">
        <w:rPr>
          <w:rFonts w:ascii="Times New Roman" w:hAnsi="Times New Roman" w:cs="Times New Roman"/>
          <w:sz w:val="24"/>
          <w:szCs w:val="24"/>
        </w:rPr>
        <w:t>, yet l</w:t>
      </w:r>
      <w:r w:rsidR="00217B4B" w:rsidRPr="008374B5">
        <w:rPr>
          <w:rFonts w:ascii="Times New Roman" w:hAnsi="Times New Roman" w:cs="Times New Roman"/>
          <w:sz w:val="24"/>
          <w:szCs w:val="24"/>
        </w:rPr>
        <w:t xml:space="preserve">ittle is known about the </w:t>
      </w:r>
      <w:r w:rsidR="00D2017E" w:rsidRPr="008374B5">
        <w:rPr>
          <w:rFonts w:ascii="Times New Roman" w:hAnsi="Times New Roman" w:cs="Times New Roman"/>
          <w:sz w:val="24"/>
          <w:szCs w:val="24"/>
        </w:rPr>
        <w:t>circadian</w:t>
      </w:r>
      <w:r w:rsidR="00217B4B" w:rsidRPr="008374B5">
        <w:rPr>
          <w:rFonts w:ascii="Times New Roman" w:hAnsi="Times New Roman" w:cs="Times New Roman"/>
          <w:sz w:val="24"/>
          <w:szCs w:val="24"/>
        </w:rPr>
        <w:t xml:space="preserve"> </w:t>
      </w:r>
      <w:r w:rsidR="00101BC3" w:rsidRPr="008374B5">
        <w:rPr>
          <w:rFonts w:ascii="Times New Roman" w:hAnsi="Times New Roman" w:cs="Times New Roman"/>
          <w:sz w:val="24"/>
          <w:szCs w:val="24"/>
        </w:rPr>
        <w:t>feeding pattern</w:t>
      </w:r>
      <w:r w:rsidR="00217B4B" w:rsidRPr="008374B5">
        <w:rPr>
          <w:rFonts w:ascii="Times New Roman" w:hAnsi="Times New Roman" w:cs="Times New Roman"/>
          <w:sz w:val="24"/>
          <w:szCs w:val="24"/>
        </w:rPr>
        <w:t xml:space="preserve"> of 12</w:t>
      </w:r>
      <w:r w:rsidR="000B1D17" w:rsidRPr="008374B5">
        <w:rPr>
          <w:rFonts w:ascii="Times New Roman" w:hAnsi="Times New Roman" w:cs="Times New Roman"/>
          <w:sz w:val="24"/>
          <w:szCs w:val="24"/>
        </w:rPr>
        <w:t>-</w:t>
      </w:r>
      <w:r w:rsidR="00217B4B" w:rsidRPr="008374B5">
        <w:rPr>
          <w:rFonts w:ascii="Times New Roman" w:hAnsi="Times New Roman" w:cs="Times New Roman"/>
          <w:sz w:val="24"/>
          <w:szCs w:val="24"/>
        </w:rPr>
        <w:t>month</w:t>
      </w:r>
      <w:r w:rsidR="000B1D17" w:rsidRPr="008374B5">
        <w:rPr>
          <w:rFonts w:ascii="Times New Roman" w:hAnsi="Times New Roman" w:cs="Times New Roman"/>
          <w:sz w:val="24"/>
          <w:szCs w:val="24"/>
        </w:rPr>
        <w:t>-</w:t>
      </w:r>
      <w:r w:rsidR="00217B4B" w:rsidRPr="008374B5">
        <w:rPr>
          <w:rFonts w:ascii="Times New Roman" w:hAnsi="Times New Roman" w:cs="Times New Roman"/>
          <w:sz w:val="24"/>
          <w:szCs w:val="24"/>
        </w:rPr>
        <w:t xml:space="preserve">old infants. We </w:t>
      </w:r>
      <w:r w:rsidR="004729AF" w:rsidRPr="008374B5">
        <w:rPr>
          <w:rFonts w:ascii="Times New Roman" w:hAnsi="Times New Roman" w:cs="Times New Roman"/>
          <w:sz w:val="24"/>
          <w:szCs w:val="24"/>
        </w:rPr>
        <w:t xml:space="preserve">aimed to </w:t>
      </w:r>
      <w:r w:rsidR="00217B4B" w:rsidRPr="008374B5">
        <w:rPr>
          <w:rFonts w:ascii="Times New Roman" w:hAnsi="Times New Roman" w:cs="Times New Roman"/>
          <w:sz w:val="24"/>
          <w:szCs w:val="24"/>
        </w:rPr>
        <w:t>describe the 24</w:t>
      </w:r>
      <w:r w:rsidR="000B1D17" w:rsidRPr="008374B5">
        <w:rPr>
          <w:rFonts w:ascii="Times New Roman" w:hAnsi="Times New Roman" w:cs="Times New Roman"/>
          <w:sz w:val="24"/>
          <w:szCs w:val="24"/>
        </w:rPr>
        <w:t>-</w:t>
      </w:r>
      <w:r w:rsidR="004C4802" w:rsidRPr="008374B5">
        <w:rPr>
          <w:rFonts w:ascii="Times New Roman" w:hAnsi="Times New Roman" w:cs="Times New Roman"/>
          <w:sz w:val="24"/>
          <w:szCs w:val="24"/>
        </w:rPr>
        <w:t>h</w:t>
      </w:r>
      <w:r w:rsidR="00DC652F" w:rsidRPr="008374B5">
        <w:rPr>
          <w:rFonts w:ascii="Times New Roman" w:hAnsi="Times New Roman" w:cs="Times New Roman"/>
          <w:sz w:val="24"/>
          <w:szCs w:val="24"/>
        </w:rPr>
        <w:t>our</w:t>
      </w:r>
      <w:r w:rsidR="00217B4B" w:rsidRPr="008374B5">
        <w:rPr>
          <w:rFonts w:ascii="Times New Roman" w:hAnsi="Times New Roman" w:cs="Times New Roman"/>
          <w:sz w:val="24"/>
          <w:szCs w:val="24"/>
        </w:rPr>
        <w:t xml:space="preserve"> feeding patterns of 12</w:t>
      </w:r>
      <w:r w:rsidR="000B1D17" w:rsidRPr="008374B5">
        <w:rPr>
          <w:rFonts w:ascii="Times New Roman" w:hAnsi="Times New Roman" w:cs="Times New Roman"/>
          <w:sz w:val="24"/>
          <w:szCs w:val="24"/>
        </w:rPr>
        <w:t>-</w:t>
      </w:r>
      <w:r w:rsidR="00217B4B" w:rsidRPr="008374B5">
        <w:rPr>
          <w:rFonts w:ascii="Times New Roman" w:hAnsi="Times New Roman" w:cs="Times New Roman"/>
          <w:sz w:val="24"/>
          <w:szCs w:val="24"/>
        </w:rPr>
        <w:t>month</w:t>
      </w:r>
      <w:r w:rsidR="000B1D17" w:rsidRPr="008374B5">
        <w:rPr>
          <w:rFonts w:ascii="Times New Roman" w:hAnsi="Times New Roman" w:cs="Times New Roman"/>
          <w:sz w:val="24"/>
          <w:szCs w:val="24"/>
        </w:rPr>
        <w:t>-</w:t>
      </w:r>
      <w:r w:rsidR="00217B4B" w:rsidRPr="008374B5">
        <w:rPr>
          <w:rFonts w:ascii="Times New Roman" w:hAnsi="Times New Roman" w:cs="Times New Roman"/>
          <w:sz w:val="24"/>
          <w:szCs w:val="24"/>
        </w:rPr>
        <w:t xml:space="preserve">old </w:t>
      </w:r>
      <w:r w:rsidR="004923E7" w:rsidRPr="008374B5">
        <w:rPr>
          <w:rFonts w:ascii="Times New Roman" w:hAnsi="Times New Roman" w:cs="Times New Roman"/>
          <w:sz w:val="24"/>
          <w:szCs w:val="24"/>
        </w:rPr>
        <w:t>infants and</w:t>
      </w:r>
      <w:r w:rsidR="004203B0" w:rsidRPr="008374B5">
        <w:rPr>
          <w:rFonts w:ascii="Times New Roman" w:hAnsi="Times New Roman" w:cs="Times New Roman"/>
          <w:sz w:val="24"/>
          <w:szCs w:val="24"/>
        </w:rPr>
        <w:t xml:space="preserve"> </w:t>
      </w:r>
      <w:r w:rsidR="005A3D9B">
        <w:rPr>
          <w:rFonts w:ascii="Times New Roman" w:hAnsi="Times New Roman" w:cs="Times New Roman"/>
          <w:sz w:val="24"/>
          <w:szCs w:val="24"/>
        </w:rPr>
        <w:t>examine</w:t>
      </w:r>
      <w:r w:rsidR="00603209" w:rsidRPr="008374B5">
        <w:rPr>
          <w:rFonts w:ascii="Times New Roman" w:hAnsi="Times New Roman" w:cs="Times New Roman"/>
          <w:sz w:val="24"/>
          <w:szCs w:val="24"/>
        </w:rPr>
        <w:t xml:space="preserve"> </w:t>
      </w:r>
      <w:r w:rsidRPr="008374B5">
        <w:rPr>
          <w:rFonts w:ascii="Times New Roman" w:hAnsi="Times New Roman" w:cs="Times New Roman"/>
          <w:sz w:val="24"/>
          <w:szCs w:val="24"/>
        </w:rPr>
        <w:t xml:space="preserve">their </w:t>
      </w:r>
      <w:r w:rsidR="004203B0" w:rsidRPr="008374B5">
        <w:rPr>
          <w:rFonts w:ascii="Times New Roman" w:hAnsi="Times New Roman" w:cs="Times New Roman"/>
          <w:sz w:val="24"/>
          <w:szCs w:val="24"/>
        </w:rPr>
        <w:t>association</w:t>
      </w:r>
      <w:r w:rsidR="007A4847">
        <w:rPr>
          <w:rFonts w:ascii="Times New Roman" w:hAnsi="Times New Roman" w:cs="Times New Roman"/>
          <w:sz w:val="24"/>
          <w:szCs w:val="24"/>
        </w:rPr>
        <w:t>s</w:t>
      </w:r>
      <w:r w:rsidR="00217B4B" w:rsidRPr="008374B5">
        <w:rPr>
          <w:rFonts w:ascii="Times New Roman" w:hAnsi="Times New Roman" w:cs="Times New Roman"/>
          <w:sz w:val="24"/>
          <w:szCs w:val="24"/>
        </w:rPr>
        <w:t xml:space="preserve"> </w:t>
      </w:r>
      <w:r w:rsidRPr="008374B5">
        <w:rPr>
          <w:rFonts w:ascii="Times New Roman" w:hAnsi="Times New Roman" w:cs="Times New Roman"/>
          <w:sz w:val="24"/>
          <w:szCs w:val="24"/>
        </w:rPr>
        <w:t>with</w:t>
      </w:r>
      <w:r w:rsidR="004203B0" w:rsidRPr="008374B5">
        <w:rPr>
          <w:rFonts w:ascii="Times New Roman" w:hAnsi="Times New Roman" w:cs="Times New Roman"/>
          <w:sz w:val="24"/>
          <w:szCs w:val="24"/>
        </w:rPr>
        <w:t xml:space="preserve"> </w:t>
      </w:r>
      <w:r w:rsidR="00217B4B" w:rsidRPr="008374B5">
        <w:rPr>
          <w:rFonts w:ascii="Times New Roman" w:hAnsi="Times New Roman" w:cs="Times New Roman"/>
          <w:sz w:val="24"/>
          <w:szCs w:val="24"/>
        </w:rPr>
        <w:t>maternal and infant characteristics</w:t>
      </w:r>
      <w:r w:rsidR="00A113F4" w:rsidRPr="008374B5">
        <w:rPr>
          <w:rFonts w:ascii="Times New Roman" w:hAnsi="Times New Roman" w:cs="Times New Roman"/>
          <w:sz w:val="24"/>
          <w:szCs w:val="24"/>
        </w:rPr>
        <w:t xml:space="preserve">. </w:t>
      </w:r>
      <w:r w:rsidR="00217B4B" w:rsidRPr="008374B5">
        <w:rPr>
          <w:rFonts w:ascii="Times New Roman" w:hAnsi="Times New Roman" w:cs="Times New Roman"/>
          <w:sz w:val="24"/>
          <w:szCs w:val="24"/>
        </w:rPr>
        <w:t xml:space="preserve">Mothers from </w:t>
      </w:r>
      <w:r w:rsidR="004729AF" w:rsidRPr="008374B5">
        <w:rPr>
          <w:rFonts w:ascii="Times New Roman" w:hAnsi="Times New Roman" w:cs="Times New Roman"/>
          <w:sz w:val="24"/>
          <w:szCs w:val="24"/>
        </w:rPr>
        <w:t>a prospective birth cohort</w:t>
      </w:r>
      <w:r w:rsidR="0011652E" w:rsidRPr="008374B5">
        <w:rPr>
          <w:rFonts w:ascii="Times New Roman" w:hAnsi="Times New Roman" w:cs="Times New Roman"/>
          <w:sz w:val="24"/>
          <w:szCs w:val="24"/>
        </w:rPr>
        <w:t xml:space="preserve"> </w:t>
      </w:r>
      <w:r w:rsidR="00217B4B" w:rsidRPr="008374B5">
        <w:rPr>
          <w:rFonts w:ascii="Times New Roman" w:hAnsi="Times New Roman" w:cs="Times New Roman"/>
          <w:sz w:val="24"/>
          <w:szCs w:val="24"/>
        </w:rPr>
        <w:t xml:space="preserve">study </w:t>
      </w:r>
      <w:r w:rsidR="0032199D" w:rsidRPr="008374B5">
        <w:rPr>
          <w:rFonts w:ascii="Times New Roman" w:hAnsi="Times New Roman" w:cs="Times New Roman"/>
          <w:sz w:val="24"/>
          <w:szCs w:val="24"/>
        </w:rPr>
        <w:t>(</w:t>
      </w:r>
      <w:r w:rsidR="0032199D" w:rsidRPr="008374B5">
        <w:rPr>
          <w:rFonts w:ascii="Times New Roman" w:hAnsi="Times New Roman" w:cs="Times New Roman"/>
          <w:i/>
          <w:sz w:val="24"/>
          <w:szCs w:val="24"/>
        </w:rPr>
        <w:t>n</w:t>
      </w:r>
      <w:r w:rsidR="00C4611D" w:rsidRPr="008374B5">
        <w:rPr>
          <w:rFonts w:ascii="Times New Roman" w:hAnsi="Times New Roman" w:cs="Times New Roman"/>
          <w:i/>
          <w:sz w:val="24"/>
          <w:szCs w:val="24"/>
        </w:rPr>
        <w:t xml:space="preserve"> </w:t>
      </w:r>
      <w:r w:rsidR="00886833" w:rsidRPr="008374B5">
        <w:rPr>
          <w:rFonts w:ascii="Times New Roman" w:hAnsi="Times New Roman" w:cs="Times New Roman"/>
          <w:sz w:val="24"/>
          <w:szCs w:val="24"/>
        </w:rPr>
        <w:t xml:space="preserve">431) </w:t>
      </w:r>
      <w:r w:rsidR="00217B4B" w:rsidRPr="008374B5">
        <w:rPr>
          <w:rFonts w:ascii="Times New Roman" w:hAnsi="Times New Roman" w:cs="Times New Roman"/>
          <w:sz w:val="24"/>
          <w:szCs w:val="24"/>
        </w:rPr>
        <w:t>re</w:t>
      </w:r>
      <w:r w:rsidR="004C4802" w:rsidRPr="008374B5">
        <w:rPr>
          <w:rFonts w:ascii="Times New Roman" w:hAnsi="Times New Roman" w:cs="Times New Roman"/>
          <w:sz w:val="24"/>
          <w:szCs w:val="24"/>
        </w:rPr>
        <w:t>ported</w:t>
      </w:r>
      <w:r w:rsidR="00217B4B" w:rsidRPr="008374B5">
        <w:rPr>
          <w:rFonts w:ascii="Times New Roman" w:hAnsi="Times New Roman" w:cs="Times New Roman"/>
          <w:sz w:val="24"/>
          <w:szCs w:val="24"/>
        </w:rPr>
        <w:t xml:space="preserve"> </w:t>
      </w:r>
      <w:r w:rsidR="00101BC3" w:rsidRPr="008374B5">
        <w:rPr>
          <w:rFonts w:ascii="Times New Roman" w:hAnsi="Times New Roman" w:cs="Times New Roman"/>
          <w:sz w:val="24"/>
          <w:szCs w:val="24"/>
        </w:rPr>
        <w:t>dietary intake</w:t>
      </w:r>
      <w:r w:rsidR="004C4802" w:rsidRPr="008374B5">
        <w:rPr>
          <w:rFonts w:ascii="Times New Roman" w:hAnsi="Times New Roman" w:cs="Times New Roman"/>
          <w:sz w:val="24"/>
          <w:szCs w:val="24"/>
        </w:rPr>
        <w:t>s</w:t>
      </w:r>
      <w:r w:rsidR="00101BC3" w:rsidRPr="008374B5">
        <w:rPr>
          <w:rFonts w:ascii="Times New Roman" w:hAnsi="Times New Roman" w:cs="Times New Roman"/>
          <w:sz w:val="24"/>
          <w:szCs w:val="24"/>
        </w:rPr>
        <w:t xml:space="preserve"> of</w:t>
      </w:r>
      <w:r w:rsidR="00217B4B" w:rsidRPr="008374B5">
        <w:rPr>
          <w:rFonts w:ascii="Times New Roman" w:hAnsi="Times New Roman" w:cs="Times New Roman"/>
          <w:sz w:val="24"/>
          <w:szCs w:val="24"/>
        </w:rPr>
        <w:t xml:space="preserve"> their </w:t>
      </w:r>
      <w:r w:rsidR="0011652E" w:rsidRPr="008374B5">
        <w:rPr>
          <w:rFonts w:ascii="Times New Roman" w:hAnsi="Times New Roman" w:cs="Times New Roman"/>
          <w:sz w:val="24"/>
          <w:szCs w:val="24"/>
        </w:rPr>
        <w:t>12</w:t>
      </w:r>
      <w:r w:rsidR="000B1D17" w:rsidRPr="008374B5">
        <w:rPr>
          <w:rFonts w:ascii="Times New Roman" w:hAnsi="Times New Roman" w:cs="Times New Roman"/>
          <w:sz w:val="24"/>
          <w:szCs w:val="24"/>
        </w:rPr>
        <w:t>-</w:t>
      </w:r>
      <w:r w:rsidR="0011652E" w:rsidRPr="008374B5">
        <w:rPr>
          <w:rFonts w:ascii="Times New Roman" w:hAnsi="Times New Roman" w:cs="Times New Roman"/>
          <w:sz w:val="24"/>
          <w:szCs w:val="24"/>
        </w:rPr>
        <w:t>month</w:t>
      </w:r>
      <w:r w:rsidR="000B1D17" w:rsidRPr="008374B5">
        <w:rPr>
          <w:rFonts w:ascii="Times New Roman" w:hAnsi="Times New Roman" w:cs="Times New Roman"/>
          <w:sz w:val="24"/>
          <w:szCs w:val="24"/>
        </w:rPr>
        <w:t>-</w:t>
      </w:r>
      <w:r w:rsidR="0011652E" w:rsidRPr="008374B5">
        <w:rPr>
          <w:rFonts w:ascii="Times New Roman" w:hAnsi="Times New Roman" w:cs="Times New Roman"/>
          <w:sz w:val="24"/>
          <w:szCs w:val="24"/>
        </w:rPr>
        <w:t>old infant</w:t>
      </w:r>
      <w:r w:rsidR="000655C9">
        <w:rPr>
          <w:rFonts w:ascii="Times New Roman" w:hAnsi="Times New Roman" w:cs="Times New Roman"/>
          <w:sz w:val="24"/>
          <w:szCs w:val="24"/>
        </w:rPr>
        <w:t>s</w:t>
      </w:r>
      <w:r w:rsidR="00217B4B" w:rsidRPr="008374B5">
        <w:rPr>
          <w:rFonts w:ascii="Times New Roman" w:hAnsi="Times New Roman" w:cs="Times New Roman"/>
          <w:sz w:val="24"/>
          <w:szCs w:val="24"/>
        </w:rPr>
        <w:t xml:space="preserve"> and respective feeding time</w:t>
      </w:r>
      <w:r w:rsidR="00DE3B3E" w:rsidRPr="008374B5">
        <w:rPr>
          <w:rFonts w:ascii="Times New Roman" w:hAnsi="Times New Roman" w:cs="Times New Roman"/>
          <w:sz w:val="24"/>
          <w:szCs w:val="24"/>
        </w:rPr>
        <w:t>s</w:t>
      </w:r>
      <w:r w:rsidR="00217B4B" w:rsidRPr="008374B5">
        <w:rPr>
          <w:rFonts w:ascii="Times New Roman" w:hAnsi="Times New Roman" w:cs="Times New Roman"/>
          <w:sz w:val="24"/>
          <w:szCs w:val="24"/>
        </w:rPr>
        <w:t xml:space="preserve"> using 24</w:t>
      </w:r>
      <w:r w:rsidR="000B1D17" w:rsidRPr="008374B5">
        <w:rPr>
          <w:rFonts w:ascii="Times New Roman" w:hAnsi="Times New Roman" w:cs="Times New Roman"/>
          <w:sz w:val="24"/>
          <w:szCs w:val="24"/>
        </w:rPr>
        <w:t>-</w:t>
      </w:r>
      <w:r w:rsidR="00217B4B" w:rsidRPr="008374B5">
        <w:rPr>
          <w:rFonts w:ascii="Times New Roman" w:hAnsi="Times New Roman" w:cs="Times New Roman"/>
          <w:sz w:val="24"/>
          <w:szCs w:val="24"/>
        </w:rPr>
        <w:t>h</w:t>
      </w:r>
      <w:r w:rsidR="00DC652F" w:rsidRPr="008374B5">
        <w:rPr>
          <w:rFonts w:ascii="Times New Roman" w:hAnsi="Times New Roman" w:cs="Times New Roman"/>
          <w:sz w:val="24"/>
          <w:szCs w:val="24"/>
        </w:rPr>
        <w:t>our</w:t>
      </w:r>
      <w:r w:rsidR="00217B4B" w:rsidRPr="008374B5">
        <w:rPr>
          <w:rFonts w:ascii="Times New Roman" w:hAnsi="Times New Roman" w:cs="Times New Roman"/>
          <w:sz w:val="24"/>
          <w:szCs w:val="24"/>
        </w:rPr>
        <w:t xml:space="preserve"> </w:t>
      </w:r>
      <w:r w:rsidR="00F205A5" w:rsidRPr="008374B5">
        <w:rPr>
          <w:rFonts w:ascii="Times New Roman" w:hAnsi="Times New Roman" w:cs="Times New Roman"/>
          <w:sz w:val="24"/>
          <w:szCs w:val="24"/>
        </w:rPr>
        <w:t xml:space="preserve">dietary </w:t>
      </w:r>
      <w:r w:rsidR="00217B4B" w:rsidRPr="008374B5">
        <w:rPr>
          <w:rFonts w:ascii="Times New Roman" w:hAnsi="Times New Roman" w:cs="Times New Roman"/>
          <w:sz w:val="24"/>
          <w:szCs w:val="24"/>
        </w:rPr>
        <w:t>recall.</w:t>
      </w:r>
      <w:r w:rsidR="00326AD1" w:rsidRPr="00326AD1">
        <w:rPr>
          <w:rFonts w:ascii="Times New Roman" w:hAnsi="Times New Roman" w:cs="Times New Roman"/>
          <w:sz w:val="24"/>
          <w:szCs w:val="24"/>
          <w:lang w:val="en-SG"/>
        </w:rPr>
        <w:t xml:space="preserve"> </w:t>
      </w:r>
      <w:r w:rsidR="00326AD1" w:rsidRPr="00E02161">
        <w:rPr>
          <w:rFonts w:ascii="Times New Roman" w:hAnsi="Times New Roman" w:cs="Times New Roman"/>
          <w:color w:val="FF0000"/>
          <w:sz w:val="24"/>
          <w:szCs w:val="24"/>
          <w:lang w:val="en-SG"/>
        </w:rPr>
        <w:t xml:space="preserve">Based on their feeding times, infants were classified into post-midnight (00.00–05.59 hours) and pre-midnight (06.00–23.59 hours) feeders. </w:t>
      </w:r>
      <w:r w:rsidR="009D431F" w:rsidRPr="005E4960">
        <w:rPr>
          <w:rFonts w:ascii="Times New Roman" w:hAnsi="Times New Roman" w:cs="Times New Roman"/>
          <w:color w:val="FF0000"/>
          <w:sz w:val="24"/>
          <w:szCs w:val="24"/>
          <w:lang w:val="en-SG"/>
        </w:rPr>
        <w:t>M</w:t>
      </w:r>
      <w:r w:rsidR="009D431F">
        <w:rPr>
          <w:rFonts w:ascii="Times New Roman" w:hAnsi="Times New Roman" w:cs="Times New Roman"/>
          <w:sz w:val="24"/>
          <w:szCs w:val="24"/>
          <w:lang w:val="en-SG"/>
        </w:rPr>
        <w:t>ean</w:t>
      </w:r>
      <w:r w:rsidR="00A23D05" w:rsidRPr="008374B5">
        <w:rPr>
          <w:rFonts w:ascii="Times New Roman" w:hAnsi="Times New Roman" w:cs="Times New Roman"/>
          <w:sz w:val="24"/>
          <w:szCs w:val="24"/>
          <w:lang w:val="en-SG"/>
        </w:rPr>
        <w:t xml:space="preserve"> </w:t>
      </w:r>
      <w:r w:rsidRPr="008374B5">
        <w:rPr>
          <w:rFonts w:ascii="Times New Roman" w:hAnsi="Times New Roman" w:cs="Times New Roman"/>
          <w:sz w:val="24"/>
          <w:szCs w:val="24"/>
          <w:lang w:val="en-SG"/>
        </w:rPr>
        <w:t xml:space="preserve">daily </w:t>
      </w:r>
      <w:r w:rsidR="00F205A5" w:rsidRPr="008374B5">
        <w:rPr>
          <w:rFonts w:ascii="Times New Roman" w:hAnsi="Times New Roman" w:cs="Times New Roman"/>
          <w:sz w:val="24"/>
          <w:szCs w:val="24"/>
          <w:lang w:val="en-SG"/>
        </w:rPr>
        <w:t>energy</w:t>
      </w:r>
      <w:r w:rsidR="00A23D05" w:rsidRPr="008374B5">
        <w:rPr>
          <w:rFonts w:ascii="Times New Roman" w:hAnsi="Times New Roman" w:cs="Times New Roman"/>
          <w:sz w:val="24"/>
          <w:szCs w:val="24"/>
          <w:lang w:val="en-SG"/>
        </w:rPr>
        <w:t xml:space="preserve"> intake was</w:t>
      </w:r>
      <w:r w:rsidR="00C72B56" w:rsidRPr="008374B5">
        <w:rPr>
          <w:rFonts w:ascii="Times New Roman" w:hAnsi="Times New Roman" w:cs="Times New Roman"/>
          <w:sz w:val="24"/>
          <w:szCs w:val="24"/>
          <w:lang w:val="en-SG"/>
        </w:rPr>
        <w:t xml:space="preserve"> </w:t>
      </w:r>
      <w:r w:rsidR="000319B2" w:rsidRPr="008374B5">
        <w:rPr>
          <w:rFonts w:ascii="Times New Roman" w:hAnsi="Times New Roman" w:cs="Times New Roman"/>
          <w:sz w:val="24"/>
          <w:szCs w:val="24"/>
          <w:lang w:val="en-SG"/>
        </w:rPr>
        <w:t>773 (</w:t>
      </w:r>
      <w:r w:rsidR="00A23D05" w:rsidRPr="008374B5">
        <w:rPr>
          <w:rFonts w:ascii="Times New Roman" w:hAnsi="Times New Roman" w:cs="Times New Roman"/>
          <w:sz w:val="24"/>
          <w:szCs w:val="24"/>
          <w:lang w:val="en-SG"/>
        </w:rPr>
        <w:t xml:space="preserve">SD </w:t>
      </w:r>
      <w:r w:rsidR="000319B2" w:rsidRPr="008374B5">
        <w:rPr>
          <w:rFonts w:ascii="Times New Roman" w:hAnsi="Times New Roman" w:cs="Times New Roman"/>
          <w:sz w:val="24"/>
          <w:szCs w:val="24"/>
          <w:lang w:val="en-SG"/>
        </w:rPr>
        <w:t>227) kcal</w:t>
      </w:r>
      <w:r w:rsidR="00A23D05" w:rsidRPr="008374B5">
        <w:rPr>
          <w:rFonts w:ascii="Times New Roman" w:hAnsi="Times New Roman" w:cs="Times New Roman"/>
          <w:sz w:val="24"/>
          <w:szCs w:val="24"/>
          <w:lang w:val="en-SG"/>
        </w:rPr>
        <w:t>, comprising 51.8</w:t>
      </w:r>
      <w:r w:rsidR="00C678F0" w:rsidRPr="008374B5">
        <w:rPr>
          <w:rFonts w:ascii="Times New Roman" w:hAnsi="Times New Roman" w:cs="Times New Roman"/>
          <w:sz w:val="24"/>
          <w:szCs w:val="24"/>
          <w:lang w:val="en-SG"/>
        </w:rPr>
        <w:t xml:space="preserve"> (SD 7.8) </w:t>
      </w:r>
      <w:r w:rsidR="00A23D05" w:rsidRPr="008374B5">
        <w:rPr>
          <w:rFonts w:ascii="Times New Roman" w:hAnsi="Times New Roman" w:cs="Times New Roman"/>
          <w:sz w:val="24"/>
          <w:szCs w:val="24"/>
          <w:lang w:val="en-SG"/>
        </w:rPr>
        <w:t>% carbohydrate, 33.9</w:t>
      </w:r>
      <w:r w:rsidR="00C678F0" w:rsidRPr="008374B5">
        <w:rPr>
          <w:rFonts w:ascii="Times New Roman" w:hAnsi="Times New Roman" w:cs="Times New Roman"/>
          <w:sz w:val="24"/>
          <w:szCs w:val="24"/>
          <w:lang w:val="en-SG"/>
        </w:rPr>
        <w:t xml:space="preserve"> (SD 7.2) </w:t>
      </w:r>
      <w:r w:rsidR="00C72B56" w:rsidRPr="008374B5">
        <w:rPr>
          <w:rFonts w:ascii="Times New Roman" w:hAnsi="Times New Roman" w:cs="Times New Roman"/>
          <w:sz w:val="24"/>
          <w:szCs w:val="24"/>
          <w:lang w:val="en-SG"/>
        </w:rPr>
        <w:t xml:space="preserve">% fat and </w:t>
      </w:r>
      <w:r w:rsidR="00A23D05" w:rsidRPr="008374B5">
        <w:rPr>
          <w:rFonts w:ascii="Times New Roman" w:hAnsi="Times New Roman" w:cs="Times New Roman"/>
          <w:sz w:val="24"/>
          <w:szCs w:val="24"/>
          <w:lang w:val="en-SG"/>
        </w:rPr>
        <w:t>14.4</w:t>
      </w:r>
      <w:r w:rsidR="00C678F0" w:rsidRPr="008374B5">
        <w:rPr>
          <w:rFonts w:ascii="Times New Roman" w:hAnsi="Times New Roman" w:cs="Times New Roman"/>
          <w:sz w:val="24"/>
          <w:szCs w:val="24"/>
          <w:lang w:val="en-SG"/>
        </w:rPr>
        <w:t xml:space="preserve"> (SD 3.2) </w:t>
      </w:r>
      <w:r w:rsidR="00C72B56" w:rsidRPr="008374B5">
        <w:rPr>
          <w:rFonts w:ascii="Times New Roman" w:hAnsi="Times New Roman" w:cs="Times New Roman"/>
          <w:sz w:val="24"/>
          <w:szCs w:val="24"/>
          <w:lang w:val="en-SG"/>
        </w:rPr>
        <w:t>% protein</w:t>
      </w:r>
      <w:r w:rsidR="000319B2" w:rsidRPr="008374B5">
        <w:rPr>
          <w:rFonts w:ascii="Times New Roman" w:hAnsi="Times New Roman" w:cs="Times New Roman"/>
          <w:sz w:val="24"/>
          <w:szCs w:val="24"/>
          <w:lang w:val="en-SG"/>
        </w:rPr>
        <w:t xml:space="preserve">. </w:t>
      </w:r>
      <w:r w:rsidR="000655C9" w:rsidRPr="005E4960">
        <w:rPr>
          <w:rFonts w:ascii="Times New Roman" w:hAnsi="Times New Roman" w:cs="Times New Roman"/>
          <w:color w:val="FF0000"/>
          <w:sz w:val="24"/>
          <w:szCs w:val="24"/>
          <w:lang w:val="en-SG"/>
        </w:rPr>
        <w:t>M</w:t>
      </w:r>
      <w:r w:rsidR="00B94A6C" w:rsidRPr="008374B5">
        <w:rPr>
          <w:rFonts w:ascii="Times New Roman" w:hAnsi="Times New Roman" w:cs="Times New Roman"/>
          <w:sz w:val="24"/>
          <w:szCs w:val="24"/>
          <w:lang w:val="en-SG"/>
        </w:rPr>
        <w:t>ean</w:t>
      </w:r>
      <w:r w:rsidR="00F95AE0" w:rsidRPr="008374B5">
        <w:rPr>
          <w:rFonts w:ascii="Times New Roman" w:hAnsi="Times New Roman" w:cs="Times New Roman"/>
          <w:sz w:val="24"/>
          <w:szCs w:val="24"/>
        </w:rPr>
        <w:t xml:space="preserve"> hourly </w:t>
      </w:r>
      <w:r w:rsidR="00F205A5" w:rsidRPr="008374B5">
        <w:rPr>
          <w:rFonts w:ascii="Times New Roman" w:hAnsi="Times New Roman" w:cs="Times New Roman"/>
          <w:sz w:val="24"/>
          <w:szCs w:val="24"/>
        </w:rPr>
        <w:t>energy</w:t>
      </w:r>
      <w:r w:rsidR="00217B4B" w:rsidRPr="008374B5">
        <w:rPr>
          <w:rFonts w:ascii="Times New Roman" w:hAnsi="Times New Roman" w:cs="Times New Roman"/>
          <w:sz w:val="24"/>
          <w:szCs w:val="24"/>
        </w:rPr>
        <w:t xml:space="preserve"> </w:t>
      </w:r>
      <w:r w:rsidR="0032199D" w:rsidRPr="008374B5">
        <w:rPr>
          <w:rFonts w:ascii="Times New Roman" w:hAnsi="Times New Roman" w:cs="Times New Roman"/>
          <w:sz w:val="24"/>
          <w:szCs w:val="24"/>
        </w:rPr>
        <w:t>intake</w:t>
      </w:r>
      <w:r w:rsidR="00217B4B" w:rsidRPr="008374B5">
        <w:rPr>
          <w:rFonts w:ascii="Times New Roman" w:hAnsi="Times New Roman" w:cs="Times New Roman"/>
          <w:sz w:val="24"/>
          <w:szCs w:val="24"/>
        </w:rPr>
        <w:t xml:space="preserve"> </w:t>
      </w:r>
      <w:r w:rsidR="00B94A6C" w:rsidRPr="008374B5">
        <w:rPr>
          <w:rFonts w:ascii="Times New Roman" w:hAnsi="Times New Roman" w:cs="Times New Roman"/>
          <w:sz w:val="24"/>
          <w:szCs w:val="24"/>
        </w:rPr>
        <w:t xml:space="preserve">and proportion of infants fed were </w:t>
      </w:r>
      <w:r w:rsidR="000655C9">
        <w:rPr>
          <w:rFonts w:ascii="Times New Roman" w:hAnsi="Times New Roman" w:cs="Times New Roman"/>
          <w:sz w:val="24"/>
          <w:szCs w:val="24"/>
        </w:rPr>
        <w:t>lower</w:t>
      </w:r>
      <w:r w:rsidR="00B94A6C" w:rsidRPr="008374B5">
        <w:rPr>
          <w:rFonts w:ascii="Times New Roman" w:hAnsi="Times New Roman" w:cs="Times New Roman"/>
          <w:sz w:val="24"/>
          <w:szCs w:val="24"/>
        </w:rPr>
        <w:t xml:space="preserve"> </w:t>
      </w:r>
      <w:r w:rsidR="000655C9">
        <w:rPr>
          <w:rFonts w:ascii="Times New Roman" w:hAnsi="Times New Roman" w:cs="Times New Roman"/>
          <w:sz w:val="24"/>
          <w:szCs w:val="24"/>
        </w:rPr>
        <w:t xml:space="preserve">during </w:t>
      </w:r>
      <w:r w:rsidR="000655C9" w:rsidRPr="00E02161">
        <w:rPr>
          <w:rFonts w:ascii="Times New Roman" w:hAnsi="Times New Roman" w:cs="Times New Roman"/>
          <w:color w:val="FF0000"/>
          <w:sz w:val="24"/>
          <w:szCs w:val="24"/>
        </w:rPr>
        <w:t>p</w:t>
      </w:r>
      <w:r w:rsidR="00705148" w:rsidRPr="00E02161">
        <w:rPr>
          <w:rFonts w:ascii="Times New Roman" w:hAnsi="Times New Roman" w:cs="Times New Roman"/>
          <w:color w:val="FF0000"/>
          <w:sz w:val="24"/>
          <w:szCs w:val="24"/>
        </w:rPr>
        <w:t>ost</w:t>
      </w:r>
      <w:r w:rsidR="000B1D17" w:rsidRPr="00E02161">
        <w:rPr>
          <w:rFonts w:ascii="Times New Roman" w:hAnsi="Times New Roman" w:cs="Times New Roman"/>
          <w:color w:val="FF0000"/>
          <w:sz w:val="24"/>
          <w:szCs w:val="24"/>
        </w:rPr>
        <w:t>-</w:t>
      </w:r>
      <w:r w:rsidR="00705148" w:rsidRPr="005E4960">
        <w:rPr>
          <w:rFonts w:ascii="Times New Roman" w:hAnsi="Times New Roman" w:cs="Times New Roman"/>
          <w:color w:val="FF0000"/>
          <w:sz w:val="24"/>
          <w:szCs w:val="24"/>
        </w:rPr>
        <w:t>midnight</w:t>
      </w:r>
      <w:r w:rsidR="000655C9" w:rsidRPr="005E4960">
        <w:rPr>
          <w:rFonts w:ascii="Times New Roman" w:hAnsi="Times New Roman" w:cs="Times New Roman"/>
          <w:color w:val="FF0000"/>
          <w:sz w:val="24"/>
          <w:szCs w:val="24"/>
        </w:rPr>
        <w:t xml:space="preserve"> than</w:t>
      </w:r>
      <w:r w:rsidR="00705148" w:rsidRPr="005E4960">
        <w:rPr>
          <w:rFonts w:ascii="Times New Roman" w:hAnsi="Times New Roman" w:cs="Times New Roman"/>
          <w:color w:val="FF0000"/>
          <w:sz w:val="24"/>
          <w:szCs w:val="24"/>
        </w:rPr>
        <w:t xml:space="preserve"> pre</w:t>
      </w:r>
      <w:r w:rsidR="000B1D17" w:rsidRPr="00E02161">
        <w:rPr>
          <w:rFonts w:ascii="Times New Roman" w:hAnsi="Times New Roman" w:cs="Times New Roman"/>
          <w:color w:val="FF0000"/>
          <w:sz w:val="24"/>
          <w:szCs w:val="24"/>
        </w:rPr>
        <w:t>-</w:t>
      </w:r>
      <w:r w:rsidR="00705148" w:rsidRPr="00E02161">
        <w:rPr>
          <w:rFonts w:ascii="Times New Roman" w:hAnsi="Times New Roman" w:cs="Times New Roman"/>
          <w:color w:val="FF0000"/>
          <w:sz w:val="24"/>
          <w:szCs w:val="24"/>
        </w:rPr>
        <w:t>midnight</w:t>
      </w:r>
      <w:r w:rsidR="000655C9" w:rsidRPr="00E02161">
        <w:rPr>
          <w:rFonts w:ascii="Times New Roman" w:hAnsi="Times New Roman" w:cs="Times New Roman"/>
          <w:sz w:val="24"/>
          <w:szCs w:val="24"/>
        </w:rPr>
        <w:t xml:space="preserve"> </w:t>
      </w:r>
      <w:r w:rsidR="000655C9">
        <w:rPr>
          <w:rFonts w:ascii="Times New Roman" w:hAnsi="Times New Roman" w:cs="Times New Roman"/>
          <w:sz w:val="24"/>
          <w:szCs w:val="24"/>
        </w:rPr>
        <w:t>hours</w:t>
      </w:r>
      <w:r w:rsidR="000B590D" w:rsidRPr="008374B5">
        <w:rPr>
          <w:rFonts w:ascii="Times New Roman" w:hAnsi="Times New Roman" w:cs="Times New Roman"/>
          <w:sz w:val="24"/>
          <w:szCs w:val="24"/>
        </w:rPr>
        <w:t xml:space="preserve">. </w:t>
      </w:r>
      <w:r w:rsidR="00D30F8D" w:rsidRPr="008374B5">
        <w:rPr>
          <w:rFonts w:ascii="Times New Roman" w:hAnsi="Times New Roman" w:cs="Times New Roman"/>
          <w:sz w:val="24"/>
          <w:szCs w:val="24"/>
        </w:rPr>
        <w:t xml:space="preserve">There were 251 </w:t>
      </w:r>
      <w:r w:rsidR="00F85706" w:rsidRPr="008374B5">
        <w:rPr>
          <w:rFonts w:ascii="Times New Roman" w:hAnsi="Times New Roman" w:cs="Times New Roman"/>
          <w:sz w:val="24"/>
          <w:szCs w:val="24"/>
        </w:rPr>
        <w:t xml:space="preserve">(58.2%) </w:t>
      </w:r>
      <w:r w:rsidR="00D77C08" w:rsidRPr="008374B5">
        <w:rPr>
          <w:rFonts w:ascii="Times New Roman" w:hAnsi="Times New Roman" w:cs="Times New Roman"/>
          <w:sz w:val="24"/>
          <w:szCs w:val="24"/>
        </w:rPr>
        <w:t>pre</w:t>
      </w:r>
      <w:r w:rsidR="000B1D17" w:rsidRPr="008374B5">
        <w:rPr>
          <w:rFonts w:ascii="Times New Roman" w:hAnsi="Times New Roman" w:cs="Times New Roman"/>
          <w:sz w:val="24"/>
          <w:szCs w:val="24"/>
        </w:rPr>
        <w:t>-</w:t>
      </w:r>
      <w:r w:rsidR="00D30F8D" w:rsidRPr="008374B5">
        <w:rPr>
          <w:rFonts w:ascii="Times New Roman" w:hAnsi="Times New Roman" w:cs="Times New Roman"/>
          <w:sz w:val="24"/>
          <w:szCs w:val="24"/>
        </w:rPr>
        <w:t xml:space="preserve">midnight and 180 </w:t>
      </w:r>
      <w:r w:rsidR="00F85706" w:rsidRPr="008374B5">
        <w:rPr>
          <w:rFonts w:ascii="Times New Roman" w:hAnsi="Times New Roman" w:cs="Times New Roman"/>
          <w:sz w:val="24"/>
          <w:szCs w:val="24"/>
        </w:rPr>
        <w:t xml:space="preserve">(41.8%) </w:t>
      </w:r>
      <w:r w:rsidR="00817FEC" w:rsidRPr="008374B5">
        <w:rPr>
          <w:rFonts w:ascii="Times New Roman" w:hAnsi="Times New Roman" w:cs="Times New Roman"/>
          <w:sz w:val="24"/>
          <w:szCs w:val="24"/>
        </w:rPr>
        <w:t>post</w:t>
      </w:r>
      <w:r w:rsidR="000B1D17" w:rsidRPr="008374B5">
        <w:rPr>
          <w:rFonts w:ascii="Times New Roman" w:hAnsi="Times New Roman" w:cs="Times New Roman"/>
          <w:sz w:val="24"/>
          <w:szCs w:val="24"/>
        </w:rPr>
        <w:t>-</w:t>
      </w:r>
      <w:r w:rsidR="00F205A5" w:rsidRPr="008374B5">
        <w:rPr>
          <w:rFonts w:ascii="Times New Roman" w:hAnsi="Times New Roman" w:cs="Times New Roman"/>
          <w:sz w:val="24"/>
          <w:szCs w:val="24"/>
        </w:rPr>
        <w:t>midnight feed</w:t>
      </w:r>
      <w:r w:rsidR="000655C9">
        <w:rPr>
          <w:rFonts w:ascii="Times New Roman" w:hAnsi="Times New Roman" w:cs="Times New Roman"/>
          <w:sz w:val="24"/>
          <w:szCs w:val="24"/>
        </w:rPr>
        <w:t>ers</w:t>
      </w:r>
      <w:r w:rsidR="00D30F8D" w:rsidRPr="008374B5">
        <w:rPr>
          <w:rFonts w:ascii="Times New Roman" w:hAnsi="Times New Roman" w:cs="Times New Roman"/>
          <w:sz w:val="24"/>
          <w:szCs w:val="24"/>
        </w:rPr>
        <w:t xml:space="preserve">. </w:t>
      </w:r>
      <w:r w:rsidR="004A3D32" w:rsidRPr="008374B5">
        <w:rPr>
          <w:rFonts w:ascii="Times New Roman" w:hAnsi="Times New Roman" w:cs="Times New Roman"/>
          <w:sz w:val="24"/>
          <w:szCs w:val="24"/>
        </w:rPr>
        <w:t>Post</w:t>
      </w:r>
      <w:r w:rsidR="000B1D17" w:rsidRPr="008374B5">
        <w:rPr>
          <w:rFonts w:ascii="Times New Roman" w:hAnsi="Times New Roman" w:cs="Times New Roman"/>
          <w:sz w:val="24"/>
          <w:szCs w:val="24"/>
        </w:rPr>
        <w:t>-</w:t>
      </w:r>
      <w:r w:rsidR="004A3D32" w:rsidRPr="008374B5">
        <w:rPr>
          <w:rFonts w:ascii="Times New Roman" w:hAnsi="Times New Roman" w:cs="Times New Roman"/>
          <w:sz w:val="24"/>
          <w:szCs w:val="24"/>
        </w:rPr>
        <w:t>m</w:t>
      </w:r>
      <w:r w:rsidR="0091616F" w:rsidRPr="008374B5">
        <w:rPr>
          <w:rFonts w:ascii="Times New Roman" w:hAnsi="Times New Roman" w:cs="Times New Roman"/>
          <w:sz w:val="24"/>
          <w:szCs w:val="24"/>
        </w:rPr>
        <w:t xml:space="preserve">idnight feeders </w:t>
      </w:r>
      <w:r w:rsidR="00217B4B" w:rsidRPr="008374B5">
        <w:rPr>
          <w:rFonts w:ascii="Times New Roman" w:hAnsi="Times New Roman" w:cs="Times New Roman"/>
          <w:sz w:val="24"/>
          <w:szCs w:val="24"/>
        </w:rPr>
        <w:t xml:space="preserve">consumed higher </w:t>
      </w:r>
      <w:r w:rsidR="00462AA0" w:rsidRPr="008374B5">
        <w:rPr>
          <w:rFonts w:ascii="Times New Roman" w:hAnsi="Times New Roman" w:cs="Times New Roman"/>
          <w:sz w:val="24"/>
          <w:szCs w:val="24"/>
        </w:rPr>
        <w:t xml:space="preserve">daily energy, </w:t>
      </w:r>
      <w:r w:rsidR="00217B4B" w:rsidRPr="008374B5">
        <w:rPr>
          <w:rFonts w:ascii="Times New Roman" w:hAnsi="Times New Roman" w:cs="Times New Roman"/>
          <w:sz w:val="24"/>
          <w:szCs w:val="24"/>
        </w:rPr>
        <w:t>carbohy</w:t>
      </w:r>
      <w:r w:rsidR="00BF4A5B" w:rsidRPr="008374B5">
        <w:rPr>
          <w:rFonts w:ascii="Times New Roman" w:hAnsi="Times New Roman" w:cs="Times New Roman"/>
          <w:sz w:val="24"/>
          <w:szCs w:val="24"/>
        </w:rPr>
        <w:t xml:space="preserve">drate, fat and protein </w:t>
      </w:r>
      <w:r w:rsidR="00462AA0" w:rsidRPr="008374B5">
        <w:rPr>
          <w:rFonts w:ascii="Times New Roman" w:hAnsi="Times New Roman" w:cs="Times New Roman"/>
          <w:sz w:val="24"/>
          <w:szCs w:val="24"/>
        </w:rPr>
        <w:t xml:space="preserve">intakes </w:t>
      </w:r>
      <w:r w:rsidR="00BF4A5B" w:rsidRPr="008374B5">
        <w:rPr>
          <w:rFonts w:ascii="Times New Roman" w:hAnsi="Times New Roman" w:cs="Times New Roman"/>
          <w:sz w:val="24"/>
          <w:szCs w:val="24"/>
        </w:rPr>
        <w:t>than pre</w:t>
      </w:r>
      <w:r w:rsidR="000B1D17" w:rsidRPr="008374B5">
        <w:rPr>
          <w:rFonts w:ascii="Times New Roman" w:hAnsi="Times New Roman" w:cs="Times New Roman"/>
          <w:sz w:val="24"/>
          <w:szCs w:val="24"/>
        </w:rPr>
        <w:t>-</w:t>
      </w:r>
      <w:r w:rsidR="0082413A" w:rsidRPr="008374B5">
        <w:rPr>
          <w:rFonts w:ascii="Times New Roman" w:hAnsi="Times New Roman" w:cs="Times New Roman"/>
          <w:sz w:val="24"/>
          <w:szCs w:val="24"/>
        </w:rPr>
        <w:t xml:space="preserve">midnight </w:t>
      </w:r>
      <w:r w:rsidR="00217B4B" w:rsidRPr="008374B5">
        <w:rPr>
          <w:rFonts w:ascii="Times New Roman" w:hAnsi="Times New Roman" w:cs="Times New Roman"/>
          <w:sz w:val="24"/>
          <w:szCs w:val="24"/>
        </w:rPr>
        <w:t>feeders (</w:t>
      </w:r>
      <w:r w:rsidR="00BC4B94" w:rsidRPr="008374B5">
        <w:rPr>
          <w:rFonts w:ascii="Times New Roman" w:hAnsi="Times New Roman" w:cs="Times New Roman"/>
          <w:sz w:val="24"/>
          <w:szCs w:val="24"/>
        </w:rPr>
        <w:t xml:space="preserve">all </w:t>
      </w:r>
      <w:r w:rsidR="00A519FF" w:rsidRPr="008374B5">
        <w:rPr>
          <w:rFonts w:ascii="Times New Roman" w:hAnsi="Times New Roman" w:cs="Times New Roman"/>
          <w:i/>
          <w:sz w:val="24"/>
          <w:szCs w:val="24"/>
        </w:rPr>
        <w:t>P</w:t>
      </w:r>
      <w:r w:rsidR="00217B4B" w:rsidRPr="008374B5">
        <w:rPr>
          <w:rFonts w:ascii="Times New Roman" w:hAnsi="Times New Roman" w:cs="Times New Roman"/>
          <w:sz w:val="24"/>
          <w:szCs w:val="24"/>
        </w:rPr>
        <w:t>&lt;0.001)</w:t>
      </w:r>
      <w:r w:rsidR="00BF4A5B" w:rsidRPr="008374B5">
        <w:rPr>
          <w:rFonts w:ascii="Times New Roman" w:hAnsi="Times New Roman" w:cs="Times New Roman"/>
          <w:sz w:val="24"/>
          <w:szCs w:val="24"/>
          <w:lang w:val="en-SG"/>
        </w:rPr>
        <w:t>. T</w:t>
      </w:r>
      <w:r w:rsidR="0024053C" w:rsidRPr="008374B5">
        <w:rPr>
          <w:rFonts w:ascii="Times New Roman" w:hAnsi="Times New Roman" w:cs="Times New Roman"/>
          <w:sz w:val="24"/>
          <w:szCs w:val="24"/>
          <w:lang w:val="en-SG"/>
        </w:rPr>
        <w:t xml:space="preserve">he difference in </w:t>
      </w:r>
      <w:r w:rsidR="00BF4A5B" w:rsidRPr="008374B5">
        <w:rPr>
          <w:rFonts w:ascii="Times New Roman" w:hAnsi="Times New Roman" w:cs="Times New Roman"/>
          <w:sz w:val="24"/>
          <w:szCs w:val="24"/>
          <w:lang w:val="en-SG"/>
        </w:rPr>
        <w:t xml:space="preserve">energy </w:t>
      </w:r>
      <w:r w:rsidR="0024053C" w:rsidRPr="008374B5">
        <w:rPr>
          <w:rFonts w:ascii="Times New Roman" w:hAnsi="Times New Roman" w:cs="Times New Roman"/>
          <w:sz w:val="24"/>
          <w:szCs w:val="24"/>
          <w:lang w:val="en-SG"/>
        </w:rPr>
        <w:t>intake</w:t>
      </w:r>
      <w:r w:rsidR="00F45D26" w:rsidRPr="008374B5">
        <w:rPr>
          <w:rFonts w:ascii="Times New Roman" w:hAnsi="Times New Roman" w:cs="Times New Roman"/>
          <w:sz w:val="24"/>
          <w:szCs w:val="24"/>
          <w:lang w:val="en-SG"/>
        </w:rPr>
        <w:t xml:space="preserve"> originated from calories consumed during the </w:t>
      </w:r>
      <w:r w:rsidR="001433A2"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F45D26" w:rsidRPr="008374B5">
        <w:rPr>
          <w:rFonts w:ascii="Times New Roman" w:hAnsi="Times New Roman" w:cs="Times New Roman"/>
          <w:sz w:val="24"/>
          <w:szCs w:val="24"/>
          <w:lang w:val="en-SG"/>
        </w:rPr>
        <w:t>midnight period.</w:t>
      </w:r>
      <w:r w:rsidR="00F45D26" w:rsidRPr="008374B5">
        <w:rPr>
          <w:rFonts w:ascii="Times New Roman" w:eastAsiaTheme="minorEastAsia" w:hAnsi="Times New Roman" w:cs="Times New Roman"/>
          <w:sz w:val="24"/>
          <w:szCs w:val="24"/>
          <w:lang w:val="en-SG" w:eastAsia="zh-CN"/>
        </w:rPr>
        <w:t xml:space="preserve"> </w:t>
      </w:r>
      <w:r w:rsidR="00D3524F" w:rsidRPr="008374B5">
        <w:rPr>
          <w:rFonts w:ascii="Times New Roman" w:eastAsiaTheme="minorEastAsia" w:hAnsi="Times New Roman" w:cs="Times New Roman"/>
          <w:sz w:val="24"/>
          <w:szCs w:val="24"/>
          <w:lang w:val="en-SG" w:eastAsia="zh-CN"/>
        </w:rPr>
        <w:t xml:space="preserve">Majority </w:t>
      </w:r>
      <w:r w:rsidR="00A343B1" w:rsidRPr="008374B5">
        <w:rPr>
          <w:rFonts w:ascii="Times New Roman" w:eastAsiaTheme="minorEastAsia" w:hAnsi="Times New Roman" w:cs="Times New Roman"/>
          <w:sz w:val="24"/>
          <w:szCs w:val="24"/>
          <w:lang w:val="en-SG" w:eastAsia="zh-CN"/>
        </w:rPr>
        <w:t>(</w:t>
      </w:r>
      <w:r w:rsidR="00A343B1" w:rsidRPr="008374B5">
        <w:rPr>
          <w:rFonts w:ascii="Times New Roman" w:eastAsiaTheme="minorEastAsia" w:hAnsi="Times New Roman" w:cs="Times New Roman"/>
          <w:i/>
          <w:sz w:val="24"/>
          <w:szCs w:val="24"/>
          <w:lang w:val="en-SG" w:eastAsia="zh-CN"/>
        </w:rPr>
        <w:t>n</w:t>
      </w:r>
      <w:r w:rsidR="00A343B1" w:rsidRPr="008374B5">
        <w:rPr>
          <w:rFonts w:ascii="Times New Roman" w:eastAsiaTheme="minorEastAsia" w:hAnsi="Times New Roman" w:cs="Times New Roman"/>
          <w:sz w:val="24"/>
          <w:szCs w:val="24"/>
          <w:lang w:val="en-SG" w:eastAsia="zh-CN"/>
        </w:rPr>
        <w:t xml:space="preserve"> 173) </w:t>
      </w:r>
      <w:r w:rsidR="00D3524F" w:rsidRPr="008374B5">
        <w:rPr>
          <w:rFonts w:ascii="Times New Roman" w:eastAsiaTheme="minorEastAsia" w:hAnsi="Times New Roman" w:cs="Times New Roman"/>
          <w:sz w:val="24"/>
          <w:szCs w:val="24"/>
          <w:lang w:val="en-SG" w:eastAsia="zh-CN"/>
        </w:rPr>
        <w:t xml:space="preserve">of </w:t>
      </w:r>
      <w:r w:rsidR="001433A2" w:rsidRPr="008374B5">
        <w:rPr>
          <w:rFonts w:ascii="Times New Roman" w:eastAsiaTheme="minorEastAsia" w:hAnsi="Times New Roman" w:cs="Times New Roman"/>
          <w:sz w:val="24"/>
          <w:szCs w:val="24"/>
          <w:lang w:val="en-SG" w:eastAsia="zh-CN"/>
        </w:rPr>
        <w:t>post</w:t>
      </w:r>
      <w:r w:rsidR="000B1D17" w:rsidRPr="008374B5">
        <w:rPr>
          <w:rFonts w:ascii="Times New Roman" w:eastAsiaTheme="minorEastAsia" w:hAnsi="Times New Roman" w:cs="Times New Roman"/>
          <w:sz w:val="24"/>
          <w:szCs w:val="24"/>
          <w:lang w:val="en-SG" w:eastAsia="zh-CN"/>
        </w:rPr>
        <w:t>-</w:t>
      </w:r>
      <w:r w:rsidR="00D3524F" w:rsidRPr="008374B5">
        <w:rPr>
          <w:rFonts w:ascii="Times New Roman" w:eastAsiaTheme="minorEastAsia" w:hAnsi="Times New Roman" w:cs="Times New Roman"/>
          <w:sz w:val="24"/>
          <w:szCs w:val="24"/>
          <w:lang w:val="en-SG" w:eastAsia="zh-CN"/>
        </w:rPr>
        <w:t xml:space="preserve">midnight feeders </w:t>
      </w:r>
      <w:r w:rsidR="001433A2" w:rsidRPr="008374B5">
        <w:rPr>
          <w:rFonts w:ascii="Times New Roman" w:eastAsiaTheme="minorEastAsia" w:hAnsi="Times New Roman" w:cs="Times New Roman"/>
          <w:sz w:val="24"/>
          <w:szCs w:val="24"/>
          <w:lang w:val="en-SG" w:eastAsia="zh-CN"/>
        </w:rPr>
        <w:t>consumed</w:t>
      </w:r>
      <w:r w:rsidR="00D3524F" w:rsidRPr="008374B5">
        <w:rPr>
          <w:rFonts w:ascii="Times New Roman" w:eastAsiaTheme="minorEastAsia" w:hAnsi="Times New Roman" w:cs="Times New Roman"/>
          <w:sz w:val="24"/>
          <w:szCs w:val="24"/>
          <w:lang w:val="en-SG" w:eastAsia="zh-CN"/>
        </w:rPr>
        <w:t xml:space="preserve"> formula milk during the </w:t>
      </w:r>
      <w:r w:rsidR="00CA369F" w:rsidRPr="008374B5">
        <w:rPr>
          <w:rFonts w:ascii="Times New Roman" w:eastAsiaTheme="minorEastAsia" w:hAnsi="Times New Roman" w:cs="Times New Roman"/>
          <w:sz w:val="24"/>
          <w:szCs w:val="24"/>
          <w:lang w:val="en-SG" w:eastAsia="zh-CN"/>
        </w:rPr>
        <w:t>post</w:t>
      </w:r>
      <w:r w:rsidR="000B1D17" w:rsidRPr="008374B5">
        <w:rPr>
          <w:rFonts w:ascii="Times New Roman" w:eastAsiaTheme="minorEastAsia" w:hAnsi="Times New Roman" w:cs="Times New Roman"/>
          <w:sz w:val="24"/>
          <w:szCs w:val="24"/>
          <w:lang w:val="en-SG" w:eastAsia="zh-CN"/>
        </w:rPr>
        <w:t>-</w:t>
      </w:r>
      <w:r w:rsidR="00D3524F" w:rsidRPr="008374B5">
        <w:rPr>
          <w:rFonts w:ascii="Times New Roman" w:eastAsiaTheme="minorEastAsia" w:hAnsi="Times New Roman" w:cs="Times New Roman"/>
          <w:sz w:val="24"/>
          <w:szCs w:val="24"/>
          <w:lang w:val="en-SG" w:eastAsia="zh-CN"/>
        </w:rPr>
        <w:t xml:space="preserve">midnight period. </w:t>
      </w:r>
      <w:r w:rsidR="0082413A" w:rsidRPr="008374B5">
        <w:rPr>
          <w:rFonts w:ascii="Times New Roman" w:eastAsiaTheme="minorEastAsia" w:hAnsi="Times New Roman" w:cs="Times New Roman"/>
          <w:sz w:val="24"/>
          <w:szCs w:val="24"/>
          <w:lang w:val="en-SG" w:eastAsia="zh-CN"/>
        </w:rPr>
        <w:t>U</w:t>
      </w:r>
      <w:r w:rsidR="00A23D05" w:rsidRPr="008374B5">
        <w:rPr>
          <w:rFonts w:ascii="Times New Roman" w:hAnsi="Times New Roman" w:cs="Times New Roman"/>
          <w:sz w:val="24"/>
          <w:szCs w:val="24"/>
        </w:rPr>
        <w:t>sing multivariate logistic regression</w:t>
      </w:r>
      <w:r w:rsidR="00B25B3F" w:rsidRPr="008374B5">
        <w:rPr>
          <w:rFonts w:ascii="Times New Roman" w:hAnsi="Times New Roman" w:cs="Times New Roman"/>
          <w:sz w:val="24"/>
          <w:szCs w:val="24"/>
        </w:rPr>
        <w:t xml:space="preserve"> with confounder adjustment</w:t>
      </w:r>
      <w:r w:rsidR="00A23D05" w:rsidRPr="008374B5">
        <w:rPr>
          <w:rFonts w:ascii="Times New Roman" w:hAnsi="Times New Roman" w:cs="Times New Roman"/>
          <w:sz w:val="24"/>
          <w:szCs w:val="24"/>
        </w:rPr>
        <w:t>, e</w:t>
      </w:r>
      <w:r w:rsidR="00551359" w:rsidRPr="008374B5">
        <w:rPr>
          <w:rFonts w:ascii="Times New Roman" w:hAnsi="Times New Roman" w:cs="Times New Roman"/>
          <w:sz w:val="24"/>
          <w:szCs w:val="24"/>
        </w:rPr>
        <w:t xml:space="preserve">xclusively </w:t>
      </w:r>
      <w:r w:rsidR="00864FE4" w:rsidRPr="008374B5">
        <w:rPr>
          <w:rFonts w:ascii="Times New Roman" w:hAnsi="Times New Roman" w:cs="Times New Roman"/>
          <w:sz w:val="24"/>
          <w:szCs w:val="24"/>
        </w:rPr>
        <w:t>breast</w:t>
      </w:r>
      <w:r w:rsidR="00743CD9" w:rsidRPr="008374B5">
        <w:rPr>
          <w:rFonts w:ascii="Times New Roman" w:hAnsi="Times New Roman" w:cs="Times New Roman"/>
          <w:sz w:val="24"/>
          <w:szCs w:val="24"/>
        </w:rPr>
        <w:t xml:space="preserve">feeding during the first six months of life </w:t>
      </w:r>
      <w:r w:rsidR="00BC4B94" w:rsidRPr="008374B5">
        <w:rPr>
          <w:rFonts w:ascii="Times New Roman" w:hAnsi="Times New Roman" w:cs="Times New Roman"/>
          <w:sz w:val="24"/>
          <w:szCs w:val="24"/>
        </w:rPr>
        <w:t>was</w:t>
      </w:r>
      <w:r w:rsidR="00743CD9" w:rsidRPr="008374B5">
        <w:rPr>
          <w:rFonts w:ascii="Times New Roman" w:hAnsi="Times New Roman" w:cs="Times New Roman"/>
          <w:sz w:val="24"/>
          <w:szCs w:val="24"/>
        </w:rPr>
        <w:t xml:space="preserve"> </w:t>
      </w:r>
      <w:r w:rsidR="006F2827" w:rsidRPr="008374B5">
        <w:rPr>
          <w:rFonts w:ascii="Times New Roman" w:hAnsi="Times New Roman" w:cs="Times New Roman"/>
          <w:sz w:val="24"/>
          <w:szCs w:val="24"/>
        </w:rPr>
        <w:t xml:space="preserve">negatively </w:t>
      </w:r>
      <w:r w:rsidR="00743CD9" w:rsidRPr="008374B5">
        <w:rPr>
          <w:rFonts w:ascii="Times New Roman" w:hAnsi="Times New Roman" w:cs="Times New Roman"/>
          <w:sz w:val="24"/>
          <w:szCs w:val="24"/>
        </w:rPr>
        <w:t xml:space="preserve">associated with </w:t>
      </w:r>
      <w:r w:rsidR="0066270A" w:rsidRPr="008374B5">
        <w:rPr>
          <w:rFonts w:ascii="Times New Roman" w:hAnsi="Times New Roman" w:cs="Times New Roman"/>
          <w:sz w:val="24"/>
          <w:szCs w:val="24"/>
        </w:rPr>
        <w:t>post</w:t>
      </w:r>
      <w:r w:rsidR="000B1D17" w:rsidRPr="008374B5">
        <w:rPr>
          <w:rFonts w:ascii="Times New Roman" w:hAnsi="Times New Roman" w:cs="Times New Roman"/>
          <w:sz w:val="24"/>
          <w:szCs w:val="24"/>
        </w:rPr>
        <w:t>-</w:t>
      </w:r>
      <w:r w:rsidR="00743CD9" w:rsidRPr="008374B5">
        <w:rPr>
          <w:rFonts w:ascii="Times New Roman" w:hAnsi="Times New Roman" w:cs="Times New Roman"/>
          <w:sz w:val="24"/>
          <w:szCs w:val="24"/>
        </w:rPr>
        <w:t>midnight feeding at 12</w:t>
      </w:r>
      <w:r w:rsidR="000B1D17" w:rsidRPr="008374B5">
        <w:rPr>
          <w:rFonts w:ascii="Times New Roman" w:hAnsi="Times New Roman" w:cs="Times New Roman"/>
          <w:sz w:val="24"/>
          <w:szCs w:val="24"/>
        </w:rPr>
        <w:t>-</w:t>
      </w:r>
      <w:r w:rsidR="00743CD9" w:rsidRPr="008374B5">
        <w:rPr>
          <w:rFonts w:ascii="Times New Roman" w:hAnsi="Times New Roman" w:cs="Times New Roman"/>
          <w:sz w:val="24"/>
          <w:szCs w:val="24"/>
        </w:rPr>
        <w:t>month</w:t>
      </w:r>
      <w:r w:rsidR="000B1D17" w:rsidRPr="008374B5">
        <w:rPr>
          <w:rFonts w:ascii="Times New Roman" w:hAnsi="Times New Roman" w:cs="Times New Roman"/>
          <w:sz w:val="24"/>
          <w:szCs w:val="24"/>
        </w:rPr>
        <w:t>-</w:t>
      </w:r>
      <w:r w:rsidR="00A23D05" w:rsidRPr="008374B5">
        <w:rPr>
          <w:rFonts w:ascii="Times New Roman" w:hAnsi="Times New Roman" w:cs="Times New Roman"/>
          <w:sz w:val="24"/>
          <w:szCs w:val="24"/>
        </w:rPr>
        <w:t>old</w:t>
      </w:r>
      <w:r w:rsidR="00743CD9" w:rsidRPr="008374B5">
        <w:rPr>
          <w:rFonts w:ascii="Times New Roman" w:hAnsi="Times New Roman" w:cs="Times New Roman"/>
          <w:sz w:val="24"/>
          <w:szCs w:val="24"/>
        </w:rPr>
        <w:t xml:space="preserve"> (adjusted OR=</w:t>
      </w:r>
      <w:r w:rsidR="0024797C" w:rsidRPr="008374B5">
        <w:rPr>
          <w:rFonts w:ascii="Times New Roman" w:hAnsi="Times New Roman" w:cs="Times New Roman"/>
          <w:sz w:val="24"/>
          <w:szCs w:val="24"/>
        </w:rPr>
        <w:t xml:space="preserve">0.31, 95% CI </w:t>
      </w:r>
      <w:r w:rsidR="00F25C30" w:rsidRPr="008374B5">
        <w:rPr>
          <w:rFonts w:ascii="Times New Roman" w:hAnsi="Times New Roman" w:cs="Times New Roman"/>
          <w:sz w:val="24"/>
          <w:szCs w:val="24"/>
        </w:rPr>
        <w:t>0.11, 0.82</w:t>
      </w:r>
      <w:r w:rsidR="00743CD9" w:rsidRPr="008374B5">
        <w:rPr>
          <w:rFonts w:ascii="Times New Roman" w:hAnsi="Times New Roman" w:cs="Times New Roman"/>
          <w:sz w:val="24"/>
          <w:szCs w:val="24"/>
        </w:rPr>
        <w:t>).</w:t>
      </w:r>
      <w:r w:rsidR="00A113F4" w:rsidRPr="008374B5">
        <w:rPr>
          <w:rFonts w:ascii="Times New Roman" w:hAnsi="Times New Roman" w:cs="Times New Roman"/>
          <w:sz w:val="24"/>
          <w:szCs w:val="24"/>
        </w:rPr>
        <w:t xml:space="preserve"> </w:t>
      </w:r>
      <w:r w:rsidR="002248D6" w:rsidRPr="008374B5">
        <w:rPr>
          <w:rFonts w:ascii="Times New Roman" w:hAnsi="Times New Roman" w:cs="Times New Roman"/>
          <w:sz w:val="24"/>
          <w:szCs w:val="24"/>
        </w:rPr>
        <w:t xml:space="preserve">This study </w:t>
      </w:r>
      <w:r w:rsidR="009D5F3C" w:rsidRPr="008374B5">
        <w:rPr>
          <w:rFonts w:ascii="Times New Roman" w:hAnsi="Times New Roman" w:cs="Times New Roman"/>
          <w:sz w:val="24"/>
          <w:szCs w:val="24"/>
        </w:rPr>
        <w:t xml:space="preserve">provides new insights into </w:t>
      </w:r>
      <w:r w:rsidR="002248D6" w:rsidRPr="008374B5">
        <w:rPr>
          <w:rFonts w:ascii="Times New Roman" w:hAnsi="Times New Roman" w:cs="Times New Roman"/>
          <w:sz w:val="24"/>
          <w:szCs w:val="24"/>
        </w:rPr>
        <w:t xml:space="preserve">the </w:t>
      </w:r>
      <w:r w:rsidR="003A3E47" w:rsidRPr="008374B5">
        <w:rPr>
          <w:rFonts w:ascii="Times New Roman" w:hAnsi="Times New Roman" w:cs="Times New Roman"/>
          <w:sz w:val="24"/>
          <w:szCs w:val="24"/>
        </w:rPr>
        <w:t>circadian</w:t>
      </w:r>
      <w:r w:rsidR="002248D6" w:rsidRPr="008374B5">
        <w:rPr>
          <w:rFonts w:ascii="Times New Roman" w:hAnsi="Times New Roman" w:cs="Times New Roman"/>
          <w:sz w:val="24"/>
          <w:szCs w:val="24"/>
        </w:rPr>
        <w:t xml:space="preserve"> </w:t>
      </w:r>
      <w:r w:rsidR="008B1444" w:rsidRPr="008374B5">
        <w:rPr>
          <w:rFonts w:ascii="Times New Roman" w:hAnsi="Times New Roman" w:cs="Times New Roman"/>
          <w:sz w:val="24"/>
          <w:szCs w:val="24"/>
        </w:rPr>
        <w:t>pattern</w:t>
      </w:r>
      <w:r w:rsidR="002248D6" w:rsidRPr="008374B5">
        <w:rPr>
          <w:rFonts w:ascii="Times New Roman" w:hAnsi="Times New Roman" w:cs="Times New Roman"/>
          <w:sz w:val="24"/>
          <w:szCs w:val="24"/>
        </w:rPr>
        <w:t xml:space="preserve"> </w:t>
      </w:r>
      <w:r w:rsidR="0032199D" w:rsidRPr="008374B5">
        <w:rPr>
          <w:rFonts w:ascii="Times New Roman" w:hAnsi="Times New Roman" w:cs="Times New Roman"/>
          <w:sz w:val="24"/>
          <w:szCs w:val="24"/>
        </w:rPr>
        <w:t xml:space="preserve">of </w:t>
      </w:r>
      <w:r w:rsidR="00FA06F8" w:rsidRPr="008374B5">
        <w:rPr>
          <w:rFonts w:ascii="Times New Roman" w:hAnsi="Times New Roman" w:cs="Times New Roman"/>
          <w:sz w:val="24"/>
          <w:szCs w:val="24"/>
        </w:rPr>
        <w:t>energy</w:t>
      </w:r>
      <w:r w:rsidR="0032199D" w:rsidRPr="008374B5">
        <w:rPr>
          <w:rFonts w:ascii="Times New Roman" w:hAnsi="Times New Roman" w:cs="Times New Roman"/>
          <w:sz w:val="24"/>
          <w:szCs w:val="24"/>
        </w:rPr>
        <w:t xml:space="preserve"> intake </w:t>
      </w:r>
      <w:r w:rsidR="002248D6" w:rsidRPr="008374B5">
        <w:rPr>
          <w:rFonts w:ascii="Times New Roman" w:hAnsi="Times New Roman" w:cs="Times New Roman"/>
          <w:sz w:val="24"/>
          <w:szCs w:val="24"/>
        </w:rPr>
        <w:t xml:space="preserve">during infancy. </w:t>
      </w:r>
      <w:r w:rsidR="00DC41D6" w:rsidRPr="008374B5">
        <w:rPr>
          <w:rFonts w:ascii="Times New Roman" w:hAnsi="Times New Roman" w:cs="Times New Roman"/>
          <w:sz w:val="24"/>
          <w:szCs w:val="24"/>
        </w:rPr>
        <w:t xml:space="preserve">Our findings indicated that the timing of feeding </w:t>
      </w:r>
      <w:r w:rsidR="003B15A4" w:rsidRPr="008374B5">
        <w:rPr>
          <w:rFonts w:ascii="Times New Roman" w:hAnsi="Times New Roman" w:cs="Times New Roman"/>
          <w:sz w:val="24"/>
          <w:szCs w:val="24"/>
        </w:rPr>
        <w:t>at 12</w:t>
      </w:r>
      <w:r w:rsidR="000B1D17" w:rsidRPr="008374B5">
        <w:rPr>
          <w:rFonts w:ascii="Times New Roman" w:hAnsi="Times New Roman" w:cs="Times New Roman"/>
          <w:sz w:val="24"/>
          <w:szCs w:val="24"/>
        </w:rPr>
        <w:t>-</w:t>
      </w:r>
      <w:r w:rsidR="003B15A4" w:rsidRPr="008374B5">
        <w:rPr>
          <w:rFonts w:ascii="Times New Roman" w:hAnsi="Times New Roman" w:cs="Times New Roman"/>
          <w:sz w:val="24"/>
          <w:szCs w:val="24"/>
        </w:rPr>
        <w:t>month</w:t>
      </w:r>
      <w:r w:rsidR="000B1D17" w:rsidRPr="008374B5">
        <w:rPr>
          <w:rFonts w:ascii="Times New Roman" w:hAnsi="Times New Roman" w:cs="Times New Roman"/>
          <w:sz w:val="24"/>
          <w:szCs w:val="24"/>
        </w:rPr>
        <w:t>-</w:t>
      </w:r>
      <w:r w:rsidR="003B15A4" w:rsidRPr="008374B5">
        <w:rPr>
          <w:rFonts w:ascii="Times New Roman" w:hAnsi="Times New Roman" w:cs="Times New Roman"/>
          <w:sz w:val="24"/>
          <w:szCs w:val="24"/>
        </w:rPr>
        <w:t xml:space="preserve">old </w:t>
      </w:r>
      <w:r w:rsidR="009D5F3C" w:rsidRPr="008374B5">
        <w:rPr>
          <w:rFonts w:ascii="Times New Roman" w:hAnsi="Times New Roman" w:cs="Times New Roman"/>
          <w:sz w:val="24"/>
          <w:szCs w:val="24"/>
        </w:rPr>
        <w:t>was associated with daily</w:t>
      </w:r>
      <w:r w:rsidR="003B15A4" w:rsidRPr="008374B5">
        <w:rPr>
          <w:rFonts w:ascii="Times New Roman" w:hAnsi="Times New Roman" w:cs="Times New Roman"/>
          <w:sz w:val="24"/>
          <w:szCs w:val="24"/>
        </w:rPr>
        <w:t xml:space="preserve"> energy and macronutrient intakes, </w:t>
      </w:r>
      <w:r w:rsidR="000655C9" w:rsidRPr="005E4960">
        <w:rPr>
          <w:rFonts w:ascii="Times New Roman" w:hAnsi="Times New Roman" w:cs="Times New Roman"/>
          <w:color w:val="FF0000"/>
          <w:sz w:val="24"/>
          <w:szCs w:val="24"/>
        </w:rPr>
        <w:t>and</w:t>
      </w:r>
      <w:r w:rsidR="003B15A4" w:rsidRPr="008374B5">
        <w:rPr>
          <w:rFonts w:ascii="Times New Roman" w:hAnsi="Times New Roman" w:cs="Times New Roman"/>
          <w:sz w:val="24"/>
          <w:szCs w:val="24"/>
        </w:rPr>
        <w:t xml:space="preserve"> </w:t>
      </w:r>
      <w:r w:rsidR="000655C9">
        <w:rPr>
          <w:rFonts w:ascii="Times New Roman" w:hAnsi="Times New Roman" w:cs="Times New Roman"/>
          <w:sz w:val="24"/>
          <w:szCs w:val="24"/>
        </w:rPr>
        <w:t xml:space="preserve">feeding </w:t>
      </w:r>
      <w:r w:rsidR="003B15A4" w:rsidRPr="008374B5">
        <w:rPr>
          <w:rFonts w:ascii="Times New Roman" w:hAnsi="Times New Roman" w:cs="Times New Roman"/>
          <w:sz w:val="24"/>
          <w:szCs w:val="24"/>
        </w:rPr>
        <w:t xml:space="preserve">mode during </w:t>
      </w:r>
      <w:r w:rsidR="000655C9">
        <w:rPr>
          <w:rFonts w:ascii="Times New Roman" w:hAnsi="Times New Roman" w:cs="Times New Roman"/>
          <w:sz w:val="24"/>
          <w:szCs w:val="24"/>
        </w:rPr>
        <w:t xml:space="preserve">early </w:t>
      </w:r>
      <w:r w:rsidR="00B32D51">
        <w:rPr>
          <w:rFonts w:ascii="Times New Roman" w:hAnsi="Times New Roman" w:cs="Times New Roman"/>
          <w:sz w:val="24"/>
          <w:szCs w:val="24"/>
        </w:rPr>
        <w:t>infancy.</w:t>
      </w:r>
    </w:p>
    <w:p w14:paraId="1C6B5CBB" w14:textId="0087864C" w:rsidR="00C678F0" w:rsidRPr="008374B5" w:rsidRDefault="009D431F" w:rsidP="008374B5">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5E4960">
        <w:rPr>
          <w:rFonts w:ascii="Times New Roman" w:hAnsi="Times New Roman" w:cs="Times New Roman"/>
          <w:color w:val="FF0000"/>
          <w:sz w:val="24"/>
          <w:szCs w:val="24"/>
        </w:rPr>
        <w:t>250</w:t>
      </w:r>
      <w:r w:rsidR="004C0AA9" w:rsidRPr="008374B5">
        <w:rPr>
          <w:rFonts w:ascii="Times New Roman" w:hAnsi="Times New Roman" w:cs="Times New Roman"/>
          <w:sz w:val="24"/>
          <w:szCs w:val="24"/>
        </w:rPr>
        <w:t xml:space="preserve"> words)</w:t>
      </w:r>
    </w:p>
    <w:p w14:paraId="330D3724" w14:textId="77777777" w:rsidR="004C0AA9" w:rsidRPr="008374B5" w:rsidRDefault="004C0AA9" w:rsidP="008374B5">
      <w:pPr>
        <w:suppressLineNumbers/>
        <w:suppressAutoHyphens/>
        <w:spacing w:after="0" w:line="360" w:lineRule="auto"/>
        <w:jc w:val="both"/>
        <w:rPr>
          <w:rFonts w:ascii="Times New Roman" w:hAnsi="Times New Roman" w:cs="Times New Roman"/>
          <w:sz w:val="24"/>
          <w:szCs w:val="24"/>
        </w:rPr>
      </w:pPr>
    </w:p>
    <w:p w14:paraId="2ED26F4A" w14:textId="77777777" w:rsidR="004C0AA9" w:rsidRDefault="004C0AA9" w:rsidP="008374B5">
      <w:pPr>
        <w:suppressLineNumbers/>
        <w:suppressAutoHyphens/>
        <w:spacing w:after="0" w:line="360" w:lineRule="auto"/>
        <w:jc w:val="both"/>
        <w:rPr>
          <w:rFonts w:ascii="Times New Roman" w:hAnsi="Times New Roman" w:cs="Times New Roman"/>
          <w:sz w:val="24"/>
          <w:szCs w:val="24"/>
        </w:rPr>
      </w:pPr>
    </w:p>
    <w:p w14:paraId="0FF3A4A7" w14:textId="77777777" w:rsidR="00335B21" w:rsidRDefault="00335B21" w:rsidP="008374B5">
      <w:pPr>
        <w:suppressLineNumbers/>
        <w:suppressAutoHyphens/>
        <w:spacing w:after="0" w:line="360" w:lineRule="auto"/>
        <w:jc w:val="both"/>
        <w:rPr>
          <w:rFonts w:ascii="Times New Roman" w:hAnsi="Times New Roman" w:cs="Times New Roman"/>
          <w:sz w:val="24"/>
          <w:szCs w:val="24"/>
        </w:rPr>
      </w:pPr>
    </w:p>
    <w:p w14:paraId="6AAA7DE4" w14:textId="716696E2" w:rsidR="00335B21" w:rsidRDefault="00335B21" w:rsidP="008374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Introduction</w:t>
      </w:r>
    </w:p>
    <w:p w14:paraId="76B187EC" w14:textId="50F00AD5" w:rsidR="00246F33" w:rsidRPr="008374B5" w:rsidRDefault="00501915" w:rsidP="008374B5">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rPr>
        <w:t>T</w:t>
      </w:r>
      <w:r w:rsidR="00586D4B" w:rsidRPr="008374B5">
        <w:rPr>
          <w:rFonts w:ascii="Times New Roman" w:hAnsi="Times New Roman" w:cs="Times New Roman"/>
          <w:sz w:val="24"/>
          <w:szCs w:val="24"/>
        </w:rPr>
        <w:t>he first 1000</w:t>
      </w:r>
      <w:r w:rsidRPr="008374B5">
        <w:rPr>
          <w:rFonts w:ascii="Times New Roman" w:hAnsi="Times New Roman" w:cs="Times New Roman"/>
          <w:sz w:val="24"/>
          <w:szCs w:val="24"/>
        </w:rPr>
        <w:t xml:space="preserve"> days of life</w:t>
      </w:r>
      <w:r w:rsidR="005B6701" w:rsidRPr="008374B5">
        <w:rPr>
          <w:rFonts w:ascii="Times New Roman" w:hAnsi="Times New Roman" w:cs="Times New Roman"/>
          <w:sz w:val="24"/>
          <w:szCs w:val="24"/>
        </w:rPr>
        <w:t xml:space="preserve">, spanning from </w:t>
      </w:r>
      <w:r w:rsidR="00BC3811" w:rsidRPr="008374B5">
        <w:rPr>
          <w:rFonts w:ascii="Times New Roman" w:hAnsi="Times New Roman" w:cs="Times New Roman"/>
          <w:sz w:val="24"/>
          <w:szCs w:val="24"/>
        </w:rPr>
        <w:t>conception</w:t>
      </w:r>
      <w:r w:rsidR="00CB6DFD" w:rsidRPr="008374B5">
        <w:rPr>
          <w:rFonts w:ascii="Times New Roman" w:hAnsi="Times New Roman" w:cs="Times New Roman"/>
          <w:sz w:val="24"/>
          <w:szCs w:val="24"/>
        </w:rPr>
        <w:t xml:space="preserve"> to 2 years of age,</w:t>
      </w:r>
      <w:r w:rsidRPr="008374B5">
        <w:rPr>
          <w:rFonts w:ascii="Times New Roman" w:hAnsi="Times New Roman" w:cs="Times New Roman"/>
          <w:sz w:val="24"/>
          <w:szCs w:val="24"/>
        </w:rPr>
        <w:t xml:space="preserve"> </w:t>
      </w:r>
      <w:r w:rsidR="000F4EF2" w:rsidRPr="008374B5">
        <w:rPr>
          <w:rFonts w:ascii="Times New Roman" w:hAnsi="Times New Roman" w:cs="Times New Roman"/>
          <w:sz w:val="24"/>
          <w:szCs w:val="24"/>
        </w:rPr>
        <w:t>is</w:t>
      </w:r>
      <w:r w:rsidRPr="008374B5">
        <w:rPr>
          <w:rFonts w:ascii="Times New Roman" w:hAnsi="Times New Roman" w:cs="Times New Roman"/>
          <w:sz w:val="24"/>
          <w:szCs w:val="24"/>
        </w:rPr>
        <w:t xml:space="preserve"> recognized as a critical pe</w:t>
      </w:r>
      <w:r w:rsidR="00B57725" w:rsidRPr="008374B5">
        <w:rPr>
          <w:rFonts w:ascii="Times New Roman" w:hAnsi="Times New Roman" w:cs="Times New Roman"/>
          <w:sz w:val="24"/>
          <w:szCs w:val="24"/>
        </w:rPr>
        <w:t xml:space="preserve">riod of growth and development. </w:t>
      </w:r>
      <w:r w:rsidR="005A7F4B" w:rsidRPr="008374B5">
        <w:rPr>
          <w:rFonts w:ascii="Times New Roman" w:hAnsi="Times New Roman" w:cs="Times New Roman"/>
          <w:sz w:val="24"/>
          <w:szCs w:val="24"/>
        </w:rPr>
        <w:t xml:space="preserve">As highlighted in the developmental origins of health and disease (DOHaD) hypothesis, </w:t>
      </w:r>
      <w:r w:rsidR="0086283E" w:rsidRPr="008374B5">
        <w:rPr>
          <w:rFonts w:ascii="Times New Roman" w:hAnsi="Times New Roman" w:cs="Times New Roman"/>
          <w:sz w:val="24"/>
          <w:szCs w:val="24"/>
        </w:rPr>
        <w:t xml:space="preserve">adverse exposures during </w:t>
      </w:r>
      <w:r w:rsidR="005A7F4B" w:rsidRPr="008374B5">
        <w:rPr>
          <w:rFonts w:ascii="Times New Roman" w:hAnsi="Times New Roman" w:cs="Times New Roman"/>
          <w:sz w:val="24"/>
          <w:szCs w:val="24"/>
        </w:rPr>
        <w:t>t</w:t>
      </w:r>
      <w:r w:rsidR="0059416B" w:rsidRPr="008374B5">
        <w:rPr>
          <w:rFonts w:ascii="Times New Roman" w:hAnsi="Times New Roman" w:cs="Times New Roman"/>
          <w:sz w:val="24"/>
          <w:szCs w:val="24"/>
        </w:rPr>
        <w:t>h</w:t>
      </w:r>
      <w:r w:rsidR="00237AB3" w:rsidRPr="008374B5">
        <w:rPr>
          <w:rFonts w:ascii="Times New Roman" w:hAnsi="Times New Roman" w:cs="Times New Roman"/>
          <w:sz w:val="24"/>
          <w:szCs w:val="24"/>
        </w:rPr>
        <w:t xml:space="preserve">is </w:t>
      </w:r>
      <w:r w:rsidR="001922A9" w:rsidRPr="008374B5">
        <w:rPr>
          <w:rFonts w:ascii="Times New Roman" w:hAnsi="Times New Roman" w:cs="Times New Roman"/>
          <w:sz w:val="24"/>
          <w:szCs w:val="24"/>
        </w:rPr>
        <w:t xml:space="preserve">period of early programming </w:t>
      </w:r>
      <w:r w:rsidR="00DA1D12" w:rsidRPr="008374B5">
        <w:rPr>
          <w:rFonts w:ascii="Times New Roman" w:hAnsi="Times New Roman" w:cs="Times New Roman"/>
          <w:sz w:val="24"/>
          <w:szCs w:val="24"/>
        </w:rPr>
        <w:t xml:space="preserve">and plasticity </w:t>
      </w:r>
      <w:r w:rsidR="007E502D" w:rsidRPr="008374B5">
        <w:rPr>
          <w:rFonts w:ascii="Times New Roman" w:hAnsi="Times New Roman" w:cs="Times New Roman"/>
          <w:sz w:val="24"/>
          <w:szCs w:val="24"/>
        </w:rPr>
        <w:t>have</w:t>
      </w:r>
      <w:r w:rsidR="001922A9" w:rsidRPr="008374B5">
        <w:rPr>
          <w:rFonts w:ascii="Times New Roman" w:hAnsi="Times New Roman" w:cs="Times New Roman"/>
          <w:sz w:val="24"/>
          <w:szCs w:val="24"/>
        </w:rPr>
        <w:t xml:space="preserve"> long</w:t>
      </w:r>
      <w:r w:rsidR="000B1D17" w:rsidRPr="008374B5">
        <w:rPr>
          <w:rFonts w:ascii="Times New Roman" w:hAnsi="Times New Roman" w:cs="Times New Roman"/>
          <w:sz w:val="24"/>
          <w:szCs w:val="24"/>
        </w:rPr>
        <w:t>-</w:t>
      </w:r>
      <w:r w:rsidR="001922A9" w:rsidRPr="008374B5">
        <w:rPr>
          <w:rFonts w:ascii="Times New Roman" w:hAnsi="Times New Roman" w:cs="Times New Roman"/>
          <w:sz w:val="24"/>
          <w:szCs w:val="24"/>
        </w:rPr>
        <w:t>term implications on later health</w:t>
      </w:r>
      <w:r w:rsidR="00684C92"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"ISBN" : "0097-9805", "ISSN" : "00979805", "PMID" : "20687308", "author" : [ { "dropping-particle" : "", "family" : "Gluckman", "given" : "Peter D", "non-dropping-particle" : "", "parse-names" : false, "suffix" : "" }, { "dropping-particle" : "", "family" : "Hanson", "given" : "Mark A", "non-dropping-particle" : "", "parse-names" : false, "suffix" : "" } ], "container-title" : "Developmental Origins of Health and Disease", "editor" : [ { "dropping-particle" : "", "family" : "Gluckman", "given" : "Peter D", "non-dropping-particle" : "", "parse-names" : false, "suffix" : "" }, { "dropping-particle" : "", "family" : "Hanson", "given" : "Mark A", "non-dropping-particle" : "", "parse-names" : false, "suffix" : "" } ], "id" : "ITEM-1", "issued" : { "date-parts" : [ [ "2006" ] ] }, "page" : "1-5", "publisher" : "Cambridge University Press", "publisher-place" : "Cambridge, England", "title" : "The developmental origins of health and disease: an overview", "type" : "chapter" }, "uris" : [ "http://www.mendeley.com/documents/?uuid=1f43af37-e469-47d9-88de-52b964093026" ] } ], "mendeley" : { "formattedCitation" : "&lt;sup&gt;1&lt;/sup&gt;", "plainTextFormattedCitation" : "1", "previouslyFormattedCitation" : "&lt;sup&gt;1&lt;/sup&gt;" }, "properties" : { "noteIndex" : 0 }, "schema" : "https://github.com/citation-style-language/schema/raw/master/csl-citation.json" }</w:instrText>
      </w:r>
      <w:r w:rsidR="00684C92"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1</w:t>
      </w:r>
      <w:r w:rsidR="00684C92" w:rsidRPr="008374B5">
        <w:rPr>
          <w:rFonts w:ascii="Times New Roman" w:hAnsi="Times New Roman" w:cs="Times New Roman"/>
          <w:sz w:val="24"/>
          <w:szCs w:val="24"/>
        </w:rPr>
        <w:fldChar w:fldCharType="end"/>
      </w:r>
      <w:r w:rsidR="0059416B" w:rsidRPr="008374B5">
        <w:rPr>
          <w:rFonts w:ascii="Times New Roman" w:hAnsi="Times New Roman" w:cs="Times New Roman"/>
          <w:sz w:val="24"/>
          <w:szCs w:val="24"/>
        </w:rPr>
        <w:t>.</w:t>
      </w:r>
      <w:r w:rsidR="00CB6DFD" w:rsidRPr="008374B5">
        <w:rPr>
          <w:rFonts w:ascii="Times New Roman" w:hAnsi="Times New Roman" w:cs="Times New Roman"/>
          <w:sz w:val="24"/>
          <w:szCs w:val="24"/>
        </w:rPr>
        <w:t xml:space="preserve"> </w:t>
      </w:r>
      <w:r w:rsidR="00BC6AFF" w:rsidRPr="008374B5">
        <w:rPr>
          <w:rFonts w:ascii="Times New Roman" w:hAnsi="Times New Roman" w:cs="Times New Roman"/>
          <w:sz w:val="24"/>
          <w:szCs w:val="24"/>
        </w:rPr>
        <w:t>It is well</w:t>
      </w:r>
      <w:r w:rsidR="000B1D17" w:rsidRPr="008374B5">
        <w:rPr>
          <w:rFonts w:ascii="Times New Roman" w:hAnsi="Times New Roman" w:cs="Times New Roman"/>
          <w:sz w:val="24"/>
          <w:szCs w:val="24"/>
        </w:rPr>
        <w:t>-</w:t>
      </w:r>
      <w:r w:rsidR="00BC6AFF" w:rsidRPr="008374B5">
        <w:rPr>
          <w:rFonts w:ascii="Times New Roman" w:hAnsi="Times New Roman" w:cs="Times New Roman"/>
          <w:sz w:val="24"/>
          <w:szCs w:val="24"/>
        </w:rPr>
        <w:t xml:space="preserve">established </w:t>
      </w:r>
      <w:r w:rsidR="00D542A0" w:rsidRPr="008374B5">
        <w:rPr>
          <w:rFonts w:ascii="Times New Roman" w:hAnsi="Times New Roman" w:cs="Times New Roman"/>
          <w:sz w:val="24"/>
          <w:szCs w:val="24"/>
        </w:rPr>
        <w:t>that early life</w:t>
      </w:r>
      <w:r w:rsidR="006A0CE2" w:rsidRPr="008374B5">
        <w:rPr>
          <w:rFonts w:ascii="Times New Roman" w:hAnsi="Times New Roman" w:cs="Times New Roman"/>
          <w:sz w:val="24"/>
          <w:szCs w:val="24"/>
        </w:rPr>
        <w:t xml:space="preserve"> nutrition is </w:t>
      </w:r>
      <w:r w:rsidR="005A7F4B" w:rsidRPr="008374B5">
        <w:rPr>
          <w:rFonts w:ascii="Times New Roman" w:hAnsi="Times New Roman" w:cs="Times New Roman"/>
          <w:sz w:val="24"/>
          <w:szCs w:val="24"/>
        </w:rPr>
        <w:t xml:space="preserve">a </w:t>
      </w:r>
      <w:r w:rsidR="008A1909" w:rsidRPr="008374B5">
        <w:rPr>
          <w:rFonts w:ascii="Times New Roman" w:hAnsi="Times New Roman" w:cs="Times New Roman"/>
          <w:sz w:val="24"/>
          <w:szCs w:val="24"/>
        </w:rPr>
        <w:t>key</w:t>
      </w:r>
      <w:r w:rsidR="005A7F4B" w:rsidRPr="008374B5">
        <w:rPr>
          <w:rFonts w:ascii="Times New Roman" w:hAnsi="Times New Roman" w:cs="Times New Roman"/>
          <w:sz w:val="24"/>
          <w:szCs w:val="24"/>
        </w:rPr>
        <w:t xml:space="preserve"> </w:t>
      </w:r>
      <w:r w:rsidR="00A840B4" w:rsidRPr="008374B5">
        <w:rPr>
          <w:rFonts w:ascii="Times New Roman" w:hAnsi="Times New Roman" w:cs="Times New Roman"/>
          <w:sz w:val="24"/>
          <w:szCs w:val="24"/>
        </w:rPr>
        <w:t xml:space="preserve">environmental </w:t>
      </w:r>
      <w:r w:rsidR="0086283E" w:rsidRPr="008374B5">
        <w:rPr>
          <w:rFonts w:ascii="Times New Roman" w:hAnsi="Times New Roman" w:cs="Times New Roman"/>
          <w:sz w:val="24"/>
          <w:szCs w:val="24"/>
        </w:rPr>
        <w:t>factor</w:t>
      </w:r>
      <w:r w:rsidR="002E1721" w:rsidRPr="008374B5">
        <w:rPr>
          <w:rFonts w:ascii="Times New Roman" w:hAnsi="Times New Roman" w:cs="Times New Roman"/>
          <w:sz w:val="24"/>
          <w:szCs w:val="24"/>
        </w:rPr>
        <w:t xml:space="preserve"> </w:t>
      </w:r>
      <w:r w:rsidR="00B02D5F" w:rsidRPr="008374B5">
        <w:rPr>
          <w:rFonts w:ascii="Times New Roman" w:hAnsi="Times New Roman" w:cs="Times New Roman"/>
          <w:sz w:val="24"/>
          <w:szCs w:val="24"/>
        </w:rPr>
        <w:t>that strong</w:t>
      </w:r>
      <w:r w:rsidR="00D0263F" w:rsidRPr="008374B5">
        <w:rPr>
          <w:rFonts w:ascii="Times New Roman" w:hAnsi="Times New Roman" w:cs="Times New Roman"/>
          <w:sz w:val="24"/>
          <w:szCs w:val="24"/>
        </w:rPr>
        <w:t>ly</w:t>
      </w:r>
      <w:r w:rsidR="00B02D5F" w:rsidRPr="008374B5">
        <w:rPr>
          <w:rFonts w:ascii="Times New Roman" w:hAnsi="Times New Roman" w:cs="Times New Roman"/>
          <w:sz w:val="24"/>
          <w:szCs w:val="24"/>
        </w:rPr>
        <w:t xml:space="preserve"> influences the risk of </w:t>
      </w:r>
      <w:r w:rsidR="004012E5" w:rsidRPr="008374B5">
        <w:rPr>
          <w:rFonts w:ascii="Times New Roman" w:hAnsi="Times New Roman" w:cs="Times New Roman"/>
          <w:sz w:val="24"/>
          <w:szCs w:val="24"/>
        </w:rPr>
        <w:t xml:space="preserve">developing </w:t>
      </w:r>
      <w:r w:rsidR="005E6616" w:rsidRPr="008374B5">
        <w:rPr>
          <w:rFonts w:ascii="Times New Roman" w:hAnsi="Times New Roman" w:cs="Times New Roman"/>
          <w:sz w:val="24"/>
          <w:szCs w:val="24"/>
        </w:rPr>
        <w:t>cardiovascular and metabolic diseases in adulthood</w:t>
      </w:r>
      <w:r w:rsidR="00B830D0"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"10.1053/j.semperi.2015.06.009", "ISBN" : "0146-0005", "ISSN" : "1558075X", "PMID" : "26166560", "abstract" : "This article reviews the central role of nutrition in advancing the maternal, newborn, and child health agenda with a focus on evidence for effective interventions generated using randomized controlled trials in low- and middle-income countries (LMIC). The 1000 days spanning from conception to 2 years of life are a critical period of time when nutritional needs must be ensured can lead to adverse impacts on short-term survival as well as long-term health and development. The burden of maternal mortality continues to be high in many under-resourced settings; prenatal calcium supplementation in populations with low intakes can reduce the risk of pre-eclampsia and eclampsia morbidity and mortality and is recommended, and antenatal iron-folic acid use in many countries may reduce anemia, a condition that may be an underlying factor in postpartum hemorrhage. Sufficient evidence exists to promote multiple micronutrient supplementation during pregnancy to reduce fetal growth restriction and low birth weight. Early initiation of breastfeeding (within an hour), exclusive breastfeeding in the first 6 months of life, and vitamin A supplementation in the first few days of life in Asia (but not in Africa) reduce infant mortality. Biannual large-dose vitamin A supplements to children 6-59 months of age and zinc for treatment of diarrhea continue to be important strategies for improving child health and survival. Early nutrition and micronutrient status can influence child development but should be integrated with early responsive learning interventions. Future research is needed that goes beyond the 1000 days to ensure adequate preconceptional nutrition and health, with special emphasis on adolescents who contribute to a large proportion of first births in many LMIC. Thus, we make the case for integrating proven nutrition interventions with those for health in pregnant women, and with those for health and child development in neonates, infants, and young children to help advance the global MNCH agenda.", "author" : [ { "dropping-particle" : "", "family" : "Christian", "given" : "Parul", "non-dropping-particle" : "", "parse-names" : false, "suffix" : "" }, { "dropping-particle" : "", "family" : "Mullany", "given" : "Luke C.", "non-dropping-particle" : "", "parse-names" : false, "suffix" : "" }, { "dropping-particle" : "", "family" : "Hurley", "given" : "Kristen M.", "non-dropping-particle" : "", "parse-names" : false, "suffix" : "" }, { "dropping-particle" : "", "family" : "Katz", "given" : "Joanne", "non-dropping-particle" : "", "parse-names" : false, "suffix" : "" }, { "dropping-particle" : "", "family" : "Black", "given" : "Robert E.", "non-dropping-particle" : "", "parse-names" : false, "suffix" : "" } ], "container-title" : "Seminars in Perinatology", "id" : "ITEM-1", "issue" : "5", "issued" : { "date-parts" : [ [ "2015" ] ] }, "page" : "361-372", "publisher" : "Elsevier", "title" : "Nutrition and maternal, neonatal, and child health", "type" : "article-journal", "volume" : "39" }, "uris" : [ "http://www.mendeley.com/documents/?uuid=01c7ae72-df04-45b1-b922-b1b9b5c32a1e" ] } ], "mendeley" : { "formattedCitation" : "&lt;sup&gt;2&lt;/sup&gt;", "plainTextFormattedCitation" : "2", "previouslyFormattedCitation" : "&lt;sup&gt;2&lt;/sup&gt;" }, "properties" : { "noteIndex" : 0 }, "schema" : "https://github.com/citation-style-language/schema/raw/master/csl-citation.json" }</w:instrText>
      </w:r>
      <w:r w:rsidR="00B830D0"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2</w:t>
      </w:r>
      <w:r w:rsidR="00B830D0" w:rsidRPr="008374B5">
        <w:rPr>
          <w:rFonts w:ascii="Times New Roman" w:hAnsi="Times New Roman" w:cs="Times New Roman"/>
          <w:sz w:val="24"/>
          <w:szCs w:val="24"/>
        </w:rPr>
        <w:fldChar w:fldCharType="end"/>
      </w:r>
      <w:r w:rsidR="00CB6DFD" w:rsidRPr="008374B5">
        <w:rPr>
          <w:rFonts w:ascii="Times New Roman" w:hAnsi="Times New Roman" w:cs="Times New Roman"/>
          <w:sz w:val="24"/>
          <w:szCs w:val="24"/>
        </w:rPr>
        <w:t>.</w:t>
      </w:r>
      <w:r w:rsidR="003F0B9D" w:rsidRPr="008374B5">
        <w:rPr>
          <w:rFonts w:ascii="Times New Roman" w:hAnsi="Times New Roman" w:cs="Times New Roman"/>
          <w:sz w:val="24"/>
          <w:szCs w:val="24"/>
        </w:rPr>
        <w:t xml:space="preserve"> </w:t>
      </w:r>
      <w:r w:rsidR="005F7DFA" w:rsidRPr="008374B5">
        <w:rPr>
          <w:rFonts w:ascii="Times New Roman" w:hAnsi="Times New Roman" w:cs="Times New Roman"/>
          <w:sz w:val="24"/>
          <w:szCs w:val="24"/>
        </w:rPr>
        <w:t xml:space="preserve">Substantial evidence </w:t>
      </w:r>
      <w:r w:rsidR="009A7B32" w:rsidRPr="008374B5">
        <w:rPr>
          <w:rFonts w:ascii="Times New Roman" w:hAnsi="Times New Roman" w:cs="Times New Roman"/>
          <w:sz w:val="24"/>
          <w:szCs w:val="24"/>
        </w:rPr>
        <w:t>indicate</w:t>
      </w:r>
      <w:r w:rsidR="005F7DFA" w:rsidRPr="008374B5">
        <w:rPr>
          <w:rFonts w:ascii="Times New Roman" w:hAnsi="Times New Roman" w:cs="Times New Roman"/>
          <w:sz w:val="24"/>
          <w:szCs w:val="24"/>
        </w:rPr>
        <w:t>s</w:t>
      </w:r>
      <w:r w:rsidR="009A7B32" w:rsidRPr="008374B5">
        <w:rPr>
          <w:rFonts w:ascii="Times New Roman" w:hAnsi="Times New Roman" w:cs="Times New Roman"/>
          <w:sz w:val="24"/>
          <w:szCs w:val="24"/>
        </w:rPr>
        <w:t xml:space="preserve"> that fetal adaptive responses to </w:t>
      </w:r>
      <w:r w:rsidR="00501C5D" w:rsidRPr="008374B5">
        <w:rPr>
          <w:rFonts w:ascii="Times New Roman" w:hAnsi="Times New Roman" w:cs="Times New Roman"/>
          <w:sz w:val="24"/>
          <w:szCs w:val="24"/>
        </w:rPr>
        <w:t xml:space="preserve">a poor </w:t>
      </w:r>
      <w:r w:rsidR="009A7B32" w:rsidRPr="008374B5">
        <w:rPr>
          <w:rFonts w:ascii="Times New Roman" w:hAnsi="Times New Roman" w:cs="Times New Roman"/>
          <w:sz w:val="24"/>
          <w:szCs w:val="24"/>
        </w:rPr>
        <w:t xml:space="preserve">or overly rich perinatal </w:t>
      </w:r>
      <w:r w:rsidR="00501C5D" w:rsidRPr="008374B5">
        <w:rPr>
          <w:rFonts w:ascii="Times New Roman" w:hAnsi="Times New Roman" w:cs="Times New Roman"/>
          <w:sz w:val="24"/>
          <w:szCs w:val="24"/>
        </w:rPr>
        <w:t>environment</w:t>
      </w:r>
      <w:r w:rsidR="009A7B32" w:rsidRPr="008374B5">
        <w:rPr>
          <w:rFonts w:ascii="Times New Roman" w:hAnsi="Times New Roman" w:cs="Times New Roman"/>
          <w:sz w:val="24"/>
          <w:szCs w:val="24"/>
        </w:rPr>
        <w:t xml:space="preserve"> may lead to long</w:t>
      </w:r>
      <w:r w:rsidR="000B1D17" w:rsidRPr="008374B5">
        <w:rPr>
          <w:rFonts w:ascii="Times New Roman" w:hAnsi="Times New Roman" w:cs="Times New Roman"/>
          <w:sz w:val="24"/>
          <w:szCs w:val="24"/>
        </w:rPr>
        <w:t>-</w:t>
      </w:r>
      <w:r w:rsidR="009A7B32" w:rsidRPr="008374B5">
        <w:rPr>
          <w:rFonts w:ascii="Times New Roman" w:hAnsi="Times New Roman" w:cs="Times New Roman"/>
          <w:sz w:val="24"/>
          <w:szCs w:val="24"/>
        </w:rPr>
        <w:t xml:space="preserve">term </w:t>
      </w:r>
      <w:r w:rsidR="005F7DFA" w:rsidRPr="008374B5">
        <w:rPr>
          <w:rFonts w:ascii="Times New Roman" w:hAnsi="Times New Roman" w:cs="Times New Roman"/>
          <w:sz w:val="24"/>
          <w:szCs w:val="24"/>
        </w:rPr>
        <w:t>programming effects</w:t>
      </w:r>
      <w:r w:rsidR="009A7B32" w:rsidRPr="008374B5">
        <w:rPr>
          <w:rFonts w:ascii="Times New Roman" w:hAnsi="Times New Roman" w:cs="Times New Roman"/>
          <w:sz w:val="24"/>
          <w:szCs w:val="24"/>
        </w:rPr>
        <w:t xml:space="preserve"> or plastic modifications</w:t>
      </w:r>
      <w:r w:rsidR="005F7DFA" w:rsidRPr="008374B5">
        <w:rPr>
          <w:rFonts w:ascii="Times New Roman" w:hAnsi="Times New Roman" w:cs="Times New Roman"/>
          <w:sz w:val="24"/>
          <w:szCs w:val="24"/>
        </w:rPr>
        <w:t xml:space="preserve"> of</w:t>
      </w:r>
      <w:r w:rsidR="00D332E0" w:rsidRPr="008374B5">
        <w:rPr>
          <w:rFonts w:ascii="Times New Roman" w:hAnsi="Times New Roman" w:cs="Times New Roman"/>
          <w:sz w:val="24"/>
          <w:szCs w:val="24"/>
        </w:rPr>
        <w:t xml:space="preserve"> tissues and o</w:t>
      </w:r>
      <w:r w:rsidR="000F4EF2" w:rsidRPr="008374B5">
        <w:rPr>
          <w:rFonts w:ascii="Times New Roman" w:hAnsi="Times New Roman" w:cs="Times New Roman"/>
          <w:sz w:val="24"/>
          <w:szCs w:val="24"/>
        </w:rPr>
        <w:t xml:space="preserve">rgans, thereby predisposing </w:t>
      </w:r>
      <w:r w:rsidR="00D332E0" w:rsidRPr="008374B5">
        <w:rPr>
          <w:rFonts w:ascii="Times New Roman" w:hAnsi="Times New Roman" w:cs="Times New Roman"/>
          <w:sz w:val="24"/>
          <w:szCs w:val="24"/>
        </w:rPr>
        <w:t>offsprings</w:t>
      </w:r>
      <w:r w:rsidR="009A7B32" w:rsidRPr="008374B5">
        <w:rPr>
          <w:rFonts w:ascii="Times New Roman" w:hAnsi="Times New Roman" w:cs="Times New Roman"/>
          <w:sz w:val="24"/>
          <w:szCs w:val="24"/>
        </w:rPr>
        <w:t xml:space="preserve"> to a higher </w:t>
      </w:r>
      <w:r w:rsidR="00501C5D" w:rsidRPr="008374B5">
        <w:rPr>
          <w:rFonts w:ascii="Times New Roman" w:hAnsi="Times New Roman" w:cs="Times New Roman"/>
          <w:sz w:val="24"/>
          <w:szCs w:val="24"/>
        </w:rPr>
        <w:t xml:space="preserve">risk of </w:t>
      </w:r>
      <w:r w:rsidR="007F187E" w:rsidRPr="008374B5">
        <w:rPr>
          <w:rFonts w:ascii="Times New Roman" w:hAnsi="Times New Roman" w:cs="Times New Roman"/>
          <w:sz w:val="24"/>
          <w:szCs w:val="24"/>
        </w:rPr>
        <w:t>chronic</w:t>
      </w:r>
      <w:r w:rsidR="00D332E0" w:rsidRPr="008374B5">
        <w:rPr>
          <w:rFonts w:ascii="Times New Roman" w:hAnsi="Times New Roman" w:cs="Times New Roman"/>
          <w:sz w:val="24"/>
          <w:szCs w:val="24"/>
        </w:rPr>
        <w:t xml:space="preserve"> disease</w:t>
      </w:r>
      <w:r w:rsidR="00153DDA" w:rsidRPr="008374B5">
        <w:rPr>
          <w:rFonts w:ascii="Times New Roman" w:hAnsi="Times New Roman" w:cs="Times New Roman"/>
          <w:sz w:val="24"/>
          <w:szCs w:val="24"/>
        </w:rPr>
        <w:t>s</w:t>
      </w:r>
      <w:r w:rsidR="00153DDA"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"10.1111/jocn.12951", "ISSN" : "09621067", "author" : [ { "dropping-particle" : "", "family" : "Carolan-Olah", "given" : "Mary", "non-dropping-particle" : "", "parse-names" : false, "suffix" : "" }, { "dropping-particle" : "", "family" : "Duarte-Gardea", "given" : "Maria", "non-dropping-particle" : "", "parse-names" : false, "suffix" : "" }, { "dropping-particle" : "", "family" : "Lechuga", "given" : "Julia", "non-dropping-particle" : "", "parse-names" : false, "suffix" : "" } ], "container-title" : "Journal of Clinical Nursing", "id" : "ITEM-1", "issue" : "23-24", "issued" : { "date-parts" : [ [ "2015", "12" ] ] }, "page" : "3716-3729", "title" : "A critical review: early life nutrition and prenatal programming for adult disease", "type" : "article-journal", "volume" : "24" }, "uris" : [ "http://www.mendeley.com/documents/?uuid=a6b9e680-a1c2-4fda-a9f2-5f5ccb6494ac" ] }, { "id" : "ITEM-2", "itemData" : { "DOI" : "10.1017/S0029665110004027", "ISBN" : "0029-6651", "ISSN" : "1475-2719", "PMID" : "21266093", "abstract" : "The rapid increase in the incidence of chronic non-communicable diseases over the past two decades cannot be explained solely by genetic and adult lifestyle factors. There is now considerable evidence that the fetal and early postnatal environment also strongly influences the risk of developing such diseases in later life. Human studies have shown that low birth weight is associated with an increased risk of CVD, type II diabetes, obesity and hypertension, although recent studies have shown that over-nutrition in early life can also increase susceptibility to future metabolic disease. These findings have been replicated in a variety of animal models, which have shown that both maternal under- and over-nutrition can induce persistent changes in gene expression and metabolism within the offspring. The mechanism by which the maternal nutritional environment induces such changes is beginning to be understood and involves the altered epigenetic regulation of specific genes. The demonstration of a role for altered epigenetic regulation of genes in the developmental induction of chronic diseases raises the possibility that nutritional or pharmaceutical interventions may be used to modify long-term cardio-metabolic disease risk and combat this rapid rise in chronic non-communicable diseases.", "author" : [ { "dropping-particle" : "", "family" : "Lillycrop", "given" : "Karen A.", "non-dropping-particle" : "", "parse-names" : false, "suffix" : "" } ], "container-title" : "The Proceedings of the Nutrition Society", "id" : "ITEM-2", "issue" : "1", "issued" : { "date-parts" : [ [ "2011" ] ] }, "page" : "64-72", "title" : "Effect of maternal diet on the epigenome: implications for human metabolic disease.", "type" : "article-journal", "volume" : "70" }, "uris" : [ "http://www.mendeley.com/documents/?uuid=a84cf868-402b-4071-8228-df177381cdb2" ] }, { "id" : "ITEM-3", "itemData" : { "DOI" : "10.4161/org.4.3.6503", "ISBN" : "1547-6278 (Print)\\r1547-6278 (Linking)", "ISSN" : "1547-6278", "PMID" : "19279726", "abstract" : "The increasing incidence of obesity in the developed and developing world in the last decade has led to a need to define our understanding of the physiological mechanisms which can predispose individuals to weight gain in infancy, childhood and adulthood. There is now a considerable body of evidence which has shown that the pathway to obesity may begin very early in life, and that exposure to an inappropriate level of nutrition during prenatal and/or early postnatal development can predispose individuals to obesity in later life The brain is at the heart of the regulation of appetite and food preferences, and it is increasingly being recognized that the development of central appetitive structures is acutely sensitive to the nutritional environment both before and immediately after birth. This review will summarize the body of work which has highlighted the critical role of the brain in the early origins of obesity and presents some perspectives as to the potential application of these research findings in the clinical setting.", "author" : [ { "dropping-particle" : "", "family" : "M\u00fchlh\u00e4usler", "given" : "Beverly Sara", "non-dropping-particle" : "", "parse-names" : false, "suffix" : "" }, { "dropping-particle" : "", "family" : "Adam", "given" : "Clare L", "non-dropping-particle" : "", "parse-names" : false, "suffix" : "" }, { "dropping-particle" : "", "family" : "McMillen", "given" : "I Caroline", "non-dropping-particle" : "", "parse-names" : false, "suffix" : "" } ], "container-title" : "Organogenesis", "id" : "ITEM-3", "issue" : "3", "issued" : { "date-parts" : [ [ "2008", "7", "27" ] ] }, "page" : "144-152", "title" : "Maternal nutrition and the programming of obesity", "type" : "article-journal", "volume" : "4" }, "uris" : [ "http://www.mendeley.com/documents/?uuid=c421255d-3cb9-4ab0-abff-20d864ec47ff" ] }, { "id" : "ITEM-4", "itemData" : { "DOI" : "10.1152/physrev.00053.2003", "ISBN" : "0031-9333", "ISSN" : "0031-9333", "PMID" : "15788706", "abstract" : "The \"fetal\" or \"early\" origins of adult disease hypothesis was originally put forward by David Barker and colleagues and stated that environmental factors, particularly nutrition, act in early life to program the risks for adverse health outcomes in adult life. This hypothesis has been supported by a worldwide series of epidemiological studies that have provided evidence for the association between the perturbation of the early nutritional environment and the major risk factors (hypertension, insulin resistance, and obesity) for cardiovascular disease, diabetes, and the metabolic syndrome in adult life. It is also clear from experimental studies that a range of molecular, cellular, metabolic, neuroendocrine, and physiological adaptations to changes in the early nutritional environment result in a permanent alteration of the developmental pattern of cellular proliferation and differentiation in key tissue and organ systems that result in pathological consequences in adult life. This review focuses on those experimental studies that have investigated the critical windows during which perturbations of the intrauterine environment have major effects, the nature of the epigenetic, structural, and functional adaptive responses which result in a permanent programming of cardiovascular and metabolic function, and the role of the interaction between the pre- and postnatal environment in determining final health outcomes.", "author" : [ { "dropping-particle" : "", "family" : "Mcmillen", "given" : "I. C.", "non-dropping-particle" : "", "parse-names" : false, "suffix" : "" } ], "container-title" : "Physiological Reviews", "id" : "ITEM-4", "issue" : "2", "issued" : { "date-parts" : [ [ "2005", "4", "1" ] ] }, "page" : "571-633", "title" : "Developmental Origins of the Metabolic Syndrome: Prediction, Plasticity, and Programming", "type" : "article-journal", "volume" : "85" }, "uris" : [ "http://www.mendeley.com/documents/?uuid=179d8ea6-0061-4945-99eb-19bcebc23872" ] } ], "mendeley" : { "formattedCitation" : "&lt;sup&gt;3\u20136&lt;/sup&gt;", "plainTextFormattedCitation" : "3\u20136", "previouslyFormattedCitation" : "&lt;sup&gt;3\u20136&lt;/sup&gt;" }, "properties" : { "noteIndex" : 0 }, "schema" : "https://github.com/citation-style-language/schema/raw/master/csl-citation.json" }</w:instrText>
      </w:r>
      <w:r w:rsidR="00153DDA"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3–6</w:t>
      </w:r>
      <w:r w:rsidR="00153DDA" w:rsidRPr="008374B5">
        <w:rPr>
          <w:rFonts w:ascii="Times New Roman" w:hAnsi="Times New Roman" w:cs="Times New Roman"/>
          <w:sz w:val="24"/>
          <w:szCs w:val="24"/>
        </w:rPr>
        <w:fldChar w:fldCharType="end"/>
      </w:r>
      <w:r w:rsidR="00153DDA" w:rsidRPr="008374B5">
        <w:rPr>
          <w:rFonts w:ascii="Times New Roman" w:hAnsi="Times New Roman" w:cs="Times New Roman"/>
          <w:sz w:val="24"/>
          <w:szCs w:val="24"/>
        </w:rPr>
        <w:t xml:space="preserve">. </w:t>
      </w:r>
      <w:r w:rsidR="00246F33" w:rsidRPr="008374B5">
        <w:rPr>
          <w:rFonts w:ascii="Times New Roman" w:hAnsi="Times New Roman" w:cs="Times New Roman"/>
          <w:sz w:val="24"/>
          <w:szCs w:val="24"/>
        </w:rPr>
        <w:t xml:space="preserve">It </w:t>
      </w:r>
      <w:r w:rsidR="005C7B89" w:rsidRPr="008374B5">
        <w:rPr>
          <w:rFonts w:ascii="Times New Roman" w:hAnsi="Times New Roman" w:cs="Times New Roman"/>
          <w:sz w:val="24"/>
          <w:szCs w:val="24"/>
        </w:rPr>
        <w:t>has also been prop</w:t>
      </w:r>
      <w:r w:rsidR="00246F33" w:rsidRPr="008374B5">
        <w:rPr>
          <w:rFonts w:ascii="Times New Roman" w:hAnsi="Times New Roman" w:cs="Times New Roman"/>
          <w:sz w:val="24"/>
          <w:szCs w:val="24"/>
        </w:rPr>
        <w:t xml:space="preserve">osed that these adaptations </w:t>
      </w:r>
      <w:r w:rsidR="008B1444" w:rsidRPr="008374B5">
        <w:rPr>
          <w:rFonts w:ascii="Times New Roman" w:hAnsi="Times New Roman" w:cs="Times New Roman"/>
          <w:sz w:val="24"/>
          <w:szCs w:val="24"/>
        </w:rPr>
        <w:t>would only beco</w:t>
      </w:r>
      <w:r w:rsidR="00246F33" w:rsidRPr="008374B5">
        <w:rPr>
          <w:rFonts w:ascii="Times New Roman" w:hAnsi="Times New Roman" w:cs="Times New Roman"/>
          <w:sz w:val="24"/>
          <w:szCs w:val="24"/>
        </w:rPr>
        <w:t xml:space="preserve">me detrimental when </w:t>
      </w:r>
      <w:r w:rsidR="005C7B89" w:rsidRPr="008374B5">
        <w:rPr>
          <w:rFonts w:ascii="Times New Roman" w:hAnsi="Times New Roman" w:cs="Times New Roman"/>
          <w:sz w:val="24"/>
          <w:szCs w:val="24"/>
        </w:rPr>
        <w:t>they do not match the predicted post</w:t>
      </w:r>
      <w:r w:rsidR="000B1D17" w:rsidRPr="008374B5">
        <w:rPr>
          <w:rFonts w:ascii="Times New Roman" w:hAnsi="Times New Roman" w:cs="Times New Roman"/>
          <w:sz w:val="24"/>
          <w:szCs w:val="24"/>
        </w:rPr>
        <w:t>-</w:t>
      </w:r>
      <w:r w:rsidR="005C7B89" w:rsidRPr="008374B5">
        <w:rPr>
          <w:rFonts w:ascii="Times New Roman" w:hAnsi="Times New Roman" w:cs="Times New Roman"/>
          <w:sz w:val="24"/>
          <w:szCs w:val="24"/>
        </w:rPr>
        <w:t>natal environmental conditions</w:t>
      </w:r>
      <w:r w:rsidR="005C7B89"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"10.1203/pdr.0b013e318045bedb", "ISBN" : "0031-3998 (Print)\\n0031-3998 (Linking)", "ISSN" : "00313998", "PMID" : "17413851", "abstract" : "There is now considerable evidence that elements of the heritable or familial component of disease susceptibility are transmitted by nongenomic means, and that environmental influences acting during early development shape disease risk in later life. The underlying mechanisms are thought to involve epigenetic modifications in nonimprinted genes induced by aspects of the developmental environment, which modify gene expression without altering DNA sequences. These changes result in life-long alterations in gene expression. Such nongenomic tuning of phenotype through developmental plasticity has adaptive value because it attempts to match an individual's responses to the environment predicted to be experienced. When the responses are mismatched, disease risk increases. An example of such mismatch is that arising either from inaccurate nutritional cues from the mother or placenta before birth, or from rapid environmental change through improved socioeconomic conditions, which contribute substantially to the increasing prevalence of type-2 diabetes, obesity, and cardiovascular disease. Recent evidence suggests that the effects can be transmitted to more than the immediately succeeding generation, through female and perhaps male lines. Future research into epigenetic processes may permit us to develop intervention strategies.", "author" : [ { "dropping-particle" : "", "family" : "Godfrey", "given" : "Keith M.", "non-dropping-particle" : "", "parse-names" : false, "suffix" : "" }, { "dropping-particle" : "", "family" : "Lillycrop", "given" : "Karen A.", "non-dropping-particle" : "", "parse-names" : false, "suffix" : "" }, { "dropping-particle" : "", "family" : "Burdge", "given" : "Graham C.", "non-dropping-particle" : "", "parse-names" : false, "suffix" : "" }, { "dropping-particle" : "", "family" : "Gluckman", "given" : "Peter D.", "non-dropping-particle" : "", "parse-names" : false, "suffix" : "" }, { "dropping-particle" : "", "family" : "Hanson", "given" : "Mark A.", "non-dropping-particle" : "", "parse-names" : false, "suffix" : "" } ], "container-title" : "Pediatric Research", "id" : "ITEM-1", "issue" : "5", "issued" : { "date-parts" : [ [ "2007" ] ] }, "page" : "31-36", "title" : "Epigenetic mechanisms and the mismatch concept of the developmental origins of health and disease", "type" : "article-journal", "volume" : "61" }, "uris" : [ "http://www.mendeley.com/documents/?uuid=7aa98c07-e7d1-4095-8f33-57913e61178f" ] }, { "id" : "ITEM-2", "itemData" : { "DOI" : "10.1152/physrev.00053.2003", "ISBN" : "0031-9333", "ISSN" : "0031-9333", "PMID" : "15788706", "abstract" : "The \"fetal\" or \"early\" origins of adult disease hypothesis was originally put forward by David Barker and colleagues and stated that environmental factors, particularly nutrition, act in early life to program the risks for adverse health outcomes in adult life. This hypothesis has been supported by a worldwide series of epidemiological studies that have provided evidence for the association between the perturbation of the early nutritional environment and the major risk factors (hypertension, insulin resistance, and obesity) for cardiovascular disease, diabetes, and the metabolic syndrome in adult life. It is also clear from experimental studies that a range of molecular, cellular, metabolic, neuroendocrine, and physiological adaptations to changes in the early nutritional environment result in a permanent alteration of the developmental pattern of cellular proliferation and differentiation in key tissue and organ systems that result in pathological consequences in adult life. This review focuses on those experimental studies that have investigated the critical windows during which perturbations of the intrauterine environment have major effects, the nature of the epigenetic, structural, and functional adaptive responses which result in a permanent programming of cardiovascular and metabolic function, and the role of the interaction between the pre- and postnatal environment in determining final health outcomes.", "author" : [ { "dropping-particle" : "", "family" : "Mcmillen", "given" : "I. C.", "non-dropping-particle" : "", "parse-names" : false, "suffix" : "" } ], "container-title" : "Physiological Reviews", "id" : "ITEM-2", "issue" : "2", "issued" : { "date-parts" : [ [ "2005", "4", "1" ] ] }, "page" : "571-633", "title" : "Developmental Origins of the Metabolic Syndrome: Prediction, Plasticity, and Programming", "type" : "article-journal", "volume" : "85" }, "uris" : [ "http://www.mendeley.com/documents/?uuid=179d8ea6-0061-4945-99eb-19bcebc23872" ] }, { "id" : "ITEM-3", "itemData" : { "DOI" : "10.1203/01.PDR.0000135998.08025.FB", "ISBN" : "0031-3998", "ISSN" : "0031-3998", "PMID" : "15240866", "abstract" : "Fetal growth is determined by the interaction between the environment and the fetal genome. The fetal environment, in turn, is determined by the maternal environment and by maternal and placental physiology. There is evidence that the interaction between the fetal environment and genome can determine the risk of postnatal disease, as well as the individual's capacity to cope with the postnatal environment. Furthermore, the role of various forms of maternal constraint of fetal growth in determining the persistence of these responses is reviewed. A limited number of biologic processes can contribute to the mechanistic basis of these phenomena. In addition to immediate homeostatic responses, the developing organism may make predictive adaptive responses of no immediate advantage but with long-term consequences. An evolutionary perspective is provided, as well as a review of possible biologic processes. The \"developmental origins of disease\" paradigm is a reflection of the persistence of such mechanisms in humans who now live in very different environments from those within which they evolved. The developmental origins paradigm and its underlying mechanistic and evolutionary basis have major implications for addressing the increasing burden of metabolic and cardiovascular disease.", "author" : [ { "dropping-particle" : "", "family" : "Gluckman", "given" : "Peter D", "non-dropping-particle" : "", "parse-names" : false, "suffix" : "" }, { "dropping-particle" : "", "family" : "Hanson", "given" : "Mark A", "non-dropping-particle" : "", "parse-names" : false, "suffix" : "" } ], "container-title" : "Pediatric Research", "id" : "ITEM-3", "issue" : "3", "issued" : { "date-parts" : [ [ "2004", "9" ] ] }, "page" : "311-317", "title" : "Developmental Origins of Disease Paradigm: A Mechanistic and Evolutionary Perspective", "type" : "article-journal", "volume" : "56" }, "uris" : [ "http://www.mendeley.com/documents/?uuid=048ed24c-d4e2-49c3-b75c-3a50f55d7832" ] } ], "mendeley" : { "formattedCitation" : "&lt;sup&gt;6\u20138&lt;/sup&gt;", "plainTextFormattedCitation" : "6\u20138", "previouslyFormattedCitation" : "&lt;sup&gt;6\u20138&lt;/sup&gt;" }, "properties" : { "noteIndex" : 0 }, "schema" : "https://github.com/citation-style-language/schema/raw/master/csl-citation.json" }</w:instrText>
      </w:r>
      <w:r w:rsidR="005C7B89"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6–8</w:t>
      </w:r>
      <w:r w:rsidR="005C7B89" w:rsidRPr="008374B5">
        <w:rPr>
          <w:rFonts w:ascii="Times New Roman" w:hAnsi="Times New Roman" w:cs="Times New Roman"/>
          <w:sz w:val="24"/>
          <w:szCs w:val="24"/>
        </w:rPr>
        <w:fldChar w:fldCharType="end"/>
      </w:r>
      <w:r w:rsidR="005C7B89" w:rsidRPr="008374B5">
        <w:rPr>
          <w:rFonts w:ascii="Times New Roman" w:hAnsi="Times New Roman" w:cs="Times New Roman"/>
          <w:sz w:val="24"/>
          <w:szCs w:val="24"/>
        </w:rPr>
        <w:t>.</w:t>
      </w:r>
    </w:p>
    <w:p w14:paraId="71E6A9ED" w14:textId="7439A8A9" w:rsidR="0039056E" w:rsidRPr="008374B5" w:rsidRDefault="003B7EBA" w:rsidP="008374B5">
      <w:pPr>
        <w:spacing w:after="0" w:line="360" w:lineRule="auto"/>
        <w:ind w:firstLine="720"/>
        <w:jc w:val="both"/>
        <w:rPr>
          <w:rFonts w:ascii="Times New Roman" w:hAnsi="Times New Roman" w:cs="Times New Roman"/>
          <w:sz w:val="24"/>
          <w:szCs w:val="24"/>
        </w:rPr>
      </w:pPr>
      <w:r w:rsidRPr="008374B5">
        <w:rPr>
          <w:rFonts w:ascii="Times New Roman" w:hAnsi="Times New Roman" w:cs="Times New Roman"/>
          <w:sz w:val="24"/>
          <w:szCs w:val="24"/>
        </w:rPr>
        <w:t>Early life nutrition</w:t>
      </w:r>
      <w:r w:rsidR="00D0263F" w:rsidRPr="008374B5">
        <w:rPr>
          <w:rFonts w:ascii="Times New Roman" w:hAnsi="Times New Roman" w:cs="Times New Roman"/>
          <w:sz w:val="24"/>
          <w:szCs w:val="24"/>
        </w:rPr>
        <w:t xml:space="preserve"> provides the essential building blocks for </w:t>
      </w:r>
      <w:r w:rsidR="008E6642" w:rsidRPr="008374B5">
        <w:rPr>
          <w:rFonts w:ascii="Times New Roman" w:hAnsi="Times New Roman" w:cs="Times New Roman"/>
          <w:sz w:val="24"/>
          <w:szCs w:val="24"/>
        </w:rPr>
        <w:t>the healthy development of the brain,</w:t>
      </w:r>
      <w:r w:rsidR="00D0263F" w:rsidRPr="008374B5">
        <w:rPr>
          <w:rFonts w:ascii="Times New Roman" w:hAnsi="Times New Roman" w:cs="Times New Roman"/>
          <w:sz w:val="24"/>
          <w:szCs w:val="24"/>
        </w:rPr>
        <w:t xml:space="preserve"> </w:t>
      </w:r>
      <w:r w:rsidR="008E6642" w:rsidRPr="008374B5">
        <w:rPr>
          <w:rFonts w:ascii="Times New Roman" w:hAnsi="Times New Roman" w:cs="Times New Roman"/>
          <w:sz w:val="24"/>
          <w:szCs w:val="24"/>
        </w:rPr>
        <w:t>organs and</w:t>
      </w:r>
      <w:r w:rsidR="00D0263F" w:rsidRPr="008374B5">
        <w:rPr>
          <w:rFonts w:ascii="Times New Roman" w:hAnsi="Times New Roman" w:cs="Times New Roman"/>
          <w:sz w:val="24"/>
          <w:szCs w:val="24"/>
        </w:rPr>
        <w:t xml:space="preserve"> immune system. </w:t>
      </w:r>
      <w:r w:rsidR="001D7F29" w:rsidRPr="008374B5">
        <w:rPr>
          <w:rFonts w:ascii="Times New Roman" w:hAnsi="Times New Roman" w:cs="Times New Roman"/>
          <w:sz w:val="24"/>
          <w:szCs w:val="24"/>
        </w:rPr>
        <w:t>Nature leads the first 500 days</w:t>
      </w:r>
      <w:r w:rsidR="008523E2" w:rsidRPr="008374B5">
        <w:rPr>
          <w:rFonts w:ascii="Times New Roman" w:hAnsi="Times New Roman" w:cs="Times New Roman"/>
          <w:sz w:val="24"/>
          <w:szCs w:val="24"/>
        </w:rPr>
        <w:t xml:space="preserve"> of the </w:t>
      </w:r>
      <w:r w:rsidR="00D82892" w:rsidRPr="008374B5">
        <w:rPr>
          <w:rFonts w:ascii="Times New Roman" w:hAnsi="Times New Roman" w:cs="Times New Roman"/>
          <w:sz w:val="24"/>
          <w:szCs w:val="24"/>
        </w:rPr>
        <w:t>offspring</w:t>
      </w:r>
      <w:r w:rsidR="008523E2" w:rsidRPr="008374B5">
        <w:rPr>
          <w:rFonts w:ascii="Times New Roman" w:hAnsi="Times New Roman" w:cs="Times New Roman"/>
          <w:sz w:val="24"/>
          <w:szCs w:val="24"/>
        </w:rPr>
        <w:t>’s diet</w:t>
      </w:r>
      <w:r w:rsidR="001D7F29" w:rsidRPr="008374B5">
        <w:rPr>
          <w:rFonts w:ascii="Times New Roman" w:hAnsi="Times New Roman" w:cs="Times New Roman"/>
          <w:sz w:val="24"/>
          <w:szCs w:val="24"/>
        </w:rPr>
        <w:t xml:space="preserve"> </w:t>
      </w:r>
      <w:r w:rsidR="0066516F" w:rsidRPr="008374B5">
        <w:rPr>
          <w:rFonts w:ascii="Times New Roman" w:hAnsi="Times New Roman" w:cs="Times New Roman"/>
          <w:sz w:val="24"/>
          <w:szCs w:val="24"/>
        </w:rPr>
        <w:t>–</w:t>
      </w:r>
      <w:r w:rsidR="00586D4B" w:rsidRPr="008374B5">
        <w:rPr>
          <w:rFonts w:ascii="Times New Roman" w:hAnsi="Times New Roman" w:cs="Times New Roman"/>
          <w:sz w:val="24"/>
          <w:szCs w:val="24"/>
        </w:rPr>
        <w:t xml:space="preserve"> the period from conception to approximately six months of age </w:t>
      </w:r>
      <w:r w:rsidR="0066516F" w:rsidRPr="008374B5">
        <w:rPr>
          <w:rFonts w:ascii="Times New Roman" w:hAnsi="Times New Roman" w:cs="Times New Roman"/>
          <w:sz w:val="24"/>
          <w:szCs w:val="24"/>
        </w:rPr>
        <w:t xml:space="preserve">– </w:t>
      </w:r>
      <w:r w:rsidR="00586D4B" w:rsidRPr="008374B5">
        <w:rPr>
          <w:rFonts w:ascii="Times New Roman" w:hAnsi="Times New Roman" w:cs="Times New Roman"/>
          <w:sz w:val="24"/>
          <w:szCs w:val="24"/>
        </w:rPr>
        <w:t>when the</w:t>
      </w:r>
      <w:r w:rsidR="005822F5" w:rsidRPr="008374B5">
        <w:rPr>
          <w:rFonts w:ascii="Times New Roman" w:hAnsi="Times New Roman" w:cs="Times New Roman"/>
          <w:sz w:val="24"/>
          <w:szCs w:val="24"/>
        </w:rPr>
        <w:t xml:space="preserve"> growing</w:t>
      </w:r>
      <w:r w:rsidR="00586D4B" w:rsidRPr="008374B5">
        <w:rPr>
          <w:rFonts w:ascii="Times New Roman" w:hAnsi="Times New Roman" w:cs="Times New Roman"/>
          <w:sz w:val="24"/>
          <w:szCs w:val="24"/>
        </w:rPr>
        <w:t xml:space="preserve"> </w:t>
      </w:r>
      <w:r w:rsidR="00D82892" w:rsidRPr="008374B5">
        <w:rPr>
          <w:rFonts w:ascii="Times New Roman" w:hAnsi="Times New Roman" w:cs="Times New Roman"/>
          <w:sz w:val="24"/>
          <w:szCs w:val="24"/>
        </w:rPr>
        <w:t>offspring</w:t>
      </w:r>
      <w:r w:rsidR="00586D4B" w:rsidRPr="008374B5">
        <w:rPr>
          <w:rFonts w:ascii="Times New Roman" w:hAnsi="Times New Roman" w:cs="Times New Roman"/>
          <w:sz w:val="24"/>
          <w:szCs w:val="24"/>
        </w:rPr>
        <w:t xml:space="preserve"> </w:t>
      </w:r>
      <w:r w:rsidR="00D82892" w:rsidRPr="008374B5">
        <w:rPr>
          <w:rFonts w:ascii="Times New Roman" w:hAnsi="Times New Roman" w:cs="Times New Roman"/>
          <w:sz w:val="24"/>
          <w:szCs w:val="24"/>
        </w:rPr>
        <w:t>is completely dependent</w:t>
      </w:r>
      <w:r w:rsidR="00586D4B" w:rsidRPr="008374B5">
        <w:rPr>
          <w:rFonts w:ascii="Times New Roman" w:hAnsi="Times New Roman" w:cs="Times New Roman"/>
          <w:sz w:val="24"/>
          <w:szCs w:val="24"/>
        </w:rPr>
        <w:t xml:space="preserve"> on</w:t>
      </w:r>
      <w:r w:rsidR="00EE0142" w:rsidRPr="008374B5">
        <w:rPr>
          <w:rFonts w:ascii="Times New Roman" w:hAnsi="Times New Roman" w:cs="Times New Roman"/>
          <w:sz w:val="24"/>
          <w:szCs w:val="24"/>
        </w:rPr>
        <w:t xml:space="preserve"> his/her</w:t>
      </w:r>
      <w:r w:rsidR="00586D4B" w:rsidRPr="008374B5">
        <w:rPr>
          <w:rFonts w:ascii="Times New Roman" w:hAnsi="Times New Roman" w:cs="Times New Roman"/>
          <w:sz w:val="24"/>
          <w:szCs w:val="24"/>
        </w:rPr>
        <w:t xml:space="preserve"> mother for nutrition</w:t>
      </w:r>
      <w:r w:rsidR="00560191"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"http://dx.doi.org/10.3402/gha.v7.23623", "ISBN" : "1654-9880 (Electronic)\\r1654-9880 (Linking)", "ISSN" : "16549880", "PMID" : "24909407", "abstract" : "BACKGROUND: From conception to 6 months of age, an infant is entirely dependent for its nutrition on the mother: via the placenta and then ideally via exclusive breastfeeding. This period of 15 months--about 500 days--is the most important and vulnerable in a child's life: it must be protected through policies supporting maternal nutrition and health. Those addressing nutritional status are discussed here.\\n\\nOBJECTIVE AND DESIGN: This paper aims to summarize research on policies and programs to protect women's nutrition in order to improve birth outcomes in low- and middle-income countries, based on studies of efficacy from the literature, and on effectiveness, globally and in selected countries involving in-depth data collection in communities in Ethiopia, India and Northern Nigeria. Results of this research have been published in the academic literature (more than 30 papers). The conclusions now need to be advocated to policy-makers.\\n\\nRESULTS: The priority problems addressed are: intrauterine growth restriction (IUGR), women's anemia, thinness, and stunting. The priority interventions that need to be widely expanded for women before and during pregnancy, are: supplementation with iron-folic acid or multiple micronutrients; expanding coverage of iodine fortification of salt particularly to remote areas and the poorest populations; targeted provision of balanced protein energy supplements when significant resources are available; reducing teenage pregnancies; increasing interpregnancy intervals through family planning programs; and building on conditional cash transfer programs, both to provide resources and as a platform for public education. All these have known efficacy but are of inadequate coverage and resourcing. The next steps are to overcome barriers to wide implementation, without which targets for maternal and child health and nutrition (e.g. by WHO) are unlikely to be met, especially in the poorest countries.\\n\\nCONCLUSIONS: This agenda requires policy decisions both at Ministry and donor levels, and throughout the administrative system. Evidence-based interventions are established as a basis for these decisions, there are clear advocacy messages, and there are no scientific reasons for delay.", "author" : [ { "dropping-particle" : "", "family" : "Mason", "given" : "John B.", "non-dropping-particle" : "", "parse-names" : false, "suffix" : "" }, { "dropping-particle" : "", "family" : "Shrimpton", "given" : "Roger", "non-dropping-particle" : "", "parse-names" : false, "suffix" : "" }, { "dropping-particle" : "", "family" : "Saldanha", "given" : "Lisa S.", "non-dropping-particle" : "", "parse-names" : false, "suffix" : "" }, { "dropping-particle" : "", "family" : "Ramakrishnan", "given" : "Usha", "non-dropping-particle" : "", "parse-names" : false, "suffix" : "" }, { "dropping-particle" : "", "family" : "Victora", "given" : "Cesar G.", "non-dropping-particle" : "", "parse-names" : false, "suffix" : "" }, { "dropping-particle" : "", "family" : "Girard", "given" : "Amy Webb", "non-dropping-particle" : "", "parse-names" : false, "suffix" : "" }, { "dropping-particle" : "", "family" : "McFarland", "given" : "Deborah A.", "non-dropping-particle" : "", "parse-names" : false, "suffix" : "" }, { "dropping-particle" : "", "family" : "Martorell", "given" : "Reynaldo", "non-dropping-particle" : "", "parse-names" : false, "suffix" : "" } ], "container-title" : "Global Health Action", "id" : "ITEM-1", "issue" : "1", "issued" : { "date-parts" : [ [ "2015" ] ] }, "page" : "23623", "title" : "The first 500 days of life: Policies to support maternal nutrition", "type" : "article-journal", "volume" : "7" }, "uris" : [ "http://www.mendeley.com/documents/?uuid=1daca49f-c5e7-406a-830d-5ebbb91dfca2" ] } ], "mendeley" : { "formattedCitation" : "&lt;sup&gt;9&lt;/sup&gt;", "plainTextFormattedCitation" : "9", "previouslyFormattedCitation" : "&lt;sup&gt;9&lt;/sup&gt;" }, "properties" : { "noteIndex" : 0 }, "schema" : "https://github.com/citation-style-language/schema/raw/master/csl-citation.json" }</w:instrText>
      </w:r>
      <w:r w:rsidR="00560191"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9</w:t>
      </w:r>
      <w:r w:rsidR="00560191" w:rsidRPr="008374B5">
        <w:rPr>
          <w:rFonts w:ascii="Times New Roman" w:hAnsi="Times New Roman" w:cs="Times New Roman"/>
          <w:sz w:val="24"/>
          <w:szCs w:val="24"/>
        </w:rPr>
        <w:fldChar w:fldCharType="end"/>
      </w:r>
      <w:r w:rsidR="00EE0142" w:rsidRPr="008374B5">
        <w:rPr>
          <w:rFonts w:ascii="Times New Roman" w:hAnsi="Times New Roman" w:cs="Times New Roman"/>
          <w:sz w:val="24"/>
          <w:szCs w:val="24"/>
        </w:rPr>
        <w:t>. This adaptive nature of nutrition occurs via the</w:t>
      </w:r>
      <w:r w:rsidR="00DF6956" w:rsidRPr="008374B5">
        <w:rPr>
          <w:rFonts w:ascii="Times New Roman" w:hAnsi="Times New Roman" w:cs="Times New Roman"/>
          <w:sz w:val="24"/>
          <w:szCs w:val="24"/>
        </w:rPr>
        <w:t xml:space="preserve"> placenta to the </w:t>
      </w:r>
      <w:r w:rsidR="0059416B" w:rsidRPr="008374B5">
        <w:rPr>
          <w:rFonts w:ascii="Times New Roman" w:hAnsi="Times New Roman" w:cs="Times New Roman"/>
          <w:sz w:val="24"/>
          <w:szCs w:val="24"/>
        </w:rPr>
        <w:t xml:space="preserve">developing embryo and </w:t>
      </w:r>
      <w:r w:rsidR="00642888" w:rsidRPr="008374B5">
        <w:rPr>
          <w:rFonts w:ascii="Times New Roman" w:hAnsi="Times New Roman" w:cs="Times New Roman"/>
          <w:sz w:val="24"/>
          <w:szCs w:val="24"/>
        </w:rPr>
        <w:t>fetus</w:t>
      </w:r>
      <w:r w:rsidR="00560191" w:rsidRPr="008374B5">
        <w:rPr>
          <w:rFonts w:ascii="Times New Roman" w:hAnsi="Times New Roman" w:cs="Times New Roman"/>
          <w:sz w:val="24"/>
          <w:szCs w:val="24"/>
        </w:rPr>
        <w:t xml:space="preserve">, </w:t>
      </w:r>
      <w:r w:rsidR="00DF6956" w:rsidRPr="008374B5">
        <w:rPr>
          <w:rFonts w:ascii="Times New Roman" w:hAnsi="Times New Roman" w:cs="Times New Roman"/>
          <w:sz w:val="24"/>
          <w:szCs w:val="24"/>
        </w:rPr>
        <w:t xml:space="preserve">and then ideally via </w:t>
      </w:r>
      <w:r w:rsidR="0059416B" w:rsidRPr="008374B5">
        <w:rPr>
          <w:rFonts w:ascii="Times New Roman" w:hAnsi="Times New Roman" w:cs="Times New Roman"/>
          <w:sz w:val="24"/>
          <w:szCs w:val="24"/>
        </w:rPr>
        <w:t>exclusive breastfeeding</w:t>
      </w:r>
      <w:r w:rsidR="00F97437" w:rsidRPr="008374B5">
        <w:rPr>
          <w:rFonts w:ascii="Times New Roman" w:hAnsi="Times New Roman" w:cs="Times New Roman"/>
          <w:sz w:val="24"/>
          <w:szCs w:val="24"/>
        </w:rPr>
        <w:t xml:space="preserve"> for the first six </w:t>
      </w:r>
      <w:r w:rsidR="00216DE8" w:rsidRPr="008374B5">
        <w:rPr>
          <w:rFonts w:ascii="Times New Roman" w:hAnsi="Times New Roman" w:cs="Times New Roman"/>
          <w:sz w:val="24"/>
          <w:szCs w:val="24"/>
        </w:rPr>
        <w:t>months of infancy</w:t>
      </w:r>
      <w:r w:rsidR="00361327"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"http://dx.doi.org/10.3402/gha.v7.23623", "ISBN" : "1654-9880 (Electronic)\\r1654-9880 (Linking)", "ISSN" : "16549880", "PMID" : "24909407", "abstract" : "BACKGROUND: From conception to 6 months of age, an infant is entirely dependent for its nutrition on the mother: via the placenta and then ideally via exclusive breastfeeding. This period of 15 months--about 500 days--is the most important and vulnerable in a child's life: it must be protected through policies supporting maternal nutrition and health. Those addressing nutritional status are discussed here.\\n\\nOBJECTIVE AND DESIGN: This paper aims to summarize research on policies and programs to protect women's nutrition in order to improve birth outcomes in low- and middle-income countries, based on studies of efficacy from the literature, and on effectiveness, globally and in selected countries involving in-depth data collection in communities in Ethiopia, India and Northern Nigeria. Results of this research have been published in the academic literature (more than 30 papers). The conclusions now need to be advocated to policy-makers.\\n\\nRESULTS: The priority problems addressed are: intrauterine growth restriction (IUGR), women's anemia, thinness, and stunting. The priority interventions that need to be widely expanded for women before and during pregnancy, are: supplementation with iron-folic acid or multiple micronutrients; expanding coverage of iodine fortification of salt particularly to remote areas and the poorest populations; targeted provision of balanced protein energy supplements when significant resources are available; reducing teenage pregnancies; increasing interpregnancy intervals through family planning programs; and building on conditional cash transfer programs, both to provide resources and as a platform for public education. All these have known efficacy but are of inadequate coverage and resourcing. The next steps are to overcome barriers to wide implementation, without which targets for maternal and child health and nutrition (e.g. by WHO) are unlikely to be met, especially in the poorest countries.\\n\\nCONCLUSIONS: This agenda requires policy decisions both at Ministry and donor levels, and throughout the administrative system. Evidence-based interventions are established as a basis for these decisions, there are clear advocacy messages, and there are no scientific reasons for delay.", "author" : [ { "dropping-particle" : "", "family" : "Mason", "given" : "John B.", "non-dropping-particle" : "", "parse-names" : false, "suffix" : "" }, { "dropping-particle" : "", "family" : "Shrimpton", "given" : "Roger", "non-dropping-particle" : "", "parse-names" : false, "suffix" : "" }, { "dropping-particle" : "", "family" : "Saldanha", "given" : "Lisa S.", "non-dropping-particle" : "", "parse-names" : false, "suffix" : "" }, { "dropping-particle" : "", "family" : "Ramakrishnan", "given" : "Usha", "non-dropping-particle" : "", "parse-names" : false, "suffix" : "" }, { "dropping-particle" : "", "family" : "Victora", "given" : "Cesar G.", "non-dropping-particle" : "", "parse-names" : false, "suffix" : "" }, { "dropping-particle" : "", "family" : "Girard", "given" : "Amy Webb", "non-dropping-particle" : "", "parse-names" : false, "suffix" : "" }, { "dropping-particle" : "", "family" : "McFarland", "given" : "Deborah A.", "non-dropping-particle" : "", "parse-names" : false, "suffix" : "" }, { "dropping-particle" : "", "family" : "Martorell", "given" : "Reynaldo", "non-dropping-particle" : "", "parse-names" : false, "suffix" : "" } ], "container-title" : "Global Health Action", "id" : "ITEM-1", "issue" : "1", "issued" : { "date-parts" : [ [ "2015" ] ] }, "page" : "23623", "title" : "The first 500 days of life: Policies to support maternal nutrition", "type" : "article-journal", "volume" : "7" }, "uris" : [ "http://www.mendeley.com/documents/?uuid=1daca49f-c5e7-406a-830d-5ebbb91dfca2" ] } ], "mendeley" : { "formattedCitation" : "&lt;sup&gt;9&lt;/sup&gt;", "plainTextFormattedCitation" : "9", "previouslyFormattedCitation" : "&lt;sup&gt;9&lt;/sup&gt;" }, "properties" : { "noteIndex" : 0 }, "schema" : "https://github.com/citation-style-language/schema/raw/master/csl-citation.json" }</w:instrText>
      </w:r>
      <w:r w:rsidR="00361327"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9</w:t>
      </w:r>
      <w:r w:rsidR="00361327" w:rsidRPr="008374B5">
        <w:rPr>
          <w:rFonts w:ascii="Times New Roman" w:hAnsi="Times New Roman" w:cs="Times New Roman"/>
          <w:sz w:val="24"/>
          <w:szCs w:val="24"/>
        </w:rPr>
        <w:fldChar w:fldCharType="end"/>
      </w:r>
      <w:r w:rsidR="0059416B" w:rsidRPr="008374B5">
        <w:rPr>
          <w:rFonts w:ascii="Times New Roman" w:hAnsi="Times New Roman" w:cs="Times New Roman"/>
          <w:sz w:val="24"/>
          <w:szCs w:val="24"/>
        </w:rPr>
        <w:t xml:space="preserve">. </w:t>
      </w:r>
      <w:r w:rsidR="00CD6CA3" w:rsidRPr="008374B5">
        <w:rPr>
          <w:rFonts w:ascii="Times New Roman" w:hAnsi="Times New Roman" w:cs="Times New Roman"/>
          <w:sz w:val="24"/>
          <w:szCs w:val="24"/>
        </w:rPr>
        <w:t xml:space="preserve">The next </w:t>
      </w:r>
      <w:r w:rsidR="00EE67A1" w:rsidRPr="008374B5">
        <w:rPr>
          <w:rFonts w:ascii="Times New Roman" w:hAnsi="Times New Roman" w:cs="Times New Roman"/>
          <w:sz w:val="24"/>
          <w:szCs w:val="24"/>
        </w:rPr>
        <w:t>150</w:t>
      </w:r>
      <w:r w:rsidR="00CD6CA3" w:rsidRPr="008374B5">
        <w:rPr>
          <w:rFonts w:ascii="Times New Roman" w:hAnsi="Times New Roman" w:cs="Times New Roman"/>
          <w:sz w:val="24"/>
          <w:szCs w:val="24"/>
        </w:rPr>
        <w:t xml:space="preserve"> days involves weaning</w:t>
      </w:r>
      <w:r w:rsidR="00216DE8" w:rsidRPr="008374B5">
        <w:rPr>
          <w:rFonts w:ascii="Times New Roman" w:hAnsi="Times New Roman" w:cs="Times New Roman"/>
          <w:sz w:val="24"/>
          <w:szCs w:val="24"/>
        </w:rPr>
        <w:t>, complementary feeding</w:t>
      </w:r>
      <w:r w:rsidR="00CD6CA3" w:rsidRPr="008374B5">
        <w:rPr>
          <w:rFonts w:ascii="Times New Roman" w:hAnsi="Times New Roman" w:cs="Times New Roman"/>
          <w:sz w:val="24"/>
          <w:szCs w:val="24"/>
        </w:rPr>
        <w:t xml:space="preserve"> and the gradual transition towards cultur</w:t>
      </w:r>
      <w:r w:rsidR="000F0289" w:rsidRPr="0076389D">
        <w:rPr>
          <w:rFonts w:ascii="Times New Roman" w:hAnsi="Times New Roman" w:cs="Times New Roman"/>
          <w:color w:val="FF0000"/>
          <w:sz w:val="24"/>
          <w:szCs w:val="24"/>
        </w:rPr>
        <w:t>e</w:t>
      </w:r>
      <w:r w:rsidR="000B1D17" w:rsidRPr="008374B5">
        <w:rPr>
          <w:rFonts w:ascii="Times New Roman" w:hAnsi="Times New Roman" w:cs="Times New Roman"/>
          <w:sz w:val="24"/>
          <w:szCs w:val="24"/>
        </w:rPr>
        <w:t>-</w:t>
      </w:r>
      <w:r w:rsidR="00CD6CA3" w:rsidRPr="008374B5">
        <w:rPr>
          <w:rFonts w:ascii="Times New Roman" w:hAnsi="Times New Roman" w:cs="Times New Roman"/>
          <w:sz w:val="24"/>
          <w:szCs w:val="24"/>
        </w:rPr>
        <w:t xml:space="preserve">specific oral feeding. </w:t>
      </w:r>
      <w:r w:rsidR="00CC0C1E" w:rsidRPr="008374B5">
        <w:rPr>
          <w:rFonts w:ascii="Times New Roman" w:hAnsi="Times New Roman" w:cs="Times New Roman"/>
          <w:sz w:val="24"/>
          <w:szCs w:val="24"/>
        </w:rPr>
        <w:t xml:space="preserve">This period serves as a window of opportunity to establish </w:t>
      </w:r>
      <w:r w:rsidR="00B07308" w:rsidRPr="008374B5">
        <w:rPr>
          <w:rFonts w:ascii="Times New Roman" w:hAnsi="Times New Roman" w:cs="Times New Roman"/>
          <w:sz w:val="24"/>
          <w:szCs w:val="24"/>
        </w:rPr>
        <w:t>long</w:t>
      </w:r>
      <w:r w:rsidR="000B1D17" w:rsidRPr="008374B5">
        <w:rPr>
          <w:rFonts w:ascii="Times New Roman" w:hAnsi="Times New Roman" w:cs="Times New Roman"/>
          <w:sz w:val="24"/>
          <w:szCs w:val="24"/>
        </w:rPr>
        <w:t>-</w:t>
      </w:r>
      <w:r w:rsidR="00B07308" w:rsidRPr="008374B5">
        <w:rPr>
          <w:rFonts w:ascii="Times New Roman" w:hAnsi="Times New Roman" w:cs="Times New Roman"/>
          <w:sz w:val="24"/>
          <w:szCs w:val="24"/>
        </w:rPr>
        <w:t xml:space="preserve">term </w:t>
      </w:r>
      <w:r w:rsidR="00853AFA" w:rsidRPr="008374B5">
        <w:rPr>
          <w:rFonts w:ascii="Times New Roman" w:hAnsi="Times New Roman" w:cs="Times New Roman"/>
          <w:sz w:val="24"/>
          <w:szCs w:val="24"/>
        </w:rPr>
        <w:t xml:space="preserve">healthy </w:t>
      </w:r>
      <w:r w:rsidR="00CC0C1E" w:rsidRPr="008374B5">
        <w:rPr>
          <w:rFonts w:ascii="Times New Roman" w:hAnsi="Times New Roman" w:cs="Times New Roman"/>
          <w:sz w:val="24"/>
          <w:szCs w:val="24"/>
        </w:rPr>
        <w:t>food preferences and eating habits</w:t>
      </w:r>
      <w:r w:rsidR="006921CA" w:rsidRPr="008374B5">
        <w:rPr>
          <w:rFonts w:ascii="Times New Roman" w:hAnsi="Times New Roman" w:cs="Times New Roman"/>
          <w:sz w:val="24"/>
          <w:szCs w:val="24"/>
        </w:rPr>
        <w:t xml:space="preserve"> as the infant get</w:t>
      </w:r>
      <w:r w:rsidR="00F13277" w:rsidRPr="008374B5">
        <w:rPr>
          <w:rFonts w:ascii="Times New Roman" w:hAnsi="Times New Roman" w:cs="Times New Roman"/>
          <w:sz w:val="24"/>
          <w:szCs w:val="24"/>
        </w:rPr>
        <w:t>s</w:t>
      </w:r>
      <w:r w:rsidR="006921CA" w:rsidRPr="008374B5">
        <w:rPr>
          <w:rFonts w:ascii="Times New Roman" w:hAnsi="Times New Roman" w:cs="Times New Roman"/>
          <w:sz w:val="24"/>
          <w:szCs w:val="24"/>
        </w:rPr>
        <w:t xml:space="preserve"> exposed to a </w:t>
      </w:r>
      <w:r w:rsidR="0039056E" w:rsidRPr="008374B5">
        <w:rPr>
          <w:rFonts w:ascii="Times New Roman" w:hAnsi="Times New Roman" w:cs="Times New Roman"/>
          <w:sz w:val="24"/>
          <w:szCs w:val="24"/>
        </w:rPr>
        <w:t xml:space="preserve">wide </w:t>
      </w:r>
      <w:r w:rsidR="006921CA" w:rsidRPr="008374B5">
        <w:rPr>
          <w:rFonts w:ascii="Times New Roman" w:hAnsi="Times New Roman" w:cs="Times New Roman"/>
          <w:sz w:val="24"/>
          <w:szCs w:val="24"/>
        </w:rPr>
        <w:t xml:space="preserve">variety </w:t>
      </w:r>
      <w:r w:rsidR="0039056E" w:rsidRPr="008374B5">
        <w:rPr>
          <w:rFonts w:ascii="Times New Roman" w:hAnsi="Times New Roman" w:cs="Times New Roman"/>
          <w:sz w:val="24"/>
          <w:szCs w:val="24"/>
        </w:rPr>
        <w:t>of tastes and textures</w:t>
      </w:r>
      <w:r w:rsidR="00853AFA"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"10.1016/j.appet.2011.05.316", "ISBN" : "0195-6663", "ISSN" : "01956663", "PMID" : "21651929", "abstract" : "Encouraging healthy eating habit development early in life is a way to prevent the onset of diet-related diseases. This review focuses on the period ranging from the beginning of complementary feeding until the age of 3 years. Its first objective was to review relevant themes in the most recent literature on the development of healthy eating habits in this period. Its second objective was to evaluate to what extent international and national feeding guidelines cover these themes. Analysed guidelines included WHO, European Network for Public Health Nutrition, US and two European national guidelines (UK and France). They were evaluated using a 4-pt scale and compared. Well-covered themes in current literature include the influence of exposure on later acceptance, the role of variety and parental styles. Themes that occur more rarely include the role of texture, the development of autonomy, the optimization of variety, acceptable consumption levels of sweet and salty foods, and the way to cope with food refusal. Guidelines in general cover most of the themes, but some of the national guidelines are incomplete. Finally, guidelines should give more practical tips to parents, especially to help them establish a responsive feeding behaviour. \u00a9 2011 Elsevier Ltd.", "author" : [ { "dropping-particle" : "", "family" : "Schwartz", "given" : "Camille", "non-dropping-particle" : "", "parse-names" : false, "suffix" : "" }, { "dropping-particle" : "", "family" : "Scholtens", "given" : "Petra A M J", "non-dropping-particle" : "", "parse-names" : false, "suffix" : "" }, { "dropping-particle" : "", "family" : "Lalanne", "given" : "Amandine", "non-dropping-particle" : "", "parse-names" : false, "suffix" : "" }, { "dropping-particle" : "", "family" : "Weenen", "given" : "Hugo", "non-dropping-particle" : "", "parse-names" : false, "suffix" : "" }, { "dropping-particle" : "", "family" : "Nicklaus", "given" : "Sophie", "non-dropping-particle" : "", "parse-names" : false, "suffix" : "" } ], "container-title" : "Appetite", "id" : "ITEM-1", "issue" : "3", "issued" : { "date-parts" : [ [ "2011" ] ] }, "page" : "796-807", "publisher" : "Elsevier Ltd", "title" : "Development of healthy eating habits early in life. Review of recent evidence and selected guidelines", "type" : "article-journal", "volume" : "57" }, "uris" : [ "http://www.mendeley.com/documents/?uuid=8b9e68c5-9fa6-467e-9f26-52a7d9a986e0" ] } ], "mendeley" : { "formattedCitation" : "&lt;sup&gt;10&lt;/sup&gt;", "plainTextFormattedCitation" : "10", "previouslyFormattedCitation" : "&lt;sup&gt;10&lt;/sup&gt;" }, "properties" : { "noteIndex" : 0 }, "schema" : "https://github.com/citation-style-language/schema/raw/master/csl-citation.json" }</w:instrText>
      </w:r>
      <w:r w:rsidR="00853AFA"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10</w:t>
      </w:r>
      <w:r w:rsidR="00853AFA" w:rsidRPr="008374B5">
        <w:rPr>
          <w:rFonts w:ascii="Times New Roman" w:hAnsi="Times New Roman" w:cs="Times New Roman"/>
          <w:sz w:val="24"/>
          <w:szCs w:val="24"/>
        </w:rPr>
        <w:fldChar w:fldCharType="end"/>
      </w:r>
      <w:r w:rsidR="00CC0C1E" w:rsidRPr="008374B5">
        <w:rPr>
          <w:rFonts w:ascii="Times New Roman" w:hAnsi="Times New Roman" w:cs="Times New Roman"/>
          <w:sz w:val="24"/>
          <w:szCs w:val="24"/>
        </w:rPr>
        <w:t xml:space="preserve">. </w:t>
      </w:r>
      <w:r w:rsidR="005D7DEC" w:rsidRPr="008374B5">
        <w:rPr>
          <w:rFonts w:ascii="Times New Roman" w:hAnsi="Times New Roman" w:cs="Times New Roman"/>
          <w:sz w:val="24"/>
          <w:szCs w:val="24"/>
        </w:rPr>
        <w:t xml:space="preserve">The end of the first </w:t>
      </w:r>
      <w:r w:rsidR="002A43A2" w:rsidRPr="008374B5">
        <w:rPr>
          <w:rFonts w:ascii="Times New Roman" w:hAnsi="Times New Roman" w:cs="Times New Roman"/>
          <w:sz w:val="24"/>
          <w:szCs w:val="24"/>
        </w:rPr>
        <w:t xml:space="preserve">650 days of </w:t>
      </w:r>
      <w:r w:rsidR="005D7DEC" w:rsidRPr="008374B5">
        <w:rPr>
          <w:rFonts w:ascii="Times New Roman" w:hAnsi="Times New Roman" w:cs="Times New Roman"/>
          <w:sz w:val="24"/>
          <w:szCs w:val="24"/>
        </w:rPr>
        <w:t xml:space="preserve">life </w:t>
      </w:r>
      <w:r w:rsidR="000F0289">
        <w:rPr>
          <w:rFonts w:ascii="Times New Roman" w:hAnsi="Times New Roman" w:cs="Times New Roman"/>
          <w:sz w:val="24"/>
          <w:szCs w:val="24"/>
        </w:rPr>
        <w:t xml:space="preserve">when the child turns one year old </w:t>
      </w:r>
      <w:r w:rsidR="005D7DEC" w:rsidRPr="008374B5">
        <w:rPr>
          <w:rFonts w:ascii="Times New Roman" w:hAnsi="Times New Roman" w:cs="Times New Roman"/>
          <w:sz w:val="24"/>
          <w:szCs w:val="24"/>
        </w:rPr>
        <w:t xml:space="preserve">marks the end of infancy. It is the expected point </w:t>
      </w:r>
      <w:r w:rsidR="00F174DA" w:rsidRPr="008374B5">
        <w:rPr>
          <w:rFonts w:ascii="Times New Roman" w:hAnsi="Times New Roman" w:cs="Times New Roman"/>
          <w:sz w:val="24"/>
          <w:szCs w:val="24"/>
        </w:rPr>
        <w:t>of</w:t>
      </w:r>
      <w:r w:rsidR="00172959" w:rsidRPr="008374B5">
        <w:rPr>
          <w:rFonts w:ascii="Times New Roman" w:hAnsi="Times New Roman" w:cs="Times New Roman"/>
          <w:sz w:val="24"/>
          <w:szCs w:val="24"/>
        </w:rPr>
        <w:t xml:space="preserve"> </w:t>
      </w:r>
      <w:r w:rsidR="000A3B38" w:rsidRPr="00C2097F">
        <w:rPr>
          <w:rFonts w:ascii="Times New Roman" w:hAnsi="Times New Roman" w:cs="Times New Roman"/>
          <w:sz w:val="24"/>
          <w:szCs w:val="24"/>
        </w:rPr>
        <w:t>completion of weaning</w:t>
      </w:r>
      <w:r w:rsidR="000A3B38" w:rsidRPr="008374B5">
        <w:rPr>
          <w:rFonts w:ascii="Times New Roman" w:hAnsi="Times New Roman" w:cs="Times New Roman"/>
          <w:sz w:val="24"/>
          <w:szCs w:val="24"/>
        </w:rPr>
        <w:t xml:space="preserve"> </w:t>
      </w:r>
      <w:r w:rsidR="000F0289" w:rsidRPr="0076389D">
        <w:rPr>
          <w:rFonts w:ascii="Times New Roman" w:hAnsi="Times New Roman" w:cs="Times New Roman"/>
          <w:color w:val="FF0000"/>
          <w:sz w:val="24"/>
          <w:szCs w:val="24"/>
        </w:rPr>
        <w:t>(</w:t>
      </w:r>
      <w:r w:rsidR="00867CBC" w:rsidRPr="0076389D">
        <w:rPr>
          <w:rFonts w:ascii="Times New Roman" w:hAnsi="Times New Roman" w:cs="Times New Roman"/>
          <w:color w:val="FF0000"/>
          <w:sz w:val="24"/>
          <w:szCs w:val="24"/>
        </w:rPr>
        <w:t xml:space="preserve">i.e. </w:t>
      </w:r>
      <w:r w:rsidR="000F0289" w:rsidRPr="0076389D">
        <w:rPr>
          <w:rFonts w:ascii="Times New Roman" w:hAnsi="Times New Roman" w:cs="Times New Roman"/>
          <w:color w:val="FF0000"/>
          <w:sz w:val="24"/>
          <w:szCs w:val="24"/>
        </w:rPr>
        <w:t xml:space="preserve">end of the process of transitioning from a predominantly </w:t>
      </w:r>
      <w:r w:rsidR="008D2BB9" w:rsidRPr="0076389D">
        <w:rPr>
          <w:rFonts w:ascii="Times New Roman" w:hAnsi="Times New Roman" w:cs="Times New Roman"/>
          <w:color w:val="FF0000"/>
          <w:sz w:val="24"/>
          <w:szCs w:val="24"/>
        </w:rPr>
        <w:t>milk</w:t>
      </w:r>
      <w:r w:rsidR="00F54422" w:rsidRPr="0076389D">
        <w:rPr>
          <w:rFonts w:ascii="Times New Roman" w:hAnsi="Times New Roman" w:cs="Times New Roman"/>
          <w:color w:val="FF0000"/>
          <w:sz w:val="24"/>
          <w:szCs w:val="24"/>
        </w:rPr>
        <w:t xml:space="preserve">-based to </w:t>
      </w:r>
      <w:r w:rsidR="00640AF4" w:rsidRPr="0076389D">
        <w:rPr>
          <w:rFonts w:ascii="Times New Roman" w:hAnsi="Times New Roman" w:cs="Times New Roman"/>
          <w:color w:val="FF0000"/>
          <w:sz w:val="24"/>
          <w:szCs w:val="24"/>
        </w:rPr>
        <w:t xml:space="preserve">a </w:t>
      </w:r>
      <w:r w:rsidR="00F54422" w:rsidRPr="0076389D">
        <w:rPr>
          <w:rFonts w:ascii="Times New Roman" w:hAnsi="Times New Roman" w:cs="Times New Roman"/>
          <w:color w:val="FF0000"/>
          <w:sz w:val="24"/>
          <w:szCs w:val="24"/>
        </w:rPr>
        <w:t>mainly solid-</w:t>
      </w:r>
      <w:r w:rsidR="008D2BB9" w:rsidRPr="0076389D">
        <w:rPr>
          <w:rFonts w:ascii="Times New Roman" w:hAnsi="Times New Roman" w:cs="Times New Roman"/>
          <w:color w:val="FF0000"/>
          <w:sz w:val="24"/>
          <w:szCs w:val="24"/>
        </w:rPr>
        <w:t xml:space="preserve">based </w:t>
      </w:r>
      <w:r w:rsidR="000F0289" w:rsidRPr="0076389D">
        <w:rPr>
          <w:rFonts w:ascii="Times New Roman" w:hAnsi="Times New Roman" w:cs="Times New Roman"/>
          <w:color w:val="FF0000"/>
          <w:sz w:val="24"/>
          <w:szCs w:val="24"/>
        </w:rPr>
        <w:t>diet)</w:t>
      </w:r>
      <w:r w:rsidR="00C2097F">
        <w:rPr>
          <w:rFonts w:ascii="Times New Roman" w:hAnsi="Times New Roman" w:cs="Times New Roman"/>
          <w:sz w:val="24"/>
          <w:szCs w:val="24"/>
        </w:rPr>
        <w:t xml:space="preserve"> </w:t>
      </w:r>
      <w:r w:rsidR="000A3B38" w:rsidRPr="00C2097F">
        <w:rPr>
          <w:rFonts w:ascii="Times New Roman" w:hAnsi="Times New Roman" w:cs="Times New Roman"/>
          <w:sz w:val="24"/>
          <w:szCs w:val="24"/>
        </w:rPr>
        <w:t xml:space="preserve">and </w:t>
      </w:r>
      <w:r w:rsidR="005D7DEC" w:rsidRPr="00C2097F">
        <w:rPr>
          <w:rFonts w:ascii="Times New Roman" w:hAnsi="Times New Roman" w:cs="Times New Roman"/>
          <w:sz w:val="24"/>
          <w:szCs w:val="24"/>
        </w:rPr>
        <w:t>the beginning of</w:t>
      </w:r>
      <w:r w:rsidR="0086478C" w:rsidRPr="00C2097F">
        <w:rPr>
          <w:rFonts w:ascii="Times New Roman" w:hAnsi="Times New Roman" w:cs="Times New Roman"/>
          <w:sz w:val="24"/>
          <w:szCs w:val="24"/>
        </w:rPr>
        <w:t xml:space="preserve"> the</w:t>
      </w:r>
      <w:r w:rsidR="00056A35" w:rsidRPr="00C2097F">
        <w:rPr>
          <w:rFonts w:ascii="Times New Roman" w:hAnsi="Times New Roman" w:cs="Times New Roman"/>
          <w:sz w:val="24"/>
          <w:szCs w:val="24"/>
        </w:rPr>
        <w:t xml:space="preserve"> </w:t>
      </w:r>
      <w:r w:rsidR="00F174DA" w:rsidRPr="00C2097F">
        <w:rPr>
          <w:rFonts w:ascii="Times New Roman" w:hAnsi="Times New Roman" w:cs="Times New Roman"/>
          <w:sz w:val="24"/>
          <w:szCs w:val="24"/>
        </w:rPr>
        <w:t xml:space="preserve">cultivation </w:t>
      </w:r>
      <w:r w:rsidR="00541814" w:rsidRPr="00C2097F">
        <w:rPr>
          <w:rFonts w:ascii="Times New Roman" w:hAnsi="Times New Roman" w:cs="Times New Roman"/>
          <w:sz w:val="24"/>
          <w:szCs w:val="24"/>
        </w:rPr>
        <w:t>of long</w:t>
      </w:r>
      <w:r w:rsidR="000B1D17" w:rsidRPr="00C2097F">
        <w:rPr>
          <w:rFonts w:ascii="Times New Roman" w:hAnsi="Times New Roman" w:cs="Times New Roman"/>
          <w:sz w:val="24"/>
          <w:szCs w:val="24"/>
        </w:rPr>
        <w:t>-</w:t>
      </w:r>
      <w:r w:rsidR="00541814" w:rsidRPr="00C2097F">
        <w:rPr>
          <w:rFonts w:ascii="Times New Roman" w:hAnsi="Times New Roman" w:cs="Times New Roman"/>
          <w:sz w:val="24"/>
          <w:szCs w:val="24"/>
        </w:rPr>
        <w:t>term eating habits</w:t>
      </w:r>
      <w:r w:rsidR="005D7DEC" w:rsidRPr="00C2097F">
        <w:rPr>
          <w:rFonts w:ascii="Times New Roman" w:hAnsi="Times New Roman" w:cs="Times New Roman"/>
          <w:sz w:val="24"/>
          <w:szCs w:val="24"/>
        </w:rPr>
        <w:t>.</w:t>
      </w:r>
      <w:r w:rsidR="005D7DEC" w:rsidRPr="008374B5">
        <w:rPr>
          <w:rFonts w:ascii="Times New Roman" w:hAnsi="Times New Roman" w:cs="Times New Roman"/>
          <w:sz w:val="24"/>
          <w:szCs w:val="24"/>
        </w:rPr>
        <w:t xml:space="preserve"> Beyond this </w:t>
      </w:r>
      <w:r w:rsidR="00F13277" w:rsidRPr="008374B5">
        <w:rPr>
          <w:rFonts w:ascii="Times New Roman" w:hAnsi="Times New Roman" w:cs="Times New Roman"/>
          <w:sz w:val="24"/>
          <w:szCs w:val="24"/>
        </w:rPr>
        <w:t>stage</w:t>
      </w:r>
      <w:r w:rsidR="005D7DEC" w:rsidRPr="008374B5">
        <w:rPr>
          <w:rFonts w:ascii="Times New Roman" w:hAnsi="Times New Roman" w:cs="Times New Roman"/>
          <w:sz w:val="24"/>
          <w:szCs w:val="24"/>
        </w:rPr>
        <w:t xml:space="preserve">, culture and environment </w:t>
      </w:r>
      <w:r w:rsidR="00705148" w:rsidRPr="008374B5">
        <w:rPr>
          <w:rFonts w:ascii="Times New Roman" w:hAnsi="Times New Roman" w:cs="Times New Roman"/>
          <w:sz w:val="24"/>
          <w:szCs w:val="24"/>
        </w:rPr>
        <w:t xml:space="preserve">increasingly become </w:t>
      </w:r>
      <w:r w:rsidR="005D7DEC" w:rsidRPr="008374B5">
        <w:rPr>
          <w:rFonts w:ascii="Times New Roman" w:hAnsi="Times New Roman" w:cs="Times New Roman"/>
          <w:sz w:val="24"/>
          <w:szCs w:val="24"/>
        </w:rPr>
        <w:t xml:space="preserve">the main drivers of feeding practices. </w:t>
      </w:r>
      <w:r w:rsidR="001459A4" w:rsidRPr="001459A4">
        <w:rPr>
          <w:rFonts w:ascii="Times New Roman" w:hAnsi="Times New Roman" w:cs="Times New Roman"/>
          <w:sz w:val="24"/>
          <w:szCs w:val="24"/>
        </w:rPr>
        <w:t xml:space="preserve">At 12-month-old, an infant’s </w:t>
      </w:r>
      <w:r w:rsidR="001459A4" w:rsidRPr="0076389D">
        <w:rPr>
          <w:rFonts w:ascii="Times New Roman" w:hAnsi="Times New Roman" w:cs="Times New Roman"/>
          <w:color w:val="FF0000"/>
          <w:sz w:val="24"/>
          <w:szCs w:val="24"/>
        </w:rPr>
        <w:t>daily</w:t>
      </w:r>
      <w:r w:rsidR="001459A4" w:rsidRPr="001459A4">
        <w:rPr>
          <w:rFonts w:ascii="Times New Roman" w:hAnsi="Times New Roman" w:cs="Times New Roman"/>
          <w:sz w:val="24"/>
          <w:szCs w:val="24"/>
        </w:rPr>
        <w:t xml:space="preserve"> sleep/wake</w:t>
      </w:r>
      <w:r w:rsidR="001459A4">
        <w:rPr>
          <w:rFonts w:ascii="Times New Roman" w:hAnsi="Times New Roman" w:cs="Times New Roman"/>
          <w:sz w:val="24"/>
          <w:szCs w:val="24"/>
        </w:rPr>
        <w:t xml:space="preserve"> cycle is </w:t>
      </w:r>
      <w:r w:rsidR="001459A4" w:rsidRPr="0076389D">
        <w:rPr>
          <w:rFonts w:ascii="Times New Roman" w:hAnsi="Times New Roman" w:cs="Times New Roman"/>
          <w:color w:val="FF0000"/>
          <w:sz w:val="24"/>
          <w:szCs w:val="24"/>
        </w:rPr>
        <w:t>moderately stabilised with an increasing consolidation of sleep during the night compared to early infancy</w:t>
      </w:r>
      <w:r w:rsidR="0022426E" w:rsidRPr="0076389D">
        <w:rPr>
          <w:rFonts w:ascii="Times New Roman" w:hAnsi="Times New Roman" w:cs="Times New Roman"/>
          <w:color w:val="FF0000"/>
          <w:sz w:val="24"/>
          <w:szCs w:val="24"/>
        </w:rPr>
        <w:fldChar w:fldCharType="begin" w:fldLock="1"/>
      </w:r>
      <w:r w:rsidR="0022426E" w:rsidRPr="0076389D">
        <w:rPr>
          <w:rFonts w:ascii="Times New Roman" w:hAnsi="Times New Roman" w:cs="Times New Roman"/>
          <w:color w:val="FF0000"/>
          <w:sz w:val="24"/>
          <w:szCs w:val="24"/>
        </w:rPr>
        <w:instrText>ADDIN CSL_CITATION { "citationItems" : [ { "id" : "ITEM-1", "itemData" : { "DOI" : "10.1016/j.smrv.2011.06.001", "ISSN" : "1087-0792", "author" : [ { "dropping-particle" : "", "family" : "Galland", "given" : "Barbara C", "non-dropping-particle" : "", "parse-names" : false, "suffix" : "" }, { "dropping-particle" : "", "family" : "Taylor", "given" : "Barry J", "non-dropping-particle" : "", "parse-names" : false, "suffix" : "" }, { "dropping-particle" : "", "family" : "Elder", "given" : "Dawn E", "non-dropping-particle" : "", "parse-names" : false, "suffix" : "" }, { "dropping-particle" : "", "family" : "Herbison", "given" : "Peter", "non-dropping-particle" : "", "parse-names" : false, "suffix" : "" } ], "container-title" : "Sleep Medicine Reviews", "id" : "ITEM-1", "issue" : "3", "issued" : { "date-parts" : [ [ "2012" ] ] }, "page" : "213-222", "publisher" : "Elsevier Ltd", "title" : "Normal sleep patterns in infants and children: a systematic review of observational studies", "type" : "article-journal", "volume" : "16" }, "uris" : [ "http://www.mendeley.com/documents/?uuid=e5fffd91-4cb5-4cc7-8b86-571d6d7eeeec" ] } ], "mendeley" : { "formattedCitation" : "&lt;sup&gt;11&lt;/sup&gt;", "plainTextFormattedCitation" : "11", "previouslyFormattedCitation" : "&lt;sup&gt;11&lt;/sup&gt;" }, "properties" : { "noteIndex" : 0 }, "schema" : "https://github.com/citation-style-language/schema/raw/master/csl-citation.json" }</w:instrText>
      </w:r>
      <w:r w:rsidR="0022426E" w:rsidRPr="0076389D">
        <w:rPr>
          <w:rFonts w:ascii="Times New Roman" w:hAnsi="Times New Roman" w:cs="Times New Roman"/>
          <w:color w:val="FF0000"/>
          <w:sz w:val="24"/>
          <w:szCs w:val="24"/>
        </w:rPr>
        <w:fldChar w:fldCharType="separate"/>
      </w:r>
      <w:r w:rsidR="0022426E" w:rsidRPr="0076389D">
        <w:rPr>
          <w:rFonts w:ascii="Times New Roman" w:hAnsi="Times New Roman" w:cs="Times New Roman"/>
          <w:noProof/>
          <w:color w:val="FF0000"/>
          <w:sz w:val="24"/>
          <w:szCs w:val="24"/>
          <w:vertAlign w:val="superscript"/>
        </w:rPr>
        <w:t>11</w:t>
      </w:r>
      <w:r w:rsidR="0022426E" w:rsidRPr="0076389D">
        <w:rPr>
          <w:rFonts w:ascii="Times New Roman" w:hAnsi="Times New Roman" w:cs="Times New Roman"/>
          <w:color w:val="FF0000"/>
          <w:sz w:val="24"/>
          <w:szCs w:val="24"/>
        </w:rPr>
        <w:fldChar w:fldCharType="end"/>
      </w:r>
      <w:r w:rsidR="001459A4" w:rsidRPr="001459A4">
        <w:rPr>
          <w:rFonts w:ascii="Times New Roman" w:hAnsi="Times New Roman" w:cs="Times New Roman"/>
          <w:sz w:val="24"/>
          <w:szCs w:val="24"/>
        </w:rPr>
        <w:t>, implying that consistent and stable daily feeding practices may be in place.</w:t>
      </w:r>
      <w:r w:rsidR="00CE3D87" w:rsidRPr="008374B5">
        <w:rPr>
          <w:rFonts w:ascii="Times New Roman" w:hAnsi="Times New Roman" w:cs="Times New Roman"/>
          <w:sz w:val="24"/>
          <w:szCs w:val="24"/>
        </w:rPr>
        <w:t xml:space="preserve"> </w:t>
      </w:r>
      <w:r w:rsidR="0043649B" w:rsidRPr="008374B5">
        <w:rPr>
          <w:rFonts w:ascii="Times New Roman" w:hAnsi="Times New Roman" w:cs="Times New Roman"/>
          <w:sz w:val="24"/>
          <w:szCs w:val="24"/>
        </w:rPr>
        <w:t xml:space="preserve">As </w:t>
      </w:r>
      <w:r w:rsidR="005B6701" w:rsidRPr="008374B5">
        <w:rPr>
          <w:rFonts w:ascii="Times New Roman" w:hAnsi="Times New Roman" w:cs="Times New Roman"/>
          <w:sz w:val="24"/>
          <w:szCs w:val="24"/>
        </w:rPr>
        <w:t xml:space="preserve">this transition </w:t>
      </w:r>
      <w:r w:rsidR="008E4A9B" w:rsidRPr="008374B5">
        <w:rPr>
          <w:rFonts w:ascii="Times New Roman" w:hAnsi="Times New Roman" w:cs="Times New Roman"/>
          <w:sz w:val="24"/>
          <w:szCs w:val="24"/>
        </w:rPr>
        <w:t xml:space="preserve">point </w:t>
      </w:r>
      <w:r w:rsidR="005B6701" w:rsidRPr="008374B5">
        <w:rPr>
          <w:rFonts w:ascii="Times New Roman" w:hAnsi="Times New Roman" w:cs="Times New Roman"/>
          <w:sz w:val="24"/>
          <w:szCs w:val="24"/>
        </w:rPr>
        <w:t>set</w:t>
      </w:r>
      <w:r w:rsidR="005B07C1" w:rsidRPr="008374B5">
        <w:rPr>
          <w:rFonts w:ascii="Times New Roman" w:hAnsi="Times New Roman" w:cs="Times New Roman"/>
          <w:sz w:val="24"/>
          <w:szCs w:val="24"/>
        </w:rPr>
        <w:t>s</w:t>
      </w:r>
      <w:r w:rsidR="005B6701" w:rsidRPr="008374B5">
        <w:rPr>
          <w:rFonts w:ascii="Times New Roman" w:hAnsi="Times New Roman" w:cs="Times New Roman"/>
          <w:sz w:val="24"/>
          <w:szCs w:val="24"/>
        </w:rPr>
        <w:t xml:space="preserve"> the foundation for later food choices</w:t>
      </w:r>
      <w:r w:rsidR="001178B8" w:rsidRPr="008374B5">
        <w:rPr>
          <w:rFonts w:ascii="Times New Roman" w:hAnsi="Times New Roman" w:cs="Times New Roman"/>
          <w:sz w:val="24"/>
          <w:szCs w:val="24"/>
        </w:rPr>
        <w:t xml:space="preserve"> and eating habits</w:t>
      </w:r>
      <w:r w:rsidR="005B6701" w:rsidRPr="008374B5">
        <w:rPr>
          <w:rFonts w:ascii="Times New Roman" w:hAnsi="Times New Roman" w:cs="Times New Roman"/>
          <w:sz w:val="24"/>
          <w:szCs w:val="24"/>
        </w:rPr>
        <w:t>, infant feeding pract</w:t>
      </w:r>
      <w:r w:rsidR="001178B8" w:rsidRPr="008374B5">
        <w:rPr>
          <w:rFonts w:ascii="Times New Roman" w:hAnsi="Times New Roman" w:cs="Times New Roman"/>
          <w:sz w:val="24"/>
          <w:szCs w:val="24"/>
        </w:rPr>
        <w:t>ices at 12</w:t>
      </w:r>
      <w:r w:rsidR="001178B8" w:rsidRPr="008374B5">
        <w:rPr>
          <w:rFonts w:ascii="Times New Roman" w:hAnsi="Times New Roman" w:cs="Times New Roman"/>
          <w:sz w:val="24"/>
          <w:szCs w:val="24"/>
        </w:rPr>
        <w:softHyphen/>
      </w:r>
      <w:r w:rsidR="000B1D17" w:rsidRPr="008374B5">
        <w:rPr>
          <w:rFonts w:ascii="Times New Roman" w:hAnsi="Times New Roman" w:cs="Times New Roman"/>
          <w:sz w:val="24"/>
          <w:szCs w:val="24"/>
        </w:rPr>
        <w:t>-</w:t>
      </w:r>
      <w:r w:rsidR="001178B8" w:rsidRPr="008374B5">
        <w:rPr>
          <w:rFonts w:ascii="Times New Roman" w:hAnsi="Times New Roman" w:cs="Times New Roman"/>
          <w:sz w:val="24"/>
          <w:szCs w:val="24"/>
        </w:rPr>
        <w:t>month</w:t>
      </w:r>
      <w:r w:rsidR="000B1D17" w:rsidRPr="008374B5">
        <w:rPr>
          <w:rFonts w:ascii="Times New Roman" w:hAnsi="Times New Roman" w:cs="Times New Roman"/>
          <w:sz w:val="24"/>
          <w:szCs w:val="24"/>
        </w:rPr>
        <w:t>-</w:t>
      </w:r>
      <w:r w:rsidR="001178B8" w:rsidRPr="008374B5">
        <w:rPr>
          <w:rFonts w:ascii="Times New Roman" w:hAnsi="Times New Roman" w:cs="Times New Roman"/>
          <w:sz w:val="24"/>
          <w:szCs w:val="24"/>
        </w:rPr>
        <w:t>old deserve more attention</w:t>
      </w:r>
      <w:r w:rsidR="005B6701" w:rsidRPr="008374B5">
        <w:rPr>
          <w:rFonts w:ascii="Times New Roman" w:hAnsi="Times New Roman" w:cs="Times New Roman"/>
          <w:sz w:val="24"/>
          <w:szCs w:val="24"/>
        </w:rPr>
        <w:t>.</w:t>
      </w:r>
      <w:r w:rsidR="00CB03FA" w:rsidRPr="008374B5">
        <w:rPr>
          <w:rFonts w:ascii="Times New Roman" w:hAnsi="Times New Roman" w:cs="Times New Roman"/>
          <w:sz w:val="24"/>
          <w:szCs w:val="24"/>
        </w:rPr>
        <w:t xml:space="preserve"> </w:t>
      </w:r>
    </w:p>
    <w:p w14:paraId="2ECE6D90" w14:textId="2EF4B405" w:rsidR="00540FB9" w:rsidRPr="008374B5" w:rsidRDefault="008A4750" w:rsidP="008374B5">
      <w:pPr>
        <w:spacing w:after="0" w:line="360" w:lineRule="auto"/>
        <w:ind w:firstLine="720"/>
        <w:jc w:val="both"/>
        <w:rPr>
          <w:rFonts w:ascii="Times New Roman" w:hAnsi="Times New Roman" w:cs="Times New Roman"/>
          <w:sz w:val="24"/>
          <w:szCs w:val="24"/>
        </w:rPr>
      </w:pPr>
      <w:r w:rsidRPr="008374B5">
        <w:rPr>
          <w:rFonts w:ascii="Times New Roman" w:hAnsi="Times New Roman" w:cs="Times New Roman"/>
          <w:sz w:val="24"/>
          <w:szCs w:val="24"/>
        </w:rPr>
        <w:t>Studies</w:t>
      </w:r>
      <w:r w:rsidR="00B54103" w:rsidRPr="008374B5">
        <w:rPr>
          <w:rFonts w:ascii="Times New Roman" w:hAnsi="Times New Roman" w:cs="Times New Roman"/>
          <w:sz w:val="24"/>
          <w:szCs w:val="24"/>
        </w:rPr>
        <w:t xml:space="preserve"> on the long</w:t>
      </w:r>
      <w:r w:rsidR="000B1D17" w:rsidRPr="008374B5">
        <w:rPr>
          <w:rFonts w:ascii="Times New Roman" w:hAnsi="Times New Roman" w:cs="Times New Roman"/>
          <w:sz w:val="24"/>
          <w:szCs w:val="24"/>
        </w:rPr>
        <w:t>-</w:t>
      </w:r>
      <w:r w:rsidR="00B54103" w:rsidRPr="008374B5">
        <w:rPr>
          <w:rFonts w:ascii="Times New Roman" w:hAnsi="Times New Roman" w:cs="Times New Roman"/>
          <w:sz w:val="24"/>
          <w:szCs w:val="24"/>
        </w:rPr>
        <w:t xml:space="preserve">term consequences of </w:t>
      </w:r>
      <w:r w:rsidR="00D673E8" w:rsidRPr="008374B5">
        <w:rPr>
          <w:rFonts w:ascii="Times New Roman" w:hAnsi="Times New Roman" w:cs="Times New Roman"/>
          <w:sz w:val="24"/>
          <w:szCs w:val="24"/>
        </w:rPr>
        <w:t>feeding practices</w:t>
      </w:r>
      <w:r w:rsidR="007E502D" w:rsidRPr="008374B5">
        <w:rPr>
          <w:rFonts w:ascii="Times New Roman" w:hAnsi="Times New Roman" w:cs="Times New Roman"/>
          <w:sz w:val="24"/>
          <w:szCs w:val="24"/>
        </w:rPr>
        <w:t xml:space="preserve"> during early life stages have</w:t>
      </w:r>
      <w:r w:rsidR="00796258" w:rsidRPr="008374B5">
        <w:rPr>
          <w:rFonts w:ascii="Times New Roman" w:hAnsi="Times New Roman" w:cs="Times New Roman"/>
          <w:sz w:val="24"/>
          <w:szCs w:val="24"/>
        </w:rPr>
        <w:t xml:space="preserve"> traditionally focused </w:t>
      </w:r>
      <w:r w:rsidR="00B54103" w:rsidRPr="008374B5">
        <w:rPr>
          <w:rFonts w:ascii="Times New Roman" w:hAnsi="Times New Roman" w:cs="Times New Roman"/>
          <w:sz w:val="24"/>
          <w:szCs w:val="24"/>
        </w:rPr>
        <w:t xml:space="preserve">on </w:t>
      </w:r>
      <w:r w:rsidR="00CD29A2" w:rsidRPr="008374B5">
        <w:rPr>
          <w:rFonts w:ascii="Times New Roman" w:hAnsi="Times New Roman" w:cs="Times New Roman"/>
          <w:sz w:val="24"/>
          <w:szCs w:val="24"/>
        </w:rPr>
        <w:t>breast</w:t>
      </w:r>
      <w:r w:rsidR="00B54103" w:rsidRPr="008374B5">
        <w:rPr>
          <w:rFonts w:ascii="Times New Roman" w:hAnsi="Times New Roman" w:cs="Times New Roman"/>
          <w:sz w:val="24"/>
          <w:szCs w:val="24"/>
        </w:rPr>
        <w:t>feeding</w:t>
      </w:r>
      <w:r w:rsidR="00B54103"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"10.1186/1471-2458-14-1267", "ISBN" : "1471-2458 (Electronic)\r1471-2458 (Linking)", "ISSN" : "1471-2458", "PMID" : "25495402", "abstract" : "BACKGROUND: The increase in childhood obesity is a serious public health concern. Several studies have indicated that breastfed children have a lower risk of childhood obesity than those who were not breastfed, while other studies have provided conflicting evidence. The objective of this meta-analysis was to investigate the association between breastfeeding and the risk of childhood obesity. METHODS: The PubMed, EMBASE and CINAHL Plus with Full Text databases were systematically searched from start date to 1st August 2014. Based on the meta-analysis, pooled adjusted odds ratio (AOR) and 95% confidence interval (CI) were calculated. I2 statistic was used to evaluate the between-study heterogeneity. Funnel plots and Fail-safe N were used to assess publication bias and reliability of results, and results from both Egger test and Begg test were reported. RESULTS: Twenty-five studies with a total of 226,508 participants were included in this meta-analysis. The studies' publication dates ranged from 1997 to 2014, and they examined the population of 12 countries. Results showed that breastfeeding was associated with a significantly reduced risk of obesity in children (AOR = 0.78; 95% CI: 0.74, 0.81). Categorical analysis of 17 studies revealed a dose-response effect between breastfeeding duration and reduced risk of childhood obesity. CONCLUSION: Results of our meta-analysis suggest that breastfeeding is a significant protective factor against obesity in children.", "author" : [ { "dropping-particle" : "", "family" : "Yan", "given" : "Jing", "non-dropping-particle" : "", "parse-names" : false, "suffix" : "" }, { "dropping-particle" : "", "family" : "Liu", "given" : "Lin", "non-dropping-particle" : "", "parse-names" : false, "suffix" : "" }, { "dropping-particle" : "", "family" : "Zhu", "given" : "Yun", "non-dropping-particle" : "", "parse-names" : false, "suffix" : "" }, { "dropping-particle" : "", "family" : "Huang", "given" : "Guowei", "non-dropping-particle" : "", "parse-names" : false, "suffix" : "" }, { "dropping-particle" : "", "family" : "Wang", "given" : "Peizhong Peter", "non-dropping-particle" : "", "parse-names" : false, "suffix" : "" } ], "container-title" : "BMC public health", "id" : "ITEM-1", "issue" : "1", "issued" : { "date-parts" : [ [ "2014" ] ] }, "page" : "1267", "title" : "The association between breastfeeding and childhood obesity: a meta-analysis.", "type" : "article-journal", "volume" : "14" }, "uris" : [ "http://www.mendeley.com/documents/?uuid=7109c91e-d173-4134-9b4e-387a9973c935" ] }, { "id" : "ITEM-2", "itemData" : { "DOI" : "10.1016/j.jada.2007.07.018", "ISBN" : "0002-8223", "ISSN" : "0002-8223", "PMID" : "17904934", "abstract" : "OBJECTIVE: To describe the prevalence of breastfeeding and overweight in the Commonwealth of the Northern Mariana Islands (CNMI), and the relationship between the two.\\n\\nDESIGN AND METHODS: A random cluster survey of 420 children (aged 6 months to 10 years), was conducted in the CNMI in June and July of 2005. Children were measured for weight and height and caregivers were asked about past feeding habits by trained investigators.\\n\\nRESULTS: Seventy-three percent of children were ever breastfed; 53% were still breastfed at 6 months, and 22% at 1 year of age. Five percent of children were found to be underweight (&lt;5th percentile), while 15% were at risk for overweight (85th to &lt;95th percentile) and 19% were overweight (&gt;95th percentile), according to the Centers for Disease Control and Prevention body mass index for age reference data. Children who had been breastfed had a substantially lower body mass index than children who had not breastfed, after adjusting for age, sex, birthweight, and years of mother's education.\\n\\nDISCUSSION: These findings will be used to guide program development in the CNMI.", "author" : [ { "dropping-particle" : "", "family" : "Novotny", "given" : "Rachel", "non-dropping-particle" : "", "parse-names" : false, "suffix" : "" }, { "dropping-particle" : "", "family" : "Coleman", "given" : "Patricia", "non-dropping-particle" : "", "parse-names" : false, "suffix" : "" }, { "dropping-particle" : "", "family" : "Tenorio", "given" : "Lynn", "non-dropping-particle" : "", "parse-names" : false, "suffix" : "" }, { "dropping-particle" : "", "family" : "Davison", "given" : "Nicola", "non-dropping-particle" : "", "parse-names" : false, "suffix" : "" }, { "dropping-particle" : "", "family" : "Camacho", "given" : "Tayna", "non-dropping-particle" : "", "parse-names" : false, "suffix" : "" }, { "dropping-particle" : "", "family" : "Ramirez", "given" : "Vickie", "non-dropping-particle" : "", "parse-names" : false, "suffix" : "" }, { "dropping-particle" : "", "family" : "Vijayadeva", "given" : "Vinutha", "non-dropping-particle" : "", "parse-names" : false, "suffix" : "" }, { "dropping-particle" : "", "family" : "Untalan", "given" : "Pedro", "non-dropping-particle" : "", "parse-names" : false, "suffix" : "" }, { "dropping-particle" : "", "family" : "Tudela", "given" : "Margaret Diaz", "non-dropping-particle" : "", "parse-names" : false, "suffix" : "" } ], "container-title" : "Journal of the American Dietetic Association", "id" : "ITEM-2", "issue" : "10", "issued" : { "date-parts" : [ [ "2007" ] ] }, "page" : "1743-6", "title" : "Breastfeeding is associated with lower body mass index among children of the Commonwealth of the Northern Mariana Islands.", "type" : "article-journal", "volume" : "107" }, "uris" : [ "http://www.mendeley.com/documents/?uuid=b4099314-5ee9-4925-99f6-a7f2dfb94d35" ] } ], "mendeley" : { "formattedCitation" : "&lt;sup&gt;12,13&lt;/sup&gt;", "plainTextFormattedCitation" : "12,13", "previouslyFormattedCitation" : "&lt;sup&gt;12,13&lt;/sup&gt;" }, "properties" : { "noteIndex" : 0 }, "schema" : "https://github.com/citation-style-language/schema/raw/master/csl-citation.json" }</w:instrText>
      </w:r>
      <w:r w:rsidR="00B54103"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12,13</w:t>
      </w:r>
      <w:r w:rsidR="00B54103" w:rsidRPr="008374B5">
        <w:rPr>
          <w:rFonts w:ascii="Times New Roman" w:hAnsi="Times New Roman" w:cs="Times New Roman"/>
          <w:sz w:val="24"/>
          <w:szCs w:val="24"/>
        </w:rPr>
        <w:fldChar w:fldCharType="end"/>
      </w:r>
      <w:r w:rsidR="00B54103" w:rsidRPr="008374B5">
        <w:rPr>
          <w:rFonts w:ascii="Times New Roman" w:hAnsi="Times New Roman" w:cs="Times New Roman"/>
          <w:sz w:val="24"/>
          <w:szCs w:val="24"/>
        </w:rPr>
        <w:t>, macronutrient composition</w:t>
      </w:r>
      <w:r w:rsidR="00B54103"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"10.1038/sj.ijo.0802405", "ISSN" : "0307-0565", "author" : [ { "dropping-particle" : "", "family" : "Skinner", "given" : "J D", "non-dropping-particle" : "", "parse-names" : false, "suffix" : "" }, { "dropping-particle" : "", "family" : "Bounds", "given" : "W", "non-dropping-particle" : "", "parse-names" : false, "suffix" : "" }, { "dropping-particle" : "", "family" : "Carruth", "given" : "B R", "non-dropping-particle" : "", "parse-names" : false, "suffix" : "" }, { "dropping-particle" : "", "family" : "Morris", "given" : "M", "non-dropping-particle" : "", "parse-names" : false, "suffix" : "" }, { "dropping-particle" : "", "family" : "Ziegler", "given" : "P", "non-dropping-particle" : "", "parse-names" : false, "suffix" : "" } ], "container-title" : "International Journal of Obesity", "id" : "ITEM-1", "issue" : "4", "issued" : { "date-parts" : [ [ "2004" ] ] }, "page" : "476-482", "title" : "Predictors of children's body mass index: a longitudinal study of diet and growth in children aged 2\u20138\u2009y", "type" : "article-journal", "volume" : "28" }, "uris" : [ "http://www.mendeley.com/documents/?uuid=bb2567f0-70ab-4f61-92fd-f0c396e0236c" ] } ], "mendeley" : { "formattedCitation" : "&lt;sup&gt;14&lt;/sup&gt;", "plainTextFormattedCitation" : "14", "previouslyFormattedCitation" : "&lt;sup&gt;14&lt;/sup&gt;" }, "properties" : { "noteIndex" : 0 }, "schema" : "https://github.com/citation-style-language/schema/raw/master/csl-citation.json" }</w:instrText>
      </w:r>
      <w:r w:rsidR="00B54103"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14</w:t>
      </w:r>
      <w:r w:rsidR="00B54103" w:rsidRPr="008374B5">
        <w:rPr>
          <w:rFonts w:ascii="Times New Roman" w:hAnsi="Times New Roman" w:cs="Times New Roman"/>
          <w:sz w:val="24"/>
          <w:szCs w:val="24"/>
        </w:rPr>
        <w:fldChar w:fldCharType="end"/>
      </w:r>
      <w:r w:rsidR="00B54103" w:rsidRPr="008374B5">
        <w:rPr>
          <w:rFonts w:ascii="Times New Roman" w:hAnsi="Times New Roman" w:cs="Times New Roman"/>
          <w:sz w:val="24"/>
          <w:szCs w:val="24"/>
        </w:rPr>
        <w:t xml:space="preserve"> and amount of energy intake</w:t>
      </w:r>
      <w:r w:rsidR="00B54103"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"10.1542/peds.2005-1668", "ISSN" : "0031-4005", "author" : [ { "dropping-particle" : "", "family" : "Ong", "given" : "K. K.", "non-dropping-particle" : "", "parse-names" : false, "suffix" : "" }, { "dropping-particle" : "", "family" : "Emmett", "given" : "P. M.", "non-dropping-particle" : "", "parse-names" : false, "suffix" : "" }, { "dropping-particle" : "", "family" : "Noble", "given" : "S.", "non-dropping-particle" : "", "parse-names" : false, "suffix" : "" }, { "dropping-particle" : "", "family" : "Ness", "given" : "A.", "non-dropping-particle" : "", "parse-names" : false, "suffix" : "" }, { "dropping-particle" : "", "family" : "David", "given" : "B. D.", "non-dropping-particle" : "", "parse-names" : false, "suffix" : "" } ], "container-title" : "PEDIATRICS", "id" : "ITEM-1", "issue" : "3", "issued" : { "date-parts" : [ [ "2006", "3", "1" ] ] }, "page" : "e503-e508", "title" : "Dietary Energy Intake at the Age of 4 Months Predicts Postnatal Weight Gain and Childhood Body Mass Index", "type" : "article-journal", "volume" : "117" }, "uris" : [ "http://www.mendeley.com/documents/?uuid=fc05fe12-6d79-49df-add7-4a4a4fc0b7df" ] } ], "mendeley" : { "formattedCitation" : "&lt;sup&gt;15&lt;/sup&gt;", "plainTextFormattedCitation" : "15", "previouslyFormattedCitation" : "&lt;sup&gt;15&lt;/sup&gt;" }, "properties" : { "noteIndex" : 0 }, "schema" : "https://github.com/citation-style-language/schema/raw/master/csl-citation.json" }</w:instrText>
      </w:r>
      <w:r w:rsidR="00B54103"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15</w:t>
      </w:r>
      <w:r w:rsidR="00B54103" w:rsidRPr="008374B5">
        <w:rPr>
          <w:rFonts w:ascii="Times New Roman" w:hAnsi="Times New Roman" w:cs="Times New Roman"/>
          <w:sz w:val="24"/>
          <w:szCs w:val="24"/>
        </w:rPr>
        <w:fldChar w:fldCharType="end"/>
      </w:r>
      <w:r w:rsidR="00B54103" w:rsidRPr="008374B5">
        <w:rPr>
          <w:rFonts w:ascii="Times New Roman" w:hAnsi="Times New Roman" w:cs="Times New Roman"/>
          <w:sz w:val="24"/>
          <w:szCs w:val="24"/>
        </w:rPr>
        <w:t xml:space="preserve">. </w:t>
      </w:r>
      <w:r w:rsidR="000B174E" w:rsidRPr="008374B5">
        <w:rPr>
          <w:rFonts w:ascii="Times New Roman" w:hAnsi="Times New Roman" w:cs="Times New Roman"/>
          <w:sz w:val="24"/>
          <w:szCs w:val="24"/>
        </w:rPr>
        <w:t xml:space="preserve">In recent years, there is accumulating evidence that </w:t>
      </w:r>
      <w:r w:rsidR="002C3909" w:rsidRPr="008374B5">
        <w:rPr>
          <w:rFonts w:ascii="Times New Roman" w:hAnsi="Times New Roman" w:cs="Times New Roman"/>
          <w:sz w:val="24"/>
          <w:szCs w:val="24"/>
        </w:rPr>
        <w:t xml:space="preserve">the </w:t>
      </w:r>
      <w:r w:rsidR="000E569A" w:rsidRPr="008374B5">
        <w:rPr>
          <w:rFonts w:ascii="Times New Roman" w:hAnsi="Times New Roman" w:cs="Times New Roman"/>
          <w:sz w:val="24"/>
          <w:szCs w:val="24"/>
        </w:rPr>
        <w:t>timing of</w:t>
      </w:r>
      <w:r w:rsidR="00741B1A" w:rsidRPr="008374B5">
        <w:rPr>
          <w:rFonts w:ascii="Times New Roman" w:hAnsi="Times New Roman" w:cs="Times New Roman"/>
          <w:sz w:val="24"/>
          <w:szCs w:val="24"/>
        </w:rPr>
        <w:t xml:space="preserve"> energy</w:t>
      </w:r>
      <w:r w:rsidR="000E569A" w:rsidRPr="008374B5">
        <w:rPr>
          <w:rFonts w:ascii="Times New Roman" w:hAnsi="Times New Roman" w:cs="Times New Roman"/>
          <w:sz w:val="24"/>
          <w:szCs w:val="24"/>
        </w:rPr>
        <w:t xml:space="preserve"> intake itself may be </w:t>
      </w:r>
      <w:r w:rsidR="00ED0DB8" w:rsidRPr="008374B5">
        <w:rPr>
          <w:rFonts w:ascii="Times New Roman" w:hAnsi="Times New Roman" w:cs="Times New Roman"/>
          <w:sz w:val="24"/>
          <w:szCs w:val="24"/>
        </w:rPr>
        <w:t>of fundamental importance</w:t>
      </w:r>
      <w:r w:rsidR="00193B36" w:rsidRPr="008374B5">
        <w:rPr>
          <w:rFonts w:ascii="Times New Roman" w:hAnsi="Times New Roman" w:cs="Times New Roman"/>
          <w:sz w:val="24"/>
          <w:szCs w:val="24"/>
        </w:rPr>
        <w:t xml:space="preserve"> in the aetiology of obesity. </w:t>
      </w:r>
      <w:r w:rsidR="00CB2770" w:rsidRPr="008374B5">
        <w:rPr>
          <w:rFonts w:ascii="Times New Roman" w:hAnsi="Times New Roman" w:cs="Times New Roman"/>
          <w:sz w:val="24"/>
          <w:szCs w:val="24"/>
        </w:rPr>
        <w:t>Mice fed during the light phase, which corresponds to their biological night, gained more weight than those fed during the dark phase</w:t>
      </w:r>
      <w:r w:rsidR="005F67BC" w:rsidRPr="008374B5">
        <w:rPr>
          <w:rFonts w:ascii="Times New Roman" w:hAnsi="Times New Roman" w:cs="Times New Roman"/>
          <w:sz w:val="24"/>
          <w:szCs w:val="24"/>
        </w:rPr>
        <w:t xml:space="preserve">, independent of total </w:t>
      </w:r>
      <w:r w:rsidR="002B1A5A" w:rsidRPr="008374B5">
        <w:rPr>
          <w:rFonts w:ascii="Times New Roman" w:hAnsi="Times New Roman" w:cs="Times New Roman"/>
          <w:sz w:val="24"/>
          <w:szCs w:val="24"/>
          <w:lang w:val="en-SG"/>
        </w:rPr>
        <w:t>energy</w:t>
      </w:r>
      <w:r w:rsidR="005F67BC" w:rsidRPr="008374B5">
        <w:rPr>
          <w:rFonts w:ascii="Times New Roman" w:hAnsi="Times New Roman" w:cs="Times New Roman"/>
          <w:sz w:val="24"/>
          <w:szCs w:val="24"/>
        </w:rPr>
        <w:t xml:space="preserve"> intakes, locomotor activity and light/dark cycles</w:t>
      </w:r>
      <w:r w:rsidR="005F67BC"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"10.1073/pnas.1008734107", "ISSN" : "0027-8424", "author" : [ { "dropping-particle" : "", "family" : "Fonken", "given" : "L. K.", "non-dropping-particle" : "", "parse-names" : false, "suffix" : "" }, { "dropping-particle" : "", "family" : "Workman", "given" : "J. L.", "non-dropping-particle" : "", "parse-names" : false, "suffix" : "" }, { "dropping-particle" : "", "family" : "Walton", "given" : "J. C.", "non-dropping-particle" : "", "parse-names" : false, "suffix" : "" }, { "dropping-particle" : "", "family" : "Weil", "given" : "Z. M.", "non-dropping-particle" : "", "parse-names" : false, "suffix" : "" }, { "dropping-particle" : "", "family" : "Morris", "given" : "J. S.", "non-dropping-particle" : "", "parse-names" : false, "suffix" : "" }, { "dropping-particle" : "", "family" : "Haim", "given" : "A.", "non-dropping-particle" : "", "parse-names" : false, "suffix" : "" }, { "dropping-particle" : "", "family" : "Nelson", "given" : "R. J.", "non-dropping-particle" : "", "parse-names" : false, "suffix" : "" } ], "container-title" : "Proceedings of the National Academy of Sciences", "id" : "ITEM-1", "issue" : "43", "issued" : { "date-parts" : [ [ "2010" ] ] }, "page" : "18664-18669", "title" : "Light at night increases body mass by shifting the time of food intake", "type" : "article-journal", "volume" : "107" }, "uris" : [ "http://www.mendeley.com/documents/?uuid=365fa936-6eb1-40d6-a389-aca0dbecedb8" ] }, { "id" : "ITEM-2", "itemData" : { "DOI" : "10.1038/oby.2009.264", "ISBN" : "8474912865", "ISSN" : "1930-7381", "author" : [ { "dropping-particle" : "", "family" : "Arble", "given" : "Deanna M.", "non-dropping-particle" : "", "parse-names" : false, "suffix" : "" }, { "dropping-particle" : "", "family" : "Bass", "given" : "Joseph", "non-dropping-particle" : "", "parse-names" : false, "suffix" : "" }, { "dropping-particle" : "", "family" : "Laposky", "given" : "Aaron D.", "non-dropping-particle" : "", "parse-names" : false, "suffix" : "" }, { "dropping-particle" : "", "family" : "Vitaterna", "given" : "Martha H.", "non-dropping-particle" : "", "parse-names" : false, "suffix" : "" }, { "dropping-particle" : "", "family" : "Turek", "given" : "Fred W.", "non-dropping-particle" : "", "parse-names" : false, "suffix" : "" } ], "container-title" : "Obesity", "id" : "ITEM-2", "issue" : "11", "issued" : { "date-parts" : [ [ "2009", "11", "3" ] ] }, "page" : "2100-2102", "title" : "Circadian Timing of Food Intake Contributes to Weight Gain", "type" : "article-journal", "volume" : "17" }, "uris" : [ "http://www.mendeley.com/documents/?uuid=909107c5-89f3-4fce-8ea4-3c24ac29682d" ] } ], "mendeley" : { "formattedCitation" : "&lt;sup&gt;16,17&lt;/sup&gt;", "plainTextFormattedCitation" : "16,17", "previouslyFormattedCitation" : "&lt;sup&gt;16,17&lt;/sup&gt;" }, "properties" : { "noteIndex" : 0 }, "schema" : "https://github.com/citation-style-language/schema/raw/master/csl-citation.json" }</w:instrText>
      </w:r>
      <w:r w:rsidR="005F67BC"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16,17</w:t>
      </w:r>
      <w:r w:rsidR="005F67BC" w:rsidRPr="008374B5">
        <w:rPr>
          <w:rFonts w:ascii="Times New Roman" w:hAnsi="Times New Roman" w:cs="Times New Roman"/>
          <w:sz w:val="24"/>
          <w:szCs w:val="24"/>
        </w:rPr>
        <w:fldChar w:fldCharType="end"/>
      </w:r>
      <w:r w:rsidR="00CB2770" w:rsidRPr="008374B5">
        <w:rPr>
          <w:rFonts w:ascii="Times New Roman" w:hAnsi="Times New Roman" w:cs="Times New Roman"/>
          <w:sz w:val="24"/>
          <w:szCs w:val="24"/>
        </w:rPr>
        <w:t>. In adults, t</w:t>
      </w:r>
      <w:r w:rsidR="00447843" w:rsidRPr="008374B5">
        <w:rPr>
          <w:rFonts w:ascii="Times New Roman" w:hAnsi="Times New Roman" w:cs="Times New Roman"/>
          <w:sz w:val="24"/>
          <w:szCs w:val="24"/>
        </w:rPr>
        <w:t>emporal eat</w:t>
      </w:r>
      <w:r w:rsidR="00B9374E" w:rsidRPr="008374B5">
        <w:rPr>
          <w:rFonts w:ascii="Times New Roman" w:hAnsi="Times New Roman" w:cs="Times New Roman"/>
          <w:sz w:val="24"/>
          <w:szCs w:val="24"/>
        </w:rPr>
        <w:t>ing behaviours such as b</w:t>
      </w:r>
      <w:r w:rsidR="00844C75" w:rsidRPr="008374B5">
        <w:rPr>
          <w:rFonts w:ascii="Times New Roman" w:hAnsi="Times New Roman" w:cs="Times New Roman"/>
          <w:sz w:val="24"/>
          <w:szCs w:val="24"/>
        </w:rPr>
        <w:t>reakfast ski</w:t>
      </w:r>
      <w:r w:rsidR="00193B36" w:rsidRPr="008374B5">
        <w:rPr>
          <w:rFonts w:ascii="Times New Roman" w:hAnsi="Times New Roman" w:cs="Times New Roman"/>
          <w:sz w:val="24"/>
          <w:szCs w:val="24"/>
        </w:rPr>
        <w:t xml:space="preserve">pping and night eating syndrome </w:t>
      </w:r>
      <w:r w:rsidR="00A17C44" w:rsidRPr="008374B5">
        <w:rPr>
          <w:rFonts w:ascii="Times New Roman" w:hAnsi="Times New Roman" w:cs="Times New Roman"/>
          <w:sz w:val="24"/>
          <w:szCs w:val="24"/>
        </w:rPr>
        <w:t>have</w:t>
      </w:r>
      <w:r w:rsidR="003E2324" w:rsidRPr="008374B5">
        <w:rPr>
          <w:rFonts w:ascii="Times New Roman" w:hAnsi="Times New Roman" w:cs="Times New Roman"/>
          <w:sz w:val="24"/>
          <w:szCs w:val="24"/>
        </w:rPr>
        <w:t xml:space="preserve"> been</w:t>
      </w:r>
      <w:r w:rsidR="00193B36" w:rsidRPr="008374B5">
        <w:rPr>
          <w:rFonts w:ascii="Times New Roman" w:hAnsi="Times New Roman" w:cs="Times New Roman"/>
          <w:sz w:val="24"/>
          <w:szCs w:val="24"/>
        </w:rPr>
        <w:t xml:space="preserve"> positively </w:t>
      </w:r>
      <w:r w:rsidR="00193B36" w:rsidRPr="008374B5">
        <w:rPr>
          <w:rFonts w:ascii="Times New Roman" w:hAnsi="Times New Roman" w:cs="Times New Roman"/>
          <w:sz w:val="24"/>
          <w:szCs w:val="24"/>
        </w:rPr>
        <w:lastRenderedPageBreak/>
        <w:t>associated with obesity</w:t>
      </w:r>
      <w:r w:rsidR="004C40F4"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"10.1111/j.1467-789X.2011.00975.x", "ISSN" : "14677881", "author" : [ { "dropping-particle" : "", "family" : "Gallant", "given" : "A. R.", "non-dropping-particle" : "", "parse-names" : false, "suffix" : "" }, { "dropping-particle" : "", "family" : "Lundgren", "given" : "J.", "non-dropping-particle" : "", "parse-names" : false, "suffix" : "" }, { "dropping-particle" : "", "family" : "Drapeau", "given" : "V.", "non-dropping-particle" : "", "parse-names" : false, "suffix" : "" } ], "container-title" : "Obesity Reviews", "id" : "ITEM-1", "issue" : "6", "issued" : { "date-parts" : [ [ "2012" ] ] }, "page" : "528-536", "title" : "The night-eating syndrome and obesity", "type" : "article-journal", "volume" : "13" }, "uris" : [ "http://www.mendeley.com/documents/?uuid=812ee619-fea6-45f2-89cd-a589b884d7b7" ] }, { "id" : "ITEM-2", "itemData" : { "DOI" : "10.1093/aje/kwg117", "ISBN" : "0002-9262 (Print)\\r0002-9262 (Linking)", "ISSN" : "00029262", "PMID" : "12835290", "abstract" : "Some studies have suggested that eating patterns, which describe eating frequency, the temporal distribution of eating events across the day, breakfast skipping, and the frequency of eating meals away from home, may be related to obesity. Data from the Seasonal Variation of Blood Cholesterol Study (1994-1998) were used to evaluate the relation between eating patterns and obesity. Three 24-hour dietary recalls and a body weight measurement were collected at five equally spaced time points over a 1-year period from 499 participants. Data were averaged for five time periods, and a cross-sectional analysis was conducted. Odds ratios were adjusted for other obesity risk factors including age, sex, physical activity, and total energy intake. Results indicate that a greater number of eating episodes each day was associated with a lower risk of obesity (odds ratio for four or more eating episodes vs. three or fewer = 0.55, 95% confidence interval: 0.33, 0.91). In contrast, skipping breakfast was associated with increased prevalence of obesity (odds ratio = 4.5, 95% confidence interval: 1.57, 12.90), as was greater frequency of eating breakfast or dinner away from home. Further investigation of these associations in prospective studies is warranted.", "author" : [ { "dropping-particle" : "", "family" : "Ma", "given" : "Yunsheng", "non-dropping-particle" : "", "parse-names" : false, "suffix" : "" }, { "dropping-particle" : "", "family" : "Bertone", "given" : "Elizabeth R.", "non-dropping-particle" : "", "parse-names" : false, "suffix" : "" }, { "dropping-particle" : "", "family" : "Stanek", "given" : "Edward J.", "non-dropping-particle" : "", "parse-names" : false, "suffix" : "" }, { "dropping-particle" : "", "family" : "Reed", "given" : "George W.", "non-dropping-particle" : "", "parse-names" : false, "suffix" : "" }, { "dropping-particle" : "", "family" : "Hebert", "given" : "James R.", "non-dropping-particle" : "", "parse-names" : false, "suffix" : "" }, { "dropping-particle" : "", "family" : "Cohen", "given" : "Nancy L.", "non-dropping-particle" : "", "parse-names" : false, "suffix" : "" }, { "dropping-particle" : "", "family" : "Merriam", "given" : "Philip A.", "non-dropping-particle" : "", "parse-names" : false, "suffix" : "" }, { "dropping-particle" : "", "family" : "Ockene", "given" : "Ira S.", "non-dropping-particle" : "", "parse-names" : false, "suffix" : "" } ], "container-title" : "American Journal of Epidemiology", "id" : "ITEM-2", "issue" : "1", "issued" : { "date-parts" : [ [ "2003" ] ] }, "page" : "85-92", "title" : "Association between eating patterns and obesity in a free-living US adult population", "type" : "article-journal", "volume" : "158" }, "uris" : [ "http://www.mendeley.com/documents/?uuid=c83bebdc-f435-4a76-adf8-dd969672b4b5" ] }, { "id" : "ITEM-3", "itemData" : { "DOI" : "10.2185/jrm.2887", "ISBN" : "1880-487X (Print)\\r1880-487x", "ISSN" : "1880-487X", "PMID" : "25648986", "abstract" : "OBJECTIVE: Despite the fact that the total energy intake of Japanese people has decreased, the percentage of obese people has increased. This suggests that the timing of meals is related to obesity. The purpose of the study was to investigate the relationship between the timing of meals and obesity, based on analyses of physical measurements, serum biochemical markers, nutrient intake, and lifestyle factors in the context of Chrononutrition.\\n\\nPARTICIPANTS AND METHODS: We analyzed data derived from 766 residents of Toon City (286 males and 480 females) aged 30 to 79 years who underwent detailed medical examinations between 2011 and 2013. These medical examinations included. (1) physical measurements (waist circumference, blood pressure, etc.); (2) serum biochemical markers (total cholesterol, etc.); (3) a detailed questionnaire concerning lifestyle factors such as family structure and daily habits (22 issues), exercise and eating habits (28 issues), alcohol intake and smoking habits; (4) a food frequency questionnaire based on food groups (FFQg); and (5) a questionnaire concerning the times at which meals and snacks are consumed.\\n\\nRESULTS: The values for body mass index (BMI) and waist circumference were higher for participants who ate dinner less than three hours before bedtime (&lt;3-h group) than those who ate more than three hours before bedtime (&gt;3-h group). The Chi-square test showed that there was a significant difference in eating habits, e.g., eating snacks, eating snacks at night, having dinner after 8 p.m., and having dinner after 9 p.m., between the &lt;3-h group and the &gt;3-h group. Multiple linear regression analysis showed that skipping breakfast significantly influenced both waist circumference (\u03b2 = 5.271) and BMI (\u03b2 = 1.440) and that eating dinner &lt;3-h before going to bed only influenced BMI (\u03b2 = 0.581).\\n\\nCONCLUSION: Skipping breakfast had a greater influence on both waist circumference and BMI than eating dinner &lt;3-h before going to bed.", "author" : [ { "dropping-particle" : "", "family" : "Watanabe", "given" : "Yoko", "non-dropping-particle" : "", "parse-names" : false, "suffix" : "" }, { "dropping-particle" : "", "family" : "Saito", "given" : "Isao", "non-dropping-particle" : "", "parse-names" : false, "suffix" : "" }, { "dropping-particle" : "", "family" : "Henmi", "given" : "Ikuyo", "non-dropping-particle" : "", "parse-names" : false, "suffix" : "" }, { "dropping-particle" : "", "family" : "Yoshimura", "given" : "Kana", "non-dropping-particle" : "", "parse-names" : false, "suffix" : "" }, { "dropping-particle" : "", "family" : "Maruyama", "given" : "Kotatsu", "non-dropping-particle" : "", "parse-names" : false, "suffix" : "" }, { "dropping-particle" : "", "family" : "Yamauchi", "given" : "Kanako", "non-dropping-particle" : "", "parse-names" : false, "suffix" : "" }, { "dropping-particle" : "", "family" : "Matsuo", "given" : "Tatsuhiro", "non-dropping-particle" : "", "parse-names" : false, "suffix" : "" }, { "dropping-particle" : "", "family" : "Kato", "given" : "Tadahiro", "non-dropping-particle" : "", "parse-names" : false, "suffix" : "" }, { "dropping-particle" : "", "family" : "Tanigawa", "given" : "Takeshi", "non-dropping-particle" : "", "parse-names" : false, "suffix" : "" }, { "dropping-particle" : "", "family" : "Kishida", "given" : "Taro", "non-dropping-particle" : "", "parse-names" : false, "suffix" : "" }, { "dropping-particle" : "", "family" : "Asada", "given" : "Yasuhiko", "non-dropping-particle" : "", "parse-names" : false, "suffix" : "" } ], "container-title" : "Journal of rural medicine : JRM / Japanese Association of Rural Medicine", "id" : "ITEM-3", "issue" : "2", "issued" : { "date-parts" : [ [ "2014" ] ] }, "page" : "51-8", "title" : "Skipping Breakfast is Correlated with Obesity.", "type" : "article-journal", "volume" : "9" }, "uris" : [ "http://www.mendeley.com/documents/?uuid=7bdd13f7-44bb-4ec7-8562-b187f67b5ad7" ] } ], "mendeley" : { "formattedCitation" : "&lt;sup&gt;18\u201320&lt;/sup&gt;", "plainTextFormattedCitation" : "18\u201320", "previouslyFormattedCitation" : "&lt;sup&gt;18\u201320&lt;/sup&gt;" }, "properties" : { "noteIndex" : 0 }, "schema" : "https://github.com/citation-style-language/schema/raw/master/csl-citation.json" }</w:instrText>
      </w:r>
      <w:r w:rsidR="004C40F4"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18–20</w:t>
      </w:r>
      <w:r w:rsidR="004C40F4" w:rsidRPr="008374B5">
        <w:rPr>
          <w:rFonts w:ascii="Times New Roman" w:hAnsi="Times New Roman" w:cs="Times New Roman"/>
          <w:sz w:val="24"/>
          <w:szCs w:val="24"/>
        </w:rPr>
        <w:fldChar w:fldCharType="end"/>
      </w:r>
      <w:r w:rsidR="00844C75" w:rsidRPr="008374B5">
        <w:rPr>
          <w:rFonts w:ascii="Times New Roman" w:hAnsi="Times New Roman" w:cs="Times New Roman"/>
          <w:sz w:val="24"/>
          <w:szCs w:val="24"/>
        </w:rPr>
        <w:t xml:space="preserve">. </w:t>
      </w:r>
      <w:r w:rsidR="003A4C58" w:rsidRPr="008374B5">
        <w:rPr>
          <w:rFonts w:ascii="Times New Roman" w:hAnsi="Times New Roman" w:cs="Times New Roman"/>
          <w:sz w:val="24"/>
          <w:szCs w:val="24"/>
        </w:rPr>
        <w:t>Studies performed</w:t>
      </w:r>
      <w:r w:rsidR="003F641F" w:rsidRPr="008374B5">
        <w:rPr>
          <w:rFonts w:ascii="Times New Roman" w:hAnsi="Times New Roman" w:cs="Times New Roman"/>
          <w:sz w:val="24"/>
          <w:szCs w:val="24"/>
        </w:rPr>
        <w:t xml:space="preserve"> in children and adolescen</w:t>
      </w:r>
      <w:r w:rsidR="003A4C58" w:rsidRPr="008374B5">
        <w:rPr>
          <w:rFonts w:ascii="Times New Roman" w:hAnsi="Times New Roman" w:cs="Times New Roman"/>
          <w:sz w:val="24"/>
          <w:szCs w:val="24"/>
        </w:rPr>
        <w:t xml:space="preserve">ts </w:t>
      </w:r>
      <w:r w:rsidR="00037251" w:rsidRPr="008374B5">
        <w:rPr>
          <w:rFonts w:ascii="Times New Roman" w:hAnsi="Times New Roman" w:cs="Times New Roman"/>
          <w:sz w:val="24"/>
          <w:szCs w:val="24"/>
        </w:rPr>
        <w:t xml:space="preserve">are also consistent with the association between breakfast skipping and </w:t>
      </w:r>
      <w:r w:rsidR="003F641F" w:rsidRPr="008374B5">
        <w:rPr>
          <w:rFonts w:ascii="Times New Roman" w:hAnsi="Times New Roman" w:cs="Times New Roman"/>
          <w:sz w:val="24"/>
          <w:szCs w:val="24"/>
        </w:rPr>
        <w:t>increased body mass index (BMI</w:t>
      </w:r>
      <w:r w:rsidR="00BD193F" w:rsidRPr="008374B5">
        <w:rPr>
          <w:rFonts w:ascii="Times New Roman" w:hAnsi="Times New Roman" w:cs="Times New Roman"/>
          <w:sz w:val="24"/>
          <w:szCs w:val="24"/>
        </w:rPr>
        <w:t>)</w:t>
      </w:r>
      <w:r w:rsidR="00F84947"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"10.1080/10408390903467514", "ISBN" : "4989516028", "ISSN" : "1040-8398", "PMID" : "20112153", "abstract" : "Skipping breakfast is common among children and adolescents. However, there is uncertainty regarding whether breakfast consumption contributes to or protects against overweight or obesity. We aimed to review the evidence on the effects of breakfast consumption on body weight outcomes in children and adolescents in Europe. The Cochrane Library, MEDLINE, and EMBASE were searched in January 2009. We identified 16 studies. All were cross-sectional or cohort trials involving more than 59,000 children/adolescents from Europe. Thirteen studies (n = 57,481) consistently showed that breakfast has a protective effect against becoming overweight or obese. One trial (n = 886) showed that this effect was significant only for boys. The effect of eating breakfast on the body mass index (BMI) was analyzed in 4 studies (n = 2897). All of these studies showed an increase in BMI in breakfast skippers. In one study (n = 1245), this effect was significant only for boys. The results of this analysis suggest that eating breakfast is associated with a reduced risk of becoming overweight or obese and a reduction in the BMI in children and adolescents in Europe. However, almost all of the data in this review were gathered from observational studies, thus, causality should not be assumed based on these findings.", "author" : [ { "dropping-particle" : "", "family" : "Szajewska", "given" : "Hania", "non-dropping-particle" : "", "parse-names" : false, "suffix" : "" }, { "dropping-particle" : "", "family" : "Ruszczynski", "given" : "Marek", "non-dropping-particle" : "", "parse-names" : false, "suffix" : "" } ], "container-title" : "Critical reviews in food science and nutrition", "id" : "ITEM-1", "issue" : "2", "issued" : { "date-parts" : [ [ "2010" ] ] }, "page" : "113-119", "title" : "Systematic review demonstrating that breakfast consumption influences body weight outcomes in children and adolescents in Europe.", "type" : "article-journal", "volume" : "50" }, "uris" : [ "http://www.mendeley.com/documents/?uuid=8e772392-89a9-43bc-92f0-cbe7dcdb952e" ] }, { "id" : "ITEM-2", "itemData" : { "DOI" : "10.1038/sj.ijo.0802402", "ISBN" : "0307-0565 (Print)\\r0307-0565 (Linking)", "ISSN" : "0307-0565", "PMID" : "14513075", "abstract" : "BACKGROUND: Several cross-sectional studies reported that heavier children eat breakfast less often. However, no longitudinal studies have addressed whether skipping breakfast leads to excessive weight gain. OBJECTIVE: To investigate whether skipping breakfast was prospectively associated with changes in body fatness. METHODS: A cohort of 414 000 boys and girls from all over the US, 9-to 14-y-old in 1996, returned annual mailed questionnaires (1996\u20131999) for the Growing Up Today Study. We analyzed change in body mass index (BMI; kg/m 2) over three 1-y periods among children who reported breakfast frequency. RESULTS: Children who reported that they never eat breakfast had lower energy intakes than those who eat breakfast nearly every day. Children who were more physically active reported higher energy intakes, as did those who reported more time watching television/videos and playing videogames. Like previous studies, skipping breakfast was associated with overweight, cross-sectionally. However, overweight children who never ate breakfast lost BMI over the following year compared to overweight children who ate breakfast nearly every day (boys: \u00c00.66 kg/m 2 (s.e. \u00bc 0.22); girls: \u00c00.50 kg/m 2 (s.e. \u00bc 0.14)). But normal weight children who never ate breakfast gained weight relative to peers who ate breakfast nearly every day (boys: +0.21 kg/m 2 (s.e. \u00bc 0.13); girls: +0.08 kg/m 2 (s.e. \u00bc 0.05)). Breakfast frequency was positively correlated with self-reported quality of schoolwork.", "author" : [ { "dropping-particle" : "", "family" : "Berkey", "given" : "C S", "non-dropping-particle" : "", "parse-names" : false, "suffix" : "" }, { "dropping-particle" : "", "family" : "Rockett", "given" : "H R H", "non-dropping-particle" : "", "parse-names" : false, "suffix" : "" }, { "dropping-particle" : "", "family" : "Gillman", "given" : "M W", "non-dropping-particle" : "", "parse-names" : false, "suffix" : "" }, { "dropping-particle" : "", "family" : "Field", "given" : "A E", "non-dropping-particle" : "", "parse-names" : false, "suffix" : "" }, { "dropping-particle" : "", "family" : "Colditz", "given" : "G A", "non-dropping-particle" : "", "parse-names" : false, "suffix" : "" } ], "container-title" : "International Journal of Obesity", "id" : "ITEM-2", "issue" : "10", "issued" : { "date-parts" : [ [ "2003", "10" ] ] }, "page" : "1258-1266", "title" : "Longitudinal study of skipping breakfast and weight change in adolescents", "type" : "article-journal", "volume" : "27" }, "uris" : [ "http://www.mendeley.com/documents/?uuid=de578123-79fc-475f-bf3c-39de39f810f3" ] } ], "mendeley" : { "formattedCitation" : "&lt;sup&gt;21,22&lt;/sup&gt;", "plainTextFormattedCitation" : "21,22", "previouslyFormattedCitation" : "&lt;sup&gt;21,22&lt;/sup&gt;" }, "properties" : { "noteIndex" : 0 }, "schema" : "https://github.com/citation-style-language/schema/raw/master/csl-citation.json" }</w:instrText>
      </w:r>
      <w:r w:rsidR="00F84947"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21,22</w:t>
      </w:r>
      <w:r w:rsidR="00F84947" w:rsidRPr="008374B5">
        <w:rPr>
          <w:rFonts w:ascii="Times New Roman" w:hAnsi="Times New Roman" w:cs="Times New Roman"/>
          <w:sz w:val="24"/>
          <w:szCs w:val="24"/>
        </w:rPr>
        <w:fldChar w:fldCharType="end"/>
      </w:r>
      <w:r w:rsidR="006C7135" w:rsidRPr="008374B5">
        <w:rPr>
          <w:rFonts w:ascii="Times New Roman" w:hAnsi="Times New Roman" w:cs="Times New Roman"/>
          <w:sz w:val="24"/>
          <w:szCs w:val="24"/>
        </w:rPr>
        <w:t>, suggest</w:t>
      </w:r>
      <w:r w:rsidR="001E2536" w:rsidRPr="008374B5">
        <w:rPr>
          <w:rFonts w:ascii="Times New Roman" w:hAnsi="Times New Roman" w:cs="Times New Roman"/>
          <w:sz w:val="24"/>
          <w:szCs w:val="24"/>
        </w:rPr>
        <w:t>ing</w:t>
      </w:r>
      <w:r w:rsidR="00402AAC" w:rsidRPr="008374B5">
        <w:rPr>
          <w:rFonts w:ascii="Times New Roman" w:hAnsi="Times New Roman" w:cs="Times New Roman"/>
          <w:sz w:val="24"/>
          <w:szCs w:val="24"/>
        </w:rPr>
        <w:t xml:space="preserve"> that meal timing may</w:t>
      </w:r>
      <w:r w:rsidR="001E2536" w:rsidRPr="008374B5">
        <w:rPr>
          <w:rFonts w:ascii="Times New Roman" w:hAnsi="Times New Roman" w:cs="Times New Roman"/>
          <w:sz w:val="24"/>
          <w:szCs w:val="24"/>
        </w:rPr>
        <w:t xml:space="preserve"> also be relevant</w:t>
      </w:r>
      <w:r w:rsidR="00402AAC" w:rsidRPr="008374B5">
        <w:rPr>
          <w:rFonts w:ascii="Times New Roman" w:hAnsi="Times New Roman" w:cs="Times New Roman"/>
          <w:sz w:val="24"/>
          <w:szCs w:val="24"/>
        </w:rPr>
        <w:t xml:space="preserve"> </w:t>
      </w:r>
      <w:r w:rsidR="003F641F" w:rsidRPr="008374B5">
        <w:rPr>
          <w:rFonts w:ascii="Times New Roman" w:hAnsi="Times New Roman" w:cs="Times New Roman"/>
          <w:sz w:val="24"/>
          <w:szCs w:val="24"/>
        </w:rPr>
        <w:t>during the earlier stages of life.</w:t>
      </w:r>
    </w:p>
    <w:p w14:paraId="6F81F4E4" w14:textId="7F0498E9" w:rsidR="00600E70" w:rsidRPr="008374B5" w:rsidRDefault="00A0472E" w:rsidP="008374B5">
      <w:pPr>
        <w:spacing w:after="0" w:line="360" w:lineRule="auto"/>
        <w:ind w:firstLine="720"/>
        <w:jc w:val="both"/>
        <w:rPr>
          <w:rFonts w:ascii="Times New Roman" w:hAnsi="Times New Roman" w:cs="Times New Roman"/>
          <w:sz w:val="24"/>
          <w:szCs w:val="24"/>
        </w:rPr>
      </w:pPr>
      <w:r w:rsidRPr="008374B5">
        <w:rPr>
          <w:rFonts w:ascii="Times New Roman" w:hAnsi="Times New Roman" w:cs="Times New Roman"/>
          <w:sz w:val="24"/>
          <w:szCs w:val="24"/>
        </w:rPr>
        <w:t>Altogether, t</w:t>
      </w:r>
      <w:r w:rsidR="00955B6B" w:rsidRPr="008374B5">
        <w:rPr>
          <w:rFonts w:ascii="Times New Roman" w:hAnsi="Times New Roman" w:cs="Times New Roman"/>
          <w:sz w:val="24"/>
          <w:szCs w:val="24"/>
        </w:rPr>
        <w:t xml:space="preserve">hese studies highlight </w:t>
      </w:r>
      <w:r w:rsidR="000C63AD" w:rsidRPr="008374B5">
        <w:rPr>
          <w:rFonts w:ascii="Times New Roman" w:hAnsi="Times New Roman" w:cs="Times New Roman"/>
          <w:sz w:val="24"/>
          <w:szCs w:val="24"/>
        </w:rPr>
        <w:t xml:space="preserve">the </w:t>
      </w:r>
      <w:r w:rsidR="00921425" w:rsidRPr="008374B5">
        <w:rPr>
          <w:rFonts w:ascii="Times New Roman" w:hAnsi="Times New Roman" w:cs="Times New Roman"/>
          <w:sz w:val="24"/>
          <w:szCs w:val="24"/>
        </w:rPr>
        <w:t xml:space="preserve">associations between </w:t>
      </w:r>
      <w:r w:rsidR="00C95E70" w:rsidRPr="008374B5">
        <w:rPr>
          <w:rFonts w:ascii="Times New Roman" w:hAnsi="Times New Roman" w:cs="Times New Roman"/>
          <w:sz w:val="24"/>
          <w:szCs w:val="24"/>
        </w:rPr>
        <w:t xml:space="preserve">temporal </w:t>
      </w:r>
      <w:r w:rsidR="00741B1A" w:rsidRPr="008374B5">
        <w:rPr>
          <w:rFonts w:ascii="Times New Roman" w:hAnsi="Times New Roman" w:cs="Times New Roman"/>
          <w:sz w:val="24"/>
          <w:szCs w:val="24"/>
        </w:rPr>
        <w:t>pattern of energy intake</w:t>
      </w:r>
      <w:r w:rsidR="00955B6B" w:rsidRPr="008374B5">
        <w:rPr>
          <w:rFonts w:ascii="Times New Roman" w:hAnsi="Times New Roman" w:cs="Times New Roman"/>
          <w:sz w:val="24"/>
          <w:szCs w:val="24"/>
        </w:rPr>
        <w:t xml:space="preserve"> </w:t>
      </w:r>
      <w:r w:rsidR="00921425" w:rsidRPr="008374B5">
        <w:rPr>
          <w:rFonts w:ascii="Times New Roman" w:hAnsi="Times New Roman" w:cs="Times New Roman"/>
          <w:sz w:val="24"/>
          <w:szCs w:val="24"/>
        </w:rPr>
        <w:t>and</w:t>
      </w:r>
      <w:r w:rsidR="000B4D5C" w:rsidRPr="008374B5">
        <w:rPr>
          <w:rFonts w:ascii="Times New Roman" w:hAnsi="Times New Roman" w:cs="Times New Roman"/>
          <w:sz w:val="24"/>
          <w:szCs w:val="24"/>
        </w:rPr>
        <w:t xml:space="preserve"> </w:t>
      </w:r>
      <w:r w:rsidR="00741B1A" w:rsidRPr="008374B5">
        <w:rPr>
          <w:rFonts w:ascii="Times New Roman" w:hAnsi="Times New Roman" w:cs="Times New Roman"/>
          <w:sz w:val="24"/>
          <w:szCs w:val="24"/>
        </w:rPr>
        <w:t>metabolic</w:t>
      </w:r>
      <w:r w:rsidR="00546929" w:rsidRPr="008374B5">
        <w:rPr>
          <w:rFonts w:ascii="Times New Roman" w:hAnsi="Times New Roman" w:cs="Times New Roman"/>
          <w:sz w:val="24"/>
          <w:szCs w:val="24"/>
        </w:rPr>
        <w:t xml:space="preserve"> outcomes</w:t>
      </w:r>
      <w:r w:rsidR="00955B6B" w:rsidRPr="008374B5">
        <w:rPr>
          <w:rFonts w:ascii="Times New Roman" w:hAnsi="Times New Roman" w:cs="Times New Roman"/>
          <w:sz w:val="24"/>
          <w:szCs w:val="24"/>
        </w:rPr>
        <w:t xml:space="preserve">. </w:t>
      </w:r>
      <w:r w:rsidR="00D607B1" w:rsidRPr="008374B5">
        <w:rPr>
          <w:rFonts w:ascii="Times New Roman" w:hAnsi="Times New Roman" w:cs="Times New Roman"/>
          <w:sz w:val="24"/>
          <w:szCs w:val="24"/>
        </w:rPr>
        <w:t>S</w:t>
      </w:r>
      <w:r w:rsidR="00BB1777" w:rsidRPr="008374B5">
        <w:rPr>
          <w:rFonts w:ascii="Times New Roman" w:hAnsi="Times New Roman" w:cs="Times New Roman"/>
          <w:sz w:val="24"/>
          <w:szCs w:val="24"/>
        </w:rPr>
        <w:t xml:space="preserve">tudies </w:t>
      </w:r>
      <w:r w:rsidR="00D607B1" w:rsidRPr="008374B5">
        <w:rPr>
          <w:rFonts w:ascii="Times New Roman" w:hAnsi="Times New Roman" w:cs="Times New Roman"/>
          <w:sz w:val="24"/>
          <w:szCs w:val="24"/>
        </w:rPr>
        <w:t>exploring</w:t>
      </w:r>
      <w:r w:rsidR="00BB1777" w:rsidRPr="008374B5">
        <w:rPr>
          <w:rFonts w:ascii="Times New Roman" w:hAnsi="Times New Roman" w:cs="Times New Roman"/>
          <w:sz w:val="24"/>
          <w:szCs w:val="24"/>
        </w:rPr>
        <w:t xml:space="preserve"> eating </w:t>
      </w:r>
      <w:r w:rsidR="00BB1777" w:rsidRPr="008374B5">
        <w:rPr>
          <w:rFonts w:ascii="Times New Roman" w:hAnsi="Times New Roman" w:cs="Times New Roman"/>
          <w:sz w:val="24"/>
          <w:szCs w:val="24"/>
          <w:lang w:val="en-GB"/>
        </w:rPr>
        <w:t>behaviors</w:t>
      </w:r>
      <w:r w:rsidR="00BB1777" w:rsidRPr="008374B5">
        <w:rPr>
          <w:rFonts w:ascii="Times New Roman" w:hAnsi="Times New Roman" w:cs="Times New Roman"/>
          <w:sz w:val="24"/>
          <w:szCs w:val="24"/>
        </w:rPr>
        <w:t xml:space="preserve"> </w:t>
      </w:r>
      <w:r w:rsidR="00E946F4" w:rsidRPr="008374B5">
        <w:rPr>
          <w:rFonts w:ascii="Times New Roman" w:hAnsi="Times New Roman" w:cs="Times New Roman"/>
          <w:sz w:val="24"/>
          <w:szCs w:val="24"/>
        </w:rPr>
        <w:t xml:space="preserve">and patterns </w:t>
      </w:r>
      <w:r w:rsidR="00BB1777" w:rsidRPr="008374B5">
        <w:rPr>
          <w:rFonts w:ascii="Times New Roman" w:hAnsi="Times New Roman" w:cs="Times New Roman"/>
          <w:sz w:val="24"/>
          <w:szCs w:val="24"/>
        </w:rPr>
        <w:t>in you</w:t>
      </w:r>
      <w:r w:rsidR="00E946F4" w:rsidRPr="008374B5">
        <w:rPr>
          <w:rFonts w:ascii="Times New Roman" w:hAnsi="Times New Roman" w:cs="Times New Roman"/>
          <w:sz w:val="24"/>
          <w:szCs w:val="24"/>
        </w:rPr>
        <w:t xml:space="preserve">ng children and adolescents </w:t>
      </w:r>
      <w:r w:rsidR="00D607B1" w:rsidRPr="008374B5">
        <w:rPr>
          <w:rFonts w:ascii="Times New Roman" w:hAnsi="Times New Roman" w:cs="Times New Roman"/>
          <w:sz w:val="24"/>
          <w:szCs w:val="24"/>
        </w:rPr>
        <w:t xml:space="preserve">are limited; those that </w:t>
      </w:r>
      <w:r w:rsidR="00412043" w:rsidRPr="008374B5">
        <w:rPr>
          <w:rFonts w:ascii="Times New Roman" w:hAnsi="Times New Roman" w:cs="Times New Roman"/>
          <w:sz w:val="24"/>
          <w:szCs w:val="24"/>
        </w:rPr>
        <w:t xml:space="preserve">investigated </w:t>
      </w:r>
      <w:r w:rsidR="00D607B1" w:rsidRPr="008374B5">
        <w:rPr>
          <w:rFonts w:ascii="Times New Roman" w:hAnsi="Times New Roman" w:cs="Times New Roman"/>
          <w:sz w:val="24"/>
          <w:szCs w:val="24"/>
        </w:rPr>
        <w:t>the temporal aspect of feeding</w:t>
      </w:r>
      <w:r w:rsidR="00342485" w:rsidRPr="008374B5">
        <w:rPr>
          <w:rFonts w:ascii="Times New Roman" w:hAnsi="Times New Roman" w:cs="Times New Roman"/>
          <w:sz w:val="24"/>
          <w:szCs w:val="24"/>
        </w:rPr>
        <w:t xml:space="preserve"> looked </w:t>
      </w:r>
      <w:r w:rsidR="00412043" w:rsidRPr="008374B5">
        <w:rPr>
          <w:rFonts w:ascii="Times New Roman" w:hAnsi="Times New Roman" w:cs="Times New Roman"/>
          <w:sz w:val="24"/>
          <w:szCs w:val="24"/>
        </w:rPr>
        <w:t xml:space="preserve">only at </w:t>
      </w:r>
      <w:r w:rsidR="00BB1777" w:rsidRPr="008374B5">
        <w:rPr>
          <w:rFonts w:ascii="Times New Roman" w:hAnsi="Times New Roman" w:cs="Times New Roman"/>
          <w:sz w:val="24"/>
          <w:szCs w:val="24"/>
        </w:rPr>
        <w:t xml:space="preserve">single meal </w:t>
      </w:r>
      <w:r w:rsidR="004C70FF" w:rsidRPr="008374B5">
        <w:rPr>
          <w:rFonts w:ascii="Times New Roman" w:hAnsi="Times New Roman" w:cs="Times New Roman"/>
          <w:sz w:val="24"/>
          <w:szCs w:val="24"/>
        </w:rPr>
        <w:t>behaviour</w:t>
      </w:r>
      <w:r w:rsidR="00342485" w:rsidRPr="008374B5">
        <w:rPr>
          <w:rFonts w:ascii="Times New Roman" w:hAnsi="Times New Roman" w:cs="Times New Roman"/>
          <w:sz w:val="24"/>
          <w:szCs w:val="24"/>
        </w:rPr>
        <w:t>s</w:t>
      </w:r>
      <w:r w:rsidR="002548CA"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"10.1016/j.ypmed.2011.08.030", "ISBN" : "17564646", "ISSN" : "00917435", "PMID" : "21925535", "abstract" : "Objective: In Western countries, skipping breakfast is associated with a high prevalence of overweight and obesity. This meta-analysis aimed to determine if the same relationship exists in Asian and Pacific regions. Methods: A systematic literature search was performed for observational studies using a cross-sectional design that examined the relationship between frequency of eating breakfast and overweight or obesity. Odds ratios (ORs) for overweight or obesity were pooled with a variance-based method. Results: Nineteen studies (93,108 total participants and 19,270 overweight or obese cases) were included. The pooled OR [95% confidence intervals (CI)] of overweight or obesity for the lowest vs. highest category of breakfast frequency was 1.75 [1.57 to 1.95] (P&lt; 0.001). Between-study heterogeneity in the association's strength was highly significant (I-squared = 36.4%, P&lt; 0.001), although a positive OR was shown in all but one included study. However, no study characteristics could be identified to explain the heterogeneity. Conclusion: This meta-analysis suggests that a positive association between skipping breakfast and overweight and obesity is globally observed regardless of cultural diversity among countries. Promoting the eating of breakfast in all populations may be beneficial. ?? 2011 Elsevier Inc.", "author" : [ { "dropping-particle" : "", "family" : "Horikawa", "given" : "Chika", "non-dropping-particle" : "", "parse-names" : false, "suffix" : "" }, { "dropping-particle" : "", "family" : "Kodama", "given" : "Satoru", "non-dropping-particle" : "", "parse-names" : false, "suffix" : "" }, { "dropping-particle" : "", "family" : "Yachi", "given" : "Yoko", "non-dropping-particle" : "", "parse-names" : false, "suffix" : "" }, { "dropping-particle" : "", "family" : "Heianza", "given" : "Yoriko", "non-dropping-particle" : "", "parse-names" : false, "suffix" : "" }, { "dropping-particle" : "", "family" : "Hirasawa", "given" : "Reiko", "non-dropping-particle" : "", "parse-names" : false, "suffix" : "" }, { "dropping-particle" : "", "family" : "Ibe", "given" : "Yoko", "non-dropping-particle" : "", "parse-names" : false, "suffix" : "" }, { "dropping-particle" : "", "family" : "Saito", "given" : "Kazumi", "non-dropping-particle" : "", "parse-names" : false, "suffix" : "" }, { "dropping-particle" : "", "family" : "Shimano", "given" : "Hitoshi", "non-dropping-particle" : "", "parse-names" : false, "suffix" : "" }, { "dropping-particle" : "", "family" : "Yamada", "given" : "Nobuhiro", "non-dropping-particle" : "", "parse-names" : false, "suffix" : "" }, { "dropping-particle" : "", "family" : "Sone", "given" : "Hirohito", "non-dropping-particle" : "", "parse-names" : false, "suffix" : "" } ], "container-title" : "Preventive Medicine", "id" : "ITEM-1", "issue" : "4-5", "issued" : { "date-parts" : [ [ "2011" ] ] }, "page" : "260-267", "publisher" : "Elsevier Inc.", "title" : "Skipping breakfast and prevalence of overweight and obesity in Asian and Pacific regions: A meta-analysis", "type" : "article-journal", "volume" : "53" }, "uris" : [ "http://www.mendeley.com/documents/?uuid=ed359a53-1328-4a76-8e65-27d876e8ba8e" ] }, { "id" : "ITEM-2", "itemData" : { "DOI" : "10.1080/10408390903467514", "ISBN" : "4989516028", "ISSN" : "1040-8398", "PMID" : "20112153", "abstract" : "Skipping breakfast is common among children and adolescents. However, there is uncertainty regarding whether breakfast consumption contributes to or protects against overweight or obesity. We aimed to review the evidence on the effects of breakfast consumption on body weight outcomes in children and adolescents in Europe. The Cochrane Library, MEDLINE, and EMBASE were searched in January 2009. We identified 16 studies. All were cross-sectional or cohort trials involving more than 59,000 children/adolescents from Europe. Thirteen studies (n = 57,481) consistently showed that breakfast has a protective effect against becoming overweight or obese. One trial (n = 886) showed that this effect was significant only for boys. The effect of eating breakfast on the body mass index (BMI) was analyzed in 4 studies (n = 2897). All of these studies showed an increase in BMI in breakfast skippers. In one study (n = 1245), this effect was significant only for boys. The results of this analysis suggest that eating breakfast is associated with a reduced risk of becoming overweight or obese and a reduction in the BMI in children and adolescents in Europe. However, almost all of the data in this review were gathered from observational studies, thus, causality should not be assumed based on these findings.", "author" : [ { "dropping-particle" : "", "family" : "Szajewska", "given" : "Hania", "non-dropping-particle" : "", "parse-names" : false, "suffix" : "" }, { "dropping-particle" : "", "family" : "Ruszczynski", "given" : "Marek", "non-dropping-particle" : "", "parse-names" : false, "suffix" : "" } ], "container-title" : "Critical reviews in food science and nutrition", "id" : "ITEM-2", "issue" : "2", "issued" : { "date-parts" : [ [ "2010" ] ] }, "page" : "113-119", "title" : "Systematic review demonstrating that breakfast consumption influences body weight outcomes in children and adolescents in Europe.", "type" : "article-journal", "volume" : "50" }, "uris" : [ "http://www.mendeley.com/documents/?uuid=8e772392-89a9-43bc-92f0-cbe7dcdb952e" ] } ], "mendeley" : { "formattedCitation" : "&lt;sup&gt;21,23&lt;/sup&gt;", "plainTextFormattedCitation" : "21,23", "previouslyFormattedCitation" : "&lt;sup&gt;21,23&lt;/sup&gt;" }, "properties" : { "noteIndex" : 0 }, "schema" : "https://github.com/citation-style-language/schema/raw/master/csl-citation.json" }</w:instrText>
      </w:r>
      <w:r w:rsidR="002548CA"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21,23</w:t>
      </w:r>
      <w:r w:rsidR="002548CA" w:rsidRPr="008374B5">
        <w:rPr>
          <w:rFonts w:ascii="Times New Roman" w:hAnsi="Times New Roman" w:cs="Times New Roman"/>
          <w:sz w:val="24"/>
          <w:szCs w:val="24"/>
        </w:rPr>
        <w:fldChar w:fldCharType="end"/>
      </w:r>
      <w:r w:rsidR="004C70FF" w:rsidRPr="008374B5">
        <w:rPr>
          <w:rFonts w:ascii="Times New Roman" w:hAnsi="Times New Roman" w:cs="Times New Roman"/>
          <w:sz w:val="24"/>
          <w:szCs w:val="24"/>
        </w:rPr>
        <w:t xml:space="preserve"> </w:t>
      </w:r>
      <w:r w:rsidR="00BB1777" w:rsidRPr="008374B5">
        <w:rPr>
          <w:rFonts w:ascii="Times New Roman" w:hAnsi="Times New Roman" w:cs="Times New Roman"/>
          <w:sz w:val="24"/>
          <w:szCs w:val="24"/>
        </w:rPr>
        <w:t xml:space="preserve">instead of adopting a more holistic approach by </w:t>
      </w:r>
      <w:r w:rsidR="00412043" w:rsidRPr="008374B5">
        <w:rPr>
          <w:rFonts w:ascii="Times New Roman" w:hAnsi="Times New Roman" w:cs="Times New Roman"/>
          <w:sz w:val="24"/>
          <w:szCs w:val="24"/>
        </w:rPr>
        <w:t>considering</w:t>
      </w:r>
      <w:r w:rsidR="00342485" w:rsidRPr="008374B5">
        <w:rPr>
          <w:rFonts w:ascii="Times New Roman" w:hAnsi="Times New Roman" w:cs="Times New Roman"/>
          <w:sz w:val="24"/>
          <w:szCs w:val="24"/>
        </w:rPr>
        <w:t xml:space="preserve"> </w:t>
      </w:r>
      <w:r w:rsidR="00B044B6" w:rsidRPr="008374B5">
        <w:rPr>
          <w:rFonts w:ascii="Times New Roman" w:hAnsi="Times New Roman" w:cs="Times New Roman"/>
          <w:sz w:val="24"/>
          <w:szCs w:val="24"/>
        </w:rPr>
        <w:t xml:space="preserve">the </w:t>
      </w:r>
      <w:r w:rsidR="00432252" w:rsidRPr="008374B5">
        <w:rPr>
          <w:rFonts w:ascii="Times New Roman" w:hAnsi="Times New Roman" w:cs="Times New Roman"/>
          <w:sz w:val="24"/>
          <w:szCs w:val="24"/>
        </w:rPr>
        <w:t>temporal pattern</w:t>
      </w:r>
      <w:r w:rsidR="00A257DD" w:rsidRPr="008374B5">
        <w:rPr>
          <w:rFonts w:ascii="Times New Roman" w:hAnsi="Times New Roman" w:cs="Times New Roman"/>
          <w:sz w:val="24"/>
          <w:szCs w:val="24"/>
        </w:rPr>
        <w:t xml:space="preserve"> of energy intake across 24</w:t>
      </w:r>
      <w:r w:rsidR="000B1D17" w:rsidRPr="008374B5">
        <w:rPr>
          <w:rFonts w:ascii="Times New Roman" w:hAnsi="Times New Roman" w:cs="Times New Roman"/>
          <w:sz w:val="24"/>
          <w:szCs w:val="24"/>
        </w:rPr>
        <w:t>-</w:t>
      </w:r>
      <w:r w:rsidR="00A257DD" w:rsidRPr="008374B5">
        <w:rPr>
          <w:rFonts w:ascii="Times New Roman" w:hAnsi="Times New Roman" w:cs="Times New Roman"/>
          <w:sz w:val="24"/>
          <w:szCs w:val="24"/>
        </w:rPr>
        <w:t>h</w:t>
      </w:r>
      <w:r w:rsidR="00C11CE8" w:rsidRPr="008374B5">
        <w:rPr>
          <w:rFonts w:ascii="Times New Roman" w:hAnsi="Times New Roman" w:cs="Times New Roman"/>
          <w:sz w:val="24"/>
          <w:szCs w:val="24"/>
        </w:rPr>
        <w:t>our</w:t>
      </w:r>
      <w:r w:rsidR="006A2B36" w:rsidRPr="008374B5">
        <w:rPr>
          <w:rFonts w:ascii="Times New Roman" w:hAnsi="Times New Roman" w:cs="Times New Roman"/>
          <w:sz w:val="24"/>
          <w:szCs w:val="24"/>
        </w:rPr>
        <w:t>.</w:t>
      </w:r>
      <w:r w:rsidR="00A257DD" w:rsidRPr="008374B5">
        <w:rPr>
          <w:rFonts w:ascii="Times New Roman" w:hAnsi="Times New Roman" w:cs="Times New Roman"/>
          <w:sz w:val="24"/>
          <w:szCs w:val="24"/>
        </w:rPr>
        <w:t xml:space="preserve"> </w:t>
      </w:r>
      <w:r w:rsidR="00956416" w:rsidRPr="008374B5">
        <w:rPr>
          <w:rFonts w:ascii="Times New Roman" w:hAnsi="Times New Roman" w:cs="Times New Roman"/>
          <w:sz w:val="24"/>
          <w:szCs w:val="24"/>
        </w:rPr>
        <w:t>In this study, we used data from a prospective cohort consisting of multi</w:t>
      </w:r>
      <w:r w:rsidR="000B1D17" w:rsidRPr="008374B5">
        <w:rPr>
          <w:rFonts w:ascii="Times New Roman" w:hAnsi="Times New Roman" w:cs="Times New Roman"/>
          <w:sz w:val="24"/>
          <w:szCs w:val="24"/>
        </w:rPr>
        <w:t>-</w:t>
      </w:r>
      <w:r w:rsidR="00956416" w:rsidRPr="008374B5">
        <w:rPr>
          <w:rFonts w:ascii="Times New Roman" w:hAnsi="Times New Roman" w:cs="Times New Roman"/>
          <w:sz w:val="24"/>
          <w:szCs w:val="24"/>
        </w:rPr>
        <w:t xml:space="preserve">ethnic Asian infants </w:t>
      </w:r>
      <w:r w:rsidR="00AC54CE" w:rsidRPr="008374B5">
        <w:rPr>
          <w:rFonts w:ascii="Times New Roman" w:hAnsi="Times New Roman" w:cs="Times New Roman"/>
          <w:sz w:val="24"/>
          <w:szCs w:val="24"/>
        </w:rPr>
        <w:t>from Singapore</w:t>
      </w:r>
      <w:r w:rsidR="00956416" w:rsidRPr="008374B5">
        <w:rPr>
          <w:rFonts w:ascii="Times New Roman" w:hAnsi="Times New Roman" w:cs="Times New Roman"/>
          <w:sz w:val="24"/>
          <w:szCs w:val="24"/>
        </w:rPr>
        <w:t xml:space="preserve">, the </w:t>
      </w:r>
      <w:r w:rsidR="00956416" w:rsidRPr="008374B5">
        <w:rPr>
          <w:rFonts w:ascii="Times New Roman" w:hAnsi="Times New Roman" w:cs="Times New Roman"/>
          <w:color w:val="000000"/>
          <w:sz w:val="24"/>
          <w:szCs w:val="24"/>
        </w:rPr>
        <w:t xml:space="preserve">Growing Up in Singapore Towards healthy Outcomes (GUSTO) study, </w:t>
      </w:r>
      <w:r w:rsidR="0001330B" w:rsidRPr="008374B5">
        <w:rPr>
          <w:rFonts w:ascii="Times New Roman" w:hAnsi="Times New Roman" w:cs="Times New Roman"/>
          <w:sz w:val="24"/>
          <w:szCs w:val="24"/>
        </w:rPr>
        <w:t xml:space="preserve">to describe the </w:t>
      </w:r>
      <w:r w:rsidR="00A711DA" w:rsidRPr="008374B5">
        <w:rPr>
          <w:rFonts w:ascii="Times New Roman" w:hAnsi="Times New Roman" w:cs="Times New Roman"/>
          <w:sz w:val="24"/>
          <w:szCs w:val="24"/>
        </w:rPr>
        <w:t xml:space="preserve">circadian </w:t>
      </w:r>
      <w:r w:rsidR="0001330B" w:rsidRPr="008374B5">
        <w:rPr>
          <w:rFonts w:ascii="Times New Roman" w:hAnsi="Times New Roman" w:cs="Times New Roman"/>
          <w:sz w:val="24"/>
          <w:szCs w:val="24"/>
        </w:rPr>
        <w:t xml:space="preserve">feeding pattern </w:t>
      </w:r>
      <w:r w:rsidR="00381D47" w:rsidRPr="008374B5">
        <w:rPr>
          <w:rFonts w:ascii="Times New Roman" w:hAnsi="Times New Roman" w:cs="Times New Roman"/>
          <w:sz w:val="24"/>
          <w:szCs w:val="24"/>
        </w:rPr>
        <w:t>of</w:t>
      </w:r>
      <w:r w:rsidR="00830FE3" w:rsidRPr="008374B5">
        <w:rPr>
          <w:rFonts w:ascii="Times New Roman" w:hAnsi="Times New Roman" w:cs="Times New Roman"/>
          <w:sz w:val="24"/>
          <w:szCs w:val="24"/>
        </w:rPr>
        <w:t xml:space="preserve"> 12</w:t>
      </w:r>
      <w:r w:rsidR="000B1D17" w:rsidRPr="008374B5">
        <w:rPr>
          <w:rFonts w:ascii="Times New Roman" w:hAnsi="Times New Roman" w:cs="Times New Roman"/>
          <w:sz w:val="24"/>
          <w:szCs w:val="24"/>
        </w:rPr>
        <w:t>-</w:t>
      </w:r>
      <w:r w:rsidR="00830FE3" w:rsidRPr="008374B5">
        <w:rPr>
          <w:rFonts w:ascii="Times New Roman" w:hAnsi="Times New Roman" w:cs="Times New Roman"/>
          <w:sz w:val="24"/>
          <w:szCs w:val="24"/>
        </w:rPr>
        <w:t>month</w:t>
      </w:r>
      <w:r w:rsidR="000B1D17" w:rsidRPr="008374B5">
        <w:rPr>
          <w:rFonts w:ascii="Times New Roman" w:hAnsi="Times New Roman" w:cs="Times New Roman"/>
          <w:sz w:val="24"/>
          <w:szCs w:val="24"/>
        </w:rPr>
        <w:t>-</w:t>
      </w:r>
      <w:r w:rsidR="00830FE3" w:rsidRPr="008374B5">
        <w:rPr>
          <w:rFonts w:ascii="Times New Roman" w:hAnsi="Times New Roman" w:cs="Times New Roman"/>
          <w:sz w:val="24"/>
          <w:szCs w:val="24"/>
        </w:rPr>
        <w:t>old infants</w:t>
      </w:r>
      <w:r w:rsidR="0001330B" w:rsidRPr="008374B5">
        <w:rPr>
          <w:rFonts w:ascii="Times New Roman" w:hAnsi="Times New Roman" w:cs="Times New Roman"/>
          <w:sz w:val="24"/>
          <w:szCs w:val="24"/>
        </w:rPr>
        <w:t xml:space="preserve"> </w:t>
      </w:r>
      <w:r w:rsidR="004B793D" w:rsidRPr="008374B5">
        <w:rPr>
          <w:rFonts w:ascii="Times New Roman" w:hAnsi="Times New Roman" w:cs="Times New Roman"/>
          <w:sz w:val="24"/>
          <w:szCs w:val="24"/>
        </w:rPr>
        <w:t xml:space="preserve">and </w:t>
      </w:r>
      <w:r w:rsidR="0001330B" w:rsidRPr="008374B5">
        <w:rPr>
          <w:rFonts w:ascii="Times New Roman" w:hAnsi="Times New Roman" w:cs="Times New Roman"/>
          <w:sz w:val="24"/>
          <w:szCs w:val="24"/>
        </w:rPr>
        <w:t>associat</w:t>
      </w:r>
      <w:r w:rsidR="004B793D" w:rsidRPr="008374B5">
        <w:rPr>
          <w:rFonts w:ascii="Times New Roman" w:hAnsi="Times New Roman" w:cs="Times New Roman"/>
          <w:sz w:val="24"/>
          <w:szCs w:val="24"/>
        </w:rPr>
        <w:t>e the</w:t>
      </w:r>
      <w:r w:rsidR="00381D47" w:rsidRPr="008374B5">
        <w:rPr>
          <w:rFonts w:ascii="Times New Roman" w:hAnsi="Times New Roman" w:cs="Times New Roman"/>
          <w:sz w:val="24"/>
          <w:szCs w:val="24"/>
        </w:rPr>
        <w:t>ir temporal</w:t>
      </w:r>
      <w:r w:rsidR="004B793D" w:rsidRPr="008374B5">
        <w:rPr>
          <w:rFonts w:ascii="Times New Roman" w:hAnsi="Times New Roman" w:cs="Times New Roman"/>
          <w:sz w:val="24"/>
          <w:szCs w:val="24"/>
        </w:rPr>
        <w:t xml:space="preserve"> feeding p</w:t>
      </w:r>
      <w:r w:rsidR="00E946F4" w:rsidRPr="008374B5">
        <w:rPr>
          <w:rFonts w:ascii="Times New Roman" w:hAnsi="Times New Roman" w:cs="Times New Roman"/>
          <w:sz w:val="24"/>
          <w:szCs w:val="24"/>
        </w:rPr>
        <w:t>attern</w:t>
      </w:r>
      <w:r w:rsidR="004B793D" w:rsidRPr="008374B5">
        <w:rPr>
          <w:rFonts w:ascii="Times New Roman" w:hAnsi="Times New Roman" w:cs="Times New Roman"/>
          <w:sz w:val="24"/>
          <w:szCs w:val="24"/>
        </w:rPr>
        <w:t xml:space="preserve"> with</w:t>
      </w:r>
      <w:r w:rsidR="0001330B" w:rsidRPr="008374B5">
        <w:rPr>
          <w:rFonts w:ascii="Times New Roman" w:hAnsi="Times New Roman" w:cs="Times New Roman"/>
          <w:sz w:val="24"/>
          <w:szCs w:val="24"/>
        </w:rPr>
        <w:t xml:space="preserve"> maternal and infant characterist</w:t>
      </w:r>
      <w:r w:rsidR="00600E70" w:rsidRPr="008374B5">
        <w:rPr>
          <w:rFonts w:ascii="Times New Roman" w:hAnsi="Times New Roman" w:cs="Times New Roman"/>
          <w:sz w:val="24"/>
          <w:szCs w:val="24"/>
        </w:rPr>
        <w:t>ics.</w:t>
      </w:r>
      <w:r w:rsidR="00600E70" w:rsidRPr="008374B5">
        <w:rPr>
          <w:rFonts w:ascii="Times New Roman" w:hAnsi="Times New Roman" w:cs="Times New Roman"/>
          <w:sz w:val="24"/>
          <w:szCs w:val="24"/>
        </w:rPr>
        <w:br w:type="page"/>
      </w:r>
    </w:p>
    <w:p w14:paraId="689C829B" w14:textId="4782DE88" w:rsidR="009B6A41" w:rsidRPr="008374B5" w:rsidRDefault="00B6542C" w:rsidP="008374B5">
      <w:pPr>
        <w:spacing w:after="0" w:line="360" w:lineRule="auto"/>
        <w:rPr>
          <w:rFonts w:ascii="Times New Roman" w:hAnsi="Times New Roman" w:cs="Times New Roman"/>
          <w:b/>
          <w:sz w:val="24"/>
          <w:szCs w:val="24"/>
        </w:rPr>
      </w:pPr>
      <w:r w:rsidRPr="008374B5">
        <w:rPr>
          <w:rFonts w:ascii="Times New Roman" w:hAnsi="Times New Roman" w:cs="Times New Roman"/>
          <w:b/>
          <w:sz w:val="24"/>
          <w:szCs w:val="24"/>
        </w:rPr>
        <w:lastRenderedPageBreak/>
        <w:t>M</w:t>
      </w:r>
      <w:r w:rsidR="003D239B" w:rsidRPr="008374B5">
        <w:rPr>
          <w:rFonts w:ascii="Times New Roman" w:hAnsi="Times New Roman" w:cs="Times New Roman"/>
          <w:b/>
          <w:sz w:val="24"/>
          <w:szCs w:val="24"/>
        </w:rPr>
        <w:t>ethods</w:t>
      </w:r>
    </w:p>
    <w:p w14:paraId="574B5D82" w14:textId="77777777" w:rsidR="003D239B" w:rsidRPr="008374B5" w:rsidRDefault="003D239B" w:rsidP="008374B5">
      <w:pPr>
        <w:spacing w:after="0" w:line="360" w:lineRule="auto"/>
        <w:rPr>
          <w:rFonts w:ascii="Times New Roman" w:hAnsi="Times New Roman" w:cs="Times New Roman"/>
          <w:i/>
          <w:sz w:val="24"/>
          <w:szCs w:val="24"/>
        </w:rPr>
      </w:pPr>
      <w:r w:rsidRPr="008374B5">
        <w:rPr>
          <w:rFonts w:ascii="Times New Roman" w:hAnsi="Times New Roman" w:cs="Times New Roman"/>
          <w:i/>
          <w:sz w:val="24"/>
          <w:szCs w:val="24"/>
        </w:rPr>
        <w:t>Study design and participants</w:t>
      </w:r>
    </w:p>
    <w:p w14:paraId="2A2253AB" w14:textId="21FD28B9" w:rsidR="00C8160D" w:rsidRPr="008374B5" w:rsidRDefault="003D239B" w:rsidP="008374B5">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rPr>
        <w:t xml:space="preserve">Data were obtained from </w:t>
      </w:r>
      <w:r w:rsidR="00E477AF" w:rsidRPr="008374B5">
        <w:rPr>
          <w:rFonts w:ascii="Times New Roman" w:hAnsi="Times New Roman" w:cs="Times New Roman"/>
          <w:sz w:val="24"/>
          <w:szCs w:val="24"/>
        </w:rPr>
        <w:t xml:space="preserve">the GUSTO (Growing Up in Singapore Towards healthy Outcomes) cohort. </w:t>
      </w:r>
      <w:r w:rsidR="00AD146F" w:rsidRPr="008374B5">
        <w:rPr>
          <w:rFonts w:ascii="Times New Roman" w:hAnsi="Times New Roman" w:cs="Times New Roman"/>
          <w:sz w:val="24"/>
          <w:szCs w:val="24"/>
        </w:rPr>
        <w:t>The detail</w:t>
      </w:r>
      <w:r w:rsidR="00B163DA" w:rsidRPr="008374B5">
        <w:rPr>
          <w:rFonts w:ascii="Times New Roman" w:hAnsi="Times New Roman" w:cs="Times New Roman"/>
          <w:sz w:val="24"/>
          <w:szCs w:val="24"/>
        </w:rPr>
        <w:t>s of the study methodology have</w:t>
      </w:r>
      <w:r w:rsidR="00AD146F" w:rsidRPr="008374B5">
        <w:rPr>
          <w:rFonts w:ascii="Times New Roman" w:hAnsi="Times New Roman" w:cs="Times New Roman"/>
          <w:sz w:val="24"/>
          <w:szCs w:val="24"/>
        </w:rPr>
        <w:t xml:space="preserve"> been described elsewhere</w:t>
      </w:r>
      <w:r w:rsidR="0079122B"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"10.1093/ije/dyt125", "ISSN" : "1464-3685", "PMID" : "23912809", "author" : [ { "dropping-particle" : "", "family" : "Soh", "given" : "Shu-E", "non-dropping-particle" : "", "parse-names" : false, "suffix" : "" }, { "dropping-particle" : "", "family" : "Tint", "given" : "Mya Thway", "non-dropping-particle" : "", "parse-names" : false, "suffix" : "" }, { "dropping-particle" : "", "family" : "Gluckman", "given" : "Peter D", "non-dropping-particle" : "", "parse-names" : false, "suffix" : "" }, { "dropping-particle" : "", "family" : "Godfrey", "given" : "Keith M", "non-dropping-particle" : "", "parse-names" : false, "suffix" : "" }, { "dropping-particle" : "", "family" : "Rifkin-Graboi", "given" : "Anne", "non-dropping-particle" : "", "parse-names" : false, "suffix" : "" }, { "dropping-particle" : "", "family" : "Chan", "given" : "Yiong Huak", "non-dropping-particle" : "", "parse-names" : false, "suffix" : "" }, { "dropping-particle" : "", "family" : "St\u00fcnkel", "given" : "Walter", "non-dropping-particle" : "", "parse-names" : false, "suffix" : "" }, { "dropping-particle" : "", "family" : "Holbrook", "given" : "Joanna D", "non-dropping-particle" : "", "parse-names" : false, "suffix" : "" }, { "dropping-particle" : "", "family" : "Kwek", "given" : "Kenneth", "non-dropping-particle" : "", "parse-names" : false, "suffix" : "" }, { "dropping-particle" : "", "family" : "Chong", "given" : "Yap-Seng", "non-dropping-particle" : "", "parse-names" : false, "suffix" : "" }, { "dropping-particle" : "", "family" : "Saw", "given" : "Seang Mei", "non-dropping-particle" : "", "parse-names" : false, "suffix" : "" } ], "container-title" : "International journal of epidemiology", "id" : "ITEM-1", "issued" : { "date-parts" : [ [ "2014" ] ] }, "page" : "1401-9", "title" : "Cohort Profile: Growing Up in Singapore Towards healthy Outcomes (GUSTO) birth cohort study.", "type" : "article-journal", "volume" : "43" }, "uris" : [ "http://www.mendeley.com/documents/?uuid=f8fdb1f9-b136-4731-87a8-6d81ab24ccb7" ] } ], "mendeley" : { "formattedCitation" : "&lt;sup&gt;24&lt;/sup&gt;", "plainTextFormattedCitation" : "24", "previouslyFormattedCitation" : "&lt;sup&gt;24&lt;/sup&gt;" }, "properties" : { "noteIndex" : 0 }, "schema" : "https://github.com/citation-style-language/schema/raw/master/csl-citation.json" }</w:instrText>
      </w:r>
      <w:r w:rsidR="0079122B"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24</w:t>
      </w:r>
      <w:r w:rsidR="0079122B" w:rsidRPr="008374B5">
        <w:rPr>
          <w:rFonts w:ascii="Times New Roman" w:hAnsi="Times New Roman" w:cs="Times New Roman"/>
          <w:sz w:val="24"/>
          <w:szCs w:val="24"/>
        </w:rPr>
        <w:fldChar w:fldCharType="end"/>
      </w:r>
      <w:r w:rsidR="00AD146F" w:rsidRPr="008374B5">
        <w:rPr>
          <w:rFonts w:ascii="Times New Roman" w:hAnsi="Times New Roman" w:cs="Times New Roman"/>
          <w:sz w:val="24"/>
          <w:szCs w:val="24"/>
        </w:rPr>
        <w:t xml:space="preserve">. Briefly, a total of </w:t>
      </w:r>
      <w:r w:rsidR="00E477AF" w:rsidRPr="008374B5">
        <w:rPr>
          <w:rFonts w:ascii="Times New Roman" w:hAnsi="Times New Roman" w:cs="Times New Roman"/>
          <w:sz w:val="24"/>
          <w:szCs w:val="24"/>
        </w:rPr>
        <w:t xml:space="preserve">1237 </w:t>
      </w:r>
      <w:r w:rsidR="00360E17" w:rsidRPr="008374B5">
        <w:rPr>
          <w:rFonts w:ascii="Times New Roman" w:hAnsi="Times New Roman" w:cs="Times New Roman"/>
          <w:sz w:val="24"/>
          <w:szCs w:val="24"/>
        </w:rPr>
        <w:t xml:space="preserve">singleton </w:t>
      </w:r>
      <w:r w:rsidR="00E477AF" w:rsidRPr="008374B5">
        <w:rPr>
          <w:rFonts w:ascii="Times New Roman" w:hAnsi="Times New Roman" w:cs="Times New Roman"/>
          <w:sz w:val="24"/>
          <w:szCs w:val="24"/>
        </w:rPr>
        <w:t xml:space="preserve">pregnant women aged </w:t>
      </w:r>
      <w:r w:rsidR="00360E17" w:rsidRPr="008374B5">
        <w:rPr>
          <w:rFonts w:ascii="Times New Roman" w:hAnsi="Times New Roman" w:cs="Times New Roman"/>
          <w:sz w:val="24"/>
          <w:szCs w:val="24"/>
        </w:rPr>
        <w:t>18 years and above</w:t>
      </w:r>
      <w:r w:rsidR="00E477AF" w:rsidRPr="008374B5">
        <w:rPr>
          <w:rFonts w:ascii="Times New Roman" w:hAnsi="Times New Roman" w:cs="Times New Roman"/>
          <w:sz w:val="24"/>
          <w:szCs w:val="24"/>
        </w:rPr>
        <w:t xml:space="preserve"> were recruited </w:t>
      </w:r>
      <w:r w:rsidR="00360E17" w:rsidRPr="008374B5">
        <w:rPr>
          <w:rFonts w:ascii="Times New Roman" w:hAnsi="Times New Roman" w:cs="Times New Roman"/>
          <w:sz w:val="24"/>
          <w:szCs w:val="24"/>
        </w:rPr>
        <w:t>in the</w:t>
      </w:r>
      <w:r w:rsidR="00090992" w:rsidRPr="008374B5">
        <w:rPr>
          <w:rFonts w:ascii="Times New Roman" w:hAnsi="Times New Roman" w:cs="Times New Roman"/>
          <w:sz w:val="24"/>
          <w:szCs w:val="24"/>
        </w:rPr>
        <w:t>ir</w:t>
      </w:r>
      <w:r w:rsidR="00360E17" w:rsidRPr="008374B5">
        <w:rPr>
          <w:rFonts w:ascii="Times New Roman" w:hAnsi="Times New Roman" w:cs="Times New Roman"/>
          <w:sz w:val="24"/>
          <w:szCs w:val="24"/>
        </w:rPr>
        <w:t xml:space="preserve"> first trimester</w:t>
      </w:r>
      <w:r w:rsidR="00A03AE4" w:rsidRPr="008374B5">
        <w:rPr>
          <w:rFonts w:ascii="Times New Roman" w:hAnsi="Times New Roman" w:cs="Times New Roman"/>
          <w:sz w:val="24"/>
          <w:szCs w:val="24"/>
        </w:rPr>
        <w:t xml:space="preserve"> (≤14 w</w:t>
      </w:r>
      <w:r w:rsidR="00AD146F" w:rsidRPr="008374B5">
        <w:rPr>
          <w:rFonts w:ascii="Times New Roman" w:hAnsi="Times New Roman" w:cs="Times New Roman"/>
          <w:sz w:val="24"/>
          <w:szCs w:val="24"/>
        </w:rPr>
        <w:t xml:space="preserve">eeks gestation </w:t>
      </w:r>
      <w:r w:rsidR="00876042" w:rsidRPr="008374B5">
        <w:rPr>
          <w:rFonts w:ascii="Times New Roman" w:hAnsi="Times New Roman" w:cs="Times New Roman"/>
          <w:sz w:val="24"/>
          <w:szCs w:val="24"/>
        </w:rPr>
        <w:t>based on</w:t>
      </w:r>
      <w:r w:rsidR="00AD146F" w:rsidRPr="008374B5">
        <w:rPr>
          <w:rFonts w:ascii="Times New Roman" w:hAnsi="Times New Roman" w:cs="Times New Roman"/>
          <w:sz w:val="24"/>
          <w:szCs w:val="24"/>
        </w:rPr>
        <w:t xml:space="preserve"> ultrasound dating) </w:t>
      </w:r>
      <w:r w:rsidR="00E477AF" w:rsidRPr="008374B5">
        <w:rPr>
          <w:rFonts w:ascii="Times New Roman" w:hAnsi="Times New Roman" w:cs="Times New Roman"/>
          <w:sz w:val="24"/>
          <w:szCs w:val="24"/>
        </w:rPr>
        <w:t xml:space="preserve">at KK Women’s and Children’s Hospital and National University Hospital between </w:t>
      </w:r>
      <w:r w:rsidR="00961E89" w:rsidRPr="008374B5">
        <w:rPr>
          <w:rFonts w:ascii="Times New Roman" w:hAnsi="Times New Roman" w:cs="Times New Roman"/>
          <w:sz w:val="24"/>
          <w:szCs w:val="24"/>
        </w:rPr>
        <w:t xml:space="preserve">June </w:t>
      </w:r>
      <w:r w:rsidR="00E477AF" w:rsidRPr="008374B5">
        <w:rPr>
          <w:rFonts w:ascii="Times New Roman" w:hAnsi="Times New Roman" w:cs="Times New Roman"/>
          <w:sz w:val="24"/>
          <w:szCs w:val="24"/>
        </w:rPr>
        <w:t xml:space="preserve">2009 and </w:t>
      </w:r>
      <w:r w:rsidR="00961E89" w:rsidRPr="008374B5">
        <w:rPr>
          <w:rFonts w:ascii="Times New Roman" w:hAnsi="Times New Roman" w:cs="Times New Roman"/>
          <w:sz w:val="24"/>
          <w:szCs w:val="24"/>
        </w:rPr>
        <w:t xml:space="preserve">September </w:t>
      </w:r>
      <w:r w:rsidR="00E477AF" w:rsidRPr="008374B5">
        <w:rPr>
          <w:rFonts w:ascii="Times New Roman" w:hAnsi="Times New Roman" w:cs="Times New Roman"/>
          <w:sz w:val="24"/>
          <w:szCs w:val="24"/>
        </w:rPr>
        <w:t xml:space="preserve">2010. </w:t>
      </w:r>
      <w:r w:rsidR="003222DE" w:rsidRPr="008374B5">
        <w:rPr>
          <w:rFonts w:ascii="Times New Roman" w:hAnsi="Times New Roman" w:cs="Times New Roman"/>
          <w:sz w:val="24"/>
          <w:szCs w:val="24"/>
        </w:rPr>
        <w:t>Only</w:t>
      </w:r>
      <w:r w:rsidR="006541D2" w:rsidRPr="008374B5">
        <w:rPr>
          <w:rFonts w:ascii="Times New Roman" w:hAnsi="Times New Roman" w:cs="Times New Roman"/>
          <w:sz w:val="24"/>
          <w:szCs w:val="24"/>
        </w:rPr>
        <w:t xml:space="preserve"> </w:t>
      </w:r>
      <w:r w:rsidR="004D20EF" w:rsidRPr="008374B5">
        <w:rPr>
          <w:rFonts w:ascii="Times New Roman" w:hAnsi="Times New Roman" w:cs="Times New Roman"/>
          <w:sz w:val="24"/>
          <w:szCs w:val="24"/>
        </w:rPr>
        <w:t xml:space="preserve">Singapore </w:t>
      </w:r>
      <w:r w:rsidR="00876042" w:rsidRPr="008374B5">
        <w:rPr>
          <w:rFonts w:ascii="Times New Roman" w:hAnsi="Times New Roman" w:cs="Times New Roman"/>
          <w:sz w:val="24"/>
          <w:szCs w:val="24"/>
        </w:rPr>
        <w:t>citizens or per</w:t>
      </w:r>
      <w:r w:rsidR="00395027" w:rsidRPr="008374B5">
        <w:rPr>
          <w:rFonts w:ascii="Times New Roman" w:hAnsi="Times New Roman" w:cs="Times New Roman"/>
          <w:sz w:val="24"/>
          <w:szCs w:val="24"/>
        </w:rPr>
        <w:t>manent residents with the intent</w:t>
      </w:r>
      <w:r w:rsidR="00876042" w:rsidRPr="008374B5">
        <w:rPr>
          <w:rFonts w:ascii="Times New Roman" w:hAnsi="Times New Roman" w:cs="Times New Roman"/>
          <w:sz w:val="24"/>
          <w:szCs w:val="24"/>
        </w:rPr>
        <w:t xml:space="preserve">ion </w:t>
      </w:r>
      <w:r w:rsidR="004D20EF" w:rsidRPr="008374B5">
        <w:rPr>
          <w:rFonts w:ascii="Times New Roman" w:hAnsi="Times New Roman" w:cs="Times New Roman"/>
          <w:sz w:val="24"/>
          <w:szCs w:val="24"/>
        </w:rPr>
        <w:t>to reside in Singapore for the next 5 years</w:t>
      </w:r>
      <w:r w:rsidR="00360E17" w:rsidRPr="008374B5">
        <w:rPr>
          <w:rFonts w:ascii="Times New Roman" w:hAnsi="Times New Roman" w:cs="Times New Roman"/>
          <w:sz w:val="24"/>
          <w:szCs w:val="24"/>
        </w:rPr>
        <w:t>,</w:t>
      </w:r>
      <w:r w:rsidR="00A03AE4" w:rsidRPr="008374B5">
        <w:rPr>
          <w:rFonts w:ascii="Times New Roman" w:hAnsi="Times New Roman" w:cs="Times New Roman"/>
          <w:sz w:val="24"/>
          <w:szCs w:val="24"/>
        </w:rPr>
        <w:t xml:space="preserve"> </w:t>
      </w:r>
      <w:r w:rsidR="004D20EF" w:rsidRPr="008374B5">
        <w:rPr>
          <w:rFonts w:ascii="Times New Roman" w:hAnsi="Times New Roman" w:cs="Times New Roman"/>
          <w:sz w:val="24"/>
          <w:szCs w:val="24"/>
        </w:rPr>
        <w:t xml:space="preserve">and had </w:t>
      </w:r>
      <w:r w:rsidR="006541D2" w:rsidRPr="008374B5">
        <w:rPr>
          <w:rFonts w:ascii="Times New Roman" w:hAnsi="Times New Roman" w:cs="Times New Roman"/>
          <w:sz w:val="24"/>
          <w:szCs w:val="24"/>
        </w:rPr>
        <w:t xml:space="preserve">spouses of the same race, both of whom </w:t>
      </w:r>
      <w:r w:rsidR="00DC6A23" w:rsidRPr="008374B5">
        <w:rPr>
          <w:rFonts w:ascii="Times New Roman" w:hAnsi="Times New Roman" w:cs="Times New Roman"/>
          <w:sz w:val="24"/>
          <w:szCs w:val="24"/>
        </w:rPr>
        <w:t>had</w:t>
      </w:r>
      <w:r w:rsidR="00CB257A" w:rsidRPr="008374B5">
        <w:rPr>
          <w:rFonts w:ascii="Times New Roman" w:hAnsi="Times New Roman" w:cs="Times New Roman"/>
          <w:sz w:val="24"/>
          <w:szCs w:val="24"/>
        </w:rPr>
        <w:t xml:space="preserve"> to be of</w:t>
      </w:r>
      <w:r w:rsidR="006541D2" w:rsidRPr="008374B5">
        <w:rPr>
          <w:rFonts w:ascii="Times New Roman" w:hAnsi="Times New Roman" w:cs="Times New Roman"/>
          <w:sz w:val="24"/>
          <w:szCs w:val="24"/>
        </w:rPr>
        <w:t xml:space="preserve"> a </w:t>
      </w:r>
      <w:r w:rsidR="004D20EF" w:rsidRPr="008374B5">
        <w:rPr>
          <w:rFonts w:ascii="Times New Roman" w:hAnsi="Times New Roman" w:cs="Times New Roman"/>
          <w:sz w:val="24"/>
          <w:szCs w:val="24"/>
        </w:rPr>
        <w:t>homogenous parental background of Chinese, Malay or Indian ethnicity</w:t>
      </w:r>
      <w:r w:rsidR="003222DE" w:rsidRPr="008374B5">
        <w:rPr>
          <w:rFonts w:ascii="Times New Roman" w:hAnsi="Times New Roman" w:cs="Times New Roman"/>
          <w:sz w:val="24"/>
          <w:szCs w:val="24"/>
        </w:rPr>
        <w:t xml:space="preserve"> were eligible for this study</w:t>
      </w:r>
      <w:r w:rsidR="004D20EF" w:rsidRPr="008374B5">
        <w:rPr>
          <w:rFonts w:ascii="Times New Roman" w:hAnsi="Times New Roman" w:cs="Times New Roman"/>
          <w:sz w:val="24"/>
          <w:szCs w:val="24"/>
        </w:rPr>
        <w:t xml:space="preserve">. Women </w:t>
      </w:r>
      <w:r w:rsidR="00360E17" w:rsidRPr="008374B5">
        <w:rPr>
          <w:rFonts w:ascii="Times New Roman" w:hAnsi="Times New Roman" w:cs="Times New Roman"/>
          <w:sz w:val="24"/>
          <w:szCs w:val="24"/>
        </w:rPr>
        <w:t>on</w:t>
      </w:r>
      <w:r w:rsidR="004D20EF" w:rsidRPr="008374B5">
        <w:rPr>
          <w:rFonts w:ascii="Times New Roman" w:hAnsi="Times New Roman" w:cs="Times New Roman"/>
          <w:sz w:val="24"/>
          <w:szCs w:val="24"/>
        </w:rPr>
        <w:t xml:space="preserve"> chemotherapy or psychotropic drugs, or had type I diabetic mellitus were </w:t>
      </w:r>
      <w:r w:rsidR="003222DE" w:rsidRPr="008374B5">
        <w:rPr>
          <w:rFonts w:ascii="Times New Roman" w:hAnsi="Times New Roman" w:cs="Times New Roman"/>
          <w:sz w:val="24"/>
          <w:szCs w:val="24"/>
        </w:rPr>
        <w:t>in</w:t>
      </w:r>
      <w:r w:rsidR="004D20EF" w:rsidRPr="008374B5">
        <w:rPr>
          <w:rFonts w:ascii="Times New Roman" w:hAnsi="Times New Roman" w:cs="Times New Roman"/>
          <w:sz w:val="24"/>
          <w:szCs w:val="24"/>
        </w:rPr>
        <w:t xml:space="preserve">eligible. </w:t>
      </w:r>
      <w:r w:rsidR="00090992" w:rsidRPr="008374B5">
        <w:rPr>
          <w:rFonts w:ascii="Times New Roman" w:hAnsi="Times New Roman" w:cs="Times New Roman"/>
          <w:sz w:val="24"/>
          <w:szCs w:val="24"/>
        </w:rPr>
        <w:t>Written i</w:t>
      </w:r>
      <w:r w:rsidR="00360E17" w:rsidRPr="008374B5">
        <w:rPr>
          <w:rFonts w:ascii="Times New Roman" w:hAnsi="Times New Roman" w:cs="Times New Roman"/>
          <w:sz w:val="24"/>
          <w:szCs w:val="24"/>
        </w:rPr>
        <w:t>nformed consent was obtained</w:t>
      </w:r>
      <w:r w:rsidR="00090992" w:rsidRPr="008374B5">
        <w:rPr>
          <w:rFonts w:ascii="Times New Roman" w:hAnsi="Times New Roman" w:cs="Times New Roman"/>
          <w:sz w:val="24"/>
          <w:szCs w:val="24"/>
        </w:rPr>
        <w:t xml:space="preserve"> </w:t>
      </w:r>
      <w:r w:rsidR="00360E17" w:rsidRPr="008374B5">
        <w:rPr>
          <w:rFonts w:ascii="Times New Roman" w:hAnsi="Times New Roman" w:cs="Times New Roman"/>
          <w:sz w:val="24"/>
          <w:szCs w:val="24"/>
        </w:rPr>
        <w:t>from each participant</w:t>
      </w:r>
      <w:r w:rsidR="00090992" w:rsidRPr="008374B5">
        <w:rPr>
          <w:rFonts w:ascii="Times New Roman" w:hAnsi="Times New Roman" w:cs="Times New Roman"/>
          <w:sz w:val="24"/>
          <w:szCs w:val="24"/>
        </w:rPr>
        <w:t xml:space="preserve"> upon recruitment. This study was approved by the Centralised Institutional Review Board of SingHealth </w:t>
      </w:r>
      <w:r w:rsidR="00FD753B" w:rsidRPr="008374B5">
        <w:rPr>
          <w:rFonts w:ascii="Times New Roman" w:hAnsi="Times New Roman" w:cs="Times New Roman"/>
          <w:sz w:val="24"/>
          <w:szCs w:val="24"/>
        </w:rPr>
        <w:t xml:space="preserve">(reference 2009/280/D) </w:t>
      </w:r>
      <w:r w:rsidR="00090992" w:rsidRPr="008374B5">
        <w:rPr>
          <w:rFonts w:ascii="Times New Roman" w:hAnsi="Times New Roman" w:cs="Times New Roman"/>
          <w:sz w:val="24"/>
          <w:szCs w:val="24"/>
        </w:rPr>
        <w:t>and the Domain Specific Review Board of the Singa</w:t>
      </w:r>
      <w:r w:rsidR="00E612C2" w:rsidRPr="008374B5">
        <w:rPr>
          <w:rFonts w:ascii="Times New Roman" w:hAnsi="Times New Roman" w:cs="Times New Roman"/>
          <w:sz w:val="24"/>
          <w:szCs w:val="24"/>
        </w:rPr>
        <w:t>pore National Healthcare Group</w:t>
      </w:r>
      <w:r w:rsidR="00FD753B" w:rsidRPr="008374B5">
        <w:rPr>
          <w:rFonts w:ascii="Times New Roman" w:hAnsi="Times New Roman" w:cs="Times New Roman"/>
          <w:sz w:val="24"/>
          <w:szCs w:val="24"/>
        </w:rPr>
        <w:t xml:space="preserve"> (reference D/09/021)</w:t>
      </w:r>
      <w:r w:rsidR="00E612C2" w:rsidRPr="008374B5">
        <w:rPr>
          <w:rFonts w:ascii="Times New Roman" w:hAnsi="Times New Roman" w:cs="Times New Roman"/>
          <w:sz w:val="24"/>
          <w:szCs w:val="24"/>
        </w:rPr>
        <w:t>.</w:t>
      </w:r>
      <w:r w:rsidR="00A06844" w:rsidRPr="008374B5">
        <w:rPr>
          <w:rFonts w:ascii="Times New Roman" w:hAnsi="Times New Roman" w:cs="Times New Roman"/>
          <w:sz w:val="24"/>
          <w:szCs w:val="24"/>
        </w:rPr>
        <w:t xml:space="preserve"> This study was registered at www.cli</w:t>
      </w:r>
      <w:r w:rsidR="00C8160D" w:rsidRPr="008374B5">
        <w:rPr>
          <w:rFonts w:ascii="Times New Roman" w:hAnsi="Times New Roman" w:cs="Times New Roman"/>
          <w:sz w:val="24"/>
          <w:szCs w:val="24"/>
        </w:rPr>
        <w:t>nicaltrials.gov as NCT01174875.</w:t>
      </w:r>
    </w:p>
    <w:p w14:paraId="788DF5A7" w14:textId="77777777" w:rsidR="00C8160D" w:rsidRPr="008374B5" w:rsidRDefault="00C8160D" w:rsidP="008374B5">
      <w:pPr>
        <w:spacing w:after="0" w:line="360" w:lineRule="auto"/>
        <w:jc w:val="both"/>
        <w:rPr>
          <w:rFonts w:ascii="Times New Roman" w:hAnsi="Times New Roman" w:cs="Times New Roman"/>
          <w:sz w:val="24"/>
          <w:szCs w:val="24"/>
        </w:rPr>
      </w:pPr>
    </w:p>
    <w:p w14:paraId="5363C24B" w14:textId="01F0974C" w:rsidR="006B52C5" w:rsidRPr="008374B5" w:rsidRDefault="006B52C5" w:rsidP="008374B5">
      <w:pPr>
        <w:spacing w:after="0" w:line="360" w:lineRule="auto"/>
        <w:jc w:val="both"/>
        <w:rPr>
          <w:rFonts w:ascii="Times New Roman" w:hAnsi="Times New Roman" w:cs="Times New Roman"/>
          <w:i/>
          <w:sz w:val="24"/>
          <w:szCs w:val="24"/>
        </w:rPr>
      </w:pPr>
      <w:r w:rsidRPr="008374B5">
        <w:rPr>
          <w:rFonts w:ascii="Times New Roman" w:hAnsi="Times New Roman" w:cs="Times New Roman"/>
          <w:i/>
          <w:sz w:val="24"/>
          <w:szCs w:val="24"/>
        </w:rPr>
        <w:t>Maternal characteristics</w:t>
      </w:r>
    </w:p>
    <w:p w14:paraId="3521ABE9" w14:textId="50FF5F6B" w:rsidR="003D43F1" w:rsidRPr="008374B5" w:rsidRDefault="002D5B79" w:rsidP="008374B5">
      <w:pPr>
        <w:spacing w:after="0" w:line="360" w:lineRule="auto"/>
        <w:jc w:val="both"/>
        <w:rPr>
          <w:rFonts w:ascii="Times New Roman" w:hAnsi="Times New Roman" w:cs="Times New Roman"/>
          <w:sz w:val="24"/>
          <w:szCs w:val="24"/>
        </w:rPr>
      </w:pPr>
      <w:r w:rsidRPr="008374B5">
        <w:rPr>
          <w:rFonts w:ascii="Times New Roman" w:hAnsi="Times New Roman" w:cs="Times New Roman"/>
          <w:sz w:val="24"/>
          <w:szCs w:val="24"/>
        </w:rPr>
        <w:t>At recruitment</w:t>
      </w:r>
      <w:r w:rsidR="00CB257A" w:rsidRPr="008374B5">
        <w:rPr>
          <w:rFonts w:ascii="Times New Roman" w:hAnsi="Times New Roman" w:cs="Times New Roman"/>
          <w:sz w:val="24"/>
          <w:szCs w:val="24"/>
        </w:rPr>
        <w:t xml:space="preserve"> and 26</w:t>
      </w:r>
      <w:r w:rsidR="009E1109" w:rsidRPr="008374B5">
        <w:rPr>
          <w:rFonts w:ascii="Times New Roman" w:hAnsi="Times New Roman" w:cs="Times New Roman"/>
          <w:sz w:val="24"/>
          <w:szCs w:val="24"/>
          <w:lang w:val="en-SG"/>
        </w:rPr>
        <w:t>–</w:t>
      </w:r>
      <w:r w:rsidR="00CB257A" w:rsidRPr="008374B5">
        <w:rPr>
          <w:rFonts w:ascii="Times New Roman" w:hAnsi="Times New Roman" w:cs="Times New Roman"/>
          <w:sz w:val="24"/>
          <w:szCs w:val="24"/>
        </w:rPr>
        <w:t>28 weeks’ gestation</w:t>
      </w:r>
      <w:r w:rsidRPr="008374B5">
        <w:rPr>
          <w:rFonts w:ascii="Times New Roman" w:hAnsi="Times New Roman" w:cs="Times New Roman"/>
          <w:sz w:val="24"/>
          <w:szCs w:val="24"/>
        </w:rPr>
        <w:t>, interviewer</w:t>
      </w:r>
      <w:r w:rsidR="000B1D17" w:rsidRPr="008374B5">
        <w:rPr>
          <w:rFonts w:ascii="Times New Roman" w:hAnsi="Times New Roman" w:cs="Times New Roman"/>
          <w:sz w:val="24"/>
          <w:szCs w:val="24"/>
        </w:rPr>
        <w:t>-</w:t>
      </w:r>
      <w:r w:rsidRPr="008374B5">
        <w:rPr>
          <w:rFonts w:ascii="Times New Roman" w:hAnsi="Times New Roman" w:cs="Times New Roman"/>
          <w:sz w:val="24"/>
          <w:szCs w:val="24"/>
        </w:rPr>
        <w:t xml:space="preserve">administered questionnaires were </w:t>
      </w:r>
      <w:r w:rsidR="0035598C" w:rsidRPr="008374B5">
        <w:rPr>
          <w:rFonts w:ascii="Times New Roman" w:hAnsi="Times New Roman" w:cs="Times New Roman"/>
          <w:sz w:val="24"/>
          <w:szCs w:val="24"/>
        </w:rPr>
        <w:t>conducted</w:t>
      </w:r>
      <w:r w:rsidRPr="008374B5">
        <w:rPr>
          <w:rFonts w:ascii="Times New Roman" w:hAnsi="Times New Roman" w:cs="Times New Roman"/>
          <w:sz w:val="24"/>
          <w:szCs w:val="24"/>
        </w:rPr>
        <w:t xml:space="preserve"> to obtain m</w:t>
      </w:r>
      <w:r w:rsidR="006B52C5" w:rsidRPr="008374B5">
        <w:rPr>
          <w:rFonts w:ascii="Times New Roman" w:hAnsi="Times New Roman" w:cs="Times New Roman"/>
          <w:sz w:val="24"/>
          <w:szCs w:val="24"/>
        </w:rPr>
        <w:t xml:space="preserve">aternal </w:t>
      </w:r>
      <w:r w:rsidR="00143D99" w:rsidRPr="008374B5">
        <w:rPr>
          <w:rFonts w:ascii="Times New Roman" w:hAnsi="Times New Roman" w:cs="Times New Roman"/>
          <w:sz w:val="24"/>
          <w:szCs w:val="24"/>
        </w:rPr>
        <w:t xml:space="preserve">demographic characteristics. Maternal </w:t>
      </w:r>
      <w:r w:rsidR="0061570F" w:rsidRPr="008374B5">
        <w:rPr>
          <w:rFonts w:ascii="Times New Roman" w:hAnsi="Times New Roman" w:cs="Times New Roman"/>
          <w:sz w:val="24"/>
          <w:szCs w:val="24"/>
        </w:rPr>
        <w:t xml:space="preserve">early </w:t>
      </w:r>
      <w:r w:rsidR="006B52C5" w:rsidRPr="008374B5">
        <w:rPr>
          <w:rFonts w:ascii="Times New Roman" w:hAnsi="Times New Roman" w:cs="Times New Roman"/>
          <w:sz w:val="24"/>
          <w:szCs w:val="24"/>
        </w:rPr>
        <w:t>pregnancy weight</w:t>
      </w:r>
      <w:r w:rsidR="00143D99" w:rsidRPr="008374B5">
        <w:rPr>
          <w:rFonts w:ascii="Times New Roman" w:hAnsi="Times New Roman" w:cs="Times New Roman"/>
          <w:sz w:val="24"/>
          <w:szCs w:val="24"/>
        </w:rPr>
        <w:t xml:space="preserve"> was based on body weight measured at first antenatal clinic visit during the first trimester (≤14 weeks of gestation)</w:t>
      </w:r>
      <w:r w:rsidR="006B52C5" w:rsidRPr="008374B5">
        <w:rPr>
          <w:rFonts w:ascii="Times New Roman" w:hAnsi="Times New Roman" w:cs="Times New Roman"/>
          <w:sz w:val="24"/>
          <w:szCs w:val="24"/>
        </w:rPr>
        <w:t>.</w:t>
      </w:r>
      <w:r w:rsidR="00E45BF5" w:rsidRPr="008374B5">
        <w:rPr>
          <w:rFonts w:ascii="Times New Roman" w:hAnsi="Times New Roman" w:cs="Times New Roman"/>
          <w:sz w:val="24"/>
          <w:szCs w:val="24"/>
        </w:rPr>
        <w:t xml:space="preserve"> Maternal height was measured with a stadiometer (Seca </w:t>
      </w:r>
      <w:r w:rsidR="00D44BA1" w:rsidRPr="008374B5">
        <w:rPr>
          <w:rFonts w:ascii="Times New Roman" w:hAnsi="Times New Roman" w:cs="Times New Roman"/>
          <w:sz w:val="24"/>
          <w:szCs w:val="24"/>
        </w:rPr>
        <w:t>213</w:t>
      </w:r>
      <w:r w:rsidR="00E45BF5" w:rsidRPr="008374B5">
        <w:rPr>
          <w:rFonts w:ascii="Times New Roman" w:hAnsi="Times New Roman" w:cs="Times New Roman"/>
          <w:sz w:val="24"/>
          <w:szCs w:val="24"/>
        </w:rPr>
        <w:t>, Hamburg, Germany).</w:t>
      </w:r>
      <w:r w:rsidR="001E766D" w:rsidRPr="008374B5">
        <w:rPr>
          <w:rFonts w:ascii="Times New Roman" w:hAnsi="Times New Roman" w:cs="Times New Roman"/>
          <w:sz w:val="24"/>
          <w:szCs w:val="24"/>
        </w:rPr>
        <w:t xml:space="preserve"> Maternal early </w:t>
      </w:r>
      <w:r w:rsidR="00A540B5" w:rsidRPr="008374B5">
        <w:rPr>
          <w:rFonts w:ascii="Times New Roman" w:hAnsi="Times New Roman" w:cs="Times New Roman"/>
          <w:sz w:val="24"/>
          <w:szCs w:val="24"/>
        </w:rPr>
        <w:t>pregnancy</w:t>
      </w:r>
      <w:r w:rsidR="00BD2348" w:rsidRPr="008374B5">
        <w:rPr>
          <w:rFonts w:ascii="Times New Roman" w:hAnsi="Times New Roman" w:cs="Times New Roman"/>
          <w:sz w:val="24"/>
          <w:szCs w:val="24"/>
        </w:rPr>
        <w:t xml:space="preserve"> (≤14 weeks of gestation)</w:t>
      </w:r>
      <w:r w:rsidR="00A540B5" w:rsidRPr="008374B5">
        <w:rPr>
          <w:rFonts w:ascii="Times New Roman" w:hAnsi="Times New Roman" w:cs="Times New Roman"/>
          <w:sz w:val="24"/>
          <w:szCs w:val="24"/>
        </w:rPr>
        <w:t xml:space="preserve"> body mass index (BMI</w:t>
      </w:r>
      <w:r w:rsidR="007A3ED5" w:rsidRPr="008374B5">
        <w:rPr>
          <w:rFonts w:ascii="Times New Roman" w:hAnsi="Times New Roman" w:cs="Times New Roman"/>
          <w:sz w:val="24"/>
          <w:szCs w:val="24"/>
        </w:rPr>
        <w:t>) was calculated as weight (kg)/</w:t>
      </w:r>
      <w:r w:rsidR="00A540B5" w:rsidRPr="008374B5">
        <w:rPr>
          <w:rFonts w:ascii="Times New Roman" w:hAnsi="Times New Roman" w:cs="Times New Roman"/>
          <w:sz w:val="24"/>
          <w:szCs w:val="24"/>
        </w:rPr>
        <w:t>height</w:t>
      </w:r>
      <w:r w:rsidR="00A540B5" w:rsidRPr="008374B5">
        <w:rPr>
          <w:rFonts w:ascii="Times New Roman" w:hAnsi="Times New Roman" w:cs="Times New Roman"/>
          <w:sz w:val="24"/>
          <w:szCs w:val="24"/>
          <w:vertAlign w:val="superscript"/>
        </w:rPr>
        <w:t>2</w:t>
      </w:r>
      <w:r w:rsidR="00A540B5" w:rsidRPr="008374B5">
        <w:rPr>
          <w:rFonts w:ascii="Times New Roman" w:hAnsi="Times New Roman" w:cs="Times New Roman"/>
          <w:sz w:val="24"/>
          <w:szCs w:val="24"/>
        </w:rPr>
        <w:t xml:space="preserve"> (m</w:t>
      </w:r>
      <w:r w:rsidR="00A540B5" w:rsidRPr="008374B5">
        <w:rPr>
          <w:rFonts w:ascii="Times New Roman" w:hAnsi="Times New Roman" w:cs="Times New Roman"/>
          <w:sz w:val="24"/>
          <w:szCs w:val="24"/>
          <w:vertAlign w:val="superscript"/>
        </w:rPr>
        <w:t>2</w:t>
      </w:r>
      <w:r w:rsidR="005D5CAB" w:rsidRPr="008374B5">
        <w:rPr>
          <w:rFonts w:ascii="Times New Roman" w:hAnsi="Times New Roman" w:cs="Times New Roman"/>
          <w:sz w:val="24"/>
          <w:szCs w:val="24"/>
        </w:rPr>
        <w:t>)</w:t>
      </w:r>
      <w:r w:rsidR="00E32DC3" w:rsidRPr="008374B5">
        <w:rPr>
          <w:rFonts w:ascii="Times New Roman" w:hAnsi="Times New Roman" w:cs="Times New Roman"/>
          <w:sz w:val="24"/>
          <w:szCs w:val="24"/>
        </w:rPr>
        <w:t>,</w:t>
      </w:r>
      <w:r w:rsidR="005D5CAB" w:rsidRPr="008374B5">
        <w:rPr>
          <w:rFonts w:ascii="Times New Roman" w:hAnsi="Times New Roman" w:cs="Times New Roman"/>
          <w:sz w:val="24"/>
          <w:szCs w:val="24"/>
        </w:rPr>
        <w:t xml:space="preserve"> and classified as und</w:t>
      </w:r>
      <w:r w:rsidR="00D81E26" w:rsidRPr="008374B5">
        <w:rPr>
          <w:rFonts w:ascii="Times New Roman" w:hAnsi="Times New Roman" w:cs="Times New Roman"/>
          <w:sz w:val="24"/>
          <w:szCs w:val="24"/>
        </w:rPr>
        <w:t>erweight (</w:t>
      </w:r>
      <w:r w:rsidR="007A3ED5" w:rsidRPr="008374B5">
        <w:rPr>
          <w:rFonts w:ascii="Times New Roman" w:hAnsi="Times New Roman" w:cs="Times New Roman"/>
          <w:sz w:val="24"/>
          <w:szCs w:val="24"/>
        </w:rPr>
        <w:t xml:space="preserve">BMI </w:t>
      </w:r>
      <w:r w:rsidR="00D81E26" w:rsidRPr="008374B5">
        <w:rPr>
          <w:rFonts w:ascii="Times New Roman" w:hAnsi="Times New Roman" w:cs="Times New Roman"/>
          <w:sz w:val="24"/>
          <w:szCs w:val="24"/>
        </w:rPr>
        <w:t>&lt;</w:t>
      </w:r>
      <w:r w:rsidR="007A3ED5" w:rsidRPr="008374B5">
        <w:rPr>
          <w:rFonts w:ascii="Times New Roman" w:hAnsi="Times New Roman" w:cs="Times New Roman"/>
          <w:sz w:val="24"/>
          <w:szCs w:val="24"/>
        </w:rPr>
        <w:t xml:space="preserve"> </w:t>
      </w:r>
      <w:r w:rsidR="00D81E26" w:rsidRPr="008374B5">
        <w:rPr>
          <w:rFonts w:ascii="Times New Roman" w:hAnsi="Times New Roman" w:cs="Times New Roman"/>
          <w:sz w:val="24"/>
          <w:szCs w:val="24"/>
        </w:rPr>
        <w:t>18.5</w:t>
      </w:r>
      <w:r w:rsidR="00C43E78" w:rsidRPr="008374B5">
        <w:rPr>
          <w:rFonts w:ascii="Times New Roman" w:hAnsi="Times New Roman" w:cs="Times New Roman"/>
          <w:sz w:val="24"/>
          <w:szCs w:val="24"/>
        </w:rPr>
        <w:t xml:space="preserve"> kg</w:t>
      </w:r>
      <w:r w:rsidR="007A3ED5" w:rsidRPr="008374B5">
        <w:rPr>
          <w:rFonts w:ascii="Times New Roman" w:hAnsi="Times New Roman" w:cs="Times New Roman"/>
          <w:sz w:val="24"/>
          <w:szCs w:val="24"/>
        </w:rPr>
        <w:t>/</w:t>
      </w:r>
      <w:r w:rsidR="00C43E78" w:rsidRPr="008374B5">
        <w:rPr>
          <w:rFonts w:ascii="Times New Roman" w:hAnsi="Times New Roman" w:cs="Times New Roman"/>
          <w:sz w:val="24"/>
          <w:szCs w:val="24"/>
        </w:rPr>
        <w:t>m</w:t>
      </w:r>
      <w:r w:rsidR="00C43E78" w:rsidRPr="008374B5">
        <w:rPr>
          <w:rFonts w:ascii="Times New Roman" w:hAnsi="Times New Roman" w:cs="Times New Roman"/>
          <w:sz w:val="24"/>
          <w:szCs w:val="24"/>
          <w:vertAlign w:val="superscript"/>
        </w:rPr>
        <w:t>2</w:t>
      </w:r>
      <w:r w:rsidR="00D81E26" w:rsidRPr="008374B5">
        <w:rPr>
          <w:rFonts w:ascii="Times New Roman" w:hAnsi="Times New Roman" w:cs="Times New Roman"/>
          <w:sz w:val="24"/>
          <w:szCs w:val="24"/>
        </w:rPr>
        <w:t>), normal</w:t>
      </w:r>
      <w:r w:rsidR="005D5CAB" w:rsidRPr="008374B5">
        <w:rPr>
          <w:rFonts w:ascii="Times New Roman" w:hAnsi="Times New Roman" w:cs="Times New Roman"/>
          <w:sz w:val="24"/>
          <w:szCs w:val="24"/>
        </w:rPr>
        <w:t xml:space="preserve"> </w:t>
      </w:r>
      <w:r w:rsidR="00C43E78" w:rsidRPr="008374B5">
        <w:rPr>
          <w:rFonts w:ascii="Times New Roman" w:hAnsi="Times New Roman" w:cs="Times New Roman"/>
          <w:sz w:val="24"/>
          <w:szCs w:val="24"/>
        </w:rPr>
        <w:t>(</w:t>
      </w:r>
      <w:r w:rsidR="007A3ED5" w:rsidRPr="008374B5">
        <w:rPr>
          <w:rFonts w:ascii="Times New Roman" w:hAnsi="Times New Roman" w:cs="Times New Roman"/>
          <w:sz w:val="24"/>
          <w:szCs w:val="24"/>
        </w:rPr>
        <w:t xml:space="preserve">BMI = </w:t>
      </w:r>
      <w:r w:rsidR="00C43E78" w:rsidRPr="008374B5">
        <w:rPr>
          <w:rFonts w:ascii="Times New Roman" w:hAnsi="Times New Roman" w:cs="Times New Roman"/>
          <w:sz w:val="24"/>
          <w:szCs w:val="24"/>
        </w:rPr>
        <w:t>18.5</w:t>
      </w:r>
      <w:r w:rsidR="009E1109" w:rsidRPr="008374B5">
        <w:rPr>
          <w:rFonts w:ascii="Times New Roman" w:hAnsi="Times New Roman" w:cs="Times New Roman"/>
          <w:sz w:val="24"/>
          <w:szCs w:val="24"/>
          <w:lang w:val="en-SG"/>
        </w:rPr>
        <w:t>–</w:t>
      </w:r>
      <w:r w:rsidR="00C43E78" w:rsidRPr="008374B5">
        <w:rPr>
          <w:rFonts w:ascii="Times New Roman" w:hAnsi="Times New Roman" w:cs="Times New Roman"/>
          <w:sz w:val="24"/>
          <w:szCs w:val="24"/>
        </w:rPr>
        <w:t>22.9 kg</w:t>
      </w:r>
      <w:r w:rsidR="007A3ED5" w:rsidRPr="008374B5">
        <w:rPr>
          <w:rFonts w:ascii="Times New Roman" w:hAnsi="Times New Roman" w:cs="Times New Roman"/>
          <w:sz w:val="24"/>
          <w:szCs w:val="24"/>
        </w:rPr>
        <w:t>/</w:t>
      </w:r>
      <w:r w:rsidR="00C43E78" w:rsidRPr="008374B5">
        <w:rPr>
          <w:rFonts w:ascii="Times New Roman" w:hAnsi="Times New Roman" w:cs="Times New Roman"/>
          <w:sz w:val="24"/>
          <w:szCs w:val="24"/>
        </w:rPr>
        <w:t>m</w:t>
      </w:r>
      <w:r w:rsidR="00C43E78" w:rsidRPr="008374B5">
        <w:rPr>
          <w:rFonts w:ascii="Times New Roman" w:hAnsi="Times New Roman" w:cs="Times New Roman"/>
          <w:sz w:val="24"/>
          <w:szCs w:val="24"/>
          <w:vertAlign w:val="superscript"/>
        </w:rPr>
        <w:t>2</w:t>
      </w:r>
      <w:r w:rsidR="00C43E78" w:rsidRPr="008374B5">
        <w:rPr>
          <w:rFonts w:ascii="Times New Roman" w:hAnsi="Times New Roman" w:cs="Times New Roman"/>
          <w:sz w:val="24"/>
          <w:szCs w:val="24"/>
        </w:rPr>
        <w:t>)</w:t>
      </w:r>
      <w:r w:rsidR="00B72BE5" w:rsidRPr="008374B5">
        <w:rPr>
          <w:rFonts w:ascii="Times New Roman" w:hAnsi="Times New Roman" w:cs="Times New Roman"/>
          <w:sz w:val="24"/>
          <w:szCs w:val="24"/>
        </w:rPr>
        <w:t xml:space="preserve"> </w:t>
      </w:r>
      <w:r w:rsidR="005D5CAB" w:rsidRPr="008374B5">
        <w:rPr>
          <w:rFonts w:ascii="Times New Roman" w:hAnsi="Times New Roman" w:cs="Times New Roman"/>
          <w:sz w:val="24"/>
          <w:szCs w:val="24"/>
        </w:rPr>
        <w:t>and</w:t>
      </w:r>
      <w:r w:rsidR="008768A1" w:rsidRPr="008374B5">
        <w:rPr>
          <w:rFonts w:ascii="Times New Roman" w:hAnsi="Times New Roman" w:cs="Times New Roman"/>
          <w:sz w:val="24"/>
          <w:szCs w:val="24"/>
        </w:rPr>
        <w:t xml:space="preserve"> at</w:t>
      </w:r>
      <w:r w:rsidR="0051316B" w:rsidRPr="008374B5">
        <w:rPr>
          <w:rFonts w:ascii="Times New Roman" w:hAnsi="Times New Roman" w:cs="Times New Roman"/>
          <w:sz w:val="24"/>
          <w:szCs w:val="24"/>
        </w:rPr>
        <w:t xml:space="preserve"> risk of </w:t>
      </w:r>
      <w:r w:rsidR="005D5CAB" w:rsidRPr="008374B5">
        <w:rPr>
          <w:rFonts w:ascii="Times New Roman" w:hAnsi="Times New Roman" w:cs="Times New Roman"/>
          <w:sz w:val="24"/>
          <w:szCs w:val="24"/>
        </w:rPr>
        <w:t>overweight</w:t>
      </w:r>
      <w:r w:rsidR="00B72BE5" w:rsidRPr="008374B5">
        <w:rPr>
          <w:rFonts w:ascii="Times New Roman" w:hAnsi="Times New Roman" w:cs="Times New Roman"/>
          <w:sz w:val="24"/>
          <w:szCs w:val="24"/>
        </w:rPr>
        <w:t>/overweight</w:t>
      </w:r>
      <w:r w:rsidR="005D5CAB" w:rsidRPr="008374B5">
        <w:rPr>
          <w:rFonts w:ascii="Times New Roman" w:hAnsi="Times New Roman" w:cs="Times New Roman"/>
          <w:sz w:val="24"/>
          <w:szCs w:val="24"/>
        </w:rPr>
        <w:t xml:space="preserve"> (</w:t>
      </w:r>
      <w:r w:rsidR="007A3ED5" w:rsidRPr="008374B5">
        <w:rPr>
          <w:rFonts w:ascii="Times New Roman" w:hAnsi="Times New Roman" w:cs="Times New Roman"/>
          <w:sz w:val="24"/>
          <w:szCs w:val="24"/>
        </w:rPr>
        <w:t xml:space="preserve">BMI </w:t>
      </w:r>
      <w:r w:rsidR="005D5CAB" w:rsidRPr="008374B5">
        <w:rPr>
          <w:rFonts w:ascii="Times New Roman" w:hAnsi="Times New Roman" w:cs="Times New Roman"/>
          <w:sz w:val="24"/>
          <w:szCs w:val="24"/>
        </w:rPr>
        <w:t>≥</w:t>
      </w:r>
      <w:r w:rsidR="007A3ED5" w:rsidRPr="008374B5">
        <w:rPr>
          <w:rFonts w:ascii="Times New Roman" w:hAnsi="Times New Roman" w:cs="Times New Roman"/>
          <w:sz w:val="24"/>
          <w:szCs w:val="24"/>
        </w:rPr>
        <w:t xml:space="preserve"> </w:t>
      </w:r>
      <w:r w:rsidR="009311AA" w:rsidRPr="008374B5">
        <w:rPr>
          <w:rFonts w:ascii="Times New Roman" w:hAnsi="Times New Roman" w:cs="Times New Roman"/>
          <w:sz w:val="24"/>
          <w:szCs w:val="24"/>
        </w:rPr>
        <w:t>23</w:t>
      </w:r>
      <w:r w:rsidR="00C43E78" w:rsidRPr="008374B5">
        <w:rPr>
          <w:rFonts w:ascii="Times New Roman" w:hAnsi="Times New Roman" w:cs="Times New Roman"/>
          <w:sz w:val="24"/>
          <w:szCs w:val="24"/>
        </w:rPr>
        <w:t>.0 kg</w:t>
      </w:r>
      <w:r w:rsidR="007A3ED5" w:rsidRPr="008374B5">
        <w:rPr>
          <w:rFonts w:ascii="Times New Roman" w:hAnsi="Times New Roman" w:cs="Times New Roman"/>
          <w:sz w:val="24"/>
          <w:szCs w:val="24"/>
        </w:rPr>
        <w:t>/</w:t>
      </w:r>
      <w:r w:rsidR="00C43E78" w:rsidRPr="008374B5">
        <w:rPr>
          <w:rFonts w:ascii="Times New Roman" w:hAnsi="Times New Roman" w:cs="Times New Roman"/>
          <w:sz w:val="24"/>
          <w:szCs w:val="24"/>
        </w:rPr>
        <w:t>m</w:t>
      </w:r>
      <w:r w:rsidR="00C43E78" w:rsidRPr="008374B5">
        <w:rPr>
          <w:rFonts w:ascii="Times New Roman" w:hAnsi="Times New Roman" w:cs="Times New Roman"/>
          <w:sz w:val="24"/>
          <w:szCs w:val="24"/>
          <w:vertAlign w:val="superscript"/>
        </w:rPr>
        <w:t>2</w:t>
      </w:r>
      <w:r w:rsidR="009311AA" w:rsidRPr="008374B5">
        <w:rPr>
          <w:rFonts w:ascii="Times New Roman" w:hAnsi="Times New Roman" w:cs="Times New Roman"/>
          <w:sz w:val="24"/>
          <w:szCs w:val="24"/>
        </w:rPr>
        <w:t>)</w:t>
      </w:r>
      <w:r w:rsidR="005D5CAB" w:rsidRPr="008374B5">
        <w:rPr>
          <w:rFonts w:ascii="Times New Roman" w:hAnsi="Times New Roman" w:cs="Times New Roman"/>
          <w:sz w:val="24"/>
          <w:szCs w:val="24"/>
        </w:rPr>
        <w:t xml:space="preserve"> according to</w:t>
      </w:r>
      <w:r w:rsidR="006B5163" w:rsidRPr="008374B5">
        <w:rPr>
          <w:rFonts w:ascii="Times New Roman" w:hAnsi="Times New Roman" w:cs="Times New Roman"/>
          <w:sz w:val="24"/>
          <w:szCs w:val="24"/>
        </w:rPr>
        <w:t xml:space="preserve"> World Health Organization (WHO) </w:t>
      </w:r>
      <w:r w:rsidR="00C62B26" w:rsidRPr="008374B5">
        <w:rPr>
          <w:rFonts w:ascii="Times New Roman" w:hAnsi="Times New Roman" w:cs="Times New Roman"/>
          <w:sz w:val="24"/>
          <w:szCs w:val="24"/>
        </w:rPr>
        <w:t xml:space="preserve">BMI </w:t>
      </w:r>
      <w:r w:rsidR="006B5163" w:rsidRPr="008374B5">
        <w:rPr>
          <w:rFonts w:ascii="Times New Roman" w:hAnsi="Times New Roman" w:cs="Times New Roman"/>
          <w:sz w:val="24"/>
          <w:szCs w:val="24"/>
        </w:rPr>
        <w:t>classification</w:t>
      </w:r>
      <w:r w:rsidR="00D83DEE" w:rsidRPr="008374B5">
        <w:rPr>
          <w:rFonts w:ascii="Times New Roman" w:hAnsi="Times New Roman" w:cs="Times New Roman"/>
          <w:sz w:val="24"/>
          <w:szCs w:val="24"/>
        </w:rPr>
        <w:t xml:space="preserve"> for Asian countries</w:t>
      </w:r>
      <w:r w:rsidR="00123ADC"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"10.1016/S0140-6736(03)15268-3", "ISBN" : "1474-547X (Electronic)", "ISSN" : "1474-547X", "PMID" : "14726171", "abstract" : "A WHO expert consultation addressed the debate about interpretation of recommended body-mass index (BMI) cut-off points for determining overweight and obesity in Asian populations, and considered whether population-specific cut-off points for BMI are necessary. They reviewed scientific evidence that suggests that Asian populations have different associations between BMI, percentage of body fat, and health risks than do European populations. The consultation concluded that the proportion of Asian people with a high risk of type 2 diabetes and cardiovascular disease is substantial at BMIs lower than the existing WHO cut-off point for overweight (&gt; or =25 kg/m2). However, available data do not necessarily indicate a clear BMI cut-off point for all Asians for overweight or obesity. The cut-off point for observed risk varies from 22 kg/m2 to 25 kg/m2 in different Asian populations; for high risk it varies from 26 kg/m2 to 31 kg/m2. No attempt was made, therefore, to redefine cut-off points for each population separately. The consultation also agreed that the WHO BMI cut-off points should be retained as international classifications. The consultation identified further potential public health action points (23.0, 27.5, 32.5, and 37.5 kg/m2) along the continuum of BMI, and proposed methods by which countries could make decisions about the definitions of increased risk for their population.", "author" : [ { "dropping-particle" : "", "family" : "Barba", "given" : "Corazon", "non-dropping-particle" : "", "parse-names" : false, "suffix" : "" }, { "dropping-particle" : "", "family" : "Cavalli-Sforza", "given" : "Tommaso", "non-dropping-particle" : "", "parse-names" : false, "suffix" : "" }, { "dropping-particle" : "", "family" : "Cutter", "given" : "Jeffery", "non-dropping-particle" : "", "parse-names" : false, "suffix" : "" }, { "dropping-particle" : "", "family" : "Darnton-Hill", "given" : "Ian", "non-dropping-particle" : "", "parse-names" : false, "suffix" : "" }, { "dropping-particle" : "", "family" : "Deurenberg", "given" : "Paul", "non-dropping-particle" : "", "parse-names" : false, "suffix" : "" }, { "dropping-particle" : "", "family" : "Deurenberg-Yap", "given" : "Mabel", "non-dropping-particle" : "", "parse-names" : false, "suffix" : "" }, { "dropping-particle" : "", "family" : "Gill", "given" : "Tim", "non-dropping-particle" : "", "parse-names" : false, "suffix" : "" } ], "container-title" : "Lancet", "id" : "ITEM-1", "issue" : "9403", "issued" : { "date-parts" : [ [ "2004" ] ] }, "page" : "157-63", "title" : "Appropriate body-mass index for Asian populations and its implications for policy and intervention strategies.", "type" : "article-journal", "volume" : "363" }, "uris" : [ "http://www.mendeley.com/documents/?uuid=a37ca34d-a8c6-430e-987e-c9d73620f5ca" ] } ], "mendeley" : { "formattedCitation" : "&lt;sup&gt;25&lt;/sup&gt;", "plainTextFormattedCitation" : "25", "previouslyFormattedCitation" : "&lt;sup&gt;25&lt;/sup&gt;" }, "properties" : { "noteIndex" : 0 }, "schema" : "https://github.com/citation-style-language/schema/raw/master/csl-citation.json" }</w:instrText>
      </w:r>
      <w:r w:rsidR="00123ADC"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25</w:t>
      </w:r>
      <w:r w:rsidR="00123ADC" w:rsidRPr="008374B5">
        <w:rPr>
          <w:rFonts w:ascii="Times New Roman" w:hAnsi="Times New Roman" w:cs="Times New Roman"/>
          <w:sz w:val="24"/>
          <w:szCs w:val="24"/>
        </w:rPr>
        <w:fldChar w:fldCharType="end"/>
      </w:r>
      <w:r w:rsidR="005D5CAB" w:rsidRPr="008374B5">
        <w:rPr>
          <w:rFonts w:ascii="Times New Roman" w:hAnsi="Times New Roman" w:cs="Times New Roman"/>
          <w:sz w:val="24"/>
          <w:szCs w:val="24"/>
        </w:rPr>
        <w:t>.</w:t>
      </w:r>
    </w:p>
    <w:p w14:paraId="7E4B7393" w14:textId="77777777" w:rsidR="000F7429" w:rsidRPr="008374B5" w:rsidRDefault="000F7429" w:rsidP="008374B5">
      <w:pPr>
        <w:spacing w:after="0" w:line="360" w:lineRule="auto"/>
        <w:jc w:val="both"/>
        <w:rPr>
          <w:rFonts w:ascii="Times New Roman" w:hAnsi="Times New Roman" w:cs="Times New Roman"/>
          <w:i/>
          <w:sz w:val="24"/>
          <w:szCs w:val="24"/>
        </w:rPr>
      </w:pPr>
    </w:p>
    <w:p w14:paraId="67CCE7D4" w14:textId="77777777" w:rsidR="00B928C6" w:rsidRPr="008374B5" w:rsidRDefault="0069453A" w:rsidP="008374B5">
      <w:pPr>
        <w:spacing w:after="0" w:line="360" w:lineRule="auto"/>
        <w:jc w:val="both"/>
        <w:rPr>
          <w:rFonts w:ascii="Times New Roman" w:hAnsi="Times New Roman" w:cs="Times New Roman"/>
          <w:i/>
          <w:sz w:val="24"/>
          <w:szCs w:val="24"/>
        </w:rPr>
      </w:pPr>
      <w:r w:rsidRPr="008374B5">
        <w:rPr>
          <w:rFonts w:ascii="Times New Roman" w:hAnsi="Times New Roman" w:cs="Times New Roman"/>
          <w:i/>
          <w:sz w:val="24"/>
          <w:szCs w:val="24"/>
        </w:rPr>
        <w:t>Infant characteristics</w:t>
      </w:r>
    </w:p>
    <w:p w14:paraId="272A5CA6" w14:textId="530EA094" w:rsidR="00FF33FE" w:rsidRPr="008374B5" w:rsidRDefault="00641485" w:rsidP="008374B5">
      <w:pPr>
        <w:spacing w:after="0" w:line="360" w:lineRule="auto"/>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Infant gender, gestational age and birth order were extracted from medical records. Infant feeding mode</w:t>
      </w:r>
      <w:r w:rsidR="000F4EF2" w:rsidRPr="008374B5">
        <w:rPr>
          <w:rFonts w:ascii="Times New Roman" w:hAnsi="Times New Roman" w:cs="Times New Roman"/>
          <w:sz w:val="24"/>
          <w:szCs w:val="24"/>
          <w:lang w:val="en-SG"/>
        </w:rPr>
        <w:t>s</w:t>
      </w:r>
      <w:r w:rsidRPr="008374B5">
        <w:rPr>
          <w:rFonts w:ascii="Times New Roman" w:hAnsi="Times New Roman" w:cs="Times New Roman"/>
          <w:sz w:val="24"/>
          <w:szCs w:val="24"/>
          <w:lang w:val="en-SG"/>
        </w:rPr>
        <w:t xml:space="preserve"> during the first six months of</w:t>
      </w:r>
      <w:r w:rsidR="00880498" w:rsidRPr="008374B5">
        <w:rPr>
          <w:rFonts w:ascii="Times New Roman" w:hAnsi="Times New Roman" w:cs="Times New Roman"/>
          <w:sz w:val="24"/>
          <w:szCs w:val="24"/>
          <w:lang w:val="en-SG"/>
        </w:rPr>
        <w:t xml:space="preserve"> life</w:t>
      </w:r>
      <w:r w:rsidRPr="008374B5">
        <w:rPr>
          <w:rFonts w:ascii="Times New Roman" w:hAnsi="Times New Roman" w:cs="Times New Roman"/>
          <w:sz w:val="24"/>
          <w:szCs w:val="24"/>
          <w:lang w:val="en-SG"/>
        </w:rPr>
        <w:t xml:space="preserve"> </w:t>
      </w:r>
      <w:r w:rsidR="000F4EF2" w:rsidRPr="008374B5">
        <w:rPr>
          <w:rFonts w:ascii="Times New Roman" w:hAnsi="Times New Roman" w:cs="Times New Roman"/>
          <w:sz w:val="24"/>
          <w:szCs w:val="24"/>
          <w:lang w:val="en-SG"/>
        </w:rPr>
        <w:t xml:space="preserve">were </w:t>
      </w:r>
      <w:r w:rsidRPr="008374B5">
        <w:rPr>
          <w:rFonts w:ascii="Times New Roman" w:hAnsi="Times New Roman" w:cs="Times New Roman"/>
          <w:sz w:val="24"/>
          <w:szCs w:val="24"/>
          <w:lang w:val="en-SG"/>
        </w:rPr>
        <w:t xml:space="preserve">ascertained through </w:t>
      </w:r>
      <w:r w:rsidR="00880498" w:rsidRPr="008374B5">
        <w:rPr>
          <w:rFonts w:ascii="Times New Roman" w:hAnsi="Times New Roman" w:cs="Times New Roman"/>
          <w:sz w:val="24"/>
          <w:szCs w:val="24"/>
          <w:lang w:val="en-SG"/>
        </w:rPr>
        <w:t>interviewer</w:t>
      </w:r>
      <w:r w:rsidR="000B1D17" w:rsidRPr="008374B5">
        <w:rPr>
          <w:rFonts w:ascii="Times New Roman" w:hAnsi="Times New Roman" w:cs="Times New Roman"/>
          <w:sz w:val="24"/>
          <w:szCs w:val="24"/>
          <w:lang w:val="en-SG"/>
        </w:rPr>
        <w:t>-</w:t>
      </w:r>
      <w:r w:rsidR="00880498" w:rsidRPr="008374B5">
        <w:rPr>
          <w:rFonts w:ascii="Times New Roman" w:hAnsi="Times New Roman" w:cs="Times New Roman"/>
          <w:sz w:val="24"/>
          <w:szCs w:val="24"/>
          <w:lang w:val="en-SG"/>
        </w:rPr>
        <w:t xml:space="preserve">administered </w:t>
      </w:r>
      <w:r w:rsidRPr="008374B5">
        <w:rPr>
          <w:rFonts w:ascii="Times New Roman" w:hAnsi="Times New Roman" w:cs="Times New Roman"/>
          <w:sz w:val="24"/>
          <w:szCs w:val="24"/>
          <w:lang w:val="en-SG"/>
        </w:rPr>
        <w:t>questionnaires with mothers at 3</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month</w:t>
      </w:r>
      <w:r w:rsidR="000F4EF2" w:rsidRPr="008374B5">
        <w:rPr>
          <w:rFonts w:ascii="Times New Roman" w:hAnsi="Times New Roman" w:cs="Times New Roman"/>
          <w:sz w:val="24"/>
          <w:szCs w:val="24"/>
          <w:lang w:val="en-SG"/>
        </w:rPr>
        <w:t xml:space="preserve"> and</w:t>
      </w:r>
      <w:r w:rsidRPr="008374B5">
        <w:rPr>
          <w:rFonts w:ascii="Times New Roman" w:hAnsi="Times New Roman" w:cs="Times New Roman"/>
          <w:sz w:val="24"/>
          <w:szCs w:val="24"/>
          <w:lang w:val="en-SG"/>
        </w:rPr>
        <w:t xml:space="preserve"> 6</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month</w:t>
      </w:r>
      <w:r w:rsidR="007B3FD2" w:rsidRPr="008374B5">
        <w:rPr>
          <w:rFonts w:ascii="Times New Roman" w:hAnsi="Times New Roman" w:cs="Times New Roman"/>
          <w:sz w:val="24"/>
          <w:szCs w:val="24"/>
          <w:lang w:val="en-SG"/>
        </w:rPr>
        <w:t xml:space="preserve">. </w:t>
      </w:r>
      <w:r w:rsidR="00746784" w:rsidRPr="008374B5">
        <w:rPr>
          <w:rFonts w:ascii="Times New Roman" w:hAnsi="Times New Roman" w:cs="Times New Roman"/>
          <w:sz w:val="24"/>
          <w:szCs w:val="24"/>
          <w:lang w:val="en-SG"/>
        </w:rPr>
        <w:t>Based on the WHO definition</w:t>
      </w:r>
      <w:r w:rsidR="002D2271" w:rsidRPr="008374B5">
        <w:rPr>
          <w:rFonts w:ascii="Times New Roman" w:hAnsi="Times New Roman" w:cs="Times New Roman"/>
          <w:sz w:val="24"/>
          <w:szCs w:val="24"/>
          <w:lang w:val="en-SG"/>
        </w:rPr>
        <w:fldChar w:fldCharType="begin" w:fldLock="1"/>
      </w:r>
      <w:r w:rsidR="001459A4">
        <w:rPr>
          <w:rFonts w:ascii="Times New Roman" w:hAnsi="Times New Roman" w:cs="Times New Roman"/>
          <w:sz w:val="24"/>
          <w:szCs w:val="24"/>
          <w:lang w:val="en-SG"/>
        </w:rPr>
        <w:instrText>ADDIN CSL_CITATION { "citationItems" : [ { "id" : "ITEM-1", "itemData" : { "author" : [ { "dropping-particle" : "", "family" : "Onis", "given" : "M", "non-dropping-particle" : "de", "parse-names" : false, "suffix" : "" }, { "dropping-particle" : "", "family" : "C", "given" : "Garza", "non-dropping-particle" : "", "parse-names" : false, "suffix" : "" }, { "dropping-particle" : "", "family" : "CG", "given" : "Victora", "non-dropping-particle" : "", "parse-names" : false, "suffix" : "" }, { "dropping-particle" : "", "family" : "AW", "given" : "Onyango", "non-dropping-particle" : "", "parse-names" : false, "suffix" : "" }, { "dropping-particle" : "", "family" : "EA", "given" : "Frongillo", "non-dropping-particle" : "", "parse-names" : false, "suffix" : "" }, { "dropping-particle" : "", "family" : "Martines", "given" : "J", "non-dropping-particle" : "", "parse-names" : false, "suffix" : "" } ], "container-title" : "Food Nutr Bull", "id" : "ITEM-1", "issue" : "(1 Suppl)", "issued" : { "date-parts" : [ [ "2004" ] ] }, "page" : "S16-16", "title" : "The WHO Multicentre Growth Reference Study: planning, study design, and methodology.", "type" : "article-journal", "volume" : "25" }, "uris" : [ "http://www.mendeley.com/documents/?uuid=606d9ea2-0abc-42b8-b8d0-5280241a8cdf" ] } ], "mendeley" : { "formattedCitation" : "&lt;sup&gt;26&lt;/sup&gt;", "plainTextFormattedCitation" : "26", "previouslyFormattedCitation" : "&lt;sup&gt;26&lt;/sup&gt;" }, "properties" : { "noteIndex" : 0 }, "schema" : "https://github.com/citation-style-language/schema/raw/master/csl-citation.json" }</w:instrText>
      </w:r>
      <w:r w:rsidR="002D2271" w:rsidRPr="008374B5">
        <w:rPr>
          <w:rFonts w:ascii="Times New Roman" w:hAnsi="Times New Roman" w:cs="Times New Roman"/>
          <w:sz w:val="24"/>
          <w:szCs w:val="24"/>
          <w:lang w:val="en-SG"/>
        </w:rPr>
        <w:fldChar w:fldCharType="separate"/>
      </w:r>
      <w:r w:rsidR="00724502" w:rsidRPr="00724502">
        <w:rPr>
          <w:rFonts w:ascii="Times New Roman" w:hAnsi="Times New Roman" w:cs="Times New Roman"/>
          <w:noProof/>
          <w:sz w:val="24"/>
          <w:szCs w:val="24"/>
          <w:vertAlign w:val="superscript"/>
          <w:lang w:val="en-SG"/>
        </w:rPr>
        <w:t>26</w:t>
      </w:r>
      <w:r w:rsidR="002D2271" w:rsidRPr="008374B5">
        <w:rPr>
          <w:rFonts w:ascii="Times New Roman" w:hAnsi="Times New Roman" w:cs="Times New Roman"/>
          <w:sz w:val="24"/>
          <w:szCs w:val="24"/>
          <w:lang w:val="en-SG"/>
        </w:rPr>
        <w:fldChar w:fldCharType="end"/>
      </w:r>
      <w:r w:rsidR="00746784" w:rsidRPr="008374B5">
        <w:rPr>
          <w:rFonts w:ascii="Times New Roman" w:hAnsi="Times New Roman" w:cs="Times New Roman"/>
          <w:sz w:val="24"/>
          <w:szCs w:val="24"/>
          <w:lang w:val="en-SG"/>
        </w:rPr>
        <w:t>, i</w:t>
      </w:r>
      <w:r w:rsidR="007B3FD2" w:rsidRPr="008374B5">
        <w:rPr>
          <w:rFonts w:ascii="Times New Roman" w:hAnsi="Times New Roman" w:cs="Times New Roman"/>
          <w:sz w:val="24"/>
          <w:szCs w:val="24"/>
          <w:lang w:val="en-SG"/>
        </w:rPr>
        <w:t>nfant feeding mod</w:t>
      </w:r>
      <w:r w:rsidR="00880498" w:rsidRPr="008374B5">
        <w:rPr>
          <w:rFonts w:ascii="Times New Roman" w:hAnsi="Times New Roman" w:cs="Times New Roman"/>
          <w:sz w:val="24"/>
          <w:szCs w:val="24"/>
          <w:lang w:val="en-SG"/>
        </w:rPr>
        <w:t xml:space="preserve">es were classified as follows: 1) exclusive breastfeeding, in which the infant received only breast milk and no other liquids or solids </w:t>
      </w:r>
      <w:r w:rsidR="005879E5" w:rsidRPr="008374B5">
        <w:rPr>
          <w:rFonts w:ascii="Times New Roman" w:hAnsi="Times New Roman" w:cs="Times New Roman"/>
          <w:sz w:val="24"/>
          <w:szCs w:val="24"/>
          <w:lang w:val="en-SG"/>
        </w:rPr>
        <w:t>except</w:t>
      </w:r>
      <w:r w:rsidR="00880498" w:rsidRPr="008374B5">
        <w:rPr>
          <w:rFonts w:ascii="Times New Roman" w:hAnsi="Times New Roman" w:cs="Times New Roman"/>
          <w:sz w:val="24"/>
          <w:szCs w:val="24"/>
          <w:lang w:val="en-SG"/>
        </w:rPr>
        <w:t xml:space="preserve"> </w:t>
      </w:r>
      <w:r w:rsidR="005879E5" w:rsidRPr="008374B5">
        <w:rPr>
          <w:rFonts w:ascii="Times New Roman" w:hAnsi="Times New Roman" w:cs="Times New Roman"/>
          <w:sz w:val="24"/>
          <w:szCs w:val="24"/>
          <w:lang w:val="en-SG"/>
        </w:rPr>
        <w:t xml:space="preserve">drops or syrups including </w:t>
      </w:r>
      <w:r w:rsidR="00880498" w:rsidRPr="008374B5">
        <w:rPr>
          <w:rFonts w:ascii="Times New Roman" w:hAnsi="Times New Roman" w:cs="Times New Roman"/>
          <w:sz w:val="24"/>
          <w:szCs w:val="24"/>
          <w:lang w:val="en-SG"/>
        </w:rPr>
        <w:t xml:space="preserve">vitamins, mineral </w:t>
      </w:r>
      <w:r w:rsidR="00313DF4" w:rsidRPr="008374B5">
        <w:rPr>
          <w:rFonts w:ascii="Times New Roman" w:hAnsi="Times New Roman" w:cs="Times New Roman"/>
          <w:sz w:val="24"/>
          <w:szCs w:val="24"/>
          <w:lang w:val="en-SG"/>
        </w:rPr>
        <w:t>supplements, or medicines</w:t>
      </w:r>
      <w:r w:rsidR="00880498" w:rsidRPr="008374B5">
        <w:rPr>
          <w:rFonts w:ascii="Times New Roman" w:hAnsi="Times New Roman" w:cs="Times New Roman"/>
          <w:sz w:val="24"/>
          <w:szCs w:val="24"/>
          <w:lang w:val="en-SG"/>
        </w:rPr>
        <w:t xml:space="preserve">; 2) predominant breastfeeding, in which the infant received </w:t>
      </w:r>
      <w:r w:rsidR="00AD254C" w:rsidRPr="008374B5">
        <w:rPr>
          <w:rFonts w:ascii="Times New Roman" w:hAnsi="Times New Roman" w:cs="Times New Roman"/>
          <w:sz w:val="24"/>
          <w:szCs w:val="24"/>
          <w:lang w:val="en-SG"/>
        </w:rPr>
        <w:t>primarily</w:t>
      </w:r>
      <w:r w:rsidR="00880498" w:rsidRPr="008374B5">
        <w:rPr>
          <w:rFonts w:ascii="Times New Roman" w:hAnsi="Times New Roman" w:cs="Times New Roman"/>
          <w:sz w:val="24"/>
          <w:szCs w:val="24"/>
          <w:lang w:val="en-SG"/>
        </w:rPr>
        <w:t xml:space="preserve"> breast milk and some water</w:t>
      </w:r>
      <w:r w:rsidR="000B1D17" w:rsidRPr="008374B5">
        <w:rPr>
          <w:rFonts w:ascii="Times New Roman" w:hAnsi="Times New Roman" w:cs="Times New Roman"/>
          <w:sz w:val="24"/>
          <w:szCs w:val="24"/>
          <w:lang w:val="en-SG"/>
        </w:rPr>
        <w:t>-</w:t>
      </w:r>
      <w:r w:rsidR="00880498" w:rsidRPr="008374B5">
        <w:rPr>
          <w:rFonts w:ascii="Times New Roman" w:hAnsi="Times New Roman" w:cs="Times New Roman"/>
          <w:sz w:val="24"/>
          <w:szCs w:val="24"/>
          <w:lang w:val="en-SG"/>
        </w:rPr>
        <w:t xml:space="preserve">based </w:t>
      </w:r>
      <w:r w:rsidR="002C3941" w:rsidRPr="008374B5">
        <w:rPr>
          <w:rFonts w:ascii="Times New Roman" w:hAnsi="Times New Roman" w:cs="Times New Roman"/>
          <w:sz w:val="24"/>
          <w:szCs w:val="24"/>
          <w:lang w:val="en-SG"/>
        </w:rPr>
        <w:t>drinks</w:t>
      </w:r>
      <w:r w:rsidR="00880498" w:rsidRPr="008374B5">
        <w:rPr>
          <w:rFonts w:ascii="Times New Roman" w:hAnsi="Times New Roman" w:cs="Times New Roman"/>
          <w:sz w:val="24"/>
          <w:szCs w:val="24"/>
          <w:lang w:val="en-SG"/>
        </w:rPr>
        <w:t>; 3) partial breastfeeding, in which the infant received a combination of b</w:t>
      </w:r>
      <w:r w:rsidR="008C4137" w:rsidRPr="008374B5">
        <w:rPr>
          <w:rFonts w:ascii="Times New Roman" w:hAnsi="Times New Roman" w:cs="Times New Roman"/>
          <w:sz w:val="24"/>
          <w:szCs w:val="24"/>
          <w:lang w:val="en-SG"/>
        </w:rPr>
        <w:t>reast milk and formula milk</w:t>
      </w:r>
      <w:r w:rsidR="00880498" w:rsidRPr="008374B5">
        <w:rPr>
          <w:rFonts w:ascii="Times New Roman" w:hAnsi="Times New Roman" w:cs="Times New Roman"/>
          <w:sz w:val="24"/>
          <w:szCs w:val="24"/>
          <w:lang w:val="en-SG"/>
        </w:rPr>
        <w:t>; and 4) formula feed</w:t>
      </w:r>
      <w:r w:rsidR="007B3FD2" w:rsidRPr="008374B5">
        <w:rPr>
          <w:rFonts w:ascii="Times New Roman" w:hAnsi="Times New Roman" w:cs="Times New Roman"/>
          <w:sz w:val="24"/>
          <w:szCs w:val="24"/>
          <w:lang w:val="en-SG"/>
        </w:rPr>
        <w:t xml:space="preserve">ing, in which the infant received </w:t>
      </w:r>
      <w:r w:rsidR="007B3FD2" w:rsidRPr="008374B5">
        <w:rPr>
          <w:rFonts w:ascii="Times New Roman" w:hAnsi="Times New Roman" w:cs="Times New Roman"/>
          <w:sz w:val="24"/>
          <w:szCs w:val="24"/>
          <w:lang w:val="en-SG"/>
        </w:rPr>
        <w:lastRenderedPageBreak/>
        <w:t>on</w:t>
      </w:r>
      <w:r w:rsidR="00880498" w:rsidRPr="008374B5">
        <w:rPr>
          <w:rFonts w:ascii="Times New Roman" w:hAnsi="Times New Roman" w:cs="Times New Roman"/>
          <w:sz w:val="24"/>
          <w:szCs w:val="24"/>
          <w:lang w:val="en-SG"/>
        </w:rPr>
        <w:t>ly formula milk.</w:t>
      </w:r>
      <w:r w:rsidR="007B3FD2" w:rsidRPr="008374B5">
        <w:rPr>
          <w:rFonts w:ascii="Times New Roman" w:hAnsi="Times New Roman" w:cs="Times New Roman"/>
          <w:sz w:val="24"/>
          <w:szCs w:val="24"/>
          <w:lang w:val="en-SG"/>
        </w:rPr>
        <w:t xml:space="preserve"> We further </w:t>
      </w:r>
      <w:r w:rsidR="007A3880" w:rsidRPr="008374B5">
        <w:rPr>
          <w:rFonts w:ascii="Times New Roman" w:hAnsi="Times New Roman" w:cs="Times New Roman"/>
          <w:sz w:val="24"/>
          <w:szCs w:val="24"/>
          <w:lang w:val="en-SG"/>
        </w:rPr>
        <w:t>re</w:t>
      </w:r>
      <w:r w:rsidR="007B3FD2" w:rsidRPr="008374B5">
        <w:rPr>
          <w:rFonts w:ascii="Times New Roman" w:hAnsi="Times New Roman" w:cs="Times New Roman"/>
          <w:sz w:val="24"/>
          <w:szCs w:val="24"/>
          <w:lang w:val="en-SG"/>
        </w:rPr>
        <w:t xml:space="preserve">classified </w:t>
      </w:r>
      <w:r w:rsidR="007A3880" w:rsidRPr="008374B5">
        <w:rPr>
          <w:rFonts w:ascii="Times New Roman" w:hAnsi="Times New Roman" w:cs="Times New Roman"/>
          <w:sz w:val="24"/>
          <w:szCs w:val="24"/>
          <w:lang w:val="en-SG"/>
        </w:rPr>
        <w:t xml:space="preserve">infants </w:t>
      </w:r>
      <w:r w:rsidR="008C4137" w:rsidRPr="008374B5">
        <w:rPr>
          <w:rFonts w:ascii="Times New Roman" w:hAnsi="Times New Roman" w:cs="Times New Roman"/>
          <w:sz w:val="24"/>
          <w:szCs w:val="24"/>
          <w:lang w:val="en-SG"/>
        </w:rPr>
        <w:t>into the following groups: the exclusively/predominantly breastfed</w:t>
      </w:r>
      <w:r w:rsidR="007B3FD2" w:rsidRPr="008374B5">
        <w:rPr>
          <w:rFonts w:ascii="Times New Roman" w:hAnsi="Times New Roman" w:cs="Times New Roman"/>
          <w:sz w:val="24"/>
          <w:szCs w:val="24"/>
          <w:lang w:val="en-SG"/>
        </w:rPr>
        <w:t xml:space="preserve"> group</w:t>
      </w:r>
      <w:r w:rsidR="008C4137" w:rsidRPr="008374B5">
        <w:rPr>
          <w:rFonts w:ascii="Times New Roman" w:hAnsi="Times New Roman" w:cs="Times New Roman"/>
          <w:sz w:val="24"/>
          <w:szCs w:val="24"/>
          <w:lang w:val="en-SG"/>
        </w:rPr>
        <w:t xml:space="preserve"> which includes </w:t>
      </w:r>
      <w:r w:rsidR="007B3FD2" w:rsidRPr="008374B5">
        <w:rPr>
          <w:rFonts w:ascii="Times New Roman" w:hAnsi="Times New Roman" w:cs="Times New Roman"/>
          <w:sz w:val="24"/>
          <w:szCs w:val="24"/>
          <w:lang w:val="en-SG"/>
        </w:rPr>
        <w:t xml:space="preserve">infants </w:t>
      </w:r>
      <w:r w:rsidR="00822591" w:rsidRPr="008374B5">
        <w:rPr>
          <w:rFonts w:ascii="Times New Roman" w:hAnsi="Times New Roman" w:cs="Times New Roman"/>
          <w:sz w:val="24"/>
          <w:szCs w:val="24"/>
          <w:lang w:val="en-SG"/>
        </w:rPr>
        <w:t>fed via</w:t>
      </w:r>
      <w:r w:rsidR="007A3880" w:rsidRPr="008374B5">
        <w:rPr>
          <w:rFonts w:ascii="Times New Roman" w:hAnsi="Times New Roman" w:cs="Times New Roman"/>
          <w:sz w:val="24"/>
          <w:szCs w:val="24"/>
          <w:lang w:val="en-SG"/>
        </w:rPr>
        <w:t xml:space="preserve"> </w:t>
      </w:r>
      <w:r w:rsidR="007B3FD2" w:rsidRPr="008374B5">
        <w:rPr>
          <w:rFonts w:ascii="Times New Roman" w:hAnsi="Times New Roman" w:cs="Times New Roman"/>
          <w:sz w:val="24"/>
          <w:szCs w:val="24"/>
          <w:lang w:val="en-SG"/>
        </w:rPr>
        <w:t>methods 1</w:t>
      </w:r>
      <w:r w:rsidR="008C4137" w:rsidRPr="008374B5">
        <w:rPr>
          <w:rFonts w:ascii="Times New Roman" w:hAnsi="Times New Roman" w:cs="Times New Roman"/>
          <w:sz w:val="24"/>
          <w:szCs w:val="24"/>
          <w:lang w:val="en-SG"/>
        </w:rPr>
        <w:t xml:space="preserve"> and/or 2 for the entire first six</w:t>
      </w:r>
      <w:r w:rsidR="007B3FD2" w:rsidRPr="008374B5">
        <w:rPr>
          <w:rFonts w:ascii="Times New Roman" w:hAnsi="Times New Roman" w:cs="Times New Roman"/>
          <w:sz w:val="24"/>
          <w:szCs w:val="24"/>
          <w:lang w:val="en-SG"/>
        </w:rPr>
        <w:t xml:space="preserve"> mo</w:t>
      </w:r>
      <w:r w:rsidR="007A3880" w:rsidRPr="008374B5">
        <w:rPr>
          <w:rFonts w:ascii="Times New Roman" w:hAnsi="Times New Roman" w:cs="Times New Roman"/>
          <w:sz w:val="24"/>
          <w:szCs w:val="24"/>
          <w:lang w:val="en-SG"/>
        </w:rPr>
        <w:t>nths</w:t>
      </w:r>
      <w:r w:rsidR="007B3FD2" w:rsidRPr="008374B5">
        <w:rPr>
          <w:rFonts w:ascii="Times New Roman" w:hAnsi="Times New Roman" w:cs="Times New Roman"/>
          <w:sz w:val="24"/>
          <w:szCs w:val="24"/>
          <w:lang w:val="en-SG"/>
        </w:rPr>
        <w:t xml:space="preserve"> of life;</w:t>
      </w:r>
      <w:r w:rsidR="00822591" w:rsidRPr="008374B5">
        <w:rPr>
          <w:rFonts w:ascii="Times New Roman" w:hAnsi="Times New Roman" w:cs="Times New Roman"/>
          <w:sz w:val="24"/>
          <w:szCs w:val="24"/>
          <w:lang w:val="en-SG"/>
        </w:rPr>
        <w:t xml:space="preserve"> the mixed</w:t>
      </w:r>
      <w:r w:rsidR="000B1D17" w:rsidRPr="008374B5">
        <w:rPr>
          <w:rFonts w:ascii="Times New Roman" w:hAnsi="Times New Roman" w:cs="Times New Roman"/>
          <w:sz w:val="24"/>
          <w:szCs w:val="24"/>
          <w:lang w:val="en-SG"/>
        </w:rPr>
        <w:t>-</w:t>
      </w:r>
      <w:r w:rsidR="007B3FD2" w:rsidRPr="008374B5">
        <w:rPr>
          <w:rFonts w:ascii="Times New Roman" w:hAnsi="Times New Roman" w:cs="Times New Roman"/>
          <w:sz w:val="24"/>
          <w:szCs w:val="24"/>
          <w:lang w:val="en-SG"/>
        </w:rPr>
        <w:t>fed</w:t>
      </w:r>
      <w:r w:rsidR="00822591" w:rsidRPr="008374B5">
        <w:rPr>
          <w:rFonts w:ascii="Times New Roman" w:hAnsi="Times New Roman" w:cs="Times New Roman"/>
          <w:sz w:val="24"/>
          <w:szCs w:val="24"/>
          <w:lang w:val="en-SG"/>
        </w:rPr>
        <w:t xml:space="preserve"> g</w:t>
      </w:r>
      <w:r w:rsidR="007B3FD2" w:rsidRPr="008374B5">
        <w:rPr>
          <w:rFonts w:ascii="Times New Roman" w:hAnsi="Times New Roman" w:cs="Times New Roman"/>
          <w:sz w:val="24"/>
          <w:szCs w:val="24"/>
          <w:lang w:val="en-SG"/>
        </w:rPr>
        <w:t xml:space="preserve">roup </w:t>
      </w:r>
      <w:r w:rsidR="00822591" w:rsidRPr="008374B5">
        <w:rPr>
          <w:rFonts w:ascii="Times New Roman" w:hAnsi="Times New Roman" w:cs="Times New Roman"/>
          <w:sz w:val="24"/>
          <w:szCs w:val="24"/>
          <w:lang w:val="en-SG"/>
        </w:rPr>
        <w:t>which includes</w:t>
      </w:r>
      <w:r w:rsidR="007B3FD2" w:rsidRPr="008374B5">
        <w:rPr>
          <w:rFonts w:ascii="Times New Roman" w:hAnsi="Times New Roman" w:cs="Times New Roman"/>
          <w:sz w:val="24"/>
          <w:szCs w:val="24"/>
          <w:lang w:val="en-SG"/>
        </w:rPr>
        <w:t xml:space="preserve"> </w:t>
      </w:r>
      <w:r w:rsidR="008C4137" w:rsidRPr="008374B5">
        <w:rPr>
          <w:rFonts w:ascii="Times New Roman" w:hAnsi="Times New Roman" w:cs="Times New Roman"/>
          <w:sz w:val="24"/>
          <w:szCs w:val="24"/>
          <w:lang w:val="en-SG"/>
        </w:rPr>
        <w:t>i</w:t>
      </w:r>
      <w:r w:rsidR="007B3FD2" w:rsidRPr="008374B5">
        <w:rPr>
          <w:rFonts w:ascii="Times New Roman" w:hAnsi="Times New Roman" w:cs="Times New Roman"/>
          <w:sz w:val="24"/>
          <w:szCs w:val="24"/>
          <w:lang w:val="en-SG"/>
        </w:rPr>
        <w:t>n</w:t>
      </w:r>
      <w:r w:rsidR="00822591" w:rsidRPr="008374B5">
        <w:rPr>
          <w:rFonts w:ascii="Times New Roman" w:hAnsi="Times New Roman" w:cs="Times New Roman"/>
          <w:sz w:val="24"/>
          <w:szCs w:val="24"/>
          <w:lang w:val="en-SG"/>
        </w:rPr>
        <w:t>fants who</w:t>
      </w:r>
      <w:r w:rsidR="007B3FD2" w:rsidRPr="008374B5">
        <w:rPr>
          <w:rFonts w:ascii="Times New Roman" w:hAnsi="Times New Roman" w:cs="Times New Roman"/>
          <w:sz w:val="24"/>
          <w:szCs w:val="24"/>
          <w:lang w:val="en-SG"/>
        </w:rPr>
        <w:t xml:space="preserve"> fed </w:t>
      </w:r>
      <w:r w:rsidR="00822591" w:rsidRPr="008374B5">
        <w:rPr>
          <w:rFonts w:ascii="Times New Roman" w:hAnsi="Times New Roman" w:cs="Times New Roman"/>
          <w:sz w:val="24"/>
          <w:szCs w:val="24"/>
          <w:lang w:val="en-SG"/>
        </w:rPr>
        <w:t xml:space="preserve">via </w:t>
      </w:r>
      <w:r w:rsidR="007B3FD2" w:rsidRPr="008374B5">
        <w:rPr>
          <w:rFonts w:ascii="Times New Roman" w:hAnsi="Times New Roman" w:cs="Times New Roman"/>
          <w:sz w:val="24"/>
          <w:szCs w:val="24"/>
          <w:lang w:val="en-SG"/>
        </w:rPr>
        <w:t>method 3 only or methods 1 and/or 2 with 3 and/or 4 or methods</w:t>
      </w:r>
      <w:r w:rsidR="008C4137" w:rsidRPr="008374B5">
        <w:rPr>
          <w:rFonts w:ascii="Times New Roman" w:hAnsi="Times New Roman" w:cs="Times New Roman"/>
          <w:sz w:val="24"/>
          <w:szCs w:val="24"/>
          <w:lang w:val="en-SG"/>
        </w:rPr>
        <w:t xml:space="preserve"> </w:t>
      </w:r>
      <w:r w:rsidR="007B3FD2" w:rsidRPr="008374B5">
        <w:rPr>
          <w:rFonts w:ascii="Times New Roman" w:hAnsi="Times New Roman" w:cs="Times New Roman"/>
          <w:sz w:val="24"/>
          <w:szCs w:val="24"/>
          <w:lang w:val="en-SG"/>
        </w:rPr>
        <w:t>3 an</w:t>
      </w:r>
      <w:r w:rsidR="00822591" w:rsidRPr="008374B5">
        <w:rPr>
          <w:rFonts w:ascii="Times New Roman" w:hAnsi="Times New Roman" w:cs="Times New Roman"/>
          <w:sz w:val="24"/>
          <w:szCs w:val="24"/>
          <w:lang w:val="en-SG"/>
        </w:rPr>
        <w:t>d 4 in the first six</w:t>
      </w:r>
      <w:r w:rsidR="007B3FD2" w:rsidRPr="008374B5">
        <w:rPr>
          <w:rFonts w:ascii="Times New Roman" w:hAnsi="Times New Roman" w:cs="Times New Roman"/>
          <w:sz w:val="24"/>
          <w:szCs w:val="24"/>
          <w:lang w:val="en-SG"/>
        </w:rPr>
        <w:t xml:space="preserve"> mo</w:t>
      </w:r>
      <w:r w:rsidR="008C4137" w:rsidRPr="008374B5">
        <w:rPr>
          <w:rFonts w:ascii="Times New Roman" w:hAnsi="Times New Roman" w:cs="Times New Roman"/>
          <w:sz w:val="24"/>
          <w:szCs w:val="24"/>
          <w:lang w:val="en-SG"/>
        </w:rPr>
        <w:t>nths; and the exclusively formula</w:t>
      </w:r>
      <w:r w:rsidR="000B1D17" w:rsidRPr="008374B5">
        <w:rPr>
          <w:rFonts w:ascii="Times New Roman" w:hAnsi="Times New Roman" w:cs="Times New Roman"/>
          <w:sz w:val="24"/>
          <w:szCs w:val="24"/>
          <w:lang w:val="en-SG"/>
        </w:rPr>
        <w:t>-</w:t>
      </w:r>
      <w:r w:rsidR="008C4137" w:rsidRPr="008374B5">
        <w:rPr>
          <w:rFonts w:ascii="Times New Roman" w:hAnsi="Times New Roman" w:cs="Times New Roman"/>
          <w:sz w:val="24"/>
          <w:szCs w:val="24"/>
          <w:lang w:val="en-SG"/>
        </w:rPr>
        <w:t>fed</w:t>
      </w:r>
      <w:r w:rsidR="00822591" w:rsidRPr="008374B5">
        <w:rPr>
          <w:rFonts w:ascii="Times New Roman" w:hAnsi="Times New Roman" w:cs="Times New Roman"/>
          <w:sz w:val="24"/>
          <w:szCs w:val="24"/>
          <w:lang w:val="en-SG"/>
        </w:rPr>
        <w:t xml:space="preserve"> group which includes infants fed via</w:t>
      </w:r>
      <w:r w:rsidR="008C4137" w:rsidRPr="008374B5">
        <w:rPr>
          <w:rFonts w:ascii="Times New Roman" w:hAnsi="Times New Roman" w:cs="Times New Roman"/>
          <w:sz w:val="24"/>
          <w:szCs w:val="24"/>
          <w:lang w:val="en-SG"/>
        </w:rPr>
        <w:t xml:space="preserve"> </w:t>
      </w:r>
      <w:r w:rsidR="00822591" w:rsidRPr="008374B5">
        <w:rPr>
          <w:rFonts w:ascii="Times New Roman" w:hAnsi="Times New Roman" w:cs="Times New Roman"/>
          <w:sz w:val="24"/>
          <w:szCs w:val="24"/>
          <w:lang w:val="en-SG"/>
        </w:rPr>
        <w:t>method</w:t>
      </w:r>
      <w:r w:rsidR="008C4137" w:rsidRPr="008374B5">
        <w:rPr>
          <w:rFonts w:ascii="Times New Roman" w:hAnsi="Times New Roman" w:cs="Times New Roman"/>
          <w:sz w:val="24"/>
          <w:szCs w:val="24"/>
          <w:lang w:val="en-SG"/>
        </w:rPr>
        <w:t xml:space="preserve"> 4 for the entire first 6 months of life</w:t>
      </w:r>
      <w:r w:rsidR="00AD254C" w:rsidRPr="008374B5">
        <w:rPr>
          <w:rFonts w:ascii="Times New Roman" w:hAnsi="Times New Roman" w:cs="Times New Roman"/>
          <w:sz w:val="24"/>
          <w:szCs w:val="24"/>
          <w:lang w:val="en-SG"/>
        </w:rPr>
        <w:fldChar w:fldCharType="begin" w:fldLock="1"/>
      </w:r>
      <w:r w:rsidR="001459A4">
        <w:rPr>
          <w:rFonts w:ascii="Times New Roman" w:hAnsi="Times New Roman" w:cs="Times New Roman"/>
          <w:sz w:val="24"/>
          <w:szCs w:val="24"/>
          <w:lang w:val="en-SG"/>
        </w:rPr>
        <w:instrText>ADDIN CSL_CITATION { "citationItems" : [ { "id" : "ITEM-1", "itemData" : { "DOI" : "10.3945/ajcn.115.115493", "ISSN" : "0002-9165", "PMID" : "26718413", "abstract" : "BACKGROUND: The relation between infant feeding and growth has been extensively evaluated, but studies examining sex differences in the influence of infant milk feeding on growth are limited. OBJECTIVE: We examined the interaction of infant feeding and sex in relation to infant growth and compared growth trajectories in breastfed and formula-fed boys and girls. DESIGN: In 932 infants in a Singapore mother-offspring cohort, feeding practices in the first 6 mo were classified into the breastfeeding group (BF), mixed feeding group (MF), and formula feeding group (FF). Infant weight and length were measured and converted to WHO standards for weight-for-age z scores (WAZs) and length-for-age z scores (LAZs). Differences in WAZ and LAZ from birth to 6 mo, 6 to 12 mo, and 12 to 24 mo of age were calculated. Three-way interactions were examined between feeding mode, sex, and age intervals for WAZ and LAZ changes, with adjustment for confounders. RESULTS: The interaction between feeding mode, sex, and age intervals was significant for LAZ changes (P = 0.003) but not WAZ changes (P = 0.103) after adjustment for potential confounders. Compared with BF girls, BF boys showed similar LAZ gain (+0.28 compared with +0.39, P = 0.544) from 0 to 6 mo of age but greater LAZ gain from 6 to 12 mo of age (+0.39 compared with -0.10, P = 0.008). From 0 to 6 mo of age, FF boys and girls showed greater LAZ gains than their BF counterparts; from 6 to 12 mo of age, FF girls showed higher LAZ gain (+0.25 compared with -0.10, P = 0.031) than BF girls, which was not seen in boys. CONCLUSIONS: During infancy, there is a sexually dimorphic growth response to the mode of infant milk feeding, raising questions about whether formula feeding ought to remain sex neutral. However, further investigations on sex-specific feeding and infant growth are warranted before a conclusive message can be drawn based on our current findings. This trial was registered at www.clinicaltrials.gov as NCT01174875.", "author" : [ { "dropping-particle" : "", "family" : "Cheng", "given" : "Tuck Seng", "non-dropping-particle" : "", "parse-names" : false, "suffix" : "" }, { "dropping-particle" : "", "family" : "Loy", "given" : "See Ling", "non-dropping-particle" : "", "parse-names" : false, "suffix" : "" }, { "dropping-particle" : "", "family" : "Cheung", "given" : "Yin Bun", "non-dropping-particle" : "", "parse-names" : false, "suffix" : "" }, { "dropping-particle" : "", "family" : "Chan", "given" : "Jerry Kok Yen", "non-dropping-particle" : "", "parse-names" : false, "suffix" : "" }, { "dropping-particle" : "", "family" : "Pang", "given" : "Wei Wei", "non-dropping-particle" : "", "parse-names" : false, "suffix" : "" }, { "dropping-particle" : "", "family" : "Godfrey", "given" : "Keith M.", "non-dropping-particle" : "", "parse-names" : false, "suffix" : "" }, { "dropping-particle" : "", "family" : "Gluckman", "given" : "Peter D.", "non-dropping-particle" : "", "parse-names" : false, "suffix" : "" }, { "dropping-particle" : "", "family" : "Kwek", "given" : "Kenneth", "non-dropping-particle" : "", "parse-names" : false, "suffix" : "" }, { "dropping-particle" : "", "family" : "Saw", "given" : "Seang Mei", "non-dropping-particle" : "", "parse-names" : false, "suffix" : "" }, { "dropping-particle" : "", "family" : "Chong", "given" : "Y.-S.", "non-dropping-particle" : "", "parse-names" : false, "suffix" : "" }, { "dropping-particle" : "", "family" : "Lee", "given" : "Yung Seng", "non-dropping-particle" : "", "parse-names" : false, "suffix" : "" }, { "dropping-particle" : "", "family" : "Lek", "given" : "Ngee", "non-dropping-particle" : "", "parse-names" : false, "suffix" : "" }, { "dropping-particle" : "", "family" : "Yap", "given" : "Fabian", "non-dropping-particle" : "", "parse-names" : false, "suffix" : "" } ], "container-title" : "American Journal of Clinical Nutrition", "id" : "ITEM-1", "issue" : "2", "issued" : { "date-parts" : [ [ "2016", "2", "1" ] ] }, "page" : "398-405", "title" : "Sexually dimorphic response to feeding mode in the growth of infants", "type" : "article-journal", "volume" : "103" }, "uris" : [ "http://www.mendeley.com/documents/?uuid=cfebeefd-8bfb-4eb6-9847-36ea9286e22b" ] } ], "mendeley" : { "formattedCitation" : "&lt;sup&gt;27&lt;/sup&gt;", "plainTextFormattedCitation" : "27", "previouslyFormattedCitation" : "&lt;sup&gt;27&lt;/sup&gt;" }, "properties" : { "noteIndex" : 0 }, "schema" : "https://github.com/citation-style-language/schema/raw/master/csl-citation.json" }</w:instrText>
      </w:r>
      <w:r w:rsidR="00AD254C" w:rsidRPr="008374B5">
        <w:rPr>
          <w:rFonts w:ascii="Times New Roman" w:hAnsi="Times New Roman" w:cs="Times New Roman"/>
          <w:sz w:val="24"/>
          <w:szCs w:val="24"/>
          <w:lang w:val="en-SG"/>
        </w:rPr>
        <w:fldChar w:fldCharType="separate"/>
      </w:r>
      <w:r w:rsidR="00724502" w:rsidRPr="00724502">
        <w:rPr>
          <w:rFonts w:ascii="Times New Roman" w:hAnsi="Times New Roman" w:cs="Times New Roman"/>
          <w:noProof/>
          <w:sz w:val="24"/>
          <w:szCs w:val="24"/>
          <w:vertAlign w:val="superscript"/>
          <w:lang w:val="en-SG"/>
        </w:rPr>
        <w:t>27</w:t>
      </w:r>
      <w:r w:rsidR="00AD254C" w:rsidRPr="008374B5">
        <w:rPr>
          <w:rFonts w:ascii="Times New Roman" w:hAnsi="Times New Roman" w:cs="Times New Roman"/>
          <w:sz w:val="24"/>
          <w:szCs w:val="24"/>
          <w:lang w:val="en-SG"/>
        </w:rPr>
        <w:fldChar w:fldCharType="end"/>
      </w:r>
      <w:r w:rsidR="00822591" w:rsidRPr="008374B5">
        <w:rPr>
          <w:rFonts w:ascii="Times New Roman" w:hAnsi="Times New Roman" w:cs="Times New Roman"/>
          <w:sz w:val="24"/>
          <w:szCs w:val="24"/>
          <w:lang w:val="en-SG"/>
        </w:rPr>
        <w:t>.</w:t>
      </w:r>
      <w:r w:rsidR="00880498" w:rsidRPr="008374B5">
        <w:rPr>
          <w:rFonts w:ascii="Times New Roman" w:hAnsi="Times New Roman" w:cs="Times New Roman"/>
          <w:sz w:val="24"/>
          <w:szCs w:val="24"/>
          <w:lang w:val="en-SG"/>
        </w:rPr>
        <w:t xml:space="preserve"> </w:t>
      </w:r>
      <w:r w:rsidR="000F4EF2" w:rsidRPr="008374B5">
        <w:rPr>
          <w:rFonts w:ascii="Times New Roman" w:hAnsi="Times New Roman" w:cs="Times New Roman"/>
          <w:sz w:val="24"/>
          <w:szCs w:val="24"/>
          <w:lang w:val="en-SG"/>
        </w:rPr>
        <w:t>Milk f</w:t>
      </w:r>
      <w:r w:rsidR="00950EC2" w:rsidRPr="008374B5">
        <w:rPr>
          <w:rFonts w:ascii="Times New Roman" w:hAnsi="Times New Roman" w:cs="Times New Roman"/>
          <w:sz w:val="24"/>
          <w:szCs w:val="24"/>
          <w:lang w:val="en-SG"/>
        </w:rPr>
        <w:t>eeding mode at</w:t>
      </w:r>
      <w:r w:rsidR="00146C97" w:rsidRPr="008374B5">
        <w:rPr>
          <w:rFonts w:ascii="Times New Roman" w:hAnsi="Times New Roman" w:cs="Times New Roman"/>
          <w:sz w:val="24"/>
          <w:szCs w:val="24"/>
          <w:lang w:val="en-SG"/>
        </w:rPr>
        <w:t xml:space="preserve"> 12</w:t>
      </w:r>
      <w:r w:rsidR="000B1D17" w:rsidRPr="008374B5">
        <w:rPr>
          <w:rFonts w:ascii="Times New Roman" w:hAnsi="Times New Roman" w:cs="Times New Roman"/>
          <w:sz w:val="24"/>
          <w:szCs w:val="24"/>
          <w:lang w:val="en-SG"/>
        </w:rPr>
        <w:t>-</w:t>
      </w:r>
      <w:r w:rsidR="00146C97" w:rsidRPr="008374B5">
        <w:rPr>
          <w:rFonts w:ascii="Times New Roman" w:hAnsi="Times New Roman" w:cs="Times New Roman"/>
          <w:sz w:val="24"/>
          <w:szCs w:val="24"/>
          <w:lang w:val="en-SG"/>
        </w:rPr>
        <w:t>month</w:t>
      </w:r>
      <w:r w:rsidR="00950EC2" w:rsidRPr="008374B5">
        <w:rPr>
          <w:rFonts w:ascii="Times New Roman" w:hAnsi="Times New Roman" w:cs="Times New Roman"/>
          <w:sz w:val="24"/>
          <w:szCs w:val="24"/>
          <w:lang w:val="en-SG"/>
        </w:rPr>
        <w:t xml:space="preserve"> was also recorded</w:t>
      </w:r>
      <w:r w:rsidR="00A2591D" w:rsidRPr="008374B5">
        <w:rPr>
          <w:rFonts w:ascii="Times New Roman" w:hAnsi="Times New Roman" w:cs="Times New Roman"/>
          <w:sz w:val="24"/>
          <w:szCs w:val="24"/>
          <w:lang w:val="en-SG"/>
        </w:rPr>
        <w:t xml:space="preserve"> through interviewer</w:t>
      </w:r>
      <w:r w:rsidR="000B1D17" w:rsidRPr="008374B5">
        <w:rPr>
          <w:rFonts w:ascii="Times New Roman" w:hAnsi="Times New Roman" w:cs="Times New Roman"/>
          <w:sz w:val="24"/>
          <w:szCs w:val="24"/>
          <w:lang w:val="en-SG"/>
        </w:rPr>
        <w:t>-</w:t>
      </w:r>
      <w:r w:rsidR="00A2591D" w:rsidRPr="008374B5">
        <w:rPr>
          <w:rFonts w:ascii="Times New Roman" w:hAnsi="Times New Roman" w:cs="Times New Roman"/>
          <w:sz w:val="24"/>
          <w:szCs w:val="24"/>
          <w:lang w:val="en-SG"/>
        </w:rPr>
        <w:t>administered questionnaires with mothers</w:t>
      </w:r>
      <w:r w:rsidR="00FF33FE" w:rsidRPr="008374B5">
        <w:rPr>
          <w:rFonts w:ascii="Times New Roman" w:hAnsi="Times New Roman" w:cs="Times New Roman"/>
          <w:sz w:val="24"/>
          <w:szCs w:val="24"/>
          <w:lang w:val="en-SG"/>
        </w:rPr>
        <w:t>.</w:t>
      </w:r>
    </w:p>
    <w:p w14:paraId="2A290AEE" w14:textId="3B82D15B" w:rsidR="00641485" w:rsidRPr="008374B5" w:rsidRDefault="00641485" w:rsidP="008374B5">
      <w:pPr>
        <w:spacing w:after="0" w:line="360" w:lineRule="auto"/>
        <w:ind w:firstLine="720"/>
        <w:jc w:val="both"/>
        <w:rPr>
          <w:rFonts w:ascii="Times New Roman" w:hAnsi="Times New Roman" w:cs="Times New Roman"/>
          <w:sz w:val="24"/>
          <w:szCs w:val="24"/>
          <w:lang w:val="en-SG"/>
        </w:rPr>
      </w:pPr>
      <w:r w:rsidRPr="008374B5">
        <w:rPr>
          <w:rFonts w:ascii="Times New Roman" w:hAnsi="Times New Roman" w:cs="Times New Roman"/>
          <w:sz w:val="24"/>
          <w:szCs w:val="24"/>
        </w:rPr>
        <w:t>Infant anthropometric measurements were performed by trained clinical staff wit</w:t>
      </w:r>
      <w:r w:rsidR="00D121C5" w:rsidRPr="008374B5">
        <w:rPr>
          <w:rFonts w:ascii="Times New Roman" w:hAnsi="Times New Roman" w:cs="Times New Roman"/>
          <w:sz w:val="24"/>
          <w:szCs w:val="24"/>
        </w:rPr>
        <w:t>hin 24</w:t>
      </w:r>
      <w:r w:rsidR="000B1D17" w:rsidRPr="008374B5">
        <w:rPr>
          <w:rFonts w:ascii="Times New Roman" w:hAnsi="Times New Roman" w:cs="Times New Roman"/>
          <w:sz w:val="24"/>
          <w:szCs w:val="24"/>
        </w:rPr>
        <w:t>-</w:t>
      </w:r>
      <w:r w:rsidR="00D121C5" w:rsidRPr="008374B5">
        <w:rPr>
          <w:rFonts w:ascii="Times New Roman" w:hAnsi="Times New Roman" w:cs="Times New Roman"/>
          <w:sz w:val="24"/>
          <w:szCs w:val="24"/>
        </w:rPr>
        <w:t>h</w:t>
      </w:r>
      <w:r w:rsidR="003B2DCA" w:rsidRPr="008374B5">
        <w:rPr>
          <w:rFonts w:ascii="Times New Roman" w:hAnsi="Times New Roman" w:cs="Times New Roman"/>
          <w:sz w:val="24"/>
          <w:szCs w:val="24"/>
        </w:rPr>
        <w:t>our</w:t>
      </w:r>
      <w:r w:rsidR="00211EB4" w:rsidRPr="008374B5">
        <w:rPr>
          <w:rFonts w:ascii="Times New Roman" w:hAnsi="Times New Roman" w:cs="Times New Roman"/>
          <w:sz w:val="24"/>
          <w:szCs w:val="24"/>
        </w:rPr>
        <w:t xml:space="preserve"> of birth and at 12</w:t>
      </w:r>
      <w:r w:rsidR="000B1D17" w:rsidRPr="008374B5">
        <w:rPr>
          <w:rFonts w:ascii="Times New Roman" w:hAnsi="Times New Roman" w:cs="Times New Roman"/>
          <w:sz w:val="24"/>
          <w:szCs w:val="24"/>
        </w:rPr>
        <w:t>-</w:t>
      </w:r>
      <w:r w:rsidR="00211EB4" w:rsidRPr="008374B5">
        <w:rPr>
          <w:rFonts w:ascii="Times New Roman" w:hAnsi="Times New Roman" w:cs="Times New Roman"/>
          <w:sz w:val="24"/>
          <w:szCs w:val="24"/>
        </w:rPr>
        <w:t>month</w:t>
      </w:r>
      <w:r w:rsidRPr="008374B5">
        <w:rPr>
          <w:rFonts w:ascii="Times New Roman" w:hAnsi="Times New Roman" w:cs="Times New Roman"/>
          <w:sz w:val="24"/>
          <w:szCs w:val="24"/>
        </w:rPr>
        <w:t>, using standardised techniques</w:t>
      </w:r>
      <w:r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"http://www.who.int/childgrowth/training/module_b_measuring_growth.pdf", "ISBN" : "978 92 4 159507 0", "abstract" : "WHO. Training course on child growth assessment. Version 1. Geneva: WHO; 2006", "author" : [ { "dropping-particle" : "", "family" : "World Health Organization", "given" : "", "non-dropping-particle" : "", "parse-names" : false, "suffix" : "" } ], "id" : "ITEM-1", "issued" : { "date-parts" : [ [ "2008" ] ] }, "publisher-place" : "Geneva: Department of Nutrition for Health and Development", "title" : "Training course on child growth assessment, WHO Child Growth Standards, C Interpreting growth indicators.", "type" : "report" }, "uris" : [ "http://www.mendeley.com/documents/?uuid=1ce5e7b3-c667-4291-9cdf-f2070e5dd661" ] } ], "mendeley" : { "formattedCitation" : "&lt;sup&gt;28&lt;/sup&gt;", "plainTextFormattedCitation" : "28", "previouslyFormattedCitation" : "&lt;sup&gt;28&lt;/sup&gt;" }, "properties" : { "noteIndex" : 0 }, "schema" : "https://github.com/citation-style-language/schema/raw/master/csl-citation.json" }</w:instrText>
      </w:r>
      <w:r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28</w:t>
      </w:r>
      <w:r w:rsidRPr="008374B5">
        <w:rPr>
          <w:rFonts w:ascii="Times New Roman" w:hAnsi="Times New Roman" w:cs="Times New Roman"/>
          <w:sz w:val="24"/>
          <w:szCs w:val="24"/>
        </w:rPr>
        <w:fldChar w:fldCharType="end"/>
      </w:r>
      <w:r w:rsidRPr="008374B5">
        <w:rPr>
          <w:rFonts w:ascii="Times New Roman" w:hAnsi="Times New Roman" w:cs="Times New Roman"/>
          <w:sz w:val="24"/>
          <w:szCs w:val="24"/>
        </w:rPr>
        <w:t>. Weight was recorded to the nearest 0.001 kg using SECA</w:t>
      </w:r>
      <w:r w:rsidR="0032086B" w:rsidRPr="008374B5">
        <w:rPr>
          <w:rFonts w:ascii="Times New Roman" w:hAnsi="Times New Roman" w:cs="Times New Roman"/>
          <w:sz w:val="24"/>
          <w:szCs w:val="24"/>
        </w:rPr>
        <w:t xml:space="preserve"> 334 baby weighing scale (SECA, </w:t>
      </w:r>
      <w:r w:rsidRPr="008374B5">
        <w:rPr>
          <w:rFonts w:ascii="Times New Roman" w:hAnsi="Times New Roman" w:cs="Times New Roman"/>
          <w:sz w:val="24"/>
          <w:szCs w:val="24"/>
        </w:rPr>
        <w:t>Hamburg, Germany). Recumbent crown</w:t>
      </w:r>
      <w:r w:rsidR="000B1D17" w:rsidRPr="008374B5">
        <w:rPr>
          <w:rFonts w:ascii="Times New Roman" w:hAnsi="Times New Roman" w:cs="Times New Roman"/>
          <w:sz w:val="24"/>
          <w:szCs w:val="24"/>
        </w:rPr>
        <w:t>-</w:t>
      </w:r>
      <w:r w:rsidRPr="008374B5">
        <w:rPr>
          <w:rFonts w:ascii="Times New Roman" w:hAnsi="Times New Roman" w:cs="Times New Roman"/>
          <w:sz w:val="24"/>
          <w:szCs w:val="24"/>
        </w:rPr>
        <w:t>heel length was measured to the nearest 0.1 cm using SECA 210 Mobile Measuring Mat</w:t>
      </w:r>
      <w:r w:rsidRPr="008374B5">
        <w:rPr>
          <w:rFonts w:ascii="Times New Roman" w:hAnsi="Times New Roman" w:cs="Times New Roman"/>
          <w:sz w:val="24"/>
          <w:szCs w:val="24"/>
          <w:lang w:val="en-SG"/>
        </w:rPr>
        <w:t xml:space="preserve"> (SECA, Hamburg, Germany). Based on </w:t>
      </w:r>
      <w:r w:rsidR="000124FC" w:rsidRPr="008374B5">
        <w:rPr>
          <w:rFonts w:ascii="Times New Roman" w:hAnsi="Times New Roman" w:cs="Times New Roman"/>
          <w:sz w:val="24"/>
          <w:szCs w:val="24"/>
          <w:lang w:val="en-SG"/>
        </w:rPr>
        <w:t xml:space="preserve">the </w:t>
      </w:r>
      <w:r w:rsidRPr="008374B5">
        <w:rPr>
          <w:rFonts w:ascii="Times New Roman" w:hAnsi="Times New Roman" w:cs="Times New Roman"/>
          <w:sz w:val="24"/>
          <w:szCs w:val="24"/>
          <w:lang w:val="en-SG"/>
        </w:rPr>
        <w:t>WHO Child Growth Standards 2006, infant anthropometric measurements were converted into weight</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for</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length </w:t>
      </w:r>
      <w:r w:rsidR="00FD6FA2" w:rsidRPr="008374B5">
        <w:rPr>
          <w:rFonts w:ascii="Times New Roman" w:hAnsi="Times New Roman" w:cs="Times New Roman"/>
          <w:sz w:val="24"/>
          <w:szCs w:val="24"/>
          <w:lang w:val="en-SG"/>
        </w:rPr>
        <w:t>z</w:t>
      </w:r>
      <w:r w:rsidR="000B1D17" w:rsidRPr="008374B5">
        <w:rPr>
          <w:rFonts w:ascii="Times New Roman" w:hAnsi="Times New Roman" w:cs="Times New Roman"/>
          <w:sz w:val="24"/>
          <w:szCs w:val="24"/>
          <w:lang w:val="en-SG"/>
        </w:rPr>
        <w:t>-</w:t>
      </w:r>
      <w:r w:rsidR="00DC652F" w:rsidRPr="008374B5">
        <w:rPr>
          <w:rFonts w:ascii="Times New Roman" w:hAnsi="Times New Roman" w:cs="Times New Roman"/>
          <w:sz w:val="24"/>
          <w:szCs w:val="24"/>
          <w:lang w:val="en-SG"/>
        </w:rPr>
        <w:t>score</w:t>
      </w:r>
      <w:r w:rsidRPr="008374B5">
        <w:rPr>
          <w:rFonts w:ascii="Times New Roman" w:hAnsi="Times New Roman" w:cs="Times New Roman"/>
          <w:sz w:val="24"/>
          <w:szCs w:val="24"/>
          <w:lang w:val="en-SG"/>
        </w:rPr>
        <w:t xml:space="preserve"> (WLZ) using WHO Anthro software (Version 3.2.2). Growth changes from birth to 12</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month</w:t>
      </w:r>
      <w:r w:rsidR="000B1D17" w:rsidRPr="008374B5">
        <w:rPr>
          <w:rFonts w:ascii="Times New Roman" w:hAnsi="Times New Roman" w:cs="Times New Roman"/>
          <w:sz w:val="24"/>
          <w:szCs w:val="24"/>
          <w:lang w:val="en-SG"/>
        </w:rPr>
        <w:t>-</w:t>
      </w:r>
      <w:r w:rsidR="0006068B" w:rsidRPr="008374B5">
        <w:rPr>
          <w:rFonts w:ascii="Times New Roman" w:hAnsi="Times New Roman" w:cs="Times New Roman"/>
          <w:sz w:val="24"/>
          <w:szCs w:val="24"/>
          <w:lang w:val="en-SG"/>
        </w:rPr>
        <w:t>old</w:t>
      </w:r>
      <w:r w:rsidRPr="008374B5">
        <w:rPr>
          <w:rFonts w:ascii="Times New Roman" w:hAnsi="Times New Roman" w:cs="Times New Roman"/>
          <w:sz w:val="24"/>
          <w:szCs w:val="24"/>
          <w:lang w:val="en-SG"/>
        </w:rPr>
        <w:t xml:space="preserve"> were calculated as differences in WLZ from birth to 12</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month</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old.</w:t>
      </w:r>
      <w:r w:rsidR="00D15FA9" w:rsidRPr="008374B5">
        <w:rPr>
          <w:rFonts w:ascii="Times New Roman" w:hAnsi="Times New Roman" w:cs="Times New Roman"/>
          <w:sz w:val="24"/>
          <w:szCs w:val="24"/>
          <w:lang w:val="en-SG"/>
        </w:rPr>
        <w:t xml:space="preserve"> </w:t>
      </w:r>
      <w:r w:rsidR="003B0AE5" w:rsidRPr="008374B5">
        <w:rPr>
          <w:rFonts w:ascii="Times New Roman" w:hAnsi="Times New Roman" w:cs="Times New Roman"/>
          <w:sz w:val="24"/>
          <w:szCs w:val="24"/>
          <w:lang w:val="en-SG"/>
        </w:rPr>
        <w:t>Using the validated Brief In</w:t>
      </w:r>
      <w:r w:rsidR="00241A08" w:rsidRPr="008374B5">
        <w:rPr>
          <w:rFonts w:ascii="Times New Roman" w:hAnsi="Times New Roman" w:cs="Times New Roman"/>
          <w:sz w:val="24"/>
          <w:szCs w:val="24"/>
          <w:lang w:val="en-SG"/>
        </w:rPr>
        <w:t>fant Sleep Questionnaire</w:t>
      </w:r>
      <w:r w:rsidR="00F87372" w:rsidRPr="008374B5">
        <w:rPr>
          <w:rFonts w:ascii="Times New Roman" w:hAnsi="Times New Roman" w:cs="Times New Roman"/>
          <w:sz w:val="24"/>
          <w:szCs w:val="24"/>
          <w:lang w:val="en-SG"/>
        </w:rPr>
        <w:fldChar w:fldCharType="begin" w:fldLock="1"/>
      </w:r>
      <w:r w:rsidR="001459A4">
        <w:rPr>
          <w:rFonts w:ascii="Times New Roman" w:hAnsi="Times New Roman" w:cs="Times New Roman"/>
          <w:sz w:val="24"/>
          <w:szCs w:val="24"/>
          <w:lang w:val="en-SG"/>
        </w:rPr>
        <w:instrText>ADDIN CSL_CITATION { "citationItems" : [ { "id" : "ITEM-1", "itemData" : { "DOI" : "10.1542/peds.113.6.e570", "ISBN" : "1098-4275 (Electronic)\\r0031-4005 (Linking)", "ISSN" : "0031-4005", "PMID" : "15173539", "abstract" : "OBJECTIVE: To develop and validate (using subjective and objective methods) a brief infant sleep questionnaire (BISQ) that would be appropriate for screening in pediatric settings. DESIGN: Two studies were performed to assess the properties of the BISQ. Study I compared BISQ measures with sleep diary measures and objective actigraphic sleep measures for clinical (N = 43) and control (N = 57) groups of infants (5-29 months of age). The second study was based on an Internet survey of 1028 respondents who completed the BISQ posted on an infant sleep web site. RESULTS: In study I, BISQ measures were found to be correlated significantly with sleep measures derived from actigraphy and sleep diaries. BISQ measures (number of night wakings and nocturnal sleep duration) were the best predictors for distinguishing between clinical and control samples. High test-retest correlations (r &gt;.82) were demonstrated for BISQ measures for a subsample of 26 infants. Study II provided a developmental perspective on BISQ measures. The study demonstrated that BISQ measures derived from a large Internet survey provided developmental and sleep ecology-related findings that corresponded to the existing literature findings on sleep patterns in early childhood. CONCLUSIONS: The findings provide psychometric, clinical, and ecologic support for the use of the BISQ as a brief infant sleep screening tool for clinical and research purposes. Potential clinical cutoff scores are provided.", "author" : [ { "dropping-particle" : "", "family" : "Sadeh", "given" : "Avi", "non-dropping-particle" : "", "parse-names" : false, "suffix" : "" } ], "container-title" : "Pediatrics", "id" : "ITEM-1", "issue" : "6", "issued" : { "date-parts" : [ [ "2004" ] ] }, "page" : "e570-e577", "title" : "A brief screening questionnaire for infant sleep problems: validation and findings for an Internet sample.", "type" : "article-journal", "volume" : "113" }, "uris" : [ "http://www.mendeley.com/documents/?uuid=1a589860-6a27-45d6-9a8d-2409cdeed83a" ] } ], "mendeley" : { "formattedCitation" : "&lt;sup&gt;29&lt;/sup&gt;", "plainTextFormattedCitation" : "29", "previouslyFormattedCitation" : "&lt;sup&gt;29&lt;/sup&gt;" }, "properties" : { "noteIndex" : 0 }, "schema" : "https://github.com/citation-style-language/schema/raw/master/csl-citation.json" }</w:instrText>
      </w:r>
      <w:r w:rsidR="00F87372" w:rsidRPr="008374B5">
        <w:rPr>
          <w:rFonts w:ascii="Times New Roman" w:hAnsi="Times New Roman" w:cs="Times New Roman"/>
          <w:sz w:val="24"/>
          <w:szCs w:val="24"/>
          <w:lang w:val="en-SG"/>
        </w:rPr>
        <w:fldChar w:fldCharType="separate"/>
      </w:r>
      <w:r w:rsidR="00724502" w:rsidRPr="00724502">
        <w:rPr>
          <w:rFonts w:ascii="Times New Roman" w:hAnsi="Times New Roman" w:cs="Times New Roman"/>
          <w:noProof/>
          <w:sz w:val="24"/>
          <w:szCs w:val="24"/>
          <w:vertAlign w:val="superscript"/>
          <w:lang w:val="en-SG"/>
        </w:rPr>
        <w:t>29</w:t>
      </w:r>
      <w:r w:rsidR="00F87372" w:rsidRPr="008374B5">
        <w:rPr>
          <w:rFonts w:ascii="Times New Roman" w:hAnsi="Times New Roman" w:cs="Times New Roman"/>
          <w:sz w:val="24"/>
          <w:szCs w:val="24"/>
          <w:lang w:val="en-SG"/>
        </w:rPr>
        <w:fldChar w:fldCharType="end"/>
      </w:r>
      <w:r w:rsidR="003B0AE5" w:rsidRPr="008374B5">
        <w:rPr>
          <w:rFonts w:ascii="Times New Roman" w:hAnsi="Times New Roman" w:cs="Times New Roman"/>
          <w:sz w:val="24"/>
          <w:szCs w:val="24"/>
          <w:lang w:val="en-SG"/>
        </w:rPr>
        <w:t xml:space="preserve">, </w:t>
      </w:r>
      <w:r w:rsidR="003B0AE5" w:rsidRPr="00C4560A">
        <w:rPr>
          <w:rFonts w:ascii="Times New Roman" w:hAnsi="Times New Roman" w:cs="Times New Roman"/>
          <w:color w:val="FF0000"/>
          <w:sz w:val="24"/>
          <w:szCs w:val="24"/>
          <w:lang w:val="en-SG"/>
        </w:rPr>
        <w:t>m</w:t>
      </w:r>
      <w:r w:rsidR="00D15FA9" w:rsidRPr="00C4560A">
        <w:rPr>
          <w:rFonts w:ascii="Times New Roman" w:hAnsi="Times New Roman" w:cs="Times New Roman"/>
          <w:color w:val="FF0000"/>
          <w:sz w:val="24"/>
          <w:szCs w:val="24"/>
          <w:lang w:val="en-SG"/>
        </w:rPr>
        <w:t xml:space="preserve">others </w:t>
      </w:r>
      <w:r w:rsidR="000D132F" w:rsidRPr="00C4560A">
        <w:rPr>
          <w:rFonts w:ascii="Times New Roman" w:hAnsi="Times New Roman" w:cs="Times New Roman"/>
          <w:color w:val="FF0000"/>
          <w:sz w:val="24"/>
          <w:szCs w:val="24"/>
          <w:lang w:val="en-SG"/>
        </w:rPr>
        <w:t>were asked to refer to their infant’s sleeping habits for the last one week and record</w:t>
      </w:r>
      <w:r w:rsidR="003B0AE5" w:rsidRPr="00C4560A">
        <w:rPr>
          <w:rFonts w:ascii="Times New Roman" w:hAnsi="Times New Roman" w:cs="Times New Roman"/>
          <w:color w:val="FF0000"/>
          <w:sz w:val="24"/>
          <w:szCs w:val="24"/>
          <w:lang w:val="en-SG"/>
        </w:rPr>
        <w:t xml:space="preserve"> </w:t>
      </w:r>
      <w:r w:rsidR="00A868F1" w:rsidRPr="00C4560A">
        <w:rPr>
          <w:rFonts w:ascii="Times New Roman" w:hAnsi="Times New Roman" w:cs="Times New Roman"/>
          <w:color w:val="FF0000"/>
          <w:sz w:val="24"/>
          <w:szCs w:val="24"/>
          <w:lang w:val="en-SG"/>
        </w:rPr>
        <w:t>his/her</w:t>
      </w:r>
      <w:r w:rsidR="00A868F1">
        <w:rPr>
          <w:rFonts w:ascii="Times New Roman" w:hAnsi="Times New Roman" w:cs="Times New Roman"/>
          <w:sz w:val="24"/>
          <w:szCs w:val="24"/>
          <w:lang w:val="en-SG"/>
        </w:rPr>
        <w:t xml:space="preserve"> </w:t>
      </w:r>
      <w:r w:rsidR="003B0AE5" w:rsidRPr="008374B5">
        <w:rPr>
          <w:rFonts w:ascii="Times New Roman" w:hAnsi="Times New Roman" w:cs="Times New Roman"/>
          <w:sz w:val="24"/>
          <w:szCs w:val="24"/>
          <w:lang w:val="en-SG"/>
        </w:rPr>
        <w:t>day and n</w:t>
      </w:r>
      <w:r w:rsidR="00730BCB" w:rsidRPr="008374B5">
        <w:rPr>
          <w:rFonts w:ascii="Times New Roman" w:hAnsi="Times New Roman" w:cs="Times New Roman"/>
          <w:sz w:val="24"/>
          <w:szCs w:val="24"/>
          <w:lang w:val="en-SG"/>
        </w:rPr>
        <w:t>ight</w:t>
      </w:r>
      <w:r w:rsidR="003B0AE5" w:rsidRPr="008374B5">
        <w:rPr>
          <w:rFonts w:ascii="Times New Roman" w:hAnsi="Times New Roman" w:cs="Times New Roman"/>
          <w:sz w:val="24"/>
          <w:szCs w:val="24"/>
          <w:lang w:val="en-SG"/>
        </w:rPr>
        <w:t xml:space="preserve"> sleep durations</w:t>
      </w:r>
      <w:r w:rsidR="00E03DCC" w:rsidRPr="008374B5">
        <w:rPr>
          <w:rFonts w:ascii="Times New Roman" w:hAnsi="Times New Roman" w:cs="Times New Roman"/>
          <w:sz w:val="24"/>
          <w:szCs w:val="24"/>
          <w:lang w:val="en-SG"/>
        </w:rPr>
        <w:t xml:space="preserve"> in hours and minutes</w:t>
      </w:r>
      <w:r w:rsidR="00860547" w:rsidRPr="008374B5">
        <w:rPr>
          <w:rFonts w:ascii="Times New Roman" w:hAnsi="Times New Roman" w:cs="Times New Roman"/>
          <w:sz w:val="24"/>
          <w:szCs w:val="24"/>
          <w:lang w:val="en-SG"/>
        </w:rPr>
        <w:t>, and usual bedtime in 24</w:t>
      </w:r>
      <w:r w:rsidR="000B1D17" w:rsidRPr="008374B5">
        <w:rPr>
          <w:rFonts w:ascii="Times New Roman" w:hAnsi="Times New Roman" w:cs="Times New Roman"/>
          <w:sz w:val="24"/>
          <w:szCs w:val="24"/>
          <w:lang w:val="en-SG"/>
        </w:rPr>
        <w:t>-</w:t>
      </w:r>
      <w:r w:rsidR="00860547" w:rsidRPr="008374B5">
        <w:rPr>
          <w:rFonts w:ascii="Times New Roman" w:hAnsi="Times New Roman" w:cs="Times New Roman"/>
          <w:sz w:val="24"/>
          <w:szCs w:val="24"/>
          <w:lang w:val="en-SG"/>
        </w:rPr>
        <w:t>h</w:t>
      </w:r>
      <w:r w:rsidR="000124FC" w:rsidRPr="008374B5">
        <w:rPr>
          <w:rFonts w:ascii="Times New Roman" w:hAnsi="Times New Roman" w:cs="Times New Roman"/>
          <w:sz w:val="24"/>
          <w:szCs w:val="24"/>
          <w:lang w:val="en-SG"/>
        </w:rPr>
        <w:t>our</w:t>
      </w:r>
      <w:r w:rsidR="00785C56" w:rsidRPr="008374B5">
        <w:rPr>
          <w:rFonts w:ascii="Times New Roman" w:hAnsi="Times New Roman" w:cs="Times New Roman"/>
          <w:sz w:val="24"/>
          <w:szCs w:val="24"/>
          <w:lang w:val="en-SG"/>
        </w:rPr>
        <w:t xml:space="preserve"> clock format</w:t>
      </w:r>
      <w:r w:rsidR="003B0AE5" w:rsidRPr="008374B5">
        <w:rPr>
          <w:rFonts w:ascii="Times New Roman" w:hAnsi="Times New Roman" w:cs="Times New Roman"/>
          <w:sz w:val="24"/>
          <w:szCs w:val="24"/>
          <w:lang w:val="en-SG"/>
        </w:rPr>
        <w:t xml:space="preserve">. </w:t>
      </w:r>
      <w:r w:rsidR="00D15FA9" w:rsidRPr="008374B5">
        <w:rPr>
          <w:rFonts w:ascii="Times New Roman" w:hAnsi="Times New Roman" w:cs="Times New Roman"/>
          <w:sz w:val="24"/>
          <w:szCs w:val="24"/>
          <w:lang w:val="en-SG"/>
        </w:rPr>
        <w:t>Infant total sleep duration was calcul</w:t>
      </w:r>
      <w:r w:rsidR="00084DB8" w:rsidRPr="008374B5">
        <w:rPr>
          <w:rFonts w:ascii="Times New Roman" w:hAnsi="Times New Roman" w:cs="Times New Roman"/>
          <w:sz w:val="24"/>
          <w:szCs w:val="24"/>
          <w:lang w:val="en-SG"/>
        </w:rPr>
        <w:t>a</w:t>
      </w:r>
      <w:r w:rsidR="00D15FA9" w:rsidRPr="008374B5">
        <w:rPr>
          <w:rFonts w:ascii="Times New Roman" w:hAnsi="Times New Roman" w:cs="Times New Roman"/>
          <w:sz w:val="24"/>
          <w:szCs w:val="24"/>
          <w:lang w:val="en-SG"/>
        </w:rPr>
        <w:t xml:space="preserve">ted as the sum of </w:t>
      </w:r>
      <w:r w:rsidR="003B0AE5" w:rsidRPr="008374B5">
        <w:rPr>
          <w:rFonts w:ascii="Times New Roman" w:hAnsi="Times New Roman" w:cs="Times New Roman"/>
          <w:sz w:val="24"/>
          <w:szCs w:val="24"/>
          <w:lang w:val="en-SG"/>
        </w:rPr>
        <w:t>day</w:t>
      </w:r>
      <w:r w:rsidR="00730BCB" w:rsidRPr="008374B5">
        <w:rPr>
          <w:rFonts w:ascii="Times New Roman" w:hAnsi="Times New Roman" w:cs="Times New Roman"/>
          <w:sz w:val="24"/>
          <w:szCs w:val="24"/>
          <w:lang w:val="en-SG"/>
        </w:rPr>
        <w:t xml:space="preserve"> and night</w:t>
      </w:r>
      <w:r w:rsidR="003B0AE5" w:rsidRPr="008374B5">
        <w:rPr>
          <w:rFonts w:ascii="Times New Roman" w:hAnsi="Times New Roman" w:cs="Times New Roman"/>
          <w:sz w:val="24"/>
          <w:szCs w:val="24"/>
          <w:lang w:val="en-SG"/>
        </w:rPr>
        <w:t xml:space="preserve"> sleep durations</w:t>
      </w:r>
      <w:r w:rsidR="00E17DA8" w:rsidRPr="008374B5">
        <w:rPr>
          <w:rFonts w:ascii="Times New Roman" w:hAnsi="Times New Roman" w:cs="Times New Roman"/>
          <w:sz w:val="24"/>
          <w:szCs w:val="24"/>
          <w:lang w:val="en-SG"/>
        </w:rPr>
        <w:t>.</w:t>
      </w:r>
    </w:p>
    <w:p w14:paraId="7DE287B9" w14:textId="77777777" w:rsidR="000F7429" w:rsidRPr="008374B5" w:rsidRDefault="000F7429" w:rsidP="008374B5">
      <w:pPr>
        <w:spacing w:after="0" w:line="360" w:lineRule="auto"/>
        <w:jc w:val="both"/>
        <w:rPr>
          <w:rFonts w:ascii="Times New Roman" w:hAnsi="Times New Roman" w:cs="Times New Roman"/>
          <w:i/>
          <w:sz w:val="24"/>
          <w:szCs w:val="24"/>
          <w:lang w:val="en-SG"/>
        </w:rPr>
      </w:pPr>
    </w:p>
    <w:p w14:paraId="3B1DB2E4" w14:textId="77777777" w:rsidR="00A36D2C" w:rsidRPr="008374B5" w:rsidRDefault="00A36D2C" w:rsidP="008374B5">
      <w:pPr>
        <w:spacing w:after="0" w:line="360" w:lineRule="auto"/>
        <w:jc w:val="both"/>
        <w:rPr>
          <w:rFonts w:ascii="Times New Roman" w:hAnsi="Times New Roman" w:cs="Times New Roman"/>
          <w:i/>
          <w:sz w:val="24"/>
          <w:szCs w:val="24"/>
          <w:lang w:val="en-SG"/>
        </w:rPr>
      </w:pPr>
      <w:r w:rsidRPr="008374B5">
        <w:rPr>
          <w:rFonts w:ascii="Times New Roman" w:hAnsi="Times New Roman" w:cs="Times New Roman"/>
          <w:i/>
          <w:sz w:val="24"/>
          <w:szCs w:val="24"/>
          <w:lang w:val="en-SG"/>
        </w:rPr>
        <w:t>Infant dietary assessment</w:t>
      </w:r>
    </w:p>
    <w:p w14:paraId="7D64B8C7" w14:textId="60ED6FE2" w:rsidR="004D05B6" w:rsidRPr="008374B5" w:rsidRDefault="00A36D2C" w:rsidP="008374B5">
      <w:pPr>
        <w:spacing w:after="0" w:line="360" w:lineRule="auto"/>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Infant dietary intake</w:t>
      </w:r>
      <w:r w:rsidR="004512E5" w:rsidRPr="008374B5">
        <w:rPr>
          <w:rFonts w:ascii="Times New Roman" w:hAnsi="Times New Roman" w:cs="Times New Roman"/>
          <w:sz w:val="24"/>
          <w:szCs w:val="24"/>
          <w:lang w:val="en-SG"/>
        </w:rPr>
        <w:t>s</w:t>
      </w:r>
      <w:r w:rsidRPr="008374B5">
        <w:rPr>
          <w:rFonts w:ascii="Times New Roman" w:hAnsi="Times New Roman" w:cs="Times New Roman"/>
          <w:sz w:val="24"/>
          <w:szCs w:val="24"/>
          <w:lang w:val="en-SG"/>
        </w:rPr>
        <w:t xml:space="preserve"> were assessed at 12</w:t>
      </w:r>
      <m:oMath>
        <m:r>
          <m:rPr>
            <m:sty m:val="p"/>
          </m:rPr>
          <w:rPr>
            <w:rFonts w:ascii="Cambria Math" w:hAnsi="Cambria Math" w:cs="Times New Roman"/>
            <w:sz w:val="24"/>
            <w:szCs w:val="24"/>
            <w:lang w:val="en-SG"/>
          </w:rPr>
          <m:t>-</m:t>
        </m:r>
      </m:oMath>
      <w:r w:rsidRPr="008374B5">
        <w:rPr>
          <w:rFonts w:ascii="Times New Roman" w:hAnsi="Times New Roman" w:cs="Times New Roman"/>
          <w:sz w:val="24"/>
          <w:szCs w:val="24"/>
          <w:lang w:val="en-SG"/>
        </w:rPr>
        <w:t>month</w:t>
      </w:r>
      <w:r w:rsidR="000B1D17" w:rsidRPr="008374B5">
        <w:rPr>
          <w:rFonts w:ascii="Times New Roman" w:hAnsi="Times New Roman" w:cs="Times New Roman"/>
          <w:sz w:val="24"/>
          <w:szCs w:val="24"/>
          <w:lang w:val="en-SG"/>
        </w:rPr>
        <w:t>-</w:t>
      </w:r>
      <w:r w:rsidR="00A76843" w:rsidRPr="008374B5">
        <w:rPr>
          <w:rFonts w:ascii="Times New Roman" w:hAnsi="Times New Roman" w:cs="Times New Roman"/>
          <w:sz w:val="24"/>
          <w:szCs w:val="24"/>
          <w:lang w:val="en-SG"/>
        </w:rPr>
        <w:t>old</w:t>
      </w:r>
      <w:r w:rsidRPr="008374B5">
        <w:rPr>
          <w:rFonts w:ascii="Times New Roman" w:hAnsi="Times New Roman" w:cs="Times New Roman"/>
          <w:sz w:val="24"/>
          <w:szCs w:val="24"/>
          <w:lang w:val="en-SG"/>
        </w:rPr>
        <w:t xml:space="preserve">. </w:t>
      </w:r>
      <w:r w:rsidR="003E57FF" w:rsidRPr="008374B5">
        <w:rPr>
          <w:rFonts w:ascii="Times New Roman" w:hAnsi="Times New Roman" w:cs="Times New Roman"/>
          <w:sz w:val="24"/>
          <w:szCs w:val="24"/>
          <w:lang w:val="en-SG"/>
        </w:rPr>
        <w:t>A 24</w:t>
      </w:r>
      <w:r w:rsidR="000B1D17" w:rsidRPr="008374B5">
        <w:rPr>
          <w:rFonts w:ascii="Times New Roman" w:hAnsi="Times New Roman" w:cs="Times New Roman"/>
          <w:sz w:val="24"/>
          <w:szCs w:val="24"/>
          <w:lang w:val="en-SG"/>
        </w:rPr>
        <w:t>-</w:t>
      </w:r>
      <w:r w:rsidR="003E57FF" w:rsidRPr="008374B5">
        <w:rPr>
          <w:rFonts w:ascii="Times New Roman" w:hAnsi="Times New Roman" w:cs="Times New Roman"/>
          <w:sz w:val="24"/>
          <w:szCs w:val="24"/>
          <w:lang w:val="en-SG"/>
        </w:rPr>
        <w:t>h</w:t>
      </w:r>
      <w:r w:rsidR="00DC652F" w:rsidRPr="008374B5">
        <w:rPr>
          <w:rFonts w:ascii="Times New Roman" w:hAnsi="Times New Roman" w:cs="Times New Roman"/>
          <w:sz w:val="24"/>
          <w:szCs w:val="24"/>
          <w:lang w:val="en-SG"/>
        </w:rPr>
        <w:t>our</w:t>
      </w:r>
      <w:r w:rsidR="003E57FF" w:rsidRPr="008374B5">
        <w:rPr>
          <w:rFonts w:ascii="Times New Roman" w:hAnsi="Times New Roman" w:cs="Times New Roman"/>
          <w:sz w:val="24"/>
          <w:szCs w:val="24"/>
          <w:lang w:val="en-SG"/>
        </w:rPr>
        <w:t xml:space="preserve"> dietary recall was administered to mothers by trained clinical staff with the use of the 5</w:t>
      </w:r>
      <w:r w:rsidR="000B1D17" w:rsidRPr="008374B5">
        <w:rPr>
          <w:rFonts w:ascii="Times New Roman" w:hAnsi="Times New Roman" w:cs="Times New Roman"/>
          <w:sz w:val="24"/>
          <w:szCs w:val="24"/>
          <w:lang w:val="en-SG"/>
        </w:rPr>
        <w:t>-</w:t>
      </w:r>
      <w:r w:rsidR="003E57FF" w:rsidRPr="008374B5">
        <w:rPr>
          <w:rFonts w:ascii="Times New Roman" w:hAnsi="Times New Roman" w:cs="Times New Roman"/>
          <w:sz w:val="24"/>
          <w:szCs w:val="24"/>
          <w:lang w:val="en-SG"/>
        </w:rPr>
        <w:t>stage, multiple</w:t>
      </w:r>
      <w:r w:rsidR="000B1D17" w:rsidRPr="008374B5">
        <w:rPr>
          <w:rFonts w:ascii="Times New Roman" w:hAnsi="Times New Roman" w:cs="Times New Roman"/>
          <w:sz w:val="24"/>
          <w:szCs w:val="24"/>
          <w:lang w:val="en-SG"/>
        </w:rPr>
        <w:t>-</w:t>
      </w:r>
      <w:r w:rsidR="003E57FF" w:rsidRPr="008374B5">
        <w:rPr>
          <w:rFonts w:ascii="Times New Roman" w:hAnsi="Times New Roman" w:cs="Times New Roman"/>
          <w:sz w:val="24"/>
          <w:szCs w:val="24"/>
          <w:lang w:val="en-SG"/>
        </w:rPr>
        <w:t>pass interviewing technique</w:t>
      </w:r>
      <w:r w:rsidR="003E57FF" w:rsidRPr="008374B5">
        <w:rPr>
          <w:rFonts w:ascii="Times New Roman" w:hAnsi="Times New Roman" w:cs="Times New Roman"/>
          <w:sz w:val="24"/>
          <w:szCs w:val="24"/>
          <w:lang w:val="en-SG"/>
        </w:rPr>
        <w:fldChar w:fldCharType="begin" w:fldLock="1"/>
      </w:r>
      <w:r w:rsidR="00871AE0">
        <w:rPr>
          <w:rFonts w:ascii="Times New Roman" w:hAnsi="Times New Roman" w:cs="Times New Roman"/>
          <w:sz w:val="24"/>
          <w:szCs w:val="24"/>
          <w:lang w:val="en-SG"/>
        </w:rPr>
        <w:instrText>ADDIN CSL_CITATION { "citationItems" : [ { "id" : "ITEM-1", "itemData" : { "DOI" : "10.3945/an.115.009258", "author" : [ { "dropping-particle" : "", "family" : "Ahluwalia", "given" : "Namanjeet", "non-dropping-particle" : "", "parse-names" : false, "suffix" : "" }, { "dropping-particle" : "", "family" : "Dwyer", "given" : "Johanna", "non-dropping-particle" : "", "parse-names" : false, "suffix" : "" }, { "dropping-particle" : "", "family" : "Terry", "given" : "Ana", "non-dropping-particle" : "", "parse-names" : false, "suffix" : "" }, { "dropping-particle" : "", "family" : "Moshfegh", "given" : "Alanna", "non-dropping-particle" : "", "parse-names" : false, "suffix" : "" }, { "dropping-particle" : "", "family" : "Johnson", "given" : "Clifford", "non-dropping-particle" : "", "parse-names" : false, "suffix" : "" } ], "id" : "ITEM-1", "issue" : "9", "issued" : { "date-parts" : [ [ "2016" ] ] }, "title" : "Update on NHANES Dietary Data : Focus on Collection , Release , Analytical Considerations , and Uses to Inform Public Policy 1 , 2", "type" : "article-journal" }, "uris" : [ "http://www.mendeley.com/documents/?uuid=f9850220-b81a-42a7-9e8f-7f999336f90a" ] } ], "mendeley" : { "formattedCitation" : "&lt;sup&gt;30&lt;/sup&gt;", "plainTextFormattedCitation" : "30", "previouslyFormattedCitation" : "&lt;sup&gt;30&lt;/sup&gt;" }, "properties" : { "noteIndex" : 0 }, "schema" : "https://github.com/citation-style-language/schema/raw/master/csl-citation.json" }</w:instrText>
      </w:r>
      <w:r w:rsidR="003E57FF" w:rsidRPr="008374B5">
        <w:rPr>
          <w:rFonts w:ascii="Times New Roman" w:hAnsi="Times New Roman" w:cs="Times New Roman"/>
          <w:sz w:val="24"/>
          <w:szCs w:val="24"/>
          <w:lang w:val="en-SG"/>
        </w:rPr>
        <w:fldChar w:fldCharType="separate"/>
      </w:r>
      <w:r w:rsidR="00724502" w:rsidRPr="00724502">
        <w:rPr>
          <w:rFonts w:ascii="Times New Roman" w:hAnsi="Times New Roman" w:cs="Times New Roman"/>
          <w:noProof/>
          <w:sz w:val="24"/>
          <w:szCs w:val="24"/>
          <w:vertAlign w:val="superscript"/>
          <w:lang w:val="en-SG"/>
        </w:rPr>
        <w:t>30</w:t>
      </w:r>
      <w:r w:rsidR="003E57FF" w:rsidRPr="008374B5">
        <w:rPr>
          <w:rFonts w:ascii="Times New Roman" w:hAnsi="Times New Roman" w:cs="Times New Roman"/>
          <w:sz w:val="24"/>
          <w:szCs w:val="24"/>
          <w:lang w:val="en-SG"/>
        </w:rPr>
        <w:fldChar w:fldCharType="end"/>
      </w:r>
      <w:r w:rsidR="003E57FF" w:rsidRPr="008374B5">
        <w:rPr>
          <w:rFonts w:ascii="Times New Roman" w:hAnsi="Times New Roman" w:cs="Times New Roman"/>
          <w:sz w:val="24"/>
          <w:szCs w:val="24"/>
          <w:lang w:val="en-SG"/>
        </w:rPr>
        <w:t xml:space="preserve"> to record food</w:t>
      </w:r>
      <w:r w:rsidR="00241A08" w:rsidRPr="008374B5">
        <w:rPr>
          <w:rFonts w:ascii="Times New Roman" w:hAnsi="Times New Roman" w:cs="Times New Roman"/>
          <w:sz w:val="24"/>
          <w:szCs w:val="24"/>
          <w:lang w:val="en-SG"/>
        </w:rPr>
        <w:t xml:space="preserve"> and beverage intakes, together with feeding times, consumed by their child </w:t>
      </w:r>
      <w:r w:rsidR="003E57FF" w:rsidRPr="008374B5">
        <w:rPr>
          <w:rFonts w:ascii="Times New Roman" w:hAnsi="Times New Roman" w:cs="Times New Roman"/>
          <w:sz w:val="24"/>
          <w:szCs w:val="24"/>
          <w:lang w:val="en-SG"/>
        </w:rPr>
        <w:t xml:space="preserve">on the </w:t>
      </w:r>
      <w:r w:rsidR="00225215" w:rsidRPr="008374B5">
        <w:rPr>
          <w:rFonts w:ascii="Times New Roman" w:hAnsi="Times New Roman" w:cs="Times New Roman"/>
          <w:sz w:val="24"/>
          <w:szCs w:val="24"/>
          <w:lang w:val="en-SG"/>
        </w:rPr>
        <w:t xml:space="preserve">previous day. Mothers were </w:t>
      </w:r>
      <w:r w:rsidR="003E57FF" w:rsidRPr="008374B5">
        <w:rPr>
          <w:rFonts w:ascii="Times New Roman" w:hAnsi="Times New Roman" w:cs="Times New Roman"/>
          <w:sz w:val="24"/>
          <w:szCs w:val="24"/>
          <w:lang w:val="en-SG"/>
        </w:rPr>
        <w:t xml:space="preserve">asked whether the assessed infant food intakes were typical or atypical compared to other unrecorded days. </w:t>
      </w:r>
      <w:r w:rsidR="004512E5" w:rsidRPr="008374B5">
        <w:rPr>
          <w:rFonts w:ascii="Times New Roman" w:hAnsi="Times New Roman" w:cs="Times New Roman"/>
          <w:sz w:val="24"/>
          <w:szCs w:val="24"/>
          <w:lang w:val="en-SG"/>
        </w:rPr>
        <w:t xml:space="preserve">Total daily </w:t>
      </w:r>
      <w:r w:rsidR="004C0D61" w:rsidRPr="008374B5">
        <w:rPr>
          <w:rFonts w:ascii="Times New Roman" w:hAnsi="Times New Roman" w:cs="Times New Roman"/>
          <w:sz w:val="24"/>
          <w:szCs w:val="24"/>
          <w:lang w:val="en-SG"/>
        </w:rPr>
        <w:t>energy</w:t>
      </w:r>
      <w:r w:rsidR="004512E5" w:rsidRPr="008374B5">
        <w:rPr>
          <w:rFonts w:ascii="Times New Roman" w:hAnsi="Times New Roman" w:cs="Times New Roman"/>
          <w:sz w:val="24"/>
          <w:szCs w:val="24"/>
          <w:lang w:val="en-SG"/>
        </w:rPr>
        <w:t xml:space="preserve"> and n</w:t>
      </w:r>
      <w:r w:rsidRPr="008374B5">
        <w:rPr>
          <w:rFonts w:ascii="Times New Roman" w:hAnsi="Times New Roman" w:cs="Times New Roman"/>
          <w:sz w:val="24"/>
          <w:szCs w:val="24"/>
          <w:lang w:val="en-SG"/>
        </w:rPr>
        <w:t>utrient analys</w:t>
      </w:r>
      <w:r w:rsidR="004512E5" w:rsidRPr="008374B5">
        <w:rPr>
          <w:rFonts w:ascii="Times New Roman" w:hAnsi="Times New Roman" w:cs="Times New Roman"/>
          <w:sz w:val="24"/>
          <w:szCs w:val="24"/>
          <w:lang w:val="en-SG"/>
        </w:rPr>
        <w:t>e</w:t>
      </w:r>
      <w:r w:rsidRPr="008374B5">
        <w:rPr>
          <w:rFonts w:ascii="Times New Roman" w:hAnsi="Times New Roman" w:cs="Times New Roman"/>
          <w:sz w:val="24"/>
          <w:szCs w:val="24"/>
          <w:lang w:val="en-SG"/>
        </w:rPr>
        <w:t xml:space="preserve">s of the dietary </w:t>
      </w:r>
      <w:r w:rsidR="00BF451C" w:rsidRPr="008374B5">
        <w:rPr>
          <w:rFonts w:ascii="Times New Roman" w:hAnsi="Times New Roman" w:cs="Times New Roman"/>
          <w:sz w:val="24"/>
          <w:szCs w:val="24"/>
          <w:lang w:val="en-SG"/>
        </w:rPr>
        <w:t>recalls</w:t>
      </w:r>
      <w:r w:rsidRPr="008374B5">
        <w:rPr>
          <w:rFonts w:ascii="Times New Roman" w:hAnsi="Times New Roman" w:cs="Times New Roman"/>
          <w:sz w:val="24"/>
          <w:szCs w:val="24"/>
          <w:lang w:val="en-SG"/>
        </w:rPr>
        <w:t xml:space="preserve"> were performed with nutrient analysis software (</w:t>
      </w:r>
      <w:proofErr w:type="spellStart"/>
      <w:r w:rsidRPr="008374B5">
        <w:rPr>
          <w:rFonts w:ascii="Times New Roman" w:hAnsi="Times New Roman" w:cs="Times New Roman"/>
          <w:sz w:val="24"/>
          <w:szCs w:val="24"/>
          <w:lang w:val="en-SG"/>
        </w:rPr>
        <w:t>Dietplan</w:t>
      </w:r>
      <w:proofErr w:type="spellEnd"/>
      <w:r w:rsidR="002E6260" w:rsidRPr="008374B5">
        <w:rPr>
          <w:rFonts w:ascii="Times New Roman" w:hAnsi="Times New Roman" w:cs="Times New Roman"/>
          <w:sz w:val="24"/>
          <w:szCs w:val="24"/>
          <w:lang w:val="en-SG"/>
        </w:rPr>
        <w:t xml:space="preserve"> Version 7</w:t>
      </w:r>
      <w:r w:rsidR="00931220" w:rsidRPr="008374B5">
        <w:rPr>
          <w:rFonts w:ascii="Times New Roman" w:hAnsi="Times New Roman" w:cs="Times New Roman"/>
          <w:sz w:val="24"/>
          <w:szCs w:val="24"/>
          <w:lang w:val="en-SG"/>
        </w:rPr>
        <w:t xml:space="preserve">, </w:t>
      </w:r>
      <w:proofErr w:type="spellStart"/>
      <w:r w:rsidR="00931220" w:rsidRPr="008374B5">
        <w:rPr>
          <w:rFonts w:ascii="Times New Roman" w:hAnsi="Times New Roman" w:cs="Times New Roman"/>
          <w:sz w:val="24"/>
          <w:szCs w:val="24"/>
          <w:lang w:val="en-SG"/>
        </w:rPr>
        <w:t>Forestfield</w:t>
      </w:r>
      <w:proofErr w:type="spellEnd"/>
      <w:r w:rsidR="00931220" w:rsidRPr="008374B5">
        <w:rPr>
          <w:rFonts w:ascii="Times New Roman" w:hAnsi="Times New Roman" w:cs="Times New Roman"/>
          <w:sz w:val="24"/>
          <w:szCs w:val="24"/>
          <w:lang w:val="en-SG"/>
        </w:rPr>
        <w:t xml:space="preserve"> Software) that had</w:t>
      </w:r>
      <w:r w:rsidRPr="008374B5">
        <w:rPr>
          <w:rFonts w:ascii="Times New Roman" w:hAnsi="Times New Roman" w:cs="Times New Roman"/>
          <w:sz w:val="24"/>
          <w:szCs w:val="24"/>
          <w:lang w:val="en-SG"/>
        </w:rPr>
        <w:t xml:space="preserve"> food composition database of locally available food</w:t>
      </w:r>
      <w:r w:rsidR="009C4090" w:rsidRPr="008374B5">
        <w:rPr>
          <w:rFonts w:ascii="Times New Roman" w:hAnsi="Times New Roman" w:cs="Times New Roman"/>
          <w:sz w:val="24"/>
          <w:szCs w:val="24"/>
          <w:lang w:val="en-SG"/>
        </w:rPr>
        <w:fldChar w:fldCharType="begin" w:fldLock="1"/>
      </w:r>
      <w:r w:rsidR="001459A4">
        <w:rPr>
          <w:rFonts w:ascii="Times New Roman" w:hAnsi="Times New Roman" w:cs="Times New Roman"/>
          <w:sz w:val="24"/>
          <w:szCs w:val="24"/>
          <w:lang w:val="en-SG"/>
        </w:rPr>
        <w:instrText>ADDIN CSL_CITATION { "citationItems" : [ { "id" : "ITEM-1", "itemData" : { "URL" : "http://www.hpb.gov.sg/HOPPortal/", "accessed" : { "date-parts" : [ [ "2015", "11", "27" ] ] }, "author" : [ { "dropping-particle" : "", "family" : "Health Promotion Board Singapore", "given" : "", "non-dropping-particle" : "", "parse-names" : false, "suffix" : "" } ], "id" : "ITEM-1", "issued" : { "date-parts" : [ [ "2012" ] ] }, "title" : "Singapore: Healthy living and disease prevention information", "type" : "webpage" }, "uris" : [ "http://www.mendeley.com/documents/?uuid=b2a5d611-ff90-4828-bafb-d03db7541adb" ] } ], "mendeley" : { "formattedCitation" : "&lt;sup&gt;31&lt;/sup&gt;", "plainTextFormattedCitation" : "31", "previouslyFormattedCitation" : "&lt;sup&gt;31&lt;/sup&gt;" }, "properties" : { "noteIndex" : 0 }, "schema" : "https://github.com/citation-style-language/schema/raw/master/csl-citation.json" }</w:instrText>
      </w:r>
      <w:r w:rsidR="009C4090" w:rsidRPr="008374B5">
        <w:rPr>
          <w:rFonts w:ascii="Times New Roman" w:hAnsi="Times New Roman" w:cs="Times New Roman"/>
          <w:sz w:val="24"/>
          <w:szCs w:val="24"/>
          <w:lang w:val="en-SG"/>
        </w:rPr>
        <w:fldChar w:fldCharType="separate"/>
      </w:r>
      <w:r w:rsidR="00724502" w:rsidRPr="00724502">
        <w:rPr>
          <w:rFonts w:ascii="Times New Roman" w:hAnsi="Times New Roman" w:cs="Times New Roman"/>
          <w:noProof/>
          <w:sz w:val="24"/>
          <w:szCs w:val="24"/>
          <w:vertAlign w:val="superscript"/>
          <w:lang w:val="en-SG"/>
        </w:rPr>
        <w:t>31</w:t>
      </w:r>
      <w:r w:rsidR="009C4090" w:rsidRPr="008374B5">
        <w:rPr>
          <w:rFonts w:ascii="Times New Roman" w:hAnsi="Times New Roman" w:cs="Times New Roman"/>
          <w:sz w:val="24"/>
          <w:szCs w:val="24"/>
          <w:lang w:val="en-SG"/>
        </w:rPr>
        <w:fldChar w:fldCharType="end"/>
      </w:r>
      <w:r w:rsidRPr="008374B5">
        <w:rPr>
          <w:rFonts w:ascii="Times New Roman" w:hAnsi="Times New Roman" w:cs="Times New Roman"/>
          <w:sz w:val="24"/>
          <w:szCs w:val="24"/>
          <w:lang w:val="en-SG"/>
        </w:rPr>
        <w:t xml:space="preserve">. For mixed dishes not found in the database, nutrient analyses of recipes were performed by the software. For other food items not found in the database, nutrient information was obtained from either food labels or </w:t>
      </w:r>
      <w:r w:rsidR="00931220" w:rsidRPr="008374B5">
        <w:rPr>
          <w:rFonts w:ascii="Times New Roman" w:hAnsi="Times New Roman" w:cs="Times New Roman"/>
          <w:sz w:val="24"/>
          <w:szCs w:val="24"/>
          <w:lang w:val="en-SG"/>
        </w:rPr>
        <w:t xml:space="preserve">the </w:t>
      </w:r>
      <w:r w:rsidRPr="008374B5">
        <w:rPr>
          <w:rFonts w:ascii="Times New Roman" w:hAnsi="Times New Roman" w:cs="Times New Roman"/>
          <w:sz w:val="24"/>
          <w:szCs w:val="24"/>
          <w:lang w:val="en-SG"/>
        </w:rPr>
        <w:t>U</w:t>
      </w:r>
      <w:r w:rsidR="00B11A7F" w:rsidRPr="008374B5">
        <w:rPr>
          <w:rFonts w:ascii="Times New Roman" w:hAnsi="Times New Roman" w:cs="Times New Roman"/>
          <w:sz w:val="24"/>
          <w:szCs w:val="24"/>
          <w:lang w:val="en-SG"/>
        </w:rPr>
        <w:t>SDA national nutrient database</w:t>
      </w:r>
      <w:r w:rsidR="009C4090" w:rsidRPr="008374B5">
        <w:rPr>
          <w:rFonts w:ascii="Times New Roman" w:hAnsi="Times New Roman" w:cs="Times New Roman"/>
          <w:sz w:val="24"/>
          <w:szCs w:val="24"/>
          <w:lang w:val="en-SG"/>
        </w:rPr>
        <w:fldChar w:fldCharType="begin" w:fldLock="1"/>
      </w:r>
      <w:r w:rsidR="001459A4">
        <w:rPr>
          <w:rFonts w:ascii="Times New Roman" w:hAnsi="Times New Roman" w:cs="Times New Roman"/>
          <w:sz w:val="24"/>
          <w:szCs w:val="24"/>
          <w:lang w:val="en-SG"/>
        </w:rPr>
        <w:instrText>ADDIN CSL_CITATION { "citationItems" : [ { "id" : "ITEM-1", "itemData" : { "URL" : "http://ndb.nal.usda.gov/", "accessed" : { "date-parts" : [ [ "2015", "11", "27" ] ] }, "author" : [ { "dropping-particle" : "", "family" : "NDL/FNIC Food Composition Database", "given" : "", "non-dropping-particle" : "", "parse-names" : false, "suffix" : "" } ], "id" : "ITEM-1", "issued" : { "date-parts" : [ [ "2011" ] ] }, "title" : "USDA National nutrient database for standard reference", "type" : "webpage" }, "uris" : [ "http://www.mendeley.com/documents/?uuid=a7070f6c-f53b-4cd2-966c-d522f3a117bf" ] } ], "mendeley" : { "formattedCitation" : "&lt;sup&gt;32&lt;/sup&gt;", "plainTextFormattedCitation" : "32", "previouslyFormattedCitation" : "&lt;sup&gt;32&lt;/sup&gt;" }, "properties" : { "noteIndex" : 0 }, "schema" : "https://github.com/citation-style-language/schema/raw/master/csl-citation.json" }</w:instrText>
      </w:r>
      <w:r w:rsidR="009C4090" w:rsidRPr="008374B5">
        <w:rPr>
          <w:rFonts w:ascii="Times New Roman" w:hAnsi="Times New Roman" w:cs="Times New Roman"/>
          <w:sz w:val="24"/>
          <w:szCs w:val="24"/>
          <w:lang w:val="en-SG"/>
        </w:rPr>
        <w:fldChar w:fldCharType="separate"/>
      </w:r>
      <w:r w:rsidR="00724502" w:rsidRPr="00724502">
        <w:rPr>
          <w:rFonts w:ascii="Times New Roman" w:hAnsi="Times New Roman" w:cs="Times New Roman"/>
          <w:noProof/>
          <w:sz w:val="24"/>
          <w:szCs w:val="24"/>
          <w:vertAlign w:val="superscript"/>
          <w:lang w:val="en-SG"/>
        </w:rPr>
        <w:t>32</w:t>
      </w:r>
      <w:r w:rsidR="009C4090" w:rsidRPr="008374B5">
        <w:rPr>
          <w:rFonts w:ascii="Times New Roman" w:hAnsi="Times New Roman" w:cs="Times New Roman"/>
          <w:sz w:val="24"/>
          <w:szCs w:val="24"/>
          <w:lang w:val="en-SG"/>
        </w:rPr>
        <w:fldChar w:fldCharType="end"/>
      </w:r>
      <w:r w:rsidR="00B11A7F" w:rsidRPr="008374B5">
        <w:rPr>
          <w:rFonts w:ascii="Times New Roman" w:hAnsi="Times New Roman" w:cs="Times New Roman"/>
          <w:sz w:val="24"/>
          <w:szCs w:val="24"/>
          <w:lang w:val="en-SG"/>
        </w:rPr>
        <w:t>.</w:t>
      </w:r>
      <w:r w:rsidR="003363D0" w:rsidRPr="008374B5">
        <w:rPr>
          <w:rFonts w:ascii="Times New Roman" w:hAnsi="Times New Roman" w:cs="Times New Roman"/>
          <w:sz w:val="24"/>
          <w:szCs w:val="24"/>
          <w:lang w:val="en-SG"/>
        </w:rPr>
        <w:t xml:space="preserve"> Proportion</w:t>
      </w:r>
      <w:r w:rsidR="00236DB4" w:rsidRPr="008374B5">
        <w:rPr>
          <w:rFonts w:ascii="Times New Roman" w:hAnsi="Times New Roman" w:cs="Times New Roman"/>
          <w:sz w:val="24"/>
          <w:szCs w:val="24"/>
          <w:lang w:val="en-SG"/>
        </w:rPr>
        <w:t>s of macronutrient intake</w:t>
      </w:r>
      <w:r w:rsidR="003363D0" w:rsidRPr="008374B5">
        <w:rPr>
          <w:rFonts w:ascii="Times New Roman" w:hAnsi="Times New Roman" w:cs="Times New Roman"/>
          <w:sz w:val="24"/>
          <w:szCs w:val="24"/>
          <w:lang w:val="en-SG"/>
        </w:rPr>
        <w:t xml:space="preserve"> were </w:t>
      </w:r>
      <w:r w:rsidR="00236DB4" w:rsidRPr="008374B5">
        <w:rPr>
          <w:rFonts w:ascii="Times New Roman" w:hAnsi="Times New Roman" w:cs="Times New Roman"/>
          <w:sz w:val="24"/>
          <w:szCs w:val="24"/>
          <w:lang w:val="en-SG"/>
        </w:rPr>
        <w:t>expressed as percentage of total</w:t>
      </w:r>
      <w:r w:rsidR="003363D0" w:rsidRPr="008374B5">
        <w:rPr>
          <w:rFonts w:ascii="Times New Roman" w:hAnsi="Times New Roman" w:cs="Times New Roman"/>
          <w:sz w:val="24"/>
          <w:szCs w:val="24"/>
          <w:lang w:val="en-SG"/>
        </w:rPr>
        <w:t xml:space="preserve"> energy </w:t>
      </w:r>
      <w:r w:rsidR="00236DB4" w:rsidRPr="008374B5">
        <w:rPr>
          <w:rFonts w:ascii="Times New Roman" w:hAnsi="Times New Roman" w:cs="Times New Roman"/>
          <w:sz w:val="24"/>
          <w:szCs w:val="24"/>
          <w:lang w:val="en-SG"/>
        </w:rPr>
        <w:t xml:space="preserve">intake </w:t>
      </w:r>
      <w:r w:rsidR="003363D0" w:rsidRPr="008374B5">
        <w:rPr>
          <w:rFonts w:ascii="Times New Roman" w:hAnsi="Times New Roman" w:cs="Times New Roman"/>
          <w:sz w:val="24"/>
          <w:szCs w:val="24"/>
          <w:lang w:val="en-SG"/>
        </w:rPr>
        <w:t xml:space="preserve">and calculated as the amount of energy intake from macronutrient (kcal) / </w:t>
      </w:r>
      <w:r w:rsidR="00BC7269" w:rsidRPr="008374B5">
        <w:rPr>
          <w:rFonts w:ascii="Times New Roman" w:hAnsi="Times New Roman" w:cs="Times New Roman"/>
          <w:sz w:val="24"/>
          <w:szCs w:val="24"/>
          <w:lang w:val="en-SG"/>
        </w:rPr>
        <w:t>total energy intake (kcal) × 100%.</w:t>
      </w:r>
    </w:p>
    <w:p w14:paraId="1FA49722" w14:textId="77777777" w:rsidR="00F87372" w:rsidRPr="008374B5" w:rsidRDefault="00F87372" w:rsidP="008374B5">
      <w:pPr>
        <w:spacing w:after="0" w:line="360" w:lineRule="auto"/>
        <w:jc w:val="both"/>
        <w:rPr>
          <w:rFonts w:ascii="Times New Roman" w:hAnsi="Times New Roman" w:cs="Times New Roman"/>
          <w:sz w:val="24"/>
          <w:szCs w:val="24"/>
          <w:lang w:val="en-SG"/>
        </w:rPr>
      </w:pPr>
    </w:p>
    <w:p w14:paraId="3AAFA199" w14:textId="5FDAACBF" w:rsidR="00F87372" w:rsidRPr="008374B5" w:rsidRDefault="00F87372" w:rsidP="008374B5">
      <w:pPr>
        <w:spacing w:after="0" w:line="360" w:lineRule="auto"/>
        <w:jc w:val="both"/>
        <w:rPr>
          <w:rFonts w:ascii="Times New Roman" w:hAnsi="Times New Roman" w:cs="Times New Roman"/>
          <w:i/>
          <w:sz w:val="24"/>
          <w:szCs w:val="24"/>
          <w:lang w:val="en-SG"/>
        </w:rPr>
      </w:pPr>
      <w:r w:rsidRPr="008374B5">
        <w:rPr>
          <w:rFonts w:ascii="Times New Roman" w:hAnsi="Times New Roman" w:cs="Times New Roman"/>
          <w:i/>
          <w:sz w:val="24"/>
          <w:szCs w:val="24"/>
          <w:lang w:val="en-SG"/>
        </w:rPr>
        <w:t>Infant circadian feeding patterns</w:t>
      </w:r>
    </w:p>
    <w:p w14:paraId="1C11B656" w14:textId="1F2ABAD6" w:rsidR="00A36D2C" w:rsidRPr="008374B5" w:rsidRDefault="00DF3A66" w:rsidP="008374B5">
      <w:pPr>
        <w:spacing w:after="0" w:line="360" w:lineRule="auto"/>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lastRenderedPageBreak/>
        <w:t>The m</w:t>
      </w:r>
      <w:r w:rsidR="006E2084" w:rsidRPr="008374B5">
        <w:rPr>
          <w:rFonts w:ascii="Times New Roman" w:hAnsi="Times New Roman" w:cs="Times New Roman"/>
          <w:sz w:val="24"/>
          <w:szCs w:val="24"/>
          <w:lang w:val="en-SG"/>
        </w:rPr>
        <w:t xml:space="preserve">ean </w:t>
      </w:r>
      <w:r w:rsidR="00366ED6" w:rsidRPr="008374B5">
        <w:rPr>
          <w:rFonts w:ascii="Times New Roman" w:hAnsi="Times New Roman" w:cs="Times New Roman"/>
          <w:sz w:val="24"/>
          <w:szCs w:val="24"/>
          <w:lang w:val="en-SG"/>
        </w:rPr>
        <w:t xml:space="preserve">hourly </w:t>
      </w:r>
      <w:r w:rsidR="002B1A5A" w:rsidRPr="008374B5">
        <w:rPr>
          <w:rFonts w:ascii="Times New Roman" w:hAnsi="Times New Roman" w:cs="Times New Roman"/>
          <w:sz w:val="24"/>
          <w:szCs w:val="24"/>
          <w:lang w:val="en-SG"/>
        </w:rPr>
        <w:t>energy</w:t>
      </w:r>
      <w:r w:rsidR="006E2084" w:rsidRPr="008374B5">
        <w:rPr>
          <w:rFonts w:ascii="Times New Roman" w:hAnsi="Times New Roman" w:cs="Times New Roman"/>
          <w:sz w:val="24"/>
          <w:szCs w:val="24"/>
          <w:lang w:val="en-SG"/>
        </w:rPr>
        <w:t xml:space="preserve"> </w:t>
      </w:r>
      <w:r w:rsidR="00893BD7" w:rsidRPr="008374B5">
        <w:rPr>
          <w:rFonts w:ascii="Times New Roman" w:hAnsi="Times New Roman" w:cs="Times New Roman"/>
          <w:sz w:val="24"/>
          <w:szCs w:val="24"/>
          <w:lang w:val="en-SG"/>
        </w:rPr>
        <w:t xml:space="preserve">intake </w:t>
      </w:r>
      <w:r w:rsidR="001612BB" w:rsidRPr="008374B5">
        <w:rPr>
          <w:rFonts w:ascii="Times New Roman" w:hAnsi="Times New Roman" w:cs="Times New Roman"/>
          <w:sz w:val="24"/>
          <w:szCs w:val="24"/>
          <w:lang w:val="en-SG"/>
        </w:rPr>
        <w:t>and proportion of infa</w:t>
      </w:r>
      <w:r w:rsidRPr="008374B5">
        <w:rPr>
          <w:rFonts w:ascii="Times New Roman" w:hAnsi="Times New Roman" w:cs="Times New Roman"/>
          <w:sz w:val="24"/>
          <w:szCs w:val="24"/>
          <w:lang w:val="en-SG"/>
        </w:rPr>
        <w:t>nts fed against time were</w:t>
      </w:r>
      <w:r w:rsidR="00A52BBB" w:rsidRPr="008374B5">
        <w:rPr>
          <w:rFonts w:ascii="Times New Roman" w:hAnsi="Times New Roman" w:cs="Times New Roman"/>
          <w:sz w:val="24"/>
          <w:szCs w:val="24"/>
          <w:lang w:val="en-SG"/>
        </w:rPr>
        <w:t xml:space="preserve"> graphically depicted</w:t>
      </w:r>
      <w:r w:rsidR="00D173E6" w:rsidRPr="008374B5">
        <w:rPr>
          <w:rFonts w:ascii="Times New Roman" w:hAnsi="Times New Roman" w:cs="Times New Roman"/>
          <w:sz w:val="24"/>
          <w:szCs w:val="24"/>
          <w:lang w:val="en-SG"/>
        </w:rPr>
        <w:t xml:space="preserve"> (Fig.</w:t>
      </w:r>
      <w:r w:rsidR="00366ED6" w:rsidRPr="008374B5">
        <w:rPr>
          <w:rFonts w:ascii="Times New Roman" w:hAnsi="Times New Roman" w:cs="Times New Roman"/>
          <w:sz w:val="24"/>
          <w:szCs w:val="24"/>
          <w:lang w:val="en-SG"/>
        </w:rPr>
        <w:t xml:space="preserve"> 1)</w:t>
      </w:r>
      <w:r w:rsidR="001612BB" w:rsidRPr="008374B5">
        <w:rPr>
          <w:rFonts w:ascii="Times New Roman" w:hAnsi="Times New Roman" w:cs="Times New Roman"/>
          <w:sz w:val="24"/>
          <w:szCs w:val="24"/>
          <w:lang w:val="en-SG"/>
        </w:rPr>
        <w:t xml:space="preserve">. </w:t>
      </w:r>
      <w:r w:rsidRPr="008374B5">
        <w:rPr>
          <w:rFonts w:ascii="Times New Roman" w:hAnsi="Times New Roman" w:cs="Times New Roman"/>
          <w:sz w:val="24"/>
          <w:szCs w:val="24"/>
          <w:lang w:val="en-SG"/>
        </w:rPr>
        <w:t>B</w:t>
      </w:r>
      <w:r w:rsidR="00A52BBB" w:rsidRPr="008374B5">
        <w:rPr>
          <w:rFonts w:ascii="Times New Roman" w:hAnsi="Times New Roman" w:cs="Times New Roman"/>
          <w:sz w:val="24"/>
          <w:szCs w:val="24"/>
          <w:lang w:val="en-SG"/>
        </w:rPr>
        <w:t xml:space="preserve">oth </w:t>
      </w:r>
      <w:r w:rsidRPr="008374B5">
        <w:rPr>
          <w:rFonts w:ascii="Times New Roman" w:hAnsi="Times New Roman" w:cs="Times New Roman"/>
          <w:sz w:val="24"/>
          <w:szCs w:val="24"/>
          <w:lang w:val="en-SG"/>
        </w:rPr>
        <w:t xml:space="preserve">variables were </w:t>
      </w:r>
      <w:r w:rsidR="00A52BBB" w:rsidRPr="008374B5">
        <w:rPr>
          <w:rFonts w:ascii="Times New Roman" w:hAnsi="Times New Roman" w:cs="Times New Roman"/>
          <w:sz w:val="24"/>
          <w:szCs w:val="24"/>
          <w:lang w:val="en-SG"/>
        </w:rPr>
        <w:t>relatively low from</w:t>
      </w:r>
      <w:r w:rsidR="00C4309E" w:rsidRPr="008374B5">
        <w:rPr>
          <w:rFonts w:ascii="Times New Roman" w:hAnsi="Times New Roman" w:cs="Times New Roman"/>
          <w:sz w:val="24"/>
          <w:szCs w:val="24"/>
          <w:lang w:val="en-SG"/>
        </w:rPr>
        <w:t xml:space="preserve"> 00</w:t>
      </w:r>
      <w:r w:rsidR="00860547" w:rsidRPr="008374B5">
        <w:rPr>
          <w:rFonts w:ascii="Times New Roman" w:hAnsi="Times New Roman" w:cs="Times New Roman"/>
          <w:sz w:val="24"/>
          <w:szCs w:val="24"/>
          <w:lang w:val="en-SG"/>
        </w:rPr>
        <w:t>.</w:t>
      </w:r>
      <w:r w:rsidR="00C4309E" w:rsidRPr="008374B5">
        <w:rPr>
          <w:rFonts w:ascii="Times New Roman" w:hAnsi="Times New Roman" w:cs="Times New Roman"/>
          <w:sz w:val="24"/>
          <w:szCs w:val="24"/>
          <w:lang w:val="en-SG"/>
        </w:rPr>
        <w:t>00</w:t>
      </w:r>
      <w:r w:rsidR="00860547" w:rsidRPr="008374B5">
        <w:rPr>
          <w:rFonts w:ascii="Times New Roman" w:hAnsi="Times New Roman" w:cs="Times New Roman"/>
          <w:sz w:val="24"/>
          <w:szCs w:val="24"/>
          <w:lang w:val="en-SG"/>
        </w:rPr>
        <w:t>–</w:t>
      </w:r>
      <w:r w:rsidR="00C4309E" w:rsidRPr="008374B5">
        <w:rPr>
          <w:rFonts w:ascii="Times New Roman" w:hAnsi="Times New Roman" w:cs="Times New Roman"/>
          <w:sz w:val="24"/>
          <w:szCs w:val="24"/>
          <w:lang w:val="en-SG"/>
        </w:rPr>
        <w:t>05</w:t>
      </w:r>
      <w:r w:rsidR="00860547" w:rsidRPr="008374B5">
        <w:rPr>
          <w:rFonts w:ascii="Times New Roman" w:hAnsi="Times New Roman" w:cs="Times New Roman"/>
          <w:sz w:val="24"/>
          <w:szCs w:val="24"/>
          <w:lang w:val="en-SG"/>
        </w:rPr>
        <w:t>.</w:t>
      </w:r>
      <w:r w:rsidR="00C4309E" w:rsidRPr="008374B5">
        <w:rPr>
          <w:rFonts w:ascii="Times New Roman" w:hAnsi="Times New Roman" w:cs="Times New Roman"/>
          <w:sz w:val="24"/>
          <w:szCs w:val="24"/>
          <w:lang w:val="en-SG"/>
        </w:rPr>
        <w:t>59</w:t>
      </w:r>
      <w:r w:rsidR="00860547" w:rsidRPr="008374B5">
        <w:rPr>
          <w:rFonts w:ascii="Times New Roman" w:hAnsi="Times New Roman" w:cs="Times New Roman"/>
          <w:sz w:val="24"/>
          <w:szCs w:val="24"/>
          <w:lang w:val="en-SG"/>
        </w:rPr>
        <w:t xml:space="preserve"> </w:t>
      </w:r>
      <w:r w:rsidR="00C4309E" w:rsidRPr="008374B5">
        <w:rPr>
          <w:rFonts w:ascii="Times New Roman" w:hAnsi="Times New Roman" w:cs="Times New Roman"/>
          <w:sz w:val="24"/>
          <w:szCs w:val="24"/>
          <w:lang w:val="en-SG"/>
        </w:rPr>
        <w:t>h</w:t>
      </w:r>
      <w:r w:rsidR="00860547" w:rsidRPr="008374B5">
        <w:rPr>
          <w:rFonts w:ascii="Times New Roman" w:hAnsi="Times New Roman" w:cs="Times New Roman"/>
          <w:sz w:val="24"/>
          <w:szCs w:val="24"/>
          <w:lang w:val="en-SG"/>
        </w:rPr>
        <w:t>ours</w:t>
      </w:r>
      <w:r w:rsidR="005647AE" w:rsidRPr="008374B5">
        <w:rPr>
          <w:rFonts w:ascii="Times New Roman" w:hAnsi="Times New Roman" w:cs="Times New Roman"/>
          <w:sz w:val="24"/>
          <w:szCs w:val="24"/>
          <w:lang w:val="en-SG"/>
        </w:rPr>
        <w:t xml:space="preserve">. </w:t>
      </w:r>
      <w:r w:rsidR="001B63E3" w:rsidRPr="008374B5">
        <w:rPr>
          <w:rFonts w:ascii="Times New Roman" w:hAnsi="Times New Roman" w:cs="Times New Roman"/>
          <w:sz w:val="24"/>
          <w:szCs w:val="24"/>
          <w:lang w:val="en-SG"/>
        </w:rPr>
        <w:t xml:space="preserve">This timeframe, termed </w:t>
      </w:r>
      <w:r w:rsidR="00450E3C"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1B63E3" w:rsidRPr="008374B5">
        <w:rPr>
          <w:rFonts w:ascii="Times New Roman" w:hAnsi="Times New Roman" w:cs="Times New Roman"/>
          <w:sz w:val="24"/>
          <w:szCs w:val="24"/>
          <w:lang w:val="en-SG"/>
        </w:rPr>
        <w:t>midnight,</w:t>
      </w:r>
      <w:r w:rsidR="001612BB" w:rsidRPr="008374B5">
        <w:rPr>
          <w:rFonts w:ascii="Times New Roman" w:hAnsi="Times New Roman" w:cs="Times New Roman"/>
          <w:sz w:val="24"/>
          <w:szCs w:val="24"/>
          <w:lang w:val="en-SG"/>
        </w:rPr>
        <w:t xml:space="preserve"> w</w:t>
      </w:r>
      <w:r w:rsidR="00C564EE" w:rsidRPr="008374B5">
        <w:rPr>
          <w:rFonts w:ascii="Times New Roman" w:hAnsi="Times New Roman" w:cs="Times New Roman"/>
          <w:sz w:val="24"/>
          <w:szCs w:val="24"/>
          <w:lang w:val="en-SG"/>
        </w:rPr>
        <w:t xml:space="preserve">as </w:t>
      </w:r>
      <w:r w:rsidR="001B63E3" w:rsidRPr="008374B5">
        <w:rPr>
          <w:rFonts w:ascii="Times New Roman" w:hAnsi="Times New Roman" w:cs="Times New Roman"/>
          <w:sz w:val="24"/>
          <w:szCs w:val="24"/>
          <w:lang w:val="en-SG"/>
        </w:rPr>
        <w:t xml:space="preserve">henceforth </w:t>
      </w:r>
      <w:r w:rsidR="00C564EE" w:rsidRPr="008374B5">
        <w:rPr>
          <w:rFonts w:ascii="Times New Roman" w:hAnsi="Times New Roman" w:cs="Times New Roman"/>
          <w:sz w:val="24"/>
          <w:szCs w:val="24"/>
          <w:lang w:val="en-SG"/>
        </w:rPr>
        <w:t>identified to be a period of</w:t>
      </w:r>
      <w:r w:rsidR="00A516E0" w:rsidRPr="008374B5">
        <w:rPr>
          <w:rFonts w:ascii="Times New Roman" w:hAnsi="Times New Roman" w:cs="Times New Roman"/>
          <w:sz w:val="24"/>
          <w:szCs w:val="24"/>
          <w:lang w:val="en-SG"/>
        </w:rPr>
        <w:t xml:space="preserve"> less </w:t>
      </w:r>
      <w:r w:rsidR="001612BB" w:rsidRPr="008374B5">
        <w:rPr>
          <w:rFonts w:ascii="Times New Roman" w:hAnsi="Times New Roman" w:cs="Times New Roman"/>
          <w:sz w:val="24"/>
          <w:szCs w:val="24"/>
          <w:lang w:val="en-SG"/>
        </w:rPr>
        <w:t xml:space="preserve">common feeding </w:t>
      </w:r>
      <w:r w:rsidR="001B63E3" w:rsidRPr="008374B5">
        <w:rPr>
          <w:rFonts w:ascii="Times New Roman" w:hAnsi="Times New Roman" w:cs="Times New Roman"/>
          <w:sz w:val="24"/>
          <w:szCs w:val="24"/>
          <w:lang w:val="en-SG"/>
        </w:rPr>
        <w:t>hours</w:t>
      </w:r>
      <w:r w:rsidR="001612BB" w:rsidRPr="008374B5">
        <w:rPr>
          <w:rFonts w:ascii="Times New Roman" w:hAnsi="Times New Roman" w:cs="Times New Roman"/>
          <w:sz w:val="24"/>
          <w:szCs w:val="24"/>
          <w:lang w:val="en-SG"/>
        </w:rPr>
        <w:t>.</w:t>
      </w:r>
      <w:r w:rsidR="006E2084" w:rsidRPr="008374B5">
        <w:rPr>
          <w:rFonts w:ascii="Times New Roman" w:hAnsi="Times New Roman" w:cs="Times New Roman"/>
          <w:sz w:val="24"/>
          <w:szCs w:val="24"/>
          <w:lang w:val="en-SG"/>
        </w:rPr>
        <w:t xml:space="preserve"> </w:t>
      </w:r>
      <w:r w:rsidR="00B216BA" w:rsidRPr="008374B5">
        <w:rPr>
          <w:rFonts w:ascii="Times New Roman" w:hAnsi="Times New Roman" w:cs="Times New Roman"/>
          <w:sz w:val="24"/>
          <w:szCs w:val="24"/>
          <w:lang w:val="en-SG"/>
        </w:rPr>
        <w:t>Based on whether they wer</w:t>
      </w:r>
      <w:r w:rsidR="00143492" w:rsidRPr="008374B5">
        <w:rPr>
          <w:rFonts w:ascii="Times New Roman" w:hAnsi="Times New Roman" w:cs="Times New Roman"/>
          <w:sz w:val="24"/>
          <w:szCs w:val="24"/>
          <w:lang w:val="en-SG"/>
        </w:rPr>
        <w:t xml:space="preserve">e fed during the </w:t>
      </w:r>
      <w:r w:rsidR="00450E3C"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143492" w:rsidRPr="008374B5">
        <w:rPr>
          <w:rFonts w:ascii="Times New Roman" w:hAnsi="Times New Roman" w:cs="Times New Roman"/>
          <w:sz w:val="24"/>
          <w:szCs w:val="24"/>
          <w:lang w:val="en-SG"/>
        </w:rPr>
        <w:t>midnight perio</w:t>
      </w:r>
      <w:r w:rsidR="00B216BA" w:rsidRPr="008374B5">
        <w:rPr>
          <w:rFonts w:ascii="Times New Roman" w:hAnsi="Times New Roman" w:cs="Times New Roman"/>
          <w:sz w:val="24"/>
          <w:szCs w:val="24"/>
          <w:lang w:val="en-SG"/>
        </w:rPr>
        <w:t>d</w:t>
      </w:r>
      <w:r w:rsidR="003F4133" w:rsidRPr="008374B5">
        <w:rPr>
          <w:rFonts w:ascii="Times New Roman" w:hAnsi="Times New Roman" w:cs="Times New Roman"/>
          <w:sz w:val="24"/>
          <w:szCs w:val="24"/>
          <w:lang w:val="en-SG"/>
        </w:rPr>
        <w:t xml:space="preserve"> or not</w:t>
      </w:r>
      <w:r w:rsidR="00B216BA" w:rsidRPr="008374B5">
        <w:rPr>
          <w:rFonts w:ascii="Times New Roman" w:hAnsi="Times New Roman" w:cs="Times New Roman"/>
          <w:sz w:val="24"/>
          <w:szCs w:val="24"/>
          <w:lang w:val="en-SG"/>
        </w:rPr>
        <w:t>, i</w:t>
      </w:r>
      <w:r w:rsidR="003F4133" w:rsidRPr="008374B5">
        <w:rPr>
          <w:rFonts w:ascii="Times New Roman" w:hAnsi="Times New Roman" w:cs="Times New Roman"/>
          <w:sz w:val="24"/>
          <w:szCs w:val="24"/>
          <w:lang w:val="en-SG"/>
        </w:rPr>
        <w:t xml:space="preserve">nfants were classified into </w:t>
      </w:r>
      <w:r w:rsidR="00450E3C"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35420B" w:rsidRPr="008374B5">
        <w:rPr>
          <w:rFonts w:ascii="Times New Roman" w:hAnsi="Times New Roman" w:cs="Times New Roman"/>
          <w:sz w:val="24"/>
          <w:szCs w:val="24"/>
          <w:lang w:val="en-SG"/>
        </w:rPr>
        <w:t xml:space="preserve">midnight </w:t>
      </w:r>
      <w:r w:rsidR="00382382" w:rsidRPr="008374B5">
        <w:rPr>
          <w:rFonts w:ascii="Times New Roman" w:hAnsi="Times New Roman" w:cs="Times New Roman"/>
          <w:sz w:val="24"/>
          <w:szCs w:val="24"/>
          <w:lang w:val="en-SG"/>
        </w:rPr>
        <w:t>(00.00–05.59 hours)</w:t>
      </w:r>
      <w:r w:rsidR="003F4133" w:rsidRPr="008374B5">
        <w:rPr>
          <w:rFonts w:ascii="Times New Roman" w:hAnsi="Times New Roman" w:cs="Times New Roman"/>
          <w:sz w:val="24"/>
          <w:szCs w:val="24"/>
          <w:lang w:val="en-SG"/>
        </w:rPr>
        <w:t xml:space="preserve"> and pre</w:t>
      </w:r>
      <w:r w:rsidR="000B1D17" w:rsidRPr="008374B5">
        <w:rPr>
          <w:rFonts w:ascii="Times New Roman" w:hAnsi="Times New Roman" w:cs="Times New Roman"/>
          <w:sz w:val="24"/>
          <w:szCs w:val="24"/>
          <w:lang w:val="en-SG"/>
        </w:rPr>
        <w:t>-</w:t>
      </w:r>
      <w:r w:rsidR="003F4133" w:rsidRPr="008374B5">
        <w:rPr>
          <w:rFonts w:ascii="Times New Roman" w:hAnsi="Times New Roman" w:cs="Times New Roman"/>
          <w:sz w:val="24"/>
          <w:szCs w:val="24"/>
          <w:lang w:val="en-SG"/>
        </w:rPr>
        <w:t>midnight (06.00–23.59 hours) feeders respectively</w:t>
      </w:r>
      <w:r w:rsidR="0035420B" w:rsidRPr="008374B5">
        <w:rPr>
          <w:rFonts w:ascii="Times New Roman" w:hAnsi="Times New Roman" w:cs="Times New Roman"/>
          <w:sz w:val="24"/>
          <w:szCs w:val="24"/>
          <w:lang w:val="en-SG"/>
        </w:rPr>
        <w:t>.</w:t>
      </w:r>
    </w:p>
    <w:p w14:paraId="299E7CD6" w14:textId="77777777" w:rsidR="000F7429" w:rsidRPr="008374B5" w:rsidRDefault="000F7429" w:rsidP="008374B5">
      <w:pPr>
        <w:spacing w:after="0" w:line="360" w:lineRule="auto"/>
        <w:jc w:val="both"/>
        <w:rPr>
          <w:rFonts w:ascii="Times New Roman" w:hAnsi="Times New Roman" w:cs="Times New Roman"/>
          <w:i/>
          <w:sz w:val="24"/>
          <w:szCs w:val="24"/>
          <w:lang w:val="en-SG"/>
        </w:rPr>
      </w:pPr>
    </w:p>
    <w:p w14:paraId="6E8CC773" w14:textId="75352824" w:rsidR="00AE150E" w:rsidRPr="008374B5" w:rsidRDefault="00AE150E" w:rsidP="008374B5">
      <w:pPr>
        <w:spacing w:after="0" w:line="360" w:lineRule="auto"/>
        <w:jc w:val="both"/>
        <w:rPr>
          <w:rFonts w:ascii="Times New Roman" w:hAnsi="Times New Roman" w:cs="Times New Roman"/>
          <w:i/>
          <w:sz w:val="24"/>
          <w:szCs w:val="24"/>
          <w:lang w:val="en-SG"/>
        </w:rPr>
      </w:pPr>
      <w:r w:rsidRPr="008374B5">
        <w:rPr>
          <w:rFonts w:ascii="Times New Roman" w:hAnsi="Times New Roman" w:cs="Times New Roman"/>
          <w:i/>
          <w:sz w:val="24"/>
          <w:szCs w:val="24"/>
          <w:lang w:val="en-SG"/>
        </w:rPr>
        <w:t>Sta</w:t>
      </w:r>
      <w:r w:rsidR="000A3401" w:rsidRPr="008374B5">
        <w:rPr>
          <w:rFonts w:ascii="Times New Roman" w:hAnsi="Times New Roman" w:cs="Times New Roman"/>
          <w:i/>
          <w:sz w:val="24"/>
          <w:szCs w:val="24"/>
          <w:lang w:val="en-SG"/>
        </w:rPr>
        <w:t>tistical analyse</w:t>
      </w:r>
      <w:r w:rsidR="00893BD7" w:rsidRPr="008374B5">
        <w:rPr>
          <w:rFonts w:ascii="Times New Roman" w:hAnsi="Times New Roman" w:cs="Times New Roman"/>
          <w:i/>
          <w:sz w:val="24"/>
          <w:szCs w:val="24"/>
          <w:lang w:val="en-SG"/>
        </w:rPr>
        <w:t>s</w:t>
      </w:r>
    </w:p>
    <w:p w14:paraId="21C5B203" w14:textId="3C4AAE1E" w:rsidR="00720877" w:rsidRPr="008374B5" w:rsidRDefault="007A710C" w:rsidP="008374B5">
      <w:pPr>
        <w:spacing w:after="0" w:line="360" w:lineRule="auto"/>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 xml:space="preserve">Descriptive analysis was performed to </w:t>
      </w:r>
      <w:r w:rsidR="00BC609F" w:rsidRPr="008374B5">
        <w:rPr>
          <w:rFonts w:ascii="Times New Roman" w:hAnsi="Times New Roman" w:cs="Times New Roman"/>
          <w:sz w:val="24"/>
          <w:szCs w:val="24"/>
          <w:lang w:val="en-SG"/>
        </w:rPr>
        <w:t>determine the mean</w:t>
      </w:r>
      <w:r w:rsidR="00223355" w:rsidRPr="008374B5">
        <w:rPr>
          <w:rFonts w:ascii="Times New Roman" w:hAnsi="Times New Roman" w:cs="Times New Roman"/>
          <w:sz w:val="24"/>
          <w:szCs w:val="24"/>
          <w:lang w:val="en-SG"/>
        </w:rPr>
        <w:t xml:space="preserve"> </w:t>
      </w:r>
      <w:r w:rsidR="009425E8" w:rsidRPr="008374B5">
        <w:rPr>
          <w:rFonts w:ascii="Times New Roman" w:hAnsi="Times New Roman" w:cs="Times New Roman"/>
          <w:sz w:val="24"/>
          <w:szCs w:val="24"/>
          <w:lang w:val="en-SG"/>
        </w:rPr>
        <w:t xml:space="preserve">daily </w:t>
      </w:r>
      <w:r w:rsidR="002B1A5A" w:rsidRPr="008374B5">
        <w:rPr>
          <w:rFonts w:ascii="Times New Roman" w:hAnsi="Times New Roman" w:cs="Times New Roman"/>
          <w:sz w:val="24"/>
          <w:szCs w:val="24"/>
          <w:lang w:val="en-SG"/>
        </w:rPr>
        <w:t>energy</w:t>
      </w:r>
      <w:r w:rsidR="00F70A7A" w:rsidRPr="008374B5">
        <w:rPr>
          <w:rFonts w:ascii="Times New Roman" w:hAnsi="Times New Roman" w:cs="Times New Roman"/>
          <w:sz w:val="24"/>
          <w:szCs w:val="24"/>
          <w:lang w:val="en-SG"/>
        </w:rPr>
        <w:t xml:space="preserve"> and macronutrient </w:t>
      </w:r>
      <w:r w:rsidR="00223355" w:rsidRPr="008374B5">
        <w:rPr>
          <w:rFonts w:ascii="Times New Roman" w:hAnsi="Times New Roman" w:cs="Times New Roman"/>
          <w:sz w:val="24"/>
          <w:szCs w:val="24"/>
          <w:lang w:val="en-SG"/>
        </w:rPr>
        <w:t>intake</w:t>
      </w:r>
      <w:r w:rsidR="00C95A12" w:rsidRPr="008374B5">
        <w:rPr>
          <w:rFonts w:ascii="Times New Roman" w:hAnsi="Times New Roman" w:cs="Times New Roman"/>
          <w:sz w:val="24"/>
          <w:szCs w:val="24"/>
          <w:lang w:val="en-SG"/>
        </w:rPr>
        <w:t>s</w:t>
      </w:r>
      <w:r w:rsidR="00223355"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 </w:t>
      </w:r>
      <w:r w:rsidR="007458A9" w:rsidRPr="008374B5">
        <w:rPr>
          <w:rFonts w:ascii="Times New Roman" w:hAnsi="Times New Roman" w:cs="Times New Roman"/>
          <w:sz w:val="24"/>
          <w:szCs w:val="24"/>
          <w:lang w:val="en-SG"/>
        </w:rPr>
        <w:t xml:space="preserve">Differences between </w:t>
      </w:r>
      <w:r w:rsidR="00192AC2" w:rsidRPr="008374B5">
        <w:rPr>
          <w:rFonts w:ascii="Times New Roman" w:hAnsi="Times New Roman" w:cs="Times New Roman"/>
          <w:sz w:val="24"/>
          <w:szCs w:val="24"/>
          <w:lang w:val="en-SG"/>
        </w:rPr>
        <w:t>pre</w:t>
      </w:r>
      <w:r w:rsidR="000B1D17" w:rsidRPr="008374B5">
        <w:rPr>
          <w:rFonts w:ascii="Times New Roman" w:hAnsi="Times New Roman" w:cs="Times New Roman"/>
          <w:sz w:val="24"/>
          <w:szCs w:val="24"/>
          <w:lang w:val="en-SG"/>
        </w:rPr>
        <w:t>-</w:t>
      </w:r>
      <w:r w:rsidR="009373B3" w:rsidRPr="008374B5">
        <w:rPr>
          <w:rFonts w:ascii="Times New Roman" w:hAnsi="Times New Roman" w:cs="Times New Roman"/>
          <w:sz w:val="24"/>
          <w:szCs w:val="24"/>
          <w:lang w:val="en-SG"/>
        </w:rPr>
        <w:t>midnight and</w:t>
      </w:r>
      <w:r w:rsidR="00643845" w:rsidRPr="008374B5">
        <w:rPr>
          <w:rFonts w:ascii="Times New Roman" w:hAnsi="Times New Roman" w:cs="Times New Roman"/>
          <w:sz w:val="24"/>
          <w:szCs w:val="24"/>
          <w:lang w:val="en-SG"/>
        </w:rPr>
        <w:t xml:space="preserve"> </w:t>
      </w:r>
      <w:r w:rsidR="00192AC2"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947925" w:rsidRPr="008374B5">
        <w:rPr>
          <w:rFonts w:ascii="Times New Roman" w:hAnsi="Times New Roman" w:cs="Times New Roman"/>
          <w:sz w:val="24"/>
          <w:szCs w:val="24"/>
          <w:lang w:val="en-SG"/>
        </w:rPr>
        <w:t>m</w:t>
      </w:r>
      <w:r w:rsidR="0049106B" w:rsidRPr="008374B5">
        <w:rPr>
          <w:rFonts w:ascii="Times New Roman" w:hAnsi="Times New Roman" w:cs="Times New Roman"/>
          <w:sz w:val="24"/>
          <w:szCs w:val="24"/>
          <w:lang w:val="en-SG"/>
        </w:rPr>
        <w:t>idnight feeders</w:t>
      </w:r>
      <w:r w:rsidR="007458A9" w:rsidRPr="008374B5">
        <w:rPr>
          <w:rFonts w:ascii="Times New Roman" w:hAnsi="Times New Roman" w:cs="Times New Roman"/>
          <w:sz w:val="24"/>
          <w:szCs w:val="24"/>
          <w:lang w:val="en-SG"/>
        </w:rPr>
        <w:t xml:space="preserve"> were compared using Fisher’</w:t>
      </w:r>
      <w:r w:rsidR="00225215" w:rsidRPr="008374B5">
        <w:rPr>
          <w:rFonts w:ascii="Times New Roman" w:hAnsi="Times New Roman" w:cs="Times New Roman"/>
          <w:sz w:val="24"/>
          <w:szCs w:val="24"/>
          <w:lang w:val="en-SG"/>
        </w:rPr>
        <w:t>s exact test</w:t>
      </w:r>
      <w:r w:rsidR="007458A9" w:rsidRPr="008374B5">
        <w:rPr>
          <w:rFonts w:ascii="Times New Roman" w:hAnsi="Times New Roman" w:cs="Times New Roman"/>
          <w:sz w:val="24"/>
          <w:szCs w:val="24"/>
          <w:lang w:val="en-SG"/>
        </w:rPr>
        <w:t xml:space="preserve"> for categorical variables and independent sample </w:t>
      </w:r>
      <w:r w:rsidR="007458A9" w:rsidRPr="008374B5">
        <w:rPr>
          <w:rFonts w:ascii="Times New Roman" w:hAnsi="Times New Roman" w:cs="Times New Roman"/>
          <w:i/>
          <w:sz w:val="24"/>
          <w:szCs w:val="24"/>
          <w:lang w:val="en-SG"/>
        </w:rPr>
        <w:t>t</w:t>
      </w:r>
      <w:r w:rsidR="00DB17CB" w:rsidRPr="008374B5">
        <w:rPr>
          <w:rFonts w:ascii="Times New Roman" w:hAnsi="Times New Roman" w:cs="Times New Roman"/>
          <w:sz w:val="24"/>
          <w:szCs w:val="24"/>
          <w:lang w:val="en-SG"/>
        </w:rPr>
        <w:t xml:space="preserve"> </w:t>
      </w:r>
      <w:r w:rsidR="00225215" w:rsidRPr="008374B5">
        <w:rPr>
          <w:rFonts w:ascii="Times New Roman" w:hAnsi="Times New Roman" w:cs="Times New Roman"/>
          <w:sz w:val="24"/>
          <w:szCs w:val="24"/>
          <w:lang w:val="en-SG"/>
        </w:rPr>
        <w:t>test</w:t>
      </w:r>
      <w:r w:rsidR="007458A9" w:rsidRPr="008374B5">
        <w:rPr>
          <w:rFonts w:ascii="Times New Roman" w:hAnsi="Times New Roman" w:cs="Times New Roman"/>
          <w:sz w:val="24"/>
          <w:szCs w:val="24"/>
          <w:lang w:val="en-SG"/>
        </w:rPr>
        <w:t xml:space="preserve"> for continuous variables.</w:t>
      </w:r>
      <w:r w:rsidR="008146A2" w:rsidRPr="008374B5">
        <w:rPr>
          <w:rFonts w:ascii="Times New Roman" w:hAnsi="Times New Roman" w:cs="Times New Roman"/>
          <w:sz w:val="24"/>
          <w:szCs w:val="24"/>
          <w:lang w:val="en-SG"/>
        </w:rPr>
        <w:t xml:space="preserve"> </w:t>
      </w:r>
      <w:r w:rsidR="00CB36F0" w:rsidRPr="008374B5">
        <w:rPr>
          <w:rFonts w:ascii="Times New Roman" w:hAnsi="Times New Roman" w:cs="Times New Roman"/>
          <w:sz w:val="24"/>
          <w:szCs w:val="24"/>
          <w:lang w:val="en-SG"/>
        </w:rPr>
        <w:t xml:space="preserve">The </w:t>
      </w:r>
      <w:r w:rsidR="00026C6F" w:rsidRPr="008374B5">
        <w:rPr>
          <w:rFonts w:ascii="Times New Roman" w:hAnsi="Times New Roman" w:cs="Times New Roman"/>
          <w:sz w:val="24"/>
          <w:szCs w:val="24"/>
          <w:lang w:val="en-SG"/>
        </w:rPr>
        <w:t>association</w:t>
      </w:r>
      <w:r w:rsidR="0049106B" w:rsidRPr="008374B5">
        <w:rPr>
          <w:rFonts w:ascii="Times New Roman" w:hAnsi="Times New Roman" w:cs="Times New Roman"/>
          <w:sz w:val="24"/>
          <w:szCs w:val="24"/>
          <w:lang w:val="en-SG"/>
        </w:rPr>
        <w:t xml:space="preserve"> </w:t>
      </w:r>
      <w:r w:rsidR="00CB36F0" w:rsidRPr="008374B5">
        <w:rPr>
          <w:rFonts w:ascii="Times New Roman" w:hAnsi="Times New Roman" w:cs="Times New Roman"/>
          <w:sz w:val="24"/>
          <w:szCs w:val="24"/>
          <w:lang w:val="en-SG"/>
        </w:rPr>
        <w:t>of</w:t>
      </w:r>
      <w:r w:rsidR="0049106B" w:rsidRPr="008374B5">
        <w:rPr>
          <w:rFonts w:ascii="Times New Roman" w:hAnsi="Times New Roman" w:cs="Times New Roman"/>
          <w:sz w:val="24"/>
          <w:szCs w:val="24"/>
          <w:lang w:val="en-SG"/>
        </w:rPr>
        <w:t xml:space="preserve"> </w:t>
      </w:r>
      <w:r w:rsidR="00CB36F0" w:rsidRPr="008374B5">
        <w:rPr>
          <w:rFonts w:ascii="Times New Roman" w:hAnsi="Times New Roman" w:cs="Times New Roman"/>
          <w:sz w:val="24"/>
          <w:szCs w:val="24"/>
          <w:lang w:val="en-SG"/>
        </w:rPr>
        <w:t xml:space="preserve">maternal and infant characteristics </w:t>
      </w:r>
      <w:r w:rsidR="000E5117" w:rsidRPr="008374B5">
        <w:rPr>
          <w:rFonts w:ascii="Times New Roman" w:hAnsi="Times New Roman" w:cs="Times New Roman"/>
          <w:sz w:val="24"/>
          <w:szCs w:val="24"/>
          <w:lang w:val="en-SG"/>
        </w:rPr>
        <w:t xml:space="preserve">with feeding patterns </w:t>
      </w:r>
      <w:r w:rsidR="00CB36F0" w:rsidRPr="008374B5">
        <w:rPr>
          <w:rFonts w:ascii="Times New Roman" w:hAnsi="Times New Roman" w:cs="Times New Roman"/>
          <w:sz w:val="24"/>
          <w:szCs w:val="24"/>
          <w:lang w:val="en-SG"/>
        </w:rPr>
        <w:t>was tested using</w:t>
      </w:r>
      <w:r w:rsidR="000A2ED4" w:rsidRPr="008374B5">
        <w:rPr>
          <w:rFonts w:ascii="Times New Roman" w:hAnsi="Times New Roman" w:cs="Times New Roman"/>
          <w:sz w:val="24"/>
          <w:szCs w:val="24"/>
          <w:lang w:val="en-SG"/>
        </w:rPr>
        <w:t xml:space="preserve"> </w:t>
      </w:r>
      <w:r w:rsidR="007137C7" w:rsidRPr="008374B5">
        <w:rPr>
          <w:rFonts w:ascii="Times New Roman" w:hAnsi="Times New Roman" w:cs="Times New Roman"/>
          <w:sz w:val="24"/>
          <w:szCs w:val="24"/>
          <w:lang w:val="en-SG"/>
        </w:rPr>
        <w:t>multivariable logi</w:t>
      </w:r>
      <w:r w:rsidR="00157A7C" w:rsidRPr="008374B5">
        <w:rPr>
          <w:rFonts w:ascii="Times New Roman" w:hAnsi="Times New Roman" w:cs="Times New Roman"/>
          <w:sz w:val="24"/>
          <w:szCs w:val="24"/>
          <w:lang w:val="en-SG"/>
        </w:rPr>
        <w:t>stic regression</w:t>
      </w:r>
      <w:r w:rsidR="00445553" w:rsidRPr="008374B5">
        <w:rPr>
          <w:rFonts w:ascii="Times New Roman" w:hAnsi="Times New Roman" w:cs="Times New Roman"/>
          <w:sz w:val="24"/>
          <w:szCs w:val="24"/>
          <w:lang w:val="en-SG"/>
        </w:rPr>
        <w:t xml:space="preserve">. </w:t>
      </w:r>
      <w:r w:rsidR="00C72CFA" w:rsidRPr="008374B5">
        <w:rPr>
          <w:rFonts w:ascii="Times New Roman" w:hAnsi="Times New Roman" w:cs="Times New Roman"/>
          <w:sz w:val="24"/>
          <w:szCs w:val="24"/>
          <w:lang w:val="en-SG"/>
        </w:rPr>
        <w:t xml:space="preserve">All maternal and infant characteristics were entered simultaneously in the model. </w:t>
      </w:r>
      <w:r w:rsidR="000C2AC9" w:rsidRPr="008374B5">
        <w:rPr>
          <w:rFonts w:ascii="Times New Roman" w:hAnsi="Times New Roman" w:cs="Times New Roman"/>
          <w:sz w:val="24"/>
          <w:szCs w:val="24"/>
          <w:lang w:val="en-SG"/>
        </w:rPr>
        <w:t xml:space="preserve">The </w:t>
      </w:r>
      <w:r w:rsidR="00600664" w:rsidRPr="008374B5">
        <w:rPr>
          <w:rFonts w:ascii="Times New Roman" w:hAnsi="Times New Roman" w:cs="Times New Roman"/>
          <w:sz w:val="24"/>
          <w:szCs w:val="24"/>
          <w:lang w:val="en-SG"/>
        </w:rPr>
        <w:t>analysis</w:t>
      </w:r>
      <w:r w:rsidR="000C2AC9" w:rsidRPr="008374B5">
        <w:rPr>
          <w:rFonts w:ascii="Times New Roman" w:hAnsi="Times New Roman" w:cs="Times New Roman"/>
          <w:sz w:val="24"/>
          <w:szCs w:val="24"/>
          <w:lang w:val="en-SG"/>
        </w:rPr>
        <w:t xml:space="preserve"> was repeated </w:t>
      </w:r>
      <w:r w:rsidR="00E12538" w:rsidRPr="008374B5">
        <w:rPr>
          <w:rFonts w:ascii="Times New Roman" w:hAnsi="Times New Roman" w:cs="Times New Roman"/>
          <w:sz w:val="24"/>
          <w:szCs w:val="24"/>
          <w:lang w:val="en-SG"/>
        </w:rPr>
        <w:t xml:space="preserve">in a </w:t>
      </w:r>
      <w:r w:rsidR="00B760AE" w:rsidRPr="008374B5">
        <w:rPr>
          <w:rFonts w:ascii="Times New Roman" w:hAnsi="Times New Roman" w:cs="Times New Roman"/>
          <w:sz w:val="24"/>
          <w:szCs w:val="24"/>
          <w:lang w:val="en-SG"/>
        </w:rPr>
        <w:t xml:space="preserve">separate </w:t>
      </w:r>
      <w:r w:rsidR="00E12538" w:rsidRPr="008374B5">
        <w:rPr>
          <w:rFonts w:ascii="Times New Roman" w:hAnsi="Times New Roman" w:cs="Times New Roman"/>
          <w:sz w:val="24"/>
          <w:szCs w:val="24"/>
          <w:lang w:val="en-SG"/>
        </w:rPr>
        <w:t>model that</w:t>
      </w:r>
      <w:r w:rsidR="00CB36F0" w:rsidRPr="008374B5">
        <w:rPr>
          <w:rFonts w:ascii="Times New Roman" w:hAnsi="Times New Roman" w:cs="Times New Roman"/>
          <w:sz w:val="24"/>
          <w:szCs w:val="24"/>
          <w:lang w:val="en-SG"/>
        </w:rPr>
        <w:t xml:space="preserve"> </w:t>
      </w:r>
      <w:r w:rsidR="000C2AC9" w:rsidRPr="008374B5">
        <w:rPr>
          <w:rFonts w:ascii="Times New Roman" w:hAnsi="Times New Roman" w:cs="Times New Roman"/>
          <w:sz w:val="24"/>
          <w:szCs w:val="24"/>
          <w:lang w:val="en-SG"/>
        </w:rPr>
        <w:t xml:space="preserve">included </w:t>
      </w:r>
      <w:r w:rsidR="00645AD8" w:rsidRPr="008374B5">
        <w:rPr>
          <w:rFonts w:ascii="Times New Roman" w:hAnsi="Times New Roman" w:cs="Times New Roman"/>
          <w:sz w:val="24"/>
          <w:szCs w:val="24"/>
          <w:lang w:val="en-SG"/>
        </w:rPr>
        <w:t xml:space="preserve">a </w:t>
      </w:r>
      <w:r w:rsidR="00B760AE" w:rsidRPr="008374B5">
        <w:rPr>
          <w:rFonts w:ascii="Times New Roman" w:hAnsi="Times New Roman" w:cs="Times New Roman"/>
          <w:sz w:val="24"/>
          <w:szCs w:val="24"/>
          <w:lang w:val="en-SG"/>
        </w:rPr>
        <w:t>sub</w:t>
      </w:r>
      <w:r w:rsidR="00645AD8" w:rsidRPr="008374B5">
        <w:rPr>
          <w:rFonts w:ascii="Times New Roman" w:hAnsi="Times New Roman" w:cs="Times New Roman"/>
          <w:sz w:val="24"/>
          <w:szCs w:val="24"/>
          <w:lang w:val="en-SG"/>
        </w:rPr>
        <w:t>sample of infants whose</w:t>
      </w:r>
      <w:r w:rsidR="00CB36F0" w:rsidRPr="008374B5">
        <w:rPr>
          <w:rFonts w:ascii="Times New Roman" w:hAnsi="Times New Roman" w:cs="Times New Roman"/>
          <w:sz w:val="24"/>
          <w:szCs w:val="24"/>
          <w:lang w:val="en-SG"/>
        </w:rPr>
        <w:t xml:space="preserve"> total sleep duration</w:t>
      </w:r>
      <w:r w:rsidR="00645AD8" w:rsidRPr="008374B5">
        <w:rPr>
          <w:rFonts w:ascii="Times New Roman" w:hAnsi="Times New Roman" w:cs="Times New Roman"/>
          <w:sz w:val="24"/>
          <w:szCs w:val="24"/>
          <w:lang w:val="en-SG"/>
        </w:rPr>
        <w:t xml:space="preserve"> was </w:t>
      </w:r>
      <w:r w:rsidR="00157A7C" w:rsidRPr="008374B5">
        <w:rPr>
          <w:rFonts w:ascii="Times New Roman" w:hAnsi="Times New Roman" w:cs="Times New Roman"/>
          <w:sz w:val="24"/>
          <w:szCs w:val="24"/>
          <w:lang w:val="en-SG"/>
        </w:rPr>
        <w:t>reported</w:t>
      </w:r>
      <w:r w:rsidR="009955A7" w:rsidRPr="008374B5">
        <w:rPr>
          <w:rFonts w:ascii="Times New Roman" w:hAnsi="Times New Roman" w:cs="Times New Roman"/>
          <w:sz w:val="24"/>
          <w:szCs w:val="24"/>
          <w:lang w:val="en-SG"/>
        </w:rPr>
        <w:t xml:space="preserve"> (</w:t>
      </w:r>
      <w:r w:rsidR="009955A7" w:rsidRPr="008374B5">
        <w:rPr>
          <w:rFonts w:ascii="Times New Roman" w:hAnsi="Times New Roman" w:cs="Times New Roman"/>
          <w:i/>
          <w:sz w:val="24"/>
          <w:szCs w:val="24"/>
          <w:lang w:val="en-SG"/>
        </w:rPr>
        <w:t>n</w:t>
      </w:r>
      <w:r w:rsidR="009955A7" w:rsidRPr="008374B5">
        <w:rPr>
          <w:rFonts w:ascii="Times New Roman" w:hAnsi="Times New Roman" w:cs="Times New Roman"/>
          <w:sz w:val="24"/>
          <w:szCs w:val="24"/>
          <w:lang w:val="en-SG"/>
        </w:rPr>
        <w:t xml:space="preserve"> 171</w:t>
      </w:r>
      <w:r w:rsidR="007475DB" w:rsidRPr="008374B5">
        <w:rPr>
          <w:rFonts w:ascii="Times New Roman" w:hAnsi="Times New Roman" w:cs="Times New Roman"/>
          <w:sz w:val="24"/>
          <w:szCs w:val="24"/>
          <w:lang w:val="en-SG"/>
        </w:rPr>
        <w:t>)</w:t>
      </w:r>
      <w:r w:rsidR="00CB36F0" w:rsidRPr="008374B5">
        <w:rPr>
          <w:rFonts w:ascii="Times New Roman" w:hAnsi="Times New Roman" w:cs="Times New Roman"/>
          <w:sz w:val="24"/>
          <w:szCs w:val="24"/>
          <w:lang w:val="en-SG"/>
        </w:rPr>
        <w:t xml:space="preserve">. </w:t>
      </w:r>
      <w:r w:rsidR="00E12538" w:rsidRPr="008374B5">
        <w:rPr>
          <w:rFonts w:ascii="Times New Roman" w:hAnsi="Times New Roman" w:cs="Times New Roman"/>
          <w:sz w:val="24"/>
          <w:szCs w:val="24"/>
          <w:lang w:val="en-SG"/>
        </w:rPr>
        <w:t>Lastly, a</w:t>
      </w:r>
      <w:r w:rsidR="00B114B2" w:rsidRPr="008374B5">
        <w:rPr>
          <w:rFonts w:ascii="Times New Roman" w:hAnsi="Times New Roman" w:cs="Times New Roman"/>
          <w:sz w:val="24"/>
          <w:szCs w:val="24"/>
          <w:lang w:val="en-SG"/>
        </w:rPr>
        <w:t xml:space="preserve"> </w:t>
      </w:r>
      <w:r w:rsidR="00C257E5" w:rsidRPr="008374B5">
        <w:rPr>
          <w:rFonts w:ascii="Times New Roman" w:hAnsi="Times New Roman" w:cs="Times New Roman"/>
          <w:sz w:val="24"/>
          <w:szCs w:val="24"/>
          <w:lang w:val="en-SG"/>
        </w:rPr>
        <w:t xml:space="preserve">sensitivity </w:t>
      </w:r>
      <w:r w:rsidR="00B114B2" w:rsidRPr="008374B5">
        <w:rPr>
          <w:rFonts w:ascii="Times New Roman" w:hAnsi="Times New Roman" w:cs="Times New Roman"/>
          <w:sz w:val="24"/>
          <w:szCs w:val="24"/>
          <w:lang w:val="en-SG"/>
        </w:rPr>
        <w:t xml:space="preserve">analysis </w:t>
      </w:r>
      <w:r w:rsidR="00DF3A66" w:rsidRPr="008374B5">
        <w:rPr>
          <w:rFonts w:ascii="Times New Roman" w:hAnsi="Times New Roman" w:cs="Times New Roman"/>
          <w:sz w:val="24"/>
          <w:szCs w:val="24"/>
          <w:lang w:val="en-SG"/>
        </w:rPr>
        <w:t>of</w:t>
      </w:r>
      <w:r w:rsidR="00E12538" w:rsidRPr="008374B5">
        <w:rPr>
          <w:rFonts w:ascii="Times New Roman" w:hAnsi="Times New Roman" w:cs="Times New Roman"/>
          <w:sz w:val="24"/>
          <w:szCs w:val="24"/>
          <w:lang w:val="en-SG"/>
        </w:rPr>
        <w:t xml:space="preserve"> the</w:t>
      </w:r>
      <w:r w:rsidR="00C95A12" w:rsidRPr="008374B5">
        <w:rPr>
          <w:rFonts w:ascii="Times New Roman" w:hAnsi="Times New Roman" w:cs="Times New Roman"/>
          <w:sz w:val="24"/>
          <w:szCs w:val="24"/>
          <w:lang w:val="en-SG"/>
        </w:rPr>
        <w:t xml:space="preserve"> </w:t>
      </w:r>
      <w:r w:rsidR="00E12538" w:rsidRPr="008374B5">
        <w:rPr>
          <w:rFonts w:ascii="Times New Roman" w:hAnsi="Times New Roman" w:cs="Times New Roman"/>
          <w:sz w:val="24"/>
          <w:szCs w:val="24"/>
          <w:lang w:val="en-SG"/>
        </w:rPr>
        <w:t xml:space="preserve">main </w:t>
      </w:r>
      <w:r w:rsidR="00C95A12" w:rsidRPr="008374B5">
        <w:rPr>
          <w:rFonts w:ascii="Times New Roman" w:hAnsi="Times New Roman" w:cs="Times New Roman"/>
          <w:sz w:val="24"/>
          <w:szCs w:val="24"/>
          <w:lang w:val="en-SG"/>
        </w:rPr>
        <w:t xml:space="preserve">model </w:t>
      </w:r>
      <w:r w:rsidR="00B114B2" w:rsidRPr="008374B5">
        <w:rPr>
          <w:rFonts w:ascii="Times New Roman" w:hAnsi="Times New Roman" w:cs="Times New Roman"/>
          <w:sz w:val="24"/>
          <w:szCs w:val="24"/>
          <w:lang w:val="en-SG"/>
        </w:rPr>
        <w:t xml:space="preserve">was performed </w:t>
      </w:r>
      <w:r w:rsidR="00DF3A66" w:rsidRPr="008374B5">
        <w:rPr>
          <w:rFonts w:ascii="Times New Roman" w:hAnsi="Times New Roman" w:cs="Times New Roman"/>
          <w:sz w:val="24"/>
          <w:szCs w:val="24"/>
          <w:lang w:val="en-SG"/>
        </w:rPr>
        <w:t>using data from</w:t>
      </w:r>
      <w:r w:rsidR="0072593D" w:rsidRPr="008374B5">
        <w:rPr>
          <w:rFonts w:ascii="Times New Roman" w:hAnsi="Times New Roman" w:cs="Times New Roman"/>
          <w:sz w:val="24"/>
          <w:szCs w:val="24"/>
          <w:lang w:val="en-SG"/>
        </w:rPr>
        <w:t xml:space="preserve"> </w:t>
      </w:r>
      <w:r w:rsidR="00B114B2" w:rsidRPr="008374B5">
        <w:rPr>
          <w:rFonts w:ascii="Times New Roman" w:hAnsi="Times New Roman" w:cs="Times New Roman"/>
          <w:sz w:val="24"/>
          <w:szCs w:val="24"/>
          <w:lang w:val="en-SG"/>
        </w:rPr>
        <w:t xml:space="preserve">infants whose </w:t>
      </w:r>
      <w:r w:rsidR="006A5EA7" w:rsidRPr="008374B5">
        <w:rPr>
          <w:rFonts w:ascii="Times New Roman" w:hAnsi="Times New Roman" w:cs="Times New Roman"/>
          <w:sz w:val="24"/>
          <w:szCs w:val="24"/>
          <w:lang w:val="en-SG"/>
        </w:rPr>
        <w:t>feeding patterns were reported as</w:t>
      </w:r>
      <w:r w:rsidR="00B114B2" w:rsidRPr="008374B5">
        <w:rPr>
          <w:rFonts w:ascii="Times New Roman" w:hAnsi="Times New Roman" w:cs="Times New Roman"/>
          <w:sz w:val="24"/>
          <w:szCs w:val="24"/>
          <w:lang w:val="en-SG"/>
        </w:rPr>
        <w:t xml:space="preserve"> typical</w:t>
      </w:r>
      <w:r w:rsidR="000D56A8" w:rsidRPr="008374B5">
        <w:rPr>
          <w:rFonts w:ascii="Times New Roman" w:hAnsi="Times New Roman" w:cs="Times New Roman"/>
          <w:sz w:val="24"/>
          <w:szCs w:val="24"/>
          <w:lang w:val="en-SG"/>
        </w:rPr>
        <w:t>, which c</w:t>
      </w:r>
      <w:r w:rsidR="00157A7C" w:rsidRPr="008374B5">
        <w:rPr>
          <w:rFonts w:ascii="Times New Roman" w:hAnsi="Times New Roman" w:cs="Times New Roman"/>
          <w:sz w:val="24"/>
          <w:szCs w:val="24"/>
          <w:lang w:val="en-SG"/>
        </w:rPr>
        <w:t>ould</w:t>
      </w:r>
      <w:r w:rsidR="000D56A8" w:rsidRPr="008374B5">
        <w:rPr>
          <w:rFonts w:ascii="Times New Roman" w:hAnsi="Times New Roman" w:cs="Times New Roman"/>
          <w:sz w:val="24"/>
          <w:szCs w:val="24"/>
          <w:lang w:val="en-SG"/>
        </w:rPr>
        <w:t xml:space="preserve"> better reflect the usual dietary intakes of the infants</w:t>
      </w:r>
      <w:r w:rsidR="00B114B2" w:rsidRPr="008374B5">
        <w:rPr>
          <w:rFonts w:ascii="Times New Roman" w:hAnsi="Times New Roman" w:cs="Times New Roman"/>
          <w:sz w:val="24"/>
          <w:szCs w:val="24"/>
          <w:lang w:val="en-SG"/>
        </w:rPr>
        <w:t xml:space="preserve">. </w:t>
      </w:r>
      <w:r w:rsidR="00092E12" w:rsidRPr="008374B5">
        <w:rPr>
          <w:rFonts w:ascii="Times New Roman" w:hAnsi="Times New Roman" w:cs="Times New Roman"/>
          <w:sz w:val="24"/>
          <w:szCs w:val="24"/>
          <w:lang w:val="en-SG"/>
        </w:rPr>
        <w:t xml:space="preserve">All </w:t>
      </w:r>
      <w:r w:rsidR="00557B84" w:rsidRPr="008374B5">
        <w:rPr>
          <w:rFonts w:ascii="Times New Roman" w:hAnsi="Times New Roman" w:cs="Times New Roman"/>
          <w:i/>
          <w:sz w:val="24"/>
          <w:szCs w:val="24"/>
          <w:lang w:val="en-SG"/>
        </w:rPr>
        <w:t>P</w:t>
      </w:r>
      <w:r w:rsidR="00557B84" w:rsidRPr="008374B5">
        <w:rPr>
          <w:rFonts w:ascii="Times New Roman" w:hAnsi="Times New Roman" w:cs="Times New Roman"/>
          <w:sz w:val="24"/>
          <w:szCs w:val="24"/>
          <w:lang w:val="en-SG"/>
        </w:rPr>
        <w:t xml:space="preserve"> values were two</w:t>
      </w:r>
      <w:r w:rsidR="000B1D17" w:rsidRPr="008374B5">
        <w:rPr>
          <w:rFonts w:ascii="Times New Roman" w:hAnsi="Times New Roman" w:cs="Times New Roman"/>
          <w:sz w:val="24"/>
          <w:szCs w:val="24"/>
          <w:lang w:val="en-SG"/>
        </w:rPr>
        <w:t>-</w:t>
      </w:r>
      <w:r w:rsidR="00557B84" w:rsidRPr="008374B5">
        <w:rPr>
          <w:rFonts w:ascii="Times New Roman" w:hAnsi="Times New Roman" w:cs="Times New Roman"/>
          <w:sz w:val="24"/>
          <w:szCs w:val="24"/>
          <w:lang w:val="en-SG"/>
        </w:rPr>
        <w:t xml:space="preserve">tailed, with </w:t>
      </w:r>
      <w:r w:rsidR="0032086B" w:rsidRPr="008374B5">
        <w:rPr>
          <w:rFonts w:ascii="Times New Roman" w:hAnsi="Times New Roman" w:cs="Times New Roman"/>
          <w:i/>
          <w:sz w:val="24"/>
          <w:szCs w:val="24"/>
          <w:lang w:val="en-SG"/>
        </w:rPr>
        <w:t>P</w:t>
      </w:r>
      <w:r w:rsidR="00092E12" w:rsidRPr="008374B5">
        <w:rPr>
          <w:rFonts w:ascii="Times New Roman" w:hAnsi="Times New Roman" w:cs="Times New Roman"/>
          <w:sz w:val="24"/>
          <w:szCs w:val="24"/>
          <w:lang w:val="en-SG"/>
        </w:rPr>
        <w:t xml:space="preserve">&lt;0.05 considered </w:t>
      </w:r>
      <w:r w:rsidR="00DF3A66" w:rsidRPr="008374B5">
        <w:rPr>
          <w:rFonts w:ascii="Times New Roman" w:hAnsi="Times New Roman" w:cs="Times New Roman"/>
          <w:sz w:val="24"/>
          <w:szCs w:val="24"/>
          <w:lang w:val="en-SG"/>
        </w:rPr>
        <w:t xml:space="preserve">to be </w:t>
      </w:r>
      <w:r w:rsidR="00092E12" w:rsidRPr="008374B5">
        <w:rPr>
          <w:rFonts w:ascii="Times New Roman" w:hAnsi="Times New Roman" w:cs="Times New Roman"/>
          <w:sz w:val="24"/>
          <w:szCs w:val="24"/>
          <w:lang w:val="en-SG"/>
        </w:rPr>
        <w:t xml:space="preserve">statistically significant. </w:t>
      </w:r>
      <w:r w:rsidR="0032538C" w:rsidRPr="008374B5">
        <w:rPr>
          <w:rFonts w:ascii="Times New Roman" w:hAnsi="Times New Roman" w:cs="Times New Roman"/>
          <w:sz w:val="24"/>
          <w:szCs w:val="24"/>
          <w:lang w:val="en-SG"/>
        </w:rPr>
        <w:t>All statistical analyses were performed using Statistical Package for the Social Sciences, Version 19.0 (SPSS Inc. Chicago, Illinois, US).</w:t>
      </w:r>
      <w:r w:rsidR="00720877" w:rsidRPr="008374B5">
        <w:rPr>
          <w:rFonts w:ascii="Times New Roman" w:hAnsi="Times New Roman" w:cs="Times New Roman"/>
          <w:b/>
          <w:sz w:val="24"/>
          <w:szCs w:val="24"/>
          <w:lang w:val="en-SG"/>
        </w:rPr>
        <w:br w:type="page"/>
      </w:r>
    </w:p>
    <w:p w14:paraId="384AD5E3" w14:textId="77777777" w:rsidR="00BA523F" w:rsidRPr="008374B5" w:rsidRDefault="00BA523F" w:rsidP="008374B5">
      <w:pPr>
        <w:spacing w:after="0" w:line="360" w:lineRule="auto"/>
        <w:rPr>
          <w:rFonts w:ascii="Times New Roman" w:hAnsi="Times New Roman" w:cs="Times New Roman"/>
          <w:b/>
          <w:sz w:val="24"/>
          <w:szCs w:val="24"/>
          <w:lang w:val="en-SG"/>
        </w:rPr>
      </w:pPr>
      <w:r w:rsidRPr="008374B5">
        <w:rPr>
          <w:rFonts w:ascii="Times New Roman" w:hAnsi="Times New Roman" w:cs="Times New Roman"/>
          <w:b/>
          <w:sz w:val="24"/>
          <w:szCs w:val="24"/>
          <w:lang w:val="en-SG"/>
        </w:rPr>
        <w:lastRenderedPageBreak/>
        <w:t>Results</w:t>
      </w:r>
    </w:p>
    <w:p w14:paraId="1E241779" w14:textId="77777777" w:rsidR="007D1878" w:rsidRPr="008374B5" w:rsidRDefault="007D1878" w:rsidP="008374B5">
      <w:pPr>
        <w:spacing w:after="0" w:line="360" w:lineRule="auto"/>
        <w:jc w:val="both"/>
        <w:rPr>
          <w:rFonts w:ascii="Times New Roman" w:hAnsi="Times New Roman" w:cs="Times New Roman"/>
          <w:i/>
          <w:sz w:val="24"/>
          <w:szCs w:val="24"/>
          <w:lang w:val="en-SG"/>
        </w:rPr>
      </w:pPr>
      <w:r w:rsidRPr="008374B5">
        <w:rPr>
          <w:rFonts w:ascii="Times New Roman" w:hAnsi="Times New Roman" w:cs="Times New Roman"/>
          <w:i/>
          <w:sz w:val="24"/>
          <w:szCs w:val="24"/>
          <w:lang w:val="en-SG"/>
        </w:rPr>
        <w:t>Participant characteristics</w:t>
      </w:r>
    </w:p>
    <w:p w14:paraId="69A53AEC" w14:textId="136B2048" w:rsidR="007D1878" w:rsidRPr="008374B5" w:rsidRDefault="007D1878" w:rsidP="008374B5">
      <w:pPr>
        <w:suppressAutoHyphens/>
        <w:spacing w:after="0" w:line="360" w:lineRule="auto"/>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Among 1237 recruited participants, a total of 431 infants with complete 24</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hour dietary recalls were included in this study. Maternal and infant characteristics were similar between excluded and included participants except for ethnicity, monthly household income, birth order and feeding mode in the first six months of life (all </w:t>
      </w:r>
      <w:r w:rsidRPr="008374B5">
        <w:rPr>
          <w:rFonts w:ascii="Times New Roman" w:hAnsi="Times New Roman" w:cs="Times New Roman"/>
          <w:i/>
          <w:sz w:val="24"/>
          <w:szCs w:val="24"/>
          <w:lang w:val="en-SG"/>
        </w:rPr>
        <w:t>P</w:t>
      </w:r>
      <w:r w:rsidRPr="008374B5">
        <w:rPr>
          <w:rFonts w:ascii="Times New Roman" w:hAnsi="Times New Roman" w:cs="Times New Roman"/>
          <w:sz w:val="24"/>
          <w:szCs w:val="24"/>
          <w:lang w:val="en-SG"/>
        </w:rPr>
        <w:t xml:space="preserve">&lt;0.05) (online Supplementary Table S1). Table 1 shows the maternal and infant characteristics of the included participants. Table 2 shows the mean daily </w:t>
      </w:r>
      <w:r w:rsidR="00DC652F" w:rsidRPr="008374B5">
        <w:rPr>
          <w:rFonts w:ascii="Times New Roman" w:hAnsi="Times New Roman" w:cs="Times New Roman"/>
          <w:sz w:val="24"/>
          <w:szCs w:val="24"/>
          <w:lang w:val="en-SG"/>
        </w:rPr>
        <w:t>24</w:t>
      </w:r>
      <w:r w:rsidR="000B1D17" w:rsidRPr="008374B5">
        <w:rPr>
          <w:rFonts w:ascii="Times New Roman" w:hAnsi="Times New Roman" w:cs="Times New Roman"/>
          <w:sz w:val="24"/>
          <w:szCs w:val="24"/>
          <w:lang w:val="en-SG"/>
        </w:rPr>
        <w:t>-</w:t>
      </w:r>
      <w:r w:rsidR="00DC652F" w:rsidRPr="008374B5">
        <w:rPr>
          <w:rFonts w:ascii="Times New Roman" w:hAnsi="Times New Roman" w:cs="Times New Roman"/>
          <w:sz w:val="24"/>
          <w:szCs w:val="24"/>
          <w:lang w:val="en-SG"/>
        </w:rPr>
        <w:t xml:space="preserve">hour </w:t>
      </w:r>
      <w:r w:rsidRPr="008374B5">
        <w:rPr>
          <w:rFonts w:ascii="Times New Roman" w:hAnsi="Times New Roman" w:cs="Times New Roman"/>
          <w:sz w:val="24"/>
          <w:szCs w:val="24"/>
          <w:lang w:val="en-SG"/>
        </w:rPr>
        <w:t>dietary intakes of infants.</w:t>
      </w:r>
    </w:p>
    <w:p w14:paraId="6C3DCE1A" w14:textId="77777777" w:rsidR="007D1878" w:rsidRPr="008374B5" w:rsidRDefault="007D1878" w:rsidP="008374B5">
      <w:pPr>
        <w:suppressAutoHyphens/>
        <w:spacing w:after="0" w:line="360" w:lineRule="auto"/>
        <w:jc w:val="both"/>
        <w:rPr>
          <w:rFonts w:ascii="Times New Roman" w:hAnsi="Times New Roman" w:cs="Times New Roman"/>
          <w:sz w:val="24"/>
          <w:szCs w:val="24"/>
          <w:lang w:val="en-SG"/>
        </w:rPr>
      </w:pPr>
    </w:p>
    <w:p w14:paraId="344AF534" w14:textId="2508E0C0" w:rsidR="00A933C5" w:rsidRPr="008374B5" w:rsidRDefault="00A933C5" w:rsidP="008374B5">
      <w:pPr>
        <w:suppressAutoHyphens/>
        <w:spacing w:after="0" w:line="360" w:lineRule="auto"/>
        <w:jc w:val="both"/>
        <w:rPr>
          <w:rFonts w:ascii="Times New Roman" w:hAnsi="Times New Roman" w:cs="Times New Roman"/>
          <w:i/>
          <w:sz w:val="24"/>
          <w:szCs w:val="24"/>
          <w:lang w:val="en-SG"/>
        </w:rPr>
      </w:pPr>
      <w:r w:rsidRPr="008374B5">
        <w:rPr>
          <w:rFonts w:ascii="Times New Roman" w:hAnsi="Times New Roman" w:cs="Times New Roman"/>
          <w:i/>
          <w:sz w:val="24"/>
          <w:szCs w:val="24"/>
          <w:lang w:val="en-SG"/>
        </w:rPr>
        <w:t>24</w:t>
      </w:r>
      <w:r w:rsidR="000B1D17" w:rsidRPr="008374B5">
        <w:rPr>
          <w:rFonts w:ascii="Times New Roman" w:hAnsi="Times New Roman" w:cs="Times New Roman"/>
          <w:i/>
          <w:sz w:val="24"/>
          <w:szCs w:val="24"/>
          <w:lang w:val="en-SG"/>
        </w:rPr>
        <w:t>-</w:t>
      </w:r>
      <w:r w:rsidRPr="008374B5">
        <w:rPr>
          <w:rFonts w:ascii="Times New Roman" w:hAnsi="Times New Roman" w:cs="Times New Roman"/>
          <w:i/>
          <w:sz w:val="24"/>
          <w:szCs w:val="24"/>
          <w:lang w:val="en-SG"/>
        </w:rPr>
        <w:t>hour energy intake profile</w:t>
      </w:r>
    </w:p>
    <w:p w14:paraId="3AAD9C07" w14:textId="1011D5C9" w:rsidR="00A933C5" w:rsidRPr="008374B5" w:rsidRDefault="00A933C5" w:rsidP="008374B5">
      <w:pPr>
        <w:suppressAutoHyphens/>
        <w:spacing w:after="0" w:line="360" w:lineRule="auto"/>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A graph of mean hourly energy intake and proportion of infants fed against time was plotted (Fig. 1). The mean energy intake at 06.00 hours was 28 (SD 63) kcal. Thereafter, it increased and fluctuated between approximately 32–46 kcal from 07.00–20.59 hours. At 21.00 hours, the mean energy intake peaked at 62 (SD 101) kcal, just before the mean bedtime at 22.01 hours. It decreased sharply towards a nadir at 00.00 hours and remained below 20 kcal from 01.00–05.59 hours. The hourly proportion of infants fed showed a similar trend. At 06.00 hours, 21.3% of infants were fed. Thereafter, it increased to 28% at 07.00 hours and f</w:t>
      </w:r>
      <w:r w:rsidR="00DC652F" w:rsidRPr="008374B5">
        <w:rPr>
          <w:rFonts w:ascii="Times New Roman" w:hAnsi="Times New Roman" w:cs="Times New Roman"/>
          <w:sz w:val="24"/>
          <w:szCs w:val="24"/>
          <w:lang w:val="en-SG"/>
        </w:rPr>
        <w:t xml:space="preserve">luctuated between approximately </w:t>
      </w:r>
      <w:r w:rsidRPr="008374B5">
        <w:rPr>
          <w:rFonts w:ascii="Times New Roman" w:hAnsi="Times New Roman" w:cs="Times New Roman"/>
          <w:sz w:val="24"/>
          <w:szCs w:val="24"/>
          <w:lang w:val="en-SG"/>
        </w:rPr>
        <w:t>33–46% from 08.00–21.59 hours before decreasing substantially to approximately 26% at 22.00 hours and 23.00 hours. At 00.00 hours, the proportion of infants fed was the lowest at 2.3%. It remained below 10% from 01.00–05.59 hours, with the exception of 03.00 hours when 12.1 % of infants were fed.</w:t>
      </w:r>
    </w:p>
    <w:p w14:paraId="3147895B" w14:textId="67584109" w:rsidR="00A933C5" w:rsidRPr="008374B5" w:rsidRDefault="00A933C5" w:rsidP="008374B5">
      <w:pPr>
        <w:suppressAutoHyphens/>
        <w:spacing w:after="0" w:line="360" w:lineRule="auto"/>
        <w:ind w:firstLine="720"/>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We observed that both mean hourly energy intake and proportion of infants fed were relatively low during 00.00–05.59 hours. Both variables increased substantially at 06.00 hours and remained in the higher range from 06.00–23.59 hours. As such, two distinct feeding patterns could be observed using 06.00 hours as the cut</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off time. The first category includes infants who had at least one feed between 00.00–05.59 hours (post</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midnight feeders) while the second includes infants who fed solely from 06.00–23.59 hours (pre</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midnight feeders). Analysis revealed that 180 infants (41.8%) had at least one post</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midnight feed while the remaining 251 infants (58.2%) only received feeds during the pre</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midnight hours. </w:t>
      </w:r>
    </w:p>
    <w:p w14:paraId="639C59AE" w14:textId="77777777" w:rsidR="00997A7F" w:rsidRPr="008374B5" w:rsidRDefault="00997A7F" w:rsidP="008374B5">
      <w:pPr>
        <w:suppressAutoHyphens/>
        <w:spacing w:after="0" w:line="360" w:lineRule="auto"/>
        <w:ind w:firstLine="720"/>
        <w:jc w:val="both"/>
        <w:rPr>
          <w:rFonts w:ascii="Times New Roman" w:hAnsi="Times New Roman" w:cs="Times New Roman"/>
          <w:sz w:val="24"/>
          <w:szCs w:val="24"/>
          <w:lang w:val="en-SG"/>
        </w:rPr>
      </w:pPr>
    </w:p>
    <w:p w14:paraId="30F5705E" w14:textId="77777777" w:rsidR="002D2870" w:rsidRPr="008374B5" w:rsidRDefault="002D2870" w:rsidP="008374B5">
      <w:pPr>
        <w:suppressAutoHyphens/>
        <w:spacing w:after="0" w:line="360" w:lineRule="auto"/>
        <w:jc w:val="both"/>
        <w:rPr>
          <w:rFonts w:ascii="Times New Roman" w:hAnsi="Times New Roman" w:cs="Times New Roman"/>
          <w:i/>
          <w:sz w:val="24"/>
          <w:szCs w:val="24"/>
          <w:lang w:val="en-SG"/>
        </w:rPr>
      </w:pPr>
      <w:r w:rsidRPr="008374B5">
        <w:rPr>
          <w:rFonts w:ascii="Times New Roman" w:hAnsi="Times New Roman" w:cs="Times New Roman"/>
          <w:i/>
          <w:sz w:val="24"/>
          <w:szCs w:val="24"/>
          <w:lang w:val="en-SG"/>
        </w:rPr>
        <w:t>Comparison of feeding patterns</w:t>
      </w:r>
    </w:p>
    <w:p w14:paraId="52E4871C" w14:textId="392FAD76" w:rsidR="00870DC6" w:rsidRPr="008374B5" w:rsidRDefault="00C04E76" w:rsidP="008374B5">
      <w:pPr>
        <w:suppressAutoHyphens/>
        <w:spacing w:after="0" w:line="360" w:lineRule="auto"/>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 xml:space="preserve">Table </w:t>
      </w:r>
      <w:r w:rsidR="004559EA" w:rsidRPr="008374B5">
        <w:rPr>
          <w:rFonts w:ascii="Times New Roman" w:hAnsi="Times New Roman" w:cs="Times New Roman"/>
          <w:sz w:val="24"/>
          <w:szCs w:val="24"/>
          <w:lang w:val="en-SG"/>
        </w:rPr>
        <w:t>1</w:t>
      </w:r>
      <w:r w:rsidR="003438EB" w:rsidRPr="008374B5">
        <w:rPr>
          <w:rFonts w:ascii="Times New Roman" w:hAnsi="Times New Roman" w:cs="Times New Roman"/>
          <w:sz w:val="24"/>
          <w:szCs w:val="24"/>
          <w:lang w:val="en-SG"/>
        </w:rPr>
        <w:t xml:space="preserve"> shows the comparison of maternal and infant chara</w:t>
      </w:r>
      <w:r w:rsidR="00136680" w:rsidRPr="008374B5">
        <w:rPr>
          <w:rFonts w:ascii="Times New Roman" w:hAnsi="Times New Roman" w:cs="Times New Roman"/>
          <w:sz w:val="24"/>
          <w:szCs w:val="24"/>
          <w:lang w:val="en-SG"/>
        </w:rPr>
        <w:t xml:space="preserve">cteristics between </w:t>
      </w:r>
      <w:r w:rsidR="00D10692" w:rsidRPr="008374B5">
        <w:rPr>
          <w:rFonts w:ascii="Times New Roman" w:hAnsi="Times New Roman" w:cs="Times New Roman"/>
          <w:sz w:val="24"/>
          <w:szCs w:val="24"/>
          <w:lang w:val="en-SG"/>
        </w:rPr>
        <w:t>pre</w:t>
      </w:r>
      <w:r w:rsidR="000B1D17" w:rsidRPr="008374B5">
        <w:rPr>
          <w:rFonts w:ascii="Times New Roman" w:hAnsi="Times New Roman" w:cs="Times New Roman"/>
          <w:sz w:val="24"/>
          <w:szCs w:val="24"/>
          <w:lang w:val="en-SG"/>
        </w:rPr>
        <w:t>-</w:t>
      </w:r>
      <w:r w:rsidR="00221D20" w:rsidRPr="008374B5">
        <w:rPr>
          <w:rFonts w:ascii="Times New Roman" w:hAnsi="Times New Roman" w:cs="Times New Roman"/>
          <w:sz w:val="24"/>
          <w:szCs w:val="24"/>
          <w:lang w:val="en-SG"/>
        </w:rPr>
        <w:t xml:space="preserve">midnight and </w:t>
      </w:r>
      <w:r w:rsidR="00D10692"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221D20" w:rsidRPr="008374B5">
        <w:rPr>
          <w:rFonts w:ascii="Times New Roman" w:hAnsi="Times New Roman" w:cs="Times New Roman"/>
          <w:sz w:val="24"/>
          <w:szCs w:val="24"/>
          <w:lang w:val="en-SG"/>
        </w:rPr>
        <w:t>m</w:t>
      </w:r>
      <w:r w:rsidR="00136680" w:rsidRPr="008374B5">
        <w:rPr>
          <w:rFonts w:ascii="Times New Roman" w:hAnsi="Times New Roman" w:cs="Times New Roman"/>
          <w:sz w:val="24"/>
          <w:szCs w:val="24"/>
          <w:lang w:val="en-SG"/>
        </w:rPr>
        <w:t xml:space="preserve">idnight </w:t>
      </w:r>
      <w:r w:rsidR="00221D20" w:rsidRPr="008374B5">
        <w:rPr>
          <w:rFonts w:ascii="Times New Roman" w:hAnsi="Times New Roman" w:cs="Times New Roman"/>
          <w:sz w:val="24"/>
          <w:szCs w:val="24"/>
          <w:lang w:val="en-SG"/>
        </w:rPr>
        <w:t>feeders</w:t>
      </w:r>
      <w:r w:rsidR="00A7213D" w:rsidRPr="008374B5">
        <w:rPr>
          <w:rFonts w:ascii="Times New Roman" w:hAnsi="Times New Roman" w:cs="Times New Roman"/>
          <w:sz w:val="24"/>
          <w:szCs w:val="24"/>
          <w:lang w:val="en-SG"/>
        </w:rPr>
        <w:t xml:space="preserve">. </w:t>
      </w:r>
      <w:r w:rsidR="002151D8" w:rsidRPr="008374B5">
        <w:rPr>
          <w:rFonts w:ascii="Times New Roman" w:hAnsi="Times New Roman" w:cs="Times New Roman"/>
          <w:sz w:val="24"/>
          <w:szCs w:val="24"/>
          <w:lang w:val="en-SG"/>
        </w:rPr>
        <w:t xml:space="preserve">Compared to </w:t>
      </w:r>
      <w:r w:rsidR="00D10692" w:rsidRPr="008374B5">
        <w:rPr>
          <w:rFonts w:ascii="Times New Roman" w:hAnsi="Times New Roman" w:cs="Times New Roman"/>
          <w:sz w:val="24"/>
          <w:szCs w:val="24"/>
          <w:lang w:val="en-SG"/>
        </w:rPr>
        <w:t>pre</w:t>
      </w:r>
      <w:r w:rsidR="000B1D17" w:rsidRPr="008374B5">
        <w:rPr>
          <w:rFonts w:ascii="Times New Roman" w:hAnsi="Times New Roman" w:cs="Times New Roman"/>
          <w:sz w:val="24"/>
          <w:szCs w:val="24"/>
          <w:lang w:val="en-SG"/>
        </w:rPr>
        <w:t>-</w:t>
      </w:r>
      <w:r w:rsidR="002151D8" w:rsidRPr="008374B5">
        <w:rPr>
          <w:rFonts w:ascii="Times New Roman" w:hAnsi="Times New Roman" w:cs="Times New Roman"/>
          <w:sz w:val="24"/>
          <w:szCs w:val="24"/>
          <w:lang w:val="en-SG"/>
        </w:rPr>
        <w:t xml:space="preserve">midnight feeders, </w:t>
      </w:r>
      <w:r w:rsidR="00D10692"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2151D8" w:rsidRPr="008374B5">
        <w:rPr>
          <w:rFonts w:ascii="Times New Roman" w:hAnsi="Times New Roman" w:cs="Times New Roman"/>
          <w:sz w:val="24"/>
          <w:szCs w:val="24"/>
          <w:lang w:val="en-SG"/>
        </w:rPr>
        <w:t xml:space="preserve">midnight feeders were more likely to </w:t>
      </w:r>
      <w:r w:rsidR="00911FEB" w:rsidRPr="008374B5">
        <w:rPr>
          <w:rFonts w:ascii="Times New Roman" w:hAnsi="Times New Roman" w:cs="Times New Roman"/>
          <w:sz w:val="24"/>
          <w:szCs w:val="24"/>
          <w:lang w:val="en-SG"/>
        </w:rPr>
        <w:t xml:space="preserve">be </w:t>
      </w:r>
      <w:r w:rsidR="002151D8" w:rsidRPr="008374B5">
        <w:rPr>
          <w:rFonts w:ascii="Times New Roman" w:hAnsi="Times New Roman" w:cs="Times New Roman"/>
          <w:sz w:val="24"/>
          <w:szCs w:val="24"/>
          <w:lang w:val="en-SG"/>
        </w:rPr>
        <w:t>born to mothers who had lower education attainment (</w:t>
      </w:r>
      <w:r w:rsidR="0032086B" w:rsidRPr="008374B5">
        <w:rPr>
          <w:rFonts w:ascii="Times New Roman" w:hAnsi="Times New Roman" w:cs="Times New Roman"/>
          <w:i/>
          <w:sz w:val="24"/>
          <w:szCs w:val="24"/>
          <w:lang w:val="en-SG"/>
        </w:rPr>
        <w:t>P</w:t>
      </w:r>
      <w:r w:rsidR="002151D8" w:rsidRPr="008374B5">
        <w:rPr>
          <w:rFonts w:ascii="Times New Roman" w:hAnsi="Times New Roman" w:cs="Times New Roman"/>
          <w:sz w:val="24"/>
          <w:szCs w:val="24"/>
          <w:lang w:val="en-SG"/>
        </w:rPr>
        <w:t xml:space="preserve">=0.007) and </w:t>
      </w:r>
      <w:r w:rsidR="00FB30BF" w:rsidRPr="008374B5">
        <w:rPr>
          <w:rFonts w:ascii="Times New Roman" w:hAnsi="Times New Roman" w:cs="Times New Roman"/>
          <w:sz w:val="24"/>
          <w:szCs w:val="24"/>
          <w:lang w:val="en-SG"/>
        </w:rPr>
        <w:t xml:space="preserve">lower </w:t>
      </w:r>
      <w:r w:rsidR="002151D8" w:rsidRPr="008374B5">
        <w:rPr>
          <w:rFonts w:ascii="Times New Roman" w:hAnsi="Times New Roman" w:cs="Times New Roman"/>
          <w:sz w:val="24"/>
          <w:szCs w:val="24"/>
          <w:lang w:val="en-SG"/>
        </w:rPr>
        <w:t xml:space="preserve">monthly </w:t>
      </w:r>
      <w:r w:rsidR="0029422B" w:rsidRPr="008374B5">
        <w:rPr>
          <w:rFonts w:ascii="Times New Roman" w:hAnsi="Times New Roman" w:cs="Times New Roman"/>
          <w:sz w:val="24"/>
          <w:szCs w:val="24"/>
          <w:lang w:val="en-SG"/>
        </w:rPr>
        <w:t>household income (</w:t>
      </w:r>
      <w:r w:rsidR="0032086B" w:rsidRPr="008374B5">
        <w:rPr>
          <w:rFonts w:ascii="Times New Roman" w:hAnsi="Times New Roman" w:cs="Times New Roman"/>
          <w:i/>
          <w:sz w:val="24"/>
          <w:szCs w:val="24"/>
          <w:lang w:val="en-SG"/>
        </w:rPr>
        <w:t>P</w:t>
      </w:r>
      <w:r w:rsidR="002151D8" w:rsidRPr="008374B5">
        <w:rPr>
          <w:rFonts w:ascii="Times New Roman" w:hAnsi="Times New Roman" w:cs="Times New Roman"/>
          <w:sz w:val="24"/>
          <w:szCs w:val="24"/>
          <w:lang w:val="en-SG"/>
        </w:rPr>
        <w:t>=0.002).</w:t>
      </w:r>
      <w:r w:rsidR="003438EB" w:rsidRPr="008374B5">
        <w:rPr>
          <w:rFonts w:ascii="Times New Roman" w:hAnsi="Times New Roman" w:cs="Times New Roman"/>
          <w:sz w:val="24"/>
          <w:szCs w:val="24"/>
          <w:lang w:val="en-SG"/>
        </w:rPr>
        <w:t xml:space="preserve"> </w:t>
      </w:r>
      <w:r w:rsidR="00D10692"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D10692" w:rsidRPr="008374B5">
        <w:rPr>
          <w:rFonts w:ascii="Times New Roman" w:hAnsi="Times New Roman" w:cs="Times New Roman"/>
          <w:sz w:val="24"/>
          <w:szCs w:val="24"/>
          <w:lang w:val="en-SG"/>
        </w:rPr>
        <w:t>m</w:t>
      </w:r>
      <w:r w:rsidR="00F71640" w:rsidRPr="008374B5">
        <w:rPr>
          <w:rFonts w:ascii="Times New Roman" w:hAnsi="Times New Roman" w:cs="Times New Roman"/>
          <w:sz w:val="24"/>
          <w:szCs w:val="24"/>
          <w:lang w:val="en-SG"/>
        </w:rPr>
        <w:t>idnight feeders were also more likely to be partially breastfed and exclusively formula</w:t>
      </w:r>
      <w:r w:rsidR="000B1D17" w:rsidRPr="008374B5">
        <w:rPr>
          <w:rFonts w:ascii="Times New Roman" w:hAnsi="Times New Roman" w:cs="Times New Roman"/>
          <w:sz w:val="24"/>
          <w:szCs w:val="24"/>
          <w:lang w:val="en-SG"/>
        </w:rPr>
        <w:t>-</w:t>
      </w:r>
      <w:r w:rsidR="00F71640" w:rsidRPr="008374B5">
        <w:rPr>
          <w:rFonts w:ascii="Times New Roman" w:hAnsi="Times New Roman" w:cs="Times New Roman"/>
          <w:sz w:val="24"/>
          <w:szCs w:val="24"/>
          <w:lang w:val="en-SG"/>
        </w:rPr>
        <w:t>fed in</w:t>
      </w:r>
      <w:r w:rsidR="0029422B" w:rsidRPr="008374B5">
        <w:rPr>
          <w:rFonts w:ascii="Times New Roman" w:hAnsi="Times New Roman" w:cs="Times New Roman"/>
          <w:sz w:val="24"/>
          <w:szCs w:val="24"/>
          <w:lang w:val="en-SG"/>
        </w:rPr>
        <w:t xml:space="preserve"> the first six months of life (</w:t>
      </w:r>
      <w:r w:rsidR="0032086B" w:rsidRPr="008374B5">
        <w:rPr>
          <w:rFonts w:ascii="Times New Roman" w:hAnsi="Times New Roman" w:cs="Times New Roman"/>
          <w:i/>
          <w:sz w:val="24"/>
          <w:szCs w:val="24"/>
          <w:lang w:val="en-SG"/>
        </w:rPr>
        <w:t>P</w:t>
      </w:r>
      <w:r w:rsidR="00F71640" w:rsidRPr="008374B5">
        <w:rPr>
          <w:rFonts w:ascii="Times New Roman" w:hAnsi="Times New Roman" w:cs="Times New Roman"/>
          <w:sz w:val="24"/>
          <w:szCs w:val="24"/>
          <w:lang w:val="en-SG"/>
        </w:rPr>
        <w:t>=0.003)</w:t>
      </w:r>
      <w:r w:rsidR="00F41C6C" w:rsidRPr="008374B5">
        <w:rPr>
          <w:rFonts w:ascii="Times New Roman" w:hAnsi="Times New Roman" w:cs="Times New Roman"/>
          <w:sz w:val="24"/>
          <w:szCs w:val="24"/>
          <w:lang w:val="en-SG"/>
        </w:rPr>
        <w:t xml:space="preserve">, </w:t>
      </w:r>
      <w:r w:rsidR="00B27CC3" w:rsidRPr="008374B5">
        <w:rPr>
          <w:rFonts w:ascii="Times New Roman" w:hAnsi="Times New Roman" w:cs="Times New Roman"/>
          <w:sz w:val="24"/>
          <w:szCs w:val="24"/>
          <w:lang w:val="en-SG"/>
        </w:rPr>
        <w:t xml:space="preserve">received only formula milk as their </w:t>
      </w:r>
      <w:r w:rsidR="00B27CC3" w:rsidRPr="008374B5">
        <w:rPr>
          <w:rFonts w:ascii="Times New Roman" w:hAnsi="Times New Roman" w:cs="Times New Roman"/>
          <w:sz w:val="24"/>
          <w:szCs w:val="24"/>
          <w:lang w:val="en-SG"/>
        </w:rPr>
        <w:lastRenderedPageBreak/>
        <w:t>source of milk</w:t>
      </w:r>
      <w:r w:rsidR="0051101F" w:rsidRPr="008374B5">
        <w:rPr>
          <w:rFonts w:ascii="Times New Roman" w:hAnsi="Times New Roman" w:cs="Times New Roman"/>
          <w:sz w:val="24"/>
          <w:szCs w:val="24"/>
          <w:lang w:val="en-SG"/>
        </w:rPr>
        <w:t xml:space="preserve"> at </w:t>
      </w:r>
      <w:r w:rsidR="00833E17" w:rsidRPr="008374B5">
        <w:rPr>
          <w:rFonts w:ascii="Times New Roman" w:hAnsi="Times New Roman" w:cs="Times New Roman"/>
          <w:sz w:val="24"/>
          <w:szCs w:val="24"/>
          <w:lang w:val="en-SG"/>
        </w:rPr>
        <w:t>12</w:t>
      </w:r>
      <w:r w:rsidR="000B1D17" w:rsidRPr="008374B5">
        <w:rPr>
          <w:rFonts w:ascii="Times New Roman" w:hAnsi="Times New Roman" w:cs="Times New Roman"/>
          <w:sz w:val="24"/>
          <w:szCs w:val="24"/>
          <w:lang w:val="en-SG"/>
        </w:rPr>
        <w:t>-</w:t>
      </w:r>
      <w:r w:rsidR="00833E17" w:rsidRPr="008374B5">
        <w:rPr>
          <w:rFonts w:ascii="Times New Roman" w:hAnsi="Times New Roman" w:cs="Times New Roman"/>
          <w:sz w:val="24"/>
          <w:szCs w:val="24"/>
          <w:lang w:val="en-SG"/>
        </w:rPr>
        <w:t>month</w:t>
      </w:r>
      <w:r w:rsidR="000B1D17" w:rsidRPr="008374B5">
        <w:rPr>
          <w:rFonts w:ascii="Times New Roman" w:hAnsi="Times New Roman" w:cs="Times New Roman"/>
          <w:sz w:val="24"/>
          <w:szCs w:val="24"/>
          <w:lang w:val="en-SG"/>
        </w:rPr>
        <w:t>-</w:t>
      </w:r>
      <w:r w:rsidR="00833E17" w:rsidRPr="008374B5">
        <w:rPr>
          <w:rFonts w:ascii="Times New Roman" w:hAnsi="Times New Roman" w:cs="Times New Roman"/>
          <w:sz w:val="24"/>
          <w:szCs w:val="24"/>
          <w:lang w:val="en-SG"/>
        </w:rPr>
        <w:t>old</w:t>
      </w:r>
      <w:r w:rsidR="00817ECF" w:rsidRPr="008374B5">
        <w:rPr>
          <w:rFonts w:ascii="Times New Roman" w:hAnsi="Times New Roman" w:cs="Times New Roman"/>
          <w:sz w:val="24"/>
          <w:szCs w:val="24"/>
          <w:lang w:val="en-SG"/>
        </w:rPr>
        <w:t xml:space="preserve"> (</w:t>
      </w:r>
      <w:r w:rsidR="0032086B" w:rsidRPr="008374B5">
        <w:rPr>
          <w:rFonts w:ascii="Times New Roman" w:hAnsi="Times New Roman" w:cs="Times New Roman"/>
          <w:i/>
          <w:sz w:val="24"/>
          <w:szCs w:val="24"/>
          <w:lang w:val="en-SG"/>
        </w:rPr>
        <w:t>P</w:t>
      </w:r>
      <w:r w:rsidR="00817ECF" w:rsidRPr="008374B5">
        <w:rPr>
          <w:rFonts w:ascii="Times New Roman" w:hAnsi="Times New Roman" w:cs="Times New Roman"/>
          <w:sz w:val="24"/>
          <w:szCs w:val="24"/>
          <w:lang w:val="en-SG"/>
        </w:rPr>
        <w:t>=0.003)</w:t>
      </w:r>
      <w:r w:rsidR="00A35598" w:rsidRPr="008374B5">
        <w:rPr>
          <w:rFonts w:ascii="Times New Roman" w:hAnsi="Times New Roman" w:cs="Times New Roman"/>
          <w:sz w:val="24"/>
          <w:szCs w:val="24"/>
          <w:lang w:val="en-SG"/>
        </w:rPr>
        <w:t xml:space="preserve"> and had</w:t>
      </w:r>
      <w:r w:rsidR="00F71640" w:rsidRPr="008374B5">
        <w:rPr>
          <w:rFonts w:ascii="Times New Roman" w:hAnsi="Times New Roman" w:cs="Times New Roman"/>
          <w:sz w:val="24"/>
          <w:szCs w:val="24"/>
          <w:lang w:val="en-SG"/>
        </w:rPr>
        <w:t xml:space="preserve"> shorter night sleep duration (</w:t>
      </w:r>
      <w:r w:rsidR="0032086B" w:rsidRPr="008374B5">
        <w:rPr>
          <w:rFonts w:ascii="Times New Roman" w:hAnsi="Times New Roman" w:cs="Times New Roman"/>
          <w:i/>
          <w:sz w:val="24"/>
          <w:szCs w:val="24"/>
          <w:lang w:val="en-SG"/>
        </w:rPr>
        <w:t>P</w:t>
      </w:r>
      <w:r w:rsidR="00F71640" w:rsidRPr="008374B5">
        <w:rPr>
          <w:rFonts w:ascii="Times New Roman" w:hAnsi="Times New Roman" w:cs="Times New Roman"/>
          <w:sz w:val="24"/>
          <w:szCs w:val="24"/>
          <w:lang w:val="en-SG"/>
        </w:rPr>
        <w:t xml:space="preserve">=0.041). </w:t>
      </w:r>
      <w:r w:rsidR="00870DC6" w:rsidRPr="008374B5">
        <w:rPr>
          <w:rFonts w:ascii="Times New Roman" w:hAnsi="Times New Roman" w:cs="Times New Roman"/>
          <w:sz w:val="24"/>
          <w:szCs w:val="24"/>
          <w:lang w:val="en-SG"/>
        </w:rPr>
        <w:t xml:space="preserve">No significant differences in other characteristics were observed between </w:t>
      </w:r>
      <w:r w:rsidR="00212F56" w:rsidRPr="008374B5">
        <w:rPr>
          <w:rFonts w:ascii="Times New Roman" w:hAnsi="Times New Roman" w:cs="Times New Roman"/>
          <w:sz w:val="24"/>
          <w:szCs w:val="24"/>
          <w:lang w:val="en-SG"/>
        </w:rPr>
        <w:t>pre</w:t>
      </w:r>
      <w:r w:rsidR="000B1D17" w:rsidRPr="008374B5">
        <w:rPr>
          <w:rFonts w:ascii="Times New Roman" w:hAnsi="Times New Roman" w:cs="Times New Roman"/>
          <w:sz w:val="24"/>
          <w:szCs w:val="24"/>
          <w:lang w:val="en-SG"/>
        </w:rPr>
        <w:t>-</w:t>
      </w:r>
      <w:r w:rsidR="00870DC6" w:rsidRPr="008374B5">
        <w:rPr>
          <w:rFonts w:ascii="Times New Roman" w:hAnsi="Times New Roman" w:cs="Times New Roman"/>
          <w:sz w:val="24"/>
          <w:szCs w:val="24"/>
          <w:lang w:val="en-SG"/>
        </w:rPr>
        <w:t xml:space="preserve">midnight and </w:t>
      </w:r>
      <w:r w:rsidR="00212F56"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870DC6" w:rsidRPr="008374B5">
        <w:rPr>
          <w:rFonts w:ascii="Times New Roman" w:hAnsi="Times New Roman" w:cs="Times New Roman"/>
          <w:sz w:val="24"/>
          <w:szCs w:val="24"/>
          <w:lang w:val="en-SG"/>
        </w:rPr>
        <w:t>midnight feeders.</w:t>
      </w:r>
    </w:p>
    <w:p w14:paraId="24202985" w14:textId="3E51BF8F" w:rsidR="000E068B" w:rsidRPr="008374B5" w:rsidRDefault="004559EA" w:rsidP="008374B5">
      <w:pPr>
        <w:suppressAutoHyphens/>
        <w:spacing w:after="0" w:line="360" w:lineRule="auto"/>
        <w:ind w:firstLine="720"/>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 xml:space="preserve">Table 2 shows the comparison of </w:t>
      </w:r>
      <w:r w:rsidR="002951C2" w:rsidRPr="008374B5">
        <w:rPr>
          <w:rFonts w:ascii="Times New Roman" w:hAnsi="Times New Roman" w:cs="Times New Roman"/>
          <w:sz w:val="24"/>
          <w:szCs w:val="24"/>
          <w:lang w:val="en-SG"/>
        </w:rPr>
        <w:t>dietary</w:t>
      </w:r>
      <w:r w:rsidRPr="008374B5">
        <w:rPr>
          <w:rFonts w:ascii="Times New Roman" w:hAnsi="Times New Roman" w:cs="Times New Roman"/>
          <w:sz w:val="24"/>
          <w:szCs w:val="24"/>
          <w:lang w:val="en-SG"/>
        </w:rPr>
        <w:t xml:space="preserve"> intakes between pre</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midnight and post</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midnight feeders.</w:t>
      </w:r>
      <w:r w:rsidR="00F601D1" w:rsidRPr="008374B5">
        <w:rPr>
          <w:rFonts w:ascii="Times New Roman" w:hAnsi="Times New Roman" w:cs="Times New Roman"/>
          <w:sz w:val="24"/>
          <w:szCs w:val="24"/>
          <w:lang w:val="en-SG"/>
        </w:rPr>
        <w:t xml:space="preserve"> </w:t>
      </w:r>
      <w:r w:rsidR="001C09EE" w:rsidRPr="008374B5">
        <w:rPr>
          <w:rFonts w:ascii="Times New Roman" w:hAnsi="Times New Roman" w:cs="Times New Roman"/>
          <w:sz w:val="24"/>
          <w:szCs w:val="24"/>
          <w:lang w:val="en-SG"/>
        </w:rPr>
        <w:t>P</w:t>
      </w:r>
      <w:r w:rsidR="00212F56" w:rsidRPr="008374B5">
        <w:rPr>
          <w:rFonts w:ascii="Times New Roman" w:hAnsi="Times New Roman" w:cs="Times New Roman"/>
          <w:sz w:val="24"/>
          <w:szCs w:val="24"/>
          <w:lang w:val="en-SG"/>
        </w:rPr>
        <w:t>ost</w:t>
      </w:r>
      <w:r w:rsidR="000B1D17" w:rsidRPr="008374B5">
        <w:rPr>
          <w:rFonts w:ascii="Times New Roman" w:hAnsi="Times New Roman" w:cs="Times New Roman"/>
          <w:sz w:val="24"/>
          <w:szCs w:val="24"/>
          <w:lang w:val="en-SG"/>
        </w:rPr>
        <w:t>-</w:t>
      </w:r>
      <w:r w:rsidR="000E068B" w:rsidRPr="008374B5">
        <w:rPr>
          <w:rFonts w:ascii="Times New Roman" w:hAnsi="Times New Roman" w:cs="Times New Roman"/>
          <w:sz w:val="24"/>
          <w:szCs w:val="24"/>
          <w:lang w:val="en-SG"/>
        </w:rPr>
        <w:t>m</w:t>
      </w:r>
      <w:r w:rsidR="00220762" w:rsidRPr="008374B5">
        <w:rPr>
          <w:rFonts w:ascii="Times New Roman" w:hAnsi="Times New Roman" w:cs="Times New Roman"/>
          <w:sz w:val="24"/>
          <w:szCs w:val="24"/>
          <w:lang w:val="en-SG"/>
        </w:rPr>
        <w:t xml:space="preserve">idnight </w:t>
      </w:r>
      <w:r w:rsidR="001E1E03" w:rsidRPr="008374B5">
        <w:rPr>
          <w:rFonts w:ascii="Times New Roman" w:hAnsi="Times New Roman" w:cs="Times New Roman"/>
          <w:sz w:val="24"/>
          <w:szCs w:val="24"/>
          <w:lang w:val="en-SG"/>
        </w:rPr>
        <w:t>feed</w:t>
      </w:r>
      <w:r w:rsidR="008F446F" w:rsidRPr="008374B5">
        <w:rPr>
          <w:rFonts w:ascii="Times New Roman" w:hAnsi="Times New Roman" w:cs="Times New Roman"/>
          <w:sz w:val="24"/>
          <w:szCs w:val="24"/>
          <w:lang w:val="en-SG"/>
        </w:rPr>
        <w:t xml:space="preserve">ers consumed </w:t>
      </w:r>
      <w:r w:rsidR="008439D2" w:rsidRPr="008374B5">
        <w:rPr>
          <w:rFonts w:ascii="Times New Roman" w:hAnsi="Times New Roman" w:cs="Times New Roman"/>
          <w:sz w:val="24"/>
          <w:szCs w:val="24"/>
          <w:lang w:val="en-SG"/>
        </w:rPr>
        <w:t>higher</w:t>
      </w:r>
      <w:r w:rsidR="00EE6051" w:rsidRPr="008374B5">
        <w:rPr>
          <w:rFonts w:ascii="Times New Roman" w:hAnsi="Times New Roman" w:cs="Times New Roman"/>
          <w:sz w:val="24"/>
          <w:szCs w:val="24"/>
          <w:lang w:val="en-SG"/>
        </w:rPr>
        <w:t xml:space="preserve"> </w:t>
      </w:r>
      <w:r w:rsidR="002B1A5A" w:rsidRPr="008374B5">
        <w:rPr>
          <w:rFonts w:ascii="Times New Roman" w:hAnsi="Times New Roman" w:cs="Times New Roman"/>
          <w:sz w:val="24"/>
          <w:szCs w:val="24"/>
          <w:lang w:val="en-SG"/>
        </w:rPr>
        <w:t>energy</w:t>
      </w:r>
      <w:r w:rsidR="002663C4" w:rsidRPr="008374B5">
        <w:rPr>
          <w:rFonts w:ascii="Times New Roman" w:hAnsi="Times New Roman" w:cs="Times New Roman"/>
          <w:sz w:val="24"/>
          <w:szCs w:val="24"/>
          <w:lang w:val="en-SG"/>
        </w:rPr>
        <w:t>, carbohydrate,</w:t>
      </w:r>
      <w:r w:rsidR="00FC633B" w:rsidRPr="008374B5">
        <w:rPr>
          <w:rFonts w:ascii="Times New Roman" w:hAnsi="Times New Roman" w:cs="Times New Roman"/>
          <w:sz w:val="24"/>
          <w:szCs w:val="24"/>
          <w:lang w:val="en-SG"/>
        </w:rPr>
        <w:t xml:space="preserve"> </w:t>
      </w:r>
      <w:r w:rsidR="002663C4" w:rsidRPr="008374B5">
        <w:rPr>
          <w:rFonts w:ascii="Times New Roman" w:hAnsi="Times New Roman" w:cs="Times New Roman"/>
          <w:sz w:val="24"/>
          <w:szCs w:val="24"/>
          <w:lang w:val="en-SG"/>
        </w:rPr>
        <w:t xml:space="preserve">fat </w:t>
      </w:r>
      <w:r w:rsidR="001E1E03" w:rsidRPr="008374B5">
        <w:rPr>
          <w:rFonts w:ascii="Times New Roman" w:hAnsi="Times New Roman" w:cs="Times New Roman"/>
          <w:sz w:val="24"/>
          <w:szCs w:val="24"/>
          <w:lang w:val="en-SG"/>
        </w:rPr>
        <w:t xml:space="preserve">and protein </w:t>
      </w:r>
      <w:r w:rsidR="0044503E" w:rsidRPr="008374B5">
        <w:rPr>
          <w:rFonts w:ascii="Times New Roman" w:hAnsi="Times New Roman" w:cs="Times New Roman"/>
          <w:sz w:val="24"/>
          <w:szCs w:val="24"/>
          <w:lang w:val="en-SG"/>
        </w:rPr>
        <w:t xml:space="preserve">intakes </w:t>
      </w:r>
      <w:r w:rsidR="001E1E03" w:rsidRPr="008374B5">
        <w:rPr>
          <w:rFonts w:ascii="Times New Roman" w:hAnsi="Times New Roman" w:cs="Times New Roman"/>
          <w:sz w:val="24"/>
          <w:szCs w:val="24"/>
          <w:lang w:val="en-SG"/>
        </w:rPr>
        <w:t>compared to</w:t>
      </w:r>
      <w:r w:rsidR="00212F56" w:rsidRPr="008374B5">
        <w:rPr>
          <w:rFonts w:ascii="Times New Roman" w:hAnsi="Times New Roman" w:cs="Times New Roman"/>
          <w:sz w:val="24"/>
          <w:szCs w:val="24"/>
          <w:lang w:val="en-SG"/>
        </w:rPr>
        <w:t xml:space="preserve"> pre</w:t>
      </w:r>
      <w:r w:rsidR="000B1D17" w:rsidRPr="008374B5">
        <w:rPr>
          <w:rFonts w:ascii="Times New Roman" w:hAnsi="Times New Roman" w:cs="Times New Roman"/>
          <w:sz w:val="24"/>
          <w:szCs w:val="24"/>
          <w:lang w:val="en-SG"/>
        </w:rPr>
        <w:t>-</w:t>
      </w:r>
      <w:r w:rsidR="001E1E03" w:rsidRPr="008374B5">
        <w:rPr>
          <w:rFonts w:ascii="Times New Roman" w:hAnsi="Times New Roman" w:cs="Times New Roman"/>
          <w:sz w:val="24"/>
          <w:szCs w:val="24"/>
          <w:lang w:val="en-SG"/>
        </w:rPr>
        <w:t>midnight feed</w:t>
      </w:r>
      <w:r w:rsidR="00FC633B" w:rsidRPr="008374B5">
        <w:rPr>
          <w:rFonts w:ascii="Times New Roman" w:hAnsi="Times New Roman" w:cs="Times New Roman"/>
          <w:sz w:val="24"/>
          <w:szCs w:val="24"/>
          <w:lang w:val="en-SG"/>
        </w:rPr>
        <w:t>ers (</w:t>
      </w:r>
      <w:r w:rsidR="00D909C0" w:rsidRPr="008374B5">
        <w:rPr>
          <w:rFonts w:ascii="Times New Roman" w:hAnsi="Times New Roman" w:cs="Times New Roman"/>
          <w:sz w:val="24"/>
          <w:szCs w:val="24"/>
          <w:lang w:val="en-SG"/>
        </w:rPr>
        <w:t xml:space="preserve">all </w:t>
      </w:r>
      <w:r w:rsidR="0032086B" w:rsidRPr="008374B5">
        <w:rPr>
          <w:rFonts w:ascii="Times New Roman" w:hAnsi="Times New Roman" w:cs="Times New Roman"/>
          <w:i/>
          <w:sz w:val="24"/>
          <w:szCs w:val="24"/>
          <w:lang w:val="en-SG"/>
        </w:rPr>
        <w:t>P</w:t>
      </w:r>
      <w:r w:rsidR="00FC633B" w:rsidRPr="008374B5">
        <w:rPr>
          <w:rFonts w:ascii="Times New Roman" w:hAnsi="Times New Roman" w:cs="Times New Roman"/>
          <w:sz w:val="24"/>
          <w:szCs w:val="24"/>
          <w:lang w:val="en-SG"/>
        </w:rPr>
        <w:t>&lt;0.001)</w:t>
      </w:r>
      <w:r w:rsidR="00C26370" w:rsidRPr="008374B5">
        <w:rPr>
          <w:rFonts w:ascii="Times New Roman" w:hAnsi="Times New Roman" w:cs="Times New Roman"/>
          <w:sz w:val="24"/>
          <w:szCs w:val="24"/>
          <w:lang w:val="en-SG"/>
        </w:rPr>
        <w:t>.</w:t>
      </w:r>
      <w:r w:rsidR="00A0259D" w:rsidRPr="008374B5">
        <w:rPr>
          <w:rFonts w:ascii="Times New Roman" w:hAnsi="Times New Roman" w:cs="Times New Roman"/>
          <w:sz w:val="24"/>
          <w:szCs w:val="24"/>
          <w:lang w:val="en-SG"/>
        </w:rPr>
        <w:t xml:space="preserve"> Proportions of carbohydrate, fat and protein were not significantly different</w:t>
      </w:r>
      <w:r w:rsidR="00C2352C" w:rsidRPr="008374B5">
        <w:rPr>
          <w:rFonts w:ascii="Times New Roman" w:hAnsi="Times New Roman" w:cs="Times New Roman"/>
          <w:sz w:val="24"/>
          <w:szCs w:val="24"/>
          <w:lang w:val="en-SG"/>
        </w:rPr>
        <w:t xml:space="preserve"> between the two groups</w:t>
      </w:r>
      <w:r w:rsidR="0022477E" w:rsidRPr="008374B5">
        <w:rPr>
          <w:rFonts w:ascii="Times New Roman" w:hAnsi="Times New Roman" w:cs="Times New Roman"/>
          <w:sz w:val="24"/>
          <w:szCs w:val="24"/>
          <w:lang w:val="en-SG"/>
        </w:rPr>
        <w:t xml:space="preserve"> (all </w:t>
      </w:r>
      <w:r w:rsidR="001834F0" w:rsidRPr="008374B5">
        <w:rPr>
          <w:rFonts w:ascii="Times New Roman" w:hAnsi="Times New Roman" w:cs="Times New Roman"/>
          <w:i/>
          <w:sz w:val="24"/>
          <w:szCs w:val="24"/>
          <w:lang w:val="en-SG"/>
        </w:rPr>
        <w:t>P</w:t>
      </w:r>
      <w:r w:rsidR="0044503E" w:rsidRPr="008374B5">
        <w:rPr>
          <w:rFonts w:ascii="Times New Roman" w:hAnsi="Times New Roman" w:cs="Times New Roman"/>
          <w:sz w:val="24"/>
          <w:szCs w:val="24"/>
          <w:lang w:val="en-SG"/>
        </w:rPr>
        <w:t>&gt;0.05)</w:t>
      </w:r>
      <w:r w:rsidR="00A0259D" w:rsidRPr="008374B5">
        <w:rPr>
          <w:rFonts w:ascii="Times New Roman" w:hAnsi="Times New Roman" w:cs="Times New Roman"/>
          <w:sz w:val="24"/>
          <w:szCs w:val="24"/>
          <w:lang w:val="en-SG"/>
        </w:rPr>
        <w:t>.</w:t>
      </w:r>
      <w:r w:rsidR="00870DC6" w:rsidRPr="008374B5">
        <w:rPr>
          <w:rFonts w:ascii="Times New Roman" w:hAnsi="Times New Roman" w:cs="Times New Roman"/>
          <w:sz w:val="24"/>
          <w:szCs w:val="24"/>
          <w:lang w:val="en-SG"/>
        </w:rPr>
        <w:t xml:space="preserve"> A further comparison of </w:t>
      </w:r>
      <w:r w:rsidR="00026F0E" w:rsidRPr="008374B5">
        <w:rPr>
          <w:rFonts w:ascii="Times New Roman" w:hAnsi="Times New Roman" w:cs="Times New Roman"/>
          <w:sz w:val="24"/>
          <w:szCs w:val="24"/>
          <w:lang w:val="en-SG"/>
        </w:rPr>
        <w:t>dietary</w:t>
      </w:r>
      <w:r w:rsidR="00870DC6" w:rsidRPr="008374B5">
        <w:rPr>
          <w:rFonts w:ascii="Times New Roman" w:hAnsi="Times New Roman" w:cs="Times New Roman"/>
          <w:sz w:val="24"/>
          <w:szCs w:val="24"/>
          <w:lang w:val="en-SG"/>
        </w:rPr>
        <w:t xml:space="preserve"> intake</w:t>
      </w:r>
      <w:r w:rsidR="00F330FD" w:rsidRPr="008374B5">
        <w:rPr>
          <w:rFonts w:ascii="Times New Roman" w:hAnsi="Times New Roman" w:cs="Times New Roman"/>
          <w:sz w:val="24"/>
          <w:szCs w:val="24"/>
          <w:lang w:val="en-SG"/>
        </w:rPr>
        <w:t>s</w:t>
      </w:r>
      <w:r w:rsidR="00870DC6" w:rsidRPr="008374B5">
        <w:rPr>
          <w:rFonts w:ascii="Times New Roman" w:hAnsi="Times New Roman" w:cs="Times New Roman"/>
          <w:sz w:val="24"/>
          <w:szCs w:val="24"/>
          <w:lang w:val="en-SG"/>
        </w:rPr>
        <w:t xml:space="preserve"> during the </w:t>
      </w:r>
      <w:r w:rsidR="00212F56" w:rsidRPr="008374B5">
        <w:rPr>
          <w:rFonts w:ascii="Times New Roman" w:hAnsi="Times New Roman" w:cs="Times New Roman"/>
          <w:sz w:val="24"/>
          <w:szCs w:val="24"/>
          <w:lang w:val="en-SG"/>
        </w:rPr>
        <w:t>pre</w:t>
      </w:r>
      <w:r w:rsidR="000B1D17" w:rsidRPr="008374B5">
        <w:rPr>
          <w:rFonts w:ascii="Times New Roman" w:hAnsi="Times New Roman" w:cs="Times New Roman"/>
          <w:sz w:val="24"/>
          <w:szCs w:val="24"/>
          <w:lang w:val="en-SG"/>
        </w:rPr>
        <w:t>-</w:t>
      </w:r>
      <w:r w:rsidR="00F61A39" w:rsidRPr="008374B5">
        <w:rPr>
          <w:rFonts w:ascii="Times New Roman" w:hAnsi="Times New Roman" w:cs="Times New Roman"/>
          <w:sz w:val="24"/>
          <w:szCs w:val="24"/>
          <w:lang w:val="en-SG"/>
        </w:rPr>
        <w:t>midnight hours</w:t>
      </w:r>
      <w:r w:rsidR="00870DC6" w:rsidRPr="008374B5">
        <w:rPr>
          <w:rFonts w:ascii="Times New Roman" w:hAnsi="Times New Roman" w:cs="Times New Roman"/>
          <w:sz w:val="24"/>
          <w:szCs w:val="24"/>
          <w:lang w:val="en-SG"/>
        </w:rPr>
        <w:t xml:space="preserve"> was performed. </w:t>
      </w:r>
      <w:r w:rsidR="00994A58" w:rsidRPr="008374B5">
        <w:rPr>
          <w:rFonts w:ascii="Times New Roman" w:hAnsi="Times New Roman" w:cs="Times New Roman"/>
          <w:sz w:val="24"/>
          <w:szCs w:val="24"/>
          <w:lang w:val="en-SG"/>
        </w:rPr>
        <w:t xml:space="preserve">During this period, </w:t>
      </w:r>
      <w:r w:rsidR="002B1A5A" w:rsidRPr="008374B5">
        <w:rPr>
          <w:rFonts w:ascii="Times New Roman" w:hAnsi="Times New Roman" w:cs="Times New Roman"/>
          <w:sz w:val="24"/>
          <w:szCs w:val="24"/>
          <w:lang w:val="en-SG"/>
        </w:rPr>
        <w:t>energy</w:t>
      </w:r>
      <w:r w:rsidR="00B63927" w:rsidRPr="008374B5">
        <w:rPr>
          <w:rFonts w:ascii="Times New Roman" w:hAnsi="Times New Roman" w:cs="Times New Roman"/>
          <w:sz w:val="24"/>
          <w:szCs w:val="24"/>
          <w:lang w:val="en-SG"/>
        </w:rPr>
        <w:t xml:space="preserve"> and macronutrient</w:t>
      </w:r>
      <w:r w:rsidR="00870DC6" w:rsidRPr="008374B5">
        <w:rPr>
          <w:rFonts w:ascii="Times New Roman" w:hAnsi="Times New Roman" w:cs="Times New Roman"/>
          <w:sz w:val="24"/>
          <w:szCs w:val="24"/>
          <w:lang w:val="en-SG"/>
        </w:rPr>
        <w:t xml:space="preserve"> intakes were not sig</w:t>
      </w:r>
      <w:r w:rsidR="00F601D1" w:rsidRPr="008374B5">
        <w:rPr>
          <w:rFonts w:ascii="Times New Roman" w:hAnsi="Times New Roman" w:cs="Times New Roman"/>
          <w:sz w:val="24"/>
          <w:szCs w:val="24"/>
          <w:lang w:val="en-SG"/>
        </w:rPr>
        <w:t>nificantly different between pre</w:t>
      </w:r>
      <w:r w:rsidR="000B1D17" w:rsidRPr="008374B5">
        <w:rPr>
          <w:rFonts w:ascii="Times New Roman" w:hAnsi="Times New Roman" w:cs="Times New Roman"/>
          <w:sz w:val="24"/>
          <w:szCs w:val="24"/>
          <w:lang w:val="en-SG"/>
        </w:rPr>
        <w:t>-</w:t>
      </w:r>
      <w:r w:rsidR="006B6E1C" w:rsidRPr="008374B5">
        <w:rPr>
          <w:rFonts w:ascii="Times New Roman" w:hAnsi="Times New Roman" w:cs="Times New Roman"/>
          <w:sz w:val="24"/>
          <w:szCs w:val="24"/>
          <w:lang w:val="en-SG"/>
        </w:rPr>
        <w:t xml:space="preserve">midnight and </w:t>
      </w:r>
      <w:r w:rsidR="00F601D1"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6B6E1C" w:rsidRPr="008374B5">
        <w:rPr>
          <w:rFonts w:ascii="Times New Roman" w:hAnsi="Times New Roman" w:cs="Times New Roman"/>
          <w:sz w:val="24"/>
          <w:szCs w:val="24"/>
          <w:lang w:val="en-SG"/>
        </w:rPr>
        <w:t>midnight feeders</w:t>
      </w:r>
      <w:r w:rsidR="00F72E68" w:rsidRPr="008374B5">
        <w:rPr>
          <w:rFonts w:ascii="Times New Roman" w:hAnsi="Times New Roman" w:cs="Times New Roman"/>
          <w:sz w:val="24"/>
          <w:szCs w:val="24"/>
          <w:lang w:val="en-SG"/>
        </w:rPr>
        <w:t xml:space="preserve"> (all </w:t>
      </w:r>
      <w:r w:rsidR="001834F0" w:rsidRPr="008374B5">
        <w:rPr>
          <w:rFonts w:ascii="Times New Roman" w:hAnsi="Times New Roman" w:cs="Times New Roman"/>
          <w:i/>
          <w:sz w:val="24"/>
          <w:szCs w:val="24"/>
          <w:lang w:val="en-SG"/>
        </w:rPr>
        <w:t>P</w:t>
      </w:r>
      <w:r w:rsidR="002F06FB" w:rsidRPr="008374B5">
        <w:rPr>
          <w:rFonts w:ascii="Times New Roman" w:hAnsi="Times New Roman" w:cs="Times New Roman"/>
          <w:sz w:val="24"/>
          <w:szCs w:val="24"/>
          <w:lang w:val="en-SG"/>
        </w:rPr>
        <w:t>≥</w:t>
      </w:r>
      <w:r w:rsidR="001031C3" w:rsidRPr="008374B5">
        <w:rPr>
          <w:rFonts w:ascii="Times New Roman" w:hAnsi="Times New Roman" w:cs="Times New Roman"/>
          <w:sz w:val="24"/>
          <w:szCs w:val="24"/>
          <w:lang w:val="en-SG"/>
        </w:rPr>
        <w:t>0.05)</w:t>
      </w:r>
      <w:r w:rsidR="006B6E1C" w:rsidRPr="008374B5">
        <w:rPr>
          <w:rFonts w:ascii="Times New Roman" w:hAnsi="Times New Roman" w:cs="Times New Roman"/>
          <w:sz w:val="24"/>
          <w:szCs w:val="24"/>
          <w:lang w:val="en-SG"/>
        </w:rPr>
        <w:t>.</w:t>
      </w:r>
    </w:p>
    <w:p w14:paraId="0FB45C90" w14:textId="77777777" w:rsidR="005871A8" w:rsidRPr="008374B5" w:rsidRDefault="005871A8" w:rsidP="008374B5">
      <w:pPr>
        <w:suppressAutoHyphens/>
        <w:spacing w:after="0" w:line="360" w:lineRule="auto"/>
        <w:ind w:firstLine="720"/>
        <w:jc w:val="both"/>
        <w:rPr>
          <w:rFonts w:ascii="Times New Roman" w:hAnsi="Times New Roman" w:cs="Times New Roman"/>
          <w:sz w:val="24"/>
          <w:szCs w:val="24"/>
          <w:lang w:val="en-SG"/>
        </w:rPr>
      </w:pPr>
    </w:p>
    <w:p w14:paraId="00E59FD3" w14:textId="57748C61" w:rsidR="00EA3690" w:rsidRPr="008374B5" w:rsidRDefault="0030201D" w:rsidP="008374B5">
      <w:pPr>
        <w:suppressAutoHyphens/>
        <w:spacing w:after="0" w:line="360" w:lineRule="auto"/>
        <w:jc w:val="both"/>
        <w:rPr>
          <w:rFonts w:ascii="Times New Roman" w:hAnsi="Times New Roman" w:cs="Times New Roman"/>
          <w:i/>
          <w:sz w:val="24"/>
          <w:szCs w:val="24"/>
          <w:lang w:val="en-SG"/>
        </w:rPr>
      </w:pPr>
      <w:r w:rsidRPr="008374B5">
        <w:rPr>
          <w:rFonts w:ascii="Times New Roman" w:hAnsi="Times New Roman" w:cs="Times New Roman"/>
          <w:i/>
          <w:sz w:val="24"/>
          <w:szCs w:val="24"/>
          <w:lang w:val="en-SG"/>
        </w:rPr>
        <w:t>Post</w:t>
      </w:r>
      <w:r w:rsidR="000B1D17" w:rsidRPr="008374B5">
        <w:rPr>
          <w:rFonts w:ascii="Times New Roman" w:hAnsi="Times New Roman" w:cs="Times New Roman"/>
          <w:i/>
          <w:sz w:val="24"/>
          <w:szCs w:val="24"/>
          <w:lang w:val="en-SG"/>
        </w:rPr>
        <w:t>-</w:t>
      </w:r>
      <w:r w:rsidRPr="008374B5">
        <w:rPr>
          <w:rFonts w:ascii="Times New Roman" w:hAnsi="Times New Roman" w:cs="Times New Roman"/>
          <w:i/>
          <w:sz w:val="24"/>
          <w:szCs w:val="24"/>
          <w:lang w:val="en-SG"/>
        </w:rPr>
        <w:t>m</w:t>
      </w:r>
      <w:r w:rsidR="00EA3690" w:rsidRPr="008374B5">
        <w:rPr>
          <w:rFonts w:ascii="Times New Roman" w:hAnsi="Times New Roman" w:cs="Times New Roman"/>
          <w:i/>
          <w:sz w:val="24"/>
          <w:szCs w:val="24"/>
          <w:lang w:val="en-SG"/>
        </w:rPr>
        <w:t xml:space="preserve">idnight </w:t>
      </w:r>
      <w:r w:rsidR="00E30371" w:rsidRPr="008374B5">
        <w:rPr>
          <w:rFonts w:ascii="Times New Roman" w:hAnsi="Times New Roman" w:cs="Times New Roman"/>
          <w:i/>
          <w:sz w:val="24"/>
          <w:szCs w:val="24"/>
          <w:lang w:val="en-SG"/>
        </w:rPr>
        <w:t xml:space="preserve">dietary </w:t>
      </w:r>
      <w:r w:rsidR="00582ED4" w:rsidRPr="008374B5">
        <w:rPr>
          <w:rFonts w:ascii="Times New Roman" w:hAnsi="Times New Roman" w:cs="Times New Roman"/>
          <w:i/>
          <w:sz w:val="24"/>
          <w:szCs w:val="24"/>
          <w:lang w:val="en-SG"/>
        </w:rPr>
        <w:t>intakes</w:t>
      </w:r>
    </w:p>
    <w:p w14:paraId="0431003A" w14:textId="79A1EFE5" w:rsidR="00937954" w:rsidRPr="008374B5" w:rsidRDefault="000105AC" w:rsidP="008374B5">
      <w:pPr>
        <w:suppressAutoHyphens/>
        <w:spacing w:after="0" w:line="360" w:lineRule="auto"/>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Table 3</w:t>
      </w:r>
      <w:r w:rsidR="00937954" w:rsidRPr="008374B5">
        <w:rPr>
          <w:rFonts w:ascii="Times New Roman" w:hAnsi="Times New Roman" w:cs="Times New Roman"/>
          <w:sz w:val="24"/>
          <w:szCs w:val="24"/>
          <w:lang w:val="en-SG"/>
        </w:rPr>
        <w:t xml:space="preserve"> shows the </w:t>
      </w:r>
      <w:r w:rsidR="0045661F" w:rsidRPr="008374B5">
        <w:rPr>
          <w:rFonts w:ascii="Times New Roman" w:hAnsi="Times New Roman" w:cs="Times New Roman"/>
          <w:sz w:val="24"/>
          <w:szCs w:val="24"/>
          <w:lang w:val="en-SG"/>
        </w:rPr>
        <w:t>dietary</w:t>
      </w:r>
      <w:r w:rsidR="00966E25" w:rsidRPr="008374B5">
        <w:rPr>
          <w:rFonts w:ascii="Times New Roman" w:hAnsi="Times New Roman" w:cs="Times New Roman"/>
          <w:sz w:val="24"/>
          <w:szCs w:val="24"/>
          <w:lang w:val="en-SG"/>
        </w:rPr>
        <w:t xml:space="preserve"> intakes</w:t>
      </w:r>
      <w:r w:rsidR="006A0CDF" w:rsidRPr="008374B5">
        <w:rPr>
          <w:rFonts w:ascii="Times New Roman" w:hAnsi="Times New Roman" w:cs="Times New Roman"/>
          <w:sz w:val="24"/>
          <w:szCs w:val="24"/>
          <w:lang w:val="en-SG"/>
        </w:rPr>
        <w:t xml:space="preserve"> </w:t>
      </w:r>
      <w:r w:rsidR="00966E25" w:rsidRPr="008374B5">
        <w:rPr>
          <w:rFonts w:ascii="Times New Roman" w:hAnsi="Times New Roman" w:cs="Times New Roman"/>
          <w:sz w:val="24"/>
          <w:szCs w:val="24"/>
          <w:lang w:val="en-SG"/>
        </w:rPr>
        <w:t xml:space="preserve">during </w:t>
      </w:r>
      <w:r w:rsidR="008D001A" w:rsidRPr="008374B5">
        <w:rPr>
          <w:rFonts w:ascii="Times New Roman" w:hAnsi="Times New Roman" w:cs="Times New Roman"/>
          <w:sz w:val="24"/>
          <w:szCs w:val="24"/>
          <w:lang w:val="en-SG"/>
        </w:rPr>
        <w:t>the post</w:t>
      </w:r>
      <w:r w:rsidR="000B1D17" w:rsidRPr="008374B5">
        <w:rPr>
          <w:rFonts w:ascii="Times New Roman" w:hAnsi="Times New Roman" w:cs="Times New Roman"/>
          <w:sz w:val="24"/>
          <w:szCs w:val="24"/>
          <w:lang w:val="en-SG"/>
        </w:rPr>
        <w:t>-</w:t>
      </w:r>
      <w:r w:rsidR="00966E25" w:rsidRPr="008374B5">
        <w:rPr>
          <w:rFonts w:ascii="Times New Roman" w:hAnsi="Times New Roman" w:cs="Times New Roman"/>
          <w:sz w:val="24"/>
          <w:szCs w:val="24"/>
          <w:lang w:val="en-SG"/>
        </w:rPr>
        <w:t xml:space="preserve">midnight hours. </w:t>
      </w:r>
      <w:r w:rsidR="008F7B0F" w:rsidRPr="008374B5">
        <w:rPr>
          <w:rFonts w:ascii="Times New Roman" w:hAnsi="Times New Roman" w:cs="Times New Roman"/>
          <w:sz w:val="24"/>
          <w:szCs w:val="24"/>
          <w:lang w:val="en-SG"/>
        </w:rPr>
        <w:t>The mean</w:t>
      </w:r>
      <w:r w:rsidR="00BC7955" w:rsidRPr="008374B5">
        <w:rPr>
          <w:rFonts w:ascii="Times New Roman" w:hAnsi="Times New Roman" w:cs="Times New Roman"/>
          <w:sz w:val="24"/>
          <w:szCs w:val="24"/>
          <w:lang w:val="en-SG"/>
        </w:rPr>
        <w:t xml:space="preserve"> </w:t>
      </w:r>
      <w:r w:rsidR="002B1A5A" w:rsidRPr="008374B5">
        <w:rPr>
          <w:rFonts w:ascii="Times New Roman" w:hAnsi="Times New Roman" w:cs="Times New Roman"/>
          <w:sz w:val="24"/>
          <w:szCs w:val="24"/>
          <w:lang w:val="en-SG"/>
        </w:rPr>
        <w:t>energy</w:t>
      </w:r>
      <w:r w:rsidR="00BC7955" w:rsidRPr="008374B5">
        <w:rPr>
          <w:rFonts w:ascii="Times New Roman" w:hAnsi="Times New Roman" w:cs="Times New Roman"/>
          <w:sz w:val="24"/>
          <w:szCs w:val="24"/>
          <w:lang w:val="en-SG"/>
        </w:rPr>
        <w:t xml:space="preserve"> intake</w:t>
      </w:r>
      <w:r w:rsidR="00DA6B92" w:rsidRPr="008374B5">
        <w:rPr>
          <w:rFonts w:ascii="Times New Roman" w:hAnsi="Times New Roman" w:cs="Times New Roman"/>
          <w:sz w:val="24"/>
          <w:szCs w:val="24"/>
          <w:lang w:val="en-SG"/>
        </w:rPr>
        <w:t xml:space="preserve"> </w:t>
      </w:r>
      <w:r w:rsidR="005562DF" w:rsidRPr="008374B5">
        <w:rPr>
          <w:rFonts w:ascii="Times New Roman" w:hAnsi="Times New Roman" w:cs="Times New Roman"/>
          <w:sz w:val="24"/>
          <w:szCs w:val="24"/>
          <w:lang w:val="en-SG"/>
        </w:rPr>
        <w:t xml:space="preserve">was </w:t>
      </w:r>
      <w:r w:rsidR="00B53A51" w:rsidRPr="008374B5">
        <w:rPr>
          <w:rFonts w:ascii="Times New Roman" w:hAnsi="Times New Roman" w:cs="Times New Roman"/>
          <w:sz w:val="24"/>
          <w:szCs w:val="24"/>
          <w:lang w:val="en-SG"/>
        </w:rPr>
        <w:t>1</w:t>
      </w:r>
      <w:r w:rsidR="00466CCC" w:rsidRPr="008374B5">
        <w:rPr>
          <w:rFonts w:ascii="Times New Roman" w:hAnsi="Times New Roman" w:cs="Times New Roman"/>
          <w:sz w:val="24"/>
          <w:szCs w:val="24"/>
          <w:lang w:val="en-SG"/>
        </w:rPr>
        <w:t>47 (</w:t>
      </w:r>
      <w:r w:rsidR="00303FC9" w:rsidRPr="008374B5">
        <w:rPr>
          <w:rFonts w:ascii="Times New Roman" w:hAnsi="Times New Roman" w:cs="Times New Roman"/>
          <w:sz w:val="24"/>
          <w:szCs w:val="24"/>
          <w:lang w:val="en-SG"/>
        </w:rPr>
        <w:t xml:space="preserve">SD </w:t>
      </w:r>
      <w:r w:rsidR="00466CCC" w:rsidRPr="008374B5">
        <w:rPr>
          <w:rFonts w:ascii="Times New Roman" w:hAnsi="Times New Roman" w:cs="Times New Roman"/>
          <w:sz w:val="24"/>
          <w:szCs w:val="24"/>
          <w:lang w:val="en-SG"/>
        </w:rPr>
        <w:t>72</w:t>
      </w:r>
      <w:r w:rsidR="00DA6B92" w:rsidRPr="008374B5">
        <w:rPr>
          <w:rFonts w:ascii="Times New Roman" w:hAnsi="Times New Roman" w:cs="Times New Roman"/>
          <w:sz w:val="24"/>
          <w:szCs w:val="24"/>
          <w:lang w:val="en-SG"/>
        </w:rPr>
        <w:t>) kcal</w:t>
      </w:r>
      <w:r w:rsidR="00BC7955" w:rsidRPr="008374B5">
        <w:rPr>
          <w:rFonts w:ascii="Times New Roman" w:hAnsi="Times New Roman" w:cs="Times New Roman"/>
          <w:sz w:val="24"/>
          <w:szCs w:val="24"/>
          <w:lang w:val="en-SG"/>
        </w:rPr>
        <w:t xml:space="preserve"> which constituted</w:t>
      </w:r>
      <w:r w:rsidR="007918AF" w:rsidRPr="008374B5">
        <w:rPr>
          <w:rFonts w:ascii="Times New Roman" w:hAnsi="Times New Roman" w:cs="Times New Roman"/>
          <w:sz w:val="24"/>
          <w:szCs w:val="24"/>
          <w:lang w:val="en-SG"/>
        </w:rPr>
        <w:t xml:space="preserve"> 17.6</w:t>
      </w:r>
      <w:r w:rsidR="002C6B07" w:rsidRPr="008374B5">
        <w:rPr>
          <w:rFonts w:ascii="Times New Roman" w:hAnsi="Times New Roman" w:cs="Times New Roman"/>
          <w:sz w:val="24"/>
          <w:szCs w:val="24"/>
          <w:lang w:val="en-SG"/>
        </w:rPr>
        <w:t xml:space="preserve"> (SD 7.5) </w:t>
      </w:r>
      <w:r w:rsidR="00BC7955" w:rsidRPr="008374B5">
        <w:rPr>
          <w:rFonts w:ascii="Times New Roman" w:hAnsi="Times New Roman" w:cs="Times New Roman"/>
          <w:sz w:val="24"/>
          <w:szCs w:val="24"/>
          <w:lang w:val="en-SG"/>
        </w:rPr>
        <w:t xml:space="preserve">% of </w:t>
      </w:r>
      <w:r w:rsidR="00566056" w:rsidRPr="008374B5">
        <w:rPr>
          <w:rFonts w:ascii="Times New Roman" w:hAnsi="Times New Roman" w:cs="Times New Roman"/>
          <w:sz w:val="24"/>
          <w:szCs w:val="24"/>
          <w:lang w:val="en-SG"/>
        </w:rPr>
        <w:t xml:space="preserve">the </w:t>
      </w:r>
      <w:r w:rsidR="00BC7955" w:rsidRPr="008374B5">
        <w:rPr>
          <w:rFonts w:ascii="Times New Roman" w:hAnsi="Times New Roman" w:cs="Times New Roman"/>
          <w:sz w:val="24"/>
          <w:szCs w:val="24"/>
          <w:lang w:val="en-SG"/>
        </w:rPr>
        <w:t xml:space="preserve">mean </w:t>
      </w:r>
      <w:r w:rsidR="0024350E" w:rsidRPr="008374B5">
        <w:rPr>
          <w:rFonts w:ascii="Times New Roman" w:hAnsi="Times New Roman" w:cs="Times New Roman"/>
          <w:sz w:val="24"/>
          <w:szCs w:val="24"/>
          <w:lang w:val="en-SG"/>
        </w:rPr>
        <w:t>daily</w:t>
      </w:r>
      <w:r w:rsidR="00F6737E" w:rsidRPr="008374B5">
        <w:rPr>
          <w:rFonts w:ascii="Times New Roman" w:hAnsi="Times New Roman" w:cs="Times New Roman"/>
          <w:sz w:val="24"/>
          <w:szCs w:val="24"/>
          <w:lang w:val="en-SG"/>
        </w:rPr>
        <w:t xml:space="preserve"> </w:t>
      </w:r>
      <w:r w:rsidR="002B1A5A" w:rsidRPr="008374B5">
        <w:rPr>
          <w:rFonts w:ascii="Times New Roman" w:hAnsi="Times New Roman" w:cs="Times New Roman"/>
          <w:sz w:val="24"/>
          <w:szCs w:val="24"/>
          <w:lang w:val="en-SG"/>
        </w:rPr>
        <w:t>energy</w:t>
      </w:r>
      <w:r w:rsidR="00D97497" w:rsidRPr="008374B5">
        <w:rPr>
          <w:rFonts w:ascii="Times New Roman" w:hAnsi="Times New Roman" w:cs="Times New Roman"/>
          <w:sz w:val="24"/>
          <w:szCs w:val="24"/>
          <w:lang w:val="en-SG"/>
        </w:rPr>
        <w:t xml:space="preserve"> intake.</w:t>
      </w:r>
      <w:r w:rsidR="00937954" w:rsidRPr="008374B5">
        <w:rPr>
          <w:rFonts w:ascii="Times New Roman" w:hAnsi="Times New Roman" w:cs="Times New Roman"/>
          <w:sz w:val="24"/>
          <w:szCs w:val="24"/>
          <w:lang w:val="en-SG"/>
        </w:rPr>
        <w:t xml:space="preserve"> </w:t>
      </w:r>
      <w:r w:rsidR="00F41401" w:rsidRPr="008374B5">
        <w:rPr>
          <w:rFonts w:ascii="Times New Roman" w:hAnsi="Times New Roman" w:cs="Times New Roman"/>
          <w:sz w:val="24"/>
          <w:szCs w:val="24"/>
          <w:lang w:val="en-SG"/>
        </w:rPr>
        <w:t>On average,</w:t>
      </w:r>
      <w:r w:rsidR="00466CCC" w:rsidRPr="008374B5">
        <w:rPr>
          <w:rFonts w:ascii="Times New Roman" w:hAnsi="Times New Roman" w:cs="Times New Roman"/>
          <w:sz w:val="24"/>
          <w:szCs w:val="24"/>
          <w:lang w:val="en-SG"/>
        </w:rPr>
        <w:t xml:space="preserve"> </w:t>
      </w:r>
      <w:r w:rsidR="00C94A21" w:rsidRPr="008374B5">
        <w:rPr>
          <w:rFonts w:ascii="Times New Roman" w:hAnsi="Times New Roman" w:cs="Times New Roman"/>
          <w:sz w:val="24"/>
          <w:szCs w:val="24"/>
          <w:lang w:val="en-SG"/>
        </w:rPr>
        <w:t>c</w:t>
      </w:r>
      <w:r w:rsidR="00F41401" w:rsidRPr="008374B5">
        <w:rPr>
          <w:rFonts w:ascii="Times New Roman" w:hAnsi="Times New Roman" w:cs="Times New Roman"/>
          <w:sz w:val="24"/>
          <w:szCs w:val="24"/>
          <w:lang w:val="en-SG"/>
        </w:rPr>
        <w:t>arbohydrate, fat and protein comprised</w:t>
      </w:r>
      <w:r w:rsidR="003F6124" w:rsidRPr="008374B5">
        <w:rPr>
          <w:rFonts w:ascii="Times New Roman" w:hAnsi="Times New Roman" w:cs="Times New Roman"/>
          <w:sz w:val="24"/>
          <w:szCs w:val="24"/>
          <w:lang w:val="en-SG"/>
        </w:rPr>
        <w:t xml:space="preserve"> 48.9 (</w:t>
      </w:r>
      <w:r w:rsidR="00303FC9" w:rsidRPr="008374B5">
        <w:rPr>
          <w:rFonts w:ascii="Times New Roman" w:hAnsi="Times New Roman" w:cs="Times New Roman"/>
          <w:sz w:val="24"/>
          <w:szCs w:val="24"/>
          <w:lang w:val="en-SG"/>
        </w:rPr>
        <w:t xml:space="preserve">SD </w:t>
      </w:r>
      <w:r w:rsidR="003F6124" w:rsidRPr="008374B5">
        <w:rPr>
          <w:rFonts w:ascii="Times New Roman" w:hAnsi="Times New Roman" w:cs="Times New Roman"/>
          <w:sz w:val="24"/>
          <w:szCs w:val="24"/>
          <w:lang w:val="en-SG"/>
        </w:rPr>
        <w:t>8.4) %, 38.8 (</w:t>
      </w:r>
      <w:r w:rsidR="00303FC9" w:rsidRPr="008374B5">
        <w:rPr>
          <w:rFonts w:ascii="Times New Roman" w:hAnsi="Times New Roman" w:cs="Times New Roman"/>
          <w:sz w:val="24"/>
          <w:szCs w:val="24"/>
          <w:lang w:val="en-SG"/>
        </w:rPr>
        <w:t xml:space="preserve">SD </w:t>
      </w:r>
      <w:r w:rsidR="003F6124" w:rsidRPr="008374B5">
        <w:rPr>
          <w:rFonts w:ascii="Times New Roman" w:hAnsi="Times New Roman" w:cs="Times New Roman"/>
          <w:sz w:val="24"/>
          <w:szCs w:val="24"/>
          <w:lang w:val="en-SG"/>
        </w:rPr>
        <w:t>8.0) % and 12.4 (</w:t>
      </w:r>
      <w:r w:rsidR="00303FC9" w:rsidRPr="008374B5">
        <w:rPr>
          <w:rFonts w:ascii="Times New Roman" w:hAnsi="Times New Roman" w:cs="Times New Roman"/>
          <w:sz w:val="24"/>
          <w:szCs w:val="24"/>
          <w:lang w:val="en-SG"/>
        </w:rPr>
        <w:t xml:space="preserve">SD </w:t>
      </w:r>
      <w:r w:rsidR="003F6124" w:rsidRPr="008374B5">
        <w:rPr>
          <w:rFonts w:ascii="Times New Roman" w:hAnsi="Times New Roman" w:cs="Times New Roman"/>
          <w:sz w:val="24"/>
          <w:szCs w:val="24"/>
          <w:lang w:val="en-SG"/>
        </w:rPr>
        <w:t>2.0) %</w:t>
      </w:r>
      <w:r w:rsidR="00466CCC" w:rsidRPr="008374B5">
        <w:rPr>
          <w:rFonts w:ascii="Times New Roman" w:hAnsi="Times New Roman" w:cs="Times New Roman"/>
          <w:sz w:val="24"/>
          <w:szCs w:val="24"/>
          <w:lang w:val="en-SG"/>
        </w:rPr>
        <w:t xml:space="preserve"> </w:t>
      </w:r>
      <w:r w:rsidR="00BC7955" w:rsidRPr="008374B5">
        <w:rPr>
          <w:rFonts w:ascii="Times New Roman" w:hAnsi="Times New Roman" w:cs="Times New Roman"/>
          <w:sz w:val="24"/>
          <w:szCs w:val="24"/>
          <w:lang w:val="en-SG"/>
        </w:rPr>
        <w:t xml:space="preserve">of </w:t>
      </w:r>
      <w:r w:rsidR="00060A01"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BC7955" w:rsidRPr="008374B5">
        <w:rPr>
          <w:rFonts w:ascii="Times New Roman" w:hAnsi="Times New Roman" w:cs="Times New Roman"/>
          <w:sz w:val="24"/>
          <w:szCs w:val="24"/>
          <w:lang w:val="en-SG"/>
        </w:rPr>
        <w:t xml:space="preserve">midnight </w:t>
      </w:r>
      <w:r w:rsidR="00060A01" w:rsidRPr="008374B5">
        <w:rPr>
          <w:rFonts w:ascii="Times New Roman" w:hAnsi="Times New Roman" w:cs="Times New Roman"/>
          <w:sz w:val="24"/>
          <w:szCs w:val="24"/>
          <w:lang w:val="en-SG"/>
        </w:rPr>
        <w:t>energy intake</w:t>
      </w:r>
      <w:r w:rsidR="00466CCC" w:rsidRPr="008374B5">
        <w:rPr>
          <w:rFonts w:ascii="Times New Roman" w:hAnsi="Times New Roman" w:cs="Times New Roman"/>
          <w:sz w:val="24"/>
          <w:szCs w:val="24"/>
          <w:lang w:val="en-SG"/>
        </w:rPr>
        <w:t xml:space="preserve"> respectively. </w:t>
      </w:r>
      <w:r w:rsidR="00F6737E" w:rsidRPr="008374B5">
        <w:rPr>
          <w:rFonts w:ascii="Times New Roman" w:hAnsi="Times New Roman" w:cs="Times New Roman"/>
          <w:sz w:val="24"/>
          <w:szCs w:val="24"/>
          <w:lang w:val="en-SG"/>
        </w:rPr>
        <w:t xml:space="preserve">A total of </w:t>
      </w:r>
      <w:r w:rsidR="00674058" w:rsidRPr="008374B5">
        <w:rPr>
          <w:rFonts w:ascii="Times New Roman" w:hAnsi="Times New Roman" w:cs="Times New Roman"/>
          <w:sz w:val="24"/>
          <w:szCs w:val="24"/>
          <w:lang w:val="en-SG"/>
        </w:rPr>
        <w:t>173</w:t>
      </w:r>
      <w:r w:rsidR="000009BA" w:rsidRPr="008374B5">
        <w:rPr>
          <w:rFonts w:ascii="Times New Roman" w:hAnsi="Times New Roman" w:cs="Times New Roman"/>
          <w:sz w:val="24"/>
          <w:szCs w:val="24"/>
          <w:lang w:val="en-SG"/>
        </w:rPr>
        <w:t xml:space="preserve"> </w:t>
      </w:r>
      <w:r w:rsidR="00303FC9" w:rsidRPr="008374B5">
        <w:rPr>
          <w:rFonts w:ascii="Times New Roman" w:hAnsi="Times New Roman" w:cs="Times New Roman"/>
          <w:sz w:val="24"/>
          <w:szCs w:val="24"/>
          <w:lang w:val="en-SG"/>
        </w:rPr>
        <w:t>(96.1</w:t>
      </w:r>
      <w:r w:rsidR="00674058" w:rsidRPr="008374B5">
        <w:rPr>
          <w:rFonts w:ascii="Times New Roman" w:hAnsi="Times New Roman" w:cs="Times New Roman"/>
          <w:sz w:val="24"/>
          <w:szCs w:val="24"/>
          <w:lang w:val="en-SG"/>
        </w:rPr>
        <w:t>%)</w:t>
      </w:r>
      <w:r w:rsidR="00937954" w:rsidRPr="008374B5">
        <w:rPr>
          <w:rFonts w:ascii="Times New Roman" w:hAnsi="Times New Roman" w:cs="Times New Roman"/>
          <w:sz w:val="24"/>
          <w:szCs w:val="24"/>
          <w:lang w:val="en-SG"/>
        </w:rPr>
        <w:t xml:space="preserve"> </w:t>
      </w:r>
      <w:r w:rsidR="008D001A"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937954" w:rsidRPr="008374B5">
        <w:rPr>
          <w:rFonts w:ascii="Times New Roman" w:hAnsi="Times New Roman" w:cs="Times New Roman"/>
          <w:sz w:val="24"/>
          <w:szCs w:val="24"/>
          <w:lang w:val="en-SG"/>
        </w:rPr>
        <w:t>midnight feeders consumed formula milk</w:t>
      </w:r>
      <w:r w:rsidR="002A0548" w:rsidRPr="008374B5">
        <w:rPr>
          <w:rFonts w:ascii="Times New Roman" w:hAnsi="Times New Roman" w:cs="Times New Roman"/>
          <w:sz w:val="24"/>
          <w:szCs w:val="24"/>
          <w:lang w:val="en-SG"/>
        </w:rPr>
        <w:t>,</w:t>
      </w:r>
      <w:r w:rsidR="00937954" w:rsidRPr="008374B5">
        <w:rPr>
          <w:rFonts w:ascii="Times New Roman" w:hAnsi="Times New Roman" w:cs="Times New Roman"/>
          <w:sz w:val="24"/>
          <w:szCs w:val="24"/>
          <w:lang w:val="en-SG"/>
        </w:rPr>
        <w:t xml:space="preserve"> </w:t>
      </w:r>
      <w:r w:rsidR="00E80120" w:rsidRPr="008374B5">
        <w:rPr>
          <w:rFonts w:ascii="Times New Roman" w:hAnsi="Times New Roman" w:cs="Times New Roman"/>
          <w:sz w:val="24"/>
          <w:szCs w:val="24"/>
          <w:lang w:val="en-SG"/>
        </w:rPr>
        <w:t>10</w:t>
      </w:r>
      <w:r w:rsidR="00303FC9" w:rsidRPr="008374B5">
        <w:rPr>
          <w:rFonts w:ascii="Times New Roman" w:hAnsi="Times New Roman" w:cs="Times New Roman"/>
          <w:sz w:val="24"/>
          <w:szCs w:val="24"/>
          <w:lang w:val="en-SG"/>
        </w:rPr>
        <w:t xml:space="preserve"> (</w:t>
      </w:r>
      <w:r w:rsidR="00E80120" w:rsidRPr="008374B5">
        <w:rPr>
          <w:rFonts w:ascii="Times New Roman" w:hAnsi="Times New Roman" w:cs="Times New Roman"/>
          <w:sz w:val="24"/>
          <w:szCs w:val="24"/>
          <w:lang w:val="en-SG"/>
        </w:rPr>
        <w:t>5.6</w:t>
      </w:r>
      <w:r w:rsidR="00937954" w:rsidRPr="008374B5">
        <w:rPr>
          <w:rFonts w:ascii="Times New Roman" w:hAnsi="Times New Roman" w:cs="Times New Roman"/>
          <w:sz w:val="24"/>
          <w:szCs w:val="24"/>
          <w:lang w:val="en-SG"/>
        </w:rPr>
        <w:t>%</w:t>
      </w:r>
      <w:r w:rsidR="00303FC9" w:rsidRPr="008374B5">
        <w:rPr>
          <w:rFonts w:ascii="Times New Roman" w:hAnsi="Times New Roman" w:cs="Times New Roman"/>
          <w:sz w:val="24"/>
          <w:szCs w:val="24"/>
          <w:lang w:val="en-SG"/>
        </w:rPr>
        <w:t>)</w:t>
      </w:r>
      <w:r w:rsidR="00937954" w:rsidRPr="008374B5">
        <w:rPr>
          <w:rFonts w:ascii="Times New Roman" w:hAnsi="Times New Roman" w:cs="Times New Roman"/>
          <w:sz w:val="24"/>
          <w:szCs w:val="24"/>
          <w:lang w:val="en-SG"/>
        </w:rPr>
        <w:t xml:space="preserve"> cons</w:t>
      </w:r>
      <w:r w:rsidR="00B959EB" w:rsidRPr="008374B5">
        <w:rPr>
          <w:rFonts w:ascii="Times New Roman" w:hAnsi="Times New Roman" w:cs="Times New Roman"/>
          <w:sz w:val="24"/>
          <w:szCs w:val="24"/>
          <w:lang w:val="en-SG"/>
        </w:rPr>
        <w:t>umed whole milk and solid food</w:t>
      </w:r>
      <w:r w:rsidR="002A0548" w:rsidRPr="008374B5">
        <w:rPr>
          <w:rFonts w:ascii="Times New Roman" w:hAnsi="Times New Roman" w:cs="Times New Roman"/>
          <w:sz w:val="24"/>
          <w:szCs w:val="24"/>
          <w:lang w:val="en-SG"/>
        </w:rPr>
        <w:t>, 7 (3.</w:t>
      </w:r>
      <w:r w:rsidR="00B53A51" w:rsidRPr="008374B5">
        <w:rPr>
          <w:rFonts w:ascii="Times New Roman" w:hAnsi="Times New Roman" w:cs="Times New Roman"/>
          <w:sz w:val="24"/>
          <w:szCs w:val="24"/>
          <w:lang w:val="en-SG"/>
        </w:rPr>
        <w:t>9</w:t>
      </w:r>
      <w:r w:rsidR="002A0548" w:rsidRPr="008374B5">
        <w:rPr>
          <w:rFonts w:ascii="Times New Roman" w:hAnsi="Times New Roman" w:cs="Times New Roman"/>
          <w:sz w:val="24"/>
          <w:szCs w:val="24"/>
          <w:lang w:val="en-SG"/>
        </w:rPr>
        <w:t>%) consumed breast</w:t>
      </w:r>
      <w:r w:rsidR="00B64C99" w:rsidRPr="008374B5">
        <w:rPr>
          <w:rFonts w:ascii="Times New Roman" w:hAnsi="Times New Roman" w:cs="Times New Roman"/>
          <w:sz w:val="24"/>
          <w:szCs w:val="24"/>
          <w:lang w:val="en-SG"/>
        </w:rPr>
        <w:t xml:space="preserve"> </w:t>
      </w:r>
      <w:r w:rsidR="002A0548" w:rsidRPr="008374B5">
        <w:rPr>
          <w:rFonts w:ascii="Times New Roman" w:hAnsi="Times New Roman" w:cs="Times New Roman"/>
          <w:sz w:val="24"/>
          <w:szCs w:val="24"/>
          <w:lang w:val="en-SG"/>
        </w:rPr>
        <w:t>milk</w:t>
      </w:r>
      <w:r w:rsidR="00F6737E" w:rsidRPr="008374B5">
        <w:rPr>
          <w:rFonts w:ascii="Times New Roman" w:hAnsi="Times New Roman" w:cs="Times New Roman"/>
          <w:sz w:val="24"/>
          <w:szCs w:val="24"/>
          <w:lang w:val="en-SG"/>
        </w:rPr>
        <w:t xml:space="preserve"> during </w:t>
      </w:r>
      <w:r w:rsidR="00884BF2"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F6737E" w:rsidRPr="008374B5">
        <w:rPr>
          <w:rFonts w:ascii="Times New Roman" w:hAnsi="Times New Roman" w:cs="Times New Roman"/>
          <w:sz w:val="24"/>
          <w:szCs w:val="24"/>
          <w:lang w:val="en-SG"/>
        </w:rPr>
        <w:t>midnight hours</w:t>
      </w:r>
      <w:r w:rsidR="00B959EB" w:rsidRPr="008374B5">
        <w:rPr>
          <w:rFonts w:ascii="Times New Roman" w:hAnsi="Times New Roman" w:cs="Times New Roman"/>
          <w:sz w:val="24"/>
          <w:szCs w:val="24"/>
          <w:lang w:val="en-SG"/>
        </w:rPr>
        <w:t>.</w:t>
      </w:r>
    </w:p>
    <w:p w14:paraId="33826595" w14:textId="77777777" w:rsidR="00303FC9" w:rsidRPr="008374B5" w:rsidRDefault="00303FC9" w:rsidP="008374B5">
      <w:pPr>
        <w:suppressAutoHyphens/>
        <w:spacing w:after="0" w:line="360" w:lineRule="auto"/>
        <w:jc w:val="both"/>
        <w:rPr>
          <w:rFonts w:ascii="Times New Roman" w:hAnsi="Times New Roman" w:cs="Times New Roman"/>
          <w:sz w:val="24"/>
          <w:szCs w:val="24"/>
          <w:lang w:val="en-SG"/>
        </w:rPr>
      </w:pPr>
    </w:p>
    <w:p w14:paraId="66E268BE" w14:textId="127F39F1" w:rsidR="00286211" w:rsidRPr="008374B5" w:rsidRDefault="00286211" w:rsidP="008374B5">
      <w:pPr>
        <w:suppressAutoHyphens/>
        <w:spacing w:after="0" w:line="360" w:lineRule="auto"/>
        <w:jc w:val="both"/>
        <w:rPr>
          <w:rFonts w:ascii="Times New Roman" w:hAnsi="Times New Roman" w:cs="Times New Roman"/>
          <w:i/>
          <w:sz w:val="24"/>
          <w:szCs w:val="24"/>
          <w:lang w:val="en-SG"/>
        </w:rPr>
      </w:pPr>
      <w:r w:rsidRPr="008374B5">
        <w:rPr>
          <w:rFonts w:ascii="Times New Roman" w:hAnsi="Times New Roman" w:cs="Times New Roman"/>
          <w:i/>
          <w:sz w:val="24"/>
          <w:szCs w:val="24"/>
          <w:lang w:val="en-SG"/>
        </w:rPr>
        <w:t xml:space="preserve">Association of </w:t>
      </w:r>
      <w:r w:rsidR="005066A0" w:rsidRPr="008374B5">
        <w:rPr>
          <w:rFonts w:ascii="Times New Roman" w:hAnsi="Times New Roman" w:cs="Times New Roman"/>
          <w:i/>
          <w:sz w:val="24"/>
          <w:szCs w:val="24"/>
          <w:lang w:val="en-SG"/>
        </w:rPr>
        <w:t xml:space="preserve">circadian </w:t>
      </w:r>
      <w:r w:rsidRPr="008374B5">
        <w:rPr>
          <w:rFonts w:ascii="Times New Roman" w:hAnsi="Times New Roman" w:cs="Times New Roman"/>
          <w:i/>
          <w:sz w:val="24"/>
          <w:szCs w:val="24"/>
          <w:lang w:val="en-SG"/>
        </w:rPr>
        <w:t>feeding pattern</w:t>
      </w:r>
      <w:r w:rsidR="005423E6" w:rsidRPr="008374B5">
        <w:rPr>
          <w:rFonts w:ascii="Times New Roman" w:hAnsi="Times New Roman" w:cs="Times New Roman"/>
          <w:i/>
          <w:sz w:val="24"/>
          <w:szCs w:val="24"/>
          <w:lang w:val="en-SG"/>
        </w:rPr>
        <w:t>s</w:t>
      </w:r>
      <w:r w:rsidRPr="008374B5">
        <w:rPr>
          <w:rFonts w:ascii="Times New Roman" w:hAnsi="Times New Roman" w:cs="Times New Roman"/>
          <w:i/>
          <w:sz w:val="24"/>
          <w:szCs w:val="24"/>
          <w:lang w:val="en-SG"/>
        </w:rPr>
        <w:t xml:space="preserve"> with maternal and infant characteristics</w:t>
      </w:r>
    </w:p>
    <w:p w14:paraId="16D924CA" w14:textId="329BE5E4" w:rsidR="00E87146" w:rsidRPr="008374B5" w:rsidRDefault="004B3FB7" w:rsidP="008374B5">
      <w:pPr>
        <w:suppressAutoHyphens/>
        <w:spacing w:after="0" w:line="360" w:lineRule="auto"/>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T</w:t>
      </w:r>
      <w:r w:rsidR="00CB36F0" w:rsidRPr="008374B5">
        <w:rPr>
          <w:rFonts w:ascii="Times New Roman" w:hAnsi="Times New Roman" w:cs="Times New Roman"/>
          <w:sz w:val="24"/>
          <w:szCs w:val="24"/>
          <w:lang w:val="en-SG"/>
        </w:rPr>
        <w:t>able 4</w:t>
      </w:r>
      <w:r w:rsidRPr="008374B5">
        <w:rPr>
          <w:rFonts w:ascii="Times New Roman" w:hAnsi="Times New Roman" w:cs="Times New Roman"/>
          <w:sz w:val="24"/>
          <w:szCs w:val="24"/>
          <w:lang w:val="en-SG"/>
        </w:rPr>
        <w:t xml:space="preserve"> shows the crude and adjusted odd ratios (OR) for </w:t>
      </w:r>
      <w:r w:rsidR="005674ED"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midnight feeding according to maternal and infant characteristics. Compared to </w:t>
      </w:r>
      <w:r w:rsidR="005674ED" w:rsidRPr="008374B5">
        <w:rPr>
          <w:rFonts w:ascii="Times New Roman" w:hAnsi="Times New Roman" w:cs="Times New Roman"/>
          <w:sz w:val="24"/>
          <w:szCs w:val="24"/>
          <w:lang w:val="en-SG"/>
        </w:rPr>
        <w:t>pre</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midnight feeders, </w:t>
      </w:r>
      <w:r w:rsidR="003C3327"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midnight feeders were more likely to</w:t>
      </w:r>
      <w:r w:rsidR="00911FEB" w:rsidRPr="008374B5">
        <w:rPr>
          <w:rFonts w:ascii="Times New Roman" w:hAnsi="Times New Roman" w:cs="Times New Roman"/>
          <w:sz w:val="24"/>
          <w:szCs w:val="24"/>
          <w:lang w:val="en-SG"/>
        </w:rPr>
        <w:t xml:space="preserve"> be</w:t>
      </w:r>
      <w:r w:rsidRPr="008374B5">
        <w:rPr>
          <w:rFonts w:ascii="Times New Roman" w:hAnsi="Times New Roman" w:cs="Times New Roman"/>
          <w:sz w:val="24"/>
          <w:szCs w:val="24"/>
          <w:lang w:val="en-SG"/>
        </w:rPr>
        <w:t xml:space="preserve"> </w:t>
      </w:r>
      <w:r w:rsidR="001E6B4A" w:rsidRPr="008374B5">
        <w:rPr>
          <w:rFonts w:ascii="Times New Roman" w:hAnsi="Times New Roman" w:cs="Times New Roman"/>
          <w:sz w:val="24"/>
          <w:szCs w:val="24"/>
          <w:lang w:val="en-SG"/>
        </w:rPr>
        <w:t>Malay [</w:t>
      </w:r>
      <w:r w:rsidR="009C0686" w:rsidRPr="008374B5">
        <w:rPr>
          <w:rFonts w:ascii="Times New Roman" w:hAnsi="Times New Roman" w:cs="Times New Roman"/>
          <w:sz w:val="24"/>
          <w:szCs w:val="24"/>
          <w:lang w:val="en-SG"/>
        </w:rPr>
        <w:t>OR=1.68</w:t>
      </w:r>
      <w:r w:rsidR="00295F1D" w:rsidRPr="008374B5">
        <w:rPr>
          <w:rFonts w:ascii="Times New Roman" w:hAnsi="Times New Roman" w:cs="Times New Roman"/>
          <w:sz w:val="24"/>
          <w:szCs w:val="24"/>
          <w:lang w:val="en-SG"/>
        </w:rPr>
        <w:t>;</w:t>
      </w:r>
      <w:r w:rsidR="00656385" w:rsidRPr="008374B5">
        <w:rPr>
          <w:rFonts w:ascii="Times New Roman" w:hAnsi="Times New Roman" w:cs="Times New Roman"/>
          <w:sz w:val="24"/>
          <w:szCs w:val="24"/>
          <w:lang w:val="en-SG"/>
        </w:rPr>
        <w:t xml:space="preserve"> 95% </w:t>
      </w:r>
      <w:r w:rsidR="001E6B4A" w:rsidRPr="008374B5">
        <w:rPr>
          <w:rFonts w:ascii="Times New Roman" w:hAnsi="Times New Roman" w:cs="Times New Roman"/>
          <w:sz w:val="24"/>
          <w:szCs w:val="24"/>
          <w:lang w:val="en-SG"/>
        </w:rPr>
        <w:t>Confidence Interval (</w:t>
      </w:r>
      <w:r w:rsidR="00656385" w:rsidRPr="008374B5">
        <w:rPr>
          <w:rFonts w:ascii="Times New Roman" w:hAnsi="Times New Roman" w:cs="Times New Roman"/>
          <w:sz w:val="24"/>
          <w:szCs w:val="24"/>
          <w:lang w:val="en-SG"/>
        </w:rPr>
        <w:t>CI</w:t>
      </w:r>
      <w:r w:rsidR="001E6B4A" w:rsidRPr="008374B5">
        <w:rPr>
          <w:rFonts w:ascii="Times New Roman" w:hAnsi="Times New Roman" w:cs="Times New Roman"/>
          <w:sz w:val="24"/>
          <w:szCs w:val="24"/>
          <w:lang w:val="en-SG"/>
        </w:rPr>
        <w:t>)</w:t>
      </w:r>
      <w:r w:rsidR="00295F1D" w:rsidRPr="008374B5">
        <w:rPr>
          <w:rFonts w:ascii="Times New Roman" w:hAnsi="Times New Roman" w:cs="Times New Roman"/>
          <w:sz w:val="24"/>
          <w:szCs w:val="24"/>
          <w:lang w:val="en-SG"/>
        </w:rPr>
        <w:t xml:space="preserve"> </w:t>
      </w:r>
      <w:r w:rsidR="009C0686" w:rsidRPr="008374B5">
        <w:rPr>
          <w:rFonts w:ascii="Times New Roman" w:hAnsi="Times New Roman" w:cs="Times New Roman"/>
          <w:sz w:val="24"/>
          <w:szCs w:val="24"/>
          <w:lang w:val="en-SG"/>
        </w:rPr>
        <w:t>1.05, 2.72</w:t>
      </w:r>
      <w:r w:rsidR="00295F1D" w:rsidRPr="008374B5">
        <w:rPr>
          <w:rFonts w:ascii="Times New Roman" w:hAnsi="Times New Roman" w:cs="Times New Roman"/>
          <w:sz w:val="24"/>
          <w:szCs w:val="24"/>
          <w:lang w:val="en-SG"/>
        </w:rPr>
        <w:t>;</w:t>
      </w:r>
      <w:r w:rsidR="00656385" w:rsidRPr="008374B5">
        <w:rPr>
          <w:rFonts w:ascii="Times New Roman" w:hAnsi="Times New Roman" w:cs="Times New Roman"/>
          <w:sz w:val="24"/>
          <w:szCs w:val="24"/>
          <w:lang w:val="en-SG"/>
        </w:rPr>
        <w:t xml:space="preserve"> </w:t>
      </w:r>
      <w:r w:rsidR="001834F0" w:rsidRPr="008374B5">
        <w:rPr>
          <w:rFonts w:ascii="Times New Roman" w:hAnsi="Times New Roman" w:cs="Times New Roman"/>
          <w:i/>
          <w:sz w:val="24"/>
          <w:szCs w:val="24"/>
          <w:lang w:val="en-SG"/>
        </w:rPr>
        <w:t>P</w:t>
      </w:r>
      <w:r w:rsidR="00656385" w:rsidRPr="008374B5">
        <w:rPr>
          <w:rFonts w:ascii="Times New Roman" w:hAnsi="Times New Roman" w:cs="Times New Roman"/>
          <w:sz w:val="24"/>
          <w:szCs w:val="24"/>
          <w:lang w:val="en-SG"/>
        </w:rPr>
        <w:t>=0.032</w:t>
      </w:r>
      <w:r w:rsidR="002D39EE" w:rsidRPr="008374B5">
        <w:rPr>
          <w:rFonts w:ascii="Times New Roman" w:hAnsi="Times New Roman" w:cs="Times New Roman"/>
          <w:sz w:val="24"/>
          <w:szCs w:val="24"/>
          <w:lang w:val="en-SG"/>
        </w:rPr>
        <w:t>]</w:t>
      </w:r>
      <w:r w:rsidR="003D6D2E" w:rsidRPr="008374B5">
        <w:rPr>
          <w:rFonts w:ascii="Times New Roman" w:hAnsi="Times New Roman" w:cs="Times New Roman"/>
          <w:sz w:val="24"/>
          <w:szCs w:val="24"/>
          <w:lang w:val="en-SG"/>
        </w:rPr>
        <w:t xml:space="preserve">, </w:t>
      </w:r>
      <w:r w:rsidRPr="008374B5">
        <w:rPr>
          <w:rFonts w:ascii="Times New Roman" w:hAnsi="Times New Roman" w:cs="Times New Roman"/>
          <w:sz w:val="24"/>
          <w:szCs w:val="24"/>
          <w:lang w:val="en-SG"/>
        </w:rPr>
        <w:t xml:space="preserve">less likely </w:t>
      </w:r>
      <w:r w:rsidR="009C1495" w:rsidRPr="008374B5">
        <w:rPr>
          <w:rFonts w:ascii="Times New Roman" w:hAnsi="Times New Roman" w:cs="Times New Roman"/>
          <w:sz w:val="24"/>
          <w:szCs w:val="24"/>
          <w:lang w:val="en-SG"/>
        </w:rPr>
        <w:t xml:space="preserve">to be </w:t>
      </w:r>
      <w:r w:rsidRPr="008374B5">
        <w:rPr>
          <w:rFonts w:ascii="Times New Roman" w:hAnsi="Times New Roman" w:cs="Times New Roman"/>
          <w:sz w:val="24"/>
          <w:szCs w:val="24"/>
          <w:lang w:val="en-SG"/>
        </w:rPr>
        <w:t xml:space="preserve">born to mothers who had </w:t>
      </w:r>
      <w:r w:rsidR="00077D8A" w:rsidRPr="008374B5">
        <w:rPr>
          <w:rFonts w:ascii="Times New Roman" w:hAnsi="Times New Roman" w:cs="Times New Roman"/>
          <w:sz w:val="24"/>
          <w:szCs w:val="24"/>
          <w:lang w:val="en-SG"/>
        </w:rPr>
        <w:t>higher</w:t>
      </w:r>
      <w:r w:rsidR="009C0686" w:rsidRPr="008374B5">
        <w:rPr>
          <w:rFonts w:ascii="Times New Roman" w:hAnsi="Times New Roman" w:cs="Times New Roman"/>
          <w:sz w:val="24"/>
          <w:szCs w:val="24"/>
          <w:lang w:val="en-SG"/>
        </w:rPr>
        <w:t xml:space="preserve"> educat</w:t>
      </w:r>
      <w:r w:rsidR="00295F1D" w:rsidRPr="008374B5">
        <w:rPr>
          <w:rFonts w:ascii="Times New Roman" w:hAnsi="Times New Roman" w:cs="Times New Roman"/>
          <w:sz w:val="24"/>
          <w:szCs w:val="24"/>
          <w:lang w:val="en-SG"/>
        </w:rPr>
        <w:t>ion</w:t>
      </w:r>
      <w:r w:rsidR="00077D8A" w:rsidRPr="008374B5">
        <w:rPr>
          <w:rFonts w:ascii="Times New Roman" w:hAnsi="Times New Roman" w:cs="Times New Roman"/>
          <w:sz w:val="24"/>
          <w:szCs w:val="24"/>
          <w:lang w:val="en-SG"/>
        </w:rPr>
        <w:t>al levels</w:t>
      </w:r>
      <w:r w:rsidR="00295F1D" w:rsidRPr="008374B5">
        <w:rPr>
          <w:rFonts w:ascii="Times New Roman" w:hAnsi="Times New Roman" w:cs="Times New Roman"/>
          <w:sz w:val="24"/>
          <w:szCs w:val="24"/>
          <w:lang w:val="en-SG"/>
        </w:rPr>
        <w:t xml:space="preserve"> (OR=0.57; 95% CI </w:t>
      </w:r>
      <w:r w:rsidR="009C0686" w:rsidRPr="008374B5">
        <w:rPr>
          <w:rFonts w:ascii="Times New Roman" w:hAnsi="Times New Roman" w:cs="Times New Roman"/>
          <w:sz w:val="24"/>
          <w:szCs w:val="24"/>
          <w:lang w:val="en-SG"/>
        </w:rPr>
        <w:t>0.38, 0.86</w:t>
      </w:r>
      <w:r w:rsidR="00295F1D"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 </w:t>
      </w:r>
      <w:r w:rsidR="001834F0" w:rsidRPr="008374B5">
        <w:rPr>
          <w:rFonts w:ascii="Times New Roman" w:hAnsi="Times New Roman" w:cs="Times New Roman"/>
          <w:i/>
          <w:sz w:val="24"/>
          <w:szCs w:val="24"/>
          <w:lang w:val="en-SG"/>
        </w:rPr>
        <w:t>P</w:t>
      </w:r>
      <w:r w:rsidRPr="008374B5">
        <w:rPr>
          <w:rFonts w:ascii="Times New Roman" w:hAnsi="Times New Roman" w:cs="Times New Roman"/>
          <w:sz w:val="24"/>
          <w:szCs w:val="24"/>
          <w:lang w:val="en-SG"/>
        </w:rPr>
        <w:t>=0.007)</w:t>
      </w:r>
      <w:r w:rsidR="00B53A51" w:rsidRPr="008374B5">
        <w:rPr>
          <w:rFonts w:ascii="Times New Roman" w:hAnsi="Times New Roman" w:cs="Times New Roman"/>
          <w:sz w:val="24"/>
          <w:szCs w:val="24"/>
          <w:lang w:val="en-SG"/>
        </w:rPr>
        <w:t xml:space="preserve"> and higher</w:t>
      </w:r>
      <w:r w:rsidR="009C1495" w:rsidRPr="008374B5">
        <w:rPr>
          <w:rFonts w:ascii="Times New Roman" w:hAnsi="Times New Roman" w:cs="Times New Roman"/>
          <w:sz w:val="24"/>
          <w:szCs w:val="24"/>
          <w:lang w:val="en-SG"/>
        </w:rPr>
        <w:t xml:space="preserve"> </w:t>
      </w:r>
      <w:r w:rsidRPr="008374B5">
        <w:rPr>
          <w:rFonts w:ascii="Times New Roman" w:hAnsi="Times New Roman" w:cs="Times New Roman"/>
          <w:sz w:val="24"/>
          <w:szCs w:val="24"/>
          <w:lang w:val="en-SG"/>
        </w:rPr>
        <w:t>mo</w:t>
      </w:r>
      <w:r w:rsidR="00295F1D" w:rsidRPr="008374B5">
        <w:rPr>
          <w:rFonts w:ascii="Times New Roman" w:hAnsi="Times New Roman" w:cs="Times New Roman"/>
          <w:sz w:val="24"/>
          <w:szCs w:val="24"/>
          <w:lang w:val="en-SG"/>
        </w:rPr>
        <w:t>nthly household income (OR=0.38;</w:t>
      </w:r>
      <w:r w:rsidR="009C0686" w:rsidRPr="008374B5">
        <w:rPr>
          <w:rFonts w:ascii="Times New Roman" w:hAnsi="Times New Roman" w:cs="Times New Roman"/>
          <w:sz w:val="24"/>
          <w:szCs w:val="24"/>
          <w:lang w:val="en-SG"/>
        </w:rPr>
        <w:t xml:space="preserve"> 95% CI</w:t>
      </w:r>
      <w:r w:rsidR="00295F1D" w:rsidRPr="008374B5">
        <w:rPr>
          <w:rFonts w:ascii="Times New Roman" w:hAnsi="Times New Roman" w:cs="Times New Roman"/>
          <w:sz w:val="24"/>
          <w:szCs w:val="24"/>
          <w:lang w:val="en-SG"/>
        </w:rPr>
        <w:t xml:space="preserve"> </w:t>
      </w:r>
      <w:r w:rsidR="009C0686" w:rsidRPr="008374B5">
        <w:rPr>
          <w:rFonts w:ascii="Times New Roman" w:hAnsi="Times New Roman" w:cs="Times New Roman"/>
          <w:sz w:val="24"/>
          <w:szCs w:val="24"/>
          <w:lang w:val="en-SG"/>
        </w:rPr>
        <w:t>0.20, 0.71</w:t>
      </w:r>
      <w:r w:rsidR="00295F1D"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 </w:t>
      </w:r>
      <w:r w:rsidR="001834F0" w:rsidRPr="008374B5">
        <w:rPr>
          <w:rFonts w:ascii="Times New Roman" w:hAnsi="Times New Roman" w:cs="Times New Roman"/>
          <w:i/>
          <w:sz w:val="24"/>
          <w:szCs w:val="24"/>
          <w:lang w:val="en-SG"/>
        </w:rPr>
        <w:t>P</w:t>
      </w:r>
      <w:r w:rsidRPr="008374B5">
        <w:rPr>
          <w:rFonts w:ascii="Times New Roman" w:hAnsi="Times New Roman" w:cs="Times New Roman"/>
          <w:sz w:val="24"/>
          <w:szCs w:val="24"/>
          <w:lang w:val="en-SG"/>
        </w:rPr>
        <w:t>=0.002)</w:t>
      </w:r>
      <w:r w:rsidR="00077D8A" w:rsidRPr="008374B5">
        <w:rPr>
          <w:rFonts w:ascii="Times New Roman" w:hAnsi="Times New Roman" w:cs="Times New Roman"/>
          <w:sz w:val="24"/>
          <w:szCs w:val="24"/>
          <w:lang w:val="en-SG"/>
        </w:rPr>
        <w:t xml:space="preserve">, and they were also less likely to be exclusively breastfed in the first six months of life (OR=0.23; 95% CI 0.10. 0.57; </w:t>
      </w:r>
      <w:r w:rsidR="00077D8A" w:rsidRPr="008374B5">
        <w:rPr>
          <w:rFonts w:ascii="Times New Roman" w:hAnsi="Times New Roman" w:cs="Times New Roman"/>
          <w:i/>
          <w:sz w:val="24"/>
          <w:szCs w:val="24"/>
          <w:lang w:val="en-SG"/>
        </w:rPr>
        <w:t>P</w:t>
      </w:r>
      <w:r w:rsidR="00077D8A" w:rsidRPr="008374B5">
        <w:rPr>
          <w:rFonts w:ascii="Times New Roman" w:hAnsi="Times New Roman" w:cs="Times New Roman"/>
          <w:sz w:val="24"/>
          <w:szCs w:val="24"/>
          <w:lang w:val="en-SG"/>
        </w:rPr>
        <w:t>=0.001)</w:t>
      </w:r>
      <w:r w:rsidRPr="008374B5">
        <w:rPr>
          <w:rFonts w:ascii="Times New Roman" w:hAnsi="Times New Roman" w:cs="Times New Roman"/>
          <w:sz w:val="24"/>
          <w:szCs w:val="24"/>
          <w:lang w:val="en-SG"/>
        </w:rPr>
        <w:t xml:space="preserve">. </w:t>
      </w:r>
      <w:r w:rsidR="00077D8A" w:rsidRPr="008374B5">
        <w:rPr>
          <w:rFonts w:ascii="Times New Roman" w:hAnsi="Times New Roman" w:cs="Times New Roman"/>
          <w:sz w:val="24"/>
          <w:szCs w:val="24"/>
          <w:lang w:val="en-SG"/>
        </w:rPr>
        <w:t>In the mutually adjusted model, o</w:t>
      </w:r>
      <w:r w:rsidRPr="008374B5">
        <w:rPr>
          <w:rFonts w:ascii="Times New Roman" w:hAnsi="Times New Roman" w:cs="Times New Roman"/>
          <w:sz w:val="24"/>
          <w:szCs w:val="24"/>
          <w:lang w:val="en-SG"/>
        </w:rPr>
        <w:t xml:space="preserve">nly </w:t>
      </w:r>
      <w:r w:rsidR="00C526AD" w:rsidRPr="008374B5">
        <w:rPr>
          <w:rFonts w:ascii="Times New Roman" w:hAnsi="Times New Roman" w:cs="Times New Roman"/>
          <w:sz w:val="24"/>
          <w:szCs w:val="24"/>
          <w:lang w:val="en-SG"/>
        </w:rPr>
        <w:t>exclusively breast</w:t>
      </w:r>
      <w:r w:rsidR="00C66D8E" w:rsidRPr="008374B5">
        <w:rPr>
          <w:rFonts w:ascii="Times New Roman" w:hAnsi="Times New Roman" w:cs="Times New Roman"/>
          <w:sz w:val="24"/>
          <w:szCs w:val="24"/>
          <w:lang w:val="en-SG"/>
        </w:rPr>
        <w:t xml:space="preserve">feeding </w:t>
      </w:r>
      <w:r w:rsidR="00F752C9" w:rsidRPr="008374B5">
        <w:rPr>
          <w:rFonts w:ascii="Times New Roman" w:hAnsi="Times New Roman" w:cs="Times New Roman"/>
          <w:sz w:val="24"/>
          <w:szCs w:val="24"/>
          <w:lang w:val="en-SG"/>
        </w:rPr>
        <w:t>during</w:t>
      </w:r>
      <w:r w:rsidR="003B1622" w:rsidRPr="008374B5">
        <w:rPr>
          <w:rFonts w:ascii="Times New Roman" w:hAnsi="Times New Roman" w:cs="Times New Roman"/>
          <w:sz w:val="24"/>
          <w:szCs w:val="24"/>
          <w:lang w:val="en-SG"/>
        </w:rPr>
        <w:t xml:space="preserve"> the first six months of </w:t>
      </w:r>
      <w:r w:rsidR="00C43738" w:rsidRPr="008374B5">
        <w:rPr>
          <w:rFonts w:ascii="Times New Roman" w:hAnsi="Times New Roman" w:cs="Times New Roman"/>
          <w:sz w:val="24"/>
          <w:szCs w:val="24"/>
          <w:lang w:val="en-SG"/>
        </w:rPr>
        <w:t>life remained</w:t>
      </w:r>
      <w:r w:rsidR="00AF6122" w:rsidRPr="008374B5">
        <w:rPr>
          <w:rFonts w:ascii="Times New Roman" w:hAnsi="Times New Roman" w:cs="Times New Roman"/>
          <w:sz w:val="24"/>
          <w:szCs w:val="24"/>
          <w:lang w:val="en-SG"/>
        </w:rPr>
        <w:t xml:space="preserve"> significantly associated with </w:t>
      </w:r>
      <w:r w:rsidR="005674ED"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AF6122" w:rsidRPr="008374B5">
        <w:rPr>
          <w:rFonts w:ascii="Times New Roman" w:hAnsi="Times New Roman" w:cs="Times New Roman"/>
          <w:sz w:val="24"/>
          <w:szCs w:val="24"/>
          <w:lang w:val="en-SG"/>
        </w:rPr>
        <w:t>midnight feeding</w:t>
      </w:r>
      <w:r w:rsidR="00827AC9" w:rsidRPr="008374B5">
        <w:rPr>
          <w:rFonts w:ascii="Times New Roman" w:hAnsi="Times New Roman" w:cs="Times New Roman"/>
          <w:sz w:val="24"/>
          <w:szCs w:val="24"/>
          <w:lang w:val="en-SG"/>
        </w:rPr>
        <w:t xml:space="preserve"> </w:t>
      </w:r>
      <w:r w:rsidR="00563A34" w:rsidRPr="008374B5">
        <w:rPr>
          <w:rFonts w:ascii="Times New Roman" w:hAnsi="Times New Roman" w:cs="Times New Roman"/>
          <w:sz w:val="24"/>
          <w:szCs w:val="24"/>
          <w:lang w:val="en-SG"/>
        </w:rPr>
        <w:t>at 12</w:t>
      </w:r>
      <w:r w:rsidR="000B1D17" w:rsidRPr="008374B5">
        <w:rPr>
          <w:rFonts w:ascii="Times New Roman" w:hAnsi="Times New Roman" w:cs="Times New Roman"/>
          <w:sz w:val="24"/>
          <w:szCs w:val="24"/>
          <w:lang w:val="en-SG"/>
        </w:rPr>
        <w:t>-</w:t>
      </w:r>
      <w:r w:rsidR="00563A34" w:rsidRPr="008374B5">
        <w:rPr>
          <w:rFonts w:ascii="Times New Roman" w:hAnsi="Times New Roman" w:cs="Times New Roman"/>
          <w:sz w:val="24"/>
          <w:szCs w:val="24"/>
          <w:lang w:val="en-SG"/>
        </w:rPr>
        <w:t>month</w:t>
      </w:r>
      <w:r w:rsidR="00B05774" w:rsidRPr="008374B5">
        <w:rPr>
          <w:rFonts w:ascii="Times New Roman" w:hAnsi="Times New Roman" w:cs="Times New Roman"/>
          <w:sz w:val="24"/>
          <w:szCs w:val="24"/>
          <w:lang w:val="en-SG"/>
        </w:rPr>
        <w:t xml:space="preserve"> </w:t>
      </w:r>
      <w:r w:rsidR="00AF6122" w:rsidRPr="008374B5">
        <w:rPr>
          <w:rFonts w:ascii="Times New Roman" w:hAnsi="Times New Roman" w:cs="Times New Roman"/>
          <w:sz w:val="24"/>
          <w:szCs w:val="24"/>
          <w:lang w:val="en-SG"/>
        </w:rPr>
        <w:t>(</w:t>
      </w:r>
      <w:r w:rsidR="00295F1D" w:rsidRPr="008374B5">
        <w:rPr>
          <w:rFonts w:ascii="Times New Roman" w:hAnsi="Times New Roman" w:cs="Times New Roman"/>
          <w:sz w:val="24"/>
          <w:szCs w:val="24"/>
          <w:lang w:val="en-SG"/>
        </w:rPr>
        <w:t xml:space="preserve">OR=0.31; 95% CI </w:t>
      </w:r>
      <w:r w:rsidR="000232D7" w:rsidRPr="008374B5">
        <w:rPr>
          <w:rFonts w:ascii="Times New Roman" w:hAnsi="Times New Roman" w:cs="Times New Roman"/>
          <w:sz w:val="24"/>
          <w:szCs w:val="24"/>
          <w:lang w:val="en-SG"/>
        </w:rPr>
        <w:t>0.11, 0.82</w:t>
      </w:r>
      <w:r w:rsidR="00295F1D" w:rsidRPr="008374B5">
        <w:rPr>
          <w:rFonts w:ascii="Times New Roman" w:hAnsi="Times New Roman" w:cs="Times New Roman"/>
          <w:sz w:val="24"/>
          <w:szCs w:val="24"/>
          <w:lang w:val="en-SG"/>
        </w:rPr>
        <w:t xml:space="preserve">; </w:t>
      </w:r>
      <w:r w:rsidR="001834F0" w:rsidRPr="008374B5">
        <w:rPr>
          <w:rFonts w:ascii="Times New Roman" w:hAnsi="Times New Roman" w:cs="Times New Roman"/>
          <w:i/>
          <w:sz w:val="24"/>
          <w:szCs w:val="24"/>
          <w:lang w:val="en-SG"/>
        </w:rPr>
        <w:t>P</w:t>
      </w:r>
      <w:r w:rsidR="00AF6122" w:rsidRPr="008374B5">
        <w:rPr>
          <w:rFonts w:ascii="Times New Roman" w:hAnsi="Times New Roman" w:cs="Times New Roman"/>
          <w:sz w:val="24"/>
          <w:szCs w:val="24"/>
          <w:lang w:val="en-SG"/>
        </w:rPr>
        <w:t>=0.019)</w:t>
      </w:r>
      <w:r w:rsidR="00827AC9" w:rsidRPr="008374B5">
        <w:rPr>
          <w:rFonts w:ascii="Times New Roman" w:hAnsi="Times New Roman" w:cs="Times New Roman"/>
          <w:sz w:val="24"/>
          <w:szCs w:val="24"/>
          <w:lang w:val="en-SG"/>
        </w:rPr>
        <w:t xml:space="preserve">. </w:t>
      </w:r>
      <w:r w:rsidR="00DC57FA" w:rsidRPr="008374B5">
        <w:rPr>
          <w:rFonts w:ascii="Times New Roman" w:hAnsi="Times New Roman" w:cs="Times New Roman"/>
          <w:sz w:val="24"/>
          <w:szCs w:val="24"/>
          <w:lang w:val="en-SG"/>
        </w:rPr>
        <w:t xml:space="preserve">The analysis </w:t>
      </w:r>
      <w:r w:rsidR="00582ED4" w:rsidRPr="008374B5">
        <w:rPr>
          <w:rFonts w:ascii="Times New Roman" w:hAnsi="Times New Roman" w:cs="Times New Roman"/>
          <w:sz w:val="24"/>
          <w:szCs w:val="24"/>
          <w:lang w:val="en-SG"/>
        </w:rPr>
        <w:t xml:space="preserve">was repeated in a submodel with </w:t>
      </w:r>
      <w:r w:rsidR="00CB1878" w:rsidRPr="008374B5">
        <w:rPr>
          <w:rFonts w:ascii="Times New Roman" w:hAnsi="Times New Roman" w:cs="Times New Roman"/>
          <w:sz w:val="24"/>
          <w:szCs w:val="24"/>
          <w:lang w:val="en-SG"/>
        </w:rPr>
        <w:t>an</w:t>
      </w:r>
      <w:r w:rsidR="00582ED4" w:rsidRPr="008374B5">
        <w:rPr>
          <w:rFonts w:ascii="Times New Roman" w:hAnsi="Times New Roman" w:cs="Times New Roman"/>
          <w:sz w:val="24"/>
          <w:szCs w:val="24"/>
          <w:lang w:val="en-SG"/>
        </w:rPr>
        <w:t xml:space="preserve"> </w:t>
      </w:r>
      <w:r w:rsidR="009C1495" w:rsidRPr="008374B5">
        <w:rPr>
          <w:rFonts w:ascii="Times New Roman" w:hAnsi="Times New Roman" w:cs="Times New Roman"/>
          <w:sz w:val="24"/>
          <w:szCs w:val="24"/>
          <w:lang w:val="en-SG"/>
        </w:rPr>
        <w:t xml:space="preserve">additional </w:t>
      </w:r>
      <w:r w:rsidR="005066A0" w:rsidRPr="008374B5">
        <w:rPr>
          <w:rFonts w:ascii="Times New Roman" w:hAnsi="Times New Roman" w:cs="Times New Roman"/>
          <w:sz w:val="24"/>
          <w:szCs w:val="24"/>
          <w:lang w:val="en-SG"/>
        </w:rPr>
        <w:t xml:space="preserve">confounder </w:t>
      </w:r>
      <w:r w:rsidR="009C1495" w:rsidRPr="008374B5">
        <w:rPr>
          <w:rFonts w:ascii="Times New Roman" w:hAnsi="Times New Roman" w:cs="Times New Roman"/>
          <w:sz w:val="24"/>
          <w:szCs w:val="24"/>
          <w:lang w:val="en-SG"/>
        </w:rPr>
        <w:t>adjustment</w:t>
      </w:r>
      <w:r w:rsidR="00582ED4" w:rsidRPr="008374B5">
        <w:rPr>
          <w:rFonts w:ascii="Times New Roman" w:hAnsi="Times New Roman" w:cs="Times New Roman"/>
          <w:sz w:val="24"/>
          <w:szCs w:val="24"/>
          <w:lang w:val="en-SG"/>
        </w:rPr>
        <w:t xml:space="preserve"> of</w:t>
      </w:r>
      <w:r w:rsidR="009D2B35" w:rsidRPr="008374B5">
        <w:rPr>
          <w:rFonts w:ascii="Times New Roman" w:hAnsi="Times New Roman" w:cs="Times New Roman"/>
          <w:sz w:val="24"/>
          <w:szCs w:val="24"/>
          <w:lang w:val="en-SG"/>
        </w:rPr>
        <w:t xml:space="preserve"> infant total sleep duration at 12</w:t>
      </w:r>
      <w:r w:rsidR="000B1D17" w:rsidRPr="008374B5">
        <w:rPr>
          <w:rFonts w:ascii="Times New Roman" w:hAnsi="Times New Roman" w:cs="Times New Roman"/>
          <w:sz w:val="24"/>
          <w:szCs w:val="24"/>
          <w:lang w:val="en-SG"/>
        </w:rPr>
        <w:t>-</w:t>
      </w:r>
      <w:r w:rsidR="009D2B35" w:rsidRPr="008374B5">
        <w:rPr>
          <w:rFonts w:ascii="Times New Roman" w:hAnsi="Times New Roman" w:cs="Times New Roman"/>
          <w:sz w:val="24"/>
          <w:szCs w:val="24"/>
          <w:lang w:val="en-SG"/>
        </w:rPr>
        <w:t>month</w:t>
      </w:r>
      <w:r w:rsidR="000B1D17" w:rsidRPr="008374B5">
        <w:rPr>
          <w:rFonts w:ascii="Times New Roman" w:hAnsi="Times New Roman" w:cs="Times New Roman"/>
          <w:sz w:val="24"/>
          <w:szCs w:val="24"/>
          <w:lang w:val="en-SG"/>
        </w:rPr>
        <w:t>-</w:t>
      </w:r>
      <w:r w:rsidR="009D2B35" w:rsidRPr="008374B5">
        <w:rPr>
          <w:rFonts w:ascii="Times New Roman" w:hAnsi="Times New Roman" w:cs="Times New Roman"/>
          <w:sz w:val="24"/>
          <w:szCs w:val="24"/>
          <w:lang w:val="en-SG"/>
        </w:rPr>
        <w:t>old</w:t>
      </w:r>
      <w:r w:rsidR="00CB1973" w:rsidRPr="008374B5">
        <w:rPr>
          <w:rFonts w:ascii="Times New Roman" w:hAnsi="Times New Roman" w:cs="Times New Roman"/>
          <w:sz w:val="24"/>
          <w:szCs w:val="24"/>
          <w:lang w:val="en-SG"/>
        </w:rPr>
        <w:t xml:space="preserve"> (</w:t>
      </w:r>
      <w:r w:rsidR="00CB1973" w:rsidRPr="008374B5">
        <w:rPr>
          <w:rFonts w:ascii="Times New Roman" w:hAnsi="Times New Roman" w:cs="Times New Roman"/>
          <w:i/>
          <w:sz w:val="24"/>
          <w:szCs w:val="24"/>
          <w:lang w:val="en-SG"/>
        </w:rPr>
        <w:t>n</w:t>
      </w:r>
      <w:r w:rsidR="00CB1973" w:rsidRPr="008374B5">
        <w:rPr>
          <w:rFonts w:ascii="Times New Roman" w:hAnsi="Times New Roman" w:cs="Times New Roman"/>
          <w:sz w:val="24"/>
          <w:szCs w:val="24"/>
          <w:lang w:val="en-SG"/>
        </w:rPr>
        <w:t xml:space="preserve"> </w:t>
      </w:r>
      <w:r w:rsidR="006B3647" w:rsidRPr="008374B5">
        <w:rPr>
          <w:rFonts w:ascii="Times New Roman" w:hAnsi="Times New Roman" w:cs="Times New Roman"/>
          <w:sz w:val="24"/>
          <w:szCs w:val="24"/>
          <w:lang w:val="en-SG"/>
        </w:rPr>
        <w:t>171</w:t>
      </w:r>
      <w:r w:rsidR="009C1495" w:rsidRPr="008374B5">
        <w:rPr>
          <w:rFonts w:ascii="Times New Roman" w:hAnsi="Times New Roman" w:cs="Times New Roman"/>
          <w:sz w:val="24"/>
          <w:szCs w:val="24"/>
          <w:lang w:val="en-SG"/>
        </w:rPr>
        <w:t>)</w:t>
      </w:r>
      <w:r w:rsidR="009D2B35" w:rsidRPr="008374B5">
        <w:rPr>
          <w:rFonts w:ascii="Times New Roman" w:hAnsi="Times New Roman" w:cs="Times New Roman"/>
          <w:sz w:val="24"/>
          <w:szCs w:val="24"/>
          <w:lang w:val="en-SG"/>
        </w:rPr>
        <w:t xml:space="preserve"> </w:t>
      </w:r>
      <w:r w:rsidR="00DE3643" w:rsidRPr="008374B5">
        <w:rPr>
          <w:rFonts w:ascii="Times New Roman" w:hAnsi="Times New Roman" w:cs="Times New Roman"/>
          <w:sz w:val="24"/>
          <w:szCs w:val="24"/>
          <w:lang w:val="en-SG"/>
        </w:rPr>
        <w:t>(</w:t>
      </w:r>
      <w:r w:rsidR="00CB1878" w:rsidRPr="008374B5">
        <w:rPr>
          <w:rFonts w:ascii="Times New Roman" w:hAnsi="Times New Roman" w:cs="Times New Roman"/>
          <w:sz w:val="24"/>
          <w:szCs w:val="24"/>
          <w:lang w:val="en-SG"/>
        </w:rPr>
        <w:t>Table</w:t>
      </w:r>
      <w:r w:rsidR="00582ED4" w:rsidRPr="008374B5">
        <w:rPr>
          <w:rFonts w:ascii="Times New Roman" w:hAnsi="Times New Roman" w:cs="Times New Roman"/>
          <w:sz w:val="24"/>
          <w:szCs w:val="24"/>
          <w:lang w:val="en-SG"/>
        </w:rPr>
        <w:t xml:space="preserve"> not shown</w:t>
      </w:r>
      <w:r w:rsidR="00DE3643" w:rsidRPr="008374B5">
        <w:rPr>
          <w:rFonts w:ascii="Times New Roman" w:hAnsi="Times New Roman" w:cs="Times New Roman"/>
          <w:sz w:val="24"/>
          <w:szCs w:val="24"/>
          <w:lang w:val="en-SG"/>
        </w:rPr>
        <w:t>)</w:t>
      </w:r>
      <w:r w:rsidR="00DC57FA" w:rsidRPr="008374B5">
        <w:rPr>
          <w:rFonts w:ascii="Times New Roman" w:hAnsi="Times New Roman" w:cs="Times New Roman"/>
          <w:sz w:val="24"/>
          <w:szCs w:val="24"/>
          <w:lang w:val="en-SG"/>
        </w:rPr>
        <w:t>.</w:t>
      </w:r>
      <w:r w:rsidR="00D82394" w:rsidRPr="008374B5">
        <w:rPr>
          <w:rFonts w:ascii="Times New Roman" w:hAnsi="Times New Roman" w:cs="Times New Roman"/>
          <w:sz w:val="24"/>
          <w:szCs w:val="24"/>
          <w:lang w:val="en-SG"/>
        </w:rPr>
        <w:t xml:space="preserve"> </w:t>
      </w:r>
      <w:r w:rsidR="00A35DE7" w:rsidRPr="008374B5">
        <w:rPr>
          <w:rFonts w:ascii="Times New Roman" w:hAnsi="Times New Roman" w:cs="Times New Roman"/>
          <w:sz w:val="24"/>
          <w:szCs w:val="24"/>
          <w:lang w:val="en-SG"/>
        </w:rPr>
        <w:t xml:space="preserve">No association was found between </w:t>
      </w:r>
      <w:r w:rsidR="005674ED"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A35DE7" w:rsidRPr="008374B5">
        <w:rPr>
          <w:rFonts w:ascii="Times New Roman" w:hAnsi="Times New Roman" w:cs="Times New Roman"/>
          <w:sz w:val="24"/>
          <w:szCs w:val="24"/>
          <w:lang w:val="en-SG"/>
        </w:rPr>
        <w:t>midnight f</w:t>
      </w:r>
      <w:r w:rsidR="007A618E" w:rsidRPr="008374B5">
        <w:rPr>
          <w:rFonts w:ascii="Times New Roman" w:hAnsi="Times New Roman" w:cs="Times New Roman"/>
          <w:sz w:val="24"/>
          <w:szCs w:val="24"/>
          <w:lang w:val="en-SG"/>
        </w:rPr>
        <w:t>eeding and total sleep duration</w:t>
      </w:r>
      <w:r w:rsidR="002F3E80" w:rsidRPr="008374B5">
        <w:rPr>
          <w:rFonts w:ascii="Times New Roman" w:hAnsi="Times New Roman" w:cs="Times New Roman"/>
          <w:sz w:val="24"/>
          <w:szCs w:val="24"/>
          <w:lang w:val="en-SG"/>
        </w:rPr>
        <w:t xml:space="preserve"> (OR=0.90</w:t>
      </w:r>
      <w:r w:rsidR="006A11B0" w:rsidRPr="008374B5">
        <w:rPr>
          <w:rFonts w:ascii="Times New Roman" w:hAnsi="Times New Roman" w:cs="Times New Roman"/>
          <w:sz w:val="24"/>
          <w:szCs w:val="24"/>
          <w:lang w:val="en-SG"/>
        </w:rPr>
        <w:t xml:space="preserve">; 95% CI </w:t>
      </w:r>
      <w:r w:rsidR="002F3E80" w:rsidRPr="008374B5">
        <w:rPr>
          <w:rFonts w:ascii="Times New Roman" w:hAnsi="Times New Roman" w:cs="Times New Roman"/>
          <w:sz w:val="24"/>
          <w:szCs w:val="24"/>
          <w:lang w:val="en-SG"/>
        </w:rPr>
        <w:t>0.73 1.12</w:t>
      </w:r>
      <w:r w:rsidR="006A11B0" w:rsidRPr="008374B5">
        <w:rPr>
          <w:rFonts w:ascii="Times New Roman" w:hAnsi="Times New Roman" w:cs="Times New Roman"/>
          <w:sz w:val="24"/>
          <w:szCs w:val="24"/>
          <w:lang w:val="en-SG"/>
        </w:rPr>
        <w:t>;</w:t>
      </w:r>
      <w:r w:rsidR="002F3E80" w:rsidRPr="008374B5">
        <w:rPr>
          <w:rFonts w:ascii="Times New Roman" w:hAnsi="Times New Roman" w:cs="Times New Roman"/>
          <w:sz w:val="24"/>
          <w:szCs w:val="24"/>
          <w:lang w:val="en-SG"/>
        </w:rPr>
        <w:t xml:space="preserve"> </w:t>
      </w:r>
      <w:r w:rsidR="002F3E80" w:rsidRPr="008374B5">
        <w:rPr>
          <w:rFonts w:ascii="Times New Roman" w:hAnsi="Times New Roman" w:cs="Times New Roman"/>
          <w:i/>
          <w:sz w:val="24"/>
          <w:szCs w:val="24"/>
          <w:lang w:val="en-SG"/>
        </w:rPr>
        <w:t>P</w:t>
      </w:r>
      <w:r w:rsidR="0074393A" w:rsidRPr="008374B5">
        <w:rPr>
          <w:rFonts w:ascii="Times New Roman" w:hAnsi="Times New Roman" w:cs="Times New Roman"/>
          <w:sz w:val="24"/>
          <w:szCs w:val="24"/>
          <w:lang w:val="en-SG"/>
        </w:rPr>
        <w:t>=0.356</w:t>
      </w:r>
      <w:r w:rsidR="006A11B0" w:rsidRPr="008374B5">
        <w:rPr>
          <w:rFonts w:ascii="Times New Roman" w:hAnsi="Times New Roman" w:cs="Times New Roman"/>
          <w:sz w:val="24"/>
          <w:szCs w:val="24"/>
          <w:lang w:val="en-SG"/>
        </w:rPr>
        <w:t>)</w:t>
      </w:r>
      <w:r w:rsidR="00C92F75" w:rsidRPr="008374B5">
        <w:rPr>
          <w:rFonts w:ascii="Times New Roman" w:hAnsi="Times New Roman" w:cs="Times New Roman"/>
          <w:sz w:val="24"/>
          <w:szCs w:val="24"/>
          <w:lang w:val="en-SG"/>
        </w:rPr>
        <w:t xml:space="preserve">. </w:t>
      </w:r>
      <w:r w:rsidR="00CB1878" w:rsidRPr="008374B5">
        <w:rPr>
          <w:rFonts w:ascii="Times New Roman" w:hAnsi="Times New Roman" w:cs="Times New Roman"/>
          <w:sz w:val="24"/>
          <w:szCs w:val="24"/>
          <w:lang w:val="en-SG"/>
        </w:rPr>
        <w:t>However, t</w:t>
      </w:r>
      <w:r w:rsidR="00C92F75" w:rsidRPr="008374B5">
        <w:rPr>
          <w:rFonts w:ascii="Times New Roman" w:hAnsi="Times New Roman" w:cs="Times New Roman"/>
          <w:sz w:val="24"/>
          <w:szCs w:val="24"/>
          <w:lang w:val="en-SG"/>
        </w:rPr>
        <w:t>he association between</w:t>
      </w:r>
      <w:r w:rsidR="00626AFA" w:rsidRPr="008374B5">
        <w:rPr>
          <w:rFonts w:ascii="Times New Roman" w:hAnsi="Times New Roman" w:cs="Times New Roman"/>
          <w:sz w:val="24"/>
          <w:szCs w:val="24"/>
          <w:lang w:val="en-SG"/>
        </w:rPr>
        <w:t xml:space="preserve"> exclusively breastfeeding during the first six months of life </w:t>
      </w:r>
      <w:r w:rsidR="00C92F75" w:rsidRPr="008374B5">
        <w:rPr>
          <w:rFonts w:ascii="Times New Roman" w:hAnsi="Times New Roman" w:cs="Times New Roman"/>
          <w:sz w:val="24"/>
          <w:szCs w:val="24"/>
          <w:lang w:val="en-SG"/>
        </w:rPr>
        <w:t>and</w:t>
      </w:r>
      <w:r w:rsidR="00626AFA" w:rsidRPr="008374B5">
        <w:rPr>
          <w:rFonts w:ascii="Times New Roman" w:hAnsi="Times New Roman" w:cs="Times New Roman"/>
          <w:sz w:val="24"/>
          <w:szCs w:val="24"/>
          <w:lang w:val="en-SG"/>
        </w:rPr>
        <w:t xml:space="preserve"> </w:t>
      </w:r>
      <w:r w:rsidR="0074393A"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626AFA" w:rsidRPr="008374B5">
        <w:rPr>
          <w:rFonts w:ascii="Times New Roman" w:hAnsi="Times New Roman" w:cs="Times New Roman"/>
          <w:sz w:val="24"/>
          <w:szCs w:val="24"/>
          <w:lang w:val="en-SG"/>
        </w:rPr>
        <w:t xml:space="preserve">midnight feeding </w:t>
      </w:r>
      <w:r w:rsidR="00C92F75" w:rsidRPr="008374B5">
        <w:rPr>
          <w:rFonts w:ascii="Times New Roman" w:hAnsi="Times New Roman" w:cs="Times New Roman"/>
          <w:sz w:val="24"/>
          <w:szCs w:val="24"/>
          <w:lang w:val="en-SG"/>
        </w:rPr>
        <w:t>remained significant after</w:t>
      </w:r>
      <w:r w:rsidR="00626AFA" w:rsidRPr="008374B5">
        <w:rPr>
          <w:rFonts w:ascii="Times New Roman" w:hAnsi="Times New Roman" w:cs="Times New Roman"/>
          <w:sz w:val="24"/>
          <w:szCs w:val="24"/>
          <w:lang w:val="en-SG"/>
        </w:rPr>
        <w:t xml:space="preserve"> </w:t>
      </w:r>
      <w:r w:rsidR="005066A0" w:rsidRPr="008374B5">
        <w:rPr>
          <w:rFonts w:ascii="Times New Roman" w:hAnsi="Times New Roman" w:cs="Times New Roman"/>
          <w:sz w:val="24"/>
          <w:szCs w:val="24"/>
          <w:lang w:val="en-SG"/>
        </w:rPr>
        <w:t xml:space="preserve">additional </w:t>
      </w:r>
      <w:r w:rsidR="00626AFA" w:rsidRPr="008374B5">
        <w:rPr>
          <w:rFonts w:ascii="Times New Roman" w:hAnsi="Times New Roman" w:cs="Times New Roman"/>
          <w:sz w:val="24"/>
          <w:szCs w:val="24"/>
          <w:lang w:val="en-SG"/>
        </w:rPr>
        <w:t>adjustment</w:t>
      </w:r>
      <w:r w:rsidR="00CB1878" w:rsidRPr="008374B5">
        <w:rPr>
          <w:rFonts w:ascii="Times New Roman" w:hAnsi="Times New Roman" w:cs="Times New Roman"/>
          <w:sz w:val="24"/>
          <w:szCs w:val="24"/>
          <w:lang w:val="en-SG"/>
        </w:rPr>
        <w:t xml:space="preserve"> for infant total sleep duration at 12 month</w:t>
      </w:r>
      <w:r w:rsidR="000B1D17" w:rsidRPr="008374B5">
        <w:rPr>
          <w:rFonts w:ascii="Times New Roman" w:hAnsi="Times New Roman" w:cs="Times New Roman"/>
          <w:sz w:val="24"/>
          <w:szCs w:val="24"/>
          <w:lang w:val="en-SG"/>
        </w:rPr>
        <w:t>-</w:t>
      </w:r>
      <w:r w:rsidR="00CB1878" w:rsidRPr="008374B5">
        <w:rPr>
          <w:rFonts w:ascii="Times New Roman" w:hAnsi="Times New Roman" w:cs="Times New Roman"/>
          <w:sz w:val="24"/>
          <w:szCs w:val="24"/>
          <w:lang w:val="en-SG"/>
        </w:rPr>
        <w:t>old</w:t>
      </w:r>
      <w:r w:rsidR="00A65818" w:rsidRPr="008374B5">
        <w:rPr>
          <w:rFonts w:ascii="Times New Roman" w:hAnsi="Times New Roman" w:cs="Times New Roman"/>
          <w:sz w:val="24"/>
          <w:szCs w:val="24"/>
          <w:lang w:val="en-SG"/>
        </w:rPr>
        <w:t xml:space="preserve"> (</w:t>
      </w:r>
      <w:r w:rsidR="008F1A8E" w:rsidRPr="008374B5">
        <w:rPr>
          <w:rFonts w:ascii="Times New Roman" w:hAnsi="Times New Roman" w:cs="Times New Roman"/>
          <w:sz w:val="24"/>
          <w:szCs w:val="24"/>
          <w:lang w:val="en-SG"/>
        </w:rPr>
        <w:t>OR=0.20; 95% CI=0.04, 0.97;</w:t>
      </w:r>
      <w:r w:rsidR="00A65818" w:rsidRPr="008374B5">
        <w:rPr>
          <w:rFonts w:ascii="Times New Roman" w:hAnsi="Times New Roman" w:cs="Times New Roman"/>
          <w:sz w:val="24"/>
          <w:szCs w:val="24"/>
          <w:lang w:val="en-SG"/>
        </w:rPr>
        <w:t xml:space="preserve"> </w:t>
      </w:r>
      <w:r w:rsidR="00A65818" w:rsidRPr="008374B5">
        <w:rPr>
          <w:rFonts w:ascii="Times New Roman" w:hAnsi="Times New Roman" w:cs="Times New Roman"/>
          <w:i/>
          <w:sz w:val="24"/>
          <w:szCs w:val="24"/>
          <w:lang w:val="en-SG"/>
        </w:rPr>
        <w:t>P</w:t>
      </w:r>
      <w:r w:rsidR="008F1A8E" w:rsidRPr="008374B5">
        <w:rPr>
          <w:rFonts w:ascii="Times New Roman" w:hAnsi="Times New Roman" w:cs="Times New Roman"/>
          <w:sz w:val="24"/>
          <w:szCs w:val="24"/>
          <w:lang w:val="en-SG"/>
        </w:rPr>
        <w:t>=0.046)</w:t>
      </w:r>
      <w:r w:rsidR="00BD4EE7" w:rsidRPr="008374B5">
        <w:rPr>
          <w:rFonts w:ascii="Times New Roman" w:hAnsi="Times New Roman" w:cs="Times New Roman"/>
          <w:sz w:val="24"/>
          <w:szCs w:val="24"/>
          <w:lang w:val="en-SG"/>
        </w:rPr>
        <w:t>.</w:t>
      </w:r>
      <w:r w:rsidR="0074393A" w:rsidRPr="008374B5">
        <w:rPr>
          <w:rFonts w:ascii="Times New Roman" w:hAnsi="Times New Roman" w:cs="Times New Roman"/>
          <w:sz w:val="24"/>
          <w:szCs w:val="24"/>
          <w:lang w:val="en-SG"/>
        </w:rPr>
        <w:t xml:space="preserve"> </w:t>
      </w:r>
      <w:r w:rsidR="008A40D6" w:rsidRPr="008374B5">
        <w:rPr>
          <w:rFonts w:ascii="Times New Roman" w:hAnsi="Times New Roman" w:cs="Times New Roman"/>
          <w:sz w:val="24"/>
          <w:szCs w:val="24"/>
          <w:lang w:val="en-SG"/>
        </w:rPr>
        <w:t xml:space="preserve">The </w:t>
      </w:r>
      <w:r w:rsidR="005674ED" w:rsidRPr="008374B5">
        <w:rPr>
          <w:rFonts w:ascii="Times New Roman" w:hAnsi="Times New Roman" w:cs="Times New Roman"/>
          <w:sz w:val="24"/>
          <w:szCs w:val="24"/>
          <w:lang w:val="en-SG"/>
        </w:rPr>
        <w:t xml:space="preserve">sensitivity </w:t>
      </w:r>
      <w:r w:rsidR="008A40D6" w:rsidRPr="008374B5">
        <w:rPr>
          <w:rFonts w:ascii="Times New Roman" w:hAnsi="Times New Roman" w:cs="Times New Roman"/>
          <w:sz w:val="24"/>
          <w:szCs w:val="24"/>
          <w:lang w:val="en-SG"/>
        </w:rPr>
        <w:lastRenderedPageBreak/>
        <w:t xml:space="preserve">analysis </w:t>
      </w:r>
      <w:r w:rsidR="00941736" w:rsidRPr="008374B5">
        <w:rPr>
          <w:rFonts w:ascii="Times New Roman" w:hAnsi="Times New Roman" w:cs="Times New Roman"/>
          <w:sz w:val="24"/>
          <w:szCs w:val="24"/>
          <w:lang w:val="en-SG"/>
        </w:rPr>
        <w:t xml:space="preserve">performed </w:t>
      </w:r>
      <w:r w:rsidR="00AB4D1B" w:rsidRPr="008374B5">
        <w:rPr>
          <w:rFonts w:ascii="Times New Roman" w:hAnsi="Times New Roman" w:cs="Times New Roman"/>
          <w:sz w:val="24"/>
          <w:szCs w:val="24"/>
          <w:lang w:val="en-SG"/>
        </w:rPr>
        <w:t xml:space="preserve">on infants </w:t>
      </w:r>
      <w:r w:rsidR="00067219" w:rsidRPr="008374B5">
        <w:rPr>
          <w:rFonts w:ascii="Times New Roman" w:hAnsi="Times New Roman" w:cs="Times New Roman"/>
          <w:sz w:val="24"/>
          <w:szCs w:val="24"/>
          <w:lang w:val="en-SG"/>
        </w:rPr>
        <w:t>whose 24</w:t>
      </w:r>
      <w:r w:rsidR="000B1D17" w:rsidRPr="008374B5">
        <w:rPr>
          <w:rFonts w:ascii="Times New Roman" w:hAnsi="Times New Roman" w:cs="Times New Roman"/>
          <w:sz w:val="24"/>
          <w:szCs w:val="24"/>
          <w:lang w:val="en-SG"/>
        </w:rPr>
        <w:t>-</w:t>
      </w:r>
      <w:r w:rsidR="00067219" w:rsidRPr="008374B5">
        <w:rPr>
          <w:rFonts w:ascii="Times New Roman" w:hAnsi="Times New Roman" w:cs="Times New Roman"/>
          <w:sz w:val="24"/>
          <w:szCs w:val="24"/>
          <w:lang w:val="en-SG"/>
        </w:rPr>
        <w:t>h</w:t>
      </w:r>
      <w:r w:rsidR="00395067" w:rsidRPr="008374B5">
        <w:rPr>
          <w:rFonts w:ascii="Times New Roman" w:hAnsi="Times New Roman" w:cs="Times New Roman"/>
          <w:sz w:val="24"/>
          <w:szCs w:val="24"/>
          <w:lang w:val="en-SG"/>
        </w:rPr>
        <w:t>our</w:t>
      </w:r>
      <w:r w:rsidR="00067219" w:rsidRPr="008374B5">
        <w:rPr>
          <w:rFonts w:ascii="Times New Roman" w:hAnsi="Times New Roman" w:cs="Times New Roman"/>
          <w:sz w:val="24"/>
          <w:szCs w:val="24"/>
          <w:lang w:val="en-SG"/>
        </w:rPr>
        <w:t xml:space="preserve"> dietary recalls </w:t>
      </w:r>
      <w:r w:rsidR="00A21EA9" w:rsidRPr="008374B5">
        <w:rPr>
          <w:rFonts w:ascii="Times New Roman" w:hAnsi="Times New Roman" w:cs="Times New Roman"/>
          <w:sz w:val="24"/>
          <w:szCs w:val="24"/>
          <w:lang w:val="en-SG"/>
        </w:rPr>
        <w:t>were</w:t>
      </w:r>
      <w:r w:rsidR="001E6B4A" w:rsidRPr="008374B5">
        <w:rPr>
          <w:rFonts w:ascii="Times New Roman" w:hAnsi="Times New Roman" w:cs="Times New Roman"/>
          <w:sz w:val="24"/>
          <w:szCs w:val="24"/>
          <w:lang w:val="en-SG"/>
        </w:rPr>
        <w:t xml:space="preserve"> reported as typical</w:t>
      </w:r>
      <w:r w:rsidR="00A21EA9" w:rsidRPr="008374B5">
        <w:rPr>
          <w:rFonts w:ascii="Times New Roman" w:hAnsi="Times New Roman" w:cs="Times New Roman"/>
          <w:sz w:val="24"/>
          <w:szCs w:val="24"/>
          <w:lang w:val="en-SG"/>
        </w:rPr>
        <w:t xml:space="preserve"> </w:t>
      </w:r>
      <w:r w:rsidR="006C719F" w:rsidRPr="008374B5">
        <w:rPr>
          <w:rFonts w:ascii="Times New Roman" w:hAnsi="Times New Roman" w:cs="Times New Roman"/>
          <w:sz w:val="24"/>
          <w:szCs w:val="24"/>
          <w:lang w:val="en-SG"/>
        </w:rPr>
        <w:t>presented similar findings</w:t>
      </w:r>
      <w:r w:rsidR="00ED2134" w:rsidRPr="008374B5">
        <w:rPr>
          <w:rFonts w:ascii="Times New Roman" w:hAnsi="Times New Roman" w:cs="Times New Roman"/>
          <w:sz w:val="24"/>
          <w:szCs w:val="24"/>
          <w:lang w:val="en-SG"/>
        </w:rPr>
        <w:t xml:space="preserve"> (</w:t>
      </w:r>
      <w:r w:rsidR="007A0D3F" w:rsidRPr="008374B5">
        <w:rPr>
          <w:rFonts w:ascii="Times New Roman" w:hAnsi="Times New Roman" w:cs="Times New Roman"/>
          <w:sz w:val="24"/>
          <w:szCs w:val="24"/>
          <w:lang w:val="en-SG"/>
        </w:rPr>
        <w:t xml:space="preserve">online </w:t>
      </w:r>
      <w:r w:rsidR="00ED2134" w:rsidRPr="008374B5">
        <w:rPr>
          <w:rFonts w:ascii="Times New Roman" w:hAnsi="Times New Roman" w:cs="Times New Roman"/>
          <w:sz w:val="24"/>
          <w:szCs w:val="24"/>
          <w:lang w:val="en-SG"/>
        </w:rPr>
        <w:t xml:space="preserve">Supplementary Table </w:t>
      </w:r>
      <w:r w:rsidR="007A0D3F" w:rsidRPr="008374B5">
        <w:rPr>
          <w:rFonts w:ascii="Times New Roman" w:hAnsi="Times New Roman" w:cs="Times New Roman"/>
          <w:sz w:val="24"/>
          <w:szCs w:val="24"/>
          <w:lang w:val="en-SG"/>
        </w:rPr>
        <w:t>S</w:t>
      </w:r>
      <w:r w:rsidR="00ED2134" w:rsidRPr="008374B5">
        <w:rPr>
          <w:rFonts w:ascii="Times New Roman" w:hAnsi="Times New Roman" w:cs="Times New Roman"/>
          <w:sz w:val="24"/>
          <w:szCs w:val="24"/>
          <w:lang w:val="en-SG"/>
        </w:rPr>
        <w:t>2)</w:t>
      </w:r>
      <w:r w:rsidR="006D41B3" w:rsidRPr="008374B5">
        <w:rPr>
          <w:rFonts w:ascii="Times New Roman" w:hAnsi="Times New Roman" w:cs="Times New Roman"/>
          <w:sz w:val="24"/>
          <w:szCs w:val="24"/>
          <w:lang w:val="en-SG"/>
        </w:rPr>
        <w:t xml:space="preserve">. </w:t>
      </w:r>
      <w:r w:rsidR="00927EEA" w:rsidRPr="008374B5">
        <w:rPr>
          <w:rFonts w:ascii="Times New Roman" w:hAnsi="Times New Roman" w:cs="Times New Roman"/>
          <w:sz w:val="24"/>
          <w:szCs w:val="24"/>
          <w:lang w:val="en-SG"/>
        </w:rPr>
        <w:t xml:space="preserve"> </w:t>
      </w:r>
      <w:r w:rsidR="00E87146" w:rsidRPr="008374B5">
        <w:rPr>
          <w:rFonts w:ascii="Times New Roman" w:hAnsi="Times New Roman" w:cs="Times New Roman"/>
          <w:sz w:val="24"/>
          <w:szCs w:val="24"/>
          <w:lang w:val="en-SG"/>
        </w:rPr>
        <w:br w:type="page"/>
      </w:r>
    </w:p>
    <w:p w14:paraId="236512DB" w14:textId="77777777" w:rsidR="00392907" w:rsidRPr="008374B5" w:rsidRDefault="00C871DD" w:rsidP="008374B5">
      <w:pPr>
        <w:spacing w:after="0" w:line="360" w:lineRule="auto"/>
        <w:rPr>
          <w:rFonts w:ascii="Times New Roman" w:hAnsi="Times New Roman" w:cs="Times New Roman"/>
          <w:sz w:val="24"/>
          <w:szCs w:val="24"/>
          <w:lang w:val="en-SG"/>
        </w:rPr>
      </w:pPr>
      <w:r w:rsidRPr="008374B5">
        <w:rPr>
          <w:rFonts w:ascii="Times New Roman" w:hAnsi="Times New Roman" w:cs="Times New Roman"/>
          <w:b/>
          <w:sz w:val="24"/>
          <w:szCs w:val="24"/>
          <w:lang w:val="en-SG"/>
        </w:rPr>
        <w:lastRenderedPageBreak/>
        <w:t>D</w:t>
      </w:r>
      <w:r w:rsidR="00392907" w:rsidRPr="008374B5">
        <w:rPr>
          <w:rFonts w:ascii="Times New Roman" w:hAnsi="Times New Roman" w:cs="Times New Roman"/>
          <w:b/>
          <w:sz w:val="24"/>
          <w:szCs w:val="24"/>
          <w:lang w:val="en-SG"/>
        </w:rPr>
        <w:t>iscussion</w:t>
      </w:r>
    </w:p>
    <w:p w14:paraId="77911B3F" w14:textId="5BBAB634" w:rsidR="00120B00" w:rsidRPr="008374B5" w:rsidRDefault="007361E3" w:rsidP="008374B5">
      <w:pPr>
        <w:suppressAutoHyphens/>
        <w:spacing w:after="0" w:line="360" w:lineRule="auto"/>
        <w:jc w:val="both"/>
        <w:rPr>
          <w:rFonts w:ascii="Times New Roman" w:eastAsiaTheme="minorEastAsia" w:hAnsi="Times New Roman" w:cs="Times New Roman"/>
          <w:sz w:val="24"/>
          <w:szCs w:val="24"/>
          <w:lang w:val="en-SG" w:eastAsia="zh-CN"/>
        </w:rPr>
      </w:pPr>
      <w:r w:rsidRPr="008374B5">
        <w:rPr>
          <w:rFonts w:ascii="Times New Roman" w:hAnsi="Times New Roman" w:cs="Times New Roman"/>
          <w:sz w:val="24"/>
          <w:szCs w:val="24"/>
          <w:lang w:val="en-SG"/>
        </w:rPr>
        <w:t>This study describes the circadian feeding patterns of 12</w:t>
      </w:r>
      <w:r w:rsidR="000B1D17" w:rsidRPr="008374B5">
        <w:rPr>
          <w:rFonts w:ascii="Times New Roman" w:hAnsi="Times New Roman" w:cs="Times New Roman"/>
          <w:sz w:val="24"/>
          <w:szCs w:val="24"/>
          <w:lang w:val="en-SG"/>
        </w:rPr>
        <w:t>-</w:t>
      </w:r>
      <w:r w:rsidR="00792CDD" w:rsidRPr="008374B5">
        <w:rPr>
          <w:rFonts w:ascii="Times New Roman" w:hAnsi="Times New Roman" w:cs="Times New Roman"/>
          <w:sz w:val="24"/>
          <w:szCs w:val="24"/>
          <w:lang w:val="en-SG"/>
        </w:rPr>
        <w:t>month-</w:t>
      </w:r>
      <w:r w:rsidRPr="008374B5">
        <w:rPr>
          <w:rFonts w:ascii="Times New Roman" w:hAnsi="Times New Roman" w:cs="Times New Roman"/>
          <w:sz w:val="24"/>
          <w:szCs w:val="24"/>
          <w:lang w:val="en-SG"/>
        </w:rPr>
        <w:t>old infants in an Asian multi</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ethnic cohort, in terms of both energy intake and macronutrient proportions. </w:t>
      </w:r>
      <w:r w:rsidR="005C3E09" w:rsidRPr="008374B5">
        <w:rPr>
          <w:rFonts w:ascii="Times New Roman" w:hAnsi="Times New Roman" w:cs="Times New Roman"/>
          <w:sz w:val="24"/>
          <w:szCs w:val="24"/>
          <w:lang w:val="en-SG"/>
        </w:rPr>
        <w:t xml:space="preserve">These infants </w:t>
      </w:r>
      <w:r w:rsidR="009353D1" w:rsidRPr="008374B5">
        <w:rPr>
          <w:rFonts w:ascii="Times New Roman" w:hAnsi="Times New Roman" w:cs="Times New Roman"/>
          <w:sz w:val="24"/>
          <w:szCs w:val="24"/>
          <w:lang w:val="en-SG"/>
        </w:rPr>
        <w:t>consumed an average</w:t>
      </w:r>
      <w:r w:rsidR="005C3E09" w:rsidRPr="008374B5">
        <w:rPr>
          <w:rFonts w:ascii="Times New Roman" w:hAnsi="Times New Roman" w:cs="Times New Roman"/>
          <w:sz w:val="24"/>
          <w:szCs w:val="24"/>
          <w:lang w:val="en-SG"/>
        </w:rPr>
        <w:t xml:space="preserve"> </w:t>
      </w:r>
      <w:r w:rsidR="004453A2" w:rsidRPr="008374B5">
        <w:rPr>
          <w:rFonts w:ascii="Times New Roman" w:hAnsi="Times New Roman" w:cs="Times New Roman"/>
          <w:sz w:val="24"/>
          <w:szCs w:val="24"/>
          <w:lang w:val="en-SG"/>
        </w:rPr>
        <w:t xml:space="preserve">daily </w:t>
      </w:r>
      <w:r w:rsidR="005C3E09" w:rsidRPr="008374B5">
        <w:rPr>
          <w:rFonts w:ascii="Times New Roman" w:hAnsi="Times New Roman" w:cs="Times New Roman"/>
          <w:sz w:val="24"/>
          <w:szCs w:val="24"/>
          <w:lang w:val="en-SG"/>
        </w:rPr>
        <w:t xml:space="preserve">energy </w:t>
      </w:r>
      <w:r w:rsidR="009353D1" w:rsidRPr="008374B5">
        <w:rPr>
          <w:rFonts w:ascii="Times New Roman" w:hAnsi="Times New Roman" w:cs="Times New Roman"/>
          <w:sz w:val="24"/>
          <w:szCs w:val="24"/>
          <w:lang w:val="en-SG"/>
        </w:rPr>
        <w:t xml:space="preserve">intake </w:t>
      </w:r>
      <w:r w:rsidR="005C3E09" w:rsidRPr="008374B5">
        <w:rPr>
          <w:rFonts w:ascii="Times New Roman" w:hAnsi="Times New Roman" w:cs="Times New Roman"/>
          <w:sz w:val="24"/>
          <w:szCs w:val="24"/>
          <w:lang w:val="en-SG"/>
        </w:rPr>
        <w:t xml:space="preserve">of </w:t>
      </w:r>
      <w:r w:rsidR="009353D1" w:rsidRPr="008374B5">
        <w:rPr>
          <w:rFonts w:ascii="Times New Roman" w:hAnsi="Times New Roman" w:cs="Times New Roman"/>
          <w:sz w:val="24"/>
          <w:szCs w:val="24"/>
          <w:lang w:val="en-SG"/>
        </w:rPr>
        <w:t>773</w:t>
      </w:r>
      <w:r w:rsidR="005C3E09" w:rsidRPr="008374B5">
        <w:rPr>
          <w:rFonts w:ascii="Times New Roman" w:hAnsi="Times New Roman" w:cs="Times New Roman"/>
          <w:sz w:val="24"/>
          <w:szCs w:val="24"/>
          <w:lang w:val="en-SG"/>
        </w:rPr>
        <w:t xml:space="preserve"> kcal</w:t>
      </w:r>
      <w:r w:rsidR="00CC09F4" w:rsidRPr="008374B5">
        <w:rPr>
          <w:rFonts w:ascii="Times New Roman" w:hAnsi="Times New Roman" w:cs="Times New Roman"/>
          <w:sz w:val="24"/>
          <w:szCs w:val="24"/>
          <w:lang w:val="en-SG"/>
        </w:rPr>
        <w:t xml:space="preserve">, mainly </w:t>
      </w:r>
      <w:r w:rsidR="00872068" w:rsidRPr="008374B5">
        <w:rPr>
          <w:rFonts w:ascii="Times New Roman" w:hAnsi="Times New Roman" w:cs="Times New Roman"/>
          <w:sz w:val="24"/>
          <w:szCs w:val="24"/>
          <w:lang w:val="en-SG"/>
        </w:rPr>
        <w:t>from carbohydrates</w:t>
      </w:r>
      <w:r w:rsidR="00A75C7F" w:rsidRPr="008374B5">
        <w:rPr>
          <w:rFonts w:ascii="Times New Roman" w:hAnsi="Times New Roman" w:cs="Times New Roman"/>
          <w:sz w:val="24"/>
          <w:szCs w:val="24"/>
          <w:lang w:val="en-SG"/>
        </w:rPr>
        <w:t xml:space="preserve">, followed by fat and protein. </w:t>
      </w:r>
      <w:r w:rsidR="00094AE1" w:rsidRPr="008374B5">
        <w:rPr>
          <w:rFonts w:ascii="Times New Roman" w:hAnsi="Times New Roman" w:cs="Times New Roman"/>
          <w:sz w:val="24"/>
          <w:szCs w:val="24"/>
          <w:lang w:val="en-SG"/>
        </w:rPr>
        <w:t>We identified two circadian feeding patterns, namely pre</w:t>
      </w:r>
      <w:r w:rsidR="000B1D17" w:rsidRPr="008374B5">
        <w:rPr>
          <w:rFonts w:ascii="Times New Roman" w:hAnsi="Times New Roman" w:cs="Times New Roman"/>
          <w:sz w:val="24"/>
          <w:szCs w:val="24"/>
          <w:lang w:val="en-SG"/>
        </w:rPr>
        <w:t>-</w:t>
      </w:r>
      <w:r w:rsidR="00094AE1" w:rsidRPr="008374B5">
        <w:rPr>
          <w:rFonts w:ascii="Times New Roman" w:hAnsi="Times New Roman" w:cs="Times New Roman"/>
          <w:sz w:val="24"/>
          <w:szCs w:val="24"/>
          <w:lang w:val="en-SG"/>
        </w:rPr>
        <w:t>midnight and post</w:t>
      </w:r>
      <w:r w:rsidR="000B1D17" w:rsidRPr="008374B5">
        <w:rPr>
          <w:rFonts w:ascii="Times New Roman" w:hAnsi="Times New Roman" w:cs="Times New Roman"/>
          <w:sz w:val="24"/>
          <w:szCs w:val="24"/>
          <w:lang w:val="en-SG"/>
        </w:rPr>
        <w:t>-</w:t>
      </w:r>
      <w:r w:rsidR="00094AE1" w:rsidRPr="008374B5">
        <w:rPr>
          <w:rFonts w:ascii="Times New Roman" w:hAnsi="Times New Roman" w:cs="Times New Roman"/>
          <w:sz w:val="24"/>
          <w:szCs w:val="24"/>
          <w:lang w:val="en-SG"/>
        </w:rPr>
        <w:t>midnight feeding. Post</w:t>
      </w:r>
      <w:r w:rsidR="000B1D17" w:rsidRPr="008374B5">
        <w:rPr>
          <w:rFonts w:ascii="Times New Roman" w:hAnsi="Times New Roman" w:cs="Times New Roman"/>
          <w:sz w:val="24"/>
          <w:szCs w:val="24"/>
          <w:lang w:val="en-SG"/>
        </w:rPr>
        <w:t>-</w:t>
      </w:r>
      <w:r w:rsidR="00094AE1" w:rsidRPr="008374B5">
        <w:rPr>
          <w:rFonts w:ascii="Times New Roman" w:hAnsi="Times New Roman" w:cs="Times New Roman"/>
          <w:sz w:val="24"/>
          <w:szCs w:val="24"/>
          <w:lang w:val="en-SG"/>
        </w:rPr>
        <w:t xml:space="preserve">midnight feeding was highly prevalent at 41.8%. These infants had </w:t>
      </w:r>
      <w:r w:rsidR="00D72CD3" w:rsidRPr="008374B5">
        <w:rPr>
          <w:rFonts w:ascii="Times New Roman" w:hAnsi="Times New Roman" w:cs="Times New Roman"/>
          <w:sz w:val="24"/>
          <w:szCs w:val="24"/>
          <w:lang w:val="en-SG"/>
        </w:rPr>
        <w:t>higher</w:t>
      </w:r>
      <w:r w:rsidR="00094AE1" w:rsidRPr="008374B5">
        <w:rPr>
          <w:rFonts w:ascii="Times New Roman" w:hAnsi="Times New Roman" w:cs="Times New Roman"/>
          <w:sz w:val="24"/>
          <w:szCs w:val="24"/>
          <w:lang w:val="en-SG"/>
        </w:rPr>
        <w:t xml:space="preserve"> </w:t>
      </w:r>
      <w:r w:rsidR="006D3859" w:rsidRPr="008374B5">
        <w:rPr>
          <w:rFonts w:ascii="Times New Roman" w:hAnsi="Times New Roman" w:cs="Times New Roman"/>
          <w:sz w:val="24"/>
          <w:szCs w:val="24"/>
          <w:lang w:val="en-SG"/>
        </w:rPr>
        <w:t xml:space="preserve">daily </w:t>
      </w:r>
      <w:r w:rsidR="00094AE1" w:rsidRPr="008374B5">
        <w:rPr>
          <w:rFonts w:ascii="Times New Roman" w:hAnsi="Times New Roman" w:cs="Times New Roman"/>
          <w:sz w:val="24"/>
          <w:szCs w:val="24"/>
          <w:lang w:val="en-SG"/>
        </w:rPr>
        <w:t>energy and macronutrient intakes compared to pre</w:t>
      </w:r>
      <w:r w:rsidR="000B1D17" w:rsidRPr="008374B5">
        <w:rPr>
          <w:rFonts w:ascii="Times New Roman" w:hAnsi="Times New Roman" w:cs="Times New Roman"/>
          <w:sz w:val="24"/>
          <w:szCs w:val="24"/>
          <w:lang w:val="en-SG"/>
        </w:rPr>
        <w:t>-</w:t>
      </w:r>
      <w:r w:rsidR="003C2BD2" w:rsidRPr="008374B5">
        <w:rPr>
          <w:rFonts w:ascii="Times New Roman" w:hAnsi="Times New Roman" w:cs="Times New Roman"/>
          <w:sz w:val="24"/>
          <w:szCs w:val="24"/>
          <w:lang w:val="en-SG"/>
        </w:rPr>
        <w:t>midnight feeders</w:t>
      </w:r>
      <w:r w:rsidR="00094AE1" w:rsidRPr="008374B5">
        <w:rPr>
          <w:rFonts w:ascii="Times New Roman" w:hAnsi="Times New Roman" w:cs="Times New Roman"/>
          <w:sz w:val="24"/>
          <w:szCs w:val="24"/>
          <w:lang w:val="en-SG"/>
        </w:rPr>
        <w:t xml:space="preserve">, </w:t>
      </w:r>
      <w:r w:rsidR="006672CC" w:rsidRPr="008374B5">
        <w:rPr>
          <w:rFonts w:ascii="Times New Roman" w:hAnsi="Times New Roman" w:cs="Times New Roman"/>
          <w:sz w:val="24"/>
          <w:szCs w:val="24"/>
          <w:lang w:val="en-SG"/>
        </w:rPr>
        <w:t>even though their pre</w:t>
      </w:r>
      <w:r w:rsidR="000B1D17" w:rsidRPr="008374B5">
        <w:rPr>
          <w:rFonts w:ascii="Times New Roman" w:hAnsi="Times New Roman" w:cs="Times New Roman"/>
          <w:sz w:val="24"/>
          <w:szCs w:val="24"/>
          <w:lang w:val="en-SG"/>
        </w:rPr>
        <w:t>-</w:t>
      </w:r>
      <w:r w:rsidR="006672CC" w:rsidRPr="008374B5">
        <w:rPr>
          <w:rFonts w:ascii="Times New Roman" w:hAnsi="Times New Roman" w:cs="Times New Roman"/>
          <w:sz w:val="24"/>
          <w:szCs w:val="24"/>
          <w:lang w:val="en-SG"/>
        </w:rPr>
        <w:t>midnight energy</w:t>
      </w:r>
      <w:r w:rsidR="00094AE1" w:rsidRPr="008374B5">
        <w:rPr>
          <w:rFonts w:ascii="Times New Roman" w:hAnsi="Times New Roman" w:cs="Times New Roman"/>
          <w:sz w:val="24"/>
          <w:szCs w:val="24"/>
          <w:lang w:val="en-SG"/>
        </w:rPr>
        <w:t xml:space="preserve"> </w:t>
      </w:r>
      <w:r w:rsidR="004453A2" w:rsidRPr="008374B5">
        <w:rPr>
          <w:rFonts w:ascii="Times New Roman" w:hAnsi="Times New Roman" w:cs="Times New Roman"/>
          <w:sz w:val="24"/>
          <w:szCs w:val="24"/>
          <w:lang w:val="en-SG"/>
        </w:rPr>
        <w:t xml:space="preserve">and macronutrient </w:t>
      </w:r>
      <w:r w:rsidR="00094AE1" w:rsidRPr="008374B5">
        <w:rPr>
          <w:rFonts w:ascii="Times New Roman" w:hAnsi="Times New Roman" w:cs="Times New Roman"/>
          <w:sz w:val="24"/>
          <w:szCs w:val="24"/>
          <w:lang w:val="en-SG"/>
        </w:rPr>
        <w:t>intakes were not significantly different.</w:t>
      </w:r>
      <w:r w:rsidR="00094AE1" w:rsidRPr="008374B5">
        <w:rPr>
          <w:rFonts w:ascii="Times New Roman" w:eastAsiaTheme="minorEastAsia" w:hAnsi="Times New Roman" w:cs="Times New Roman"/>
          <w:sz w:val="24"/>
          <w:szCs w:val="24"/>
          <w:lang w:val="en-SG" w:eastAsia="zh-CN"/>
        </w:rPr>
        <w:t xml:space="preserve"> </w:t>
      </w:r>
      <w:r w:rsidR="00035F90" w:rsidRPr="008374B5">
        <w:rPr>
          <w:rFonts w:ascii="Times New Roman" w:eastAsiaTheme="minorEastAsia" w:hAnsi="Times New Roman" w:cs="Times New Roman"/>
          <w:sz w:val="24"/>
          <w:szCs w:val="24"/>
          <w:lang w:val="en-SG" w:eastAsia="zh-CN"/>
        </w:rPr>
        <w:t>Altogether, o</w:t>
      </w:r>
      <w:r w:rsidR="00D17296" w:rsidRPr="008374B5">
        <w:rPr>
          <w:rFonts w:ascii="Times New Roman" w:eastAsiaTheme="minorEastAsia" w:hAnsi="Times New Roman" w:cs="Times New Roman"/>
          <w:sz w:val="24"/>
          <w:szCs w:val="24"/>
          <w:lang w:val="en-SG" w:eastAsia="zh-CN"/>
        </w:rPr>
        <w:t xml:space="preserve">ur findings suggest that </w:t>
      </w:r>
      <w:r w:rsidR="00CD171B" w:rsidRPr="008374B5">
        <w:rPr>
          <w:rFonts w:ascii="Times New Roman" w:eastAsiaTheme="minorEastAsia" w:hAnsi="Times New Roman" w:cs="Times New Roman"/>
          <w:sz w:val="24"/>
          <w:szCs w:val="24"/>
          <w:lang w:val="en-SG" w:eastAsia="zh-CN"/>
        </w:rPr>
        <w:t>fe</w:t>
      </w:r>
      <w:r w:rsidR="00821B37" w:rsidRPr="008374B5">
        <w:rPr>
          <w:rFonts w:ascii="Times New Roman" w:eastAsiaTheme="minorEastAsia" w:hAnsi="Times New Roman" w:cs="Times New Roman"/>
          <w:sz w:val="24"/>
          <w:szCs w:val="24"/>
          <w:lang w:val="en-SG" w:eastAsia="zh-CN"/>
        </w:rPr>
        <w:t xml:space="preserve">eding </w:t>
      </w:r>
      <w:r w:rsidR="004E1627" w:rsidRPr="008374B5">
        <w:rPr>
          <w:rFonts w:ascii="Times New Roman" w:eastAsiaTheme="minorEastAsia" w:hAnsi="Times New Roman" w:cs="Times New Roman"/>
          <w:sz w:val="24"/>
          <w:szCs w:val="24"/>
          <w:lang w:val="en-SG" w:eastAsia="zh-CN"/>
        </w:rPr>
        <w:t>after midnight</w:t>
      </w:r>
      <w:r w:rsidR="00D17296" w:rsidRPr="008374B5">
        <w:rPr>
          <w:rFonts w:ascii="Times New Roman" w:eastAsiaTheme="minorEastAsia" w:hAnsi="Times New Roman" w:cs="Times New Roman"/>
          <w:sz w:val="24"/>
          <w:szCs w:val="24"/>
          <w:lang w:val="en-SG" w:eastAsia="zh-CN"/>
        </w:rPr>
        <w:t xml:space="preserve"> </w:t>
      </w:r>
      <w:r w:rsidR="008958F9" w:rsidRPr="008374B5">
        <w:rPr>
          <w:rFonts w:ascii="Times New Roman" w:eastAsiaTheme="minorEastAsia" w:hAnsi="Times New Roman" w:cs="Times New Roman"/>
          <w:sz w:val="24"/>
          <w:szCs w:val="24"/>
          <w:lang w:val="en-SG" w:eastAsia="zh-CN"/>
        </w:rPr>
        <w:t>affect</w:t>
      </w:r>
      <w:r w:rsidR="00D17296" w:rsidRPr="008374B5">
        <w:rPr>
          <w:rFonts w:ascii="Times New Roman" w:eastAsiaTheme="minorEastAsia" w:hAnsi="Times New Roman" w:cs="Times New Roman"/>
          <w:sz w:val="24"/>
          <w:szCs w:val="24"/>
          <w:lang w:val="en-SG" w:eastAsia="zh-CN"/>
        </w:rPr>
        <w:t>s</w:t>
      </w:r>
      <w:r w:rsidR="008958F9" w:rsidRPr="008374B5">
        <w:rPr>
          <w:rFonts w:ascii="Times New Roman" w:eastAsiaTheme="minorEastAsia" w:hAnsi="Times New Roman" w:cs="Times New Roman"/>
          <w:sz w:val="24"/>
          <w:szCs w:val="24"/>
          <w:lang w:val="en-SG" w:eastAsia="zh-CN"/>
        </w:rPr>
        <w:t xml:space="preserve"> </w:t>
      </w:r>
      <w:r w:rsidR="00CD171B" w:rsidRPr="008374B5">
        <w:rPr>
          <w:rFonts w:ascii="Times New Roman" w:eastAsiaTheme="minorEastAsia" w:hAnsi="Times New Roman" w:cs="Times New Roman"/>
          <w:sz w:val="24"/>
          <w:szCs w:val="24"/>
          <w:lang w:val="en-SG" w:eastAsia="zh-CN"/>
        </w:rPr>
        <w:t>daily</w:t>
      </w:r>
      <w:r w:rsidR="008958F9" w:rsidRPr="008374B5">
        <w:rPr>
          <w:rFonts w:ascii="Times New Roman" w:eastAsiaTheme="minorEastAsia" w:hAnsi="Times New Roman" w:cs="Times New Roman"/>
          <w:sz w:val="24"/>
          <w:szCs w:val="24"/>
          <w:lang w:val="en-SG" w:eastAsia="zh-CN"/>
        </w:rPr>
        <w:t xml:space="preserve"> </w:t>
      </w:r>
      <w:r w:rsidR="002339EB" w:rsidRPr="008374B5">
        <w:rPr>
          <w:rFonts w:ascii="Times New Roman" w:eastAsiaTheme="minorEastAsia" w:hAnsi="Times New Roman" w:cs="Times New Roman"/>
          <w:sz w:val="24"/>
          <w:szCs w:val="24"/>
          <w:lang w:val="en-SG" w:eastAsia="zh-CN"/>
        </w:rPr>
        <w:t>energy</w:t>
      </w:r>
      <w:r w:rsidR="00CD171B" w:rsidRPr="008374B5">
        <w:rPr>
          <w:rFonts w:ascii="Times New Roman" w:eastAsiaTheme="minorEastAsia" w:hAnsi="Times New Roman" w:cs="Times New Roman"/>
          <w:sz w:val="24"/>
          <w:szCs w:val="24"/>
          <w:lang w:val="en-SG" w:eastAsia="zh-CN"/>
        </w:rPr>
        <w:t xml:space="preserve"> and macronutrient intake</w:t>
      </w:r>
      <w:r w:rsidR="00271D8D" w:rsidRPr="008374B5">
        <w:rPr>
          <w:rFonts w:ascii="Times New Roman" w:eastAsiaTheme="minorEastAsia" w:hAnsi="Times New Roman" w:cs="Times New Roman"/>
          <w:sz w:val="24"/>
          <w:szCs w:val="24"/>
          <w:lang w:val="en-SG" w:eastAsia="zh-CN"/>
        </w:rPr>
        <w:t>s</w:t>
      </w:r>
      <w:r w:rsidR="00821B37" w:rsidRPr="008374B5">
        <w:rPr>
          <w:rFonts w:ascii="Times New Roman" w:eastAsiaTheme="minorEastAsia" w:hAnsi="Times New Roman" w:cs="Times New Roman"/>
          <w:sz w:val="24"/>
          <w:szCs w:val="24"/>
          <w:lang w:val="en-SG" w:eastAsia="zh-CN"/>
        </w:rPr>
        <w:t xml:space="preserve"> during infancy</w:t>
      </w:r>
      <w:r w:rsidR="00CD171B" w:rsidRPr="008374B5">
        <w:rPr>
          <w:rFonts w:ascii="Times New Roman" w:eastAsiaTheme="minorEastAsia" w:hAnsi="Times New Roman" w:cs="Times New Roman"/>
          <w:sz w:val="24"/>
          <w:szCs w:val="24"/>
          <w:lang w:val="en-SG" w:eastAsia="zh-CN"/>
        </w:rPr>
        <w:t>.</w:t>
      </w:r>
    </w:p>
    <w:p w14:paraId="0EED1C66" w14:textId="1B7EE3CA" w:rsidR="00ED2BF0" w:rsidRPr="008374B5" w:rsidRDefault="00CC09F4" w:rsidP="008374B5">
      <w:pPr>
        <w:suppressAutoHyphens/>
        <w:spacing w:after="0" w:line="360" w:lineRule="auto"/>
        <w:ind w:firstLine="720"/>
        <w:jc w:val="both"/>
        <w:rPr>
          <w:rFonts w:ascii="Times New Roman" w:eastAsiaTheme="minorEastAsia" w:hAnsi="Times New Roman" w:cs="Times New Roman"/>
          <w:sz w:val="24"/>
          <w:szCs w:val="24"/>
          <w:lang w:val="en-SG" w:eastAsia="zh-CN"/>
        </w:rPr>
      </w:pPr>
      <w:r w:rsidRPr="008374B5">
        <w:rPr>
          <w:rFonts w:ascii="Times New Roman" w:eastAsiaTheme="minorEastAsia" w:hAnsi="Times New Roman" w:cs="Times New Roman"/>
          <w:sz w:val="24"/>
          <w:szCs w:val="24"/>
          <w:lang w:val="en-SG" w:eastAsia="zh-CN"/>
        </w:rPr>
        <w:t>Inappropriate timing of food consumption</w:t>
      </w:r>
      <w:r w:rsidR="00CE211E" w:rsidRPr="008374B5">
        <w:rPr>
          <w:rFonts w:ascii="Times New Roman" w:eastAsiaTheme="minorEastAsia" w:hAnsi="Times New Roman" w:cs="Times New Roman"/>
          <w:sz w:val="24"/>
          <w:szCs w:val="24"/>
          <w:lang w:val="en-SG" w:eastAsia="zh-CN"/>
        </w:rPr>
        <w:t xml:space="preserve"> </w:t>
      </w:r>
      <w:r w:rsidR="00236D87" w:rsidRPr="008374B5">
        <w:rPr>
          <w:rFonts w:ascii="Times New Roman" w:eastAsiaTheme="minorEastAsia" w:hAnsi="Times New Roman" w:cs="Times New Roman"/>
          <w:sz w:val="24"/>
          <w:szCs w:val="24"/>
          <w:lang w:val="en-SG" w:eastAsia="zh-CN"/>
        </w:rPr>
        <w:t xml:space="preserve">may lead to </w:t>
      </w:r>
      <w:r w:rsidR="00A4205F" w:rsidRPr="008374B5">
        <w:rPr>
          <w:rFonts w:ascii="Times New Roman" w:eastAsiaTheme="minorEastAsia" w:hAnsi="Times New Roman" w:cs="Times New Roman"/>
          <w:sz w:val="24"/>
          <w:szCs w:val="24"/>
          <w:lang w:val="en-SG" w:eastAsia="zh-CN"/>
        </w:rPr>
        <w:t xml:space="preserve">circadian </w:t>
      </w:r>
      <w:r w:rsidR="00236D87" w:rsidRPr="008374B5">
        <w:rPr>
          <w:rFonts w:ascii="Times New Roman" w:eastAsiaTheme="minorEastAsia" w:hAnsi="Times New Roman" w:cs="Times New Roman"/>
          <w:sz w:val="24"/>
          <w:szCs w:val="24"/>
          <w:lang w:val="en-SG" w:eastAsia="zh-CN"/>
        </w:rPr>
        <w:t xml:space="preserve">misalignment. </w:t>
      </w:r>
      <w:r w:rsidR="006E0BB3" w:rsidRPr="008374B5">
        <w:rPr>
          <w:rFonts w:ascii="Times New Roman" w:eastAsiaTheme="minorEastAsia" w:hAnsi="Times New Roman" w:cs="Times New Roman"/>
          <w:sz w:val="24"/>
          <w:szCs w:val="24"/>
          <w:lang w:val="en-SG" w:eastAsia="zh-CN"/>
        </w:rPr>
        <w:t>A</w:t>
      </w:r>
      <w:r w:rsidR="00146410" w:rsidRPr="008374B5">
        <w:rPr>
          <w:rFonts w:ascii="Times New Roman" w:eastAsiaTheme="minorEastAsia" w:hAnsi="Times New Roman" w:cs="Times New Roman"/>
          <w:sz w:val="24"/>
          <w:szCs w:val="24"/>
          <w:lang w:val="en-SG" w:eastAsia="zh-CN"/>
        </w:rPr>
        <w:t xml:space="preserve">dult </w:t>
      </w:r>
      <w:r w:rsidR="009F1B6B" w:rsidRPr="008374B5">
        <w:rPr>
          <w:rFonts w:ascii="Times New Roman" w:eastAsiaTheme="minorEastAsia" w:hAnsi="Times New Roman" w:cs="Times New Roman"/>
          <w:sz w:val="24"/>
          <w:szCs w:val="24"/>
          <w:lang w:val="en-SG" w:eastAsia="zh-CN"/>
        </w:rPr>
        <w:t xml:space="preserve">studies have </w:t>
      </w:r>
      <w:r w:rsidR="00E14012" w:rsidRPr="008374B5">
        <w:rPr>
          <w:rFonts w:ascii="Times New Roman" w:eastAsiaTheme="minorEastAsia" w:hAnsi="Times New Roman" w:cs="Times New Roman"/>
          <w:sz w:val="24"/>
          <w:szCs w:val="24"/>
          <w:lang w:val="en-SG" w:eastAsia="zh-CN"/>
        </w:rPr>
        <w:t>shown that s</w:t>
      </w:r>
      <w:r w:rsidR="00146410" w:rsidRPr="008374B5">
        <w:rPr>
          <w:rFonts w:ascii="Times New Roman" w:eastAsiaTheme="minorEastAsia" w:hAnsi="Times New Roman" w:cs="Times New Roman"/>
          <w:sz w:val="24"/>
          <w:szCs w:val="24"/>
          <w:lang w:val="en-SG" w:eastAsia="zh-CN"/>
        </w:rPr>
        <w:t>hift work</w:t>
      </w:r>
      <w:r w:rsidR="00A80F0D" w:rsidRPr="008374B5">
        <w:rPr>
          <w:rFonts w:ascii="Times New Roman" w:eastAsiaTheme="minorEastAsia" w:hAnsi="Times New Roman" w:cs="Times New Roman"/>
          <w:sz w:val="24"/>
          <w:szCs w:val="24"/>
          <w:lang w:val="en-SG" w:eastAsia="zh-CN"/>
        </w:rPr>
        <w:fldChar w:fldCharType="begin" w:fldLock="1"/>
      </w:r>
      <w:r w:rsidR="001459A4">
        <w:rPr>
          <w:rFonts w:ascii="Times New Roman" w:eastAsiaTheme="minorEastAsia" w:hAnsi="Times New Roman" w:cs="Times New Roman"/>
          <w:sz w:val="24"/>
          <w:szCs w:val="24"/>
          <w:lang w:val="en-SG" w:eastAsia="zh-CN"/>
        </w:rPr>
        <w:instrText>ADDIN CSL_CITATION { "citationItems" : [ { "id" : "ITEM-1", "itemData" : { "DOI" : "10.1038/oby.2008.298", "ISBN" : "0263-6352 (Print)", "ISSN" : "1930-7381", "PMID" : "18535539", "abstract" : "OBJECTIVE: This study compared the effect of alternating shift work and day work on weight gain in Japanese male workers. METHODS AND PROCEDURES: A longitudinal cohort study was conducted in day workers (n = 4,328) and alternating shift workers (n = 2,926) of a steel company who received annual health checkups over a 14-year period between 1991 and 2005. The association between the type of job schedule and weight gain was investigated using multivariate pooled logistic regression analyses. The endpoints in the study were either a 5, 7.5, or 10% increase in BMI during the period of observation, compared to the BMI at entry. RESULTS: The type of job schedule was significantly associated with all three BMI endpoints (5% increase in BMI; odds ratio (OR) for comparison between alternating shift workers and regular day workers, 1.14; 95% confidence interval (CI), 1.06-1.23): (7.5% increase in BMI; OR, 1.13; 95%CI, 1.03-1.24: 10% increase in BMI; OR, 1.13; 95%CI, 1.00-1.28). BMI at study entry was also positively associated with the 5, 7.5, and 10% increases in BMI during the study. On the other hand, age and drinking habits were negatively associated with 5, 7.5, and 10% increases in BMI. DISCUSSION: Our study revealed that alternating shift work was an independent risk factor for weight gain in male Japanese workers. Efficient health screening and regular checkups, combined with support to control unhealthy lifestyle factors, would be of considerable benefit for maintaining the health of Japanese shift workers.", "author" : [ { "dropping-particle" : "", "family" : "Suwazono", "given" : "Yasushi", "non-dropping-particle" : "", "parse-names" : false, "suffix" : "" }, { "dropping-particle" : "", "family" : "Dochi", "given" : "Mirei", "non-dropping-particle" : "", "parse-names" : false, "suffix" : "" }, { "dropping-particle" : "", "family" : "Sakata", "given" : "Kouichi", "non-dropping-particle" : "", "parse-names" : false, "suffix" : "" }, { "dropping-particle" : "", "family" : "Okubo", "given" : "Yasushi", "non-dropping-particle" : "", "parse-names" : false, "suffix" : "" }, { "dropping-particle" : "", "family" : "Oishi", "given" : "Mitsuhiro", "non-dropping-particle" : "", "parse-names" : false, "suffix" : "" }, { "dropping-particle" : "", "family" : "Tanaka", "given" : "Kumihiko", "non-dropping-particle" : "", "parse-names" : false, "suffix" : "" }, { "dropping-particle" : "", "family" : "Kobayashi", "given" : "Etsuko", "non-dropping-particle" : "", "parse-names" : false, "suffix" : "" }, { "dropping-particle" : "", "family" : "Kido", "given" : "Teruhiko", "non-dropping-particle" : "", "parse-names" : false, "suffix" : "" }, { "dropping-particle" : "", "family" : "Nogawa", "given" : "Koji", "non-dropping-particle" : "", "parse-names" : false, "suffix" : "" } ], "container-title" : "Obesity", "id" : "ITEM-1", "issue" : "8", "issued" : { "date-parts" : [ [ "2008" ] ] }, "page" : "1887-1893", "title" : "A longitudinal study on the effect of shift work on weight gain in male Japanese workers.", "type" : "article-journal", "volume" : "16" }, "uris" : [ "http://www.mendeley.com/documents/?uuid=7439fe4d-b2d1-4d7a-b5f6-27b465ebfc0d" ] }, { "id" : "ITEM-2", "itemData" : { "DOI" : "10.1136/oemed-2014-102150", "ISBN" : "1470-7926 (Electronic) 1351-0711 (Linking)", "ISSN" : "1470-7926", "PMID" : "25030030", "abstract" : "BACKGROUND: Observational studies suggest that shift work may be associated with diabetes mellitus (DM). However, the results are inconsistent. No systematic reviews have applied quantitative techniques to compute summary risk estimates.\\n\\nOBJECTIVES: To conduct a meta-analysis of observational studies assessing the association between shift work and the risk of DM.\\n\\nMETHODS: Relevant studies were identified by a search of PubMed, Embase, Web of Science and ProQuest Dissertation and Theses databases to April 2014. We also reviewed reference lists from retrieved articles. We included observational studies that reported OR with 95% CIs for the association between shift work and the risk of DM. Two authors independently extracted data and assessed the study quality.\\n\\nRESULTS: Twelve studies with 28 independent reports involving 226 652 participants and 14 595 patients with DM were included. A pooled adjusted OR for the association between ever exposure to shift work and DM risk was 1.09 (95% CI 1.05 to 1.12; p=0.014; I(2)=40.9%). Subgroup analyses suggested a stronger association between shift work and DM for men (OR=1.37, 95% CI 1.20 to 1.56) than for women (OR=1.09, 95% CI 1.04 to 1.14) (p for interaction=0.01). All shift work schedules with the exception of mixed shifts and evening shifts were associated with a statistically higher risk of DM than normal daytime schedules, and the difference among those shift work schedules was significant (p for interaction=0.04).\\n\\nCONCLUSIONS: Shift work is associated with an increased risk of DM. The increase was significantly higher among men and the rotating shift group, which warrants further studies.", "author" : [ { "dropping-particle" : "", "family" : "Gan", "given" : "Yong", "non-dropping-particle" : "", "parse-names" : false, "suffix" : "" }, { "dropping-particle" : "", "family" : "Yang", "given" : "Chen", "non-dropping-particle" : "", "parse-names" : false, "suffix" : "" }, { "dropping-particle" : "", "family" : "Tong", "given" : "Xinyue", "non-dropping-particle" : "", "parse-names" : false, "suffix" : "" }, { "dropping-particle" : "", "family" : "Sun", "given" : "Huilian", "non-dropping-particle" : "", "parse-names" : false, "suffix" : "" }, { "dropping-particle" : "", "family" : "Cong", "given" : "Yingjie", "non-dropping-particle" : "", "parse-names" : false, "suffix" : "" }, { "dropping-particle" : "", "family" : "Yin", "given" : "Xiaoxu", "non-dropping-particle" : "", "parse-names" : false, "suffix" : "" }, { "dropping-particle" : "", "family" : "Li", "given" : "Liqing", "non-dropping-particle" : "", "parse-names" : false, "suffix" : "" }, { "dropping-particle" : "", "family" : "Cao", "given" : "Shiyi", "non-dropping-particle" : "", "parse-names" : false, "suffix" : "" }, { "dropping-particle" : "", "family" : "Dong", "given" : "Xiaoxin", "non-dropping-particle" : "", "parse-names" : false, "suffix" : "" }, { "dropping-particle" : "", "family" : "Gong", "given" : "Yanhong", "non-dropping-particle" : "", "parse-names" : false, "suffix" : "" }, { "dropping-particle" : "", "family" : "Shi", "given" : "Oumin", "non-dropping-particle" : "", "parse-names" : false, "suffix" : "" }, { "dropping-particle" : "", "family" : "Deng", "given" : "Jian", "non-dropping-particle" : "", "parse-names" : false, "suffix" : "" }, { "dropping-particle" : "", "family" : "Bi", "given" : "Huashan", "non-dropping-particle" : "", "parse-names" : false, "suffix" : "" }, { "dropping-particle" : "", "family" : "Lu", "given" : "Zuxun", "non-dropping-particle" : "", "parse-names" : false, "suffix" : "" } ], "container-title" : "Occupational and Environmental Medicine", "id" : "ITEM-2", "issue" : "1", "issued" : { "date-parts" : [ [ "2015" ] ] }, "page" : "72-78", "title" : "Shift work and diabetes mellitus: a meta-analysis of observational studies.", "type" : "article-journal", "volume" : "72" }, "uris" : [ "http://www.mendeley.com/documents/?uuid=b9f962a9-de38-4902-a9f2-8b9a7afb0c35" ] } ], "mendeley" : { "formattedCitation" : "&lt;sup&gt;33,34&lt;/sup&gt;", "plainTextFormattedCitation" : "33,34", "previouslyFormattedCitation" : "&lt;sup&gt;33,34&lt;/sup&gt;" }, "properties" : { "noteIndex" : 0 }, "schema" : "https://github.com/citation-style-language/schema/raw/master/csl-citation.json" }</w:instrText>
      </w:r>
      <w:r w:rsidR="00A80F0D" w:rsidRPr="008374B5">
        <w:rPr>
          <w:rFonts w:ascii="Times New Roman" w:eastAsiaTheme="minorEastAsia" w:hAnsi="Times New Roman" w:cs="Times New Roman"/>
          <w:sz w:val="24"/>
          <w:szCs w:val="24"/>
          <w:lang w:val="en-SG" w:eastAsia="zh-CN"/>
        </w:rPr>
        <w:fldChar w:fldCharType="separate"/>
      </w:r>
      <w:r w:rsidR="00724502" w:rsidRPr="00724502">
        <w:rPr>
          <w:rFonts w:ascii="Times New Roman" w:eastAsiaTheme="minorEastAsia" w:hAnsi="Times New Roman" w:cs="Times New Roman"/>
          <w:noProof/>
          <w:sz w:val="24"/>
          <w:szCs w:val="24"/>
          <w:vertAlign w:val="superscript"/>
          <w:lang w:val="en-SG" w:eastAsia="zh-CN"/>
        </w:rPr>
        <w:t>33,34</w:t>
      </w:r>
      <w:r w:rsidR="00A80F0D" w:rsidRPr="008374B5">
        <w:rPr>
          <w:rFonts w:ascii="Times New Roman" w:eastAsiaTheme="minorEastAsia" w:hAnsi="Times New Roman" w:cs="Times New Roman"/>
          <w:sz w:val="24"/>
          <w:szCs w:val="24"/>
          <w:lang w:val="en-SG" w:eastAsia="zh-CN"/>
        </w:rPr>
        <w:fldChar w:fldCharType="end"/>
      </w:r>
      <w:r w:rsidR="00146410" w:rsidRPr="008374B5">
        <w:rPr>
          <w:rFonts w:ascii="Times New Roman" w:eastAsiaTheme="minorEastAsia" w:hAnsi="Times New Roman" w:cs="Times New Roman"/>
          <w:sz w:val="24"/>
          <w:szCs w:val="24"/>
          <w:lang w:val="en-SG" w:eastAsia="zh-CN"/>
        </w:rPr>
        <w:t>, breakfast skipping</w:t>
      </w:r>
      <w:r w:rsidR="00A80F0D" w:rsidRPr="008374B5">
        <w:rPr>
          <w:rFonts w:ascii="Times New Roman" w:eastAsiaTheme="minorEastAsia" w:hAnsi="Times New Roman" w:cs="Times New Roman"/>
          <w:sz w:val="24"/>
          <w:szCs w:val="24"/>
          <w:lang w:val="en-SG" w:eastAsia="zh-CN"/>
        </w:rPr>
        <w:fldChar w:fldCharType="begin" w:fldLock="1"/>
      </w:r>
      <w:r w:rsidR="001459A4">
        <w:rPr>
          <w:rFonts w:ascii="Times New Roman" w:eastAsiaTheme="minorEastAsia" w:hAnsi="Times New Roman" w:cs="Times New Roman"/>
          <w:sz w:val="24"/>
          <w:szCs w:val="24"/>
          <w:lang w:val="en-SG" w:eastAsia="zh-CN"/>
        </w:rPr>
        <w:instrText>ADDIN CSL_CITATION { "citationItems" : [ { "id" : "ITEM-1", "itemData" : { "DOI" : "10.1016/j.ypmed.2011.08.030", "ISBN" : "17564646", "ISSN" : "00917435", "PMID" : "21925535", "abstract" : "Objective: In Western countries, skipping breakfast is associated with a high prevalence of overweight and obesity. This meta-analysis aimed to determine if the same relationship exists in Asian and Pacific regions. Methods: A systematic literature search was performed for observational studies using a cross-sectional design that examined the relationship between frequency of eating breakfast and overweight or obesity. Odds ratios (ORs) for overweight or obesity were pooled with a variance-based method. Results: Nineteen studies (93,108 total participants and 19,270 overweight or obese cases) were included. The pooled OR [95% confidence intervals (CI)] of overweight or obesity for the lowest vs. highest category of breakfast frequency was 1.75 [1.57 to 1.95] (P&lt; 0.001). Between-study heterogeneity in the association's strength was highly significant (I-squared = 36.4%, P&lt; 0.001), although a positive OR was shown in all but one included study. However, no study characteristics could be identified to explain the heterogeneity. Conclusion: This meta-analysis suggests that a positive association between skipping breakfast and overweight and obesity is globally observed regardless of cultural diversity among countries. Promoting the eating of breakfast in all populations may be beneficial. ?? 2011 Elsevier Inc.", "author" : [ { "dropping-particle" : "", "family" : "Horikawa", "given" : "Chika", "non-dropping-particle" : "", "parse-names" : false, "suffix" : "" }, { "dropping-particle" : "", "family" : "Kodama", "given" : "Satoru", "non-dropping-particle" : "", "parse-names" : false, "suffix" : "" }, { "dropping-particle" : "", "family" : "Yachi", "given" : "Yoko", "non-dropping-particle" : "", "parse-names" : false, "suffix" : "" }, { "dropping-particle" : "", "family" : "Heianza", "given" : "Yoriko", "non-dropping-particle" : "", "parse-names" : false, "suffix" : "" }, { "dropping-particle" : "", "family" : "Hirasawa", "given" : "Reiko", "non-dropping-particle" : "", "parse-names" : false, "suffix" : "" }, { "dropping-particle" : "", "family" : "Ibe", "given" : "Yoko", "non-dropping-particle" : "", "parse-names" : false, "suffix" : "" }, { "dropping-particle" : "", "family" : "Saito", "given" : "Kazumi", "non-dropping-particle" : "", "parse-names" : false, "suffix" : "" }, { "dropping-particle" : "", "family" : "Shimano", "given" : "Hitoshi", "non-dropping-particle" : "", "parse-names" : false, "suffix" : "" }, { "dropping-particle" : "", "family" : "Yamada", "given" : "Nobuhiro", "non-dropping-particle" : "", "parse-names" : false, "suffix" : "" }, { "dropping-particle" : "", "family" : "Sone", "given" : "Hirohito", "non-dropping-particle" : "", "parse-names" : false, "suffix" : "" } ], "container-title" : "Preventive Medicine", "id" : "ITEM-1", "issue" : "4-5", "issued" : { "date-parts" : [ [ "2011" ] ] }, "page" : "260-267", "publisher" : "Elsevier Inc.", "title" : "Skipping breakfast and prevalence of overweight and obesity in Asian and Pacific regions: A meta-analysis", "type" : "article-journal", "volume" : "53" }, "uris" : [ "http://www.mendeley.com/documents/?uuid=ed359a53-1328-4a76-8e65-27d876e8ba8e" ] }, { "id" : "ITEM-2", "itemData" : { "DOI" : "10.2185/jrm.2887", "ISBN" : "1880-487X (Print)\\r1880-487x", "ISSN" : "1880-487X", "PMID" : "25648986", "abstract" : "OBJECTIVE: Despite the fact that the total energy intake of Japanese people has decreased, the percentage of obese people has increased. This suggests that the timing of meals is related to obesity. The purpose of the study was to investigate the relationship between the timing of meals and obesity, based on analyses of physical measurements, serum biochemical markers, nutrient intake, and lifestyle factors in the context of Chrononutrition.\\n\\nPARTICIPANTS AND METHODS: We analyzed data derived from 766 residents of Toon City (286 males and 480 females) aged 30 to 79 years who underwent detailed medical examinations between 2011 and 2013. These medical examinations included. (1) physical measurements (waist circumference, blood pressure, etc.); (2) serum biochemical markers (total cholesterol, etc.); (3) a detailed questionnaire concerning lifestyle factors such as family structure and daily habits (22 issues), exercise and eating habits (28 issues), alcohol intake and smoking habits; (4) a food frequency questionnaire based on food groups (FFQg); and (5) a questionnaire concerning the times at which meals and snacks are consumed.\\n\\nRESULTS: The values for body mass index (BMI) and waist circumference were higher for participants who ate dinner less than three hours before bedtime (&lt;3-h group) than those who ate more than three hours before bedtime (&gt;3-h group). The Chi-square test showed that there was a significant difference in eating habits, e.g., eating snacks, eating snacks at night, having dinner after 8 p.m., and having dinner after 9 p.m., between the &lt;3-h group and the &gt;3-h group. Multiple linear regression analysis showed that skipping breakfast significantly influenced both waist circumference (\u03b2 = 5.271) and BMI (\u03b2 = 1.440) and that eating dinner &lt;3-h before going to bed only influenced BMI (\u03b2 = 0.581).\\n\\nCONCLUSION: Skipping breakfast had a greater influence on both waist circumference and BMI than eating dinner &lt;3-h before going to bed.", "author" : [ { "dropping-particle" : "", "family" : "Watanabe", "given" : "Yoko", "non-dropping-particle" : "", "parse-names" : false, "suffix" : "" }, { "dropping-particle" : "", "family" : "Saito", "given" : "Isao", "non-dropping-particle" : "", "parse-names" : false, "suffix" : "" }, { "dropping-particle" : "", "family" : "Henmi", "given" : "Ikuyo", "non-dropping-particle" : "", "parse-names" : false, "suffix" : "" }, { "dropping-particle" : "", "family" : "Yoshimura", "given" : "Kana", "non-dropping-particle" : "", "parse-names" : false, "suffix" : "" }, { "dropping-particle" : "", "family" : "Maruyama", "given" : "Kotatsu", "non-dropping-particle" : "", "parse-names" : false, "suffix" : "" }, { "dropping-particle" : "", "family" : "Yamauchi", "given" : "Kanako", "non-dropping-particle" : "", "parse-names" : false, "suffix" : "" }, { "dropping-particle" : "", "family" : "Matsuo", "given" : "Tatsuhiro", "non-dropping-particle" : "", "parse-names" : false, "suffix" : "" }, { "dropping-particle" : "", "family" : "Kato", "given" : "Tadahiro", "non-dropping-particle" : "", "parse-names" : false, "suffix" : "" }, { "dropping-particle" : "", "family" : "Tanigawa", "given" : "Takeshi", "non-dropping-particle" : "", "parse-names" : false, "suffix" : "" }, { "dropping-particle" : "", "family" : "Kishida", "given" : "Taro", "non-dropping-particle" : "", "parse-names" : false, "suffix" : "" }, { "dropping-particle" : "", "family" : "Asada", "given" : "Yasuhiko", "non-dropping-particle" : "", "parse-names" : false, "suffix" : "" } ], "container-title" : "Journal of rural medicine : JRM / Japanese Association of Rural Medicine", "id" : "ITEM-2", "issue" : "2", "issued" : { "date-parts" : [ [ "2014" ] ] }, "page" : "51-8", "title" : "Skipping Breakfast is Correlated with Obesity.", "type" : "article-journal", "volume" : "9" }, "uris" : [ "http://www.mendeley.com/documents/?uuid=7bdd13f7-44bb-4ec7-8562-b187f67b5ad7" ] } ], "mendeley" : { "formattedCitation" : "&lt;sup&gt;20,23&lt;/sup&gt;", "plainTextFormattedCitation" : "20,23", "previouslyFormattedCitation" : "&lt;sup&gt;20,23&lt;/sup&gt;" }, "properties" : { "noteIndex" : 0 }, "schema" : "https://github.com/citation-style-language/schema/raw/master/csl-citation.json" }</w:instrText>
      </w:r>
      <w:r w:rsidR="00A80F0D" w:rsidRPr="008374B5">
        <w:rPr>
          <w:rFonts w:ascii="Times New Roman" w:eastAsiaTheme="minorEastAsia" w:hAnsi="Times New Roman" w:cs="Times New Roman"/>
          <w:sz w:val="24"/>
          <w:szCs w:val="24"/>
          <w:lang w:val="en-SG" w:eastAsia="zh-CN"/>
        </w:rPr>
        <w:fldChar w:fldCharType="separate"/>
      </w:r>
      <w:r w:rsidR="00724502" w:rsidRPr="00724502">
        <w:rPr>
          <w:rFonts w:ascii="Times New Roman" w:eastAsiaTheme="minorEastAsia" w:hAnsi="Times New Roman" w:cs="Times New Roman"/>
          <w:noProof/>
          <w:sz w:val="24"/>
          <w:szCs w:val="24"/>
          <w:vertAlign w:val="superscript"/>
          <w:lang w:val="en-SG" w:eastAsia="zh-CN"/>
        </w:rPr>
        <w:t>20,23</w:t>
      </w:r>
      <w:r w:rsidR="00A80F0D" w:rsidRPr="008374B5">
        <w:rPr>
          <w:rFonts w:ascii="Times New Roman" w:eastAsiaTheme="minorEastAsia" w:hAnsi="Times New Roman" w:cs="Times New Roman"/>
          <w:sz w:val="24"/>
          <w:szCs w:val="24"/>
          <w:lang w:val="en-SG" w:eastAsia="zh-CN"/>
        </w:rPr>
        <w:fldChar w:fldCharType="end"/>
      </w:r>
      <w:r w:rsidR="00146410" w:rsidRPr="008374B5">
        <w:rPr>
          <w:rFonts w:ascii="Times New Roman" w:eastAsiaTheme="minorEastAsia" w:hAnsi="Times New Roman" w:cs="Times New Roman"/>
          <w:sz w:val="24"/>
          <w:szCs w:val="24"/>
          <w:lang w:val="en-SG" w:eastAsia="zh-CN"/>
        </w:rPr>
        <w:t xml:space="preserve"> and nocturnal eating</w:t>
      </w:r>
      <w:r w:rsidR="00A80F0D" w:rsidRPr="008374B5">
        <w:rPr>
          <w:rFonts w:ascii="Times New Roman" w:eastAsiaTheme="minorEastAsia" w:hAnsi="Times New Roman" w:cs="Times New Roman"/>
          <w:sz w:val="24"/>
          <w:szCs w:val="24"/>
          <w:lang w:val="en-SG" w:eastAsia="zh-CN"/>
        </w:rPr>
        <w:fldChar w:fldCharType="begin" w:fldLock="1"/>
      </w:r>
      <w:r w:rsidR="001459A4">
        <w:rPr>
          <w:rFonts w:ascii="Times New Roman" w:eastAsiaTheme="minorEastAsia" w:hAnsi="Times New Roman" w:cs="Times New Roman"/>
          <w:sz w:val="24"/>
          <w:szCs w:val="24"/>
          <w:lang w:val="en-SG" w:eastAsia="zh-CN"/>
        </w:rPr>
        <w:instrText>ADDIN CSL_CITATION { "citationItems" : [ { "id" : "ITEM-1", "itemData" : { "DOI" : "10.1111/j.1467-789X.2011.00975.x", "ISSN" : "14677881", "author" : [ { "dropping-particle" : "", "family" : "Gallant", "given" : "A. R.", "non-dropping-particle" : "", "parse-names" : false, "suffix" : "" }, { "dropping-particle" : "", "family" : "Lundgren", "given" : "J.", "non-dropping-particle" : "", "parse-names" : false, "suffix" : "" }, { "dropping-particle" : "", "family" : "Drapeau", "given" : "V.", "non-dropping-particle" : "", "parse-names" : false, "suffix" : "" } ], "container-title" : "Obesity Reviews", "id" : "ITEM-1", "issue" : "6", "issued" : { "date-parts" : [ [ "2012" ] ] }, "page" : "528-536", "title" : "The night-eating syndrome and obesity", "type" : "article-journal", "volume" : "13" }, "uris" : [ "http://www.mendeley.com/documents/?uuid=812ee619-fea6-45f2-89cd-a589b884d7b7" ] }, { "id" : "ITEM-2", "itemData" : { "DOI" : "10.1038/sj.ijo.0803664", "ISBN" : "0307-0565", "ISSN" : "0307-0565", "PMID" : "17579633", "abstract" : "OBJECTIVE: Night eating syndrome (NES) is characterized by a time-delayed pattern of eating relative to sleep, where most food is consumed in the evening and night. This study aimed to investigate the clinical significance of NES and nocturnal snacking by exploring the relationship between NES and (1) obesity, (2) binge eating disorder (BED) and (3) psychological distress. SUBJECTS: One hundred and eighty bariatric surgery candidates, 93 members of a non-surgical weight loss support group and 158 general community respondents (81 males/350 females, mean age: 45.8+/-13.3 years, mean body mass index (BMI): 34.8+/-10.8 and BMI range: 17.7-66.7). METHODS: NES diagnosis required within the previous 3 months: (1) no appetite for breakfast, (2) consumption of &gt; or =50% of daily energy after 1900 hours and (3) sleep difficulties &gt; or =3 nights/week. Nocturnal snacking (awakening to eat) was recorded. Validated questionnaires assessed BED, symptoms of depression, appearance dissatisfaction (AD) and mental health-related quality of life (MHQoL). NES and binge eating (BE) (&gt; or =1 episode/week) were confirmed by interview.Results:NES criteria were met by 11.1% of the total cohort. Across all groups, BE (P=0.001), BMI (P=0.003) and male gender (P=0.013) explained 10% of NES variance. Individuals with co-morbid NES and BE reported similarly elevated psychological distress as other binge eaters. NES alone was not associated with psychological distress. Those with NES who consumed nocturnal snacks reported poorer MHQoL (P=0.007) and greater depressive symptoms (P=0.039) and hunger (P=0.013) than others with NES. Low MHQoL (P=0.007) and male gender (P=0.022) explained 27% of the variance in the nocturnal snacking group. DISCUSSION: In this study, NES was positively associated with BMI, BE and male gender. Elevated psychological distress was only apparent in those who consumed nocturnal snacks. Further characterization and understanding of the clinical significance of NES and nocturnal snacking is required.", "author" : [ { "dropping-particle" : "", "family" : "Colles", "given" : "S L", "non-dropping-particle" : "", "parse-names" : false, "suffix" : "" }, { "dropping-particle" : "", "family" : "Dixon", "given" : "J B", "non-dropping-particle" : "", "parse-names" : false, "suffix" : "" }, { "dropping-particle" : "", "family" : "O'Brien", "given" : "P E", "non-dropping-particle" : "", "parse-names" : false, "suffix" : "" } ], "container-title" : "International Journal of Obesity", "id" : "ITEM-2", "issue" : "11", "issued" : { "date-parts" : [ [ "2007", "11", "19" ] ] }, "page" : "1722-1730", "title" : "Night eating syndrome and nocturnal snacking: association with obesity, binge eating and psychological distress", "type" : "article-journal", "volume" : "31" }, "uris" : [ "http://www.mendeley.com/documents/?uuid=f1f936a1-9135-4207-b253-1939208123ab" ] } ], "mendeley" : { "formattedCitation" : "&lt;sup&gt;18,35&lt;/sup&gt;", "plainTextFormattedCitation" : "18,35", "previouslyFormattedCitation" : "&lt;sup&gt;18,35&lt;/sup&gt;" }, "properties" : { "noteIndex" : 0 }, "schema" : "https://github.com/citation-style-language/schema/raw/master/csl-citation.json" }</w:instrText>
      </w:r>
      <w:r w:rsidR="00A80F0D" w:rsidRPr="008374B5">
        <w:rPr>
          <w:rFonts w:ascii="Times New Roman" w:eastAsiaTheme="minorEastAsia" w:hAnsi="Times New Roman" w:cs="Times New Roman"/>
          <w:sz w:val="24"/>
          <w:szCs w:val="24"/>
          <w:lang w:val="en-SG" w:eastAsia="zh-CN"/>
        </w:rPr>
        <w:fldChar w:fldCharType="separate"/>
      </w:r>
      <w:r w:rsidR="00724502" w:rsidRPr="00724502">
        <w:rPr>
          <w:rFonts w:ascii="Times New Roman" w:eastAsiaTheme="minorEastAsia" w:hAnsi="Times New Roman" w:cs="Times New Roman"/>
          <w:noProof/>
          <w:sz w:val="24"/>
          <w:szCs w:val="24"/>
          <w:vertAlign w:val="superscript"/>
          <w:lang w:val="en-SG" w:eastAsia="zh-CN"/>
        </w:rPr>
        <w:t>18,35</w:t>
      </w:r>
      <w:r w:rsidR="00A80F0D" w:rsidRPr="008374B5">
        <w:rPr>
          <w:rFonts w:ascii="Times New Roman" w:eastAsiaTheme="minorEastAsia" w:hAnsi="Times New Roman" w:cs="Times New Roman"/>
          <w:sz w:val="24"/>
          <w:szCs w:val="24"/>
          <w:lang w:val="en-SG" w:eastAsia="zh-CN"/>
        </w:rPr>
        <w:fldChar w:fldCharType="end"/>
      </w:r>
      <w:r w:rsidR="00146410" w:rsidRPr="008374B5">
        <w:rPr>
          <w:rFonts w:ascii="Times New Roman" w:eastAsiaTheme="minorEastAsia" w:hAnsi="Times New Roman" w:cs="Times New Roman"/>
          <w:sz w:val="24"/>
          <w:szCs w:val="24"/>
          <w:lang w:val="en-SG" w:eastAsia="zh-CN"/>
        </w:rPr>
        <w:t xml:space="preserve"> </w:t>
      </w:r>
      <w:r w:rsidR="006E1305" w:rsidRPr="008374B5">
        <w:rPr>
          <w:rFonts w:ascii="Times New Roman" w:eastAsiaTheme="minorEastAsia" w:hAnsi="Times New Roman" w:cs="Times New Roman"/>
          <w:sz w:val="24"/>
          <w:szCs w:val="24"/>
          <w:lang w:val="en-SG" w:eastAsia="zh-CN"/>
        </w:rPr>
        <w:t xml:space="preserve">adversely </w:t>
      </w:r>
      <w:r w:rsidR="00146410" w:rsidRPr="008374B5">
        <w:rPr>
          <w:rFonts w:ascii="Times New Roman" w:eastAsiaTheme="minorEastAsia" w:hAnsi="Times New Roman" w:cs="Times New Roman"/>
          <w:sz w:val="24"/>
          <w:szCs w:val="24"/>
          <w:lang w:val="en-SG" w:eastAsia="zh-CN"/>
        </w:rPr>
        <w:t>affect glucose metabolism and enhance the risk of metabolic diseases</w:t>
      </w:r>
      <w:r w:rsidR="002E2158" w:rsidRPr="008374B5">
        <w:rPr>
          <w:rFonts w:ascii="Times New Roman" w:eastAsiaTheme="minorEastAsia" w:hAnsi="Times New Roman" w:cs="Times New Roman"/>
          <w:sz w:val="24"/>
          <w:szCs w:val="24"/>
          <w:lang w:val="en-SG" w:eastAsia="zh-CN"/>
        </w:rPr>
        <w:t>, implying that circadian misalignment may impair metabolic pathways.</w:t>
      </w:r>
      <w:r w:rsidR="006E1305" w:rsidRPr="008374B5">
        <w:rPr>
          <w:rFonts w:ascii="Times New Roman" w:eastAsiaTheme="minorEastAsia" w:hAnsi="Times New Roman" w:cs="Times New Roman"/>
          <w:sz w:val="24"/>
          <w:szCs w:val="24"/>
          <w:lang w:val="en-SG" w:eastAsia="zh-CN"/>
        </w:rPr>
        <w:t xml:space="preserve"> </w:t>
      </w:r>
      <w:r w:rsidR="00D42BD8" w:rsidRPr="008374B5">
        <w:rPr>
          <w:rFonts w:ascii="Times New Roman" w:eastAsiaTheme="minorEastAsia" w:hAnsi="Times New Roman" w:cs="Times New Roman"/>
          <w:sz w:val="24"/>
          <w:szCs w:val="24"/>
          <w:lang w:val="en-SG" w:eastAsia="zh-CN"/>
        </w:rPr>
        <w:t>S</w:t>
      </w:r>
      <w:r w:rsidR="003A6D86" w:rsidRPr="008374B5">
        <w:rPr>
          <w:rFonts w:ascii="Times New Roman" w:eastAsiaTheme="minorEastAsia" w:hAnsi="Times New Roman" w:cs="Times New Roman"/>
          <w:sz w:val="24"/>
          <w:szCs w:val="24"/>
          <w:lang w:val="en-SG" w:eastAsia="zh-CN"/>
        </w:rPr>
        <w:t xml:space="preserve">imilar </w:t>
      </w:r>
      <w:r w:rsidR="00584789" w:rsidRPr="008374B5">
        <w:rPr>
          <w:rFonts w:ascii="Times New Roman" w:eastAsiaTheme="minorEastAsia" w:hAnsi="Times New Roman" w:cs="Times New Roman"/>
          <w:sz w:val="24"/>
          <w:szCs w:val="24"/>
          <w:lang w:val="en-SG" w:eastAsia="zh-CN"/>
        </w:rPr>
        <w:t>evidence</w:t>
      </w:r>
      <w:r w:rsidR="003A6D86" w:rsidRPr="008374B5">
        <w:rPr>
          <w:rFonts w:ascii="Times New Roman" w:eastAsiaTheme="minorEastAsia" w:hAnsi="Times New Roman" w:cs="Times New Roman"/>
          <w:sz w:val="24"/>
          <w:szCs w:val="24"/>
          <w:lang w:val="en-SG" w:eastAsia="zh-CN"/>
        </w:rPr>
        <w:t xml:space="preserve"> </w:t>
      </w:r>
      <w:r w:rsidR="00D42BD8" w:rsidRPr="008374B5">
        <w:rPr>
          <w:rFonts w:ascii="Times New Roman" w:eastAsiaTheme="minorEastAsia" w:hAnsi="Times New Roman" w:cs="Times New Roman"/>
          <w:sz w:val="24"/>
          <w:szCs w:val="24"/>
          <w:lang w:val="en-SG" w:eastAsia="zh-CN"/>
        </w:rPr>
        <w:t xml:space="preserve">is </w:t>
      </w:r>
      <w:r w:rsidR="006E0BB3" w:rsidRPr="008374B5">
        <w:rPr>
          <w:rFonts w:ascii="Times New Roman" w:eastAsiaTheme="minorEastAsia" w:hAnsi="Times New Roman" w:cs="Times New Roman"/>
          <w:sz w:val="24"/>
          <w:szCs w:val="24"/>
          <w:lang w:val="en-SG" w:eastAsia="zh-CN"/>
        </w:rPr>
        <w:t xml:space="preserve">also presented in </w:t>
      </w:r>
      <w:r w:rsidR="00D42BD8" w:rsidRPr="008374B5">
        <w:rPr>
          <w:rFonts w:ascii="Times New Roman" w:eastAsiaTheme="minorEastAsia" w:hAnsi="Times New Roman" w:cs="Times New Roman"/>
          <w:sz w:val="24"/>
          <w:szCs w:val="24"/>
          <w:lang w:val="en-SG" w:eastAsia="zh-CN"/>
        </w:rPr>
        <w:t xml:space="preserve">limited </w:t>
      </w:r>
      <w:r w:rsidR="006E0BB3" w:rsidRPr="008374B5">
        <w:rPr>
          <w:rFonts w:ascii="Times New Roman" w:eastAsiaTheme="minorEastAsia" w:hAnsi="Times New Roman" w:cs="Times New Roman"/>
          <w:sz w:val="24"/>
          <w:szCs w:val="24"/>
          <w:lang w:val="en-SG" w:eastAsia="zh-CN"/>
        </w:rPr>
        <w:t>adolescent and children studies</w:t>
      </w:r>
      <w:r w:rsidR="00E179D6" w:rsidRPr="008374B5">
        <w:rPr>
          <w:rFonts w:ascii="Times New Roman" w:eastAsiaTheme="minorEastAsia" w:hAnsi="Times New Roman" w:cs="Times New Roman"/>
          <w:sz w:val="24"/>
          <w:szCs w:val="24"/>
          <w:lang w:val="en-SG" w:eastAsia="zh-CN"/>
        </w:rPr>
        <w:fldChar w:fldCharType="begin" w:fldLock="1"/>
      </w:r>
      <w:r w:rsidR="001459A4">
        <w:rPr>
          <w:rFonts w:ascii="Times New Roman" w:eastAsiaTheme="minorEastAsia" w:hAnsi="Times New Roman" w:cs="Times New Roman"/>
          <w:sz w:val="24"/>
          <w:szCs w:val="24"/>
          <w:lang w:val="en-SG" w:eastAsia="zh-CN"/>
        </w:rPr>
        <w:instrText>ADDIN CSL_CITATION { "citationItems" : [ { "id" : "ITEM-1", "itemData" : { "DOI" : "10.1038/sj.ijo.0802402", "ISBN" : "0307-0565 (Print)\\r0307-0565 (Linking)", "ISSN" : "0307-0565", "PMID" : "14513075", "abstract" : "BACKGROUND: Several cross-sectional studies reported that heavier children eat breakfast less often. However, no longitudinal studies have addressed whether skipping breakfast leads to excessive weight gain. OBJECTIVE: To investigate whether skipping breakfast was prospectively associated with changes in body fatness. METHODS: A cohort of 414 000 boys and girls from all over the US, 9-to 14-y-old in 1996, returned annual mailed questionnaires (1996\u20131999) for the Growing Up Today Study. We analyzed change in body mass index (BMI; kg/m 2) over three 1-y periods among children who reported breakfast frequency. RESULTS: Children who reported that they never eat breakfast had lower energy intakes than those who eat breakfast nearly every day. Children who were more physically active reported higher energy intakes, as did those who reported more time watching television/videos and playing videogames. Like previous studies, skipping breakfast was associated with overweight, cross-sectionally. However, overweight children who never ate breakfast lost BMI over the following year compared to overweight children who ate breakfast nearly every day (boys: \u00c00.66 kg/m 2 (s.e. \u00bc 0.22); girls: \u00c00.50 kg/m 2 (s.e. \u00bc 0.14)). But normal weight children who never ate breakfast gained weight relative to peers who ate breakfast nearly every day (boys: +0.21 kg/m 2 (s.e. \u00bc 0.13); girls: +0.08 kg/m 2 (s.e. \u00bc 0.05)). Breakfast frequency was positively correlated with self-reported quality of schoolwork.", "author" : [ { "dropping-particle" : "", "family" : "Berkey", "given" : "C S", "non-dropping-particle" : "", "parse-names" : false, "suffix" : "" }, { "dropping-particle" : "", "family" : "Rockett", "given" : "H R H", "non-dropping-particle" : "", "parse-names" : false, "suffix" : "" }, { "dropping-particle" : "", "family" : "Gillman", "given" : "M W", "non-dropping-particle" : "", "parse-names" : false, "suffix" : "" }, { "dropping-particle" : "", "family" : "Field", "given" : "A E", "non-dropping-particle" : "", "parse-names" : false, "suffix" : "" }, { "dropping-particle" : "", "family" : "Colditz", "given" : "G A", "non-dropping-particle" : "", "parse-names" : false, "suffix" : "" } ], "container-title" : "International Journal of Obesity", "id" : "ITEM-1", "issue" : "10", "issued" : { "date-parts" : [ [ "2003", "10" ] ] }, "page" : "1258-1266", "title" : "Longitudinal study of skipping breakfast and weight change in adolescents", "type" : "article-journal", "volume" : "27" }, "uris" : [ "http://www.mendeley.com/documents/?uuid=de578123-79fc-475f-bf3c-39de39f810f3" ] }, { "id" : "ITEM-2", "itemData" : { "DOI" : "10.3945/ajcn.2010.30101", "ISSN" : "0002-9165", "abstract" : "Background: The long-term effects of skipping breakfast on car- diometabolic health are not well understood. Objective: The objective was to examine longitudinal associations of breakfast skipping in childhood and adulthood with cardiometa- bolic risk factors in adulthood. Design: In 1985, a national sample of 9\u201315-y-old Australian chil- dren reported whether they usually ate breakfast before school. During follow-up in 2004\u20132006, 2184 participants (26\u201336 y of age) completed a meal-frequency chart for the previous day. Skip- ping breakfast was defined as not eating between 0600 and 0900. Participants were classified into 4 groups: skipped breakfast in nei- ther childhood nor adulthood (n = 1359), skipped breakfast only in childhood (n = 224), skipped breakfast only in adulthood (n = 515), and skipped breakfast in both childhood and adulthood (n = 86). Diet quality was assessed, waist circumference was measured, and blood samples were taken after a 12-h fast (n = 1730). Differences in mean waist circumference and blood glucose, insulin, and lipid concentrations were calculated by linear regression. Results: After adjustment for age, sex, and sociodemographic and lifestyle factors, participants who skipped breakfast in both childhood and adulthood had a larger waist circumference (mean difference: 4.63 cm; 95% CI: 1.72, 7.53 cm) and higher fasting insulin (mean difference: 2.02 mU/L; 95% CI: 0.75, 3.29 mU/L), total cholesterol (mean difference: 0.40 mmol/L; 95% CI: 0.13, 0.68 mmol/L), and LDL cholesterol (mean difference: 0.40 mmol/L; 95% CI: 0.16, 0.64 mmol/L) concentrations than did those who ate breakfast at both time points. Additional adjustments for diet quality and waist circumference attenuated the associations with cardiometabolic variables, but the differences remained signifi- cant. Conclusions: Skipping breakfast over a long period may have det- rimental effects on cardiometabolic health. Promoting the benefits of eating breakfast could be a simple and important public health message. Am", "author" : [ { "dropping-particle" : "", "family" : "Smith", "given" : "Kylie J", "non-dropping-particle" : "", "parse-names" : false, "suffix" : "" }, { "dropping-particle" : "", "family" : "Gall", "given" : "Seana L", "non-dropping-particle" : "", "parse-names" : false, "suffix" : "" }, { "dropping-particle" : "", "family" : "McNaughton", "given" : "S. A.", "non-dropping-particle" : "", "parse-names" : false, "suffix" : "" }, { "dropping-particle" : "", "family" : "Blizzard", "given" : "Leigh", "non-dropping-particle" : "", "parse-names" : false, "suffix" : "" }, { "dropping-particle" : "", "family" : "Dwyer", "given" : "Terence", "non-dropping-particle" : "", "parse-names" : false, "suffix" : "" }, { "dropping-particle" : "", "family" : "Venn", "given" : "Alison J", "non-dropping-particle" : "", "parse-names" : false, "suffix" : "" } ], "container-title" : "American Journal of Clinical Nutrition", "id" : "ITEM-2", "issue" : "6", "issued" : { "date-parts" : [ [ "2010", "12", "1" ] ] }, "page" : "1316-1325", "title" : "Skipping breakfast: longitudinal associations with cardiometabolic risk factors in the Childhood Determinants of Adult Health Study", "type" : "article-journal", "volume" : "92" }, "uris" : [ "http://www.mendeley.com/documents/?uuid=c5bdbad7-4725-4f58-84fd-9a811d3c7433" ] }, { "id" : "ITEM-3", "itemData" : { "DOI" : "10.1080/10408390903467514", "ISBN" : "4989516028", "ISSN" : "1040-8398", "PMID" : "20112153", "abstract" : "Skipping breakfast is common among children and adolescents. However, there is uncertainty regarding whether breakfast consumption contributes to or protects against overweight or obesity. We aimed to review the evidence on the effects of breakfast consumption on body weight outcomes in children and adolescents in Europe. The Cochrane Library, MEDLINE, and EMBASE were searched in January 2009. We identified 16 studies. All were cross-sectional or cohort trials involving more than 59,000 children/adolescents from Europe. Thirteen studies (n = 57,481) consistently showed that breakfast has a protective effect against becoming overweight or obese. One trial (n = 886) showed that this effect was significant only for boys. The effect of eating breakfast on the body mass index (BMI) was analyzed in 4 studies (n = 2897). All of these studies showed an increase in BMI in breakfast skippers. In one study (n = 1245), this effect was significant only for boys. The results of this analysis suggest that eating breakfast is associated with a reduced risk of becoming overweight or obese and a reduction in the BMI in children and adolescents in Europe. However, almost all of the data in this review were gathered from observational studies, thus, causality should not be assumed based on these findings.", "author" : [ { "dropping-particle" : "", "family" : "Szajewska", "given" : "Hania", "non-dropping-particle" : "", "parse-names" : false, "suffix" : "" }, { "dropping-particle" : "", "family" : "Ruszczynski", "given" : "Marek", "non-dropping-particle" : "", "parse-names" : false, "suffix" : "" } ], "container-title" : "Critical reviews in food science and nutrition", "id" : "ITEM-3", "issue" : "2", "issued" : { "date-parts" : [ [ "2010" ] ] }, "page" : "113-119", "title" : "Systematic review demonstrating that breakfast consumption influences body weight outcomes in children and adolescents in Europe.", "type" : "article-journal", "volume" : "50" }, "uris" : [ "http://www.mendeley.com/documents/?uuid=8e772392-89a9-43bc-92f0-cbe7dcdb952e" ] } ], "mendeley" : { "formattedCitation" : "&lt;sup&gt;21,22,36&lt;/sup&gt;", "plainTextFormattedCitation" : "21,22,36", "previouslyFormattedCitation" : "&lt;sup&gt;21,22,36&lt;/sup&gt;" }, "properties" : { "noteIndex" : 0 }, "schema" : "https://github.com/citation-style-language/schema/raw/master/csl-citation.json" }</w:instrText>
      </w:r>
      <w:r w:rsidR="00E179D6" w:rsidRPr="008374B5">
        <w:rPr>
          <w:rFonts w:ascii="Times New Roman" w:eastAsiaTheme="minorEastAsia" w:hAnsi="Times New Roman" w:cs="Times New Roman"/>
          <w:sz w:val="24"/>
          <w:szCs w:val="24"/>
          <w:lang w:val="en-SG" w:eastAsia="zh-CN"/>
        </w:rPr>
        <w:fldChar w:fldCharType="separate"/>
      </w:r>
      <w:r w:rsidR="00724502" w:rsidRPr="00724502">
        <w:rPr>
          <w:rFonts w:ascii="Times New Roman" w:eastAsiaTheme="minorEastAsia" w:hAnsi="Times New Roman" w:cs="Times New Roman"/>
          <w:noProof/>
          <w:sz w:val="24"/>
          <w:szCs w:val="24"/>
          <w:vertAlign w:val="superscript"/>
          <w:lang w:val="en-SG" w:eastAsia="zh-CN"/>
        </w:rPr>
        <w:t>21,22,36</w:t>
      </w:r>
      <w:r w:rsidR="00E179D6" w:rsidRPr="008374B5">
        <w:rPr>
          <w:rFonts w:ascii="Times New Roman" w:eastAsiaTheme="minorEastAsia" w:hAnsi="Times New Roman" w:cs="Times New Roman"/>
          <w:sz w:val="24"/>
          <w:szCs w:val="24"/>
          <w:lang w:val="en-SG" w:eastAsia="zh-CN"/>
        </w:rPr>
        <w:fldChar w:fldCharType="end"/>
      </w:r>
      <w:r w:rsidR="00F91907" w:rsidRPr="008374B5">
        <w:rPr>
          <w:rFonts w:ascii="Times New Roman" w:eastAsiaTheme="minorEastAsia" w:hAnsi="Times New Roman" w:cs="Times New Roman"/>
          <w:sz w:val="24"/>
          <w:szCs w:val="24"/>
          <w:lang w:val="en-SG" w:eastAsia="zh-CN"/>
        </w:rPr>
        <w:t xml:space="preserve">. </w:t>
      </w:r>
      <w:r w:rsidR="00B10678" w:rsidRPr="008374B5">
        <w:rPr>
          <w:rFonts w:ascii="Times New Roman" w:eastAsiaTheme="minorEastAsia" w:hAnsi="Times New Roman" w:cs="Times New Roman"/>
          <w:sz w:val="24"/>
          <w:szCs w:val="24"/>
          <w:lang w:val="en-SG" w:eastAsia="zh-CN"/>
        </w:rPr>
        <w:t>While t</w:t>
      </w:r>
      <w:r w:rsidR="005416B0" w:rsidRPr="008374B5">
        <w:rPr>
          <w:rFonts w:ascii="Times New Roman" w:eastAsiaTheme="minorEastAsia" w:hAnsi="Times New Roman" w:cs="Times New Roman"/>
          <w:sz w:val="24"/>
          <w:szCs w:val="24"/>
          <w:lang w:val="en-SG" w:eastAsia="zh-CN"/>
        </w:rPr>
        <w:t>he</w:t>
      </w:r>
      <w:r w:rsidR="005B5AD5" w:rsidRPr="008374B5">
        <w:rPr>
          <w:rFonts w:ascii="Times New Roman" w:eastAsiaTheme="minorEastAsia" w:hAnsi="Times New Roman" w:cs="Times New Roman"/>
          <w:sz w:val="24"/>
          <w:szCs w:val="24"/>
          <w:lang w:val="en-SG" w:eastAsia="zh-CN"/>
        </w:rPr>
        <w:t xml:space="preserve">se studies </w:t>
      </w:r>
      <w:r w:rsidR="00B10678" w:rsidRPr="008374B5">
        <w:rPr>
          <w:rFonts w:ascii="Times New Roman" w:eastAsiaTheme="minorEastAsia" w:hAnsi="Times New Roman" w:cs="Times New Roman"/>
          <w:sz w:val="24"/>
          <w:szCs w:val="24"/>
          <w:lang w:val="en-SG" w:eastAsia="zh-CN"/>
        </w:rPr>
        <w:t xml:space="preserve">investigated specific eating behaviours, it may be more holistic to consider the temporal pattern of energy intake throughout the day. </w:t>
      </w:r>
      <w:r w:rsidR="000D4D8C" w:rsidRPr="008374B5">
        <w:rPr>
          <w:rFonts w:ascii="Times New Roman" w:eastAsiaTheme="minorEastAsia" w:hAnsi="Times New Roman" w:cs="Times New Roman"/>
          <w:sz w:val="24"/>
          <w:szCs w:val="24"/>
          <w:lang w:val="en-SG" w:eastAsia="zh-CN"/>
        </w:rPr>
        <w:t>In this study, w</w:t>
      </w:r>
      <w:r w:rsidR="0068392E" w:rsidRPr="008374B5">
        <w:rPr>
          <w:rFonts w:ascii="Times New Roman" w:eastAsiaTheme="minorEastAsia" w:hAnsi="Times New Roman" w:cs="Times New Roman"/>
          <w:sz w:val="24"/>
          <w:szCs w:val="24"/>
          <w:lang w:val="en-SG" w:eastAsia="zh-CN"/>
        </w:rPr>
        <w:t xml:space="preserve">e classified infants by considering the </w:t>
      </w:r>
      <w:r w:rsidR="00664EC2" w:rsidRPr="008374B5">
        <w:rPr>
          <w:rFonts w:ascii="Times New Roman" w:eastAsiaTheme="minorEastAsia" w:hAnsi="Times New Roman" w:cs="Times New Roman"/>
          <w:sz w:val="24"/>
          <w:szCs w:val="24"/>
          <w:lang w:val="en-SG" w:eastAsia="zh-CN"/>
        </w:rPr>
        <w:t>pattern</w:t>
      </w:r>
      <w:r w:rsidR="00CF33C5" w:rsidRPr="008374B5">
        <w:rPr>
          <w:rFonts w:ascii="Times New Roman" w:eastAsiaTheme="minorEastAsia" w:hAnsi="Times New Roman" w:cs="Times New Roman"/>
          <w:sz w:val="24"/>
          <w:szCs w:val="24"/>
          <w:lang w:val="en-SG" w:eastAsia="zh-CN"/>
        </w:rPr>
        <w:t xml:space="preserve"> </w:t>
      </w:r>
      <w:r w:rsidR="007E697E" w:rsidRPr="008374B5">
        <w:rPr>
          <w:rFonts w:ascii="Times New Roman" w:eastAsiaTheme="minorEastAsia" w:hAnsi="Times New Roman" w:cs="Times New Roman"/>
          <w:sz w:val="24"/>
          <w:szCs w:val="24"/>
          <w:lang w:val="en-SG" w:eastAsia="zh-CN"/>
        </w:rPr>
        <w:t xml:space="preserve">of </w:t>
      </w:r>
      <w:r w:rsidR="00CF33C5" w:rsidRPr="008374B5">
        <w:rPr>
          <w:rFonts w:ascii="Times New Roman" w:eastAsiaTheme="minorEastAsia" w:hAnsi="Times New Roman" w:cs="Times New Roman"/>
          <w:sz w:val="24"/>
          <w:szCs w:val="24"/>
          <w:lang w:val="en-SG" w:eastAsia="zh-CN"/>
        </w:rPr>
        <w:t xml:space="preserve">mean </w:t>
      </w:r>
      <w:r w:rsidR="0068392E" w:rsidRPr="008374B5">
        <w:rPr>
          <w:rFonts w:ascii="Times New Roman" w:eastAsiaTheme="minorEastAsia" w:hAnsi="Times New Roman" w:cs="Times New Roman"/>
          <w:sz w:val="24"/>
          <w:szCs w:val="24"/>
          <w:lang w:val="en-SG" w:eastAsia="zh-CN"/>
        </w:rPr>
        <w:t xml:space="preserve">energy intake </w:t>
      </w:r>
      <w:r w:rsidR="00CF33C5" w:rsidRPr="008374B5">
        <w:rPr>
          <w:rFonts w:ascii="Times New Roman" w:eastAsiaTheme="minorEastAsia" w:hAnsi="Times New Roman" w:cs="Times New Roman"/>
          <w:sz w:val="24"/>
          <w:szCs w:val="24"/>
          <w:lang w:val="en-SG" w:eastAsia="zh-CN"/>
        </w:rPr>
        <w:t xml:space="preserve">and proportion of infants fed </w:t>
      </w:r>
      <w:r w:rsidR="00D24332" w:rsidRPr="008374B5">
        <w:rPr>
          <w:rFonts w:ascii="Times New Roman" w:eastAsiaTheme="minorEastAsia" w:hAnsi="Times New Roman" w:cs="Times New Roman"/>
          <w:sz w:val="24"/>
          <w:szCs w:val="24"/>
          <w:lang w:val="en-SG" w:eastAsia="zh-CN"/>
        </w:rPr>
        <w:t>over</w:t>
      </w:r>
      <w:r w:rsidR="00D121C5" w:rsidRPr="008374B5">
        <w:rPr>
          <w:rFonts w:ascii="Times New Roman" w:eastAsiaTheme="minorEastAsia" w:hAnsi="Times New Roman" w:cs="Times New Roman"/>
          <w:sz w:val="24"/>
          <w:szCs w:val="24"/>
          <w:lang w:val="en-SG" w:eastAsia="zh-CN"/>
        </w:rPr>
        <w:t xml:space="preserve"> 24 h</w:t>
      </w:r>
      <w:r w:rsidR="0068392E" w:rsidRPr="008374B5">
        <w:rPr>
          <w:rFonts w:ascii="Times New Roman" w:eastAsiaTheme="minorEastAsia" w:hAnsi="Times New Roman" w:cs="Times New Roman"/>
          <w:sz w:val="24"/>
          <w:szCs w:val="24"/>
          <w:lang w:val="en-SG" w:eastAsia="zh-CN"/>
        </w:rPr>
        <w:t xml:space="preserve">. </w:t>
      </w:r>
      <w:r w:rsidR="00C90B2F" w:rsidRPr="008374B5">
        <w:rPr>
          <w:rFonts w:ascii="Times New Roman" w:eastAsiaTheme="minorEastAsia" w:hAnsi="Times New Roman" w:cs="Times New Roman"/>
          <w:sz w:val="24"/>
          <w:szCs w:val="24"/>
          <w:lang w:val="en-SG" w:eastAsia="zh-CN"/>
        </w:rPr>
        <w:t>This model provide</w:t>
      </w:r>
      <w:r w:rsidR="00FE6CF9" w:rsidRPr="008374B5">
        <w:rPr>
          <w:rFonts w:ascii="Times New Roman" w:eastAsiaTheme="minorEastAsia" w:hAnsi="Times New Roman" w:cs="Times New Roman"/>
          <w:sz w:val="24"/>
          <w:szCs w:val="24"/>
          <w:lang w:val="en-SG" w:eastAsia="zh-CN"/>
        </w:rPr>
        <w:t>d us with</w:t>
      </w:r>
      <w:r w:rsidR="00C90B2F" w:rsidRPr="008374B5">
        <w:rPr>
          <w:rFonts w:ascii="Times New Roman" w:eastAsiaTheme="minorEastAsia" w:hAnsi="Times New Roman" w:cs="Times New Roman"/>
          <w:sz w:val="24"/>
          <w:szCs w:val="24"/>
          <w:lang w:val="en-SG" w:eastAsia="zh-CN"/>
        </w:rPr>
        <w:t xml:space="preserve"> n</w:t>
      </w:r>
      <w:r w:rsidR="00412043" w:rsidRPr="008374B5">
        <w:rPr>
          <w:rFonts w:ascii="Times New Roman" w:eastAsiaTheme="minorEastAsia" w:hAnsi="Times New Roman" w:cs="Times New Roman"/>
          <w:sz w:val="24"/>
          <w:szCs w:val="24"/>
          <w:lang w:val="en-SG" w:eastAsia="zh-CN"/>
        </w:rPr>
        <w:t>ew</w:t>
      </w:r>
      <w:r w:rsidR="00C90B2F" w:rsidRPr="008374B5">
        <w:rPr>
          <w:rFonts w:ascii="Times New Roman" w:eastAsiaTheme="minorEastAsia" w:hAnsi="Times New Roman" w:cs="Times New Roman"/>
          <w:sz w:val="24"/>
          <w:szCs w:val="24"/>
          <w:lang w:val="en-SG" w:eastAsia="zh-CN"/>
        </w:rPr>
        <w:t xml:space="preserve"> insights into the circadian feeding p</w:t>
      </w:r>
      <w:r w:rsidR="00412043" w:rsidRPr="008374B5">
        <w:rPr>
          <w:rFonts w:ascii="Times New Roman" w:eastAsiaTheme="minorEastAsia" w:hAnsi="Times New Roman" w:cs="Times New Roman"/>
          <w:sz w:val="24"/>
          <w:szCs w:val="24"/>
          <w:lang w:val="en-SG" w:eastAsia="zh-CN"/>
        </w:rPr>
        <w:t>attern of 12</w:t>
      </w:r>
      <w:r w:rsidR="000B1D17" w:rsidRPr="008374B5">
        <w:rPr>
          <w:rFonts w:ascii="Times New Roman" w:eastAsiaTheme="minorEastAsia" w:hAnsi="Times New Roman" w:cs="Times New Roman"/>
          <w:sz w:val="24"/>
          <w:szCs w:val="24"/>
          <w:lang w:val="en-SG" w:eastAsia="zh-CN"/>
        </w:rPr>
        <w:t>-</w:t>
      </w:r>
      <w:r w:rsidR="00412043" w:rsidRPr="008374B5">
        <w:rPr>
          <w:rFonts w:ascii="Times New Roman" w:eastAsiaTheme="minorEastAsia" w:hAnsi="Times New Roman" w:cs="Times New Roman"/>
          <w:sz w:val="24"/>
          <w:szCs w:val="24"/>
          <w:lang w:val="en-SG" w:eastAsia="zh-CN"/>
        </w:rPr>
        <w:t>month</w:t>
      </w:r>
      <w:r w:rsidR="000B1D17" w:rsidRPr="008374B5">
        <w:rPr>
          <w:rFonts w:ascii="Times New Roman" w:eastAsiaTheme="minorEastAsia" w:hAnsi="Times New Roman" w:cs="Times New Roman"/>
          <w:sz w:val="24"/>
          <w:szCs w:val="24"/>
          <w:lang w:val="en-SG" w:eastAsia="zh-CN"/>
        </w:rPr>
        <w:t>-</w:t>
      </w:r>
      <w:r w:rsidR="00ED2BF0" w:rsidRPr="008374B5">
        <w:rPr>
          <w:rFonts w:ascii="Times New Roman" w:eastAsiaTheme="minorEastAsia" w:hAnsi="Times New Roman" w:cs="Times New Roman"/>
          <w:sz w:val="24"/>
          <w:szCs w:val="24"/>
          <w:lang w:val="en-SG" w:eastAsia="zh-CN"/>
        </w:rPr>
        <w:t>old infants.</w:t>
      </w:r>
    </w:p>
    <w:p w14:paraId="3CA1D961" w14:textId="1C8D08AA" w:rsidR="00267A0B" w:rsidRPr="008374B5" w:rsidRDefault="00ED2BF0" w:rsidP="008374B5">
      <w:pPr>
        <w:suppressAutoHyphens/>
        <w:spacing w:after="0" w:line="360" w:lineRule="auto"/>
        <w:ind w:firstLine="720"/>
        <w:jc w:val="both"/>
        <w:rPr>
          <w:rFonts w:ascii="Times New Roman" w:eastAsiaTheme="minorEastAsia" w:hAnsi="Times New Roman" w:cs="Times New Roman"/>
          <w:sz w:val="24"/>
          <w:szCs w:val="24"/>
          <w:lang w:val="en-SG" w:eastAsia="zh-CN"/>
        </w:rPr>
      </w:pPr>
      <w:r w:rsidRPr="008374B5">
        <w:rPr>
          <w:rFonts w:ascii="Times New Roman" w:eastAsiaTheme="minorEastAsia" w:hAnsi="Times New Roman" w:cs="Times New Roman"/>
          <w:sz w:val="24"/>
          <w:szCs w:val="24"/>
          <w:lang w:val="en-SG" w:eastAsia="zh-CN"/>
        </w:rPr>
        <w:t xml:space="preserve">First, </w:t>
      </w:r>
      <w:r w:rsidR="006E1305" w:rsidRPr="008374B5">
        <w:rPr>
          <w:rFonts w:ascii="Times New Roman" w:eastAsiaTheme="minorEastAsia" w:hAnsi="Times New Roman" w:cs="Times New Roman"/>
          <w:sz w:val="24"/>
          <w:szCs w:val="24"/>
          <w:lang w:val="en-SG" w:eastAsia="zh-CN"/>
        </w:rPr>
        <w:t>post</w:t>
      </w:r>
      <w:r w:rsidR="000B1D17" w:rsidRPr="008374B5">
        <w:rPr>
          <w:rFonts w:ascii="Times New Roman" w:eastAsiaTheme="minorEastAsia" w:hAnsi="Times New Roman" w:cs="Times New Roman"/>
          <w:sz w:val="24"/>
          <w:szCs w:val="24"/>
          <w:lang w:val="en-SG" w:eastAsia="zh-CN"/>
        </w:rPr>
        <w:t>-</w:t>
      </w:r>
      <w:r w:rsidR="006E1305" w:rsidRPr="008374B5">
        <w:rPr>
          <w:rFonts w:ascii="Times New Roman" w:eastAsiaTheme="minorEastAsia" w:hAnsi="Times New Roman" w:cs="Times New Roman"/>
          <w:sz w:val="24"/>
          <w:szCs w:val="24"/>
          <w:lang w:val="en-SG" w:eastAsia="zh-CN"/>
        </w:rPr>
        <w:t>midnight feeding was highly prevalent among infants. Th</w:t>
      </w:r>
      <w:r w:rsidR="009756EF" w:rsidRPr="008374B5">
        <w:rPr>
          <w:rFonts w:ascii="Times New Roman" w:eastAsiaTheme="minorEastAsia" w:hAnsi="Times New Roman" w:cs="Times New Roman"/>
          <w:sz w:val="24"/>
          <w:szCs w:val="24"/>
          <w:lang w:val="en-SG" w:eastAsia="zh-CN"/>
        </w:rPr>
        <w:t>is</w:t>
      </w:r>
      <w:r w:rsidR="00EA60BA" w:rsidRPr="008374B5">
        <w:rPr>
          <w:rFonts w:ascii="Times New Roman" w:eastAsiaTheme="minorEastAsia" w:hAnsi="Times New Roman" w:cs="Times New Roman"/>
          <w:sz w:val="24"/>
          <w:szCs w:val="24"/>
          <w:lang w:val="en-SG" w:eastAsia="zh-CN"/>
        </w:rPr>
        <w:t xml:space="preserve"> </w:t>
      </w:r>
      <w:r w:rsidR="00ED7A57" w:rsidRPr="008374B5">
        <w:rPr>
          <w:rFonts w:ascii="Times New Roman" w:eastAsiaTheme="minorEastAsia" w:hAnsi="Times New Roman" w:cs="Times New Roman"/>
          <w:sz w:val="24"/>
          <w:szCs w:val="24"/>
          <w:lang w:val="en-SG" w:eastAsia="zh-CN"/>
        </w:rPr>
        <w:t>warrants attention as post</w:t>
      </w:r>
      <w:r w:rsidR="000B1D17" w:rsidRPr="008374B5">
        <w:rPr>
          <w:rFonts w:ascii="Times New Roman" w:eastAsiaTheme="minorEastAsia" w:hAnsi="Times New Roman" w:cs="Times New Roman"/>
          <w:sz w:val="24"/>
          <w:szCs w:val="24"/>
          <w:lang w:val="en-SG" w:eastAsia="zh-CN"/>
        </w:rPr>
        <w:t>-</w:t>
      </w:r>
      <w:r w:rsidR="00ED7A57" w:rsidRPr="008374B5">
        <w:rPr>
          <w:rFonts w:ascii="Times New Roman" w:eastAsiaTheme="minorEastAsia" w:hAnsi="Times New Roman" w:cs="Times New Roman"/>
          <w:sz w:val="24"/>
          <w:szCs w:val="24"/>
          <w:lang w:val="en-SG" w:eastAsia="zh-CN"/>
        </w:rPr>
        <w:t xml:space="preserve">midnight feeding </w:t>
      </w:r>
      <w:r w:rsidR="004E1627" w:rsidRPr="008374B5">
        <w:rPr>
          <w:rFonts w:ascii="Times New Roman" w:eastAsiaTheme="minorEastAsia" w:hAnsi="Times New Roman" w:cs="Times New Roman"/>
          <w:sz w:val="24"/>
          <w:szCs w:val="24"/>
          <w:lang w:val="en-SG" w:eastAsia="zh-CN"/>
        </w:rPr>
        <w:t xml:space="preserve">may be </w:t>
      </w:r>
      <w:r w:rsidR="00ED7A57" w:rsidRPr="008374B5">
        <w:rPr>
          <w:rFonts w:ascii="Times New Roman" w:eastAsiaTheme="minorEastAsia" w:hAnsi="Times New Roman" w:cs="Times New Roman"/>
          <w:sz w:val="24"/>
          <w:szCs w:val="24"/>
          <w:lang w:val="en-SG" w:eastAsia="zh-CN"/>
        </w:rPr>
        <w:t>non</w:t>
      </w:r>
      <w:r w:rsidR="000B1D17" w:rsidRPr="008374B5">
        <w:rPr>
          <w:rFonts w:ascii="Times New Roman" w:eastAsiaTheme="minorEastAsia" w:hAnsi="Times New Roman" w:cs="Times New Roman"/>
          <w:sz w:val="24"/>
          <w:szCs w:val="24"/>
          <w:lang w:val="en-SG" w:eastAsia="zh-CN"/>
        </w:rPr>
        <w:t>-</w:t>
      </w:r>
      <w:r w:rsidR="00ED7A57" w:rsidRPr="008374B5">
        <w:rPr>
          <w:rFonts w:ascii="Times New Roman" w:eastAsiaTheme="minorEastAsia" w:hAnsi="Times New Roman" w:cs="Times New Roman"/>
          <w:sz w:val="24"/>
          <w:szCs w:val="24"/>
          <w:lang w:val="en-SG" w:eastAsia="zh-CN"/>
        </w:rPr>
        <w:t>physiological. The human body is well</w:t>
      </w:r>
      <w:r w:rsidR="000B1D17" w:rsidRPr="008374B5">
        <w:rPr>
          <w:rFonts w:ascii="Times New Roman" w:eastAsiaTheme="minorEastAsia" w:hAnsi="Times New Roman" w:cs="Times New Roman"/>
          <w:sz w:val="24"/>
          <w:szCs w:val="24"/>
          <w:lang w:val="en-SG" w:eastAsia="zh-CN"/>
        </w:rPr>
        <w:t>-</w:t>
      </w:r>
      <w:r w:rsidR="00224D8F" w:rsidRPr="008374B5">
        <w:rPr>
          <w:rFonts w:ascii="Times New Roman" w:eastAsiaTheme="minorEastAsia" w:hAnsi="Times New Roman" w:cs="Times New Roman"/>
          <w:sz w:val="24"/>
          <w:szCs w:val="24"/>
          <w:lang w:val="en-SG" w:eastAsia="zh-CN"/>
        </w:rPr>
        <w:t>adapted</w:t>
      </w:r>
      <w:r w:rsidR="00ED7A57" w:rsidRPr="008374B5">
        <w:rPr>
          <w:rFonts w:ascii="Times New Roman" w:eastAsiaTheme="minorEastAsia" w:hAnsi="Times New Roman" w:cs="Times New Roman"/>
          <w:sz w:val="24"/>
          <w:szCs w:val="24"/>
          <w:lang w:val="en-SG" w:eastAsia="zh-CN"/>
        </w:rPr>
        <w:t xml:space="preserve"> to tolerate hours of fasting</w:t>
      </w:r>
      <w:r w:rsidR="00C62F99" w:rsidRPr="008374B5">
        <w:rPr>
          <w:rFonts w:ascii="Times New Roman" w:eastAsiaTheme="minorEastAsia" w:hAnsi="Times New Roman" w:cs="Times New Roman"/>
          <w:sz w:val="24"/>
          <w:szCs w:val="24"/>
          <w:lang w:val="en-SG" w:eastAsia="zh-CN"/>
        </w:rPr>
        <w:t>, including overnight fasting</w:t>
      </w:r>
      <w:r w:rsidR="00603168" w:rsidRPr="008374B5">
        <w:rPr>
          <w:rFonts w:ascii="Times New Roman" w:eastAsiaTheme="minorEastAsia" w:hAnsi="Times New Roman" w:cs="Times New Roman"/>
          <w:sz w:val="24"/>
          <w:szCs w:val="24"/>
          <w:lang w:val="en-SG" w:eastAsia="zh-CN"/>
        </w:rPr>
        <w:t>. O</w:t>
      </w:r>
      <w:r w:rsidR="004419BF" w:rsidRPr="008374B5">
        <w:rPr>
          <w:rFonts w:ascii="Times New Roman" w:eastAsiaTheme="minorEastAsia" w:hAnsi="Times New Roman" w:cs="Times New Roman"/>
          <w:sz w:val="24"/>
          <w:szCs w:val="24"/>
          <w:lang w:val="en-SG" w:eastAsia="zh-CN"/>
        </w:rPr>
        <w:t>ur circadian clock shares intimate and reciprocal relationship</w:t>
      </w:r>
      <w:r w:rsidR="00CC09F4" w:rsidRPr="008374B5">
        <w:rPr>
          <w:rFonts w:ascii="Times New Roman" w:eastAsiaTheme="minorEastAsia" w:hAnsi="Times New Roman" w:cs="Times New Roman"/>
          <w:sz w:val="24"/>
          <w:szCs w:val="24"/>
          <w:lang w:val="en-SG" w:eastAsia="zh-CN"/>
        </w:rPr>
        <w:t>s</w:t>
      </w:r>
      <w:r w:rsidR="004419BF" w:rsidRPr="008374B5">
        <w:rPr>
          <w:rFonts w:ascii="Times New Roman" w:eastAsiaTheme="minorEastAsia" w:hAnsi="Times New Roman" w:cs="Times New Roman"/>
          <w:sz w:val="24"/>
          <w:szCs w:val="24"/>
          <w:lang w:val="en-SG" w:eastAsia="zh-CN"/>
        </w:rPr>
        <w:t xml:space="preserve"> with </w:t>
      </w:r>
      <w:r w:rsidR="00341EA7" w:rsidRPr="008374B5">
        <w:rPr>
          <w:rFonts w:ascii="Times New Roman" w:eastAsiaTheme="minorEastAsia" w:hAnsi="Times New Roman" w:cs="Times New Roman"/>
          <w:sz w:val="24"/>
          <w:szCs w:val="24"/>
          <w:lang w:val="en-SG" w:eastAsia="zh-CN"/>
        </w:rPr>
        <w:t>central</w:t>
      </w:r>
      <w:r w:rsidR="004419BF" w:rsidRPr="008374B5">
        <w:rPr>
          <w:rFonts w:ascii="Times New Roman" w:eastAsiaTheme="minorEastAsia" w:hAnsi="Times New Roman" w:cs="Times New Roman"/>
          <w:sz w:val="24"/>
          <w:szCs w:val="24"/>
          <w:lang w:val="en-SG" w:eastAsia="zh-CN"/>
        </w:rPr>
        <w:t xml:space="preserve"> metabolic pathways</w:t>
      </w:r>
      <w:r w:rsidR="00603168" w:rsidRPr="008374B5">
        <w:rPr>
          <w:rFonts w:ascii="Times New Roman" w:eastAsiaTheme="minorEastAsia" w:hAnsi="Times New Roman" w:cs="Times New Roman"/>
          <w:sz w:val="24"/>
          <w:szCs w:val="24"/>
          <w:lang w:val="en-SG" w:eastAsia="zh-CN"/>
        </w:rPr>
        <w:t>;</w:t>
      </w:r>
      <w:r w:rsidR="004419BF" w:rsidRPr="008374B5">
        <w:rPr>
          <w:rFonts w:ascii="Times New Roman" w:eastAsiaTheme="minorEastAsia" w:hAnsi="Times New Roman" w:cs="Times New Roman"/>
          <w:sz w:val="24"/>
          <w:szCs w:val="24"/>
          <w:lang w:val="en-SG" w:eastAsia="zh-CN"/>
        </w:rPr>
        <w:t xml:space="preserve"> </w:t>
      </w:r>
      <w:r w:rsidR="00603168" w:rsidRPr="008374B5">
        <w:rPr>
          <w:rFonts w:ascii="Times New Roman" w:eastAsiaTheme="minorEastAsia" w:hAnsi="Times New Roman" w:cs="Times New Roman"/>
          <w:sz w:val="24"/>
          <w:szCs w:val="24"/>
          <w:lang w:val="en-SG" w:eastAsia="zh-CN"/>
        </w:rPr>
        <w:t>p</w:t>
      </w:r>
      <w:r w:rsidR="00F71373" w:rsidRPr="008374B5">
        <w:rPr>
          <w:rFonts w:ascii="Times New Roman" w:eastAsiaTheme="minorEastAsia" w:hAnsi="Times New Roman" w:cs="Times New Roman"/>
          <w:sz w:val="24"/>
          <w:szCs w:val="24"/>
          <w:lang w:val="en-SG" w:eastAsia="zh-CN"/>
        </w:rPr>
        <w:t xml:space="preserve">eripheral oscillators in different organs modulate daily rhythms in </w:t>
      </w:r>
      <w:r w:rsidR="00553E65" w:rsidRPr="008374B5">
        <w:rPr>
          <w:rFonts w:ascii="Times New Roman" w:eastAsiaTheme="minorEastAsia" w:hAnsi="Times New Roman" w:cs="Times New Roman"/>
          <w:sz w:val="24"/>
          <w:szCs w:val="24"/>
          <w:lang w:val="en-SG" w:eastAsia="zh-CN"/>
        </w:rPr>
        <w:t xml:space="preserve">the </w:t>
      </w:r>
      <w:r w:rsidR="00F71373" w:rsidRPr="008374B5">
        <w:rPr>
          <w:rFonts w:ascii="Times New Roman" w:eastAsiaTheme="minorEastAsia" w:hAnsi="Times New Roman" w:cs="Times New Roman"/>
          <w:sz w:val="24"/>
          <w:szCs w:val="24"/>
          <w:lang w:val="en-SG" w:eastAsia="zh-CN"/>
        </w:rPr>
        <w:t>transcription</w:t>
      </w:r>
      <w:r w:rsidR="002B0EFD" w:rsidRPr="008374B5">
        <w:rPr>
          <w:rFonts w:ascii="Times New Roman" w:eastAsiaTheme="minorEastAsia" w:hAnsi="Times New Roman" w:cs="Times New Roman"/>
          <w:sz w:val="24"/>
          <w:szCs w:val="24"/>
          <w:lang w:val="en-SG" w:eastAsia="zh-CN"/>
        </w:rPr>
        <w:t xml:space="preserve"> and translation of genes that </w:t>
      </w:r>
      <w:r w:rsidR="00553E65" w:rsidRPr="008374B5">
        <w:rPr>
          <w:rFonts w:ascii="Times New Roman" w:eastAsiaTheme="minorEastAsia" w:hAnsi="Times New Roman" w:cs="Times New Roman"/>
          <w:sz w:val="24"/>
          <w:szCs w:val="24"/>
          <w:lang w:val="en-SG" w:eastAsia="zh-CN"/>
        </w:rPr>
        <w:t xml:space="preserve">tightly </w:t>
      </w:r>
      <w:r w:rsidR="002B0EFD" w:rsidRPr="008374B5">
        <w:rPr>
          <w:rFonts w:ascii="Times New Roman" w:eastAsiaTheme="minorEastAsia" w:hAnsi="Times New Roman" w:cs="Times New Roman"/>
          <w:sz w:val="24"/>
          <w:szCs w:val="24"/>
          <w:lang w:val="en-SG" w:eastAsia="zh-CN"/>
        </w:rPr>
        <w:t xml:space="preserve">control </w:t>
      </w:r>
      <w:r w:rsidR="00F71373" w:rsidRPr="008374B5">
        <w:rPr>
          <w:rFonts w:ascii="Times New Roman" w:eastAsiaTheme="minorEastAsia" w:hAnsi="Times New Roman" w:cs="Times New Roman"/>
          <w:sz w:val="24"/>
          <w:szCs w:val="24"/>
          <w:lang w:val="en-SG" w:eastAsia="zh-CN"/>
        </w:rPr>
        <w:t>cellular metabolism, repair, cell division and growth</w:t>
      </w:r>
      <w:r w:rsidR="00010A7C" w:rsidRPr="008374B5">
        <w:rPr>
          <w:rFonts w:ascii="Times New Roman" w:eastAsiaTheme="minorEastAsia" w:hAnsi="Times New Roman" w:cs="Times New Roman"/>
          <w:sz w:val="24"/>
          <w:szCs w:val="24"/>
          <w:lang w:val="en-SG" w:eastAsia="zh-CN"/>
        </w:rPr>
        <w:fldChar w:fldCharType="begin" w:fldLock="1"/>
      </w:r>
      <w:r w:rsidR="001459A4">
        <w:rPr>
          <w:rFonts w:ascii="Times New Roman" w:eastAsiaTheme="minorEastAsia" w:hAnsi="Times New Roman" w:cs="Times New Roman"/>
          <w:sz w:val="24"/>
          <w:szCs w:val="24"/>
          <w:lang w:val="en-SG" w:eastAsia="zh-CN"/>
        </w:rPr>
        <w:instrText>ADDIN CSL_CITATION { "citationItems" : [ { "id" : "ITEM-1", "itemData" : { "DOI" : "10.1146/annurev-neuro-060909-153128", "ISSN" : "0147-006X", "author" : [ { "dropping-particle" : "", "family" : "Mohawk", "given" : "Jennifer A", "non-dropping-particle" : "", "parse-names" : false, "suffix" : "" }, { "dropping-particle" : "", "family" : "Green", "given" : "Carla B", "non-dropping-particle" : "", "parse-names" : false, "suffix" : "" }, { "dropping-particle" : "", "family" : "Takahashi", "given" : "Joseph S", "non-dropping-particle" : "", "parse-names" : false, "suffix" : "" } ], "container-title" : "Annual Review of Neuroscience", "id" : "ITEM-1", "issue" : "1", "issued" : { "date-parts" : [ [ "2012", "7", "21" ] ] }, "page" : "445-462", "title" : "Central and Peripheral Circadian Clocks in Mammals", "type" : "article-journal", "volume" : "35" }, "uris" : [ "http://www.mendeley.com/documents/?uuid=045a3b21-aa24-4306-ac57-887b8913be85" ] } ], "mendeley" : { "formattedCitation" : "&lt;sup&gt;37&lt;/sup&gt;", "plainTextFormattedCitation" : "37", "previouslyFormattedCitation" : "&lt;sup&gt;37&lt;/sup&gt;" }, "properties" : { "noteIndex" : 0 }, "schema" : "https://github.com/citation-style-language/schema/raw/master/csl-citation.json" }</w:instrText>
      </w:r>
      <w:r w:rsidR="00010A7C" w:rsidRPr="008374B5">
        <w:rPr>
          <w:rFonts w:ascii="Times New Roman" w:eastAsiaTheme="minorEastAsia" w:hAnsi="Times New Roman" w:cs="Times New Roman"/>
          <w:sz w:val="24"/>
          <w:szCs w:val="24"/>
          <w:lang w:val="en-SG" w:eastAsia="zh-CN"/>
        </w:rPr>
        <w:fldChar w:fldCharType="separate"/>
      </w:r>
      <w:r w:rsidR="00724502" w:rsidRPr="00724502">
        <w:rPr>
          <w:rFonts w:ascii="Times New Roman" w:eastAsiaTheme="minorEastAsia" w:hAnsi="Times New Roman" w:cs="Times New Roman"/>
          <w:noProof/>
          <w:sz w:val="24"/>
          <w:szCs w:val="24"/>
          <w:vertAlign w:val="superscript"/>
          <w:lang w:val="en-SG" w:eastAsia="zh-CN"/>
        </w:rPr>
        <w:t>37</w:t>
      </w:r>
      <w:r w:rsidR="00010A7C" w:rsidRPr="008374B5">
        <w:rPr>
          <w:rFonts w:ascii="Times New Roman" w:eastAsiaTheme="minorEastAsia" w:hAnsi="Times New Roman" w:cs="Times New Roman"/>
          <w:sz w:val="24"/>
          <w:szCs w:val="24"/>
          <w:lang w:val="en-SG" w:eastAsia="zh-CN"/>
        </w:rPr>
        <w:fldChar w:fldCharType="end"/>
      </w:r>
      <w:r w:rsidR="00F71373" w:rsidRPr="008374B5">
        <w:rPr>
          <w:rFonts w:ascii="Times New Roman" w:eastAsiaTheme="minorEastAsia" w:hAnsi="Times New Roman" w:cs="Times New Roman"/>
          <w:sz w:val="24"/>
          <w:szCs w:val="24"/>
          <w:lang w:val="en-SG" w:eastAsia="zh-CN"/>
        </w:rPr>
        <w:t xml:space="preserve">. </w:t>
      </w:r>
      <w:r w:rsidR="00F17869" w:rsidRPr="008374B5">
        <w:rPr>
          <w:rFonts w:ascii="Times New Roman" w:eastAsiaTheme="minorEastAsia" w:hAnsi="Times New Roman" w:cs="Times New Roman"/>
          <w:sz w:val="24"/>
          <w:szCs w:val="24"/>
          <w:lang w:val="en-SG" w:eastAsia="zh-CN"/>
        </w:rPr>
        <w:t>T</w:t>
      </w:r>
      <w:r w:rsidR="004645A6" w:rsidRPr="008374B5">
        <w:rPr>
          <w:rFonts w:ascii="Times New Roman" w:eastAsiaTheme="minorEastAsia" w:hAnsi="Times New Roman" w:cs="Times New Roman"/>
          <w:sz w:val="24"/>
          <w:szCs w:val="24"/>
          <w:lang w:val="en-SG" w:eastAsia="zh-CN"/>
        </w:rPr>
        <w:t>he t</w:t>
      </w:r>
      <w:r w:rsidR="00F17869" w:rsidRPr="008374B5">
        <w:rPr>
          <w:rFonts w:ascii="Times New Roman" w:eastAsiaTheme="minorEastAsia" w:hAnsi="Times New Roman" w:cs="Times New Roman"/>
          <w:sz w:val="24"/>
          <w:szCs w:val="24"/>
          <w:lang w:val="en-SG" w:eastAsia="zh-CN"/>
        </w:rPr>
        <w:t>emporal synchronisation</w:t>
      </w:r>
      <w:r w:rsidR="00F71373" w:rsidRPr="008374B5">
        <w:rPr>
          <w:rFonts w:ascii="Times New Roman" w:eastAsiaTheme="minorEastAsia" w:hAnsi="Times New Roman" w:cs="Times New Roman"/>
          <w:sz w:val="24"/>
          <w:szCs w:val="24"/>
          <w:lang w:val="en-SG" w:eastAsia="zh-CN"/>
        </w:rPr>
        <w:t xml:space="preserve"> </w:t>
      </w:r>
      <w:r w:rsidR="004645A6" w:rsidRPr="008374B5">
        <w:rPr>
          <w:rFonts w:ascii="Times New Roman" w:eastAsiaTheme="minorEastAsia" w:hAnsi="Times New Roman" w:cs="Times New Roman"/>
          <w:sz w:val="24"/>
          <w:szCs w:val="24"/>
          <w:lang w:val="en-SG" w:eastAsia="zh-CN"/>
        </w:rPr>
        <w:t>of these processes with the central circadian clock</w:t>
      </w:r>
      <w:r w:rsidR="00F71373" w:rsidRPr="008374B5">
        <w:rPr>
          <w:rFonts w:ascii="Times New Roman" w:eastAsiaTheme="minorEastAsia" w:hAnsi="Times New Roman" w:cs="Times New Roman"/>
          <w:sz w:val="24"/>
          <w:szCs w:val="24"/>
          <w:lang w:val="en-SG" w:eastAsia="zh-CN"/>
        </w:rPr>
        <w:t xml:space="preserve"> </w:t>
      </w:r>
      <w:r w:rsidR="00F17869" w:rsidRPr="008374B5">
        <w:rPr>
          <w:rFonts w:ascii="Times New Roman" w:eastAsiaTheme="minorEastAsia" w:hAnsi="Times New Roman" w:cs="Times New Roman"/>
          <w:sz w:val="24"/>
          <w:szCs w:val="24"/>
          <w:lang w:val="en-SG" w:eastAsia="zh-CN"/>
        </w:rPr>
        <w:t>enhances</w:t>
      </w:r>
      <w:r w:rsidR="00FC536B" w:rsidRPr="008374B5">
        <w:rPr>
          <w:rFonts w:ascii="Times New Roman" w:eastAsiaTheme="minorEastAsia" w:hAnsi="Times New Roman" w:cs="Times New Roman"/>
          <w:sz w:val="24"/>
          <w:szCs w:val="24"/>
          <w:lang w:val="en-SG" w:eastAsia="zh-CN"/>
        </w:rPr>
        <w:t xml:space="preserve"> fitness</w:t>
      </w:r>
      <w:r w:rsidR="003E258F" w:rsidRPr="008374B5">
        <w:rPr>
          <w:rFonts w:ascii="Times New Roman" w:eastAsiaTheme="minorEastAsia" w:hAnsi="Times New Roman" w:cs="Times New Roman"/>
          <w:sz w:val="24"/>
          <w:szCs w:val="24"/>
          <w:lang w:val="en-SG" w:eastAsia="zh-CN"/>
        </w:rPr>
        <w:t>,</w:t>
      </w:r>
      <w:r w:rsidR="004E0874" w:rsidRPr="008374B5">
        <w:rPr>
          <w:rFonts w:ascii="Times New Roman" w:eastAsiaTheme="minorEastAsia" w:hAnsi="Times New Roman" w:cs="Times New Roman"/>
          <w:sz w:val="24"/>
          <w:szCs w:val="24"/>
          <w:lang w:val="en-SG" w:eastAsia="zh-CN"/>
        </w:rPr>
        <w:t xml:space="preserve"> confers</w:t>
      </w:r>
      <w:r w:rsidR="007563C6" w:rsidRPr="008374B5">
        <w:rPr>
          <w:rFonts w:ascii="Times New Roman" w:eastAsiaTheme="minorEastAsia" w:hAnsi="Times New Roman" w:cs="Times New Roman"/>
          <w:sz w:val="24"/>
          <w:szCs w:val="24"/>
          <w:lang w:val="en-SG" w:eastAsia="zh-CN"/>
        </w:rPr>
        <w:t xml:space="preserve"> robustness and </w:t>
      </w:r>
      <w:r w:rsidR="004E0874" w:rsidRPr="008374B5">
        <w:rPr>
          <w:rFonts w:ascii="Times New Roman" w:eastAsiaTheme="minorEastAsia" w:hAnsi="Times New Roman" w:cs="Times New Roman"/>
          <w:sz w:val="24"/>
          <w:szCs w:val="24"/>
          <w:lang w:val="en-SG" w:eastAsia="zh-CN"/>
        </w:rPr>
        <w:t>ensures</w:t>
      </w:r>
      <w:r w:rsidR="003E258F" w:rsidRPr="008374B5">
        <w:rPr>
          <w:rFonts w:ascii="Times New Roman" w:eastAsiaTheme="minorEastAsia" w:hAnsi="Times New Roman" w:cs="Times New Roman"/>
          <w:sz w:val="24"/>
          <w:szCs w:val="24"/>
          <w:lang w:val="en-SG" w:eastAsia="zh-CN"/>
        </w:rPr>
        <w:t xml:space="preserve"> stability to the overall temporal </w:t>
      </w:r>
      <w:r w:rsidR="004E0874" w:rsidRPr="008374B5">
        <w:rPr>
          <w:rFonts w:ascii="Times New Roman" w:eastAsiaTheme="minorEastAsia" w:hAnsi="Times New Roman" w:cs="Times New Roman"/>
          <w:sz w:val="24"/>
          <w:szCs w:val="24"/>
          <w:lang w:val="en-SG" w:eastAsia="zh-CN"/>
        </w:rPr>
        <w:t>structure</w:t>
      </w:r>
      <w:r w:rsidR="003E258F" w:rsidRPr="008374B5">
        <w:rPr>
          <w:rFonts w:ascii="Times New Roman" w:eastAsiaTheme="minorEastAsia" w:hAnsi="Times New Roman" w:cs="Times New Roman"/>
          <w:sz w:val="24"/>
          <w:szCs w:val="24"/>
          <w:lang w:val="en-SG" w:eastAsia="zh-CN"/>
        </w:rPr>
        <w:t xml:space="preserve"> of the </w:t>
      </w:r>
      <w:r w:rsidR="00FC2D7F" w:rsidRPr="008374B5">
        <w:rPr>
          <w:rFonts w:ascii="Times New Roman" w:eastAsiaTheme="minorEastAsia" w:hAnsi="Times New Roman" w:cs="Times New Roman"/>
          <w:sz w:val="24"/>
          <w:szCs w:val="24"/>
          <w:lang w:val="en-SG" w:eastAsia="zh-CN"/>
        </w:rPr>
        <w:t>body</w:t>
      </w:r>
      <w:r w:rsidR="001609F7" w:rsidRPr="008374B5">
        <w:rPr>
          <w:rFonts w:ascii="Times New Roman" w:eastAsiaTheme="minorEastAsia" w:hAnsi="Times New Roman" w:cs="Times New Roman"/>
          <w:sz w:val="24"/>
          <w:szCs w:val="24"/>
          <w:lang w:val="en-SG" w:eastAsia="zh-CN"/>
        </w:rPr>
        <w:fldChar w:fldCharType="begin" w:fldLock="1"/>
      </w:r>
      <w:r w:rsidR="001459A4">
        <w:rPr>
          <w:rFonts w:ascii="Times New Roman" w:eastAsiaTheme="minorEastAsia" w:hAnsi="Times New Roman" w:cs="Times New Roman"/>
          <w:sz w:val="24"/>
          <w:szCs w:val="24"/>
          <w:lang w:val="en-SG" w:eastAsia="zh-CN"/>
        </w:rPr>
        <w:instrText>ADDIN CSL_CITATION { "citationItems" : [ { "id" : "ITEM-1", "itemData" : { "DOI" : "10.1016/j.cmet.2016.06.001", "ISSN" : "15504131", "PMID" : "27304506", "author" : [ { "dropping-particle" : "", "family" : "Longo", "given" : "Valter\u00a0D.", "non-dropping-particle" : "", "parse-names" : false, "suffix" : "" }, { "dropping-particle" : "", "family" : "Panda", "given" : "Satchidananda", "non-dropping-particle" : "", "parse-names" : false, "suffix" : "" } ], "container-title" : "Cell Metabolism", "id" : "ITEM-1", "issue" : "6", "issued" : { "date-parts" : [ [ "2016" ] ] }, "page" : "1048-1059", "publisher" : "Elsevier Inc.", "title" : "Fasting, Circadian Rhythms, and Time-Restricted Feeding in Healthy Lifespan", "type" : "article-journal", "volume" : "23" }, "uris" : [ "http://www.mendeley.com/documents/?uuid=39dadfdb-22c1-4e07-ab11-b02d0e9108c1" ] }, { "id" : "ITEM-2", "itemData" : { "DOI" : "10.1146/annurev-neuro-060909-153128", "ISSN" : "0147-006X", "author" : [ { "dropping-particle" : "", "family" : "Mohawk", "given" : "Jennifer A", "non-dropping-particle" : "", "parse-names" : false, "suffix" : "" }, { "dropping-particle" : "", "family" : "Green", "given" : "Carla B", "non-dropping-particle" : "", "parse-names" : false, "suffix" : "" }, { "dropping-particle" : "", "family" : "Takahashi", "given" : "Joseph S", "non-dropping-particle" : "", "parse-names" : false, "suffix" : "" } ], "container-title" : "Annual Review of Neuroscience", "id" : "ITEM-2", "issue" : "1", "issued" : { "date-parts" : [ [ "2012", "7", "21" ] ] }, "page" : "445-462", "title" : "Central and Peripheral Circadian Clocks in Mammals", "type" : "article-journal", "volume" : "35" }, "uris" : [ "http://www.mendeley.com/documents/?uuid=045a3b21-aa24-4306-ac57-887b8913be85" ] } ], "mendeley" : { "formattedCitation" : "&lt;sup&gt;37,38&lt;/sup&gt;", "plainTextFormattedCitation" : "37,38", "previouslyFormattedCitation" : "&lt;sup&gt;37,38&lt;/sup&gt;" }, "properties" : { "noteIndex" : 0 }, "schema" : "https://github.com/citation-style-language/schema/raw/master/csl-citation.json" }</w:instrText>
      </w:r>
      <w:r w:rsidR="001609F7" w:rsidRPr="008374B5">
        <w:rPr>
          <w:rFonts w:ascii="Times New Roman" w:eastAsiaTheme="minorEastAsia" w:hAnsi="Times New Roman" w:cs="Times New Roman"/>
          <w:sz w:val="24"/>
          <w:szCs w:val="24"/>
          <w:lang w:val="en-SG" w:eastAsia="zh-CN"/>
        </w:rPr>
        <w:fldChar w:fldCharType="separate"/>
      </w:r>
      <w:r w:rsidR="00724502" w:rsidRPr="00724502">
        <w:rPr>
          <w:rFonts w:ascii="Times New Roman" w:eastAsiaTheme="minorEastAsia" w:hAnsi="Times New Roman" w:cs="Times New Roman"/>
          <w:noProof/>
          <w:sz w:val="24"/>
          <w:szCs w:val="24"/>
          <w:vertAlign w:val="superscript"/>
          <w:lang w:val="en-SG" w:eastAsia="zh-CN"/>
        </w:rPr>
        <w:t>37,38</w:t>
      </w:r>
      <w:r w:rsidR="001609F7" w:rsidRPr="008374B5">
        <w:rPr>
          <w:rFonts w:ascii="Times New Roman" w:eastAsiaTheme="minorEastAsia" w:hAnsi="Times New Roman" w:cs="Times New Roman"/>
          <w:sz w:val="24"/>
          <w:szCs w:val="24"/>
          <w:lang w:val="en-SG" w:eastAsia="zh-CN"/>
        </w:rPr>
        <w:fldChar w:fldCharType="end"/>
      </w:r>
      <w:r w:rsidR="00FC536B" w:rsidRPr="008374B5">
        <w:rPr>
          <w:rFonts w:ascii="Times New Roman" w:eastAsiaTheme="minorEastAsia" w:hAnsi="Times New Roman" w:cs="Times New Roman"/>
          <w:sz w:val="24"/>
          <w:szCs w:val="24"/>
          <w:lang w:val="en-SG" w:eastAsia="zh-CN"/>
        </w:rPr>
        <w:t xml:space="preserve">. </w:t>
      </w:r>
      <w:r w:rsidR="00D23116" w:rsidRPr="008374B5">
        <w:rPr>
          <w:rFonts w:ascii="Times New Roman" w:eastAsiaTheme="minorEastAsia" w:hAnsi="Times New Roman" w:cs="Times New Roman"/>
          <w:sz w:val="24"/>
          <w:szCs w:val="24"/>
          <w:lang w:val="en-SG" w:eastAsia="zh-CN"/>
        </w:rPr>
        <w:t>On the other hand, frequent energy intake</w:t>
      </w:r>
      <w:r w:rsidR="00265642" w:rsidRPr="008374B5">
        <w:rPr>
          <w:rFonts w:ascii="Times New Roman" w:eastAsiaTheme="minorEastAsia" w:hAnsi="Times New Roman" w:cs="Times New Roman"/>
          <w:sz w:val="24"/>
          <w:szCs w:val="24"/>
          <w:lang w:val="en-SG" w:eastAsia="zh-CN"/>
        </w:rPr>
        <w:t xml:space="preserve"> and the absence of a </w:t>
      </w:r>
      <w:r w:rsidR="0026675D" w:rsidRPr="008374B5">
        <w:rPr>
          <w:rFonts w:ascii="Times New Roman" w:eastAsiaTheme="minorEastAsia" w:hAnsi="Times New Roman" w:cs="Times New Roman"/>
          <w:sz w:val="24"/>
          <w:szCs w:val="24"/>
          <w:lang w:val="en-SG" w:eastAsia="zh-CN"/>
        </w:rPr>
        <w:t>definite</w:t>
      </w:r>
      <w:r w:rsidR="00265642" w:rsidRPr="008374B5">
        <w:rPr>
          <w:rFonts w:ascii="Times New Roman" w:eastAsiaTheme="minorEastAsia" w:hAnsi="Times New Roman" w:cs="Times New Roman"/>
          <w:sz w:val="24"/>
          <w:szCs w:val="24"/>
          <w:lang w:val="en-SG" w:eastAsia="zh-CN"/>
        </w:rPr>
        <w:t xml:space="preserve"> fasting period may </w:t>
      </w:r>
      <w:r w:rsidR="0026675D" w:rsidRPr="008374B5">
        <w:rPr>
          <w:rFonts w:ascii="Times New Roman" w:eastAsiaTheme="minorEastAsia" w:hAnsi="Times New Roman" w:cs="Times New Roman"/>
          <w:sz w:val="24"/>
          <w:szCs w:val="24"/>
          <w:lang w:val="en-SG" w:eastAsia="zh-CN"/>
        </w:rPr>
        <w:t>prolong</w:t>
      </w:r>
      <w:r w:rsidR="009E245E" w:rsidRPr="008374B5">
        <w:rPr>
          <w:rFonts w:ascii="Times New Roman" w:eastAsiaTheme="minorEastAsia" w:hAnsi="Times New Roman" w:cs="Times New Roman"/>
          <w:sz w:val="24"/>
          <w:szCs w:val="24"/>
          <w:lang w:val="en-SG" w:eastAsia="zh-CN"/>
        </w:rPr>
        <w:t xml:space="preserve"> </w:t>
      </w:r>
      <w:r w:rsidR="00265642" w:rsidRPr="008374B5">
        <w:rPr>
          <w:rFonts w:ascii="Times New Roman" w:eastAsiaTheme="minorEastAsia" w:hAnsi="Times New Roman" w:cs="Times New Roman"/>
          <w:sz w:val="24"/>
          <w:szCs w:val="24"/>
          <w:lang w:val="en-SG" w:eastAsia="zh-CN"/>
        </w:rPr>
        <w:t>fed</w:t>
      </w:r>
      <w:r w:rsidR="000B1D17" w:rsidRPr="008374B5">
        <w:rPr>
          <w:rFonts w:ascii="Times New Roman" w:eastAsiaTheme="minorEastAsia" w:hAnsi="Times New Roman" w:cs="Times New Roman"/>
          <w:sz w:val="24"/>
          <w:szCs w:val="24"/>
          <w:lang w:val="en-SG" w:eastAsia="zh-CN"/>
        </w:rPr>
        <w:t>-</w:t>
      </w:r>
      <w:r w:rsidR="00265642" w:rsidRPr="008374B5">
        <w:rPr>
          <w:rFonts w:ascii="Times New Roman" w:eastAsiaTheme="minorEastAsia" w:hAnsi="Times New Roman" w:cs="Times New Roman"/>
          <w:sz w:val="24"/>
          <w:szCs w:val="24"/>
          <w:lang w:val="en-SG" w:eastAsia="zh-CN"/>
        </w:rPr>
        <w:t>state physiology and dis</w:t>
      </w:r>
      <w:r w:rsidR="00E51A40" w:rsidRPr="008374B5">
        <w:rPr>
          <w:rFonts w:ascii="Times New Roman" w:eastAsiaTheme="minorEastAsia" w:hAnsi="Times New Roman" w:cs="Times New Roman"/>
          <w:sz w:val="24"/>
          <w:szCs w:val="24"/>
          <w:lang w:val="en-SG" w:eastAsia="zh-CN"/>
        </w:rPr>
        <w:t>rupt</w:t>
      </w:r>
      <w:r w:rsidR="00265642" w:rsidRPr="008374B5">
        <w:rPr>
          <w:rFonts w:ascii="Times New Roman" w:eastAsiaTheme="minorEastAsia" w:hAnsi="Times New Roman" w:cs="Times New Roman"/>
          <w:sz w:val="24"/>
          <w:szCs w:val="24"/>
          <w:lang w:val="en-SG" w:eastAsia="zh-CN"/>
        </w:rPr>
        <w:t xml:space="preserve"> normal counter</w:t>
      </w:r>
      <w:r w:rsidR="000B1D17" w:rsidRPr="008374B5">
        <w:rPr>
          <w:rFonts w:ascii="Times New Roman" w:eastAsiaTheme="minorEastAsia" w:hAnsi="Times New Roman" w:cs="Times New Roman"/>
          <w:sz w:val="24"/>
          <w:szCs w:val="24"/>
          <w:lang w:val="en-SG" w:eastAsia="zh-CN"/>
        </w:rPr>
        <w:t>-</w:t>
      </w:r>
      <w:r w:rsidR="00265642" w:rsidRPr="008374B5">
        <w:rPr>
          <w:rFonts w:ascii="Times New Roman" w:eastAsiaTheme="minorEastAsia" w:hAnsi="Times New Roman" w:cs="Times New Roman"/>
          <w:sz w:val="24"/>
          <w:szCs w:val="24"/>
          <w:lang w:val="en-SG" w:eastAsia="zh-CN"/>
        </w:rPr>
        <w:t xml:space="preserve">regulatory metabolic </w:t>
      </w:r>
      <w:r w:rsidR="00900356" w:rsidRPr="008374B5">
        <w:rPr>
          <w:rFonts w:ascii="Times New Roman" w:eastAsiaTheme="minorEastAsia" w:hAnsi="Times New Roman" w:cs="Times New Roman"/>
          <w:sz w:val="24"/>
          <w:szCs w:val="24"/>
          <w:lang w:val="en-SG" w:eastAsia="zh-CN"/>
        </w:rPr>
        <w:t>processes</w:t>
      </w:r>
      <w:r w:rsidR="00251CE9" w:rsidRPr="008374B5">
        <w:rPr>
          <w:rFonts w:ascii="Times New Roman" w:eastAsiaTheme="minorEastAsia" w:hAnsi="Times New Roman" w:cs="Times New Roman"/>
          <w:sz w:val="24"/>
          <w:szCs w:val="24"/>
          <w:lang w:val="en-SG" w:eastAsia="zh-CN"/>
        </w:rPr>
        <w:t xml:space="preserve"> that occur</w:t>
      </w:r>
      <w:r w:rsidR="00265642" w:rsidRPr="008374B5">
        <w:rPr>
          <w:rFonts w:ascii="Times New Roman" w:eastAsiaTheme="minorEastAsia" w:hAnsi="Times New Roman" w:cs="Times New Roman"/>
          <w:sz w:val="24"/>
          <w:szCs w:val="24"/>
          <w:lang w:val="en-SG" w:eastAsia="zh-CN"/>
        </w:rPr>
        <w:t xml:space="preserve"> during fasting</w:t>
      </w:r>
      <w:r w:rsidR="00DA3537" w:rsidRPr="008374B5">
        <w:rPr>
          <w:rFonts w:ascii="Times New Roman" w:eastAsiaTheme="minorEastAsia" w:hAnsi="Times New Roman" w:cs="Times New Roman"/>
          <w:sz w:val="24"/>
          <w:szCs w:val="24"/>
          <w:lang w:val="en-SG" w:eastAsia="zh-CN"/>
        </w:rPr>
        <w:fldChar w:fldCharType="begin" w:fldLock="1"/>
      </w:r>
      <w:r w:rsidR="001459A4">
        <w:rPr>
          <w:rFonts w:ascii="Times New Roman" w:eastAsiaTheme="minorEastAsia" w:hAnsi="Times New Roman" w:cs="Times New Roman"/>
          <w:sz w:val="24"/>
          <w:szCs w:val="24"/>
          <w:lang w:val="en-SG" w:eastAsia="zh-CN"/>
        </w:rPr>
        <w:instrText>ADDIN CSL_CITATION { "citationItems" : [ { "id" : "ITEM-1", "itemData" : { "DOI" : "10.1016/j.cmet.2016.06.001", "ISSN" : "15504131", "PMID" : "27304506", "author" : [ { "dropping-particle" : "", "family" : "Longo", "given" : "Valter\u00a0D.", "non-dropping-particle" : "", "parse-names" : false, "suffix" : "" }, { "dropping-particle" : "", "family" : "Panda", "given" : "Satchidananda", "non-dropping-particle" : "", "parse-names" : false, "suffix" : "" } ], "container-title" : "Cell Metabolism", "id" : "ITEM-1", "issue" : "6", "issued" : { "date-parts" : [ [ "2016" ] ] }, "page" : "1048-1059", "publisher" : "Elsevier Inc.", "title" : "Fasting, Circadian Rhythms, and Time-Restricted Feeding in Healthy Lifespan", "type" : "article-journal", "volume" : "23" }, "uris" : [ "http://www.mendeley.com/documents/?uuid=39dadfdb-22c1-4e07-ab11-b02d0e9108c1" ] } ], "mendeley" : { "formattedCitation" : "&lt;sup&gt;38&lt;/sup&gt;", "plainTextFormattedCitation" : "38", "previouslyFormattedCitation" : "&lt;sup&gt;38&lt;/sup&gt;" }, "properties" : { "noteIndex" : 0 }, "schema" : "https://github.com/citation-style-language/schema/raw/master/csl-citation.json" }</w:instrText>
      </w:r>
      <w:r w:rsidR="00DA3537" w:rsidRPr="008374B5">
        <w:rPr>
          <w:rFonts w:ascii="Times New Roman" w:eastAsiaTheme="minorEastAsia" w:hAnsi="Times New Roman" w:cs="Times New Roman"/>
          <w:sz w:val="24"/>
          <w:szCs w:val="24"/>
          <w:lang w:val="en-SG" w:eastAsia="zh-CN"/>
        </w:rPr>
        <w:fldChar w:fldCharType="separate"/>
      </w:r>
      <w:r w:rsidR="00724502" w:rsidRPr="00724502">
        <w:rPr>
          <w:rFonts w:ascii="Times New Roman" w:eastAsiaTheme="minorEastAsia" w:hAnsi="Times New Roman" w:cs="Times New Roman"/>
          <w:noProof/>
          <w:sz w:val="24"/>
          <w:szCs w:val="24"/>
          <w:vertAlign w:val="superscript"/>
          <w:lang w:val="en-SG" w:eastAsia="zh-CN"/>
        </w:rPr>
        <w:t>38</w:t>
      </w:r>
      <w:r w:rsidR="00DA3537" w:rsidRPr="008374B5">
        <w:rPr>
          <w:rFonts w:ascii="Times New Roman" w:eastAsiaTheme="minorEastAsia" w:hAnsi="Times New Roman" w:cs="Times New Roman"/>
          <w:sz w:val="24"/>
          <w:szCs w:val="24"/>
          <w:lang w:val="en-SG" w:eastAsia="zh-CN"/>
        </w:rPr>
        <w:fldChar w:fldCharType="end"/>
      </w:r>
      <w:r w:rsidR="00EF657A" w:rsidRPr="008374B5">
        <w:rPr>
          <w:rFonts w:ascii="Times New Roman" w:eastAsiaTheme="minorEastAsia" w:hAnsi="Times New Roman" w:cs="Times New Roman"/>
          <w:sz w:val="24"/>
          <w:szCs w:val="24"/>
          <w:lang w:val="en-SG" w:eastAsia="zh-CN"/>
        </w:rPr>
        <w:t>.</w:t>
      </w:r>
      <w:r w:rsidR="007361E3" w:rsidRPr="008374B5">
        <w:rPr>
          <w:rFonts w:ascii="Times New Roman" w:eastAsiaTheme="minorEastAsia" w:hAnsi="Times New Roman" w:cs="Times New Roman"/>
          <w:sz w:val="24"/>
          <w:szCs w:val="24"/>
          <w:lang w:val="en-SG" w:eastAsia="zh-CN"/>
        </w:rPr>
        <w:t xml:space="preserve"> </w:t>
      </w:r>
      <w:r w:rsidR="00D56B33" w:rsidRPr="008374B5">
        <w:rPr>
          <w:rFonts w:ascii="Times New Roman" w:eastAsiaTheme="minorEastAsia" w:hAnsi="Times New Roman" w:cs="Times New Roman"/>
          <w:sz w:val="24"/>
          <w:szCs w:val="24"/>
          <w:lang w:val="en-SG" w:eastAsia="zh-CN"/>
        </w:rPr>
        <w:t>Energy intake activates the insulin</w:t>
      </w:r>
      <w:r w:rsidR="000B1D17" w:rsidRPr="008374B5">
        <w:rPr>
          <w:rFonts w:ascii="Times New Roman" w:eastAsiaTheme="minorEastAsia" w:hAnsi="Times New Roman" w:cs="Times New Roman"/>
          <w:sz w:val="24"/>
          <w:szCs w:val="24"/>
          <w:lang w:val="en-SG" w:eastAsia="zh-CN"/>
        </w:rPr>
        <w:t>-</w:t>
      </w:r>
      <w:r w:rsidR="00D56B33" w:rsidRPr="008374B5">
        <w:rPr>
          <w:rFonts w:ascii="Times New Roman" w:eastAsiaTheme="minorEastAsia" w:hAnsi="Times New Roman" w:cs="Times New Roman"/>
          <w:sz w:val="24"/>
          <w:szCs w:val="24"/>
          <w:lang w:val="en-SG" w:eastAsia="zh-CN"/>
        </w:rPr>
        <w:t>pAKT</w:t>
      </w:r>
      <w:r w:rsidR="000B1D17" w:rsidRPr="008374B5">
        <w:rPr>
          <w:rFonts w:ascii="Times New Roman" w:eastAsiaTheme="minorEastAsia" w:hAnsi="Times New Roman" w:cs="Times New Roman"/>
          <w:sz w:val="24"/>
          <w:szCs w:val="24"/>
          <w:lang w:val="en-SG" w:eastAsia="zh-CN"/>
        </w:rPr>
        <w:t>-</w:t>
      </w:r>
      <w:r w:rsidR="00D56B33" w:rsidRPr="008374B5">
        <w:rPr>
          <w:rFonts w:ascii="Times New Roman" w:eastAsiaTheme="minorEastAsia" w:hAnsi="Times New Roman" w:cs="Times New Roman"/>
          <w:sz w:val="24"/>
          <w:szCs w:val="24"/>
          <w:lang w:val="en-SG" w:eastAsia="zh-CN"/>
        </w:rPr>
        <w:t>mTOR pathway which regulates anabolic processes</w:t>
      </w:r>
      <w:r w:rsidR="00834614" w:rsidRPr="008374B5">
        <w:rPr>
          <w:rFonts w:ascii="Times New Roman" w:eastAsiaTheme="minorEastAsia" w:hAnsi="Times New Roman" w:cs="Times New Roman"/>
          <w:sz w:val="24"/>
          <w:szCs w:val="24"/>
          <w:lang w:val="en-SG" w:eastAsia="zh-CN"/>
        </w:rPr>
        <w:t xml:space="preserve"> </w:t>
      </w:r>
      <w:r w:rsidR="00065A31" w:rsidRPr="008374B5">
        <w:rPr>
          <w:rFonts w:ascii="Times New Roman" w:eastAsiaTheme="minorEastAsia" w:hAnsi="Times New Roman" w:cs="Times New Roman"/>
          <w:sz w:val="24"/>
          <w:szCs w:val="24"/>
          <w:lang w:val="en-SG" w:eastAsia="zh-CN"/>
        </w:rPr>
        <w:t xml:space="preserve">while </w:t>
      </w:r>
      <w:r w:rsidR="00834614" w:rsidRPr="008374B5">
        <w:rPr>
          <w:rFonts w:ascii="Times New Roman" w:eastAsiaTheme="minorEastAsia" w:hAnsi="Times New Roman" w:cs="Times New Roman"/>
          <w:sz w:val="24"/>
          <w:szCs w:val="24"/>
          <w:lang w:val="en-SG" w:eastAsia="zh-CN"/>
        </w:rPr>
        <w:t>fasting activates AMPK which promotes cataboli</w:t>
      </w:r>
      <w:r w:rsidR="00184EFE" w:rsidRPr="008374B5">
        <w:rPr>
          <w:rFonts w:ascii="Times New Roman" w:eastAsiaTheme="minorEastAsia" w:hAnsi="Times New Roman" w:cs="Times New Roman"/>
          <w:sz w:val="24"/>
          <w:szCs w:val="24"/>
          <w:lang w:val="en-SG" w:eastAsia="zh-CN"/>
        </w:rPr>
        <w:t>s</w:t>
      </w:r>
      <w:r w:rsidR="008A768F" w:rsidRPr="008374B5">
        <w:rPr>
          <w:rFonts w:ascii="Times New Roman" w:eastAsiaTheme="minorEastAsia" w:hAnsi="Times New Roman" w:cs="Times New Roman"/>
          <w:sz w:val="24"/>
          <w:szCs w:val="24"/>
          <w:lang w:val="en-SG" w:eastAsia="zh-CN"/>
        </w:rPr>
        <w:t>m</w:t>
      </w:r>
      <w:r w:rsidR="000515A0" w:rsidRPr="008374B5">
        <w:rPr>
          <w:rFonts w:ascii="Times New Roman" w:eastAsiaTheme="minorEastAsia" w:hAnsi="Times New Roman" w:cs="Times New Roman"/>
          <w:sz w:val="24"/>
          <w:szCs w:val="24"/>
          <w:lang w:val="en-SG" w:eastAsia="zh-CN"/>
        </w:rPr>
        <w:fldChar w:fldCharType="begin" w:fldLock="1"/>
      </w:r>
      <w:r w:rsidR="001459A4">
        <w:rPr>
          <w:rFonts w:ascii="Times New Roman" w:eastAsiaTheme="minorEastAsia" w:hAnsi="Times New Roman" w:cs="Times New Roman"/>
          <w:sz w:val="24"/>
          <w:szCs w:val="24"/>
          <w:lang w:val="en-SG" w:eastAsia="zh-CN"/>
        </w:rPr>
        <w:instrText>ADDIN CSL_CITATION { "citationItems" : [ { "id" : "ITEM-1", "itemData" : { "DOI" : "10.1016/j.cmet.2016.06.001", "ISSN" : "15504131", "PMID" : "27304506", "author" : [ { "dropping-particle" : "", "family" : "Longo", "given" : "Valter\u00a0D.", "non-dropping-particle" : "", "parse-names" : false, "suffix" : "" }, { "dropping-particle" : "", "family" : "Panda", "given" : "Satchidananda", "non-dropping-particle" : "", "parse-names" : false, "suffix" : "" } ], "container-title" : "Cell Metabolism", "id" : "ITEM-1", "issue" : "6", "issued" : { "date-parts" : [ [ "2016" ] ] }, "page" : "1048-1059", "publisher" : "Elsevier Inc.", "title" : "Fasting, Circadian Rhythms, and Time-Restricted Feeding in Healthy Lifespan", "type" : "article-journal", "volume" : "23" }, "uris" : [ "http://www.mendeley.com/documents/?uuid=39dadfdb-22c1-4e07-ab11-b02d0e9108c1" ] } ], "mendeley" : { "formattedCitation" : "&lt;sup&gt;38&lt;/sup&gt;", "plainTextFormattedCitation" : "38", "previouslyFormattedCitation" : "&lt;sup&gt;38&lt;/sup&gt;" }, "properties" : { "noteIndex" : 0 }, "schema" : "https://github.com/citation-style-language/schema/raw/master/csl-citation.json" }</w:instrText>
      </w:r>
      <w:r w:rsidR="000515A0" w:rsidRPr="008374B5">
        <w:rPr>
          <w:rFonts w:ascii="Times New Roman" w:eastAsiaTheme="minorEastAsia" w:hAnsi="Times New Roman" w:cs="Times New Roman"/>
          <w:sz w:val="24"/>
          <w:szCs w:val="24"/>
          <w:lang w:val="en-SG" w:eastAsia="zh-CN"/>
        </w:rPr>
        <w:fldChar w:fldCharType="separate"/>
      </w:r>
      <w:r w:rsidR="00724502" w:rsidRPr="00724502">
        <w:rPr>
          <w:rFonts w:ascii="Times New Roman" w:eastAsiaTheme="minorEastAsia" w:hAnsi="Times New Roman" w:cs="Times New Roman"/>
          <w:noProof/>
          <w:sz w:val="24"/>
          <w:szCs w:val="24"/>
          <w:vertAlign w:val="superscript"/>
          <w:lang w:val="en-SG" w:eastAsia="zh-CN"/>
        </w:rPr>
        <w:t>38</w:t>
      </w:r>
      <w:r w:rsidR="000515A0" w:rsidRPr="008374B5">
        <w:rPr>
          <w:rFonts w:ascii="Times New Roman" w:eastAsiaTheme="minorEastAsia" w:hAnsi="Times New Roman" w:cs="Times New Roman"/>
          <w:sz w:val="24"/>
          <w:szCs w:val="24"/>
          <w:lang w:val="en-SG" w:eastAsia="zh-CN"/>
        </w:rPr>
        <w:fldChar w:fldCharType="end"/>
      </w:r>
      <w:r w:rsidR="00834614" w:rsidRPr="008374B5">
        <w:rPr>
          <w:rFonts w:ascii="Times New Roman" w:eastAsiaTheme="minorEastAsia" w:hAnsi="Times New Roman" w:cs="Times New Roman"/>
          <w:sz w:val="24"/>
          <w:szCs w:val="24"/>
          <w:lang w:val="en-SG" w:eastAsia="zh-CN"/>
        </w:rPr>
        <w:t xml:space="preserve">. </w:t>
      </w:r>
      <w:r w:rsidR="00981734" w:rsidRPr="008374B5">
        <w:rPr>
          <w:rFonts w:ascii="Times New Roman" w:eastAsiaTheme="minorEastAsia" w:hAnsi="Times New Roman" w:cs="Times New Roman"/>
          <w:sz w:val="24"/>
          <w:szCs w:val="24"/>
          <w:lang w:val="en-SG" w:eastAsia="zh-CN"/>
        </w:rPr>
        <w:t xml:space="preserve">The mTOR </w:t>
      </w:r>
      <w:r w:rsidR="00185164" w:rsidRPr="008374B5">
        <w:rPr>
          <w:rFonts w:ascii="Times New Roman" w:eastAsiaTheme="minorEastAsia" w:hAnsi="Times New Roman" w:cs="Times New Roman"/>
          <w:sz w:val="24"/>
          <w:szCs w:val="24"/>
          <w:lang w:val="en-SG" w:eastAsia="zh-CN"/>
        </w:rPr>
        <w:t>signaling</w:t>
      </w:r>
      <w:r w:rsidR="00981734" w:rsidRPr="008374B5">
        <w:rPr>
          <w:rFonts w:ascii="Times New Roman" w:eastAsiaTheme="minorEastAsia" w:hAnsi="Times New Roman" w:cs="Times New Roman"/>
          <w:sz w:val="24"/>
          <w:szCs w:val="24"/>
          <w:lang w:val="en-SG" w:eastAsia="zh-CN"/>
        </w:rPr>
        <w:t xml:space="preserve"> pathway is known to contribute to adipose tissue expansion and </w:t>
      </w:r>
      <w:r w:rsidR="00185164" w:rsidRPr="008374B5">
        <w:rPr>
          <w:rFonts w:ascii="Times New Roman" w:eastAsiaTheme="minorEastAsia" w:hAnsi="Times New Roman" w:cs="Times New Roman"/>
          <w:sz w:val="24"/>
          <w:szCs w:val="24"/>
          <w:lang w:val="en-SG" w:eastAsia="zh-CN"/>
        </w:rPr>
        <w:t>insulin resistance</w:t>
      </w:r>
      <w:r w:rsidR="00981734" w:rsidRPr="008374B5">
        <w:rPr>
          <w:rFonts w:ascii="Times New Roman" w:eastAsiaTheme="minorEastAsia" w:hAnsi="Times New Roman" w:cs="Times New Roman"/>
          <w:sz w:val="24"/>
          <w:szCs w:val="24"/>
          <w:lang w:val="en-SG" w:eastAsia="zh-CN"/>
        </w:rPr>
        <w:fldChar w:fldCharType="begin" w:fldLock="1"/>
      </w:r>
      <w:r w:rsidR="001459A4">
        <w:rPr>
          <w:rFonts w:ascii="Times New Roman" w:eastAsiaTheme="minorEastAsia" w:hAnsi="Times New Roman" w:cs="Times New Roman"/>
          <w:sz w:val="24"/>
          <w:szCs w:val="24"/>
          <w:lang w:val="en-SG" w:eastAsia="zh-CN"/>
        </w:rPr>
        <w:instrText>ADDIN CSL_CITATION { "citationItems" : [ { "id" : "ITEM-1", "itemData" : { "DOI" : "10.1016/j.cell.2012.03.017", "ISBN" : "1097-4172 (Electronic)\\r0092-8674 (Linking)", "ISSN" : "00928674", "PMID" : "22500797", "abstract" : "The mechanistic target of rapamycin (mTOR) signaling pathway senses and integrates a variety of environmental cues to regulate organismal growth and homeostasis. The pathway regulates many major cellular processes and is implicated in an increasing number of pathological conditions, including cancer, obesity, type 2 diabetes, and neurodegeneration. Here, we review recent advances in our understanding of the mTOR pathway and its role in health, disease, and aging. We further discuss pharmacological approaches to treat human pathologies linked to mTOR deregulation. ?? 2012 Elsevier Inc.", "author" : [ { "dropping-particle" : "", "family" : "Laplante", "given" : "Mathieu", "non-dropping-particle" : "", "parse-names" : false, "suffix" : "" }, { "dropping-particle" : "", "family" : "Sabatini", "given" : "David M.", "non-dropping-particle" : "", "parse-names" : false, "suffix" : "" } ], "container-title" : "Cell", "id" : "ITEM-1", "issue" : "2", "issued" : { "date-parts" : [ [ "2012", "4" ] ] }, "page" : "274-293", "publisher" : "Elsevier", "title" : "mTOR Signaling in Growth Control and Disease", "type" : "article-journal", "volume" : "149" }, "uris" : [ "http://www.mendeley.com/documents/?uuid=939ca67f-2a7b-4043-8f1a-e843b8cf968b" ] } ], "mendeley" : { "formattedCitation" : "&lt;sup&gt;39&lt;/sup&gt;", "plainTextFormattedCitation" : "39", "previouslyFormattedCitation" : "&lt;sup&gt;39&lt;/sup&gt;" }, "properties" : { "noteIndex" : 0 }, "schema" : "https://github.com/citation-style-language/schema/raw/master/csl-citation.json" }</w:instrText>
      </w:r>
      <w:r w:rsidR="00981734" w:rsidRPr="008374B5">
        <w:rPr>
          <w:rFonts w:ascii="Times New Roman" w:eastAsiaTheme="minorEastAsia" w:hAnsi="Times New Roman" w:cs="Times New Roman"/>
          <w:sz w:val="24"/>
          <w:szCs w:val="24"/>
          <w:lang w:val="en-SG" w:eastAsia="zh-CN"/>
        </w:rPr>
        <w:fldChar w:fldCharType="separate"/>
      </w:r>
      <w:r w:rsidR="00724502" w:rsidRPr="00724502">
        <w:rPr>
          <w:rFonts w:ascii="Times New Roman" w:eastAsiaTheme="minorEastAsia" w:hAnsi="Times New Roman" w:cs="Times New Roman"/>
          <w:noProof/>
          <w:sz w:val="24"/>
          <w:szCs w:val="24"/>
          <w:vertAlign w:val="superscript"/>
          <w:lang w:val="en-SG" w:eastAsia="zh-CN"/>
        </w:rPr>
        <w:t>39</w:t>
      </w:r>
      <w:r w:rsidR="00981734" w:rsidRPr="008374B5">
        <w:rPr>
          <w:rFonts w:ascii="Times New Roman" w:eastAsiaTheme="minorEastAsia" w:hAnsi="Times New Roman" w:cs="Times New Roman"/>
          <w:sz w:val="24"/>
          <w:szCs w:val="24"/>
          <w:lang w:val="en-SG" w:eastAsia="zh-CN"/>
        </w:rPr>
        <w:fldChar w:fldCharType="end"/>
      </w:r>
      <w:r w:rsidR="00981734" w:rsidRPr="008374B5">
        <w:rPr>
          <w:rFonts w:ascii="Times New Roman" w:eastAsiaTheme="minorEastAsia" w:hAnsi="Times New Roman" w:cs="Times New Roman"/>
          <w:sz w:val="24"/>
          <w:szCs w:val="24"/>
          <w:lang w:val="en-SG" w:eastAsia="zh-CN"/>
        </w:rPr>
        <w:t xml:space="preserve">. </w:t>
      </w:r>
      <w:r w:rsidR="008A768F" w:rsidRPr="008374B5">
        <w:rPr>
          <w:rFonts w:ascii="Times New Roman" w:eastAsiaTheme="minorEastAsia" w:hAnsi="Times New Roman" w:cs="Times New Roman"/>
          <w:sz w:val="24"/>
          <w:szCs w:val="24"/>
          <w:lang w:val="en-SG" w:eastAsia="zh-CN"/>
        </w:rPr>
        <w:t>Aligning</w:t>
      </w:r>
      <w:r w:rsidR="00F71373" w:rsidRPr="008374B5">
        <w:rPr>
          <w:rFonts w:ascii="Times New Roman" w:eastAsiaTheme="minorEastAsia" w:hAnsi="Times New Roman" w:cs="Times New Roman"/>
          <w:sz w:val="24"/>
          <w:szCs w:val="24"/>
          <w:lang w:val="en-SG" w:eastAsia="zh-CN"/>
        </w:rPr>
        <w:t xml:space="preserve"> </w:t>
      </w:r>
      <w:r w:rsidR="00C01252" w:rsidRPr="008374B5">
        <w:rPr>
          <w:rFonts w:ascii="Times New Roman" w:eastAsiaTheme="minorEastAsia" w:hAnsi="Times New Roman" w:cs="Times New Roman"/>
          <w:sz w:val="24"/>
          <w:szCs w:val="24"/>
          <w:lang w:val="en-SG" w:eastAsia="zh-CN"/>
        </w:rPr>
        <w:t xml:space="preserve">feeding/fasting </w:t>
      </w:r>
      <w:r w:rsidR="00E26C7F" w:rsidRPr="008374B5">
        <w:rPr>
          <w:rFonts w:ascii="Times New Roman" w:eastAsiaTheme="minorEastAsia" w:hAnsi="Times New Roman" w:cs="Times New Roman"/>
          <w:sz w:val="24"/>
          <w:szCs w:val="24"/>
          <w:lang w:val="en-SG" w:eastAsia="zh-CN"/>
        </w:rPr>
        <w:t>cycle</w:t>
      </w:r>
      <w:r w:rsidR="008A768F" w:rsidRPr="008374B5">
        <w:rPr>
          <w:rFonts w:ascii="Times New Roman" w:eastAsiaTheme="minorEastAsia" w:hAnsi="Times New Roman" w:cs="Times New Roman"/>
          <w:sz w:val="24"/>
          <w:szCs w:val="24"/>
          <w:lang w:val="en-SG" w:eastAsia="zh-CN"/>
        </w:rPr>
        <w:t>s</w:t>
      </w:r>
      <w:r w:rsidR="00E26C7F" w:rsidRPr="008374B5">
        <w:rPr>
          <w:rFonts w:ascii="Times New Roman" w:eastAsiaTheme="minorEastAsia" w:hAnsi="Times New Roman" w:cs="Times New Roman"/>
          <w:sz w:val="24"/>
          <w:szCs w:val="24"/>
          <w:lang w:val="en-SG" w:eastAsia="zh-CN"/>
        </w:rPr>
        <w:t xml:space="preserve"> to the circadian clock </w:t>
      </w:r>
      <w:r w:rsidR="00C01252" w:rsidRPr="008374B5">
        <w:rPr>
          <w:rFonts w:ascii="Times New Roman" w:eastAsiaTheme="minorEastAsia" w:hAnsi="Times New Roman" w:cs="Times New Roman"/>
          <w:sz w:val="24"/>
          <w:szCs w:val="24"/>
          <w:lang w:val="en-SG" w:eastAsia="zh-CN"/>
        </w:rPr>
        <w:t>allow</w:t>
      </w:r>
      <w:r w:rsidR="008A768F" w:rsidRPr="008374B5">
        <w:rPr>
          <w:rFonts w:ascii="Times New Roman" w:eastAsiaTheme="minorEastAsia" w:hAnsi="Times New Roman" w:cs="Times New Roman"/>
          <w:sz w:val="24"/>
          <w:szCs w:val="24"/>
          <w:lang w:val="en-SG" w:eastAsia="zh-CN"/>
        </w:rPr>
        <w:t>s</w:t>
      </w:r>
      <w:r w:rsidR="00C01252" w:rsidRPr="008374B5">
        <w:rPr>
          <w:rFonts w:ascii="Times New Roman" w:eastAsiaTheme="minorEastAsia" w:hAnsi="Times New Roman" w:cs="Times New Roman"/>
          <w:sz w:val="24"/>
          <w:szCs w:val="24"/>
          <w:lang w:val="en-SG" w:eastAsia="zh-CN"/>
        </w:rPr>
        <w:t xml:space="preserve"> energy regulation signaling pathways to become physiologically quiescent during the night.</w:t>
      </w:r>
      <w:r w:rsidR="00D97882" w:rsidRPr="008374B5">
        <w:rPr>
          <w:rFonts w:ascii="Times New Roman" w:hAnsi="Times New Roman" w:cs="Times New Roman"/>
          <w:sz w:val="24"/>
          <w:szCs w:val="24"/>
        </w:rPr>
        <w:t xml:space="preserve"> </w:t>
      </w:r>
      <w:r w:rsidR="00872068" w:rsidRPr="008374B5">
        <w:rPr>
          <w:rFonts w:ascii="Times New Roman" w:eastAsiaTheme="minorEastAsia" w:hAnsi="Times New Roman" w:cs="Times New Roman"/>
          <w:sz w:val="24"/>
          <w:szCs w:val="24"/>
          <w:lang w:val="en-SG" w:eastAsia="zh-CN"/>
        </w:rPr>
        <w:t>In</w:t>
      </w:r>
      <w:r w:rsidR="008A768F" w:rsidRPr="008374B5">
        <w:rPr>
          <w:rFonts w:ascii="Times New Roman" w:eastAsiaTheme="minorEastAsia" w:hAnsi="Times New Roman" w:cs="Times New Roman"/>
          <w:sz w:val="24"/>
          <w:szCs w:val="24"/>
          <w:lang w:val="en-SG" w:eastAsia="zh-CN"/>
        </w:rPr>
        <w:t>appropriate timing of energy intake</w:t>
      </w:r>
      <w:r w:rsidR="00D97882" w:rsidRPr="008374B5">
        <w:rPr>
          <w:rFonts w:ascii="Times New Roman" w:eastAsiaTheme="minorEastAsia" w:hAnsi="Times New Roman" w:cs="Times New Roman"/>
          <w:sz w:val="24"/>
          <w:szCs w:val="24"/>
          <w:lang w:val="en-SG" w:eastAsia="zh-CN"/>
        </w:rPr>
        <w:t xml:space="preserve">, for example </w:t>
      </w:r>
      <w:r w:rsidR="00FD1210" w:rsidRPr="008374B5">
        <w:rPr>
          <w:rFonts w:ascii="Times New Roman" w:eastAsiaTheme="minorEastAsia" w:hAnsi="Times New Roman" w:cs="Times New Roman"/>
          <w:sz w:val="24"/>
          <w:szCs w:val="24"/>
          <w:lang w:val="en-SG" w:eastAsia="zh-CN"/>
        </w:rPr>
        <w:t xml:space="preserve">during </w:t>
      </w:r>
      <w:r w:rsidR="00D97882" w:rsidRPr="008374B5">
        <w:rPr>
          <w:rFonts w:ascii="Times New Roman" w:eastAsiaTheme="minorEastAsia" w:hAnsi="Times New Roman" w:cs="Times New Roman"/>
          <w:sz w:val="24"/>
          <w:szCs w:val="24"/>
          <w:lang w:val="en-SG" w:eastAsia="zh-CN"/>
        </w:rPr>
        <w:t>post</w:t>
      </w:r>
      <w:r w:rsidR="000B1D17" w:rsidRPr="008374B5">
        <w:rPr>
          <w:rFonts w:ascii="Times New Roman" w:eastAsiaTheme="minorEastAsia" w:hAnsi="Times New Roman" w:cs="Times New Roman"/>
          <w:sz w:val="24"/>
          <w:szCs w:val="24"/>
          <w:lang w:val="en-SG" w:eastAsia="zh-CN"/>
        </w:rPr>
        <w:t>-</w:t>
      </w:r>
      <w:r w:rsidR="00D97882" w:rsidRPr="008374B5">
        <w:rPr>
          <w:rFonts w:ascii="Times New Roman" w:eastAsiaTheme="minorEastAsia" w:hAnsi="Times New Roman" w:cs="Times New Roman"/>
          <w:sz w:val="24"/>
          <w:szCs w:val="24"/>
          <w:lang w:val="en-SG" w:eastAsia="zh-CN"/>
        </w:rPr>
        <w:t>midnight, prevents this from occurring.</w:t>
      </w:r>
      <w:r w:rsidR="00B42517" w:rsidRPr="008374B5">
        <w:rPr>
          <w:rFonts w:ascii="Times New Roman" w:eastAsiaTheme="minorEastAsia" w:hAnsi="Times New Roman" w:cs="Times New Roman"/>
          <w:sz w:val="24"/>
          <w:szCs w:val="24"/>
          <w:lang w:val="en-SG" w:eastAsia="zh-CN"/>
        </w:rPr>
        <w:t xml:space="preserve"> </w:t>
      </w:r>
      <w:r w:rsidR="00267A0B" w:rsidRPr="008374B5">
        <w:rPr>
          <w:rFonts w:ascii="Times New Roman" w:eastAsiaTheme="minorEastAsia" w:hAnsi="Times New Roman" w:cs="Times New Roman"/>
          <w:sz w:val="24"/>
          <w:szCs w:val="24"/>
          <w:lang w:val="en-SG" w:eastAsia="zh-CN"/>
        </w:rPr>
        <w:t xml:space="preserve">Both </w:t>
      </w:r>
      <w:r w:rsidR="008A768F" w:rsidRPr="008374B5">
        <w:rPr>
          <w:rFonts w:ascii="Times New Roman" w:eastAsiaTheme="minorEastAsia" w:hAnsi="Times New Roman" w:cs="Times New Roman"/>
          <w:sz w:val="24"/>
          <w:szCs w:val="24"/>
          <w:lang w:val="en-SG" w:eastAsia="zh-CN"/>
        </w:rPr>
        <w:t xml:space="preserve">animal and </w:t>
      </w:r>
      <w:r w:rsidR="00267A0B" w:rsidRPr="008374B5">
        <w:rPr>
          <w:rFonts w:ascii="Times New Roman" w:eastAsiaTheme="minorEastAsia" w:hAnsi="Times New Roman" w:cs="Times New Roman"/>
          <w:sz w:val="24"/>
          <w:szCs w:val="24"/>
          <w:lang w:val="en-SG" w:eastAsia="zh-CN"/>
        </w:rPr>
        <w:t xml:space="preserve">human studies have demonstrated the consequences of circadian misalignment. </w:t>
      </w:r>
      <w:r w:rsidR="008A768F" w:rsidRPr="008374B5">
        <w:rPr>
          <w:rFonts w:ascii="Times New Roman" w:eastAsiaTheme="minorEastAsia" w:hAnsi="Times New Roman" w:cs="Times New Roman"/>
          <w:sz w:val="24"/>
          <w:szCs w:val="24"/>
          <w:lang w:val="en-SG" w:eastAsia="zh-CN"/>
        </w:rPr>
        <w:t xml:space="preserve">Mice fed inappropriately during the light phase exhibited significantly higher body mass and reduced glucose </w:t>
      </w:r>
      <w:r w:rsidR="008A768F" w:rsidRPr="008374B5">
        <w:rPr>
          <w:rFonts w:ascii="Times New Roman" w:eastAsiaTheme="minorEastAsia" w:hAnsi="Times New Roman" w:cs="Times New Roman"/>
          <w:sz w:val="24"/>
          <w:szCs w:val="24"/>
          <w:lang w:val="en-SG" w:eastAsia="zh-CN"/>
        </w:rPr>
        <w:lastRenderedPageBreak/>
        <w:t>tolerance compared those fed during the dark phase, despite similar total energy intakes and motor activity</w:t>
      </w:r>
      <w:r w:rsidR="008A768F" w:rsidRPr="008374B5">
        <w:rPr>
          <w:rFonts w:ascii="Times New Roman" w:eastAsiaTheme="minorEastAsia" w:hAnsi="Times New Roman" w:cs="Times New Roman"/>
          <w:sz w:val="24"/>
          <w:szCs w:val="24"/>
          <w:lang w:val="en-SG" w:eastAsia="zh-CN"/>
        </w:rPr>
        <w:fldChar w:fldCharType="begin" w:fldLock="1"/>
      </w:r>
      <w:r w:rsidR="001459A4">
        <w:rPr>
          <w:rFonts w:ascii="Times New Roman" w:eastAsiaTheme="minorEastAsia" w:hAnsi="Times New Roman" w:cs="Times New Roman"/>
          <w:sz w:val="24"/>
          <w:szCs w:val="24"/>
          <w:lang w:val="en-SG" w:eastAsia="zh-CN"/>
        </w:rPr>
        <w:instrText>ADDIN CSL_CITATION { "citationItems" : [ { "id" : "ITEM-1", "itemData" : { "DOI" : "10.1073/pnas.1008734107", "ISSN" : "0027-8424", "author" : [ { "dropping-particle" : "", "family" : "Fonken", "given" : "L. K.", "non-dropping-particle" : "", "parse-names" : false, "suffix" : "" }, { "dropping-particle" : "", "family" : "Workman", "given" : "J. L.", "non-dropping-particle" : "", "parse-names" : false, "suffix" : "" }, { "dropping-particle" : "", "family" : "Walton", "given" : "J. C.", "non-dropping-particle" : "", "parse-names" : false, "suffix" : "" }, { "dropping-particle" : "", "family" : "Weil", "given" : "Z. M.", "non-dropping-particle" : "", "parse-names" : false, "suffix" : "" }, { "dropping-particle" : "", "family" : "Morris", "given" : "J. S.", "non-dropping-particle" : "", "parse-names" : false, "suffix" : "" }, { "dropping-particle" : "", "family" : "Haim", "given" : "A.", "non-dropping-particle" : "", "parse-names" : false, "suffix" : "" }, { "dropping-particle" : "", "family" : "Nelson", "given" : "R. J.", "non-dropping-particle" : "", "parse-names" : false, "suffix" : "" } ], "container-title" : "Proceedings of the National Academy of Sciences", "id" : "ITEM-1", "issue" : "43", "issued" : { "date-parts" : [ [ "2010" ] ] }, "page" : "18664-18669", "title" : "Light at night increases body mass by shifting the time of food intake", "type" : "article-journal", "volume" : "107" }, "uris" : [ "http://www.mendeley.com/documents/?uuid=365fa936-6eb1-40d6-a389-aca0dbecedb8" ] }, { "id" : "ITEM-2", "itemData" : { "DOI" : "10.1038/oby.2009.264", "ISBN" : "8474912865", "ISSN" : "1930-7381", "author" : [ { "dropping-particle" : "", "family" : "Arble", "given" : "Deanna M.", "non-dropping-particle" : "", "parse-names" : false, "suffix" : "" }, { "dropping-particle" : "", "family" : "Bass", "given" : "Joseph", "non-dropping-particle" : "", "parse-names" : false, "suffix" : "" }, { "dropping-particle" : "", "family" : "Laposky", "given" : "Aaron D.", "non-dropping-particle" : "", "parse-names" : false, "suffix" : "" }, { "dropping-particle" : "", "family" : "Vitaterna", "given" : "Martha H.", "non-dropping-particle" : "", "parse-names" : false, "suffix" : "" }, { "dropping-particle" : "", "family" : "Turek", "given" : "Fred W.", "non-dropping-particle" : "", "parse-names" : false, "suffix" : "" } ], "container-title" : "Obesity", "id" : "ITEM-2", "issue" : "11", "issued" : { "date-parts" : [ [ "2009", "11", "3" ] ] }, "page" : "2100-2102", "title" : "Circadian Timing of Food Intake Contributes to Weight Gain", "type" : "article-journal", "volume" : "17" }, "uris" : [ "http://www.mendeley.com/documents/?uuid=909107c5-89f3-4fce-8ea4-3c24ac29682d" ] } ], "mendeley" : { "formattedCitation" : "&lt;sup&gt;16,17&lt;/sup&gt;", "plainTextFormattedCitation" : "16,17", "previouslyFormattedCitation" : "&lt;sup&gt;16,17&lt;/sup&gt;" }, "properties" : { "noteIndex" : 0 }, "schema" : "https://github.com/citation-style-language/schema/raw/master/csl-citation.json" }</w:instrText>
      </w:r>
      <w:r w:rsidR="008A768F" w:rsidRPr="008374B5">
        <w:rPr>
          <w:rFonts w:ascii="Times New Roman" w:eastAsiaTheme="minorEastAsia" w:hAnsi="Times New Roman" w:cs="Times New Roman"/>
          <w:sz w:val="24"/>
          <w:szCs w:val="24"/>
          <w:lang w:val="en-SG" w:eastAsia="zh-CN"/>
        </w:rPr>
        <w:fldChar w:fldCharType="separate"/>
      </w:r>
      <w:r w:rsidR="00724502" w:rsidRPr="00724502">
        <w:rPr>
          <w:rFonts w:ascii="Times New Roman" w:eastAsiaTheme="minorEastAsia" w:hAnsi="Times New Roman" w:cs="Times New Roman"/>
          <w:noProof/>
          <w:sz w:val="24"/>
          <w:szCs w:val="24"/>
          <w:vertAlign w:val="superscript"/>
          <w:lang w:val="en-SG" w:eastAsia="zh-CN"/>
        </w:rPr>
        <w:t>16,17</w:t>
      </w:r>
      <w:r w:rsidR="008A768F" w:rsidRPr="008374B5">
        <w:rPr>
          <w:rFonts w:ascii="Times New Roman" w:eastAsiaTheme="minorEastAsia" w:hAnsi="Times New Roman" w:cs="Times New Roman"/>
          <w:sz w:val="24"/>
          <w:szCs w:val="24"/>
          <w:lang w:val="en-SG" w:eastAsia="zh-CN"/>
        </w:rPr>
        <w:fldChar w:fldCharType="end"/>
      </w:r>
      <w:r w:rsidR="008A768F" w:rsidRPr="008374B5">
        <w:rPr>
          <w:rFonts w:ascii="Times New Roman" w:eastAsiaTheme="minorEastAsia" w:hAnsi="Times New Roman" w:cs="Times New Roman"/>
          <w:sz w:val="24"/>
          <w:szCs w:val="24"/>
          <w:lang w:val="en-SG" w:eastAsia="zh-CN"/>
        </w:rPr>
        <w:t>.</w:t>
      </w:r>
      <w:r w:rsidR="00626A4D" w:rsidRPr="008374B5">
        <w:rPr>
          <w:rFonts w:ascii="Times New Roman" w:eastAsiaTheme="minorEastAsia" w:hAnsi="Times New Roman" w:cs="Times New Roman"/>
          <w:sz w:val="24"/>
          <w:szCs w:val="24"/>
          <w:lang w:val="en-SG" w:eastAsia="zh-CN"/>
        </w:rPr>
        <w:t xml:space="preserve"> </w:t>
      </w:r>
      <w:r w:rsidR="006C6BC7" w:rsidRPr="008374B5">
        <w:rPr>
          <w:rFonts w:ascii="Times New Roman" w:eastAsiaTheme="minorEastAsia" w:hAnsi="Times New Roman" w:cs="Times New Roman"/>
          <w:sz w:val="24"/>
          <w:szCs w:val="24"/>
          <w:lang w:val="en-SG" w:eastAsia="zh-CN"/>
        </w:rPr>
        <w:t xml:space="preserve">Adults who consumed </w:t>
      </w:r>
      <w:r w:rsidR="00D72CD3" w:rsidRPr="008374B5">
        <w:rPr>
          <w:rFonts w:ascii="Times New Roman" w:eastAsiaTheme="minorEastAsia" w:hAnsi="Times New Roman" w:cs="Times New Roman"/>
          <w:sz w:val="24"/>
          <w:szCs w:val="24"/>
          <w:lang w:val="en-SG" w:eastAsia="zh-CN"/>
        </w:rPr>
        <w:t>higher</w:t>
      </w:r>
      <w:r w:rsidR="006C6BC7" w:rsidRPr="008374B5">
        <w:rPr>
          <w:rFonts w:ascii="Times New Roman" w:eastAsiaTheme="minorEastAsia" w:hAnsi="Times New Roman" w:cs="Times New Roman"/>
          <w:sz w:val="24"/>
          <w:szCs w:val="24"/>
          <w:lang w:val="en-SG" w:eastAsia="zh-CN"/>
        </w:rPr>
        <w:t xml:space="preserve"> energy intake in the evening were more likely to be overweight or obese</w:t>
      </w:r>
      <w:r w:rsidR="006C6BC7" w:rsidRPr="008374B5">
        <w:rPr>
          <w:rFonts w:ascii="Times New Roman" w:eastAsiaTheme="minorEastAsia" w:hAnsi="Times New Roman" w:cs="Times New Roman"/>
          <w:sz w:val="24"/>
          <w:szCs w:val="24"/>
          <w:lang w:val="en-SG" w:eastAsia="zh-CN"/>
        </w:rPr>
        <w:fldChar w:fldCharType="begin" w:fldLock="1"/>
      </w:r>
      <w:r w:rsidR="001459A4">
        <w:rPr>
          <w:rFonts w:ascii="Times New Roman" w:eastAsiaTheme="minorEastAsia" w:hAnsi="Times New Roman" w:cs="Times New Roman"/>
          <w:sz w:val="24"/>
          <w:szCs w:val="24"/>
          <w:lang w:val="en-SG" w:eastAsia="zh-CN"/>
        </w:rPr>
        <w:instrText>ADDIN CSL_CITATION { "citationItems" : [ { "id" : "ITEM-1", "itemData" : { "DOI" : "10.1111/jhn.12141", "ISBN" : "0952-3871", "ISSN" : "09523871", "PMID" : "23808897", "abstract" : "BACKGROUND: The timing of energy intake is a modifiable behaviour that may influence energy regulation and the risk of obesity. We examined the associations of energy intake in the morning, midday and evening with body mass index (BMI) (n = 239).\\n\\nMETHODS: Cross-sectional analyses were performed using data from the University of California, Los Angeles Energetics Study. Energy intake was assessed using three 24-h dietary recalls and stratified by time-of-day: morning (00.00 h to 11.00 h), midday (11.00 h to 17.00 h) and evening (17.00 h to 00.00 h). Sensitivity analysis was conducted among 'true-reporters', whose self-reported energy intake was \u00b125% of total energy expenditure measured by doubly-labelled water (n = 99). Logistic regression models were performed adjusting for age, sex, race, education, total daily energy intake and physical activity.\\n\\nRESULTS: Energy intake in the morning was not associated with BMI. Participants who consumed \u226533% (versus &lt;33%) of their daily energy intake at 12.00 h were (nonsignificantly) less likely to be overweight/obese [odds ratio (OR) = 0.68; 95% confidence interval (CI) = 0.37-1.24] and this association was stronger and statistically significant among true-reporters (OR = 0.34; 95% CI = 0.12-0.95). Those who consumed \u226533% of daily energy intake in the evening were two-fold more likely overweight/obese (OR = 2.00; 95% CI = 1.03-3.89), although this association was not significant among true-reporters (OR = 2.10; 95% CI = 0.60-7.29).\\n\\nCONCLUSIONS: These data indicate that eating more of the day's total energy intake at midday is associated with a lower risk of being overweight/obese, whereas consuming more in the evening is associated with a higher risk. Randomised trials are needed to test whether shifting energy intake earlier in the day could have a regulatory effect with respect to reducing intake in the evening, thereby promoting weight loss and maintenance.", "author" : [ { "dropping-particle" : "", "family" : "Wang", "given" : "J B", "non-dropping-particle" : "", "parse-names" : false, "suffix" : "" }, { "dropping-particle" : "", "family" : "Patterson", "given" : "R E", "non-dropping-particle" : "", "parse-names" : false, "suffix" : "" }, { "dropping-particle" : "", "family" : "Ang", "given" : "A", "non-dropping-particle" : "", "parse-names" : false, "suffix" : "" }, { "dropping-particle" : "", "family" : "Emond", "given" : "J a", "non-dropping-particle" : "", "parse-names" : false, "suffix" : "" }, { "dropping-particle" : "", "family" : "Shetty", "given" : "N", "non-dropping-particle" : "", "parse-names" : false, "suffix" : "" }, { "dropping-particle" : "", "family" : "Arab", "given" : "L", "non-dropping-particle" : "", "parse-names" : false, "suffix" : "" } ], "container-title" : "Journal of Human Nutrition and Dietetics", "id" : "ITEM-1", "issued" : { "date-parts" : [ [ "2014", "4" ] ] }, "page" : "255-262", "title" : "Timing of energy intake during the day is associated with the risk of obesity in adults", "type" : "article-journal", "volume" : "27" }, "uris" : [ "http://www.mendeley.com/documents/?uuid=0b1ba080-0bb0-4fcf-9662-5f6c4d828523" ] } ], "mendeley" : { "formattedCitation" : "&lt;sup&gt;40&lt;/sup&gt;", "plainTextFormattedCitation" : "40", "previouslyFormattedCitation" : "&lt;sup&gt;40&lt;/sup&gt;" }, "properties" : { "noteIndex" : 0 }, "schema" : "https://github.com/citation-style-language/schema/raw/master/csl-citation.json" }</w:instrText>
      </w:r>
      <w:r w:rsidR="006C6BC7" w:rsidRPr="008374B5">
        <w:rPr>
          <w:rFonts w:ascii="Times New Roman" w:eastAsiaTheme="minorEastAsia" w:hAnsi="Times New Roman" w:cs="Times New Roman"/>
          <w:sz w:val="24"/>
          <w:szCs w:val="24"/>
          <w:lang w:val="en-SG" w:eastAsia="zh-CN"/>
        </w:rPr>
        <w:fldChar w:fldCharType="separate"/>
      </w:r>
      <w:r w:rsidR="00724502" w:rsidRPr="00724502">
        <w:rPr>
          <w:rFonts w:ascii="Times New Roman" w:eastAsiaTheme="minorEastAsia" w:hAnsi="Times New Roman" w:cs="Times New Roman"/>
          <w:noProof/>
          <w:sz w:val="24"/>
          <w:szCs w:val="24"/>
          <w:vertAlign w:val="superscript"/>
          <w:lang w:val="en-SG" w:eastAsia="zh-CN"/>
        </w:rPr>
        <w:t>40</w:t>
      </w:r>
      <w:r w:rsidR="006C6BC7" w:rsidRPr="008374B5">
        <w:rPr>
          <w:rFonts w:ascii="Times New Roman" w:eastAsiaTheme="minorEastAsia" w:hAnsi="Times New Roman" w:cs="Times New Roman"/>
          <w:sz w:val="24"/>
          <w:szCs w:val="24"/>
          <w:lang w:val="en-SG" w:eastAsia="zh-CN"/>
        </w:rPr>
        <w:fldChar w:fldCharType="end"/>
      </w:r>
      <w:r w:rsidR="006C6BC7" w:rsidRPr="008374B5">
        <w:rPr>
          <w:rFonts w:ascii="Times New Roman" w:eastAsiaTheme="minorEastAsia" w:hAnsi="Times New Roman" w:cs="Times New Roman"/>
          <w:sz w:val="24"/>
          <w:szCs w:val="24"/>
          <w:lang w:val="en-SG" w:eastAsia="zh-CN"/>
        </w:rPr>
        <w:t xml:space="preserve">, while participants </w:t>
      </w:r>
      <w:r w:rsidR="005C2CBC" w:rsidRPr="008374B5">
        <w:rPr>
          <w:rFonts w:ascii="Times New Roman" w:eastAsiaTheme="minorEastAsia" w:hAnsi="Times New Roman" w:cs="Times New Roman"/>
          <w:sz w:val="24"/>
          <w:szCs w:val="24"/>
          <w:lang w:val="en-SG" w:eastAsia="zh-CN"/>
        </w:rPr>
        <w:t xml:space="preserve">from </w:t>
      </w:r>
      <w:r w:rsidR="00626A4D" w:rsidRPr="008374B5">
        <w:rPr>
          <w:rFonts w:ascii="Times New Roman" w:eastAsiaTheme="minorEastAsia" w:hAnsi="Times New Roman" w:cs="Times New Roman"/>
          <w:sz w:val="24"/>
          <w:szCs w:val="24"/>
          <w:lang w:val="en-SG" w:eastAsia="zh-CN"/>
        </w:rPr>
        <w:t>a weight loss</w:t>
      </w:r>
      <w:r w:rsidR="005C2CBC" w:rsidRPr="008374B5">
        <w:rPr>
          <w:rFonts w:ascii="Times New Roman" w:eastAsiaTheme="minorEastAsia" w:hAnsi="Times New Roman" w:cs="Times New Roman"/>
          <w:sz w:val="24"/>
          <w:szCs w:val="24"/>
          <w:lang w:val="en-SG" w:eastAsia="zh-CN"/>
        </w:rPr>
        <w:t xml:space="preserve"> study provided</w:t>
      </w:r>
      <w:r w:rsidR="00626A4D" w:rsidRPr="008374B5">
        <w:rPr>
          <w:rFonts w:ascii="Times New Roman" w:eastAsiaTheme="minorEastAsia" w:hAnsi="Times New Roman" w:cs="Times New Roman"/>
          <w:sz w:val="24"/>
          <w:szCs w:val="24"/>
          <w:lang w:val="en-SG" w:eastAsia="zh-CN"/>
        </w:rPr>
        <w:t xml:space="preserve"> with high</w:t>
      </w:r>
      <w:r w:rsidR="000B1D17" w:rsidRPr="008374B5">
        <w:rPr>
          <w:rFonts w:ascii="Times New Roman" w:eastAsiaTheme="minorEastAsia" w:hAnsi="Times New Roman" w:cs="Times New Roman"/>
          <w:sz w:val="24"/>
          <w:szCs w:val="24"/>
          <w:lang w:val="en-SG" w:eastAsia="zh-CN"/>
        </w:rPr>
        <w:t>-</w:t>
      </w:r>
      <w:r w:rsidR="00626A4D" w:rsidRPr="008374B5">
        <w:rPr>
          <w:rFonts w:ascii="Times New Roman" w:eastAsiaTheme="minorEastAsia" w:hAnsi="Times New Roman" w:cs="Times New Roman"/>
          <w:sz w:val="24"/>
          <w:szCs w:val="24"/>
          <w:lang w:val="en-SG" w:eastAsia="zh-CN"/>
        </w:rPr>
        <w:t xml:space="preserve">calorie breakfast experienced greater weight loss and waist circumference reduction than </w:t>
      </w:r>
      <w:r w:rsidR="002F0E3B" w:rsidRPr="008374B5">
        <w:rPr>
          <w:rFonts w:ascii="Times New Roman" w:eastAsiaTheme="minorEastAsia" w:hAnsi="Times New Roman" w:cs="Times New Roman"/>
          <w:sz w:val="24"/>
          <w:szCs w:val="24"/>
          <w:lang w:val="en-SG" w:eastAsia="zh-CN"/>
        </w:rPr>
        <w:t>those on</w:t>
      </w:r>
      <w:r w:rsidR="00626A4D" w:rsidRPr="008374B5">
        <w:rPr>
          <w:rFonts w:ascii="Times New Roman" w:eastAsiaTheme="minorEastAsia" w:hAnsi="Times New Roman" w:cs="Times New Roman"/>
          <w:sz w:val="24"/>
          <w:szCs w:val="24"/>
          <w:lang w:val="en-SG" w:eastAsia="zh-CN"/>
        </w:rPr>
        <w:t xml:space="preserve"> an isocaloric diet wit</w:t>
      </w:r>
      <w:r w:rsidR="002F0E3B" w:rsidRPr="008374B5">
        <w:rPr>
          <w:rFonts w:ascii="Times New Roman" w:eastAsiaTheme="minorEastAsia" w:hAnsi="Times New Roman" w:cs="Times New Roman"/>
          <w:sz w:val="24"/>
          <w:szCs w:val="24"/>
          <w:lang w:val="en-SG" w:eastAsia="zh-CN"/>
        </w:rPr>
        <w:t>h high caloric intake at dinner</w:t>
      </w:r>
      <w:r w:rsidR="00EF657A" w:rsidRPr="008374B5">
        <w:rPr>
          <w:rFonts w:ascii="Times New Roman" w:eastAsiaTheme="minorEastAsia" w:hAnsi="Times New Roman" w:cs="Times New Roman"/>
          <w:sz w:val="24"/>
          <w:szCs w:val="24"/>
          <w:lang w:val="en-SG" w:eastAsia="zh-CN"/>
        </w:rPr>
        <w:fldChar w:fldCharType="begin" w:fldLock="1"/>
      </w:r>
      <w:r w:rsidR="001459A4">
        <w:rPr>
          <w:rFonts w:ascii="Times New Roman" w:eastAsiaTheme="minorEastAsia" w:hAnsi="Times New Roman" w:cs="Times New Roman"/>
          <w:sz w:val="24"/>
          <w:szCs w:val="24"/>
          <w:lang w:val="en-SG" w:eastAsia="zh-CN"/>
        </w:rPr>
        <w:instrText>ADDIN CSL_CITATION { "citationItems" : [ { "id" : "ITEM-1", "itemData" : { "DOI" : "10.1002/oby.20460", "ISBN" : "1930-739X (Electronic)\\r1930-7381 (Linking)", "ISSN" : "19307381", "PMID" : "23512957", "abstract" : "OBJECTIVE: Few studies examined the association between time-of-day of nutrient intake and the metabolic syndrome. Our goal was to compare a weight loss diet with high caloric intake during breakfast to an isocaloric diet with high caloric intake at dinner.\\n\\nDESIGN AND METHODS: Overweight and obese women (BMI 32.4 \u00b1 1.8 kg/m(2) ) with metabolic syndrome were randomized into two isocaloric (~1400 kcal) weight loss groups, a breakfast (BF) (700 kcal breakfast, 500 kcal lunch, 200 kcal dinner) or a dinner (D) group (200 kcal breakfast, 500 kcal lunch, 700 kcal dinner) for 12 weeks.\\n\\nRESULTS: The BF group showed greater weight loss and waist circumference reduction. Although fasting glucose, insulin, and ghrelin were reduced in both groups, fasting glucose, insulin, and HOMA-IR decreased significantly to a greater extent in the BF group. Mean triglyceride levels decreased by 33.6% in the BF group, but increased by 14.6% in the D group. Oral glucose tolerance test led to a greater decrease of glucose and insulin in the BF group. In response to meal challenges, the overall daily glucose, insulin, ghrelin, and mean hunger scores were significantly lower, whereas mean satiety scores were significantly higher in the BF group.\\n\\nCONCLUSIONS: High-calorie breakfast with reduced intake at dinner is beneficial and might be a useful alternative for the management of obesity and metabolic syndrome.", "author" : [ { "dropping-particle" : "", "family" : "Jakubowicz", "given" : "Daniela", "non-dropping-particle" : "", "parse-names" : false, "suffix" : "" }, { "dropping-particle" : "", "family" : "Barnea", "given" : "Maayan", "non-dropping-particle" : "", "parse-names" : false, "suffix" : "" }, { "dropping-particle" : "", "family" : "Wainstein", "given" : "Julio", "non-dropping-particle" : "", "parse-names" : false, "suffix" : "" }, { "dropping-particle" : "", "family" : "Froy", "given" : "Oren", "non-dropping-particle" : "", "parse-names" : false, "suffix" : "" } ], "container-title" : "Obesity", "id" : "ITEM-1", "issue" : "12", "issued" : { "date-parts" : [ [ "2013" ] ] }, "page" : "2504-2512", "title" : "High caloric intake at breakfast vs. dinner differentially influences weight loss of overweight and obese women", "type" : "article-journal", "volume" : "21" }, "uris" : [ "http://www.mendeley.com/documents/?uuid=0f2b0aaf-0ea2-4ff6-9525-899070b996fd" ] } ], "mendeley" : { "formattedCitation" : "&lt;sup&gt;41&lt;/sup&gt;", "plainTextFormattedCitation" : "41", "previouslyFormattedCitation" : "&lt;sup&gt;41&lt;/sup&gt;" }, "properties" : { "noteIndex" : 0 }, "schema" : "https://github.com/citation-style-language/schema/raw/master/csl-citation.json" }</w:instrText>
      </w:r>
      <w:r w:rsidR="00EF657A" w:rsidRPr="008374B5">
        <w:rPr>
          <w:rFonts w:ascii="Times New Roman" w:eastAsiaTheme="minorEastAsia" w:hAnsi="Times New Roman" w:cs="Times New Roman"/>
          <w:sz w:val="24"/>
          <w:szCs w:val="24"/>
          <w:lang w:val="en-SG" w:eastAsia="zh-CN"/>
        </w:rPr>
        <w:fldChar w:fldCharType="separate"/>
      </w:r>
      <w:r w:rsidR="00724502" w:rsidRPr="00724502">
        <w:rPr>
          <w:rFonts w:ascii="Times New Roman" w:eastAsiaTheme="minorEastAsia" w:hAnsi="Times New Roman" w:cs="Times New Roman"/>
          <w:noProof/>
          <w:sz w:val="24"/>
          <w:szCs w:val="24"/>
          <w:vertAlign w:val="superscript"/>
          <w:lang w:val="en-SG" w:eastAsia="zh-CN"/>
        </w:rPr>
        <w:t>41</w:t>
      </w:r>
      <w:r w:rsidR="00EF657A" w:rsidRPr="008374B5">
        <w:rPr>
          <w:rFonts w:ascii="Times New Roman" w:eastAsiaTheme="minorEastAsia" w:hAnsi="Times New Roman" w:cs="Times New Roman"/>
          <w:sz w:val="24"/>
          <w:szCs w:val="24"/>
          <w:lang w:val="en-SG" w:eastAsia="zh-CN"/>
        </w:rPr>
        <w:fldChar w:fldCharType="end"/>
      </w:r>
      <w:r w:rsidR="002F0E3B" w:rsidRPr="008374B5">
        <w:rPr>
          <w:rFonts w:ascii="Times New Roman" w:eastAsiaTheme="minorEastAsia" w:hAnsi="Times New Roman" w:cs="Times New Roman"/>
          <w:sz w:val="24"/>
          <w:szCs w:val="24"/>
          <w:lang w:val="en-SG" w:eastAsia="zh-CN"/>
        </w:rPr>
        <w:t>.</w:t>
      </w:r>
    </w:p>
    <w:p w14:paraId="6214E4B6" w14:textId="7A169DE4" w:rsidR="0049152C" w:rsidRPr="008374B5" w:rsidRDefault="003F6C05" w:rsidP="008374B5">
      <w:pPr>
        <w:suppressAutoHyphens/>
        <w:spacing w:after="0" w:line="360" w:lineRule="auto"/>
        <w:ind w:firstLine="720"/>
        <w:jc w:val="both"/>
        <w:rPr>
          <w:rFonts w:ascii="Times New Roman" w:eastAsiaTheme="minorEastAsia" w:hAnsi="Times New Roman" w:cs="Times New Roman"/>
          <w:sz w:val="24"/>
          <w:szCs w:val="24"/>
          <w:lang w:val="en-SG" w:eastAsia="zh-CN"/>
        </w:rPr>
      </w:pPr>
      <w:r w:rsidRPr="008374B5">
        <w:rPr>
          <w:rFonts w:ascii="Times New Roman" w:eastAsiaTheme="minorEastAsia" w:hAnsi="Times New Roman" w:cs="Times New Roman"/>
          <w:sz w:val="24"/>
          <w:szCs w:val="24"/>
          <w:lang w:val="en-SG" w:eastAsia="zh-CN"/>
        </w:rPr>
        <w:t xml:space="preserve">Second, </w:t>
      </w:r>
      <w:r w:rsidR="0079431C" w:rsidRPr="008374B5">
        <w:rPr>
          <w:rFonts w:ascii="Times New Roman" w:eastAsiaTheme="minorEastAsia" w:hAnsi="Times New Roman" w:cs="Times New Roman"/>
          <w:sz w:val="24"/>
          <w:szCs w:val="24"/>
          <w:lang w:val="en-SG" w:eastAsia="zh-CN"/>
        </w:rPr>
        <w:t>post</w:t>
      </w:r>
      <w:r w:rsidR="000B1D17" w:rsidRPr="008374B5">
        <w:rPr>
          <w:rFonts w:ascii="Times New Roman" w:eastAsiaTheme="minorEastAsia" w:hAnsi="Times New Roman" w:cs="Times New Roman"/>
          <w:sz w:val="24"/>
          <w:szCs w:val="24"/>
          <w:lang w:val="en-SG" w:eastAsia="zh-CN"/>
        </w:rPr>
        <w:t>-</w:t>
      </w:r>
      <w:r w:rsidR="0079431C" w:rsidRPr="008374B5">
        <w:rPr>
          <w:rFonts w:ascii="Times New Roman" w:eastAsiaTheme="minorEastAsia" w:hAnsi="Times New Roman" w:cs="Times New Roman"/>
          <w:sz w:val="24"/>
          <w:szCs w:val="24"/>
          <w:lang w:val="en-SG" w:eastAsia="zh-CN"/>
        </w:rPr>
        <w:t>midnight feeders</w:t>
      </w:r>
      <w:r w:rsidR="000A0394" w:rsidRPr="008374B5">
        <w:rPr>
          <w:rFonts w:ascii="Times New Roman" w:eastAsiaTheme="minorEastAsia" w:hAnsi="Times New Roman" w:cs="Times New Roman"/>
          <w:sz w:val="24"/>
          <w:szCs w:val="24"/>
          <w:lang w:val="en-SG" w:eastAsia="zh-CN"/>
        </w:rPr>
        <w:t xml:space="preserve"> consumed </w:t>
      </w:r>
      <w:r w:rsidR="00D72CD3" w:rsidRPr="008374B5">
        <w:rPr>
          <w:rFonts w:ascii="Times New Roman" w:eastAsiaTheme="minorEastAsia" w:hAnsi="Times New Roman" w:cs="Times New Roman"/>
          <w:sz w:val="24"/>
          <w:szCs w:val="24"/>
          <w:lang w:val="en-SG" w:eastAsia="zh-CN"/>
        </w:rPr>
        <w:t>higher</w:t>
      </w:r>
      <w:r w:rsidR="00E64CAE" w:rsidRPr="008374B5">
        <w:rPr>
          <w:rFonts w:ascii="Times New Roman" w:eastAsiaTheme="minorEastAsia" w:hAnsi="Times New Roman" w:cs="Times New Roman"/>
          <w:sz w:val="24"/>
          <w:szCs w:val="24"/>
          <w:lang w:val="en-SG" w:eastAsia="zh-CN"/>
        </w:rPr>
        <w:t xml:space="preserve"> daily</w:t>
      </w:r>
      <w:r w:rsidR="000A0394" w:rsidRPr="008374B5">
        <w:rPr>
          <w:rFonts w:ascii="Times New Roman" w:eastAsiaTheme="minorEastAsia" w:hAnsi="Times New Roman" w:cs="Times New Roman"/>
          <w:sz w:val="24"/>
          <w:szCs w:val="24"/>
          <w:lang w:val="en-SG" w:eastAsia="zh-CN"/>
        </w:rPr>
        <w:t xml:space="preserve"> energy and macronutrient i</w:t>
      </w:r>
      <w:r w:rsidR="0079431C" w:rsidRPr="008374B5">
        <w:rPr>
          <w:rFonts w:ascii="Times New Roman" w:eastAsiaTheme="minorEastAsia" w:hAnsi="Times New Roman" w:cs="Times New Roman"/>
          <w:sz w:val="24"/>
          <w:szCs w:val="24"/>
          <w:lang w:val="en-SG" w:eastAsia="zh-CN"/>
        </w:rPr>
        <w:t>ntakes than pre</w:t>
      </w:r>
      <w:r w:rsidR="000B1D17" w:rsidRPr="008374B5">
        <w:rPr>
          <w:rFonts w:ascii="Times New Roman" w:eastAsiaTheme="minorEastAsia" w:hAnsi="Times New Roman" w:cs="Times New Roman"/>
          <w:sz w:val="24"/>
          <w:szCs w:val="24"/>
          <w:lang w:val="en-SG" w:eastAsia="zh-CN"/>
        </w:rPr>
        <w:t>-</w:t>
      </w:r>
      <w:r w:rsidR="0079431C" w:rsidRPr="008374B5">
        <w:rPr>
          <w:rFonts w:ascii="Times New Roman" w:eastAsiaTheme="minorEastAsia" w:hAnsi="Times New Roman" w:cs="Times New Roman"/>
          <w:sz w:val="24"/>
          <w:szCs w:val="24"/>
          <w:lang w:val="en-SG" w:eastAsia="zh-CN"/>
        </w:rPr>
        <w:t>midnight feeders</w:t>
      </w:r>
      <w:r w:rsidR="00D121C5" w:rsidRPr="008374B5">
        <w:rPr>
          <w:rFonts w:ascii="Times New Roman" w:eastAsiaTheme="minorEastAsia" w:hAnsi="Times New Roman" w:cs="Times New Roman"/>
          <w:sz w:val="24"/>
          <w:szCs w:val="24"/>
          <w:lang w:val="en-SG" w:eastAsia="zh-CN"/>
        </w:rPr>
        <w:t xml:space="preserve"> across 24 </w:t>
      </w:r>
      <w:r w:rsidRPr="008374B5">
        <w:rPr>
          <w:rFonts w:ascii="Times New Roman" w:eastAsiaTheme="minorEastAsia" w:hAnsi="Times New Roman" w:cs="Times New Roman"/>
          <w:sz w:val="24"/>
          <w:szCs w:val="24"/>
          <w:lang w:val="en-SG" w:eastAsia="zh-CN"/>
        </w:rPr>
        <w:t>h</w:t>
      </w:r>
      <w:r w:rsidR="00556205" w:rsidRPr="008374B5">
        <w:rPr>
          <w:rFonts w:ascii="Times New Roman" w:eastAsiaTheme="minorEastAsia" w:hAnsi="Times New Roman" w:cs="Times New Roman"/>
          <w:sz w:val="24"/>
          <w:szCs w:val="24"/>
          <w:lang w:val="en-SG" w:eastAsia="zh-CN"/>
        </w:rPr>
        <w:t>ours</w:t>
      </w:r>
      <w:r w:rsidR="00B43C23" w:rsidRPr="008374B5">
        <w:rPr>
          <w:rFonts w:ascii="Times New Roman" w:eastAsiaTheme="minorEastAsia" w:hAnsi="Times New Roman" w:cs="Times New Roman"/>
          <w:sz w:val="24"/>
          <w:szCs w:val="24"/>
          <w:lang w:val="en-SG" w:eastAsia="zh-CN"/>
        </w:rPr>
        <w:t xml:space="preserve">, with the additional intake </w:t>
      </w:r>
      <w:r w:rsidR="00742471" w:rsidRPr="008374B5">
        <w:rPr>
          <w:rFonts w:ascii="Times New Roman" w:eastAsiaTheme="minorEastAsia" w:hAnsi="Times New Roman" w:cs="Times New Roman"/>
          <w:sz w:val="24"/>
          <w:szCs w:val="24"/>
          <w:lang w:val="en-SG" w:eastAsia="zh-CN"/>
        </w:rPr>
        <w:t>originating</w:t>
      </w:r>
      <w:r w:rsidR="00B66956" w:rsidRPr="008374B5">
        <w:rPr>
          <w:rFonts w:ascii="Times New Roman" w:eastAsiaTheme="minorEastAsia" w:hAnsi="Times New Roman" w:cs="Times New Roman"/>
          <w:sz w:val="24"/>
          <w:szCs w:val="24"/>
          <w:lang w:val="en-SG" w:eastAsia="zh-CN"/>
        </w:rPr>
        <w:t xml:space="preserve"> from post</w:t>
      </w:r>
      <w:r w:rsidR="000B1D17" w:rsidRPr="008374B5">
        <w:rPr>
          <w:rFonts w:ascii="Times New Roman" w:eastAsiaTheme="minorEastAsia" w:hAnsi="Times New Roman" w:cs="Times New Roman"/>
          <w:sz w:val="24"/>
          <w:szCs w:val="24"/>
          <w:lang w:val="en-SG" w:eastAsia="zh-CN"/>
        </w:rPr>
        <w:t>-</w:t>
      </w:r>
      <w:r w:rsidR="00B66956" w:rsidRPr="008374B5">
        <w:rPr>
          <w:rFonts w:ascii="Times New Roman" w:eastAsiaTheme="minorEastAsia" w:hAnsi="Times New Roman" w:cs="Times New Roman"/>
          <w:sz w:val="24"/>
          <w:szCs w:val="24"/>
          <w:lang w:val="en-SG" w:eastAsia="zh-CN"/>
        </w:rPr>
        <w:t>midnight feed(s)</w:t>
      </w:r>
      <w:r w:rsidR="000A0394" w:rsidRPr="008374B5">
        <w:rPr>
          <w:rFonts w:ascii="Times New Roman" w:eastAsiaTheme="minorEastAsia" w:hAnsi="Times New Roman" w:cs="Times New Roman"/>
          <w:sz w:val="24"/>
          <w:szCs w:val="24"/>
          <w:lang w:val="en-SG" w:eastAsia="zh-CN"/>
        </w:rPr>
        <w:t xml:space="preserve">. </w:t>
      </w:r>
      <w:r w:rsidR="006A7828" w:rsidRPr="008374B5">
        <w:rPr>
          <w:rFonts w:ascii="Times New Roman" w:hAnsi="Times New Roman" w:cs="Times New Roman"/>
          <w:sz w:val="24"/>
          <w:szCs w:val="24"/>
          <w:lang w:val="en-SG"/>
        </w:rPr>
        <w:t>A</w:t>
      </w:r>
      <w:r w:rsidR="008D2FCE" w:rsidRPr="008374B5">
        <w:rPr>
          <w:rFonts w:ascii="Times New Roman" w:hAnsi="Times New Roman" w:cs="Times New Roman"/>
          <w:sz w:val="24"/>
          <w:szCs w:val="24"/>
          <w:lang w:val="en-SG"/>
        </w:rPr>
        <w:t xml:space="preserve"> carefully controlled inpatient s</w:t>
      </w:r>
      <w:r w:rsidR="006A7828" w:rsidRPr="008374B5">
        <w:rPr>
          <w:rFonts w:ascii="Times New Roman" w:hAnsi="Times New Roman" w:cs="Times New Roman"/>
          <w:sz w:val="24"/>
          <w:szCs w:val="24"/>
          <w:lang w:val="en-SG"/>
        </w:rPr>
        <w:t xml:space="preserve">tudy </w:t>
      </w:r>
      <w:r w:rsidR="008D2FCE" w:rsidRPr="008374B5">
        <w:rPr>
          <w:rFonts w:ascii="Times New Roman" w:hAnsi="Times New Roman" w:cs="Times New Roman"/>
          <w:sz w:val="24"/>
          <w:szCs w:val="24"/>
          <w:lang w:val="en-SG"/>
        </w:rPr>
        <w:t>that observed</w:t>
      </w:r>
      <w:r w:rsidR="0068345B" w:rsidRPr="008374B5">
        <w:rPr>
          <w:rFonts w:ascii="Times New Roman" w:hAnsi="Times New Roman" w:cs="Times New Roman"/>
          <w:sz w:val="24"/>
          <w:szCs w:val="24"/>
          <w:lang w:val="en-SG"/>
        </w:rPr>
        <w:t xml:space="preserve"> healthy adult</w:t>
      </w:r>
      <w:r w:rsidR="008D2FCE" w:rsidRPr="008374B5">
        <w:rPr>
          <w:rFonts w:ascii="Times New Roman" w:hAnsi="Times New Roman" w:cs="Times New Roman"/>
          <w:sz w:val="24"/>
          <w:szCs w:val="24"/>
          <w:lang w:val="en-SG"/>
        </w:rPr>
        <w:t xml:space="preserve"> participants’ ad libitum nighttime food intake</w:t>
      </w:r>
      <w:r w:rsidR="004B7160" w:rsidRPr="008374B5">
        <w:rPr>
          <w:rFonts w:ascii="Times New Roman" w:hAnsi="Times New Roman" w:cs="Times New Roman"/>
          <w:sz w:val="24"/>
          <w:szCs w:val="24"/>
          <w:lang w:val="en-SG"/>
        </w:rPr>
        <w:fldChar w:fldCharType="begin" w:fldLock="1"/>
      </w:r>
      <w:r w:rsidR="001459A4">
        <w:rPr>
          <w:rFonts w:ascii="Times New Roman" w:hAnsi="Times New Roman" w:cs="Times New Roman"/>
          <w:sz w:val="24"/>
          <w:szCs w:val="24"/>
          <w:lang w:val="en-SG"/>
        </w:rPr>
        <w:instrText>ADDIN CSL_CITATION { "citationItems" : [ { "id" : "ITEM-1", "itemData" : { "DOI" : "10.1016/S0084-3741(09)79410-7", "ISSN" : "1938-3207", "PMID" : "18842774", "abstract" : "BACKGROUND: Nighttime food intake has rarely been studied in inpatient settings and only one study observed a relation between self-reported nighttime eating and weight gain.\\n\\nOBJECTIVE: We investigated the prevalence of nighttime eating and its effect on weight change.\\n\\nDESIGN: Healthy nondiabetic Pima Indians (n = 117; 67 M, 50 F) and whites (n = 43; 29 M, 13 F) were admitted to a clinical research unit. After consuming a standardized diet for 3 d, participants ate ad libitum from a computer-operated vending machine that recorded the time of food selection. Energy intake was calculated as mean kcal/d. Follow-up weight was available for 94 volunteers.\\n\\nRESULTS: Fifty-five subjects (36%) were nighttime eaters (NEs; persons who ate between 2300 and 0500 on &gt; or =1 of the 3 d). Prevalence was similar among whites and Pima Indians (37% and 35%, respectively). There were no significant differences in body mass index or percentage body fat between NEs and non-NEs. NEs consumed more calories per day (4758) than did non-NEs (4244; P = 0.02), but the percentage of calories from macronutrients did not differ. NEs consumed approximately 15% (690 kcal) of their daily energy during nighttime episodes. After control for baseline weight and follow-up time (x +/- SD: 3.4 +/- 1.8 y), NEs (n = 29) gained more weight (6.2 kg) than did non-NEs (n = 65; 1.7 kg; P = 0.03).\\n\\nCONCLUSIONS: Nighttime eating was common, and it predicted weight gain. It remains to be determined whether this behavior indicates abnormal sleep patterns leading to nighttime wakefulness and food intake in those prone to weight gain.", "author" : [ { "dropping-particle" : "", "family" : "Gluck", "given" : "Marci E", "non-dropping-particle" : "", "parse-names" : false, "suffix" : "" }, { "dropping-particle" : "", "family" : "Venti", "given" : "Colleen a", "non-dropping-particle" : "", "parse-names" : false, "suffix" : "" }, { "dropping-particle" : "", "family" : "Salbe", "given" : "Arline D", "non-dropping-particle" : "", "parse-names" : false, "suffix" : "" }, { "dropping-particle" : "", "family" : "Krakoff", "given" : "Jonathan", "non-dropping-particle" : "", "parse-names" : false, "suffix" : "" } ], "container-title" : "The American journal of clinical nutrition", "id" : "ITEM-1", "issue" : "4", "issued" : { "date-parts" : [ [ "2008" ] ] }, "page" : "900-5", "title" : "Nighttime eating: commonly observed and related to weight gain in an inpatient food intake study.", "type" : "article-journal", "volume" : "88" }, "uris" : [ "http://www.mendeley.com/documents/?uuid=2b984063-5797-422a-8c18-cf6d0fd36d3d" ] } ], "mendeley" : { "formattedCitation" : "&lt;sup&gt;42&lt;/sup&gt;", "plainTextFormattedCitation" : "42", "previouslyFormattedCitation" : "&lt;sup&gt;42&lt;/sup&gt;" }, "properties" : { "noteIndex" : 0 }, "schema" : "https://github.com/citation-style-language/schema/raw/master/csl-citation.json" }</w:instrText>
      </w:r>
      <w:r w:rsidR="004B7160" w:rsidRPr="008374B5">
        <w:rPr>
          <w:rFonts w:ascii="Times New Roman" w:hAnsi="Times New Roman" w:cs="Times New Roman"/>
          <w:sz w:val="24"/>
          <w:szCs w:val="24"/>
          <w:lang w:val="en-SG"/>
        </w:rPr>
        <w:fldChar w:fldCharType="separate"/>
      </w:r>
      <w:r w:rsidR="00724502" w:rsidRPr="00724502">
        <w:rPr>
          <w:rFonts w:ascii="Times New Roman" w:hAnsi="Times New Roman" w:cs="Times New Roman"/>
          <w:noProof/>
          <w:sz w:val="24"/>
          <w:szCs w:val="24"/>
          <w:vertAlign w:val="superscript"/>
          <w:lang w:val="en-SG"/>
        </w:rPr>
        <w:t>42</w:t>
      </w:r>
      <w:r w:rsidR="004B7160" w:rsidRPr="008374B5">
        <w:rPr>
          <w:rFonts w:ascii="Times New Roman" w:hAnsi="Times New Roman" w:cs="Times New Roman"/>
          <w:sz w:val="24"/>
          <w:szCs w:val="24"/>
          <w:lang w:val="en-SG"/>
        </w:rPr>
        <w:fldChar w:fldCharType="end"/>
      </w:r>
      <w:r w:rsidR="0068345B" w:rsidRPr="008374B5">
        <w:rPr>
          <w:rFonts w:ascii="Times New Roman" w:hAnsi="Times New Roman" w:cs="Times New Roman"/>
          <w:sz w:val="24"/>
          <w:szCs w:val="24"/>
          <w:lang w:val="en-SG"/>
        </w:rPr>
        <w:t xml:space="preserve"> produced comparable findings; those</w:t>
      </w:r>
      <w:r w:rsidR="006A7828" w:rsidRPr="008374B5">
        <w:rPr>
          <w:rFonts w:ascii="Times New Roman" w:hAnsi="Times New Roman" w:cs="Times New Roman"/>
          <w:sz w:val="24"/>
          <w:szCs w:val="24"/>
          <w:lang w:val="en-SG"/>
        </w:rPr>
        <w:t xml:space="preserve"> who ate</w:t>
      </w:r>
      <w:r w:rsidR="001429EB" w:rsidRPr="008374B5">
        <w:rPr>
          <w:rFonts w:ascii="Times New Roman" w:hAnsi="Times New Roman" w:cs="Times New Roman"/>
          <w:sz w:val="24"/>
          <w:szCs w:val="24"/>
          <w:lang w:val="en-SG"/>
        </w:rPr>
        <w:t xml:space="preserve"> during</w:t>
      </w:r>
      <w:r w:rsidR="006A7828" w:rsidRPr="008374B5">
        <w:rPr>
          <w:rFonts w:ascii="Times New Roman" w:hAnsi="Times New Roman" w:cs="Times New Roman"/>
          <w:sz w:val="24"/>
          <w:szCs w:val="24"/>
          <w:lang w:val="en-SG"/>
        </w:rPr>
        <w:t xml:space="preserve"> night</w:t>
      </w:r>
      <w:r w:rsidR="001429EB" w:rsidRPr="008374B5">
        <w:rPr>
          <w:rFonts w:ascii="Times New Roman" w:hAnsi="Times New Roman" w:cs="Times New Roman"/>
          <w:sz w:val="24"/>
          <w:szCs w:val="24"/>
          <w:lang w:val="en-SG"/>
        </w:rPr>
        <w:t>time</w:t>
      </w:r>
      <w:r w:rsidR="006A7828" w:rsidRPr="008374B5">
        <w:rPr>
          <w:rFonts w:ascii="Times New Roman" w:hAnsi="Times New Roman" w:cs="Times New Roman"/>
          <w:sz w:val="24"/>
          <w:szCs w:val="24"/>
          <w:lang w:val="en-SG"/>
        </w:rPr>
        <w:t xml:space="preserve"> (23.00–05.00 hours) consumed significantly </w:t>
      </w:r>
      <w:r w:rsidR="00D72CD3" w:rsidRPr="008374B5">
        <w:rPr>
          <w:rFonts w:ascii="Times New Roman" w:hAnsi="Times New Roman" w:cs="Times New Roman"/>
          <w:sz w:val="24"/>
          <w:szCs w:val="24"/>
          <w:lang w:val="en-SG"/>
        </w:rPr>
        <w:t>higher</w:t>
      </w:r>
      <w:r w:rsidR="006A7828" w:rsidRPr="008374B5">
        <w:rPr>
          <w:rFonts w:ascii="Times New Roman" w:hAnsi="Times New Roman" w:cs="Times New Roman"/>
          <w:sz w:val="24"/>
          <w:szCs w:val="24"/>
          <w:lang w:val="en-SG"/>
        </w:rPr>
        <w:t xml:space="preserve"> daily energy </w:t>
      </w:r>
      <w:r w:rsidR="00910A40" w:rsidRPr="008374B5">
        <w:rPr>
          <w:rFonts w:ascii="Times New Roman" w:hAnsi="Times New Roman" w:cs="Times New Roman"/>
          <w:sz w:val="24"/>
          <w:szCs w:val="24"/>
          <w:lang w:val="en-SG"/>
        </w:rPr>
        <w:t xml:space="preserve">and macronutrient </w:t>
      </w:r>
      <w:r w:rsidR="006A7828" w:rsidRPr="008374B5">
        <w:rPr>
          <w:rFonts w:ascii="Times New Roman" w:hAnsi="Times New Roman" w:cs="Times New Roman"/>
          <w:sz w:val="24"/>
          <w:szCs w:val="24"/>
          <w:lang w:val="en-SG"/>
        </w:rPr>
        <w:t>intake</w:t>
      </w:r>
      <w:r w:rsidR="00535529" w:rsidRPr="008374B5">
        <w:rPr>
          <w:rFonts w:ascii="Times New Roman" w:hAnsi="Times New Roman" w:cs="Times New Roman"/>
          <w:sz w:val="24"/>
          <w:szCs w:val="24"/>
          <w:lang w:val="en-SG"/>
        </w:rPr>
        <w:t>s</w:t>
      </w:r>
      <w:r w:rsidR="006A7828" w:rsidRPr="008374B5">
        <w:rPr>
          <w:rFonts w:ascii="Times New Roman" w:hAnsi="Times New Roman" w:cs="Times New Roman"/>
          <w:sz w:val="24"/>
          <w:szCs w:val="24"/>
          <w:lang w:val="en-SG"/>
        </w:rPr>
        <w:t xml:space="preserve"> than non</w:t>
      </w:r>
      <w:r w:rsidR="000B1D17" w:rsidRPr="008374B5">
        <w:rPr>
          <w:rFonts w:ascii="Times New Roman" w:hAnsi="Times New Roman" w:cs="Times New Roman"/>
          <w:sz w:val="24"/>
          <w:szCs w:val="24"/>
          <w:lang w:val="en-SG"/>
        </w:rPr>
        <w:t>-</w:t>
      </w:r>
      <w:r w:rsidR="006A7828" w:rsidRPr="008374B5">
        <w:rPr>
          <w:rFonts w:ascii="Times New Roman" w:hAnsi="Times New Roman" w:cs="Times New Roman"/>
          <w:sz w:val="24"/>
          <w:szCs w:val="24"/>
          <w:lang w:val="en-SG"/>
        </w:rPr>
        <w:t>nighttime eaters</w:t>
      </w:r>
      <w:r w:rsidR="0051204E" w:rsidRPr="008374B5">
        <w:rPr>
          <w:rFonts w:ascii="Times New Roman" w:hAnsi="Times New Roman" w:cs="Times New Roman"/>
          <w:sz w:val="24"/>
          <w:szCs w:val="24"/>
          <w:lang w:val="en-SG"/>
        </w:rPr>
        <w:fldChar w:fldCharType="begin" w:fldLock="1"/>
      </w:r>
      <w:r w:rsidR="001459A4">
        <w:rPr>
          <w:rFonts w:ascii="Times New Roman" w:hAnsi="Times New Roman" w:cs="Times New Roman"/>
          <w:sz w:val="24"/>
          <w:szCs w:val="24"/>
          <w:lang w:val="en-SG"/>
        </w:rPr>
        <w:instrText>ADDIN CSL_CITATION { "citationItems" : [ { "id" : "ITEM-1", "itemData" : { "DOI" : "10.1016/S0084-3741(09)79410-7", "ISSN" : "1938-3207", "PMID" : "18842774", "abstract" : "BACKGROUND: Nighttime food intake has rarely been studied in inpatient settings and only one study observed a relation between self-reported nighttime eating and weight gain.\\n\\nOBJECTIVE: We investigated the prevalence of nighttime eating and its effect on weight change.\\n\\nDESIGN: Healthy nondiabetic Pima Indians (n = 117; 67 M, 50 F) and whites (n = 43; 29 M, 13 F) were admitted to a clinical research unit. After consuming a standardized diet for 3 d, participants ate ad libitum from a computer-operated vending machine that recorded the time of food selection. Energy intake was calculated as mean kcal/d. Follow-up weight was available for 94 volunteers.\\n\\nRESULTS: Fifty-five subjects (36%) were nighttime eaters (NEs; persons who ate between 2300 and 0500 on &gt; or =1 of the 3 d). Prevalence was similar among whites and Pima Indians (37% and 35%, respectively). There were no significant differences in body mass index or percentage body fat between NEs and non-NEs. NEs consumed more calories per day (4758) than did non-NEs (4244; P = 0.02), but the percentage of calories from macronutrients did not differ. NEs consumed approximately 15% (690 kcal) of their daily energy during nighttime episodes. After control for baseline weight and follow-up time (x +/- SD: 3.4 +/- 1.8 y), NEs (n = 29) gained more weight (6.2 kg) than did non-NEs (n = 65; 1.7 kg; P = 0.03).\\n\\nCONCLUSIONS: Nighttime eating was common, and it predicted weight gain. It remains to be determined whether this behavior indicates abnormal sleep patterns leading to nighttime wakefulness and food intake in those prone to weight gain.", "author" : [ { "dropping-particle" : "", "family" : "Gluck", "given" : "Marci E", "non-dropping-particle" : "", "parse-names" : false, "suffix" : "" }, { "dropping-particle" : "", "family" : "Venti", "given" : "Colleen a", "non-dropping-particle" : "", "parse-names" : false, "suffix" : "" }, { "dropping-particle" : "", "family" : "Salbe", "given" : "Arline D", "non-dropping-particle" : "", "parse-names" : false, "suffix" : "" }, { "dropping-particle" : "", "family" : "Krakoff", "given" : "Jonathan", "non-dropping-particle" : "", "parse-names" : false, "suffix" : "" } ], "container-title" : "The American journal of clinical nutrition", "id" : "ITEM-1", "issue" : "4", "issued" : { "date-parts" : [ [ "2008" ] ] }, "page" : "900-5", "title" : "Nighttime eating: commonly observed and related to weight gain in an inpatient food intake study.", "type" : "article-journal", "volume" : "88" }, "uris" : [ "http://www.mendeley.com/documents/?uuid=2b984063-5797-422a-8c18-cf6d0fd36d3d" ] } ], "mendeley" : { "formattedCitation" : "&lt;sup&gt;42&lt;/sup&gt;", "plainTextFormattedCitation" : "42", "previouslyFormattedCitation" : "&lt;sup&gt;42&lt;/sup&gt;" }, "properties" : { "noteIndex" : 0 }, "schema" : "https://github.com/citation-style-language/schema/raw/master/csl-citation.json" }</w:instrText>
      </w:r>
      <w:r w:rsidR="0051204E" w:rsidRPr="008374B5">
        <w:rPr>
          <w:rFonts w:ascii="Times New Roman" w:hAnsi="Times New Roman" w:cs="Times New Roman"/>
          <w:sz w:val="24"/>
          <w:szCs w:val="24"/>
          <w:lang w:val="en-SG"/>
        </w:rPr>
        <w:fldChar w:fldCharType="separate"/>
      </w:r>
      <w:r w:rsidR="00724502" w:rsidRPr="00724502">
        <w:rPr>
          <w:rFonts w:ascii="Times New Roman" w:hAnsi="Times New Roman" w:cs="Times New Roman"/>
          <w:noProof/>
          <w:sz w:val="24"/>
          <w:szCs w:val="24"/>
          <w:vertAlign w:val="superscript"/>
          <w:lang w:val="en-SG"/>
        </w:rPr>
        <w:t>42</w:t>
      </w:r>
      <w:r w:rsidR="0051204E" w:rsidRPr="008374B5">
        <w:rPr>
          <w:rFonts w:ascii="Times New Roman" w:hAnsi="Times New Roman" w:cs="Times New Roman"/>
          <w:sz w:val="24"/>
          <w:szCs w:val="24"/>
          <w:lang w:val="en-SG"/>
        </w:rPr>
        <w:fldChar w:fldCharType="end"/>
      </w:r>
      <w:r w:rsidR="0051204E" w:rsidRPr="008374B5">
        <w:rPr>
          <w:rFonts w:ascii="Times New Roman" w:hAnsi="Times New Roman" w:cs="Times New Roman"/>
          <w:sz w:val="24"/>
          <w:szCs w:val="24"/>
          <w:lang w:val="en-SG"/>
        </w:rPr>
        <w:t xml:space="preserve">. </w:t>
      </w:r>
      <w:r w:rsidR="009A71DA" w:rsidRPr="008374B5">
        <w:rPr>
          <w:rFonts w:ascii="Times New Roman" w:hAnsi="Times New Roman" w:cs="Times New Roman"/>
          <w:sz w:val="24"/>
          <w:szCs w:val="24"/>
          <w:lang w:val="en-SG"/>
        </w:rPr>
        <w:t>Both</w:t>
      </w:r>
      <w:r w:rsidR="0051204E" w:rsidRPr="008374B5">
        <w:rPr>
          <w:rFonts w:ascii="Times New Roman" w:hAnsi="Times New Roman" w:cs="Times New Roman"/>
          <w:sz w:val="24"/>
          <w:szCs w:val="24"/>
          <w:lang w:val="en-SG"/>
        </w:rPr>
        <w:t xml:space="preserve"> groups </w:t>
      </w:r>
      <w:r w:rsidR="009A71DA" w:rsidRPr="008374B5">
        <w:rPr>
          <w:rFonts w:ascii="Times New Roman" w:hAnsi="Times New Roman" w:cs="Times New Roman"/>
          <w:sz w:val="24"/>
          <w:szCs w:val="24"/>
          <w:lang w:val="en-SG"/>
        </w:rPr>
        <w:t xml:space="preserve">consumed similar energy intake </w:t>
      </w:r>
      <w:r w:rsidR="0051204E" w:rsidRPr="008374B5">
        <w:rPr>
          <w:rFonts w:ascii="Times New Roman" w:hAnsi="Times New Roman" w:cs="Times New Roman"/>
          <w:sz w:val="24"/>
          <w:szCs w:val="24"/>
          <w:lang w:val="en-SG"/>
        </w:rPr>
        <w:t>during non</w:t>
      </w:r>
      <w:r w:rsidR="000B1D17" w:rsidRPr="008374B5">
        <w:rPr>
          <w:rFonts w:ascii="Times New Roman" w:hAnsi="Times New Roman" w:cs="Times New Roman"/>
          <w:sz w:val="24"/>
          <w:szCs w:val="24"/>
          <w:lang w:val="en-SG"/>
        </w:rPr>
        <w:t>-</w:t>
      </w:r>
      <w:r w:rsidR="0051204E" w:rsidRPr="008374B5">
        <w:rPr>
          <w:rFonts w:ascii="Times New Roman" w:hAnsi="Times New Roman" w:cs="Times New Roman"/>
          <w:sz w:val="24"/>
          <w:szCs w:val="24"/>
          <w:lang w:val="en-SG"/>
        </w:rPr>
        <w:t>nighttime, indicating that the difference in daily energy intake resulted from</w:t>
      </w:r>
      <w:r w:rsidR="009A71DA" w:rsidRPr="008374B5">
        <w:rPr>
          <w:rFonts w:ascii="Times New Roman" w:hAnsi="Times New Roman" w:cs="Times New Roman"/>
          <w:sz w:val="24"/>
          <w:szCs w:val="24"/>
          <w:lang w:val="en-SG"/>
        </w:rPr>
        <w:t xml:space="preserve"> calories ingested dur</w:t>
      </w:r>
      <w:r w:rsidR="0051204E" w:rsidRPr="008374B5">
        <w:rPr>
          <w:rFonts w:ascii="Times New Roman" w:hAnsi="Times New Roman" w:cs="Times New Roman"/>
          <w:sz w:val="24"/>
          <w:szCs w:val="24"/>
          <w:lang w:val="en-SG"/>
        </w:rPr>
        <w:t xml:space="preserve">ing </w:t>
      </w:r>
      <w:r w:rsidR="006A7828" w:rsidRPr="008374B5">
        <w:rPr>
          <w:rFonts w:ascii="Times New Roman" w:hAnsi="Times New Roman" w:cs="Times New Roman"/>
          <w:sz w:val="24"/>
          <w:szCs w:val="24"/>
          <w:lang w:val="en-SG"/>
        </w:rPr>
        <w:t>night</w:t>
      </w:r>
      <w:r w:rsidR="009A71DA" w:rsidRPr="008374B5">
        <w:rPr>
          <w:rFonts w:ascii="Times New Roman" w:hAnsi="Times New Roman" w:cs="Times New Roman"/>
          <w:sz w:val="24"/>
          <w:szCs w:val="24"/>
          <w:lang w:val="en-SG"/>
        </w:rPr>
        <w:t>time</w:t>
      </w:r>
      <w:r w:rsidR="00C94544" w:rsidRPr="008374B5">
        <w:rPr>
          <w:rFonts w:ascii="Times New Roman" w:hAnsi="Times New Roman" w:cs="Times New Roman"/>
          <w:sz w:val="24"/>
          <w:szCs w:val="24"/>
          <w:lang w:val="en-SG"/>
        </w:rPr>
        <w:fldChar w:fldCharType="begin" w:fldLock="1"/>
      </w:r>
      <w:r w:rsidR="001459A4">
        <w:rPr>
          <w:rFonts w:ascii="Times New Roman" w:hAnsi="Times New Roman" w:cs="Times New Roman"/>
          <w:sz w:val="24"/>
          <w:szCs w:val="24"/>
          <w:lang w:val="en-SG"/>
        </w:rPr>
        <w:instrText>ADDIN CSL_CITATION { "citationItems" : [ { "id" : "ITEM-1", "itemData" : { "DOI" : "10.1016/S0084-3741(09)79410-7", "ISSN" : "1938-3207", "PMID" : "18842774", "abstract" : "BACKGROUND: Nighttime food intake has rarely been studied in inpatient settings and only one study observed a relation between self-reported nighttime eating and weight gain.\\n\\nOBJECTIVE: We investigated the prevalence of nighttime eating and its effect on weight change.\\n\\nDESIGN: Healthy nondiabetic Pima Indians (n = 117; 67 M, 50 F) and whites (n = 43; 29 M, 13 F) were admitted to a clinical research unit. After consuming a standardized diet for 3 d, participants ate ad libitum from a computer-operated vending machine that recorded the time of food selection. Energy intake was calculated as mean kcal/d. Follow-up weight was available for 94 volunteers.\\n\\nRESULTS: Fifty-five subjects (36%) were nighttime eaters (NEs; persons who ate between 2300 and 0500 on &gt; or =1 of the 3 d). Prevalence was similar among whites and Pima Indians (37% and 35%, respectively). There were no significant differences in body mass index or percentage body fat between NEs and non-NEs. NEs consumed more calories per day (4758) than did non-NEs (4244; P = 0.02), but the percentage of calories from macronutrients did not differ. NEs consumed approximately 15% (690 kcal) of their daily energy during nighttime episodes. After control for baseline weight and follow-up time (x +/- SD: 3.4 +/- 1.8 y), NEs (n = 29) gained more weight (6.2 kg) than did non-NEs (n = 65; 1.7 kg; P = 0.03).\\n\\nCONCLUSIONS: Nighttime eating was common, and it predicted weight gain. It remains to be determined whether this behavior indicates abnormal sleep patterns leading to nighttime wakefulness and food intake in those prone to weight gain.", "author" : [ { "dropping-particle" : "", "family" : "Gluck", "given" : "Marci E", "non-dropping-particle" : "", "parse-names" : false, "suffix" : "" }, { "dropping-particle" : "", "family" : "Venti", "given" : "Colleen a", "non-dropping-particle" : "", "parse-names" : false, "suffix" : "" }, { "dropping-particle" : "", "family" : "Salbe", "given" : "Arline D", "non-dropping-particle" : "", "parse-names" : false, "suffix" : "" }, { "dropping-particle" : "", "family" : "Krakoff", "given" : "Jonathan", "non-dropping-particle" : "", "parse-names" : false, "suffix" : "" } ], "container-title" : "The American journal of clinical nutrition", "id" : "ITEM-1", "issue" : "4", "issued" : { "date-parts" : [ [ "2008" ] ] }, "page" : "900-5", "title" : "Nighttime eating: commonly observed and related to weight gain in an inpatient food intake study.", "type" : "article-journal", "volume" : "88" }, "uris" : [ "http://www.mendeley.com/documents/?uuid=2b984063-5797-422a-8c18-cf6d0fd36d3d" ] } ], "mendeley" : { "formattedCitation" : "&lt;sup&gt;42&lt;/sup&gt;", "plainTextFormattedCitation" : "42", "previouslyFormattedCitation" : "&lt;sup&gt;42&lt;/sup&gt;" }, "properties" : { "noteIndex" : 0 }, "schema" : "https://github.com/citation-style-language/schema/raw/master/csl-citation.json" }</w:instrText>
      </w:r>
      <w:r w:rsidR="00C94544" w:rsidRPr="008374B5">
        <w:rPr>
          <w:rFonts w:ascii="Times New Roman" w:hAnsi="Times New Roman" w:cs="Times New Roman"/>
          <w:sz w:val="24"/>
          <w:szCs w:val="24"/>
          <w:lang w:val="en-SG"/>
        </w:rPr>
        <w:fldChar w:fldCharType="separate"/>
      </w:r>
      <w:r w:rsidR="00724502" w:rsidRPr="00724502">
        <w:rPr>
          <w:rFonts w:ascii="Times New Roman" w:hAnsi="Times New Roman" w:cs="Times New Roman"/>
          <w:noProof/>
          <w:sz w:val="24"/>
          <w:szCs w:val="24"/>
          <w:vertAlign w:val="superscript"/>
          <w:lang w:val="en-SG"/>
        </w:rPr>
        <w:t>42</w:t>
      </w:r>
      <w:r w:rsidR="00C94544" w:rsidRPr="008374B5">
        <w:rPr>
          <w:rFonts w:ascii="Times New Roman" w:hAnsi="Times New Roman" w:cs="Times New Roman"/>
          <w:sz w:val="24"/>
          <w:szCs w:val="24"/>
          <w:lang w:val="en-SG"/>
        </w:rPr>
        <w:fldChar w:fldCharType="end"/>
      </w:r>
      <w:r w:rsidR="006A7828" w:rsidRPr="008374B5">
        <w:rPr>
          <w:rFonts w:ascii="Times New Roman" w:hAnsi="Times New Roman" w:cs="Times New Roman"/>
          <w:sz w:val="24"/>
          <w:szCs w:val="24"/>
          <w:lang w:val="en-SG"/>
        </w:rPr>
        <w:t xml:space="preserve">. </w:t>
      </w:r>
      <w:r w:rsidR="00910BB0" w:rsidRPr="008374B5">
        <w:rPr>
          <w:rFonts w:ascii="Times New Roman" w:hAnsi="Times New Roman" w:cs="Times New Roman"/>
          <w:sz w:val="24"/>
          <w:szCs w:val="24"/>
          <w:lang w:val="en-SG"/>
        </w:rPr>
        <w:t>Studies have demonstrated the associations of h</w:t>
      </w:r>
      <w:r w:rsidR="00910BB0" w:rsidRPr="008374B5">
        <w:rPr>
          <w:rFonts w:ascii="Times New Roman" w:eastAsiaTheme="minorEastAsia" w:hAnsi="Times New Roman" w:cs="Times New Roman"/>
          <w:sz w:val="24"/>
          <w:szCs w:val="24"/>
          <w:lang w:val="en-SG" w:eastAsia="zh-CN"/>
        </w:rPr>
        <w:t xml:space="preserve">igher energy intake with adverse metabolic outcomes. </w:t>
      </w:r>
      <w:r w:rsidR="006A011A" w:rsidRPr="008374B5">
        <w:rPr>
          <w:rFonts w:ascii="Times New Roman" w:eastAsiaTheme="minorEastAsia" w:hAnsi="Times New Roman" w:cs="Times New Roman"/>
          <w:sz w:val="24"/>
          <w:szCs w:val="24"/>
          <w:lang w:val="en-SG" w:eastAsia="zh-CN"/>
        </w:rPr>
        <w:t>In the aforementioned study, n</w:t>
      </w:r>
      <w:r w:rsidR="00537BF4" w:rsidRPr="008374B5">
        <w:rPr>
          <w:rFonts w:ascii="Times New Roman" w:eastAsiaTheme="minorEastAsia" w:hAnsi="Times New Roman" w:cs="Times New Roman"/>
          <w:sz w:val="24"/>
          <w:szCs w:val="24"/>
          <w:lang w:val="en-SG" w:eastAsia="zh-CN"/>
        </w:rPr>
        <w:t>ighttime eaters gained significantly more weight than non</w:t>
      </w:r>
      <w:r w:rsidR="000B1D17" w:rsidRPr="008374B5">
        <w:rPr>
          <w:rFonts w:ascii="Times New Roman" w:eastAsiaTheme="minorEastAsia" w:hAnsi="Times New Roman" w:cs="Times New Roman"/>
          <w:sz w:val="24"/>
          <w:szCs w:val="24"/>
          <w:lang w:val="en-SG" w:eastAsia="zh-CN"/>
        </w:rPr>
        <w:t>-</w:t>
      </w:r>
      <w:r w:rsidR="00537BF4" w:rsidRPr="008374B5">
        <w:rPr>
          <w:rFonts w:ascii="Times New Roman" w:eastAsiaTheme="minorEastAsia" w:hAnsi="Times New Roman" w:cs="Times New Roman"/>
          <w:sz w:val="24"/>
          <w:szCs w:val="24"/>
          <w:lang w:val="en-SG" w:eastAsia="zh-CN"/>
        </w:rPr>
        <w:t>nighttime eaters during the follow</w:t>
      </w:r>
      <w:r w:rsidR="000B1D17" w:rsidRPr="008374B5">
        <w:rPr>
          <w:rFonts w:ascii="Times New Roman" w:eastAsiaTheme="minorEastAsia" w:hAnsi="Times New Roman" w:cs="Times New Roman"/>
          <w:sz w:val="24"/>
          <w:szCs w:val="24"/>
          <w:lang w:val="en-SG" w:eastAsia="zh-CN"/>
        </w:rPr>
        <w:t>-</w:t>
      </w:r>
      <w:r w:rsidR="00537BF4" w:rsidRPr="008374B5">
        <w:rPr>
          <w:rFonts w:ascii="Times New Roman" w:eastAsiaTheme="minorEastAsia" w:hAnsi="Times New Roman" w:cs="Times New Roman"/>
          <w:sz w:val="24"/>
          <w:szCs w:val="24"/>
          <w:lang w:val="en-SG" w:eastAsia="zh-CN"/>
        </w:rPr>
        <w:t>up period despite having similar BMI or percentage body fat at baseline</w:t>
      </w:r>
      <w:r w:rsidR="00441048" w:rsidRPr="008374B5">
        <w:rPr>
          <w:rFonts w:ascii="Times New Roman" w:hAnsi="Times New Roman" w:cs="Times New Roman"/>
          <w:sz w:val="24"/>
          <w:szCs w:val="24"/>
          <w:lang w:val="en-SG"/>
        </w:rPr>
        <w:fldChar w:fldCharType="begin" w:fldLock="1"/>
      </w:r>
      <w:r w:rsidR="001459A4">
        <w:rPr>
          <w:rFonts w:ascii="Times New Roman" w:hAnsi="Times New Roman" w:cs="Times New Roman"/>
          <w:sz w:val="24"/>
          <w:szCs w:val="24"/>
          <w:lang w:val="en-SG"/>
        </w:rPr>
        <w:instrText>ADDIN CSL_CITATION { "citationItems" : [ { "id" : "ITEM-1", "itemData" : { "DOI" : "10.1016/S0084-3741(09)79410-7", "ISSN" : "1938-3207", "PMID" : "18842774", "abstract" : "BACKGROUND: Nighttime food intake has rarely been studied in inpatient settings and only one study observed a relation between self-reported nighttime eating and weight gain.\\n\\nOBJECTIVE: We investigated the prevalence of nighttime eating and its effect on weight change.\\n\\nDESIGN: Healthy nondiabetic Pima Indians (n = 117; 67 M, 50 F) and whites (n = 43; 29 M, 13 F) were admitted to a clinical research unit. After consuming a standardized diet for 3 d, participants ate ad libitum from a computer-operated vending machine that recorded the time of food selection. Energy intake was calculated as mean kcal/d. Follow-up weight was available for 94 volunteers.\\n\\nRESULTS: Fifty-five subjects (36%) were nighttime eaters (NEs; persons who ate between 2300 and 0500 on &gt; or =1 of the 3 d). Prevalence was similar among whites and Pima Indians (37% and 35%, respectively). There were no significant differences in body mass index or percentage body fat between NEs and non-NEs. NEs consumed more calories per day (4758) than did non-NEs (4244; P = 0.02), but the percentage of calories from macronutrients did not differ. NEs consumed approximately 15% (690 kcal) of their daily energy during nighttime episodes. After control for baseline weight and follow-up time (x +/- SD: 3.4 +/- 1.8 y), NEs (n = 29) gained more weight (6.2 kg) than did non-NEs (n = 65; 1.7 kg; P = 0.03).\\n\\nCONCLUSIONS: Nighttime eating was common, and it predicted weight gain. It remains to be determined whether this behavior indicates abnormal sleep patterns leading to nighttime wakefulness and food intake in those prone to weight gain.", "author" : [ { "dropping-particle" : "", "family" : "Gluck", "given" : "Marci E", "non-dropping-particle" : "", "parse-names" : false, "suffix" : "" }, { "dropping-particle" : "", "family" : "Venti", "given" : "Colleen a", "non-dropping-particle" : "", "parse-names" : false, "suffix" : "" }, { "dropping-particle" : "", "family" : "Salbe", "given" : "Arline D", "non-dropping-particle" : "", "parse-names" : false, "suffix" : "" }, { "dropping-particle" : "", "family" : "Krakoff", "given" : "Jonathan", "non-dropping-particle" : "", "parse-names" : false, "suffix" : "" } ], "container-title" : "The American journal of clinical nutrition", "id" : "ITEM-1", "issue" : "4", "issued" : { "date-parts" : [ [ "2008" ] ] }, "page" : "900-5", "title" : "Nighttime eating: commonly observed and related to weight gain in an inpatient food intake study.", "type" : "article-journal", "volume" : "88" }, "uris" : [ "http://www.mendeley.com/documents/?uuid=2b984063-5797-422a-8c18-cf6d0fd36d3d" ] } ], "mendeley" : { "formattedCitation" : "&lt;sup&gt;42&lt;/sup&gt;", "plainTextFormattedCitation" : "42", "previouslyFormattedCitation" : "&lt;sup&gt;42&lt;/sup&gt;" }, "properties" : { "noteIndex" : 0 }, "schema" : "https://github.com/citation-style-language/schema/raw/master/csl-citation.json" }</w:instrText>
      </w:r>
      <w:r w:rsidR="00441048" w:rsidRPr="008374B5">
        <w:rPr>
          <w:rFonts w:ascii="Times New Roman" w:hAnsi="Times New Roman" w:cs="Times New Roman"/>
          <w:sz w:val="24"/>
          <w:szCs w:val="24"/>
          <w:lang w:val="en-SG"/>
        </w:rPr>
        <w:fldChar w:fldCharType="separate"/>
      </w:r>
      <w:r w:rsidR="00724502" w:rsidRPr="00724502">
        <w:rPr>
          <w:rFonts w:ascii="Times New Roman" w:hAnsi="Times New Roman" w:cs="Times New Roman"/>
          <w:noProof/>
          <w:sz w:val="24"/>
          <w:szCs w:val="24"/>
          <w:vertAlign w:val="superscript"/>
          <w:lang w:val="en-SG"/>
        </w:rPr>
        <w:t>42</w:t>
      </w:r>
      <w:r w:rsidR="00441048" w:rsidRPr="008374B5">
        <w:rPr>
          <w:rFonts w:ascii="Times New Roman" w:hAnsi="Times New Roman" w:cs="Times New Roman"/>
          <w:sz w:val="24"/>
          <w:szCs w:val="24"/>
          <w:lang w:val="en-SG"/>
        </w:rPr>
        <w:fldChar w:fldCharType="end"/>
      </w:r>
      <w:r w:rsidR="00537BF4" w:rsidRPr="008374B5">
        <w:rPr>
          <w:rFonts w:ascii="Times New Roman" w:eastAsiaTheme="minorEastAsia" w:hAnsi="Times New Roman" w:cs="Times New Roman"/>
          <w:sz w:val="24"/>
          <w:szCs w:val="24"/>
          <w:lang w:val="en-SG" w:eastAsia="zh-CN"/>
        </w:rPr>
        <w:t xml:space="preserve">. </w:t>
      </w:r>
      <w:r w:rsidR="00441048" w:rsidRPr="008374B5">
        <w:rPr>
          <w:rFonts w:ascii="Times New Roman" w:hAnsi="Times New Roman" w:cs="Times New Roman"/>
          <w:sz w:val="24"/>
          <w:szCs w:val="24"/>
          <w:lang w:val="en-SG"/>
        </w:rPr>
        <w:t xml:space="preserve">The Avon Longitudinal Study of Parents and Children birth cohort also reported that </w:t>
      </w:r>
      <w:r w:rsidR="00D72CD3" w:rsidRPr="008374B5">
        <w:rPr>
          <w:rFonts w:ascii="Times New Roman" w:hAnsi="Times New Roman" w:cs="Times New Roman"/>
          <w:sz w:val="24"/>
          <w:szCs w:val="24"/>
          <w:lang w:val="en-SG"/>
        </w:rPr>
        <w:t>higher</w:t>
      </w:r>
      <w:r w:rsidR="00441048" w:rsidRPr="008374B5">
        <w:rPr>
          <w:rFonts w:ascii="Times New Roman" w:hAnsi="Times New Roman" w:cs="Times New Roman"/>
          <w:sz w:val="24"/>
          <w:szCs w:val="24"/>
          <w:lang w:val="en-SG"/>
        </w:rPr>
        <w:t xml:space="preserve"> energy intake at 4 months</w:t>
      </w:r>
      <w:r w:rsidR="00596641" w:rsidRPr="008374B5">
        <w:rPr>
          <w:rFonts w:ascii="Times New Roman" w:hAnsi="Times New Roman" w:cs="Times New Roman"/>
          <w:sz w:val="24"/>
          <w:szCs w:val="24"/>
          <w:lang w:val="en-SG"/>
        </w:rPr>
        <w:t xml:space="preserve"> was positively </w:t>
      </w:r>
      <w:r w:rsidR="0042237D" w:rsidRPr="008374B5">
        <w:rPr>
          <w:rFonts w:ascii="Times New Roman" w:hAnsi="Times New Roman" w:cs="Times New Roman"/>
          <w:sz w:val="24"/>
          <w:szCs w:val="24"/>
          <w:lang w:val="en-SG"/>
        </w:rPr>
        <w:t>associated</w:t>
      </w:r>
      <w:r w:rsidR="00596641" w:rsidRPr="008374B5">
        <w:rPr>
          <w:rFonts w:ascii="Times New Roman" w:hAnsi="Times New Roman" w:cs="Times New Roman"/>
          <w:sz w:val="24"/>
          <w:szCs w:val="24"/>
          <w:lang w:val="en-SG"/>
        </w:rPr>
        <w:t xml:space="preserve"> </w:t>
      </w:r>
      <w:r w:rsidR="0042237D" w:rsidRPr="008374B5">
        <w:rPr>
          <w:rFonts w:ascii="Times New Roman" w:hAnsi="Times New Roman" w:cs="Times New Roman"/>
          <w:sz w:val="24"/>
          <w:szCs w:val="24"/>
          <w:lang w:val="en-SG"/>
        </w:rPr>
        <w:t xml:space="preserve">with </w:t>
      </w:r>
      <w:r w:rsidR="00596641" w:rsidRPr="008374B5">
        <w:rPr>
          <w:rFonts w:ascii="Times New Roman" w:hAnsi="Times New Roman" w:cs="Times New Roman"/>
          <w:sz w:val="24"/>
          <w:szCs w:val="24"/>
          <w:lang w:val="en-SG"/>
        </w:rPr>
        <w:t>early childhood weight gain and subsequent body weight and BMI up to 5 years of age</w:t>
      </w:r>
      <w:r w:rsidR="000C25F8" w:rsidRPr="008374B5">
        <w:rPr>
          <w:rFonts w:ascii="Times New Roman" w:hAnsi="Times New Roman" w:cs="Times New Roman"/>
          <w:sz w:val="24"/>
          <w:szCs w:val="24"/>
          <w:lang w:val="en-SG"/>
        </w:rPr>
        <w:t xml:space="preserve">, although this </w:t>
      </w:r>
      <w:r w:rsidR="005F3EA7" w:rsidRPr="008374B5">
        <w:rPr>
          <w:rFonts w:ascii="Times New Roman" w:hAnsi="Times New Roman" w:cs="Times New Roman"/>
          <w:sz w:val="24"/>
          <w:szCs w:val="24"/>
          <w:lang w:val="en-SG"/>
        </w:rPr>
        <w:t>finding</w:t>
      </w:r>
      <w:r w:rsidR="000C25F8" w:rsidRPr="008374B5">
        <w:rPr>
          <w:rFonts w:ascii="Times New Roman" w:hAnsi="Times New Roman" w:cs="Times New Roman"/>
          <w:sz w:val="24"/>
          <w:szCs w:val="24"/>
          <w:lang w:val="en-SG"/>
        </w:rPr>
        <w:t xml:space="preserve"> was limited to formula</w:t>
      </w:r>
      <w:r w:rsidR="000B1D17" w:rsidRPr="008374B5">
        <w:rPr>
          <w:rFonts w:ascii="Times New Roman" w:hAnsi="Times New Roman" w:cs="Times New Roman"/>
          <w:sz w:val="24"/>
          <w:szCs w:val="24"/>
          <w:lang w:val="en-SG"/>
        </w:rPr>
        <w:t>-</w:t>
      </w:r>
      <w:r w:rsidR="000C25F8" w:rsidRPr="008374B5">
        <w:rPr>
          <w:rFonts w:ascii="Times New Roman" w:hAnsi="Times New Roman" w:cs="Times New Roman"/>
          <w:sz w:val="24"/>
          <w:szCs w:val="24"/>
          <w:lang w:val="en-SG"/>
        </w:rPr>
        <w:t xml:space="preserve"> or mixed</w:t>
      </w:r>
      <w:r w:rsidR="000B1D17" w:rsidRPr="008374B5">
        <w:rPr>
          <w:rFonts w:ascii="Times New Roman" w:hAnsi="Times New Roman" w:cs="Times New Roman"/>
          <w:sz w:val="24"/>
          <w:szCs w:val="24"/>
          <w:lang w:val="en-SG"/>
        </w:rPr>
        <w:t>-</w:t>
      </w:r>
      <w:r w:rsidR="000C25F8" w:rsidRPr="008374B5">
        <w:rPr>
          <w:rFonts w:ascii="Times New Roman" w:hAnsi="Times New Roman" w:cs="Times New Roman"/>
          <w:sz w:val="24"/>
          <w:szCs w:val="24"/>
          <w:lang w:val="en-SG"/>
        </w:rPr>
        <w:t>fed infants</w:t>
      </w:r>
      <w:r w:rsidR="00DD1F5A" w:rsidRPr="008374B5">
        <w:rPr>
          <w:rFonts w:ascii="Times New Roman" w:hAnsi="Times New Roman" w:cs="Times New Roman"/>
          <w:sz w:val="24"/>
          <w:szCs w:val="24"/>
          <w:lang w:val="en-SG"/>
        </w:rPr>
        <w:fldChar w:fldCharType="begin" w:fldLock="1"/>
      </w:r>
      <w:r w:rsidR="001459A4">
        <w:rPr>
          <w:rFonts w:ascii="Times New Roman" w:hAnsi="Times New Roman" w:cs="Times New Roman"/>
          <w:sz w:val="24"/>
          <w:szCs w:val="24"/>
          <w:lang w:val="en-SG"/>
        </w:rPr>
        <w:instrText>ADDIN CSL_CITATION { "citationItems" : [ { "id" : "ITEM-1", "itemData" : { "DOI" : "10.1542/peds.2005-1668", "ISSN" : "0031-4005", "author" : [ { "dropping-particle" : "", "family" : "Ong", "given" : "K. K.", "non-dropping-particle" : "", "parse-names" : false, "suffix" : "" }, { "dropping-particle" : "", "family" : "Emmett", "given" : "P. M.", "non-dropping-particle" : "", "parse-names" : false, "suffix" : "" }, { "dropping-particle" : "", "family" : "Noble", "given" : "S.", "non-dropping-particle" : "", "parse-names" : false, "suffix" : "" }, { "dropping-particle" : "", "family" : "Ness", "given" : "A.", "non-dropping-particle" : "", "parse-names" : false, "suffix" : "" }, { "dropping-particle" : "", "family" : "David", "given" : "B. D.", "non-dropping-particle" : "", "parse-names" : false, "suffix" : "" } ], "container-title" : "PEDIATRICS", "id" : "ITEM-1", "issue" : "3", "issued" : { "date-parts" : [ [ "2006", "3", "1" ] ] }, "page" : "e503-e508", "title" : "Dietary Energy Intake at the Age of 4 Months Predicts Postnatal Weight Gain and Childhood Body Mass Index", "type" : "article-journal", "volume" : "117" }, "uris" : [ "http://www.mendeley.com/documents/?uuid=fc05fe12-6d79-49df-add7-4a4a4fc0b7df" ] } ], "mendeley" : { "formattedCitation" : "&lt;sup&gt;15&lt;/sup&gt;", "plainTextFormattedCitation" : "15", "previouslyFormattedCitation" : "&lt;sup&gt;15&lt;/sup&gt;" }, "properties" : { "noteIndex" : 0 }, "schema" : "https://github.com/citation-style-language/schema/raw/master/csl-citation.json" }</w:instrText>
      </w:r>
      <w:r w:rsidR="00DD1F5A" w:rsidRPr="008374B5">
        <w:rPr>
          <w:rFonts w:ascii="Times New Roman" w:hAnsi="Times New Roman" w:cs="Times New Roman"/>
          <w:sz w:val="24"/>
          <w:szCs w:val="24"/>
          <w:lang w:val="en-SG"/>
        </w:rPr>
        <w:fldChar w:fldCharType="separate"/>
      </w:r>
      <w:r w:rsidR="00724502" w:rsidRPr="00724502">
        <w:rPr>
          <w:rFonts w:ascii="Times New Roman" w:hAnsi="Times New Roman" w:cs="Times New Roman"/>
          <w:noProof/>
          <w:sz w:val="24"/>
          <w:szCs w:val="24"/>
          <w:vertAlign w:val="superscript"/>
          <w:lang w:val="en-SG"/>
        </w:rPr>
        <w:t>15</w:t>
      </w:r>
      <w:r w:rsidR="00DD1F5A" w:rsidRPr="008374B5">
        <w:rPr>
          <w:rFonts w:ascii="Times New Roman" w:hAnsi="Times New Roman" w:cs="Times New Roman"/>
          <w:sz w:val="24"/>
          <w:szCs w:val="24"/>
          <w:lang w:val="en-SG"/>
        </w:rPr>
        <w:fldChar w:fldCharType="end"/>
      </w:r>
      <w:r w:rsidR="00441048" w:rsidRPr="008374B5">
        <w:rPr>
          <w:rFonts w:ascii="Times New Roman" w:hAnsi="Times New Roman" w:cs="Times New Roman"/>
          <w:sz w:val="24"/>
          <w:szCs w:val="24"/>
          <w:lang w:val="en-SG"/>
        </w:rPr>
        <w:t xml:space="preserve">. </w:t>
      </w:r>
      <w:r w:rsidR="008F735A" w:rsidRPr="008374B5">
        <w:rPr>
          <w:rFonts w:ascii="Times New Roman" w:hAnsi="Times New Roman" w:cs="Times New Roman"/>
          <w:sz w:val="24"/>
          <w:szCs w:val="24"/>
          <w:lang w:val="en-SG"/>
        </w:rPr>
        <w:t>These findings, if applicable to</w:t>
      </w:r>
      <w:r w:rsidR="00631258" w:rsidRPr="008374B5">
        <w:rPr>
          <w:rFonts w:ascii="Times New Roman" w:hAnsi="Times New Roman" w:cs="Times New Roman"/>
          <w:sz w:val="24"/>
          <w:szCs w:val="24"/>
          <w:lang w:val="en-SG"/>
        </w:rPr>
        <w:t xml:space="preserve"> this study, suggest </w:t>
      </w:r>
      <w:r w:rsidR="008F735A" w:rsidRPr="008374B5">
        <w:rPr>
          <w:rFonts w:ascii="Times New Roman" w:hAnsi="Times New Roman" w:cs="Times New Roman"/>
          <w:sz w:val="24"/>
          <w:szCs w:val="24"/>
          <w:lang w:val="en-SG"/>
        </w:rPr>
        <w:t xml:space="preserve">that </w:t>
      </w:r>
      <w:r w:rsidR="008F735A" w:rsidRPr="008374B5">
        <w:rPr>
          <w:rFonts w:ascii="Times New Roman" w:eastAsiaTheme="minorEastAsia" w:hAnsi="Times New Roman" w:cs="Times New Roman"/>
          <w:sz w:val="24"/>
          <w:szCs w:val="24"/>
          <w:lang w:val="en-SG" w:eastAsia="zh-CN"/>
        </w:rPr>
        <w:t>p</w:t>
      </w:r>
      <w:r w:rsidR="00F26516" w:rsidRPr="008374B5">
        <w:rPr>
          <w:rFonts w:ascii="Times New Roman" w:eastAsiaTheme="minorEastAsia" w:hAnsi="Times New Roman" w:cs="Times New Roman"/>
          <w:sz w:val="24"/>
          <w:szCs w:val="24"/>
          <w:lang w:val="en-SG" w:eastAsia="zh-CN"/>
        </w:rPr>
        <w:t>ost</w:t>
      </w:r>
      <w:r w:rsidR="000B1D17" w:rsidRPr="008374B5">
        <w:rPr>
          <w:rFonts w:ascii="Times New Roman" w:eastAsiaTheme="minorEastAsia" w:hAnsi="Times New Roman" w:cs="Times New Roman"/>
          <w:sz w:val="24"/>
          <w:szCs w:val="24"/>
          <w:lang w:val="en-SG" w:eastAsia="zh-CN"/>
        </w:rPr>
        <w:t>-</w:t>
      </w:r>
      <w:r w:rsidR="00F26516" w:rsidRPr="008374B5">
        <w:rPr>
          <w:rFonts w:ascii="Times New Roman" w:eastAsiaTheme="minorEastAsia" w:hAnsi="Times New Roman" w:cs="Times New Roman"/>
          <w:sz w:val="24"/>
          <w:szCs w:val="24"/>
          <w:lang w:val="en-SG" w:eastAsia="zh-CN"/>
        </w:rPr>
        <w:t xml:space="preserve">midnight feeding </w:t>
      </w:r>
      <w:r w:rsidR="00292690" w:rsidRPr="008374B5">
        <w:rPr>
          <w:rFonts w:ascii="Times New Roman" w:eastAsiaTheme="minorEastAsia" w:hAnsi="Times New Roman" w:cs="Times New Roman"/>
          <w:sz w:val="24"/>
          <w:szCs w:val="24"/>
          <w:lang w:val="en-SG" w:eastAsia="zh-CN"/>
        </w:rPr>
        <w:t xml:space="preserve">during infancy </w:t>
      </w:r>
      <w:r w:rsidR="008F735A" w:rsidRPr="008374B5">
        <w:rPr>
          <w:rFonts w:ascii="Times New Roman" w:eastAsiaTheme="minorEastAsia" w:hAnsi="Times New Roman" w:cs="Times New Roman"/>
          <w:sz w:val="24"/>
          <w:szCs w:val="24"/>
          <w:lang w:val="en-SG" w:eastAsia="zh-CN"/>
        </w:rPr>
        <w:t xml:space="preserve">may </w:t>
      </w:r>
      <w:r w:rsidR="00F26516" w:rsidRPr="008374B5">
        <w:rPr>
          <w:rFonts w:ascii="Times New Roman" w:eastAsiaTheme="minorEastAsia" w:hAnsi="Times New Roman" w:cs="Times New Roman"/>
          <w:sz w:val="24"/>
          <w:szCs w:val="24"/>
          <w:lang w:val="en-SG" w:eastAsia="zh-CN"/>
        </w:rPr>
        <w:t>be metabolically</w:t>
      </w:r>
      <w:r w:rsidR="00D24F5B" w:rsidRPr="008374B5">
        <w:rPr>
          <w:rFonts w:ascii="Times New Roman" w:eastAsiaTheme="minorEastAsia" w:hAnsi="Times New Roman" w:cs="Times New Roman"/>
          <w:sz w:val="24"/>
          <w:szCs w:val="24"/>
          <w:lang w:val="en-SG" w:eastAsia="zh-CN"/>
        </w:rPr>
        <w:t xml:space="preserve"> </w:t>
      </w:r>
      <w:r w:rsidR="00C70649" w:rsidRPr="008374B5">
        <w:rPr>
          <w:rFonts w:ascii="Times New Roman" w:eastAsiaTheme="minorEastAsia" w:hAnsi="Times New Roman" w:cs="Times New Roman"/>
          <w:sz w:val="24"/>
          <w:szCs w:val="24"/>
          <w:lang w:val="en-SG" w:eastAsia="zh-CN"/>
        </w:rPr>
        <w:t>disadvantageous</w:t>
      </w:r>
      <w:r w:rsidR="00F26516" w:rsidRPr="008374B5">
        <w:rPr>
          <w:rFonts w:ascii="Times New Roman" w:eastAsiaTheme="minorEastAsia" w:hAnsi="Times New Roman" w:cs="Times New Roman"/>
          <w:sz w:val="24"/>
          <w:szCs w:val="24"/>
          <w:lang w:val="en-SG" w:eastAsia="zh-CN"/>
        </w:rPr>
        <w:t xml:space="preserve">. </w:t>
      </w:r>
      <w:r w:rsidR="00A7015E" w:rsidRPr="008374B5">
        <w:rPr>
          <w:rFonts w:ascii="Times New Roman" w:hAnsi="Times New Roman" w:cs="Times New Roman"/>
          <w:sz w:val="24"/>
          <w:szCs w:val="24"/>
          <w:lang w:val="en-SG"/>
        </w:rPr>
        <w:t xml:space="preserve">Further studies are needed to determine if </w:t>
      </w:r>
      <w:r w:rsidR="00967EC5" w:rsidRPr="008374B5">
        <w:rPr>
          <w:rFonts w:ascii="Times New Roman" w:hAnsi="Times New Roman" w:cs="Times New Roman"/>
          <w:sz w:val="24"/>
          <w:szCs w:val="24"/>
          <w:lang w:val="en-SG"/>
        </w:rPr>
        <w:t xml:space="preserve">higher </w:t>
      </w:r>
      <w:r w:rsidR="00683803" w:rsidRPr="008374B5">
        <w:rPr>
          <w:rFonts w:ascii="Times New Roman" w:hAnsi="Times New Roman" w:cs="Times New Roman"/>
          <w:sz w:val="24"/>
          <w:szCs w:val="24"/>
          <w:lang w:val="en-SG"/>
        </w:rPr>
        <w:t xml:space="preserve">daily </w:t>
      </w:r>
      <w:r w:rsidR="00A7015E" w:rsidRPr="008374B5">
        <w:rPr>
          <w:rFonts w:ascii="Times New Roman" w:hAnsi="Times New Roman" w:cs="Times New Roman"/>
          <w:sz w:val="24"/>
          <w:szCs w:val="24"/>
          <w:lang w:val="en-SG"/>
        </w:rPr>
        <w:t xml:space="preserve">energy intake </w:t>
      </w:r>
      <w:r w:rsidR="00683803" w:rsidRPr="008374B5">
        <w:rPr>
          <w:rFonts w:ascii="Times New Roman" w:hAnsi="Times New Roman" w:cs="Times New Roman"/>
          <w:sz w:val="24"/>
          <w:szCs w:val="24"/>
          <w:lang w:val="en-SG"/>
        </w:rPr>
        <w:t xml:space="preserve">due to </w:t>
      </w:r>
      <w:r w:rsidR="00631258"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631258" w:rsidRPr="008374B5">
        <w:rPr>
          <w:rFonts w:ascii="Times New Roman" w:hAnsi="Times New Roman" w:cs="Times New Roman"/>
          <w:sz w:val="24"/>
          <w:szCs w:val="24"/>
          <w:lang w:val="en-SG"/>
        </w:rPr>
        <w:t xml:space="preserve">midnight feed(s) </w:t>
      </w:r>
      <w:r w:rsidR="00535A2D" w:rsidRPr="008374B5">
        <w:rPr>
          <w:rFonts w:ascii="Times New Roman" w:hAnsi="Times New Roman" w:cs="Times New Roman"/>
          <w:sz w:val="24"/>
          <w:szCs w:val="24"/>
          <w:lang w:val="en-SG"/>
        </w:rPr>
        <w:t xml:space="preserve">during early life </w:t>
      </w:r>
      <w:r w:rsidR="00A7015E" w:rsidRPr="008374B5">
        <w:rPr>
          <w:rFonts w:ascii="Times New Roman" w:hAnsi="Times New Roman" w:cs="Times New Roman"/>
          <w:sz w:val="24"/>
          <w:szCs w:val="24"/>
          <w:lang w:val="en-SG"/>
        </w:rPr>
        <w:t>is associated with metabolic disorders.</w:t>
      </w:r>
    </w:p>
    <w:p w14:paraId="6EE87005" w14:textId="6A4657CF" w:rsidR="00A7015E" w:rsidRPr="008374B5" w:rsidRDefault="00A7015E" w:rsidP="008374B5">
      <w:pPr>
        <w:suppressAutoHyphens/>
        <w:spacing w:after="0" w:line="360" w:lineRule="auto"/>
        <w:ind w:firstLine="720"/>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Third, post</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midnight </w:t>
      </w:r>
      <w:r w:rsidR="00A00455" w:rsidRPr="008374B5">
        <w:rPr>
          <w:rFonts w:ascii="Times New Roman" w:hAnsi="Times New Roman" w:cs="Times New Roman"/>
          <w:sz w:val="24"/>
          <w:szCs w:val="24"/>
          <w:lang w:val="en-SG"/>
        </w:rPr>
        <w:t>energy intake</w:t>
      </w:r>
      <w:r w:rsidRPr="008374B5">
        <w:rPr>
          <w:rFonts w:ascii="Times New Roman" w:hAnsi="Times New Roman" w:cs="Times New Roman"/>
          <w:sz w:val="24"/>
          <w:szCs w:val="24"/>
          <w:lang w:val="en-SG"/>
        </w:rPr>
        <w:t xml:space="preserve"> </w:t>
      </w:r>
      <w:r w:rsidR="00A00455" w:rsidRPr="008374B5">
        <w:rPr>
          <w:rFonts w:ascii="Times New Roman" w:hAnsi="Times New Roman" w:cs="Times New Roman"/>
          <w:sz w:val="24"/>
          <w:szCs w:val="24"/>
          <w:lang w:val="en-SG"/>
        </w:rPr>
        <w:t xml:space="preserve">came </w:t>
      </w:r>
      <w:r w:rsidR="0004157B" w:rsidRPr="008374B5">
        <w:rPr>
          <w:rFonts w:ascii="Times New Roman" w:hAnsi="Times New Roman" w:cs="Times New Roman"/>
          <w:sz w:val="24"/>
          <w:szCs w:val="24"/>
          <w:lang w:val="en-SG"/>
        </w:rPr>
        <w:t xml:space="preserve">mainly </w:t>
      </w:r>
      <w:r w:rsidR="00A00455" w:rsidRPr="008374B5">
        <w:rPr>
          <w:rFonts w:ascii="Times New Roman" w:hAnsi="Times New Roman" w:cs="Times New Roman"/>
          <w:sz w:val="24"/>
          <w:szCs w:val="24"/>
          <w:lang w:val="en-SG"/>
        </w:rPr>
        <w:t>from</w:t>
      </w:r>
      <w:r w:rsidRPr="008374B5">
        <w:rPr>
          <w:rFonts w:ascii="Times New Roman" w:hAnsi="Times New Roman" w:cs="Times New Roman"/>
          <w:sz w:val="24"/>
          <w:szCs w:val="24"/>
          <w:lang w:val="en-SG"/>
        </w:rPr>
        <w:t xml:space="preserve"> formula milk. </w:t>
      </w:r>
      <w:r w:rsidR="00A00455" w:rsidRPr="008374B5">
        <w:rPr>
          <w:rFonts w:ascii="Times New Roman" w:hAnsi="Times New Roman" w:cs="Times New Roman"/>
          <w:sz w:val="24"/>
          <w:szCs w:val="24"/>
          <w:lang w:val="en-SG"/>
        </w:rPr>
        <w:t>The</w:t>
      </w:r>
      <w:r w:rsidR="009B66CD" w:rsidRPr="008374B5">
        <w:rPr>
          <w:rFonts w:ascii="Times New Roman" w:hAnsi="Times New Roman" w:cs="Times New Roman"/>
          <w:sz w:val="24"/>
          <w:szCs w:val="24"/>
          <w:lang w:val="en-SG"/>
        </w:rPr>
        <w:t xml:space="preserve"> practice of formula</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feeding during the night appears to be prevalent among children of similar age range in other countries. In the Gemini twin cohort study,</w:t>
      </w:r>
      <w:r w:rsidR="00FA16B1" w:rsidRPr="008374B5">
        <w:rPr>
          <w:rFonts w:ascii="Times New Roman" w:hAnsi="Times New Roman" w:cs="Times New Roman"/>
          <w:sz w:val="24"/>
          <w:szCs w:val="24"/>
          <w:lang w:val="en-SG"/>
        </w:rPr>
        <w:t xml:space="preserve"> over 90% of energy intake</w:t>
      </w:r>
      <w:r w:rsidRPr="008374B5">
        <w:rPr>
          <w:rFonts w:ascii="Times New Roman" w:hAnsi="Times New Roman" w:cs="Times New Roman"/>
          <w:sz w:val="24"/>
          <w:szCs w:val="24"/>
          <w:lang w:val="en-SG"/>
        </w:rPr>
        <w:t xml:space="preserve"> during the night were from milk drinks consumed before </w:t>
      </w:r>
      <w:r w:rsidR="00C70649" w:rsidRPr="008374B5">
        <w:rPr>
          <w:rFonts w:ascii="Times New Roman" w:hAnsi="Times New Roman" w:cs="Times New Roman"/>
          <w:sz w:val="24"/>
          <w:szCs w:val="24"/>
          <w:lang w:val="en-SG"/>
        </w:rPr>
        <w:t>midnight</w:t>
      </w:r>
      <w:r w:rsidRPr="008374B5">
        <w:rPr>
          <w:rFonts w:ascii="Times New Roman" w:hAnsi="Times New Roman" w:cs="Times New Roman"/>
          <w:sz w:val="24"/>
          <w:szCs w:val="24"/>
          <w:lang w:val="en-SG"/>
        </w:rPr>
        <w:fldChar w:fldCharType="begin" w:fldLock="1"/>
      </w:r>
      <w:r w:rsidR="001459A4">
        <w:rPr>
          <w:rFonts w:ascii="Times New Roman" w:hAnsi="Times New Roman" w:cs="Times New Roman"/>
          <w:sz w:val="24"/>
          <w:szCs w:val="24"/>
          <w:lang w:val="en-SG"/>
        </w:rPr>
        <w:instrText>ADDIN CSL_CITATION { "citationItems" : [ { "id" : "ITEM-1", "itemData" : { "DOI" : "10.1111/ijpo.12006", "ISSN" : "20476302", "author" : [ { "dropping-particle" : "", "family" : "McDonald", "given" : "L.", "non-dropping-particle" : "", "parse-names" : false, "suffix" : "" }, { "dropping-particle" : "", "family" : "Wardle", "given" : "J.", "non-dropping-particle" : "", "parse-names" : false, "suffix" : "" }, { "dropping-particle" : "", "family" : "Llewellyn", "given" : "C. H.", "non-dropping-particle" : "", "parse-names" : false, "suffix" : "" }, { "dropping-particle" : "", "family" : "Johnson", "given" : "L.", "non-dropping-particle" : "", "parse-names" : false, "suffix" : "" }, { "dropping-particle" : "", "family" : "Jaarsveld", "given" : "C. H. M.", "non-dropping-particle" : "van", "parse-names" : false, "suffix" : "" }, { "dropping-particle" : "", "family" : "Syrad", "given" : "H.", "non-dropping-particle" : "", "parse-names" : false, "suffix" : "" }, { "dropping-particle" : "", "family" : "Fisher", "given" : "A.", "non-dropping-particle" : "", "parse-names" : false, "suffix" : "" } ], "container-title" : "Pediatric Obesity", "id" : "ITEM-1", "issue" : "6", "issued" : { "date-parts" : [ [ "2015", "12" ] ] }, "page" : "454-460", "title" : "Sleep and nighttime energy consumption in early childhood: a population-based cohort study", "type" : "article-journal", "volume" : "10" }, "uris" : [ "http://www.mendeley.com/documents/?uuid=aebdfe47-2981-4a7e-a66f-36de454ed30c" ] } ], "mendeley" : { "formattedCitation" : "&lt;sup&gt;43&lt;/sup&gt;", "plainTextFormattedCitation" : "43", "previouslyFormattedCitation" : "&lt;sup&gt;43&lt;/sup&gt;" }, "properties" : { "noteIndex" : 0 }, "schema" : "https://github.com/citation-style-language/schema/raw/master/csl-citation.json" }</w:instrText>
      </w:r>
      <w:r w:rsidRPr="008374B5">
        <w:rPr>
          <w:rFonts w:ascii="Times New Roman" w:hAnsi="Times New Roman" w:cs="Times New Roman"/>
          <w:sz w:val="24"/>
          <w:szCs w:val="24"/>
          <w:lang w:val="en-SG"/>
        </w:rPr>
        <w:fldChar w:fldCharType="separate"/>
      </w:r>
      <w:r w:rsidR="00724502" w:rsidRPr="00724502">
        <w:rPr>
          <w:rFonts w:ascii="Times New Roman" w:hAnsi="Times New Roman" w:cs="Times New Roman"/>
          <w:noProof/>
          <w:sz w:val="24"/>
          <w:szCs w:val="24"/>
          <w:vertAlign w:val="superscript"/>
          <w:lang w:val="en-SG"/>
        </w:rPr>
        <w:t>43</w:t>
      </w:r>
      <w:r w:rsidRPr="008374B5">
        <w:rPr>
          <w:rFonts w:ascii="Times New Roman" w:hAnsi="Times New Roman" w:cs="Times New Roman"/>
          <w:sz w:val="24"/>
          <w:szCs w:val="24"/>
          <w:lang w:val="en-SG"/>
        </w:rPr>
        <w:fldChar w:fldCharType="end"/>
      </w:r>
      <w:r w:rsidRPr="008374B5">
        <w:rPr>
          <w:rFonts w:ascii="Times New Roman" w:hAnsi="Times New Roman" w:cs="Times New Roman"/>
          <w:sz w:val="24"/>
          <w:szCs w:val="24"/>
          <w:lang w:val="en-SG"/>
        </w:rPr>
        <w:t>. In Sri Lanka, 82.6% of children aged between 24 and 60 months old received night feeding</w:t>
      </w:r>
      <w:r w:rsidR="001D503C" w:rsidRPr="008374B5">
        <w:rPr>
          <w:rFonts w:ascii="Times New Roman" w:hAnsi="Times New Roman" w:cs="Times New Roman"/>
          <w:sz w:val="24"/>
          <w:szCs w:val="24"/>
          <w:lang w:val="en-SG"/>
        </w:rPr>
        <w:t xml:space="preserve"> in the form of formula milk or a mixed feeding</w:t>
      </w:r>
      <w:r w:rsidRPr="008374B5">
        <w:rPr>
          <w:rFonts w:ascii="Times New Roman" w:hAnsi="Times New Roman" w:cs="Times New Roman"/>
          <w:sz w:val="24"/>
          <w:szCs w:val="24"/>
          <w:lang w:val="en-SG"/>
        </w:rPr>
        <w:fldChar w:fldCharType="begin" w:fldLock="1"/>
      </w:r>
      <w:r w:rsidR="001459A4">
        <w:rPr>
          <w:rFonts w:ascii="Times New Roman" w:hAnsi="Times New Roman" w:cs="Times New Roman"/>
          <w:sz w:val="24"/>
          <w:szCs w:val="24"/>
          <w:lang w:val="en-SG"/>
        </w:rPr>
        <w:instrText>ADDIN CSL_CITATION { "citationItems" : [ { "id" : "ITEM-1", "itemData" : { "DOI" : "10.1186/1746-4358-6-18", "ISSN" : "1746-4358", "PMID" : "22104029", "abstract" : "BACKGROUND: Feeding during early childhood is important for normal physical and mental growth as well as for health in later life. Currently, Sri Lanka has adopted the WHO recommendation of exclusive breastfeeding for six months, followed by addition of complementary feeds thereafter, with continuation of breastfeeding up to or beyond two years. This study was conducted to evaluate the current feeding practices among Sri Lankan children during early childhood.\\n\\nMETHODS: This study was a descriptive cross-sectional study conducted in the Ragama Medical Officer of Health (MOH) area. It was conducted between 10 August 2010 and 30 October 2010. Children between the ages of 24 and 60 months, attending child welfare clinics, were included in the study on consecutive basis. An interviewer-administered questionnaire was used to collect data regarding sociodemographic characteristics and feeding practices.\\n\\nRESULTS: There were 208 boys and 202 girls in the study population. Of them, 255 (62.2%) were exclusively breastfed up to 6 months. Younger children had a statistically significant, higher rate of exclusive breastfeeding compared to older children. Three hundred and fifty one (85.6%) children had received infant formula, and it was started before the age of 6 months in 61 children, and in 212 before one year. Sugar was added to infant formula in 330 (80.4%) children, and out of them 144 had sugar added within first year of life. Complementary foods were started before 4 months in 29 (7%) children. Of the 410 children, 294 (71.7%) were breastfed beyond 2 years and 41.6% of them were breastfed at regular intervals throughout the day. Three hundred and thirty eight (82.6%) children were receiving overnight feeding of either breast milk or infant formula even after 2 years.\\n\\nCONCLUSIONS: Though a high rate of exclusive breastfeeding was observed in this study population, there are many other issues related to feeding during the early years of life that need immediate intervention. Too early introduction of complementary food, using infant formula without an indication, adding sugar to infant formula, too frequent breastfeeding and overnight feeding of older children are among them.", "author" : [ { "dropping-particle" : "", "family" : "Perera", "given" : "Priyantha J", "non-dropping-particle" : "", "parse-names" : false, "suffix" : "" }, { "dropping-particle" : "", "family" : "Fernando", "given" : "Meranthi", "non-dropping-particle" : "", "parse-names" : false, "suffix" : "" }, { "dropping-particle" : "", "family" : "Warnakulasuria", "given" : "Tania", "non-dropping-particle" : "", "parse-names" : false, "suffix" : "" }, { "dropping-particle" : "", "family" : "Ranathunga", "given" : "Nayomi", "non-dropping-particle" : "", "parse-names" : false, "suffix" : "" } ], "container-title" : "International Breastfeeding Journal", "id" : "ITEM-1", "issue" : "1", "issued" : { "date-parts" : [ [ "2011" ] ] }, "page" : "18", "publisher" : "BioMed Central Ltd", "title" : "Feeding practices among children attending child welfare clinics in Ragama MOH area: a descriptive cross-sectional study", "type" : "article-journal", "volume" : "6" }, "uris" : [ "http://www.mendeley.com/documents/?uuid=d0a03e44-5ca6-4e9a-8465-935d4ad32c37" ] } ], "mendeley" : { "formattedCitation" : "&lt;sup&gt;44&lt;/sup&gt;", "plainTextFormattedCitation" : "44", "previouslyFormattedCitation" : "&lt;sup&gt;44&lt;/sup&gt;" }, "properties" : { "noteIndex" : 0 }, "schema" : "https://github.com/citation-style-language/schema/raw/master/csl-citation.json" }</w:instrText>
      </w:r>
      <w:r w:rsidRPr="008374B5">
        <w:rPr>
          <w:rFonts w:ascii="Times New Roman" w:hAnsi="Times New Roman" w:cs="Times New Roman"/>
          <w:sz w:val="24"/>
          <w:szCs w:val="24"/>
          <w:lang w:val="en-SG"/>
        </w:rPr>
        <w:fldChar w:fldCharType="separate"/>
      </w:r>
      <w:r w:rsidR="00724502" w:rsidRPr="00724502">
        <w:rPr>
          <w:rFonts w:ascii="Times New Roman" w:hAnsi="Times New Roman" w:cs="Times New Roman"/>
          <w:noProof/>
          <w:sz w:val="24"/>
          <w:szCs w:val="24"/>
          <w:vertAlign w:val="superscript"/>
          <w:lang w:val="en-SG"/>
        </w:rPr>
        <w:t>44</w:t>
      </w:r>
      <w:r w:rsidRPr="008374B5">
        <w:rPr>
          <w:rFonts w:ascii="Times New Roman" w:hAnsi="Times New Roman" w:cs="Times New Roman"/>
          <w:sz w:val="24"/>
          <w:szCs w:val="24"/>
          <w:lang w:val="en-SG"/>
        </w:rPr>
        <w:fldChar w:fldCharType="end"/>
      </w:r>
      <w:r w:rsidR="00FA16B1" w:rsidRPr="008374B5">
        <w:rPr>
          <w:rFonts w:ascii="Times New Roman" w:hAnsi="Times New Roman" w:cs="Times New Roman"/>
          <w:sz w:val="24"/>
          <w:szCs w:val="24"/>
          <w:lang w:val="en-SG"/>
        </w:rPr>
        <w:t>. The</w:t>
      </w:r>
      <w:r w:rsidRPr="008374B5">
        <w:rPr>
          <w:rFonts w:ascii="Times New Roman" w:hAnsi="Times New Roman" w:cs="Times New Roman"/>
          <w:sz w:val="24"/>
          <w:szCs w:val="24"/>
          <w:lang w:val="en-SG"/>
        </w:rPr>
        <w:t xml:space="preserve"> </w:t>
      </w:r>
      <w:r w:rsidR="00FA16B1" w:rsidRPr="008374B5">
        <w:rPr>
          <w:rFonts w:ascii="Times New Roman" w:hAnsi="Times New Roman" w:cs="Times New Roman"/>
          <w:sz w:val="24"/>
          <w:szCs w:val="24"/>
          <w:lang w:val="en-SG"/>
        </w:rPr>
        <w:t xml:space="preserve">slight </w:t>
      </w:r>
      <w:r w:rsidRPr="008374B5">
        <w:rPr>
          <w:rFonts w:ascii="Times New Roman" w:hAnsi="Times New Roman" w:cs="Times New Roman"/>
          <w:sz w:val="24"/>
          <w:szCs w:val="24"/>
          <w:lang w:val="en-SG"/>
        </w:rPr>
        <w:t>differences in proportion from our study might be attributed to cul</w:t>
      </w:r>
      <w:r w:rsidR="006E311F" w:rsidRPr="008374B5">
        <w:rPr>
          <w:rFonts w:ascii="Times New Roman" w:hAnsi="Times New Roman" w:cs="Times New Roman"/>
          <w:sz w:val="24"/>
          <w:szCs w:val="24"/>
          <w:lang w:val="en-SG"/>
        </w:rPr>
        <w:t>tural and economic differences</w:t>
      </w:r>
      <w:r w:rsidR="009E5D46" w:rsidRPr="008374B5">
        <w:rPr>
          <w:rFonts w:ascii="Times New Roman" w:hAnsi="Times New Roman" w:cs="Times New Roman"/>
          <w:sz w:val="24"/>
          <w:szCs w:val="24"/>
          <w:lang w:val="en-SG"/>
        </w:rPr>
        <w:t>, as well as differences in the timeframe studied.</w:t>
      </w:r>
    </w:p>
    <w:p w14:paraId="1D56AD61" w14:textId="465234EB" w:rsidR="00B705C5" w:rsidRPr="008374B5" w:rsidRDefault="00FE71D6" w:rsidP="008374B5">
      <w:pPr>
        <w:suppressAutoHyphens/>
        <w:spacing w:after="0" w:line="360" w:lineRule="auto"/>
        <w:ind w:firstLine="720"/>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Lastly, o</w:t>
      </w:r>
      <w:r w:rsidR="00B705C5" w:rsidRPr="008374B5">
        <w:rPr>
          <w:rFonts w:ascii="Times New Roman" w:hAnsi="Times New Roman" w:cs="Times New Roman"/>
          <w:sz w:val="24"/>
          <w:szCs w:val="24"/>
          <w:lang w:val="en-SG"/>
        </w:rPr>
        <w:t xml:space="preserve">ur findings also </w:t>
      </w:r>
      <w:r w:rsidR="001301DD" w:rsidRPr="008374B5">
        <w:rPr>
          <w:rFonts w:ascii="Times New Roman" w:hAnsi="Times New Roman" w:cs="Times New Roman"/>
          <w:sz w:val="24"/>
          <w:szCs w:val="24"/>
          <w:lang w:val="en-SG"/>
        </w:rPr>
        <w:t xml:space="preserve">suggest </w:t>
      </w:r>
      <w:r w:rsidR="00B705C5" w:rsidRPr="008374B5">
        <w:rPr>
          <w:rFonts w:ascii="Times New Roman" w:hAnsi="Times New Roman" w:cs="Times New Roman"/>
          <w:sz w:val="24"/>
          <w:szCs w:val="24"/>
          <w:lang w:val="en-SG"/>
        </w:rPr>
        <w:t xml:space="preserve">that feeding mode during the first six months of life </w:t>
      </w:r>
      <w:r w:rsidR="00FB1A73" w:rsidRPr="008374B5">
        <w:rPr>
          <w:rFonts w:ascii="Times New Roman" w:hAnsi="Times New Roman" w:cs="Times New Roman"/>
          <w:sz w:val="24"/>
          <w:szCs w:val="24"/>
          <w:lang w:val="en-SG"/>
        </w:rPr>
        <w:t>is associated with</w:t>
      </w:r>
      <w:r w:rsidR="00B705C5" w:rsidRPr="008374B5">
        <w:rPr>
          <w:rFonts w:ascii="Times New Roman" w:hAnsi="Times New Roman" w:cs="Times New Roman"/>
          <w:sz w:val="24"/>
          <w:szCs w:val="24"/>
          <w:lang w:val="en-SG"/>
        </w:rPr>
        <w:t xml:space="preserve"> the </w:t>
      </w:r>
      <w:r w:rsidR="009D4F5B" w:rsidRPr="008374B5">
        <w:rPr>
          <w:rFonts w:ascii="Times New Roman" w:hAnsi="Times New Roman" w:cs="Times New Roman"/>
          <w:sz w:val="24"/>
          <w:szCs w:val="24"/>
          <w:lang w:val="en-SG"/>
        </w:rPr>
        <w:t xml:space="preserve">circadian </w:t>
      </w:r>
      <w:r w:rsidR="00B705C5" w:rsidRPr="008374B5">
        <w:rPr>
          <w:rFonts w:ascii="Times New Roman" w:hAnsi="Times New Roman" w:cs="Times New Roman"/>
          <w:sz w:val="24"/>
          <w:szCs w:val="24"/>
          <w:lang w:val="en-SG"/>
        </w:rPr>
        <w:t>feeding pattern of infants at 12</w:t>
      </w:r>
      <w:r w:rsidR="000B1D17" w:rsidRPr="008374B5">
        <w:rPr>
          <w:rFonts w:ascii="Times New Roman" w:hAnsi="Times New Roman" w:cs="Times New Roman"/>
          <w:sz w:val="24"/>
          <w:szCs w:val="24"/>
          <w:lang w:val="en-SG"/>
        </w:rPr>
        <w:t>-</w:t>
      </w:r>
      <w:r w:rsidR="00B705C5" w:rsidRPr="008374B5">
        <w:rPr>
          <w:rFonts w:ascii="Times New Roman" w:hAnsi="Times New Roman" w:cs="Times New Roman"/>
          <w:sz w:val="24"/>
          <w:szCs w:val="24"/>
          <w:lang w:val="en-SG"/>
        </w:rPr>
        <w:t>month</w:t>
      </w:r>
      <w:r w:rsidR="000B1D17" w:rsidRPr="008374B5">
        <w:rPr>
          <w:rFonts w:ascii="Times New Roman" w:hAnsi="Times New Roman" w:cs="Times New Roman"/>
          <w:sz w:val="24"/>
          <w:szCs w:val="24"/>
          <w:lang w:val="en-SG"/>
        </w:rPr>
        <w:t>-</w:t>
      </w:r>
      <w:r w:rsidR="00B705C5" w:rsidRPr="008374B5">
        <w:rPr>
          <w:rFonts w:ascii="Times New Roman" w:hAnsi="Times New Roman" w:cs="Times New Roman"/>
          <w:sz w:val="24"/>
          <w:szCs w:val="24"/>
          <w:lang w:val="en-SG"/>
        </w:rPr>
        <w:t xml:space="preserve">old. </w:t>
      </w:r>
      <w:r w:rsidR="001010A3" w:rsidRPr="008374B5">
        <w:rPr>
          <w:rFonts w:ascii="Times New Roman" w:hAnsi="Times New Roman" w:cs="Times New Roman"/>
          <w:sz w:val="24"/>
          <w:szCs w:val="24"/>
          <w:lang w:val="en-SG"/>
        </w:rPr>
        <w:t>C</w:t>
      </w:r>
      <w:r w:rsidR="00B705C5" w:rsidRPr="008374B5">
        <w:rPr>
          <w:rFonts w:ascii="Times New Roman" w:hAnsi="Times New Roman" w:cs="Times New Roman"/>
          <w:sz w:val="24"/>
          <w:szCs w:val="24"/>
          <w:lang w:val="en-SG"/>
        </w:rPr>
        <w:t xml:space="preserve">ompared to exclusively breastfed infants during the first six months of life, </w:t>
      </w:r>
      <w:r w:rsidR="00237DC1" w:rsidRPr="008374B5">
        <w:rPr>
          <w:rFonts w:ascii="Times New Roman" w:hAnsi="Times New Roman" w:cs="Times New Roman"/>
          <w:sz w:val="24"/>
          <w:szCs w:val="24"/>
          <w:lang w:val="en-SG"/>
        </w:rPr>
        <w:t>infants</w:t>
      </w:r>
      <w:r w:rsidR="00BF2CD9" w:rsidRPr="008374B5">
        <w:rPr>
          <w:rFonts w:ascii="Times New Roman" w:hAnsi="Times New Roman" w:cs="Times New Roman"/>
          <w:sz w:val="24"/>
          <w:szCs w:val="24"/>
          <w:lang w:val="en-SG"/>
        </w:rPr>
        <w:t xml:space="preserve"> who received only formula milk during the first six months of life</w:t>
      </w:r>
      <w:r w:rsidR="00B705C5" w:rsidRPr="008374B5">
        <w:rPr>
          <w:rFonts w:ascii="Times New Roman" w:hAnsi="Times New Roman" w:cs="Times New Roman"/>
          <w:sz w:val="24"/>
          <w:szCs w:val="24"/>
          <w:lang w:val="en-SG"/>
        </w:rPr>
        <w:t xml:space="preserve"> were more likely to be a</w:t>
      </w:r>
      <w:r w:rsidR="009D4F5B" w:rsidRPr="008374B5">
        <w:rPr>
          <w:rFonts w:ascii="Times New Roman" w:hAnsi="Times New Roman" w:cs="Times New Roman"/>
          <w:sz w:val="24"/>
          <w:szCs w:val="24"/>
          <w:lang w:val="en-SG"/>
        </w:rPr>
        <w:t xml:space="preserve"> post</w:t>
      </w:r>
      <w:r w:rsidR="000B1D17" w:rsidRPr="008374B5">
        <w:rPr>
          <w:rFonts w:ascii="Times New Roman" w:hAnsi="Times New Roman" w:cs="Times New Roman"/>
          <w:sz w:val="24"/>
          <w:szCs w:val="24"/>
          <w:lang w:val="en-SG"/>
        </w:rPr>
        <w:t>-</w:t>
      </w:r>
      <w:r w:rsidR="00B705C5" w:rsidRPr="008374B5">
        <w:rPr>
          <w:rFonts w:ascii="Times New Roman" w:hAnsi="Times New Roman" w:cs="Times New Roman"/>
          <w:sz w:val="24"/>
          <w:szCs w:val="24"/>
          <w:lang w:val="en-SG"/>
        </w:rPr>
        <w:t>midnight feeder at 12</w:t>
      </w:r>
      <w:r w:rsidR="000B1D17" w:rsidRPr="008374B5">
        <w:rPr>
          <w:rFonts w:ascii="Times New Roman" w:hAnsi="Times New Roman" w:cs="Times New Roman"/>
          <w:sz w:val="24"/>
          <w:szCs w:val="24"/>
          <w:lang w:val="en-SG"/>
        </w:rPr>
        <w:t>-</w:t>
      </w:r>
      <w:r w:rsidR="00B705C5" w:rsidRPr="008374B5">
        <w:rPr>
          <w:rFonts w:ascii="Times New Roman" w:hAnsi="Times New Roman" w:cs="Times New Roman"/>
          <w:sz w:val="24"/>
          <w:szCs w:val="24"/>
          <w:lang w:val="en-SG"/>
        </w:rPr>
        <w:t>month</w:t>
      </w:r>
      <w:r w:rsidR="000B1D17" w:rsidRPr="008374B5">
        <w:rPr>
          <w:rFonts w:ascii="Times New Roman" w:hAnsi="Times New Roman" w:cs="Times New Roman"/>
          <w:sz w:val="24"/>
          <w:szCs w:val="24"/>
          <w:lang w:val="en-SG"/>
        </w:rPr>
        <w:t>-</w:t>
      </w:r>
      <w:r w:rsidR="00B705C5" w:rsidRPr="008374B5">
        <w:rPr>
          <w:rFonts w:ascii="Times New Roman" w:hAnsi="Times New Roman" w:cs="Times New Roman"/>
          <w:sz w:val="24"/>
          <w:szCs w:val="24"/>
          <w:lang w:val="en-SG"/>
        </w:rPr>
        <w:t xml:space="preserve">old. </w:t>
      </w:r>
      <w:r w:rsidR="00596641" w:rsidRPr="008374B5">
        <w:rPr>
          <w:rFonts w:ascii="Times New Roman" w:hAnsi="Times New Roman" w:cs="Times New Roman"/>
          <w:sz w:val="24"/>
          <w:szCs w:val="24"/>
          <w:lang w:val="en-SG"/>
        </w:rPr>
        <w:t>Together</w:t>
      </w:r>
      <w:r w:rsidR="00B705C5" w:rsidRPr="008374B5">
        <w:rPr>
          <w:rFonts w:ascii="Times New Roman" w:hAnsi="Times New Roman" w:cs="Times New Roman"/>
          <w:sz w:val="24"/>
          <w:szCs w:val="24"/>
          <w:lang w:val="en-SG"/>
        </w:rPr>
        <w:t xml:space="preserve"> </w:t>
      </w:r>
      <w:r w:rsidR="00596641" w:rsidRPr="008374B5">
        <w:rPr>
          <w:rFonts w:ascii="Times New Roman" w:hAnsi="Times New Roman" w:cs="Times New Roman"/>
          <w:sz w:val="24"/>
          <w:szCs w:val="24"/>
          <w:lang w:val="en-SG"/>
        </w:rPr>
        <w:t xml:space="preserve">with </w:t>
      </w:r>
      <w:r w:rsidR="00B705C5" w:rsidRPr="008374B5">
        <w:rPr>
          <w:rFonts w:ascii="Times New Roman" w:hAnsi="Times New Roman" w:cs="Times New Roman"/>
          <w:sz w:val="24"/>
          <w:szCs w:val="24"/>
          <w:lang w:val="en-SG"/>
        </w:rPr>
        <w:t xml:space="preserve">the </w:t>
      </w:r>
      <w:r w:rsidR="00596641" w:rsidRPr="008374B5">
        <w:rPr>
          <w:rFonts w:ascii="Times New Roman" w:hAnsi="Times New Roman" w:cs="Times New Roman"/>
          <w:sz w:val="24"/>
          <w:szCs w:val="24"/>
          <w:lang w:val="en-SG"/>
        </w:rPr>
        <w:t xml:space="preserve">earlier </w:t>
      </w:r>
      <w:r w:rsidR="00B705C5" w:rsidRPr="008374B5">
        <w:rPr>
          <w:rFonts w:ascii="Times New Roman" w:hAnsi="Times New Roman" w:cs="Times New Roman"/>
          <w:sz w:val="24"/>
          <w:szCs w:val="24"/>
          <w:lang w:val="en-SG"/>
        </w:rPr>
        <w:t>f</w:t>
      </w:r>
      <w:r w:rsidR="006772F3" w:rsidRPr="008374B5">
        <w:rPr>
          <w:rFonts w:ascii="Times New Roman" w:hAnsi="Times New Roman" w:cs="Times New Roman"/>
          <w:sz w:val="24"/>
          <w:szCs w:val="24"/>
          <w:lang w:val="en-SG"/>
        </w:rPr>
        <w:t>inding that</w:t>
      </w:r>
      <w:r w:rsidR="00B705C5" w:rsidRPr="008374B5">
        <w:rPr>
          <w:rFonts w:ascii="Times New Roman" w:hAnsi="Times New Roman" w:cs="Times New Roman"/>
          <w:sz w:val="24"/>
          <w:szCs w:val="24"/>
          <w:lang w:val="en-SG"/>
        </w:rPr>
        <w:t xml:space="preserve"> </w:t>
      </w:r>
      <w:r w:rsidR="009D4F5B"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3861EE" w:rsidRPr="008374B5">
        <w:rPr>
          <w:rFonts w:ascii="Times New Roman" w:hAnsi="Times New Roman" w:cs="Times New Roman"/>
          <w:sz w:val="24"/>
          <w:szCs w:val="24"/>
          <w:lang w:val="en-SG"/>
        </w:rPr>
        <w:t>midnight energy intake</w:t>
      </w:r>
      <w:r w:rsidR="00B705C5" w:rsidRPr="008374B5">
        <w:rPr>
          <w:rFonts w:ascii="Times New Roman" w:hAnsi="Times New Roman" w:cs="Times New Roman"/>
          <w:sz w:val="24"/>
          <w:szCs w:val="24"/>
          <w:lang w:val="en-SG"/>
        </w:rPr>
        <w:t xml:space="preserve"> came mainly from formula milk, this sugges</w:t>
      </w:r>
      <w:r w:rsidR="00237DC1" w:rsidRPr="008374B5">
        <w:rPr>
          <w:rFonts w:ascii="Times New Roman" w:hAnsi="Times New Roman" w:cs="Times New Roman"/>
          <w:sz w:val="24"/>
          <w:szCs w:val="24"/>
          <w:lang w:val="en-SG"/>
        </w:rPr>
        <w:t>ts that the practice of formula</w:t>
      </w:r>
      <w:r w:rsidR="000B1D17" w:rsidRPr="008374B5">
        <w:rPr>
          <w:rFonts w:ascii="Times New Roman" w:hAnsi="Times New Roman" w:cs="Times New Roman"/>
          <w:sz w:val="24"/>
          <w:szCs w:val="24"/>
          <w:lang w:val="en-SG"/>
        </w:rPr>
        <w:t>-</w:t>
      </w:r>
      <w:r w:rsidR="00B705C5" w:rsidRPr="008374B5">
        <w:rPr>
          <w:rFonts w:ascii="Times New Roman" w:hAnsi="Times New Roman" w:cs="Times New Roman"/>
          <w:sz w:val="24"/>
          <w:szCs w:val="24"/>
          <w:lang w:val="en-SG"/>
        </w:rPr>
        <w:t xml:space="preserve">feeding during </w:t>
      </w:r>
      <w:r w:rsidR="00CC0DA5"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C36323" w:rsidRPr="008374B5">
        <w:rPr>
          <w:rFonts w:ascii="Times New Roman" w:hAnsi="Times New Roman" w:cs="Times New Roman"/>
          <w:sz w:val="24"/>
          <w:szCs w:val="24"/>
          <w:lang w:val="en-SG"/>
        </w:rPr>
        <w:t>mid</w:t>
      </w:r>
      <w:r w:rsidR="009D77EC" w:rsidRPr="008374B5">
        <w:rPr>
          <w:rFonts w:ascii="Times New Roman" w:hAnsi="Times New Roman" w:cs="Times New Roman"/>
          <w:sz w:val="24"/>
          <w:szCs w:val="24"/>
          <w:lang w:val="en-SG"/>
        </w:rPr>
        <w:t>night</w:t>
      </w:r>
      <w:r w:rsidR="00B705C5" w:rsidRPr="008374B5">
        <w:rPr>
          <w:rFonts w:ascii="Times New Roman" w:hAnsi="Times New Roman" w:cs="Times New Roman"/>
          <w:sz w:val="24"/>
          <w:szCs w:val="24"/>
          <w:lang w:val="en-SG"/>
        </w:rPr>
        <w:t xml:space="preserve"> </w:t>
      </w:r>
      <w:r w:rsidR="00D45CAE" w:rsidRPr="008374B5">
        <w:rPr>
          <w:rFonts w:ascii="Times New Roman" w:hAnsi="Times New Roman" w:cs="Times New Roman"/>
          <w:sz w:val="24"/>
          <w:szCs w:val="24"/>
          <w:lang w:val="en-SG"/>
        </w:rPr>
        <w:t xml:space="preserve">hours </w:t>
      </w:r>
      <w:r w:rsidR="00CC0DA5" w:rsidRPr="008374B5">
        <w:rPr>
          <w:rFonts w:ascii="Times New Roman" w:hAnsi="Times New Roman" w:cs="Times New Roman"/>
          <w:sz w:val="24"/>
          <w:szCs w:val="24"/>
          <w:lang w:val="en-SG"/>
        </w:rPr>
        <w:t xml:space="preserve">might have </w:t>
      </w:r>
      <w:r w:rsidR="00B705C5" w:rsidRPr="008374B5">
        <w:rPr>
          <w:rFonts w:ascii="Times New Roman" w:hAnsi="Times New Roman" w:cs="Times New Roman"/>
          <w:sz w:val="24"/>
          <w:szCs w:val="24"/>
          <w:lang w:val="en-SG"/>
        </w:rPr>
        <w:t xml:space="preserve">continued </w:t>
      </w:r>
      <w:r w:rsidR="00B705C5" w:rsidRPr="008374B5">
        <w:rPr>
          <w:rFonts w:ascii="Times New Roman" w:hAnsi="Times New Roman" w:cs="Times New Roman"/>
          <w:sz w:val="24"/>
          <w:szCs w:val="24"/>
          <w:lang w:val="en-SG"/>
        </w:rPr>
        <w:lastRenderedPageBreak/>
        <w:t>beyond early infancy in exclusively formula</w:t>
      </w:r>
      <w:r w:rsidR="000B1D17" w:rsidRPr="008374B5">
        <w:rPr>
          <w:rFonts w:ascii="Times New Roman" w:hAnsi="Times New Roman" w:cs="Times New Roman"/>
          <w:sz w:val="24"/>
          <w:szCs w:val="24"/>
          <w:lang w:val="en-SG"/>
        </w:rPr>
        <w:t>-</w:t>
      </w:r>
      <w:r w:rsidR="00B705C5" w:rsidRPr="008374B5">
        <w:rPr>
          <w:rFonts w:ascii="Times New Roman" w:hAnsi="Times New Roman" w:cs="Times New Roman"/>
          <w:sz w:val="24"/>
          <w:szCs w:val="24"/>
          <w:lang w:val="en-SG"/>
        </w:rPr>
        <w:t>fed infants</w:t>
      </w:r>
      <w:r w:rsidR="000F1BC3" w:rsidRPr="008374B5">
        <w:rPr>
          <w:rFonts w:ascii="Times New Roman" w:hAnsi="Times New Roman" w:cs="Times New Roman"/>
          <w:sz w:val="24"/>
          <w:szCs w:val="24"/>
          <w:lang w:val="en-SG"/>
        </w:rPr>
        <w:t>. We speculate</w:t>
      </w:r>
      <w:r w:rsidR="008A6CE3" w:rsidRPr="008374B5">
        <w:rPr>
          <w:rFonts w:ascii="Times New Roman" w:hAnsi="Times New Roman" w:cs="Times New Roman"/>
          <w:sz w:val="24"/>
          <w:szCs w:val="24"/>
          <w:lang w:val="en-SG"/>
        </w:rPr>
        <w:t xml:space="preserve"> that routinely formula</w:t>
      </w:r>
      <w:r w:rsidR="000B1D17" w:rsidRPr="008374B5">
        <w:rPr>
          <w:rFonts w:ascii="Times New Roman" w:hAnsi="Times New Roman" w:cs="Times New Roman"/>
          <w:sz w:val="24"/>
          <w:szCs w:val="24"/>
          <w:lang w:val="en-SG"/>
        </w:rPr>
        <w:t>-</w:t>
      </w:r>
      <w:r w:rsidR="008A6CE3" w:rsidRPr="008374B5">
        <w:rPr>
          <w:rFonts w:ascii="Times New Roman" w:hAnsi="Times New Roman" w:cs="Times New Roman"/>
          <w:sz w:val="24"/>
          <w:szCs w:val="24"/>
          <w:lang w:val="en-SG"/>
        </w:rPr>
        <w:t>feeding</w:t>
      </w:r>
      <w:r w:rsidR="00CD6C1F" w:rsidRPr="008374B5">
        <w:rPr>
          <w:rFonts w:ascii="Times New Roman" w:hAnsi="Times New Roman" w:cs="Times New Roman"/>
          <w:sz w:val="24"/>
          <w:szCs w:val="24"/>
          <w:lang w:val="en-SG"/>
        </w:rPr>
        <w:t>, in response to night awakening or perceived hunger,</w:t>
      </w:r>
      <w:r w:rsidR="008A6CE3" w:rsidRPr="008374B5">
        <w:rPr>
          <w:rFonts w:ascii="Times New Roman" w:hAnsi="Times New Roman" w:cs="Times New Roman"/>
          <w:sz w:val="24"/>
          <w:szCs w:val="24"/>
          <w:lang w:val="en-SG"/>
        </w:rPr>
        <w:t xml:space="preserve"> during post</w:t>
      </w:r>
      <w:r w:rsidR="000B1D17" w:rsidRPr="008374B5">
        <w:rPr>
          <w:rFonts w:ascii="Times New Roman" w:hAnsi="Times New Roman" w:cs="Times New Roman"/>
          <w:sz w:val="24"/>
          <w:szCs w:val="24"/>
          <w:lang w:val="en-SG"/>
        </w:rPr>
        <w:t>-</w:t>
      </w:r>
      <w:r w:rsidR="008A6CE3" w:rsidRPr="008374B5">
        <w:rPr>
          <w:rFonts w:ascii="Times New Roman" w:hAnsi="Times New Roman" w:cs="Times New Roman"/>
          <w:sz w:val="24"/>
          <w:szCs w:val="24"/>
          <w:lang w:val="en-SG"/>
        </w:rPr>
        <w:t>midnight hours has become habitual in these caregivers</w:t>
      </w:r>
      <w:r w:rsidR="006772F3" w:rsidRPr="008374B5">
        <w:rPr>
          <w:rFonts w:ascii="Times New Roman" w:hAnsi="Times New Roman" w:cs="Times New Roman"/>
          <w:sz w:val="24"/>
          <w:szCs w:val="24"/>
          <w:lang w:val="en-SG"/>
        </w:rPr>
        <w:t xml:space="preserve"> who might not have taken the infant’s physiological needs into consideration.</w:t>
      </w:r>
      <w:r w:rsidR="00245F3A" w:rsidRPr="008374B5">
        <w:rPr>
          <w:rFonts w:ascii="Times New Roman" w:hAnsi="Times New Roman" w:cs="Times New Roman"/>
          <w:sz w:val="24"/>
          <w:szCs w:val="24"/>
          <w:lang w:val="en-SG"/>
        </w:rPr>
        <w:t xml:space="preserve"> </w:t>
      </w:r>
      <w:r w:rsidR="005C1C95" w:rsidRPr="008374B5">
        <w:rPr>
          <w:rFonts w:ascii="Times New Roman" w:hAnsi="Times New Roman" w:cs="Times New Roman"/>
          <w:sz w:val="24"/>
          <w:szCs w:val="24"/>
          <w:lang w:val="en-SG"/>
        </w:rPr>
        <w:t xml:space="preserve">We also noticed a surge in the mean energy intake from 21.00–22.00 hours, just before the mean bedtime at 22.01 hours. </w:t>
      </w:r>
      <w:r w:rsidR="00E96E8C" w:rsidRPr="008374B5">
        <w:rPr>
          <w:rFonts w:ascii="Times New Roman" w:hAnsi="Times New Roman" w:cs="Times New Roman"/>
          <w:sz w:val="24"/>
          <w:szCs w:val="24"/>
          <w:lang w:val="en-SG"/>
        </w:rPr>
        <w:t xml:space="preserve">Energy </w:t>
      </w:r>
      <w:r w:rsidR="00AE6110" w:rsidRPr="008374B5">
        <w:rPr>
          <w:rFonts w:ascii="Times New Roman" w:hAnsi="Times New Roman" w:cs="Times New Roman"/>
          <w:sz w:val="24"/>
          <w:szCs w:val="24"/>
          <w:lang w:val="en-SG"/>
        </w:rPr>
        <w:t>consumption</w:t>
      </w:r>
      <w:r w:rsidR="005C1C95" w:rsidRPr="008374B5">
        <w:rPr>
          <w:rFonts w:ascii="Times New Roman" w:hAnsi="Times New Roman" w:cs="Times New Roman"/>
          <w:sz w:val="24"/>
          <w:szCs w:val="24"/>
          <w:lang w:val="en-SG"/>
        </w:rPr>
        <w:t xml:space="preserve">, usually in the form of </w:t>
      </w:r>
      <w:r w:rsidR="005C1C95" w:rsidRPr="008374B5">
        <w:rPr>
          <w:rFonts w:ascii="Times New Roman" w:hAnsi="Times New Roman" w:cs="Times New Roman"/>
          <w:sz w:val="24"/>
          <w:szCs w:val="24"/>
        </w:rPr>
        <w:t>formula</w:t>
      </w:r>
      <w:r w:rsidR="008B50C1" w:rsidRPr="008374B5">
        <w:rPr>
          <w:rFonts w:ascii="Times New Roman" w:hAnsi="Times New Roman" w:cs="Times New Roman"/>
          <w:sz w:val="24"/>
          <w:szCs w:val="24"/>
        </w:rPr>
        <w:t xml:space="preserve"> milk</w:t>
      </w:r>
      <w:r w:rsidR="005C1C95" w:rsidRPr="008374B5">
        <w:rPr>
          <w:rFonts w:ascii="Times New Roman" w:hAnsi="Times New Roman" w:cs="Times New Roman"/>
          <w:sz w:val="24"/>
          <w:szCs w:val="24"/>
        </w:rPr>
        <w:t>,</w:t>
      </w:r>
      <w:r w:rsidR="008B50C1" w:rsidRPr="008374B5">
        <w:rPr>
          <w:rFonts w:ascii="Times New Roman" w:hAnsi="Times New Roman" w:cs="Times New Roman"/>
          <w:sz w:val="24"/>
          <w:szCs w:val="24"/>
        </w:rPr>
        <w:t xml:space="preserve"> is a common </w:t>
      </w:r>
      <w:r w:rsidR="00C546A9" w:rsidRPr="008374B5">
        <w:rPr>
          <w:rFonts w:ascii="Times New Roman" w:hAnsi="Times New Roman" w:cs="Times New Roman"/>
          <w:sz w:val="24"/>
          <w:szCs w:val="24"/>
        </w:rPr>
        <w:t xml:space="preserve">strategy </w:t>
      </w:r>
      <w:r w:rsidR="008B50C1" w:rsidRPr="008374B5">
        <w:rPr>
          <w:rFonts w:ascii="Times New Roman" w:hAnsi="Times New Roman" w:cs="Times New Roman"/>
          <w:sz w:val="24"/>
          <w:szCs w:val="24"/>
        </w:rPr>
        <w:t xml:space="preserve">adopted by caregivers </w:t>
      </w:r>
      <w:r w:rsidR="00C546A9" w:rsidRPr="008374B5">
        <w:rPr>
          <w:rFonts w:ascii="Times New Roman" w:hAnsi="Times New Roman" w:cs="Times New Roman"/>
          <w:sz w:val="24"/>
          <w:szCs w:val="24"/>
        </w:rPr>
        <w:t>to promote sleep among infants and young children</w:t>
      </w:r>
      <w:r w:rsidR="008B50C1" w:rsidRPr="008374B5">
        <w:rPr>
          <w:rFonts w:ascii="Times New Roman" w:hAnsi="Times New Roman" w:cs="Times New Roman"/>
          <w:sz w:val="24"/>
          <w:szCs w:val="24"/>
        </w:rPr>
        <w:t xml:space="preserve"> during the night</w:t>
      </w:r>
      <w:r w:rsidR="00C546A9" w:rsidRPr="008374B5">
        <w:rPr>
          <w:rFonts w:ascii="Times New Roman" w:hAnsi="Times New Roman" w:cs="Times New Roman"/>
          <w:sz w:val="24"/>
          <w:szCs w:val="24"/>
        </w:rPr>
        <w:t xml:space="preserve">. However, as </w:t>
      </w:r>
      <w:r w:rsidR="00245F3A" w:rsidRPr="008374B5">
        <w:rPr>
          <w:rFonts w:ascii="Times New Roman" w:hAnsi="Times New Roman" w:cs="Times New Roman"/>
          <w:sz w:val="24"/>
          <w:szCs w:val="24"/>
        </w:rPr>
        <w:t xml:space="preserve">observed in our study, </w:t>
      </w:r>
      <w:r w:rsidR="00E928A2" w:rsidRPr="008374B5">
        <w:rPr>
          <w:rFonts w:ascii="Times New Roman" w:hAnsi="Times New Roman" w:cs="Times New Roman"/>
          <w:sz w:val="24"/>
          <w:szCs w:val="24"/>
        </w:rPr>
        <w:t>post</w:t>
      </w:r>
      <w:r w:rsidR="000B1D17" w:rsidRPr="008374B5">
        <w:rPr>
          <w:rFonts w:ascii="Times New Roman" w:hAnsi="Times New Roman" w:cs="Times New Roman"/>
          <w:sz w:val="24"/>
          <w:szCs w:val="24"/>
        </w:rPr>
        <w:t>-</w:t>
      </w:r>
      <w:r w:rsidR="00E928A2" w:rsidRPr="008374B5">
        <w:rPr>
          <w:rFonts w:ascii="Times New Roman" w:hAnsi="Times New Roman" w:cs="Times New Roman"/>
          <w:sz w:val="24"/>
          <w:szCs w:val="24"/>
        </w:rPr>
        <w:t>midnight feeds</w:t>
      </w:r>
      <w:r w:rsidR="008B50C1" w:rsidRPr="008374B5">
        <w:rPr>
          <w:rFonts w:ascii="Times New Roman" w:hAnsi="Times New Roman" w:cs="Times New Roman"/>
          <w:sz w:val="24"/>
          <w:szCs w:val="24"/>
        </w:rPr>
        <w:t xml:space="preserve"> </w:t>
      </w:r>
      <w:r w:rsidR="00C546A9" w:rsidRPr="008374B5">
        <w:rPr>
          <w:rFonts w:ascii="Times New Roman" w:hAnsi="Times New Roman" w:cs="Times New Roman"/>
          <w:sz w:val="24"/>
          <w:szCs w:val="24"/>
        </w:rPr>
        <w:t xml:space="preserve">may </w:t>
      </w:r>
      <w:r w:rsidR="00156DFA" w:rsidRPr="008374B5">
        <w:rPr>
          <w:rFonts w:ascii="Times New Roman" w:hAnsi="Times New Roman" w:cs="Times New Roman"/>
          <w:sz w:val="24"/>
          <w:szCs w:val="24"/>
        </w:rPr>
        <w:t>increase the</w:t>
      </w:r>
      <w:r w:rsidR="008B50C1" w:rsidRPr="008374B5">
        <w:rPr>
          <w:rFonts w:ascii="Times New Roman" w:hAnsi="Times New Roman" w:cs="Times New Roman"/>
          <w:sz w:val="24"/>
          <w:szCs w:val="24"/>
        </w:rPr>
        <w:t xml:space="preserve"> daily energy intake beyond the sufficient requirement</w:t>
      </w:r>
      <w:r w:rsidR="00BE7644" w:rsidRPr="008374B5">
        <w:rPr>
          <w:rFonts w:ascii="Times New Roman" w:hAnsi="Times New Roman" w:cs="Times New Roman"/>
          <w:sz w:val="24"/>
          <w:szCs w:val="24"/>
        </w:rPr>
        <w:t xml:space="preserve"> of the infant</w:t>
      </w:r>
      <w:r w:rsidR="005F2E14"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"10.1126/science.1100367", "ISBN" : "0000337997738", "ISSN" : "1095-9203", "PMID" : "15361624", "URL" : "https://www.hpb.gov.sg/HOPPortal/health-article/2652", "author" : [ { "dropping-particle" : "", "family" : "Board", "given" : "Health Promotion", "non-dropping-particle" : "", "parse-names" : false, "suffix" : "" } ], "id" : "ITEM-1", "issued" : { "date-parts" : [ [ "0" ] ] }, "page" : "1", "title" : "Recommended Dietary Allowances", "type" : "webpage" }, "uris" : [ "http://www.mendeley.com/documents/?uuid=95f05c87-76b1-4765-b862-a161648f9606" ] } ], "mendeley" : { "formattedCitation" : "&lt;sup&gt;45&lt;/sup&gt;", "plainTextFormattedCitation" : "45", "previouslyFormattedCitation" : "&lt;sup&gt;45&lt;/sup&gt;" }, "properties" : { "noteIndex" : 0 }, "schema" : "https://github.com/citation-style-language/schema/raw/master/csl-citation.json" }</w:instrText>
      </w:r>
      <w:r w:rsidR="005F2E14"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45</w:t>
      </w:r>
      <w:r w:rsidR="005F2E14" w:rsidRPr="008374B5">
        <w:rPr>
          <w:rFonts w:ascii="Times New Roman" w:hAnsi="Times New Roman" w:cs="Times New Roman"/>
          <w:sz w:val="24"/>
          <w:szCs w:val="24"/>
        </w:rPr>
        <w:fldChar w:fldCharType="end"/>
      </w:r>
      <w:r w:rsidR="008B50C1" w:rsidRPr="008374B5">
        <w:rPr>
          <w:rFonts w:ascii="Times New Roman" w:hAnsi="Times New Roman" w:cs="Times New Roman"/>
          <w:sz w:val="24"/>
          <w:szCs w:val="24"/>
        </w:rPr>
        <w:t>.</w:t>
      </w:r>
      <w:r w:rsidR="005F2E14" w:rsidRPr="008374B5">
        <w:rPr>
          <w:rFonts w:ascii="Times New Roman" w:hAnsi="Times New Roman" w:cs="Times New Roman"/>
          <w:sz w:val="24"/>
          <w:szCs w:val="24"/>
        </w:rPr>
        <w:t xml:space="preserve"> </w:t>
      </w:r>
    </w:p>
    <w:p w14:paraId="1D26F755" w14:textId="5E8C7986" w:rsidR="00506C50" w:rsidRPr="008374B5" w:rsidRDefault="0065017F" w:rsidP="008374B5">
      <w:pPr>
        <w:suppressAutoHyphens/>
        <w:spacing w:after="0" w:line="360" w:lineRule="auto"/>
        <w:ind w:firstLine="720"/>
        <w:jc w:val="both"/>
        <w:rPr>
          <w:rFonts w:ascii="Times New Roman" w:hAnsi="Times New Roman" w:cs="Times New Roman"/>
          <w:sz w:val="24"/>
          <w:szCs w:val="24"/>
        </w:rPr>
      </w:pPr>
      <w:r w:rsidRPr="008374B5">
        <w:rPr>
          <w:rFonts w:ascii="Times New Roman" w:hAnsi="Times New Roman" w:cs="Times New Roman"/>
          <w:sz w:val="24"/>
          <w:szCs w:val="24"/>
        </w:rPr>
        <w:t xml:space="preserve">The strengths of this study include </w:t>
      </w:r>
      <w:r w:rsidR="00506C50" w:rsidRPr="008374B5">
        <w:rPr>
          <w:rFonts w:ascii="Times New Roman" w:hAnsi="Times New Roman" w:cs="Times New Roman"/>
          <w:sz w:val="24"/>
          <w:szCs w:val="24"/>
        </w:rPr>
        <w:t xml:space="preserve">a large sample size, </w:t>
      </w:r>
      <w:r w:rsidRPr="008374B5">
        <w:rPr>
          <w:rFonts w:ascii="Times New Roman" w:hAnsi="Times New Roman" w:cs="Times New Roman"/>
          <w:sz w:val="24"/>
          <w:szCs w:val="24"/>
        </w:rPr>
        <w:t xml:space="preserve">its prospective study design and standardised </w:t>
      </w:r>
      <w:r w:rsidR="00091CDD" w:rsidRPr="008374B5">
        <w:rPr>
          <w:rFonts w:ascii="Times New Roman" w:hAnsi="Times New Roman" w:cs="Times New Roman"/>
          <w:sz w:val="24"/>
          <w:szCs w:val="24"/>
        </w:rPr>
        <w:t xml:space="preserve">anthropometric </w:t>
      </w:r>
      <w:r w:rsidRPr="008374B5">
        <w:rPr>
          <w:rFonts w:ascii="Times New Roman" w:hAnsi="Times New Roman" w:cs="Times New Roman"/>
          <w:sz w:val="24"/>
          <w:szCs w:val="24"/>
        </w:rPr>
        <w:t xml:space="preserve">measurements of </w:t>
      </w:r>
      <w:r w:rsidR="00870205" w:rsidRPr="008374B5">
        <w:rPr>
          <w:rFonts w:ascii="Times New Roman" w:hAnsi="Times New Roman" w:cs="Times New Roman"/>
          <w:sz w:val="24"/>
          <w:szCs w:val="24"/>
        </w:rPr>
        <w:t xml:space="preserve">mothers and </w:t>
      </w:r>
      <w:r w:rsidRPr="008374B5">
        <w:rPr>
          <w:rFonts w:ascii="Times New Roman" w:hAnsi="Times New Roman" w:cs="Times New Roman"/>
          <w:sz w:val="24"/>
          <w:szCs w:val="24"/>
        </w:rPr>
        <w:t>infants b</w:t>
      </w:r>
      <w:r w:rsidR="00B83565" w:rsidRPr="008374B5">
        <w:rPr>
          <w:rFonts w:ascii="Times New Roman" w:hAnsi="Times New Roman" w:cs="Times New Roman"/>
          <w:sz w:val="24"/>
          <w:szCs w:val="24"/>
        </w:rPr>
        <w:t>y trained research personnel</w:t>
      </w:r>
      <w:r w:rsidRPr="008374B5">
        <w:rPr>
          <w:rFonts w:ascii="Times New Roman" w:hAnsi="Times New Roman" w:cs="Times New Roman"/>
          <w:sz w:val="24"/>
          <w:szCs w:val="24"/>
        </w:rPr>
        <w:t xml:space="preserve">. </w:t>
      </w:r>
      <w:r w:rsidR="00C23B2A" w:rsidRPr="008374B5">
        <w:rPr>
          <w:rFonts w:ascii="Times New Roman" w:hAnsi="Times New Roman" w:cs="Times New Roman"/>
          <w:sz w:val="24"/>
          <w:szCs w:val="24"/>
        </w:rPr>
        <w:t>Moreover, as Singapore lies near the equator</w:t>
      </w:r>
      <w:r w:rsidR="008A1603" w:rsidRPr="008374B5">
        <w:rPr>
          <w:rFonts w:ascii="Times New Roman" w:hAnsi="Times New Roman" w:cs="Times New Roman"/>
          <w:sz w:val="24"/>
          <w:szCs w:val="24"/>
        </w:rPr>
        <w:t xml:space="preserve"> with</w:t>
      </w:r>
      <w:r w:rsidR="00C23B2A" w:rsidRPr="008374B5">
        <w:rPr>
          <w:rFonts w:ascii="Times New Roman" w:hAnsi="Times New Roman" w:cs="Times New Roman"/>
          <w:sz w:val="24"/>
          <w:szCs w:val="24"/>
        </w:rPr>
        <w:t xml:space="preserve"> fairly constant light/dark cycle</w:t>
      </w:r>
      <w:r w:rsidR="000D2EFD" w:rsidRPr="008374B5">
        <w:rPr>
          <w:rFonts w:ascii="Times New Roman" w:hAnsi="Times New Roman" w:cs="Times New Roman"/>
          <w:sz w:val="24"/>
          <w:szCs w:val="24"/>
        </w:rPr>
        <w:t>s</w:t>
      </w:r>
      <w:r w:rsidR="00C97928" w:rsidRPr="008374B5">
        <w:rPr>
          <w:rFonts w:ascii="Times New Roman" w:hAnsi="Times New Roman" w:cs="Times New Roman"/>
          <w:sz w:val="24"/>
          <w:szCs w:val="24"/>
        </w:rPr>
        <w:t xml:space="preserve">, </w:t>
      </w:r>
      <w:r w:rsidR="008A1603" w:rsidRPr="008374B5">
        <w:rPr>
          <w:rFonts w:ascii="Times New Roman" w:hAnsi="Times New Roman" w:cs="Times New Roman"/>
          <w:sz w:val="24"/>
          <w:szCs w:val="24"/>
        </w:rPr>
        <w:t>o</w:t>
      </w:r>
      <w:r w:rsidRPr="008374B5">
        <w:rPr>
          <w:rFonts w:ascii="Times New Roman" w:hAnsi="Times New Roman" w:cs="Times New Roman"/>
          <w:sz w:val="24"/>
          <w:szCs w:val="24"/>
        </w:rPr>
        <w:t>ur findings were less likely to be affected by season</w:t>
      </w:r>
      <w:r w:rsidR="00C23B2A" w:rsidRPr="008374B5">
        <w:rPr>
          <w:rFonts w:ascii="Times New Roman" w:hAnsi="Times New Roman" w:cs="Times New Roman"/>
          <w:sz w:val="24"/>
          <w:szCs w:val="24"/>
        </w:rPr>
        <w:t xml:space="preserve">al changes which might </w:t>
      </w:r>
      <w:r w:rsidR="008A1603" w:rsidRPr="008374B5">
        <w:rPr>
          <w:rFonts w:ascii="Times New Roman" w:hAnsi="Times New Roman" w:cs="Times New Roman"/>
          <w:sz w:val="24"/>
          <w:szCs w:val="24"/>
        </w:rPr>
        <w:t xml:space="preserve">otherwise </w:t>
      </w:r>
      <w:r w:rsidR="00C23B2A" w:rsidRPr="008374B5">
        <w:rPr>
          <w:rFonts w:ascii="Times New Roman" w:hAnsi="Times New Roman" w:cs="Times New Roman"/>
          <w:sz w:val="24"/>
          <w:szCs w:val="24"/>
        </w:rPr>
        <w:t xml:space="preserve">influence </w:t>
      </w:r>
      <w:r w:rsidR="003A423E" w:rsidRPr="008374B5">
        <w:rPr>
          <w:rFonts w:ascii="Times New Roman" w:hAnsi="Times New Roman" w:cs="Times New Roman"/>
          <w:sz w:val="24"/>
          <w:szCs w:val="24"/>
        </w:rPr>
        <w:t>the</w:t>
      </w:r>
      <w:r w:rsidR="00C97928" w:rsidRPr="008374B5">
        <w:rPr>
          <w:rFonts w:ascii="Times New Roman" w:hAnsi="Times New Roman" w:cs="Times New Roman"/>
          <w:sz w:val="24"/>
          <w:szCs w:val="24"/>
        </w:rPr>
        <w:t xml:space="preserve"> circadian pattern of energy </w:t>
      </w:r>
      <w:r w:rsidR="00C23B2A" w:rsidRPr="008374B5">
        <w:rPr>
          <w:rFonts w:ascii="Times New Roman" w:hAnsi="Times New Roman" w:cs="Times New Roman"/>
          <w:sz w:val="24"/>
          <w:szCs w:val="24"/>
        </w:rPr>
        <w:t>intake</w:t>
      </w:r>
      <w:r w:rsidR="00611E9A" w:rsidRPr="008374B5">
        <w:rPr>
          <w:rFonts w:ascii="Times New Roman" w:hAnsi="Times New Roman" w:cs="Times New Roman"/>
          <w:sz w:val="24"/>
          <w:szCs w:val="24"/>
        </w:rPr>
        <w:fldChar w:fldCharType="begin" w:fldLock="1"/>
      </w:r>
      <w:r w:rsidR="001459A4">
        <w:rPr>
          <w:rFonts w:ascii="Times New Roman" w:hAnsi="Times New Roman" w:cs="Times New Roman"/>
          <w:sz w:val="24"/>
          <w:szCs w:val="24"/>
        </w:rPr>
        <w:instrText>ADDIN CSL_CITATION { "citationItems" : [ { "id" : "ITEM-1", "itemData" : { "DOI" : "10.1038/sj.ejcn.1602346", "ISSN" : "0954-3007", "author" : [ { "dropping-particle" : "", "family" : "Ma", "given" : "Y", "non-dropping-particle" : "", "parse-names" : false, "suffix" : "" }, { "dropping-particle" : "", "family" : "Olendzki", "given" : "B C", "non-dropping-particle" : "", "parse-names" : false, "suffix" : "" }, { "dropping-particle" : "", "family" : "Li", "given" : "W", "non-dropping-particle" : "", "parse-names" : false, "suffix" : "" }, { "dropping-particle" : "", "family" : "Hafner", "given" : "A R", "non-dropping-particle" : "", "parse-names" : false, "suffix" : "" }, { "dropping-particle" : "", "family" : "Chiriboga", "given" : "D", "non-dropping-particle" : "", "parse-names" : false, "suffix" : "" }, { "dropping-particle" : "", "family" : "Hebert", "given" : "J R", "non-dropping-particle" : "", "parse-names" : false, "suffix" : "" }, { "dropping-particle" : "", "family" : "Campbell", "given" : "M", "non-dropping-particle" : "", "parse-names" : false, "suffix" : "" }, { "dropping-particle" : "", "family" : "Sarnie", "given" : "M", "non-dropping-particle" : "", "parse-names" : false, "suffix" : "" }, { "dropping-particle" : "", "family" : "Ockene", "given" : "I S", "non-dropping-particle" : "", "parse-names" : false, "suffix" : "" } ], "container-title" : "European Journal of Clinical Nutrition", "id" : "ITEM-1", "issue" : "4", "issued" : { "date-parts" : [ [ "2006" ] ] }, "page" : "519-528", "title" : "Seasonal variation in food intake, physical activity, and body weight in a predominantly overweight population", "type" : "article-journal", "volume" : "60" }, "uris" : [ "http://www.mendeley.com/documents/?uuid=2569b57c-b9d4-4c14-b05a-29c8bf145894" ] }, { "id" : "ITEM-2", "itemData" : { "DOI" : "10.1023/A:1017542928978", "ISBN" : "0393-2990 (Print)\\r0393-2990 (Linking)", "ISSN" : "03932990", "PMID" : "11599685", "abstract" : "BACKGROUND: Nutritional epidemiology studies are usually based on one dietary assessment without taking into account the season in which the interview is taken or adjusting for the difference in reporting dietary intake in different seasons. The semiquantitative food frequency questionnaire has become the primary questionnaire method for measuring dietary intake in epidemiological studies. The aims of this report were (a) to evaluate the effect of season on dietary intake as measured by a semiquantitative food frequency questionnaire (FFQ) conducted twice: once in summer and a second time in winter; and (b) to assess the effect of the differences in dietary intake on biochemical and anthropometric seasonal related changes, such as serum cholesterol and body mass index (BMI). POPULATION AND METHODS: The study population consisted of 94 male industrial employees who participated in clinical biochemical and physical examinations as well as evaluation of their dietary intake twice a year. Dietary intake was assessed using the semiquantitative FFQ that included 96 items and was conducted by a personal interview. RESULTS: We found a significant increase in the intake of selected nutrients in winter as compared to summer as well as an increased intake of animal fat-containing foods such as meat and dairy products. Significant correlation coefficients were shown between the increase in dietary intake of saturated fat and the increase in BMI, serum total and LDL cholesterol. The increase in dietary cholesterol was significantly and positively correlated with the increase in serum total and LDL cholesterol. CONCLUSION: Although FFQ are designed to assess average yearly food intake, we identified significant seasonal changes in dietary intake as measured by FFQ. These changes have a health impact on our population.", "author" : [ { "dropping-particle" : "", "family" : "Shahar", "given" : "D. R.", "non-dropping-particle" : "", "parse-names" : false, "suffix" : "" }, { "dropping-particle" : "", "family" : "Yerushalmi", "given" : "N.", "non-dropping-particle" : "", "parse-names" : false, "suffix" : "" }, { "dropping-particle" : "", "family" : "Lubin", "given" : "F.", "non-dropping-particle" : "", "parse-names" : false, "suffix" : "" }, { "dropping-particle" : "", "family" : "Froom", "given" : "P.", "non-dropping-particle" : "", "parse-names" : false, "suffix" : "" }, { "dropping-particle" : "", "family" : "Shahar", "given" : "a.", "non-dropping-particle" : "", "parse-names" : false, "suffix" : "" }, { "dropping-particle" : "", "family" : "Kristal-Boneh", "given" : "E.", "non-dropping-particle" : "", "parse-names" : false, "suffix" : "" } ], "container-title" : "European Journal of Epidemiology", "id" : "ITEM-2", "issued" : { "date-parts" : [ [ "2001" ] ] }, "page" : "129-133", "title" : "Seasonal variations in dietary intake affect the consistency of dietary assessment", "type" : "article-journal", "volume" : "17" }, "uris" : [ "http://www.mendeley.com/documents/?uuid=9d79dc67-83b9-43b1-986c-5b3e9f8e565f" ] } ], "mendeley" : { "formattedCitation" : "&lt;sup&gt;46,47&lt;/sup&gt;", "plainTextFormattedCitation" : "46,47", "previouslyFormattedCitation" : "&lt;sup&gt;46,47&lt;/sup&gt;" }, "properties" : { "noteIndex" : 0 }, "schema" : "https://github.com/citation-style-language/schema/raw/master/csl-citation.json" }</w:instrText>
      </w:r>
      <w:r w:rsidR="00611E9A" w:rsidRPr="008374B5">
        <w:rPr>
          <w:rFonts w:ascii="Times New Roman" w:hAnsi="Times New Roman" w:cs="Times New Roman"/>
          <w:sz w:val="24"/>
          <w:szCs w:val="24"/>
        </w:rPr>
        <w:fldChar w:fldCharType="separate"/>
      </w:r>
      <w:r w:rsidR="00724502" w:rsidRPr="00724502">
        <w:rPr>
          <w:rFonts w:ascii="Times New Roman" w:hAnsi="Times New Roman" w:cs="Times New Roman"/>
          <w:noProof/>
          <w:sz w:val="24"/>
          <w:szCs w:val="24"/>
          <w:vertAlign w:val="superscript"/>
        </w:rPr>
        <w:t>46,47</w:t>
      </w:r>
      <w:r w:rsidR="00611E9A" w:rsidRPr="008374B5">
        <w:rPr>
          <w:rFonts w:ascii="Times New Roman" w:hAnsi="Times New Roman" w:cs="Times New Roman"/>
          <w:sz w:val="24"/>
          <w:szCs w:val="24"/>
        </w:rPr>
        <w:fldChar w:fldCharType="end"/>
      </w:r>
      <w:r w:rsidR="00611E9A" w:rsidRPr="008374B5">
        <w:rPr>
          <w:rFonts w:ascii="Times New Roman" w:hAnsi="Times New Roman" w:cs="Times New Roman"/>
          <w:sz w:val="24"/>
          <w:szCs w:val="24"/>
        </w:rPr>
        <w:t>.</w:t>
      </w:r>
      <w:r w:rsidR="00506C50" w:rsidRPr="008374B5">
        <w:rPr>
          <w:rFonts w:ascii="Times New Roman" w:hAnsi="Times New Roman" w:cs="Times New Roman"/>
          <w:sz w:val="24"/>
          <w:szCs w:val="24"/>
        </w:rPr>
        <w:t xml:space="preserve"> However, this study </w:t>
      </w:r>
      <w:r w:rsidR="005E547A" w:rsidRPr="008374B5">
        <w:rPr>
          <w:rFonts w:ascii="Times New Roman" w:hAnsi="Times New Roman" w:cs="Times New Roman"/>
          <w:sz w:val="24"/>
          <w:szCs w:val="24"/>
        </w:rPr>
        <w:t>does have</w:t>
      </w:r>
      <w:r w:rsidR="00506C50" w:rsidRPr="008374B5">
        <w:rPr>
          <w:rFonts w:ascii="Times New Roman" w:hAnsi="Times New Roman" w:cs="Times New Roman"/>
          <w:sz w:val="24"/>
          <w:szCs w:val="24"/>
        </w:rPr>
        <w:t xml:space="preserve"> limitations. </w:t>
      </w:r>
      <w:r w:rsidR="00D74A68" w:rsidRPr="008374B5">
        <w:rPr>
          <w:rFonts w:ascii="Times New Roman" w:hAnsi="Times New Roman" w:cs="Times New Roman"/>
          <w:sz w:val="24"/>
          <w:szCs w:val="24"/>
        </w:rPr>
        <w:t>Firstly, t</w:t>
      </w:r>
      <w:r w:rsidR="00506C50" w:rsidRPr="008374B5">
        <w:rPr>
          <w:rFonts w:ascii="Times New Roman" w:hAnsi="Times New Roman" w:cs="Times New Roman"/>
          <w:sz w:val="24"/>
          <w:szCs w:val="24"/>
        </w:rPr>
        <w:t xml:space="preserve">here were differences in maternal and infant characteristics between excluded and included study participants but these characteristics have been adjusted for in </w:t>
      </w:r>
      <w:r w:rsidR="00B44F3C" w:rsidRPr="008374B5">
        <w:rPr>
          <w:rFonts w:ascii="Times New Roman" w:hAnsi="Times New Roman" w:cs="Times New Roman"/>
          <w:sz w:val="24"/>
          <w:szCs w:val="24"/>
        </w:rPr>
        <w:t xml:space="preserve">the </w:t>
      </w:r>
      <w:r w:rsidR="00506C50" w:rsidRPr="008374B5">
        <w:rPr>
          <w:rFonts w:ascii="Times New Roman" w:hAnsi="Times New Roman" w:cs="Times New Roman"/>
          <w:sz w:val="24"/>
          <w:szCs w:val="24"/>
        </w:rPr>
        <w:t xml:space="preserve">multivariable </w:t>
      </w:r>
      <w:r w:rsidR="00D770F3" w:rsidRPr="008374B5">
        <w:rPr>
          <w:rFonts w:ascii="Times New Roman" w:hAnsi="Times New Roman" w:cs="Times New Roman"/>
          <w:sz w:val="24"/>
          <w:szCs w:val="24"/>
        </w:rPr>
        <w:t xml:space="preserve">logistic </w:t>
      </w:r>
      <w:r w:rsidR="00506C50" w:rsidRPr="008374B5">
        <w:rPr>
          <w:rFonts w:ascii="Times New Roman" w:hAnsi="Times New Roman" w:cs="Times New Roman"/>
          <w:sz w:val="24"/>
          <w:szCs w:val="24"/>
        </w:rPr>
        <w:t xml:space="preserve">analyses. </w:t>
      </w:r>
      <w:r w:rsidR="00D74A68" w:rsidRPr="008374B5">
        <w:rPr>
          <w:rFonts w:ascii="Times New Roman" w:hAnsi="Times New Roman" w:cs="Times New Roman"/>
          <w:sz w:val="24"/>
          <w:szCs w:val="24"/>
        </w:rPr>
        <w:t xml:space="preserve">Secondly, </w:t>
      </w:r>
      <w:r w:rsidR="00BE67FB" w:rsidRPr="008374B5">
        <w:rPr>
          <w:rFonts w:ascii="Times New Roman" w:hAnsi="Times New Roman" w:cs="Times New Roman"/>
          <w:sz w:val="24"/>
          <w:szCs w:val="24"/>
        </w:rPr>
        <w:t>the use of self</w:t>
      </w:r>
      <w:r w:rsidR="000B1D17" w:rsidRPr="008374B5">
        <w:rPr>
          <w:rFonts w:ascii="Times New Roman" w:hAnsi="Times New Roman" w:cs="Times New Roman"/>
          <w:sz w:val="24"/>
          <w:szCs w:val="24"/>
        </w:rPr>
        <w:t>-</w:t>
      </w:r>
      <w:r w:rsidR="00BE67FB" w:rsidRPr="008374B5">
        <w:rPr>
          <w:rFonts w:ascii="Times New Roman" w:hAnsi="Times New Roman" w:cs="Times New Roman"/>
          <w:sz w:val="24"/>
          <w:szCs w:val="24"/>
        </w:rPr>
        <w:t>reported</w:t>
      </w:r>
      <w:r w:rsidR="00506C50" w:rsidRPr="008374B5">
        <w:rPr>
          <w:rFonts w:ascii="Times New Roman" w:hAnsi="Times New Roman" w:cs="Times New Roman"/>
          <w:sz w:val="24"/>
          <w:szCs w:val="24"/>
        </w:rPr>
        <w:t xml:space="preserve"> 24</w:t>
      </w:r>
      <w:r w:rsidR="000B1D17" w:rsidRPr="008374B5">
        <w:rPr>
          <w:rFonts w:ascii="Times New Roman" w:hAnsi="Times New Roman" w:cs="Times New Roman"/>
          <w:sz w:val="24"/>
          <w:szCs w:val="24"/>
        </w:rPr>
        <w:t>-</w:t>
      </w:r>
      <w:r w:rsidR="00506C50" w:rsidRPr="008374B5">
        <w:rPr>
          <w:rFonts w:ascii="Times New Roman" w:hAnsi="Times New Roman" w:cs="Times New Roman"/>
          <w:sz w:val="24"/>
          <w:szCs w:val="24"/>
        </w:rPr>
        <w:t>h</w:t>
      </w:r>
      <w:r w:rsidR="00590291" w:rsidRPr="008374B5">
        <w:rPr>
          <w:rFonts w:ascii="Times New Roman" w:hAnsi="Times New Roman" w:cs="Times New Roman"/>
          <w:sz w:val="24"/>
          <w:szCs w:val="24"/>
        </w:rPr>
        <w:t>our</w:t>
      </w:r>
      <w:r w:rsidR="00506C50" w:rsidRPr="008374B5">
        <w:rPr>
          <w:rFonts w:ascii="Times New Roman" w:hAnsi="Times New Roman" w:cs="Times New Roman"/>
          <w:sz w:val="24"/>
          <w:szCs w:val="24"/>
        </w:rPr>
        <w:t xml:space="preserve"> </w:t>
      </w:r>
      <w:r w:rsidR="00B44F3C" w:rsidRPr="008374B5">
        <w:rPr>
          <w:rFonts w:ascii="Times New Roman" w:hAnsi="Times New Roman" w:cs="Times New Roman"/>
          <w:sz w:val="24"/>
          <w:szCs w:val="24"/>
        </w:rPr>
        <w:t>dietary</w:t>
      </w:r>
      <w:r w:rsidR="00506C50" w:rsidRPr="008374B5">
        <w:rPr>
          <w:rFonts w:ascii="Times New Roman" w:hAnsi="Times New Roman" w:cs="Times New Roman"/>
          <w:sz w:val="24"/>
          <w:szCs w:val="24"/>
        </w:rPr>
        <w:t xml:space="preserve"> recall might not reflect habitual consumption </w:t>
      </w:r>
      <w:r w:rsidR="00F429D8" w:rsidRPr="008374B5">
        <w:rPr>
          <w:rFonts w:ascii="Times New Roman" w:hAnsi="Times New Roman" w:cs="Times New Roman"/>
          <w:sz w:val="24"/>
          <w:szCs w:val="24"/>
        </w:rPr>
        <w:t>patterns. Daily variation</w:t>
      </w:r>
      <w:r w:rsidR="00506C50" w:rsidRPr="008374B5">
        <w:rPr>
          <w:rFonts w:ascii="Times New Roman" w:hAnsi="Times New Roman" w:cs="Times New Roman"/>
          <w:sz w:val="24"/>
          <w:szCs w:val="24"/>
        </w:rPr>
        <w:t xml:space="preserve"> of </w:t>
      </w:r>
      <w:r w:rsidR="00903FDD" w:rsidRPr="008374B5">
        <w:rPr>
          <w:rFonts w:ascii="Times New Roman" w:hAnsi="Times New Roman" w:cs="Times New Roman"/>
          <w:sz w:val="24"/>
          <w:szCs w:val="24"/>
        </w:rPr>
        <w:t>feeding times</w:t>
      </w:r>
      <w:r w:rsidR="00506C50" w:rsidRPr="008374B5">
        <w:rPr>
          <w:rFonts w:ascii="Times New Roman" w:hAnsi="Times New Roman" w:cs="Times New Roman"/>
          <w:sz w:val="24"/>
          <w:szCs w:val="24"/>
        </w:rPr>
        <w:t xml:space="preserve"> could have</w:t>
      </w:r>
      <w:r w:rsidR="00483602" w:rsidRPr="008374B5">
        <w:rPr>
          <w:rFonts w:ascii="Times New Roman" w:hAnsi="Times New Roman" w:cs="Times New Roman"/>
          <w:sz w:val="24"/>
          <w:szCs w:val="24"/>
        </w:rPr>
        <w:t xml:space="preserve"> </w:t>
      </w:r>
      <w:r w:rsidR="00506C50" w:rsidRPr="008374B5">
        <w:rPr>
          <w:rFonts w:ascii="Times New Roman" w:hAnsi="Times New Roman" w:cs="Times New Roman"/>
          <w:sz w:val="24"/>
          <w:szCs w:val="24"/>
        </w:rPr>
        <w:t xml:space="preserve">led to misclassification of </w:t>
      </w:r>
      <w:r w:rsidR="00483602" w:rsidRPr="008374B5">
        <w:rPr>
          <w:rFonts w:ascii="Times New Roman" w:hAnsi="Times New Roman" w:cs="Times New Roman"/>
          <w:sz w:val="24"/>
          <w:szCs w:val="24"/>
        </w:rPr>
        <w:t>infants</w:t>
      </w:r>
      <w:r w:rsidR="00506C50" w:rsidRPr="008374B5">
        <w:rPr>
          <w:rFonts w:ascii="Times New Roman" w:hAnsi="Times New Roman" w:cs="Times New Roman"/>
          <w:sz w:val="24"/>
          <w:szCs w:val="24"/>
        </w:rPr>
        <w:t xml:space="preserve"> according to </w:t>
      </w:r>
      <w:r w:rsidR="007810F4" w:rsidRPr="008374B5">
        <w:rPr>
          <w:rFonts w:ascii="Times New Roman" w:hAnsi="Times New Roman" w:cs="Times New Roman"/>
          <w:sz w:val="24"/>
          <w:szCs w:val="24"/>
        </w:rPr>
        <w:t xml:space="preserve">temporal </w:t>
      </w:r>
      <w:r w:rsidR="00506C50" w:rsidRPr="008374B5">
        <w:rPr>
          <w:rFonts w:ascii="Times New Roman" w:hAnsi="Times New Roman" w:cs="Times New Roman"/>
          <w:sz w:val="24"/>
          <w:szCs w:val="24"/>
        </w:rPr>
        <w:t>feeding patterns.</w:t>
      </w:r>
      <w:r w:rsidR="00CD38E3" w:rsidRPr="008374B5">
        <w:rPr>
          <w:rFonts w:ascii="Times New Roman" w:hAnsi="Times New Roman" w:cs="Times New Roman"/>
          <w:sz w:val="24"/>
          <w:szCs w:val="24"/>
        </w:rPr>
        <w:t xml:space="preserve"> </w:t>
      </w:r>
      <w:r w:rsidR="00E971B0" w:rsidRPr="008374B5">
        <w:rPr>
          <w:rFonts w:ascii="Times New Roman" w:hAnsi="Times New Roman" w:cs="Times New Roman"/>
          <w:sz w:val="24"/>
          <w:szCs w:val="24"/>
        </w:rPr>
        <w:t>However,</w:t>
      </w:r>
      <w:r w:rsidR="00E01D14" w:rsidRPr="008374B5">
        <w:rPr>
          <w:rFonts w:ascii="Times New Roman" w:hAnsi="Times New Roman" w:cs="Times New Roman"/>
          <w:sz w:val="24"/>
          <w:szCs w:val="24"/>
        </w:rPr>
        <w:t xml:space="preserve"> close to 80% of the recalls were </w:t>
      </w:r>
      <w:r w:rsidR="00E971B0" w:rsidRPr="008374B5">
        <w:rPr>
          <w:rFonts w:ascii="Times New Roman" w:hAnsi="Times New Roman" w:cs="Times New Roman"/>
          <w:sz w:val="24"/>
          <w:szCs w:val="24"/>
        </w:rPr>
        <w:t>reported</w:t>
      </w:r>
      <w:r w:rsidR="00E01D14" w:rsidRPr="008374B5">
        <w:rPr>
          <w:rFonts w:ascii="Times New Roman" w:hAnsi="Times New Roman" w:cs="Times New Roman"/>
          <w:sz w:val="24"/>
          <w:szCs w:val="24"/>
        </w:rPr>
        <w:t xml:space="preserve"> to be typical </w:t>
      </w:r>
      <w:r w:rsidR="00640AF4" w:rsidRPr="001F21B9">
        <w:rPr>
          <w:rFonts w:ascii="Times New Roman" w:hAnsi="Times New Roman" w:cs="Times New Roman"/>
          <w:color w:val="FF0000"/>
          <w:sz w:val="24"/>
          <w:szCs w:val="24"/>
        </w:rPr>
        <w:t>of the infant’s</w:t>
      </w:r>
      <w:r w:rsidR="00640AF4">
        <w:rPr>
          <w:rFonts w:ascii="Times New Roman" w:hAnsi="Times New Roman" w:cs="Times New Roman"/>
          <w:sz w:val="24"/>
          <w:szCs w:val="24"/>
        </w:rPr>
        <w:t xml:space="preserve"> </w:t>
      </w:r>
      <w:r w:rsidR="00E01D14" w:rsidRPr="008374B5">
        <w:rPr>
          <w:rFonts w:ascii="Times New Roman" w:hAnsi="Times New Roman" w:cs="Times New Roman"/>
          <w:sz w:val="24"/>
          <w:szCs w:val="24"/>
        </w:rPr>
        <w:t>feeding routine</w:t>
      </w:r>
      <w:r w:rsidR="003B0253" w:rsidRPr="008374B5">
        <w:rPr>
          <w:rFonts w:ascii="Times New Roman" w:hAnsi="Times New Roman" w:cs="Times New Roman"/>
          <w:sz w:val="24"/>
          <w:szCs w:val="24"/>
        </w:rPr>
        <w:t xml:space="preserve">. </w:t>
      </w:r>
      <w:r w:rsidR="00810394" w:rsidRPr="008374B5">
        <w:rPr>
          <w:rFonts w:ascii="Times New Roman" w:hAnsi="Times New Roman" w:cs="Times New Roman"/>
          <w:sz w:val="24"/>
          <w:szCs w:val="24"/>
        </w:rPr>
        <w:t>Our</w:t>
      </w:r>
      <w:r w:rsidR="003B0253" w:rsidRPr="008374B5">
        <w:rPr>
          <w:rFonts w:ascii="Times New Roman" w:hAnsi="Times New Roman" w:cs="Times New Roman"/>
          <w:sz w:val="24"/>
          <w:szCs w:val="24"/>
        </w:rPr>
        <w:t xml:space="preserve"> findings </w:t>
      </w:r>
      <w:r w:rsidR="00810394" w:rsidRPr="008374B5">
        <w:rPr>
          <w:rFonts w:ascii="Times New Roman" w:hAnsi="Times New Roman" w:cs="Times New Roman"/>
          <w:sz w:val="24"/>
          <w:szCs w:val="24"/>
        </w:rPr>
        <w:t>from the</w:t>
      </w:r>
      <w:r w:rsidR="003B0253" w:rsidRPr="008374B5">
        <w:rPr>
          <w:rFonts w:ascii="Times New Roman" w:hAnsi="Times New Roman" w:cs="Times New Roman"/>
          <w:sz w:val="24"/>
          <w:szCs w:val="24"/>
        </w:rPr>
        <w:t xml:space="preserve"> </w:t>
      </w:r>
      <w:r w:rsidR="00E01D14" w:rsidRPr="008374B5">
        <w:rPr>
          <w:rFonts w:ascii="Times New Roman" w:hAnsi="Times New Roman" w:cs="Times New Roman"/>
          <w:sz w:val="24"/>
          <w:szCs w:val="24"/>
        </w:rPr>
        <w:t>sensitiv</w:t>
      </w:r>
      <w:r w:rsidR="008A1603" w:rsidRPr="008374B5">
        <w:rPr>
          <w:rFonts w:ascii="Times New Roman" w:hAnsi="Times New Roman" w:cs="Times New Roman"/>
          <w:sz w:val="24"/>
          <w:szCs w:val="24"/>
        </w:rPr>
        <w:t>ity</w:t>
      </w:r>
      <w:r w:rsidR="00E01D14" w:rsidRPr="008374B5">
        <w:rPr>
          <w:rFonts w:ascii="Times New Roman" w:hAnsi="Times New Roman" w:cs="Times New Roman"/>
          <w:sz w:val="24"/>
          <w:szCs w:val="24"/>
        </w:rPr>
        <w:t xml:space="preserve"> </w:t>
      </w:r>
      <w:r w:rsidR="003B0253" w:rsidRPr="008374B5">
        <w:rPr>
          <w:rFonts w:ascii="Times New Roman" w:hAnsi="Times New Roman" w:cs="Times New Roman"/>
          <w:sz w:val="24"/>
          <w:szCs w:val="24"/>
        </w:rPr>
        <w:t>analys</w:t>
      </w:r>
      <w:r w:rsidR="00810394" w:rsidRPr="008374B5">
        <w:rPr>
          <w:rFonts w:ascii="Times New Roman" w:hAnsi="Times New Roman" w:cs="Times New Roman"/>
          <w:sz w:val="24"/>
          <w:szCs w:val="24"/>
        </w:rPr>
        <w:t>i</w:t>
      </w:r>
      <w:r w:rsidR="00E01D14" w:rsidRPr="008374B5">
        <w:rPr>
          <w:rFonts w:ascii="Times New Roman" w:hAnsi="Times New Roman" w:cs="Times New Roman"/>
          <w:sz w:val="24"/>
          <w:szCs w:val="24"/>
        </w:rPr>
        <w:t>s</w:t>
      </w:r>
      <w:r w:rsidR="00AE705A" w:rsidRPr="008374B5">
        <w:rPr>
          <w:rFonts w:ascii="Times New Roman" w:hAnsi="Times New Roman" w:cs="Times New Roman"/>
          <w:sz w:val="24"/>
          <w:szCs w:val="24"/>
        </w:rPr>
        <w:t xml:space="preserve"> using these recalls</w:t>
      </w:r>
      <w:r w:rsidR="00E01D14" w:rsidRPr="008374B5">
        <w:rPr>
          <w:rFonts w:ascii="Times New Roman" w:hAnsi="Times New Roman" w:cs="Times New Roman"/>
          <w:sz w:val="24"/>
          <w:szCs w:val="24"/>
        </w:rPr>
        <w:t xml:space="preserve"> </w:t>
      </w:r>
      <w:r w:rsidR="003B0253" w:rsidRPr="008374B5">
        <w:rPr>
          <w:rFonts w:ascii="Times New Roman" w:hAnsi="Times New Roman" w:cs="Times New Roman"/>
          <w:sz w:val="24"/>
          <w:szCs w:val="24"/>
        </w:rPr>
        <w:t>were found to be similar</w:t>
      </w:r>
      <w:r w:rsidR="00810394" w:rsidRPr="008374B5">
        <w:rPr>
          <w:rFonts w:ascii="Times New Roman" w:hAnsi="Times New Roman" w:cs="Times New Roman"/>
          <w:sz w:val="24"/>
          <w:szCs w:val="24"/>
        </w:rPr>
        <w:t xml:space="preserve"> to those in the main analysis</w:t>
      </w:r>
      <w:r w:rsidR="003B0253" w:rsidRPr="008374B5">
        <w:rPr>
          <w:rFonts w:ascii="Times New Roman" w:hAnsi="Times New Roman" w:cs="Times New Roman"/>
          <w:sz w:val="24"/>
          <w:szCs w:val="24"/>
        </w:rPr>
        <w:t xml:space="preserve">. </w:t>
      </w:r>
      <w:r w:rsidR="00D74A68" w:rsidRPr="008374B5">
        <w:rPr>
          <w:rFonts w:ascii="Times New Roman" w:hAnsi="Times New Roman" w:cs="Times New Roman"/>
          <w:sz w:val="24"/>
          <w:szCs w:val="24"/>
        </w:rPr>
        <w:t>Thirdly</w:t>
      </w:r>
      <w:r w:rsidR="00810394" w:rsidRPr="008374B5">
        <w:rPr>
          <w:rFonts w:ascii="Times New Roman" w:hAnsi="Times New Roman" w:cs="Times New Roman"/>
          <w:sz w:val="24"/>
          <w:szCs w:val="24"/>
        </w:rPr>
        <w:t xml:space="preserve">, </w:t>
      </w:r>
      <w:r w:rsidR="00DC48F6" w:rsidRPr="008374B5">
        <w:rPr>
          <w:rFonts w:ascii="Times New Roman" w:hAnsi="Times New Roman" w:cs="Times New Roman"/>
          <w:sz w:val="24"/>
          <w:szCs w:val="24"/>
        </w:rPr>
        <w:t>our</w:t>
      </w:r>
      <w:r w:rsidR="00506C50" w:rsidRPr="008374B5">
        <w:rPr>
          <w:rFonts w:ascii="Times New Roman" w:hAnsi="Times New Roman" w:cs="Times New Roman"/>
          <w:sz w:val="24"/>
          <w:szCs w:val="24"/>
        </w:rPr>
        <w:t xml:space="preserve"> analyses using sleep data was limited as the s</w:t>
      </w:r>
      <w:r w:rsidR="00893CA9" w:rsidRPr="008374B5">
        <w:rPr>
          <w:rFonts w:ascii="Times New Roman" w:hAnsi="Times New Roman" w:cs="Times New Roman"/>
          <w:sz w:val="24"/>
          <w:szCs w:val="24"/>
        </w:rPr>
        <w:t xml:space="preserve">ample </w:t>
      </w:r>
      <w:r w:rsidR="00DC48F6" w:rsidRPr="008374B5">
        <w:rPr>
          <w:rFonts w:ascii="Times New Roman" w:hAnsi="Times New Roman" w:cs="Times New Roman"/>
          <w:sz w:val="24"/>
          <w:szCs w:val="24"/>
        </w:rPr>
        <w:t xml:space="preserve">size </w:t>
      </w:r>
      <w:r w:rsidR="00893CA9" w:rsidRPr="008374B5">
        <w:rPr>
          <w:rFonts w:ascii="Times New Roman" w:hAnsi="Times New Roman" w:cs="Times New Roman"/>
          <w:sz w:val="24"/>
          <w:szCs w:val="24"/>
        </w:rPr>
        <w:t>with this data was small.</w:t>
      </w:r>
      <w:r w:rsidR="00DC48F6" w:rsidRPr="008374B5">
        <w:rPr>
          <w:rFonts w:ascii="Times New Roman" w:hAnsi="Times New Roman" w:cs="Times New Roman"/>
          <w:sz w:val="24"/>
          <w:szCs w:val="24"/>
        </w:rPr>
        <w:t xml:space="preserve"> Nevertheless, the addition of total sleep duration</w:t>
      </w:r>
      <w:r w:rsidR="00137182" w:rsidRPr="008374B5">
        <w:rPr>
          <w:rFonts w:ascii="Times New Roman" w:hAnsi="Times New Roman" w:cs="Times New Roman"/>
          <w:sz w:val="24"/>
          <w:szCs w:val="24"/>
        </w:rPr>
        <w:t xml:space="preserve"> as </w:t>
      </w:r>
      <w:r w:rsidR="00590291" w:rsidRPr="008374B5">
        <w:rPr>
          <w:rFonts w:ascii="Times New Roman" w:hAnsi="Times New Roman" w:cs="Times New Roman"/>
          <w:sz w:val="24"/>
          <w:szCs w:val="24"/>
        </w:rPr>
        <w:t>covariate</w:t>
      </w:r>
      <w:r w:rsidR="00137182" w:rsidRPr="008374B5">
        <w:rPr>
          <w:rFonts w:ascii="Times New Roman" w:hAnsi="Times New Roman" w:cs="Times New Roman"/>
          <w:sz w:val="24"/>
          <w:szCs w:val="24"/>
        </w:rPr>
        <w:t xml:space="preserve"> </w:t>
      </w:r>
      <w:r w:rsidR="000F3FEF" w:rsidRPr="008374B5">
        <w:rPr>
          <w:rFonts w:ascii="Times New Roman" w:hAnsi="Times New Roman" w:cs="Times New Roman"/>
          <w:sz w:val="24"/>
          <w:szCs w:val="24"/>
        </w:rPr>
        <w:t>did not affect our findings</w:t>
      </w:r>
      <w:r w:rsidR="00A43545" w:rsidRPr="008374B5">
        <w:rPr>
          <w:rFonts w:ascii="Times New Roman" w:hAnsi="Times New Roman" w:cs="Times New Roman"/>
          <w:sz w:val="24"/>
          <w:szCs w:val="24"/>
        </w:rPr>
        <w:t>.</w:t>
      </w:r>
      <w:r w:rsidR="00D74A68" w:rsidRPr="008374B5">
        <w:rPr>
          <w:rFonts w:ascii="Times New Roman" w:hAnsi="Times New Roman" w:cs="Times New Roman"/>
          <w:sz w:val="24"/>
          <w:szCs w:val="24"/>
        </w:rPr>
        <w:t xml:space="preserve"> Lastly, we did not </w:t>
      </w:r>
      <w:r w:rsidR="00EE4E03" w:rsidRPr="008374B5">
        <w:rPr>
          <w:rFonts w:ascii="Times New Roman" w:hAnsi="Times New Roman" w:cs="Times New Roman"/>
          <w:sz w:val="24"/>
          <w:szCs w:val="24"/>
        </w:rPr>
        <w:t xml:space="preserve">further assess </w:t>
      </w:r>
      <w:r w:rsidR="00640AF4">
        <w:rPr>
          <w:rFonts w:ascii="Times New Roman" w:hAnsi="Times New Roman" w:cs="Times New Roman"/>
          <w:sz w:val="24"/>
          <w:szCs w:val="24"/>
        </w:rPr>
        <w:t>parent</w:t>
      </w:r>
      <w:r w:rsidR="00596641" w:rsidRPr="008374B5">
        <w:rPr>
          <w:rFonts w:ascii="Times New Roman" w:hAnsi="Times New Roman" w:cs="Times New Roman"/>
          <w:sz w:val="24"/>
          <w:szCs w:val="24"/>
        </w:rPr>
        <w:t>al</w:t>
      </w:r>
      <w:r w:rsidR="00EE4E03" w:rsidRPr="008374B5">
        <w:rPr>
          <w:rFonts w:ascii="Times New Roman" w:hAnsi="Times New Roman" w:cs="Times New Roman"/>
          <w:sz w:val="24"/>
          <w:szCs w:val="24"/>
        </w:rPr>
        <w:t xml:space="preserve"> feeding practices and beliefs to understand t</w:t>
      </w:r>
      <w:r w:rsidR="00D74A68" w:rsidRPr="008374B5">
        <w:rPr>
          <w:rFonts w:ascii="Times New Roman" w:hAnsi="Times New Roman" w:cs="Times New Roman"/>
          <w:sz w:val="24"/>
          <w:szCs w:val="24"/>
        </w:rPr>
        <w:t>he reasons behind</w:t>
      </w:r>
      <w:r w:rsidR="00C0482A" w:rsidRPr="008374B5">
        <w:rPr>
          <w:rFonts w:ascii="Times New Roman" w:hAnsi="Times New Roman" w:cs="Times New Roman"/>
          <w:sz w:val="24"/>
          <w:szCs w:val="24"/>
        </w:rPr>
        <w:t xml:space="preserve"> the circadian</w:t>
      </w:r>
      <w:r w:rsidR="00D74A68" w:rsidRPr="008374B5">
        <w:rPr>
          <w:rFonts w:ascii="Times New Roman" w:hAnsi="Times New Roman" w:cs="Times New Roman"/>
          <w:sz w:val="24"/>
          <w:szCs w:val="24"/>
        </w:rPr>
        <w:t xml:space="preserve"> feeding patterns, and hence could not make a conclusion on whether post</w:t>
      </w:r>
      <w:r w:rsidR="000B1D17" w:rsidRPr="008374B5">
        <w:rPr>
          <w:rFonts w:ascii="Times New Roman" w:hAnsi="Times New Roman" w:cs="Times New Roman"/>
          <w:sz w:val="24"/>
          <w:szCs w:val="24"/>
        </w:rPr>
        <w:t>-</w:t>
      </w:r>
      <w:r w:rsidR="00D74A68" w:rsidRPr="008374B5">
        <w:rPr>
          <w:rFonts w:ascii="Times New Roman" w:hAnsi="Times New Roman" w:cs="Times New Roman"/>
          <w:sz w:val="24"/>
          <w:szCs w:val="24"/>
        </w:rPr>
        <w:t xml:space="preserve">midnight feeding is driven by infant biological </w:t>
      </w:r>
      <w:r w:rsidR="008A343B" w:rsidRPr="008374B5">
        <w:rPr>
          <w:rFonts w:ascii="Times New Roman" w:hAnsi="Times New Roman" w:cs="Times New Roman"/>
          <w:sz w:val="24"/>
          <w:szCs w:val="24"/>
        </w:rPr>
        <w:t>and/</w:t>
      </w:r>
      <w:r w:rsidR="00FE32F0" w:rsidRPr="008374B5">
        <w:rPr>
          <w:rFonts w:ascii="Times New Roman" w:hAnsi="Times New Roman" w:cs="Times New Roman"/>
          <w:sz w:val="24"/>
          <w:szCs w:val="24"/>
        </w:rPr>
        <w:t xml:space="preserve">or </w:t>
      </w:r>
      <w:r w:rsidR="00596641" w:rsidRPr="008374B5">
        <w:rPr>
          <w:rFonts w:ascii="Times New Roman" w:hAnsi="Times New Roman" w:cs="Times New Roman"/>
          <w:sz w:val="24"/>
          <w:szCs w:val="24"/>
        </w:rPr>
        <w:t>parental</w:t>
      </w:r>
      <w:r w:rsidR="00FE32F0" w:rsidRPr="008374B5">
        <w:rPr>
          <w:rFonts w:ascii="Times New Roman" w:hAnsi="Times New Roman" w:cs="Times New Roman"/>
          <w:sz w:val="24"/>
          <w:szCs w:val="24"/>
        </w:rPr>
        <w:t xml:space="preserve"> behaviour.</w:t>
      </w:r>
    </w:p>
    <w:p w14:paraId="7F66E210" w14:textId="2894A165" w:rsidR="00634F7A" w:rsidRPr="008374B5" w:rsidRDefault="005F2FFF" w:rsidP="008374B5">
      <w:pPr>
        <w:suppressAutoHyphens/>
        <w:spacing w:after="0" w:line="360" w:lineRule="auto"/>
        <w:ind w:firstLine="720"/>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 xml:space="preserve">In conclusion, </w:t>
      </w:r>
      <w:r w:rsidR="00ED0F16" w:rsidRPr="008374B5">
        <w:rPr>
          <w:rFonts w:ascii="Times New Roman" w:hAnsi="Times New Roman" w:cs="Times New Roman"/>
          <w:sz w:val="24"/>
          <w:szCs w:val="24"/>
          <w:lang w:val="en-SG"/>
        </w:rPr>
        <w:t xml:space="preserve">this study provides </w:t>
      </w:r>
      <w:r w:rsidR="00594A30" w:rsidRPr="008374B5">
        <w:rPr>
          <w:rFonts w:ascii="Times New Roman" w:hAnsi="Times New Roman" w:cs="Times New Roman"/>
          <w:sz w:val="24"/>
          <w:szCs w:val="24"/>
          <w:lang w:val="en-SG"/>
        </w:rPr>
        <w:t>new</w:t>
      </w:r>
      <w:r w:rsidR="00ED0F16" w:rsidRPr="008374B5">
        <w:rPr>
          <w:rFonts w:ascii="Times New Roman" w:hAnsi="Times New Roman" w:cs="Times New Roman"/>
          <w:sz w:val="24"/>
          <w:szCs w:val="24"/>
          <w:lang w:val="en-SG"/>
        </w:rPr>
        <w:t xml:space="preserve"> insights into</w:t>
      </w:r>
      <w:r w:rsidR="00A912E7" w:rsidRPr="008374B5">
        <w:rPr>
          <w:rFonts w:ascii="Times New Roman" w:hAnsi="Times New Roman" w:cs="Times New Roman"/>
          <w:sz w:val="24"/>
          <w:szCs w:val="24"/>
          <w:lang w:val="en-SG"/>
        </w:rPr>
        <w:t xml:space="preserve"> </w:t>
      </w:r>
      <w:r w:rsidR="00C91A73" w:rsidRPr="008374B5">
        <w:rPr>
          <w:rFonts w:ascii="Times New Roman" w:hAnsi="Times New Roman" w:cs="Times New Roman"/>
          <w:sz w:val="24"/>
          <w:szCs w:val="24"/>
          <w:lang w:val="en-SG"/>
        </w:rPr>
        <w:t xml:space="preserve">the </w:t>
      </w:r>
      <w:r w:rsidR="000D4FF7" w:rsidRPr="008374B5">
        <w:rPr>
          <w:rFonts w:ascii="Times New Roman" w:hAnsi="Times New Roman" w:cs="Times New Roman"/>
          <w:sz w:val="24"/>
          <w:szCs w:val="24"/>
          <w:lang w:val="en-SG"/>
        </w:rPr>
        <w:t xml:space="preserve">temporal </w:t>
      </w:r>
      <w:r w:rsidR="00FE72FE" w:rsidRPr="008374B5">
        <w:rPr>
          <w:rFonts w:ascii="Times New Roman" w:hAnsi="Times New Roman" w:cs="Times New Roman"/>
          <w:sz w:val="24"/>
          <w:szCs w:val="24"/>
          <w:lang w:val="en-SG"/>
        </w:rPr>
        <w:t>feeding pattern of 12</w:t>
      </w:r>
      <w:r w:rsidR="000B1D17" w:rsidRPr="008374B5">
        <w:rPr>
          <w:rFonts w:ascii="Times New Roman" w:hAnsi="Times New Roman" w:cs="Times New Roman"/>
          <w:sz w:val="24"/>
          <w:szCs w:val="24"/>
          <w:lang w:val="en-SG"/>
        </w:rPr>
        <w:t>-</w:t>
      </w:r>
      <w:r w:rsidR="00FE72FE" w:rsidRPr="008374B5">
        <w:rPr>
          <w:rFonts w:ascii="Times New Roman" w:hAnsi="Times New Roman" w:cs="Times New Roman"/>
          <w:sz w:val="24"/>
          <w:szCs w:val="24"/>
          <w:lang w:val="en-SG"/>
        </w:rPr>
        <w:t>month</w:t>
      </w:r>
      <w:r w:rsidR="000B1D17" w:rsidRPr="008374B5">
        <w:rPr>
          <w:rFonts w:ascii="Times New Roman" w:hAnsi="Times New Roman" w:cs="Times New Roman"/>
          <w:sz w:val="24"/>
          <w:szCs w:val="24"/>
          <w:lang w:val="en-SG"/>
        </w:rPr>
        <w:t>-</w:t>
      </w:r>
      <w:r w:rsidR="00FE72FE" w:rsidRPr="008374B5">
        <w:rPr>
          <w:rFonts w:ascii="Times New Roman" w:hAnsi="Times New Roman" w:cs="Times New Roman"/>
          <w:sz w:val="24"/>
          <w:szCs w:val="24"/>
          <w:lang w:val="en-SG"/>
        </w:rPr>
        <w:t xml:space="preserve">old infants </w:t>
      </w:r>
      <w:r w:rsidR="00A912E7" w:rsidRPr="008374B5">
        <w:rPr>
          <w:rFonts w:ascii="Times New Roman" w:hAnsi="Times New Roman" w:cs="Times New Roman"/>
          <w:sz w:val="24"/>
          <w:szCs w:val="24"/>
          <w:lang w:val="en-SG"/>
        </w:rPr>
        <w:t xml:space="preserve">and </w:t>
      </w:r>
      <w:r w:rsidR="0091616F" w:rsidRPr="008374B5">
        <w:rPr>
          <w:rFonts w:ascii="Times New Roman" w:hAnsi="Times New Roman" w:cs="Times New Roman"/>
          <w:sz w:val="24"/>
          <w:szCs w:val="24"/>
          <w:lang w:val="en-SG"/>
        </w:rPr>
        <w:t>identifies</w:t>
      </w:r>
      <w:r w:rsidR="00D73152" w:rsidRPr="008374B5">
        <w:rPr>
          <w:rFonts w:ascii="Times New Roman" w:hAnsi="Times New Roman" w:cs="Times New Roman"/>
          <w:sz w:val="24"/>
          <w:szCs w:val="24"/>
          <w:lang w:val="en-SG"/>
        </w:rPr>
        <w:t xml:space="preserve"> two prevailing feeding patterns</w:t>
      </w:r>
      <w:r w:rsidR="000D4FF7" w:rsidRPr="008374B5">
        <w:rPr>
          <w:rFonts w:ascii="Times New Roman" w:hAnsi="Times New Roman" w:cs="Times New Roman"/>
          <w:sz w:val="24"/>
          <w:szCs w:val="24"/>
          <w:lang w:val="en-SG"/>
        </w:rPr>
        <w:t xml:space="preserve"> – pre</w:t>
      </w:r>
      <w:r w:rsidR="000B1D17" w:rsidRPr="008374B5">
        <w:rPr>
          <w:rFonts w:ascii="Times New Roman" w:hAnsi="Times New Roman" w:cs="Times New Roman"/>
          <w:sz w:val="24"/>
          <w:szCs w:val="24"/>
          <w:lang w:val="en-SG"/>
        </w:rPr>
        <w:t>-</w:t>
      </w:r>
      <w:r w:rsidR="000D4FF7" w:rsidRPr="008374B5">
        <w:rPr>
          <w:rFonts w:ascii="Times New Roman" w:hAnsi="Times New Roman" w:cs="Times New Roman"/>
          <w:sz w:val="24"/>
          <w:szCs w:val="24"/>
          <w:lang w:val="en-SG"/>
        </w:rPr>
        <w:t>midnight and post</w:t>
      </w:r>
      <w:r w:rsidR="000B1D17" w:rsidRPr="008374B5">
        <w:rPr>
          <w:rFonts w:ascii="Times New Roman" w:hAnsi="Times New Roman" w:cs="Times New Roman"/>
          <w:sz w:val="24"/>
          <w:szCs w:val="24"/>
          <w:lang w:val="en-SG"/>
        </w:rPr>
        <w:t>-</w:t>
      </w:r>
      <w:r w:rsidR="000D4FF7" w:rsidRPr="008374B5">
        <w:rPr>
          <w:rFonts w:ascii="Times New Roman" w:hAnsi="Times New Roman" w:cs="Times New Roman"/>
          <w:sz w:val="24"/>
          <w:szCs w:val="24"/>
          <w:lang w:val="en-SG"/>
        </w:rPr>
        <w:t>midnight feeding</w:t>
      </w:r>
      <w:r w:rsidR="00D73152" w:rsidRPr="008374B5">
        <w:rPr>
          <w:rFonts w:ascii="Times New Roman" w:hAnsi="Times New Roman" w:cs="Times New Roman"/>
          <w:sz w:val="24"/>
          <w:szCs w:val="24"/>
          <w:lang w:val="en-SG"/>
        </w:rPr>
        <w:t xml:space="preserve">. </w:t>
      </w:r>
      <w:r w:rsidR="00FC0478" w:rsidRPr="008374B5">
        <w:rPr>
          <w:rFonts w:ascii="Times New Roman" w:hAnsi="Times New Roman" w:cs="Times New Roman"/>
          <w:sz w:val="24"/>
          <w:szCs w:val="24"/>
          <w:lang w:val="en-SG"/>
        </w:rPr>
        <w:t>Post</w:t>
      </w:r>
      <w:r w:rsidR="000B1D17" w:rsidRPr="008374B5">
        <w:rPr>
          <w:rFonts w:ascii="Times New Roman" w:hAnsi="Times New Roman" w:cs="Times New Roman"/>
          <w:sz w:val="24"/>
          <w:szCs w:val="24"/>
          <w:lang w:val="en-SG"/>
        </w:rPr>
        <w:t>-</w:t>
      </w:r>
      <w:r w:rsidR="00FC0478" w:rsidRPr="008374B5">
        <w:rPr>
          <w:rFonts w:ascii="Times New Roman" w:hAnsi="Times New Roman" w:cs="Times New Roman"/>
          <w:sz w:val="24"/>
          <w:szCs w:val="24"/>
          <w:lang w:val="en-SG"/>
        </w:rPr>
        <w:t>m</w:t>
      </w:r>
      <w:r w:rsidR="003A49E0" w:rsidRPr="008374B5">
        <w:rPr>
          <w:rFonts w:ascii="Times New Roman" w:hAnsi="Times New Roman" w:cs="Times New Roman"/>
          <w:sz w:val="24"/>
          <w:szCs w:val="24"/>
          <w:lang w:val="en-SG"/>
        </w:rPr>
        <w:t xml:space="preserve">idnight </w:t>
      </w:r>
      <w:r w:rsidR="002F44D4" w:rsidRPr="008374B5">
        <w:rPr>
          <w:rFonts w:ascii="Times New Roman" w:hAnsi="Times New Roman" w:cs="Times New Roman"/>
          <w:sz w:val="24"/>
          <w:szCs w:val="24"/>
          <w:lang w:val="en-SG"/>
        </w:rPr>
        <w:t>feeds, with formula milk making up the majority,</w:t>
      </w:r>
      <w:r w:rsidR="00A958D3" w:rsidRPr="008374B5">
        <w:rPr>
          <w:rFonts w:ascii="Times New Roman" w:hAnsi="Times New Roman" w:cs="Times New Roman"/>
          <w:sz w:val="24"/>
          <w:szCs w:val="24"/>
          <w:lang w:val="en-SG"/>
        </w:rPr>
        <w:t xml:space="preserve"> contributed to higher </w:t>
      </w:r>
      <w:r w:rsidR="00FC0478" w:rsidRPr="008374B5">
        <w:rPr>
          <w:rFonts w:ascii="Times New Roman" w:hAnsi="Times New Roman" w:cs="Times New Roman"/>
          <w:sz w:val="24"/>
          <w:szCs w:val="24"/>
          <w:lang w:val="en-SG"/>
        </w:rPr>
        <w:t>daily energy</w:t>
      </w:r>
      <w:r w:rsidR="00C91A73" w:rsidRPr="008374B5">
        <w:rPr>
          <w:rFonts w:ascii="Times New Roman" w:hAnsi="Times New Roman" w:cs="Times New Roman"/>
          <w:sz w:val="24"/>
          <w:szCs w:val="24"/>
          <w:lang w:val="en-SG"/>
        </w:rPr>
        <w:t xml:space="preserve"> </w:t>
      </w:r>
      <w:r w:rsidR="00882A81" w:rsidRPr="008374B5">
        <w:rPr>
          <w:rFonts w:ascii="Times New Roman" w:hAnsi="Times New Roman" w:cs="Times New Roman"/>
          <w:sz w:val="24"/>
          <w:szCs w:val="24"/>
          <w:lang w:val="en-SG"/>
        </w:rPr>
        <w:t>and macronutrient intake</w:t>
      </w:r>
      <w:r w:rsidR="00CE3C18" w:rsidRPr="008374B5">
        <w:rPr>
          <w:rFonts w:ascii="Times New Roman" w:hAnsi="Times New Roman" w:cs="Times New Roman"/>
          <w:sz w:val="24"/>
          <w:szCs w:val="24"/>
          <w:lang w:val="en-SG"/>
        </w:rPr>
        <w:t>s</w:t>
      </w:r>
      <w:r w:rsidRPr="008374B5">
        <w:rPr>
          <w:rFonts w:ascii="Times New Roman" w:hAnsi="Times New Roman" w:cs="Times New Roman"/>
          <w:sz w:val="24"/>
          <w:szCs w:val="24"/>
          <w:lang w:val="en-SG"/>
        </w:rPr>
        <w:t xml:space="preserve">. </w:t>
      </w:r>
      <w:r w:rsidR="0082459B" w:rsidRPr="008374B5">
        <w:rPr>
          <w:rFonts w:ascii="Times New Roman" w:hAnsi="Times New Roman" w:cs="Times New Roman"/>
          <w:sz w:val="24"/>
          <w:szCs w:val="24"/>
          <w:lang w:val="en-SG"/>
        </w:rPr>
        <w:t>Our findings also suggest</w:t>
      </w:r>
      <w:r w:rsidR="00825BCA" w:rsidRPr="008374B5">
        <w:rPr>
          <w:rFonts w:ascii="Times New Roman" w:hAnsi="Times New Roman" w:cs="Times New Roman"/>
          <w:sz w:val="24"/>
          <w:szCs w:val="24"/>
          <w:lang w:val="en-SG"/>
        </w:rPr>
        <w:t xml:space="preserve"> that</w:t>
      </w:r>
      <w:r w:rsidR="001D5207" w:rsidRPr="008374B5">
        <w:rPr>
          <w:rFonts w:ascii="Times New Roman" w:hAnsi="Times New Roman" w:cs="Times New Roman"/>
          <w:sz w:val="24"/>
          <w:szCs w:val="24"/>
          <w:lang w:val="en-SG"/>
        </w:rPr>
        <w:t xml:space="preserve"> feeding mode</w:t>
      </w:r>
      <w:r w:rsidR="00A620AD" w:rsidRPr="008374B5">
        <w:rPr>
          <w:rFonts w:ascii="Times New Roman" w:hAnsi="Times New Roman" w:cs="Times New Roman"/>
          <w:sz w:val="24"/>
          <w:szCs w:val="24"/>
          <w:lang w:val="en-SG"/>
        </w:rPr>
        <w:t xml:space="preserve"> during early infancy </w:t>
      </w:r>
      <w:r w:rsidR="002A6A91" w:rsidRPr="008374B5">
        <w:rPr>
          <w:rFonts w:ascii="Times New Roman" w:hAnsi="Times New Roman" w:cs="Times New Roman"/>
          <w:sz w:val="24"/>
          <w:szCs w:val="24"/>
          <w:lang w:val="en-SG"/>
        </w:rPr>
        <w:t>is associated with</w:t>
      </w:r>
      <w:r w:rsidR="00F15483" w:rsidRPr="008374B5">
        <w:rPr>
          <w:rFonts w:ascii="Times New Roman" w:hAnsi="Times New Roman" w:cs="Times New Roman"/>
          <w:sz w:val="24"/>
          <w:szCs w:val="24"/>
          <w:lang w:val="en-SG"/>
        </w:rPr>
        <w:t xml:space="preserve"> subsequent feeding </w:t>
      </w:r>
      <w:r w:rsidR="00540E77" w:rsidRPr="008374B5">
        <w:rPr>
          <w:rFonts w:ascii="Times New Roman" w:hAnsi="Times New Roman" w:cs="Times New Roman"/>
          <w:sz w:val="24"/>
          <w:szCs w:val="24"/>
          <w:lang w:val="en-SG"/>
        </w:rPr>
        <w:t>pattern</w:t>
      </w:r>
      <w:r w:rsidR="00BE6EA9" w:rsidRPr="008374B5">
        <w:rPr>
          <w:rFonts w:ascii="Times New Roman" w:hAnsi="Times New Roman" w:cs="Times New Roman"/>
          <w:sz w:val="24"/>
          <w:szCs w:val="24"/>
          <w:lang w:val="en-SG"/>
        </w:rPr>
        <w:t xml:space="preserve">. </w:t>
      </w:r>
      <w:r w:rsidR="00A32BD2" w:rsidRPr="001F21B9">
        <w:rPr>
          <w:rFonts w:ascii="Times New Roman" w:hAnsi="Times New Roman" w:cs="Times New Roman"/>
          <w:color w:val="FF0000"/>
          <w:sz w:val="24"/>
          <w:szCs w:val="24"/>
          <w:lang w:val="en-SG"/>
        </w:rPr>
        <w:t>However, more studies are needed to replicate these findings and to understand their biological mechanisms, particularly among infants</w:t>
      </w:r>
      <w:r w:rsidR="00803B64" w:rsidRPr="001F21B9">
        <w:rPr>
          <w:rFonts w:ascii="Times New Roman" w:hAnsi="Times New Roman" w:cs="Times New Roman"/>
          <w:color w:val="FF0000"/>
          <w:sz w:val="24"/>
          <w:szCs w:val="24"/>
          <w:lang w:val="en-SG"/>
        </w:rPr>
        <w:t xml:space="preserve"> at</w:t>
      </w:r>
      <w:r w:rsidR="00A32BD2" w:rsidRPr="001F21B9">
        <w:rPr>
          <w:rFonts w:ascii="Times New Roman" w:hAnsi="Times New Roman" w:cs="Times New Roman"/>
          <w:color w:val="FF0000"/>
          <w:sz w:val="24"/>
          <w:szCs w:val="24"/>
          <w:lang w:val="en-SG"/>
        </w:rPr>
        <w:t xml:space="preserve"> high-risk </w:t>
      </w:r>
      <w:r w:rsidR="00803B64" w:rsidRPr="001F21B9">
        <w:rPr>
          <w:rFonts w:ascii="Times New Roman" w:hAnsi="Times New Roman" w:cs="Times New Roman"/>
          <w:color w:val="FF0000"/>
          <w:sz w:val="24"/>
          <w:szCs w:val="24"/>
          <w:lang w:val="en-SG"/>
        </w:rPr>
        <w:t xml:space="preserve">of </w:t>
      </w:r>
      <w:r w:rsidR="00A32BD2" w:rsidRPr="001F21B9">
        <w:rPr>
          <w:rFonts w:ascii="Times New Roman" w:hAnsi="Times New Roman" w:cs="Times New Roman"/>
          <w:color w:val="FF0000"/>
          <w:sz w:val="24"/>
          <w:szCs w:val="24"/>
          <w:lang w:val="en-SG"/>
        </w:rPr>
        <w:t>nutritional deficiencies.</w:t>
      </w:r>
      <w:r w:rsidR="00A32BD2" w:rsidRPr="001F21B9">
        <w:rPr>
          <w:rFonts w:ascii="Times New Roman" w:hAnsi="Times New Roman" w:cs="Times New Roman"/>
          <w:color w:val="FF0000"/>
          <w:sz w:val="24"/>
          <w:szCs w:val="24"/>
          <w:lang w:val="en-GB"/>
        </w:rPr>
        <w:t xml:space="preserve"> Also, long-term studies are warranted to confirm about the implications of post-midnight feeding on subsequent growth and development of children</w:t>
      </w:r>
      <w:r w:rsidR="00EB069A">
        <w:rPr>
          <w:rFonts w:ascii="Times New Roman" w:hAnsi="Times New Roman" w:cs="Times New Roman"/>
          <w:color w:val="FF0000"/>
          <w:sz w:val="24"/>
          <w:szCs w:val="24"/>
          <w:lang w:val="en-GB"/>
        </w:rPr>
        <w:t xml:space="preserve"> since it is currently unknown whether post-midnight feeding is physiological or otherwise</w:t>
      </w:r>
      <w:r w:rsidR="00A32BD2" w:rsidRPr="001F21B9">
        <w:rPr>
          <w:rFonts w:ascii="Times New Roman" w:hAnsi="Times New Roman" w:cs="Times New Roman"/>
          <w:color w:val="FF0000"/>
          <w:sz w:val="24"/>
          <w:szCs w:val="24"/>
          <w:lang w:val="en-GB"/>
        </w:rPr>
        <w:t xml:space="preserve">. </w:t>
      </w:r>
      <w:r w:rsidR="00BE6EA9" w:rsidRPr="008374B5">
        <w:rPr>
          <w:rFonts w:ascii="Times New Roman" w:hAnsi="Times New Roman" w:cs="Times New Roman"/>
          <w:sz w:val="24"/>
          <w:szCs w:val="24"/>
          <w:lang w:val="en-SG"/>
        </w:rPr>
        <w:t>Importantly, our study raises the possibility of including advice on appropriate feeding time</w:t>
      </w:r>
      <w:r w:rsidR="000D2E0B" w:rsidRPr="008374B5">
        <w:rPr>
          <w:rFonts w:ascii="Times New Roman" w:hAnsi="Times New Roman" w:cs="Times New Roman"/>
          <w:sz w:val="24"/>
          <w:szCs w:val="24"/>
          <w:lang w:val="en-SG"/>
        </w:rPr>
        <w:t>s</w:t>
      </w:r>
      <w:r w:rsidR="00BE6EA9" w:rsidRPr="008374B5">
        <w:rPr>
          <w:rFonts w:ascii="Times New Roman" w:hAnsi="Times New Roman" w:cs="Times New Roman"/>
          <w:sz w:val="24"/>
          <w:szCs w:val="24"/>
          <w:lang w:val="en-SG"/>
        </w:rPr>
        <w:t xml:space="preserve"> when considering daily energy </w:t>
      </w:r>
      <w:r w:rsidR="00BE6EA9" w:rsidRPr="008374B5">
        <w:rPr>
          <w:rFonts w:ascii="Times New Roman" w:hAnsi="Times New Roman" w:cs="Times New Roman"/>
          <w:sz w:val="24"/>
          <w:szCs w:val="24"/>
          <w:lang w:val="en-SG"/>
        </w:rPr>
        <w:lastRenderedPageBreak/>
        <w:t>intake</w:t>
      </w:r>
      <w:r w:rsidR="008B3385" w:rsidRPr="008374B5">
        <w:rPr>
          <w:rFonts w:ascii="Times New Roman" w:hAnsi="Times New Roman" w:cs="Times New Roman"/>
          <w:sz w:val="24"/>
          <w:szCs w:val="24"/>
          <w:lang w:val="en-SG"/>
        </w:rPr>
        <w:t xml:space="preserve"> in infancy</w:t>
      </w:r>
      <w:r w:rsidR="00BE6EA9" w:rsidRPr="008374B5">
        <w:rPr>
          <w:rFonts w:ascii="Times New Roman" w:hAnsi="Times New Roman" w:cs="Times New Roman"/>
          <w:sz w:val="24"/>
          <w:szCs w:val="24"/>
          <w:lang w:val="en-SG"/>
        </w:rPr>
        <w:t xml:space="preserve">. </w:t>
      </w:r>
      <w:r w:rsidR="004C5248" w:rsidRPr="008374B5">
        <w:rPr>
          <w:rFonts w:ascii="Times New Roman" w:hAnsi="Times New Roman" w:cs="Times New Roman"/>
          <w:sz w:val="24"/>
          <w:szCs w:val="24"/>
          <w:lang w:val="en-SG"/>
        </w:rPr>
        <w:t xml:space="preserve">We recommend more attention to be given to </w:t>
      </w:r>
      <w:r w:rsidR="00B6542C" w:rsidRPr="008374B5">
        <w:rPr>
          <w:rFonts w:ascii="Times New Roman" w:hAnsi="Times New Roman" w:cs="Times New Roman"/>
          <w:sz w:val="24"/>
          <w:szCs w:val="24"/>
          <w:lang w:val="en-SG"/>
        </w:rPr>
        <w:t>circadian</w:t>
      </w:r>
      <w:r w:rsidR="00C60F58" w:rsidRPr="008374B5">
        <w:rPr>
          <w:rFonts w:ascii="Times New Roman" w:hAnsi="Times New Roman" w:cs="Times New Roman"/>
          <w:sz w:val="24"/>
          <w:szCs w:val="24"/>
          <w:lang w:val="en-SG"/>
        </w:rPr>
        <w:t xml:space="preserve"> feeding patterns during early life</w:t>
      </w:r>
      <w:r w:rsidR="00030764" w:rsidRPr="008374B5">
        <w:rPr>
          <w:rFonts w:ascii="Times New Roman" w:hAnsi="Times New Roman" w:cs="Times New Roman"/>
          <w:sz w:val="24"/>
          <w:szCs w:val="24"/>
          <w:lang w:val="en-SG"/>
        </w:rPr>
        <w:t>.</w:t>
      </w:r>
    </w:p>
    <w:p w14:paraId="6E6BCB22" w14:textId="77777777" w:rsidR="00634F7A" w:rsidRPr="008374B5" w:rsidRDefault="00634F7A" w:rsidP="008374B5">
      <w:pPr>
        <w:suppressLineNumbers/>
        <w:suppressAutoHyphens/>
        <w:spacing w:after="0" w:line="360" w:lineRule="auto"/>
        <w:ind w:firstLine="720"/>
        <w:jc w:val="both"/>
        <w:rPr>
          <w:rFonts w:ascii="Times New Roman" w:hAnsi="Times New Roman" w:cs="Times New Roman"/>
          <w:sz w:val="24"/>
          <w:szCs w:val="24"/>
          <w:lang w:val="en-SG"/>
        </w:rPr>
      </w:pPr>
    </w:p>
    <w:p w14:paraId="672A3385" w14:textId="28FB7527" w:rsidR="00030764" w:rsidRPr="008374B5" w:rsidRDefault="00030764" w:rsidP="008374B5">
      <w:pPr>
        <w:suppressAutoHyphens/>
        <w:spacing w:after="0" w:line="360" w:lineRule="auto"/>
        <w:jc w:val="both"/>
        <w:rPr>
          <w:rFonts w:ascii="Times New Roman" w:hAnsi="Times New Roman" w:cs="Times New Roman"/>
          <w:b/>
          <w:sz w:val="24"/>
          <w:szCs w:val="24"/>
          <w:lang w:val="en-SG"/>
        </w:rPr>
      </w:pPr>
      <w:r w:rsidRPr="008374B5">
        <w:rPr>
          <w:rFonts w:ascii="Times New Roman" w:hAnsi="Times New Roman" w:cs="Times New Roman"/>
          <w:b/>
          <w:sz w:val="24"/>
          <w:szCs w:val="24"/>
          <w:lang w:val="en-SG"/>
        </w:rPr>
        <w:t>Acknowledgements</w:t>
      </w:r>
    </w:p>
    <w:p w14:paraId="742B8A78" w14:textId="6D46C3BD" w:rsidR="00030764" w:rsidRPr="008374B5" w:rsidRDefault="00030764" w:rsidP="008374B5">
      <w:pPr>
        <w:suppressAutoHyphens/>
        <w:spacing w:after="0" w:line="360" w:lineRule="auto"/>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 xml:space="preserve">The authors thank the study subjects and their families for their participation. The authors also </w:t>
      </w:r>
      <w:r w:rsidR="007A2064" w:rsidRPr="008374B5">
        <w:rPr>
          <w:rFonts w:ascii="Times New Roman" w:hAnsi="Times New Roman" w:cs="Times New Roman"/>
          <w:sz w:val="24"/>
          <w:szCs w:val="24"/>
          <w:lang w:val="en-SG"/>
        </w:rPr>
        <w:t>acknowledge</w:t>
      </w:r>
      <w:r w:rsidRPr="008374B5">
        <w:rPr>
          <w:rFonts w:ascii="Times New Roman" w:hAnsi="Times New Roman" w:cs="Times New Roman"/>
          <w:sz w:val="24"/>
          <w:szCs w:val="24"/>
          <w:lang w:val="en-SG"/>
        </w:rPr>
        <w:t xml:space="preserve"> the GUSTO study group, which includes </w:t>
      </w:r>
      <w:proofErr w:type="spellStart"/>
      <w:r w:rsidRPr="008374B5">
        <w:rPr>
          <w:rFonts w:ascii="Times New Roman" w:hAnsi="Times New Roman" w:cs="Times New Roman"/>
          <w:sz w:val="24"/>
          <w:szCs w:val="24"/>
          <w:lang w:val="en-SG"/>
        </w:rPr>
        <w:t>Pratibha</w:t>
      </w:r>
      <w:proofErr w:type="spellEnd"/>
      <w:r w:rsidRPr="008374B5">
        <w:rPr>
          <w:rFonts w:ascii="Times New Roman" w:hAnsi="Times New Roman" w:cs="Times New Roman"/>
          <w:sz w:val="24"/>
          <w:szCs w:val="24"/>
          <w:lang w:val="en-SG"/>
        </w:rPr>
        <w:t xml:space="preserve"> Agarwal, </w:t>
      </w:r>
      <w:proofErr w:type="spellStart"/>
      <w:r w:rsidRPr="008374B5">
        <w:rPr>
          <w:rFonts w:ascii="Times New Roman" w:hAnsi="Times New Roman" w:cs="Times New Roman"/>
          <w:sz w:val="24"/>
          <w:szCs w:val="24"/>
          <w:lang w:val="en-SG"/>
        </w:rPr>
        <w:t>Arijit</w:t>
      </w:r>
      <w:proofErr w:type="spellEnd"/>
      <w:r w:rsidRPr="008374B5">
        <w:rPr>
          <w:rFonts w:ascii="Times New Roman" w:hAnsi="Times New Roman" w:cs="Times New Roman"/>
          <w:sz w:val="24"/>
          <w:szCs w:val="24"/>
          <w:lang w:val="en-SG"/>
        </w:rPr>
        <w:t xml:space="preserve"> Biswas, </w:t>
      </w:r>
      <w:proofErr w:type="spellStart"/>
      <w:r w:rsidRPr="008374B5">
        <w:rPr>
          <w:rFonts w:ascii="Times New Roman" w:hAnsi="Times New Roman" w:cs="Times New Roman"/>
          <w:sz w:val="24"/>
          <w:szCs w:val="24"/>
          <w:lang w:val="en-SG"/>
        </w:rPr>
        <w:t>Choon</w:t>
      </w:r>
      <w:proofErr w:type="spellEnd"/>
      <w:r w:rsidRPr="008374B5">
        <w:rPr>
          <w:rFonts w:ascii="Times New Roman" w:hAnsi="Times New Roman" w:cs="Times New Roman"/>
          <w:sz w:val="24"/>
          <w:szCs w:val="24"/>
          <w:lang w:val="en-SG"/>
        </w:rPr>
        <w:t xml:space="preserve"> </w:t>
      </w:r>
      <w:proofErr w:type="spellStart"/>
      <w:r w:rsidRPr="008374B5">
        <w:rPr>
          <w:rFonts w:ascii="Times New Roman" w:hAnsi="Times New Roman" w:cs="Times New Roman"/>
          <w:sz w:val="24"/>
          <w:szCs w:val="24"/>
          <w:lang w:val="en-SG"/>
        </w:rPr>
        <w:t>Looi</w:t>
      </w:r>
      <w:proofErr w:type="spellEnd"/>
      <w:r w:rsidRPr="008374B5">
        <w:rPr>
          <w:rFonts w:ascii="Times New Roman" w:hAnsi="Times New Roman" w:cs="Times New Roman"/>
          <w:sz w:val="24"/>
          <w:szCs w:val="24"/>
          <w:lang w:val="en-SG"/>
        </w:rPr>
        <w:t xml:space="preserve"> Bong, </w:t>
      </w:r>
      <w:proofErr w:type="spellStart"/>
      <w:r w:rsidRPr="008374B5">
        <w:rPr>
          <w:rFonts w:ascii="Times New Roman" w:hAnsi="Times New Roman" w:cs="Times New Roman"/>
          <w:sz w:val="24"/>
          <w:szCs w:val="24"/>
          <w:lang w:val="en-SG"/>
        </w:rPr>
        <w:t>Birit</w:t>
      </w:r>
      <w:proofErr w:type="spellEnd"/>
      <w:r w:rsidRPr="008374B5">
        <w:rPr>
          <w:rFonts w:ascii="Times New Roman" w:hAnsi="Times New Roman" w:cs="Times New Roman"/>
          <w:sz w:val="24"/>
          <w:szCs w:val="24"/>
          <w:lang w:val="en-SG"/>
        </w:rPr>
        <w:t xml:space="preserve"> F. P. </w:t>
      </w:r>
      <w:proofErr w:type="spellStart"/>
      <w:r w:rsidRPr="008374B5">
        <w:rPr>
          <w:rFonts w:ascii="Times New Roman" w:hAnsi="Times New Roman" w:cs="Times New Roman"/>
          <w:sz w:val="24"/>
          <w:szCs w:val="24"/>
          <w:lang w:val="en-SG"/>
        </w:rPr>
        <w:t>Broekman</w:t>
      </w:r>
      <w:proofErr w:type="spellEnd"/>
      <w:r w:rsidRPr="008374B5">
        <w:rPr>
          <w:rFonts w:ascii="Times New Roman" w:hAnsi="Times New Roman" w:cs="Times New Roman"/>
          <w:sz w:val="24"/>
          <w:szCs w:val="24"/>
          <w:lang w:val="en-SG"/>
        </w:rPr>
        <w:t xml:space="preserve">, </w:t>
      </w:r>
      <w:proofErr w:type="spellStart"/>
      <w:r w:rsidRPr="008374B5">
        <w:rPr>
          <w:rFonts w:ascii="Times New Roman" w:hAnsi="Times New Roman" w:cs="Times New Roman"/>
          <w:sz w:val="24"/>
          <w:szCs w:val="24"/>
          <w:lang w:val="en-SG"/>
        </w:rPr>
        <w:t>Shirong</w:t>
      </w:r>
      <w:proofErr w:type="spellEnd"/>
      <w:r w:rsidRPr="008374B5">
        <w:rPr>
          <w:rFonts w:ascii="Times New Roman" w:hAnsi="Times New Roman" w:cs="Times New Roman"/>
          <w:sz w:val="24"/>
          <w:szCs w:val="24"/>
          <w:lang w:val="en-SG"/>
        </w:rPr>
        <w:t xml:space="preserve"> </w:t>
      </w:r>
      <w:proofErr w:type="spellStart"/>
      <w:r w:rsidRPr="008374B5">
        <w:rPr>
          <w:rFonts w:ascii="Times New Roman" w:hAnsi="Times New Roman" w:cs="Times New Roman"/>
          <w:sz w:val="24"/>
          <w:szCs w:val="24"/>
          <w:lang w:val="en-SG"/>
        </w:rPr>
        <w:t>Cai</w:t>
      </w:r>
      <w:proofErr w:type="spellEnd"/>
      <w:r w:rsidRPr="008374B5">
        <w:rPr>
          <w:rFonts w:ascii="Times New Roman" w:hAnsi="Times New Roman" w:cs="Times New Roman"/>
          <w:sz w:val="24"/>
          <w:szCs w:val="24"/>
          <w:lang w:val="en-SG"/>
        </w:rPr>
        <w:t xml:space="preserve">, </w:t>
      </w:r>
      <w:proofErr w:type="spellStart"/>
      <w:r w:rsidRPr="008374B5">
        <w:rPr>
          <w:rFonts w:ascii="Times New Roman" w:hAnsi="Times New Roman" w:cs="Times New Roman"/>
          <w:sz w:val="24"/>
          <w:szCs w:val="24"/>
          <w:lang w:val="en-SG"/>
        </w:rPr>
        <w:t>Yiong</w:t>
      </w:r>
      <w:proofErr w:type="spellEnd"/>
      <w:r w:rsidRPr="008374B5">
        <w:rPr>
          <w:rFonts w:ascii="Times New Roman" w:hAnsi="Times New Roman" w:cs="Times New Roman"/>
          <w:sz w:val="24"/>
          <w:szCs w:val="24"/>
          <w:lang w:val="en-SG"/>
        </w:rPr>
        <w:t xml:space="preserve"> </w:t>
      </w:r>
      <w:proofErr w:type="spellStart"/>
      <w:r w:rsidRPr="008374B5">
        <w:rPr>
          <w:rFonts w:ascii="Times New Roman" w:hAnsi="Times New Roman" w:cs="Times New Roman"/>
          <w:sz w:val="24"/>
          <w:szCs w:val="24"/>
          <w:lang w:val="en-SG"/>
        </w:rPr>
        <w:t>Huak</w:t>
      </w:r>
      <w:proofErr w:type="spellEnd"/>
      <w:r w:rsidRPr="008374B5">
        <w:rPr>
          <w:rFonts w:ascii="Times New Roman" w:hAnsi="Times New Roman" w:cs="Times New Roman"/>
          <w:sz w:val="24"/>
          <w:szCs w:val="24"/>
          <w:lang w:val="en-SG"/>
        </w:rPr>
        <w:t xml:space="preserve"> Chan, Cornelia Yin </w:t>
      </w:r>
      <w:proofErr w:type="spellStart"/>
      <w:r w:rsidRPr="008374B5">
        <w:rPr>
          <w:rFonts w:ascii="Times New Roman" w:hAnsi="Times New Roman" w:cs="Times New Roman"/>
          <w:sz w:val="24"/>
          <w:szCs w:val="24"/>
          <w:lang w:val="en-SG"/>
        </w:rPr>
        <w:t>Ing</w:t>
      </w:r>
      <w:proofErr w:type="spellEnd"/>
      <w:r w:rsidRPr="008374B5">
        <w:rPr>
          <w:rFonts w:ascii="Times New Roman" w:hAnsi="Times New Roman" w:cs="Times New Roman"/>
          <w:sz w:val="24"/>
          <w:szCs w:val="24"/>
          <w:lang w:val="en-SG"/>
        </w:rPr>
        <w:t xml:space="preserve"> Chee, Helen Chen, </w:t>
      </w:r>
      <w:proofErr w:type="spellStart"/>
      <w:r w:rsidRPr="008374B5">
        <w:rPr>
          <w:rFonts w:ascii="Times New Roman" w:hAnsi="Times New Roman" w:cs="Times New Roman"/>
          <w:sz w:val="24"/>
          <w:szCs w:val="24"/>
          <w:lang w:val="en-SG"/>
        </w:rPr>
        <w:t>Amutha</w:t>
      </w:r>
      <w:proofErr w:type="spellEnd"/>
      <w:r w:rsidRPr="008374B5">
        <w:rPr>
          <w:rFonts w:ascii="Times New Roman" w:hAnsi="Times New Roman" w:cs="Times New Roman"/>
          <w:sz w:val="24"/>
          <w:szCs w:val="24"/>
          <w:lang w:val="en-SG"/>
        </w:rPr>
        <w:t xml:space="preserve"> </w:t>
      </w:r>
      <w:proofErr w:type="spellStart"/>
      <w:r w:rsidRPr="008374B5">
        <w:rPr>
          <w:rFonts w:ascii="Times New Roman" w:hAnsi="Times New Roman" w:cs="Times New Roman"/>
          <w:sz w:val="24"/>
          <w:szCs w:val="24"/>
          <w:lang w:val="en-SG"/>
        </w:rPr>
        <w:t>Chinnadurai</w:t>
      </w:r>
      <w:proofErr w:type="spellEnd"/>
      <w:r w:rsidRPr="008374B5">
        <w:rPr>
          <w:rFonts w:ascii="Times New Roman" w:hAnsi="Times New Roman" w:cs="Times New Roman"/>
          <w:sz w:val="24"/>
          <w:szCs w:val="24"/>
          <w:lang w:val="en-SG"/>
        </w:rPr>
        <w:t xml:space="preserve">, Chai </w:t>
      </w:r>
      <w:proofErr w:type="spellStart"/>
      <w:r w:rsidRPr="008374B5">
        <w:rPr>
          <w:rFonts w:ascii="Times New Roman" w:hAnsi="Times New Roman" w:cs="Times New Roman"/>
          <w:sz w:val="24"/>
          <w:szCs w:val="24"/>
          <w:lang w:val="en-SG"/>
        </w:rPr>
        <w:t>Kiat</w:t>
      </w:r>
      <w:proofErr w:type="spellEnd"/>
      <w:r w:rsidRPr="008374B5">
        <w:rPr>
          <w:rFonts w:ascii="Times New Roman" w:hAnsi="Times New Roman" w:cs="Times New Roman"/>
          <w:sz w:val="24"/>
          <w:szCs w:val="24"/>
          <w:lang w:val="en-SG"/>
        </w:rPr>
        <w:t xml:space="preserve"> </w:t>
      </w:r>
      <w:proofErr w:type="spellStart"/>
      <w:r w:rsidRPr="008374B5">
        <w:rPr>
          <w:rFonts w:ascii="Times New Roman" w:hAnsi="Times New Roman" w:cs="Times New Roman"/>
          <w:sz w:val="24"/>
          <w:szCs w:val="24"/>
          <w:lang w:val="en-SG"/>
        </w:rPr>
        <w:t>Chng</w:t>
      </w:r>
      <w:proofErr w:type="spellEnd"/>
      <w:r w:rsidRPr="008374B5">
        <w:rPr>
          <w:rFonts w:ascii="Times New Roman" w:hAnsi="Times New Roman" w:cs="Times New Roman"/>
          <w:sz w:val="24"/>
          <w:szCs w:val="24"/>
          <w:lang w:val="en-SG"/>
        </w:rPr>
        <w:t xml:space="preserve">, Shang Chee Chong, Mei </w:t>
      </w:r>
      <w:proofErr w:type="spellStart"/>
      <w:r w:rsidRPr="008374B5">
        <w:rPr>
          <w:rFonts w:ascii="Times New Roman" w:hAnsi="Times New Roman" w:cs="Times New Roman"/>
          <w:sz w:val="24"/>
          <w:szCs w:val="24"/>
          <w:lang w:val="en-SG"/>
        </w:rPr>
        <w:t>Chien</w:t>
      </w:r>
      <w:proofErr w:type="spellEnd"/>
      <w:r w:rsidRPr="008374B5">
        <w:rPr>
          <w:rFonts w:ascii="Times New Roman" w:hAnsi="Times New Roman" w:cs="Times New Roman"/>
          <w:sz w:val="24"/>
          <w:szCs w:val="24"/>
          <w:lang w:val="en-SG"/>
        </w:rPr>
        <w:t xml:space="preserve"> Chua, Doris </w:t>
      </w:r>
      <w:proofErr w:type="spellStart"/>
      <w:r w:rsidRPr="008374B5">
        <w:rPr>
          <w:rFonts w:ascii="Times New Roman" w:hAnsi="Times New Roman" w:cs="Times New Roman"/>
          <w:sz w:val="24"/>
          <w:szCs w:val="24"/>
          <w:lang w:val="en-SG"/>
        </w:rPr>
        <w:t>Fok</w:t>
      </w:r>
      <w:proofErr w:type="spellEnd"/>
      <w:r w:rsidRPr="008374B5">
        <w:rPr>
          <w:rFonts w:ascii="Times New Roman" w:hAnsi="Times New Roman" w:cs="Times New Roman"/>
          <w:sz w:val="24"/>
          <w:szCs w:val="24"/>
          <w:lang w:val="en-SG"/>
        </w:rPr>
        <w:t xml:space="preserve">, Marielle V. Fortier, Anne Eng Neo Goh, Yam Thiam Daniel Goh, Joshua J. </w:t>
      </w:r>
      <w:proofErr w:type="spellStart"/>
      <w:r w:rsidRPr="008374B5">
        <w:rPr>
          <w:rFonts w:ascii="Times New Roman" w:hAnsi="Times New Roman" w:cs="Times New Roman"/>
          <w:sz w:val="24"/>
          <w:szCs w:val="24"/>
          <w:lang w:val="en-SG"/>
        </w:rPr>
        <w:t>Gooley</w:t>
      </w:r>
      <w:proofErr w:type="spellEnd"/>
      <w:r w:rsidRPr="008374B5">
        <w:rPr>
          <w:rFonts w:ascii="Times New Roman" w:hAnsi="Times New Roman" w:cs="Times New Roman"/>
          <w:sz w:val="24"/>
          <w:szCs w:val="24"/>
          <w:lang w:val="en-SG"/>
        </w:rPr>
        <w:t xml:space="preserve">, Wee </w:t>
      </w:r>
      <w:proofErr w:type="spellStart"/>
      <w:r w:rsidRPr="008374B5">
        <w:rPr>
          <w:rFonts w:ascii="Times New Roman" w:hAnsi="Times New Roman" w:cs="Times New Roman"/>
          <w:sz w:val="24"/>
          <w:szCs w:val="24"/>
          <w:lang w:val="en-SG"/>
        </w:rPr>
        <w:t>Meng</w:t>
      </w:r>
      <w:proofErr w:type="spellEnd"/>
      <w:r w:rsidRPr="008374B5">
        <w:rPr>
          <w:rFonts w:ascii="Times New Roman" w:hAnsi="Times New Roman" w:cs="Times New Roman"/>
          <w:sz w:val="24"/>
          <w:szCs w:val="24"/>
          <w:lang w:val="en-SG"/>
        </w:rPr>
        <w:t xml:space="preserve"> Han, Mark Hanson, </w:t>
      </w:r>
      <w:proofErr w:type="spellStart"/>
      <w:r w:rsidRPr="008374B5">
        <w:rPr>
          <w:rFonts w:ascii="Times New Roman" w:hAnsi="Times New Roman" w:cs="Times New Roman"/>
          <w:sz w:val="24"/>
          <w:szCs w:val="24"/>
          <w:lang w:val="en-SG"/>
        </w:rPr>
        <w:t>Christiani</w:t>
      </w:r>
      <w:proofErr w:type="spellEnd"/>
      <w:r w:rsidRPr="008374B5">
        <w:rPr>
          <w:rFonts w:ascii="Times New Roman" w:hAnsi="Times New Roman" w:cs="Times New Roman"/>
          <w:sz w:val="24"/>
          <w:szCs w:val="24"/>
          <w:lang w:val="en-SG"/>
        </w:rPr>
        <w:t xml:space="preserve"> </w:t>
      </w:r>
      <w:proofErr w:type="spellStart"/>
      <w:r w:rsidRPr="008374B5">
        <w:rPr>
          <w:rFonts w:ascii="Times New Roman" w:hAnsi="Times New Roman" w:cs="Times New Roman"/>
          <w:sz w:val="24"/>
          <w:szCs w:val="24"/>
          <w:lang w:val="en-SG"/>
        </w:rPr>
        <w:t>Jeyakumar</w:t>
      </w:r>
      <w:proofErr w:type="spellEnd"/>
      <w:r w:rsidRPr="008374B5">
        <w:rPr>
          <w:rFonts w:ascii="Times New Roman" w:hAnsi="Times New Roman" w:cs="Times New Roman"/>
          <w:sz w:val="24"/>
          <w:szCs w:val="24"/>
          <w:lang w:val="en-SG"/>
        </w:rPr>
        <w:t xml:space="preserve"> Henry, Joanna D. Holbrook, Chin</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Ying Hsu, </w:t>
      </w:r>
      <w:proofErr w:type="spellStart"/>
      <w:r w:rsidRPr="008374B5">
        <w:rPr>
          <w:rFonts w:ascii="Times New Roman" w:hAnsi="Times New Roman" w:cs="Times New Roman"/>
          <w:sz w:val="24"/>
          <w:szCs w:val="24"/>
          <w:lang w:val="en-SG"/>
        </w:rPr>
        <w:t>Neerja</w:t>
      </w:r>
      <w:proofErr w:type="spellEnd"/>
    </w:p>
    <w:p w14:paraId="47D4A1E5" w14:textId="1E9306B2" w:rsidR="00030764" w:rsidRPr="008374B5" w:rsidRDefault="00030764" w:rsidP="008374B5">
      <w:pPr>
        <w:suppressAutoHyphens/>
        <w:spacing w:after="0" w:line="360" w:lineRule="auto"/>
        <w:jc w:val="both"/>
        <w:rPr>
          <w:rFonts w:ascii="Times New Roman" w:hAnsi="Times New Roman" w:cs="Times New Roman"/>
          <w:sz w:val="24"/>
          <w:szCs w:val="24"/>
          <w:lang w:val="en-SG"/>
        </w:rPr>
      </w:pPr>
      <w:proofErr w:type="spellStart"/>
      <w:r w:rsidRPr="008374B5">
        <w:rPr>
          <w:rFonts w:ascii="Times New Roman" w:hAnsi="Times New Roman" w:cs="Times New Roman"/>
          <w:sz w:val="24"/>
          <w:szCs w:val="24"/>
          <w:lang w:val="en-SG"/>
        </w:rPr>
        <w:t>Karnani</w:t>
      </w:r>
      <w:proofErr w:type="spellEnd"/>
      <w:r w:rsidRPr="008374B5">
        <w:rPr>
          <w:rFonts w:ascii="Times New Roman" w:hAnsi="Times New Roman" w:cs="Times New Roman"/>
          <w:sz w:val="24"/>
          <w:szCs w:val="24"/>
          <w:lang w:val="en-SG"/>
        </w:rPr>
        <w:t xml:space="preserve">, </w:t>
      </w:r>
      <w:proofErr w:type="spellStart"/>
      <w:r w:rsidRPr="008374B5">
        <w:rPr>
          <w:rFonts w:ascii="Times New Roman" w:hAnsi="Times New Roman" w:cs="Times New Roman"/>
          <w:sz w:val="24"/>
          <w:szCs w:val="24"/>
          <w:lang w:val="en-SG"/>
        </w:rPr>
        <w:t>Jeevesh</w:t>
      </w:r>
      <w:proofErr w:type="spellEnd"/>
      <w:r w:rsidRPr="008374B5">
        <w:rPr>
          <w:rFonts w:ascii="Times New Roman" w:hAnsi="Times New Roman" w:cs="Times New Roman"/>
          <w:sz w:val="24"/>
          <w:szCs w:val="24"/>
          <w:lang w:val="en-SG"/>
        </w:rPr>
        <w:t xml:space="preserve"> </w:t>
      </w:r>
      <w:proofErr w:type="spellStart"/>
      <w:r w:rsidRPr="008374B5">
        <w:rPr>
          <w:rFonts w:ascii="Times New Roman" w:hAnsi="Times New Roman" w:cs="Times New Roman"/>
          <w:sz w:val="24"/>
          <w:szCs w:val="24"/>
          <w:lang w:val="en-SG"/>
        </w:rPr>
        <w:t>Kapur</w:t>
      </w:r>
      <w:proofErr w:type="spellEnd"/>
      <w:r w:rsidRPr="008374B5">
        <w:rPr>
          <w:rFonts w:ascii="Times New Roman" w:hAnsi="Times New Roman" w:cs="Times New Roman"/>
          <w:sz w:val="24"/>
          <w:szCs w:val="24"/>
          <w:lang w:val="en-SG"/>
        </w:rPr>
        <w:t>, Ivy Yee</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Man Lau, Bee </w:t>
      </w:r>
      <w:proofErr w:type="spellStart"/>
      <w:r w:rsidRPr="008374B5">
        <w:rPr>
          <w:rFonts w:ascii="Times New Roman" w:hAnsi="Times New Roman" w:cs="Times New Roman"/>
          <w:sz w:val="24"/>
          <w:szCs w:val="24"/>
          <w:lang w:val="en-SG"/>
        </w:rPr>
        <w:t>Wah</w:t>
      </w:r>
      <w:proofErr w:type="spellEnd"/>
      <w:r w:rsidRPr="008374B5">
        <w:rPr>
          <w:rFonts w:ascii="Times New Roman" w:hAnsi="Times New Roman" w:cs="Times New Roman"/>
          <w:sz w:val="24"/>
          <w:szCs w:val="24"/>
          <w:lang w:val="en-SG"/>
        </w:rPr>
        <w:t xml:space="preserve"> Lee, Yung Seng Lee, </w:t>
      </w:r>
      <w:proofErr w:type="spellStart"/>
      <w:r w:rsidRPr="008374B5">
        <w:rPr>
          <w:rFonts w:ascii="Times New Roman" w:hAnsi="Times New Roman" w:cs="Times New Roman"/>
          <w:sz w:val="24"/>
          <w:szCs w:val="24"/>
          <w:lang w:val="en-SG"/>
        </w:rPr>
        <w:t>Sok</w:t>
      </w:r>
      <w:proofErr w:type="spellEnd"/>
      <w:r w:rsidRPr="008374B5">
        <w:rPr>
          <w:rFonts w:ascii="Times New Roman" w:hAnsi="Times New Roman" w:cs="Times New Roman"/>
          <w:sz w:val="24"/>
          <w:szCs w:val="24"/>
          <w:lang w:val="en-SG"/>
        </w:rPr>
        <w:t xml:space="preserve"> Bee Lim, Iliana </w:t>
      </w:r>
      <w:proofErr w:type="spellStart"/>
      <w:r w:rsidRPr="008374B5">
        <w:rPr>
          <w:rFonts w:ascii="Times New Roman" w:hAnsi="Times New Roman" w:cs="Times New Roman"/>
          <w:sz w:val="24"/>
          <w:szCs w:val="24"/>
          <w:lang w:val="en-SG"/>
        </w:rPr>
        <w:t>Magiati</w:t>
      </w:r>
      <w:proofErr w:type="spellEnd"/>
      <w:r w:rsidRPr="008374B5">
        <w:rPr>
          <w:rFonts w:ascii="Times New Roman" w:hAnsi="Times New Roman" w:cs="Times New Roman"/>
          <w:sz w:val="24"/>
          <w:szCs w:val="24"/>
          <w:lang w:val="en-SG"/>
        </w:rPr>
        <w:t xml:space="preserve">, Lourdes Mary Daniel, Michael </w:t>
      </w:r>
      <w:proofErr w:type="spellStart"/>
      <w:r w:rsidRPr="008374B5">
        <w:rPr>
          <w:rFonts w:ascii="Times New Roman" w:hAnsi="Times New Roman" w:cs="Times New Roman"/>
          <w:sz w:val="24"/>
          <w:szCs w:val="24"/>
          <w:lang w:val="en-SG"/>
        </w:rPr>
        <w:t>Meaney</w:t>
      </w:r>
      <w:proofErr w:type="spellEnd"/>
      <w:r w:rsidRPr="008374B5">
        <w:rPr>
          <w:rFonts w:ascii="Times New Roman" w:hAnsi="Times New Roman" w:cs="Times New Roman"/>
          <w:sz w:val="24"/>
          <w:szCs w:val="24"/>
          <w:lang w:val="en-SG"/>
        </w:rPr>
        <w:t xml:space="preserve">, Cheryl Ngo, </w:t>
      </w:r>
      <w:proofErr w:type="spellStart"/>
      <w:r w:rsidRPr="008374B5">
        <w:rPr>
          <w:rFonts w:ascii="Times New Roman" w:hAnsi="Times New Roman" w:cs="Times New Roman"/>
          <w:sz w:val="24"/>
          <w:szCs w:val="24"/>
          <w:lang w:val="en-SG"/>
        </w:rPr>
        <w:t>Krishnamoorthy</w:t>
      </w:r>
      <w:proofErr w:type="spellEnd"/>
      <w:r w:rsidRPr="008374B5">
        <w:rPr>
          <w:rFonts w:ascii="Times New Roman" w:hAnsi="Times New Roman" w:cs="Times New Roman"/>
          <w:sz w:val="24"/>
          <w:szCs w:val="24"/>
          <w:lang w:val="en-SG"/>
        </w:rPr>
        <w:t xml:space="preserve"> </w:t>
      </w:r>
      <w:proofErr w:type="spellStart"/>
      <w:r w:rsidRPr="008374B5">
        <w:rPr>
          <w:rFonts w:ascii="Times New Roman" w:hAnsi="Times New Roman" w:cs="Times New Roman"/>
          <w:sz w:val="24"/>
          <w:szCs w:val="24"/>
          <w:lang w:val="en-SG"/>
        </w:rPr>
        <w:t>Niduvaje</w:t>
      </w:r>
      <w:proofErr w:type="spellEnd"/>
      <w:r w:rsidRPr="008374B5">
        <w:rPr>
          <w:rFonts w:ascii="Times New Roman" w:hAnsi="Times New Roman" w:cs="Times New Roman"/>
          <w:sz w:val="24"/>
          <w:szCs w:val="24"/>
          <w:lang w:val="en-SG"/>
        </w:rPr>
        <w:t>, Wei</w:t>
      </w:r>
    </w:p>
    <w:p w14:paraId="184543C7" w14:textId="45002D38" w:rsidR="00030764" w:rsidRPr="008374B5" w:rsidRDefault="00030764" w:rsidP="008374B5">
      <w:pPr>
        <w:suppressAutoHyphens/>
        <w:spacing w:after="0" w:line="360" w:lineRule="auto"/>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 xml:space="preserve">Wei Pang, </w:t>
      </w:r>
      <w:proofErr w:type="spellStart"/>
      <w:r w:rsidRPr="008374B5">
        <w:rPr>
          <w:rFonts w:ascii="Times New Roman" w:hAnsi="Times New Roman" w:cs="Times New Roman"/>
          <w:sz w:val="24"/>
          <w:szCs w:val="24"/>
          <w:lang w:val="en-SG"/>
        </w:rPr>
        <w:t>Anqi</w:t>
      </w:r>
      <w:proofErr w:type="spellEnd"/>
      <w:r w:rsidRPr="008374B5">
        <w:rPr>
          <w:rFonts w:ascii="Times New Roman" w:hAnsi="Times New Roman" w:cs="Times New Roman"/>
          <w:sz w:val="24"/>
          <w:szCs w:val="24"/>
          <w:lang w:val="en-SG"/>
        </w:rPr>
        <w:t xml:space="preserve"> </w:t>
      </w:r>
      <w:proofErr w:type="spellStart"/>
      <w:r w:rsidRPr="008374B5">
        <w:rPr>
          <w:rFonts w:ascii="Times New Roman" w:hAnsi="Times New Roman" w:cs="Times New Roman"/>
          <w:sz w:val="24"/>
          <w:szCs w:val="24"/>
          <w:lang w:val="en-SG"/>
        </w:rPr>
        <w:t>Qiu</w:t>
      </w:r>
      <w:proofErr w:type="spellEnd"/>
      <w:r w:rsidRPr="008374B5">
        <w:rPr>
          <w:rFonts w:ascii="Times New Roman" w:hAnsi="Times New Roman" w:cs="Times New Roman"/>
          <w:sz w:val="24"/>
          <w:szCs w:val="24"/>
          <w:lang w:val="en-SG"/>
        </w:rPr>
        <w:t xml:space="preserve">, Boon Long </w:t>
      </w:r>
      <w:proofErr w:type="spellStart"/>
      <w:r w:rsidRPr="008374B5">
        <w:rPr>
          <w:rFonts w:ascii="Times New Roman" w:hAnsi="Times New Roman" w:cs="Times New Roman"/>
          <w:sz w:val="24"/>
          <w:szCs w:val="24"/>
          <w:lang w:val="en-SG"/>
        </w:rPr>
        <w:t>Quah</w:t>
      </w:r>
      <w:proofErr w:type="spellEnd"/>
      <w:r w:rsidRPr="008374B5">
        <w:rPr>
          <w:rFonts w:ascii="Times New Roman" w:hAnsi="Times New Roman" w:cs="Times New Roman"/>
          <w:sz w:val="24"/>
          <w:szCs w:val="24"/>
          <w:lang w:val="en-SG"/>
        </w:rPr>
        <w:t xml:space="preserve">, Victor Samuel </w:t>
      </w:r>
      <w:proofErr w:type="spellStart"/>
      <w:r w:rsidRPr="008374B5">
        <w:rPr>
          <w:rFonts w:ascii="Times New Roman" w:hAnsi="Times New Roman" w:cs="Times New Roman"/>
          <w:sz w:val="24"/>
          <w:szCs w:val="24"/>
          <w:lang w:val="en-SG"/>
        </w:rPr>
        <w:t>Rajadurai</w:t>
      </w:r>
      <w:proofErr w:type="spellEnd"/>
      <w:r w:rsidRPr="008374B5">
        <w:rPr>
          <w:rFonts w:ascii="Times New Roman" w:hAnsi="Times New Roman" w:cs="Times New Roman"/>
          <w:sz w:val="24"/>
          <w:szCs w:val="24"/>
          <w:lang w:val="en-SG"/>
        </w:rPr>
        <w:t xml:space="preserve">, Mary </w:t>
      </w:r>
      <w:proofErr w:type="spellStart"/>
      <w:r w:rsidRPr="008374B5">
        <w:rPr>
          <w:rFonts w:ascii="Times New Roman" w:hAnsi="Times New Roman" w:cs="Times New Roman"/>
          <w:sz w:val="24"/>
          <w:szCs w:val="24"/>
          <w:lang w:val="en-SG"/>
        </w:rPr>
        <w:t>Rauff</w:t>
      </w:r>
      <w:proofErr w:type="spellEnd"/>
      <w:r w:rsidRPr="008374B5">
        <w:rPr>
          <w:rFonts w:ascii="Times New Roman" w:hAnsi="Times New Roman" w:cs="Times New Roman"/>
          <w:sz w:val="24"/>
          <w:szCs w:val="24"/>
          <w:lang w:val="en-SG"/>
        </w:rPr>
        <w:t xml:space="preserve">, Salome A. </w:t>
      </w:r>
      <w:proofErr w:type="spellStart"/>
      <w:r w:rsidRPr="008374B5">
        <w:rPr>
          <w:rFonts w:ascii="Times New Roman" w:hAnsi="Times New Roman" w:cs="Times New Roman"/>
          <w:sz w:val="24"/>
          <w:szCs w:val="24"/>
          <w:lang w:val="en-SG"/>
        </w:rPr>
        <w:t>Rebello</w:t>
      </w:r>
      <w:proofErr w:type="spellEnd"/>
      <w:r w:rsidRPr="008374B5">
        <w:rPr>
          <w:rFonts w:ascii="Times New Roman" w:hAnsi="Times New Roman" w:cs="Times New Roman"/>
          <w:sz w:val="24"/>
          <w:szCs w:val="24"/>
          <w:lang w:val="en-SG"/>
        </w:rPr>
        <w:t>, Jenny L. Richmond, Anne Rifkin</w:t>
      </w:r>
      <w:r w:rsidR="000B1D17" w:rsidRPr="008374B5">
        <w:rPr>
          <w:rFonts w:ascii="Times New Roman" w:hAnsi="Times New Roman" w:cs="Times New Roman"/>
          <w:sz w:val="24"/>
          <w:szCs w:val="24"/>
          <w:lang w:val="en-SG"/>
        </w:rPr>
        <w:t>-</w:t>
      </w:r>
      <w:proofErr w:type="spellStart"/>
      <w:r w:rsidRPr="008374B5">
        <w:rPr>
          <w:rFonts w:ascii="Times New Roman" w:hAnsi="Times New Roman" w:cs="Times New Roman"/>
          <w:sz w:val="24"/>
          <w:szCs w:val="24"/>
          <w:lang w:val="en-SG"/>
        </w:rPr>
        <w:t>Graboi</w:t>
      </w:r>
      <w:proofErr w:type="spellEnd"/>
      <w:r w:rsidRPr="008374B5">
        <w:rPr>
          <w:rFonts w:ascii="Times New Roman" w:hAnsi="Times New Roman" w:cs="Times New Roman"/>
          <w:sz w:val="24"/>
          <w:szCs w:val="24"/>
          <w:lang w:val="en-SG"/>
        </w:rPr>
        <w:t>, Lynette Pei</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Chi </w:t>
      </w:r>
      <w:proofErr w:type="spellStart"/>
      <w:r w:rsidRPr="008374B5">
        <w:rPr>
          <w:rFonts w:ascii="Times New Roman" w:hAnsi="Times New Roman" w:cs="Times New Roman"/>
          <w:sz w:val="24"/>
          <w:szCs w:val="24"/>
          <w:lang w:val="en-SG"/>
        </w:rPr>
        <w:t>Shek</w:t>
      </w:r>
      <w:proofErr w:type="spellEnd"/>
      <w:r w:rsidRPr="008374B5">
        <w:rPr>
          <w:rFonts w:ascii="Times New Roman" w:hAnsi="Times New Roman" w:cs="Times New Roman"/>
          <w:sz w:val="24"/>
          <w:szCs w:val="24"/>
          <w:lang w:val="en-SG"/>
        </w:rPr>
        <w:t xml:space="preserve">, Allan Sheppard, </w:t>
      </w:r>
      <w:proofErr w:type="spellStart"/>
      <w:r w:rsidRPr="008374B5">
        <w:rPr>
          <w:rFonts w:ascii="Times New Roman" w:hAnsi="Times New Roman" w:cs="Times New Roman"/>
          <w:sz w:val="24"/>
          <w:szCs w:val="24"/>
          <w:lang w:val="en-SG"/>
        </w:rPr>
        <w:t>Borys</w:t>
      </w:r>
      <w:proofErr w:type="spellEnd"/>
      <w:r w:rsidRPr="008374B5">
        <w:rPr>
          <w:rFonts w:ascii="Times New Roman" w:hAnsi="Times New Roman" w:cs="Times New Roman"/>
          <w:sz w:val="24"/>
          <w:szCs w:val="24"/>
          <w:lang w:val="en-SG"/>
        </w:rPr>
        <w:t xml:space="preserve"> </w:t>
      </w:r>
      <w:proofErr w:type="spellStart"/>
      <w:r w:rsidRPr="008374B5">
        <w:rPr>
          <w:rFonts w:ascii="Times New Roman" w:hAnsi="Times New Roman" w:cs="Times New Roman"/>
          <w:sz w:val="24"/>
          <w:szCs w:val="24"/>
          <w:lang w:val="en-SG"/>
        </w:rPr>
        <w:t>Shuter</w:t>
      </w:r>
      <w:proofErr w:type="spellEnd"/>
      <w:r w:rsidRPr="008374B5">
        <w:rPr>
          <w:rFonts w:ascii="Times New Roman" w:hAnsi="Times New Roman" w:cs="Times New Roman"/>
          <w:sz w:val="24"/>
          <w:szCs w:val="24"/>
          <w:lang w:val="en-SG"/>
        </w:rPr>
        <w:t xml:space="preserve">, </w:t>
      </w:r>
      <w:proofErr w:type="spellStart"/>
      <w:r w:rsidRPr="008374B5">
        <w:rPr>
          <w:rFonts w:ascii="Times New Roman" w:hAnsi="Times New Roman" w:cs="Times New Roman"/>
          <w:sz w:val="24"/>
          <w:szCs w:val="24"/>
          <w:lang w:val="en-SG"/>
        </w:rPr>
        <w:t>Leher</w:t>
      </w:r>
      <w:proofErr w:type="spellEnd"/>
      <w:r w:rsidRPr="008374B5">
        <w:rPr>
          <w:rFonts w:ascii="Times New Roman" w:hAnsi="Times New Roman" w:cs="Times New Roman"/>
          <w:sz w:val="24"/>
          <w:szCs w:val="24"/>
          <w:lang w:val="en-SG"/>
        </w:rPr>
        <w:t xml:space="preserve"> Singh, Shu</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E. </w:t>
      </w:r>
      <w:proofErr w:type="spellStart"/>
      <w:r w:rsidRPr="008374B5">
        <w:rPr>
          <w:rFonts w:ascii="Times New Roman" w:hAnsi="Times New Roman" w:cs="Times New Roman"/>
          <w:sz w:val="24"/>
          <w:szCs w:val="24"/>
          <w:lang w:val="en-SG"/>
        </w:rPr>
        <w:t>Soh</w:t>
      </w:r>
      <w:proofErr w:type="spellEnd"/>
      <w:r w:rsidRPr="008374B5">
        <w:rPr>
          <w:rFonts w:ascii="Times New Roman" w:hAnsi="Times New Roman" w:cs="Times New Roman"/>
          <w:sz w:val="24"/>
          <w:szCs w:val="24"/>
          <w:lang w:val="en-SG"/>
        </w:rPr>
        <w:t xml:space="preserve">, Walter </w:t>
      </w:r>
      <w:proofErr w:type="spellStart"/>
      <w:r w:rsidRPr="008374B5">
        <w:rPr>
          <w:rFonts w:ascii="Times New Roman" w:hAnsi="Times New Roman" w:cs="Times New Roman"/>
          <w:sz w:val="24"/>
          <w:szCs w:val="24"/>
          <w:lang w:val="en-SG"/>
        </w:rPr>
        <w:t>Stunkel</w:t>
      </w:r>
      <w:proofErr w:type="spellEnd"/>
      <w:r w:rsidRPr="008374B5">
        <w:rPr>
          <w:rFonts w:ascii="Times New Roman" w:hAnsi="Times New Roman" w:cs="Times New Roman"/>
          <w:sz w:val="24"/>
          <w:szCs w:val="24"/>
          <w:lang w:val="en-SG"/>
        </w:rPr>
        <w:t xml:space="preserve">, Lin </w:t>
      </w:r>
      <w:proofErr w:type="spellStart"/>
      <w:r w:rsidRPr="008374B5">
        <w:rPr>
          <w:rFonts w:ascii="Times New Roman" w:hAnsi="Times New Roman" w:cs="Times New Roman"/>
          <w:sz w:val="24"/>
          <w:szCs w:val="24"/>
          <w:lang w:val="en-SG"/>
        </w:rPr>
        <w:t>Lin</w:t>
      </w:r>
      <w:proofErr w:type="spellEnd"/>
      <w:r w:rsidRPr="008374B5">
        <w:rPr>
          <w:rFonts w:ascii="Times New Roman" w:hAnsi="Times New Roman" w:cs="Times New Roman"/>
          <w:sz w:val="24"/>
          <w:szCs w:val="24"/>
          <w:lang w:val="en-SG"/>
        </w:rPr>
        <w:t xml:space="preserve"> Su, </w:t>
      </w:r>
      <w:proofErr w:type="spellStart"/>
      <w:r w:rsidRPr="008374B5">
        <w:rPr>
          <w:rFonts w:ascii="Times New Roman" w:hAnsi="Times New Roman" w:cs="Times New Roman"/>
          <w:sz w:val="24"/>
          <w:szCs w:val="24"/>
          <w:lang w:val="en-SG"/>
        </w:rPr>
        <w:t>Kok</w:t>
      </w:r>
      <w:proofErr w:type="spellEnd"/>
      <w:r w:rsidRPr="008374B5">
        <w:rPr>
          <w:rFonts w:ascii="Times New Roman" w:hAnsi="Times New Roman" w:cs="Times New Roman"/>
          <w:sz w:val="24"/>
          <w:szCs w:val="24"/>
          <w:lang w:val="en-SG"/>
        </w:rPr>
        <w:t xml:space="preserve"> </w:t>
      </w:r>
      <w:proofErr w:type="spellStart"/>
      <w:r w:rsidRPr="008374B5">
        <w:rPr>
          <w:rFonts w:ascii="Times New Roman" w:hAnsi="Times New Roman" w:cs="Times New Roman"/>
          <w:sz w:val="24"/>
          <w:szCs w:val="24"/>
          <w:lang w:val="en-SG"/>
        </w:rPr>
        <w:t>Hian</w:t>
      </w:r>
      <w:proofErr w:type="spellEnd"/>
      <w:r w:rsidRPr="008374B5">
        <w:rPr>
          <w:rFonts w:ascii="Times New Roman" w:hAnsi="Times New Roman" w:cs="Times New Roman"/>
          <w:sz w:val="24"/>
          <w:szCs w:val="24"/>
          <w:lang w:val="en-SG"/>
        </w:rPr>
        <w:t xml:space="preserve"> Tan, </w:t>
      </w:r>
      <w:proofErr w:type="spellStart"/>
      <w:r w:rsidRPr="008374B5">
        <w:rPr>
          <w:rFonts w:ascii="Times New Roman" w:hAnsi="Times New Roman" w:cs="Times New Roman"/>
          <w:sz w:val="24"/>
          <w:szCs w:val="24"/>
          <w:lang w:val="en-SG"/>
        </w:rPr>
        <w:t>Oon</w:t>
      </w:r>
      <w:proofErr w:type="spellEnd"/>
      <w:r w:rsidRPr="008374B5">
        <w:rPr>
          <w:rFonts w:ascii="Times New Roman" w:hAnsi="Times New Roman" w:cs="Times New Roman"/>
          <w:sz w:val="24"/>
          <w:szCs w:val="24"/>
          <w:lang w:val="en-SG"/>
        </w:rPr>
        <w:t xml:space="preserve"> Hoe Teoh, Mya </w:t>
      </w:r>
      <w:proofErr w:type="spellStart"/>
      <w:r w:rsidRPr="008374B5">
        <w:rPr>
          <w:rFonts w:ascii="Times New Roman" w:hAnsi="Times New Roman" w:cs="Times New Roman"/>
          <w:sz w:val="24"/>
          <w:szCs w:val="24"/>
          <w:lang w:val="en-SG"/>
        </w:rPr>
        <w:t>Thway</w:t>
      </w:r>
      <w:proofErr w:type="spellEnd"/>
      <w:r w:rsidRPr="008374B5">
        <w:rPr>
          <w:rFonts w:ascii="Times New Roman" w:hAnsi="Times New Roman" w:cs="Times New Roman"/>
          <w:sz w:val="24"/>
          <w:szCs w:val="24"/>
          <w:lang w:val="en-SG"/>
        </w:rPr>
        <w:t xml:space="preserve"> Tint, Hugo P. S. van </w:t>
      </w:r>
      <w:proofErr w:type="spellStart"/>
      <w:r w:rsidRPr="008374B5">
        <w:rPr>
          <w:rFonts w:ascii="Times New Roman" w:hAnsi="Times New Roman" w:cs="Times New Roman"/>
          <w:sz w:val="24"/>
          <w:szCs w:val="24"/>
          <w:lang w:val="en-SG"/>
        </w:rPr>
        <w:t>Bever</w:t>
      </w:r>
      <w:proofErr w:type="spellEnd"/>
      <w:r w:rsidRPr="008374B5">
        <w:rPr>
          <w:rFonts w:ascii="Times New Roman" w:hAnsi="Times New Roman" w:cs="Times New Roman"/>
          <w:sz w:val="24"/>
          <w:szCs w:val="24"/>
          <w:lang w:val="en-SG"/>
        </w:rPr>
        <w:t>, Rob M. van Dam, Inez Bik Yun Wong, P. C. Wong and George Seow Heong Yeo.</w:t>
      </w:r>
    </w:p>
    <w:p w14:paraId="3D1B9848" w14:textId="63B79BF0" w:rsidR="00030764" w:rsidRPr="008374B5" w:rsidRDefault="00030764" w:rsidP="007A4847">
      <w:pPr>
        <w:suppressAutoHyphens/>
        <w:spacing w:after="0" w:line="360" w:lineRule="auto"/>
        <w:ind w:firstLine="720"/>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This study was supported by the Singapore National Research Foundation under its Translational and Clinical Research Flagship Programme and administered by the Singapore Ministry of Health’s National Medical Research Council, Singapore</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NMRC/TCR/004</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NUS/2008; NMRC/TCR/012</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NUHS/2014. Additional funding was provided by the Singapore</w:t>
      </w:r>
      <w:r w:rsidR="007A4847">
        <w:rPr>
          <w:rFonts w:ascii="Times New Roman" w:hAnsi="Times New Roman" w:cs="Times New Roman"/>
          <w:sz w:val="24"/>
          <w:szCs w:val="24"/>
          <w:lang w:val="en-SG"/>
        </w:rPr>
        <w:t xml:space="preserve"> </w:t>
      </w:r>
      <w:r w:rsidRPr="008374B5">
        <w:rPr>
          <w:rFonts w:ascii="Times New Roman" w:hAnsi="Times New Roman" w:cs="Times New Roman"/>
          <w:sz w:val="24"/>
          <w:szCs w:val="24"/>
          <w:lang w:val="en-SG"/>
        </w:rPr>
        <w:t>Institute for Clinical Sciences, Agency for Science Technology and Research (A*STAR), Singapore. K. M. G. is supported by the National Institute for Health Research through the NIHR Southampton Biomedical Research Centre and by the European Union’s Seventh Framework Programme (FP7/2007</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2013), project </w:t>
      </w:r>
      <w:proofErr w:type="spellStart"/>
      <w:r w:rsidRPr="008374B5">
        <w:rPr>
          <w:rFonts w:ascii="Times New Roman" w:hAnsi="Times New Roman" w:cs="Times New Roman"/>
          <w:sz w:val="24"/>
          <w:szCs w:val="24"/>
          <w:lang w:val="en-SG"/>
        </w:rPr>
        <w:t>EarlyNutrition</w:t>
      </w:r>
      <w:proofErr w:type="spellEnd"/>
      <w:r w:rsidRPr="008374B5">
        <w:rPr>
          <w:rFonts w:ascii="Times New Roman" w:hAnsi="Times New Roman" w:cs="Times New Roman"/>
          <w:sz w:val="24"/>
          <w:szCs w:val="24"/>
          <w:lang w:val="en-SG"/>
        </w:rPr>
        <w:t xml:space="preserve"> under grant agreement no. 289346. J. K. Y. C. received salary support from the Ministry of Health’s National Medical Research Council, Singapore (NMRC/CSA/043/2012).</w:t>
      </w:r>
    </w:p>
    <w:p w14:paraId="230E3798" w14:textId="31B84964" w:rsidR="00030764" w:rsidRPr="008374B5" w:rsidRDefault="00030764" w:rsidP="008374B5">
      <w:pPr>
        <w:suppressAutoHyphens/>
        <w:spacing w:after="0" w:line="360" w:lineRule="auto"/>
        <w:ind w:firstLine="720"/>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K. M. G</w:t>
      </w:r>
      <w:r w:rsidR="006D471E" w:rsidRPr="008374B5">
        <w:rPr>
          <w:rFonts w:ascii="Times New Roman" w:hAnsi="Times New Roman" w:cs="Times New Roman"/>
          <w:sz w:val="24"/>
          <w:szCs w:val="24"/>
          <w:lang w:val="en-SG"/>
        </w:rPr>
        <w:t>., P. D. G.</w:t>
      </w:r>
      <w:r w:rsidRPr="008374B5">
        <w:rPr>
          <w:rFonts w:ascii="Times New Roman" w:hAnsi="Times New Roman" w:cs="Times New Roman"/>
          <w:sz w:val="24"/>
          <w:szCs w:val="24"/>
          <w:lang w:val="en-SG"/>
        </w:rPr>
        <w:t>, S. M. S. and Y.</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S. C. designed the GUSTO cohort study. </w:t>
      </w:r>
      <w:r w:rsidR="00F208E5" w:rsidRPr="008374B5">
        <w:rPr>
          <w:rFonts w:ascii="Times New Roman" w:hAnsi="Times New Roman" w:cs="Times New Roman"/>
          <w:sz w:val="24"/>
          <w:szCs w:val="24"/>
          <w:lang w:val="en-SG"/>
        </w:rPr>
        <w:t xml:space="preserve">P. H. W., </w:t>
      </w:r>
      <w:r w:rsidRPr="008374B5">
        <w:rPr>
          <w:rFonts w:ascii="Times New Roman" w:hAnsi="Times New Roman" w:cs="Times New Roman"/>
          <w:sz w:val="24"/>
          <w:szCs w:val="24"/>
          <w:lang w:val="en-SG"/>
        </w:rPr>
        <w:t xml:space="preserve">S. L. L. and F. Y. designed the present study. </w:t>
      </w:r>
      <w:r w:rsidR="00F208E5" w:rsidRPr="008374B5">
        <w:rPr>
          <w:rFonts w:ascii="Times New Roman" w:hAnsi="Times New Roman" w:cs="Times New Roman"/>
          <w:sz w:val="24"/>
          <w:szCs w:val="24"/>
          <w:lang w:val="en-SG"/>
        </w:rPr>
        <w:t xml:space="preserve">P. H. W., </w:t>
      </w:r>
      <w:r w:rsidRPr="008374B5">
        <w:rPr>
          <w:rFonts w:ascii="Times New Roman" w:hAnsi="Times New Roman" w:cs="Times New Roman"/>
          <w:sz w:val="24"/>
          <w:szCs w:val="24"/>
          <w:lang w:val="en-SG"/>
        </w:rPr>
        <w:t xml:space="preserve">S. L. L., </w:t>
      </w:r>
      <w:r w:rsidR="00F208E5" w:rsidRPr="008374B5">
        <w:rPr>
          <w:rFonts w:ascii="Times New Roman" w:hAnsi="Times New Roman" w:cs="Times New Roman"/>
          <w:sz w:val="24"/>
          <w:szCs w:val="24"/>
          <w:lang w:val="en-SG"/>
        </w:rPr>
        <w:t>J. Y. T.</w:t>
      </w:r>
      <w:r w:rsidR="00947EFC" w:rsidRPr="008374B5">
        <w:rPr>
          <w:rFonts w:ascii="Times New Roman" w:hAnsi="Times New Roman" w:cs="Times New Roman"/>
          <w:sz w:val="24"/>
          <w:szCs w:val="24"/>
          <w:lang w:val="en-SG"/>
        </w:rPr>
        <w:t>,</w:t>
      </w:r>
      <w:r w:rsidR="003709D8" w:rsidRPr="008374B5">
        <w:rPr>
          <w:rFonts w:ascii="Times New Roman" w:hAnsi="Times New Roman" w:cs="Times New Roman"/>
          <w:sz w:val="24"/>
          <w:szCs w:val="24"/>
          <w:lang w:val="en-SG"/>
        </w:rPr>
        <w:t xml:space="preserve"> </w:t>
      </w:r>
      <w:r w:rsidR="0050156D" w:rsidRPr="008374B5">
        <w:rPr>
          <w:rFonts w:ascii="Times New Roman" w:hAnsi="Times New Roman" w:cs="Times New Roman"/>
          <w:sz w:val="24"/>
          <w:szCs w:val="24"/>
          <w:lang w:val="en-SG"/>
        </w:rPr>
        <w:t>E. K. H. T.</w:t>
      </w:r>
      <w:r w:rsidRPr="008374B5">
        <w:rPr>
          <w:rFonts w:ascii="Times New Roman" w:hAnsi="Times New Roman" w:cs="Times New Roman"/>
          <w:sz w:val="24"/>
          <w:szCs w:val="24"/>
          <w:lang w:val="en-SG"/>
        </w:rPr>
        <w:t xml:space="preserve"> </w:t>
      </w:r>
      <w:r w:rsidR="00947EFC" w:rsidRPr="008374B5">
        <w:rPr>
          <w:rFonts w:ascii="Times New Roman" w:hAnsi="Times New Roman" w:cs="Times New Roman"/>
          <w:sz w:val="24"/>
          <w:szCs w:val="24"/>
          <w:lang w:val="en-SG"/>
        </w:rPr>
        <w:t xml:space="preserve">and D. Y. T. G. </w:t>
      </w:r>
      <w:r w:rsidRPr="008374B5">
        <w:rPr>
          <w:rFonts w:ascii="Times New Roman" w:hAnsi="Times New Roman" w:cs="Times New Roman"/>
          <w:sz w:val="24"/>
          <w:szCs w:val="24"/>
          <w:lang w:val="en-SG"/>
        </w:rPr>
        <w:t xml:space="preserve">performed data management and analysis. Y. B. C. advised on the statistical analysis. </w:t>
      </w:r>
      <w:r w:rsidR="00C75FAC" w:rsidRPr="008374B5">
        <w:rPr>
          <w:rFonts w:ascii="Times New Roman" w:hAnsi="Times New Roman" w:cs="Times New Roman"/>
          <w:sz w:val="24"/>
          <w:szCs w:val="24"/>
          <w:lang w:val="en-SG"/>
        </w:rPr>
        <w:t xml:space="preserve">P. H. W., </w:t>
      </w:r>
      <w:r w:rsidRPr="008374B5">
        <w:rPr>
          <w:rFonts w:ascii="Times New Roman" w:hAnsi="Times New Roman" w:cs="Times New Roman"/>
          <w:sz w:val="24"/>
          <w:szCs w:val="24"/>
          <w:lang w:val="en-SG"/>
        </w:rPr>
        <w:t xml:space="preserve">S. L. L., Y. B. C., N. L., </w:t>
      </w:r>
      <w:r w:rsidR="00A552E2" w:rsidRPr="008374B5">
        <w:rPr>
          <w:rFonts w:ascii="Times New Roman" w:hAnsi="Times New Roman" w:cs="Times New Roman"/>
          <w:sz w:val="24"/>
          <w:szCs w:val="24"/>
          <w:lang w:val="en-SG"/>
        </w:rPr>
        <w:t>J. K. Y. C.,</w:t>
      </w:r>
      <w:r w:rsidRPr="008374B5">
        <w:rPr>
          <w:rFonts w:ascii="Times New Roman" w:hAnsi="Times New Roman" w:cs="Times New Roman"/>
          <w:sz w:val="24"/>
          <w:szCs w:val="24"/>
          <w:lang w:val="en-SG"/>
        </w:rPr>
        <w:t xml:space="preserve"> M. F.</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F. C. and </w:t>
      </w:r>
      <w:r w:rsidR="00A552E2" w:rsidRPr="008374B5">
        <w:rPr>
          <w:rFonts w:ascii="Times New Roman" w:hAnsi="Times New Roman" w:cs="Times New Roman"/>
          <w:sz w:val="24"/>
          <w:szCs w:val="24"/>
          <w:lang w:val="en-SG"/>
        </w:rPr>
        <w:t>F. Y.</w:t>
      </w:r>
      <w:r w:rsidRPr="008374B5">
        <w:rPr>
          <w:rFonts w:ascii="Times New Roman" w:hAnsi="Times New Roman" w:cs="Times New Roman"/>
          <w:sz w:val="24"/>
          <w:szCs w:val="24"/>
          <w:lang w:val="en-SG"/>
        </w:rPr>
        <w:t xml:space="preserve"> interpreted the findings. </w:t>
      </w:r>
      <w:r w:rsidR="0050156D" w:rsidRPr="008374B5">
        <w:rPr>
          <w:rFonts w:ascii="Times New Roman" w:hAnsi="Times New Roman" w:cs="Times New Roman"/>
          <w:sz w:val="24"/>
          <w:szCs w:val="24"/>
          <w:lang w:val="en-SG"/>
        </w:rPr>
        <w:t>P. H. W</w:t>
      </w:r>
      <w:r w:rsidRPr="008374B5">
        <w:rPr>
          <w:rFonts w:ascii="Times New Roman" w:hAnsi="Times New Roman" w:cs="Times New Roman"/>
          <w:sz w:val="24"/>
          <w:szCs w:val="24"/>
          <w:lang w:val="en-SG"/>
        </w:rPr>
        <w:t>. drafted the paper. All the authors participated in the critical review, revision and approval of the final manuscript.</w:t>
      </w:r>
    </w:p>
    <w:p w14:paraId="1A02C3CE" w14:textId="3EC2BDFC" w:rsidR="00030764" w:rsidRDefault="00030764" w:rsidP="00025995">
      <w:pPr>
        <w:suppressAutoHyphens/>
        <w:spacing w:after="0" w:line="360" w:lineRule="auto"/>
        <w:ind w:firstLine="720"/>
        <w:jc w:val="both"/>
        <w:rPr>
          <w:rFonts w:ascii="Times New Roman" w:hAnsi="Times New Roman" w:cs="Times New Roman"/>
          <w:sz w:val="24"/>
          <w:szCs w:val="24"/>
          <w:lang w:val="en-SG"/>
        </w:rPr>
      </w:pPr>
      <w:r w:rsidRPr="008374B5">
        <w:rPr>
          <w:rFonts w:ascii="Times New Roman" w:hAnsi="Times New Roman" w:cs="Times New Roman"/>
          <w:sz w:val="24"/>
          <w:szCs w:val="24"/>
          <w:lang w:val="en-SG"/>
        </w:rPr>
        <w:t>P. D. G., K. M. G. and Y.</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S. C. report receiving reimbursement for speaking at conferences sponsored by companies selling nutritional products. P. D. G., K. M. G. and Y.</w:t>
      </w:r>
      <w:r w:rsidR="000B1D17" w:rsidRPr="008374B5">
        <w:rPr>
          <w:rFonts w:ascii="Times New Roman" w:hAnsi="Times New Roman" w:cs="Times New Roman"/>
          <w:sz w:val="24"/>
          <w:szCs w:val="24"/>
          <w:lang w:val="en-SG"/>
        </w:rPr>
        <w:t>-</w:t>
      </w:r>
      <w:r w:rsidRPr="008374B5">
        <w:rPr>
          <w:rFonts w:ascii="Times New Roman" w:hAnsi="Times New Roman" w:cs="Times New Roman"/>
          <w:sz w:val="24"/>
          <w:szCs w:val="24"/>
          <w:lang w:val="en-SG"/>
        </w:rPr>
        <w:t xml:space="preserve">S. C. report being </w:t>
      </w:r>
      <w:r w:rsidRPr="008374B5">
        <w:rPr>
          <w:rFonts w:ascii="Times New Roman" w:hAnsi="Times New Roman" w:cs="Times New Roman"/>
          <w:sz w:val="24"/>
          <w:szCs w:val="24"/>
          <w:lang w:val="en-SG"/>
        </w:rPr>
        <w:lastRenderedPageBreak/>
        <w:t>part of an academic consortium that has received research funding from Abbott Nutrition, Nestle and Danone. No other disclosures were reported.</w:t>
      </w:r>
    </w:p>
    <w:p w14:paraId="11CA4AE4" w14:textId="77777777" w:rsidR="00025995" w:rsidRPr="008374B5" w:rsidRDefault="00025995" w:rsidP="00025995">
      <w:pPr>
        <w:suppressAutoHyphens/>
        <w:spacing w:after="0" w:line="360" w:lineRule="auto"/>
        <w:ind w:firstLine="720"/>
        <w:jc w:val="both"/>
        <w:rPr>
          <w:rFonts w:ascii="Times New Roman" w:hAnsi="Times New Roman" w:cs="Times New Roman"/>
          <w:sz w:val="24"/>
          <w:szCs w:val="24"/>
          <w:lang w:val="en-SG"/>
        </w:rPr>
        <w:sectPr w:rsidR="00025995" w:rsidRPr="008374B5" w:rsidSect="00C20BA1">
          <w:headerReference w:type="default" r:id="rId9"/>
          <w:pgSz w:w="11907" w:h="16839" w:code="9"/>
          <w:pgMar w:top="1134" w:right="1134" w:bottom="1134" w:left="1134" w:header="720" w:footer="720" w:gutter="0"/>
          <w:lnNumType w:countBy="1" w:restart="continuous"/>
          <w:cols w:space="720"/>
          <w:docGrid w:linePitch="360"/>
        </w:sectPr>
      </w:pPr>
    </w:p>
    <w:p w14:paraId="48E35D8C" w14:textId="4BDD2FCE" w:rsidR="00C65AE2" w:rsidRPr="008374B5" w:rsidRDefault="00545721" w:rsidP="008374B5">
      <w:pPr>
        <w:suppressAutoHyphens/>
        <w:spacing w:after="0" w:line="360" w:lineRule="auto"/>
        <w:jc w:val="both"/>
        <w:rPr>
          <w:rFonts w:ascii="Times New Roman" w:hAnsi="Times New Roman" w:cs="Times New Roman"/>
          <w:sz w:val="24"/>
          <w:szCs w:val="24"/>
        </w:rPr>
      </w:pPr>
      <w:r w:rsidRPr="008374B5">
        <w:rPr>
          <w:rFonts w:ascii="Times New Roman" w:hAnsi="Times New Roman" w:cs="Times New Roman"/>
          <w:b/>
          <w:sz w:val="24"/>
          <w:szCs w:val="24"/>
          <w:lang w:val="en-SG"/>
        </w:rPr>
        <w:lastRenderedPageBreak/>
        <w:t>References</w:t>
      </w:r>
    </w:p>
    <w:p w14:paraId="34334977"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w:t>
      </w:r>
      <w:r>
        <w:rPr>
          <w:rFonts w:ascii="Times New Roman" w:hAnsi="Times New Roman" w:cs="Times New Roman"/>
          <w:noProof/>
          <w:sz w:val="24"/>
          <w:szCs w:val="24"/>
        </w:rPr>
        <w:tab/>
        <w:t>Gluckman PD &amp; Hanson MA</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(2006) </w:t>
      </w:r>
      <w:r w:rsidRPr="00402ACE">
        <w:rPr>
          <w:rFonts w:ascii="Times New Roman" w:hAnsi="Times New Roman" w:cs="Times New Roman"/>
          <w:noProof/>
          <w:sz w:val="24"/>
          <w:szCs w:val="24"/>
        </w:rPr>
        <w:t>The developmental origins of health and disease: an overview</w:t>
      </w:r>
      <w:r>
        <w:rPr>
          <w:rFonts w:ascii="Times New Roman" w:hAnsi="Times New Roman" w:cs="Times New Roman"/>
          <w:noProof/>
          <w:sz w:val="24"/>
          <w:szCs w:val="24"/>
        </w:rPr>
        <w:t xml:space="preserve">. In </w:t>
      </w:r>
      <w:r w:rsidRPr="00724502">
        <w:rPr>
          <w:rFonts w:ascii="Times New Roman" w:hAnsi="Times New Roman" w:cs="Times New Roman"/>
          <w:i/>
          <w:iCs/>
          <w:noProof/>
          <w:sz w:val="24"/>
          <w:szCs w:val="24"/>
        </w:rPr>
        <w:t>Developmental Origins of Health and Disease</w:t>
      </w:r>
      <w:r>
        <w:rPr>
          <w:rFonts w:ascii="Times New Roman" w:hAnsi="Times New Roman" w:cs="Times New Roman"/>
          <w:noProof/>
          <w:sz w:val="24"/>
          <w:szCs w:val="24"/>
        </w:rPr>
        <w:t xml:space="preserve">, pp. </w:t>
      </w:r>
      <w:r w:rsidRPr="00724502">
        <w:rPr>
          <w:rFonts w:ascii="Times New Roman" w:hAnsi="Times New Roman" w:cs="Times New Roman"/>
          <w:noProof/>
          <w:sz w:val="24"/>
          <w:szCs w:val="24"/>
        </w:rPr>
        <w:t xml:space="preserve">1–5 </w:t>
      </w:r>
      <w:r>
        <w:rPr>
          <w:rFonts w:ascii="Times New Roman" w:hAnsi="Times New Roman" w:cs="Times New Roman"/>
          <w:noProof/>
          <w:sz w:val="24"/>
          <w:szCs w:val="24"/>
        </w:rPr>
        <w:t xml:space="preserve"> [PD Gluckman and MA Hanson, editors]. Cambridge: </w:t>
      </w:r>
      <w:r w:rsidRPr="00724502">
        <w:rPr>
          <w:rFonts w:ascii="Times New Roman" w:hAnsi="Times New Roman" w:cs="Times New Roman"/>
          <w:noProof/>
          <w:sz w:val="24"/>
          <w:szCs w:val="24"/>
        </w:rPr>
        <w:t xml:space="preserve">Cambridge </w:t>
      </w:r>
      <w:r>
        <w:rPr>
          <w:rFonts w:ascii="Times New Roman" w:hAnsi="Times New Roman" w:cs="Times New Roman"/>
          <w:noProof/>
          <w:sz w:val="24"/>
          <w:szCs w:val="24"/>
        </w:rPr>
        <w:t>University Press</w:t>
      </w:r>
      <w:r w:rsidRPr="00724502">
        <w:rPr>
          <w:rFonts w:ascii="Times New Roman" w:hAnsi="Times New Roman" w:cs="Times New Roman"/>
          <w:noProof/>
          <w:sz w:val="24"/>
          <w:szCs w:val="24"/>
        </w:rPr>
        <w:t>.</w:t>
      </w:r>
    </w:p>
    <w:p w14:paraId="2E9618DF" w14:textId="6F572F4D" w:rsidR="001459A4" w:rsidRPr="00951ADC"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color w:val="FF0000"/>
          <w:sz w:val="24"/>
          <w:szCs w:val="24"/>
        </w:rPr>
      </w:pPr>
      <w:r>
        <w:rPr>
          <w:rFonts w:ascii="Times New Roman" w:hAnsi="Times New Roman" w:cs="Times New Roman"/>
          <w:noProof/>
          <w:sz w:val="24"/>
          <w:szCs w:val="24"/>
        </w:rPr>
        <w:t>2.</w:t>
      </w:r>
      <w:r>
        <w:rPr>
          <w:rFonts w:ascii="Times New Roman" w:hAnsi="Times New Roman" w:cs="Times New Roman"/>
          <w:noProof/>
          <w:sz w:val="24"/>
          <w:szCs w:val="24"/>
        </w:rPr>
        <w:tab/>
      </w:r>
      <w:r w:rsidR="00A24FA3" w:rsidRPr="00951ADC">
        <w:rPr>
          <w:rFonts w:ascii="Times New Roman" w:hAnsi="Times New Roman" w:cs="Times New Roman"/>
          <w:noProof/>
          <w:color w:val="FF0000"/>
          <w:sz w:val="24"/>
          <w:szCs w:val="24"/>
        </w:rPr>
        <w:t xml:space="preserve">Hanson M, Godfrey KM, Lillycrop KA </w:t>
      </w:r>
      <w:r w:rsidR="00A24FA3" w:rsidRPr="00951ADC">
        <w:rPr>
          <w:rFonts w:ascii="Times New Roman" w:hAnsi="Times New Roman" w:cs="Times New Roman"/>
          <w:i/>
          <w:noProof/>
          <w:color w:val="FF0000"/>
          <w:sz w:val="24"/>
          <w:szCs w:val="24"/>
        </w:rPr>
        <w:t>et al.</w:t>
      </w:r>
      <w:r w:rsidR="00A24FA3" w:rsidRPr="00951ADC">
        <w:rPr>
          <w:rFonts w:ascii="Times New Roman" w:hAnsi="Times New Roman" w:cs="Times New Roman"/>
          <w:noProof/>
          <w:color w:val="FF0000"/>
          <w:sz w:val="24"/>
          <w:szCs w:val="24"/>
        </w:rPr>
        <w:t xml:space="preserve"> (2004) Developmental plasticity and developmental origins of non-communicable disease: theoretical considerations and epigenetic mechanisms</w:t>
      </w:r>
      <w:r w:rsidR="00A24FA3" w:rsidRPr="00951ADC">
        <w:rPr>
          <w:rFonts w:ascii="Times New Roman" w:hAnsi="Times New Roman" w:cs="Times New Roman"/>
          <w:i/>
          <w:noProof/>
          <w:color w:val="FF0000"/>
          <w:sz w:val="24"/>
          <w:szCs w:val="24"/>
        </w:rPr>
        <w:t>. Prog Biophys Mol Biol</w:t>
      </w:r>
      <w:r w:rsidR="00A24FA3" w:rsidRPr="00951ADC">
        <w:rPr>
          <w:rFonts w:ascii="Times New Roman" w:hAnsi="Times New Roman" w:cs="Times New Roman"/>
          <w:noProof/>
          <w:color w:val="FF0000"/>
          <w:sz w:val="24"/>
          <w:szCs w:val="24"/>
        </w:rPr>
        <w:t xml:space="preserve"> </w:t>
      </w:r>
      <w:r w:rsidR="00A24FA3" w:rsidRPr="00951ADC">
        <w:rPr>
          <w:rFonts w:ascii="Times New Roman" w:hAnsi="Times New Roman" w:cs="Times New Roman"/>
          <w:b/>
          <w:noProof/>
          <w:color w:val="FF0000"/>
          <w:sz w:val="24"/>
          <w:szCs w:val="24"/>
        </w:rPr>
        <w:t>106,</w:t>
      </w:r>
      <w:r w:rsidR="00A24FA3" w:rsidRPr="00951ADC">
        <w:rPr>
          <w:rFonts w:ascii="Times New Roman" w:hAnsi="Times New Roman" w:cs="Times New Roman"/>
          <w:noProof/>
          <w:color w:val="FF0000"/>
          <w:sz w:val="24"/>
          <w:szCs w:val="24"/>
        </w:rPr>
        <w:t xml:space="preserve"> 272–280.</w:t>
      </w:r>
    </w:p>
    <w:p w14:paraId="4F44F728"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3.</w:t>
      </w:r>
      <w:r>
        <w:rPr>
          <w:rFonts w:ascii="Times New Roman" w:hAnsi="Times New Roman" w:cs="Times New Roman"/>
          <w:noProof/>
          <w:sz w:val="24"/>
          <w:szCs w:val="24"/>
        </w:rPr>
        <w:tab/>
        <w:t xml:space="preserve">Carolan-Olah M, Duarte-Gardea M &amp; Lechuga </w:t>
      </w:r>
      <w:r w:rsidRPr="00724502">
        <w:rPr>
          <w:rFonts w:ascii="Times New Roman" w:hAnsi="Times New Roman" w:cs="Times New Roman"/>
          <w:noProof/>
          <w:sz w:val="24"/>
          <w:szCs w:val="24"/>
        </w:rPr>
        <w:t>J</w:t>
      </w:r>
      <w:r>
        <w:rPr>
          <w:rFonts w:ascii="Times New Roman" w:hAnsi="Times New Roman" w:cs="Times New Roman"/>
          <w:noProof/>
          <w:sz w:val="24"/>
          <w:szCs w:val="24"/>
        </w:rPr>
        <w:t xml:space="preserve"> (2015)</w:t>
      </w:r>
      <w:r w:rsidRPr="00724502">
        <w:rPr>
          <w:rFonts w:ascii="Times New Roman" w:hAnsi="Times New Roman" w:cs="Times New Roman"/>
          <w:noProof/>
          <w:sz w:val="24"/>
          <w:szCs w:val="24"/>
        </w:rPr>
        <w:t xml:space="preserve"> A critical review: early life nutrition and prenatal programming for adult disease. </w:t>
      </w:r>
      <w:r w:rsidRPr="00724502">
        <w:rPr>
          <w:rFonts w:ascii="Times New Roman" w:hAnsi="Times New Roman" w:cs="Times New Roman"/>
          <w:i/>
          <w:iCs/>
          <w:noProof/>
          <w:sz w:val="24"/>
          <w:szCs w:val="24"/>
        </w:rPr>
        <w:t>J Clin Nurs</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24,</w:t>
      </w:r>
      <w:r>
        <w:rPr>
          <w:rFonts w:ascii="Times New Roman" w:hAnsi="Times New Roman" w:cs="Times New Roman"/>
          <w:noProof/>
          <w:sz w:val="24"/>
          <w:szCs w:val="24"/>
        </w:rPr>
        <w:t xml:space="preserve"> 3716–3729</w:t>
      </w:r>
      <w:r w:rsidRPr="00724502">
        <w:rPr>
          <w:rFonts w:ascii="Times New Roman" w:hAnsi="Times New Roman" w:cs="Times New Roman"/>
          <w:noProof/>
          <w:sz w:val="24"/>
          <w:szCs w:val="24"/>
        </w:rPr>
        <w:t>.</w:t>
      </w:r>
    </w:p>
    <w:p w14:paraId="23CA92B3"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4.</w:t>
      </w:r>
      <w:r>
        <w:rPr>
          <w:rFonts w:ascii="Times New Roman" w:hAnsi="Times New Roman" w:cs="Times New Roman"/>
          <w:noProof/>
          <w:sz w:val="24"/>
          <w:szCs w:val="24"/>
        </w:rPr>
        <w:tab/>
        <w:t>Lillycrop KA (2011)</w:t>
      </w:r>
      <w:r w:rsidRPr="00724502">
        <w:rPr>
          <w:rFonts w:ascii="Times New Roman" w:hAnsi="Times New Roman" w:cs="Times New Roman"/>
          <w:noProof/>
          <w:sz w:val="24"/>
          <w:szCs w:val="24"/>
        </w:rPr>
        <w:t xml:space="preserve"> Effect of maternal diet on the epigenome: implications for human metabolic disease. </w:t>
      </w:r>
      <w:r w:rsidRPr="00724502">
        <w:rPr>
          <w:rFonts w:ascii="Times New Roman" w:hAnsi="Times New Roman" w:cs="Times New Roman"/>
          <w:i/>
          <w:iCs/>
          <w:noProof/>
          <w:sz w:val="24"/>
          <w:szCs w:val="24"/>
        </w:rPr>
        <w:t>Proc Nutr Soc</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70,</w:t>
      </w:r>
      <w:r>
        <w:rPr>
          <w:rFonts w:ascii="Times New Roman" w:hAnsi="Times New Roman" w:cs="Times New Roman"/>
          <w:noProof/>
          <w:sz w:val="24"/>
          <w:szCs w:val="24"/>
        </w:rPr>
        <w:t xml:space="preserve"> 64–72</w:t>
      </w:r>
      <w:r w:rsidRPr="00724502">
        <w:rPr>
          <w:rFonts w:ascii="Times New Roman" w:hAnsi="Times New Roman" w:cs="Times New Roman"/>
          <w:noProof/>
          <w:sz w:val="24"/>
          <w:szCs w:val="24"/>
        </w:rPr>
        <w:t>.</w:t>
      </w:r>
    </w:p>
    <w:p w14:paraId="2D6A9659"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24502">
        <w:rPr>
          <w:rFonts w:ascii="Times New Roman" w:hAnsi="Times New Roman" w:cs="Times New Roman"/>
          <w:noProof/>
          <w:sz w:val="24"/>
          <w:szCs w:val="24"/>
        </w:rPr>
        <w:t>5.</w:t>
      </w:r>
      <w:r w:rsidRPr="00724502">
        <w:rPr>
          <w:rFonts w:ascii="Times New Roman" w:hAnsi="Times New Roman" w:cs="Times New Roman"/>
          <w:noProof/>
          <w:sz w:val="24"/>
          <w:szCs w:val="24"/>
        </w:rPr>
        <w:tab/>
        <w:t>Mühlhäus</w:t>
      </w:r>
      <w:r>
        <w:rPr>
          <w:rFonts w:ascii="Times New Roman" w:hAnsi="Times New Roman" w:cs="Times New Roman"/>
          <w:noProof/>
          <w:sz w:val="24"/>
          <w:szCs w:val="24"/>
        </w:rPr>
        <w:t>ler BS, Adam</w:t>
      </w:r>
      <w:r w:rsidRPr="00724502">
        <w:rPr>
          <w:rFonts w:ascii="Times New Roman" w:hAnsi="Times New Roman" w:cs="Times New Roman"/>
          <w:noProof/>
          <w:sz w:val="24"/>
          <w:szCs w:val="24"/>
        </w:rPr>
        <w:t xml:space="preserve"> CL</w:t>
      </w:r>
      <w:r>
        <w:rPr>
          <w:rFonts w:ascii="Times New Roman" w:hAnsi="Times New Roman" w:cs="Times New Roman"/>
          <w:noProof/>
          <w:sz w:val="24"/>
          <w:szCs w:val="24"/>
        </w:rPr>
        <w:t xml:space="preserve"> &amp; McMillen</w:t>
      </w:r>
      <w:r w:rsidRPr="00724502">
        <w:rPr>
          <w:rFonts w:ascii="Times New Roman" w:hAnsi="Times New Roman" w:cs="Times New Roman"/>
          <w:noProof/>
          <w:sz w:val="24"/>
          <w:szCs w:val="24"/>
        </w:rPr>
        <w:t xml:space="preserve"> IC</w:t>
      </w:r>
      <w:r>
        <w:rPr>
          <w:rFonts w:ascii="Times New Roman" w:hAnsi="Times New Roman" w:cs="Times New Roman"/>
          <w:noProof/>
          <w:sz w:val="24"/>
          <w:szCs w:val="24"/>
        </w:rPr>
        <w:t xml:space="preserve"> (2008)</w:t>
      </w:r>
      <w:r w:rsidRPr="00724502">
        <w:rPr>
          <w:rFonts w:ascii="Times New Roman" w:hAnsi="Times New Roman" w:cs="Times New Roman"/>
          <w:noProof/>
          <w:sz w:val="24"/>
          <w:szCs w:val="24"/>
        </w:rPr>
        <w:t xml:space="preserve"> Maternal nutrition and the programming of obesity. </w:t>
      </w:r>
      <w:r w:rsidRPr="00724502">
        <w:rPr>
          <w:rFonts w:ascii="Times New Roman" w:hAnsi="Times New Roman" w:cs="Times New Roman"/>
          <w:i/>
          <w:iCs/>
          <w:noProof/>
          <w:sz w:val="24"/>
          <w:szCs w:val="24"/>
        </w:rPr>
        <w:t>Organogenesis</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4,</w:t>
      </w:r>
      <w:r>
        <w:rPr>
          <w:rFonts w:ascii="Times New Roman" w:hAnsi="Times New Roman" w:cs="Times New Roman"/>
          <w:noProof/>
          <w:sz w:val="24"/>
          <w:szCs w:val="24"/>
        </w:rPr>
        <w:t xml:space="preserve"> 144–152</w:t>
      </w:r>
      <w:r w:rsidRPr="00724502">
        <w:rPr>
          <w:rFonts w:ascii="Times New Roman" w:hAnsi="Times New Roman" w:cs="Times New Roman"/>
          <w:noProof/>
          <w:sz w:val="24"/>
          <w:szCs w:val="24"/>
        </w:rPr>
        <w:t>.</w:t>
      </w:r>
    </w:p>
    <w:p w14:paraId="6D16AC72" w14:textId="2E64B34A"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6.</w:t>
      </w:r>
      <w:r>
        <w:rPr>
          <w:rFonts w:ascii="Times New Roman" w:hAnsi="Times New Roman" w:cs="Times New Roman"/>
          <w:noProof/>
          <w:sz w:val="24"/>
          <w:szCs w:val="24"/>
        </w:rPr>
        <w:tab/>
        <w:t>Mcmillen</w:t>
      </w:r>
      <w:r w:rsidRPr="00724502">
        <w:rPr>
          <w:rFonts w:ascii="Times New Roman" w:hAnsi="Times New Roman" w:cs="Times New Roman"/>
          <w:noProof/>
          <w:sz w:val="24"/>
          <w:szCs w:val="24"/>
        </w:rPr>
        <w:t xml:space="preserve"> I</w:t>
      </w:r>
      <w:r>
        <w:rPr>
          <w:rFonts w:ascii="Times New Roman" w:hAnsi="Times New Roman" w:cs="Times New Roman"/>
          <w:noProof/>
          <w:sz w:val="24"/>
          <w:szCs w:val="24"/>
        </w:rPr>
        <w:t xml:space="preserve">C </w:t>
      </w:r>
      <w:r w:rsidR="003D5216" w:rsidRPr="003D5216">
        <w:rPr>
          <w:rFonts w:ascii="Times New Roman" w:hAnsi="Times New Roman" w:cs="Times New Roman"/>
          <w:noProof/>
          <w:color w:val="FF0000"/>
          <w:sz w:val="24"/>
          <w:szCs w:val="24"/>
        </w:rPr>
        <w:t xml:space="preserve">&amp; Robinson JS </w:t>
      </w:r>
      <w:r>
        <w:rPr>
          <w:rFonts w:ascii="Times New Roman" w:hAnsi="Times New Roman" w:cs="Times New Roman"/>
          <w:noProof/>
          <w:sz w:val="24"/>
          <w:szCs w:val="24"/>
        </w:rPr>
        <w:t>(2005)</w:t>
      </w:r>
      <w:r w:rsidRPr="00724502">
        <w:rPr>
          <w:rFonts w:ascii="Times New Roman" w:hAnsi="Times New Roman" w:cs="Times New Roman"/>
          <w:noProof/>
          <w:sz w:val="24"/>
          <w:szCs w:val="24"/>
        </w:rPr>
        <w:t xml:space="preserve"> Developmental </w:t>
      </w:r>
      <w:r>
        <w:rPr>
          <w:rFonts w:ascii="Times New Roman" w:hAnsi="Times New Roman" w:cs="Times New Roman"/>
          <w:noProof/>
          <w:sz w:val="24"/>
          <w:szCs w:val="24"/>
        </w:rPr>
        <w:t>o</w:t>
      </w:r>
      <w:r w:rsidRPr="00724502">
        <w:rPr>
          <w:rFonts w:ascii="Times New Roman" w:hAnsi="Times New Roman" w:cs="Times New Roman"/>
          <w:noProof/>
          <w:sz w:val="24"/>
          <w:szCs w:val="24"/>
        </w:rPr>
        <w:t xml:space="preserve">rigins of the </w:t>
      </w:r>
      <w:r>
        <w:rPr>
          <w:rFonts w:ascii="Times New Roman" w:hAnsi="Times New Roman" w:cs="Times New Roman"/>
          <w:noProof/>
          <w:sz w:val="24"/>
          <w:szCs w:val="24"/>
        </w:rPr>
        <w:t>m</w:t>
      </w:r>
      <w:r w:rsidRPr="00724502">
        <w:rPr>
          <w:rFonts w:ascii="Times New Roman" w:hAnsi="Times New Roman" w:cs="Times New Roman"/>
          <w:noProof/>
          <w:sz w:val="24"/>
          <w:szCs w:val="24"/>
        </w:rPr>
        <w:t xml:space="preserve">etabolic </w:t>
      </w:r>
      <w:r>
        <w:rPr>
          <w:rFonts w:ascii="Times New Roman" w:hAnsi="Times New Roman" w:cs="Times New Roman"/>
          <w:noProof/>
          <w:sz w:val="24"/>
          <w:szCs w:val="24"/>
        </w:rPr>
        <w:t>syndrome: p</w:t>
      </w:r>
      <w:r w:rsidRPr="00724502">
        <w:rPr>
          <w:rFonts w:ascii="Times New Roman" w:hAnsi="Times New Roman" w:cs="Times New Roman"/>
          <w:noProof/>
          <w:sz w:val="24"/>
          <w:szCs w:val="24"/>
        </w:rPr>
        <w:t xml:space="preserve">rediction, </w:t>
      </w:r>
      <w:r>
        <w:rPr>
          <w:rFonts w:ascii="Times New Roman" w:hAnsi="Times New Roman" w:cs="Times New Roman"/>
          <w:noProof/>
          <w:sz w:val="24"/>
          <w:szCs w:val="24"/>
        </w:rPr>
        <w:t>plasticity, and p</w:t>
      </w:r>
      <w:r w:rsidRPr="00724502">
        <w:rPr>
          <w:rFonts w:ascii="Times New Roman" w:hAnsi="Times New Roman" w:cs="Times New Roman"/>
          <w:noProof/>
          <w:sz w:val="24"/>
          <w:szCs w:val="24"/>
        </w:rPr>
        <w:t xml:space="preserve">rogramming. </w:t>
      </w:r>
      <w:r>
        <w:rPr>
          <w:rFonts w:ascii="Times New Roman" w:hAnsi="Times New Roman" w:cs="Times New Roman"/>
          <w:i/>
          <w:iCs/>
          <w:noProof/>
          <w:sz w:val="24"/>
          <w:szCs w:val="24"/>
        </w:rPr>
        <w:t>Physiol</w:t>
      </w:r>
      <w:r w:rsidRPr="00724502">
        <w:rPr>
          <w:rFonts w:ascii="Times New Roman" w:hAnsi="Times New Roman" w:cs="Times New Roman"/>
          <w:i/>
          <w:iCs/>
          <w:noProof/>
          <w:sz w:val="24"/>
          <w:szCs w:val="24"/>
        </w:rPr>
        <w:t xml:space="preserve"> Rev</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85,</w:t>
      </w:r>
      <w:r w:rsidRPr="00724502">
        <w:rPr>
          <w:rFonts w:ascii="Times New Roman" w:hAnsi="Times New Roman" w:cs="Times New Roman"/>
          <w:noProof/>
          <w:sz w:val="24"/>
          <w:szCs w:val="24"/>
        </w:rPr>
        <w:t xml:space="preserve"> 571–633.</w:t>
      </w:r>
    </w:p>
    <w:p w14:paraId="19E282A2" w14:textId="76EFE7D7" w:rsidR="001459A4" w:rsidRPr="00724502" w:rsidRDefault="001459A4" w:rsidP="001459A4">
      <w:pPr>
        <w:widowControl w:val="0"/>
        <w:autoSpaceDE w:val="0"/>
        <w:autoSpaceDN w:val="0"/>
        <w:adjustRightInd w:val="0"/>
        <w:spacing w:after="0" w:line="360" w:lineRule="auto"/>
        <w:ind w:left="641" w:hanging="641"/>
        <w:jc w:val="both"/>
        <w:rPr>
          <w:rFonts w:ascii="Times New Roman" w:hAnsi="Times New Roman" w:cs="Times New Roman"/>
          <w:noProof/>
          <w:sz w:val="24"/>
          <w:szCs w:val="24"/>
        </w:rPr>
      </w:pPr>
      <w:r>
        <w:rPr>
          <w:rFonts w:ascii="Times New Roman" w:hAnsi="Times New Roman" w:cs="Times New Roman"/>
          <w:noProof/>
          <w:sz w:val="24"/>
          <w:szCs w:val="24"/>
        </w:rPr>
        <w:t>7.</w:t>
      </w:r>
      <w:r>
        <w:rPr>
          <w:rFonts w:ascii="Times New Roman" w:hAnsi="Times New Roman" w:cs="Times New Roman"/>
          <w:noProof/>
          <w:sz w:val="24"/>
          <w:szCs w:val="24"/>
        </w:rPr>
        <w:tab/>
        <w:t>Godfrey</w:t>
      </w:r>
      <w:r w:rsidRPr="00724502">
        <w:rPr>
          <w:rFonts w:ascii="Times New Roman" w:hAnsi="Times New Roman" w:cs="Times New Roman"/>
          <w:noProof/>
          <w:sz w:val="24"/>
          <w:szCs w:val="24"/>
        </w:rPr>
        <w:t xml:space="preserve"> K</w:t>
      </w:r>
      <w:r>
        <w:rPr>
          <w:rFonts w:ascii="Times New Roman" w:hAnsi="Times New Roman" w:cs="Times New Roman"/>
          <w:noProof/>
          <w:sz w:val="24"/>
          <w:szCs w:val="24"/>
        </w:rPr>
        <w:t>M</w:t>
      </w:r>
      <w:r w:rsidRPr="00724502">
        <w:rPr>
          <w:rFonts w:ascii="Times New Roman" w:hAnsi="Times New Roman" w:cs="Times New Roman"/>
          <w:noProof/>
          <w:sz w:val="24"/>
          <w:szCs w:val="24"/>
        </w:rPr>
        <w:t>, Lillycrop K</w:t>
      </w:r>
      <w:r>
        <w:rPr>
          <w:rFonts w:ascii="Times New Roman" w:hAnsi="Times New Roman" w:cs="Times New Roman"/>
          <w:noProof/>
          <w:sz w:val="24"/>
          <w:szCs w:val="24"/>
        </w:rPr>
        <w:t>A, Burdge</w:t>
      </w:r>
      <w:r w:rsidRPr="00724502">
        <w:rPr>
          <w:rFonts w:ascii="Times New Roman" w:hAnsi="Times New Roman" w:cs="Times New Roman"/>
          <w:noProof/>
          <w:sz w:val="24"/>
          <w:szCs w:val="24"/>
        </w:rPr>
        <w:t xml:space="preserve"> G</w:t>
      </w:r>
      <w:r>
        <w:rPr>
          <w:rFonts w:ascii="Times New Roman" w:hAnsi="Times New Roman" w:cs="Times New Roman"/>
          <w:noProof/>
          <w:sz w:val="24"/>
          <w:szCs w:val="24"/>
        </w:rPr>
        <w:t xml:space="preserve">C </w:t>
      </w:r>
      <w:r w:rsidRPr="003228F9">
        <w:rPr>
          <w:rFonts w:ascii="Times New Roman" w:hAnsi="Times New Roman" w:cs="Times New Roman"/>
          <w:i/>
          <w:noProof/>
          <w:sz w:val="24"/>
          <w:szCs w:val="24"/>
        </w:rPr>
        <w:t>et a</w:t>
      </w:r>
      <w:r w:rsidRPr="00D35C59">
        <w:rPr>
          <w:rFonts w:ascii="Times New Roman" w:hAnsi="Times New Roman" w:cs="Times New Roman"/>
          <w:i/>
          <w:noProof/>
          <w:sz w:val="24"/>
          <w:szCs w:val="24"/>
        </w:rPr>
        <w:t>l.</w:t>
      </w:r>
      <w:r>
        <w:rPr>
          <w:rFonts w:ascii="Times New Roman" w:hAnsi="Times New Roman" w:cs="Times New Roman"/>
          <w:noProof/>
          <w:sz w:val="24"/>
          <w:szCs w:val="24"/>
        </w:rPr>
        <w:t xml:space="preserve"> (2007) </w:t>
      </w:r>
      <w:r w:rsidRPr="00724502">
        <w:rPr>
          <w:rFonts w:ascii="Times New Roman" w:hAnsi="Times New Roman" w:cs="Times New Roman"/>
          <w:noProof/>
          <w:sz w:val="24"/>
          <w:szCs w:val="24"/>
        </w:rPr>
        <w:t xml:space="preserve">Epigenetic mechanisms and the mismatch concept of the developmental origins of health and disease. </w:t>
      </w:r>
      <w:r w:rsidRPr="00724502">
        <w:rPr>
          <w:rFonts w:ascii="Times New Roman" w:hAnsi="Times New Roman" w:cs="Times New Roman"/>
          <w:i/>
          <w:iCs/>
          <w:noProof/>
          <w:sz w:val="24"/>
          <w:szCs w:val="24"/>
        </w:rPr>
        <w:t>Pediatr Res</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61,</w:t>
      </w:r>
      <w:r>
        <w:rPr>
          <w:rFonts w:ascii="Times New Roman" w:hAnsi="Times New Roman" w:cs="Times New Roman"/>
          <w:noProof/>
          <w:sz w:val="24"/>
          <w:szCs w:val="24"/>
        </w:rPr>
        <w:t xml:space="preserve"> </w:t>
      </w:r>
      <w:r w:rsidR="00E50F9D" w:rsidRPr="009F3A8E">
        <w:rPr>
          <w:rFonts w:ascii="Times New Roman" w:hAnsi="Times New Roman" w:cs="Times New Roman"/>
          <w:noProof/>
          <w:color w:val="FF0000"/>
          <w:sz w:val="24"/>
          <w:szCs w:val="24"/>
        </w:rPr>
        <w:t>5R</w:t>
      </w:r>
      <w:r w:rsidRPr="009F3A8E">
        <w:rPr>
          <w:rFonts w:ascii="Times New Roman" w:hAnsi="Times New Roman" w:cs="Times New Roman"/>
          <w:noProof/>
          <w:color w:val="FF0000"/>
          <w:sz w:val="24"/>
          <w:szCs w:val="24"/>
        </w:rPr>
        <w:t>–</w:t>
      </w:r>
      <w:r w:rsidR="00E50F9D" w:rsidRPr="009F3A8E">
        <w:rPr>
          <w:rFonts w:ascii="Times New Roman" w:hAnsi="Times New Roman" w:cs="Times New Roman"/>
          <w:noProof/>
          <w:color w:val="FF0000"/>
          <w:sz w:val="24"/>
          <w:szCs w:val="24"/>
        </w:rPr>
        <w:t>10R</w:t>
      </w:r>
      <w:r w:rsidRPr="00724502">
        <w:rPr>
          <w:rFonts w:ascii="Times New Roman" w:hAnsi="Times New Roman" w:cs="Times New Roman"/>
          <w:noProof/>
          <w:sz w:val="24"/>
          <w:szCs w:val="24"/>
        </w:rPr>
        <w:t>.</w:t>
      </w:r>
    </w:p>
    <w:p w14:paraId="21BA4603" w14:textId="77777777" w:rsidR="001459A4" w:rsidRPr="00724502" w:rsidRDefault="001459A4" w:rsidP="001459A4">
      <w:pPr>
        <w:widowControl w:val="0"/>
        <w:autoSpaceDE w:val="0"/>
        <w:autoSpaceDN w:val="0"/>
        <w:adjustRightInd w:val="0"/>
        <w:spacing w:after="0" w:line="360" w:lineRule="auto"/>
        <w:ind w:left="641" w:hanging="641"/>
        <w:jc w:val="both"/>
        <w:rPr>
          <w:rFonts w:ascii="Times New Roman" w:hAnsi="Times New Roman" w:cs="Times New Roman"/>
          <w:noProof/>
          <w:sz w:val="24"/>
          <w:szCs w:val="24"/>
        </w:rPr>
      </w:pPr>
      <w:r>
        <w:rPr>
          <w:rFonts w:ascii="Times New Roman" w:hAnsi="Times New Roman" w:cs="Times New Roman"/>
          <w:noProof/>
          <w:sz w:val="24"/>
          <w:szCs w:val="24"/>
        </w:rPr>
        <w:t>8.</w:t>
      </w:r>
      <w:r>
        <w:rPr>
          <w:rFonts w:ascii="Times New Roman" w:hAnsi="Times New Roman" w:cs="Times New Roman"/>
          <w:noProof/>
          <w:sz w:val="24"/>
          <w:szCs w:val="24"/>
        </w:rPr>
        <w:tab/>
        <w:t>Gluckman</w:t>
      </w:r>
      <w:r w:rsidRPr="00724502">
        <w:rPr>
          <w:rFonts w:ascii="Times New Roman" w:hAnsi="Times New Roman" w:cs="Times New Roman"/>
          <w:noProof/>
          <w:sz w:val="24"/>
          <w:szCs w:val="24"/>
        </w:rPr>
        <w:t xml:space="preserve"> PD &amp; Hanson</w:t>
      </w:r>
      <w:r>
        <w:rPr>
          <w:rFonts w:ascii="Times New Roman" w:hAnsi="Times New Roman" w:cs="Times New Roman"/>
          <w:noProof/>
          <w:sz w:val="24"/>
          <w:szCs w:val="24"/>
        </w:rPr>
        <w:t xml:space="preserve"> MA (2004) Developmental origins of disease p</w:t>
      </w:r>
      <w:r w:rsidRPr="00724502">
        <w:rPr>
          <w:rFonts w:ascii="Times New Roman" w:hAnsi="Times New Roman" w:cs="Times New Roman"/>
          <w:noProof/>
          <w:sz w:val="24"/>
          <w:szCs w:val="24"/>
        </w:rPr>
        <w:t xml:space="preserve">aradigm: </w:t>
      </w:r>
      <w:r>
        <w:rPr>
          <w:rFonts w:ascii="Times New Roman" w:hAnsi="Times New Roman" w:cs="Times New Roman"/>
          <w:noProof/>
          <w:sz w:val="24"/>
          <w:szCs w:val="24"/>
        </w:rPr>
        <w:t>a mechanistic and evolutionary p</w:t>
      </w:r>
      <w:r w:rsidRPr="00724502">
        <w:rPr>
          <w:rFonts w:ascii="Times New Roman" w:hAnsi="Times New Roman" w:cs="Times New Roman"/>
          <w:noProof/>
          <w:sz w:val="24"/>
          <w:szCs w:val="24"/>
        </w:rPr>
        <w:t xml:space="preserve">erspective. </w:t>
      </w:r>
      <w:r>
        <w:rPr>
          <w:rFonts w:ascii="Times New Roman" w:hAnsi="Times New Roman" w:cs="Times New Roman"/>
          <w:i/>
          <w:iCs/>
          <w:noProof/>
          <w:sz w:val="24"/>
          <w:szCs w:val="24"/>
        </w:rPr>
        <w:t>Pediatr Res</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56,</w:t>
      </w:r>
      <w:r w:rsidRPr="00724502">
        <w:rPr>
          <w:rFonts w:ascii="Times New Roman" w:hAnsi="Times New Roman" w:cs="Times New Roman"/>
          <w:noProof/>
          <w:sz w:val="24"/>
          <w:szCs w:val="24"/>
        </w:rPr>
        <w:t xml:space="preserve"> 311–317.</w:t>
      </w:r>
    </w:p>
    <w:p w14:paraId="021CADAC" w14:textId="77777777" w:rsidR="001459A4" w:rsidRPr="00724502" w:rsidRDefault="001459A4" w:rsidP="001459A4">
      <w:pPr>
        <w:pStyle w:val="NormalWeb"/>
        <w:spacing w:before="0" w:beforeAutospacing="0" w:after="0" w:afterAutospacing="0" w:line="360" w:lineRule="auto"/>
        <w:ind w:left="641" w:hanging="641"/>
        <w:jc w:val="both"/>
        <w:rPr>
          <w:noProof/>
        </w:rPr>
      </w:pPr>
      <w:r>
        <w:rPr>
          <w:noProof/>
        </w:rPr>
        <w:t>9.</w:t>
      </w:r>
      <w:r>
        <w:rPr>
          <w:noProof/>
        </w:rPr>
        <w:tab/>
        <w:t xml:space="preserve">Mason JB, </w:t>
      </w:r>
      <w:r>
        <w:t xml:space="preserve">Shrimpton R, </w:t>
      </w:r>
      <w:proofErr w:type="spellStart"/>
      <w:r>
        <w:t>Saldanha</w:t>
      </w:r>
      <w:proofErr w:type="spellEnd"/>
      <w:r>
        <w:t xml:space="preserve"> </w:t>
      </w:r>
      <w:r w:rsidRPr="00492062">
        <w:t>L</w:t>
      </w:r>
      <w:r>
        <w:t>S</w:t>
      </w:r>
      <w:r w:rsidRPr="00724502">
        <w:rPr>
          <w:noProof/>
        </w:rPr>
        <w:t xml:space="preserve"> </w:t>
      </w:r>
      <w:r w:rsidRPr="003228F9">
        <w:rPr>
          <w:i/>
          <w:noProof/>
        </w:rPr>
        <w:t>et a</w:t>
      </w:r>
      <w:r w:rsidRPr="00D35C59">
        <w:rPr>
          <w:i/>
          <w:noProof/>
        </w:rPr>
        <w:t>l.</w:t>
      </w:r>
      <w:r>
        <w:rPr>
          <w:noProof/>
        </w:rPr>
        <w:t xml:space="preserve"> (2015) The first 500 days of life: p</w:t>
      </w:r>
      <w:r w:rsidRPr="00724502">
        <w:rPr>
          <w:noProof/>
        </w:rPr>
        <w:t xml:space="preserve">olicies to support maternal nutrition. </w:t>
      </w:r>
      <w:r>
        <w:rPr>
          <w:i/>
          <w:iCs/>
          <w:noProof/>
        </w:rPr>
        <w:t>Glob</w:t>
      </w:r>
      <w:r w:rsidRPr="00724502">
        <w:rPr>
          <w:i/>
          <w:iCs/>
          <w:noProof/>
        </w:rPr>
        <w:t xml:space="preserve"> Healt</w:t>
      </w:r>
      <w:r w:rsidRPr="007C3F77">
        <w:rPr>
          <w:i/>
          <w:iCs/>
          <w:noProof/>
        </w:rPr>
        <w:t>h Action</w:t>
      </w:r>
      <w:r w:rsidRPr="007C3F77">
        <w:rPr>
          <w:noProof/>
        </w:rPr>
        <w:t xml:space="preserve"> </w:t>
      </w:r>
      <w:r w:rsidRPr="00951ADC">
        <w:rPr>
          <w:b/>
          <w:noProof/>
          <w:color w:val="FF0000"/>
        </w:rPr>
        <w:t>7</w:t>
      </w:r>
      <w:r w:rsidRPr="00951ADC">
        <w:rPr>
          <w:b/>
          <w:bCs/>
          <w:noProof/>
          <w:color w:val="FF0000"/>
        </w:rPr>
        <w:t>,</w:t>
      </w:r>
      <w:r w:rsidRPr="00951ADC">
        <w:rPr>
          <w:noProof/>
          <w:color w:val="FF0000"/>
        </w:rPr>
        <w:t xml:space="preserve"> 23623</w:t>
      </w:r>
      <w:r w:rsidRPr="00724502">
        <w:rPr>
          <w:noProof/>
        </w:rPr>
        <w:t>.</w:t>
      </w:r>
    </w:p>
    <w:p w14:paraId="213F4507" w14:textId="77777777" w:rsidR="001459A4" w:rsidRPr="00724502" w:rsidRDefault="001459A4" w:rsidP="001459A4">
      <w:pPr>
        <w:widowControl w:val="0"/>
        <w:autoSpaceDE w:val="0"/>
        <w:autoSpaceDN w:val="0"/>
        <w:adjustRightInd w:val="0"/>
        <w:spacing w:after="0" w:line="360" w:lineRule="auto"/>
        <w:ind w:left="641" w:hanging="641"/>
        <w:jc w:val="both"/>
        <w:rPr>
          <w:rFonts w:ascii="Times New Roman" w:hAnsi="Times New Roman" w:cs="Times New Roman"/>
          <w:noProof/>
          <w:sz w:val="24"/>
          <w:szCs w:val="24"/>
        </w:rPr>
      </w:pPr>
      <w:r w:rsidRPr="00724502">
        <w:rPr>
          <w:rFonts w:ascii="Times New Roman" w:hAnsi="Times New Roman" w:cs="Times New Roman"/>
          <w:noProof/>
          <w:sz w:val="24"/>
          <w:szCs w:val="24"/>
        </w:rPr>
        <w:t>10</w:t>
      </w:r>
      <w:r>
        <w:rPr>
          <w:rFonts w:ascii="Times New Roman" w:hAnsi="Times New Roman" w:cs="Times New Roman"/>
          <w:noProof/>
          <w:sz w:val="24"/>
          <w:szCs w:val="24"/>
        </w:rPr>
        <w:t>.</w:t>
      </w:r>
      <w:r>
        <w:rPr>
          <w:rFonts w:ascii="Times New Roman" w:hAnsi="Times New Roman" w:cs="Times New Roman"/>
          <w:noProof/>
          <w:sz w:val="24"/>
          <w:szCs w:val="24"/>
        </w:rPr>
        <w:tab/>
        <w:t>Schwartz</w:t>
      </w:r>
      <w:r w:rsidRPr="00724502">
        <w:rPr>
          <w:rFonts w:ascii="Times New Roman" w:hAnsi="Times New Roman" w:cs="Times New Roman"/>
          <w:noProof/>
          <w:sz w:val="24"/>
          <w:szCs w:val="24"/>
        </w:rPr>
        <w:t xml:space="preserve"> C, Scholtens PA</w:t>
      </w:r>
      <w:r>
        <w:rPr>
          <w:rFonts w:ascii="Times New Roman" w:hAnsi="Times New Roman" w:cs="Times New Roman"/>
          <w:noProof/>
          <w:sz w:val="24"/>
          <w:szCs w:val="24"/>
        </w:rPr>
        <w:t>M</w:t>
      </w:r>
      <w:r w:rsidRPr="00724502">
        <w:rPr>
          <w:rFonts w:ascii="Times New Roman" w:hAnsi="Times New Roman" w:cs="Times New Roman"/>
          <w:noProof/>
          <w:sz w:val="24"/>
          <w:szCs w:val="24"/>
        </w:rPr>
        <w:t>J, Lalanne A</w:t>
      </w:r>
      <w:r>
        <w:rPr>
          <w:rFonts w:ascii="Times New Roman" w:hAnsi="Times New Roman" w:cs="Times New Roman"/>
          <w:noProof/>
          <w:sz w:val="24"/>
          <w:szCs w:val="24"/>
        </w:rPr>
        <w:t xml:space="preserve"> </w:t>
      </w:r>
      <w:r w:rsidRPr="003228F9">
        <w:rPr>
          <w:rFonts w:ascii="Times New Roman" w:hAnsi="Times New Roman" w:cs="Times New Roman"/>
          <w:i/>
          <w:noProof/>
          <w:sz w:val="24"/>
          <w:szCs w:val="24"/>
        </w:rPr>
        <w:t>et a</w:t>
      </w:r>
      <w:r w:rsidRPr="00D35C59">
        <w:rPr>
          <w:rFonts w:ascii="Times New Roman" w:hAnsi="Times New Roman" w:cs="Times New Roman"/>
          <w:i/>
          <w:noProof/>
          <w:sz w:val="24"/>
          <w:szCs w:val="24"/>
        </w:rPr>
        <w:t>l.</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(2011) </w:t>
      </w:r>
      <w:r w:rsidRPr="00724502">
        <w:rPr>
          <w:rFonts w:ascii="Times New Roman" w:hAnsi="Times New Roman" w:cs="Times New Roman"/>
          <w:noProof/>
          <w:sz w:val="24"/>
          <w:szCs w:val="24"/>
        </w:rPr>
        <w:t xml:space="preserve">Development of healthy eating habits early in life. Review of recent evidence and selected guidelines. </w:t>
      </w:r>
      <w:r w:rsidRPr="00724502">
        <w:rPr>
          <w:rFonts w:ascii="Times New Roman" w:hAnsi="Times New Roman" w:cs="Times New Roman"/>
          <w:i/>
          <w:iCs/>
          <w:noProof/>
          <w:sz w:val="24"/>
          <w:szCs w:val="24"/>
        </w:rPr>
        <w:t>Appetite</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57,</w:t>
      </w:r>
      <w:r>
        <w:rPr>
          <w:rFonts w:ascii="Times New Roman" w:hAnsi="Times New Roman" w:cs="Times New Roman"/>
          <w:noProof/>
          <w:sz w:val="24"/>
          <w:szCs w:val="24"/>
        </w:rPr>
        <w:t xml:space="preserve"> 796–807</w:t>
      </w:r>
      <w:r w:rsidRPr="00724502">
        <w:rPr>
          <w:rFonts w:ascii="Times New Roman" w:hAnsi="Times New Roman" w:cs="Times New Roman"/>
          <w:noProof/>
          <w:sz w:val="24"/>
          <w:szCs w:val="24"/>
        </w:rPr>
        <w:t>.</w:t>
      </w:r>
    </w:p>
    <w:p w14:paraId="1347D119" w14:textId="1DD8E34A" w:rsidR="001459A4" w:rsidRPr="00724502" w:rsidRDefault="001459A4" w:rsidP="001459A4">
      <w:pPr>
        <w:widowControl w:val="0"/>
        <w:autoSpaceDE w:val="0"/>
        <w:autoSpaceDN w:val="0"/>
        <w:adjustRightInd w:val="0"/>
        <w:spacing w:after="0" w:line="360" w:lineRule="auto"/>
        <w:ind w:left="641" w:hanging="641"/>
        <w:jc w:val="both"/>
        <w:rPr>
          <w:rFonts w:ascii="Times New Roman" w:hAnsi="Times New Roman" w:cs="Times New Roman"/>
          <w:noProof/>
          <w:sz w:val="24"/>
          <w:szCs w:val="24"/>
        </w:rPr>
      </w:pPr>
      <w:r>
        <w:rPr>
          <w:rFonts w:ascii="Times New Roman" w:hAnsi="Times New Roman" w:cs="Times New Roman"/>
          <w:noProof/>
          <w:sz w:val="24"/>
          <w:szCs w:val="24"/>
        </w:rPr>
        <w:t>11.</w:t>
      </w:r>
      <w:r>
        <w:rPr>
          <w:rFonts w:ascii="Times New Roman" w:hAnsi="Times New Roman" w:cs="Times New Roman"/>
          <w:noProof/>
          <w:sz w:val="24"/>
          <w:szCs w:val="24"/>
        </w:rPr>
        <w:tab/>
      </w:r>
      <w:r w:rsidR="00466DE4" w:rsidRPr="00951ADC">
        <w:rPr>
          <w:rFonts w:ascii="Times New Roman" w:hAnsi="Times New Roman" w:cs="Times New Roman"/>
          <w:noProof/>
          <w:color w:val="FF0000"/>
          <w:sz w:val="24"/>
          <w:szCs w:val="24"/>
        </w:rPr>
        <w:t xml:space="preserve">Galland BC, Taylor BJ, Elder DE </w:t>
      </w:r>
      <w:r w:rsidR="00466DE4" w:rsidRPr="00951ADC">
        <w:rPr>
          <w:rFonts w:ascii="Times New Roman" w:hAnsi="Times New Roman" w:cs="Times New Roman"/>
          <w:i/>
          <w:noProof/>
          <w:color w:val="FF0000"/>
          <w:sz w:val="24"/>
          <w:szCs w:val="24"/>
        </w:rPr>
        <w:t>et al.</w:t>
      </w:r>
      <w:r w:rsidR="00466DE4" w:rsidRPr="00951ADC">
        <w:rPr>
          <w:rFonts w:ascii="Times New Roman" w:hAnsi="Times New Roman" w:cs="Times New Roman"/>
          <w:noProof/>
          <w:color w:val="FF0000"/>
          <w:sz w:val="24"/>
          <w:szCs w:val="24"/>
        </w:rPr>
        <w:t xml:space="preserve"> (2012) Normal sleep patterns in infants and children: a systematic review of observational studies. </w:t>
      </w:r>
      <w:r w:rsidRPr="00951ADC">
        <w:rPr>
          <w:rFonts w:ascii="Times New Roman" w:hAnsi="Times New Roman" w:cs="Times New Roman"/>
          <w:i/>
          <w:iCs/>
          <w:noProof/>
          <w:color w:val="FF0000"/>
          <w:sz w:val="24"/>
          <w:szCs w:val="24"/>
        </w:rPr>
        <w:t>Sleep Med</w:t>
      </w:r>
      <w:r w:rsidRPr="00951ADC">
        <w:rPr>
          <w:rFonts w:ascii="Times New Roman" w:hAnsi="Times New Roman" w:cs="Times New Roman"/>
          <w:noProof/>
          <w:color w:val="FF0000"/>
          <w:sz w:val="24"/>
          <w:szCs w:val="24"/>
        </w:rPr>
        <w:t xml:space="preserve"> </w:t>
      </w:r>
      <w:r w:rsidR="00DF7FCE" w:rsidRPr="00951ADC">
        <w:rPr>
          <w:rFonts w:ascii="Times New Roman" w:hAnsi="Times New Roman" w:cs="Times New Roman"/>
          <w:i/>
          <w:noProof/>
          <w:color w:val="FF0000"/>
          <w:sz w:val="24"/>
          <w:szCs w:val="24"/>
        </w:rPr>
        <w:t>Rev</w:t>
      </w:r>
      <w:r w:rsidR="00DF7FCE" w:rsidRPr="00951ADC">
        <w:rPr>
          <w:rFonts w:ascii="Times New Roman" w:hAnsi="Times New Roman" w:cs="Times New Roman"/>
          <w:noProof/>
          <w:color w:val="FF0000"/>
          <w:sz w:val="24"/>
          <w:szCs w:val="24"/>
        </w:rPr>
        <w:t xml:space="preserve"> </w:t>
      </w:r>
      <w:r w:rsidR="00466DE4" w:rsidRPr="00951ADC">
        <w:rPr>
          <w:rFonts w:ascii="Times New Roman" w:hAnsi="Times New Roman" w:cs="Times New Roman"/>
          <w:b/>
          <w:bCs/>
          <w:noProof/>
          <w:color w:val="FF0000"/>
          <w:sz w:val="24"/>
          <w:szCs w:val="24"/>
        </w:rPr>
        <w:t>16</w:t>
      </w:r>
      <w:r w:rsidRPr="00951ADC">
        <w:rPr>
          <w:rFonts w:ascii="Times New Roman" w:hAnsi="Times New Roman" w:cs="Times New Roman"/>
          <w:b/>
          <w:bCs/>
          <w:noProof/>
          <w:color w:val="FF0000"/>
          <w:sz w:val="24"/>
          <w:szCs w:val="24"/>
        </w:rPr>
        <w:t>,</w:t>
      </w:r>
      <w:r w:rsidR="00466DE4" w:rsidRPr="00951ADC">
        <w:rPr>
          <w:rFonts w:ascii="Times New Roman" w:hAnsi="Times New Roman" w:cs="Times New Roman"/>
          <w:noProof/>
          <w:color w:val="FF0000"/>
          <w:sz w:val="24"/>
          <w:szCs w:val="24"/>
        </w:rPr>
        <w:t xml:space="preserve"> 213</w:t>
      </w:r>
      <w:r w:rsidRPr="00951ADC">
        <w:rPr>
          <w:rFonts w:ascii="Times New Roman" w:hAnsi="Times New Roman" w:cs="Times New Roman"/>
          <w:noProof/>
          <w:color w:val="FF0000"/>
          <w:sz w:val="24"/>
          <w:szCs w:val="24"/>
        </w:rPr>
        <w:t>–</w:t>
      </w:r>
      <w:r w:rsidR="00466DE4" w:rsidRPr="00951ADC">
        <w:rPr>
          <w:rFonts w:ascii="Times New Roman" w:hAnsi="Times New Roman" w:cs="Times New Roman"/>
          <w:noProof/>
          <w:color w:val="FF0000"/>
          <w:sz w:val="24"/>
          <w:szCs w:val="24"/>
        </w:rPr>
        <w:t>222</w:t>
      </w:r>
      <w:r w:rsidRPr="00951ADC">
        <w:rPr>
          <w:rFonts w:ascii="Times New Roman" w:hAnsi="Times New Roman" w:cs="Times New Roman"/>
          <w:noProof/>
          <w:color w:val="FF0000"/>
          <w:sz w:val="24"/>
          <w:szCs w:val="24"/>
        </w:rPr>
        <w:t>.</w:t>
      </w:r>
    </w:p>
    <w:p w14:paraId="452D755D"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24502">
        <w:rPr>
          <w:rFonts w:ascii="Times New Roman" w:hAnsi="Times New Roman" w:cs="Times New Roman"/>
          <w:noProof/>
          <w:sz w:val="24"/>
          <w:szCs w:val="24"/>
        </w:rPr>
        <w:t>12.</w:t>
      </w:r>
      <w:r w:rsidRPr="00724502">
        <w:rPr>
          <w:rFonts w:ascii="Times New Roman" w:hAnsi="Times New Roman" w:cs="Times New Roman"/>
          <w:noProof/>
          <w:sz w:val="24"/>
          <w:szCs w:val="24"/>
        </w:rPr>
        <w:tab/>
        <w:t>Yan J, Liu L</w:t>
      </w:r>
      <w:r>
        <w:rPr>
          <w:rFonts w:ascii="Times New Roman" w:hAnsi="Times New Roman" w:cs="Times New Roman"/>
          <w:noProof/>
          <w:sz w:val="24"/>
          <w:szCs w:val="24"/>
        </w:rPr>
        <w:t xml:space="preserve">, Zhu </w:t>
      </w:r>
      <w:r w:rsidRPr="00724502">
        <w:rPr>
          <w:rFonts w:ascii="Times New Roman" w:hAnsi="Times New Roman" w:cs="Times New Roman"/>
          <w:noProof/>
          <w:sz w:val="24"/>
          <w:szCs w:val="24"/>
        </w:rPr>
        <w:t>Y</w:t>
      </w:r>
      <w:r>
        <w:rPr>
          <w:rFonts w:ascii="Times New Roman" w:hAnsi="Times New Roman" w:cs="Times New Roman"/>
          <w:noProof/>
          <w:sz w:val="24"/>
          <w:szCs w:val="24"/>
        </w:rPr>
        <w:t xml:space="preserve"> </w:t>
      </w:r>
      <w:r w:rsidRPr="003228F9">
        <w:rPr>
          <w:rFonts w:ascii="Times New Roman" w:hAnsi="Times New Roman" w:cs="Times New Roman"/>
          <w:i/>
          <w:noProof/>
          <w:sz w:val="24"/>
          <w:szCs w:val="24"/>
        </w:rPr>
        <w:t>et a</w:t>
      </w:r>
      <w:r w:rsidRPr="00D35C59">
        <w:rPr>
          <w:rFonts w:ascii="Times New Roman" w:hAnsi="Times New Roman" w:cs="Times New Roman"/>
          <w:i/>
          <w:noProof/>
          <w:sz w:val="24"/>
          <w:szCs w:val="24"/>
        </w:rPr>
        <w:t>l.</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(2014) </w:t>
      </w:r>
      <w:r w:rsidRPr="00724502">
        <w:rPr>
          <w:rFonts w:ascii="Times New Roman" w:hAnsi="Times New Roman" w:cs="Times New Roman"/>
          <w:noProof/>
          <w:sz w:val="24"/>
          <w:szCs w:val="24"/>
        </w:rPr>
        <w:t xml:space="preserve">The association between breastfeeding and childhood obesity: a meta-analysis. </w:t>
      </w:r>
      <w:r w:rsidRPr="00724502">
        <w:rPr>
          <w:rFonts w:ascii="Times New Roman" w:hAnsi="Times New Roman" w:cs="Times New Roman"/>
          <w:i/>
          <w:iCs/>
          <w:noProof/>
          <w:sz w:val="24"/>
          <w:szCs w:val="24"/>
        </w:rPr>
        <w:t>BMC Public Health</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14,</w:t>
      </w:r>
      <w:r w:rsidRPr="00724502">
        <w:rPr>
          <w:rFonts w:ascii="Times New Roman" w:hAnsi="Times New Roman" w:cs="Times New Roman"/>
          <w:noProof/>
          <w:sz w:val="24"/>
          <w:szCs w:val="24"/>
        </w:rPr>
        <w:t xml:space="preserve"> 1267.</w:t>
      </w:r>
    </w:p>
    <w:p w14:paraId="7BFC3CFC"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24502">
        <w:rPr>
          <w:rFonts w:ascii="Times New Roman" w:hAnsi="Times New Roman" w:cs="Times New Roman"/>
          <w:noProof/>
          <w:sz w:val="24"/>
          <w:szCs w:val="24"/>
        </w:rPr>
        <w:t>13.</w:t>
      </w:r>
      <w:r w:rsidRPr="00724502">
        <w:rPr>
          <w:rFonts w:ascii="Times New Roman" w:hAnsi="Times New Roman" w:cs="Times New Roman"/>
          <w:noProof/>
          <w:sz w:val="24"/>
          <w:szCs w:val="24"/>
        </w:rPr>
        <w:tab/>
        <w:t>Novotny</w:t>
      </w:r>
      <w:r>
        <w:rPr>
          <w:rFonts w:ascii="Times New Roman" w:hAnsi="Times New Roman" w:cs="Times New Roman"/>
          <w:noProof/>
          <w:sz w:val="24"/>
          <w:szCs w:val="24"/>
        </w:rPr>
        <w:t xml:space="preserve"> R, Coleman P, Tenorio L</w:t>
      </w:r>
      <w:r w:rsidRPr="00724502">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(2007) </w:t>
      </w:r>
      <w:r w:rsidRPr="00724502">
        <w:rPr>
          <w:rFonts w:ascii="Times New Roman" w:hAnsi="Times New Roman" w:cs="Times New Roman"/>
          <w:noProof/>
          <w:sz w:val="24"/>
          <w:szCs w:val="24"/>
        </w:rPr>
        <w:t xml:space="preserve">Breastfeeding is associated with lower body mass index among children of the Commonwealth of the Northern Mariana Islands. </w:t>
      </w:r>
      <w:r>
        <w:rPr>
          <w:rFonts w:ascii="Times New Roman" w:hAnsi="Times New Roman" w:cs="Times New Roman"/>
          <w:i/>
          <w:iCs/>
          <w:noProof/>
          <w:sz w:val="24"/>
          <w:szCs w:val="24"/>
        </w:rPr>
        <w:t>J</w:t>
      </w:r>
      <w:r w:rsidRPr="00724502">
        <w:rPr>
          <w:rFonts w:ascii="Times New Roman" w:hAnsi="Times New Roman" w:cs="Times New Roman"/>
          <w:i/>
          <w:iCs/>
          <w:noProof/>
          <w:sz w:val="24"/>
          <w:szCs w:val="24"/>
        </w:rPr>
        <w:t xml:space="preserve"> Am Diet Assoc</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107,</w:t>
      </w:r>
      <w:r w:rsidRPr="00724502">
        <w:rPr>
          <w:rFonts w:ascii="Times New Roman" w:hAnsi="Times New Roman" w:cs="Times New Roman"/>
          <w:noProof/>
          <w:sz w:val="24"/>
          <w:szCs w:val="24"/>
        </w:rPr>
        <w:t xml:space="preserve"> 1743–</w:t>
      </w:r>
      <w:r>
        <w:rPr>
          <w:rFonts w:ascii="Times New Roman" w:hAnsi="Times New Roman" w:cs="Times New Roman"/>
          <w:noProof/>
          <w:sz w:val="24"/>
          <w:szCs w:val="24"/>
        </w:rPr>
        <w:t>1746</w:t>
      </w:r>
      <w:r w:rsidRPr="00724502">
        <w:rPr>
          <w:rFonts w:ascii="Times New Roman" w:hAnsi="Times New Roman" w:cs="Times New Roman"/>
          <w:noProof/>
          <w:sz w:val="24"/>
          <w:szCs w:val="24"/>
        </w:rPr>
        <w:t>.</w:t>
      </w:r>
    </w:p>
    <w:p w14:paraId="16BC8556"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14.</w:t>
      </w:r>
      <w:r>
        <w:rPr>
          <w:rFonts w:ascii="Times New Roman" w:hAnsi="Times New Roman" w:cs="Times New Roman"/>
          <w:noProof/>
          <w:sz w:val="24"/>
          <w:szCs w:val="24"/>
        </w:rPr>
        <w:tab/>
        <w:t>Skinner</w:t>
      </w:r>
      <w:r w:rsidRPr="00724502">
        <w:rPr>
          <w:rFonts w:ascii="Times New Roman" w:hAnsi="Times New Roman" w:cs="Times New Roman"/>
          <w:noProof/>
          <w:sz w:val="24"/>
          <w:szCs w:val="24"/>
        </w:rPr>
        <w:t xml:space="preserve"> J</w:t>
      </w:r>
      <w:r>
        <w:rPr>
          <w:rFonts w:ascii="Times New Roman" w:hAnsi="Times New Roman" w:cs="Times New Roman"/>
          <w:noProof/>
          <w:sz w:val="24"/>
          <w:szCs w:val="24"/>
        </w:rPr>
        <w:t>D, Bounds</w:t>
      </w:r>
      <w:r w:rsidRPr="00724502">
        <w:rPr>
          <w:rFonts w:ascii="Times New Roman" w:hAnsi="Times New Roman" w:cs="Times New Roman"/>
          <w:noProof/>
          <w:sz w:val="24"/>
          <w:szCs w:val="24"/>
        </w:rPr>
        <w:t xml:space="preserve"> W</w:t>
      </w:r>
      <w:r>
        <w:rPr>
          <w:rFonts w:ascii="Times New Roman" w:hAnsi="Times New Roman" w:cs="Times New Roman"/>
          <w:noProof/>
          <w:sz w:val="24"/>
          <w:szCs w:val="24"/>
        </w:rPr>
        <w:t>, Carruth</w:t>
      </w:r>
      <w:r w:rsidRPr="00724502">
        <w:rPr>
          <w:rFonts w:ascii="Times New Roman" w:hAnsi="Times New Roman" w:cs="Times New Roman"/>
          <w:noProof/>
          <w:sz w:val="24"/>
          <w:szCs w:val="24"/>
        </w:rPr>
        <w:t xml:space="preserve"> BR</w:t>
      </w:r>
      <w:r>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Pr>
          <w:rFonts w:ascii="Times New Roman" w:hAnsi="Times New Roman" w:cs="Times New Roman"/>
          <w:noProof/>
          <w:sz w:val="24"/>
          <w:szCs w:val="24"/>
        </w:rPr>
        <w:t xml:space="preserve"> (2004) </w:t>
      </w:r>
      <w:r w:rsidRPr="00724502">
        <w:rPr>
          <w:rFonts w:ascii="Times New Roman" w:hAnsi="Times New Roman" w:cs="Times New Roman"/>
          <w:noProof/>
          <w:sz w:val="24"/>
          <w:szCs w:val="24"/>
        </w:rPr>
        <w:t xml:space="preserve">Predictors of children’s body mass index: a longitudinal study of diet and growth in children aged 2–8 y. </w:t>
      </w:r>
      <w:r w:rsidRPr="00951ADC">
        <w:rPr>
          <w:rFonts w:ascii="Times New Roman" w:hAnsi="Times New Roman" w:cs="Times New Roman"/>
          <w:i/>
          <w:noProof/>
          <w:color w:val="FF0000"/>
          <w:sz w:val="24"/>
          <w:szCs w:val="24"/>
        </w:rPr>
        <w:t xml:space="preserve">Int J Obes Relat Metab Disord </w:t>
      </w:r>
      <w:r w:rsidRPr="00724502">
        <w:rPr>
          <w:rFonts w:ascii="Times New Roman" w:hAnsi="Times New Roman" w:cs="Times New Roman"/>
          <w:b/>
          <w:bCs/>
          <w:noProof/>
          <w:sz w:val="24"/>
          <w:szCs w:val="24"/>
        </w:rPr>
        <w:t>28,</w:t>
      </w:r>
      <w:r>
        <w:rPr>
          <w:rFonts w:ascii="Times New Roman" w:hAnsi="Times New Roman" w:cs="Times New Roman"/>
          <w:noProof/>
          <w:sz w:val="24"/>
          <w:szCs w:val="24"/>
        </w:rPr>
        <w:t xml:space="preserve"> 476–482</w:t>
      </w:r>
      <w:r w:rsidRPr="00724502">
        <w:rPr>
          <w:rFonts w:ascii="Times New Roman" w:hAnsi="Times New Roman" w:cs="Times New Roman"/>
          <w:noProof/>
          <w:sz w:val="24"/>
          <w:szCs w:val="24"/>
        </w:rPr>
        <w:t>.</w:t>
      </w:r>
    </w:p>
    <w:p w14:paraId="5953FC66" w14:textId="270CCA0F"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15.</w:t>
      </w:r>
      <w:r>
        <w:rPr>
          <w:rFonts w:ascii="Times New Roman" w:hAnsi="Times New Roman" w:cs="Times New Roman"/>
          <w:noProof/>
          <w:sz w:val="24"/>
          <w:szCs w:val="24"/>
        </w:rPr>
        <w:tab/>
        <w:t>Ong KK</w:t>
      </w:r>
      <w:r w:rsidRPr="00724502">
        <w:rPr>
          <w:rFonts w:ascii="Times New Roman" w:hAnsi="Times New Roman" w:cs="Times New Roman"/>
          <w:noProof/>
          <w:sz w:val="24"/>
          <w:szCs w:val="24"/>
        </w:rPr>
        <w:t>, Emmett P</w:t>
      </w:r>
      <w:r>
        <w:rPr>
          <w:rFonts w:ascii="Times New Roman" w:hAnsi="Times New Roman" w:cs="Times New Roman"/>
          <w:noProof/>
          <w:sz w:val="24"/>
          <w:szCs w:val="24"/>
        </w:rPr>
        <w:t>M</w:t>
      </w:r>
      <w:r w:rsidRPr="00724502">
        <w:rPr>
          <w:rFonts w:ascii="Times New Roman" w:hAnsi="Times New Roman" w:cs="Times New Roman"/>
          <w:noProof/>
          <w:sz w:val="24"/>
          <w:szCs w:val="24"/>
        </w:rPr>
        <w:t>, Noble</w:t>
      </w:r>
      <w:r>
        <w:rPr>
          <w:rFonts w:ascii="Times New Roman" w:hAnsi="Times New Roman" w:cs="Times New Roman"/>
          <w:noProof/>
          <w:sz w:val="24"/>
          <w:szCs w:val="24"/>
        </w:rPr>
        <w:t xml:space="preserve"> </w:t>
      </w:r>
      <w:r w:rsidRPr="00724502">
        <w:rPr>
          <w:rFonts w:ascii="Times New Roman" w:hAnsi="Times New Roman" w:cs="Times New Roman"/>
          <w:noProof/>
          <w:sz w:val="24"/>
          <w:szCs w:val="24"/>
        </w:rPr>
        <w:t>S</w:t>
      </w:r>
      <w:r>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(2006) </w:t>
      </w:r>
      <w:r w:rsidRPr="00724502">
        <w:rPr>
          <w:rFonts w:ascii="Times New Roman" w:hAnsi="Times New Roman" w:cs="Times New Roman"/>
          <w:noProof/>
          <w:sz w:val="24"/>
          <w:szCs w:val="24"/>
        </w:rPr>
        <w:t xml:space="preserve">Dietary </w:t>
      </w:r>
      <w:r>
        <w:rPr>
          <w:rFonts w:ascii="Times New Roman" w:hAnsi="Times New Roman" w:cs="Times New Roman"/>
          <w:noProof/>
          <w:sz w:val="24"/>
          <w:szCs w:val="24"/>
        </w:rPr>
        <w:t>e</w:t>
      </w:r>
      <w:r w:rsidRPr="00724502">
        <w:rPr>
          <w:rFonts w:ascii="Times New Roman" w:hAnsi="Times New Roman" w:cs="Times New Roman"/>
          <w:noProof/>
          <w:sz w:val="24"/>
          <w:szCs w:val="24"/>
        </w:rPr>
        <w:t xml:space="preserve">nergy </w:t>
      </w:r>
      <w:r>
        <w:rPr>
          <w:rFonts w:ascii="Times New Roman" w:hAnsi="Times New Roman" w:cs="Times New Roman"/>
          <w:noProof/>
          <w:sz w:val="24"/>
          <w:szCs w:val="24"/>
        </w:rPr>
        <w:t>i</w:t>
      </w:r>
      <w:r w:rsidRPr="00724502">
        <w:rPr>
          <w:rFonts w:ascii="Times New Roman" w:hAnsi="Times New Roman" w:cs="Times New Roman"/>
          <w:noProof/>
          <w:sz w:val="24"/>
          <w:szCs w:val="24"/>
        </w:rPr>
        <w:t xml:space="preserve">ntake at the </w:t>
      </w:r>
      <w:r>
        <w:rPr>
          <w:rFonts w:ascii="Times New Roman" w:hAnsi="Times New Roman" w:cs="Times New Roman"/>
          <w:noProof/>
          <w:sz w:val="24"/>
          <w:szCs w:val="24"/>
        </w:rPr>
        <w:t>a</w:t>
      </w:r>
      <w:r w:rsidRPr="00724502">
        <w:rPr>
          <w:rFonts w:ascii="Times New Roman" w:hAnsi="Times New Roman" w:cs="Times New Roman"/>
          <w:noProof/>
          <w:sz w:val="24"/>
          <w:szCs w:val="24"/>
        </w:rPr>
        <w:t xml:space="preserve">ge of 4 </w:t>
      </w:r>
      <w:r>
        <w:rPr>
          <w:rFonts w:ascii="Times New Roman" w:hAnsi="Times New Roman" w:cs="Times New Roman"/>
          <w:noProof/>
          <w:sz w:val="24"/>
          <w:szCs w:val="24"/>
        </w:rPr>
        <w:t xml:space="preserve">months </w:t>
      </w:r>
      <w:r>
        <w:rPr>
          <w:rFonts w:ascii="Times New Roman" w:hAnsi="Times New Roman" w:cs="Times New Roman"/>
          <w:noProof/>
          <w:sz w:val="24"/>
          <w:szCs w:val="24"/>
        </w:rPr>
        <w:lastRenderedPageBreak/>
        <w:t>p</w:t>
      </w:r>
      <w:r w:rsidRPr="00724502">
        <w:rPr>
          <w:rFonts w:ascii="Times New Roman" w:hAnsi="Times New Roman" w:cs="Times New Roman"/>
          <w:noProof/>
          <w:sz w:val="24"/>
          <w:szCs w:val="24"/>
        </w:rPr>
        <w:t xml:space="preserve">redicts </w:t>
      </w:r>
      <w:r>
        <w:rPr>
          <w:rFonts w:ascii="Times New Roman" w:hAnsi="Times New Roman" w:cs="Times New Roman"/>
          <w:noProof/>
          <w:sz w:val="24"/>
          <w:szCs w:val="24"/>
        </w:rPr>
        <w:t>p</w:t>
      </w:r>
      <w:r w:rsidRPr="00724502">
        <w:rPr>
          <w:rFonts w:ascii="Times New Roman" w:hAnsi="Times New Roman" w:cs="Times New Roman"/>
          <w:noProof/>
          <w:sz w:val="24"/>
          <w:szCs w:val="24"/>
        </w:rPr>
        <w:t xml:space="preserve">ostnatal </w:t>
      </w:r>
      <w:r>
        <w:rPr>
          <w:rFonts w:ascii="Times New Roman" w:hAnsi="Times New Roman" w:cs="Times New Roman"/>
          <w:noProof/>
          <w:sz w:val="24"/>
          <w:szCs w:val="24"/>
        </w:rPr>
        <w:t>w</w:t>
      </w:r>
      <w:r w:rsidRPr="00724502">
        <w:rPr>
          <w:rFonts w:ascii="Times New Roman" w:hAnsi="Times New Roman" w:cs="Times New Roman"/>
          <w:noProof/>
          <w:sz w:val="24"/>
          <w:szCs w:val="24"/>
        </w:rPr>
        <w:t xml:space="preserve">eight </w:t>
      </w:r>
      <w:r>
        <w:rPr>
          <w:rFonts w:ascii="Times New Roman" w:hAnsi="Times New Roman" w:cs="Times New Roman"/>
          <w:noProof/>
          <w:sz w:val="24"/>
          <w:szCs w:val="24"/>
        </w:rPr>
        <w:t>gain and c</w:t>
      </w:r>
      <w:r w:rsidRPr="00724502">
        <w:rPr>
          <w:rFonts w:ascii="Times New Roman" w:hAnsi="Times New Roman" w:cs="Times New Roman"/>
          <w:noProof/>
          <w:sz w:val="24"/>
          <w:szCs w:val="24"/>
        </w:rPr>
        <w:t xml:space="preserve">hildhood </w:t>
      </w:r>
      <w:r>
        <w:rPr>
          <w:rFonts w:ascii="Times New Roman" w:hAnsi="Times New Roman" w:cs="Times New Roman"/>
          <w:noProof/>
          <w:sz w:val="24"/>
          <w:szCs w:val="24"/>
        </w:rPr>
        <w:t>body m</w:t>
      </w:r>
      <w:r w:rsidRPr="00724502">
        <w:rPr>
          <w:rFonts w:ascii="Times New Roman" w:hAnsi="Times New Roman" w:cs="Times New Roman"/>
          <w:noProof/>
          <w:sz w:val="24"/>
          <w:szCs w:val="24"/>
        </w:rPr>
        <w:t xml:space="preserve">ass </w:t>
      </w:r>
      <w:r>
        <w:rPr>
          <w:rFonts w:ascii="Times New Roman" w:hAnsi="Times New Roman" w:cs="Times New Roman"/>
          <w:noProof/>
          <w:sz w:val="24"/>
          <w:szCs w:val="24"/>
        </w:rPr>
        <w:t>i</w:t>
      </w:r>
      <w:r w:rsidRPr="00724502">
        <w:rPr>
          <w:rFonts w:ascii="Times New Roman" w:hAnsi="Times New Roman" w:cs="Times New Roman"/>
          <w:noProof/>
          <w:sz w:val="24"/>
          <w:szCs w:val="24"/>
        </w:rPr>
        <w:t xml:space="preserve">ndex. </w:t>
      </w:r>
      <w:r w:rsidRPr="00724502">
        <w:rPr>
          <w:rFonts w:ascii="Times New Roman" w:hAnsi="Times New Roman" w:cs="Times New Roman"/>
          <w:i/>
          <w:iCs/>
          <w:noProof/>
          <w:sz w:val="24"/>
          <w:szCs w:val="24"/>
        </w:rPr>
        <w:t>Pediatrics</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117,</w:t>
      </w:r>
      <w:r w:rsidR="009F3A8E">
        <w:rPr>
          <w:rFonts w:ascii="Times New Roman" w:hAnsi="Times New Roman" w:cs="Times New Roman"/>
          <w:noProof/>
          <w:sz w:val="24"/>
          <w:szCs w:val="24"/>
        </w:rPr>
        <w:t xml:space="preserve"> e503</w:t>
      </w:r>
      <w:r w:rsidRPr="00724502">
        <w:rPr>
          <w:rFonts w:ascii="Times New Roman" w:hAnsi="Times New Roman" w:cs="Times New Roman"/>
          <w:noProof/>
          <w:sz w:val="24"/>
          <w:szCs w:val="24"/>
        </w:rPr>
        <w:t>.</w:t>
      </w:r>
    </w:p>
    <w:p w14:paraId="0606ABD3" w14:textId="08F848FA" w:rsidR="001459A4" w:rsidRPr="00724502" w:rsidRDefault="00DC5338"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16.</w:t>
      </w:r>
      <w:r>
        <w:rPr>
          <w:rFonts w:ascii="Times New Roman" w:hAnsi="Times New Roman" w:cs="Times New Roman"/>
          <w:noProof/>
          <w:sz w:val="24"/>
          <w:szCs w:val="24"/>
        </w:rPr>
        <w:tab/>
        <w:t>Fonken</w:t>
      </w:r>
      <w:r w:rsidR="001459A4" w:rsidRPr="00724502">
        <w:rPr>
          <w:rFonts w:ascii="Times New Roman" w:hAnsi="Times New Roman" w:cs="Times New Roman"/>
          <w:noProof/>
          <w:sz w:val="24"/>
          <w:szCs w:val="24"/>
        </w:rPr>
        <w:t xml:space="preserve"> L</w:t>
      </w:r>
      <w:r w:rsidR="001459A4">
        <w:rPr>
          <w:rFonts w:ascii="Times New Roman" w:hAnsi="Times New Roman" w:cs="Times New Roman"/>
          <w:noProof/>
          <w:sz w:val="24"/>
          <w:szCs w:val="24"/>
        </w:rPr>
        <w:t>K, Workman JL, Walton JC</w:t>
      </w:r>
      <w:r w:rsidR="001459A4" w:rsidRPr="00724502">
        <w:rPr>
          <w:rFonts w:ascii="Times New Roman" w:hAnsi="Times New Roman" w:cs="Times New Roman"/>
          <w:noProof/>
          <w:sz w:val="24"/>
          <w:szCs w:val="24"/>
        </w:rPr>
        <w:t xml:space="preserve"> </w:t>
      </w:r>
      <w:r w:rsidR="001459A4" w:rsidRPr="00724502">
        <w:rPr>
          <w:rFonts w:ascii="Times New Roman" w:hAnsi="Times New Roman" w:cs="Times New Roman"/>
          <w:i/>
          <w:iCs/>
          <w:noProof/>
          <w:sz w:val="24"/>
          <w:szCs w:val="24"/>
        </w:rPr>
        <w:t>et al.</w:t>
      </w:r>
      <w:r w:rsidR="001459A4" w:rsidRPr="00724502">
        <w:rPr>
          <w:rFonts w:ascii="Times New Roman" w:hAnsi="Times New Roman" w:cs="Times New Roman"/>
          <w:noProof/>
          <w:sz w:val="24"/>
          <w:szCs w:val="24"/>
        </w:rPr>
        <w:t xml:space="preserve"> </w:t>
      </w:r>
      <w:r w:rsidR="001459A4">
        <w:rPr>
          <w:rFonts w:ascii="Times New Roman" w:hAnsi="Times New Roman" w:cs="Times New Roman"/>
          <w:noProof/>
          <w:sz w:val="24"/>
          <w:szCs w:val="24"/>
        </w:rPr>
        <w:t xml:space="preserve">(2010) </w:t>
      </w:r>
      <w:r w:rsidR="001459A4" w:rsidRPr="00724502">
        <w:rPr>
          <w:rFonts w:ascii="Times New Roman" w:hAnsi="Times New Roman" w:cs="Times New Roman"/>
          <w:noProof/>
          <w:sz w:val="24"/>
          <w:szCs w:val="24"/>
        </w:rPr>
        <w:t xml:space="preserve">Light at night increases body mass by shifting the time of food intake. </w:t>
      </w:r>
      <w:r w:rsidR="001459A4">
        <w:rPr>
          <w:rFonts w:ascii="Times New Roman" w:hAnsi="Times New Roman" w:cs="Times New Roman"/>
          <w:i/>
          <w:iCs/>
          <w:noProof/>
          <w:sz w:val="24"/>
          <w:szCs w:val="24"/>
        </w:rPr>
        <w:t>Proc</w:t>
      </w:r>
      <w:r w:rsidR="001459A4" w:rsidRPr="00724502">
        <w:rPr>
          <w:rFonts w:ascii="Times New Roman" w:hAnsi="Times New Roman" w:cs="Times New Roman"/>
          <w:i/>
          <w:iCs/>
          <w:noProof/>
          <w:sz w:val="24"/>
          <w:szCs w:val="24"/>
        </w:rPr>
        <w:t xml:space="preserve"> Natl Acad Sci</w:t>
      </w:r>
      <w:r w:rsidR="001459A4" w:rsidRPr="00724502">
        <w:rPr>
          <w:rFonts w:ascii="Times New Roman" w:hAnsi="Times New Roman" w:cs="Times New Roman"/>
          <w:noProof/>
          <w:sz w:val="24"/>
          <w:szCs w:val="24"/>
        </w:rPr>
        <w:t xml:space="preserve"> </w:t>
      </w:r>
      <w:r w:rsidR="001459A4" w:rsidRPr="00724502">
        <w:rPr>
          <w:rFonts w:ascii="Times New Roman" w:hAnsi="Times New Roman" w:cs="Times New Roman"/>
          <w:b/>
          <w:bCs/>
          <w:noProof/>
          <w:sz w:val="24"/>
          <w:szCs w:val="24"/>
        </w:rPr>
        <w:t>107,</w:t>
      </w:r>
      <w:r w:rsidR="001459A4">
        <w:rPr>
          <w:rFonts w:ascii="Times New Roman" w:hAnsi="Times New Roman" w:cs="Times New Roman"/>
          <w:noProof/>
          <w:sz w:val="24"/>
          <w:szCs w:val="24"/>
        </w:rPr>
        <w:t xml:space="preserve"> 18664–18669</w:t>
      </w:r>
      <w:r w:rsidR="001459A4" w:rsidRPr="00724502">
        <w:rPr>
          <w:rFonts w:ascii="Times New Roman" w:hAnsi="Times New Roman" w:cs="Times New Roman"/>
          <w:noProof/>
          <w:sz w:val="24"/>
          <w:szCs w:val="24"/>
        </w:rPr>
        <w:t>.</w:t>
      </w:r>
    </w:p>
    <w:p w14:paraId="48FA7E2A"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17.</w:t>
      </w:r>
      <w:r>
        <w:rPr>
          <w:rFonts w:ascii="Times New Roman" w:hAnsi="Times New Roman" w:cs="Times New Roman"/>
          <w:noProof/>
          <w:sz w:val="24"/>
          <w:szCs w:val="24"/>
        </w:rPr>
        <w:tab/>
        <w:t>Arble</w:t>
      </w:r>
      <w:r w:rsidRPr="00724502">
        <w:rPr>
          <w:rFonts w:ascii="Times New Roman" w:hAnsi="Times New Roman" w:cs="Times New Roman"/>
          <w:noProof/>
          <w:sz w:val="24"/>
          <w:szCs w:val="24"/>
        </w:rPr>
        <w:t xml:space="preserve"> D</w:t>
      </w:r>
      <w:r>
        <w:rPr>
          <w:rFonts w:ascii="Times New Roman" w:hAnsi="Times New Roman" w:cs="Times New Roman"/>
          <w:noProof/>
          <w:sz w:val="24"/>
          <w:szCs w:val="24"/>
        </w:rPr>
        <w:t>M, Bass J</w:t>
      </w:r>
      <w:r w:rsidRPr="00724502">
        <w:rPr>
          <w:rFonts w:ascii="Times New Roman" w:hAnsi="Times New Roman" w:cs="Times New Roman"/>
          <w:noProof/>
          <w:sz w:val="24"/>
          <w:szCs w:val="24"/>
        </w:rPr>
        <w:t>, Laposky AD</w:t>
      </w:r>
      <w:r>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Pr>
          <w:rFonts w:ascii="Times New Roman" w:hAnsi="Times New Roman" w:cs="Times New Roman"/>
          <w:i/>
          <w:iCs/>
          <w:noProof/>
          <w:sz w:val="24"/>
          <w:szCs w:val="24"/>
        </w:rPr>
        <w:t xml:space="preserve"> </w:t>
      </w:r>
      <w:r>
        <w:rPr>
          <w:rFonts w:ascii="Times New Roman" w:hAnsi="Times New Roman" w:cs="Times New Roman"/>
          <w:iCs/>
          <w:noProof/>
          <w:sz w:val="24"/>
          <w:szCs w:val="24"/>
        </w:rPr>
        <w:t xml:space="preserve">(2009) </w:t>
      </w:r>
      <w:r w:rsidRPr="00724502">
        <w:rPr>
          <w:rFonts w:ascii="Times New Roman" w:hAnsi="Times New Roman" w:cs="Times New Roman"/>
          <w:noProof/>
          <w:sz w:val="24"/>
          <w:szCs w:val="24"/>
        </w:rPr>
        <w:t xml:space="preserve">Circadian </w:t>
      </w:r>
      <w:r>
        <w:rPr>
          <w:rFonts w:ascii="Times New Roman" w:hAnsi="Times New Roman" w:cs="Times New Roman"/>
          <w:noProof/>
          <w:sz w:val="24"/>
          <w:szCs w:val="24"/>
        </w:rPr>
        <w:t>t</w:t>
      </w:r>
      <w:r w:rsidRPr="00724502">
        <w:rPr>
          <w:rFonts w:ascii="Times New Roman" w:hAnsi="Times New Roman" w:cs="Times New Roman"/>
          <w:noProof/>
          <w:sz w:val="24"/>
          <w:szCs w:val="24"/>
        </w:rPr>
        <w:t xml:space="preserve">iming of </w:t>
      </w:r>
      <w:r>
        <w:rPr>
          <w:rFonts w:ascii="Times New Roman" w:hAnsi="Times New Roman" w:cs="Times New Roman"/>
          <w:noProof/>
          <w:sz w:val="24"/>
          <w:szCs w:val="24"/>
        </w:rPr>
        <w:t>f</w:t>
      </w:r>
      <w:r w:rsidRPr="00724502">
        <w:rPr>
          <w:rFonts w:ascii="Times New Roman" w:hAnsi="Times New Roman" w:cs="Times New Roman"/>
          <w:noProof/>
          <w:sz w:val="24"/>
          <w:szCs w:val="24"/>
        </w:rPr>
        <w:t xml:space="preserve">ood </w:t>
      </w:r>
      <w:r>
        <w:rPr>
          <w:rFonts w:ascii="Times New Roman" w:hAnsi="Times New Roman" w:cs="Times New Roman"/>
          <w:noProof/>
          <w:sz w:val="24"/>
          <w:szCs w:val="24"/>
        </w:rPr>
        <w:t>intake contributes to w</w:t>
      </w:r>
      <w:r w:rsidRPr="00724502">
        <w:rPr>
          <w:rFonts w:ascii="Times New Roman" w:hAnsi="Times New Roman" w:cs="Times New Roman"/>
          <w:noProof/>
          <w:sz w:val="24"/>
          <w:szCs w:val="24"/>
        </w:rPr>
        <w:t xml:space="preserve">eight </w:t>
      </w:r>
      <w:r>
        <w:rPr>
          <w:rFonts w:ascii="Times New Roman" w:hAnsi="Times New Roman" w:cs="Times New Roman"/>
          <w:noProof/>
          <w:sz w:val="24"/>
          <w:szCs w:val="24"/>
        </w:rPr>
        <w:t>g</w:t>
      </w:r>
      <w:r w:rsidRPr="00724502">
        <w:rPr>
          <w:rFonts w:ascii="Times New Roman" w:hAnsi="Times New Roman" w:cs="Times New Roman"/>
          <w:noProof/>
          <w:sz w:val="24"/>
          <w:szCs w:val="24"/>
        </w:rPr>
        <w:t xml:space="preserve">ain. </w:t>
      </w:r>
      <w:r w:rsidRPr="00724502">
        <w:rPr>
          <w:rFonts w:ascii="Times New Roman" w:hAnsi="Times New Roman" w:cs="Times New Roman"/>
          <w:i/>
          <w:iCs/>
          <w:noProof/>
          <w:sz w:val="24"/>
          <w:szCs w:val="24"/>
        </w:rPr>
        <w:t>Obesity</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17,</w:t>
      </w:r>
      <w:r>
        <w:rPr>
          <w:rFonts w:ascii="Times New Roman" w:hAnsi="Times New Roman" w:cs="Times New Roman"/>
          <w:noProof/>
          <w:sz w:val="24"/>
          <w:szCs w:val="24"/>
        </w:rPr>
        <w:t xml:space="preserve"> 2100–2102</w:t>
      </w:r>
      <w:r w:rsidRPr="00724502">
        <w:rPr>
          <w:rFonts w:ascii="Times New Roman" w:hAnsi="Times New Roman" w:cs="Times New Roman"/>
          <w:noProof/>
          <w:sz w:val="24"/>
          <w:szCs w:val="24"/>
        </w:rPr>
        <w:t>.</w:t>
      </w:r>
    </w:p>
    <w:p w14:paraId="4CC6FA28"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18.</w:t>
      </w:r>
      <w:r>
        <w:rPr>
          <w:rFonts w:ascii="Times New Roman" w:hAnsi="Times New Roman" w:cs="Times New Roman"/>
          <w:noProof/>
          <w:sz w:val="24"/>
          <w:szCs w:val="24"/>
        </w:rPr>
        <w:tab/>
        <w:t>Gallant A</w:t>
      </w:r>
      <w:r w:rsidRPr="00724502">
        <w:rPr>
          <w:rFonts w:ascii="Times New Roman" w:hAnsi="Times New Roman" w:cs="Times New Roman"/>
          <w:noProof/>
          <w:sz w:val="24"/>
          <w:szCs w:val="24"/>
        </w:rPr>
        <w:t>R, Lundgren J</w:t>
      </w:r>
      <w:r>
        <w:rPr>
          <w:rFonts w:ascii="Times New Roman" w:hAnsi="Times New Roman" w:cs="Times New Roman"/>
          <w:noProof/>
          <w:sz w:val="24"/>
          <w:szCs w:val="24"/>
        </w:rPr>
        <w:t xml:space="preserve"> &amp; Drapeau</w:t>
      </w:r>
      <w:r w:rsidRPr="00724502">
        <w:rPr>
          <w:rFonts w:ascii="Times New Roman" w:hAnsi="Times New Roman" w:cs="Times New Roman"/>
          <w:noProof/>
          <w:sz w:val="24"/>
          <w:szCs w:val="24"/>
        </w:rPr>
        <w:t xml:space="preserve"> V</w:t>
      </w:r>
      <w:r>
        <w:rPr>
          <w:rFonts w:ascii="Times New Roman" w:hAnsi="Times New Roman" w:cs="Times New Roman"/>
          <w:noProof/>
          <w:sz w:val="24"/>
          <w:szCs w:val="24"/>
        </w:rPr>
        <w:t xml:space="preserve"> (2012)</w:t>
      </w:r>
      <w:r w:rsidRPr="00724502">
        <w:rPr>
          <w:rFonts w:ascii="Times New Roman" w:hAnsi="Times New Roman" w:cs="Times New Roman"/>
          <w:noProof/>
          <w:sz w:val="24"/>
          <w:szCs w:val="24"/>
        </w:rPr>
        <w:t xml:space="preserve"> The night-eating syndrome and obesity. </w:t>
      </w:r>
      <w:r w:rsidRPr="00724502">
        <w:rPr>
          <w:rFonts w:ascii="Times New Roman" w:hAnsi="Times New Roman" w:cs="Times New Roman"/>
          <w:i/>
          <w:iCs/>
          <w:noProof/>
          <w:sz w:val="24"/>
          <w:szCs w:val="24"/>
        </w:rPr>
        <w:t>Obes Rev</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13,</w:t>
      </w:r>
      <w:r>
        <w:rPr>
          <w:rFonts w:ascii="Times New Roman" w:hAnsi="Times New Roman" w:cs="Times New Roman"/>
          <w:noProof/>
          <w:sz w:val="24"/>
          <w:szCs w:val="24"/>
        </w:rPr>
        <w:t xml:space="preserve"> 528–536</w:t>
      </w:r>
      <w:r w:rsidRPr="00724502">
        <w:rPr>
          <w:rFonts w:ascii="Times New Roman" w:hAnsi="Times New Roman" w:cs="Times New Roman"/>
          <w:noProof/>
          <w:sz w:val="24"/>
          <w:szCs w:val="24"/>
        </w:rPr>
        <w:t>.</w:t>
      </w:r>
    </w:p>
    <w:p w14:paraId="0877B5C3"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19.</w:t>
      </w:r>
      <w:r>
        <w:rPr>
          <w:rFonts w:ascii="Times New Roman" w:hAnsi="Times New Roman" w:cs="Times New Roman"/>
          <w:noProof/>
          <w:sz w:val="24"/>
          <w:szCs w:val="24"/>
        </w:rPr>
        <w:tab/>
        <w:t>Ma Y, Bertone ER, Stanket III EJ</w:t>
      </w:r>
      <w:r w:rsidRPr="00724502">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Pr>
          <w:rFonts w:ascii="Times New Roman" w:hAnsi="Times New Roman" w:cs="Times New Roman"/>
          <w:noProof/>
          <w:sz w:val="24"/>
          <w:szCs w:val="24"/>
        </w:rPr>
        <w:t xml:space="preserve"> (2003) </w:t>
      </w:r>
      <w:r w:rsidRPr="00724502">
        <w:rPr>
          <w:rFonts w:ascii="Times New Roman" w:hAnsi="Times New Roman" w:cs="Times New Roman"/>
          <w:noProof/>
          <w:sz w:val="24"/>
          <w:szCs w:val="24"/>
        </w:rPr>
        <w:t xml:space="preserve">Association between eating patterns and obesity in a free-living US adult population. </w:t>
      </w:r>
      <w:r w:rsidRPr="00724502">
        <w:rPr>
          <w:rFonts w:ascii="Times New Roman" w:hAnsi="Times New Roman" w:cs="Times New Roman"/>
          <w:i/>
          <w:iCs/>
          <w:noProof/>
          <w:sz w:val="24"/>
          <w:szCs w:val="24"/>
        </w:rPr>
        <w:t>Am J Epidemiol</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158,</w:t>
      </w:r>
      <w:r>
        <w:rPr>
          <w:rFonts w:ascii="Times New Roman" w:hAnsi="Times New Roman" w:cs="Times New Roman"/>
          <w:noProof/>
          <w:sz w:val="24"/>
          <w:szCs w:val="24"/>
        </w:rPr>
        <w:t xml:space="preserve"> 85–92</w:t>
      </w:r>
      <w:r w:rsidRPr="00724502">
        <w:rPr>
          <w:rFonts w:ascii="Times New Roman" w:hAnsi="Times New Roman" w:cs="Times New Roman"/>
          <w:noProof/>
          <w:sz w:val="24"/>
          <w:szCs w:val="24"/>
        </w:rPr>
        <w:t>.</w:t>
      </w:r>
    </w:p>
    <w:p w14:paraId="7384BC86"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20.</w:t>
      </w:r>
      <w:r>
        <w:rPr>
          <w:rFonts w:ascii="Times New Roman" w:hAnsi="Times New Roman" w:cs="Times New Roman"/>
          <w:noProof/>
          <w:sz w:val="24"/>
          <w:szCs w:val="24"/>
        </w:rPr>
        <w:tab/>
        <w:t>Watanabe Y, Saito I, Henmi I</w:t>
      </w:r>
      <w:r w:rsidRPr="00724502">
        <w:rPr>
          <w:rFonts w:ascii="Times New Roman" w:hAnsi="Times New Roman" w:cs="Times New Roman"/>
          <w:noProof/>
          <w:sz w:val="24"/>
          <w:szCs w:val="24"/>
        </w:rPr>
        <w:t xml:space="preserve"> </w:t>
      </w:r>
      <w:r>
        <w:rPr>
          <w:rFonts w:ascii="Times New Roman" w:hAnsi="Times New Roman" w:cs="Times New Roman"/>
          <w:i/>
          <w:iCs/>
          <w:noProof/>
          <w:sz w:val="24"/>
          <w:szCs w:val="24"/>
        </w:rPr>
        <w:t>et al</w:t>
      </w:r>
      <w:r w:rsidRPr="00724502">
        <w:rPr>
          <w:rFonts w:ascii="Times New Roman" w:hAnsi="Times New Roman" w:cs="Times New Roman"/>
          <w:i/>
          <w:iCs/>
          <w:noProof/>
          <w:sz w:val="24"/>
          <w:szCs w:val="24"/>
        </w:rPr>
        <w:t>.</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(2014) </w:t>
      </w:r>
      <w:r w:rsidRPr="00724502">
        <w:rPr>
          <w:rFonts w:ascii="Times New Roman" w:hAnsi="Times New Roman" w:cs="Times New Roman"/>
          <w:noProof/>
          <w:sz w:val="24"/>
          <w:szCs w:val="24"/>
        </w:rPr>
        <w:t>Skipping</w:t>
      </w:r>
      <w:r>
        <w:rPr>
          <w:rFonts w:ascii="Times New Roman" w:hAnsi="Times New Roman" w:cs="Times New Roman"/>
          <w:noProof/>
          <w:sz w:val="24"/>
          <w:szCs w:val="24"/>
        </w:rPr>
        <w:t xml:space="preserve"> b</w:t>
      </w:r>
      <w:r w:rsidRPr="00724502">
        <w:rPr>
          <w:rFonts w:ascii="Times New Roman" w:hAnsi="Times New Roman" w:cs="Times New Roman"/>
          <w:noProof/>
          <w:sz w:val="24"/>
          <w:szCs w:val="24"/>
        </w:rPr>
        <w:t xml:space="preserve">reakfast is </w:t>
      </w:r>
      <w:r>
        <w:rPr>
          <w:rFonts w:ascii="Times New Roman" w:hAnsi="Times New Roman" w:cs="Times New Roman"/>
          <w:noProof/>
          <w:sz w:val="24"/>
          <w:szCs w:val="24"/>
        </w:rPr>
        <w:t>c</w:t>
      </w:r>
      <w:r w:rsidRPr="00724502">
        <w:rPr>
          <w:rFonts w:ascii="Times New Roman" w:hAnsi="Times New Roman" w:cs="Times New Roman"/>
          <w:noProof/>
          <w:sz w:val="24"/>
          <w:szCs w:val="24"/>
        </w:rPr>
        <w:t xml:space="preserve">orrelated with </w:t>
      </w:r>
      <w:r>
        <w:rPr>
          <w:rFonts w:ascii="Times New Roman" w:hAnsi="Times New Roman" w:cs="Times New Roman"/>
          <w:noProof/>
          <w:sz w:val="24"/>
          <w:szCs w:val="24"/>
        </w:rPr>
        <w:t>o</w:t>
      </w:r>
      <w:r w:rsidRPr="00724502">
        <w:rPr>
          <w:rFonts w:ascii="Times New Roman" w:hAnsi="Times New Roman" w:cs="Times New Roman"/>
          <w:noProof/>
          <w:sz w:val="24"/>
          <w:szCs w:val="24"/>
        </w:rPr>
        <w:t xml:space="preserve">besity. </w:t>
      </w:r>
      <w:r>
        <w:rPr>
          <w:rFonts w:ascii="Times New Roman" w:hAnsi="Times New Roman" w:cs="Times New Roman"/>
          <w:i/>
          <w:iCs/>
          <w:noProof/>
          <w:sz w:val="24"/>
          <w:szCs w:val="24"/>
        </w:rPr>
        <w:t>J</w:t>
      </w:r>
      <w:r w:rsidRPr="00724502">
        <w:rPr>
          <w:rFonts w:ascii="Times New Roman" w:hAnsi="Times New Roman" w:cs="Times New Roman"/>
          <w:i/>
          <w:iCs/>
          <w:noProof/>
          <w:sz w:val="24"/>
          <w:szCs w:val="24"/>
        </w:rPr>
        <w:t xml:space="preserve"> Rural Med</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9,</w:t>
      </w:r>
      <w:r w:rsidRPr="00724502">
        <w:rPr>
          <w:rFonts w:ascii="Times New Roman" w:hAnsi="Times New Roman" w:cs="Times New Roman"/>
          <w:noProof/>
          <w:sz w:val="24"/>
          <w:szCs w:val="24"/>
        </w:rPr>
        <w:t xml:space="preserve"> 51–</w:t>
      </w:r>
      <w:r>
        <w:rPr>
          <w:rFonts w:ascii="Times New Roman" w:hAnsi="Times New Roman" w:cs="Times New Roman"/>
          <w:noProof/>
          <w:sz w:val="24"/>
          <w:szCs w:val="24"/>
        </w:rPr>
        <w:t>5</w:t>
      </w:r>
      <w:r w:rsidRPr="00724502">
        <w:rPr>
          <w:rFonts w:ascii="Times New Roman" w:hAnsi="Times New Roman" w:cs="Times New Roman"/>
          <w:noProof/>
          <w:sz w:val="24"/>
          <w:szCs w:val="24"/>
        </w:rPr>
        <w:t>8.</w:t>
      </w:r>
    </w:p>
    <w:p w14:paraId="464153D8"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21.</w:t>
      </w:r>
      <w:r>
        <w:rPr>
          <w:rFonts w:ascii="Times New Roman" w:hAnsi="Times New Roman" w:cs="Times New Roman"/>
          <w:noProof/>
          <w:sz w:val="24"/>
          <w:szCs w:val="24"/>
        </w:rPr>
        <w:tab/>
        <w:t>Szajewska</w:t>
      </w:r>
      <w:r w:rsidRPr="00724502">
        <w:rPr>
          <w:rFonts w:ascii="Times New Roman" w:hAnsi="Times New Roman" w:cs="Times New Roman"/>
          <w:noProof/>
          <w:sz w:val="24"/>
          <w:szCs w:val="24"/>
        </w:rPr>
        <w:t xml:space="preserve"> H &amp; Ruszczynski M</w:t>
      </w:r>
      <w:r>
        <w:rPr>
          <w:rFonts w:ascii="Times New Roman" w:hAnsi="Times New Roman" w:cs="Times New Roman"/>
          <w:noProof/>
          <w:sz w:val="24"/>
          <w:szCs w:val="24"/>
        </w:rPr>
        <w:t xml:space="preserve"> (2010)</w:t>
      </w:r>
      <w:r w:rsidRPr="00724502">
        <w:rPr>
          <w:rFonts w:ascii="Times New Roman" w:hAnsi="Times New Roman" w:cs="Times New Roman"/>
          <w:noProof/>
          <w:sz w:val="24"/>
          <w:szCs w:val="24"/>
        </w:rPr>
        <w:t xml:space="preserve"> Systematic review demonstrating that breakfast consumption influences body weight outcomes in children and adolescents in Europe. </w:t>
      </w:r>
      <w:r>
        <w:rPr>
          <w:rFonts w:ascii="Times New Roman" w:hAnsi="Times New Roman" w:cs="Times New Roman"/>
          <w:i/>
          <w:iCs/>
          <w:noProof/>
          <w:sz w:val="24"/>
          <w:szCs w:val="24"/>
        </w:rPr>
        <w:t>Crit</w:t>
      </w:r>
      <w:r w:rsidRPr="00724502">
        <w:rPr>
          <w:rFonts w:ascii="Times New Roman" w:hAnsi="Times New Roman" w:cs="Times New Roman"/>
          <w:i/>
          <w:iCs/>
          <w:noProof/>
          <w:sz w:val="24"/>
          <w:szCs w:val="24"/>
        </w:rPr>
        <w:t xml:space="preserve"> Rev Food Sci Nutr</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50,</w:t>
      </w:r>
      <w:r w:rsidRPr="00724502">
        <w:rPr>
          <w:rFonts w:ascii="Times New Roman" w:hAnsi="Times New Roman" w:cs="Times New Roman"/>
          <w:noProof/>
          <w:sz w:val="24"/>
          <w:szCs w:val="24"/>
        </w:rPr>
        <w:t xml:space="preserve"> 113–119.</w:t>
      </w:r>
    </w:p>
    <w:p w14:paraId="533A665A"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22.</w:t>
      </w:r>
      <w:r>
        <w:rPr>
          <w:rFonts w:ascii="Times New Roman" w:hAnsi="Times New Roman" w:cs="Times New Roman"/>
          <w:noProof/>
          <w:sz w:val="24"/>
          <w:szCs w:val="24"/>
        </w:rPr>
        <w:tab/>
        <w:t>Berkey</w:t>
      </w:r>
      <w:r w:rsidRPr="00724502">
        <w:rPr>
          <w:rFonts w:ascii="Times New Roman" w:hAnsi="Times New Roman" w:cs="Times New Roman"/>
          <w:noProof/>
          <w:sz w:val="24"/>
          <w:szCs w:val="24"/>
        </w:rPr>
        <w:t xml:space="preserve"> CS, Rockett H</w:t>
      </w:r>
      <w:r>
        <w:rPr>
          <w:rFonts w:ascii="Times New Roman" w:hAnsi="Times New Roman" w:cs="Times New Roman"/>
          <w:noProof/>
          <w:sz w:val="24"/>
          <w:szCs w:val="24"/>
        </w:rPr>
        <w:t>R</w:t>
      </w:r>
      <w:r w:rsidRPr="00724502">
        <w:rPr>
          <w:rFonts w:ascii="Times New Roman" w:hAnsi="Times New Roman" w:cs="Times New Roman"/>
          <w:noProof/>
          <w:sz w:val="24"/>
          <w:szCs w:val="24"/>
        </w:rPr>
        <w:t>H</w:t>
      </w:r>
      <w:r>
        <w:rPr>
          <w:rFonts w:ascii="Times New Roman" w:hAnsi="Times New Roman" w:cs="Times New Roman"/>
          <w:noProof/>
          <w:sz w:val="24"/>
          <w:szCs w:val="24"/>
        </w:rPr>
        <w:t>, Gillman</w:t>
      </w:r>
      <w:r w:rsidRPr="00724502">
        <w:rPr>
          <w:rFonts w:ascii="Times New Roman" w:hAnsi="Times New Roman" w:cs="Times New Roman"/>
          <w:noProof/>
          <w:sz w:val="24"/>
          <w:szCs w:val="24"/>
        </w:rPr>
        <w:t xml:space="preserve"> M</w:t>
      </w:r>
      <w:r>
        <w:rPr>
          <w:rFonts w:ascii="Times New Roman" w:hAnsi="Times New Roman" w:cs="Times New Roman"/>
          <w:noProof/>
          <w:sz w:val="24"/>
          <w:szCs w:val="24"/>
        </w:rPr>
        <w:t xml:space="preserve">W </w:t>
      </w:r>
      <w:r w:rsidRPr="00724502">
        <w:rPr>
          <w:rFonts w:ascii="Times New Roman" w:hAnsi="Times New Roman" w:cs="Times New Roman"/>
          <w:i/>
          <w:iCs/>
          <w:noProof/>
          <w:sz w:val="24"/>
          <w:szCs w:val="24"/>
        </w:rPr>
        <w:t>et al.</w:t>
      </w:r>
      <w:r>
        <w:rPr>
          <w:rFonts w:ascii="Times New Roman" w:hAnsi="Times New Roman" w:cs="Times New Roman"/>
          <w:i/>
          <w:iCs/>
          <w:noProof/>
          <w:sz w:val="24"/>
          <w:szCs w:val="24"/>
        </w:rPr>
        <w:t xml:space="preserve"> </w:t>
      </w:r>
      <w:r>
        <w:rPr>
          <w:rFonts w:ascii="Times New Roman" w:hAnsi="Times New Roman" w:cs="Times New Roman"/>
          <w:iCs/>
          <w:noProof/>
          <w:sz w:val="24"/>
          <w:szCs w:val="24"/>
        </w:rPr>
        <w:t xml:space="preserve">(2003) </w:t>
      </w:r>
      <w:r w:rsidRPr="00724502">
        <w:rPr>
          <w:rFonts w:ascii="Times New Roman" w:hAnsi="Times New Roman" w:cs="Times New Roman"/>
          <w:noProof/>
          <w:sz w:val="24"/>
          <w:szCs w:val="24"/>
        </w:rPr>
        <w:t xml:space="preserve">Longitudinal study of skipping breakfast and weight change in adolescents. </w:t>
      </w:r>
      <w:r w:rsidRPr="00951ADC">
        <w:rPr>
          <w:rFonts w:ascii="Times New Roman" w:hAnsi="Times New Roman" w:cs="Times New Roman"/>
          <w:i/>
          <w:noProof/>
          <w:color w:val="FF0000"/>
          <w:sz w:val="24"/>
          <w:szCs w:val="24"/>
        </w:rPr>
        <w:t>Int J Obes Relat Metab Disord</w:t>
      </w:r>
      <w:r w:rsidRPr="00951ADC">
        <w:rPr>
          <w:rFonts w:ascii="Times New Roman" w:hAnsi="Times New Roman" w:cs="Times New Roman"/>
          <w:noProof/>
          <w:color w:val="FF0000"/>
          <w:sz w:val="24"/>
          <w:szCs w:val="24"/>
        </w:rPr>
        <w:t xml:space="preserve"> </w:t>
      </w:r>
      <w:r w:rsidRPr="00724502">
        <w:rPr>
          <w:rFonts w:ascii="Times New Roman" w:hAnsi="Times New Roman" w:cs="Times New Roman"/>
          <w:b/>
          <w:bCs/>
          <w:noProof/>
          <w:sz w:val="24"/>
          <w:szCs w:val="24"/>
        </w:rPr>
        <w:t>27,</w:t>
      </w:r>
      <w:r w:rsidRPr="00724502">
        <w:rPr>
          <w:rFonts w:ascii="Times New Roman" w:hAnsi="Times New Roman" w:cs="Times New Roman"/>
          <w:noProof/>
          <w:sz w:val="24"/>
          <w:szCs w:val="24"/>
        </w:rPr>
        <w:t xml:space="preserve"> 1258–1266.</w:t>
      </w:r>
    </w:p>
    <w:p w14:paraId="02755F38"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24502">
        <w:rPr>
          <w:rFonts w:ascii="Times New Roman" w:hAnsi="Times New Roman" w:cs="Times New Roman"/>
          <w:noProof/>
          <w:sz w:val="24"/>
          <w:szCs w:val="24"/>
        </w:rPr>
        <w:t>23.</w:t>
      </w:r>
      <w:r w:rsidRPr="00724502">
        <w:rPr>
          <w:rFonts w:ascii="Times New Roman" w:hAnsi="Times New Roman" w:cs="Times New Roman"/>
          <w:noProof/>
          <w:sz w:val="24"/>
          <w:szCs w:val="24"/>
        </w:rPr>
        <w:tab/>
        <w:t>Horikawa</w:t>
      </w:r>
      <w:r>
        <w:rPr>
          <w:rFonts w:ascii="Times New Roman" w:hAnsi="Times New Roman" w:cs="Times New Roman"/>
          <w:noProof/>
          <w:sz w:val="24"/>
          <w:szCs w:val="24"/>
        </w:rPr>
        <w:t xml:space="preserve"> C, Kodama S, Yachi Y</w:t>
      </w:r>
      <w:r w:rsidRPr="00724502">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(2011) </w:t>
      </w:r>
      <w:r w:rsidRPr="00724502">
        <w:rPr>
          <w:rFonts w:ascii="Times New Roman" w:hAnsi="Times New Roman" w:cs="Times New Roman"/>
          <w:noProof/>
          <w:sz w:val="24"/>
          <w:szCs w:val="24"/>
        </w:rPr>
        <w:t>Skipping breakfast and prevalence of overweight and obesity</w:t>
      </w:r>
      <w:r>
        <w:rPr>
          <w:rFonts w:ascii="Times New Roman" w:hAnsi="Times New Roman" w:cs="Times New Roman"/>
          <w:noProof/>
          <w:sz w:val="24"/>
          <w:szCs w:val="24"/>
        </w:rPr>
        <w:t xml:space="preserve"> in Asian and Pacific regions: a</w:t>
      </w:r>
      <w:r w:rsidRPr="00724502">
        <w:rPr>
          <w:rFonts w:ascii="Times New Roman" w:hAnsi="Times New Roman" w:cs="Times New Roman"/>
          <w:noProof/>
          <w:sz w:val="24"/>
          <w:szCs w:val="24"/>
        </w:rPr>
        <w:t xml:space="preserve"> meta-analysis. </w:t>
      </w:r>
      <w:r w:rsidRPr="00724502">
        <w:rPr>
          <w:rFonts w:ascii="Times New Roman" w:hAnsi="Times New Roman" w:cs="Times New Roman"/>
          <w:i/>
          <w:iCs/>
          <w:noProof/>
          <w:sz w:val="24"/>
          <w:szCs w:val="24"/>
        </w:rPr>
        <w:t>Prev Med</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53,</w:t>
      </w:r>
      <w:r>
        <w:rPr>
          <w:rFonts w:ascii="Times New Roman" w:hAnsi="Times New Roman" w:cs="Times New Roman"/>
          <w:noProof/>
          <w:sz w:val="24"/>
          <w:szCs w:val="24"/>
        </w:rPr>
        <w:t xml:space="preserve"> 260–267</w:t>
      </w:r>
      <w:r w:rsidRPr="00724502">
        <w:rPr>
          <w:rFonts w:ascii="Times New Roman" w:hAnsi="Times New Roman" w:cs="Times New Roman"/>
          <w:noProof/>
          <w:sz w:val="24"/>
          <w:szCs w:val="24"/>
        </w:rPr>
        <w:t>.</w:t>
      </w:r>
    </w:p>
    <w:p w14:paraId="6BD2969F"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24502">
        <w:rPr>
          <w:rFonts w:ascii="Times New Roman" w:hAnsi="Times New Roman" w:cs="Times New Roman"/>
          <w:noProof/>
          <w:sz w:val="24"/>
          <w:szCs w:val="24"/>
        </w:rPr>
        <w:t>24.</w:t>
      </w:r>
      <w:r w:rsidRPr="00724502">
        <w:rPr>
          <w:rFonts w:ascii="Times New Roman" w:hAnsi="Times New Roman" w:cs="Times New Roman"/>
          <w:noProof/>
          <w:sz w:val="24"/>
          <w:szCs w:val="24"/>
        </w:rPr>
        <w:tab/>
        <w:t>Soh</w:t>
      </w:r>
      <w:r>
        <w:rPr>
          <w:rFonts w:ascii="Times New Roman" w:hAnsi="Times New Roman" w:cs="Times New Roman"/>
          <w:noProof/>
          <w:sz w:val="24"/>
          <w:szCs w:val="24"/>
        </w:rPr>
        <w:t xml:space="preserve"> S</w:t>
      </w:r>
      <w:r w:rsidRPr="00724502">
        <w:rPr>
          <w:rFonts w:ascii="Times New Roman" w:hAnsi="Times New Roman" w:cs="Times New Roman"/>
          <w:noProof/>
          <w:sz w:val="24"/>
          <w:szCs w:val="24"/>
        </w:rPr>
        <w:t>E</w:t>
      </w:r>
      <w:r>
        <w:rPr>
          <w:rFonts w:ascii="Times New Roman" w:hAnsi="Times New Roman" w:cs="Times New Roman"/>
          <w:noProof/>
          <w:sz w:val="24"/>
          <w:szCs w:val="24"/>
        </w:rPr>
        <w:t>, Tint MT, Gluckman PD</w:t>
      </w:r>
      <w:r w:rsidRPr="00724502">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(2014) </w:t>
      </w:r>
      <w:r w:rsidRPr="00724502">
        <w:rPr>
          <w:rFonts w:ascii="Times New Roman" w:hAnsi="Times New Roman" w:cs="Times New Roman"/>
          <w:noProof/>
          <w:sz w:val="24"/>
          <w:szCs w:val="24"/>
        </w:rPr>
        <w:t xml:space="preserve">Cohort Profile: Growing Up in Singapore Towards healthy Outcomes (GUSTO) birth cohort study. </w:t>
      </w:r>
      <w:r>
        <w:rPr>
          <w:rFonts w:ascii="Times New Roman" w:hAnsi="Times New Roman" w:cs="Times New Roman"/>
          <w:i/>
          <w:iCs/>
          <w:noProof/>
          <w:sz w:val="24"/>
          <w:szCs w:val="24"/>
        </w:rPr>
        <w:t>Int J Epidemiol</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43,</w:t>
      </w:r>
      <w:r>
        <w:rPr>
          <w:rFonts w:ascii="Times New Roman" w:hAnsi="Times New Roman" w:cs="Times New Roman"/>
          <w:noProof/>
          <w:sz w:val="24"/>
          <w:szCs w:val="24"/>
        </w:rPr>
        <w:t xml:space="preserve"> 1401–1409</w:t>
      </w:r>
      <w:r w:rsidRPr="00724502">
        <w:rPr>
          <w:rFonts w:ascii="Times New Roman" w:hAnsi="Times New Roman" w:cs="Times New Roman"/>
          <w:noProof/>
          <w:sz w:val="24"/>
          <w:szCs w:val="24"/>
        </w:rPr>
        <w:t>.</w:t>
      </w:r>
    </w:p>
    <w:p w14:paraId="08E94336"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24502">
        <w:rPr>
          <w:rFonts w:ascii="Times New Roman" w:hAnsi="Times New Roman" w:cs="Times New Roman"/>
          <w:noProof/>
          <w:sz w:val="24"/>
          <w:szCs w:val="24"/>
        </w:rPr>
        <w:t>25.</w:t>
      </w:r>
      <w:r w:rsidRPr="00724502">
        <w:rPr>
          <w:rFonts w:ascii="Times New Roman" w:hAnsi="Times New Roman" w:cs="Times New Roman"/>
          <w:noProof/>
          <w:sz w:val="24"/>
          <w:szCs w:val="24"/>
        </w:rPr>
        <w:tab/>
      </w:r>
      <w:bookmarkStart w:id="1" w:name="OLE_LINK1"/>
      <w:bookmarkStart w:id="2" w:name="OLE_LINK2"/>
      <w:r w:rsidRPr="000D670C">
        <w:rPr>
          <w:rFonts w:ascii="Times New Roman" w:hAnsi="Times New Roman" w:cs="Times New Roman"/>
          <w:noProof/>
          <w:sz w:val="24"/>
          <w:szCs w:val="24"/>
        </w:rPr>
        <w:t xml:space="preserve">World Health Organization </w:t>
      </w:r>
      <w:r>
        <w:rPr>
          <w:rFonts w:ascii="Times New Roman" w:hAnsi="Times New Roman" w:cs="Times New Roman"/>
          <w:noProof/>
          <w:sz w:val="24"/>
          <w:szCs w:val="24"/>
        </w:rPr>
        <w:t xml:space="preserve">(2004) </w:t>
      </w:r>
      <w:r w:rsidRPr="00724502">
        <w:rPr>
          <w:rFonts w:ascii="Times New Roman" w:hAnsi="Times New Roman" w:cs="Times New Roman"/>
          <w:noProof/>
          <w:sz w:val="24"/>
          <w:szCs w:val="24"/>
        </w:rPr>
        <w:t>Appropriate body-mass index for Asian populations and its implications for policy and intervention strategies</w:t>
      </w:r>
      <w:bookmarkEnd w:id="1"/>
      <w:bookmarkEnd w:id="2"/>
      <w:r w:rsidRPr="00724502">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Lancet</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363,</w:t>
      </w:r>
      <w:r>
        <w:rPr>
          <w:rFonts w:ascii="Times New Roman" w:hAnsi="Times New Roman" w:cs="Times New Roman"/>
          <w:noProof/>
          <w:sz w:val="24"/>
          <w:szCs w:val="24"/>
        </w:rPr>
        <w:t xml:space="preserve"> 157–163</w:t>
      </w:r>
      <w:r w:rsidRPr="00724502">
        <w:rPr>
          <w:rFonts w:ascii="Times New Roman" w:hAnsi="Times New Roman" w:cs="Times New Roman"/>
          <w:noProof/>
          <w:sz w:val="24"/>
          <w:szCs w:val="24"/>
        </w:rPr>
        <w:t>.</w:t>
      </w:r>
    </w:p>
    <w:p w14:paraId="77C412CE"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26.</w:t>
      </w:r>
      <w:r>
        <w:rPr>
          <w:rFonts w:ascii="Times New Roman" w:hAnsi="Times New Roman" w:cs="Times New Roman"/>
          <w:noProof/>
          <w:sz w:val="24"/>
          <w:szCs w:val="24"/>
        </w:rPr>
        <w:tab/>
        <w:t>de Onis M. Garza C, Victora CG</w:t>
      </w:r>
      <w:r w:rsidRPr="00724502">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(2004) </w:t>
      </w:r>
      <w:r w:rsidRPr="00724502">
        <w:rPr>
          <w:rFonts w:ascii="Times New Roman" w:hAnsi="Times New Roman" w:cs="Times New Roman"/>
          <w:noProof/>
          <w:sz w:val="24"/>
          <w:szCs w:val="24"/>
        </w:rPr>
        <w:t xml:space="preserve">The WHO Multicentre Growth Reference Study: planning, study design, and methodology. </w:t>
      </w:r>
      <w:r w:rsidRPr="00724502">
        <w:rPr>
          <w:rFonts w:ascii="Times New Roman" w:hAnsi="Times New Roman" w:cs="Times New Roman"/>
          <w:i/>
          <w:iCs/>
          <w:noProof/>
          <w:sz w:val="24"/>
          <w:szCs w:val="24"/>
        </w:rPr>
        <w:t>Food Nutr Bull</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25,</w:t>
      </w:r>
      <w:r>
        <w:rPr>
          <w:rFonts w:ascii="Times New Roman" w:hAnsi="Times New Roman" w:cs="Times New Roman"/>
          <w:noProof/>
          <w:sz w:val="24"/>
          <w:szCs w:val="24"/>
        </w:rPr>
        <w:t xml:space="preserve"> S15-16</w:t>
      </w:r>
      <w:r w:rsidRPr="00724502">
        <w:rPr>
          <w:rFonts w:ascii="Times New Roman" w:hAnsi="Times New Roman" w:cs="Times New Roman"/>
          <w:noProof/>
          <w:sz w:val="24"/>
          <w:szCs w:val="24"/>
        </w:rPr>
        <w:t>.</w:t>
      </w:r>
    </w:p>
    <w:p w14:paraId="38125EC6"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27.</w:t>
      </w:r>
      <w:r>
        <w:rPr>
          <w:rFonts w:ascii="Times New Roman" w:hAnsi="Times New Roman" w:cs="Times New Roman"/>
          <w:noProof/>
          <w:sz w:val="24"/>
          <w:szCs w:val="24"/>
        </w:rPr>
        <w:tab/>
        <w:t>Cheng</w:t>
      </w:r>
      <w:r w:rsidRPr="00724502">
        <w:rPr>
          <w:rFonts w:ascii="Times New Roman" w:hAnsi="Times New Roman" w:cs="Times New Roman"/>
          <w:noProof/>
          <w:sz w:val="24"/>
          <w:szCs w:val="24"/>
        </w:rPr>
        <w:t xml:space="preserve"> TS</w:t>
      </w:r>
      <w:r>
        <w:rPr>
          <w:rFonts w:ascii="Times New Roman" w:hAnsi="Times New Roman" w:cs="Times New Roman"/>
          <w:noProof/>
          <w:sz w:val="24"/>
          <w:szCs w:val="24"/>
        </w:rPr>
        <w:t>, Loy SL, Cheung YB</w:t>
      </w:r>
      <w:r w:rsidRPr="00724502">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sidRPr="00724502">
        <w:rPr>
          <w:rFonts w:ascii="Times New Roman" w:hAnsi="Times New Roman" w:cs="Times New Roman"/>
          <w:noProof/>
          <w:sz w:val="24"/>
          <w:szCs w:val="24"/>
        </w:rPr>
        <w:t xml:space="preserve"> </w:t>
      </w:r>
      <w:r w:rsidRPr="00637F8C">
        <w:rPr>
          <w:rFonts w:ascii="Times New Roman" w:hAnsi="Times New Roman" w:cs="Times New Roman"/>
          <w:noProof/>
          <w:sz w:val="24"/>
          <w:szCs w:val="24"/>
        </w:rPr>
        <w:t>(</w:t>
      </w:r>
      <w:r w:rsidRPr="00951ADC">
        <w:rPr>
          <w:rFonts w:ascii="Times New Roman" w:hAnsi="Times New Roman" w:cs="Times New Roman"/>
          <w:noProof/>
          <w:color w:val="FF0000"/>
          <w:sz w:val="24"/>
          <w:szCs w:val="24"/>
        </w:rPr>
        <w:t>2016</w:t>
      </w:r>
      <w:r w:rsidRPr="00637F8C">
        <w:rPr>
          <w:rFonts w:ascii="Times New Roman" w:hAnsi="Times New Roman" w:cs="Times New Roman"/>
          <w:noProof/>
          <w:sz w:val="24"/>
          <w:szCs w:val="24"/>
        </w:rPr>
        <w:t>)</w:t>
      </w:r>
      <w:r w:rsidRPr="007C3F77">
        <w:rPr>
          <w:rFonts w:ascii="Times New Roman" w:hAnsi="Times New Roman" w:cs="Times New Roman"/>
          <w:noProof/>
          <w:sz w:val="24"/>
          <w:szCs w:val="24"/>
        </w:rPr>
        <w:t xml:space="preserve"> </w:t>
      </w:r>
      <w:r w:rsidRPr="00724502">
        <w:rPr>
          <w:rFonts w:ascii="Times New Roman" w:hAnsi="Times New Roman" w:cs="Times New Roman"/>
          <w:noProof/>
          <w:sz w:val="24"/>
          <w:szCs w:val="24"/>
        </w:rPr>
        <w:t xml:space="preserve">Sexually dimorphic response to feeding mode in the growth of infants. </w:t>
      </w:r>
      <w:r w:rsidRPr="00724502">
        <w:rPr>
          <w:rFonts w:ascii="Times New Roman" w:hAnsi="Times New Roman" w:cs="Times New Roman"/>
          <w:i/>
          <w:iCs/>
          <w:noProof/>
          <w:sz w:val="24"/>
          <w:szCs w:val="24"/>
        </w:rPr>
        <w:t>Am J Clin Nutr</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103,</w:t>
      </w:r>
      <w:r w:rsidRPr="00724502">
        <w:rPr>
          <w:rFonts w:ascii="Times New Roman" w:hAnsi="Times New Roman" w:cs="Times New Roman"/>
          <w:noProof/>
          <w:sz w:val="24"/>
          <w:szCs w:val="24"/>
        </w:rPr>
        <w:t xml:space="preserve"> 398–405.</w:t>
      </w:r>
    </w:p>
    <w:p w14:paraId="33CAA806"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24502">
        <w:rPr>
          <w:rFonts w:ascii="Times New Roman" w:hAnsi="Times New Roman" w:cs="Times New Roman"/>
          <w:noProof/>
          <w:sz w:val="24"/>
          <w:szCs w:val="24"/>
        </w:rPr>
        <w:t>28.</w:t>
      </w:r>
      <w:r w:rsidRPr="00724502">
        <w:rPr>
          <w:rFonts w:ascii="Times New Roman" w:hAnsi="Times New Roman" w:cs="Times New Roman"/>
          <w:noProof/>
          <w:sz w:val="24"/>
          <w:szCs w:val="24"/>
        </w:rPr>
        <w:tab/>
      </w:r>
      <w:r>
        <w:rPr>
          <w:rFonts w:ascii="Times New Roman" w:hAnsi="Times New Roman" w:cs="Times New Roman"/>
          <w:noProof/>
          <w:sz w:val="24"/>
          <w:szCs w:val="24"/>
        </w:rPr>
        <w:t>World Health Organization (2008)</w:t>
      </w:r>
      <w:r w:rsidRPr="00A46580">
        <w:rPr>
          <w:rFonts w:ascii="Times New Roman" w:hAnsi="Times New Roman" w:cs="Times New Roman"/>
          <w:noProof/>
          <w:sz w:val="24"/>
          <w:szCs w:val="24"/>
        </w:rPr>
        <w:t xml:space="preserve"> </w:t>
      </w:r>
      <w:r w:rsidRPr="00753F44">
        <w:rPr>
          <w:rFonts w:ascii="Times New Roman" w:hAnsi="Times New Roman" w:cs="Times New Roman"/>
          <w:i/>
          <w:noProof/>
          <w:sz w:val="24"/>
          <w:szCs w:val="24"/>
        </w:rPr>
        <w:t>Training course on child growth assessment, WHO Child Growth Standards, C Interpreting growth indicators</w:t>
      </w:r>
      <w:r w:rsidRPr="00A46580">
        <w:rPr>
          <w:rFonts w:ascii="Times New Roman" w:hAnsi="Times New Roman" w:cs="Times New Roman"/>
          <w:noProof/>
          <w:sz w:val="24"/>
          <w:szCs w:val="24"/>
        </w:rPr>
        <w:t>. Geneva: Department of Nutrit</w:t>
      </w:r>
      <w:r>
        <w:rPr>
          <w:rFonts w:ascii="Times New Roman" w:hAnsi="Times New Roman" w:cs="Times New Roman"/>
          <w:noProof/>
          <w:sz w:val="24"/>
          <w:szCs w:val="24"/>
        </w:rPr>
        <w:t>ion for Health and Development.</w:t>
      </w:r>
    </w:p>
    <w:p w14:paraId="009CBCB5"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29.</w:t>
      </w:r>
      <w:r>
        <w:rPr>
          <w:rFonts w:ascii="Times New Roman" w:hAnsi="Times New Roman" w:cs="Times New Roman"/>
          <w:noProof/>
          <w:sz w:val="24"/>
          <w:szCs w:val="24"/>
        </w:rPr>
        <w:tab/>
        <w:t xml:space="preserve">Sadeh A (2004) </w:t>
      </w:r>
      <w:r w:rsidRPr="00724502">
        <w:rPr>
          <w:rFonts w:ascii="Times New Roman" w:hAnsi="Times New Roman" w:cs="Times New Roman"/>
          <w:noProof/>
          <w:sz w:val="24"/>
          <w:szCs w:val="24"/>
        </w:rPr>
        <w:t xml:space="preserve">A brief screening questionnaire for infant sleep problems: validation and findings for an Internet sample. </w:t>
      </w:r>
      <w:r w:rsidRPr="00724502">
        <w:rPr>
          <w:rFonts w:ascii="Times New Roman" w:hAnsi="Times New Roman" w:cs="Times New Roman"/>
          <w:i/>
          <w:iCs/>
          <w:noProof/>
          <w:sz w:val="24"/>
          <w:szCs w:val="24"/>
        </w:rPr>
        <w:t>Pediatrics</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113,</w:t>
      </w:r>
      <w:r w:rsidRPr="00724502">
        <w:rPr>
          <w:rFonts w:ascii="Times New Roman" w:hAnsi="Times New Roman" w:cs="Times New Roman"/>
          <w:noProof/>
          <w:sz w:val="24"/>
          <w:szCs w:val="24"/>
        </w:rPr>
        <w:t xml:space="preserve"> e570–e577.</w:t>
      </w:r>
    </w:p>
    <w:p w14:paraId="18002D05" w14:textId="7D805E42"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24502">
        <w:rPr>
          <w:rFonts w:ascii="Times New Roman" w:hAnsi="Times New Roman" w:cs="Times New Roman"/>
          <w:noProof/>
          <w:sz w:val="24"/>
          <w:szCs w:val="24"/>
        </w:rPr>
        <w:t>30.</w:t>
      </w:r>
      <w:r w:rsidRPr="00724502">
        <w:rPr>
          <w:rFonts w:ascii="Times New Roman" w:hAnsi="Times New Roman" w:cs="Times New Roman"/>
          <w:noProof/>
          <w:sz w:val="24"/>
          <w:szCs w:val="24"/>
        </w:rPr>
        <w:tab/>
      </w:r>
      <w:r w:rsidR="00D01C89" w:rsidRPr="00951ADC">
        <w:rPr>
          <w:rFonts w:ascii="Times New Roman" w:hAnsi="Times New Roman" w:cs="Times New Roman"/>
          <w:noProof/>
          <w:color w:val="FF0000"/>
          <w:sz w:val="24"/>
          <w:szCs w:val="24"/>
        </w:rPr>
        <w:t>Ahluwalia N, Dwyer J, Terry A</w:t>
      </w:r>
      <w:r w:rsidRPr="00951ADC">
        <w:rPr>
          <w:rFonts w:ascii="Times New Roman" w:hAnsi="Times New Roman" w:cs="Times New Roman"/>
          <w:noProof/>
          <w:color w:val="FF0000"/>
          <w:sz w:val="24"/>
          <w:szCs w:val="24"/>
        </w:rPr>
        <w:t xml:space="preserve"> </w:t>
      </w:r>
      <w:r w:rsidRPr="00951ADC">
        <w:rPr>
          <w:rFonts w:ascii="Times New Roman" w:hAnsi="Times New Roman" w:cs="Times New Roman"/>
          <w:i/>
          <w:iCs/>
          <w:noProof/>
          <w:color w:val="FF0000"/>
          <w:sz w:val="24"/>
          <w:szCs w:val="24"/>
        </w:rPr>
        <w:t>et al.</w:t>
      </w:r>
      <w:r w:rsidRPr="00951ADC">
        <w:rPr>
          <w:rFonts w:ascii="Times New Roman" w:hAnsi="Times New Roman" w:cs="Times New Roman"/>
          <w:noProof/>
          <w:color w:val="FF0000"/>
          <w:sz w:val="24"/>
          <w:szCs w:val="24"/>
        </w:rPr>
        <w:t xml:space="preserve"> </w:t>
      </w:r>
      <w:r w:rsidR="00D01C89" w:rsidRPr="00951ADC">
        <w:rPr>
          <w:rFonts w:ascii="Times New Roman" w:hAnsi="Times New Roman" w:cs="Times New Roman"/>
          <w:noProof/>
          <w:color w:val="FF0000"/>
          <w:sz w:val="24"/>
          <w:szCs w:val="24"/>
        </w:rPr>
        <w:t>(2016</w:t>
      </w:r>
      <w:r w:rsidRPr="00951ADC">
        <w:rPr>
          <w:rFonts w:ascii="Times New Roman" w:hAnsi="Times New Roman" w:cs="Times New Roman"/>
          <w:noProof/>
          <w:color w:val="FF0000"/>
          <w:sz w:val="24"/>
          <w:szCs w:val="24"/>
        </w:rPr>
        <w:t xml:space="preserve">) </w:t>
      </w:r>
      <w:r w:rsidR="00D01C89" w:rsidRPr="00951ADC">
        <w:rPr>
          <w:rFonts w:ascii="Times New Roman" w:hAnsi="Times New Roman" w:cs="Times New Roman"/>
          <w:noProof/>
          <w:color w:val="FF0000"/>
          <w:sz w:val="24"/>
          <w:szCs w:val="24"/>
        </w:rPr>
        <w:t>Update on NHANES dietary data: focus on collection, release, analytical considerations, and uses to inform public policy</w:t>
      </w:r>
      <w:r w:rsidRPr="00951ADC">
        <w:rPr>
          <w:rFonts w:ascii="Times New Roman" w:hAnsi="Times New Roman" w:cs="Times New Roman"/>
          <w:noProof/>
          <w:color w:val="FF0000"/>
          <w:sz w:val="24"/>
          <w:szCs w:val="24"/>
        </w:rPr>
        <w:t xml:space="preserve">. </w:t>
      </w:r>
      <w:r w:rsidRPr="00951ADC">
        <w:rPr>
          <w:rFonts w:ascii="Times New Roman" w:hAnsi="Times New Roman" w:cs="Times New Roman"/>
          <w:i/>
          <w:iCs/>
          <w:noProof/>
          <w:color w:val="FF0000"/>
          <w:sz w:val="24"/>
          <w:szCs w:val="24"/>
        </w:rPr>
        <w:t>A</w:t>
      </w:r>
      <w:r w:rsidR="00D01C89" w:rsidRPr="00951ADC">
        <w:rPr>
          <w:rFonts w:ascii="Times New Roman" w:hAnsi="Times New Roman" w:cs="Times New Roman"/>
          <w:i/>
          <w:iCs/>
          <w:noProof/>
          <w:color w:val="FF0000"/>
          <w:sz w:val="24"/>
          <w:szCs w:val="24"/>
        </w:rPr>
        <w:t>dv</w:t>
      </w:r>
      <w:r w:rsidRPr="00951ADC">
        <w:rPr>
          <w:rFonts w:ascii="Times New Roman" w:hAnsi="Times New Roman" w:cs="Times New Roman"/>
          <w:i/>
          <w:iCs/>
          <w:noProof/>
          <w:color w:val="FF0000"/>
          <w:sz w:val="24"/>
          <w:szCs w:val="24"/>
        </w:rPr>
        <w:t xml:space="preserve"> Nutr</w:t>
      </w:r>
      <w:r w:rsidRPr="00951ADC">
        <w:rPr>
          <w:rFonts w:ascii="Times New Roman" w:hAnsi="Times New Roman" w:cs="Times New Roman"/>
          <w:noProof/>
          <w:color w:val="FF0000"/>
          <w:sz w:val="24"/>
          <w:szCs w:val="24"/>
        </w:rPr>
        <w:t xml:space="preserve"> </w:t>
      </w:r>
      <w:r w:rsidRPr="00951ADC">
        <w:rPr>
          <w:rFonts w:ascii="Times New Roman" w:hAnsi="Times New Roman" w:cs="Times New Roman"/>
          <w:b/>
          <w:bCs/>
          <w:noProof/>
          <w:color w:val="FF0000"/>
          <w:sz w:val="24"/>
          <w:szCs w:val="24"/>
        </w:rPr>
        <w:t>7,</w:t>
      </w:r>
      <w:r w:rsidRPr="00951ADC">
        <w:rPr>
          <w:rFonts w:ascii="Times New Roman" w:hAnsi="Times New Roman" w:cs="Times New Roman"/>
          <w:noProof/>
          <w:color w:val="FF0000"/>
          <w:sz w:val="24"/>
          <w:szCs w:val="24"/>
        </w:rPr>
        <w:t xml:space="preserve"> 1</w:t>
      </w:r>
      <w:r w:rsidR="00D01C89" w:rsidRPr="00951ADC">
        <w:rPr>
          <w:rFonts w:ascii="Times New Roman" w:hAnsi="Times New Roman" w:cs="Times New Roman"/>
          <w:noProof/>
          <w:color w:val="FF0000"/>
          <w:sz w:val="24"/>
          <w:szCs w:val="24"/>
        </w:rPr>
        <w:t>21</w:t>
      </w:r>
      <w:r w:rsidRPr="00951ADC">
        <w:rPr>
          <w:rFonts w:ascii="Times New Roman" w:hAnsi="Times New Roman" w:cs="Times New Roman"/>
          <w:noProof/>
          <w:color w:val="FF0000"/>
          <w:sz w:val="24"/>
          <w:szCs w:val="24"/>
        </w:rPr>
        <w:t>–</w:t>
      </w:r>
      <w:r w:rsidR="00D01C89" w:rsidRPr="00951ADC">
        <w:rPr>
          <w:rFonts w:ascii="Times New Roman" w:hAnsi="Times New Roman" w:cs="Times New Roman"/>
          <w:noProof/>
          <w:color w:val="FF0000"/>
          <w:sz w:val="24"/>
          <w:szCs w:val="24"/>
        </w:rPr>
        <w:t>134</w:t>
      </w:r>
      <w:r w:rsidRPr="00951ADC">
        <w:rPr>
          <w:rFonts w:ascii="Times New Roman" w:hAnsi="Times New Roman" w:cs="Times New Roman"/>
          <w:noProof/>
          <w:color w:val="FF0000"/>
          <w:sz w:val="24"/>
          <w:szCs w:val="24"/>
        </w:rPr>
        <w:t>.</w:t>
      </w:r>
    </w:p>
    <w:p w14:paraId="59CBD44F"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24502">
        <w:rPr>
          <w:rFonts w:ascii="Times New Roman" w:hAnsi="Times New Roman" w:cs="Times New Roman"/>
          <w:noProof/>
          <w:sz w:val="24"/>
          <w:szCs w:val="24"/>
        </w:rPr>
        <w:t>31.</w:t>
      </w:r>
      <w:r w:rsidRPr="00724502">
        <w:rPr>
          <w:rFonts w:ascii="Times New Roman" w:hAnsi="Times New Roman" w:cs="Times New Roman"/>
          <w:noProof/>
          <w:sz w:val="24"/>
          <w:szCs w:val="24"/>
        </w:rPr>
        <w:tab/>
      </w:r>
      <w:r w:rsidRPr="000D670C">
        <w:rPr>
          <w:rFonts w:ascii="Times New Roman" w:hAnsi="Times New Roman" w:cs="Times New Roman"/>
          <w:noProof/>
          <w:sz w:val="24"/>
          <w:szCs w:val="24"/>
        </w:rPr>
        <w:t>Health Promotion Board Singapore (2012) Singapore: healthy</w:t>
      </w:r>
      <w:r>
        <w:rPr>
          <w:rFonts w:ascii="Times New Roman" w:hAnsi="Times New Roman" w:cs="Times New Roman"/>
          <w:noProof/>
          <w:sz w:val="24"/>
          <w:szCs w:val="24"/>
        </w:rPr>
        <w:t xml:space="preserve"> </w:t>
      </w:r>
      <w:r w:rsidRPr="000D670C">
        <w:rPr>
          <w:rFonts w:ascii="Times New Roman" w:hAnsi="Times New Roman" w:cs="Times New Roman"/>
          <w:noProof/>
          <w:sz w:val="24"/>
          <w:szCs w:val="24"/>
        </w:rPr>
        <w:t xml:space="preserve">living and disease prevention </w:t>
      </w:r>
      <w:r w:rsidRPr="000D670C">
        <w:rPr>
          <w:rFonts w:ascii="Times New Roman" w:hAnsi="Times New Roman" w:cs="Times New Roman"/>
          <w:noProof/>
          <w:sz w:val="24"/>
          <w:szCs w:val="24"/>
        </w:rPr>
        <w:lastRenderedPageBreak/>
        <w:t xml:space="preserve">information. http://www.hpb.gov.sg/HOPPortal/ (accessed </w:t>
      </w:r>
      <w:r>
        <w:rPr>
          <w:rFonts w:ascii="Times New Roman" w:hAnsi="Times New Roman" w:cs="Times New Roman"/>
          <w:noProof/>
          <w:sz w:val="24"/>
          <w:szCs w:val="24"/>
        </w:rPr>
        <w:t>Sept 2016</w:t>
      </w:r>
      <w:r w:rsidRPr="000D670C">
        <w:rPr>
          <w:rFonts w:ascii="Times New Roman" w:hAnsi="Times New Roman" w:cs="Times New Roman"/>
          <w:noProof/>
          <w:sz w:val="24"/>
          <w:szCs w:val="24"/>
        </w:rPr>
        <w:t>).</w:t>
      </w:r>
    </w:p>
    <w:p w14:paraId="7B9CC894"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24502">
        <w:rPr>
          <w:rFonts w:ascii="Times New Roman" w:hAnsi="Times New Roman" w:cs="Times New Roman"/>
          <w:noProof/>
          <w:sz w:val="24"/>
          <w:szCs w:val="24"/>
        </w:rPr>
        <w:t>32.</w:t>
      </w:r>
      <w:r w:rsidRPr="00724502">
        <w:rPr>
          <w:rFonts w:ascii="Times New Roman" w:hAnsi="Times New Roman" w:cs="Times New Roman"/>
          <w:noProof/>
          <w:sz w:val="24"/>
          <w:szCs w:val="24"/>
        </w:rPr>
        <w:tab/>
      </w:r>
      <w:r w:rsidRPr="009434C7">
        <w:rPr>
          <w:rFonts w:ascii="Times New Roman" w:hAnsi="Times New Roman" w:cs="Times New Roman"/>
          <w:noProof/>
          <w:sz w:val="24"/>
          <w:szCs w:val="24"/>
        </w:rPr>
        <w:t>USDA (2011) NDL/FNIC Food Composition Database: USDA</w:t>
      </w:r>
      <w:r>
        <w:rPr>
          <w:rFonts w:ascii="Times New Roman" w:hAnsi="Times New Roman" w:cs="Times New Roman"/>
          <w:noProof/>
          <w:sz w:val="24"/>
          <w:szCs w:val="24"/>
        </w:rPr>
        <w:t xml:space="preserve"> </w:t>
      </w:r>
      <w:r w:rsidRPr="009434C7">
        <w:rPr>
          <w:rFonts w:ascii="Times New Roman" w:hAnsi="Times New Roman" w:cs="Times New Roman"/>
          <w:noProof/>
          <w:sz w:val="24"/>
          <w:szCs w:val="24"/>
        </w:rPr>
        <w:t xml:space="preserve">national nutrient database for standard reference. http://ndb.nal.usda.gov/ (accessed </w:t>
      </w:r>
      <w:r>
        <w:rPr>
          <w:rFonts w:ascii="Times New Roman" w:hAnsi="Times New Roman" w:cs="Times New Roman"/>
          <w:noProof/>
          <w:sz w:val="24"/>
          <w:szCs w:val="24"/>
        </w:rPr>
        <w:t>Sept 2016</w:t>
      </w:r>
      <w:r w:rsidRPr="009434C7">
        <w:rPr>
          <w:rFonts w:ascii="Times New Roman" w:hAnsi="Times New Roman" w:cs="Times New Roman"/>
          <w:noProof/>
          <w:sz w:val="24"/>
          <w:szCs w:val="24"/>
        </w:rPr>
        <w:t>).</w:t>
      </w:r>
    </w:p>
    <w:p w14:paraId="48C7D13F"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33.</w:t>
      </w:r>
      <w:r>
        <w:rPr>
          <w:rFonts w:ascii="Times New Roman" w:hAnsi="Times New Roman" w:cs="Times New Roman"/>
          <w:noProof/>
          <w:sz w:val="24"/>
          <w:szCs w:val="24"/>
        </w:rPr>
        <w:tab/>
        <w:t>Suwazono</w:t>
      </w:r>
      <w:r w:rsidRPr="00724502">
        <w:rPr>
          <w:rFonts w:ascii="Times New Roman" w:hAnsi="Times New Roman" w:cs="Times New Roman"/>
          <w:noProof/>
          <w:sz w:val="24"/>
          <w:szCs w:val="24"/>
        </w:rPr>
        <w:t xml:space="preserve"> Y</w:t>
      </w:r>
      <w:r>
        <w:rPr>
          <w:rFonts w:ascii="Times New Roman" w:hAnsi="Times New Roman" w:cs="Times New Roman"/>
          <w:noProof/>
          <w:sz w:val="24"/>
          <w:szCs w:val="24"/>
        </w:rPr>
        <w:t>, Dochi M, Sakata K</w:t>
      </w:r>
      <w:r w:rsidRPr="00724502">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(2008) </w:t>
      </w:r>
      <w:r w:rsidRPr="00724502">
        <w:rPr>
          <w:rFonts w:ascii="Times New Roman" w:hAnsi="Times New Roman" w:cs="Times New Roman"/>
          <w:noProof/>
          <w:sz w:val="24"/>
          <w:szCs w:val="24"/>
        </w:rPr>
        <w:t xml:space="preserve">A longitudinal study on the effect of shift work on weight gain in male Japanese workers. </w:t>
      </w:r>
      <w:r w:rsidRPr="00724502">
        <w:rPr>
          <w:rFonts w:ascii="Times New Roman" w:hAnsi="Times New Roman" w:cs="Times New Roman"/>
          <w:i/>
          <w:iCs/>
          <w:noProof/>
          <w:sz w:val="24"/>
          <w:szCs w:val="24"/>
        </w:rPr>
        <w:t>Obesity</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16,</w:t>
      </w:r>
      <w:r w:rsidRPr="00724502">
        <w:rPr>
          <w:rFonts w:ascii="Times New Roman" w:hAnsi="Times New Roman" w:cs="Times New Roman"/>
          <w:noProof/>
          <w:sz w:val="24"/>
          <w:szCs w:val="24"/>
        </w:rPr>
        <w:t xml:space="preserve"> 1887–1893.</w:t>
      </w:r>
    </w:p>
    <w:p w14:paraId="34B344EA"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34.</w:t>
      </w:r>
      <w:r>
        <w:rPr>
          <w:rFonts w:ascii="Times New Roman" w:hAnsi="Times New Roman" w:cs="Times New Roman"/>
          <w:noProof/>
          <w:sz w:val="24"/>
          <w:szCs w:val="24"/>
        </w:rPr>
        <w:tab/>
        <w:t xml:space="preserve">Gan </w:t>
      </w:r>
      <w:r w:rsidRPr="00724502">
        <w:rPr>
          <w:rFonts w:ascii="Times New Roman" w:hAnsi="Times New Roman" w:cs="Times New Roman"/>
          <w:noProof/>
          <w:sz w:val="24"/>
          <w:szCs w:val="24"/>
        </w:rPr>
        <w:t>Y</w:t>
      </w:r>
      <w:r>
        <w:rPr>
          <w:rFonts w:ascii="Times New Roman" w:hAnsi="Times New Roman" w:cs="Times New Roman"/>
          <w:noProof/>
          <w:sz w:val="24"/>
          <w:szCs w:val="24"/>
        </w:rPr>
        <w:t>, Yang C, Tong X</w:t>
      </w:r>
      <w:r w:rsidRPr="00724502">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sidRPr="00724502">
        <w:rPr>
          <w:rFonts w:ascii="Times New Roman" w:hAnsi="Times New Roman" w:cs="Times New Roman"/>
          <w:noProof/>
          <w:sz w:val="24"/>
          <w:szCs w:val="24"/>
        </w:rPr>
        <w:t xml:space="preserve"> </w:t>
      </w:r>
      <w:r w:rsidRPr="00637F8C">
        <w:rPr>
          <w:rFonts w:ascii="Times New Roman" w:hAnsi="Times New Roman" w:cs="Times New Roman"/>
          <w:noProof/>
          <w:sz w:val="24"/>
          <w:szCs w:val="24"/>
        </w:rPr>
        <w:t>(</w:t>
      </w:r>
      <w:r w:rsidRPr="00951ADC">
        <w:rPr>
          <w:rFonts w:ascii="Times New Roman" w:hAnsi="Times New Roman" w:cs="Times New Roman"/>
          <w:noProof/>
          <w:color w:val="FF0000"/>
          <w:sz w:val="24"/>
          <w:szCs w:val="24"/>
        </w:rPr>
        <w:t>2015</w:t>
      </w:r>
      <w:r w:rsidRPr="00637F8C">
        <w:rPr>
          <w:rFonts w:ascii="Times New Roman" w:hAnsi="Times New Roman" w:cs="Times New Roman"/>
          <w:noProof/>
          <w:sz w:val="24"/>
          <w:szCs w:val="24"/>
        </w:rPr>
        <w:t>)</w:t>
      </w:r>
      <w:r>
        <w:rPr>
          <w:rFonts w:ascii="Times New Roman" w:hAnsi="Times New Roman" w:cs="Times New Roman"/>
          <w:noProof/>
          <w:sz w:val="24"/>
          <w:szCs w:val="24"/>
        </w:rPr>
        <w:t xml:space="preserve"> </w:t>
      </w:r>
      <w:r w:rsidRPr="00724502">
        <w:rPr>
          <w:rFonts w:ascii="Times New Roman" w:hAnsi="Times New Roman" w:cs="Times New Roman"/>
          <w:noProof/>
          <w:sz w:val="24"/>
          <w:szCs w:val="24"/>
        </w:rPr>
        <w:t xml:space="preserve">Shift work and diabetes mellitus: a meta-analysis of observational studies. </w:t>
      </w:r>
      <w:r>
        <w:rPr>
          <w:rFonts w:ascii="Times New Roman" w:hAnsi="Times New Roman" w:cs="Times New Roman"/>
          <w:i/>
          <w:iCs/>
          <w:noProof/>
          <w:sz w:val="24"/>
          <w:szCs w:val="24"/>
        </w:rPr>
        <w:t>Occup Environ Med</w:t>
      </w:r>
      <w:r w:rsidRPr="00724502">
        <w:rPr>
          <w:rFonts w:ascii="Times New Roman" w:hAnsi="Times New Roman" w:cs="Times New Roman"/>
          <w:noProof/>
          <w:sz w:val="24"/>
          <w:szCs w:val="24"/>
        </w:rPr>
        <w:t xml:space="preserve"> </w:t>
      </w:r>
      <w:r w:rsidRPr="00951ADC">
        <w:rPr>
          <w:rFonts w:ascii="Times New Roman" w:hAnsi="Times New Roman" w:cs="Times New Roman"/>
          <w:b/>
          <w:bCs/>
          <w:noProof/>
          <w:color w:val="FF0000"/>
          <w:sz w:val="24"/>
          <w:szCs w:val="24"/>
        </w:rPr>
        <w:t>72,</w:t>
      </w:r>
      <w:r w:rsidRPr="00951ADC">
        <w:rPr>
          <w:rFonts w:ascii="Times New Roman" w:hAnsi="Times New Roman" w:cs="Times New Roman"/>
          <w:noProof/>
          <w:color w:val="FF0000"/>
          <w:sz w:val="24"/>
          <w:szCs w:val="24"/>
        </w:rPr>
        <w:t xml:space="preserve"> 72–78</w:t>
      </w:r>
      <w:r w:rsidRPr="00724502">
        <w:rPr>
          <w:rFonts w:ascii="Times New Roman" w:hAnsi="Times New Roman" w:cs="Times New Roman"/>
          <w:noProof/>
          <w:sz w:val="24"/>
          <w:szCs w:val="24"/>
        </w:rPr>
        <w:t>.</w:t>
      </w:r>
    </w:p>
    <w:p w14:paraId="5C67957B"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35.</w:t>
      </w:r>
      <w:r>
        <w:rPr>
          <w:rFonts w:ascii="Times New Roman" w:hAnsi="Times New Roman" w:cs="Times New Roman"/>
          <w:noProof/>
          <w:sz w:val="24"/>
          <w:szCs w:val="24"/>
        </w:rPr>
        <w:tab/>
        <w:t>Colles SL, Dixon</w:t>
      </w:r>
      <w:r w:rsidRPr="00724502">
        <w:rPr>
          <w:rFonts w:ascii="Times New Roman" w:hAnsi="Times New Roman" w:cs="Times New Roman"/>
          <w:noProof/>
          <w:sz w:val="24"/>
          <w:szCs w:val="24"/>
        </w:rPr>
        <w:t xml:space="preserve"> J</w:t>
      </w:r>
      <w:r>
        <w:rPr>
          <w:rFonts w:ascii="Times New Roman" w:hAnsi="Times New Roman" w:cs="Times New Roman"/>
          <w:noProof/>
          <w:sz w:val="24"/>
          <w:szCs w:val="24"/>
        </w:rPr>
        <w:t>B</w:t>
      </w:r>
      <w:r w:rsidRPr="00724502">
        <w:rPr>
          <w:rFonts w:ascii="Times New Roman" w:hAnsi="Times New Roman" w:cs="Times New Roman"/>
          <w:noProof/>
          <w:sz w:val="24"/>
          <w:szCs w:val="24"/>
        </w:rPr>
        <w:t xml:space="preserve"> &amp; O’Brien PE</w:t>
      </w:r>
      <w:r>
        <w:rPr>
          <w:rFonts w:ascii="Times New Roman" w:hAnsi="Times New Roman" w:cs="Times New Roman"/>
          <w:noProof/>
          <w:sz w:val="24"/>
          <w:szCs w:val="24"/>
        </w:rPr>
        <w:t xml:space="preserve"> (2007)</w:t>
      </w:r>
      <w:r w:rsidRPr="00724502">
        <w:rPr>
          <w:rFonts w:ascii="Times New Roman" w:hAnsi="Times New Roman" w:cs="Times New Roman"/>
          <w:noProof/>
          <w:sz w:val="24"/>
          <w:szCs w:val="24"/>
        </w:rPr>
        <w:t xml:space="preserve"> Night eating syndrome and nocturnal snacking: association with obesity, binge eating and psychological distress. </w:t>
      </w:r>
      <w:r>
        <w:rPr>
          <w:rFonts w:ascii="Times New Roman" w:hAnsi="Times New Roman" w:cs="Times New Roman"/>
          <w:i/>
          <w:iCs/>
          <w:noProof/>
          <w:sz w:val="24"/>
          <w:szCs w:val="24"/>
        </w:rPr>
        <w:t>Int J Obes</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31,</w:t>
      </w:r>
      <w:r>
        <w:rPr>
          <w:rFonts w:ascii="Times New Roman" w:hAnsi="Times New Roman" w:cs="Times New Roman"/>
          <w:noProof/>
          <w:sz w:val="24"/>
          <w:szCs w:val="24"/>
        </w:rPr>
        <w:t xml:space="preserve"> 1722–1730</w:t>
      </w:r>
      <w:r w:rsidRPr="00724502">
        <w:rPr>
          <w:rFonts w:ascii="Times New Roman" w:hAnsi="Times New Roman" w:cs="Times New Roman"/>
          <w:noProof/>
          <w:sz w:val="24"/>
          <w:szCs w:val="24"/>
        </w:rPr>
        <w:t>.</w:t>
      </w:r>
    </w:p>
    <w:p w14:paraId="0CDE6CAC"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36.</w:t>
      </w:r>
      <w:r>
        <w:rPr>
          <w:rFonts w:ascii="Times New Roman" w:hAnsi="Times New Roman" w:cs="Times New Roman"/>
          <w:noProof/>
          <w:sz w:val="24"/>
          <w:szCs w:val="24"/>
        </w:rPr>
        <w:tab/>
        <w:t xml:space="preserve">Smith </w:t>
      </w:r>
      <w:r w:rsidRPr="00724502">
        <w:rPr>
          <w:rFonts w:ascii="Times New Roman" w:hAnsi="Times New Roman" w:cs="Times New Roman"/>
          <w:noProof/>
          <w:sz w:val="24"/>
          <w:szCs w:val="24"/>
        </w:rPr>
        <w:t>KJ</w:t>
      </w:r>
      <w:r>
        <w:rPr>
          <w:rFonts w:ascii="Times New Roman" w:hAnsi="Times New Roman" w:cs="Times New Roman"/>
          <w:noProof/>
          <w:sz w:val="24"/>
          <w:szCs w:val="24"/>
        </w:rPr>
        <w:t>, Gall SL, McNaughton SA</w:t>
      </w:r>
      <w:r w:rsidRPr="00724502">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(2010) </w:t>
      </w:r>
      <w:r w:rsidRPr="00724502">
        <w:rPr>
          <w:rFonts w:ascii="Times New Roman" w:hAnsi="Times New Roman" w:cs="Times New Roman"/>
          <w:noProof/>
          <w:sz w:val="24"/>
          <w:szCs w:val="24"/>
        </w:rPr>
        <w:t xml:space="preserve">Skipping breakfast: longitudinal associations with cardiometabolic risk factors in the Childhood Determinants of Adult Health Study. </w:t>
      </w:r>
      <w:r>
        <w:rPr>
          <w:rFonts w:ascii="Times New Roman" w:hAnsi="Times New Roman" w:cs="Times New Roman"/>
          <w:i/>
          <w:iCs/>
          <w:noProof/>
          <w:sz w:val="24"/>
          <w:szCs w:val="24"/>
        </w:rPr>
        <w:t>Am</w:t>
      </w:r>
      <w:r w:rsidRPr="00724502">
        <w:rPr>
          <w:rFonts w:ascii="Times New Roman" w:hAnsi="Times New Roman" w:cs="Times New Roman"/>
          <w:i/>
          <w:iCs/>
          <w:noProof/>
          <w:sz w:val="24"/>
          <w:szCs w:val="24"/>
        </w:rPr>
        <w:t xml:space="preserve"> J Clin Nutr</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92,</w:t>
      </w:r>
      <w:r w:rsidRPr="00724502">
        <w:rPr>
          <w:rFonts w:ascii="Times New Roman" w:hAnsi="Times New Roman" w:cs="Times New Roman"/>
          <w:noProof/>
          <w:sz w:val="24"/>
          <w:szCs w:val="24"/>
        </w:rPr>
        <w:t xml:space="preserve"> 1316–1325.</w:t>
      </w:r>
    </w:p>
    <w:p w14:paraId="4BFBC5EB"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37.</w:t>
      </w:r>
      <w:r>
        <w:rPr>
          <w:rFonts w:ascii="Times New Roman" w:hAnsi="Times New Roman" w:cs="Times New Roman"/>
          <w:noProof/>
          <w:sz w:val="24"/>
          <w:szCs w:val="24"/>
        </w:rPr>
        <w:tab/>
        <w:t>Mohawk</w:t>
      </w:r>
      <w:r w:rsidRPr="00724502">
        <w:rPr>
          <w:rFonts w:ascii="Times New Roman" w:hAnsi="Times New Roman" w:cs="Times New Roman"/>
          <w:noProof/>
          <w:sz w:val="24"/>
          <w:szCs w:val="24"/>
        </w:rPr>
        <w:t xml:space="preserve"> J</w:t>
      </w:r>
      <w:r>
        <w:rPr>
          <w:rFonts w:ascii="Times New Roman" w:hAnsi="Times New Roman" w:cs="Times New Roman"/>
          <w:noProof/>
          <w:sz w:val="24"/>
          <w:szCs w:val="24"/>
        </w:rPr>
        <w:t>A, Green</w:t>
      </w:r>
      <w:r w:rsidRPr="00724502">
        <w:rPr>
          <w:rFonts w:ascii="Times New Roman" w:hAnsi="Times New Roman" w:cs="Times New Roman"/>
          <w:noProof/>
          <w:sz w:val="24"/>
          <w:szCs w:val="24"/>
        </w:rPr>
        <w:t xml:space="preserve"> CB &amp; Takahashi J</w:t>
      </w:r>
      <w:r>
        <w:rPr>
          <w:rFonts w:ascii="Times New Roman" w:hAnsi="Times New Roman" w:cs="Times New Roman"/>
          <w:noProof/>
          <w:sz w:val="24"/>
          <w:szCs w:val="24"/>
        </w:rPr>
        <w:t>S (2012) Central and p</w:t>
      </w:r>
      <w:r w:rsidRPr="00724502">
        <w:rPr>
          <w:rFonts w:ascii="Times New Roman" w:hAnsi="Times New Roman" w:cs="Times New Roman"/>
          <w:noProof/>
          <w:sz w:val="24"/>
          <w:szCs w:val="24"/>
        </w:rPr>
        <w:t xml:space="preserve">eripheral </w:t>
      </w:r>
      <w:r>
        <w:rPr>
          <w:rFonts w:ascii="Times New Roman" w:hAnsi="Times New Roman" w:cs="Times New Roman"/>
          <w:noProof/>
          <w:sz w:val="24"/>
          <w:szCs w:val="24"/>
        </w:rPr>
        <w:t>circadian clocks in m</w:t>
      </w:r>
      <w:r w:rsidRPr="00724502">
        <w:rPr>
          <w:rFonts w:ascii="Times New Roman" w:hAnsi="Times New Roman" w:cs="Times New Roman"/>
          <w:noProof/>
          <w:sz w:val="24"/>
          <w:szCs w:val="24"/>
        </w:rPr>
        <w:t xml:space="preserve">ammals. </w:t>
      </w:r>
      <w:r>
        <w:rPr>
          <w:rFonts w:ascii="Times New Roman" w:hAnsi="Times New Roman" w:cs="Times New Roman"/>
          <w:i/>
          <w:iCs/>
          <w:noProof/>
          <w:sz w:val="24"/>
          <w:szCs w:val="24"/>
        </w:rPr>
        <w:t>Annu Rev Neurosci</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35,</w:t>
      </w:r>
      <w:r>
        <w:rPr>
          <w:rFonts w:ascii="Times New Roman" w:hAnsi="Times New Roman" w:cs="Times New Roman"/>
          <w:noProof/>
          <w:sz w:val="24"/>
          <w:szCs w:val="24"/>
        </w:rPr>
        <w:t xml:space="preserve"> 445–462</w:t>
      </w:r>
      <w:r w:rsidRPr="00724502">
        <w:rPr>
          <w:rFonts w:ascii="Times New Roman" w:hAnsi="Times New Roman" w:cs="Times New Roman"/>
          <w:noProof/>
          <w:sz w:val="24"/>
          <w:szCs w:val="24"/>
        </w:rPr>
        <w:t>.</w:t>
      </w:r>
    </w:p>
    <w:p w14:paraId="14E4B47F"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38.</w:t>
      </w:r>
      <w:r>
        <w:rPr>
          <w:rFonts w:ascii="Times New Roman" w:hAnsi="Times New Roman" w:cs="Times New Roman"/>
          <w:noProof/>
          <w:sz w:val="24"/>
          <w:szCs w:val="24"/>
        </w:rPr>
        <w:tab/>
        <w:t>Longo</w:t>
      </w:r>
      <w:r w:rsidRPr="00724502">
        <w:rPr>
          <w:rFonts w:ascii="Times New Roman" w:hAnsi="Times New Roman" w:cs="Times New Roman"/>
          <w:noProof/>
          <w:sz w:val="24"/>
          <w:szCs w:val="24"/>
        </w:rPr>
        <w:t xml:space="preserve"> VD &amp; Panda</w:t>
      </w:r>
      <w:r>
        <w:rPr>
          <w:rFonts w:ascii="Times New Roman" w:hAnsi="Times New Roman" w:cs="Times New Roman"/>
          <w:noProof/>
          <w:sz w:val="24"/>
          <w:szCs w:val="24"/>
        </w:rPr>
        <w:t xml:space="preserve"> S (2016) Fasting, c</w:t>
      </w:r>
      <w:r w:rsidRPr="00724502">
        <w:rPr>
          <w:rFonts w:ascii="Times New Roman" w:hAnsi="Times New Roman" w:cs="Times New Roman"/>
          <w:noProof/>
          <w:sz w:val="24"/>
          <w:szCs w:val="24"/>
        </w:rPr>
        <w:t xml:space="preserve">ircadian </w:t>
      </w:r>
      <w:r>
        <w:rPr>
          <w:rFonts w:ascii="Times New Roman" w:hAnsi="Times New Roman" w:cs="Times New Roman"/>
          <w:noProof/>
          <w:sz w:val="24"/>
          <w:szCs w:val="24"/>
        </w:rPr>
        <w:t>rhythms, and time-r</w:t>
      </w:r>
      <w:r w:rsidRPr="00724502">
        <w:rPr>
          <w:rFonts w:ascii="Times New Roman" w:hAnsi="Times New Roman" w:cs="Times New Roman"/>
          <w:noProof/>
          <w:sz w:val="24"/>
          <w:szCs w:val="24"/>
        </w:rPr>
        <w:t xml:space="preserve">estricted </w:t>
      </w:r>
      <w:r>
        <w:rPr>
          <w:rFonts w:ascii="Times New Roman" w:hAnsi="Times New Roman" w:cs="Times New Roman"/>
          <w:noProof/>
          <w:sz w:val="24"/>
          <w:szCs w:val="24"/>
        </w:rPr>
        <w:t>feeding in h</w:t>
      </w:r>
      <w:r w:rsidRPr="00724502">
        <w:rPr>
          <w:rFonts w:ascii="Times New Roman" w:hAnsi="Times New Roman" w:cs="Times New Roman"/>
          <w:noProof/>
          <w:sz w:val="24"/>
          <w:szCs w:val="24"/>
        </w:rPr>
        <w:t xml:space="preserve">ealthy </w:t>
      </w:r>
      <w:r>
        <w:rPr>
          <w:rFonts w:ascii="Times New Roman" w:hAnsi="Times New Roman" w:cs="Times New Roman"/>
          <w:noProof/>
          <w:sz w:val="24"/>
          <w:szCs w:val="24"/>
        </w:rPr>
        <w:t>l</w:t>
      </w:r>
      <w:r w:rsidRPr="00724502">
        <w:rPr>
          <w:rFonts w:ascii="Times New Roman" w:hAnsi="Times New Roman" w:cs="Times New Roman"/>
          <w:noProof/>
          <w:sz w:val="24"/>
          <w:szCs w:val="24"/>
        </w:rPr>
        <w:t xml:space="preserve">ifespan. </w:t>
      </w:r>
      <w:r w:rsidRPr="00724502">
        <w:rPr>
          <w:rFonts w:ascii="Times New Roman" w:hAnsi="Times New Roman" w:cs="Times New Roman"/>
          <w:i/>
          <w:iCs/>
          <w:noProof/>
          <w:sz w:val="24"/>
          <w:szCs w:val="24"/>
        </w:rPr>
        <w:t>Cell Metab</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23,</w:t>
      </w:r>
      <w:r w:rsidRPr="00724502">
        <w:rPr>
          <w:rFonts w:ascii="Times New Roman" w:hAnsi="Times New Roman" w:cs="Times New Roman"/>
          <w:noProof/>
          <w:sz w:val="24"/>
          <w:szCs w:val="24"/>
        </w:rPr>
        <w:t xml:space="preserve"> 1048–1059.</w:t>
      </w:r>
    </w:p>
    <w:p w14:paraId="24ED23BC"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39.</w:t>
      </w:r>
      <w:r>
        <w:rPr>
          <w:rFonts w:ascii="Times New Roman" w:hAnsi="Times New Roman" w:cs="Times New Roman"/>
          <w:noProof/>
          <w:sz w:val="24"/>
          <w:szCs w:val="24"/>
        </w:rPr>
        <w:tab/>
        <w:t>Laplante</w:t>
      </w:r>
      <w:r w:rsidRPr="00724502">
        <w:rPr>
          <w:rFonts w:ascii="Times New Roman" w:hAnsi="Times New Roman" w:cs="Times New Roman"/>
          <w:noProof/>
          <w:sz w:val="24"/>
          <w:szCs w:val="24"/>
        </w:rPr>
        <w:t xml:space="preserve"> M &amp; Sabatini DM</w:t>
      </w:r>
      <w:r>
        <w:rPr>
          <w:rFonts w:ascii="Times New Roman" w:hAnsi="Times New Roman" w:cs="Times New Roman"/>
          <w:noProof/>
          <w:sz w:val="24"/>
          <w:szCs w:val="24"/>
        </w:rPr>
        <w:t xml:space="preserve"> (2012) mTOR signaling in g</w:t>
      </w:r>
      <w:r w:rsidRPr="0093527A">
        <w:rPr>
          <w:rFonts w:ascii="Times New Roman" w:hAnsi="Times New Roman" w:cs="Times New Roman"/>
          <w:noProof/>
          <w:sz w:val="24"/>
          <w:szCs w:val="24"/>
        </w:rPr>
        <w:t xml:space="preserve">rowth </w:t>
      </w:r>
      <w:r>
        <w:rPr>
          <w:rFonts w:ascii="Times New Roman" w:hAnsi="Times New Roman" w:cs="Times New Roman"/>
          <w:noProof/>
          <w:sz w:val="24"/>
          <w:szCs w:val="24"/>
        </w:rPr>
        <w:t>c</w:t>
      </w:r>
      <w:r w:rsidRPr="0093527A">
        <w:rPr>
          <w:rFonts w:ascii="Times New Roman" w:hAnsi="Times New Roman" w:cs="Times New Roman"/>
          <w:noProof/>
          <w:sz w:val="24"/>
          <w:szCs w:val="24"/>
        </w:rPr>
        <w:t xml:space="preserve">ontrol and </w:t>
      </w:r>
      <w:r>
        <w:rPr>
          <w:rFonts w:ascii="Times New Roman" w:hAnsi="Times New Roman" w:cs="Times New Roman"/>
          <w:noProof/>
          <w:sz w:val="24"/>
          <w:szCs w:val="24"/>
        </w:rPr>
        <w:t>d</w:t>
      </w:r>
      <w:r w:rsidRPr="0093527A">
        <w:rPr>
          <w:rFonts w:ascii="Times New Roman" w:hAnsi="Times New Roman" w:cs="Times New Roman"/>
          <w:noProof/>
          <w:sz w:val="24"/>
          <w:szCs w:val="24"/>
        </w:rPr>
        <w:t>isease</w:t>
      </w:r>
      <w:r w:rsidRPr="00724502">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Cell</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149,</w:t>
      </w:r>
      <w:r>
        <w:rPr>
          <w:rFonts w:ascii="Times New Roman" w:hAnsi="Times New Roman" w:cs="Times New Roman"/>
          <w:noProof/>
          <w:sz w:val="24"/>
          <w:szCs w:val="24"/>
        </w:rPr>
        <w:t xml:space="preserve"> 274–293</w:t>
      </w:r>
      <w:r w:rsidRPr="00724502">
        <w:rPr>
          <w:rFonts w:ascii="Times New Roman" w:hAnsi="Times New Roman" w:cs="Times New Roman"/>
          <w:noProof/>
          <w:sz w:val="24"/>
          <w:szCs w:val="24"/>
        </w:rPr>
        <w:t>.</w:t>
      </w:r>
    </w:p>
    <w:p w14:paraId="3880B498"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40.</w:t>
      </w:r>
      <w:r>
        <w:rPr>
          <w:rFonts w:ascii="Times New Roman" w:hAnsi="Times New Roman" w:cs="Times New Roman"/>
          <w:noProof/>
          <w:sz w:val="24"/>
          <w:szCs w:val="24"/>
        </w:rPr>
        <w:tab/>
        <w:t>Wang</w:t>
      </w:r>
      <w:r w:rsidRPr="00724502">
        <w:rPr>
          <w:rFonts w:ascii="Times New Roman" w:hAnsi="Times New Roman" w:cs="Times New Roman"/>
          <w:noProof/>
          <w:sz w:val="24"/>
          <w:szCs w:val="24"/>
        </w:rPr>
        <w:t xml:space="preserve"> JB</w:t>
      </w:r>
      <w:r>
        <w:rPr>
          <w:rFonts w:ascii="Times New Roman" w:hAnsi="Times New Roman" w:cs="Times New Roman"/>
          <w:noProof/>
          <w:sz w:val="24"/>
          <w:szCs w:val="24"/>
        </w:rPr>
        <w:t>, Patterson RE, Ang A</w:t>
      </w:r>
      <w:r w:rsidRPr="00724502">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(2014) </w:t>
      </w:r>
      <w:r w:rsidRPr="00724502">
        <w:rPr>
          <w:rFonts w:ascii="Times New Roman" w:hAnsi="Times New Roman" w:cs="Times New Roman"/>
          <w:noProof/>
          <w:sz w:val="24"/>
          <w:szCs w:val="24"/>
        </w:rPr>
        <w:t xml:space="preserve">Timing of energy intake during the day is associated with the risk of obesity in adults. </w:t>
      </w:r>
      <w:r>
        <w:rPr>
          <w:rFonts w:ascii="Times New Roman" w:hAnsi="Times New Roman" w:cs="Times New Roman"/>
          <w:i/>
          <w:iCs/>
          <w:noProof/>
          <w:sz w:val="24"/>
          <w:szCs w:val="24"/>
        </w:rPr>
        <w:t>J</w:t>
      </w:r>
      <w:r w:rsidRPr="00724502">
        <w:rPr>
          <w:rFonts w:ascii="Times New Roman" w:hAnsi="Times New Roman" w:cs="Times New Roman"/>
          <w:i/>
          <w:iCs/>
          <w:noProof/>
          <w:sz w:val="24"/>
          <w:szCs w:val="24"/>
        </w:rPr>
        <w:t xml:space="preserve"> Hum Nutr Diet</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27,</w:t>
      </w:r>
      <w:r w:rsidRPr="00724502">
        <w:rPr>
          <w:rFonts w:ascii="Times New Roman" w:hAnsi="Times New Roman" w:cs="Times New Roman"/>
          <w:noProof/>
          <w:sz w:val="24"/>
          <w:szCs w:val="24"/>
        </w:rPr>
        <w:t xml:space="preserve"> </w:t>
      </w:r>
      <w:r w:rsidRPr="00951ADC">
        <w:rPr>
          <w:rFonts w:ascii="Times New Roman" w:hAnsi="Times New Roman" w:cs="Times New Roman"/>
          <w:noProof/>
          <w:color w:val="FF0000"/>
          <w:sz w:val="24"/>
          <w:szCs w:val="24"/>
        </w:rPr>
        <w:t>Suppl. 2,</w:t>
      </w:r>
      <w:r>
        <w:rPr>
          <w:rFonts w:ascii="Times New Roman" w:hAnsi="Times New Roman" w:cs="Times New Roman"/>
          <w:noProof/>
          <w:sz w:val="24"/>
          <w:szCs w:val="24"/>
        </w:rPr>
        <w:t xml:space="preserve">  25</w:t>
      </w:r>
      <w:r w:rsidRPr="00724502">
        <w:rPr>
          <w:rFonts w:ascii="Times New Roman" w:hAnsi="Times New Roman" w:cs="Times New Roman"/>
          <w:noProof/>
          <w:sz w:val="24"/>
          <w:szCs w:val="24"/>
        </w:rPr>
        <w:t>5–262.</w:t>
      </w:r>
    </w:p>
    <w:p w14:paraId="3C9D0821"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24502">
        <w:rPr>
          <w:rFonts w:ascii="Times New Roman" w:hAnsi="Times New Roman" w:cs="Times New Roman"/>
          <w:noProof/>
          <w:sz w:val="24"/>
          <w:szCs w:val="24"/>
        </w:rPr>
        <w:t>41.</w:t>
      </w:r>
      <w:r w:rsidRPr="00724502">
        <w:rPr>
          <w:rFonts w:ascii="Times New Roman" w:hAnsi="Times New Roman" w:cs="Times New Roman"/>
          <w:noProof/>
          <w:sz w:val="24"/>
          <w:szCs w:val="24"/>
        </w:rPr>
        <w:tab/>
        <w:t>Jakubowicz</w:t>
      </w:r>
      <w:r>
        <w:rPr>
          <w:rFonts w:ascii="Times New Roman" w:hAnsi="Times New Roman" w:cs="Times New Roman"/>
          <w:noProof/>
          <w:sz w:val="24"/>
          <w:szCs w:val="24"/>
        </w:rPr>
        <w:t xml:space="preserve"> D</w:t>
      </w:r>
      <w:r w:rsidRPr="00724502">
        <w:rPr>
          <w:rFonts w:ascii="Times New Roman" w:hAnsi="Times New Roman" w:cs="Times New Roman"/>
          <w:noProof/>
          <w:sz w:val="24"/>
          <w:szCs w:val="24"/>
        </w:rPr>
        <w:t>, Barnea</w:t>
      </w:r>
      <w:r>
        <w:rPr>
          <w:rFonts w:ascii="Times New Roman" w:hAnsi="Times New Roman" w:cs="Times New Roman"/>
          <w:noProof/>
          <w:sz w:val="24"/>
          <w:szCs w:val="24"/>
        </w:rPr>
        <w:t xml:space="preserve"> M</w:t>
      </w:r>
      <w:r w:rsidRPr="00724502">
        <w:rPr>
          <w:rFonts w:ascii="Times New Roman" w:hAnsi="Times New Roman" w:cs="Times New Roman"/>
          <w:noProof/>
          <w:sz w:val="24"/>
          <w:szCs w:val="24"/>
        </w:rPr>
        <w:t>, Wainstein J</w:t>
      </w:r>
      <w:r>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(2013) </w:t>
      </w:r>
      <w:r w:rsidRPr="00724502">
        <w:rPr>
          <w:rFonts w:ascii="Times New Roman" w:hAnsi="Times New Roman" w:cs="Times New Roman"/>
          <w:noProof/>
          <w:sz w:val="24"/>
          <w:szCs w:val="24"/>
        </w:rPr>
        <w:t xml:space="preserve">High caloric intake at breakfast vs. dinner differentially influences weight loss of overweight and obese women. </w:t>
      </w:r>
      <w:r w:rsidRPr="00724502">
        <w:rPr>
          <w:rFonts w:ascii="Times New Roman" w:hAnsi="Times New Roman" w:cs="Times New Roman"/>
          <w:i/>
          <w:iCs/>
          <w:noProof/>
          <w:sz w:val="24"/>
          <w:szCs w:val="24"/>
        </w:rPr>
        <w:t>Obesity</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21,</w:t>
      </w:r>
      <w:r>
        <w:rPr>
          <w:rFonts w:ascii="Times New Roman" w:hAnsi="Times New Roman" w:cs="Times New Roman"/>
          <w:noProof/>
          <w:sz w:val="24"/>
          <w:szCs w:val="24"/>
        </w:rPr>
        <w:t xml:space="preserve"> 2504–2512</w:t>
      </w:r>
      <w:r w:rsidRPr="00724502">
        <w:rPr>
          <w:rFonts w:ascii="Times New Roman" w:hAnsi="Times New Roman" w:cs="Times New Roman"/>
          <w:noProof/>
          <w:sz w:val="24"/>
          <w:szCs w:val="24"/>
        </w:rPr>
        <w:t>.</w:t>
      </w:r>
    </w:p>
    <w:p w14:paraId="6F4DBCD1"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42.</w:t>
      </w:r>
      <w:r>
        <w:rPr>
          <w:rFonts w:ascii="Times New Roman" w:hAnsi="Times New Roman" w:cs="Times New Roman"/>
          <w:noProof/>
          <w:sz w:val="24"/>
          <w:szCs w:val="24"/>
        </w:rPr>
        <w:tab/>
        <w:t>Gluck ME</w:t>
      </w:r>
      <w:r w:rsidRPr="00724502">
        <w:rPr>
          <w:rFonts w:ascii="Times New Roman" w:hAnsi="Times New Roman" w:cs="Times New Roman"/>
          <w:noProof/>
          <w:sz w:val="24"/>
          <w:szCs w:val="24"/>
        </w:rPr>
        <w:t>, Venti</w:t>
      </w:r>
      <w:r>
        <w:rPr>
          <w:rFonts w:ascii="Times New Roman" w:hAnsi="Times New Roman" w:cs="Times New Roman"/>
          <w:noProof/>
          <w:sz w:val="24"/>
          <w:szCs w:val="24"/>
        </w:rPr>
        <w:t xml:space="preserve"> CA</w:t>
      </w:r>
      <w:r w:rsidRPr="00724502">
        <w:rPr>
          <w:rFonts w:ascii="Times New Roman" w:hAnsi="Times New Roman" w:cs="Times New Roman"/>
          <w:noProof/>
          <w:sz w:val="24"/>
          <w:szCs w:val="24"/>
        </w:rPr>
        <w:t>, Salbe AD</w:t>
      </w:r>
      <w:r>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(2008) </w:t>
      </w:r>
      <w:r w:rsidRPr="00724502">
        <w:rPr>
          <w:rFonts w:ascii="Times New Roman" w:hAnsi="Times New Roman" w:cs="Times New Roman"/>
          <w:noProof/>
          <w:sz w:val="24"/>
          <w:szCs w:val="24"/>
        </w:rPr>
        <w:t xml:space="preserve">Nighttime eating: commonly observed and related to weight gain in an inpatient food intake study. </w:t>
      </w:r>
      <w:r w:rsidRPr="00724502">
        <w:rPr>
          <w:rFonts w:ascii="Times New Roman" w:hAnsi="Times New Roman" w:cs="Times New Roman"/>
          <w:i/>
          <w:iCs/>
          <w:noProof/>
          <w:sz w:val="24"/>
          <w:szCs w:val="24"/>
        </w:rPr>
        <w:t>Am J Clin Nutr</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88,</w:t>
      </w:r>
      <w:r w:rsidRPr="00724502">
        <w:rPr>
          <w:rFonts w:ascii="Times New Roman" w:hAnsi="Times New Roman" w:cs="Times New Roman"/>
          <w:noProof/>
          <w:sz w:val="24"/>
          <w:szCs w:val="24"/>
        </w:rPr>
        <w:t xml:space="preserve"> 900–</w:t>
      </w:r>
      <w:r>
        <w:rPr>
          <w:rFonts w:ascii="Times New Roman" w:hAnsi="Times New Roman" w:cs="Times New Roman"/>
          <w:noProof/>
          <w:sz w:val="24"/>
          <w:szCs w:val="24"/>
        </w:rPr>
        <w:t>905</w:t>
      </w:r>
      <w:r w:rsidRPr="00724502">
        <w:rPr>
          <w:rFonts w:ascii="Times New Roman" w:hAnsi="Times New Roman" w:cs="Times New Roman"/>
          <w:noProof/>
          <w:sz w:val="24"/>
          <w:szCs w:val="24"/>
        </w:rPr>
        <w:t>.</w:t>
      </w:r>
    </w:p>
    <w:p w14:paraId="14518E2C" w14:textId="77777777" w:rsidR="001459A4"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43.</w:t>
      </w:r>
      <w:r>
        <w:rPr>
          <w:rFonts w:ascii="Times New Roman" w:hAnsi="Times New Roman" w:cs="Times New Roman"/>
          <w:noProof/>
          <w:sz w:val="24"/>
          <w:szCs w:val="24"/>
        </w:rPr>
        <w:tab/>
        <w:t>McDonald L, Wardle J, Llewellyn CH</w:t>
      </w:r>
      <w:r w:rsidRPr="00724502">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(2015) </w:t>
      </w:r>
      <w:r w:rsidRPr="00724502">
        <w:rPr>
          <w:rFonts w:ascii="Times New Roman" w:hAnsi="Times New Roman" w:cs="Times New Roman"/>
          <w:noProof/>
          <w:sz w:val="24"/>
          <w:szCs w:val="24"/>
        </w:rPr>
        <w:t xml:space="preserve">Sleep and nighttime energy consumption in early childhood: a population-based cohort study. </w:t>
      </w:r>
      <w:r>
        <w:rPr>
          <w:rFonts w:ascii="Times New Roman" w:hAnsi="Times New Roman" w:cs="Times New Roman"/>
          <w:i/>
          <w:iCs/>
          <w:noProof/>
          <w:sz w:val="24"/>
          <w:szCs w:val="24"/>
        </w:rPr>
        <w:t>Pediatr</w:t>
      </w:r>
      <w:r w:rsidRPr="00724502">
        <w:rPr>
          <w:rFonts w:ascii="Times New Roman" w:hAnsi="Times New Roman" w:cs="Times New Roman"/>
          <w:i/>
          <w:iCs/>
          <w:noProof/>
          <w:sz w:val="24"/>
          <w:szCs w:val="24"/>
        </w:rPr>
        <w:t xml:space="preserve"> Obes</w:t>
      </w:r>
      <w:r w:rsidRPr="00724502">
        <w:rPr>
          <w:rFonts w:ascii="Times New Roman" w:hAnsi="Times New Roman" w:cs="Times New Roman"/>
          <w:noProof/>
          <w:sz w:val="24"/>
          <w:szCs w:val="24"/>
        </w:rPr>
        <w:t xml:space="preserve"> </w:t>
      </w:r>
      <w:r w:rsidRPr="00D8729F">
        <w:rPr>
          <w:rFonts w:ascii="Times New Roman" w:hAnsi="Times New Roman" w:cs="Times New Roman"/>
          <w:b/>
          <w:noProof/>
          <w:sz w:val="24"/>
          <w:szCs w:val="24"/>
        </w:rPr>
        <w:t>10</w:t>
      </w:r>
      <w:r w:rsidRPr="00724502">
        <w:rPr>
          <w:rFonts w:ascii="Times New Roman" w:hAnsi="Times New Roman" w:cs="Times New Roman"/>
          <w:b/>
          <w:bCs/>
          <w:noProof/>
          <w:sz w:val="24"/>
          <w:szCs w:val="24"/>
        </w:rPr>
        <w:t>,</w:t>
      </w:r>
      <w:r>
        <w:rPr>
          <w:rFonts w:ascii="Times New Roman" w:hAnsi="Times New Roman" w:cs="Times New Roman"/>
          <w:noProof/>
          <w:sz w:val="24"/>
          <w:szCs w:val="24"/>
        </w:rPr>
        <w:t xml:space="preserve"> 454</w:t>
      </w:r>
      <w:r w:rsidRPr="00724502">
        <w:rPr>
          <w:rFonts w:ascii="Times New Roman" w:hAnsi="Times New Roman" w:cs="Times New Roman"/>
          <w:noProof/>
          <w:sz w:val="24"/>
          <w:szCs w:val="24"/>
        </w:rPr>
        <w:t>–</w:t>
      </w:r>
      <w:r>
        <w:rPr>
          <w:rFonts w:ascii="Times New Roman" w:hAnsi="Times New Roman" w:cs="Times New Roman"/>
          <w:noProof/>
          <w:sz w:val="24"/>
          <w:szCs w:val="24"/>
        </w:rPr>
        <w:t>460</w:t>
      </w:r>
      <w:r w:rsidRPr="00724502">
        <w:rPr>
          <w:rFonts w:ascii="Times New Roman" w:hAnsi="Times New Roman" w:cs="Times New Roman"/>
          <w:noProof/>
          <w:sz w:val="24"/>
          <w:szCs w:val="24"/>
        </w:rPr>
        <w:t>.</w:t>
      </w:r>
    </w:p>
    <w:p w14:paraId="17C7E536"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44.</w:t>
      </w:r>
      <w:r>
        <w:rPr>
          <w:rFonts w:ascii="Times New Roman" w:hAnsi="Times New Roman" w:cs="Times New Roman"/>
          <w:noProof/>
          <w:sz w:val="24"/>
          <w:szCs w:val="24"/>
        </w:rPr>
        <w:tab/>
        <w:t xml:space="preserve">Perera </w:t>
      </w:r>
      <w:r w:rsidRPr="00724502">
        <w:rPr>
          <w:rFonts w:ascii="Times New Roman" w:hAnsi="Times New Roman" w:cs="Times New Roman"/>
          <w:noProof/>
          <w:sz w:val="24"/>
          <w:szCs w:val="24"/>
        </w:rPr>
        <w:t>PJ</w:t>
      </w:r>
      <w:r>
        <w:rPr>
          <w:rFonts w:ascii="Times New Roman" w:hAnsi="Times New Roman" w:cs="Times New Roman"/>
          <w:noProof/>
          <w:sz w:val="24"/>
          <w:szCs w:val="24"/>
        </w:rPr>
        <w:t>, Fernando</w:t>
      </w:r>
      <w:r w:rsidRPr="00724502">
        <w:rPr>
          <w:rFonts w:ascii="Times New Roman" w:hAnsi="Times New Roman" w:cs="Times New Roman"/>
          <w:noProof/>
          <w:sz w:val="24"/>
          <w:szCs w:val="24"/>
        </w:rPr>
        <w:t xml:space="preserve"> M, Warnakulasuria T </w:t>
      </w:r>
      <w:r w:rsidRPr="00724502">
        <w:rPr>
          <w:rFonts w:ascii="Times New Roman" w:hAnsi="Times New Roman" w:cs="Times New Roman"/>
          <w:i/>
          <w:iCs/>
          <w:noProof/>
          <w:sz w:val="24"/>
          <w:szCs w:val="24"/>
        </w:rPr>
        <w:t>et al.</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(2011) </w:t>
      </w:r>
      <w:r w:rsidRPr="00724502">
        <w:rPr>
          <w:rFonts w:ascii="Times New Roman" w:hAnsi="Times New Roman" w:cs="Times New Roman"/>
          <w:noProof/>
          <w:sz w:val="24"/>
          <w:szCs w:val="24"/>
        </w:rPr>
        <w:t xml:space="preserve">Feeding practices among children attending child welfare clinics in Ragama MOH area: a descriptive cross-sectional study. </w:t>
      </w:r>
      <w:r w:rsidRPr="00724502">
        <w:rPr>
          <w:rFonts w:ascii="Times New Roman" w:hAnsi="Times New Roman" w:cs="Times New Roman"/>
          <w:i/>
          <w:iCs/>
          <w:noProof/>
          <w:sz w:val="24"/>
          <w:szCs w:val="24"/>
        </w:rPr>
        <w:t>Int Breastfeed J</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6,</w:t>
      </w:r>
      <w:r>
        <w:rPr>
          <w:rFonts w:ascii="Times New Roman" w:hAnsi="Times New Roman" w:cs="Times New Roman"/>
          <w:noProof/>
          <w:sz w:val="24"/>
          <w:szCs w:val="24"/>
        </w:rPr>
        <w:t xml:space="preserve"> 18</w:t>
      </w:r>
      <w:r w:rsidRPr="00724502">
        <w:rPr>
          <w:rFonts w:ascii="Times New Roman" w:hAnsi="Times New Roman" w:cs="Times New Roman"/>
          <w:noProof/>
          <w:sz w:val="24"/>
          <w:szCs w:val="24"/>
        </w:rPr>
        <w:t>.</w:t>
      </w:r>
    </w:p>
    <w:p w14:paraId="6AB0F712"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24502">
        <w:rPr>
          <w:rFonts w:ascii="Times New Roman" w:hAnsi="Times New Roman" w:cs="Times New Roman"/>
          <w:noProof/>
          <w:sz w:val="24"/>
          <w:szCs w:val="24"/>
        </w:rPr>
        <w:t>45.</w:t>
      </w:r>
      <w:r w:rsidRPr="00724502">
        <w:rPr>
          <w:rFonts w:ascii="Times New Roman" w:hAnsi="Times New Roman" w:cs="Times New Roman"/>
          <w:noProof/>
          <w:sz w:val="24"/>
          <w:szCs w:val="24"/>
        </w:rPr>
        <w:tab/>
      </w:r>
      <w:r w:rsidRPr="002733A2">
        <w:rPr>
          <w:rFonts w:ascii="Times New Roman" w:hAnsi="Times New Roman" w:cs="Times New Roman"/>
          <w:noProof/>
          <w:sz w:val="24"/>
          <w:szCs w:val="24"/>
        </w:rPr>
        <w:t xml:space="preserve">Health Promotion Board Singapore (2012) </w:t>
      </w:r>
      <w:r>
        <w:rPr>
          <w:rFonts w:ascii="Times New Roman" w:hAnsi="Times New Roman" w:cs="Times New Roman"/>
          <w:noProof/>
          <w:sz w:val="24"/>
          <w:szCs w:val="24"/>
        </w:rPr>
        <w:t>R</w:t>
      </w:r>
      <w:r w:rsidRPr="00724502">
        <w:rPr>
          <w:rFonts w:ascii="Times New Roman" w:hAnsi="Times New Roman" w:cs="Times New Roman"/>
          <w:noProof/>
          <w:sz w:val="24"/>
          <w:szCs w:val="24"/>
        </w:rPr>
        <w:t>ecommended Dietary Allowances.</w:t>
      </w:r>
      <w:r>
        <w:rPr>
          <w:rFonts w:ascii="Times New Roman" w:hAnsi="Times New Roman" w:cs="Times New Roman"/>
          <w:noProof/>
          <w:sz w:val="24"/>
          <w:szCs w:val="24"/>
        </w:rPr>
        <w:t xml:space="preserve"> </w:t>
      </w:r>
      <w:r w:rsidRPr="002733A2">
        <w:rPr>
          <w:rFonts w:ascii="Times New Roman" w:hAnsi="Times New Roman" w:cs="Times New Roman"/>
          <w:noProof/>
          <w:sz w:val="24"/>
          <w:szCs w:val="24"/>
        </w:rPr>
        <w:t>https://www.hpb.gov.sg/HOPPortal/health-article/2652</w:t>
      </w:r>
      <w:r>
        <w:rPr>
          <w:rFonts w:ascii="Times New Roman" w:hAnsi="Times New Roman" w:cs="Times New Roman"/>
          <w:noProof/>
          <w:sz w:val="24"/>
          <w:szCs w:val="24"/>
        </w:rPr>
        <w:t>/ (accessed Sept 2016)</w:t>
      </w:r>
    </w:p>
    <w:p w14:paraId="22035F0F" w14:textId="77777777" w:rsidR="001459A4" w:rsidRPr="00724502" w:rsidRDefault="001459A4" w:rsidP="001459A4">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46.</w:t>
      </w:r>
      <w:r>
        <w:rPr>
          <w:rFonts w:ascii="Times New Roman" w:hAnsi="Times New Roman" w:cs="Times New Roman"/>
          <w:noProof/>
          <w:sz w:val="24"/>
          <w:szCs w:val="24"/>
        </w:rPr>
        <w:tab/>
        <w:t>Ma</w:t>
      </w:r>
      <w:r w:rsidRPr="00724502">
        <w:rPr>
          <w:rFonts w:ascii="Times New Roman" w:hAnsi="Times New Roman" w:cs="Times New Roman"/>
          <w:noProof/>
          <w:sz w:val="24"/>
          <w:szCs w:val="24"/>
        </w:rPr>
        <w:t xml:space="preserve"> Y</w:t>
      </w:r>
      <w:r>
        <w:rPr>
          <w:rFonts w:ascii="Times New Roman" w:hAnsi="Times New Roman" w:cs="Times New Roman"/>
          <w:noProof/>
          <w:sz w:val="24"/>
          <w:szCs w:val="24"/>
        </w:rPr>
        <w:t>, Olendzki BC, Li W</w:t>
      </w:r>
      <w:r w:rsidRPr="00724502">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(2006) </w:t>
      </w:r>
      <w:r w:rsidRPr="00724502">
        <w:rPr>
          <w:rFonts w:ascii="Times New Roman" w:hAnsi="Times New Roman" w:cs="Times New Roman"/>
          <w:noProof/>
          <w:sz w:val="24"/>
          <w:szCs w:val="24"/>
        </w:rPr>
        <w:t xml:space="preserve">Seasonal variation in food intake, physical activity, and body weight in a predominantly overweight population. </w:t>
      </w:r>
      <w:r>
        <w:rPr>
          <w:rFonts w:ascii="Times New Roman" w:hAnsi="Times New Roman" w:cs="Times New Roman"/>
          <w:i/>
          <w:iCs/>
          <w:noProof/>
          <w:sz w:val="24"/>
          <w:szCs w:val="24"/>
        </w:rPr>
        <w:t>Eur J</w:t>
      </w:r>
      <w:r w:rsidRPr="00724502">
        <w:rPr>
          <w:rFonts w:ascii="Times New Roman" w:hAnsi="Times New Roman" w:cs="Times New Roman"/>
          <w:i/>
          <w:iCs/>
          <w:noProof/>
          <w:sz w:val="24"/>
          <w:szCs w:val="24"/>
        </w:rPr>
        <w:t xml:space="preserve"> Clin Nutr</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60,</w:t>
      </w:r>
      <w:r>
        <w:rPr>
          <w:rFonts w:ascii="Times New Roman" w:hAnsi="Times New Roman" w:cs="Times New Roman"/>
          <w:noProof/>
          <w:sz w:val="24"/>
          <w:szCs w:val="24"/>
        </w:rPr>
        <w:t xml:space="preserve"> 519–528</w:t>
      </w:r>
      <w:r w:rsidRPr="00724502">
        <w:rPr>
          <w:rFonts w:ascii="Times New Roman" w:hAnsi="Times New Roman" w:cs="Times New Roman"/>
          <w:noProof/>
          <w:sz w:val="24"/>
          <w:szCs w:val="24"/>
        </w:rPr>
        <w:t>.</w:t>
      </w:r>
    </w:p>
    <w:p w14:paraId="76627D0A" w14:textId="77777777" w:rsidR="001459A4" w:rsidRDefault="001459A4" w:rsidP="00637F8C">
      <w:pPr>
        <w:spacing w:after="0" w:line="360" w:lineRule="auto"/>
        <w:ind w:left="641" w:hanging="641"/>
        <w:rPr>
          <w:rFonts w:ascii="Times New Roman" w:hAnsi="Times New Roman" w:cs="Times New Roman"/>
          <w:noProof/>
          <w:sz w:val="24"/>
          <w:szCs w:val="24"/>
        </w:rPr>
      </w:pPr>
      <w:r w:rsidRPr="00724502">
        <w:rPr>
          <w:rFonts w:ascii="Times New Roman" w:hAnsi="Times New Roman" w:cs="Times New Roman"/>
          <w:noProof/>
          <w:sz w:val="24"/>
          <w:szCs w:val="24"/>
        </w:rPr>
        <w:lastRenderedPageBreak/>
        <w:t>47.</w:t>
      </w:r>
      <w:r w:rsidRPr="00724502">
        <w:rPr>
          <w:rFonts w:ascii="Times New Roman" w:hAnsi="Times New Roman" w:cs="Times New Roman"/>
          <w:noProof/>
          <w:sz w:val="24"/>
          <w:szCs w:val="24"/>
        </w:rPr>
        <w:tab/>
        <w:t>Shahar D</w:t>
      </w:r>
      <w:r>
        <w:rPr>
          <w:rFonts w:ascii="Times New Roman" w:hAnsi="Times New Roman" w:cs="Times New Roman"/>
          <w:noProof/>
          <w:sz w:val="24"/>
          <w:szCs w:val="24"/>
        </w:rPr>
        <w:t>R, Yerushalmi N, Lubin F</w:t>
      </w:r>
      <w:r w:rsidRPr="00724502">
        <w:rPr>
          <w:rFonts w:ascii="Times New Roman" w:hAnsi="Times New Roman" w:cs="Times New Roman"/>
          <w:noProof/>
          <w:sz w:val="24"/>
          <w:szCs w:val="24"/>
        </w:rPr>
        <w:t xml:space="preserve"> </w:t>
      </w:r>
      <w:r w:rsidRPr="00724502">
        <w:rPr>
          <w:rFonts w:ascii="Times New Roman" w:hAnsi="Times New Roman" w:cs="Times New Roman"/>
          <w:i/>
          <w:iCs/>
          <w:noProof/>
          <w:sz w:val="24"/>
          <w:szCs w:val="24"/>
        </w:rPr>
        <w:t>et al.</w:t>
      </w:r>
      <w:r w:rsidRPr="00724502">
        <w:rPr>
          <w:rFonts w:ascii="Times New Roman" w:hAnsi="Times New Roman" w:cs="Times New Roman"/>
          <w:noProof/>
          <w:sz w:val="24"/>
          <w:szCs w:val="24"/>
        </w:rPr>
        <w:t xml:space="preserve"> </w:t>
      </w:r>
      <w:r>
        <w:rPr>
          <w:rFonts w:ascii="Times New Roman" w:hAnsi="Times New Roman" w:cs="Times New Roman"/>
          <w:noProof/>
          <w:sz w:val="24"/>
          <w:szCs w:val="24"/>
        </w:rPr>
        <w:t xml:space="preserve">(2001) </w:t>
      </w:r>
      <w:r w:rsidRPr="00724502">
        <w:rPr>
          <w:rFonts w:ascii="Times New Roman" w:hAnsi="Times New Roman" w:cs="Times New Roman"/>
          <w:noProof/>
          <w:sz w:val="24"/>
          <w:szCs w:val="24"/>
        </w:rPr>
        <w:t xml:space="preserve">Seasonal variations in dietary intake affect the consistency of dietary assessment. </w:t>
      </w:r>
      <w:r w:rsidRPr="00724502">
        <w:rPr>
          <w:rFonts w:ascii="Times New Roman" w:hAnsi="Times New Roman" w:cs="Times New Roman"/>
          <w:i/>
          <w:iCs/>
          <w:noProof/>
          <w:sz w:val="24"/>
          <w:szCs w:val="24"/>
        </w:rPr>
        <w:t>Eur J Epidemiol</w:t>
      </w:r>
      <w:r w:rsidRPr="00724502">
        <w:rPr>
          <w:rFonts w:ascii="Times New Roman" w:hAnsi="Times New Roman" w:cs="Times New Roman"/>
          <w:noProof/>
          <w:sz w:val="24"/>
          <w:szCs w:val="24"/>
        </w:rPr>
        <w:t xml:space="preserve"> </w:t>
      </w:r>
      <w:r w:rsidRPr="00724502">
        <w:rPr>
          <w:rFonts w:ascii="Times New Roman" w:hAnsi="Times New Roman" w:cs="Times New Roman"/>
          <w:b/>
          <w:bCs/>
          <w:noProof/>
          <w:sz w:val="24"/>
          <w:szCs w:val="24"/>
        </w:rPr>
        <w:t>17,</w:t>
      </w:r>
      <w:r>
        <w:rPr>
          <w:rFonts w:ascii="Times New Roman" w:hAnsi="Times New Roman" w:cs="Times New Roman"/>
          <w:noProof/>
          <w:sz w:val="24"/>
          <w:szCs w:val="24"/>
        </w:rPr>
        <w:t xml:space="preserve"> 129–133</w:t>
      </w:r>
      <w:r w:rsidRPr="00724502">
        <w:rPr>
          <w:rFonts w:ascii="Times New Roman" w:hAnsi="Times New Roman" w:cs="Times New Roman"/>
          <w:noProof/>
          <w:sz w:val="24"/>
          <w:szCs w:val="24"/>
        </w:rPr>
        <w:t>.</w:t>
      </w:r>
    </w:p>
    <w:p w14:paraId="7B6E2519" w14:textId="5828E703" w:rsidR="007F26C5" w:rsidRPr="007F26C5" w:rsidRDefault="007F26C5" w:rsidP="00637F8C">
      <w:pPr>
        <w:widowControl w:val="0"/>
        <w:autoSpaceDE w:val="0"/>
        <w:autoSpaceDN w:val="0"/>
        <w:adjustRightInd w:val="0"/>
        <w:spacing w:after="0" w:line="360" w:lineRule="auto"/>
        <w:jc w:val="both"/>
        <w:rPr>
          <w:rFonts w:ascii="Times New Roman" w:hAnsi="Times New Roman" w:cs="Times New Roman"/>
          <w:sz w:val="24"/>
          <w:szCs w:val="24"/>
        </w:rPr>
        <w:sectPr w:rsidR="007F26C5" w:rsidRPr="007F26C5" w:rsidSect="00724502">
          <w:pgSz w:w="11907" w:h="16839" w:code="9"/>
          <w:pgMar w:top="1134" w:right="1134" w:bottom="1134" w:left="1134" w:header="720" w:footer="720" w:gutter="0"/>
          <w:lnNumType w:countBy="1" w:restart="continuous"/>
          <w:cols w:space="720"/>
          <w:docGrid w:linePitch="360"/>
        </w:sectPr>
      </w:pPr>
    </w:p>
    <w:tbl>
      <w:tblPr>
        <w:tblStyle w:val="TableGrid"/>
        <w:tblW w:w="14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6"/>
        <w:gridCol w:w="1416"/>
        <w:gridCol w:w="1417"/>
        <w:gridCol w:w="236"/>
        <w:gridCol w:w="1417"/>
        <w:gridCol w:w="1418"/>
        <w:gridCol w:w="236"/>
        <w:gridCol w:w="1417"/>
        <w:gridCol w:w="1418"/>
        <w:gridCol w:w="236"/>
        <w:gridCol w:w="953"/>
      </w:tblGrid>
      <w:tr w:rsidR="00B12FB3" w:rsidRPr="00B05D7B" w14:paraId="7C137A8D" w14:textId="5EB8C555" w:rsidTr="0077390C">
        <w:trPr>
          <w:cantSplit/>
          <w:trHeight w:val="266"/>
        </w:trPr>
        <w:tc>
          <w:tcPr>
            <w:tcW w:w="14470" w:type="dxa"/>
            <w:gridSpan w:val="11"/>
            <w:tcBorders>
              <w:bottom w:val="single" w:sz="4" w:space="0" w:color="auto"/>
            </w:tcBorders>
          </w:tcPr>
          <w:p w14:paraId="0541E6F3" w14:textId="15272819" w:rsidR="00B12FB3" w:rsidRDefault="00B12FB3" w:rsidP="001E6B09">
            <w:pPr>
              <w:ind w:right="-57"/>
              <w:jc w:val="both"/>
              <w:rPr>
                <w:rFonts w:ascii="Times New Roman" w:hAnsi="Times New Roman" w:cs="Times New Roman"/>
              </w:rPr>
            </w:pPr>
            <w:r w:rsidRPr="00B05D7B">
              <w:rPr>
                <w:rFonts w:ascii="Times New Roman" w:hAnsi="Times New Roman" w:cs="Times New Roman"/>
                <w:b/>
              </w:rPr>
              <w:lastRenderedPageBreak/>
              <w:t>T</w:t>
            </w:r>
            <w:r>
              <w:rPr>
                <w:rFonts w:ascii="Times New Roman" w:hAnsi="Times New Roman" w:cs="Times New Roman"/>
                <w:b/>
              </w:rPr>
              <w:t xml:space="preserve">able 1. </w:t>
            </w:r>
            <w:r w:rsidRPr="00384086">
              <w:rPr>
                <w:rFonts w:ascii="Times New Roman" w:hAnsi="Times New Roman" w:cs="Times New Roman"/>
              </w:rPr>
              <w:t>Maternal and infant characteristics (</w:t>
            </w:r>
            <w:r w:rsidRPr="00384086">
              <w:rPr>
                <w:rFonts w:ascii="Times New Roman" w:hAnsi="Times New Roman" w:cs="Times New Roman"/>
                <w:i/>
              </w:rPr>
              <w:t>n</w:t>
            </w:r>
            <w:r w:rsidRPr="00384086">
              <w:rPr>
                <w:rFonts w:ascii="Times New Roman" w:hAnsi="Times New Roman" w:cs="Times New Roman"/>
              </w:rPr>
              <w:t xml:space="preserve"> 431)</w:t>
            </w:r>
          </w:p>
          <w:p w14:paraId="6A7318AF" w14:textId="4C45A935" w:rsidR="00B12FB3" w:rsidRPr="00B05D7B" w:rsidRDefault="00B12FB3" w:rsidP="000A3EA9">
            <w:pPr>
              <w:ind w:right="-57"/>
              <w:jc w:val="both"/>
              <w:rPr>
                <w:rFonts w:ascii="Times New Roman" w:hAnsi="Times New Roman" w:cs="Times New Roman"/>
                <w:b/>
              </w:rPr>
            </w:pPr>
            <w:r w:rsidRPr="008A2F3F">
              <w:rPr>
                <w:rFonts w:ascii="Times New Roman" w:hAnsi="Times New Roman" w:cs="Times New Roman"/>
              </w:rPr>
              <w:t>(Numbers and percentages for categorical variables or mean values and standard deviations for continuous variables</w:t>
            </w:r>
            <w:r w:rsidRPr="00384086">
              <w:rPr>
                <w:rFonts w:ascii="Times New Roman" w:hAnsi="Times New Roman" w:cs="Times New Roman"/>
              </w:rPr>
              <w:t>)</w:t>
            </w:r>
            <w:r>
              <w:rPr>
                <w:rFonts w:ascii="Times New Roman" w:hAnsi="Times New Roman" w:cs="Times New Roman"/>
              </w:rPr>
              <w:tab/>
            </w:r>
          </w:p>
        </w:tc>
      </w:tr>
      <w:tr w:rsidR="0077390C" w:rsidRPr="00B05D7B" w14:paraId="558A595B" w14:textId="496C9A79" w:rsidTr="0077390C">
        <w:trPr>
          <w:cantSplit/>
          <w:trHeight w:val="283"/>
        </w:trPr>
        <w:tc>
          <w:tcPr>
            <w:tcW w:w="4306" w:type="dxa"/>
            <w:vMerge w:val="restart"/>
            <w:tcBorders>
              <w:top w:val="single" w:sz="4" w:space="0" w:color="auto"/>
            </w:tcBorders>
            <w:vAlign w:val="center"/>
          </w:tcPr>
          <w:p w14:paraId="12516950" w14:textId="1DBE1AC8" w:rsidR="0077390C" w:rsidRPr="00B05D7B" w:rsidRDefault="0077390C" w:rsidP="00384086">
            <w:pPr>
              <w:ind w:right="-57"/>
              <w:rPr>
                <w:rFonts w:ascii="Times New Roman" w:hAnsi="Times New Roman" w:cs="Times New Roman"/>
              </w:rPr>
            </w:pPr>
            <w:r>
              <w:rPr>
                <w:rFonts w:ascii="Times New Roman" w:hAnsi="Times New Roman" w:cs="Times New Roman"/>
              </w:rPr>
              <w:t>Characteristics</w:t>
            </w:r>
          </w:p>
        </w:tc>
        <w:tc>
          <w:tcPr>
            <w:tcW w:w="2833" w:type="dxa"/>
            <w:gridSpan w:val="2"/>
            <w:tcBorders>
              <w:top w:val="single" w:sz="4" w:space="0" w:color="auto"/>
              <w:bottom w:val="single" w:sz="4" w:space="0" w:color="auto"/>
            </w:tcBorders>
            <w:vAlign w:val="center"/>
          </w:tcPr>
          <w:p w14:paraId="7230CF37" w14:textId="710C3CB6" w:rsidR="0077390C" w:rsidRPr="00384086" w:rsidRDefault="0077390C" w:rsidP="00785782">
            <w:pPr>
              <w:ind w:right="-57"/>
              <w:jc w:val="center"/>
              <w:rPr>
                <w:rFonts w:ascii="Times New Roman" w:hAnsi="Times New Roman" w:cs="Times New Roman"/>
              </w:rPr>
            </w:pPr>
            <w:r>
              <w:rPr>
                <w:rFonts w:ascii="Times New Roman" w:hAnsi="Times New Roman" w:cs="Times New Roman"/>
              </w:rPr>
              <w:t>Overall (</w:t>
            </w:r>
            <w:r>
              <w:rPr>
                <w:rFonts w:ascii="Times New Roman" w:hAnsi="Times New Roman" w:cs="Times New Roman"/>
                <w:i/>
              </w:rPr>
              <w:t>n</w:t>
            </w:r>
            <w:r>
              <w:rPr>
                <w:rFonts w:ascii="Times New Roman" w:hAnsi="Times New Roman" w:cs="Times New Roman"/>
              </w:rPr>
              <w:t xml:space="preserve"> </w:t>
            </w:r>
            <w:r w:rsidRPr="00785782">
              <w:rPr>
                <w:rFonts w:ascii="Times New Roman" w:hAnsi="Times New Roman" w:cs="Times New Roman"/>
              </w:rPr>
              <w:t>431</w:t>
            </w:r>
            <w:r>
              <w:rPr>
                <w:rFonts w:ascii="Times New Roman" w:hAnsi="Times New Roman" w:cs="Times New Roman"/>
              </w:rPr>
              <w:t>)</w:t>
            </w:r>
          </w:p>
        </w:tc>
        <w:tc>
          <w:tcPr>
            <w:tcW w:w="236" w:type="dxa"/>
            <w:tcBorders>
              <w:top w:val="single" w:sz="4" w:space="0" w:color="auto"/>
            </w:tcBorders>
          </w:tcPr>
          <w:p w14:paraId="18A8573B" w14:textId="77777777" w:rsidR="0077390C" w:rsidRDefault="0077390C" w:rsidP="00785782">
            <w:pPr>
              <w:ind w:right="-57"/>
              <w:jc w:val="center"/>
              <w:rPr>
                <w:rFonts w:ascii="Times New Roman" w:hAnsi="Times New Roman" w:cs="Times New Roman"/>
              </w:rPr>
            </w:pPr>
          </w:p>
        </w:tc>
        <w:tc>
          <w:tcPr>
            <w:tcW w:w="2835" w:type="dxa"/>
            <w:gridSpan w:val="2"/>
            <w:tcBorders>
              <w:top w:val="single" w:sz="4" w:space="0" w:color="auto"/>
              <w:bottom w:val="single" w:sz="4" w:space="0" w:color="auto"/>
            </w:tcBorders>
            <w:vAlign w:val="center"/>
          </w:tcPr>
          <w:p w14:paraId="5C5D5F98" w14:textId="10D06237" w:rsidR="0077390C" w:rsidRDefault="0077390C" w:rsidP="00F35DE9">
            <w:pPr>
              <w:ind w:right="-57"/>
              <w:jc w:val="center"/>
              <w:rPr>
                <w:rFonts w:ascii="Times New Roman" w:hAnsi="Times New Roman" w:cs="Times New Roman"/>
              </w:rPr>
            </w:pPr>
            <w:r>
              <w:rPr>
                <w:rFonts w:ascii="Times New Roman" w:hAnsi="Times New Roman" w:cs="Times New Roman"/>
              </w:rPr>
              <w:t>Pre</w:t>
            </w:r>
            <w:r w:rsidR="000B1D17">
              <w:rPr>
                <w:rFonts w:ascii="Times New Roman" w:hAnsi="Times New Roman" w:cs="Times New Roman"/>
              </w:rPr>
              <w:t>-</w:t>
            </w:r>
            <w:r>
              <w:rPr>
                <w:rFonts w:ascii="Times New Roman" w:hAnsi="Times New Roman" w:cs="Times New Roman"/>
              </w:rPr>
              <w:t>midnight feeders (</w:t>
            </w:r>
            <w:r>
              <w:rPr>
                <w:rFonts w:ascii="Times New Roman" w:hAnsi="Times New Roman" w:cs="Times New Roman"/>
                <w:i/>
              </w:rPr>
              <w:t>n</w:t>
            </w:r>
            <w:r>
              <w:rPr>
                <w:rFonts w:ascii="Times New Roman" w:hAnsi="Times New Roman" w:cs="Times New Roman"/>
              </w:rPr>
              <w:t xml:space="preserve"> 251)</w:t>
            </w:r>
          </w:p>
        </w:tc>
        <w:tc>
          <w:tcPr>
            <w:tcW w:w="236" w:type="dxa"/>
            <w:tcBorders>
              <w:top w:val="single" w:sz="4" w:space="0" w:color="auto"/>
              <w:bottom w:val="single" w:sz="4" w:space="0" w:color="auto"/>
            </w:tcBorders>
            <w:vAlign w:val="center"/>
          </w:tcPr>
          <w:p w14:paraId="7586DD00" w14:textId="77777777" w:rsidR="0077390C" w:rsidRDefault="0077390C" w:rsidP="00F35DE9">
            <w:pPr>
              <w:jc w:val="center"/>
              <w:rPr>
                <w:rFonts w:ascii="Times New Roman" w:hAnsi="Times New Roman" w:cs="Times New Roman"/>
                <w:sz w:val="21"/>
                <w:szCs w:val="21"/>
              </w:rPr>
            </w:pPr>
          </w:p>
        </w:tc>
        <w:tc>
          <w:tcPr>
            <w:tcW w:w="2835" w:type="dxa"/>
            <w:gridSpan w:val="2"/>
            <w:tcBorders>
              <w:top w:val="single" w:sz="4" w:space="0" w:color="auto"/>
              <w:bottom w:val="single" w:sz="4" w:space="0" w:color="auto"/>
            </w:tcBorders>
            <w:vAlign w:val="center"/>
          </w:tcPr>
          <w:p w14:paraId="55C416CB" w14:textId="38542F38" w:rsidR="0077390C" w:rsidRDefault="0077390C" w:rsidP="00F35DE9">
            <w:pPr>
              <w:ind w:left="-57" w:right="-57"/>
              <w:jc w:val="center"/>
              <w:rPr>
                <w:rFonts w:ascii="Times New Roman" w:hAnsi="Times New Roman" w:cs="Times New Roman"/>
                <w:sz w:val="21"/>
                <w:szCs w:val="21"/>
              </w:rPr>
            </w:pPr>
            <w:r>
              <w:rPr>
                <w:rFonts w:ascii="Times New Roman" w:hAnsi="Times New Roman" w:cs="Times New Roman"/>
              </w:rPr>
              <w:t>Post</w:t>
            </w:r>
            <w:r w:rsidR="000B1D17">
              <w:rPr>
                <w:rFonts w:ascii="Times New Roman" w:hAnsi="Times New Roman" w:cs="Times New Roman"/>
              </w:rPr>
              <w:t>-</w:t>
            </w:r>
            <w:r>
              <w:rPr>
                <w:rFonts w:ascii="Times New Roman" w:hAnsi="Times New Roman" w:cs="Times New Roman"/>
              </w:rPr>
              <w:t>midnight feeders (</w:t>
            </w:r>
            <w:r>
              <w:rPr>
                <w:rFonts w:ascii="Times New Roman" w:hAnsi="Times New Roman" w:cs="Times New Roman"/>
                <w:i/>
              </w:rPr>
              <w:t>n</w:t>
            </w:r>
            <w:r>
              <w:rPr>
                <w:rFonts w:ascii="Times New Roman" w:hAnsi="Times New Roman" w:cs="Times New Roman"/>
              </w:rPr>
              <w:t xml:space="preserve"> 180)</w:t>
            </w:r>
          </w:p>
        </w:tc>
        <w:tc>
          <w:tcPr>
            <w:tcW w:w="236" w:type="dxa"/>
            <w:tcBorders>
              <w:top w:val="single" w:sz="4" w:space="0" w:color="auto"/>
            </w:tcBorders>
            <w:vAlign w:val="center"/>
          </w:tcPr>
          <w:p w14:paraId="15053FF8" w14:textId="36EAC85A" w:rsidR="0077390C" w:rsidRPr="000A3EA9" w:rsidRDefault="0077390C" w:rsidP="00F35DE9">
            <w:pPr>
              <w:ind w:right="-57"/>
              <w:jc w:val="center"/>
              <w:rPr>
                <w:rFonts w:ascii="Times New Roman" w:hAnsi="Times New Roman" w:cs="Times New Roman"/>
                <w:i/>
              </w:rPr>
            </w:pPr>
          </w:p>
        </w:tc>
        <w:tc>
          <w:tcPr>
            <w:tcW w:w="953" w:type="dxa"/>
            <w:vMerge w:val="restart"/>
            <w:tcBorders>
              <w:top w:val="single" w:sz="4" w:space="0" w:color="auto"/>
            </w:tcBorders>
            <w:vAlign w:val="center"/>
          </w:tcPr>
          <w:p w14:paraId="240997C1" w14:textId="2E28FD71" w:rsidR="0077390C" w:rsidRPr="000A3EA9" w:rsidRDefault="0077390C" w:rsidP="00F35DE9">
            <w:pPr>
              <w:ind w:left="-57" w:right="-57"/>
              <w:jc w:val="center"/>
              <w:rPr>
                <w:rFonts w:ascii="Times New Roman" w:hAnsi="Times New Roman" w:cs="Times New Roman"/>
                <w:i/>
              </w:rPr>
            </w:pPr>
            <w:r>
              <w:rPr>
                <w:rFonts w:ascii="Times New Roman" w:hAnsi="Times New Roman" w:cs="Times New Roman"/>
                <w:i/>
              </w:rPr>
              <w:t>P</w:t>
            </w:r>
            <w:r w:rsidRPr="00623020">
              <w:rPr>
                <w:rFonts w:ascii="Times New Roman" w:hAnsi="Times New Roman" w:cs="Times New Roman"/>
                <w:i/>
                <w:vertAlign w:val="superscript"/>
              </w:rPr>
              <w:t>*</w:t>
            </w:r>
          </w:p>
        </w:tc>
      </w:tr>
      <w:tr w:rsidR="0077390C" w:rsidRPr="00B05D7B" w14:paraId="23F30048" w14:textId="01B73F19" w:rsidTr="0077390C">
        <w:trPr>
          <w:cantSplit/>
          <w:trHeight w:val="283"/>
        </w:trPr>
        <w:tc>
          <w:tcPr>
            <w:tcW w:w="4306" w:type="dxa"/>
            <w:vMerge/>
            <w:tcBorders>
              <w:bottom w:val="single" w:sz="4" w:space="0" w:color="auto"/>
            </w:tcBorders>
            <w:vAlign w:val="center"/>
          </w:tcPr>
          <w:p w14:paraId="6E41F896" w14:textId="77777777" w:rsidR="0077390C" w:rsidRDefault="0077390C" w:rsidP="00384086">
            <w:pPr>
              <w:ind w:right="-57"/>
              <w:rPr>
                <w:rFonts w:ascii="Times New Roman" w:hAnsi="Times New Roman" w:cs="Times New Roman"/>
              </w:rPr>
            </w:pPr>
          </w:p>
        </w:tc>
        <w:tc>
          <w:tcPr>
            <w:tcW w:w="1416" w:type="dxa"/>
            <w:tcBorders>
              <w:bottom w:val="single" w:sz="4" w:space="0" w:color="auto"/>
            </w:tcBorders>
            <w:vAlign w:val="center"/>
          </w:tcPr>
          <w:p w14:paraId="73EA97C9" w14:textId="37C0BC56" w:rsidR="0077390C" w:rsidRPr="00F23A9B" w:rsidRDefault="0077390C" w:rsidP="00785782">
            <w:pPr>
              <w:ind w:right="-57"/>
              <w:jc w:val="center"/>
              <w:rPr>
                <w:rFonts w:ascii="Times New Roman" w:hAnsi="Times New Roman" w:cs="Times New Roman"/>
              </w:rPr>
            </w:pPr>
            <w:r>
              <w:rPr>
                <w:rFonts w:ascii="Times New Roman" w:hAnsi="Times New Roman" w:cs="Times New Roman"/>
              </w:rPr>
              <w:t>Mean/</w:t>
            </w:r>
            <w:r w:rsidRPr="00785782">
              <w:rPr>
                <w:rFonts w:ascii="Times New Roman" w:hAnsi="Times New Roman" w:cs="Times New Roman"/>
                <w:i/>
              </w:rPr>
              <w:t>n</w:t>
            </w:r>
          </w:p>
        </w:tc>
        <w:tc>
          <w:tcPr>
            <w:tcW w:w="1417" w:type="dxa"/>
            <w:tcBorders>
              <w:bottom w:val="single" w:sz="4" w:space="0" w:color="auto"/>
            </w:tcBorders>
            <w:vAlign w:val="center"/>
          </w:tcPr>
          <w:p w14:paraId="09CDFF9F" w14:textId="17BD1D27" w:rsidR="0077390C" w:rsidRDefault="0077390C" w:rsidP="00785782">
            <w:pPr>
              <w:ind w:right="-57"/>
              <w:jc w:val="center"/>
              <w:rPr>
                <w:rFonts w:ascii="Times New Roman" w:hAnsi="Times New Roman" w:cs="Times New Roman"/>
              </w:rPr>
            </w:pPr>
            <w:r>
              <w:rPr>
                <w:rFonts w:ascii="Times New Roman" w:hAnsi="Times New Roman" w:cs="Times New Roman"/>
              </w:rPr>
              <w:t>SD/</w:t>
            </w:r>
            <w:r w:rsidRPr="00384086">
              <w:rPr>
                <w:rFonts w:ascii="Times New Roman" w:hAnsi="Times New Roman" w:cs="Times New Roman"/>
              </w:rPr>
              <w:t>%</w:t>
            </w:r>
          </w:p>
        </w:tc>
        <w:tc>
          <w:tcPr>
            <w:tcW w:w="236" w:type="dxa"/>
            <w:tcBorders>
              <w:bottom w:val="single" w:sz="4" w:space="0" w:color="auto"/>
            </w:tcBorders>
          </w:tcPr>
          <w:p w14:paraId="31A9D009" w14:textId="77777777" w:rsidR="0077390C" w:rsidRDefault="0077390C" w:rsidP="00785782">
            <w:pPr>
              <w:ind w:right="-57"/>
              <w:jc w:val="center"/>
              <w:rPr>
                <w:rFonts w:ascii="Times New Roman" w:hAnsi="Times New Roman" w:cs="Times New Roman"/>
              </w:rPr>
            </w:pPr>
          </w:p>
        </w:tc>
        <w:tc>
          <w:tcPr>
            <w:tcW w:w="1417" w:type="dxa"/>
            <w:tcBorders>
              <w:bottom w:val="single" w:sz="4" w:space="0" w:color="auto"/>
            </w:tcBorders>
            <w:vAlign w:val="center"/>
          </w:tcPr>
          <w:p w14:paraId="3ED42525" w14:textId="0D272457" w:rsidR="0077390C" w:rsidRDefault="0077390C" w:rsidP="00785782">
            <w:pPr>
              <w:ind w:right="-57"/>
              <w:jc w:val="center"/>
              <w:rPr>
                <w:rFonts w:ascii="Times New Roman" w:hAnsi="Times New Roman" w:cs="Times New Roman"/>
              </w:rPr>
            </w:pPr>
            <w:r>
              <w:rPr>
                <w:rFonts w:ascii="Times New Roman" w:hAnsi="Times New Roman" w:cs="Times New Roman"/>
              </w:rPr>
              <w:t>Mean/</w:t>
            </w:r>
            <w:r w:rsidRPr="00785782">
              <w:rPr>
                <w:rFonts w:ascii="Times New Roman" w:hAnsi="Times New Roman" w:cs="Times New Roman"/>
                <w:i/>
              </w:rPr>
              <w:t>n</w:t>
            </w:r>
          </w:p>
        </w:tc>
        <w:tc>
          <w:tcPr>
            <w:tcW w:w="1418" w:type="dxa"/>
            <w:tcBorders>
              <w:bottom w:val="single" w:sz="4" w:space="0" w:color="auto"/>
            </w:tcBorders>
            <w:vAlign w:val="center"/>
          </w:tcPr>
          <w:p w14:paraId="6BA1C0A0" w14:textId="46EAC47E" w:rsidR="0077390C" w:rsidRDefault="0077390C" w:rsidP="00785782">
            <w:pPr>
              <w:ind w:right="-57"/>
              <w:jc w:val="center"/>
              <w:rPr>
                <w:rFonts w:ascii="Times New Roman" w:hAnsi="Times New Roman" w:cs="Times New Roman"/>
              </w:rPr>
            </w:pPr>
            <w:r>
              <w:rPr>
                <w:rFonts w:ascii="Times New Roman" w:hAnsi="Times New Roman" w:cs="Times New Roman"/>
              </w:rPr>
              <w:t>SD/</w:t>
            </w:r>
            <w:r w:rsidRPr="00384086">
              <w:rPr>
                <w:rFonts w:ascii="Times New Roman" w:hAnsi="Times New Roman" w:cs="Times New Roman"/>
              </w:rPr>
              <w:t>%</w:t>
            </w:r>
          </w:p>
        </w:tc>
        <w:tc>
          <w:tcPr>
            <w:tcW w:w="236" w:type="dxa"/>
            <w:tcBorders>
              <w:bottom w:val="single" w:sz="4" w:space="0" w:color="auto"/>
            </w:tcBorders>
          </w:tcPr>
          <w:p w14:paraId="152560BC" w14:textId="77777777" w:rsidR="0077390C" w:rsidRDefault="0077390C" w:rsidP="00785782">
            <w:pPr>
              <w:ind w:right="-57"/>
              <w:jc w:val="center"/>
              <w:rPr>
                <w:rFonts w:ascii="Times New Roman" w:hAnsi="Times New Roman" w:cs="Times New Roman"/>
              </w:rPr>
            </w:pPr>
          </w:p>
        </w:tc>
        <w:tc>
          <w:tcPr>
            <w:tcW w:w="1417" w:type="dxa"/>
            <w:tcBorders>
              <w:bottom w:val="single" w:sz="4" w:space="0" w:color="auto"/>
            </w:tcBorders>
            <w:vAlign w:val="center"/>
          </w:tcPr>
          <w:p w14:paraId="6AC5893D" w14:textId="7CE05148" w:rsidR="0077390C" w:rsidRDefault="0077390C" w:rsidP="00785782">
            <w:pPr>
              <w:ind w:right="-57"/>
              <w:jc w:val="center"/>
              <w:rPr>
                <w:rFonts w:ascii="Times New Roman" w:hAnsi="Times New Roman" w:cs="Times New Roman"/>
              </w:rPr>
            </w:pPr>
            <w:r>
              <w:rPr>
                <w:rFonts w:ascii="Times New Roman" w:hAnsi="Times New Roman" w:cs="Times New Roman"/>
              </w:rPr>
              <w:t>Mean/</w:t>
            </w:r>
            <w:r w:rsidRPr="00785782">
              <w:rPr>
                <w:rFonts w:ascii="Times New Roman" w:hAnsi="Times New Roman" w:cs="Times New Roman"/>
                <w:i/>
              </w:rPr>
              <w:t>n</w:t>
            </w:r>
          </w:p>
        </w:tc>
        <w:tc>
          <w:tcPr>
            <w:tcW w:w="1418" w:type="dxa"/>
            <w:tcBorders>
              <w:bottom w:val="single" w:sz="4" w:space="0" w:color="auto"/>
            </w:tcBorders>
            <w:vAlign w:val="center"/>
          </w:tcPr>
          <w:p w14:paraId="372EEAC9" w14:textId="449B2DB1" w:rsidR="0077390C" w:rsidRDefault="0077390C" w:rsidP="00785782">
            <w:pPr>
              <w:ind w:right="-57"/>
              <w:jc w:val="center"/>
              <w:rPr>
                <w:rFonts w:ascii="Times New Roman" w:hAnsi="Times New Roman" w:cs="Times New Roman"/>
              </w:rPr>
            </w:pPr>
            <w:r>
              <w:rPr>
                <w:rFonts w:ascii="Times New Roman" w:hAnsi="Times New Roman" w:cs="Times New Roman"/>
              </w:rPr>
              <w:t>SD/</w:t>
            </w:r>
            <w:r w:rsidRPr="00384086">
              <w:rPr>
                <w:rFonts w:ascii="Times New Roman" w:hAnsi="Times New Roman" w:cs="Times New Roman"/>
              </w:rPr>
              <w:t>%</w:t>
            </w:r>
          </w:p>
        </w:tc>
        <w:tc>
          <w:tcPr>
            <w:tcW w:w="236" w:type="dxa"/>
            <w:tcBorders>
              <w:bottom w:val="single" w:sz="4" w:space="0" w:color="auto"/>
            </w:tcBorders>
          </w:tcPr>
          <w:p w14:paraId="47A370B3" w14:textId="77777777" w:rsidR="0077390C" w:rsidRDefault="0077390C" w:rsidP="00785782">
            <w:pPr>
              <w:ind w:right="-57"/>
              <w:jc w:val="center"/>
              <w:rPr>
                <w:rFonts w:ascii="Times New Roman" w:hAnsi="Times New Roman" w:cs="Times New Roman"/>
              </w:rPr>
            </w:pPr>
          </w:p>
        </w:tc>
        <w:tc>
          <w:tcPr>
            <w:tcW w:w="953" w:type="dxa"/>
            <w:vMerge/>
            <w:tcBorders>
              <w:bottom w:val="single" w:sz="4" w:space="0" w:color="auto"/>
            </w:tcBorders>
          </w:tcPr>
          <w:p w14:paraId="73856BB4" w14:textId="77777777" w:rsidR="0077390C" w:rsidRDefault="0077390C" w:rsidP="00785782">
            <w:pPr>
              <w:ind w:right="-57"/>
              <w:jc w:val="center"/>
              <w:rPr>
                <w:rFonts w:ascii="Times New Roman" w:hAnsi="Times New Roman" w:cs="Times New Roman"/>
              </w:rPr>
            </w:pPr>
          </w:p>
        </w:tc>
      </w:tr>
      <w:tr w:rsidR="000A3EA9" w:rsidRPr="00B05D7B" w14:paraId="16C567EF" w14:textId="77592243" w:rsidTr="0077390C">
        <w:trPr>
          <w:cantSplit/>
          <w:trHeight w:val="283"/>
        </w:trPr>
        <w:tc>
          <w:tcPr>
            <w:tcW w:w="4306" w:type="dxa"/>
            <w:tcBorders>
              <w:top w:val="single" w:sz="4" w:space="0" w:color="auto"/>
            </w:tcBorders>
            <w:vAlign w:val="center"/>
          </w:tcPr>
          <w:p w14:paraId="3792D2F3" w14:textId="479052B0" w:rsidR="000A3EA9" w:rsidRPr="00B05D7B" w:rsidRDefault="000A3EA9" w:rsidP="001E6B09">
            <w:pPr>
              <w:ind w:right="-57"/>
              <w:rPr>
                <w:rFonts w:ascii="Times New Roman" w:hAnsi="Times New Roman" w:cs="Times New Roman"/>
                <w:b/>
              </w:rPr>
            </w:pPr>
            <w:r w:rsidRPr="00B05D7B">
              <w:rPr>
                <w:rFonts w:ascii="Times New Roman" w:hAnsi="Times New Roman" w:cs="Times New Roman"/>
                <w:b/>
              </w:rPr>
              <w:t>Maternal</w:t>
            </w:r>
          </w:p>
        </w:tc>
        <w:tc>
          <w:tcPr>
            <w:tcW w:w="1416" w:type="dxa"/>
            <w:tcBorders>
              <w:top w:val="single" w:sz="4" w:space="0" w:color="auto"/>
            </w:tcBorders>
            <w:vAlign w:val="center"/>
          </w:tcPr>
          <w:p w14:paraId="16B3746B" w14:textId="77777777" w:rsidR="000A3EA9" w:rsidRPr="00B05D7B" w:rsidRDefault="000A3EA9" w:rsidP="001E6B09">
            <w:pPr>
              <w:ind w:right="-57"/>
              <w:jc w:val="center"/>
              <w:rPr>
                <w:rFonts w:ascii="Times New Roman" w:hAnsi="Times New Roman" w:cs="Times New Roman"/>
              </w:rPr>
            </w:pPr>
          </w:p>
        </w:tc>
        <w:tc>
          <w:tcPr>
            <w:tcW w:w="1417" w:type="dxa"/>
            <w:tcBorders>
              <w:top w:val="single" w:sz="4" w:space="0" w:color="auto"/>
            </w:tcBorders>
            <w:vAlign w:val="center"/>
          </w:tcPr>
          <w:p w14:paraId="7D85F2ED" w14:textId="77777777" w:rsidR="000A3EA9" w:rsidRPr="00B05D7B" w:rsidRDefault="000A3EA9" w:rsidP="001E6B09">
            <w:pPr>
              <w:ind w:right="-57"/>
              <w:jc w:val="center"/>
              <w:rPr>
                <w:rFonts w:ascii="Times New Roman" w:hAnsi="Times New Roman" w:cs="Times New Roman"/>
              </w:rPr>
            </w:pPr>
          </w:p>
        </w:tc>
        <w:tc>
          <w:tcPr>
            <w:tcW w:w="236" w:type="dxa"/>
            <w:tcBorders>
              <w:top w:val="single" w:sz="4" w:space="0" w:color="auto"/>
            </w:tcBorders>
          </w:tcPr>
          <w:p w14:paraId="13576CE5" w14:textId="77777777" w:rsidR="000A3EA9" w:rsidRPr="00B05D7B" w:rsidRDefault="000A3EA9" w:rsidP="001E6B09">
            <w:pPr>
              <w:ind w:right="-57"/>
              <w:jc w:val="center"/>
              <w:rPr>
                <w:rFonts w:ascii="Times New Roman" w:hAnsi="Times New Roman" w:cs="Times New Roman"/>
              </w:rPr>
            </w:pPr>
          </w:p>
        </w:tc>
        <w:tc>
          <w:tcPr>
            <w:tcW w:w="1417" w:type="dxa"/>
            <w:tcBorders>
              <w:top w:val="single" w:sz="4" w:space="0" w:color="auto"/>
            </w:tcBorders>
          </w:tcPr>
          <w:p w14:paraId="17339B4C" w14:textId="5A9EA61C" w:rsidR="000A3EA9" w:rsidRPr="00B05D7B" w:rsidRDefault="000A3EA9" w:rsidP="001E6B09">
            <w:pPr>
              <w:ind w:right="-57"/>
              <w:jc w:val="center"/>
              <w:rPr>
                <w:rFonts w:ascii="Times New Roman" w:hAnsi="Times New Roman" w:cs="Times New Roman"/>
              </w:rPr>
            </w:pPr>
          </w:p>
        </w:tc>
        <w:tc>
          <w:tcPr>
            <w:tcW w:w="1418" w:type="dxa"/>
            <w:tcBorders>
              <w:top w:val="single" w:sz="4" w:space="0" w:color="auto"/>
            </w:tcBorders>
          </w:tcPr>
          <w:p w14:paraId="31D95F58" w14:textId="77777777" w:rsidR="000A3EA9" w:rsidRPr="00B05D7B" w:rsidRDefault="000A3EA9" w:rsidP="001E6B09">
            <w:pPr>
              <w:ind w:right="-57"/>
              <w:jc w:val="center"/>
              <w:rPr>
                <w:rFonts w:ascii="Times New Roman" w:hAnsi="Times New Roman" w:cs="Times New Roman"/>
              </w:rPr>
            </w:pPr>
          </w:p>
        </w:tc>
        <w:tc>
          <w:tcPr>
            <w:tcW w:w="236" w:type="dxa"/>
            <w:tcBorders>
              <w:top w:val="single" w:sz="4" w:space="0" w:color="auto"/>
            </w:tcBorders>
          </w:tcPr>
          <w:p w14:paraId="5BA0C8BF" w14:textId="77777777" w:rsidR="000A3EA9" w:rsidRPr="00B05D7B" w:rsidRDefault="000A3EA9" w:rsidP="001E6B09">
            <w:pPr>
              <w:ind w:right="-57"/>
              <w:jc w:val="center"/>
              <w:rPr>
                <w:rFonts w:ascii="Times New Roman" w:hAnsi="Times New Roman" w:cs="Times New Roman"/>
              </w:rPr>
            </w:pPr>
          </w:p>
        </w:tc>
        <w:tc>
          <w:tcPr>
            <w:tcW w:w="1417" w:type="dxa"/>
            <w:tcBorders>
              <w:top w:val="single" w:sz="4" w:space="0" w:color="auto"/>
            </w:tcBorders>
          </w:tcPr>
          <w:p w14:paraId="68904BD0" w14:textId="77777777" w:rsidR="000A3EA9" w:rsidRPr="00B05D7B" w:rsidRDefault="000A3EA9" w:rsidP="001E6B09">
            <w:pPr>
              <w:ind w:right="-57"/>
              <w:jc w:val="center"/>
              <w:rPr>
                <w:rFonts w:ascii="Times New Roman" w:hAnsi="Times New Roman" w:cs="Times New Roman"/>
              </w:rPr>
            </w:pPr>
          </w:p>
        </w:tc>
        <w:tc>
          <w:tcPr>
            <w:tcW w:w="1418" w:type="dxa"/>
            <w:tcBorders>
              <w:top w:val="single" w:sz="4" w:space="0" w:color="auto"/>
            </w:tcBorders>
          </w:tcPr>
          <w:p w14:paraId="02B96646" w14:textId="77777777" w:rsidR="000A3EA9" w:rsidRPr="00B05D7B" w:rsidRDefault="000A3EA9" w:rsidP="001E6B09">
            <w:pPr>
              <w:ind w:right="-57"/>
              <w:jc w:val="center"/>
              <w:rPr>
                <w:rFonts w:ascii="Times New Roman" w:hAnsi="Times New Roman" w:cs="Times New Roman"/>
              </w:rPr>
            </w:pPr>
          </w:p>
        </w:tc>
        <w:tc>
          <w:tcPr>
            <w:tcW w:w="236" w:type="dxa"/>
            <w:tcBorders>
              <w:top w:val="single" w:sz="4" w:space="0" w:color="auto"/>
            </w:tcBorders>
          </w:tcPr>
          <w:p w14:paraId="539E73C7" w14:textId="77777777" w:rsidR="000A3EA9" w:rsidRPr="00B05D7B" w:rsidRDefault="000A3EA9" w:rsidP="001E6B09">
            <w:pPr>
              <w:ind w:right="-57"/>
              <w:jc w:val="center"/>
              <w:rPr>
                <w:rFonts w:ascii="Times New Roman" w:hAnsi="Times New Roman" w:cs="Times New Roman"/>
              </w:rPr>
            </w:pPr>
          </w:p>
        </w:tc>
        <w:tc>
          <w:tcPr>
            <w:tcW w:w="953" w:type="dxa"/>
            <w:tcBorders>
              <w:top w:val="single" w:sz="4" w:space="0" w:color="auto"/>
            </w:tcBorders>
          </w:tcPr>
          <w:p w14:paraId="606539FC" w14:textId="77777777" w:rsidR="000A3EA9" w:rsidRPr="00B05D7B" w:rsidRDefault="000A3EA9" w:rsidP="001E6B09">
            <w:pPr>
              <w:ind w:right="-57"/>
              <w:jc w:val="center"/>
              <w:rPr>
                <w:rFonts w:ascii="Times New Roman" w:hAnsi="Times New Roman" w:cs="Times New Roman"/>
              </w:rPr>
            </w:pPr>
          </w:p>
        </w:tc>
      </w:tr>
      <w:tr w:rsidR="001335D5" w:rsidRPr="00DC652F" w14:paraId="2235749B" w14:textId="7A3C6C38" w:rsidTr="0077390C">
        <w:trPr>
          <w:cantSplit/>
          <w:trHeight w:val="283"/>
        </w:trPr>
        <w:tc>
          <w:tcPr>
            <w:tcW w:w="4306" w:type="dxa"/>
            <w:vAlign w:val="center"/>
          </w:tcPr>
          <w:p w14:paraId="2E30FCCA"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Ethnicity</w:t>
            </w:r>
          </w:p>
        </w:tc>
        <w:tc>
          <w:tcPr>
            <w:tcW w:w="1416" w:type="dxa"/>
            <w:vAlign w:val="center"/>
          </w:tcPr>
          <w:p w14:paraId="285E975E"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4FE1BDA6" w14:textId="77777777" w:rsidR="001335D5" w:rsidRPr="00DC652F" w:rsidRDefault="001335D5" w:rsidP="001E6B09">
            <w:pPr>
              <w:ind w:right="-57"/>
              <w:jc w:val="center"/>
              <w:rPr>
                <w:rFonts w:ascii="Times New Roman" w:hAnsi="Times New Roman" w:cs="Times New Roman"/>
              </w:rPr>
            </w:pPr>
          </w:p>
        </w:tc>
        <w:tc>
          <w:tcPr>
            <w:tcW w:w="236" w:type="dxa"/>
          </w:tcPr>
          <w:p w14:paraId="476BACAD" w14:textId="77777777" w:rsidR="001335D5" w:rsidRPr="00DC652F" w:rsidRDefault="001335D5" w:rsidP="001E6B09">
            <w:pPr>
              <w:ind w:right="-57"/>
              <w:jc w:val="center"/>
              <w:rPr>
                <w:rFonts w:ascii="Times New Roman" w:hAnsi="Times New Roman" w:cs="Times New Roman"/>
              </w:rPr>
            </w:pPr>
          </w:p>
        </w:tc>
        <w:tc>
          <w:tcPr>
            <w:tcW w:w="1417" w:type="dxa"/>
          </w:tcPr>
          <w:p w14:paraId="4D8CB7FD" w14:textId="1BF9562D" w:rsidR="001335D5" w:rsidRPr="00DC652F" w:rsidRDefault="001335D5" w:rsidP="001E6B09">
            <w:pPr>
              <w:ind w:right="-57"/>
              <w:jc w:val="center"/>
              <w:rPr>
                <w:rFonts w:ascii="Times New Roman" w:hAnsi="Times New Roman" w:cs="Times New Roman"/>
              </w:rPr>
            </w:pPr>
          </w:p>
        </w:tc>
        <w:tc>
          <w:tcPr>
            <w:tcW w:w="1418" w:type="dxa"/>
          </w:tcPr>
          <w:p w14:paraId="2A7B37DB" w14:textId="77777777" w:rsidR="001335D5" w:rsidRPr="00DC652F" w:rsidRDefault="001335D5" w:rsidP="001E6B09">
            <w:pPr>
              <w:ind w:right="-57"/>
              <w:jc w:val="center"/>
              <w:rPr>
                <w:rFonts w:ascii="Times New Roman" w:hAnsi="Times New Roman" w:cs="Times New Roman"/>
              </w:rPr>
            </w:pPr>
          </w:p>
        </w:tc>
        <w:tc>
          <w:tcPr>
            <w:tcW w:w="236" w:type="dxa"/>
          </w:tcPr>
          <w:p w14:paraId="0259EDB2" w14:textId="77777777" w:rsidR="001335D5" w:rsidRPr="00DC652F" w:rsidRDefault="001335D5" w:rsidP="001E6B09">
            <w:pPr>
              <w:ind w:right="-57"/>
              <w:jc w:val="center"/>
              <w:rPr>
                <w:rFonts w:ascii="Times New Roman" w:hAnsi="Times New Roman" w:cs="Times New Roman"/>
              </w:rPr>
            </w:pPr>
          </w:p>
        </w:tc>
        <w:tc>
          <w:tcPr>
            <w:tcW w:w="1417" w:type="dxa"/>
          </w:tcPr>
          <w:p w14:paraId="00F74355" w14:textId="77777777" w:rsidR="001335D5" w:rsidRPr="00DC652F" w:rsidRDefault="001335D5" w:rsidP="001E6B09">
            <w:pPr>
              <w:ind w:right="-57"/>
              <w:jc w:val="center"/>
              <w:rPr>
                <w:rFonts w:ascii="Times New Roman" w:hAnsi="Times New Roman" w:cs="Times New Roman"/>
              </w:rPr>
            </w:pPr>
          </w:p>
        </w:tc>
        <w:tc>
          <w:tcPr>
            <w:tcW w:w="1418" w:type="dxa"/>
          </w:tcPr>
          <w:p w14:paraId="28DEBC44" w14:textId="77777777" w:rsidR="001335D5" w:rsidRPr="00DC652F" w:rsidRDefault="001335D5" w:rsidP="001E6B09">
            <w:pPr>
              <w:ind w:right="-57"/>
              <w:jc w:val="center"/>
              <w:rPr>
                <w:rFonts w:ascii="Times New Roman" w:hAnsi="Times New Roman" w:cs="Times New Roman"/>
              </w:rPr>
            </w:pPr>
          </w:p>
        </w:tc>
        <w:tc>
          <w:tcPr>
            <w:tcW w:w="236" w:type="dxa"/>
          </w:tcPr>
          <w:p w14:paraId="413B3090"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37CC96C8" w14:textId="408BF89C"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0.055</w:t>
            </w:r>
          </w:p>
        </w:tc>
      </w:tr>
      <w:tr w:rsidR="001335D5" w:rsidRPr="00DC652F" w14:paraId="0057E7A0" w14:textId="5311233B" w:rsidTr="0077390C">
        <w:trPr>
          <w:cantSplit/>
          <w:trHeight w:val="283"/>
        </w:trPr>
        <w:tc>
          <w:tcPr>
            <w:tcW w:w="4306" w:type="dxa"/>
            <w:vAlign w:val="center"/>
          </w:tcPr>
          <w:p w14:paraId="77C715FA"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Chinese</w:t>
            </w:r>
          </w:p>
        </w:tc>
        <w:tc>
          <w:tcPr>
            <w:tcW w:w="1416" w:type="dxa"/>
            <w:vAlign w:val="center"/>
          </w:tcPr>
          <w:p w14:paraId="2BA31673"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223</w:t>
            </w:r>
          </w:p>
        </w:tc>
        <w:tc>
          <w:tcPr>
            <w:tcW w:w="1417" w:type="dxa"/>
            <w:vAlign w:val="center"/>
          </w:tcPr>
          <w:p w14:paraId="2AA112B8"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51.7</w:t>
            </w:r>
          </w:p>
        </w:tc>
        <w:tc>
          <w:tcPr>
            <w:tcW w:w="236" w:type="dxa"/>
          </w:tcPr>
          <w:p w14:paraId="20100123" w14:textId="77777777" w:rsidR="001335D5" w:rsidRPr="00DC652F" w:rsidRDefault="001335D5" w:rsidP="001E6B09">
            <w:pPr>
              <w:ind w:right="-57"/>
              <w:jc w:val="center"/>
              <w:rPr>
                <w:rFonts w:ascii="Times New Roman" w:hAnsi="Times New Roman" w:cs="Times New Roman"/>
              </w:rPr>
            </w:pPr>
          </w:p>
        </w:tc>
        <w:tc>
          <w:tcPr>
            <w:tcW w:w="1417" w:type="dxa"/>
          </w:tcPr>
          <w:p w14:paraId="1DDE83AF" w14:textId="352BEB7D"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142</w:t>
            </w:r>
          </w:p>
        </w:tc>
        <w:tc>
          <w:tcPr>
            <w:tcW w:w="1418" w:type="dxa"/>
            <w:vAlign w:val="center"/>
          </w:tcPr>
          <w:p w14:paraId="7C6EA2B1" w14:textId="70F5FB11"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56.6</w:t>
            </w:r>
          </w:p>
        </w:tc>
        <w:tc>
          <w:tcPr>
            <w:tcW w:w="236" w:type="dxa"/>
          </w:tcPr>
          <w:p w14:paraId="62987034"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291D1602" w14:textId="27ADA128"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81</w:t>
            </w:r>
          </w:p>
        </w:tc>
        <w:tc>
          <w:tcPr>
            <w:tcW w:w="1418" w:type="dxa"/>
          </w:tcPr>
          <w:p w14:paraId="5BE21684" w14:textId="4B0C3740"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45.0</w:t>
            </w:r>
          </w:p>
        </w:tc>
        <w:tc>
          <w:tcPr>
            <w:tcW w:w="236" w:type="dxa"/>
          </w:tcPr>
          <w:p w14:paraId="4CF6B99F"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4D362D5F" w14:textId="77777777" w:rsidR="001335D5" w:rsidRPr="00DC652F" w:rsidRDefault="001335D5" w:rsidP="001E6B09">
            <w:pPr>
              <w:ind w:right="-57"/>
              <w:jc w:val="center"/>
              <w:rPr>
                <w:rFonts w:ascii="Times New Roman" w:hAnsi="Times New Roman" w:cs="Times New Roman"/>
              </w:rPr>
            </w:pPr>
          </w:p>
        </w:tc>
      </w:tr>
      <w:tr w:rsidR="001335D5" w:rsidRPr="00DC652F" w14:paraId="2FA3EAA5" w14:textId="3E60261A" w:rsidTr="0077390C">
        <w:trPr>
          <w:cantSplit/>
          <w:trHeight w:val="283"/>
        </w:trPr>
        <w:tc>
          <w:tcPr>
            <w:tcW w:w="4306" w:type="dxa"/>
            <w:vAlign w:val="center"/>
          </w:tcPr>
          <w:p w14:paraId="475DA33E"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Malay</w:t>
            </w:r>
          </w:p>
        </w:tc>
        <w:tc>
          <w:tcPr>
            <w:tcW w:w="1416" w:type="dxa"/>
            <w:vAlign w:val="center"/>
          </w:tcPr>
          <w:p w14:paraId="6E4C4B40"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100</w:t>
            </w:r>
          </w:p>
        </w:tc>
        <w:tc>
          <w:tcPr>
            <w:tcW w:w="1417" w:type="dxa"/>
            <w:vAlign w:val="center"/>
          </w:tcPr>
          <w:p w14:paraId="7FEFDAA5"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23.2</w:t>
            </w:r>
          </w:p>
        </w:tc>
        <w:tc>
          <w:tcPr>
            <w:tcW w:w="236" w:type="dxa"/>
          </w:tcPr>
          <w:p w14:paraId="58796976" w14:textId="77777777" w:rsidR="001335D5" w:rsidRPr="00DC652F" w:rsidRDefault="001335D5" w:rsidP="001E6B09">
            <w:pPr>
              <w:ind w:right="-57"/>
              <w:jc w:val="center"/>
              <w:rPr>
                <w:rFonts w:ascii="Times New Roman" w:hAnsi="Times New Roman" w:cs="Times New Roman"/>
              </w:rPr>
            </w:pPr>
          </w:p>
        </w:tc>
        <w:tc>
          <w:tcPr>
            <w:tcW w:w="1417" w:type="dxa"/>
          </w:tcPr>
          <w:p w14:paraId="154A0171" w14:textId="2EB0632D"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51</w:t>
            </w:r>
          </w:p>
        </w:tc>
        <w:tc>
          <w:tcPr>
            <w:tcW w:w="1418" w:type="dxa"/>
            <w:vAlign w:val="center"/>
          </w:tcPr>
          <w:p w14:paraId="5325FAA8" w14:textId="3FD96F6B"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20.3</w:t>
            </w:r>
          </w:p>
        </w:tc>
        <w:tc>
          <w:tcPr>
            <w:tcW w:w="236" w:type="dxa"/>
          </w:tcPr>
          <w:p w14:paraId="0A70ECCB"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47FEC142" w14:textId="13942CF2"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49</w:t>
            </w:r>
          </w:p>
        </w:tc>
        <w:tc>
          <w:tcPr>
            <w:tcW w:w="1418" w:type="dxa"/>
          </w:tcPr>
          <w:p w14:paraId="1348EC5A" w14:textId="368D07EC"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27.2</w:t>
            </w:r>
          </w:p>
        </w:tc>
        <w:tc>
          <w:tcPr>
            <w:tcW w:w="236" w:type="dxa"/>
          </w:tcPr>
          <w:p w14:paraId="06A46646"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4E4F96E2" w14:textId="77777777" w:rsidR="001335D5" w:rsidRPr="00DC652F" w:rsidRDefault="001335D5" w:rsidP="001E6B09">
            <w:pPr>
              <w:ind w:right="-57"/>
              <w:jc w:val="center"/>
              <w:rPr>
                <w:rFonts w:ascii="Times New Roman" w:hAnsi="Times New Roman" w:cs="Times New Roman"/>
              </w:rPr>
            </w:pPr>
          </w:p>
        </w:tc>
      </w:tr>
      <w:tr w:rsidR="001335D5" w:rsidRPr="00DC652F" w14:paraId="070678BB" w14:textId="12DF4692" w:rsidTr="0077390C">
        <w:trPr>
          <w:cantSplit/>
          <w:trHeight w:val="283"/>
        </w:trPr>
        <w:tc>
          <w:tcPr>
            <w:tcW w:w="4306" w:type="dxa"/>
            <w:vAlign w:val="center"/>
          </w:tcPr>
          <w:p w14:paraId="3E6D9BC6"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Indian</w:t>
            </w:r>
          </w:p>
        </w:tc>
        <w:tc>
          <w:tcPr>
            <w:tcW w:w="1416" w:type="dxa"/>
            <w:vAlign w:val="center"/>
          </w:tcPr>
          <w:p w14:paraId="0DFDE0FC"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108</w:t>
            </w:r>
          </w:p>
        </w:tc>
        <w:tc>
          <w:tcPr>
            <w:tcW w:w="1417" w:type="dxa"/>
            <w:vAlign w:val="center"/>
          </w:tcPr>
          <w:p w14:paraId="5FACE628"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25.1</w:t>
            </w:r>
          </w:p>
        </w:tc>
        <w:tc>
          <w:tcPr>
            <w:tcW w:w="236" w:type="dxa"/>
          </w:tcPr>
          <w:p w14:paraId="6F6A1D5C" w14:textId="77777777" w:rsidR="001335D5" w:rsidRPr="00DC652F" w:rsidRDefault="001335D5" w:rsidP="001E6B09">
            <w:pPr>
              <w:ind w:right="-57"/>
              <w:jc w:val="center"/>
              <w:rPr>
                <w:rFonts w:ascii="Times New Roman" w:hAnsi="Times New Roman" w:cs="Times New Roman"/>
              </w:rPr>
            </w:pPr>
          </w:p>
        </w:tc>
        <w:tc>
          <w:tcPr>
            <w:tcW w:w="1417" w:type="dxa"/>
          </w:tcPr>
          <w:p w14:paraId="7528F5F9" w14:textId="5B75B190"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58</w:t>
            </w:r>
          </w:p>
        </w:tc>
        <w:tc>
          <w:tcPr>
            <w:tcW w:w="1418" w:type="dxa"/>
            <w:vAlign w:val="center"/>
          </w:tcPr>
          <w:p w14:paraId="3F71540F" w14:textId="4D29D06E"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23.1</w:t>
            </w:r>
          </w:p>
        </w:tc>
        <w:tc>
          <w:tcPr>
            <w:tcW w:w="236" w:type="dxa"/>
          </w:tcPr>
          <w:p w14:paraId="05D464A8"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66E07262" w14:textId="582DF41C"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50</w:t>
            </w:r>
          </w:p>
        </w:tc>
        <w:tc>
          <w:tcPr>
            <w:tcW w:w="1418" w:type="dxa"/>
          </w:tcPr>
          <w:p w14:paraId="4B911934" w14:textId="75FAC271"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27.8</w:t>
            </w:r>
          </w:p>
        </w:tc>
        <w:tc>
          <w:tcPr>
            <w:tcW w:w="236" w:type="dxa"/>
          </w:tcPr>
          <w:p w14:paraId="13BC605A"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40BC89CF" w14:textId="77777777" w:rsidR="001335D5" w:rsidRPr="00DC652F" w:rsidRDefault="001335D5" w:rsidP="001E6B09">
            <w:pPr>
              <w:ind w:right="-57"/>
              <w:jc w:val="center"/>
              <w:rPr>
                <w:rFonts w:ascii="Times New Roman" w:hAnsi="Times New Roman" w:cs="Times New Roman"/>
              </w:rPr>
            </w:pPr>
          </w:p>
        </w:tc>
      </w:tr>
      <w:tr w:rsidR="001335D5" w:rsidRPr="00DC652F" w14:paraId="2B0C38A9" w14:textId="3995E535" w:rsidTr="0077390C">
        <w:trPr>
          <w:cantSplit/>
          <w:trHeight w:val="283"/>
        </w:trPr>
        <w:tc>
          <w:tcPr>
            <w:tcW w:w="4306" w:type="dxa"/>
            <w:vAlign w:val="center"/>
          </w:tcPr>
          <w:p w14:paraId="1E525C80"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Educational level</w:t>
            </w:r>
          </w:p>
        </w:tc>
        <w:tc>
          <w:tcPr>
            <w:tcW w:w="1416" w:type="dxa"/>
            <w:vAlign w:val="center"/>
          </w:tcPr>
          <w:p w14:paraId="58B367AD"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759D3521" w14:textId="77777777" w:rsidR="001335D5" w:rsidRPr="00DC652F" w:rsidRDefault="001335D5" w:rsidP="001E6B09">
            <w:pPr>
              <w:ind w:right="-57"/>
              <w:jc w:val="center"/>
              <w:rPr>
                <w:rFonts w:ascii="Times New Roman" w:hAnsi="Times New Roman" w:cs="Times New Roman"/>
              </w:rPr>
            </w:pPr>
          </w:p>
        </w:tc>
        <w:tc>
          <w:tcPr>
            <w:tcW w:w="236" w:type="dxa"/>
          </w:tcPr>
          <w:p w14:paraId="633BAC9D" w14:textId="77777777" w:rsidR="001335D5" w:rsidRPr="00DC652F" w:rsidRDefault="001335D5" w:rsidP="001E6B09">
            <w:pPr>
              <w:ind w:right="-57"/>
              <w:jc w:val="center"/>
              <w:rPr>
                <w:rFonts w:ascii="Times New Roman" w:hAnsi="Times New Roman" w:cs="Times New Roman"/>
              </w:rPr>
            </w:pPr>
          </w:p>
        </w:tc>
        <w:tc>
          <w:tcPr>
            <w:tcW w:w="1417" w:type="dxa"/>
          </w:tcPr>
          <w:p w14:paraId="51FE8BF0" w14:textId="54F557F1" w:rsidR="001335D5" w:rsidRPr="00DC652F" w:rsidRDefault="001335D5" w:rsidP="001E6B09">
            <w:pPr>
              <w:ind w:right="-57"/>
              <w:jc w:val="center"/>
              <w:rPr>
                <w:rFonts w:ascii="Times New Roman" w:hAnsi="Times New Roman" w:cs="Times New Roman"/>
              </w:rPr>
            </w:pPr>
          </w:p>
        </w:tc>
        <w:tc>
          <w:tcPr>
            <w:tcW w:w="1418" w:type="dxa"/>
            <w:vAlign w:val="center"/>
          </w:tcPr>
          <w:p w14:paraId="2D4B4C48" w14:textId="77777777" w:rsidR="001335D5" w:rsidRPr="00DC652F" w:rsidRDefault="001335D5" w:rsidP="001E6B09">
            <w:pPr>
              <w:ind w:right="-57"/>
              <w:jc w:val="center"/>
              <w:rPr>
                <w:rFonts w:ascii="Times New Roman" w:hAnsi="Times New Roman" w:cs="Times New Roman"/>
              </w:rPr>
            </w:pPr>
          </w:p>
        </w:tc>
        <w:tc>
          <w:tcPr>
            <w:tcW w:w="236" w:type="dxa"/>
          </w:tcPr>
          <w:p w14:paraId="17095643"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1F4D967E" w14:textId="77777777" w:rsidR="001335D5" w:rsidRPr="00DC652F" w:rsidRDefault="001335D5" w:rsidP="001E6B09">
            <w:pPr>
              <w:ind w:right="-57"/>
              <w:jc w:val="center"/>
              <w:rPr>
                <w:rFonts w:ascii="Times New Roman" w:hAnsi="Times New Roman" w:cs="Times New Roman"/>
              </w:rPr>
            </w:pPr>
          </w:p>
        </w:tc>
        <w:tc>
          <w:tcPr>
            <w:tcW w:w="1418" w:type="dxa"/>
          </w:tcPr>
          <w:p w14:paraId="7E932AFF" w14:textId="77777777" w:rsidR="001335D5" w:rsidRPr="00DC652F" w:rsidRDefault="001335D5" w:rsidP="001E6B09">
            <w:pPr>
              <w:ind w:right="-57"/>
              <w:jc w:val="center"/>
              <w:rPr>
                <w:rFonts w:ascii="Times New Roman" w:hAnsi="Times New Roman" w:cs="Times New Roman"/>
              </w:rPr>
            </w:pPr>
          </w:p>
        </w:tc>
        <w:tc>
          <w:tcPr>
            <w:tcW w:w="236" w:type="dxa"/>
          </w:tcPr>
          <w:p w14:paraId="0C2D0F3E"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532064A0" w14:textId="54CD49AB"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0.007</w:t>
            </w:r>
          </w:p>
        </w:tc>
      </w:tr>
      <w:tr w:rsidR="001335D5" w:rsidRPr="00DC652F" w14:paraId="28603AA4" w14:textId="211C7DBD" w:rsidTr="0077390C">
        <w:trPr>
          <w:cantSplit/>
          <w:trHeight w:val="283"/>
        </w:trPr>
        <w:tc>
          <w:tcPr>
            <w:tcW w:w="4306" w:type="dxa"/>
            <w:vAlign w:val="center"/>
          </w:tcPr>
          <w:p w14:paraId="0EE68709"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Secondary &amp; lower</w:t>
            </w:r>
          </w:p>
        </w:tc>
        <w:tc>
          <w:tcPr>
            <w:tcW w:w="1416" w:type="dxa"/>
            <w:vAlign w:val="center"/>
          </w:tcPr>
          <w:p w14:paraId="3CD71D5E"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144</w:t>
            </w:r>
          </w:p>
        </w:tc>
        <w:tc>
          <w:tcPr>
            <w:tcW w:w="1417" w:type="dxa"/>
            <w:vAlign w:val="center"/>
          </w:tcPr>
          <w:p w14:paraId="238E625C"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34.0</w:t>
            </w:r>
          </w:p>
        </w:tc>
        <w:tc>
          <w:tcPr>
            <w:tcW w:w="236" w:type="dxa"/>
          </w:tcPr>
          <w:p w14:paraId="2B8F1720" w14:textId="77777777" w:rsidR="001335D5" w:rsidRPr="00DC652F" w:rsidRDefault="001335D5" w:rsidP="001E6B09">
            <w:pPr>
              <w:ind w:right="-57"/>
              <w:jc w:val="center"/>
              <w:rPr>
                <w:rFonts w:ascii="Times New Roman" w:hAnsi="Times New Roman" w:cs="Times New Roman"/>
              </w:rPr>
            </w:pPr>
          </w:p>
        </w:tc>
        <w:tc>
          <w:tcPr>
            <w:tcW w:w="1417" w:type="dxa"/>
          </w:tcPr>
          <w:p w14:paraId="4E83DED6" w14:textId="300254F3"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71</w:t>
            </w:r>
          </w:p>
        </w:tc>
        <w:tc>
          <w:tcPr>
            <w:tcW w:w="1418" w:type="dxa"/>
            <w:vAlign w:val="center"/>
          </w:tcPr>
          <w:p w14:paraId="34089999" w14:textId="6481B755"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28.7</w:t>
            </w:r>
          </w:p>
        </w:tc>
        <w:tc>
          <w:tcPr>
            <w:tcW w:w="236" w:type="dxa"/>
          </w:tcPr>
          <w:p w14:paraId="76805BE8"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76760989" w14:textId="5F63158A"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73</w:t>
            </w:r>
          </w:p>
        </w:tc>
        <w:tc>
          <w:tcPr>
            <w:tcW w:w="1418" w:type="dxa"/>
          </w:tcPr>
          <w:p w14:paraId="2958CC13" w14:textId="773E2AEB"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41.5</w:t>
            </w:r>
          </w:p>
        </w:tc>
        <w:tc>
          <w:tcPr>
            <w:tcW w:w="236" w:type="dxa"/>
          </w:tcPr>
          <w:p w14:paraId="0661E821"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38C7AEF8" w14:textId="77777777" w:rsidR="001335D5" w:rsidRPr="00DC652F" w:rsidRDefault="001335D5" w:rsidP="001E6B09">
            <w:pPr>
              <w:ind w:right="-57"/>
              <w:jc w:val="center"/>
              <w:rPr>
                <w:rFonts w:ascii="Times New Roman" w:hAnsi="Times New Roman" w:cs="Times New Roman"/>
              </w:rPr>
            </w:pPr>
          </w:p>
        </w:tc>
      </w:tr>
      <w:tr w:rsidR="001335D5" w:rsidRPr="00DC652F" w14:paraId="796ED57B" w14:textId="13DED1B3" w:rsidTr="0077390C">
        <w:trPr>
          <w:cantSplit/>
          <w:trHeight w:val="283"/>
        </w:trPr>
        <w:tc>
          <w:tcPr>
            <w:tcW w:w="4306" w:type="dxa"/>
            <w:vAlign w:val="center"/>
          </w:tcPr>
          <w:p w14:paraId="0EB6698B" w14:textId="092A7C81"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Post</w:t>
            </w:r>
            <w:r w:rsidR="000B1D17">
              <w:rPr>
                <w:rFonts w:ascii="Times New Roman" w:hAnsi="Times New Roman" w:cs="Times New Roman"/>
              </w:rPr>
              <w:t>-</w:t>
            </w:r>
            <w:r w:rsidRPr="00DC652F">
              <w:rPr>
                <w:rFonts w:ascii="Times New Roman" w:hAnsi="Times New Roman" w:cs="Times New Roman"/>
              </w:rPr>
              <w:t>secondary &amp; higher</w:t>
            </w:r>
          </w:p>
        </w:tc>
        <w:tc>
          <w:tcPr>
            <w:tcW w:w="1416" w:type="dxa"/>
            <w:vAlign w:val="center"/>
          </w:tcPr>
          <w:p w14:paraId="06FBA34F"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279</w:t>
            </w:r>
          </w:p>
        </w:tc>
        <w:tc>
          <w:tcPr>
            <w:tcW w:w="1417" w:type="dxa"/>
            <w:vAlign w:val="center"/>
          </w:tcPr>
          <w:p w14:paraId="7EB4CECF"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66.0</w:t>
            </w:r>
          </w:p>
        </w:tc>
        <w:tc>
          <w:tcPr>
            <w:tcW w:w="236" w:type="dxa"/>
          </w:tcPr>
          <w:p w14:paraId="0A43817E" w14:textId="77777777" w:rsidR="001335D5" w:rsidRPr="00DC652F" w:rsidRDefault="001335D5" w:rsidP="001E6B09">
            <w:pPr>
              <w:ind w:right="-57"/>
              <w:jc w:val="center"/>
              <w:rPr>
                <w:rFonts w:ascii="Times New Roman" w:hAnsi="Times New Roman" w:cs="Times New Roman"/>
              </w:rPr>
            </w:pPr>
          </w:p>
        </w:tc>
        <w:tc>
          <w:tcPr>
            <w:tcW w:w="1417" w:type="dxa"/>
          </w:tcPr>
          <w:p w14:paraId="22A31E2A" w14:textId="270166C5"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176</w:t>
            </w:r>
          </w:p>
        </w:tc>
        <w:tc>
          <w:tcPr>
            <w:tcW w:w="1418" w:type="dxa"/>
            <w:vAlign w:val="center"/>
          </w:tcPr>
          <w:p w14:paraId="66C90134" w14:textId="7BD04E88"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71.3</w:t>
            </w:r>
          </w:p>
        </w:tc>
        <w:tc>
          <w:tcPr>
            <w:tcW w:w="236" w:type="dxa"/>
          </w:tcPr>
          <w:p w14:paraId="43EFE028"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7B5E3A8F" w14:textId="0161B5BD"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103</w:t>
            </w:r>
          </w:p>
        </w:tc>
        <w:tc>
          <w:tcPr>
            <w:tcW w:w="1418" w:type="dxa"/>
          </w:tcPr>
          <w:p w14:paraId="68F96BEB" w14:textId="1C85D094"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58.5</w:t>
            </w:r>
          </w:p>
        </w:tc>
        <w:tc>
          <w:tcPr>
            <w:tcW w:w="236" w:type="dxa"/>
          </w:tcPr>
          <w:p w14:paraId="751AFE25"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384DF70D" w14:textId="77777777" w:rsidR="001335D5" w:rsidRPr="00DC652F" w:rsidRDefault="001335D5" w:rsidP="001E6B09">
            <w:pPr>
              <w:ind w:right="-57"/>
              <w:jc w:val="center"/>
              <w:rPr>
                <w:rFonts w:ascii="Times New Roman" w:hAnsi="Times New Roman" w:cs="Times New Roman"/>
              </w:rPr>
            </w:pPr>
          </w:p>
        </w:tc>
      </w:tr>
      <w:tr w:rsidR="001335D5" w:rsidRPr="00DC652F" w14:paraId="091FD288" w14:textId="6997D3DC" w:rsidTr="0077390C">
        <w:trPr>
          <w:cantSplit/>
          <w:trHeight w:val="283"/>
        </w:trPr>
        <w:tc>
          <w:tcPr>
            <w:tcW w:w="4306" w:type="dxa"/>
            <w:vAlign w:val="center"/>
          </w:tcPr>
          <w:p w14:paraId="2C00BA4F" w14:textId="0BCEC4C8" w:rsidR="001335D5" w:rsidRPr="00DC652F" w:rsidRDefault="00B43A27" w:rsidP="001E6B09">
            <w:pPr>
              <w:rPr>
                <w:rFonts w:ascii="Times New Roman" w:hAnsi="Times New Roman" w:cs="Times New Roman"/>
              </w:rPr>
            </w:pPr>
            <w:r w:rsidRPr="00DC652F">
              <w:rPr>
                <w:rFonts w:ascii="Times New Roman" w:hAnsi="Times New Roman" w:cs="Times New Roman"/>
              </w:rPr>
              <w:t>Monthly household income (</w:t>
            </w:r>
            <w:r w:rsidR="001335D5" w:rsidRPr="00DC652F">
              <w:rPr>
                <w:rFonts w:ascii="Times New Roman" w:hAnsi="Times New Roman" w:cs="Times New Roman"/>
              </w:rPr>
              <w:t>SGD</w:t>
            </w:r>
            <w:r w:rsidRPr="00DC652F">
              <w:rPr>
                <w:rFonts w:ascii="Times New Roman" w:hAnsi="Times New Roman" w:cs="Times New Roman"/>
              </w:rPr>
              <w:t>)</w:t>
            </w:r>
          </w:p>
        </w:tc>
        <w:tc>
          <w:tcPr>
            <w:tcW w:w="1416" w:type="dxa"/>
            <w:vAlign w:val="center"/>
          </w:tcPr>
          <w:p w14:paraId="32F82E75"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761B1C76" w14:textId="77777777" w:rsidR="001335D5" w:rsidRPr="00DC652F" w:rsidRDefault="001335D5" w:rsidP="001E6B09">
            <w:pPr>
              <w:ind w:right="-57"/>
              <w:jc w:val="center"/>
              <w:rPr>
                <w:rFonts w:ascii="Times New Roman" w:hAnsi="Times New Roman" w:cs="Times New Roman"/>
              </w:rPr>
            </w:pPr>
          </w:p>
        </w:tc>
        <w:tc>
          <w:tcPr>
            <w:tcW w:w="236" w:type="dxa"/>
          </w:tcPr>
          <w:p w14:paraId="47E84A12" w14:textId="77777777" w:rsidR="001335D5" w:rsidRPr="00DC652F" w:rsidRDefault="001335D5" w:rsidP="001E6B09">
            <w:pPr>
              <w:ind w:right="-57"/>
              <w:jc w:val="center"/>
              <w:rPr>
                <w:rFonts w:ascii="Times New Roman" w:hAnsi="Times New Roman" w:cs="Times New Roman"/>
              </w:rPr>
            </w:pPr>
          </w:p>
        </w:tc>
        <w:tc>
          <w:tcPr>
            <w:tcW w:w="1417" w:type="dxa"/>
          </w:tcPr>
          <w:p w14:paraId="5F381EEF" w14:textId="5ACB64D6" w:rsidR="001335D5" w:rsidRPr="00DC652F" w:rsidRDefault="001335D5" w:rsidP="001E6B09">
            <w:pPr>
              <w:ind w:right="-57"/>
              <w:jc w:val="center"/>
              <w:rPr>
                <w:rFonts w:ascii="Times New Roman" w:hAnsi="Times New Roman" w:cs="Times New Roman"/>
              </w:rPr>
            </w:pPr>
          </w:p>
        </w:tc>
        <w:tc>
          <w:tcPr>
            <w:tcW w:w="1418" w:type="dxa"/>
            <w:vAlign w:val="center"/>
          </w:tcPr>
          <w:p w14:paraId="0707A054" w14:textId="77777777" w:rsidR="001335D5" w:rsidRPr="00DC652F" w:rsidRDefault="001335D5" w:rsidP="001E6B09">
            <w:pPr>
              <w:ind w:right="-57"/>
              <w:jc w:val="center"/>
              <w:rPr>
                <w:rFonts w:ascii="Times New Roman" w:hAnsi="Times New Roman" w:cs="Times New Roman"/>
              </w:rPr>
            </w:pPr>
          </w:p>
        </w:tc>
        <w:tc>
          <w:tcPr>
            <w:tcW w:w="236" w:type="dxa"/>
          </w:tcPr>
          <w:p w14:paraId="4F2A2A1F"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072F27E4" w14:textId="77777777" w:rsidR="001335D5" w:rsidRPr="00DC652F" w:rsidRDefault="001335D5" w:rsidP="001E6B09">
            <w:pPr>
              <w:ind w:right="-57"/>
              <w:jc w:val="center"/>
              <w:rPr>
                <w:rFonts w:ascii="Times New Roman" w:hAnsi="Times New Roman" w:cs="Times New Roman"/>
              </w:rPr>
            </w:pPr>
          </w:p>
        </w:tc>
        <w:tc>
          <w:tcPr>
            <w:tcW w:w="1418" w:type="dxa"/>
          </w:tcPr>
          <w:p w14:paraId="371A0782" w14:textId="77777777" w:rsidR="001335D5" w:rsidRPr="00DC652F" w:rsidRDefault="001335D5" w:rsidP="001E6B09">
            <w:pPr>
              <w:ind w:right="-57"/>
              <w:jc w:val="center"/>
              <w:rPr>
                <w:rFonts w:ascii="Times New Roman" w:hAnsi="Times New Roman" w:cs="Times New Roman"/>
              </w:rPr>
            </w:pPr>
          </w:p>
        </w:tc>
        <w:tc>
          <w:tcPr>
            <w:tcW w:w="236" w:type="dxa"/>
          </w:tcPr>
          <w:p w14:paraId="12F67BCC"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3081A3CB" w14:textId="62900C85"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0.002</w:t>
            </w:r>
          </w:p>
        </w:tc>
      </w:tr>
      <w:tr w:rsidR="001335D5" w:rsidRPr="00DC652F" w14:paraId="0F66CE89" w14:textId="4FAA6EE3" w:rsidTr="0077390C">
        <w:trPr>
          <w:cantSplit/>
          <w:trHeight w:val="283"/>
        </w:trPr>
        <w:tc>
          <w:tcPr>
            <w:tcW w:w="4306" w:type="dxa"/>
            <w:vAlign w:val="center"/>
          </w:tcPr>
          <w:p w14:paraId="24DC6208" w14:textId="48531C1E"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0</w:t>
            </w:r>
            <w:r w:rsidR="000B1D17">
              <w:rPr>
                <w:rFonts w:ascii="Times New Roman" w:hAnsi="Times New Roman" w:cs="Times New Roman"/>
              </w:rPr>
              <w:t>-</w:t>
            </w:r>
            <w:r w:rsidRPr="00DC652F">
              <w:rPr>
                <w:rFonts w:ascii="Times New Roman" w:hAnsi="Times New Roman" w:cs="Times New Roman"/>
              </w:rPr>
              <w:t>1999</w:t>
            </w:r>
          </w:p>
        </w:tc>
        <w:tc>
          <w:tcPr>
            <w:tcW w:w="1416" w:type="dxa"/>
            <w:vAlign w:val="center"/>
          </w:tcPr>
          <w:p w14:paraId="35A99058"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77</w:t>
            </w:r>
          </w:p>
        </w:tc>
        <w:tc>
          <w:tcPr>
            <w:tcW w:w="1417" w:type="dxa"/>
            <w:vAlign w:val="center"/>
          </w:tcPr>
          <w:p w14:paraId="451345BA"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19.0</w:t>
            </w:r>
          </w:p>
        </w:tc>
        <w:tc>
          <w:tcPr>
            <w:tcW w:w="236" w:type="dxa"/>
          </w:tcPr>
          <w:p w14:paraId="69CC628D" w14:textId="77777777" w:rsidR="001335D5" w:rsidRPr="00DC652F" w:rsidRDefault="001335D5" w:rsidP="001E6B09">
            <w:pPr>
              <w:ind w:right="-57"/>
              <w:jc w:val="center"/>
              <w:rPr>
                <w:rFonts w:ascii="Times New Roman" w:hAnsi="Times New Roman" w:cs="Times New Roman"/>
              </w:rPr>
            </w:pPr>
          </w:p>
        </w:tc>
        <w:tc>
          <w:tcPr>
            <w:tcW w:w="1417" w:type="dxa"/>
          </w:tcPr>
          <w:p w14:paraId="38E51780" w14:textId="549F8B18"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38</w:t>
            </w:r>
          </w:p>
        </w:tc>
        <w:tc>
          <w:tcPr>
            <w:tcW w:w="1418" w:type="dxa"/>
            <w:vAlign w:val="center"/>
          </w:tcPr>
          <w:p w14:paraId="47C3594C" w14:textId="07A7E815"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16.3</w:t>
            </w:r>
          </w:p>
        </w:tc>
        <w:tc>
          <w:tcPr>
            <w:tcW w:w="236" w:type="dxa"/>
          </w:tcPr>
          <w:p w14:paraId="26888975"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72BC83BD" w14:textId="4F7F2D05"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39</w:t>
            </w:r>
          </w:p>
        </w:tc>
        <w:tc>
          <w:tcPr>
            <w:tcW w:w="1418" w:type="dxa"/>
          </w:tcPr>
          <w:p w14:paraId="4516D555" w14:textId="5CEEE5EB"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22.5</w:t>
            </w:r>
          </w:p>
        </w:tc>
        <w:tc>
          <w:tcPr>
            <w:tcW w:w="236" w:type="dxa"/>
          </w:tcPr>
          <w:p w14:paraId="05FC20DA"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4E675618" w14:textId="77777777" w:rsidR="001335D5" w:rsidRPr="00DC652F" w:rsidRDefault="001335D5" w:rsidP="001E6B09">
            <w:pPr>
              <w:ind w:right="-57"/>
              <w:jc w:val="center"/>
              <w:rPr>
                <w:rFonts w:ascii="Times New Roman" w:hAnsi="Times New Roman" w:cs="Times New Roman"/>
              </w:rPr>
            </w:pPr>
          </w:p>
        </w:tc>
      </w:tr>
      <w:tr w:rsidR="001335D5" w:rsidRPr="00DC652F" w14:paraId="54DE12B7" w14:textId="57523D02" w:rsidTr="0077390C">
        <w:trPr>
          <w:cantSplit/>
          <w:trHeight w:val="283"/>
        </w:trPr>
        <w:tc>
          <w:tcPr>
            <w:tcW w:w="4306" w:type="dxa"/>
            <w:vAlign w:val="center"/>
          </w:tcPr>
          <w:p w14:paraId="760E08B3" w14:textId="0C1FBC16"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2000</w:t>
            </w:r>
            <w:r w:rsidR="000B1D17">
              <w:rPr>
                <w:rFonts w:ascii="Times New Roman" w:hAnsi="Times New Roman" w:cs="Times New Roman"/>
              </w:rPr>
              <w:t>-</w:t>
            </w:r>
            <w:r w:rsidRPr="00DC652F">
              <w:rPr>
                <w:rFonts w:ascii="Times New Roman" w:hAnsi="Times New Roman" w:cs="Times New Roman"/>
              </w:rPr>
              <w:t>5999</w:t>
            </w:r>
          </w:p>
        </w:tc>
        <w:tc>
          <w:tcPr>
            <w:tcW w:w="1416" w:type="dxa"/>
            <w:vAlign w:val="center"/>
          </w:tcPr>
          <w:p w14:paraId="1370BE4E" w14:textId="77777777" w:rsidR="001335D5" w:rsidRPr="00DC652F" w:rsidRDefault="001335D5" w:rsidP="00390343">
            <w:pPr>
              <w:ind w:right="-57"/>
              <w:jc w:val="center"/>
              <w:rPr>
                <w:rFonts w:ascii="Times New Roman" w:hAnsi="Times New Roman" w:cs="Times New Roman"/>
              </w:rPr>
            </w:pPr>
            <w:r w:rsidRPr="00DC652F">
              <w:rPr>
                <w:rFonts w:ascii="Times New Roman" w:hAnsi="Times New Roman" w:cs="Times New Roman"/>
              </w:rPr>
              <w:t>229</w:t>
            </w:r>
          </w:p>
        </w:tc>
        <w:tc>
          <w:tcPr>
            <w:tcW w:w="1417" w:type="dxa"/>
            <w:vAlign w:val="center"/>
          </w:tcPr>
          <w:p w14:paraId="674172CD" w14:textId="77777777" w:rsidR="001335D5" w:rsidRPr="00DC652F" w:rsidRDefault="001335D5" w:rsidP="00390343">
            <w:pPr>
              <w:ind w:right="-57"/>
              <w:jc w:val="center"/>
              <w:rPr>
                <w:rFonts w:ascii="Times New Roman" w:hAnsi="Times New Roman" w:cs="Times New Roman"/>
              </w:rPr>
            </w:pPr>
            <w:r w:rsidRPr="00DC652F">
              <w:rPr>
                <w:rFonts w:ascii="Times New Roman" w:hAnsi="Times New Roman" w:cs="Times New Roman"/>
              </w:rPr>
              <w:t>56.4</w:t>
            </w:r>
          </w:p>
        </w:tc>
        <w:tc>
          <w:tcPr>
            <w:tcW w:w="236" w:type="dxa"/>
          </w:tcPr>
          <w:p w14:paraId="1B9AF201" w14:textId="77777777" w:rsidR="001335D5" w:rsidRPr="00DC652F" w:rsidRDefault="001335D5" w:rsidP="001E6B09">
            <w:pPr>
              <w:ind w:right="-57"/>
              <w:jc w:val="center"/>
              <w:rPr>
                <w:rFonts w:ascii="Times New Roman" w:hAnsi="Times New Roman" w:cs="Times New Roman"/>
              </w:rPr>
            </w:pPr>
          </w:p>
        </w:tc>
        <w:tc>
          <w:tcPr>
            <w:tcW w:w="1417" w:type="dxa"/>
          </w:tcPr>
          <w:p w14:paraId="06A259D6" w14:textId="53F73EB0"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123</w:t>
            </w:r>
          </w:p>
        </w:tc>
        <w:tc>
          <w:tcPr>
            <w:tcW w:w="1418" w:type="dxa"/>
            <w:vAlign w:val="center"/>
          </w:tcPr>
          <w:p w14:paraId="1D5D2922" w14:textId="4F2CC95E"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52.8</w:t>
            </w:r>
          </w:p>
        </w:tc>
        <w:tc>
          <w:tcPr>
            <w:tcW w:w="236" w:type="dxa"/>
          </w:tcPr>
          <w:p w14:paraId="3B619FA7"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4502DE39" w14:textId="0435F66A"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106</w:t>
            </w:r>
          </w:p>
        </w:tc>
        <w:tc>
          <w:tcPr>
            <w:tcW w:w="1418" w:type="dxa"/>
          </w:tcPr>
          <w:p w14:paraId="1A140740" w14:textId="253AFD20"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61.3</w:t>
            </w:r>
          </w:p>
        </w:tc>
        <w:tc>
          <w:tcPr>
            <w:tcW w:w="236" w:type="dxa"/>
          </w:tcPr>
          <w:p w14:paraId="6C47C85F"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6634DDC6" w14:textId="77777777" w:rsidR="001335D5" w:rsidRPr="00DC652F" w:rsidRDefault="001335D5" w:rsidP="001E6B09">
            <w:pPr>
              <w:ind w:right="-57"/>
              <w:jc w:val="center"/>
              <w:rPr>
                <w:rFonts w:ascii="Times New Roman" w:hAnsi="Times New Roman" w:cs="Times New Roman"/>
              </w:rPr>
            </w:pPr>
          </w:p>
        </w:tc>
      </w:tr>
      <w:tr w:rsidR="001335D5" w:rsidRPr="00DC652F" w14:paraId="29EF076B" w14:textId="6D86254D" w:rsidTr="0077390C">
        <w:trPr>
          <w:cantSplit/>
          <w:trHeight w:val="283"/>
        </w:trPr>
        <w:tc>
          <w:tcPr>
            <w:tcW w:w="4306" w:type="dxa"/>
            <w:vAlign w:val="center"/>
          </w:tcPr>
          <w:p w14:paraId="6680D410"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6000 and above</w:t>
            </w:r>
          </w:p>
        </w:tc>
        <w:tc>
          <w:tcPr>
            <w:tcW w:w="1416" w:type="dxa"/>
            <w:vAlign w:val="center"/>
          </w:tcPr>
          <w:p w14:paraId="775464FE" w14:textId="77777777" w:rsidR="001335D5" w:rsidRPr="00DC652F" w:rsidRDefault="001335D5" w:rsidP="00390343">
            <w:pPr>
              <w:ind w:right="-57"/>
              <w:jc w:val="center"/>
              <w:rPr>
                <w:rFonts w:ascii="Times New Roman" w:hAnsi="Times New Roman" w:cs="Times New Roman"/>
              </w:rPr>
            </w:pPr>
            <w:r w:rsidRPr="00DC652F">
              <w:rPr>
                <w:rFonts w:ascii="Times New Roman" w:hAnsi="Times New Roman" w:cs="Times New Roman"/>
              </w:rPr>
              <w:t>100</w:t>
            </w:r>
          </w:p>
        </w:tc>
        <w:tc>
          <w:tcPr>
            <w:tcW w:w="1417" w:type="dxa"/>
            <w:vAlign w:val="center"/>
          </w:tcPr>
          <w:p w14:paraId="7BB355C9" w14:textId="77777777" w:rsidR="001335D5" w:rsidRPr="00DC652F" w:rsidRDefault="001335D5" w:rsidP="00390343">
            <w:pPr>
              <w:ind w:right="-57"/>
              <w:jc w:val="center"/>
              <w:rPr>
                <w:rFonts w:ascii="Times New Roman" w:hAnsi="Times New Roman" w:cs="Times New Roman"/>
              </w:rPr>
            </w:pPr>
            <w:r w:rsidRPr="00DC652F">
              <w:rPr>
                <w:rFonts w:ascii="Times New Roman" w:hAnsi="Times New Roman" w:cs="Times New Roman"/>
              </w:rPr>
              <w:t>24.6</w:t>
            </w:r>
          </w:p>
        </w:tc>
        <w:tc>
          <w:tcPr>
            <w:tcW w:w="236" w:type="dxa"/>
          </w:tcPr>
          <w:p w14:paraId="78EC636B" w14:textId="77777777" w:rsidR="001335D5" w:rsidRPr="00DC652F" w:rsidRDefault="001335D5" w:rsidP="001E6B09">
            <w:pPr>
              <w:ind w:right="-57"/>
              <w:jc w:val="center"/>
              <w:rPr>
                <w:rFonts w:ascii="Times New Roman" w:hAnsi="Times New Roman" w:cs="Times New Roman"/>
              </w:rPr>
            </w:pPr>
          </w:p>
        </w:tc>
        <w:tc>
          <w:tcPr>
            <w:tcW w:w="1417" w:type="dxa"/>
          </w:tcPr>
          <w:p w14:paraId="00CDCB17" w14:textId="630D8C70"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72</w:t>
            </w:r>
          </w:p>
        </w:tc>
        <w:tc>
          <w:tcPr>
            <w:tcW w:w="1418" w:type="dxa"/>
            <w:vAlign w:val="center"/>
          </w:tcPr>
          <w:p w14:paraId="71F4D70B" w14:textId="19D1A066"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30.9</w:t>
            </w:r>
          </w:p>
        </w:tc>
        <w:tc>
          <w:tcPr>
            <w:tcW w:w="236" w:type="dxa"/>
          </w:tcPr>
          <w:p w14:paraId="68E6B283"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41B3FD9B" w14:textId="1A031843"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28</w:t>
            </w:r>
          </w:p>
        </w:tc>
        <w:tc>
          <w:tcPr>
            <w:tcW w:w="1418" w:type="dxa"/>
          </w:tcPr>
          <w:p w14:paraId="3115076A" w14:textId="03C68674"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16.2</w:t>
            </w:r>
          </w:p>
        </w:tc>
        <w:tc>
          <w:tcPr>
            <w:tcW w:w="236" w:type="dxa"/>
          </w:tcPr>
          <w:p w14:paraId="36F3D4F1"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73F6A25F" w14:textId="77777777" w:rsidR="001335D5" w:rsidRPr="00DC652F" w:rsidRDefault="001335D5" w:rsidP="001E6B09">
            <w:pPr>
              <w:ind w:right="-57"/>
              <w:jc w:val="center"/>
              <w:rPr>
                <w:rFonts w:ascii="Times New Roman" w:hAnsi="Times New Roman" w:cs="Times New Roman"/>
              </w:rPr>
            </w:pPr>
          </w:p>
        </w:tc>
      </w:tr>
      <w:tr w:rsidR="001335D5" w:rsidRPr="00DC652F" w14:paraId="00C77FDD" w14:textId="1B14974E" w:rsidTr="0077390C">
        <w:trPr>
          <w:cantSplit/>
          <w:trHeight w:val="283"/>
        </w:trPr>
        <w:tc>
          <w:tcPr>
            <w:tcW w:w="4306" w:type="dxa"/>
            <w:vAlign w:val="center"/>
          </w:tcPr>
          <w:p w14:paraId="51FC500A" w14:textId="7A237C78" w:rsidR="001335D5" w:rsidRPr="00DC652F" w:rsidRDefault="001335D5" w:rsidP="005C1972">
            <w:pPr>
              <w:rPr>
                <w:rFonts w:ascii="Times New Roman" w:hAnsi="Times New Roman" w:cs="Times New Roman"/>
              </w:rPr>
            </w:pPr>
            <w:r w:rsidRPr="00DC652F">
              <w:rPr>
                <w:rFonts w:ascii="Times New Roman" w:hAnsi="Times New Roman" w:cs="Times New Roman"/>
              </w:rPr>
              <w:t>Early pregnancy BMI</w:t>
            </w:r>
            <w:r w:rsidR="00B12FB3" w:rsidRPr="00DC652F">
              <w:rPr>
                <w:rFonts w:ascii="Times New Roman" w:hAnsi="Times New Roman" w:cs="Times New Roman"/>
              </w:rPr>
              <w:t xml:space="preserve"> (kg/m</w:t>
            </w:r>
            <w:r w:rsidR="00B12FB3" w:rsidRPr="00DC652F">
              <w:rPr>
                <w:rFonts w:ascii="Times New Roman" w:hAnsi="Times New Roman" w:cs="Times New Roman"/>
                <w:vertAlign w:val="superscript"/>
              </w:rPr>
              <w:t>2</w:t>
            </w:r>
            <w:r w:rsidR="00B12FB3" w:rsidRPr="00DC652F">
              <w:rPr>
                <w:rFonts w:ascii="Times New Roman" w:hAnsi="Times New Roman" w:cs="Times New Roman"/>
              </w:rPr>
              <w:t>)</w:t>
            </w:r>
          </w:p>
        </w:tc>
        <w:tc>
          <w:tcPr>
            <w:tcW w:w="1416" w:type="dxa"/>
            <w:vAlign w:val="center"/>
          </w:tcPr>
          <w:p w14:paraId="57976400" w14:textId="77777777" w:rsidR="001335D5" w:rsidRPr="00DC652F" w:rsidRDefault="001335D5" w:rsidP="00390343">
            <w:pPr>
              <w:ind w:right="-57"/>
              <w:jc w:val="center"/>
              <w:rPr>
                <w:rFonts w:ascii="Times New Roman" w:hAnsi="Times New Roman" w:cs="Times New Roman"/>
              </w:rPr>
            </w:pPr>
          </w:p>
        </w:tc>
        <w:tc>
          <w:tcPr>
            <w:tcW w:w="1417" w:type="dxa"/>
            <w:vAlign w:val="center"/>
          </w:tcPr>
          <w:p w14:paraId="65E44211" w14:textId="77777777" w:rsidR="001335D5" w:rsidRPr="00DC652F" w:rsidRDefault="001335D5" w:rsidP="00390343">
            <w:pPr>
              <w:ind w:right="-57"/>
              <w:jc w:val="center"/>
              <w:rPr>
                <w:rFonts w:ascii="Times New Roman" w:hAnsi="Times New Roman" w:cs="Times New Roman"/>
              </w:rPr>
            </w:pPr>
          </w:p>
        </w:tc>
        <w:tc>
          <w:tcPr>
            <w:tcW w:w="236" w:type="dxa"/>
          </w:tcPr>
          <w:p w14:paraId="155B24D5" w14:textId="77777777" w:rsidR="001335D5" w:rsidRPr="00DC652F" w:rsidRDefault="001335D5" w:rsidP="001E6B09">
            <w:pPr>
              <w:ind w:right="-57"/>
              <w:jc w:val="center"/>
              <w:rPr>
                <w:rFonts w:ascii="Times New Roman" w:hAnsi="Times New Roman" w:cs="Times New Roman"/>
              </w:rPr>
            </w:pPr>
          </w:p>
        </w:tc>
        <w:tc>
          <w:tcPr>
            <w:tcW w:w="1417" w:type="dxa"/>
          </w:tcPr>
          <w:p w14:paraId="3D5C68C5" w14:textId="1FAEF0DE" w:rsidR="001335D5" w:rsidRPr="00DC652F" w:rsidRDefault="001335D5" w:rsidP="001E6B09">
            <w:pPr>
              <w:ind w:right="-57"/>
              <w:jc w:val="center"/>
              <w:rPr>
                <w:rFonts w:ascii="Times New Roman" w:hAnsi="Times New Roman" w:cs="Times New Roman"/>
              </w:rPr>
            </w:pPr>
          </w:p>
        </w:tc>
        <w:tc>
          <w:tcPr>
            <w:tcW w:w="1418" w:type="dxa"/>
            <w:vAlign w:val="center"/>
          </w:tcPr>
          <w:p w14:paraId="1D2C228A" w14:textId="77777777" w:rsidR="001335D5" w:rsidRPr="00DC652F" w:rsidRDefault="001335D5" w:rsidP="001E6B09">
            <w:pPr>
              <w:ind w:right="-57"/>
              <w:jc w:val="center"/>
              <w:rPr>
                <w:rFonts w:ascii="Times New Roman" w:hAnsi="Times New Roman" w:cs="Times New Roman"/>
              </w:rPr>
            </w:pPr>
          </w:p>
        </w:tc>
        <w:tc>
          <w:tcPr>
            <w:tcW w:w="236" w:type="dxa"/>
          </w:tcPr>
          <w:p w14:paraId="4572963A"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7F3D08BA" w14:textId="77777777" w:rsidR="001335D5" w:rsidRPr="00DC652F" w:rsidRDefault="001335D5" w:rsidP="001E6B09">
            <w:pPr>
              <w:ind w:right="-57"/>
              <w:jc w:val="center"/>
              <w:rPr>
                <w:rFonts w:ascii="Times New Roman" w:hAnsi="Times New Roman" w:cs="Times New Roman"/>
              </w:rPr>
            </w:pPr>
          </w:p>
        </w:tc>
        <w:tc>
          <w:tcPr>
            <w:tcW w:w="1418" w:type="dxa"/>
          </w:tcPr>
          <w:p w14:paraId="6384C91F" w14:textId="77777777" w:rsidR="001335D5" w:rsidRPr="00DC652F" w:rsidRDefault="001335D5" w:rsidP="001E6B09">
            <w:pPr>
              <w:ind w:right="-57"/>
              <w:jc w:val="center"/>
              <w:rPr>
                <w:rFonts w:ascii="Times New Roman" w:hAnsi="Times New Roman" w:cs="Times New Roman"/>
              </w:rPr>
            </w:pPr>
          </w:p>
        </w:tc>
        <w:tc>
          <w:tcPr>
            <w:tcW w:w="236" w:type="dxa"/>
          </w:tcPr>
          <w:p w14:paraId="14DB64A2"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7F007E8D" w14:textId="4B3D3DA1"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0.180</w:t>
            </w:r>
          </w:p>
        </w:tc>
      </w:tr>
      <w:tr w:rsidR="001335D5" w:rsidRPr="00DC652F" w14:paraId="5FF9FEF8" w14:textId="7C7C94A5" w:rsidTr="0077390C">
        <w:trPr>
          <w:cantSplit/>
          <w:trHeight w:val="283"/>
        </w:trPr>
        <w:tc>
          <w:tcPr>
            <w:tcW w:w="4306" w:type="dxa"/>
            <w:vAlign w:val="center"/>
          </w:tcPr>
          <w:p w14:paraId="0080F42A" w14:textId="594902EF"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Underweight</w:t>
            </w:r>
            <w:r w:rsidR="00B12FB3" w:rsidRPr="00DC652F">
              <w:rPr>
                <w:rFonts w:ascii="Times New Roman" w:hAnsi="Times New Roman" w:cs="Times New Roman"/>
              </w:rPr>
              <w:t xml:space="preserve"> (&lt;18.5</w:t>
            </w:r>
            <w:r w:rsidRPr="00DC652F">
              <w:rPr>
                <w:rFonts w:ascii="Times New Roman" w:hAnsi="Times New Roman" w:cs="Times New Roman"/>
              </w:rPr>
              <w:t>)</w:t>
            </w:r>
          </w:p>
        </w:tc>
        <w:tc>
          <w:tcPr>
            <w:tcW w:w="1416" w:type="dxa"/>
            <w:vAlign w:val="center"/>
          </w:tcPr>
          <w:p w14:paraId="6E23AF8C" w14:textId="77777777" w:rsidR="001335D5" w:rsidRPr="00DC652F" w:rsidRDefault="001335D5" w:rsidP="00390343">
            <w:pPr>
              <w:ind w:right="-57"/>
              <w:jc w:val="center"/>
              <w:rPr>
                <w:rFonts w:ascii="Times New Roman" w:hAnsi="Times New Roman" w:cs="Times New Roman"/>
              </w:rPr>
            </w:pPr>
            <w:r w:rsidRPr="00DC652F">
              <w:rPr>
                <w:rFonts w:ascii="Times New Roman" w:hAnsi="Times New Roman" w:cs="Times New Roman"/>
              </w:rPr>
              <w:t>35</w:t>
            </w:r>
          </w:p>
        </w:tc>
        <w:tc>
          <w:tcPr>
            <w:tcW w:w="1417" w:type="dxa"/>
            <w:vAlign w:val="center"/>
          </w:tcPr>
          <w:p w14:paraId="6A126D5A" w14:textId="77777777" w:rsidR="001335D5" w:rsidRPr="00DC652F" w:rsidRDefault="001335D5" w:rsidP="00390343">
            <w:pPr>
              <w:ind w:right="-57"/>
              <w:jc w:val="center"/>
              <w:rPr>
                <w:rFonts w:ascii="Times New Roman" w:hAnsi="Times New Roman" w:cs="Times New Roman"/>
              </w:rPr>
            </w:pPr>
            <w:r w:rsidRPr="00DC652F">
              <w:rPr>
                <w:rFonts w:ascii="Times New Roman" w:hAnsi="Times New Roman" w:cs="Times New Roman"/>
              </w:rPr>
              <w:t>8.4</w:t>
            </w:r>
          </w:p>
        </w:tc>
        <w:tc>
          <w:tcPr>
            <w:tcW w:w="236" w:type="dxa"/>
          </w:tcPr>
          <w:p w14:paraId="02CC7AD0" w14:textId="77777777" w:rsidR="001335D5" w:rsidRPr="00DC652F" w:rsidRDefault="001335D5" w:rsidP="001E6B09">
            <w:pPr>
              <w:ind w:right="-57"/>
              <w:jc w:val="center"/>
              <w:rPr>
                <w:rFonts w:ascii="Times New Roman" w:hAnsi="Times New Roman" w:cs="Times New Roman"/>
              </w:rPr>
            </w:pPr>
          </w:p>
        </w:tc>
        <w:tc>
          <w:tcPr>
            <w:tcW w:w="1417" w:type="dxa"/>
          </w:tcPr>
          <w:p w14:paraId="454E62A3" w14:textId="7220C7E2"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23</w:t>
            </w:r>
          </w:p>
        </w:tc>
        <w:tc>
          <w:tcPr>
            <w:tcW w:w="1418" w:type="dxa"/>
            <w:vAlign w:val="center"/>
          </w:tcPr>
          <w:p w14:paraId="6B2AE373" w14:textId="6EA12EB2"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9.5</w:t>
            </w:r>
          </w:p>
        </w:tc>
        <w:tc>
          <w:tcPr>
            <w:tcW w:w="236" w:type="dxa"/>
          </w:tcPr>
          <w:p w14:paraId="2E4023CD"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2C42E73D" w14:textId="38895DC6"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12</w:t>
            </w:r>
          </w:p>
        </w:tc>
        <w:tc>
          <w:tcPr>
            <w:tcW w:w="1418" w:type="dxa"/>
          </w:tcPr>
          <w:p w14:paraId="1DADE003" w14:textId="08DF3931"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6.9</w:t>
            </w:r>
          </w:p>
        </w:tc>
        <w:tc>
          <w:tcPr>
            <w:tcW w:w="236" w:type="dxa"/>
          </w:tcPr>
          <w:p w14:paraId="6B99C896"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1E6A6B6B" w14:textId="77777777" w:rsidR="001335D5" w:rsidRPr="00DC652F" w:rsidRDefault="001335D5" w:rsidP="001E6B09">
            <w:pPr>
              <w:ind w:right="-57"/>
              <w:jc w:val="center"/>
              <w:rPr>
                <w:rFonts w:ascii="Times New Roman" w:hAnsi="Times New Roman" w:cs="Times New Roman"/>
              </w:rPr>
            </w:pPr>
          </w:p>
        </w:tc>
      </w:tr>
      <w:tr w:rsidR="001335D5" w:rsidRPr="00DC652F" w14:paraId="6DCE4A8E" w14:textId="721E52C3" w:rsidTr="0077390C">
        <w:trPr>
          <w:cantSplit/>
          <w:trHeight w:val="283"/>
        </w:trPr>
        <w:tc>
          <w:tcPr>
            <w:tcW w:w="4306" w:type="dxa"/>
            <w:vAlign w:val="center"/>
          </w:tcPr>
          <w:p w14:paraId="14B751CE" w14:textId="0717656A" w:rsidR="001335D5" w:rsidRPr="00DC652F" w:rsidRDefault="001335D5" w:rsidP="00B12FB3">
            <w:pPr>
              <w:rPr>
                <w:rFonts w:ascii="Times New Roman" w:hAnsi="Times New Roman" w:cs="Times New Roman"/>
              </w:rPr>
            </w:pPr>
            <w:r w:rsidRPr="00DC652F">
              <w:rPr>
                <w:rFonts w:ascii="Times New Roman" w:hAnsi="Times New Roman" w:cs="Times New Roman"/>
              </w:rPr>
              <w:t xml:space="preserve">     Normal</w:t>
            </w:r>
            <w:r w:rsidR="003E2A00" w:rsidRPr="00DC652F">
              <w:rPr>
                <w:rFonts w:ascii="Times New Roman" w:hAnsi="Times New Roman" w:cs="Times New Roman"/>
              </w:rPr>
              <w:t xml:space="preserve"> (18.5</w:t>
            </w:r>
            <w:r w:rsidR="000B1D17">
              <w:rPr>
                <w:rFonts w:ascii="Times New Roman" w:hAnsi="Times New Roman" w:cs="Times New Roman"/>
              </w:rPr>
              <w:t>-</w:t>
            </w:r>
            <w:r w:rsidR="00B12FB3" w:rsidRPr="00DC652F">
              <w:rPr>
                <w:rFonts w:ascii="Times New Roman" w:hAnsi="Times New Roman" w:cs="Times New Roman"/>
              </w:rPr>
              <w:t>22.9)</w:t>
            </w:r>
          </w:p>
        </w:tc>
        <w:tc>
          <w:tcPr>
            <w:tcW w:w="1416" w:type="dxa"/>
            <w:vAlign w:val="center"/>
          </w:tcPr>
          <w:p w14:paraId="57C9F9EA" w14:textId="77777777" w:rsidR="001335D5" w:rsidRPr="00DC652F" w:rsidRDefault="001335D5" w:rsidP="00390343">
            <w:pPr>
              <w:ind w:right="-57"/>
              <w:jc w:val="center"/>
              <w:rPr>
                <w:rFonts w:ascii="Times New Roman" w:hAnsi="Times New Roman" w:cs="Times New Roman"/>
              </w:rPr>
            </w:pPr>
            <w:r w:rsidRPr="00DC652F">
              <w:rPr>
                <w:rFonts w:ascii="Times New Roman" w:hAnsi="Times New Roman" w:cs="Times New Roman"/>
              </w:rPr>
              <w:t>176</w:t>
            </w:r>
          </w:p>
        </w:tc>
        <w:tc>
          <w:tcPr>
            <w:tcW w:w="1417" w:type="dxa"/>
            <w:vAlign w:val="center"/>
          </w:tcPr>
          <w:p w14:paraId="7A857B0B" w14:textId="77777777" w:rsidR="001335D5" w:rsidRPr="00DC652F" w:rsidRDefault="001335D5" w:rsidP="00390343">
            <w:pPr>
              <w:ind w:right="-57"/>
              <w:jc w:val="center"/>
              <w:rPr>
                <w:rFonts w:ascii="Times New Roman" w:hAnsi="Times New Roman" w:cs="Times New Roman"/>
              </w:rPr>
            </w:pPr>
            <w:r w:rsidRPr="00DC652F">
              <w:rPr>
                <w:rFonts w:ascii="Times New Roman" w:hAnsi="Times New Roman" w:cs="Times New Roman"/>
              </w:rPr>
              <w:t>42.4</w:t>
            </w:r>
          </w:p>
        </w:tc>
        <w:tc>
          <w:tcPr>
            <w:tcW w:w="236" w:type="dxa"/>
          </w:tcPr>
          <w:p w14:paraId="2D3FEC97" w14:textId="77777777" w:rsidR="001335D5" w:rsidRPr="00DC652F" w:rsidRDefault="001335D5" w:rsidP="001E6B09">
            <w:pPr>
              <w:ind w:right="-57"/>
              <w:jc w:val="center"/>
              <w:rPr>
                <w:rFonts w:ascii="Times New Roman" w:hAnsi="Times New Roman" w:cs="Times New Roman"/>
              </w:rPr>
            </w:pPr>
          </w:p>
        </w:tc>
        <w:tc>
          <w:tcPr>
            <w:tcW w:w="1417" w:type="dxa"/>
          </w:tcPr>
          <w:p w14:paraId="1AE5D35F" w14:textId="76A1D27B"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110</w:t>
            </w:r>
          </w:p>
        </w:tc>
        <w:tc>
          <w:tcPr>
            <w:tcW w:w="1418" w:type="dxa"/>
            <w:vAlign w:val="center"/>
          </w:tcPr>
          <w:p w14:paraId="7DEA975C" w14:textId="3914B60A"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45.3</w:t>
            </w:r>
          </w:p>
        </w:tc>
        <w:tc>
          <w:tcPr>
            <w:tcW w:w="236" w:type="dxa"/>
          </w:tcPr>
          <w:p w14:paraId="3641B0F7"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2E63DAFF" w14:textId="6A987320"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68</w:t>
            </w:r>
          </w:p>
        </w:tc>
        <w:tc>
          <w:tcPr>
            <w:tcW w:w="1418" w:type="dxa"/>
          </w:tcPr>
          <w:p w14:paraId="47D53045" w14:textId="75857620"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38.9</w:t>
            </w:r>
          </w:p>
        </w:tc>
        <w:tc>
          <w:tcPr>
            <w:tcW w:w="236" w:type="dxa"/>
          </w:tcPr>
          <w:p w14:paraId="77D4B51A"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01B1837B" w14:textId="77777777" w:rsidR="001335D5" w:rsidRPr="00DC652F" w:rsidRDefault="001335D5" w:rsidP="001E6B09">
            <w:pPr>
              <w:ind w:right="-57"/>
              <w:jc w:val="center"/>
              <w:rPr>
                <w:rFonts w:ascii="Times New Roman" w:hAnsi="Times New Roman" w:cs="Times New Roman"/>
              </w:rPr>
            </w:pPr>
          </w:p>
        </w:tc>
      </w:tr>
      <w:tr w:rsidR="001335D5" w:rsidRPr="00DC652F" w14:paraId="164AA609" w14:textId="084F0B3F" w:rsidTr="0077390C">
        <w:trPr>
          <w:cantSplit/>
          <w:trHeight w:val="283"/>
        </w:trPr>
        <w:tc>
          <w:tcPr>
            <w:tcW w:w="4306" w:type="dxa"/>
            <w:vAlign w:val="center"/>
          </w:tcPr>
          <w:p w14:paraId="1E0F29A4" w14:textId="28B08825" w:rsidR="001335D5" w:rsidRPr="00DC652F" w:rsidRDefault="001335D5" w:rsidP="00B12FB3">
            <w:pPr>
              <w:rPr>
                <w:rFonts w:ascii="Times New Roman" w:hAnsi="Times New Roman" w:cs="Times New Roman"/>
              </w:rPr>
            </w:pPr>
            <w:r w:rsidRPr="00DC652F">
              <w:rPr>
                <w:rFonts w:ascii="Times New Roman" w:hAnsi="Times New Roman" w:cs="Times New Roman"/>
              </w:rPr>
              <w:t xml:space="preserve">     At risk for overweight/Overweight</w:t>
            </w:r>
            <w:r w:rsidR="003E2A00" w:rsidRPr="00DC652F">
              <w:rPr>
                <w:rFonts w:ascii="Times New Roman" w:hAnsi="Times New Roman" w:cs="Times New Roman"/>
              </w:rPr>
              <w:t xml:space="preserve"> (≥23.0)</w:t>
            </w:r>
          </w:p>
        </w:tc>
        <w:tc>
          <w:tcPr>
            <w:tcW w:w="1416" w:type="dxa"/>
            <w:vAlign w:val="center"/>
          </w:tcPr>
          <w:p w14:paraId="46BD3C63" w14:textId="77777777" w:rsidR="001335D5" w:rsidRPr="00DC652F" w:rsidRDefault="001335D5" w:rsidP="00390343">
            <w:pPr>
              <w:ind w:right="-57"/>
              <w:jc w:val="center"/>
              <w:rPr>
                <w:rFonts w:ascii="Times New Roman" w:hAnsi="Times New Roman" w:cs="Times New Roman"/>
              </w:rPr>
            </w:pPr>
            <w:r w:rsidRPr="00DC652F">
              <w:rPr>
                <w:rFonts w:ascii="Times New Roman" w:hAnsi="Times New Roman" w:cs="Times New Roman"/>
              </w:rPr>
              <w:t>204</w:t>
            </w:r>
          </w:p>
        </w:tc>
        <w:tc>
          <w:tcPr>
            <w:tcW w:w="1417" w:type="dxa"/>
            <w:vAlign w:val="center"/>
          </w:tcPr>
          <w:p w14:paraId="64C28A90" w14:textId="77777777" w:rsidR="001335D5" w:rsidRPr="00DC652F" w:rsidRDefault="001335D5" w:rsidP="00390343">
            <w:pPr>
              <w:ind w:right="-57"/>
              <w:jc w:val="center"/>
              <w:rPr>
                <w:rFonts w:ascii="Times New Roman" w:hAnsi="Times New Roman" w:cs="Times New Roman"/>
              </w:rPr>
            </w:pPr>
            <w:r w:rsidRPr="00DC652F">
              <w:rPr>
                <w:rFonts w:ascii="Times New Roman" w:hAnsi="Times New Roman" w:cs="Times New Roman"/>
              </w:rPr>
              <w:t>49.2</w:t>
            </w:r>
          </w:p>
        </w:tc>
        <w:tc>
          <w:tcPr>
            <w:tcW w:w="236" w:type="dxa"/>
          </w:tcPr>
          <w:p w14:paraId="06D564E0" w14:textId="77777777" w:rsidR="001335D5" w:rsidRPr="00DC652F" w:rsidRDefault="001335D5" w:rsidP="001E6B09">
            <w:pPr>
              <w:ind w:right="-57"/>
              <w:jc w:val="center"/>
              <w:rPr>
                <w:rFonts w:ascii="Times New Roman" w:hAnsi="Times New Roman" w:cs="Times New Roman"/>
              </w:rPr>
            </w:pPr>
          </w:p>
        </w:tc>
        <w:tc>
          <w:tcPr>
            <w:tcW w:w="1417" w:type="dxa"/>
          </w:tcPr>
          <w:p w14:paraId="23A0F40C" w14:textId="1C11B239"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110</w:t>
            </w:r>
          </w:p>
        </w:tc>
        <w:tc>
          <w:tcPr>
            <w:tcW w:w="1418" w:type="dxa"/>
            <w:vAlign w:val="center"/>
          </w:tcPr>
          <w:p w14:paraId="70BF476C" w14:textId="6DEEED4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45.3</w:t>
            </w:r>
          </w:p>
        </w:tc>
        <w:tc>
          <w:tcPr>
            <w:tcW w:w="236" w:type="dxa"/>
          </w:tcPr>
          <w:p w14:paraId="47585C56"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7C894D3A" w14:textId="02119BF5"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95</w:t>
            </w:r>
          </w:p>
        </w:tc>
        <w:tc>
          <w:tcPr>
            <w:tcW w:w="1418" w:type="dxa"/>
          </w:tcPr>
          <w:p w14:paraId="3A64B6B6" w14:textId="7898AD5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54.3</w:t>
            </w:r>
          </w:p>
        </w:tc>
        <w:tc>
          <w:tcPr>
            <w:tcW w:w="236" w:type="dxa"/>
          </w:tcPr>
          <w:p w14:paraId="18E7CE26"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3231FAD5" w14:textId="77777777" w:rsidR="001335D5" w:rsidRPr="00DC652F" w:rsidRDefault="001335D5" w:rsidP="001E6B09">
            <w:pPr>
              <w:ind w:right="-57"/>
              <w:jc w:val="center"/>
              <w:rPr>
                <w:rFonts w:ascii="Times New Roman" w:hAnsi="Times New Roman" w:cs="Times New Roman"/>
              </w:rPr>
            </w:pPr>
          </w:p>
        </w:tc>
      </w:tr>
      <w:tr w:rsidR="001335D5" w:rsidRPr="00DC652F" w14:paraId="23095749" w14:textId="62A2DB39" w:rsidTr="0077390C">
        <w:trPr>
          <w:cantSplit/>
          <w:trHeight w:val="283"/>
        </w:trPr>
        <w:tc>
          <w:tcPr>
            <w:tcW w:w="4306" w:type="dxa"/>
            <w:vAlign w:val="center"/>
          </w:tcPr>
          <w:p w14:paraId="48D05414" w14:textId="7405BF08" w:rsidR="001335D5" w:rsidRPr="00DC652F" w:rsidRDefault="00B43A27" w:rsidP="00390343">
            <w:pPr>
              <w:rPr>
                <w:rFonts w:ascii="Times New Roman" w:hAnsi="Times New Roman" w:cs="Times New Roman"/>
              </w:rPr>
            </w:pPr>
            <w:r w:rsidRPr="00DC652F">
              <w:rPr>
                <w:rFonts w:ascii="Times New Roman" w:hAnsi="Times New Roman" w:cs="Times New Roman"/>
              </w:rPr>
              <w:t>Age (</w:t>
            </w:r>
            <w:r w:rsidR="001335D5" w:rsidRPr="00DC652F">
              <w:rPr>
                <w:rFonts w:ascii="Times New Roman" w:hAnsi="Times New Roman" w:cs="Times New Roman"/>
              </w:rPr>
              <w:t>years)</w:t>
            </w:r>
          </w:p>
        </w:tc>
        <w:tc>
          <w:tcPr>
            <w:tcW w:w="1416" w:type="dxa"/>
            <w:vAlign w:val="center"/>
          </w:tcPr>
          <w:p w14:paraId="6D70FF91" w14:textId="7AB4F2B5" w:rsidR="001335D5" w:rsidRPr="00DC652F" w:rsidRDefault="001335D5" w:rsidP="00390343">
            <w:pPr>
              <w:ind w:right="-57"/>
              <w:jc w:val="center"/>
              <w:rPr>
                <w:rFonts w:ascii="Times New Roman" w:hAnsi="Times New Roman" w:cs="Times New Roman"/>
              </w:rPr>
            </w:pPr>
            <w:r w:rsidRPr="00DC652F">
              <w:rPr>
                <w:rFonts w:ascii="Times New Roman" w:hAnsi="Times New Roman" w:cs="Times New Roman"/>
              </w:rPr>
              <w:t>30.42</w:t>
            </w:r>
          </w:p>
        </w:tc>
        <w:tc>
          <w:tcPr>
            <w:tcW w:w="1417" w:type="dxa"/>
            <w:vAlign w:val="center"/>
          </w:tcPr>
          <w:p w14:paraId="387E8FF7" w14:textId="0D75C937" w:rsidR="001335D5" w:rsidRPr="00DC652F" w:rsidRDefault="001335D5" w:rsidP="00390343">
            <w:pPr>
              <w:ind w:right="-57"/>
              <w:jc w:val="center"/>
              <w:rPr>
                <w:rFonts w:ascii="Times New Roman" w:hAnsi="Times New Roman" w:cs="Times New Roman"/>
              </w:rPr>
            </w:pPr>
            <w:r w:rsidRPr="00DC652F">
              <w:rPr>
                <w:rFonts w:ascii="Times New Roman" w:hAnsi="Times New Roman" w:cs="Times New Roman"/>
              </w:rPr>
              <w:t>5.23</w:t>
            </w:r>
          </w:p>
        </w:tc>
        <w:tc>
          <w:tcPr>
            <w:tcW w:w="236" w:type="dxa"/>
          </w:tcPr>
          <w:p w14:paraId="5DE6AFB1" w14:textId="77777777" w:rsidR="001335D5" w:rsidRPr="00DC652F" w:rsidRDefault="001335D5" w:rsidP="001E6B09">
            <w:pPr>
              <w:ind w:right="-57"/>
              <w:jc w:val="center"/>
              <w:rPr>
                <w:rFonts w:ascii="Times New Roman" w:hAnsi="Times New Roman" w:cs="Times New Roman"/>
              </w:rPr>
            </w:pPr>
          </w:p>
        </w:tc>
        <w:tc>
          <w:tcPr>
            <w:tcW w:w="1417" w:type="dxa"/>
          </w:tcPr>
          <w:p w14:paraId="00AD280B" w14:textId="0D9C7814"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30.41</w:t>
            </w:r>
          </w:p>
        </w:tc>
        <w:tc>
          <w:tcPr>
            <w:tcW w:w="1418" w:type="dxa"/>
          </w:tcPr>
          <w:p w14:paraId="0DE5CF0B" w14:textId="03B7CA4C"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5.21</w:t>
            </w:r>
          </w:p>
        </w:tc>
        <w:tc>
          <w:tcPr>
            <w:tcW w:w="236" w:type="dxa"/>
          </w:tcPr>
          <w:p w14:paraId="2BF18337" w14:textId="77777777" w:rsidR="001335D5" w:rsidRPr="00DC652F" w:rsidRDefault="001335D5" w:rsidP="001E6B09">
            <w:pPr>
              <w:ind w:right="-57"/>
              <w:jc w:val="center"/>
              <w:rPr>
                <w:rFonts w:ascii="Times New Roman" w:hAnsi="Times New Roman" w:cs="Times New Roman"/>
              </w:rPr>
            </w:pPr>
          </w:p>
        </w:tc>
        <w:tc>
          <w:tcPr>
            <w:tcW w:w="1417" w:type="dxa"/>
          </w:tcPr>
          <w:p w14:paraId="6A79758E" w14:textId="46B75EAC"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30.44</w:t>
            </w:r>
          </w:p>
        </w:tc>
        <w:tc>
          <w:tcPr>
            <w:tcW w:w="1418" w:type="dxa"/>
          </w:tcPr>
          <w:p w14:paraId="509FAA84" w14:textId="3CD888F8"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5.27</w:t>
            </w:r>
          </w:p>
        </w:tc>
        <w:tc>
          <w:tcPr>
            <w:tcW w:w="236" w:type="dxa"/>
          </w:tcPr>
          <w:p w14:paraId="10CC5475" w14:textId="77777777" w:rsidR="001335D5" w:rsidRPr="00DC652F" w:rsidRDefault="001335D5" w:rsidP="001E6B09">
            <w:pPr>
              <w:ind w:right="-57"/>
              <w:jc w:val="center"/>
              <w:rPr>
                <w:rFonts w:ascii="Times New Roman" w:hAnsi="Times New Roman" w:cs="Times New Roman"/>
              </w:rPr>
            </w:pPr>
          </w:p>
        </w:tc>
        <w:tc>
          <w:tcPr>
            <w:tcW w:w="953" w:type="dxa"/>
          </w:tcPr>
          <w:p w14:paraId="702A61C5" w14:textId="0772383C"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0.949</w:t>
            </w:r>
          </w:p>
        </w:tc>
      </w:tr>
      <w:tr w:rsidR="001335D5" w:rsidRPr="00DC652F" w14:paraId="0061C220" w14:textId="4E3C36FC" w:rsidTr="0077390C">
        <w:trPr>
          <w:cantSplit/>
          <w:trHeight w:val="283"/>
        </w:trPr>
        <w:tc>
          <w:tcPr>
            <w:tcW w:w="4306" w:type="dxa"/>
            <w:vAlign w:val="center"/>
          </w:tcPr>
          <w:p w14:paraId="38665DDE" w14:textId="77777777" w:rsidR="001335D5" w:rsidRPr="00DC652F" w:rsidRDefault="001335D5" w:rsidP="001E6B09">
            <w:pPr>
              <w:rPr>
                <w:rFonts w:ascii="Times New Roman" w:hAnsi="Times New Roman" w:cs="Times New Roman"/>
                <w:b/>
              </w:rPr>
            </w:pPr>
            <w:r w:rsidRPr="00DC652F">
              <w:rPr>
                <w:rFonts w:ascii="Times New Roman" w:hAnsi="Times New Roman" w:cs="Times New Roman"/>
                <w:b/>
              </w:rPr>
              <w:t>Infant</w:t>
            </w:r>
          </w:p>
        </w:tc>
        <w:tc>
          <w:tcPr>
            <w:tcW w:w="1416" w:type="dxa"/>
            <w:vAlign w:val="center"/>
          </w:tcPr>
          <w:p w14:paraId="4A2BD907"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0F31B10C" w14:textId="77777777" w:rsidR="001335D5" w:rsidRPr="00DC652F" w:rsidRDefault="001335D5" w:rsidP="001E6B09">
            <w:pPr>
              <w:ind w:right="-57"/>
              <w:jc w:val="center"/>
              <w:rPr>
                <w:rFonts w:ascii="Times New Roman" w:hAnsi="Times New Roman" w:cs="Times New Roman"/>
              </w:rPr>
            </w:pPr>
          </w:p>
        </w:tc>
        <w:tc>
          <w:tcPr>
            <w:tcW w:w="236" w:type="dxa"/>
          </w:tcPr>
          <w:p w14:paraId="6EEC0FF7" w14:textId="77777777" w:rsidR="001335D5" w:rsidRPr="00DC652F" w:rsidRDefault="001335D5" w:rsidP="001E6B09">
            <w:pPr>
              <w:ind w:right="-57"/>
              <w:jc w:val="center"/>
              <w:rPr>
                <w:rFonts w:ascii="Times New Roman" w:hAnsi="Times New Roman" w:cs="Times New Roman"/>
              </w:rPr>
            </w:pPr>
          </w:p>
        </w:tc>
        <w:tc>
          <w:tcPr>
            <w:tcW w:w="1417" w:type="dxa"/>
          </w:tcPr>
          <w:p w14:paraId="33CC306B" w14:textId="75EF0DA9" w:rsidR="001335D5" w:rsidRPr="00DC652F" w:rsidRDefault="001335D5" w:rsidP="001E6B09">
            <w:pPr>
              <w:ind w:right="-57"/>
              <w:jc w:val="center"/>
              <w:rPr>
                <w:rFonts w:ascii="Times New Roman" w:hAnsi="Times New Roman" w:cs="Times New Roman"/>
              </w:rPr>
            </w:pPr>
          </w:p>
        </w:tc>
        <w:tc>
          <w:tcPr>
            <w:tcW w:w="1418" w:type="dxa"/>
          </w:tcPr>
          <w:p w14:paraId="3B6A5795" w14:textId="77777777" w:rsidR="001335D5" w:rsidRPr="00DC652F" w:rsidRDefault="001335D5" w:rsidP="001E6B09">
            <w:pPr>
              <w:ind w:right="-57"/>
              <w:jc w:val="center"/>
              <w:rPr>
                <w:rFonts w:ascii="Times New Roman" w:hAnsi="Times New Roman" w:cs="Times New Roman"/>
              </w:rPr>
            </w:pPr>
          </w:p>
        </w:tc>
        <w:tc>
          <w:tcPr>
            <w:tcW w:w="236" w:type="dxa"/>
          </w:tcPr>
          <w:p w14:paraId="19B1385A" w14:textId="77777777" w:rsidR="001335D5" w:rsidRPr="00DC652F" w:rsidRDefault="001335D5" w:rsidP="001E6B09">
            <w:pPr>
              <w:ind w:right="-57"/>
              <w:jc w:val="center"/>
              <w:rPr>
                <w:rFonts w:ascii="Times New Roman" w:hAnsi="Times New Roman" w:cs="Times New Roman"/>
              </w:rPr>
            </w:pPr>
          </w:p>
        </w:tc>
        <w:tc>
          <w:tcPr>
            <w:tcW w:w="1417" w:type="dxa"/>
          </w:tcPr>
          <w:p w14:paraId="541D39A6" w14:textId="77777777" w:rsidR="001335D5" w:rsidRPr="00DC652F" w:rsidRDefault="001335D5" w:rsidP="001E6B09">
            <w:pPr>
              <w:ind w:right="-57"/>
              <w:jc w:val="center"/>
              <w:rPr>
                <w:rFonts w:ascii="Times New Roman" w:hAnsi="Times New Roman" w:cs="Times New Roman"/>
              </w:rPr>
            </w:pPr>
          </w:p>
        </w:tc>
        <w:tc>
          <w:tcPr>
            <w:tcW w:w="1418" w:type="dxa"/>
          </w:tcPr>
          <w:p w14:paraId="003965A2" w14:textId="77777777" w:rsidR="001335D5" w:rsidRPr="00DC652F" w:rsidRDefault="001335D5" w:rsidP="001E6B09">
            <w:pPr>
              <w:ind w:right="-57"/>
              <w:jc w:val="center"/>
              <w:rPr>
                <w:rFonts w:ascii="Times New Roman" w:hAnsi="Times New Roman" w:cs="Times New Roman"/>
              </w:rPr>
            </w:pPr>
          </w:p>
        </w:tc>
        <w:tc>
          <w:tcPr>
            <w:tcW w:w="236" w:type="dxa"/>
          </w:tcPr>
          <w:p w14:paraId="2AB4D716" w14:textId="77777777" w:rsidR="001335D5" w:rsidRPr="00DC652F" w:rsidRDefault="001335D5" w:rsidP="001E6B09">
            <w:pPr>
              <w:ind w:right="-57"/>
              <w:jc w:val="center"/>
              <w:rPr>
                <w:rFonts w:ascii="Times New Roman" w:hAnsi="Times New Roman" w:cs="Times New Roman"/>
              </w:rPr>
            </w:pPr>
          </w:p>
        </w:tc>
        <w:tc>
          <w:tcPr>
            <w:tcW w:w="953" w:type="dxa"/>
          </w:tcPr>
          <w:p w14:paraId="0049D341" w14:textId="77777777" w:rsidR="001335D5" w:rsidRPr="00DC652F" w:rsidRDefault="001335D5" w:rsidP="001E6B09">
            <w:pPr>
              <w:ind w:right="-57"/>
              <w:jc w:val="center"/>
              <w:rPr>
                <w:rFonts w:ascii="Times New Roman" w:hAnsi="Times New Roman" w:cs="Times New Roman"/>
              </w:rPr>
            </w:pPr>
          </w:p>
        </w:tc>
      </w:tr>
      <w:tr w:rsidR="001335D5" w:rsidRPr="00DC652F" w14:paraId="2DA63CD0" w14:textId="0A685DBF" w:rsidTr="0077390C">
        <w:trPr>
          <w:cantSplit/>
          <w:trHeight w:val="283"/>
        </w:trPr>
        <w:tc>
          <w:tcPr>
            <w:tcW w:w="4306" w:type="dxa"/>
            <w:vAlign w:val="center"/>
          </w:tcPr>
          <w:p w14:paraId="4160F1E8" w14:textId="3F5D1978" w:rsidR="001335D5" w:rsidRPr="00DC652F" w:rsidRDefault="001335D5" w:rsidP="0003051A">
            <w:pPr>
              <w:rPr>
                <w:rFonts w:ascii="Times New Roman" w:hAnsi="Times New Roman" w:cs="Times New Roman"/>
              </w:rPr>
            </w:pPr>
            <w:r w:rsidRPr="00DC652F">
              <w:rPr>
                <w:rFonts w:ascii="Times New Roman" w:hAnsi="Times New Roman" w:cs="Times New Roman"/>
              </w:rPr>
              <w:t>Gender</w:t>
            </w:r>
          </w:p>
        </w:tc>
        <w:tc>
          <w:tcPr>
            <w:tcW w:w="1416" w:type="dxa"/>
            <w:vAlign w:val="center"/>
          </w:tcPr>
          <w:p w14:paraId="3F2D3889"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44DEAD2C" w14:textId="77777777" w:rsidR="001335D5" w:rsidRPr="00DC652F" w:rsidRDefault="001335D5" w:rsidP="001E6B09">
            <w:pPr>
              <w:ind w:right="-57"/>
              <w:jc w:val="center"/>
              <w:rPr>
                <w:rFonts w:ascii="Times New Roman" w:hAnsi="Times New Roman" w:cs="Times New Roman"/>
              </w:rPr>
            </w:pPr>
          </w:p>
        </w:tc>
        <w:tc>
          <w:tcPr>
            <w:tcW w:w="236" w:type="dxa"/>
          </w:tcPr>
          <w:p w14:paraId="77FF0328" w14:textId="77777777" w:rsidR="001335D5" w:rsidRPr="00DC652F" w:rsidRDefault="001335D5" w:rsidP="001E6B09">
            <w:pPr>
              <w:ind w:right="-57"/>
              <w:jc w:val="center"/>
              <w:rPr>
                <w:rFonts w:ascii="Times New Roman" w:hAnsi="Times New Roman" w:cs="Times New Roman"/>
              </w:rPr>
            </w:pPr>
          </w:p>
        </w:tc>
        <w:tc>
          <w:tcPr>
            <w:tcW w:w="1417" w:type="dxa"/>
          </w:tcPr>
          <w:p w14:paraId="3F0ABEAA" w14:textId="712D756E" w:rsidR="001335D5" w:rsidRPr="00DC652F" w:rsidRDefault="001335D5" w:rsidP="001E6B09">
            <w:pPr>
              <w:ind w:right="-57"/>
              <w:jc w:val="center"/>
              <w:rPr>
                <w:rFonts w:ascii="Times New Roman" w:hAnsi="Times New Roman" w:cs="Times New Roman"/>
              </w:rPr>
            </w:pPr>
          </w:p>
        </w:tc>
        <w:tc>
          <w:tcPr>
            <w:tcW w:w="1418" w:type="dxa"/>
          </w:tcPr>
          <w:p w14:paraId="1A416656" w14:textId="77777777" w:rsidR="001335D5" w:rsidRPr="00DC652F" w:rsidRDefault="001335D5" w:rsidP="001E6B09">
            <w:pPr>
              <w:ind w:right="-57"/>
              <w:jc w:val="center"/>
              <w:rPr>
                <w:rFonts w:ascii="Times New Roman" w:hAnsi="Times New Roman" w:cs="Times New Roman"/>
              </w:rPr>
            </w:pPr>
          </w:p>
        </w:tc>
        <w:tc>
          <w:tcPr>
            <w:tcW w:w="236" w:type="dxa"/>
          </w:tcPr>
          <w:p w14:paraId="20311D4C" w14:textId="77777777" w:rsidR="001335D5" w:rsidRPr="00DC652F" w:rsidRDefault="001335D5" w:rsidP="001E6B09">
            <w:pPr>
              <w:ind w:right="-57"/>
              <w:jc w:val="center"/>
              <w:rPr>
                <w:rFonts w:ascii="Times New Roman" w:hAnsi="Times New Roman" w:cs="Times New Roman"/>
              </w:rPr>
            </w:pPr>
          </w:p>
        </w:tc>
        <w:tc>
          <w:tcPr>
            <w:tcW w:w="1417" w:type="dxa"/>
          </w:tcPr>
          <w:p w14:paraId="5AA799D0" w14:textId="77777777" w:rsidR="001335D5" w:rsidRPr="00DC652F" w:rsidRDefault="001335D5" w:rsidP="001E6B09">
            <w:pPr>
              <w:ind w:right="-57"/>
              <w:jc w:val="center"/>
              <w:rPr>
                <w:rFonts w:ascii="Times New Roman" w:hAnsi="Times New Roman" w:cs="Times New Roman"/>
              </w:rPr>
            </w:pPr>
          </w:p>
        </w:tc>
        <w:tc>
          <w:tcPr>
            <w:tcW w:w="1418" w:type="dxa"/>
          </w:tcPr>
          <w:p w14:paraId="6AC493F5" w14:textId="77777777" w:rsidR="001335D5" w:rsidRPr="00DC652F" w:rsidRDefault="001335D5" w:rsidP="001E6B09">
            <w:pPr>
              <w:ind w:right="-57"/>
              <w:jc w:val="center"/>
              <w:rPr>
                <w:rFonts w:ascii="Times New Roman" w:hAnsi="Times New Roman" w:cs="Times New Roman"/>
              </w:rPr>
            </w:pPr>
          </w:p>
        </w:tc>
        <w:tc>
          <w:tcPr>
            <w:tcW w:w="236" w:type="dxa"/>
          </w:tcPr>
          <w:p w14:paraId="47D2ED7A" w14:textId="77777777" w:rsidR="001335D5" w:rsidRPr="00DC652F" w:rsidRDefault="001335D5" w:rsidP="001E6B09">
            <w:pPr>
              <w:ind w:right="-57"/>
              <w:jc w:val="center"/>
              <w:rPr>
                <w:rFonts w:ascii="Times New Roman" w:hAnsi="Times New Roman" w:cs="Times New Roman"/>
              </w:rPr>
            </w:pPr>
          </w:p>
        </w:tc>
        <w:tc>
          <w:tcPr>
            <w:tcW w:w="953" w:type="dxa"/>
          </w:tcPr>
          <w:p w14:paraId="701C8C1E" w14:textId="7F7AD600"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0.064</w:t>
            </w:r>
          </w:p>
        </w:tc>
      </w:tr>
      <w:tr w:rsidR="001335D5" w:rsidRPr="00DC652F" w14:paraId="0194F7F6" w14:textId="67B2A61E" w:rsidTr="0077390C">
        <w:trPr>
          <w:cantSplit/>
          <w:trHeight w:val="283"/>
        </w:trPr>
        <w:tc>
          <w:tcPr>
            <w:tcW w:w="4306" w:type="dxa"/>
            <w:vAlign w:val="center"/>
          </w:tcPr>
          <w:p w14:paraId="5D77CA82"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Male</w:t>
            </w:r>
          </w:p>
        </w:tc>
        <w:tc>
          <w:tcPr>
            <w:tcW w:w="1416" w:type="dxa"/>
            <w:vAlign w:val="center"/>
          </w:tcPr>
          <w:p w14:paraId="57A0B9FD"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226</w:t>
            </w:r>
          </w:p>
        </w:tc>
        <w:tc>
          <w:tcPr>
            <w:tcW w:w="1417" w:type="dxa"/>
            <w:vAlign w:val="center"/>
          </w:tcPr>
          <w:p w14:paraId="4C0BF3CE"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52.4</w:t>
            </w:r>
          </w:p>
        </w:tc>
        <w:tc>
          <w:tcPr>
            <w:tcW w:w="236" w:type="dxa"/>
          </w:tcPr>
          <w:p w14:paraId="784B4C0C" w14:textId="77777777" w:rsidR="001335D5" w:rsidRPr="00DC652F" w:rsidRDefault="001335D5" w:rsidP="001E6B09">
            <w:pPr>
              <w:ind w:right="-57"/>
              <w:jc w:val="center"/>
              <w:rPr>
                <w:rFonts w:ascii="Times New Roman" w:hAnsi="Times New Roman" w:cs="Times New Roman"/>
              </w:rPr>
            </w:pPr>
          </w:p>
        </w:tc>
        <w:tc>
          <w:tcPr>
            <w:tcW w:w="1417" w:type="dxa"/>
          </w:tcPr>
          <w:p w14:paraId="43332C6A" w14:textId="5CABA5B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122</w:t>
            </w:r>
          </w:p>
        </w:tc>
        <w:tc>
          <w:tcPr>
            <w:tcW w:w="1418" w:type="dxa"/>
            <w:vAlign w:val="center"/>
          </w:tcPr>
          <w:p w14:paraId="1D3BC610" w14:textId="4001488E"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48.6</w:t>
            </w:r>
          </w:p>
        </w:tc>
        <w:tc>
          <w:tcPr>
            <w:tcW w:w="236" w:type="dxa"/>
          </w:tcPr>
          <w:p w14:paraId="35F91236"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7A614025" w14:textId="0C4938B8"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104</w:t>
            </w:r>
          </w:p>
        </w:tc>
        <w:tc>
          <w:tcPr>
            <w:tcW w:w="1418" w:type="dxa"/>
          </w:tcPr>
          <w:p w14:paraId="7FE6C62C" w14:textId="7011A91B"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57.8</w:t>
            </w:r>
          </w:p>
        </w:tc>
        <w:tc>
          <w:tcPr>
            <w:tcW w:w="236" w:type="dxa"/>
          </w:tcPr>
          <w:p w14:paraId="02E6FDE2"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17E91C29" w14:textId="77777777" w:rsidR="001335D5" w:rsidRPr="00DC652F" w:rsidRDefault="001335D5" w:rsidP="001E6B09">
            <w:pPr>
              <w:ind w:right="-57"/>
              <w:jc w:val="center"/>
              <w:rPr>
                <w:rFonts w:ascii="Times New Roman" w:hAnsi="Times New Roman" w:cs="Times New Roman"/>
              </w:rPr>
            </w:pPr>
          </w:p>
        </w:tc>
      </w:tr>
      <w:tr w:rsidR="001335D5" w:rsidRPr="00DC652F" w14:paraId="38F8CB25" w14:textId="66A52ED5" w:rsidTr="0077390C">
        <w:trPr>
          <w:cantSplit/>
          <w:trHeight w:val="283"/>
        </w:trPr>
        <w:tc>
          <w:tcPr>
            <w:tcW w:w="4306" w:type="dxa"/>
            <w:vAlign w:val="center"/>
          </w:tcPr>
          <w:p w14:paraId="4AF94ED7"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Female</w:t>
            </w:r>
          </w:p>
        </w:tc>
        <w:tc>
          <w:tcPr>
            <w:tcW w:w="1416" w:type="dxa"/>
            <w:vAlign w:val="center"/>
          </w:tcPr>
          <w:p w14:paraId="595269F8"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205</w:t>
            </w:r>
          </w:p>
        </w:tc>
        <w:tc>
          <w:tcPr>
            <w:tcW w:w="1417" w:type="dxa"/>
            <w:vAlign w:val="center"/>
          </w:tcPr>
          <w:p w14:paraId="49B8288F"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47.6</w:t>
            </w:r>
          </w:p>
        </w:tc>
        <w:tc>
          <w:tcPr>
            <w:tcW w:w="236" w:type="dxa"/>
          </w:tcPr>
          <w:p w14:paraId="5D72EB99" w14:textId="77777777" w:rsidR="001335D5" w:rsidRPr="00DC652F" w:rsidRDefault="001335D5" w:rsidP="001E6B09">
            <w:pPr>
              <w:ind w:right="-57"/>
              <w:jc w:val="center"/>
              <w:rPr>
                <w:rFonts w:ascii="Times New Roman" w:hAnsi="Times New Roman" w:cs="Times New Roman"/>
              </w:rPr>
            </w:pPr>
          </w:p>
        </w:tc>
        <w:tc>
          <w:tcPr>
            <w:tcW w:w="1417" w:type="dxa"/>
          </w:tcPr>
          <w:p w14:paraId="7C8EB1BE" w14:textId="70916ED6"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129</w:t>
            </w:r>
          </w:p>
        </w:tc>
        <w:tc>
          <w:tcPr>
            <w:tcW w:w="1418" w:type="dxa"/>
            <w:vAlign w:val="center"/>
          </w:tcPr>
          <w:p w14:paraId="0945B273" w14:textId="1655F584"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51.4</w:t>
            </w:r>
          </w:p>
        </w:tc>
        <w:tc>
          <w:tcPr>
            <w:tcW w:w="236" w:type="dxa"/>
          </w:tcPr>
          <w:p w14:paraId="3DBDD029"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5D6A107B" w14:textId="7AB88079"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76</w:t>
            </w:r>
          </w:p>
        </w:tc>
        <w:tc>
          <w:tcPr>
            <w:tcW w:w="1418" w:type="dxa"/>
          </w:tcPr>
          <w:p w14:paraId="49071EE4" w14:textId="132592A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42.2</w:t>
            </w:r>
          </w:p>
        </w:tc>
        <w:tc>
          <w:tcPr>
            <w:tcW w:w="236" w:type="dxa"/>
          </w:tcPr>
          <w:p w14:paraId="78C79C47"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04D572BA" w14:textId="12FE38B0" w:rsidR="001335D5" w:rsidRPr="00DC652F" w:rsidRDefault="001335D5" w:rsidP="001E6B09">
            <w:pPr>
              <w:ind w:right="-57"/>
              <w:jc w:val="center"/>
              <w:rPr>
                <w:rFonts w:ascii="Times New Roman" w:hAnsi="Times New Roman" w:cs="Times New Roman"/>
              </w:rPr>
            </w:pPr>
          </w:p>
        </w:tc>
      </w:tr>
      <w:tr w:rsidR="001335D5" w:rsidRPr="00DC652F" w14:paraId="725C0FBB" w14:textId="6738D742" w:rsidTr="0077390C">
        <w:trPr>
          <w:cantSplit/>
          <w:trHeight w:val="283"/>
        </w:trPr>
        <w:tc>
          <w:tcPr>
            <w:tcW w:w="4306" w:type="dxa"/>
            <w:vAlign w:val="center"/>
          </w:tcPr>
          <w:p w14:paraId="3B961213" w14:textId="6434677E" w:rsidR="001335D5" w:rsidRPr="00DC652F" w:rsidRDefault="00B43A27" w:rsidP="001E6B09">
            <w:pPr>
              <w:rPr>
                <w:rFonts w:ascii="Times New Roman" w:hAnsi="Times New Roman" w:cs="Times New Roman"/>
              </w:rPr>
            </w:pPr>
            <w:r w:rsidRPr="00DC652F">
              <w:rPr>
                <w:rFonts w:ascii="Times New Roman" w:hAnsi="Times New Roman" w:cs="Times New Roman"/>
              </w:rPr>
              <w:t>Gestational age (</w:t>
            </w:r>
            <w:r w:rsidR="001335D5" w:rsidRPr="00DC652F">
              <w:rPr>
                <w:rFonts w:ascii="Times New Roman" w:hAnsi="Times New Roman" w:cs="Times New Roman"/>
              </w:rPr>
              <w:t>weeks</w:t>
            </w:r>
            <w:r w:rsidRPr="00DC652F">
              <w:rPr>
                <w:rFonts w:ascii="Times New Roman" w:hAnsi="Times New Roman" w:cs="Times New Roman"/>
              </w:rPr>
              <w:t>)</w:t>
            </w:r>
          </w:p>
        </w:tc>
        <w:tc>
          <w:tcPr>
            <w:tcW w:w="1416" w:type="dxa"/>
            <w:vAlign w:val="center"/>
          </w:tcPr>
          <w:p w14:paraId="07402F42"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4461ADF9" w14:textId="77777777" w:rsidR="001335D5" w:rsidRPr="00DC652F" w:rsidRDefault="001335D5" w:rsidP="001E6B09">
            <w:pPr>
              <w:ind w:right="-57"/>
              <w:jc w:val="center"/>
              <w:rPr>
                <w:rFonts w:ascii="Times New Roman" w:hAnsi="Times New Roman" w:cs="Times New Roman"/>
              </w:rPr>
            </w:pPr>
          </w:p>
        </w:tc>
        <w:tc>
          <w:tcPr>
            <w:tcW w:w="236" w:type="dxa"/>
          </w:tcPr>
          <w:p w14:paraId="55C3E7D9" w14:textId="77777777" w:rsidR="001335D5" w:rsidRPr="00DC652F" w:rsidRDefault="001335D5" w:rsidP="001E6B09">
            <w:pPr>
              <w:ind w:right="-57"/>
              <w:jc w:val="center"/>
              <w:rPr>
                <w:rFonts w:ascii="Times New Roman" w:hAnsi="Times New Roman" w:cs="Times New Roman"/>
              </w:rPr>
            </w:pPr>
          </w:p>
        </w:tc>
        <w:tc>
          <w:tcPr>
            <w:tcW w:w="1417" w:type="dxa"/>
          </w:tcPr>
          <w:p w14:paraId="6FA1AF25" w14:textId="1CC53D0D" w:rsidR="001335D5" w:rsidRPr="00DC652F" w:rsidRDefault="001335D5" w:rsidP="001E6B09">
            <w:pPr>
              <w:ind w:right="-57"/>
              <w:jc w:val="center"/>
              <w:rPr>
                <w:rFonts w:ascii="Times New Roman" w:hAnsi="Times New Roman" w:cs="Times New Roman"/>
              </w:rPr>
            </w:pPr>
          </w:p>
        </w:tc>
        <w:tc>
          <w:tcPr>
            <w:tcW w:w="1418" w:type="dxa"/>
            <w:vAlign w:val="center"/>
          </w:tcPr>
          <w:p w14:paraId="28C91F18" w14:textId="77777777" w:rsidR="001335D5" w:rsidRPr="00DC652F" w:rsidRDefault="001335D5" w:rsidP="001E6B09">
            <w:pPr>
              <w:ind w:right="-57"/>
              <w:jc w:val="center"/>
              <w:rPr>
                <w:rFonts w:ascii="Times New Roman" w:hAnsi="Times New Roman" w:cs="Times New Roman"/>
              </w:rPr>
            </w:pPr>
          </w:p>
        </w:tc>
        <w:tc>
          <w:tcPr>
            <w:tcW w:w="236" w:type="dxa"/>
          </w:tcPr>
          <w:p w14:paraId="0E2521F0"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70DCE4CA" w14:textId="77777777" w:rsidR="001335D5" w:rsidRPr="00DC652F" w:rsidRDefault="001335D5" w:rsidP="001E6B09">
            <w:pPr>
              <w:ind w:right="-57"/>
              <w:jc w:val="center"/>
              <w:rPr>
                <w:rFonts w:ascii="Times New Roman" w:hAnsi="Times New Roman" w:cs="Times New Roman"/>
              </w:rPr>
            </w:pPr>
          </w:p>
        </w:tc>
        <w:tc>
          <w:tcPr>
            <w:tcW w:w="1418" w:type="dxa"/>
          </w:tcPr>
          <w:p w14:paraId="65420773" w14:textId="77777777" w:rsidR="001335D5" w:rsidRPr="00DC652F" w:rsidRDefault="001335D5" w:rsidP="001E6B09">
            <w:pPr>
              <w:ind w:right="-57"/>
              <w:jc w:val="center"/>
              <w:rPr>
                <w:rFonts w:ascii="Times New Roman" w:hAnsi="Times New Roman" w:cs="Times New Roman"/>
              </w:rPr>
            </w:pPr>
          </w:p>
        </w:tc>
        <w:tc>
          <w:tcPr>
            <w:tcW w:w="236" w:type="dxa"/>
          </w:tcPr>
          <w:p w14:paraId="08C19F57"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6ADD83DE" w14:textId="2670BF54"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1.000</w:t>
            </w:r>
          </w:p>
        </w:tc>
      </w:tr>
      <w:tr w:rsidR="001335D5" w:rsidRPr="00DC652F" w14:paraId="7E923AFF" w14:textId="0F84C3C8" w:rsidTr="0077390C">
        <w:trPr>
          <w:cantSplit/>
          <w:trHeight w:val="283"/>
        </w:trPr>
        <w:tc>
          <w:tcPr>
            <w:tcW w:w="4306" w:type="dxa"/>
            <w:vAlign w:val="center"/>
          </w:tcPr>
          <w:p w14:paraId="50D476D0"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&lt;37</w:t>
            </w:r>
          </w:p>
        </w:tc>
        <w:tc>
          <w:tcPr>
            <w:tcW w:w="1416" w:type="dxa"/>
            <w:vAlign w:val="center"/>
          </w:tcPr>
          <w:p w14:paraId="01DEE966"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30</w:t>
            </w:r>
          </w:p>
        </w:tc>
        <w:tc>
          <w:tcPr>
            <w:tcW w:w="1417" w:type="dxa"/>
            <w:vAlign w:val="center"/>
          </w:tcPr>
          <w:p w14:paraId="5FACADBE"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7.0</w:t>
            </w:r>
          </w:p>
        </w:tc>
        <w:tc>
          <w:tcPr>
            <w:tcW w:w="236" w:type="dxa"/>
          </w:tcPr>
          <w:p w14:paraId="0B15F8F3" w14:textId="77777777" w:rsidR="001335D5" w:rsidRPr="00DC652F" w:rsidRDefault="001335D5" w:rsidP="001E6B09">
            <w:pPr>
              <w:ind w:right="-57"/>
              <w:jc w:val="center"/>
              <w:rPr>
                <w:rFonts w:ascii="Times New Roman" w:hAnsi="Times New Roman" w:cs="Times New Roman"/>
              </w:rPr>
            </w:pPr>
          </w:p>
        </w:tc>
        <w:tc>
          <w:tcPr>
            <w:tcW w:w="1417" w:type="dxa"/>
          </w:tcPr>
          <w:p w14:paraId="0321C8A5" w14:textId="2377CB5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18</w:t>
            </w:r>
          </w:p>
        </w:tc>
        <w:tc>
          <w:tcPr>
            <w:tcW w:w="1418" w:type="dxa"/>
            <w:vAlign w:val="center"/>
          </w:tcPr>
          <w:p w14:paraId="421B07EE" w14:textId="45C084B3"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7.2</w:t>
            </w:r>
          </w:p>
        </w:tc>
        <w:tc>
          <w:tcPr>
            <w:tcW w:w="236" w:type="dxa"/>
          </w:tcPr>
          <w:p w14:paraId="5BF80F5F"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69FB27FA" w14:textId="05AF946F"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12</w:t>
            </w:r>
          </w:p>
        </w:tc>
        <w:tc>
          <w:tcPr>
            <w:tcW w:w="1418" w:type="dxa"/>
          </w:tcPr>
          <w:p w14:paraId="63398459" w14:textId="3BDE0BCA"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6.7</w:t>
            </w:r>
          </w:p>
        </w:tc>
        <w:tc>
          <w:tcPr>
            <w:tcW w:w="236" w:type="dxa"/>
          </w:tcPr>
          <w:p w14:paraId="3911551A"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0763AF9F" w14:textId="77777777" w:rsidR="001335D5" w:rsidRPr="00DC652F" w:rsidRDefault="001335D5" w:rsidP="001E6B09">
            <w:pPr>
              <w:ind w:right="-57"/>
              <w:jc w:val="center"/>
              <w:rPr>
                <w:rFonts w:ascii="Times New Roman" w:hAnsi="Times New Roman" w:cs="Times New Roman"/>
              </w:rPr>
            </w:pPr>
          </w:p>
        </w:tc>
      </w:tr>
      <w:tr w:rsidR="001335D5" w:rsidRPr="00DC652F" w14:paraId="052491CE" w14:textId="706EC534" w:rsidTr="0077390C">
        <w:trPr>
          <w:cantSplit/>
          <w:trHeight w:val="283"/>
        </w:trPr>
        <w:tc>
          <w:tcPr>
            <w:tcW w:w="4306" w:type="dxa"/>
            <w:vAlign w:val="center"/>
          </w:tcPr>
          <w:p w14:paraId="4AEE4BD6"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≥37</w:t>
            </w:r>
          </w:p>
        </w:tc>
        <w:tc>
          <w:tcPr>
            <w:tcW w:w="1416" w:type="dxa"/>
            <w:vAlign w:val="center"/>
          </w:tcPr>
          <w:p w14:paraId="32E02CAE"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401</w:t>
            </w:r>
          </w:p>
        </w:tc>
        <w:tc>
          <w:tcPr>
            <w:tcW w:w="1417" w:type="dxa"/>
            <w:vAlign w:val="center"/>
          </w:tcPr>
          <w:p w14:paraId="5D1EE42E"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93.0</w:t>
            </w:r>
          </w:p>
        </w:tc>
        <w:tc>
          <w:tcPr>
            <w:tcW w:w="236" w:type="dxa"/>
          </w:tcPr>
          <w:p w14:paraId="3A22C4BC" w14:textId="77777777" w:rsidR="001335D5" w:rsidRPr="00DC652F" w:rsidRDefault="001335D5" w:rsidP="001E6B09">
            <w:pPr>
              <w:ind w:right="-57"/>
              <w:jc w:val="center"/>
              <w:rPr>
                <w:rFonts w:ascii="Times New Roman" w:hAnsi="Times New Roman" w:cs="Times New Roman"/>
              </w:rPr>
            </w:pPr>
          </w:p>
        </w:tc>
        <w:tc>
          <w:tcPr>
            <w:tcW w:w="1417" w:type="dxa"/>
          </w:tcPr>
          <w:p w14:paraId="443AFF92" w14:textId="50771754"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233</w:t>
            </w:r>
          </w:p>
        </w:tc>
        <w:tc>
          <w:tcPr>
            <w:tcW w:w="1418" w:type="dxa"/>
            <w:vAlign w:val="center"/>
          </w:tcPr>
          <w:p w14:paraId="266B527E" w14:textId="03C6CE48"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92.8</w:t>
            </w:r>
          </w:p>
        </w:tc>
        <w:tc>
          <w:tcPr>
            <w:tcW w:w="236" w:type="dxa"/>
          </w:tcPr>
          <w:p w14:paraId="0630EF29"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364164E2" w14:textId="7CE44EAF"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168</w:t>
            </w:r>
          </w:p>
        </w:tc>
        <w:tc>
          <w:tcPr>
            <w:tcW w:w="1418" w:type="dxa"/>
          </w:tcPr>
          <w:p w14:paraId="05C8056D" w14:textId="5DAB880F"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93.3</w:t>
            </w:r>
          </w:p>
        </w:tc>
        <w:tc>
          <w:tcPr>
            <w:tcW w:w="236" w:type="dxa"/>
          </w:tcPr>
          <w:p w14:paraId="72D27774"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5A74C0FA" w14:textId="3DD1796D" w:rsidR="001335D5" w:rsidRPr="00DC652F" w:rsidRDefault="001335D5" w:rsidP="001E6B09">
            <w:pPr>
              <w:ind w:right="-57"/>
              <w:jc w:val="center"/>
              <w:rPr>
                <w:rFonts w:ascii="Times New Roman" w:hAnsi="Times New Roman" w:cs="Times New Roman"/>
              </w:rPr>
            </w:pPr>
          </w:p>
        </w:tc>
      </w:tr>
      <w:tr w:rsidR="001335D5" w:rsidRPr="00DC652F" w14:paraId="17FE4520" w14:textId="2EB21D94" w:rsidTr="0077390C">
        <w:trPr>
          <w:cantSplit/>
          <w:trHeight w:val="283"/>
        </w:trPr>
        <w:tc>
          <w:tcPr>
            <w:tcW w:w="4306" w:type="dxa"/>
            <w:vAlign w:val="center"/>
          </w:tcPr>
          <w:p w14:paraId="66FA3E30"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Birth order</w:t>
            </w:r>
          </w:p>
        </w:tc>
        <w:tc>
          <w:tcPr>
            <w:tcW w:w="1416" w:type="dxa"/>
            <w:vAlign w:val="center"/>
          </w:tcPr>
          <w:p w14:paraId="293093AD"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479E1E54" w14:textId="77777777" w:rsidR="001335D5" w:rsidRPr="00DC652F" w:rsidRDefault="001335D5" w:rsidP="001E6B09">
            <w:pPr>
              <w:ind w:right="-57"/>
              <w:jc w:val="center"/>
              <w:rPr>
                <w:rFonts w:ascii="Times New Roman" w:hAnsi="Times New Roman" w:cs="Times New Roman"/>
              </w:rPr>
            </w:pPr>
          </w:p>
        </w:tc>
        <w:tc>
          <w:tcPr>
            <w:tcW w:w="236" w:type="dxa"/>
          </w:tcPr>
          <w:p w14:paraId="1B75A70C" w14:textId="77777777" w:rsidR="001335D5" w:rsidRPr="00DC652F" w:rsidRDefault="001335D5" w:rsidP="001E6B09">
            <w:pPr>
              <w:ind w:right="-57"/>
              <w:jc w:val="center"/>
              <w:rPr>
                <w:rFonts w:ascii="Times New Roman" w:hAnsi="Times New Roman" w:cs="Times New Roman"/>
              </w:rPr>
            </w:pPr>
          </w:p>
        </w:tc>
        <w:tc>
          <w:tcPr>
            <w:tcW w:w="1417" w:type="dxa"/>
          </w:tcPr>
          <w:p w14:paraId="3A808027" w14:textId="62E23770" w:rsidR="001335D5" w:rsidRPr="00DC652F" w:rsidRDefault="001335D5" w:rsidP="001E6B09">
            <w:pPr>
              <w:ind w:right="-57"/>
              <w:jc w:val="center"/>
              <w:rPr>
                <w:rFonts w:ascii="Times New Roman" w:hAnsi="Times New Roman" w:cs="Times New Roman"/>
              </w:rPr>
            </w:pPr>
          </w:p>
        </w:tc>
        <w:tc>
          <w:tcPr>
            <w:tcW w:w="1418" w:type="dxa"/>
            <w:vAlign w:val="center"/>
          </w:tcPr>
          <w:p w14:paraId="6EC13A3F" w14:textId="77777777" w:rsidR="001335D5" w:rsidRPr="00DC652F" w:rsidRDefault="001335D5" w:rsidP="001E6B09">
            <w:pPr>
              <w:ind w:right="-57"/>
              <w:jc w:val="center"/>
              <w:rPr>
                <w:rFonts w:ascii="Times New Roman" w:hAnsi="Times New Roman" w:cs="Times New Roman"/>
              </w:rPr>
            </w:pPr>
          </w:p>
        </w:tc>
        <w:tc>
          <w:tcPr>
            <w:tcW w:w="236" w:type="dxa"/>
          </w:tcPr>
          <w:p w14:paraId="0A5DF323"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3497DD9C" w14:textId="77777777" w:rsidR="001335D5" w:rsidRPr="00DC652F" w:rsidRDefault="001335D5" w:rsidP="001E6B09">
            <w:pPr>
              <w:ind w:right="-57"/>
              <w:jc w:val="center"/>
              <w:rPr>
                <w:rFonts w:ascii="Times New Roman" w:hAnsi="Times New Roman" w:cs="Times New Roman"/>
              </w:rPr>
            </w:pPr>
          </w:p>
        </w:tc>
        <w:tc>
          <w:tcPr>
            <w:tcW w:w="1418" w:type="dxa"/>
          </w:tcPr>
          <w:p w14:paraId="411D7DAB" w14:textId="77777777" w:rsidR="001335D5" w:rsidRPr="00DC652F" w:rsidRDefault="001335D5" w:rsidP="001E6B09">
            <w:pPr>
              <w:ind w:right="-57"/>
              <w:jc w:val="center"/>
              <w:rPr>
                <w:rFonts w:ascii="Times New Roman" w:hAnsi="Times New Roman" w:cs="Times New Roman"/>
              </w:rPr>
            </w:pPr>
          </w:p>
        </w:tc>
        <w:tc>
          <w:tcPr>
            <w:tcW w:w="236" w:type="dxa"/>
          </w:tcPr>
          <w:p w14:paraId="4A3465DB"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6D6A0189" w14:textId="4E68C09F"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0.234</w:t>
            </w:r>
          </w:p>
        </w:tc>
      </w:tr>
      <w:tr w:rsidR="001335D5" w:rsidRPr="00DC652F" w14:paraId="1815ED20" w14:textId="4E5F998B" w:rsidTr="0077390C">
        <w:trPr>
          <w:cantSplit/>
          <w:trHeight w:val="283"/>
        </w:trPr>
        <w:tc>
          <w:tcPr>
            <w:tcW w:w="4306" w:type="dxa"/>
            <w:vAlign w:val="center"/>
          </w:tcPr>
          <w:p w14:paraId="10AE907B"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First child</w:t>
            </w:r>
          </w:p>
        </w:tc>
        <w:tc>
          <w:tcPr>
            <w:tcW w:w="1416" w:type="dxa"/>
            <w:vAlign w:val="center"/>
          </w:tcPr>
          <w:p w14:paraId="13E96679"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175</w:t>
            </w:r>
          </w:p>
        </w:tc>
        <w:tc>
          <w:tcPr>
            <w:tcW w:w="1417" w:type="dxa"/>
            <w:vAlign w:val="center"/>
          </w:tcPr>
          <w:p w14:paraId="7C0CF4BD"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40.6</w:t>
            </w:r>
          </w:p>
        </w:tc>
        <w:tc>
          <w:tcPr>
            <w:tcW w:w="236" w:type="dxa"/>
          </w:tcPr>
          <w:p w14:paraId="1A216EFD" w14:textId="77777777" w:rsidR="001335D5" w:rsidRPr="00DC652F" w:rsidRDefault="001335D5" w:rsidP="001E6B09">
            <w:pPr>
              <w:ind w:right="-57"/>
              <w:jc w:val="center"/>
              <w:rPr>
                <w:rFonts w:ascii="Times New Roman" w:hAnsi="Times New Roman" w:cs="Times New Roman"/>
              </w:rPr>
            </w:pPr>
          </w:p>
        </w:tc>
        <w:tc>
          <w:tcPr>
            <w:tcW w:w="1417" w:type="dxa"/>
          </w:tcPr>
          <w:p w14:paraId="292FCA6B" w14:textId="188F844A"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108</w:t>
            </w:r>
          </w:p>
        </w:tc>
        <w:tc>
          <w:tcPr>
            <w:tcW w:w="1418" w:type="dxa"/>
            <w:vAlign w:val="center"/>
          </w:tcPr>
          <w:p w14:paraId="29753BF2" w14:textId="54D2C061"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43.0</w:t>
            </w:r>
          </w:p>
        </w:tc>
        <w:tc>
          <w:tcPr>
            <w:tcW w:w="236" w:type="dxa"/>
          </w:tcPr>
          <w:p w14:paraId="67486320"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54614242" w14:textId="342B3D9A"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67</w:t>
            </w:r>
          </w:p>
        </w:tc>
        <w:tc>
          <w:tcPr>
            <w:tcW w:w="1418" w:type="dxa"/>
          </w:tcPr>
          <w:p w14:paraId="3237B558" w14:textId="79E71A2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37.2</w:t>
            </w:r>
          </w:p>
        </w:tc>
        <w:tc>
          <w:tcPr>
            <w:tcW w:w="236" w:type="dxa"/>
          </w:tcPr>
          <w:p w14:paraId="0EDDA5D3"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590BE584" w14:textId="77777777" w:rsidR="001335D5" w:rsidRPr="00DC652F" w:rsidRDefault="001335D5" w:rsidP="001E6B09">
            <w:pPr>
              <w:ind w:right="-57"/>
              <w:jc w:val="center"/>
              <w:rPr>
                <w:rFonts w:ascii="Times New Roman" w:hAnsi="Times New Roman" w:cs="Times New Roman"/>
              </w:rPr>
            </w:pPr>
          </w:p>
        </w:tc>
      </w:tr>
      <w:tr w:rsidR="001335D5" w:rsidRPr="00DC652F" w14:paraId="4854B66F" w14:textId="6527E57F" w:rsidTr="0077390C">
        <w:trPr>
          <w:cantSplit/>
          <w:trHeight w:val="283"/>
        </w:trPr>
        <w:tc>
          <w:tcPr>
            <w:tcW w:w="4306" w:type="dxa"/>
            <w:vAlign w:val="center"/>
          </w:tcPr>
          <w:p w14:paraId="1C369ED9"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Not first child</w:t>
            </w:r>
          </w:p>
        </w:tc>
        <w:tc>
          <w:tcPr>
            <w:tcW w:w="1416" w:type="dxa"/>
            <w:vAlign w:val="center"/>
          </w:tcPr>
          <w:p w14:paraId="7678A37A"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256</w:t>
            </w:r>
          </w:p>
        </w:tc>
        <w:tc>
          <w:tcPr>
            <w:tcW w:w="1417" w:type="dxa"/>
            <w:vAlign w:val="center"/>
          </w:tcPr>
          <w:p w14:paraId="0D246573"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59.4</w:t>
            </w:r>
          </w:p>
        </w:tc>
        <w:tc>
          <w:tcPr>
            <w:tcW w:w="236" w:type="dxa"/>
          </w:tcPr>
          <w:p w14:paraId="43E612C6" w14:textId="77777777" w:rsidR="001335D5" w:rsidRPr="00DC652F" w:rsidRDefault="001335D5" w:rsidP="001E6B09">
            <w:pPr>
              <w:ind w:right="-57"/>
              <w:jc w:val="center"/>
              <w:rPr>
                <w:rFonts w:ascii="Times New Roman" w:hAnsi="Times New Roman" w:cs="Times New Roman"/>
              </w:rPr>
            </w:pPr>
          </w:p>
        </w:tc>
        <w:tc>
          <w:tcPr>
            <w:tcW w:w="1417" w:type="dxa"/>
          </w:tcPr>
          <w:p w14:paraId="623D7890" w14:textId="31E348DF"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143</w:t>
            </w:r>
          </w:p>
        </w:tc>
        <w:tc>
          <w:tcPr>
            <w:tcW w:w="1418" w:type="dxa"/>
            <w:vAlign w:val="center"/>
          </w:tcPr>
          <w:p w14:paraId="6B471B6E" w14:textId="776F72D8"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57.0</w:t>
            </w:r>
          </w:p>
        </w:tc>
        <w:tc>
          <w:tcPr>
            <w:tcW w:w="236" w:type="dxa"/>
          </w:tcPr>
          <w:p w14:paraId="79DD5A41"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69248694" w14:textId="0995AE86"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113</w:t>
            </w:r>
          </w:p>
        </w:tc>
        <w:tc>
          <w:tcPr>
            <w:tcW w:w="1418" w:type="dxa"/>
          </w:tcPr>
          <w:p w14:paraId="394BC3FE" w14:textId="4E550D4A"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62.8</w:t>
            </w:r>
          </w:p>
        </w:tc>
        <w:tc>
          <w:tcPr>
            <w:tcW w:w="236" w:type="dxa"/>
          </w:tcPr>
          <w:p w14:paraId="798AEB02"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5FC2F455" w14:textId="282C1AFF" w:rsidR="001335D5" w:rsidRPr="00DC652F" w:rsidRDefault="001335D5" w:rsidP="001E6B09">
            <w:pPr>
              <w:ind w:right="-57"/>
              <w:jc w:val="center"/>
              <w:rPr>
                <w:rFonts w:ascii="Times New Roman" w:hAnsi="Times New Roman" w:cs="Times New Roman"/>
              </w:rPr>
            </w:pPr>
          </w:p>
        </w:tc>
      </w:tr>
      <w:tr w:rsidR="001335D5" w:rsidRPr="00DC652F" w14:paraId="24812FEF" w14:textId="3E43FC22" w:rsidTr="0077390C">
        <w:trPr>
          <w:cantSplit/>
          <w:trHeight w:val="283"/>
        </w:trPr>
        <w:tc>
          <w:tcPr>
            <w:tcW w:w="4306" w:type="dxa"/>
            <w:vAlign w:val="center"/>
          </w:tcPr>
          <w:p w14:paraId="74E78900"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Feeding mode in the first six months of life</w:t>
            </w:r>
          </w:p>
        </w:tc>
        <w:tc>
          <w:tcPr>
            <w:tcW w:w="1416" w:type="dxa"/>
            <w:vAlign w:val="center"/>
          </w:tcPr>
          <w:p w14:paraId="717FCC8B"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4ED6E0F6" w14:textId="77777777" w:rsidR="001335D5" w:rsidRPr="00DC652F" w:rsidRDefault="001335D5" w:rsidP="001E6B09">
            <w:pPr>
              <w:ind w:right="-57"/>
              <w:jc w:val="center"/>
              <w:rPr>
                <w:rFonts w:ascii="Times New Roman" w:hAnsi="Times New Roman" w:cs="Times New Roman"/>
              </w:rPr>
            </w:pPr>
          </w:p>
        </w:tc>
        <w:tc>
          <w:tcPr>
            <w:tcW w:w="236" w:type="dxa"/>
          </w:tcPr>
          <w:p w14:paraId="64BB6E0B" w14:textId="77777777" w:rsidR="001335D5" w:rsidRPr="00DC652F" w:rsidRDefault="001335D5" w:rsidP="001E6B09">
            <w:pPr>
              <w:ind w:right="-57"/>
              <w:jc w:val="center"/>
              <w:rPr>
                <w:rFonts w:ascii="Times New Roman" w:hAnsi="Times New Roman" w:cs="Times New Roman"/>
              </w:rPr>
            </w:pPr>
          </w:p>
        </w:tc>
        <w:tc>
          <w:tcPr>
            <w:tcW w:w="1417" w:type="dxa"/>
          </w:tcPr>
          <w:p w14:paraId="3059A572" w14:textId="6C6B201A" w:rsidR="001335D5" w:rsidRPr="00DC652F" w:rsidRDefault="001335D5" w:rsidP="001E6B09">
            <w:pPr>
              <w:ind w:right="-57"/>
              <w:jc w:val="center"/>
              <w:rPr>
                <w:rFonts w:ascii="Times New Roman" w:hAnsi="Times New Roman" w:cs="Times New Roman"/>
              </w:rPr>
            </w:pPr>
          </w:p>
        </w:tc>
        <w:tc>
          <w:tcPr>
            <w:tcW w:w="1418" w:type="dxa"/>
            <w:vAlign w:val="center"/>
          </w:tcPr>
          <w:p w14:paraId="7A2CCBF2" w14:textId="77777777" w:rsidR="001335D5" w:rsidRPr="00DC652F" w:rsidRDefault="001335D5" w:rsidP="001E6B09">
            <w:pPr>
              <w:ind w:right="-57"/>
              <w:jc w:val="center"/>
              <w:rPr>
                <w:rFonts w:ascii="Times New Roman" w:hAnsi="Times New Roman" w:cs="Times New Roman"/>
              </w:rPr>
            </w:pPr>
          </w:p>
        </w:tc>
        <w:tc>
          <w:tcPr>
            <w:tcW w:w="236" w:type="dxa"/>
          </w:tcPr>
          <w:p w14:paraId="125E7AD0"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71CDFD94" w14:textId="77777777" w:rsidR="001335D5" w:rsidRPr="00DC652F" w:rsidRDefault="001335D5" w:rsidP="001E6B09">
            <w:pPr>
              <w:ind w:right="-57"/>
              <w:jc w:val="center"/>
              <w:rPr>
                <w:rFonts w:ascii="Times New Roman" w:hAnsi="Times New Roman" w:cs="Times New Roman"/>
              </w:rPr>
            </w:pPr>
          </w:p>
        </w:tc>
        <w:tc>
          <w:tcPr>
            <w:tcW w:w="1418" w:type="dxa"/>
          </w:tcPr>
          <w:p w14:paraId="06860690" w14:textId="77777777" w:rsidR="001335D5" w:rsidRPr="00DC652F" w:rsidRDefault="001335D5" w:rsidP="001E6B09">
            <w:pPr>
              <w:ind w:right="-57"/>
              <w:jc w:val="center"/>
              <w:rPr>
                <w:rFonts w:ascii="Times New Roman" w:hAnsi="Times New Roman" w:cs="Times New Roman"/>
              </w:rPr>
            </w:pPr>
          </w:p>
        </w:tc>
        <w:tc>
          <w:tcPr>
            <w:tcW w:w="236" w:type="dxa"/>
          </w:tcPr>
          <w:p w14:paraId="3AD03BC8"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6D20B1A8" w14:textId="23B27C10"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0.003</w:t>
            </w:r>
          </w:p>
        </w:tc>
      </w:tr>
      <w:tr w:rsidR="001335D5" w:rsidRPr="00DC652F" w14:paraId="628433BC" w14:textId="11CC44B9" w:rsidTr="0077390C">
        <w:trPr>
          <w:cantSplit/>
          <w:trHeight w:val="283"/>
        </w:trPr>
        <w:tc>
          <w:tcPr>
            <w:tcW w:w="4306" w:type="dxa"/>
            <w:vAlign w:val="center"/>
          </w:tcPr>
          <w:p w14:paraId="0B18B340" w14:textId="66540FB0" w:rsidR="001335D5" w:rsidRPr="00DC652F" w:rsidRDefault="001335D5" w:rsidP="00727A60">
            <w:pPr>
              <w:rPr>
                <w:rFonts w:ascii="Times New Roman" w:hAnsi="Times New Roman" w:cs="Times New Roman"/>
              </w:rPr>
            </w:pPr>
            <w:r w:rsidRPr="00DC652F">
              <w:rPr>
                <w:rFonts w:ascii="Times New Roman" w:hAnsi="Times New Roman" w:cs="Times New Roman"/>
              </w:rPr>
              <w:t xml:space="preserve">     Exclusively formula</w:t>
            </w:r>
            <w:r w:rsidR="000B1D17">
              <w:rPr>
                <w:rFonts w:ascii="Times New Roman" w:hAnsi="Times New Roman" w:cs="Times New Roman"/>
              </w:rPr>
              <w:t>-</w:t>
            </w:r>
            <w:r w:rsidRPr="00DC652F">
              <w:rPr>
                <w:rFonts w:ascii="Times New Roman" w:hAnsi="Times New Roman" w:cs="Times New Roman"/>
              </w:rPr>
              <w:t>fed</w:t>
            </w:r>
          </w:p>
        </w:tc>
        <w:tc>
          <w:tcPr>
            <w:tcW w:w="1416" w:type="dxa"/>
            <w:vAlign w:val="center"/>
          </w:tcPr>
          <w:p w14:paraId="4DA16668" w14:textId="496CE8D6" w:rsidR="001335D5" w:rsidRPr="00DC652F" w:rsidRDefault="001335D5" w:rsidP="00727A60">
            <w:pPr>
              <w:ind w:right="-57"/>
              <w:jc w:val="center"/>
              <w:rPr>
                <w:rFonts w:ascii="Times New Roman" w:hAnsi="Times New Roman" w:cs="Times New Roman"/>
              </w:rPr>
            </w:pPr>
            <w:r w:rsidRPr="00DC652F">
              <w:rPr>
                <w:rFonts w:ascii="Times New Roman" w:hAnsi="Times New Roman" w:cs="Times New Roman"/>
              </w:rPr>
              <w:t>118</w:t>
            </w:r>
          </w:p>
        </w:tc>
        <w:tc>
          <w:tcPr>
            <w:tcW w:w="1417" w:type="dxa"/>
            <w:vAlign w:val="center"/>
          </w:tcPr>
          <w:p w14:paraId="43E27A8C" w14:textId="39DCCD92"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29.6</w:t>
            </w:r>
          </w:p>
        </w:tc>
        <w:tc>
          <w:tcPr>
            <w:tcW w:w="236" w:type="dxa"/>
          </w:tcPr>
          <w:p w14:paraId="22F1BEA7" w14:textId="77777777" w:rsidR="001335D5" w:rsidRPr="00DC652F" w:rsidRDefault="001335D5" w:rsidP="001E6B09">
            <w:pPr>
              <w:ind w:right="-57"/>
              <w:jc w:val="center"/>
              <w:rPr>
                <w:rFonts w:ascii="Times New Roman" w:hAnsi="Times New Roman" w:cs="Times New Roman"/>
              </w:rPr>
            </w:pPr>
          </w:p>
        </w:tc>
        <w:tc>
          <w:tcPr>
            <w:tcW w:w="1417" w:type="dxa"/>
          </w:tcPr>
          <w:p w14:paraId="3D95849D" w14:textId="2FEBBC15"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61</w:t>
            </w:r>
          </w:p>
        </w:tc>
        <w:tc>
          <w:tcPr>
            <w:tcW w:w="1418" w:type="dxa"/>
            <w:vAlign w:val="center"/>
          </w:tcPr>
          <w:p w14:paraId="2C0D5DCB" w14:textId="019B3033"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26.1</w:t>
            </w:r>
          </w:p>
        </w:tc>
        <w:tc>
          <w:tcPr>
            <w:tcW w:w="236" w:type="dxa"/>
          </w:tcPr>
          <w:p w14:paraId="32D61616"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18DD178A" w14:textId="3994BB5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57</w:t>
            </w:r>
          </w:p>
        </w:tc>
        <w:tc>
          <w:tcPr>
            <w:tcW w:w="1418" w:type="dxa"/>
          </w:tcPr>
          <w:p w14:paraId="74DCD209" w14:textId="19E3D5E5"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34.5</w:t>
            </w:r>
          </w:p>
        </w:tc>
        <w:tc>
          <w:tcPr>
            <w:tcW w:w="236" w:type="dxa"/>
          </w:tcPr>
          <w:p w14:paraId="402CF63C"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7F5F6AFB" w14:textId="77777777" w:rsidR="001335D5" w:rsidRPr="00DC652F" w:rsidRDefault="001335D5" w:rsidP="001E6B09">
            <w:pPr>
              <w:ind w:right="-57"/>
              <w:jc w:val="center"/>
              <w:rPr>
                <w:rFonts w:ascii="Times New Roman" w:hAnsi="Times New Roman" w:cs="Times New Roman"/>
              </w:rPr>
            </w:pPr>
          </w:p>
        </w:tc>
      </w:tr>
      <w:tr w:rsidR="001335D5" w:rsidRPr="00DC652F" w14:paraId="32FC4E0A" w14:textId="107D1F72" w:rsidTr="0077390C">
        <w:trPr>
          <w:cantSplit/>
          <w:trHeight w:val="283"/>
        </w:trPr>
        <w:tc>
          <w:tcPr>
            <w:tcW w:w="4306" w:type="dxa"/>
            <w:vAlign w:val="center"/>
          </w:tcPr>
          <w:p w14:paraId="04C19C33" w14:textId="675CCD23" w:rsidR="001335D5" w:rsidRPr="00DC652F" w:rsidRDefault="00FF33FE" w:rsidP="001E6B09">
            <w:pPr>
              <w:rPr>
                <w:rFonts w:ascii="Times New Roman" w:hAnsi="Times New Roman" w:cs="Times New Roman"/>
              </w:rPr>
            </w:pPr>
            <w:r w:rsidRPr="00DC652F">
              <w:rPr>
                <w:rFonts w:ascii="Times New Roman" w:hAnsi="Times New Roman" w:cs="Times New Roman"/>
              </w:rPr>
              <w:lastRenderedPageBreak/>
              <w:t xml:space="preserve">     Mixed</w:t>
            </w:r>
            <w:r w:rsidR="000B1D17">
              <w:rPr>
                <w:rFonts w:ascii="Times New Roman" w:hAnsi="Times New Roman" w:cs="Times New Roman"/>
              </w:rPr>
              <w:t>-</w:t>
            </w:r>
            <w:r w:rsidR="001335D5" w:rsidRPr="00DC652F">
              <w:rPr>
                <w:rFonts w:ascii="Times New Roman" w:hAnsi="Times New Roman" w:cs="Times New Roman"/>
              </w:rPr>
              <w:t>fed</w:t>
            </w:r>
          </w:p>
        </w:tc>
        <w:tc>
          <w:tcPr>
            <w:tcW w:w="1416" w:type="dxa"/>
            <w:vAlign w:val="center"/>
          </w:tcPr>
          <w:p w14:paraId="12920F65"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242</w:t>
            </w:r>
          </w:p>
        </w:tc>
        <w:tc>
          <w:tcPr>
            <w:tcW w:w="1417" w:type="dxa"/>
            <w:vAlign w:val="center"/>
          </w:tcPr>
          <w:p w14:paraId="08655862" w14:textId="7777777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60.7</w:t>
            </w:r>
          </w:p>
        </w:tc>
        <w:tc>
          <w:tcPr>
            <w:tcW w:w="236" w:type="dxa"/>
          </w:tcPr>
          <w:p w14:paraId="400933FD" w14:textId="77777777" w:rsidR="001335D5" w:rsidRPr="00DC652F" w:rsidRDefault="001335D5" w:rsidP="001E6B09">
            <w:pPr>
              <w:ind w:right="-57"/>
              <w:jc w:val="center"/>
              <w:rPr>
                <w:rFonts w:ascii="Times New Roman" w:hAnsi="Times New Roman" w:cs="Times New Roman"/>
              </w:rPr>
            </w:pPr>
          </w:p>
        </w:tc>
        <w:tc>
          <w:tcPr>
            <w:tcW w:w="1417" w:type="dxa"/>
          </w:tcPr>
          <w:p w14:paraId="39D0C9BD" w14:textId="5491769A"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141</w:t>
            </w:r>
          </w:p>
        </w:tc>
        <w:tc>
          <w:tcPr>
            <w:tcW w:w="1418" w:type="dxa"/>
            <w:vAlign w:val="center"/>
          </w:tcPr>
          <w:p w14:paraId="19D82C1B" w14:textId="6B7FC590"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60.3</w:t>
            </w:r>
          </w:p>
        </w:tc>
        <w:tc>
          <w:tcPr>
            <w:tcW w:w="236" w:type="dxa"/>
          </w:tcPr>
          <w:p w14:paraId="35736FDB"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05721C17" w14:textId="1FCB1A6D"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101</w:t>
            </w:r>
          </w:p>
        </w:tc>
        <w:tc>
          <w:tcPr>
            <w:tcW w:w="1418" w:type="dxa"/>
          </w:tcPr>
          <w:p w14:paraId="05AC64A4" w14:textId="4DC19DD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61.2</w:t>
            </w:r>
          </w:p>
        </w:tc>
        <w:tc>
          <w:tcPr>
            <w:tcW w:w="236" w:type="dxa"/>
          </w:tcPr>
          <w:p w14:paraId="4F7099CF"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05EDEDB0" w14:textId="3F147EA8" w:rsidR="001335D5" w:rsidRPr="00DC652F" w:rsidRDefault="001335D5" w:rsidP="001E6B09">
            <w:pPr>
              <w:ind w:right="-57"/>
              <w:jc w:val="center"/>
              <w:rPr>
                <w:rFonts w:ascii="Times New Roman" w:hAnsi="Times New Roman" w:cs="Times New Roman"/>
              </w:rPr>
            </w:pPr>
          </w:p>
        </w:tc>
      </w:tr>
      <w:tr w:rsidR="001335D5" w:rsidRPr="00DC652F" w14:paraId="142D53D3" w14:textId="53DB6EED" w:rsidTr="0077390C">
        <w:trPr>
          <w:cantSplit/>
          <w:trHeight w:val="283"/>
        </w:trPr>
        <w:tc>
          <w:tcPr>
            <w:tcW w:w="4306" w:type="dxa"/>
            <w:vAlign w:val="center"/>
          </w:tcPr>
          <w:p w14:paraId="144AB671" w14:textId="39B58EB7"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Exclusively</w:t>
            </w:r>
            <w:r w:rsidR="00FF33FE" w:rsidRPr="00DC652F">
              <w:rPr>
                <w:rFonts w:ascii="Times New Roman" w:hAnsi="Times New Roman" w:cs="Times New Roman"/>
              </w:rPr>
              <w:t>/predominantly</w:t>
            </w:r>
            <w:r w:rsidRPr="00DC652F">
              <w:rPr>
                <w:rFonts w:ascii="Times New Roman" w:hAnsi="Times New Roman" w:cs="Times New Roman"/>
              </w:rPr>
              <w:t xml:space="preserve"> breastfed</w:t>
            </w:r>
          </w:p>
        </w:tc>
        <w:tc>
          <w:tcPr>
            <w:tcW w:w="1416" w:type="dxa"/>
            <w:vAlign w:val="center"/>
          </w:tcPr>
          <w:p w14:paraId="1145DA9B" w14:textId="4A6CF2BE"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39</w:t>
            </w:r>
          </w:p>
        </w:tc>
        <w:tc>
          <w:tcPr>
            <w:tcW w:w="1417" w:type="dxa"/>
            <w:vAlign w:val="center"/>
          </w:tcPr>
          <w:p w14:paraId="3FE01FB6" w14:textId="5097CC3F"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9.8</w:t>
            </w:r>
          </w:p>
        </w:tc>
        <w:tc>
          <w:tcPr>
            <w:tcW w:w="236" w:type="dxa"/>
          </w:tcPr>
          <w:p w14:paraId="236F84CE" w14:textId="77777777" w:rsidR="001335D5" w:rsidRPr="00DC652F" w:rsidRDefault="001335D5" w:rsidP="001E6B09">
            <w:pPr>
              <w:ind w:right="-57"/>
              <w:jc w:val="center"/>
              <w:rPr>
                <w:rFonts w:ascii="Times New Roman" w:hAnsi="Times New Roman" w:cs="Times New Roman"/>
              </w:rPr>
            </w:pPr>
          </w:p>
        </w:tc>
        <w:tc>
          <w:tcPr>
            <w:tcW w:w="1417" w:type="dxa"/>
          </w:tcPr>
          <w:p w14:paraId="27D1223F" w14:textId="17D11D92"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32</w:t>
            </w:r>
          </w:p>
        </w:tc>
        <w:tc>
          <w:tcPr>
            <w:tcW w:w="1418" w:type="dxa"/>
            <w:vAlign w:val="center"/>
          </w:tcPr>
          <w:p w14:paraId="1D1BA481" w14:textId="4C68230F"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13.7</w:t>
            </w:r>
          </w:p>
        </w:tc>
        <w:tc>
          <w:tcPr>
            <w:tcW w:w="236" w:type="dxa"/>
          </w:tcPr>
          <w:p w14:paraId="4425FB2A"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587FE0AB" w14:textId="5215D90E"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7</w:t>
            </w:r>
          </w:p>
        </w:tc>
        <w:tc>
          <w:tcPr>
            <w:tcW w:w="1418" w:type="dxa"/>
          </w:tcPr>
          <w:p w14:paraId="3CDADFA8" w14:textId="2B34C96D"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4.2</w:t>
            </w:r>
          </w:p>
        </w:tc>
        <w:tc>
          <w:tcPr>
            <w:tcW w:w="236" w:type="dxa"/>
          </w:tcPr>
          <w:p w14:paraId="241C5951"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687B4995" w14:textId="77777777" w:rsidR="001335D5" w:rsidRPr="00DC652F" w:rsidRDefault="001335D5" w:rsidP="001E6B09">
            <w:pPr>
              <w:ind w:right="-57"/>
              <w:jc w:val="center"/>
              <w:rPr>
                <w:rFonts w:ascii="Times New Roman" w:hAnsi="Times New Roman" w:cs="Times New Roman"/>
              </w:rPr>
            </w:pPr>
          </w:p>
        </w:tc>
      </w:tr>
      <w:tr w:rsidR="001335D5" w:rsidRPr="00DC652F" w14:paraId="2B920F14" w14:textId="29BA3DF5" w:rsidTr="0077390C">
        <w:trPr>
          <w:cantSplit/>
          <w:trHeight w:val="283"/>
        </w:trPr>
        <w:tc>
          <w:tcPr>
            <w:tcW w:w="4306" w:type="dxa"/>
            <w:vAlign w:val="center"/>
          </w:tcPr>
          <w:p w14:paraId="65BE3892" w14:textId="42EA332D" w:rsidR="001335D5" w:rsidRPr="00DC652F" w:rsidRDefault="00FF33FE" w:rsidP="00FF33FE">
            <w:pPr>
              <w:rPr>
                <w:rFonts w:ascii="Times New Roman" w:hAnsi="Times New Roman" w:cs="Times New Roman"/>
              </w:rPr>
            </w:pPr>
            <w:r w:rsidRPr="00DC652F">
              <w:rPr>
                <w:rFonts w:ascii="Times New Roman" w:hAnsi="Times New Roman" w:cs="Times New Roman"/>
              </w:rPr>
              <w:t>Milk f</w:t>
            </w:r>
            <w:r w:rsidR="001335D5" w:rsidRPr="00DC652F">
              <w:rPr>
                <w:rFonts w:ascii="Times New Roman" w:hAnsi="Times New Roman" w:cs="Times New Roman"/>
              </w:rPr>
              <w:t>eeding mode at 12</w:t>
            </w:r>
            <w:r w:rsidR="000B1D17">
              <w:rPr>
                <w:rFonts w:ascii="Times New Roman" w:hAnsi="Times New Roman" w:cs="Times New Roman"/>
              </w:rPr>
              <w:t>-</w:t>
            </w:r>
            <w:r w:rsidR="001335D5" w:rsidRPr="00DC652F">
              <w:rPr>
                <w:rFonts w:ascii="Times New Roman" w:hAnsi="Times New Roman" w:cs="Times New Roman"/>
              </w:rPr>
              <w:t>month</w:t>
            </w:r>
          </w:p>
        </w:tc>
        <w:tc>
          <w:tcPr>
            <w:tcW w:w="1416" w:type="dxa"/>
            <w:vAlign w:val="center"/>
          </w:tcPr>
          <w:p w14:paraId="4D8D29CE"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3B89ABD6" w14:textId="77777777" w:rsidR="001335D5" w:rsidRPr="00DC652F" w:rsidRDefault="001335D5" w:rsidP="001E6B09">
            <w:pPr>
              <w:ind w:right="-57"/>
              <w:jc w:val="center"/>
              <w:rPr>
                <w:rFonts w:ascii="Times New Roman" w:hAnsi="Times New Roman" w:cs="Times New Roman"/>
              </w:rPr>
            </w:pPr>
          </w:p>
        </w:tc>
        <w:tc>
          <w:tcPr>
            <w:tcW w:w="236" w:type="dxa"/>
          </w:tcPr>
          <w:p w14:paraId="17251F82" w14:textId="77777777" w:rsidR="001335D5" w:rsidRPr="00DC652F" w:rsidRDefault="001335D5" w:rsidP="001E6B09">
            <w:pPr>
              <w:ind w:right="-57"/>
              <w:jc w:val="center"/>
              <w:rPr>
                <w:rFonts w:ascii="Times New Roman" w:hAnsi="Times New Roman" w:cs="Times New Roman"/>
              </w:rPr>
            </w:pPr>
          </w:p>
        </w:tc>
        <w:tc>
          <w:tcPr>
            <w:tcW w:w="1417" w:type="dxa"/>
          </w:tcPr>
          <w:p w14:paraId="5718F73D" w14:textId="08469740" w:rsidR="001335D5" w:rsidRPr="00DC652F" w:rsidRDefault="001335D5" w:rsidP="001E6B09">
            <w:pPr>
              <w:ind w:right="-57"/>
              <w:jc w:val="center"/>
              <w:rPr>
                <w:rFonts w:ascii="Times New Roman" w:hAnsi="Times New Roman" w:cs="Times New Roman"/>
              </w:rPr>
            </w:pPr>
          </w:p>
        </w:tc>
        <w:tc>
          <w:tcPr>
            <w:tcW w:w="1418" w:type="dxa"/>
            <w:vAlign w:val="center"/>
          </w:tcPr>
          <w:p w14:paraId="73D1D29F" w14:textId="77777777" w:rsidR="001335D5" w:rsidRPr="00DC652F" w:rsidRDefault="001335D5" w:rsidP="001E6B09">
            <w:pPr>
              <w:ind w:right="-57"/>
              <w:jc w:val="center"/>
              <w:rPr>
                <w:rFonts w:ascii="Times New Roman" w:hAnsi="Times New Roman" w:cs="Times New Roman"/>
              </w:rPr>
            </w:pPr>
          </w:p>
        </w:tc>
        <w:tc>
          <w:tcPr>
            <w:tcW w:w="236" w:type="dxa"/>
          </w:tcPr>
          <w:p w14:paraId="1BC35C50"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5A05BCB6" w14:textId="77777777" w:rsidR="001335D5" w:rsidRPr="00DC652F" w:rsidRDefault="001335D5" w:rsidP="001E6B09">
            <w:pPr>
              <w:ind w:right="-57"/>
              <w:jc w:val="center"/>
              <w:rPr>
                <w:rFonts w:ascii="Times New Roman" w:hAnsi="Times New Roman" w:cs="Times New Roman"/>
              </w:rPr>
            </w:pPr>
          </w:p>
        </w:tc>
        <w:tc>
          <w:tcPr>
            <w:tcW w:w="1418" w:type="dxa"/>
          </w:tcPr>
          <w:p w14:paraId="29257CD1" w14:textId="77777777" w:rsidR="001335D5" w:rsidRPr="00DC652F" w:rsidRDefault="001335D5" w:rsidP="001E6B09">
            <w:pPr>
              <w:ind w:right="-57"/>
              <w:jc w:val="center"/>
              <w:rPr>
                <w:rFonts w:ascii="Times New Roman" w:hAnsi="Times New Roman" w:cs="Times New Roman"/>
              </w:rPr>
            </w:pPr>
          </w:p>
        </w:tc>
        <w:tc>
          <w:tcPr>
            <w:tcW w:w="236" w:type="dxa"/>
          </w:tcPr>
          <w:p w14:paraId="53C49982"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3746E403" w14:textId="114E45A9"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0.003</w:t>
            </w:r>
          </w:p>
        </w:tc>
      </w:tr>
      <w:tr w:rsidR="001335D5" w:rsidRPr="00DC652F" w14:paraId="17A35F7C" w14:textId="4361A00F" w:rsidTr="0077390C">
        <w:trPr>
          <w:cantSplit/>
          <w:trHeight w:val="283"/>
        </w:trPr>
        <w:tc>
          <w:tcPr>
            <w:tcW w:w="4306" w:type="dxa"/>
            <w:vAlign w:val="center"/>
          </w:tcPr>
          <w:p w14:paraId="1D59400B" w14:textId="55C1A356" w:rsidR="001335D5" w:rsidRPr="00DC652F" w:rsidRDefault="001335D5" w:rsidP="00727A60">
            <w:pPr>
              <w:rPr>
                <w:rFonts w:ascii="Times New Roman" w:hAnsi="Times New Roman" w:cs="Times New Roman"/>
              </w:rPr>
            </w:pPr>
            <w:r w:rsidRPr="00DC652F">
              <w:rPr>
                <w:rFonts w:ascii="Times New Roman" w:hAnsi="Times New Roman" w:cs="Times New Roman"/>
              </w:rPr>
              <w:t xml:space="preserve">     Exclusively formula</w:t>
            </w:r>
            <w:r w:rsidR="000B1D17">
              <w:rPr>
                <w:rFonts w:ascii="Times New Roman" w:hAnsi="Times New Roman" w:cs="Times New Roman"/>
              </w:rPr>
              <w:t>-</w:t>
            </w:r>
            <w:r w:rsidRPr="00DC652F">
              <w:rPr>
                <w:rFonts w:ascii="Times New Roman" w:hAnsi="Times New Roman" w:cs="Times New Roman"/>
              </w:rPr>
              <w:t>fed</w:t>
            </w:r>
          </w:p>
        </w:tc>
        <w:tc>
          <w:tcPr>
            <w:tcW w:w="1416" w:type="dxa"/>
            <w:vAlign w:val="center"/>
          </w:tcPr>
          <w:p w14:paraId="03FAAE4E" w14:textId="54FB8715" w:rsidR="001335D5" w:rsidRPr="00DC652F" w:rsidRDefault="001335D5" w:rsidP="00727A60">
            <w:pPr>
              <w:ind w:right="-57"/>
              <w:jc w:val="center"/>
              <w:rPr>
                <w:rFonts w:ascii="Times New Roman" w:hAnsi="Times New Roman" w:cs="Times New Roman"/>
              </w:rPr>
            </w:pPr>
            <w:r w:rsidRPr="00DC652F">
              <w:rPr>
                <w:rFonts w:ascii="Times New Roman" w:hAnsi="Times New Roman" w:cs="Times New Roman"/>
              </w:rPr>
              <w:t>357</w:t>
            </w:r>
          </w:p>
        </w:tc>
        <w:tc>
          <w:tcPr>
            <w:tcW w:w="1417" w:type="dxa"/>
            <w:vAlign w:val="center"/>
          </w:tcPr>
          <w:p w14:paraId="42FDA4AD" w14:textId="1645EC81" w:rsidR="001335D5" w:rsidRPr="00DC652F" w:rsidRDefault="001335D5" w:rsidP="00727A60">
            <w:pPr>
              <w:ind w:right="-57"/>
              <w:jc w:val="center"/>
              <w:rPr>
                <w:rFonts w:ascii="Times New Roman" w:hAnsi="Times New Roman" w:cs="Times New Roman"/>
              </w:rPr>
            </w:pPr>
            <w:r w:rsidRPr="00DC652F">
              <w:rPr>
                <w:rFonts w:ascii="Times New Roman" w:hAnsi="Times New Roman" w:cs="Times New Roman"/>
              </w:rPr>
              <w:t>85.6</w:t>
            </w:r>
          </w:p>
        </w:tc>
        <w:tc>
          <w:tcPr>
            <w:tcW w:w="236" w:type="dxa"/>
          </w:tcPr>
          <w:p w14:paraId="75CB28FC" w14:textId="77777777" w:rsidR="001335D5" w:rsidRPr="00DC652F" w:rsidRDefault="001335D5" w:rsidP="00727A60">
            <w:pPr>
              <w:ind w:right="-57"/>
              <w:jc w:val="center"/>
              <w:rPr>
                <w:rFonts w:ascii="Times New Roman" w:hAnsi="Times New Roman" w:cs="Times New Roman"/>
              </w:rPr>
            </w:pPr>
          </w:p>
        </w:tc>
        <w:tc>
          <w:tcPr>
            <w:tcW w:w="1417" w:type="dxa"/>
          </w:tcPr>
          <w:p w14:paraId="7425447A" w14:textId="23201E2F" w:rsidR="001335D5" w:rsidRPr="00DC652F" w:rsidRDefault="001335D5" w:rsidP="00727A60">
            <w:pPr>
              <w:ind w:right="-57"/>
              <w:jc w:val="center"/>
              <w:rPr>
                <w:rFonts w:ascii="Times New Roman" w:hAnsi="Times New Roman" w:cs="Times New Roman"/>
              </w:rPr>
            </w:pPr>
            <w:r w:rsidRPr="00DC652F">
              <w:rPr>
                <w:rFonts w:ascii="Times New Roman" w:hAnsi="Times New Roman" w:cs="Times New Roman"/>
                <w:sz w:val="21"/>
                <w:szCs w:val="21"/>
              </w:rPr>
              <w:t>196</w:t>
            </w:r>
          </w:p>
        </w:tc>
        <w:tc>
          <w:tcPr>
            <w:tcW w:w="1418" w:type="dxa"/>
            <w:vAlign w:val="center"/>
          </w:tcPr>
          <w:p w14:paraId="54C0FDF2" w14:textId="2232C4C5" w:rsidR="001335D5" w:rsidRPr="00DC652F" w:rsidRDefault="001335D5" w:rsidP="00727A60">
            <w:pPr>
              <w:ind w:right="-57"/>
              <w:jc w:val="center"/>
              <w:rPr>
                <w:rFonts w:ascii="Times New Roman" w:hAnsi="Times New Roman" w:cs="Times New Roman"/>
              </w:rPr>
            </w:pPr>
            <w:r w:rsidRPr="00DC652F">
              <w:rPr>
                <w:rFonts w:ascii="Times New Roman" w:hAnsi="Times New Roman" w:cs="Times New Roman"/>
                <w:sz w:val="21"/>
                <w:szCs w:val="21"/>
              </w:rPr>
              <w:t>81.0</w:t>
            </w:r>
          </w:p>
        </w:tc>
        <w:tc>
          <w:tcPr>
            <w:tcW w:w="236" w:type="dxa"/>
          </w:tcPr>
          <w:p w14:paraId="4C79ACCC" w14:textId="77777777" w:rsidR="001335D5" w:rsidRPr="00DC652F" w:rsidRDefault="001335D5" w:rsidP="00727A60">
            <w:pPr>
              <w:ind w:right="-57"/>
              <w:jc w:val="center"/>
              <w:rPr>
                <w:rFonts w:ascii="Times New Roman" w:hAnsi="Times New Roman" w:cs="Times New Roman"/>
              </w:rPr>
            </w:pPr>
          </w:p>
        </w:tc>
        <w:tc>
          <w:tcPr>
            <w:tcW w:w="1417" w:type="dxa"/>
            <w:vAlign w:val="center"/>
          </w:tcPr>
          <w:p w14:paraId="059842A4" w14:textId="10B38F4A" w:rsidR="001335D5" w:rsidRPr="00DC652F" w:rsidRDefault="001335D5" w:rsidP="00727A60">
            <w:pPr>
              <w:ind w:right="-57"/>
              <w:jc w:val="center"/>
              <w:rPr>
                <w:rFonts w:ascii="Times New Roman" w:hAnsi="Times New Roman" w:cs="Times New Roman"/>
              </w:rPr>
            </w:pPr>
            <w:r w:rsidRPr="00DC652F">
              <w:rPr>
                <w:rFonts w:ascii="Times New Roman" w:hAnsi="Times New Roman" w:cs="Times New Roman"/>
                <w:sz w:val="21"/>
                <w:szCs w:val="21"/>
              </w:rPr>
              <w:t>161</w:t>
            </w:r>
          </w:p>
        </w:tc>
        <w:tc>
          <w:tcPr>
            <w:tcW w:w="1418" w:type="dxa"/>
          </w:tcPr>
          <w:p w14:paraId="3D413D02" w14:textId="538CB591" w:rsidR="001335D5" w:rsidRPr="00DC652F" w:rsidRDefault="001335D5" w:rsidP="00727A60">
            <w:pPr>
              <w:ind w:right="-57"/>
              <w:jc w:val="center"/>
              <w:rPr>
                <w:rFonts w:ascii="Times New Roman" w:hAnsi="Times New Roman" w:cs="Times New Roman"/>
              </w:rPr>
            </w:pPr>
            <w:r w:rsidRPr="00DC652F">
              <w:rPr>
                <w:rFonts w:ascii="Times New Roman" w:hAnsi="Times New Roman" w:cs="Times New Roman"/>
                <w:sz w:val="21"/>
                <w:szCs w:val="21"/>
              </w:rPr>
              <w:t>92.0</w:t>
            </w:r>
          </w:p>
        </w:tc>
        <w:tc>
          <w:tcPr>
            <w:tcW w:w="236" w:type="dxa"/>
          </w:tcPr>
          <w:p w14:paraId="56808008" w14:textId="77777777" w:rsidR="001335D5" w:rsidRPr="00DC652F" w:rsidRDefault="001335D5" w:rsidP="00727A60">
            <w:pPr>
              <w:ind w:right="-57"/>
              <w:jc w:val="center"/>
              <w:rPr>
                <w:rFonts w:ascii="Times New Roman" w:hAnsi="Times New Roman" w:cs="Times New Roman"/>
              </w:rPr>
            </w:pPr>
          </w:p>
        </w:tc>
        <w:tc>
          <w:tcPr>
            <w:tcW w:w="953" w:type="dxa"/>
            <w:vAlign w:val="center"/>
          </w:tcPr>
          <w:p w14:paraId="41023F5E" w14:textId="77777777" w:rsidR="001335D5" w:rsidRPr="00DC652F" w:rsidRDefault="001335D5" w:rsidP="00727A60">
            <w:pPr>
              <w:ind w:right="-57"/>
              <w:jc w:val="center"/>
              <w:rPr>
                <w:rFonts w:ascii="Times New Roman" w:hAnsi="Times New Roman" w:cs="Times New Roman"/>
              </w:rPr>
            </w:pPr>
          </w:p>
        </w:tc>
      </w:tr>
      <w:tr w:rsidR="001335D5" w:rsidRPr="00DC652F" w14:paraId="7C66DFDE" w14:textId="1FC66523" w:rsidTr="0077390C">
        <w:trPr>
          <w:cantSplit/>
          <w:trHeight w:val="283"/>
        </w:trPr>
        <w:tc>
          <w:tcPr>
            <w:tcW w:w="4306" w:type="dxa"/>
            <w:vAlign w:val="center"/>
          </w:tcPr>
          <w:p w14:paraId="7192DB54" w14:textId="2E5E89B7" w:rsidR="001335D5" w:rsidRPr="00DC652F" w:rsidRDefault="001335D5" w:rsidP="00FF33FE">
            <w:pPr>
              <w:rPr>
                <w:rFonts w:ascii="Times New Roman" w:hAnsi="Times New Roman" w:cs="Times New Roman"/>
              </w:rPr>
            </w:pPr>
            <w:r w:rsidRPr="00DC652F">
              <w:rPr>
                <w:rFonts w:ascii="Times New Roman" w:hAnsi="Times New Roman" w:cs="Times New Roman"/>
              </w:rPr>
              <w:t xml:space="preserve">     </w:t>
            </w:r>
            <w:r w:rsidR="00FF33FE" w:rsidRPr="00DC652F">
              <w:rPr>
                <w:rFonts w:ascii="Times New Roman" w:hAnsi="Times New Roman" w:cs="Times New Roman"/>
              </w:rPr>
              <w:t>Mixed</w:t>
            </w:r>
            <w:r w:rsidR="000B1D17">
              <w:rPr>
                <w:rFonts w:ascii="Times New Roman" w:hAnsi="Times New Roman" w:cs="Times New Roman"/>
              </w:rPr>
              <w:t>-</w:t>
            </w:r>
            <w:r w:rsidRPr="00DC652F">
              <w:rPr>
                <w:rFonts w:ascii="Times New Roman" w:hAnsi="Times New Roman" w:cs="Times New Roman"/>
              </w:rPr>
              <w:t>fed</w:t>
            </w:r>
          </w:p>
        </w:tc>
        <w:tc>
          <w:tcPr>
            <w:tcW w:w="1416" w:type="dxa"/>
            <w:vAlign w:val="center"/>
          </w:tcPr>
          <w:p w14:paraId="29F52A11" w14:textId="5AD690B0"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56</w:t>
            </w:r>
          </w:p>
        </w:tc>
        <w:tc>
          <w:tcPr>
            <w:tcW w:w="1417" w:type="dxa"/>
            <w:vAlign w:val="center"/>
          </w:tcPr>
          <w:p w14:paraId="3D5B8E17" w14:textId="0F1E9616"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13.4</w:t>
            </w:r>
          </w:p>
        </w:tc>
        <w:tc>
          <w:tcPr>
            <w:tcW w:w="236" w:type="dxa"/>
          </w:tcPr>
          <w:p w14:paraId="55F01DFF" w14:textId="77777777" w:rsidR="001335D5" w:rsidRPr="00DC652F" w:rsidRDefault="001335D5" w:rsidP="001E6B09">
            <w:pPr>
              <w:ind w:right="-57"/>
              <w:jc w:val="center"/>
              <w:rPr>
                <w:rFonts w:ascii="Times New Roman" w:hAnsi="Times New Roman" w:cs="Times New Roman"/>
              </w:rPr>
            </w:pPr>
          </w:p>
        </w:tc>
        <w:tc>
          <w:tcPr>
            <w:tcW w:w="1417" w:type="dxa"/>
          </w:tcPr>
          <w:p w14:paraId="10FD9C03" w14:textId="581E518B"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42</w:t>
            </w:r>
          </w:p>
        </w:tc>
        <w:tc>
          <w:tcPr>
            <w:tcW w:w="1418" w:type="dxa"/>
            <w:vAlign w:val="center"/>
          </w:tcPr>
          <w:p w14:paraId="6C56CE11" w14:textId="1E2B217B"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17.4</w:t>
            </w:r>
          </w:p>
        </w:tc>
        <w:tc>
          <w:tcPr>
            <w:tcW w:w="236" w:type="dxa"/>
          </w:tcPr>
          <w:p w14:paraId="2045FC7A"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27AFA0C6" w14:textId="77B0394E"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14</w:t>
            </w:r>
          </w:p>
        </w:tc>
        <w:tc>
          <w:tcPr>
            <w:tcW w:w="1418" w:type="dxa"/>
          </w:tcPr>
          <w:p w14:paraId="17B785ED" w14:textId="3E936C6F"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8.0</w:t>
            </w:r>
          </w:p>
        </w:tc>
        <w:tc>
          <w:tcPr>
            <w:tcW w:w="236" w:type="dxa"/>
          </w:tcPr>
          <w:p w14:paraId="51AC27D0"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25DBFB2E" w14:textId="104BBA97" w:rsidR="001335D5" w:rsidRPr="00DC652F" w:rsidRDefault="001335D5" w:rsidP="001E6B09">
            <w:pPr>
              <w:ind w:right="-57"/>
              <w:jc w:val="center"/>
              <w:rPr>
                <w:rFonts w:ascii="Times New Roman" w:hAnsi="Times New Roman" w:cs="Times New Roman"/>
              </w:rPr>
            </w:pPr>
          </w:p>
        </w:tc>
      </w:tr>
      <w:tr w:rsidR="001335D5" w:rsidRPr="00DC652F" w14:paraId="45616CF8" w14:textId="62FD8B14" w:rsidTr="0077390C">
        <w:trPr>
          <w:cantSplit/>
          <w:trHeight w:val="283"/>
        </w:trPr>
        <w:tc>
          <w:tcPr>
            <w:tcW w:w="4306" w:type="dxa"/>
            <w:vAlign w:val="center"/>
          </w:tcPr>
          <w:p w14:paraId="11A74DD9" w14:textId="1F03B63F"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Exclusively</w:t>
            </w:r>
            <w:r w:rsidR="00FF33FE" w:rsidRPr="00DC652F">
              <w:rPr>
                <w:rFonts w:ascii="Times New Roman" w:hAnsi="Times New Roman" w:cs="Times New Roman"/>
              </w:rPr>
              <w:t>/predominantly</w:t>
            </w:r>
            <w:r w:rsidRPr="00DC652F">
              <w:rPr>
                <w:rFonts w:ascii="Times New Roman" w:hAnsi="Times New Roman" w:cs="Times New Roman"/>
              </w:rPr>
              <w:t xml:space="preserve"> breastfed</w:t>
            </w:r>
          </w:p>
        </w:tc>
        <w:tc>
          <w:tcPr>
            <w:tcW w:w="1416" w:type="dxa"/>
            <w:vAlign w:val="center"/>
          </w:tcPr>
          <w:p w14:paraId="5A623D98" w14:textId="30B888A8"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4</w:t>
            </w:r>
          </w:p>
        </w:tc>
        <w:tc>
          <w:tcPr>
            <w:tcW w:w="1417" w:type="dxa"/>
            <w:vAlign w:val="center"/>
          </w:tcPr>
          <w:p w14:paraId="05E1E02A" w14:textId="7BD4AD19"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1.0</w:t>
            </w:r>
          </w:p>
        </w:tc>
        <w:tc>
          <w:tcPr>
            <w:tcW w:w="236" w:type="dxa"/>
          </w:tcPr>
          <w:p w14:paraId="7548F47A" w14:textId="77777777" w:rsidR="001335D5" w:rsidRPr="00DC652F" w:rsidRDefault="001335D5" w:rsidP="001E6B09">
            <w:pPr>
              <w:ind w:right="-57"/>
              <w:jc w:val="center"/>
              <w:rPr>
                <w:rFonts w:ascii="Times New Roman" w:hAnsi="Times New Roman" w:cs="Times New Roman"/>
              </w:rPr>
            </w:pPr>
          </w:p>
        </w:tc>
        <w:tc>
          <w:tcPr>
            <w:tcW w:w="1417" w:type="dxa"/>
          </w:tcPr>
          <w:p w14:paraId="16231C49" w14:textId="38B3A4FB"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4</w:t>
            </w:r>
          </w:p>
        </w:tc>
        <w:tc>
          <w:tcPr>
            <w:tcW w:w="1418" w:type="dxa"/>
            <w:vAlign w:val="center"/>
          </w:tcPr>
          <w:p w14:paraId="5C00D444" w14:textId="5ECD1609"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1.7</w:t>
            </w:r>
          </w:p>
        </w:tc>
        <w:tc>
          <w:tcPr>
            <w:tcW w:w="236" w:type="dxa"/>
          </w:tcPr>
          <w:p w14:paraId="1656DBA5" w14:textId="77777777" w:rsidR="001335D5" w:rsidRPr="00DC652F" w:rsidRDefault="001335D5" w:rsidP="001E6B09">
            <w:pPr>
              <w:ind w:right="-57"/>
              <w:jc w:val="center"/>
              <w:rPr>
                <w:rFonts w:ascii="Times New Roman" w:hAnsi="Times New Roman" w:cs="Times New Roman"/>
              </w:rPr>
            </w:pPr>
          </w:p>
        </w:tc>
        <w:tc>
          <w:tcPr>
            <w:tcW w:w="1417" w:type="dxa"/>
            <w:vAlign w:val="center"/>
          </w:tcPr>
          <w:p w14:paraId="7E7D5A04" w14:textId="7CD343D6"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0</w:t>
            </w:r>
          </w:p>
        </w:tc>
        <w:tc>
          <w:tcPr>
            <w:tcW w:w="1418" w:type="dxa"/>
          </w:tcPr>
          <w:p w14:paraId="29F33A46" w14:textId="4FDE7083"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0.0</w:t>
            </w:r>
          </w:p>
        </w:tc>
        <w:tc>
          <w:tcPr>
            <w:tcW w:w="236" w:type="dxa"/>
          </w:tcPr>
          <w:p w14:paraId="55186DBA"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461EB0AE" w14:textId="77777777" w:rsidR="001335D5" w:rsidRPr="00DC652F" w:rsidRDefault="001335D5" w:rsidP="001E6B09">
            <w:pPr>
              <w:ind w:right="-57"/>
              <w:jc w:val="center"/>
              <w:rPr>
                <w:rFonts w:ascii="Times New Roman" w:hAnsi="Times New Roman" w:cs="Times New Roman"/>
              </w:rPr>
            </w:pPr>
          </w:p>
        </w:tc>
      </w:tr>
      <w:tr w:rsidR="001335D5" w:rsidRPr="00DC652F" w14:paraId="7268BB2D" w14:textId="1C369571" w:rsidTr="0077390C">
        <w:trPr>
          <w:cantSplit/>
          <w:trHeight w:val="283"/>
        </w:trPr>
        <w:tc>
          <w:tcPr>
            <w:tcW w:w="4306" w:type="dxa"/>
            <w:vAlign w:val="center"/>
          </w:tcPr>
          <w:p w14:paraId="29F57CCD" w14:textId="59EB0F16" w:rsidR="001335D5" w:rsidRPr="00DC652F" w:rsidRDefault="001335D5" w:rsidP="00DC652F">
            <w:pPr>
              <w:rPr>
                <w:rFonts w:ascii="Times New Roman" w:hAnsi="Times New Roman" w:cs="Times New Roman"/>
              </w:rPr>
            </w:pPr>
            <w:r w:rsidRPr="00DC652F">
              <w:rPr>
                <w:rFonts w:ascii="Times New Roman" w:hAnsi="Times New Roman" w:cs="Times New Roman"/>
              </w:rPr>
              <w:t>WLZ change (</w:t>
            </w:r>
            <w:r w:rsidR="00DC652F">
              <w:rPr>
                <w:rFonts w:ascii="Times New Roman" w:hAnsi="Times New Roman" w:cs="Times New Roman"/>
              </w:rPr>
              <w:t>z</w:t>
            </w:r>
            <w:r w:rsidR="000B1D17">
              <w:rPr>
                <w:rFonts w:ascii="Times New Roman" w:hAnsi="Times New Roman" w:cs="Times New Roman"/>
              </w:rPr>
              <w:t>-</w:t>
            </w:r>
            <w:r w:rsidR="00DC652F">
              <w:rPr>
                <w:rFonts w:ascii="Times New Roman" w:hAnsi="Times New Roman" w:cs="Times New Roman"/>
              </w:rPr>
              <w:t>score</w:t>
            </w:r>
            <w:r w:rsidRPr="00DC652F">
              <w:rPr>
                <w:rFonts w:ascii="Times New Roman" w:hAnsi="Times New Roman" w:cs="Times New Roman"/>
              </w:rPr>
              <w:t>)</w:t>
            </w:r>
          </w:p>
        </w:tc>
        <w:tc>
          <w:tcPr>
            <w:tcW w:w="1416" w:type="dxa"/>
            <w:vAlign w:val="center"/>
          </w:tcPr>
          <w:p w14:paraId="2217496E" w14:textId="2D37D1E0" w:rsidR="001335D5" w:rsidRPr="00DC652F" w:rsidRDefault="000B1D17" w:rsidP="001E6B09">
            <w:pPr>
              <w:ind w:right="-57"/>
              <w:jc w:val="center"/>
              <w:rPr>
                <w:rFonts w:ascii="Times New Roman" w:hAnsi="Times New Roman" w:cs="Times New Roman"/>
              </w:rPr>
            </w:pPr>
            <w:r>
              <w:rPr>
                <w:rFonts w:ascii="Times New Roman" w:hAnsi="Times New Roman" w:cs="Times New Roman"/>
              </w:rPr>
              <w:t>-</w:t>
            </w:r>
            <w:r w:rsidR="001335D5" w:rsidRPr="00DC652F">
              <w:rPr>
                <w:rFonts w:ascii="Times New Roman" w:hAnsi="Times New Roman" w:cs="Times New Roman"/>
              </w:rPr>
              <w:t>0.05</w:t>
            </w:r>
          </w:p>
        </w:tc>
        <w:tc>
          <w:tcPr>
            <w:tcW w:w="1417" w:type="dxa"/>
            <w:vAlign w:val="center"/>
          </w:tcPr>
          <w:p w14:paraId="0BC05082" w14:textId="3C197C9A"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1.48</w:t>
            </w:r>
          </w:p>
        </w:tc>
        <w:tc>
          <w:tcPr>
            <w:tcW w:w="236" w:type="dxa"/>
          </w:tcPr>
          <w:p w14:paraId="186BA480" w14:textId="77777777" w:rsidR="001335D5" w:rsidRPr="00DC652F" w:rsidRDefault="001335D5" w:rsidP="001E6B09">
            <w:pPr>
              <w:ind w:right="-57"/>
              <w:jc w:val="center"/>
              <w:rPr>
                <w:rFonts w:ascii="Times New Roman" w:hAnsi="Times New Roman" w:cs="Times New Roman"/>
              </w:rPr>
            </w:pPr>
          </w:p>
        </w:tc>
        <w:tc>
          <w:tcPr>
            <w:tcW w:w="1417" w:type="dxa"/>
          </w:tcPr>
          <w:p w14:paraId="63F5B2DB" w14:textId="02A0D6EB" w:rsidR="001335D5" w:rsidRPr="00DC652F" w:rsidRDefault="000B1D17" w:rsidP="001E6B09">
            <w:pPr>
              <w:ind w:right="-57"/>
              <w:jc w:val="center"/>
              <w:rPr>
                <w:rFonts w:ascii="Times New Roman" w:hAnsi="Times New Roman" w:cs="Times New Roman"/>
              </w:rPr>
            </w:pPr>
            <w:r>
              <w:rPr>
                <w:rFonts w:ascii="Times New Roman" w:hAnsi="Times New Roman" w:cs="Times New Roman"/>
              </w:rPr>
              <w:t>-</w:t>
            </w:r>
            <w:r w:rsidR="001335D5" w:rsidRPr="00DC652F">
              <w:rPr>
                <w:rFonts w:ascii="Times New Roman" w:hAnsi="Times New Roman" w:cs="Times New Roman"/>
              </w:rPr>
              <w:t>0.01</w:t>
            </w:r>
          </w:p>
        </w:tc>
        <w:tc>
          <w:tcPr>
            <w:tcW w:w="1418" w:type="dxa"/>
          </w:tcPr>
          <w:p w14:paraId="63DB5F23" w14:textId="7F3435E2"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1.47</w:t>
            </w:r>
          </w:p>
        </w:tc>
        <w:tc>
          <w:tcPr>
            <w:tcW w:w="236" w:type="dxa"/>
          </w:tcPr>
          <w:p w14:paraId="1548A099" w14:textId="77777777" w:rsidR="001335D5" w:rsidRPr="00DC652F" w:rsidRDefault="001335D5" w:rsidP="001E6B09">
            <w:pPr>
              <w:ind w:right="-57"/>
              <w:jc w:val="center"/>
              <w:rPr>
                <w:rFonts w:ascii="Times New Roman" w:hAnsi="Times New Roman" w:cs="Times New Roman"/>
              </w:rPr>
            </w:pPr>
          </w:p>
        </w:tc>
        <w:tc>
          <w:tcPr>
            <w:tcW w:w="1417" w:type="dxa"/>
          </w:tcPr>
          <w:p w14:paraId="2F40E505" w14:textId="0EA8F4C1" w:rsidR="001335D5" w:rsidRPr="00DC652F" w:rsidRDefault="000B1D17" w:rsidP="001E6B09">
            <w:pPr>
              <w:ind w:right="-57"/>
              <w:jc w:val="center"/>
              <w:rPr>
                <w:rFonts w:ascii="Times New Roman" w:hAnsi="Times New Roman" w:cs="Times New Roman"/>
              </w:rPr>
            </w:pPr>
            <w:r>
              <w:rPr>
                <w:rFonts w:ascii="Times New Roman" w:hAnsi="Times New Roman" w:cs="Times New Roman"/>
              </w:rPr>
              <w:t>-</w:t>
            </w:r>
            <w:r w:rsidR="001335D5" w:rsidRPr="00DC652F">
              <w:rPr>
                <w:rFonts w:ascii="Times New Roman" w:hAnsi="Times New Roman" w:cs="Times New Roman"/>
              </w:rPr>
              <w:t>0.15</w:t>
            </w:r>
          </w:p>
        </w:tc>
        <w:tc>
          <w:tcPr>
            <w:tcW w:w="1418" w:type="dxa"/>
          </w:tcPr>
          <w:p w14:paraId="679EB0BA" w14:textId="66C17E9D"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1.48</w:t>
            </w:r>
          </w:p>
        </w:tc>
        <w:tc>
          <w:tcPr>
            <w:tcW w:w="236" w:type="dxa"/>
          </w:tcPr>
          <w:p w14:paraId="3123CAE3"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453286DB" w14:textId="02D321B1"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0.267</w:t>
            </w:r>
          </w:p>
        </w:tc>
      </w:tr>
      <w:tr w:rsidR="001335D5" w:rsidRPr="00DC652F" w14:paraId="42F46558" w14:textId="48593803" w:rsidTr="0077390C">
        <w:trPr>
          <w:cantSplit/>
          <w:trHeight w:val="283"/>
        </w:trPr>
        <w:tc>
          <w:tcPr>
            <w:tcW w:w="4306" w:type="dxa"/>
            <w:vAlign w:val="center"/>
          </w:tcPr>
          <w:p w14:paraId="36E1B2B9" w14:textId="5ABDDECE" w:rsidR="001335D5" w:rsidRPr="00DC652F" w:rsidRDefault="001335D5" w:rsidP="00B43A27">
            <w:pPr>
              <w:ind w:right="-57"/>
              <w:rPr>
                <w:rFonts w:ascii="Times New Roman" w:hAnsi="Times New Roman" w:cs="Times New Roman"/>
                <w:vertAlign w:val="superscript"/>
              </w:rPr>
            </w:pPr>
            <w:r w:rsidRPr="00DC652F">
              <w:rPr>
                <w:rFonts w:ascii="Times New Roman" w:hAnsi="Times New Roman" w:cs="Times New Roman"/>
              </w:rPr>
              <w:t>Sleep</w:t>
            </w:r>
            <w:r w:rsidR="00B43A27" w:rsidRPr="00DC652F">
              <w:rPr>
                <w:rFonts w:ascii="Times New Roman" w:hAnsi="Times New Roman" w:cs="Times New Roman"/>
              </w:rPr>
              <w:t xml:space="preserve"> duration (</w:t>
            </w:r>
            <w:r w:rsidRPr="00DC652F">
              <w:rPr>
                <w:rFonts w:ascii="Times New Roman" w:hAnsi="Times New Roman" w:cs="Times New Roman"/>
              </w:rPr>
              <w:t>h</w:t>
            </w:r>
            <w:r w:rsidR="00B43A27" w:rsidRPr="00DC652F">
              <w:rPr>
                <w:rFonts w:ascii="Times New Roman" w:hAnsi="Times New Roman" w:cs="Times New Roman"/>
              </w:rPr>
              <w:t>)</w:t>
            </w:r>
            <w:r w:rsidR="00623020" w:rsidRPr="00DC652F">
              <w:rPr>
                <w:rFonts w:ascii="Times New Roman" w:hAnsi="Times New Roman" w:cs="Times New Roman"/>
                <w:vertAlign w:val="superscript"/>
              </w:rPr>
              <w:t>†</w:t>
            </w:r>
          </w:p>
        </w:tc>
        <w:tc>
          <w:tcPr>
            <w:tcW w:w="1416" w:type="dxa"/>
            <w:vAlign w:val="center"/>
          </w:tcPr>
          <w:p w14:paraId="0054740A" w14:textId="77777777" w:rsidR="001335D5" w:rsidRPr="00DC652F" w:rsidRDefault="001335D5" w:rsidP="001E6B09">
            <w:pPr>
              <w:ind w:right="-57"/>
              <w:jc w:val="center"/>
              <w:rPr>
                <w:rFonts w:ascii="Times New Roman" w:hAnsi="Times New Roman" w:cs="Times New Roman"/>
              </w:rPr>
            </w:pPr>
          </w:p>
        </w:tc>
        <w:tc>
          <w:tcPr>
            <w:tcW w:w="1417" w:type="dxa"/>
          </w:tcPr>
          <w:p w14:paraId="7D127E32" w14:textId="77777777" w:rsidR="001335D5" w:rsidRPr="00DC652F" w:rsidRDefault="001335D5" w:rsidP="001E6B09">
            <w:pPr>
              <w:ind w:right="-57"/>
              <w:jc w:val="center"/>
              <w:rPr>
                <w:rFonts w:ascii="Times New Roman" w:hAnsi="Times New Roman" w:cs="Times New Roman"/>
              </w:rPr>
            </w:pPr>
          </w:p>
        </w:tc>
        <w:tc>
          <w:tcPr>
            <w:tcW w:w="236" w:type="dxa"/>
          </w:tcPr>
          <w:p w14:paraId="3120F0DD" w14:textId="77777777" w:rsidR="001335D5" w:rsidRPr="00DC652F" w:rsidRDefault="001335D5" w:rsidP="001E6B09">
            <w:pPr>
              <w:ind w:right="-57"/>
              <w:jc w:val="center"/>
              <w:rPr>
                <w:rFonts w:ascii="Times New Roman" w:hAnsi="Times New Roman" w:cs="Times New Roman"/>
              </w:rPr>
            </w:pPr>
          </w:p>
        </w:tc>
        <w:tc>
          <w:tcPr>
            <w:tcW w:w="1417" w:type="dxa"/>
          </w:tcPr>
          <w:p w14:paraId="49802D70" w14:textId="749271B4" w:rsidR="001335D5" w:rsidRPr="00DC652F" w:rsidRDefault="001335D5" w:rsidP="001E6B09">
            <w:pPr>
              <w:ind w:right="-57"/>
              <w:jc w:val="center"/>
              <w:rPr>
                <w:rFonts w:ascii="Times New Roman" w:hAnsi="Times New Roman" w:cs="Times New Roman"/>
              </w:rPr>
            </w:pPr>
          </w:p>
        </w:tc>
        <w:tc>
          <w:tcPr>
            <w:tcW w:w="1418" w:type="dxa"/>
          </w:tcPr>
          <w:p w14:paraId="51D85E42" w14:textId="67DF5025" w:rsidR="001335D5" w:rsidRPr="00DC652F" w:rsidRDefault="001335D5" w:rsidP="001E6B09">
            <w:pPr>
              <w:ind w:right="-57"/>
              <w:jc w:val="center"/>
              <w:rPr>
                <w:rFonts w:ascii="Times New Roman" w:hAnsi="Times New Roman" w:cs="Times New Roman"/>
              </w:rPr>
            </w:pPr>
          </w:p>
        </w:tc>
        <w:tc>
          <w:tcPr>
            <w:tcW w:w="236" w:type="dxa"/>
          </w:tcPr>
          <w:p w14:paraId="75512B04" w14:textId="77777777" w:rsidR="001335D5" w:rsidRPr="00DC652F" w:rsidRDefault="001335D5" w:rsidP="001E6B09">
            <w:pPr>
              <w:ind w:right="-57"/>
              <w:jc w:val="center"/>
              <w:rPr>
                <w:rFonts w:ascii="Times New Roman" w:hAnsi="Times New Roman" w:cs="Times New Roman"/>
              </w:rPr>
            </w:pPr>
          </w:p>
        </w:tc>
        <w:tc>
          <w:tcPr>
            <w:tcW w:w="1417" w:type="dxa"/>
          </w:tcPr>
          <w:p w14:paraId="5D4C949C" w14:textId="77777777" w:rsidR="001335D5" w:rsidRPr="00DC652F" w:rsidRDefault="001335D5" w:rsidP="001E6B09">
            <w:pPr>
              <w:ind w:right="-57"/>
              <w:jc w:val="center"/>
              <w:rPr>
                <w:rFonts w:ascii="Times New Roman" w:hAnsi="Times New Roman" w:cs="Times New Roman"/>
              </w:rPr>
            </w:pPr>
          </w:p>
        </w:tc>
        <w:tc>
          <w:tcPr>
            <w:tcW w:w="1418" w:type="dxa"/>
          </w:tcPr>
          <w:p w14:paraId="5DEE0AB9" w14:textId="77777777" w:rsidR="001335D5" w:rsidRPr="00DC652F" w:rsidRDefault="001335D5" w:rsidP="001E6B09">
            <w:pPr>
              <w:ind w:right="-57"/>
              <w:jc w:val="center"/>
              <w:rPr>
                <w:rFonts w:ascii="Times New Roman" w:hAnsi="Times New Roman" w:cs="Times New Roman"/>
              </w:rPr>
            </w:pPr>
          </w:p>
        </w:tc>
        <w:tc>
          <w:tcPr>
            <w:tcW w:w="236" w:type="dxa"/>
          </w:tcPr>
          <w:p w14:paraId="22F933EE"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5C7DBD6F" w14:textId="77777777" w:rsidR="001335D5" w:rsidRPr="00DC652F" w:rsidRDefault="001335D5" w:rsidP="001E6B09">
            <w:pPr>
              <w:ind w:right="-57"/>
              <w:jc w:val="center"/>
              <w:rPr>
                <w:rFonts w:ascii="Times New Roman" w:hAnsi="Times New Roman" w:cs="Times New Roman"/>
              </w:rPr>
            </w:pPr>
          </w:p>
        </w:tc>
      </w:tr>
      <w:tr w:rsidR="001335D5" w:rsidRPr="00DC652F" w14:paraId="4A8AF3AC" w14:textId="59A81C6D" w:rsidTr="0077390C">
        <w:trPr>
          <w:cantSplit/>
          <w:trHeight w:val="283"/>
        </w:trPr>
        <w:tc>
          <w:tcPr>
            <w:tcW w:w="4306" w:type="dxa"/>
            <w:vAlign w:val="center"/>
          </w:tcPr>
          <w:p w14:paraId="34E0C646"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Total</w:t>
            </w:r>
          </w:p>
        </w:tc>
        <w:tc>
          <w:tcPr>
            <w:tcW w:w="1416" w:type="dxa"/>
            <w:vAlign w:val="center"/>
          </w:tcPr>
          <w:p w14:paraId="19E03CD8" w14:textId="4054462D"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11.63</w:t>
            </w:r>
          </w:p>
        </w:tc>
        <w:tc>
          <w:tcPr>
            <w:tcW w:w="1417" w:type="dxa"/>
            <w:vAlign w:val="center"/>
          </w:tcPr>
          <w:p w14:paraId="0D391C24" w14:textId="7C150549"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1.83</w:t>
            </w:r>
          </w:p>
        </w:tc>
        <w:tc>
          <w:tcPr>
            <w:tcW w:w="236" w:type="dxa"/>
          </w:tcPr>
          <w:p w14:paraId="4247DDCC" w14:textId="77777777" w:rsidR="001335D5" w:rsidRPr="00DC652F" w:rsidRDefault="001335D5" w:rsidP="001E6B09">
            <w:pPr>
              <w:ind w:right="-57"/>
              <w:jc w:val="center"/>
              <w:rPr>
                <w:rFonts w:ascii="Times New Roman" w:hAnsi="Times New Roman" w:cs="Times New Roman"/>
              </w:rPr>
            </w:pPr>
          </w:p>
        </w:tc>
        <w:tc>
          <w:tcPr>
            <w:tcW w:w="1417" w:type="dxa"/>
          </w:tcPr>
          <w:p w14:paraId="45FDEE02" w14:textId="00216B90"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11.77</w:t>
            </w:r>
          </w:p>
        </w:tc>
        <w:tc>
          <w:tcPr>
            <w:tcW w:w="1418" w:type="dxa"/>
          </w:tcPr>
          <w:p w14:paraId="39A08D48" w14:textId="1D281FF9"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1.77</w:t>
            </w:r>
          </w:p>
        </w:tc>
        <w:tc>
          <w:tcPr>
            <w:tcW w:w="236" w:type="dxa"/>
          </w:tcPr>
          <w:p w14:paraId="0EE23DD6" w14:textId="77777777" w:rsidR="001335D5" w:rsidRPr="00DC652F" w:rsidRDefault="001335D5" w:rsidP="001E6B09">
            <w:pPr>
              <w:ind w:right="-57"/>
              <w:jc w:val="center"/>
              <w:rPr>
                <w:rFonts w:ascii="Times New Roman" w:hAnsi="Times New Roman" w:cs="Times New Roman"/>
              </w:rPr>
            </w:pPr>
          </w:p>
        </w:tc>
        <w:tc>
          <w:tcPr>
            <w:tcW w:w="1417" w:type="dxa"/>
          </w:tcPr>
          <w:p w14:paraId="742A84E8" w14:textId="275F50D4"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11.42</w:t>
            </w:r>
          </w:p>
        </w:tc>
        <w:tc>
          <w:tcPr>
            <w:tcW w:w="1418" w:type="dxa"/>
          </w:tcPr>
          <w:p w14:paraId="1E399D36" w14:textId="0EAC8DD1"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1.91</w:t>
            </w:r>
          </w:p>
        </w:tc>
        <w:tc>
          <w:tcPr>
            <w:tcW w:w="236" w:type="dxa"/>
          </w:tcPr>
          <w:p w14:paraId="297B7EDC"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4D9B7519" w14:textId="3564819D"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0.225</w:t>
            </w:r>
          </w:p>
        </w:tc>
      </w:tr>
      <w:tr w:rsidR="001335D5" w:rsidRPr="00DC652F" w14:paraId="4473D847" w14:textId="360BA707" w:rsidTr="0077390C">
        <w:trPr>
          <w:cantSplit/>
          <w:trHeight w:val="283"/>
        </w:trPr>
        <w:tc>
          <w:tcPr>
            <w:tcW w:w="4306" w:type="dxa"/>
            <w:vAlign w:val="center"/>
          </w:tcPr>
          <w:p w14:paraId="4FB2F915"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Day</w:t>
            </w:r>
          </w:p>
        </w:tc>
        <w:tc>
          <w:tcPr>
            <w:tcW w:w="1416" w:type="dxa"/>
            <w:vAlign w:val="center"/>
          </w:tcPr>
          <w:p w14:paraId="4B317C21" w14:textId="47D66444"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2.63</w:t>
            </w:r>
          </w:p>
        </w:tc>
        <w:tc>
          <w:tcPr>
            <w:tcW w:w="1417" w:type="dxa"/>
            <w:vAlign w:val="center"/>
          </w:tcPr>
          <w:p w14:paraId="10DEA115" w14:textId="06D1630B"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1.33</w:t>
            </w:r>
          </w:p>
        </w:tc>
        <w:tc>
          <w:tcPr>
            <w:tcW w:w="236" w:type="dxa"/>
          </w:tcPr>
          <w:p w14:paraId="660A2FFC" w14:textId="77777777" w:rsidR="001335D5" w:rsidRPr="00DC652F" w:rsidRDefault="001335D5" w:rsidP="001E6B09">
            <w:pPr>
              <w:ind w:right="-57"/>
              <w:jc w:val="center"/>
              <w:rPr>
                <w:rFonts w:ascii="Times New Roman" w:hAnsi="Times New Roman" w:cs="Times New Roman"/>
              </w:rPr>
            </w:pPr>
          </w:p>
        </w:tc>
        <w:tc>
          <w:tcPr>
            <w:tcW w:w="1417" w:type="dxa"/>
          </w:tcPr>
          <w:p w14:paraId="438974DC" w14:textId="0CC93244"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2.59</w:t>
            </w:r>
          </w:p>
        </w:tc>
        <w:tc>
          <w:tcPr>
            <w:tcW w:w="1418" w:type="dxa"/>
          </w:tcPr>
          <w:p w14:paraId="0B54EE7F" w14:textId="1D9A1C0B"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1.22</w:t>
            </w:r>
          </w:p>
        </w:tc>
        <w:tc>
          <w:tcPr>
            <w:tcW w:w="236" w:type="dxa"/>
          </w:tcPr>
          <w:p w14:paraId="5CC56389" w14:textId="77777777" w:rsidR="001335D5" w:rsidRPr="00DC652F" w:rsidRDefault="001335D5" w:rsidP="001E6B09">
            <w:pPr>
              <w:ind w:right="-57"/>
              <w:jc w:val="center"/>
              <w:rPr>
                <w:rFonts w:ascii="Times New Roman" w:hAnsi="Times New Roman" w:cs="Times New Roman"/>
              </w:rPr>
            </w:pPr>
          </w:p>
        </w:tc>
        <w:tc>
          <w:tcPr>
            <w:tcW w:w="1417" w:type="dxa"/>
          </w:tcPr>
          <w:p w14:paraId="72C241E6" w14:textId="2191F113"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2.70</w:t>
            </w:r>
          </w:p>
        </w:tc>
        <w:tc>
          <w:tcPr>
            <w:tcW w:w="1418" w:type="dxa"/>
          </w:tcPr>
          <w:p w14:paraId="2167161C" w14:textId="212F1AE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1.49</w:t>
            </w:r>
          </w:p>
        </w:tc>
        <w:tc>
          <w:tcPr>
            <w:tcW w:w="236" w:type="dxa"/>
          </w:tcPr>
          <w:p w14:paraId="0272E355" w14:textId="77777777" w:rsidR="001335D5" w:rsidRPr="00DC652F" w:rsidRDefault="001335D5" w:rsidP="001E6B09">
            <w:pPr>
              <w:ind w:right="-57"/>
              <w:jc w:val="center"/>
              <w:rPr>
                <w:rFonts w:ascii="Times New Roman" w:hAnsi="Times New Roman" w:cs="Times New Roman"/>
              </w:rPr>
            </w:pPr>
          </w:p>
        </w:tc>
        <w:tc>
          <w:tcPr>
            <w:tcW w:w="953" w:type="dxa"/>
          </w:tcPr>
          <w:p w14:paraId="684DEC59" w14:textId="6BCD2931"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0.596</w:t>
            </w:r>
          </w:p>
        </w:tc>
      </w:tr>
      <w:tr w:rsidR="001335D5" w:rsidRPr="00DC652F" w14:paraId="0B02DAFE" w14:textId="65B810B4" w:rsidTr="0077390C">
        <w:trPr>
          <w:cantSplit/>
          <w:trHeight w:val="283"/>
        </w:trPr>
        <w:tc>
          <w:tcPr>
            <w:tcW w:w="4306" w:type="dxa"/>
            <w:vAlign w:val="center"/>
          </w:tcPr>
          <w:p w14:paraId="2B3CF0EA" w14:textId="77777777" w:rsidR="001335D5" w:rsidRPr="00DC652F" w:rsidRDefault="001335D5" w:rsidP="001E6B09">
            <w:pPr>
              <w:rPr>
                <w:rFonts w:ascii="Times New Roman" w:hAnsi="Times New Roman" w:cs="Times New Roman"/>
              </w:rPr>
            </w:pPr>
            <w:r w:rsidRPr="00DC652F">
              <w:rPr>
                <w:rFonts w:ascii="Times New Roman" w:hAnsi="Times New Roman" w:cs="Times New Roman"/>
              </w:rPr>
              <w:t xml:space="preserve">     Night</w:t>
            </w:r>
          </w:p>
        </w:tc>
        <w:tc>
          <w:tcPr>
            <w:tcW w:w="1416" w:type="dxa"/>
            <w:vAlign w:val="center"/>
          </w:tcPr>
          <w:p w14:paraId="1493F3F6" w14:textId="137F5CF7"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9.00</w:t>
            </w:r>
          </w:p>
        </w:tc>
        <w:tc>
          <w:tcPr>
            <w:tcW w:w="1417" w:type="dxa"/>
            <w:vAlign w:val="center"/>
          </w:tcPr>
          <w:p w14:paraId="48983D95" w14:textId="181E2F6C"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1.36</w:t>
            </w:r>
          </w:p>
        </w:tc>
        <w:tc>
          <w:tcPr>
            <w:tcW w:w="236" w:type="dxa"/>
          </w:tcPr>
          <w:p w14:paraId="3544C334" w14:textId="77777777" w:rsidR="001335D5" w:rsidRPr="00DC652F" w:rsidRDefault="001335D5" w:rsidP="001E6B09">
            <w:pPr>
              <w:ind w:right="-57"/>
              <w:jc w:val="center"/>
              <w:rPr>
                <w:rFonts w:ascii="Times New Roman" w:hAnsi="Times New Roman" w:cs="Times New Roman"/>
              </w:rPr>
            </w:pPr>
          </w:p>
        </w:tc>
        <w:tc>
          <w:tcPr>
            <w:tcW w:w="1417" w:type="dxa"/>
          </w:tcPr>
          <w:p w14:paraId="7EB4338F" w14:textId="428EF248"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9.18</w:t>
            </w:r>
          </w:p>
        </w:tc>
        <w:tc>
          <w:tcPr>
            <w:tcW w:w="1418" w:type="dxa"/>
          </w:tcPr>
          <w:p w14:paraId="622AF2FA" w14:textId="3F00A304"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1.24</w:t>
            </w:r>
          </w:p>
        </w:tc>
        <w:tc>
          <w:tcPr>
            <w:tcW w:w="236" w:type="dxa"/>
          </w:tcPr>
          <w:p w14:paraId="5AD5B229" w14:textId="77777777" w:rsidR="001335D5" w:rsidRPr="00DC652F" w:rsidRDefault="001335D5" w:rsidP="001E6B09">
            <w:pPr>
              <w:ind w:right="-57"/>
              <w:jc w:val="center"/>
              <w:rPr>
                <w:rFonts w:ascii="Times New Roman" w:hAnsi="Times New Roman" w:cs="Times New Roman"/>
              </w:rPr>
            </w:pPr>
          </w:p>
        </w:tc>
        <w:tc>
          <w:tcPr>
            <w:tcW w:w="1417" w:type="dxa"/>
          </w:tcPr>
          <w:p w14:paraId="31CB6519" w14:textId="00F19066"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8.72</w:t>
            </w:r>
          </w:p>
        </w:tc>
        <w:tc>
          <w:tcPr>
            <w:tcW w:w="1418" w:type="dxa"/>
          </w:tcPr>
          <w:p w14:paraId="62F240EE" w14:textId="4E3D3D2B"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1.52</w:t>
            </w:r>
          </w:p>
        </w:tc>
        <w:tc>
          <w:tcPr>
            <w:tcW w:w="236" w:type="dxa"/>
          </w:tcPr>
          <w:p w14:paraId="56B1E07C"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5CEC62EC" w14:textId="6AF7F201"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sz w:val="21"/>
                <w:szCs w:val="21"/>
              </w:rPr>
              <w:t>0.041</w:t>
            </w:r>
          </w:p>
        </w:tc>
      </w:tr>
      <w:tr w:rsidR="001335D5" w:rsidRPr="00DC652F" w14:paraId="7FE1C3B0" w14:textId="485E53E7" w:rsidTr="0077390C">
        <w:trPr>
          <w:cantSplit/>
          <w:trHeight w:val="283"/>
        </w:trPr>
        <w:tc>
          <w:tcPr>
            <w:tcW w:w="4306" w:type="dxa"/>
            <w:vAlign w:val="center"/>
          </w:tcPr>
          <w:p w14:paraId="079805B6" w14:textId="4947EFEF" w:rsidR="001335D5" w:rsidRPr="00DC652F" w:rsidRDefault="00B43A27" w:rsidP="001E6B09">
            <w:pPr>
              <w:rPr>
                <w:rFonts w:ascii="Times New Roman" w:hAnsi="Times New Roman" w:cs="Times New Roman"/>
                <w:vertAlign w:val="superscript"/>
              </w:rPr>
            </w:pPr>
            <w:r w:rsidRPr="00DC652F">
              <w:rPr>
                <w:rFonts w:ascii="Times New Roman" w:hAnsi="Times New Roman" w:cs="Times New Roman"/>
              </w:rPr>
              <w:t>Bedtime</w:t>
            </w:r>
            <w:r w:rsidR="001335D5" w:rsidRPr="00DC652F">
              <w:rPr>
                <w:rFonts w:ascii="Times New Roman" w:hAnsi="Times New Roman" w:cs="Times New Roman"/>
              </w:rPr>
              <w:t xml:space="preserve"> </w:t>
            </w:r>
            <w:r w:rsidRPr="00DC652F">
              <w:rPr>
                <w:rFonts w:ascii="Times New Roman" w:hAnsi="Times New Roman" w:cs="Times New Roman"/>
              </w:rPr>
              <w:t>(</w:t>
            </w:r>
            <w:r w:rsidR="001335D5" w:rsidRPr="00DC652F">
              <w:rPr>
                <w:rFonts w:ascii="Times New Roman" w:hAnsi="Times New Roman" w:cs="Times New Roman"/>
              </w:rPr>
              <w:t>hours</w:t>
            </w:r>
            <w:r w:rsidRPr="00DC652F">
              <w:rPr>
                <w:rFonts w:ascii="Times New Roman" w:hAnsi="Times New Roman" w:cs="Times New Roman"/>
              </w:rPr>
              <w:t>)</w:t>
            </w:r>
            <w:r w:rsidR="00623020" w:rsidRPr="00DC652F">
              <w:rPr>
                <w:rFonts w:ascii="Times New Roman" w:hAnsi="Times New Roman" w:cs="Times New Roman"/>
                <w:sz w:val="21"/>
                <w:szCs w:val="21"/>
                <w:vertAlign w:val="superscript"/>
              </w:rPr>
              <w:t>‡</w:t>
            </w:r>
          </w:p>
        </w:tc>
        <w:tc>
          <w:tcPr>
            <w:tcW w:w="1416" w:type="dxa"/>
            <w:vAlign w:val="center"/>
          </w:tcPr>
          <w:p w14:paraId="57695B56" w14:textId="300353B6"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22</w:t>
            </w:r>
            <w:r w:rsidR="001E4C98" w:rsidRPr="00DC652F">
              <w:rPr>
                <w:rFonts w:ascii="Times New Roman" w:hAnsi="Times New Roman" w:cs="Times New Roman"/>
              </w:rPr>
              <w:t>.</w:t>
            </w:r>
            <w:r w:rsidRPr="00DC652F">
              <w:rPr>
                <w:rFonts w:ascii="Times New Roman" w:hAnsi="Times New Roman" w:cs="Times New Roman"/>
              </w:rPr>
              <w:t>01</w:t>
            </w:r>
          </w:p>
        </w:tc>
        <w:tc>
          <w:tcPr>
            <w:tcW w:w="1417" w:type="dxa"/>
            <w:vAlign w:val="center"/>
          </w:tcPr>
          <w:p w14:paraId="681EE199" w14:textId="0AAF2F35"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01</w:t>
            </w:r>
            <w:r w:rsidR="001E4C98" w:rsidRPr="00DC652F">
              <w:rPr>
                <w:rFonts w:ascii="Times New Roman" w:hAnsi="Times New Roman" w:cs="Times New Roman"/>
              </w:rPr>
              <w:t>.</w:t>
            </w:r>
            <w:r w:rsidRPr="00DC652F">
              <w:rPr>
                <w:rFonts w:ascii="Times New Roman" w:hAnsi="Times New Roman" w:cs="Times New Roman"/>
              </w:rPr>
              <w:t>07</w:t>
            </w:r>
          </w:p>
        </w:tc>
        <w:tc>
          <w:tcPr>
            <w:tcW w:w="236" w:type="dxa"/>
          </w:tcPr>
          <w:p w14:paraId="160B8593" w14:textId="77777777" w:rsidR="001335D5" w:rsidRPr="00DC652F" w:rsidRDefault="001335D5" w:rsidP="001E6B09">
            <w:pPr>
              <w:ind w:right="-57"/>
              <w:jc w:val="center"/>
              <w:rPr>
                <w:rFonts w:ascii="Times New Roman" w:hAnsi="Times New Roman" w:cs="Times New Roman"/>
              </w:rPr>
            </w:pPr>
          </w:p>
        </w:tc>
        <w:tc>
          <w:tcPr>
            <w:tcW w:w="1417" w:type="dxa"/>
          </w:tcPr>
          <w:p w14:paraId="1AF0D1D1" w14:textId="7DB2BFAB"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22</w:t>
            </w:r>
            <w:r w:rsidR="001E4C98" w:rsidRPr="00DC652F">
              <w:rPr>
                <w:rFonts w:ascii="Times New Roman" w:hAnsi="Times New Roman" w:cs="Times New Roman"/>
              </w:rPr>
              <w:t>.</w:t>
            </w:r>
            <w:r w:rsidRPr="00DC652F">
              <w:rPr>
                <w:rFonts w:ascii="Times New Roman" w:hAnsi="Times New Roman" w:cs="Times New Roman"/>
              </w:rPr>
              <w:t>09</w:t>
            </w:r>
          </w:p>
        </w:tc>
        <w:tc>
          <w:tcPr>
            <w:tcW w:w="1418" w:type="dxa"/>
          </w:tcPr>
          <w:p w14:paraId="23AE06EF" w14:textId="4D7004E5"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01</w:t>
            </w:r>
            <w:r w:rsidR="001E4C98" w:rsidRPr="00DC652F">
              <w:rPr>
                <w:rFonts w:ascii="Times New Roman" w:hAnsi="Times New Roman" w:cs="Times New Roman"/>
              </w:rPr>
              <w:t>.</w:t>
            </w:r>
            <w:r w:rsidRPr="00DC652F">
              <w:rPr>
                <w:rFonts w:ascii="Times New Roman" w:hAnsi="Times New Roman" w:cs="Times New Roman"/>
              </w:rPr>
              <w:t>05</w:t>
            </w:r>
          </w:p>
        </w:tc>
        <w:tc>
          <w:tcPr>
            <w:tcW w:w="236" w:type="dxa"/>
          </w:tcPr>
          <w:p w14:paraId="26636C91" w14:textId="77777777" w:rsidR="001335D5" w:rsidRPr="00DC652F" w:rsidRDefault="001335D5" w:rsidP="001E6B09">
            <w:pPr>
              <w:ind w:right="-57"/>
              <w:jc w:val="center"/>
              <w:rPr>
                <w:rFonts w:ascii="Times New Roman" w:hAnsi="Times New Roman" w:cs="Times New Roman"/>
              </w:rPr>
            </w:pPr>
          </w:p>
        </w:tc>
        <w:tc>
          <w:tcPr>
            <w:tcW w:w="1417" w:type="dxa"/>
          </w:tcPr>
          <w:p w14:paraId="78B6304A" w14:textId="42A1B87B"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21</w:t>
            </w:r>
            <w:r w:rsidR="001E4C98" w:rsidRPr="00DC652F">
              <w:rPr>
                <w:rFonts w:ascii="Times New Roman" w:hAnsi="Times New Roman" w:cs="Times New Roman"/>
              </w:rPr>
              <w:t>.</w:t>
            </w:r>
            <w:r w:rsidRPr="00DC652F">
              <w:rPr>
                <w:rFonts w:ascii="Times New Roman" w:hAnsi="Times New Roman" w:cs="Times New Roman"/>
              </w:rPr>
              <w:t>49</w:t>
            </w:r>
          </w:p>
        </w:tc>
        <w:tc>
          <w:tcPr>
            <w:tcW w:w="1418" w:type="dxa"/>
          </w:tcPr>
          <w:p w14:paraId="006774E2" w14:textId="512F1548"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01</w:t>
            </w:r>
            <w:r w:rsidR="001E4C98" w:rsidRPr="00DC652F">
              <w:rPr>
                <w:rFonts w:ascii="Times New Roman" w:hAnsi="Times New Roman" w:cs="Times New Roman"/>
              </w:rPr>
              <w:t>.</w:t>
            </w:r>
            <w:r w:rsidRPr="00DC652F">
              <w:rPr>
                <w:rFonts w:ascii="Times New Roman" w:hAnsi="Times New Roman" w:cs="Times New Roman"/>
              </w:rPr>
              <w:t>10</w:t>
            </w:r>
          </w:p>
        </w:tc>
        <w:tc>
          <w:tcPr>
            <w:tcW w:w="236" w:type="dxa"/>
          </w:tcPr>
          <w:p w14:paraId="24677F0B" w14:textId="77777777" w:rsidR="001335D5" w:rsidRPr="00DC652F" w:rsidRDefault="001335D5" w:rsidP="001E6B09">
            <w:pPr>
              <w:ind w:right="-57"/>
              <w:jc w:val="center"/>
              <w:rPr>
                <w:rFonts w:ascii="Times New Roman" w:hAnsi="Times New Roman" w:cs="Times New Roman"/>
              </w:rPr>
            </w:pPr>
          </w:p>
        </w:tc>
        <w:tc>
          <w:tcPr>
            <w:tcW w:w="953" w:type="dxa"/>
            <w:vAlign w:val="center"/>
          </w:tcPr>
          <w:p w14:paraId="3EF9E116" w14:textId="450BEE19" w:rsidR="001335D5" w:rsidRPr="00DC652F" w:rsidRDefault="001335D5" w:rsidP="001E6B09">
            <w:pPr>
              <w:ind w:right="-57"/>
              <w:jc w:val="center"/>
              <w:rPr>
                <w:rFonts w:ascii="Times New Roman" w:hAnsi="Times New Roman" w:cs="Times New Roman"/>
              </w:rPr>
            </w:pPr>
            <w:r w:rsidRPr="00DC652F">
              <w:rPr>
                <w:rFonts w:ascii="Times New Roman" w:hAnsi="Times New Roman" w:cs="Times New Roman"/>
              </w:rPr>
              <w:t>0.058</w:t>
            </w:r>
          </w:p>
        </w:tc>
      </w:tr>
      <w:tr w:rsidR="00CC51BF" w:rsidRPr="00DC652F" w14:paraId="2DD57FF7" w14:textId="77777777" w:rsidTr="0077390C">
        <w:trPr>
          <w:cantSplit/>
          <w:trHeight w:val="283"/>
        </w:trPr>
        <w:tc>
          <w:tcPr>
            <w:tcW w:w="4306" w:type="dxa"/>
            <w:vAlign w:val="center"/>
          </w:tcPr>
          <w:p w14:paraId="18160346" w14:textId="7203C563" w:rsidR="00CC51BF" w:rsidRPr="00DC652F" w:rsidRDefault="00CC51BF" w:rsidP="001E6B09">
            <w:pPr>
              <w:rPr>
                <w:rFonts w:ascii="Times New Roman" w:hAnsi="Times New Roman" w:cs="Times New Roman"/>
              </w:rPr>
            </w:pPr>
            <w:r w:rsidRPr="00DC652F">
              <w:rPr>
                <w:rFonts w:ascii="Times New Roman" w:hAnsi="Times New Roman" w:cs="Times New Roman"/>
              </w:rPr>
              <w:t>24</w:t>
            </w:r>
            <w:r w:rsidR="000B1D17">
              <w:rPr>
                <w:rFonts w:ascii="Times New Roman" w:hAnsi="Times New Roman" w:cs="Times New Roman"/>
              </w:rPr>
              <w:t>-</w:t>
            </w:r>
            <w:r w:rsidRPr="00DC652F">
              <w:rPr>
                <w:rFonts w:ascii="Times New Roman" w:hAnsi="Times New Roman" w:cs="Times New Roman"/>
              </w:rPr>
              <w:t>h</w:t>
            </w:r>
            <w:r w:rsidR="00DC652F" w:rsidRPr="00DC652F">
              <w:rPr>
                <w:rFonts w:ascii="Times New Roman" w:hAnsi="Times New Roman" w:cs="Times New Roman"/>
              </w:rPr>
              <w:t>our</w:t>
            </w:r>
            <w:r w:rsidRPr="00DC652F">
              <w:rPr>
                <w:rFonts w:ascii="Times New Roman" w:hAnsi="Times New Roman" w:cs="Times New Roman"/>
              </w:rPr>
              <w:t xml:space="preserve"> dietary recall</w:t>
            </w:r>
          </w:p>
        </w:tc>
        <w:tc>
          <w:tcPr>
            <w:tcW w:w="1416" w:type="dxa"/>
            <w:vAlign w:val="center"/>
          </w:tcPr>
          <w:p w14:paraId="1F885E29" w14:textId="77777777" w:rsidR="00CC51BF" w:rsidRPr="00DC652F" w:rsidRDefault="00CC51BF" w:rsidP="001E6B09">
            <w:pPr>
              <w:ind w:right="-57"/>
              <w:jc w:val="center"/>
              <w:rPr>
                <w:rFonts w:ascii="Times New Roman" w:hAnsi="Times New Roman" w:cs="Times New Roman"/>
              </w:rPr>
            </w:pPr>
          </w:p>
        </w:tc>
        <w:tc>
          <w:tcPr>
            <w:tcW w:w="1417" w:type="dxa"/>
            <w:vAlign w:val="center"/>
          </w:tcPr>
          <w:p w14:paraId="4D911A8B" w14:textId="77777777" w:rsidR="00CC51BF" w:rsidRPr="00DC652F" w:rsidRDefault="00CC51BF" w:rsidP="001E6B09">
            <w:pPr>
              <w:ind w:right="-57"/>
              <w:jc w:val="center"/>
              <w:rPr>
                <w:rFonts w:ascii="Times New Roman" w:hAnsi="Times New Roman" w:cs="Times New Roman"/>
              </w:rPr>
            </w:pPr>
          </w:p>
        </w:tc>
        <w:tc>
          <w:tcPr>
            <w:tcW w:w="236" w:type="dxa"/>
          </w:tcPr>
          <w:p w14:paraId="52B4238E" w14:textId="77777777" w:rsidR="00CC51BF" w:rsidRPr="00DC652F" w:rsidRDefault="00CC51BF" w:rsidP="001E6B09">
            <w:pPr>
              <w:ind w:right="-57"/>
              <w:jc w:val="center"/>
              <w:rPr>
                <w:rFonts w:ascii="Times New Roman" w:hAnsi="Times New Roman" w:cs="Times New Roman"/>
              </w:rPr>
            </w:pPr>
          </w:p>
        </w:tc>
        <w:tc>
          <w:tcPr>
            <w:tcW w:w="1417" w:type="dxa"/>
          </w:tcPr>
          <w:p w14:paraId="63C4EF5A" w14:textId="77777777" w:rsidR="00CC51BF" w:rsidRPr="00DC652F" w:rsidRDefault="00CC51BF" w:rsidP="001E6B09">
            <w:pPr>
              <w:ind w:right="-57"/>
              <w:jc w:val="center"/>
              <w:rPr>
                <w:rFonts w:ascii="Times New Roman" w:hAnsi="Times New Roman" w:cs="Times New Roman"/>
              </w:rPr>
            </w:pPr>
          </w:p>
        </w:tc>
        <w:tc>
          <w:tcPr>
            <w:tcW w:w="1418" w:type="dxa"/>
          </w:tcPr>
          <w:p w14:paraId="151F37B3" w14:textId="77777777" w:rsidR="00CC51BF" w:rsidRPr="00DC652F" w:rsidRDefault="00CC51BF" w:rsidP="001E6B09">
            <w:pPr>
              <w:ind w:right="-57"/>
              <w:jc w:val="center"/>
              <w:rPr>
                <w:rFonts w:ascii="Times New Roman" w:hAnsi="Times New Roman" w:cs="Times New Roman"/>
              </w:rPr>
            </w:pPr>
          </w:p>
        </w:tc>
        <w:tc>
          <w:tcPr>
            <w:tcW w:w="236" w:type="dxa"/>
          </w:tcPr>
          <w:p w14:paraId="69A885FF" w14:textId="77777777" w:rsidR="00CC51BF" w:rsidRPr="00DC652F" w:rsidRDefault="00CC51BF" w:rsidP="001E6B09">
            <w:pPr>
              <w:ind w:right="-57"/>
              <w:jc w:val="center"/>
              <w:rPr>
                <w:rFonts w:ascii="Times New Roman" w:hAnsi="Times New Roman" w:cs="Times New Roman"/>
              </w:rPr>
            </w:pPr>
          </w:p>
        </w:tc>
        <w:tc>
          <w:tcPr>
            <w:tcW w:w="1417" w:type="dxa"/>
          </w:tcPr>
          <w:p w14:paraId="01297BC8" w14:textId="77777777" w:rsidR="00CC51BF" w:rsidRPr="00DC652F" w:rsidRDefault="00CC51BF" w:rsidP="001E6B09">
            <w:pPr>
              <w:ind w:right="-57"/>
              <w:jc w:val="center"/>
              <w:rPr>
                <w:rFonts w:ascii="Times New Roman" w:hAnsi="Times New Roman" w:cs="Times New Roman"/>
              </w:rPr>
            </w:pPr>
          </w:p>
        </w:tc>
        <w:tc>
          <w:tcPr>
            <w:tcW w:w="1418" w:type="dxa"/>
          </w:tcPr>
          <w:p w14:paraId="2F7E499A" w14:textId="77777777" w:rsidR="00CC51BF" w:rsidRPr="00DC652F" w:rsidRDefault="00CC51BF" w:rsidP="001E6B09">
            <w:pPr>
              <w:ind w:right="-57"/>
              <w:jc w:val="center"/>
              <w:rPr>
                <w:rFonts w:ascii="Times New Roman" w:hAnsi="Times New Roman" w:cs="Times New Roman"/>
              </w:rPr>
            </w:pPr>
          </w:p>
        </w:tc>
        <w:tc>
          <w:tcPr>
            <w:tcW w:w="236" w:type="dxa"/>
          </w:tcPr>
          <w:p w14:paraId="1ADA574A" w14:textId="77777777" w:rsidR="00CC51BF" w:rsidRPr="00DC652F" w:rsidRDefault="00CC51BF" w:rsidP="001E6B09">
            <w:pPr>
              <w:ind w:right="-57"/>
              <w:jc w:val="center"/>
              <w:rPr>
                <w:rFonts w:ascii="Times New Roman" w:hAnsi="Times New Roman" w:cs="Times New Roman"/>
              </w:rPr>
            </w:pPr>
          </w:p>
        </w:tc>
        <w:tc>
          <w:tcPr>
            <w:tcW w:w="953" w:type="dxa"/>
            <w:vAlign w:val="center"/>
          </w:tcPr>
          <w:p w14:paraId="455375A8" w14:textId="39381270" w:rsidR="00CC51BF" w:rsidRPr="00DC652F" w:rsidRDefault="00067219" w:rsidP="001E6B09">
            <w:pPr>
              <w:ind w:right="-57"/>
              <w:jc w:val="center"/>
              <w:rPr>
                <w:rFonts w:ascii="Times New Roman" w:hAnsi="Times New Roman" w:cs="Times New Roman"/>
              </w:rPr>
            </w:pPr>
            <w:r w:rsidRPr="00DC652F">
              <w:rPr>
                <w:rFonts w:ascii="Times New Roman" w:hAnsi="Times New Roman" w:cs="Times New Roman"/>
              </w:rPr>
              <w:t>1.000</w:t>
            </w:r>
          </w:p>
        </w:tc>
      </w:tr>
      <w:tr w:rsidR="00CC51BF" w:rsidRPr="00DC652F" w14:paraId="12846833" w14:textId="77777777" w:rsidTr="0077390C">
        <w:trPr>
          <w:cantSplit/>
          <w:trHeight w:val="283"/>
        </w:trPr>
        <w:tc>
          <w:tcPr>
            <w:tcW w:w="4306" w:type="dxa"/>
            <w:vAlign w:val="center"/>
          </w:tcPr>
          <w:p w14:paraId="32A81136" w14:textId="6C977529" w:rsidR="00CC51BF" w:rsidRPr="00DC652F" w:rsidRDefault="00CC51BF" w:rsidP="001E6B09">
            <w:pPr>
              <w:rPr>
                <w:rFonts w:ascii="Times New Roman" w:hAnsi="Times New Roman" w:cs="Times New Roman"/>
              </w:rPr>
            </w:pPr>
            <w:r w:rsidRPr="00DC652F">
              <w:rPr>
                <w:rFonts w:ascii="Times New Roman" w:hAnsi="Times New Roman" w:cs="Times New Roman"/>
              </w:rPr>
              <w:t xml:space="preserve">     Atypical</w:t>
            </w:r>
          </w:p>
        </w:tc>
        <w:tc>
          <w:tcPr>
            <w:tcW w:w="1416" w:type="dxa"/>
            <w:vAlign w:val="center"/>
          </w:tcPr>
          <w:p w14:paraId="74A900DB" w14:textId="3D65EF5B" w:rsidR="00CC51BF" w:rsidRPr="00DC652F" w:rsidRDefault="002C26D8" w:rsidP="001E6B09">
            <w:pPr>
              <w:ind w:right="-57"/>
              <w:jc w:val="center"/>
              <w:rPr>
                <w:rFonts w:ascii="Times New Roman" w:hAnsi="Times New Roman" w:cs="Times New Roman"/>
              </w:rPr>
            </w:pPr>
            <w:r w:rsidRPr="00DC652F">
              <w:rPr>
                <w:rFonts w:ascii="Times New Roman" w:hAnsi="Times New Roman" w:cs="Times New Roman"/>
              </w:rPr>
              <w:t>64</w:t>
            </w:r>
          </w:p>
        </w:tc>
        <w:tc>
          <w:tcPr>
            <w:tcW w:w="1417" w:type="dxa"/>
            <w:vAlign w:val="center"/>
          </w:tcPr>
          <w:p w14:paraId="1292D343" w14:textId="0A9C5DD6" w:rsidR="00CC51BF" w:rsidRPr="00DC652F" w:rsidRDefault="002C26D8" w:rsidP="001E6B09">
            <w:pPr>
              <w:ind w:right="-57"/>
              <w:jc w:val="center"/>
              <w:rPr>
                <w:rFonts w:ascii="Times New Roman" w:hAnsi="Times New Roman" w:cs="Times New Roman"/>
              </w:rPr>
            </w:pPr>
            <w:r w:rsidRPr="00DC652F">
              <w:rPr>
                <w:rFonts w:ascii="Times New Roman" w:hAnsi="Times New Roman" w:cs="Times New Roman"/>
              </w:rPr>
              <w:t>14.8</w:t>
            </w:r>
          </w:p>
        </w:tc>
        <w:tc>
          <w:tcPr>
            <w:tcW w:w="236" w:type="dxa"/>
          </w:tcPr>
          <w:p w14:paraId="25BF7501" w14:textId="77777777" w:rsidR="00CC51BF" w:rsidRPr="00DC652F" w:rsidRDefault="00CC51BF" w:rsidP="001E6B09">
            <w:pPr>
              <w:ind w:right="-57"/>
              <w:jc w:val="center"/>
              <w:rPr>
                <w:rFonts w:ascii="Times New Roman" w:hAnsi="Times New Roman" w:cs="Times New Roman"/>
              </w:rPr>
            </w:pPr>
          </w:p>
        </w:tc>
        <w:tc>
          <w:tcPr>
            <w:tcW w:w="1417" w:type="dxa"/>
          </w:tcPr>
          <w:p w14:paraId="3CF85BAA" w14:textId="04C51F9B" w:rsidR="00CC51BF" w:rsidRPr="00DC652F" w:rsidRDefault="00067219" w:rsidP="001E6B09">
            <w:pPr>
              <w:ind w:right="-57"/>
              <w:jc w:val="center"/>
              <w:rPr>
                <w:rFonts w:ascii="Times New Roman" w:hAnsi="Times New Roman" w:cs="Times New Roman"/>
              </w:rPr>
            </w:pPr>
            <w:r w:rsidRPr="00DC652F">
              <w:rPr>
                <w:rFonts w:ascii="Times New Roman" w:hAnsi="Times New Roman" w:cs="Times New Roman"/>
              </w:rPr>
              <w:t>38</w:t>
            </w:r>
          </w:p>
        </w:tc>
        <w:tc>
          <w:tcPr>
            <w:tcW w:w="1418" w:type="dxa"/>
          </w:tcPr>
          <w:p w14:paraId="1EE15A5B" w14:textId="35954F1B" w:rsidR="00CC51BF" w:rsidRPr="00DC652F" w:rsidRDefault="00067219" w:rsidP="001E6B09">
            <w:pPr>
              <w:ind w:right="-57"/>
              <w:jc w:val="center"/>
              <w:rPr>
                <w:rFonts w:ascii="Times New Roman" w:hAnsi="Times New Roman" w:cs="Times New Roman"/>
              </w:rPr>
            </w:pPr>
            <w:r w:rsidRPr="00DC652F">
              <w:rPr>
                <w:rFonts w:ascii="Times New Roman" w:hAnsi="Times New Roman" w:cs="Times New Roman"/>
              </w:rPr>
              <w:t>16.2</w:t>
            </w:r>
          </w:p>
        </w:tc>
        <w:tc>
          <w:tcPr>
            <w:tcW w:w="236" w:type="dxa"/>
          </w:tcPr>
          <w:p w14:paraId="4654277B" w14:textId="77777777" w:rsidR="00CC51BF" w:rsidRPr="00DC652F" w:rsidRDefault="00CC51BF" w:rsidP="001E6B09">
            <w:pPr>
              <w:ind w:right="-57"/>
              <w:jc w:val="center"/>
              <w:rPr>
                <w:rFonts w:ascii="Times New Roman" w:hAnsi="Times New Roman" w:cs="Times New Roman"/>
              </w:rPr>
            </w:pPr>
          </w:p>
        </w:tc>
        <w:tc>
          <w:tcPr>
            <w:tcW w:w="1417" w:type="dxa"/>
          </w:tcPr>
          <w:p w14:paraId="257B6C08" w14:textId="2D42D31B" w:rsidR="00CC51BF" w:rsidRPr="00DC652F" w:rsidRDefault="00067219" w:rsidP="001E6B09">
            <w:pPr>
              <w:ind w:right="-57"/>
              <w:jc w:val="center"/>
              <w:rPr>
                <w:rFonts w:ascii="Times New Roman" w:hAnsi="Times New Roman" w:cs="Times New Roman"/>
              </w:rPr>
            </w:pPr>
            <w:r w:rsidRPr="00DC652F">
              <w:rPr>
                <w:rFonts w:ascii="Times New Roman" w:hAnsi="Times New Roman" w:cs="Times New Roman"/>
              </w:rPr>
              <w:t>26</w:t>
            </w:r>
          </w:p>
        </w:tc>
        <w:tc>
          <w:tcPr>
            <w:tcW w:w="1418" w:type="dxa"/>
          </w:tcPr>
          <w:p w14:paraId="0AEC3A4A" w14:textId="77A96BFA" w:rsidR="00CC51BF" w:rsidRPr="00DC652F" w:rsidRDefault="00067219" w:rsidP="001E6B09">
            <w:pPr>
              <w:ind w:right="-57"/>
              <w:jc w:val="center"/>
              <w:rPr>
                <w:rFonts w:ascii="Times New Roman" w:hAnsi="Times New Roman" w:cs="Times New Roman"/>
              </w:rPr>
            </w:pPr>
            <w:r w:rsidRPr="00DC652F">
              <w:rPr>
                <w:rFonts w:ascii="Times New Roman" w:hAnsi="Times New Roman" w:cs="Times New Roman"/>
              </w:rPr>
              <w:t>15.7</w:t>
            </w:r>
          </w:p>
        </w:tc>
        <w:tc>
          <w:tcPr>
            <w:tcW w:w="236" w:type="dxa"/>
          </w:tcPr>
          <w:p w14:paraId="2384D205" w14:textId="77777777" w:rsidR="00CC51BF" w:rsidRPr="00DC652F" w:rsidRDefault="00CC51BF" w:rsidP="001E6B09">
            <w:pPr>
              <w:ind w:right="-57"/>
              <w:jc w:val="center"/>
              <w:rPr>
                <w:rFonts w:ascii="Times New Roman" w:hAnsi="Times New Roman" w:cs="Times New Roman"/>
              </w:rPr>
            </w:pPr>
          </w:p>
        </w:tc>
        <w:tc>
          <w:tcPr>
            <w:tcW w:w="953" w:type="dxa"/>
            <w:vAlign w:val="center"/>
          </w:tcPr>
          <w:p w14:paraId="3979D8F1" w14:textId="77777777" w:rsidR="00CC51BF" w:rsidRPr="00DC652F" w:rsidRDefault="00CC51BF" w:rsidP="001E6B09">
            <w:pPr>
              <w:ind w:right="-57"/>
              <w:jc w:val="center"/>
              <w:rPr>
                <w:rFonts w:ascii="Times New Roman" w:hAnsi="Times New Roman" w:cs="Times New Roman"/>
              </w:rPr>
            </w:pPr>
          </w:p>
        </w:tc>
      </w:tr>
      <w:tr w:rsidR="00CC51BF" w:rsidRPr="00DC652F" w14:paraId="7AFF758B" w14:textId="77777777" w:rsidTr="0077390C">
        <w:trPr>
          <w:cantSplit/>
          <w:trHeight w:val="283"/>
        </w:trPr>
        <w:tc>
          <w:tcPr>
            <w:tcW w:w="4306" w:type="dxa"/>
            <w:tcBorders>
              <w:bottom w:val="single" w:sz="4" w:space="0" w:color="auto"/>
            </w:tcBorders>
            <w:vAlign w:val="center"/>
          </w:tcPr>
          <w:p w14:paraId="3D5638A9" w14:textId="74B4F090" w:rsidR="00CC51BF" w:rsidRPr="00DC652F" w:rsidRDefault="00CC51BF" w:rsidP="001E6B09">
            <w:pPr>
              <w:rPr>
                <w:rFonts w:ascii="Times New Roman" w:hAnsi="Times New Roman" w:cs="Times New Roman"/>
              </w:rPr>
            </w:pPr>
            <w:r w:rsidRPr="00DC652F">
              <w:rPr>
                <w:rFonts w:ascii="Times New Roman" w:hAnsi="Times New Roman" w:cs="Times New Roman"/>
              </w:rPr>
              <w:t xml:space="preserve">     Typical</w:t>
            </w:r>
          </w:p>
        </w:tc>
        <w:tc>
          <w:tcPr>
            <w:tcW w:w="1416" w:type="dxa"/>
            <w:tcBorders>
              <w:bottom w:val="single" w:sz="4" w:space="0" w:color="auto"/>
            </w:tcBorders>
            <w:vAlign w:val="center"/>
          </w:tcPr>
          <w:p w14:paraId="2FC86E15" w14:textId="28C076A2" w:rsidR="00CC51BF" w:rsidRPr="00DC652F" w:rsidRDefault="002C26D8" w:rsidP="001E6B09">
            <w:pPr>
              <w:ind w:right="-57"/>
              <w:jc w:val="center"/>
              <w:rPr>
                <w:rFonts w:ascii="Times New Roman" w:hAnsi="Times New Roman" w:cs="Times New Roman"/>
              </w:rPr>
            </w:pPr>
            <w:r w:rsidRPr="00DC652F">
              <w:rPr>
                <w:rFonts w:ascii="Times New Roman" w:hAnsi="Times New Roman" w:cs="Times New Roman"/>
              </w:rPr>
              <w:t>337</w:t>
            </w:r>
          </w:p>
        </w:tc>
        <w:tc>
          <w:tcPr>
            <w:tcW w:w="1417" w:type="dxa"/>
            <w:tcBorders>
              <w:bottom w:val="single" w:sz="4" w:space="0" w:color="auto"/>
            </w:tcBorders>
            <w:vAlign w:val="center"/>
          </w:tcPr>
          <w:p w14:paraId="3733E86E" w14:textId="7D1C2FE2" w:rsidR="00CC51BF" w:rsidRPr="00DC652F" w:rsidRDefault="002C26D8" w:rsidP="001E6B09">
            <w:pPr>
              <w:ind w:right="-57"/>
              <w:jc w:val="center"/>
              <w:rPr>
                <w:rFonts w:ascii="Times New Roman" w:hAnsi="Times New Roman" w:cs="Times New Roman"/>
              </w:rPr>
            </w:pPr>
            <w:r w:rsidRPr="00DC652F">
              <w:rPr>
                <w:rFonts w:ascii="Times New Roman" w:hAnsi="Times New Roman" w:cs="Times New Roman"/>
              </w:rPr>
              <w:t>78.2</w:t>
            </w:r>
          </w:p>
        </w:tc>
        <w:tc>
          <w:tcPr>
            <w:tcW w:w="236" w:type="dxa"/>
            <w:tcBorders>
              <w:bottom w:val="single" w:sz="4" w:space="0" w:color="auto"/>
            </w:tcBorders>
          </w:tcPr>
          <w:p w14:paraId="5D68A4C4" w14:textId="77777777" w:rsidR="00CC51BF" w:rsidRPr="00DC652F" w:rsidRDefault="00CC51BF" w:rsidP="001E6B09">
            <w:pPr>
              <w:ind w:right="-57"/>
              <w:jc w:val="center"/>
              <w:rPr>
                <w:rFonts w:ascii="Times New Roman" w:hAnsi="Times New Roman" w:cs="Times New Roman"/>
              </w:rPr>
            </w:pPr>
          </w:p>
        </w:tc>
        <w:tc>
          <w:tcPr>
            <w:tcW w:w="1417" w:type="dxa"/>
            <w:tcBorders>
              <w:bottom w:val="single" w:sz="4" w:space="0" w:color="auto"/>
            </w:tcBorders>
          </w:tcPr>
          <w:p w14:paraId="1285E71F" w14:textId="195A3AFA" w:rsidR="00CC51BF" w:rsidRPr="00DC652F" w:rsidRDefault="00067219" w:rsidP="001E6B09">
            <w:pPr>
              <w:ind w:right="-57"/>
              <w:jc w:val="center"/>
              <w:rPr>
                <w:rFonts w:ascii="Times New Roman" w:hAnsi="Times New Roman" w:cs="Times New Roman"/>
              </w:rPr>
            </w:pPr>
            <w:r w:rsidRPr="00DC652F">
              <w:rPr>
                <w:rFonts w:ascii="Times New Roman" w:hAnsi="Times New Roman" w:cs="Times New Roman"/>
              </w:rPr>
              <w:t>197</w:t>
            </w:r>
          </w:p>
        </w:tc>
        <w:tc>
          <w:tcPr>
            <w:tcW w:w="1418" w:type="dxa"/>
            <w:tcBorders>
              <w:bottom w:val="single" w:sz="4" w:space="0" w:color="auto"/>
            </w:tcBorders>
          </w:tcPr>
          <w:p w14:paraId="360043AA" w14:textId="3C0880D2" w:rsidR="00CC51BF" w:rsidRPr="00DC652F" w:rsidRDefault="00067219" w:rsidP="001E6B09">
            <w:pPr>
              <w:ind w:right="-57"/>
              <w:jc w:val="center"/>
              <w:rPr>
                <w:rFonts w:ascii="Times New Roman" w:hAnsi="Times New Roman" w:cs="Times New Roman"/>
              </w:rPr>
            </w:pPr>
            <w:r w:rsidRPr="00DC652F">
              <w:rPr>
                <w:rFonts w:ascii="Times New Roman" w:hAnsi="Times New Roman" w:cs="Times New Roman"/>
              </w:rPr>
              <w:t>83.8</w:t>
            </w:r>
          </w:p>
        </w:tc>
        <w:tc>
          <w:tcPr>
            <w:tcW w:w="236" w:type="dxa"/>
            <w:tcBorders>
              <w:bottom w:val="single" w:sz="4" w:space="0" w:color="auto"/>
            </w:tcBorders>
          </w:tcPr>
          <w:p w14:paraId="43309B76" w14:textId="77777777" w:rsidR="00CC51BF" w:rsidRPr="00DC652F" w:rsidRDefault="00CC51BF" w:rsidP="001E6B09">
            <w:pPr>
              <w:ind w:right="-57"/>
              <w:jc w:val="center"/>
              <w:rPr>
                <w:rFonts w:ascii="Times New Roman" w:hAnsi="Times New Roman" w:cs="Times New Roman"/>
              </w:rPr>
            </w:pPr>
          </w:p>
        </w:tc>
        <w:tc>
          <w:tcPr>
            <w:tcW w:w="1417" w:type="dxa"/>
            <w:tcBorders>
              <w:bottom w:val="single" w:sz="4" w:space="0" w:color="auto"/>
            </w:tcBorders>
          </w:tcPr>
          <w:p w14:paraId="3AC8DB61" w14:textId="39A0465D" w:rsidR="00CC51BF" w:rsidRPr="00DC652F" w:rsidRDefault="00067219" w:rsidP="001E6B09">
            <w:pPr>
              <w:ind w:right="-57"/>
              <w:jc w:val="center"/>
              <w:rPr>
                <w:rFonts w:ascii="Times New Roman" w:hAnsi="Times New Roman" w:cs="Times New Roman"/>
              </w:rPr>
            </w:pPr>
            <w:r w:rsidRPr="00DC652F">
              <w:rPr>
                <w:rFonts w:ascii="Times New Roman" w:hAnsi="Times New Roman" w:cs="Times New Roman"/>
              </w:rPr>
              <w:t>140</w:t>
            </w:r>
          </w:p>
        </w:tc>
        <w:tc>
          <w:tcPr>
            <w:tcW w:w="1418" w:type="dxa"/>
            <w:tcBorders>
              <w:bottom w:val="single" w:sz="4" w:space="0" w:color="auto"/>
            </w:tcBorders>
          </w:tcPr>
          <w:p w14:paraId="4694E617" w14:textId="54B830E1" w:rsidR="00CC51BF" w:rsidRPr="00DC652F" w:rsidRDefault="00067219" w:rsidP="001E6B09">
            <w:pPr>
              <w:ind w:right="-57"/>
              <w:jc w:val="center"/>
              <w:rPr>
                <w:rFonts w:ascii="Times New Roman" w:hAnsi="Times New Roman" w:cs="Times New Roman"/>
              </w:rPr>
            </w:pPr>
            <w:r w:rsidRPr="00DC652F">
              <w:rPr>
                <w:rFonts w:ascii="Times New Roman" w:hAnsi="Times New Roman" w:cs="Times New Roman"/>
              </w:rPr>
              <w:t>84.3</w:t>
            </w:r>
          </w:p>
        </w:tc>
        <w:tc>
          <w:tcPr>
            <w:tcW w:w="236" w:type="dxa"/>
            <w:tcBorders>
              <w:bottom w:val="single" w:sz="4" w:space="0" w:color="auto"/>
            </w:tcBorders>
          </w:tcPr>
          <w:p w14:paraId="594BCFA1" w14:textId="77777777" w:rsidR="00CC51BF" w:rsidRPr="00DC652F" w:rsidRDefault="00CC51BF" w:rsidP="001E6B09">
            <w:pPr>
              <w:ind w:right="-57"/>
              <w:jc w:val="center"/>
              <w:rPr>
                <w:rFonts w:ascii="Times New Roman" w:hAnsi="Times New Roman" w:cs="Times New Roman"/>
              </w:rPr>
            </w:pPr>
          </w:p>
        </w:tc>
        <w:tc>
          <w:tcPr>
            <w:tcW w:w="953" w:type="dxa"/>
            <w:tcBorders>
              <w:bottom w:val="single" w:sz="4" w:space="0" w:color="auto"/>
            </w:tcBorders>
            <w:vAlign w:val="center"/>
          </w:tcPr>
          <w:p w14:paraId="4C693412" w14:textId="77777777" w:rsidR="00CC51BF" w:rsidRPr="00DC652F" w:rsidRDefault="00CC51BF" w:rsidP="001E6B09">
            <w:pPr>
              <w:ind w:right="-57"/>
              <w:jc w:val="center"/>
              <w:rPr>
                <w:rFonts w:ascii="Times New Roman" w:hAnsi="Times New Roman" w:cs="Times New Roman"/>
              </w:rPr>
            </w:pPr>
          </w:p>
        </w:tc>
      </w:tr>
      <w:tr w:rsidR="00A448D8" w:rsidRPr="00DC652F" w14:paraId="521E7AC5" w14:textId="77777777" w:rsidTr="0077390C">
        <w:trPr>
          <w:cantSplit/>
          <w:trHeight w:val="283"/>
        </w:trPr>
        <w:tc>
          <w:tcPr>
            <w:tcW w:w="14470" w:type="dxa"/>
            <w:gridSpan w:val="11"/>
            <w:tcBorders>
              <w:top w:val="single" w:sz="4" w:space="0" w:color="auto"/>
            </w:tcBorders>
            <w:vAlign w:val="center"/>
          </w:tcPr>
          <w:p w14:paraId="0AEED357" w14:textId="5613359D" w:rsidR="005C1972" w:rsidRPr="00DC652F" w:rsidRDefault="004C5547" w:rsidP="00A448D8">
            <w:pPr>
              <w:ind w:right="-57"/>
              <w:rPr>
                <w:rFonts w:ascii="Times New Roman" w:hAnsi="Times New Roman" w:cs="Times New Roman"/>
              </w:rPr>
            </w:pPr>
            <w:r w:rsidRPr="00DC652F">
              <w:rPr>
                <w:rFonts w:ascii="Times New Roman" w:hAnsi="Times New Roman" w:cs="Times New Roman"/>
              </w:rPr>
              <w:t xml:space="preserve">SD, standard deviation; </w:t>
            </w:r>
            <w:r w:rsidR="00F36ED0">
              <w:rPr>
                <w:rFonts w:ascii="Times New Roman" w:hAnsi="Times New Roman" w:cs="Times New Roman"/>
              </w:rPr>
              <w:t xml:space="preserve">SGD, </w:t>
            </w:r>
            <w:r w:rsidR="00F36ED0" w:rsidRPr="00F36ED0">
              <w:rPr>
                <w:rFonts w:ascii="Times New Roman" w:hAnsi="Times New Roman" w:cs="Times New Roman"/>
              </w:rPr>
              <w:t>Singapore dollar</w:t>
            </w:r>
            <w:r w:rsidR="00F36ED0">
              <w:rPr>
                <w:rFonts w:ascii="Times New Roman" w:hAnsi="Times New Roman" w:cs="Times New Roman"/>
              </w:rPr>
              <w:t>;</w:t>
            </w:r>
            <w:r w:rsidR="00F36ED0" w:rsidRPr="00F36ED0">
              <w:rPr>
                <w:rFonts w:ascii="Times New Roman" w:hAnsi="Times New Roman" w:cs="Times New Roman"/>
              </w:rPr>
              <w:t xml:space="preserve"> </w:t>
            </w:r>
            <w:r w:rsidR="005C1972" w:rsidRPr="00DC652F">
              <w:rPr>
                <w:rFonts w:ascii="Times New Roman" w:hAnsi="Times New Roman" w:cs="Times New Roman"/>
              </w:rPr>
              <w:t xml:space="preserve">BMI, body mass </w:t>
            </w:r>
            <w:r w:rsidR="00DC652F">
              <w:rPr>
                <w:rFonts w:ascii="Times New Roman" w:hAnsi="Times New Roman" w:cs="Times New Roman"/>
              </w:rPr>
              <w:t>index; WLZ, weight</w:t>
            </w:r>
            <w:r w:rsidR="000B1D17">
              <w:rPr>
                <w:rFonts w:ascii="Times New Roman" w:hAnsi="Times New Roman" w:cs="Times New Roman"/>
              </w:rPr>
              <w:t>-</w:t>
            </w:r>
            <w:r w:rsidR="00DC652F">
              <w:rPr>
                <w:rFonts w:ascii="Times New Roman" w:hAnsi="Times New Roman" w:cs="Times New Roman"/>
              </w:rPr>
              <w:t>for</w:t>
            </w:r>
            <w:r w:rsidR="000B1D17">
              <w:rPr>
                <w:rFonts w:ascii="Times New Roman" w:hAnsi="Times New Roman" w:cs="Times New Roman"/>
              </w:rPr>
              <w:t>-</w:t>
            </w:r>
            <w:r w:rsidR="00DC652F">
              <w:rPr>
                <w:rFonts w:ascii="Times New Roman" w:hAnsi="Times New Roman" w:cs="Times New Roman"/>
              </w:rPr>
              <w:t>length z</w:t>
            </w:r>
            <w:r w:rsidR="000B1D17">
              <w:rPr>
                <w:rFonts w:ascii="Times New Roman" w:hAnsi="Times New Roman" w:cs="Times New Roman"/>
              </w:rPr>
              <w:t>-</w:t>
            </w:r>
            <w:r w:rsidR="005C1972" w:rsidRPr="00DC652F">
              <w:rPr>
                <w:rFonts w:ascii="Times New Roman" w:hAnsi="Times New Roman" w:cs="Times New Roman"/>
              </w:rPr>
              <w:t>score.</w:t>
            </w:r>
          </w:p>
          <w:p w14:paraId="78BF09E8" w14:textId="2FDEF928" w:rsidR="00623020" w:rsidRPr="00DC652F" w:rsidRDefault="00623020" w:rsidP="00A448D8">
            <w:pPr>
              <w:ind w:right="-57"/>
              <w:rPr>
                <w:rFonts w:ascii="Times New Roman" w:hAnsi="Times New Roman" w:cs="Times New Roman"/>
              </w:rPr>
            </w:pPr>
            <w:r w:rsidRPr="00DC652F">
              <w:rPr>
                <w:rFonts w:ascii="Times New Roman" w:hAnsi="Times New Roman" w:cs="Times New Roman"/>
                <w:vertAlign w:val="superscript"/>
              </w:rPr>
              <w:t xml:space="preserve">* </w:t>
            </w:r>
            <w:r w:rsidRPr="00DC652F">
              <w:rPr>
                <w:rFonts w:ascii="Times New Roman" w:hAnsi="Times New Roman" w:cs="Times New Roman"/>
                <w:i/>
              </w:rPr>
              <w:t xml:space="preserve">P </w:t>
            </w:r>
            <w:r w:rsidRPr="00DC652F">
              <w:rPr>
                <w:rFonts w:ascii="Times New Roman" w:hAnsi="Times New Roman" w:cs="Times New Roman"/>
              </w:rPr>
              <w:t xml:space="preserve">values are based on Fisher’s exact test or independent </w:t>
            </w:r>
            <w:r w:rsidRPr="00DC652F">
              <w:rPr>
                <w:rFonts w:ascii="Times New Roman" w:hAnsi="Times New Roman" w:cs="Times New Roman"/>
                <w:i/>
              </w:rPr>
              <w:t xml:space="preserve">t </w:t>
            </w:r>
            <w:r w:rsidRPr="00DC652F">
              <w:rPr>
                <w:rFonts w:ascii="Times New Roman" w:hAnsi="Times New Roman" w:cs="Times New Roman"/>
              </w:rPr>
              <w:t>test as appropriate.</w:t>
            </w:r>
          </w:p>
          <w:p w14:paraId="0B07234F" w14:textId="28711B43" w:rsidR="00A448D8" w:rsidRPr="00DC652F" w:rsidRDefault="00623020" w:rsidP="00A448D8">
            <w:pPr>
              <w:ind w:right="-57"/>
              <w:rPr>
                <w:rFonts w:ascii="Times New Roman" w:hAnsi="Times New Roman" w:cs="Times New Roman"/>
              </w:rPr>
            </w:pPr>
            <w:r w:rsidRPr="00DC652F">
              <w:rPr>
                <w:rFonts w:ascii="Times New Roman" w:hAnsi="Times New Roman" w:cs="Times New Roman"/>
                <w:vertAlign w:val="superscript"/>
              </w:rPr>
              <w:t>†</w:t>
            </w:r>
            <w:r w:rsidRPr="00DC652F">
              <w:rPr>
                <w:rFonts w:ascii="Times New Roman" w:hAnsi="Times New Roman" w:cs="Times New Roman"/>
              </w:rPr>
              <w:t xml:space="preserve"> </w:t>
            </w:r>
            <w:r w:rsidR="00A448D8" w:rsidRPr="00DC652F">
              <w:rPr>
                <w:rFonts w:ascii="Times New Roman" w:hAnsi="Times New Roman" w:cs="Times New Roman"/>
              </w:rPr>
              <w:t>Based on a subsample of 171 infants</w:t>
            </w:r>
            <w:r w:rsidR="00AB7B21" w:rsidRPr="00DC652F">
              <w:rPr>
                <w:rFonts w:ascii="Times New Roman" w:hAnsi="Times New Roman" w:cs="Times New Roman"/>
              </w:rPr>
              <w:t xml:space="preserve"> (105 pre</w:t>
            </w:r>
            <w:r w:rsidR="000B1D17">
              <w:rPr>
                <w:rFonts w:ascii="Times New Roman" w:hAnsi="Times New Roman" w:cs="Times New Roman"/>
              </w:rPr>
              <w:t>-</w:t>
            </w:r>
            <w:r w:rsidR="00AB7B21" w:rsidRPr="00DC652F">
              <w:rPr>
                <w:rFonts w:ascii="Times New Roman" w:hAnsi="Times New Roman" w:cs="Times New Roman"/>
              </w:rPr>
              <w:t>midnight feeders and 66 post</w:t>
            </w:r>
            <w:r w:rsidR="000B1D17">
              <w:rPr>
                <w:rFonts w:ascii="Times New Roman" w:hAnsi="Times New Roman" w:cs="Times New Roman"/>
              </w:rPr>
              <w:t>-</w:t>
            </w:r>
            <w:r w:rsidR="00AB7B21" w:rsidRPr="00DC652F">
              <w:rPr>
                <w:rFonts w:ascii="Times New Roman" w:hAnsi="Times New Roman" w:cs="Times New Roman"/>
              </w:rPr>
              <w:t>midnight feeders)</w:t>
            </w:r>
            <w:r w:rsidR="005C1972" w:rsidRPr="00DC652F">
              <w:rPr>
                <w:rFonts w:ascii="Times New Roman" w:hAnsi="Times New Roman" w:cs="Times New Roman"/>
              </w:rPr>
              <w:t>.</w:t>
            </w:r>
          </w:p>
          <w:p w14:paraId="789A4A3A" w14:textId="78838565" w:rsidR="00AB7B21" w:rsidRPr="00DC652F" w:rsidRDefault="00623020" w:rsidP="005C1972">
            <w:pPr>
              <w:ind w:right="-57"/>
              <w:rPr>
                <w:rFonts w:ascii="Times New Roman" w:hAnsi="Times New Roman" w:cs="Times New Roman"/>
              </w:rPr>
            </w:pPr>
            <w:r w:rsidRPr="00DC652F">
              <w:rPr>
                <w:rFonts w:ascii="Times New Roman" w:hAnsi="Times New Roman" w:cs="Times New Roman"/>
                <w:sz w:val="21"/>
                <w:szCs w:val="21"/>
                <w:vertAlign w:val="superscript"/>
              </w:rPr>
              <w:t xml:space="preserve">‡ </w:t>
            </w:r>
            <w:r w:rsidR="00A448D8" w:rsidRPr="00DC652F">
              <w:rPr>
                <w:rFonts w:ascii="Times New Roman" w:hAnsi="Times New Roman" w:cs="Times New Roman"/>
              </w:rPr>
              <w:t>Based on a subsample of 170 infants</w:t>
            </w:r>
            <w:r w:rsidRPr="00DC652F">
              <w:rPr>
                <w:rFonts w:ascii="Times New Roman" w:hAnsi="Times New Roman" w:cs="Times New Roman"/>
              </w:rPr>
              <w:t xml:space="preserve"> (104 pre</w:t>
            </w:r>
            <w:r w:rsidR="000B1D17">
              <w:rPr>
                <w:rFonts w:ascii="Times New Roman" w:hAnsi="Times New Roman" w:cs="Times New Roman"/>
              </w:rPr>
              <w:t>-</w:t>
            </w:r>
            <w:r w:rsidRPr="00DC652F">
              <w:rPr>
                <w:rFonts w:ascii="Times New Roman" w:hAnsi="Times New Roman" w:cs="Times New Roman"/>
              </w:rPr>
              <w:t>midnight feeders and 66 post</w:t>
            </w:r>
            <w:r w:rsidR="000B1D17">
              <w:rPr>
                <w:rFonts w:ascii="Times New Roman" w:hAnsi="Times New Roman" w:cs="Times New Roman"/>
              </w:rPr>
              <w:t>-</w:t>
            </w:r>
            <w:r w:rsidRPr="00DC652F">
              <w:rPr>
                <w:rFonts w:ascii="Times New Roman" w:hAnsi="Times New Roman" w:cs="Times New Roman"/>
              </w:rPr>
              <w:t>midnight feeders)</w:t>
            </w:r>
            <w:r w:rsidR="005C1972" w:rsidRPr="00DC652F">
              <w:rPr>
                <w:rFonts w:ascii="Times New Roman" w:hAnsi="Times New Roman" w:cs="Times New Roman"/>
              </w:rPr>
              <w:t>.</w:t>
            </w:r>
          </w:p>
        </w:tc>
      </w:tr>
    </w:tbl>
    <w:p w14:paraId="4F78FF14" w14:textId="77777777" w:rsidR="008A2F3F" w:rsidRDefault="008A2F3F" w:rsidP="001E6B09">
      <w:pPr>
        <w:rPr>
          <w:rFonts w:ascii="Times New Roman" w:hAnsi="Times New Roman" w:cs="Times New Roman"/>
          <w:sz w:val="20"/>
          <w:szCs w:val="20"/>
        </w:rPr>
      </w:pPr>
    </w:p>
    <w:p w14:paraId="77EBA195" w14:textId="77777777" w:rsidR="001335D5" w:rsidRDefault="001335D5" w:rsidP="001E6B09">
      <w:pPr>
        <w:rPr>
          <w:rFonts w:ascii="Times New Roman" w:hAnsi="Times New Roman" w:cs="Times New Roman"/>
          <w:sz w:val="20"/>
          <w:szCs w:val="20"/>
        </w:rPr>
      </w:pPr>
    </w:p>
    <w:p w14:paraId="5645D42A" w14:textId="77777777" w:rsidR="004323A7" w:rsidRDefault="004323A7" w:rsidP="001E6B09">
      <w:pPr>
        <w:rPr>
          <w:rFonts w:ascii="Times New Roman" w:hAnsi="Times New Roman" w:cs="Times New Roman"/>
          <w:sz w:val="20"/>
          <w:szCs w:val="20"/>
        </w:rPr>
      </w:pPr>
    </w:p>
    <w:p w14:paraId="4FE92B32" w14:textId="77777777" w:rsidR="004323A7" w:rsidRDefault="004323A7" w:rsidP="001E6B09">
      <w:pPr>
        <w:rPr>
          <w:rFonts w:ascii="Times New Roman" w:hAnsi="Times New Roman" w:cs="Times New Roman"/>
          <w:sz w:val="20"/>
          <w:szCs w:val="20"/>
        </w:rPr>
      </w:pPr>
    </w:p>
    <w:p w14:paraId="3F2AF222" w14:textId="77777777" w:rsidR="004323A7" w:rsidRDefault="004323A7" w:rsidP="001E6B09">
      <w:pPr>
        <w:rPr>
          <w:rFonts w:ascii="Times New Roman" w:hAnsi="Times New Roman" w:cs="Times New Roman"/>
          <w:sz w:val="20"/>
          <w:szCs w:val="20"/>
        </w:rPr>
      </w:pPr>
    </w:p>
    <w:p w14:paraId="6D97DB70" w14:textId="77777777" w:rsidR="004323A7" w:rsidRDefault="004323A7" w:rsidP="001E6B09">
      <w:pPr>
        <w:rPr>
          <w:rFonts w:ascii="Times New Roman" w:hAnsi="Times New Roman" w:cs="Times New Roman"/>
          <w:sz w:val="20"/>
          <w:szCs w:val="20"/>
        </w:rPr>
      </w:pPr>
    </w:p>
    <w:p w14:paraId="75CA56C3" w14:textId="77777777" w:rsidR="004323A7" w:rsidRDefault="004323A7" w:rsidP="001E6B09">
      <w:pPr>
        <w:rPr>
          <w:rFonts w:ascii="Times New Roman" w:hAnsi="Times New Roman" w:cs="Times New Roman"/>
          <w:sz w:val="20"/>
          <w:szCs w:val="20"/>
        </w:rPr>
      </w:pPr>
    </w:p>
    <w:p w14:paraId="6E6F7970" w14:textId="77777777" w:rsidR="004323A7" w:rsidRDefault="004323A7" w:rsidP="001E6B09">
      <w:pPr>
        <w:rPr>
          <w:rFonts w:ascii="Times New Roman" w:hAnsi="Times New Roman" w:cs="Times New Roman"/>
          <w:sz w:val="20"/>
          <w:szCs w:val="20"/>
        </w:rPr>
      </w:pPr>
    </w:p>
    <w:p w14:paraId="36C23833" w14:textId="77777777" w:rsidR="00BE4397" w:rsidRDefault="00BE4397" w:rsidP="00BE4397">
      <w:pPr>
        <w:jc w:val="both"/>
        <w:rPr>
          <w:rFonts w:ascii="Times New Roman" w:hAnsi="Times New Roman" w:cs="Times New Roman"/>
          <w:sz w:val="20"/>
          <w:szCs w:val="20"/>
        </w:rPr>
      </w:pPr>
    </w:p>
    <w:tbl>
      <w:tblPr>
        <w:tblStyle w:val="TableGrid"/>
        <w:tblpPr w:leftFromText="180" w:rightFromText="180" w:vertAnchor="text" w:horzAnchor="page" w:tblpX="1033" w:tblpY="-58"/>
        <w:tblW w:w="1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8"/>
        <w:gridCol w:w="1416"/>
        <w:gridCol w:w="1417"/>
        <w:gridCol w:w="236"/>
        <w:gridCol w:w="1417"/>
        <w:gridCol w:w="1418"/>
        <w:gridCol w:w="236"/>
        <w:gridCol w:w="1417"/>
        <w:gridCol w:w="1418"/>
        <w:gridCol w:w="236"/>
        <w:gridCol w:w="953"/>
      </w:tblGrid>
      <w:tr w:rsidR="00BE4397" w:rsidRPr="00B05D7B" w14:paraId="75C6AD21" w14:textId="77777777" w:rsidTr="0077390C">
        <w:trPr>
          <w:cantSplit/>
          <w:trHeight w:val="266"/>
        </w:trPr>
        <w:tc>
          <w:tcPr>
            <w:tcW w:w="12802" w:type="dxa"/>
            <w:gridSpan w:val="11"/>
            <w:tcBorders>
              <w:bottom w:val="single" w:sz="4" w:space="0" w:color="auto"/>
            </w:tcBorders>
          </w:tcPr>
          <w:p w14:paraId="3AD343F4" w14:textId="12D421CB" w:rsidR="00BE4397" w:rsidRPr="000A610A" w:rsidRDefault="00BE4397" w:rsidP="00BE4397">
            <w:pPr>
              <w:ind w:right="-57"/>
              <w:jc w:val="both"/>
              <w:rPr>
                <w:rFonts w:ascii="Times New Roman" w:hAnsi="Times New Roman" w:cs="Times New Roman"/>
              </w:rPr>
            </w:pPr>
            <w:r w:rsidRPr="000A610A">
              <w:rPr>
                <w:rFonts w:ascii="Times New Roman" w:hAnsi="Times New Roman" w:cs="Times New Roman"/>
                <w:b/>
              </w:rPr>
              <w:lastRenderedPageBreak/>
              <w:t xml:space="preserve">Table 2. </w:t>
            </w:r>
            <w:r w:rsidRPr="000A610A">
              <w:rPr>
                <w:rFonts w:ascii="Times New Roman" w:hAnsi="Times New Roman" w:cs="Times New Roman"/>
              </w:rPr>
              <w:t>24</w:t>
            </w:r>
            <w:r w:rsidR="000B1D17">
              <w:rPr>
                <w:rFonts w:ascii="Times New Roman" w:hAnsi="Times New Roman" w:cs="Times New Roman"/>
              </w:rPr>
              <w:t>-</w:t>
            </w:r>
            <w:r w:rsidRPr="000A610A">
              <w:rPr>
                <w:rFonts w:ascii="Times New Roman" w:hAnsi="Times New Roman" w:cs="Times New Roman"/>
              </w:rPr>
              <w:t>h</w:t>
            </w:r>
            <w:r w:rsidR="00597F11">
              <w:rPr>
                <w:rFonts w:ascii="Times New Roman" w:hAnsi="Times New Roman" w:cs="Times New Roman"/>
              </w:rPr>
              <w:t>our</w:t>
            </w:r>
            <w:r w:rsidRPr="000A610A">
              <w:rPr>
                <w:rFonts w:ascii="Times New Roman" w:hAnsi="Times New Roman" w:cs="Times New Roman"/>
              </w:rPr>
              <w:t xml:space="preserve"> </w:t>
            </w:r>
            <w:r w:rsidR="00884B9D">
              <w:rPr>
                <w:rFonts w:ascii="Times New Roman" w:hAnsi="Times New Roman" w:cs="Times New Roman"/>
              </w:rPr>
              <w:t xml:space="preserve">dietary </w:t>
            </w:r>
            <w:r w:rsidRPr="000A610A">
              <w:rPr>
                <w:rFonts w:ascii="Times New Roman" w:hAnsi="Times New Roman" w:cs="Times New Roman"/>
              </w:rPr>
              <w:t>intake</w:t>
            </w:r>
            <w:r w:rsidR="00884B9D">
              <w:rPr>
                <w:rFonts w:ascii="Times New Roman" w:hAnsi="Times New Roman" w:cs="Times New Roman"/>
              </w:rPr>
              <w:t>s</w:t>
            </w:r>
            <w:r w:rsidRPr="000A610A">
              <w:rPr>
                <w:rFonts w:ascii="Times New Roman" w:hAnsi="Times New Roman" w:cs="Times New Roman"/>
              </w:rPr>
              <w:t xml:space="preserve"> of </w:t>
            </w:r>
            <w:r w:rsidR="00C70649">
              <w:rPr>
                <w:rFonts w:ascii="Times New Roman" w:hAnsi="Times New Roman" w:cs="Times New Roman"/>
              </w:rPr>
              <w:t>infants</w:t>
            </w:r>
            <w:r w:rsidRPr="000A610A">
              <w:rPr>
                <w:rFonts w:ascii="Times New Roman" w:hAnsi="Times New Roman" w:cs="Times New Roman"/>
              </w:rPr>
              <w:t xml:space="preserve"> (</w:t>
            </w:r>
            <w:r w:rsidRPr="000A610A">
              <w:rPr>
                <w:rFonts w:ascii="Times New Roman" w:hAnsi="Times New Roman" w:cs="Times New Roman"/>
                <w:i/>
              </w:rPr>
              <w:t>n</w:t>
            </w:r>
            <w:r w:rsidRPr="000A610A">
              <w:rPr>
                <w:rFonts w:ascii="Times New Roman" w:hAnsi="Times New Roman" w:cs="Times New Roman"/>
              </w:rPr>
              <w:t xml:space="preserve"> 431)</w:t>
            </w:r>
          </w:p>
          <w:p w14:paraId="55E2B856" w14:textId="77777777" w:rsidR="00BE4397" w:rsidRPr="000A610A" w:rsidRDefault="00BE4397" w:rsidP="00BE4397">
            <w:pPr>
              <w:ind w:right="-57"/>
              <w:jc w:val="both"/>
              <w:rPr>
                <w:rFonts w:ascii="Times New Roman" w:hAnsi="Times New Roman" w:cs="Times New Roman"/>
                <w:b/>
              </w:rPr>
            </w:pPr>
            <w:r w:rsidRPr="000A610A">
              <w:rPr>
                <w:rFonts w:ascii="Times New Roman" w:hAnsi="Times New Roman" w:cs="Times New Roman"/>
              </w:rPr>
              <w:t>(Numbers and percentages for categorical variables or mean values and standard deviations for continuous variables)</w:t>
            </w:r>
            <w:r w:rsidRPr="000A610A">
              <w:rPr>
                <w:rFonts w:ascii="Times New Roman" w:hAnsi="Times New Roman" w:cs="Times New Roman"/>
              </w:rPr>
              <w:tab/>
            </w:r>
          </w:p>
        </w:tc>
      </w:tr>
      <w:tr w:rsidR="0077390C" w:rsidRPr="00B05D7B" w14:paraId="3EEBA976" w14:textId="77777777" w:rsidTr="0077390C">
        <w:trPr>
          <w:cantSplit/>
          <w:trHeight w:val="283"/>
        </w:trPr>
        <w:tc>
          <w:tcPr>
            <w:tcW w:w="2638" w:type="dxa"/>
            <w:vMerge w:val="restart"/>
            <w:tcBorders>
              <w:top w:val="single" w:sz="4" w:space="0" w:color="auto"/>
            </w:tcBorders>
            <w:vAlign w:val="center"/>
          </w:tcPr>
          <w:p w14:paraId="61ECCEC9" w14:textId="77777777" w:rsidR="0077390C" w:rsidRPr="000A610A" w:rsidRDefault="0077390C" w:rsidP="00BE4397">
            <w:pPr>
              <w:ind w:right="-57"/>
              <w:rPr>
                <w:rFonts w:ascii="Times New Roman" w:hAnsi="Times New Roman" w:cs="Times New Roman"/>
              </w:rPr>
            </w:pPr>
          </w:p>
        </w:tc>
        <w:tc>
          <w:tcPr>
            <w:tcW w:w="2833" w:type="dxa"/>
            <w:gridSpan w:val="2"/>
            <w:tcBorders>
              <w:top w:val="single" w:sz="4" w:space="0" w:color="auto"/>
              <w:bottom w:val="single" w:sz="4" w:space="0" w:color="auto"/>
            </w:tcBorders>
            <w:vAlign w:val="center"/>
          </w:tcPr>
          <w:p w14:paraId="54C5E257" w14:textId="77777777" w:rsidR="0077390C" w:rsidRPr="000A610A" w:rsidRDefault="0077390C" w:rsidP="00BE4397">
            <w:pPr>
              <w:ind w:right="-57"/>
              <w:jc w:val="center"/>
              <w:rPr>
                <w:rFonts w:ascii="Times New Roman" w:hAnsi="Times New Roman" w:cs="Times New Roman"/>
              </w:rPr>
            </w:pPr>
            <w:r w:rsidRPr="000A610A">
              <w:rPr>
                <w:rFonts w:ascii="Times New Roman" w:hAnsi="Times New Roman" w:cs="Times New Roman"/>
              </w:rPr>
              <w:t>Overall (</w:t>
            </w:r>
            <w:r w:rsidRPr="000A610A">
              <w:rPr>
                <w:rFonts w:ascii="Times New Roman" w:hAnsi="Times New Roman" w:cs="Times New Roman"/>
                <w:i/>
              </w:rPr>
              <w:t>n</w:t>
            </w:r>
            <w:r w:rsidRPr="000A610A">
              <w:rPr>
                <w:rFonts w:ascii="Times New Roman" w:hAnsi="Times New Roman" w:cs="Times New Roman"/>
              </w:rPr>
              <w:t xml:space="preserve"> 431)</w:t>
            </w:r>
          </w:p>
        </w:tc>
        <w:tc>
          <w:tcPr>
            <w:tcW w:w="236" w:type="dxa"/>
            <w:tcBorders>
              <w:top w:val="single" w:sz="4" w:space="0" w:color="auto"/>
            </w:tcBorders>
            <w:vAlign w:val="center"/>
          </w:tcPr>
          <w:p w14:paraId="4688FDF8" w14:textId="77777777" w:rsidR="0077390C" w:rsidRPr="000A610A" w:rsidRDefault="0077390C" w:rsidP="00BE4397">
            <w:pPr>
              <w:ind w:right="-57"/>
              <w:jc w:val="center"/>
              <w:rPr>
                <w:rFonts w:ascii="Times New Roman" w:hAnsi="Times New Roman" w:cs="Times New Roman"/>
              </w:rPr>
            </w:pPr>
          </w:p>
        </w:tc>
        <w:tc>
          <w:tcPr>
            <w:tcW w:w="2835" w:type="dxa"/>
            <w:gridSpan w:val="2"/>
            <w:tcBorders>
              <w:top w:val="single" w:sz="4" w:space="0" w:color="auto"/>
              <w:bottom w:val="single" w:sz="4" w:space="0" w:color="auto"/>
            </w:tcBorders>
            <w:vAlign w:val="center"/>
          </w:tcPr>
          <w:p w14:paraId="1083EF2F" w14:textId="6378718F" w:rsidR="0077390C" w:rsidRPr="000A610A" w:rsidRDefault="0077390C" w:rsidP="00BE4397">
            <w:pPr>
              <w:ind w:right="-57"/>
              <w:jc w:val="center"/>
              <w:rPr>
                <w:rFonts w:ascii="Times New Roman" w:hAnsi="Times New Roman" w:cs="Times New Roman"/>
              </w:rPr>
            </w:pPr>
            <w:r w:rsidRPr="000A610A">
              <w:rPr>
                <w:rFonts w:ascii="Times New Roman" w:hAnsi="Times New Roman" w:cs="Times New Roman"/>
              </w:rPr>
              <w:t>Pre</w:t>
            </w:r>
            <w:r w:rsidR="000B1D17">
              <w:rPr>
                <w:rFonts w:ascii="Times New Roman" w:hAnsi="Times New Roman" w:cs="Times New Roman"/>
              </w:rPr>
              <w:t>-</w:t>
            </w:r>
            <w:r w:rsidRPr="000A610A">
              <w:rPr>
                <w:rFonts w:ascii="Times New Roman" w:hAnsi="Times New Roman" w:cs="Times New Roman"/>
              </w:rPr>
              <w:t>midnight feeders (</w:t>
            </w:r>
            <w:r w:rsidRPr="000A610A">
              <w:rPr>
                <w:rFonts w:ascii="Times New Roman" w:hAnsi="Times New Roman" w:cs="Times New Roman"/>
                <w:i/>
              </w:rPr>
              <w:t>n</w:t>
            </w:r>
            <w:r w:rsidRPr="000A610A">
              <w:rPr>
                <w:rFonts w:ascii="Times New Roman" w:hAnsi="Times New Roman" w:cs="Times New Roman"/>
              </w:rPr>
              <w:t xml:space="preserve"> 251)</w:t>
            </w:r>
          </w:p>
        </w:tc>
        <w:tc>
          <w:tcPr>
            <w:tcW w:w="236" w:type="dxa"/>
            <w:tcBorders>
              <w:top w:val="single" w:sz="4" w:space="0" w:color="auto"/>
              <w:bottom w:val="single" w:sz="4" w:space="0" w:color="auto"/>
            </w:tcBorders>
            <w:vAlign w:val="center"/>
          </w:tcPr>
          <w:p w14:paraId="307B9A9E" w14:textId="77777777" w:rsidR="0077390C" w:rsidRPr="000A610A" w:rsidRDefault="0077390C" w:rsidP="00BE4397">
            <w:pPr>
              <w:jc w:val="center"/>
              <w:rPr>
                <w:rFonts w:ascii="Times New Roman" w:hAnsi="Times New Roman" w:cs="Times New Roman"/>
              </w:rPr>
            </w:pPr>
          </w:p>
        </w:tc>
        <w:tc>
          <w:tcPr>
            <w:tcW w:w="2835" w:type="dxa"/>
            <w:gridSpan w:val="2"/>
            <w:tcBorders>
              <w:top w:val="single" w:sz="4" w:space="0" w:color="auto"/>
              <w:bottom w:val="single" w:sz="4" w:space="0" w:color="auto"/>
            </w:tcBorders>
            <w:vAlign w:val="center"/>
          </w:tcPr>
          <w:p w14:paraId="10E77040" w14:textId="64B2F230" w:rsidR="0077390C" w:rsidRPr="000A610A" w:rsidRDefault="0077390C" w:rsidP="00BE4397">
            <w:pPr>
              <w:ind w:left="-57" w:right="-57"/>
              <w:jc w:val="center"/>
              <w:rPr>
                <w:rFonts w:ascii="Times New Roman" w:hAnsi="Times New Roman" w:cs="Times New Roman"/>
              </w:rPr>
            </w:pPr>
            <w:r w:rsidRPr="000A610A">
              <w:rPr>
                <w:rFonts w:ascii="Times New Roman" w:hAnsi="Times New Roman" w:cs="Times New Roman"/>
              </w:rPr>
              <w:t>Post</w:t>
            </w:r>
            <w:r w:rsidR="000B1D17">
              <w:rPr>
                <w:rFonts w:ascii="Times New Roman" w:hAnsi="Times New Roman" w:cs="Times New Roman"/>
              </w:rPr>
              <w:t>-</w:t>
            </w:r>
            <w:r w:rsidRPr="000A610A">
              <w:rPr>
                <w:rFonts w:ascii="Times New Roman" w:hAnsi="Times New Roman" w:cs="Times New Roman"/>
              </w:rPr>
              <w:t>midnight feeders (</w:t>
            </w:r>
            <w:r w:rsidRPr="000A610A">
              <w:rPr>
                <w:rFonts w:ascii="Times New Roman" w:hAnsi="Times New Roman" w:cs="Times New Roman"/>
                <w:i/>
              </w:rPr>
              <w:t>n</w:t>
            </w:r>
            <w:r w:rsidRPr="000A610A">
              <w:rPr>
                <w:rFonts w:ascii="Times New Roman" w:hAnsi="Times New Roman" w:cs="Times New Roman"/>
              </w:rPr>
              <w:t xml:space="preserve"> 180)</w:t>
            </w:r>
          </w:p>
        </w:tc>
        <w:tc>
          <w:tcPr>
            <w:tcW w:w="236" w:type="dxa"/>
            <w:tcBorders>
              <w:top w:val="single" w:sz="4" w:space="0" w:color="auto"/>
            </w:tcBorders>
            <w:vAlign w:val="center"/>
          </w:tcPr>
          <w:p w14:paraId="19C9FA5B" w14:textId="77777777" w:rsidR="0077390C" w:rsidRPr="000A610A" w:rsidRDefault="0077390C" w:rsidP="00BE4397">
            <w:pPr>
              <w:ind w:right="-57"/>
              <w:jc w:val="center"/>
              <w:rPr>
                <w:rFonts w:ascii="Times New Roman" w:hAnsi="Times New Roman" w:cs="Times New Roman"/>
                <w:i/>
              </w:rPr>
            </w:pPr>
          </w:p>
        </w:tc>
        <w:tc>
          <w:tcPr>
            <w:tcW w:w="953" w:type="dxa"/>
            <w:vMerge w:val="restart"/>
            <w:tcBorders>
              <w:top w:val="single" w:sz="4" w:space="0" w:color="auto"/>
            </w:tcBorders>
            <w:vAlign w:val="center"/>
          </w:tcPr>
          <w:p w14:paraId="749623E3" w14:textId="77777777" w:rsidR="0077390C" w:rsidRPr="000A610A" w:rsidRDefault="0077390C" w:rsidP="00BE4397">
            <w:pPr>
              <w:ind w:left="-57" w:right="-57"/>
              <w:jc w:val="center"/>
              <w:rPr>
                <w:rFonts w:ascii="Times New Roman" w:hAnsi="Times New Roman" w:cs="Times New Roman"/>
                <w:i/>
                <w:vertAlign w:val="superscript"/>
              </w:rPr>
            </w:pPr>
            <w:r w:rsidRPr="000A610A">
              <w:rPr>
                <w:rFonts w:ascii="Times New Roman" w:hAnsi="Times New Roman" w:cs="Times New Roman"/>
                <w:i/>
              </w:rPr>
              <w:t>P</w:t>
            </w:r>
            <w:r w:rsidRPr="000A610A">
              <w:rPr>
                <w:rFonts w:ascii="Times New Roman" w:hAnsi="Times New Roman" w:cs="Times New Roman"/>
                <w:i/>
                <w:vertAlign w:val="superscript"/>
              </w:rPr>
              <w:t>*</w:t>
            </w:r>
          </w:p>
        </w:tc>
      </w:tr>
      <w:tr w:rsidR="0077390C" w:rsidRPr="00B05D7B" w14:paraId="6049491B" w14:textId="77777777" w:rsidTr="0077390C">
        <w:trPr>
          <w:cantSplit/>
          <w:trHeight w:val="283"/>
        </w:trPr>
        <w:tc>
          <w:tcPr>
            <w:tcW w:w="2638" w:type="dxa"/>
            <w:vMerge/>
            <w:tcBorders>
              <w:bottom w:val="single" w:sz="4" w:space="0" w:color="auto"/>
            </w:tcBorders>
            <w:vAlign w:val="center"/>
          </w:tcPr>
          <w:p w14:paraId="71D0E037" w14:textId="77777777" w:rsidR="0077390C" w:rsidRPr="000A610A" w:rsidRDefault="0077390C" w:rsidP="00BE4397">
            <w:pPr>
              <w:ind w:right="-57"/>
              <w:rPr>
                <w:rFonts w:ascii="Times New Roman" w:hAnsi="Times New Roman" w:cs="Times New Roman"/>
              </w:rPr>
            </w:pPr>
          </w:p>
        </w:tc>
        <w:tc>
          <w:tcPr>
            <w:tcW w:w="1416" w:type="dxa"/>
            <w:tcBorders>
              <w:bottom w:val="single" w:sz="4" w:space="0" w:color="auto"/>
            </w:tcBorders>
            <w:vAlign w:val="center"/>
          </w:tcPr>
          <w:p w14:paraId="7536A1B4" w14:textId="77777777" w:rsidR="0077390C" w:rsidRPr="000A610A" w:rsidRDefault="0077390C" w:rsidP="00BE4397">
            <w:pPr>
              <w:ind w:right="-57"/>
              <w:jc w:val="center"/>
              <w:rPr>
                <w:rFonts w:ascii="Times New Roman" w:hAnsi="Times New Roman" w:cs="Times New Roman"/>
              </w:rPr>
            </w:pPr>
            <w:r w:rsidRPr="000A610A">
              <w:rPr>
                <w:rFonts w:ascii="Times New Roman" w:hAnsi="Times New Roman" w:cs="Times New Roman"/>
              </w:rPr>
              <w:t>Mean</w:t>
            </w:r>
          </w:p>
        </w:tc>
        <w:tc>
          <w:tcPr>
            <w:tcW w:w="1417" w:type="dxa"/>
            <w:tcBorders>
              <w:bottom w:val="single" w:sz="4" w:space="0" w:color="auto"/>
            </w:tcBorders>
            <w:vAlign w:val="center"/>
          </w:tcPr>
          <w:p w14:paraId="4BE65CAB" w14:textId="77777777" w:rsidR="0077390C" w:rsidRPr="000A610A" w:rsidRDefault="0077390C" w:rsidP="00BE4397">
            <w:pPr>
              <w:ind w:right="-57"/>
              <w:jc w:val="center"/>
              <w:rPr>
                <w:rFonts w:ascii="Times New Roman" w:hAnsi="Times New Roman" w:cs="Times New Roman"/>
              </w:rPr>
            </w:pPr>
            <w:r w:rsidRPr="000A610A">
              <w:rPr>
                <w:rFonts w:ascii="Times New Roman" w:hAnsi="Times New Roman" w:cs="Times New Roman"/>
              </w:rPr>
              <w:t>SD</w:t>
            </w:r>
          </w:p>
        </w:tc>
        <w:tc>
          <w:tcPr>
            <w:tcW w:w="236" w:type="dxa"/>
            <w:tcBorders>
              <w:bottom w:val="single" w:sz="4" w:space="0" w:color="auto"/>
            </w:tcBorders>
          </w:tcPr>
          <w:p w14:paraId="5F7DE3B6" w14:textId="77777777" w:rsidR="0077390C" w:rsidRPr="000A610A" w:rsidRDefault="0077390C" w:rsidP="00BE4397">
            <w:pPr>
              <w:ind w:right="-57"/>
              <w:jc w:val="center"/>
              <w:rPr>
                <w:rFonts w:ascii="Times New Roman" w:hAnsi="Times New Roman" w:cs="Times New Roman"/>
              </w:rPr>
            </w:pPr>
          </w:p>
        </w:tc>
        <w:tc>
          <w:tcPr>
            <w:tcW w:w="1417" w:type="dxa"/>
            <w:tcBorders>
              <w:bottom w:val="single" w:sz="4" w:space="0" w:color="auto"/>
            </w:tcBorders>
            <w:vAlign w:val="center"/>
          </w:tcPr>
          <w:p w14:paraId="7B95A3EA" w14:textId="77777777" w:rsidR="0077390C" w:rsidRPr="000A610A" w:rsidRDefault="0077390C" w:rsidP="00BE4397">
            <w:pPr>
              <w:ind w:right="-57"/>
              <w:jc w:val="center"/>
              <w:rPr>
                <w:rFonts w:ascii="Times New Roman" w:hAnsi="Times New Roman" w:cs="Times New Roman"/>
              </w:rPr>
            </w:pPr>
            <w:r w:rsidRPr="000A610A">
              <w:rPr>
                <w:rFonts w:ascii="Times New Roman" w:hAnsi="Times New Roman" w:cs="Times New Roman"/>
              </w:rPr>
              <w:t>Mean</w:t>
            </w:r>
          </w:p>
        </w:tc>
        <w:tc>
          <w:tcPr>
            <w:tcW w:w="1418" w:type="dxa"/>
            <w:tcBorders>
              <w:bottom w:val="single" w:sz="4" w:space="0" w:color="auto"/>
            </w:tcBorders>
            <w:vAlign w:val="center"/>
          </w:tcPr>
          <w:p w14:paraId="36BE504E" w14:textId="77777777" w:rsidR="0077390C" w:rsidRPr="000A610A" w:rsidRDefault="0077390C" w:rsidP="00BE4397">
            <w:pPr>
              <w:ind w:right="-57"/>
              <w:jc w:val="center"/>
              <w:rPr>
                <w:rFonts w:ascii="Times New Roman" w:hAnsi="Times New Roman" w:cs="Times New Roman"/>
              </w:rPr>
            </w:pPr>
            <w:r w:rsidRPr="000A610A">
              <w:rPr>
                <w:rFonts w:ascii="Times New Roman" w:hAnsi="Times New Roman" w:cs="Times New Roman"/>
              </w:rPr>
              <w:t>SD</w:t>
            </w:r>
          </w:p>
        </w:tc>
        <w:tc>
          <w:tcPr>
            <w:tcW w:w="236" w:type="dxa"/>
            <w:tcBorders>
              <w:bottom w:val="single" w:sz="4" w:space="0" w:color="auto"/>
            </w:tcBorders>
          </w:tcPr>
          <w:p w14:paraId="3E1B8366" w14:textId="77777777" w:rsidR="0077390C" w:rsidRPr="000A610A" w:rsidRDefault="0077390C" w:rsidP="00BE4397">
            <w:pPr>
              <w:ind w:right="-57"/>
              <w:jc w:val="center"/>
              <w:rPr>
                <w:rFonts w:ascii="Times New Roman" w:hAnsi="Times New Roman" w:cs="Times New Roman"/>
              </w:rPr>
            </w:pPr>
          </w:p>
        </w:tc>
        <w:tc>
          <w:tcPr>
            <w:tcW w:w="1417" w:type="dxa"/>
            <w:tcBorders>
              <w:bottom w:val="single" w:sz="4" w:space="0" w:color="auto"/>
            </w:tcBorders>
            <w:vAlign w:val="center"/>
          </w:tcPr>
          <w:p w14:paraId="408CA956" w14:textId="77777777" w:rsidR="0077390C" w:rsidRPr="000A610A" w:rsidRDefault="0077390C" w:rsidP="00BE4397">
            <w:pPr>
              <w:ind w:right="-57"/>
              <w:jc w:val="center"/>
              <w:rPr>
                <w:rFonts w:ascii="Times New Roman" w:hAnsi="Times New Roman" w:cs="Times New Roman"/>
              </w:rPr>
            </w:pPr>
            <w:r w:rsidRPr="000A610A">
              <w:rPr>
                <w:rFonts w:ascii="Times New Roman" w:hAnsi="Times New Roman" w:cs="Times New Roman"/>
              </w:rPr>
              <w:t>Mean</w:t>
            </w:r>
          </w:p>
        </w:tc>
        <w:tc>
          <w:tcPr>
            <w:tcW w:w="1418" w:type="dxa"/>
            <w:tcBorders>
              <w:bottom w:val="single" w:sz="4" w:space="0" w:color="auto"/>
            </w:tcBorders>
            <w:vAlign w:val="center"/>
          </w:tcPr>
          <w:p w14:paraId="6F491471" w14:textId="77777777" w:rsidR="0077390C" w:rsidRPr="000A610A" w:rsidRDefault="0077390C" w:rsidP="00BE4397">
            <w:pPr>
              <w:ind w:right="-57"/>
              <w:jc w:val="center"/>
              <w:rPr>
                <w:rFonts w:ascii="Times New Roman" w:hAnsi="Times New Roman" w:cs="Times New Roman"/>
              </w:rPr>
            </w:pPr>
            <w:r w:rsidRPr="000A610A">
              <w:rPr>
                <w:rFonts w:ascii="Times New Roman" w:hAnsi="Times New Roman" w:cs="Times New Roman"/>
              </w:rPr>
              <w:t>SD</w:t>
            </w:r>
          </w:p>
        </w:tc>
        <w:tc>
          <w:tcPr>
            <w:tcW w:w="236" w:type="dxa"/>
            <w:tcBorders>
              <w:bottom w:val="single" w:sz="4" w:space="0" w:color="auto"/>
            </w:tcBorders>
          </w:tcPr>
          <w:p w14:paraId="61A228D6" w14:textId="77777777" w:rsidR="0077390C" w:rsidRPr="000A610A" w:rsidRDefault="0077390C" w:rsidP="00BE4397">
            <w:pPr>
              <w:ind w:right="-57"/>
              <w:jc w:val="center"/>
              <w:rPr>
                <w:rFonts w:ascii="Times New Roman" w:hAnsi="Times New Roman" w:cs="Times New Roman"/>
              </w:rPr>
            </w:pPr>
          </w:p>
        </w:tc>
        <w:tc>
          <w:tcPr>
            <w:tcW w:w="953" w:type="dxa"/>
            <w:vMerge/>
            <w:tcBorders>
              <w:bottom w:val="single" w:sz="4" w:space="0" w:color="auto"/>
            </w:tcBorders>
          </w:tcPr>
          <w:p w14:paraId="25058843" w14:textId="77777777" w:rsidR="0077390C" w:rsidRPr="000A610A" w:rsidRDefault="0077390C" w:rsidP="00BE4397">
            <w:pPr>
              <w:ind w:right="-57"/>
              <w:jc w:val="center"/>
              <w:rPr>
                <w:rFonts w:ascii="Times New Roman" w:hAnsi="Times New Roman" w:cs="Times New Roman"/>
              </w:rPr>
            </w:pPr>
          </w:p>
        </w:tc>
      </w:tr>
      <w:tr w:rsidR="00BE4397" w:rsidRPr="00B05D7B" w14:paraId="0C735E71" w14:textId="77777777" w:rsidTr="0077390C">
        <w:trPr>
          <w:cantSplit/>
          <w:trHeight w:val="283"/>
        </w:trPr>
        <w:tc>
          <w:tcPr>
            <w:tcW w:w="2638" w:type="dxa"/>
            <w:tcBorders>
              <w:top w:val="single" w:sz="4" w:space="0" w:color="auto"/>
            </w:tcBorders>
          </w:tcPr>
          <w:p w14:paraId="768677AF" w14:textId="77777777" w:rsidR="00BE4397" w:rsidRPr="00FF43C5" w:rsidRDefault="00BE4397" w:rsidP="00BE4397">
            <w:pPr>
              <w:ind w:right="-57"/>
              <w:rPr>
                <w:rFonts w:ascii="Times New Roman" w:hAnsi="Times New Roman" w:cs="Times New Roman"/>
                <w:b/>
              </w:rPr>
            </w:pPr>
            <w:r w:rsidRPr="00FF43C5">
              <w:rPr>
                <w:rFonts w:ascii="Times New Roman" w:hAnsi="Times New Roman" w:cs="Times New Roman"/>
                <w:b/>
                <w:color w:val="000000" w:themeColor="text1"/>
              </w:rPr>
              <w:t>00.00</w:t>
            </w:r>
            <w:r w:rsidRPr="00FF43C5">
              <w:rPr>
                <w:rFonts w:ascii="Calibri" w:hAnsi="Calibri" w:cs="Calibri"/>
                <w:b/>
                <w:color w:val="000000" w:themeColor="text1"/>
              </w:rPr>
              <w:t>‒</w:t>
            </w:r>
            <w:r w:rsidRPr="00FF43C5">
              <w:rPr>
                <w:rFonts w:ascii="Times New Roman" w:hAnsi="Times New Roman" w:cs="Times New Roman"/>
                <w:b/>
                <w:color w:val="000000" w:themeColor="text1"/>
              </w:rPr>
              <w:t>23.59 hours</w:t>
            </w:r>
          </w:p>
        </w:tc>
        <w:tc>
          <w:tcPr>
            <w:tcW w:w="1416" w:type="dxa"/>
            <w:tcBorders>
              <w:top w:val="single" w:sz="4" w:space="0" w:color="auto"/>
            </w:tcBorders>
            <w:vAlign w:val="center"/>
          </w:tcPr>
          <w:p w14:paraId="1FAA5D7A" w14:textId="77777777" w:rsidR="00BE4397" w:rsidRPr="000A610A" w:rsidRDefault="00BE4397" w:rsidP="00BE4397">
            <w:pPr>
              <w:ind w:right="-57"/>
              <w:jc w:val="center"/>
              <w:rPr>
                <w:rFonts w:ascii="Times New Roman" w:hAnsi="Times New Roman" w:cs="Times New Roman"/>
              </w:rPr>
            </w:pPr>
          </w:p>
        </w:tc>
        <w:tc>
          <w:tcPr>
            <w:tcW w:w="1417" w:type="dxa"/>
            <w:tcBorders>
              <w:top w:val="single" w:sz="4" w:space="0" w:color="auto"/>
            </w:tcBorders>
            <w:vAlign w:val="center"/>
          </w:tcPr>
          <w:p w14:paraId="65D0D02F" w14:textId="77777777" w:rsidR="00BE4397" w:rsidRPr="000A610A" w:rsidRDefault="00BE4397" w:rsidP="00BE4397">
            <w:pPr>
              <w:ind w:right="-57"/>
              <w:jc w:val="center"/>
              <w:rPr>
                <w:rFonts w:ascii="Times New Roman" w:hAnsi="Times New Roman" w:cs="Times New Roman"/>
              </w:rPr>
            </w:pPr>
          </w:p>
        </w:tc>
        <w:tc>
          <w:tcPr>
            <w:tcW w:w="236" w:type="dxa"/>
            <w:tcBorders>
              <w:top w:val="single" w:sz="4" w:space="0" w:color="auto"/>
            </w:tcBorders>
          </w:tcPr>
          <w:p w14:paraId="16CF8420" w14:textId="77777777" w:rsidR="00BE4397" w:rsidRPr="000A610A" w:rsidRDefault="00BE4397" w:rsidP="00BE4397">
            <w:pPr>
              <w:ind w:right="-57"/>
              <w:jc w:val="center"/>
              <w:rPr>
                <w:rFonts w:ascii="Times New Roman" w:hAnsi="Times New Roman" w:cs="Times New Roman"/>
              </w:rPr>
            </w:pPr>
          </w:p>
        </w:tc>
        <w:tc>
          <w:tcPr>
            <w:tcW w:w="1417" w:type="dxa"/>
            <w:tcBorders>
              <w:top w:val="single" w:sz="4" w:space="0" w:color="auto"/>
            </w:tcBorders>
          </w:tcPr>
          <w:p w14:paraId="320C8C6D" w14:textId="77777777" w:rsidR="00BE4397" w:rsidRPr="000A610A" w:rsidRDefault="00BE4397" w:rsidP="00BE4397">
            <w:pPr>
              <w:ind w:right="-57"/>
              <w:jc w:val="center"/>
              <w:rPr>
                <w:rFonts w:ascii="Times New Roman" w:hAnsi="Times New Roman" w:cs="Times New Roman"/>
              </w:rPr>
            </w:pPr>
          </w:p>
        </w:tc>
        <w:tc>
          <w:tcPr>
            <w:tcW w:w="1418" w:type="dxa"/>
            <w:tcBorders>
              <w:top w:val="single" w:sz="4" w:space="0" w:color="auto"/>
            </w:tcBorders>
          </w:tcPr>
          <w:p w14:paraId="26741268" w14:textId="77777777" w:rsidR="00BE4397" w:rsidRPr="000A610A" w:rsidRDefault="00BE4397" w:rsidP="00BE4397">
            <w:pPr>
              <w:ind w:right="-57"/>
              <w:jc w:val="center"/>
              <w:rPr>
                <w:rFonts w:ascii="Times New Roman" w:hAnsi="Times New Roman" w:cs="Times New Roman"/>
              </w:rPr>
            </w:pPr>
          </w:p>
        </w:tc>
        <w:tc>
          <w:tcPr>
            <w:tcW w:w="236" w:type="dxa"/>
            <w:tcBorders>
              <w:top w:val="single" w:sz="4" w:space="0" w:color="auto"/>
            </w:tcBorders>
          </w:tcPr>
          <w:p w14:paraId="4DF2ED55" w14:textId="77777777" w:rsidR="00BE4397" w:rsidRPr="000A610A" w:rsidRDefault="00BE4397" w:rsidP="00BE4397">
            <w:pPr>
              <w:ind w:right="-57"/>
              <w:jc w:val="center"/>
              <w:rPr>
                <w:rFonts w:ascii="Times New Roman" w:hAnsi="Times New Roman" w:cs="Times New Roman"/>
              </w:rPr>
            </w:pPr>
          </w:p>
        </w:tc>
        <w:tc>
          <w:tcPr>
            <w:tcW w:w="1417" w:type="dxa"/>
            <w:tcBorders>
              <w:top w:val="single" w:sz="4" w:space="0" w:color="auto"/>
            </w:tcBorders>
          </w:tcPr>
          <w:p w14:paraId="7B87AFA4" w14:textId="77777777" w:rsidR="00BE4397" w:rsidRPr="000A610A" w:rsidRDefault="00BE4397" w:rsidP="00BE4397">
            <w:pPr>
              <w:ind w:right="-57"/>
              <w:jc w:val="center"/>
              <w:rPr>
                <w:rFonts w:ascii="Times New Roman" w:hAnsi="Times New Roman" w:cs="Times New Roman"/>
              </w:rPr>
            </w:pPr>
          </w:p>
        </w:tc>
        <w:tc>
          <w:tcPr>
            <w:tcW w:w="1418" w:type="dxa"/>
            <w:tcBorders>
              <w:top w:val="single" w:sz="4" w:space="0" w:color="auto"/>
            </w:tcBorders>
          </w:tcPr>
          <w:p w14:paraId="1F6A17A6" w14:textId="77777777" w:rsidR="00BE4397" w:rsidRPr="000A610A" w:rsidRDefault="00BE4397" w:rsidP="00BE4397">
            <w:pPr>
              <w:ind w:right="-57"/>
              <w:jc w:val="center"/>
              <w:rPr>
                <w:rFonts w:ascii="Times New Roman" w:hAnsi="Times New Roman" w:cs="Times New Roman"/>
              </w:rPr>
            </w:pPr>
          </w:p>
        </w:tc>
        <w:tc>
          <w:tcPr>
            <w:tcW w:w="236" w:type="dxa"/>
            <w:tcBorders>
              <w:top w:val="single" w:sz="4" w:space="0" w:color="auto"/>
            </w:tcBorders>
          </w:tcPr>
          <w:p w14:paraId="4419F287" w14:textId="77777777" w:rsidR="00BE4397" w:rsidRPr="000A610A" w:rsidRDefault="00BE4397" w:rsidP="00BE4397">
            <w:pPr>
              <w:ind w:right="-57"/>
              <w:jc w:val="center"/>
              <w:rPr>
                <w:rFonts w:ascii="Times New Roman" w:hAnsi="Times New Roman" w:cs="Times New Roman"/>
              </w:rPr>
            </w:pPr>
          </w:p>
        </w:tc>
        <w:tc>
          <w:tcPr>
            <w:tcW w:w="953" w:type="dxa"/>
            <w:tcBorders>
              <w:top w:val="single" w:sz="4" w:space="0" w:color="auto"/>
            </w:tcBorders>
          </w:tcPr>
          <w:p w14:paraId="3279F9DD" w14:textId="77777777" w:rsidR="00BE4397" w:rsidRPr="000A610A" w:rsidRDefault="00BE4397" w:rsidP="00BE4397">
            <w:pPr>
              <w:ind w:right="-57"/>
              <w:jc w:val="center"/>
              <w:rPr>
                <w:rFonts w:ascii="Times New Roman" w:hAnsi="Times New Roman" w:cs="Times New Roman"/>
              </w:rPr>
            </w:pPr>
          </w:p>
        </w:tc>
      </w:tr>
      <w:tr w:rsidR="00BE4397" w:rsidRPr="00B05D7B" w14:paraId="75F15286" w14:textId="77777777" w:rsidTr="0077390C">
        <w:trPr>
          <w:cantSplit/>
          <w:trHeight w:val="283"/>
        </w:trPr>
        <w:tc>
          <w:tcPr>
            <w:tcW w:w="2638" w:type="dxa"/>
          </w:tcPr>
          <w:p w14:paraId="1AB8CD21" w14:textId="556FED29" w:rsidR="00BE4397" w:rsidRPr="000A610A" w:rsidRDefault="00BE4397" w:rsidP="00BE4397">
            <w:pPr>
              <w:rPr>
                <w:rFonts w:ascii="Times New Roman" w:hAnsi="Times New Roman" w:cs="Times New Roman"/>
              </w:rPr>
            </w:pPr>
            <w:r w:rsidRPr="000A610A">
              <w:rPr>
                <w:rFonts w:ascii="Times New Roman" w:hAnsi="Times New Roman" w:cs="Times New Roman"/>
              </w:rPr>
              <w:t xml:space="preserve">     </w:t>
            </w:r>
            <w:r w:rsidR="00B43A27" w:rsidRPr="000A610A">
              <w:rPr>
                <w:rFonts w:ascii="Times New Roman" w:hAnsi="Times New Roman" w:cs="Times New Roman"/>
                <w:color w:val="000000" w:themeColor="text1"/>
              </w:rPr>
              <w:t>Energy (</w:t>
            </w:r>
            <w:r w:rsidRPr="000A610A">
              <w:rPr>
                <w:rFonts w:ascii="Times New Roman" w:hAnsi="Times New Roman" w:cs="Times New Roman"/>
                <w:color w:val="000000" w:themeColor="text1"/>
              </w:rPr>
              <w:t>kcal</w:t>
            </w:r>
            <w:r w:rsidR="00B43A27" w:rsidRPr="000A610A">
              <w:rPr>
                <w:rFonts w:ascii="Times New Roman" w:hAnsi="Times New Roman" w:cs="Times New Roman"/>
                <w:color w:val="000000" w:themeColor="text1"/>
              </w:rPr>
              <w:t>)</w:t>
            </w:r>
          </w:p>
        </w:tc>
        <w:tc>
          <w:tcPr>
            <w:tcW w:w="1416" w:type="dxa"/>
            <w:vAlign w:val="center"/>
          </w:tcPr>
          <w:p w14:paraId="3EA236F8" w14:textId="44B7B7C5" w:rsidR="00BE4397" w:rsidRPr="000A610A" w:rsidRDefault="002F5EBE" w:rsidP="002F5EBE">
            <w:pPr>
              <w:ind w:right="-57"/>
              <w:rPr>
                <w:rFonts w:ascii="Times New Roman" w:hAnsi="Times New Roman" w:cs="Times New Roman"/>
              </w:rPr>
            </w:pPr>
            <w:r w:rsidRPr="000A610A">
              <w:rPr>
                <w:rFonts w:ascii="Times New Roman" w:hAnsi="Times New Roman" w:cs="Times New Roman"/>
              </w:rPr>
              <w:t xml:space="preserve">    </w:t>
            </w:r>
            <w:r w:rsidR="00BE4397" w:rsidRPr="000A610A">
              <w:rPr>
                <w:rFonts w:ascii="Times New Roman" w:hAnsi="Times New Roman" w:cs="Times New Roman"/>
              </w:rPr>
              <w:t>773</w:t>
            </w:r>
          </w:p>
        </w:tc>
        <w:tc>
          <w:tcPr>
            <w:tcW w:w="1417" w:type="dxa"/>
            <w:vAlign w:val="center"/>
          </w:tcPr>
          <w:p w14:paraId="7023999D" w14:textId="3459A163" w:rsidR="00BE4397" w:rsidRPr="000A610A" w:rsidRDefault="002F5EBE" w:rsidP="002F5EBE">
            <w:pPr>
              <w:ind w:right="-57"/>
              <w:rPr>
                <w:rFonts w:ascii="Times New Roman" w:hAnsi="Times New Roman" w:cs="Times New Roman"/>
              </w:rPr>
            </w:pPr>
            <w:r w:rsidRPr="000A610A">
              <w:rPr>
                <w:rFonts w:ascii="Times New Roman" w:hAnsi="Times New Roman" w:cs="Times New Roman"/>
              </w:rPr>
              <w:t xml:space="preserve">    </w:t>
            </w:r>
            <w:r w:rsidR="00BE4397" w:rsidRPr="000A610A">
              <w:rPr>
                <w:rFonts w:ascii="Times New Roman" w:hAnsi="Times New Roman" w:cs="Times New Roman"/>
              </w:rPr>
              <w:t>227</w:t>
            </w:r>
          </w:p>
        </w:tc>
        <w:tc>
          <w:tcPr>
            <w:tcW w:w="236" w:type="dxa"/>
          </w:tcPr>
          <w:p w14:paraId="20C90DDA" w14:textId="77777777" w:rsidR="00BE4397" w:rsidRPr="000A610A" w:rsidRDefault="00BE4397" w:rsidP="00BE4397">
            <w:pPr>
              <w:ind w:right="-57"/>
              <w:jc w:val="center"/>
              <w:rPr>
                <w:rFonts w:ascii="Times New Roman" w:hAnsi="Times New Roman" w:cs="Times New Roman"/>
              </w:rPr>
            </w:pPr>
          </w:p>
        </w:tc>
        <w:tc>
          <w:tcPr>
            <w:tcW w:w="1417" w:type="dxa"/>
          </w:tcPr>
          <w:p w14:paraId="5C253ABC" w14:textId="64975C0A" w:rsidR="00BE4397" w:rsidRPr="000A610A" w:rsidRDefault="002F5EBE" w:rsidP="002F5EBE">
            <w:pPr>
              <w:ind w:right="-57"/>
              <w:rPr>
                <w:rFonts w:ascii="Times New Roman" w:hAnsi="Times New Roman" w:cs="Times New Roman"/>
              </w:rPr>
            </w:pPr>
            <w:r w:rsidRPr="000A610A">
              <w:rPr>
                <w:rFonts w:ascii="Times New Roman" w:hAnsi="Times New Roman" w:cs="Times New Roman"/>
              </w:rPr>
              <w:t xml:space="preserve">    </w:t>
            </w:r>
            <w:r w:rsidR="00BE4397" w:rsidRPr="000A610A">
              <w:rPr>
                <w:rFonts w:ascii="Times New Roman" w:hAnsi="Times New Roman" w:cs="Times New Roman"/>
              </w:rPr>
              <w:t>721</w:t>
            </w:r>
          </w:p>
        </w:tc>
        <w:tc>
          <w:tcPr>
            <w:tcW w:w="1418" w:type="dxa"/>
            <w:vAlign w:val="center"/>
          </w:tcPr>
          <w:p w14:paraId="1B4B36A2" w14:textId="1D334691" w:rsidR="00BE4397" w:rsidRPr="000A610A" w:rsidRDefault="002F5EBE" w:rsidP="002F5EBE">
            <w:pPr>
              <w:ind w:right="-57"/>
              <w:rPr>
                <w:rFonts w:ascii="Times New Roman" w:hAnsi="Times New Roman" w:cs="Times New Roman"/>
              </w:rPr>
            </w:pPr>
            <w:r w:rsidRPr="000A610A">
              <w:rPr>
                <w:rFonts w:ascii="Times New Roman" w:hAnsi="Times New Roman" w:cs="Times New Roman"/>
              </w:rPr>
              <w:t xml:space="preserve">    </w:t>
            </w:r>
            <w:r w:rsidR="00BE4397" w:rsidRPr="000A610A">
              <w:rPr>
                <w:rFonts w:ascii="Times New Roman" w:hAnsi="Times New Roman" w:cs="Times New Roman"/>
              </w:rPr>
              <w:t>190</w:t>
            </w:r>
          </w:p>
        </w:tc>
        <w:tc>
          <w:tcPr>
            <w:tcW w:w="236" w:type="dxa"/>
          </w:tcPr>
          <w:p w14:paraId="2F7BB3C1" w14:textId="77777777" w:rsidR="00BE4397" w:rsidRPr="000A610A" w:rsidRDefault="00BE4397" w:rsidP="00BE4397">
            <w:pPr>
              <w:ind w:right="-57"/>
              <w:jc w:val="center"/>
              <w:rPr>
                <w:rFonts w:ascii="Times New Roman" w:hAnsi="Times New Roman" w:cs="Times New Roman"/>
              </w:rPr>
            </w:pPr>
          </w:p>
        </w:tc>
        <w:tc>
          <w:tcPr>
            <w:tcW w:w="1417" w:type="dxa"/>
            <w:vAlign w:val="center"/>
          </w:tcPr>
          <w:p w14:paraId="37ABB0DB" w14:textId="6CA57E36" w:rsidR="00BE4397" w:rsidRPr="000A610A" w:rsidRDefault="002F5EBE" w:rsidP="002F5EBE">
            <w:pPr>
              <w:ind w:right="-57"/>
              <w:rPr>
                <w:rFonts w:ascii="Times New Roman" w:hAnsi="Times New Roman" w:cs="Times New Roman"/>
              </w:rPr>
            </w:pPr>
            <w:r w:rsidRPr="000A610A">
              <w:rPr>
                <w:rFonts w:ascii="Times New Roman" w:hAnsi="Times New Roman" w:cs="Times New Roman"/>
              </w:rPr>
              <w:t xml:space="preserve">      </w:t>
            </w:r>
            <w:r w:rsidR="00BE4397" w:rsidRPr="000A610A">
              <w:rPr>
                <w:rFonts w:ascii="Times New Roman" w:hAnsi="Times New Roman" w:cs="Times New Roman"/>
              </w:rPr>
              <w:t>844</w:t>
            </w:r>
          </w:p>
        </w:tc>
        <w:tc>
          <w:tcPr>
            <w:tcW w:w="1418" w:type="dxa"/>
          </w:tcPr>
          <w:p w14:paraId="50AC8ECF" w14:textId="0FF68152" w:rsidR="00BE4397" w:rsidRPr="000A610A" w:rsidRDefault="002F5EBE" w:rsidP="002F5EBE">
            <w:pPr>
              <w:ind w:right="-57"/>
              <w:rPr>
                <w:rFonts w:ascii="Times New Roman" w:hAnsi="Times New Roman" w:cs="Times New Roman"/>
              </w:rPr>
            </w:pPr>
            <w:r w:rsidRPr="000A610A">
              <w:rPr>
                <w:rFonts w:ascii="Times New Roman" w:hAnsi="Times New Roman" w:cs="Times New Roman"/>
              </w:rPr>
              <w:t xml:space="preserve">     </w:t>
            </w:r>
            <w:r w:rsidR="00BE4397" w:rsidRPr="000A610A">
              <w:rPr>
                <w:rFonts w:ascii="Times New Roman" w:hAnsi="Times New Roman" w:cs="Times New Roman"/>
              </w:rPr>
              <w:t>256</w:t>
            </w:r>
          </w:p>
        </w:tc>
        <w:tc>
          <w:tcPr>
            <w:tcW w:w="236" w:type="dxa"/>
          </w:tcPr>
          <w:p w14:paraId="06EF7F75" w14:textId="77777777" w:rsidR="00BE4397" w:rsidRPr="000A610A" w:rsidRDefault="00BE4397" w:rsidP="00BE4397">
            <w:pPr>
              <w:ind w:right="-57"/>
              <w:jc w:val="center"/>
              <w:rPr>
                <w:rFonts w:ascii="Times New Roman" w:hAnsi="Times New Roman" w:cs="Times New Roman"/>
              </w:rPr>
            </w:pPr>
          </w:p>
        </w:tc>
        <w:tc>
          <w:tcPr>
            <w:tcW w:w="953" w:type="dxa"/>
            <w:vAlign w:val="center"/>
          </w:tcPr>
          <w:p w14:paraId="2CF96054"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&lt;0.001</w:t>
            </w:r>
          </w:p>
        </w:tc>
      </w:tr>
      <w:tr w:rsidR="00BE4397" w:rsidRPr="00B05D7B" w14:paraId="587DEDE7" w14:textId="77777777" w:rsidTr="0077390C">
        <w:trPr>
          <w:cantSplit/>
          <w:trHeight w:val="283"/>
        </w:trPr>
        <w:tc>
          <w:tcPr>
            <w:tcW w:w="2638" w:type="dxa"/>
          </w:tcPr>
          <w:p w14:paraId="45F7E0FB" w14:textId="035348B5" w:rsidR="00BE4397" w:rsidRPr="000A610A" w:rsidRDefault="00BE4397" w:rsidP="00BE4397">
            <w:pPr>
              <w:rPr>
                <w:rFonts w:ascii="Times New Roman" w:hAnsi="Times New Roman" w:cs="Times New Roman"/>
              </w:rPr>
            </w:pPr>
            <w:r w:rsidRPr="000A610A">
              <w:rPr>
                <w:rFonts w:ascii="Times New Roman" w:hAnsi="Times New Roman" w:cs="Times New Roman"/>
              </w:rPr>
              <w:t xml:space="preserve">     </w:t>
            </w:r>
            <w:r w:rsidR="00B43A27" w:rsidRPr="000A610A">
              <w:rPr>
                <w:rFonts w:ascii="Times New Roman" w:hAnsi="Times New Roman" w:cs="Times New Roman"/>
                <w:color w:val="000000" w:themeColor="text1"/>
              </w:rPr>
              <w:t>Carbohydrate (</w:t>
            </w:r>
            <w:r w:rsidRPr="000A610A">
              <w:rPr>
                <w:rFonts w:ascii="Times New Roman" w:hAnsi="Times New Roman" w:cs="Times New Roman"/>
                <w:color w:val="000000" w:themeColor="text1"/>
              </w:rPr>
              <w:t>g</w:t>
            </w:r>
            <w:r w:rsidR="00B43A27" w:rsidRPr="000A610A">
              <w:rPr>
                <w:rFonts w:ascii="Times New Roman" w:hAnsi="Times New Roman" w:cs="Times New Roman"/>
                <w:color w:val="000000" w:themeColor="text1"/>
              </w:rPr>
              <w:t>)</w:t>
            </w:r>
          </w:p>
        </w:tc>
        <w:tc>
          <w:tcPr>
            <w:tcW w:w="1416" w:type="dxa"/>
            <w:vAlign w:val="center"/>
          </w:tcPr>
          <w:p w14:paraId="517ED23A" w14:textId="1FA7A8B4" w:rsidR="00BE4397" w:rsidRPr="000A610A" w:rsidRDefault="002F5EBE" w:rsidP="002F5EBE">
            <w:pPr>
              <w:ind w:right="-57"/>
              <w:rPr>
                <w:rFonts w:ascii="Times New Roman" w:hAnsi="Times New Roman" w:cs="Times New Roman"/>
              </w:rPr>
            </w:pPr>
            <w:r w:rsidRPr="000A610A">
              <w:rPr>
                <w:rFonts w:ascii="Times New Roman" w:hAnsi="Times New Roman" w:cs="Times New Roman"/>
              </w:rPr>
              <w:t xml:space="preserve">    </w:t>
            </w:r>
            <w:r w:rsidR="00BE4397" w:rsidRPr="000A610A">
              <w:rPr>
                <w:rFonts w:ascii="Times New Roman" w:hAnsi="Times New Roman" w:cs="Times New Roman"/>
              </w:rPr>
              <w:t>100.20</w:t>
            </w:r>
          </w:p>
        </w:tc>
        <w:tc>
          <w:tcPr>
            <w:tcW w:w="1417" w:type="dxa"/>
            <w:vAlign w:val="center"/>
          </w:tcPr>
          <w:p w14:paraId="0953DB22"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34.96</w:t>
            </w:r>
          </w:p>
        </w:tc>
        <w:tc>
          <w:tcPr>
            <w:tcW w:w="236" w:type="dxa"/>
          </w:tcPr>
          <w:p w14:paraId="710A5594" w14:textId="77777777" w:rsidR="00BE4397" w:rsidRPr="000A610A" w:rsidRDefault="00BE4397" w:rsidP="00BE4397">
            <w:pPr>
              <w:ind w:right="-57"/>
              <w:jc w:val="center"/>
              <w:rPr>
                <w:rFonts w:ascii="Times New Roman" w:hAnsi="Times New Roman" w:cs="Times New Roman"/>
              </w:rPr>
            </w:pPr>
          </w:p>
        </w:tc>
        <w:tc>
          <w:tcPr>
            <w:tcW w:w="1417" w:type="dxa"/>
          </w:tcPr>
          <w:p w14:paraId="348211BE"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93.56</w:t>
            </w:r>
          </w:p>
        </w:tc>
        <w:tc>
          <w:tcPr>
            <w:tcW w:w="1418" w:type="dxa"/>
            <w:vAlign w:val="center"/>
          </w:tcPr>
          <w:p w14:paraId="7CEF6CFA"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29.84</w:t>
            </w:r>
          </w:p>
        </w:tc>
        <w:tc>
          <w:tcPr>
            <w:tcW w:w="236" w:type="dxa"/>
          </w:tcPr>
          <w:p w14:paraId="0834B38D" w14:textId="77777777" w:rsidR="00BE4397" w:rsidRPr="000A610A" w:rsidRDefault="00BE4397" w:rsidP="00BE4397">
            <w:pPr>
              <w:ind w:right="-57"/>
              <w:jc w:val="center"/>
              <w:rPr>
                <w:rFonts w:ascii="Times New Roman" w:hAnsi="Times New Roman" w:cs="Times New Roman"/>
              </w:rPr>
            </w:pPr>
          </w:p>
        </w:tc>
        <w:tc>
          <w:tcPr>
            <w:tcW w:w="1417" w:type="dxa"/>
            <w:vAlign w:val="center"/>
          </w:tcPr>
          <w:p w14:paraId="68D8DDF2"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109.46</w:t>
            </w:r>
          </w:p>
        </w:tc>
        <w:tc>
          <w:tcPr>
            <w:tcW w:w="1418" w:type="dxa"/>
          </w:tcPr>
          <w:p w14:paraId="62C76FD1"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39.30</w:t>
            </w:r>
          </w:p>
        </w:tc>
        <w:tc>
          <w:tcPr>
            <w:tcW w:w="236" w:type="dxa"/>
          </w:tcPr>
          <w:p w14:paraId="18199C24" w14:textId="77777777" w:rsidR="00BE4397" w:rsidRPr="000A610A" w:rsidRDefault="00BE4397" w:rsidP="00BE4397">
            <w:pPr>
              <w:ind w:right="-57"/>
              <w:jc w:val="center"/>
              <w:rPr>
                <w:rFonts w:ascii="Times New Roman" w:hAnsi="Times New Roman" w:cs="Times New Roman"/>
              </w:rPr>
            </w:pPr>
          </w:p>
        </w:tc>
        <w:tc>
          <w:tcPr>
            <w:tcW w:w="953" w:type="dxa"/>
            <w:vAlign w:val="center"/>
          </w:tcPr>
          <w:p w14:paraId="2987C42E"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&lt;0.001</w:t>
            </w:r>
          </w:p>
        </w:tc>
      </w:tr>
      <w:tr w:rsidR="00BE4397" w:rsidRPr="00B05D7B" w14:paraId="7EDF8435" w14:textId="77777777" w:rsidTr="0077390C">
        <w:trPr>
          <w:cantSplit/>
          <w:trHeight w:val="283"/>
        </w:trPr>
        <w:tc>
          <w:tcPr>
            <w:tcW w:w="2638" w:type="dxa"/>
          </w:tcPr>
          <w:p w14:paraId="721CA4E9" w14:textId="451D8485" w:rsidR="00BE4397" w:rsidRPr="000A610A" w:rsidRDefault="00BE4397" w:rsidP="00B43A27">
            <w:pPr>
              <w:rPr>
                <w:rFonts w:ascii="Times New Roman" w:hAnsi="Times New Roman" w:cs="Times New Roman"/>
              </w:rPr>
            </w:pPr>
            <w:r w:rsidRPr="000A610A">
              <w:rPr>
                <w:rFonts w:ascii="Times New Roman" w:hAnsi="Times New Roman" w:cs="Times New Roman"/>
              </w:rPr>
              <w:t xml:space="preserve">     </w:t>
            </w:r>
            <w:r w:rsidR="00B43A27" w:rsidRPr="000A610A">
              <w:rPr>
                <w:rFonts w:ascii="Times New Roman" w:hAnsi="Times New Roman" w:cs="Times New Roman"/>
                <w:color w:val="000000" w:themeColor="text1"/>
              </w:rPr>
              <w:t>Fat (</w:t>
            </w:r>
            <w:r w:rsidRPr="000A610A">
              <w:rPr>
                <w:rFonts w:ascii="Times New Roman" w:hAnsi="Times New Roman" w:cs="Times New Roman"/>
                <w:color w:val="000000" w:themeColor="text1"/>
              </w:rPr>
              <w:t>g</w:t>
            </w:r>
            <w:r w:rsidR="00B43A27" w:rsidRPr="000A610A">
              <w:rPr>
                <w:rFonts w:ascii="Times New Roman" w:hAnsi="Times New Roman" w:cs="Times New Roman"/>
                <w:color w:val="000000" w:themeColor="text1"/>
              </w:rPr>
              <w:t>)</w:t>
            </w:r>
          </w:p>
        </w:tc>
        <w:tc>
          <w:tcPr>
            <w:tcW w:w="1416" w:type="dxa"/>
            <w:vAlign w:val="center"/>
          </w:tcPr>
          <w:p w14:paraId="4FEF715C"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29.10</w:t>
            </w:r>
          </w:p>
        </w:tc>
        <w:tc>
          <w:tcPr>
            <w:tcW w:w="1417" w:type="dxa"/>
            <w:vAlign w:val="center"/>
          </w:tcPr>
          <w:p w14:paraId="2FDCB3DC"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10.16</w:t>
            </w:r>
          </w:p>
        </w:tc>
        <w:tc>
          <w:tcPr>
            <w:tcW w:w="236" w:type="dxa"/>
          </w:tcPr>
          <w:p w14:paraId="40ECC5CE" w14:textId="77777777" w:rsidR="00BE4397" w:rsidRPr="000A610A" w:rsidRDefault="00BE4397" w:rsidP="00BE4397">
            <w:pPr>
              <w:ind w:right="-57"/>
              <w:jc w:val="center"/>
              <w:rPr>
                <w:rFonts w:ascii="Times New Roman" w:hAnsi="Times New Roman" w:cs="Times New Roman"/>
              </w:rPr>
            </w:pPr>
          </w:p>
        </w:tc>
        <w:tc>
          <w:tcPr>
            <w:tcW w:w="1417" w:type="dxa"/>
          </w:tcPr>
          <w:p w14:paraId="566D433B"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27.20</w:t>
            </w:r>
          </w:p>
        </w:tc>
        <w:tc>
          <w:tcPr>
            <w:tcW w:w="1418" w:type="dxa"/>
            <w:vAlign w:val="center"/>
          </w:tcPr>
          <w:p w14:paraId="38B90EA4"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9.18</w:t>
            </w:r>
          </w:p>
        </w:tc>
        <w:tc>
          <w:tcPr>
            <w:tcW w:w="236" w:type="dxa"/>
          </w:tcPr>
          <w:p w14:paraId="2E738C1C" w14:textId="77777777" w:rsidR="00BE4397" w:rsidRPr="000A610A" w:rsidRDefault="00BE4397" w:rsidP="00BE4397">
            <w:pPr>
              <w:ind w:right="-57"/>
              <w:jc w:val="center"/>
              <w:rPr>
                <w:rFonts w:ascii="Times New Roman" w:hAnsi="Times New Roman" w:cs="Times New Roman"/>
              </w:rPr>
            </w:pPr>
          </w:p>
        </w:tc>
        <w:tc>
          <w:tcPr>
            <w:tcW w:w="1417" w:type="dxa"/>
            <w:vAlign w:val="center"/>
          </w:tcPr>
          <w:p w14:paraId="21D2E28B"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31.74</w:t>
            </w:r>
          </w:p>
        </w:tc>
        <w:tc>
          <w:tcPr>
            <w:tcW w:w="1418" w:type="dxa"/>
          </w:tcPr>
          <w:p w14:paraId="3249B634"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10.87</w:t>
            </w:r>
          </w:p>
        </w:tc>
        <w:tc>
          <w:tcPr>
            <w:tcW w:w="236" w:type="dxa"/>
          </w:tcPr>
          <w:p w14:paraId="50DFBC36" w14:textId="77777777" w:rsidR="00BE4397" w:rsidRPr="000A610A" w:rsidRDefault="00BE4397" w:rsidP="00BE4397">
            <w:pPr>
              <w:ind w:right="-57"/>
              <w:jc w:val="center"/>
              <w:rPr>
                <w:rFonts w:ascii="Times New Roman" w:hAnsi="Times New Roman" w:cs="Times New Roman"/>
              </w:rPr>
            </w:pPr>
          </w:p>
        </w:tc>
        <w:tc>
          <w:tcPr>
            <w:tcW w:w="953" w:type="dxa"/>
            <w:vAlign w:val="center"/>
          </w:tcPr>
          <w:p w14:paraId="32443CDC"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&lt;0.001</w:t>
            </w:r>
          </w:p>
        </w:tc>
      </w:tr>
      <w:tr w:rsidR="00BE4397" w:rsidRPr="00B05D7B" w14:paraId="7F954E63" w14:textId="77777777" w:rsidTr="0077390C">
        <w:trPr>
          <w:cantSplit/>
          <w:trHeight w:val="283"/>
        </w:trPr>
        <w:tc>
          <w:tcPr>
            <w:tcW w:w="2638" w:type="dxa"/>
          </w:tcPr>
          <w:p w14:paraId="5FDFDF9C" w14:textId="3025CC7E" w:rsidR="00BE4397" w:rsidRPr="000A610A" w:rsidRDefault="00BE4397" w:rsidP="00BE4397">
            <w:pPr>
              <w:rPr>
                <w:rFonts w:ascii="Times New Roman" w:hAnsi="Times New Roman" w:cs="Times New Roman"/>
              </w:rPr>
            </w:pPr>
            <w:r w:rsidRPr="000A610A">
              <w:rPr>
                <w:rFonts w:ascii="Times New Roman" w:hAnsi="Times New Roman" w:cs="Times New Roman"/>
              </w:rPr>
              <w:t xml:space="preserve">     </w:t>
            </w:r>
            <w:r w:rsidR="00B43A27" w:rsidRPr="000A610A">
              <w:rPr>
                <w:rFonts w:ascii="Times New Roman" w:hAnsi="Times New Roman" w:cs="Times New Roman"/>
                <w:color w:val="000000" w:themeColor="text1"/>
              </w:rPr>
              <w:t>Protein (</w:t>
            </w:r>
            <w:r w:rsidRPr="000A610A">
              <w:rPr>
                <w:rFonts w:ascii="Times New Roman" w:hAnsi="Times New Roman" w:cs="Times New Roman"/>
                <w:color w:val="000000" w:themeColor="text1"/>
              </w:rPr>
              <w:t>g</w:t>
            </w:r>
            <w:r w:rsidR="00B43A27" w:rsidRPr="000A610A">
              <w:rPr>
                <w:rFonts w:ascii="Times New Roman" w:hAnsi="Times New Roman" w:cs="Times New Roman"/>
                <w:color w:val="000000" w:themeColor="text1"/>
              </w:rPr>
              <w:t>)</w:t>
            </w:r>
          </w:p>
        </w:tc>
        <w:tc>
          <w:tcPr>
            <w:tcW w:w="1416" w:type="dxa"/>
            <w:vAlign w:val="center"/>
          </w:tcPr>
          <w:p w14:paraId="2A925557"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27.69</w:t>
            </w:r>
          </w:p>
        </w:tc>
        <w:tc>
          <w:tcPr>
            <w:tcW w:w="1417" w:type="dxa"/>
            <w:vAlign w:val="center"/>
          </w:tcPr>
          <w:p w14:paraId="4AE0B323"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9.66</w:t>
            </w:r>
          </w:p>
        </w:tc>
        <w:tc>
          <w:tcPr>
            <w:tcW w:w="236" w:type="dxa"/>
          </w:tcPr>
          <w:p w14:paraId="294518F6" w14:textId="77777777" w:rsidR="00BE4397" w:rsidRPr="000A610A" w:rsidRDefault="00BE4397" w:rsidP="00BE4397">
            <w:pPr>
              <w:ind w:right="-57"/>
              <w:jc w:val="center"/>
              <w:rPr>
                <w:rFonts w:ascii="Times New Roman" w:hAnsi="Times New Roman" w:cs="Times New Roman"/>
              </w:rPr>
            </w:pPr>
          </w:p>
        </w:tc>
        <w:tc>
          <w:tcPr>
            <w:tcW w:w="1417" w:type="dxa"/>
          </w:tcPr>
          <w:p w14:paraId="5ADB67A3"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25.83</w:t>
            </w:r>
          </w:p>
        </w:tc>
        <w:tc>
          <w:tcPr>
            <w:tcW w:w="1418" w:type="dxa"/>
            <w:vAlign w:val="center"/>
          </w:tcPr>
          <w:p w14:paraId="2E23C2FD"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8.20</w:t>
            </w:r>
          </w:p>
        </w:tc>
        <w:tc>
          <w:tcPr>
            <w:tcW w:w="236" w:type="dxa"/>
          </w:tcPr>
          <w:p w14:paraId="2CFC3788" w14:textId="77777777" w:rsidR="00BE4397" w:rsidRPr="000A610A" w:rsidRDefault="00BE4397" w:rsidP="00BE4397">
            <w:pPr>
              <w:ind w:right="-57"/>
              <w:jc w:val="center"/>
              <w:rPr>
                <w:rFonts w:ascii="Times New Roman" w:hAnsi="Times New Roman" w:cs="Times New Roman"/>
              </w:rPr>
            </w:pPr>
          </w:p>
        </w:tc>
        <w:tc>
          <w:tcPr>
            <w:tcW w:w="1417" w:type="dxa"/>
            <w:vAlign w:val="center"/>
          </w:tcPr>
          <w:p w14:paraId="62EB2B27"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30.29</w:t>
            </w:r>
          </w:p>
        </w:tc>
        <w:tc>
          <w:tcPr>
            <w:tcW w:w="1418" w:type="dxa"/>
          </w:tcPr>
          <w:p w14:paraId="72E373B2"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10.90</w:t>
            </w:r>
          </w:p>
        </w:tc>
        <w:tc>
          <w:tcPr>
            <w:tcW w:w="236" w:type="dxa"/>
          </w:tcPr>
          <w:p w14:paraId="1ADA6F86" w14:textId="77777777" w:rsidR="00BE4397" w:rsidRPr="000A610A" w:rsidRDefault="00BE4397" w:rsidP="00BE4397">
            <w:pPr>
              <w:ind w:right="-57"/>
              <w:jc w:val="center"/>
              <w:rPr>
                <w:rFonts w:ascii="Times New Roman" w:hAnsi="Times New Roman" w:cs="Times New Roman"/>
              </w:rPr>
            </w:pPr>
          </w:p>
        </w:tc>
        <w:tc>
          <w:tcPr>
            <w:tcW w:w="953" w:type="dxa"/>
            <w:vAlign w:val="center"/>
          </w:tcPr>
          <w:p w14:paraId="48F524E5"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&lt;0.001</w:t>
            </w:r>
          </w:p>
        </w:tc>
      </w:tr>
      <w:tr w:rsidR="00BE4397" w:rsidRPr="00B05D7B" w14:paraId="2A6F8C2E" w14:textId="77777777" w:rsidTr="0077390C">
        <w:trPr>
          <w:cantSplit/>
          <w:trHeight w:val="283"/>
        </w:trPr>
        <w:tc>
          <w:tcPr>
            <w:tcW w:w="2638" w:type="dxa"/>
          </w:tcPr>
          <w:p w14:paraId="1DED2D12" w14:textId="2CDE8D36" w:rsidR="00BE4397" w:rsidRPr="000A610A" w:rsidRDefault="00BE4397" w:rsidP="00BE4397">
            <w:pPr>
              <w:rPr>
                <w:rFonts w:ascii="Times New Roman" w:hAnsi="Times New Roman" w:cs="Times New Roman"/>
              </w:rPr>
            </w:pPr>
            <w:r w:rsidRPr="000A610A">
              <w:rPr>
                <w:rFonts w:ascii="Times New Roman" w:hAnsi="Times New Roman" w:cs="Times New Roman"/>
              </w:rPr>
              <w:t xml:space="preserve">     </w:t>
            </w:r>
            <w:r w:rsidR="00B43A27" w:rsidRPr="000A610A">
              <w:rPr>
                <w:rFonts w:ascii="Times New Roman" w:hAnsi="Times New Roman" w:cs="Times New Roman"/>
                <w:color w:val="000000" w:themeColor="text1"/>
              </w:rPr>
              <w:t>Proportion (</w:t>
            </w:r>
            <w:r w:rsidRPr="000A610A">
              <w:rPr>
                <w:rFonts w:ascii="Times New Roman" w:hAnsi="Times New Roman" w:cs="Times New Roman"/>
                <w:color w:val="000000" w:themeColor="text1"/>
              </w:rPr>
              <w:t>%</w:t>
            </w:r>
            <w:r w:rsidR="003363D0">
              <w:rPr>
                <w:rFonts w:ascii="Times New Roman" w:hAnsi="Times New Roman" w:cs="Times New Roman"/>
                <w:color w:val="000000" w:themeColor="text1"/>
              </w:rPr>
              <w:t xml:space="preserve"> energy</w:t>
            </w:r>
            <w:r w:rsidR="00B43A27" w:rsidRPr="000A610A">
              <w:rPr>
                <w:rFonts w:ascii="Times New Roman" w:hAnsi="Times New Roman" w:cs="Times New Roman"/>
                <w:color w:val="000000" w:themeColor="text1"/>
              </w:rPr>
              <w:t>)</w:t>
            </w:r>
          </w:p>
        </w:tc>
        <w:tc>
          <w:tcPr>
            <w:tcW w:w="1416" w:type="dxa"/>
            <w:vAlign w:val="center"/>
          </w:tcPr>
          <w:p w14:paraId="2EE6BDD1" w14:textId="77777777" w:rsidR="00BE4397" w:rsidRPr="000A610A" w:rsidRDefault="00BE4397" w:rsidP="00BE4397">
            <w:pPr>
              <w:ind w:right="-57"/>
              <w:jc w:val="center"/>
              <w:rPr>
                <w:rFonts w:ascii="Times New Roman" w:hAnsi="Times New Roman" w:cs="Times New Roman"/>
              </w:rPr>
            </w:pPr>
          </w:p>
        </w:tc>
        <w:tc>
          <w:tcPr>
            <w:tcW w:w="1417" w:type="dxa"/>
            <w:vAlign w:val="center"/>
          </w:tcPr>
          <w:p w14:paraId="650CD031" w14:textId="77777777" w:rsidR="00BE4397" w:rsidRPr="000A610A" w:rsidRDefault="00BE4397" w:rsidP="00BE4397">
            <w:pPr>
              <w:ind w:right="-57"/>
              <w:jc w:val="center"/>
              <w:rPr>
                <w:rFonts w:ascii="Times New Roman" w:hAnsi="Times New Roman" w:cs="Times New Roman"/>
              </w:rPr>
            </w:pPr>
          </w:p>
        </w:tc>
        <w:tc>
          <w:tcPr>
            <w:tcW w:w="236" w:type="dxa"/>
          </w:tcPr>
          <w:p w14:paraId="379BDCC4" w14:textId="77777777" w:rsidR="00BE4397" w:rsidRPr="000A610A" w:rsidRDefault="00BE4397" w:rsidP="00BE4397">
            <w:pPr>
              <w:ind w:right="-57"/>
              <w:jc w:val="center"/>
              <w:rPr>
                <w:rFonts w:ascii="Times New Roman" w:hAnsi="Times New Roman" w:cs="Times New Roman"/>
              </w:rPr>
            </w:pPr>
          </w:p>
        </w:tc>
        <w:tc>
          <w:tcPr>
            <w:tcW w:w="1417" w:type="dxa"/>
          </w:tcPr>
          <w:p w14:paraId="7171136E" w14:textId="77777777" w:rsidR="00BE4397" w:rsidRPr="000A610A" w:rsidRDefault="00BE4397" w:rsidP="00BE4397">
            <w:pPr>
              <w:ind w:right="-57"/>
              <w:jc w:val="center"/>
              <w:rPr>
                <w:rFonts w:ascii="Times New Roman" w:hAnsi="Times New Roman" w:cs="Times New Roman"/>
              </w:rPr>
            </w:pPr>
          </w:p>
        </w:tc>
        <w:tc>
          <w:tcPr>
            <w:tcW w:w="1418" w:type="dxa"/>
          </w:tcPr>
          <w:p w14:paraId="1A036710" w14:textId="77777777" w:rsidR="00BE4397" w:rsidRPr="000A610A" w:rsidRDefault="00BE4397" w:rsidP="00BE4397">
            <w:pPr>
              <w:ind w:right="-57"/>
              <w:jc w:val="center"/>
              <w:rPr>
                <w:rFonts w:ascii="Times New Roman" w:hAnsi="Times New Roman" w:cs="Times New Roman"/>
              </w:rPr>
            </w:pPr>
          </w:p>
        </w:tc>
        <w:tc>
          <w:tcPr>
            <w:tcW w:w="236" w:type="dxa"/>
          </w:tcPr>
          <w:p w14:paraId="0F958D48" w14:textId="77777777" w:rsidR="00BE4397" w:rsidRPr="000A610A" w:rsidRDefault="00BE4397" w:rsidP="00BE4397">
            <w:pPr>
              <w:ind w:right="-57"/>
              <w:jc w:val="center"/>
              <w:rPr>
                <w:rFonts w:ascii="Times New Roman" w:hAnsi="Times New Roman" w:cs="Times New Roman"/>
              </w:rPr>
            </w:pPr>
          </w:p>
        </w:tc>
        <w:tc>
          <w:tcPr>
            <w:tcW w:w="1417" w:type="dxa"/>
          </w:tcPr>
          <w:p w14:paraId="7759CD08" w14:textId="77777777" w:rsidR="00BE4397" w:rsidRPr="000A610A" w:rsidRDefault="00BE4397" w:rsidP="00BE4397">
            <w:pPr>
              <w:ind w:right="-57"/>
              <w:jc w:val="center"/>
              <w:rPr>
                <w:rFonts w:ascii="Times New Roman" w:hAnsi="Times New Roman" w:cs="Times New Roman"/>
              </w:rPr>
            </w:pPr>
          </w:p>
        </w:tc>
        <w:tc>
          <w:tcPr>
            <w:tcW w:w="1418" w:type="dxa"/>
          </w:tcPr>
          <w:p w14:paraId="4B1BAFDB" w14:textId="77777777" w:rsidR="00BE4397" w:rsidRPr="000A610A" w:rsidRDefault="00BE4397" w:rsidP="00BE4397">
            <w:pPr>
              <w:ind w:right="-57"/>
              <w:jc w:val="center"/>
              <w:rPr>
                <w:rFonts w:ascii="Times New Roman" w:hAnsi="Times New Roman" w:cs="Times New Roman"/>
              </w:rPr>
            </w:pPr>
          </w:p>
        </w:tc>
        <w:tc>
          <w:tcPr>
            <w:tcW w:w="236" w:type="dxa"/>
          </w:tcPr>
          <w:p w14:paraId="00363975" w14:textId="77777777" w:rsidR="00BE4397" w:rsidRPr="000A610A" w:rsidRDefault="00BE4397" w:rsidP="00BE4397">
            <w:pPr>
              <w:ind w:right="-57"/>
              <w:jc w:val="center"/>
              <w:rPr>
                <w:rFonts w:ascii="Times New Roman" w:hAnsi="Times New Roman" w:cs="Times New Roman"/>
              </w:rPr>
            </w:pPr>
          </w:p>
        </w:tc>
        <w:tc>
          <w:tcPr>
            <w:tcW w:w="953" w:type="dxa"/>
          </w:tcPr>
          <w:p w14:paraId="3B46E943" w14:textId="77777777" w:rsidR="00BE4397" w:rsidRPr="000A610A" w:rsidRDefault="00BE4397" w:rsidP="00BE4397">
            <w:pPr>
              <w:ind w:right="-57"/>
              <w:jc w:val="center"/>
              <w:rPr>
                <w:rFonts w:ascii="Times New Roman" w:hAnsi="Times New Roman" w:cs="Times New Roman"/>
              </w:rPr>
            </w:pPr>
          </w:p>
        </w:tc>
      </w:tr>
      <w:tr w:rsidR="00BE4397" w:rsidRPr="00B05D7B" w14:paraId="70D87EC4" w14:textId="77777777" w:rsidTr="0077390C">
        <w:trPr>
          <w:cantSplit/>
          <w:trHeight w:val="283"/>
        </w:trPr>
        <w:tc>
          <w:tcPr>
            <w:tcW w:w="2638" w:type="dxa"/>
          </w:tcPr>
          <w:p w14:paraId="14618499" w14:textId="77777777" w:rsidR="00BE4397" w:rsidRPr="000A610A" w:rsidRDefault="00BE4397" w:rsidP="00BE4397">
            <w:pPr>
              <w:rPr>
                <w:rFonts w:ascii="Times New Roman" w:hAnsi="Times New Roman" w:cs="Times New Roman"/>
                <w:b/>
              </w:rPr>
            </w:pPr>
            <w:r w:rsidRPr="000A610A">
              <w:rPr>
                <w:rFonts w:ascii="Times New Roman" w:hAnsi="Times New Roman" w:cs="Times New Roman"/>
              </w:rPr>
              <w:t xml:space="preserve">          </w:t>
            </w:r>
            <w:r w:rsidRPr="000A610A">
              <w:rPr>
                <w:rFonts w:ascii="Times New Roman" w:hAnsi="Times New Roman" w:cs="Times New Roman"/>
                <w:color w:val="000000" w:themeColor="text1"/>
              </w:rPr>
              <w:t xml:space="preserve">Carbohydrate </w:t>
            </w:r>
          </w:p>
        </w:tc>
        <w:tc>
          <w:tcPr>
            <w:tcW w:w="1416" w:type="dxa"/>
            <w:vAlign w:val="center"/>
          </w:tcPr>
          <w:p w14:paraId="7C28AAC9"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51.8</w:t>
            </w:r>
          </w:p>
        </w:tc>
        <w:tc>
          <w:tcPr>
            <w:tcW w:w="1417" w:type="dxa"/>
            <w:vAlign w:val="center"/>
          </w:tcPr>
          <w:p w14:paraId="3F2CCC9E"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7.8</w:t>
            </w:r>
          </w:p>
        </w:tc>
        <w:tc>
          <w:tcPr>
            <w:tcW w:w="236" w:type="dxa"/>
          </w:tcPr>
          <w:p w14:paraId="34B29CF2" w14:textId="77777777" w:rsidR="00BE4397" w:rsidRPr="000A610A" w:rsidRDefault="00BE4397" w:rsidP="00BE4397">
            <w:pPr>
              <w:ind w:right="-57"/>
              <w:jc w:val="center"/>
              <w:rPr>
                <w:rFonts w:ascii="Times New Roman" w:hAnsi="Times New Roman" w:cs="Times New Roman"/>
              </w:rPr>
            </w:pPr>
          </w:p>
        </w:tc>
        <w:tc>
          <w:tcPr>
            <w:tcW w:w="1417" w:type="dxa"/>
          </w:tcPr>
          <w:p w14:paraId="433BB7B2"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52.0</w:t>
            </w:r>
          </w:p>
        </w:tc>
        <w:tc>
          <w:tcPr>
            <w:tcW w:w="1418" w:type="dxa"/>
          </w:tcPr>
          <w:p w14:paraId="650301F3"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7.8</w:t>
            </w:r>
          </w:p>
        </w:tc>
        <w:tc>
          <w:tcPr>
            <w:tcW w:w="236" w:type="dxa"/>
          </w:tcPr>
          <w:p w14:paraId="3F6EC2C2" w14:textId="77777777" w:rsidR="00BE4397" w:rsidRPr="000A610A" w:rsidRDefault="00BE4397" w:rsidP="00BE4397">
            <w:pPr>
              <w:ind w:right="-57"/>
              <w:jc w:val="center"/>
              <w:rPr>
                <w:rFonts w:ascii="Times New Roman" w:hAnsi="Times New Roman" w:cs="Times New Roman"/>
              </w:rPr>
            </w:pPr>
          </w:p>
        </w:tc>
        <w:tc>
          <w:tcPr>
            <w:tcW w:w="1417" w:type="dxa"/>
          </w:tcPr>
          <w:p w14:paraId="17327381"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51.7</w:t>
            </w:r>
          </w:p>
        </w:tc>
        <w:tc>
          <w:tcPr>
            <w:tcW w:w="1418" w:type="dxa"/>
          </w:tcPr>
          <w:p w14:paraId="0585EC57"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7.7</w:t>
            </w:r>
          </w:p>
        </w:tc>
        <w:tc>
          <w:tcPr>
            <w:tcW w:w="236" w:type="dxa"/>
          </w:tcPr>
          <w:p w14:paraId="7DC87C3A" w14:textId="77777777" w:rsidR="00BE4397" w:rsidRPr="000A610A" w:rsidRDefault="00BE4397" w:rsidP="00BE4397">
            <w:pPr>
              <w:ind w:right="-57"/>
              <w:jc w:val="center"/>
              <w:rPr>
                <w:rFonts w:ascii="Times New Roman" w:hAnsi="Times New Roman" w:cs="Times New Roman"/>
              </w:rPr>
            </w:pPr>
          </w:p>
        </w:tc>
        <w:tc>
          <w:tcPr>
            <w:tcW w:w="953" w:type="dxa"/>
          </w:tcPr>
          <w:p w14:paraId="0F52A6DF"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0.704</w:t>
            </w:r>
          </w:p>
        </w:tc>
      </w:tr>
      <w:tr w:rsidR="00BE4397" w:rsidRPr="00B05D7B" w14:paraId="30EEABD5" w14:textId="77777777" w:rsidTr="0077390C">
        <w:trPr>
          <w:cantSplit/>
          <w:trHeight w:val="283"/>
        </w:trPr>
        <w:tc>
          <w:tcPr>
            <w:tcW w:w="2638" w:type="dxa"/>
          </w:tcPr>
          <w:p w14:paraId="3C842987" w14:textId="77777777" w:rsidR="00BE4397" w:rsidRPr="000A610A" w:rsidRDefault="00BE4397" w:rsidP="00BE4397">
            <w:pPr>
              <w:rPr>
                <w:rFonts w:ascii="Times New Roman" w:hAnsi="Times New Roman" w:cs="Times New Roman"/>
              </w:rPr>
            </w:pPr>
            <w:r w:rsidRPr="000A610A">
              <w:rPr>
                <w:rFonts w:ascii="Times New Roman" w:hAnsi="Times New Roman" w:cs="Times New Roman"/>
              </w:rPr>
              <w:t xml:space="preserve">          </w:t>
            </w:r>
            <w:r w:rsidRPr="000A610A">
              <w:rPr>
                <w:rFonts w:ascii="Times New Roman" w:hAnsi="Times New Roman" w:cs="Times New Roman"/>
                <w:color w:val="000000" w:themeColor="text1"/>
              </w:rPr>
              <w:t>Fat</w:t>
            </w:r>
          </w:p>
        </w:tc>
        <w:tc>
          <w:tcPr>
            <w:tcW w:w="1416" w:type="dxa"/>
            <w:vAlign w:val="center"/>
          </w:tcPr>
          <w:p w14:paraId="3539F157"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33.9</w:t>
            </w:r>
          </w:p>
        </w:tc>
        <w:tc>
          <w:tcPr>
            <w:tcW w:w="1417" w:type="dxa"/>
            <w:vAlign w:val="center"/>
          </w:tcPr>
          <w:p w14:paraId="0AEC7385"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7.2</w:t>
            </w:r>
          </w:p>
        </w:tc>
        <w:tc>
          <w:tcPr>
            <w:tcW w:w="236" w:type="dxa"/>
          </w:tcPr>
          <w:p w14:paraId="2C1871C9" w14:textId="77777777" w:rsidR="00BE4397" w:rsidRPr="000A610A" w:rsidRDefault="00BE4397" w:rsidP="00BE4397">
            <w:pPr>
              <w:ind w:right="-57"/>
              <w:jc w:val="center"/>
              <w:rPr>
                <w:rFonts w:ascii="Times New Roman" w:hAnsi="Times New Roman" w:cs="Times New Roman"/>
              </w:rPr>
            </w:pPr>
          </w:p>
        </w:tc>
        <w:tc>
          <w:tcPr>
            <w:tcW w:w="1417" w:type="dxa"/>
          </w:tcPr>
          <w:p w14:paraId="40D1F5E6"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33.8</w:t>
            </w:r>
          </w:p>
        </w:tc>
        <w:tc>
          <w:tcPr>
            <w:tcW w:w="1418" w:type="dxa"/>
            <w:vAlign w:val="center"/>
          </w:tcPr>
          <w:p w14:paraId="51D35624"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7.6</w:t>
            </w:r>
          </w:p>
        </w:tc>
        <w:tc>
          <w:tcPr>
            <w:tcW w:w="236" w:type="dxa"/>
          </w:tcPr>
          <w:p w14:paraId="339C77E6" w14:textId="77777777" w:rsidR="00BE4397" w:rsidRPr="000A610A" w:rsidRDefault="00BE4397" w:rsidP="00BE4397">
            <w:pPr>
              <w:ind w:right="-57"/>
              <w:jc w:val="center"/>
              <w:rPr>
                <w:rFonts w:ascii="Times New Roman" w:hAnsi="Times New Roman" w:cs="Times New Roman"/>
              </w:rPr>
            </w:pPr>
          </w:p>
        </w:tc>
        <w:tc>
          <w:tcPr>
            <w:tcW w:w="1417" w:type="dxa"/>
            <w:vAlign w:val="center"/>
          </w:tcPr>
          <w:p w14:paraId="14B07DB6"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34.0</w:t>
            </w:r>
          </w:p>
        </w:tc>
        <w:tc>
          <w:tcPr>
            <w:tcW w:w="1418" w:type="dxa"/>
          </w:tcPr>
          <w:p w14:paraId="51D369B6"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6.6</w:t>
            </w:r>
          </w:p>
        </w:tc>
        <w:tc>
          <w:tcPr>
            <w:tcW w:w="236" w:type="dxa"/>
          </w:tcPr>
          <w:p w14:paraId="368B469B" w14:textId="77777777" w:rsidR="00BE4397" w:rsidRPr="000A610A" w:rsidRDefault="00BE4397" w:rsidP="00BE4397">
            <w:pPr>
              <w:ind w:right="-57"/>
              <w:jc w:val="center"/>
              <w:rPr>
                <w:rFonts w:ascii="Times New Roman" w:hAnsi="Times New Roman" w:cs="Times New Roman"/>
              </w:rPr>
            </w:pPr>
          </w:p>
        </w:tc>
        <w:tc>
          <w:tcPr>
            <w:tcW w:w="953" w:type="dxa"/>
            <w:vAlign w:val="center"/>
          </w:tcPr>
          <w:p w14:paraId="182079D5"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0.842</w:t>
            </w:r>
          </w:p>
        </w:tc>
      </w:tr>
      <w:tr w:rsidR="00BE4397" w:rsidRPr="00B05D7B" w14:paraId="3A807076" w14:textId="77777777" w:rsidTr="0077390C">
        <w:trPr>
          <w:cantSplit/>
          <w:trHeight w:val="283"/>
        </w:trPr>
        <w:tc>
          <w:tcPr>
            <w:tcW w:w="2638" w:type="dxa"/>
          </w:tcPr>
          <w:p w14:paraId="4F42E0D8" w14:textId="77777777" w:rsidR="00BE4397" w:rsidRPr="000A610A" w:rsidRDefault="00BE4397" w:rsidP="00BE4397">
            <w:pPr>
              <w:rPr>
                <w:rFonts w:ascii="Times New Roman" w:hAnsi="Times New Roman" w:cs="Times New Roman"/>
              </w:rPr>
            </w:pPr>
            <w:r w:rsidRPr="000A610A">
              <w:rPr>
                <w:rFonts w:ascii="Times New Roman" w:hAnsi="Times New Roman" w:cs="Times New Roman"/>
                <w:color w:val="000000" w:themeColor="text1"/>
              </w:rPr>
              <w:t xml:space="preserve"> </w:t>
            </w:r>
            <w:r w:rsidRPr="000A610A">
              <w:rPr>
                <w:rFonts w:ascii="Times New Roman" w:hAnsi="Times New Roman" w:cs="Times New Roman"/>
              </w:rPr>
              <w:t xml:space="preserve">         </w:t>
            </w:r>
            <w:r w:rsidRPr="000A610A">
              <w:rPr>
                <w:rFonts w:ascii="Times New Roman" w:hAnsi="Times New Roman" w:cs="Times New Roman"/>
                <w:color w:val="000000" w:themeColor="text1"/>
              </w:rPr>
              <w:t>Protein</w:t>
            </w:r>
          </w:p>
        </w:tc>
        <w:tc>
          <w:tcPr>
            <w:tcW w:w="1416" w:type="dxa"/>
            <w:vAlign w:val="center"/>
          </w:tcPr>
          <w:p w14:paraId="53B8AFD6"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14.4</w:t>
            </w:r>
          </w:p>
        </w:tc>
        <w:tc>
          <w:tcPr>
            <w:tcW w:w="1417" w:type="dxa"/>
            <w:vAlign w:val="center"/>
          </w:tcPr>
          <w:p w14:paraId="6F3E77C3"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3.2</w:t>
            </w:r>
          </w:p>
        </w:tc>
        <w:tc>
          <w:tcPr>
            <w:tcW w:w="236" w:type="dxa"/>
          </w:tcPr>
          <w:p w14:paraId="4A855792" w14:textId="77777777" w:rsidR="00BE4397" w:rsidRPr="000A610A" w:rsidRDefault="00BE4397" w:rsidP="00BE4397">
            <w:pPr>
              <w:ind w:right="-57"/>
              <w:jc w:val="center"/>
              <w:rPr>
                <w:rFonts w:ascii="Times New Roman" w:hAnsi="Times New Roman" w:cs="Times New Roman"/>
              </w:rPr>
            </w:pPr>
          </w:p>
        </w:tc>
        <w:tc>
          <w:tcPr>
            <w:tcW w:w="1417" w:type="dxa"/>
          </w:tcPr>
          <w:p w14:paraId="787D4CE2"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14.4</w:t>
            </w:r>
          </w:p>
        </w:tc>
        <w:tc>
          <w:tcPr>
            <w:tcW w:w="1418" w:type="dxa"/>
            <w:vAlign w:val="center"/>
          </w:tcPr>
          <w:p w14:paraId="79FB79ED"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3.2</w:t>
            </w:r>
          </w:p>
        </w:tc>
        <w:tc>
          <w:tcPr>
            <w:tcW w:w="236" w:type="dxa"/>
          </w:tcPr>
          <w:p w14:paraId="3F8174A8" w14:textId="77777777" w:rsidR="00BE4397" w:rsidRPr="000A610A" w:rsidRDefault="00BE4397" w:rsidP="00BE4397">
            <w:pPr>
              <w:ind w:right="-57"/>
              <w:jc w:val="center"/>
              <w:rPr>
                <w:rFonts w:ascii="Times New Roman" w:hAnsi="Times New Roman" w:cs="Times New Roman"/>
              </w:rPr>
            </w:pPr>
          </w:p>
        </w:tc>
        <w:tc>
          <w:tcPr>
            <w:tcW w:w="1417" w:type="dxa"/>
            <w:vAlign w:val="center"/>
          </w:tcPr>
          <w:p w14:paraId="646518BC"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14.4</w:t>
            </w:r>
          </w:p>
        </w:tc>
        <w:tc>
          <w:tcPr>
            <w:tcW w:w="1418" w:type="dxa"/>
          </w:tcPr>
          <w:p w14:paraId="1572DDFC"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3.3</w:t>
            </w:r>
          </w:p>
        </w:tc>
        <w:tc>
          <w:tcPr>
            <w:tcW w:w="236" w:type="dxa"/>
          </w:tcPr>
          <w:p w14:paraId="72BABF6C" w14:textId="77777777" w:rsidR="00BE4397" w:rsidRPr="000A610A" w:rsidRDefault="00BE4397" w:rsidP="00BE4397">
            <w:pPr>
              <w:ind w:right="-57"/>
              <w:jc w:val="center"/>
              <w:rPr>
                <w:rFonts w:ascii="Times New Roman" w:hAnsi="Times New Roman" w:cs="Times New Roman"/>
              </w:rPr>
            </w:pPr>
          </w:p>
        </w:tc>
        <w:tc>
          <w:tcPr>
            <w:tcW w:w="953" w:type="dxa"/>
            <w:vAlign w:val="center"/>
          </w:tcPr>
          <w:p w14:paraId="014E78E4" w14:textId="77777777" w:rsidR="00BE4397" w:rsidRPr="000A610A" w:rsidRDefault="00BE4397" w:rsidP="00BE4397">
            <w:pPr>
              <w:ind w:right="-57"/>
              <w:jc w:val="center"/>
              <w:rPr>
                <w:rFonts w:ascii="Times New Roman" w:hAnsi="Times New Roman" w:cs="Times New Roman"/>
              </w:rPr>
            </w:pPr>
            <w:r w:rsidRPr="000A610A">
              <w:rPr>
                <w:rFonts w:ascii="Times New Roman" w:hAnsi="Times New Roman" w:cs="Times New Roman"/>
              </w:rPr>
              <w:t>0.971</w:t>
            </w:r>
          </w:p>
        </w:tc>
      </w:tr>
      <w:tr w:rsidR="00BE4397" w:rsidRPr="00B05D7B" w14:paraId="7F1D57E8" w14:textId="77777777" w:rsidTr="0077390C">
        <w:trPr>
          <w:cantSplit/>
          <w:trHeight w:val="283"/>
        </w:trPr>
        <w:tc>
          <w:tcPr>
            <w:tcW w:w="2638" w:type="dxa"/>
          </w:tcPr>
          <w:p w14:paraId="6C672A18" w14:textId="77777777" w:rsidR="00BE4397" w:rsidRPr="00FF43C5" w:rsidRDefault="00BE4397" w:rsidP="00BE4397">
            <w:pPr>
              <w:rPr>
                <w:rFonts w:ascii="Times New Roman" w:hAnsi="Times New Roman" w:cs="Times New Roman"/>
                <w:b/>
              </w:rPr>
            </w:pPr>
            <w:r w:rsidRPr="00FF43C5">
              <w:rPr>
                <w:rFonts w:ascii="Times New Roman" w:hAnsi="Times New Roman" w:cs="Times New Roman"/>
                <w:b/>
                <w:color w:val="000000" w:themeColor="text1"/>
              </w:rPr>
              <w:t>06.00</w:t>
            </w:r>
            <w:r w:rsidRPr="00FF43C5">
              <w:rPr>
                <w:rFonts w:ascii="Calibri" w:hAnsi="Calibri" w:cs="Calibri"/>
                <w:b/>
                <w:color w:val="000000" w:themeColor="text1"/>
              </w:rPr>
              <w:t>‒</w:t>
            </w:r>
            <w:r w:rsidRPr="00FF43C5">
              <w:rPr>
                <w:rFonts w:ascii="Times New Roman" w:hAnsi="Times New Roman" w:cs="Times New Roman"/>
                <w:b/>
                <w:color w:val="000000" w:themeColor="text1"/>
              </w:rPr>
              <w:t>23.59 hours</w:t>
            </w:r>
          </w:p>
        </w:tc>
        <w:tc>
          <w:tcPr>
            <w:tcW w:w="1416" w:type="dxa"/>
            <w:vAlign w:val="center"/>
          </w:tcPr>
          <w:p w14:paraId="4CC6CE1C" w14:textId="77777777" w:rsidR="00BE4397" w:rsidRPr="000A610A" w:rsidRDefault="00BE4397" w:rsidP="00BE4397">
            <w:pPr>
              <w:ind w:right="-57"/>
              <w:jc w:val="center"/>
              <w:rPr>
                <w:rFonts w:ascii="Times New Roman" w:hAnsi="Times New Roman" w:cs="Times New Roman"/>
              </w:rPr>
            </w:pPr>
          </w:p>
        </w:tc>
        <w:tc>
          <w:tcPr>
            <w:tcW w:w="1417" w:type="dxa"/>
            <w:vAlign w:val="center"/>
          </w:tcPr>
          <w:p w14:paraId="01DDD786" w14:textId="77777777" w:rsidR="00BE4397" w:rsidRPr="000A610A" w:rsidRDefault="00BE4397" w:rsidP="00BE4397">
            <w:pPr>
              <w:ind w:right="-57"/>
              <w:jc w:val="center"/>
              <w:rPr>
                <w:rFonts w:ascii="Times New Roman" w:hAnsi="Times New Roman" w:cs="Times New Roman"/>
              </w:rPr>
            </w:pPr>
          </w:p>
        </w:tc>
        <w:tc>
          <w:tcPr>
            <w:tcW w:w="236" w:type="dxa"/>
          </w:tcPr>
          <w:p w14:paraId="36A1F0DE" w14:textId="77777777" w:rsidR="00BE4397" w:rsidRPr="000A610A" w:rsidRDefault="00BE4397" w:rsidP="00BE4397">
            <w:pPr>
              <w:ind w:right="-57"/>
              <w:jc w:val="center"/>
              <w:rPr>
                <w:rFonts w:ascii="Times New Roman" w:hAnsi="Times New Roman" w:cs="Times New Roman"/>
              </w:rPr>
            </w:pPr>
          </w:p>
        </w:tc>
        <w:tc>
          <w:tcPr>
            <w:tcW w:w="1417" w:type="dxa"/>
          </w:tcPr>
          <w:p w14:paraId="7DA24F89" w14:textId="77777777" w:rsidR="00BE4397" w:rsidRPr="000A610A" w:rsidRDefault="00BE4397" w:rsidP="00BE4397">
            <w:pPr>
              <w:ind w:right="-57"/>
              <w:jc w:val="center"/>
              <w:rPr>
                <w:rFonts w:ascii="Times New Roman" w:hAnsi="Times New Roman" w:cs="Times New Roman"/>
              </w:rPr>
            </w:pPr>
          </w:p>
        </w:tc>
        <w:tc>
          <w:tcPr>
            <w:tcW w:w="1418" w:type="dxa"/>
            <w:vAlign w:val="center"/>
          </w:tcPr>
          <w:p w14:paraId="56D23846" w14:textId="77777777" w:rsidR="00BE4397" w:rsidRPr="000A610A" w:rsidRDefault="00BE4397" w:rsidP="00BE4397">
            <w:pPr>
              <w:ind w:right="-57"/>
              <w:jc w:val="center"/>
              <w:rPr>
                <w:rFonts w:ascii="Times New Roman" w:hAnsi="Times New Roman" w:cs="Times New Roman"/>
              </w:rPr>
            </w:pPr>
          </w:p>
        </w:tc>
        <w:tc>
          <w:tcPr>
            <w:tcW w:w="236" w:type="dxa"/>
          </w:tcPr>
          <w:p w14:paraId="59C5B8DC" w14:textId="77777777" w:rsidR="00BE4397" w:rsidRPr="000A610A" w:rsidRDefault="00BE4397" w:rsidP="00BE4397">
            <w:pPr>
              <w:ind w:right="-57"/>
              <w:jc w:val="center"/>
              <w:rPr>
                <w:rFonts w:ascii="Times New Roman" w:hAnsi="Times New Roman" w:cs="Times New Roman"/>
              </w:rPr>
            </w:pPr>
          </w:p>
        </w:tc>
        <w:tc>
          <w:tcPr>
            <w:tcW w:w="1417" w:type="dxa"/>
            <w:vAlign w:val="center"/>
          </w:tcPr>
          <w:p w14:paraId="1151AB30" w14:textId="77777777" w:rsidR="00BE4397" w:rsidRPr="000A610A" w:rsidRDefault="00BE4397" w:rsidP="00BE4397">
            <w:pPr>
              <w:ind w:right="-57"/>
              <w:jc w:val="center"/>
              <w:rPr>
                <w:rFonts w:ascii="Times New Roman" w:hAnsi="Times New Roman" w:cs="Times New Roman"/>
              </w:rPr>
            </w:pPr>
          </w:p>
        </w:tc>
        <w:tc>
          <w:tcPr>
            <w:tcW w:w="1418" w:type="dxa"/>
          </w:tcPr>
          <w:p w14:paraId="05210D0F" w14:textId="77777777" w:rsidR="00BE4397" w:rsidRPr="000A610A" w:rsidRDefault="00BE4397" w:rsidP="00BE4397">
            <w:pPr>
              <w:ind w:right="-57"/>
              <w:jc w:val="center"/>
              <w:rPr>
                <w:rFonts w:ascii="Times New Roman" w:hAnsi="Times New Roman" w:cs="Times New Roman"/>
              </w:rPr>
            </w:pPr>
          </w:p>
        </w:tc>
        <w:tc>
          <w:tcPr>
            <w:tcW w:w="236" w:type="dxa"/>
          </w:tcPr>
          <w:p w14:paraId="5FFEA9E6" w14:textId="77777777" w:rsidR="00BE4397" w:rsidRPr="000A610A" w:rsidRDefault="00BE4397" w:rsidP="00BE4397">
            <w:pPr>
              <w:ind w:right="-57"/>
              <w:jc w:val="center"/>
              <w:rPr>
                <w:rFonts w:ascii="Times New Roman" w:hAnsi="Times New Roman" w:cs="Times New Roman"/>
              </w:rPr>
            </w:pPr>
          </w:p>
        </w:tc>
        <w:tc>
          <w:tcPr>
            <w:tcW w:w="953" w:type="dxa"/>
            <w:vAlign w:val="center"/>
          </w:tcPr>
          <w:p w14:paraId="47C8D843" w14:textId="77777777" w:rsidR="00BE4397" w:rsidRPr="000A610A" w:rsidRDefault="00BE4397" w:rsidP="00BE4397">
            <w:pPr>
              <w:ind w:right="-57"/>
              <w:jc w:val="center"/>
              <w:rPr>
                <w:rFonts w:ascii="Times New Roman" w:hAnsi="Times New Roman" w:cs="Times New Roman"/>
              </w:rPr>
            </w:pPr>
          </w:p>
        </w:tc>
      </w:tr>
      <w:tr w:rsidR="00DE596E" w:rsidRPr="00B05D7B" w14:paraId="3036C1D3" w14:textId="77777777" w:rsidTr="0077390C">
        <w:trPr>
          <w:cantSplit/>
          <w:trHeight w:val="283"/>
        </w:trPr>
        <w:tc>
          <w:tcPr>
            <w:tcW w:w="2638" w:type="dxa"/>
          </w:tcPr>
          <w:p w14:paraId="3CA57105" w14:textId="1E6E7139" w:rsidR="00DE596E" w:rsidRPr="000A610A" w:rsidRDefault="00DE596E" w:rsidP="00B43A27">
            <w:pPr>
              <w:rPr>
                <w:rFonts w:ascii="Times New Roman" w:hAnsi="Times New Roman" w:cs="Times New Roman"/>
              </w:rPr>
            </w:pPr>
            <w:r w:rsidRPr="000A610A">
              <w:rPr>
                <w:rFonts w:ascii="Times New Roman" w:hAnsi="Times New Roman" w:cs="Times New Roman"/>
              </w:rPr>
              <w:t xml:space="preserve">     </w:t>
            </w:r>
            <w:r w:rsidRPr="000A610A">
              <w:rPr>
                <w:rFonts w:ascii="Times New Roman" w:hAnsi="Times New Roman" w:cs="Times New Roman"/>
                <w:color w:val="000000" w:themeColor="text1"/>
              </w:rPr>
              <w:t>Energy (kcal)</w:t>
            </w:r>
          </w:p>
        </w:tc>
        <w:tc>
          <w:tcPr>
            <w:tcW w:w="1416" w:type="dxa"/>
          </w:tcPr>
          <w:p w14:paraId="31ED9652" w14:textId="266AB39F" w:rsidR="00DE596E" w:rsidRPr="000A610A" w:rsidRDefault="000B1D17" w:rsidP="00B43A27">
            <w:pPr>
              <w:ind w:right="-57"/>
              <w:jc w:val="center"/>
              <w:rPr>
                <w:rFonts w:ascii="Times New Roman" w:hAnsi="Times New Roman" w:cs="Times New Roman"/>
              </w:rPr>
            </w:pPr>
            <w:r>
              <w:rPr>
                <w:rFonts w:ascii="Times New Roman" w:hAnsi="Times New Roman" w:cs="Times New Roman"/>
              </w:rPr>
              <w:t>-</w:t>
            </w:r>
          </w:p>
        </w:tc>
        <w:tc>
          <w:tcPr>
            <w:tcW w:w="1417" w:type="dxa"/>
          </w:tcPr>
          <w:p w14:paraId="02ACA8E6" w14:textId="63EA6272" w:rsidR="00DE596E" w:rsidRPr="000A610A" w:rsidRDefault="000B1D17" w:rsidP="00B43A27">
            <w:pPr>
              <w:ind w:right="-57"/>
              <w:jc w:val="center"/>
              <w:rPr>
                <w:rFonts w:ascii="Times New Roman" w:hAnsi="Times New Roman" w:cs="Times New Roman"/>
              </w:rPr>
            </w:pPr>
            <w:r>
              <w:rPr>
                <w:rFonts w:ascii="Times New Roman" w:hAnsi="Times New Roman" w:cs="Times New Roman"/>
              </w:rPr>
              <w:t>-</w:t>
            </w:r>
          </w:p>
        </w:tc>
        <w:tc>
          <w:tcPr>
            <w:tcW w:w="236" w:type="dxa"/>
          </w:tcPr>
          <w:p w14:paraId="34D8429E" w14:textId="77777777" w:rsidR="00DE596E" w:rsidRPr="000A610A" w:rsidRDefault="00DE596E" w:rsidP="00B43A27">
            <w:pPr>
              <w:ind w:right="-57"/>
              <w:jc w:val="center"/>
              <w:rPr>
                <w:rFonts w:ascii="Times New Roman" w:hAnsi="Times New Roman" w:cs="Times New Roman"/>
              </w:rPr>
            </w:pPr>
          </w:p>
        </w:tc>
        <w:tc>
          <w:tcPr>
            <w:tcW w:w="1417" w:type="dxa"/>
          </w:tcPr>
          <w:p w14:paraId="678070AE" w14:textId="409FD92A" w:rsidR="00DE596E" w:rsidRPr="000A610A" w:rsidRDefault="00DE596E" w:rsidP="00B43A27">
            <w:pPr>
              <w:ind w:right="-57"/>
              <w:rPr>
                <w:rFonts w:ascii="Times New Roman" w:hAnsi="Times New Roman" w:cs="Times New Roman"/>
              </w:rPr>
            </w:pPr>
            <w:r w:rsidRPr="000A610A">
              <w:rPr>
                <w:rFonts w:ascii="Times New Roman" w:hAnsi="Times New Roman" w:cs="Times New Roman"/>
              </w:rPr>
              <w:t xml:space="preserve">      721</w:t>
            </w:r>
          </w:p>
        </w:tc>
        <w:tc>
          <w:tcPr>
            <w:tcW w:w="1418" w:type="dxa"/>
            <w:vAlign w:val="center"/>
          </w:tcPr>
          <w:p w14:paraId="456FA66A" w14:textId="4F5AE424" w:rsidR="00DE596E" w:rsidRPr="000A610A" w:rsidRDefault="00DE596E" w:rsidP="00B43A27">
            <w:pPr>
              <w:ind w:right="-57"/>
              <w:rPr>
                <w:rFonts w:ascii="Times New Roman" w:hAnsi="Times New Roman" w:cs="Times New Roman"/>
              </w:rPr>
            </w:pPr>
            <w:r w:rsidRPr="000A610A">
              <w:rPr>
                <w:rFonts w:ascii="Times New Roman" w:hAnsi="Times New Roman" w:cs="Times New Roman"/>
              </w:rPr>
              <w:t xml:space="preserve">     190</w:t>
            </w:r>
          </w:p>
        </w:tc>
        <w:tc>
          <w:tcPr>
            <w:tcW w:w="236" w:type="dxa"/>
          </w:tcPr>
          <w:p w14:paraId="67501D3A" w14:textId="77777777" w:rsidR="00DE596E" w:rsidRPr="000A610A" w:rsidRDefault="00DE596E" w:rsidP="00B43A27">
            <w:pPr>
              <w:ind w:right="-57"/>
              <w:jc w:val="center"/>
              <w:rPr>
                <w:rFonts w:ascii="Times New Roman" w:hAnsi="Times New Roman" w:cs="Times New Roman"/>
              </w:rPr>
            </w:pPr>
          </w:p>
        </w:tc>
        <w:tc>
          <w:tcPr>
            <w:tcW w:w="1417" w:type="dxa"/>
            <w:vAlign w:val="center"/>
          </w:tcPr>
          <w:p w14:paraId="077E296B" w14:textId="4A4B4396" w:rsidR="00DE596E" w:rsidRPr="000A610A" w:rsidRDefault="00DE596E" w:rsidP="00B43A27">
            <w:pPr>
              <w:ind w:right="-57"/>
              <w:rPr>
                <w:rFonts w:ascii="Times New Roman" w:hAnsi="Times New Roman" w:cs="Times New Roman"/>
              </w:rPr>
            </w:pPr>
            <w:r w:rsidRPr="000A610A">
              <w:rPr>
                <w:rFonts w:ascii="Times New Roman" w:hAnsi="Times New Roman" w:cs="Times New Roman"/>
              </w:rPr>
              <w:t xml:space="preserve">    698</w:t>
            </w:r>
          </w:p>
        </w:tc>
        <w:tc>
          <w:tcPr>
            <w:tcW w:w="1418" w:type="dxa"/>
          </w:tcPr>
          <w:p w14:paraId="0E079E34" w14:textId="6CFFDA31" w:rsidR="00DE596E" w:rsidRPr="000A610A" w:rsidRDefault="00DE596E" w:rsidP="00B43A27">
            <w:pPr>
              <w:ind w:right="-57"/>
              <w:rPr>
                <w:rFonts w:ascii="Times New Roman" w:hAnsi="Times New Roman" w:cs="Times New Roman"/>
              </w:rPr>
            </w:pPr>
            <w:r w:rsidRPr="000A610A">
              <w:rPr>
                <w:rFonts w:ascii="Times New Roman" w:hAnsi="Times New Roman" w:cs="Times New Roman"/>
              </w:rPr>
              <w:t xml:space="preserve">     226</w:t>
            </w:r>
          </w:p>
        </w:tc>
        <w:tc>
          <w:tcPr>
            <w:tcW w:w="236" w:type="dxa"/>
          </w:tcPr>
          <w:p w14:paraId="554CEA6F" w14:textId="77777777" w:rsidR="00DE596E" w:rsidRPr="000A610A" w:rsidRDefault="00DE596E" w:rsidP="00B43A27">
            <w:pPr>
              <w:ind w:right="-57"/>
              <w:jc w:val="center"/>
              <w:rPr>
                <w:rFonts w:ascii="Times New Roman" w:hAnsi="Times New Roman" w:cs="Times New Roman"/>
              </w:rPr>
            </w:pPr>
          </w:p>
        </w:tc>
        <w:tc>
          <w:tcPr>
            <w:tcW w:w="953" w:type="dxa"/>
            <w:vAlign w:val="center"/>
          </w:tcPr>
          <w:p w14:paraId="02CA9159"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0.241</w:t>
            </w:r>
          </w:p>
        </w:tc>
      </w:tr>
      <w:tr w:rsidR="00DE596E" w:rsidRPr="00B05D7B" w14:paraId="760BEC52" w14:textId="77777777" w:rsidTr="0077390C">
        <w:trPr>
          <w:cantSplit/>
          <w:trHeight w:val="283"/>
        </w:trPr>
        <w:tc>
          <w:tcPr>
            <w:tcW w:w="2638" w:type="dxa"/>
          </w:tcPr>
          <w:p w14:paraId="3FB681DD" w14:textId="56459A31" w:rsidR="00DE596E" w:rsidRPr="000A610A" w:rsidRDefault="00DE596E" w:rsidP="00B43A27">
            <w:pPr>
              <w:rPr>
                <w:rFonts w:ascii="Times New Roman" w:hAnsi="Times New Roman" w:cs="Times New Roman"/>
              </w:rPr>
            </w:pPr>
            <w:r w:rsidRPr="000A610A">
              <w:rPr>
                <w:rFonts w:ascii="Times New Roman" w:hAnsi="Times New Roman" w:cs="Times New Roman"/>
              </w:rPr>
              <w:t xml:space="preserve">     </w:t>
            </w:r>
            <w:r w:rsidRPr="000A610A">
              <w:rPr>
                <w:rFonts w:ascii="Times New Roman" w:hAnsi="Times New Roman" w:cs="Times New Roman"/>
                <w:color w:val="000000" w:themeColor="text1"/>
              </w:rPr>
              <w:t>Carbohydrate (g)</w:t>
            </w:r>
          </w:p>
        </w:tc>
        <w:tc>
          <w:tcPr>
            <w:tcW w:w="1416" w:type="dxa"/>
          </w:tcPr>
          <w:p w14:paraId="57A0CD55" w14:textId="0557EBAE" w:rsidR="00DE596E" w:rsidRPr="000A610A" w:rsidRDefault="000B1D17" w:rsidP="00B43A27">
            <w:pPr>
              <w:ind w:right="-57"/>
              <w:jc w:val="center"/>
              <w:rPr>
                <w:rFonts w:ascii="Times New Roman" w:hAnsi="Times New Roman" w:cs="Times New Roman"/>
              </w:rPr>
            </w:pPr>
            <w:r>
              <w:rPr>
                <w:rFonts w:ascii="Times New Roman" w:hAnsi="Times New Roman" w:cs="Times New Roman"/>
              </w:rPr>
              <w:t>-</w:t>
            </w:r>
          </w:p>
        </w:tc>
        <w:tc>
          <w:tcPr>
            <w:tcW w:w="1417" w:type="dxa"/>
          </w:tcPr>
          <w:p w14:paraId="4EF20BBF" w14:textId="2AA3118A" w:rsidR="00DE596E" w:rsidRPr="000A610A" w:rsidRDefault="000B1D17" w:rsidP="00B43A27">
            <w:pPr>
              <w:ind w:right="-57"/>
              <w:jc w:val="center"/>
              <w:rPr>
                <w:rFonts w:ascii="Times New Roman" w:hAnsi="Times New Roman" w:cs="Times New Roman"/>
              </w:rPr>
            </w:pPr>
            <w:r>
              <w:rPr>
                <w:rFonts w:ascii="Times New Roman" w:hAnsi="Times New Roman" w:cs="Times New Roman"/>
              </w:rPr>
              <w:t>-</w:t>
            </w:r>
          </w:p>
        </w:tc>
        <w:tc>
          <w:tcPr>
            <w:tcW w:w="236" w:type="dxa"/>
          </w:tcPr>
          <w:p w14:paraId="36B97E5F" w14:textId="77777777" w:rsidR="00DE596E" w:rsidRPr="000A610A" w:rsidRDefault="00DE596E" w:rsidP="00B43A27">
            <w:pPr>
              <w:ind w:right="-57"/>
              <w:jc w:val="center"/>
              <w:rPr>
                <w:rFonts w:ascii="Times New Roman" w:hAnsi="Times New Roman" w:cs="Times New Roman"/>
              </w:rPr>
            </w:pPr>
          </w:p>
        </w:tc>
        <w:tc>
          <w:tcPr>
            <w:tcW w:w="1417" w:type="dxa"/>
          </w:tcPr>
          <w:p w14:paraId="0531D024"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93.56</w:t>
            </w:r>
          </w:p>
        </w:tc>
        <w:tc>
          <w:tcPr>
            <w:tcW w:w="1418" w:type="dxa"/>
            <w:vAlign w:val="center"/>
          </w:tcPr>
          <w:p w14:paraId="630AAF72"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29.84</w:t>
            </w:r>
          </w:p>
        </w:tc>
        <w:tc>
          <w:tcPr>
            <w:tcW w:w="236" w:type="dxa"/>
          </w:tcPr>
          <w:p w14:paraId="2BF9955D" w14:textId="77777777" w:rsidR="00DE596E" w:rsidRPr="000A610A" w:rsidRDefault="00DE596E" w:rsidP="00B43A27">
            <w:pPr>
              <w:ind w:right="-57"/>
              <w:jc w:val="center"/>
              <w:rPr>
                <w:rFonts w:ascii="Times New Roman" w:hAnsi="Times New Roman" w:cs="Times New Roman"/>
              </w:rPr>
            </w:pPr>
          </w:p>
        </w:tc>
        <w:tc>
          <w:tcPr>
            <w:tcW w:w="1417" w:type="dxa"/>
            <w:vAlign w:val="center"/>
          </w:tcPr>
          <w:p w14:paraId="20E3C84F"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91.52</w:t>
            </w:r>
          </w:p>
        </w:tc>
        <w:tc>
          <w:tcPr>
            <w:tcW w:w="1418" w:type="dxa"/>
          </w:tcPr>
          <w:p w14:paraId="5D884907"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34.27</w:t>
            </w:r>
          </w:p>
        </w:tc>
        <w:tc>
          <w:tcPr>
            <w:tcW w:w="236" w:type="dxa"/>
          </w:tcPr>
          <w:p w14:paraId="50667293" w14:textId="77777777" w:rsidR="00DE596E" w:rsidRPr="000A610A" w:rsidRDefault="00DE596E" w:rsidP="00B43A27">
            <w:pPr>
              <w:ind w:right="-57"/>
              <w:jc w:val="center"/>
              <w:rPr>
                <w:rFonts w:ascii="Times New Roman" w:hAnsi="Times New Roman" w:cs="Times New Roman"/>
              </w:rPr>
            </w:pPr>
          </w:p>
        </w:tc>
        <w:tc>
          <w:tcPr>
            <w:tcW w:w="953" w:type="dxa"/>
            <w:vAlign w:val="center"/>
          </w:tcPr>
          <w:p w14:paraId="054653DD"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0.512</w:t>
            </w:r>
          </w:p>
        </w:tc>
      </w:tr>
      <w:tr w:rsidR="00DE596E" w:rsidRPr="00B05D7B" w14:paraId="055E84BD" w14:textId="77777777" w:rsidTr="0077390C">
        <w:trPr>
          <w:cantSplit/>
          <w:trHeight w:val="283"/>
        </w:trPr>
        <w:tc>
          <w:tcPr>
            <w:tcW w:w="2638" w:type="dxa"/>
          </w:tcPr>
          <w:p w14:paraId="4275F7FB" w14:textId="7A1E2DF3" w:rsidR="00DE596E" w:rsidRPr="000A610A" w:rsidRDefault="00DE596E" w:rsidP="00B43A27">
            <w:pPr>
              <w:ind w:right="-57"/>
              <w:rPr>
                <w:rFonts w:ascii="Times New Roman" w:hAnsi="Times New Roman" w:cs="Times New Roman"/>
                <w:vertAlign w:val="superscript"/>
              </w:rPr>
            </w:pPr>
            <w:r w:rsidRPr="000A610A">
              <w:rPr>
                <w:rFonts w:ascii="Times New Roman" w:hAnsi="Times New Roman" w:cs="Times New Roman"/>
              </w:rPr>
              <w:t xml:space="preserve">     </w:t>
            </w:r>
            <w:r w:rsidRPr="000A610A">
              <w:rPr>
                <w:rFonts w:ascii="Times New Roman" w:hAnsi="Times New Roman" w:cs="Times New Roman"/>
                <w:color w:val="000000" w:themeColor="text1"/>
              </w:rPr>
              <w:t>Fat (g)</w:t>
            </w:r>
          </w:p>
        </w:tc>
        <w:tc>
          <w:tcPr>
            <w:tcW w:w="1416" w:type="dxa"/>
          </w:tcPr>
          <w:p w14:paraId="42B72B21" w14:textId="7BE5D2CD" w:rsidR="00DE596E" w:rsidRPr="000A610A" w:rsidRDefault="000B1D17" w:rsidP="00B43A27">
            <w:pPr>
              <w:ind w:right="-57"/>
              <w:jc w:val="center"/>
              <w:rPr>
                <w:rFonts w:ascii="Times New Roman" w:hAnsi="Times New Roman" w:cs="Times New Roman"/>
              </w:rPr>
            </w:pPr>
            <w:r>
              <w:rPr>
                <w:rFonts w:ascii="Times New Roman" w:hAnsi="Times New Roman" w:cs="Times New Roman"/>
              </w:rPr>
              <w:t>-</w:t>
            </w:r>
          </w:p>
        </w:tc>
        <w:tc>
          <w:tcPr>
            <w:tcW w:w="1417" w:type="dxa"/>
          </w:tcPr>
          <w:p w14:paraId="07FE6DC1" w14:textId="160B98AC" w:rsidR="00DE596E" w:rsidRPr="000A610A" w:rsidRDefault="000B1D17" w:rsidP="00B43A27">
            <w:pPr>
              <w:ind w:right="-57"/>
              <w:jc w:val="center"/>
              <w:rPr>
                <w:rFonts w:ascii="Times New Roman" w:hAnsi="Times New Roman" w:cs="Times New Roman"/>
              </w:rPr>
            </w:pPr>
            <w:r>
              <w:rPr>
                <w:rFonts w:ascii="Times New Roman" w:hAnsi="Times New Roman" w:cs="Times New Roman"/>
              </w:rPr>
              <w:t>-</w:t>
            </w:r>
          </w:p>
        </w:tc>
        <w:tc>
          <w:tcPr>
            <w:tcW w:w="236" w:type="dxa"/>
          </w:tcPr>
          <w:p w14:paraId="46C533A5" w14:textId="77777777" w:rsidR="00DE596E" w:rsidRPr="000A610A" w:rsidRDefault="00DE596E" w:rsidP="00B43A27">
            <w:pPr>
              <w:ind w:right="-57"/>
              <w:jc w:val="center"/>
              <w:rPr>
                <w:rFonts w:ascii="Times New Roman" w:hAnsi="Times New Roman" w:cs="Times New Roman"/>
              </w:rPr>
            </w:pPr>
          </w:p>
        </w:tc>
        <w:tc>
          <w:tcPr>
            <w:tcW w:w="1417" w:type="dxa"/>
          </w:tcPr>
          <w:p w14:paraId="165B1311"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27.20</w:t>
            </w:r>
          </w:p>
        </w:tc>
        <w:tc>
          <w:tcPr>
            <w:tcW w:w="1418" w:type="dxa"/>
          </w:tcPr>
          <w:p w14:paraId="3EF729A6"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9.18</w:t>
            </w:r>
          </w:p>
        </w:tc>
        <w:tc>
          <w:tcPr>
            <w:tcW w:w="236" w:type="dxa"/>
          </w:tcPr>
          <w:p w14:paraId="2B05A12B" w14:textId="77777777" w:rsidR="00DE596E" w:rsidRPr="000A610A" w:rsidRDefault="00DE596E" w:rsidP="00B43A27">
            <w:pPr>
              <w:ind w:right="-57"/>
              <w:jc w:val="center"/>
              <w:rPr>
                <w:rFonts w:ascii="Times New Roman" w:hAnsi="Times New Roman" w:cs="Times New Roman"/>
              </w:rPr>
            </w:pPr>
          </w:p>
        </w:tc>
        <w:tc>
          <w:tcPr>
            <w:tcW w:w="1417" w:type="dxa"/>
          </w:tcPr>
          <w:p w14:paraId="1204BCA0"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25.38</w:t>
            </w:r>
          </w:p>
        </w:tc>
        <w:tc>
          <w:tcPr>
            <w:tcW w:w="1418" w:type="dxa"/>
          </w:tcPr>
          <w:p w14:paraId="5AC4FCF9"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9.98</w:t>
            </w:r>
          </w:p>
        </w:tc>
        <w:tc>
          <w:tcPr>
            <w:tcW w:w="236" w:type="dxa"/>
          </w:tcPr>
          <w:p w14:paraId="5229B4CC" w14:textId="77777777" w:rsidR="00DE596E" w:rsidRPr="000A610A" w:rsidRDefault="00DE596E" w:rsidP="00B43A27">
            <w:pPr>
              <w:ind w:right="-57"/>
              <w:jc w:val="center"/>
              <w:rPr>
                <w:rFonts w:ascii="Times New Roman" w:hAnsi="Times New Roman" w:cs="Times New Roman"/>
              </w:rPr>
            </w:pPr>
          </w:p>
        </w:tc>
        <w:tc>
          <w:tcPr>
            <w:tcW w:w="953" w:type="dxa"/>
            <w:vAlign w:val="center"/>
          </w:tcPr>
          <w:p w14:paraId="2509D5DF"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0.051</w:t>
            </w:r>
          </w:p>
        </w:tc>
      </w:tr>
      <w:tr w:rsidR="00DE596E" w:rsidRPr="00B05D7B" w14:paraId="2264BDC9" w14:textId="77777777" w:rsidTr="0077390C">
        <w:trPr>
          <w:cantSplit/>
          <w:trHeight w:val="283"/>
        </w:trPr>
        <w:tc>
          <w:tcPr>
            <w:tcW w:w="2638" w:type="dxa"/>
          </w:tcPr>
          <w:p w14:paraId="1616E708" w14:textId="0B073679" w:rsidR="00DE596E" w:rsidRPr="000A610A" w:rsidRDefault="00DE596E" w:rsidP="00B43A27">
            <w:pPr>
              <w:rPr>
                <w:rFonts w:ascii="Times New Roman" w:hAnsi="Times New Roman" w:cs="Times New Roman"/>
              </w:rPr>
            </w:pPr>
            <w:r w:rsidRPr="000A610A">
              <w:rPr>
                <w:rFonts w:ascii="Times New Roman" w:hAnsi="Times New Roman" w:cs="Times New Roman"/>
              </w:rPr>
              <w:t xml:space="preserve">     </w:t>
            </w:r>
            <w:r w:rsidRPr="000A610A">
              <w:rPr>
                <w:rFonts w:ascii="Times New Roman" w:hAnsi="Times New Roman" w:cs="Times New Roman"/>
                <w:color w:val="000000" w:themeColor="text1"/>
              </w:rPr>
              <w:t>Protein (g)</w:t>
            </w:r>
          </w:p>
        </w:tc>
        <w:tc>
          <w:tcPr>
            <w:tcW w:w="1416" w:type="dxa"/>
          </w:tcPr>
          <w:p w14:paraId="07A9E35E" w14:textId="735D2895" w:rsidR="00DE596E" w:rsidRPr="000A610A" w:rsidRDefault="000B1D17" w:rsidP="00B43A27">
            <w:pPr>
              <w:ind w:right="-57"/>
              <w:jc w:val="center"/>
              <w:rPr>
                <w:rFonts w:ascii="Times New Roman" w:hAnsi="Times New Roman" w:cs="Times New Roman"/>
              </w:rPr>
            </w:pPr>
            <w:r>
              <w:rPr>
                <w:rFonts w:ascii="Times New Roman" w:hAnsi="Times New Roman" w:cs="Times New Roman"/>
              </w:rPr>
              <w:t>-</w:t>
            </w:r>
          </w:p>
        </w:tc>
        <w:tc>
          <w:tcPr>
            <w:tcW w:w="1417" w:type="dxa"/>
          </w:tcPr>
          <w:p w14:paraId="1B844F3D" w14:textId="64AC81BC" w:rsidR="00DE596E" w:rsidRPr="000A610A" w:rsidRDefault="000B1D17" w:rsidP="00B43A27">
            <w:pPr>
              <w:ind w:right="-57"/>
              <w:jc w:val="center"/>
              <w:rPr>
                <w:rFonts w:ascii="Times New Roman" w:hAnsi="Times New Roman" w:cs="Times New Roman"/>
              </w:rPr>
            </w:pPr>
            <w:r>
              <w:rPr>
                <w:rFonts w:ascii="Times New Roman" w:hAnsi="Times New Roman" w:cs="Times New Roman"/>
              </w:rPr>
              <w:t>-</w:t>
            </w:r>
          </w:p>
        </w:tc>
        <w:tc>
          <w:tcPr>
            <w:tcW w:w="236" w:type="dxa"/>
          </w:tcPr>
          <w:p w14:paraId="3DE09294" w14:textId="77777777" w:rsidR="00DE596E" w:rsidRPr="000A610A" w:rsidRDefault="00DE596E" w:rsidP="00B43A27">
            <w:pPr>
              <w:ind w:right="-57"/>
              <w:jc w:val="center"/>
              <w:rPr>
                <w:rFonts w:ascii="Times New Roman" w:hAnsi="Times New Roman" w:cs="Times New Roman"/>
              </w:rPr>
            </w:pPr>
          </w:p>
        </w:tc>
        <w:tc>
          <w:tcPr>
            <w:tcW w:w="1417" w:type="dxa"/>
          </w:tcPr>
          <w:p w14:paraId="6B64132D"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25.83</w:t>
            </w:r>
          </w:p>
        </w:tc>
        <w:tc>
          <w:tcPr>
            <w:tcW w:w="1418" w:type="dxa"/>
          </w:tcPr>
          <w:p w14:paraId="79409643"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8.20</w:t>
            </w:r>
          </w:p>
        </w:tc>
        <w:tc>
          <w:tcPr>
            <w:tcW w:w="236" w:type="dxa"/>
          </w:tcPr>
          <w:p w14:paraId="3DD17E5A" w14:textId="77777777" w:rsidR="00DE596E" w:rsidRPr="000A610A" w:rsidRDefault="00DE596E" w:rsidP="00B43A27">
            <w:pPr>
              <w:ind w:right="-57"/>
              <w:jc w:val="center"/>
              <w:rPr>
                <w:rFonts w:ascii="Times New Roman" w:hAnsi="Times New Roman" w:cs="Times New Roman"/>
              </w:rPr>
            </w:pPr>
          </w:p>
        </w:tc>
        <w:tc>
          <w:tcPr>
            <w:tcW w:w="1417" w:type="dxa"/>
          </w:tcPr>
          <w:p w14:paraId="28E91FD5"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25.83</w:t>
            </w:r>
          </w:p>
        </w:tc>
        <w:tc>
          <w:tcPr>
            <w:tcW w:w="1418" w:type="dxa"/>
          </w:tcPr>
          <w:p w14:paraId="1276FFC1"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10.17</w:t>
            </w:r>
          </w:p>
        </w:tc>
        <w:tc>
          <w:tcPr>
            <w:tcW w:w="236" w:type="dxa"/>
          </w:tcPr>
          <w:p w14:paraId="7A3E4CA0" w14:textId="77777777" w:rsidR="00DE596E" w:rsidRPr="000A610A" w:rsidRDefault="00DE596E" w:rsidP="00B43A27">
            <w:pPr>
              <w:ind w:right="-57"/>
              <w:jc w:val="center"/>
              <w:rPr>
                <w:rFonts w:ascii="Times New Roman" w:hAnsi="Times New Roman" w:cs="Times New Roman"/>
              </w:rPr>
            </w:pPr>
          </w:p>
        </w:tc>
        <w:tc>
          <w:tcPr>
            <w:tcW w:w="953" w:type="dxa"/>
            <w:vAlign w:val="center"/>
          </w:tcPr>
          <w:p w14:paraId="430E9B33"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1.000</w:t>
            </w:r>
          </w:p>
        </w:tc>
      </w:tr>
      <w:tr w:rsidR="00DE596E" w:rsidRPr="00B05D7B" w14:paraId="021DBD9C" w14:textId="77777777" w:rsidTr="0077390C">
        <w:trPr>
          <w:cantSplit/>
          <w:trHeight w:val="283"/>
        </w:trPr>
        <w:tc>
          <w:tcPr>
            <w:tcW w:w="2638" w:type="dxa"/>
          </w:tcPr>
          <w:p w14:paraId="0DD17BB9" w14:textId="70DC08BC" w:rsidR="00DE596E" w:rsidRPr="000A610A" w:rsidRDefault="00DE596E" w:rsidP="00B43A27">
            <w:pPr>
              <w:rPr>
                <w:rFonts w:ascii="Times New Roman" w:hAnsi="Times New Roman" w:cs="Times New Roman"/>
              </w:rPr>
            </w:pPr>
            <w:r w:rsidRPr="000A610A">
              <w:rPr>
                <w:rFonts w:ascii="Times New Roman" w:hAnsi="Times New Roman" w:cs="Times New Roman"/>
              </w:rPr>
              <w:t xml:space="preserve">     </w:t>
            </w:r>
            <w:r w:rsidRPr="000A610A">
              <w:rPr>
                <w:rFonts w:ascii="Times New Roman" w:hAnsi="Times New Roman" w:cs="Times New Roman"/>
                <w:color w:val="000000" w:themeColor="text1"/>
              </w:rPr>
              <w:t>Proportion (%</w:t>
            </w:r>
            <w:r w:rsidR="003363D0">
              <w:rPr>
                <w:rFonts w:ascii="Times New Roman" w:hAnsi="Times New Roman" w:cs="Times New Roman"/>
                <w:color w:val="000000" w:themeColor="text1"/>
              </w:rPr>
              <w:t xml:space="preserve"> energy</w:t>
            </w:r>
            <w:r w:rsidRPr="000A610A">
              <w:rPr>
                <w:rFonts w:ascii="Times New Roman" w:hAnsi="Times New Roman" w:cs="Times New Roman"/>
                <w:color w:val="000000" w:themeColor="text1"/>
              </w:rPr>
              <w:t>)</w:t>
            </w:r>
          </w:p>
        </w:tc>
        <w:tc>
          <w:tcPr>
            <w:tcW w:w="1416" w:type="dxa"/>
          </w:tcPr>
          <w:p w14:paraId="3884286C" w14:textId="38A203D3" w:rsidR="00DE596E" w:rsidRPr="000A610A" w:rsidRDefault="000B1D17" w:rsidP="00B43A27">
            <w:pPr>
              <w:ind w:right="-57"/>
              <w:jc w:val="center"/>
              <w:rPr>
                <w:rFonts w:ascii="Times New Roman" w:hAnsi="Times New Roman" w:cs="Times New Roman"/>
              </w:rPr>
            </w:pPr>
            <w:r>
              <w:rPr>
                <w:rFonts w:ascii="Times New Roman" w:hAnsi="Times New Roman" w:cs="Times New Roman"/>
              </w:rPr>
              <w:t>-</w:t>
            </w:r>
          </w:p>
        </w:tc>
        <w:tc>
          <w:tcPr>
            <w:tcW w:w="1417" w:type="dxa"/>
          </w:tcPr>
          <w:p w14:paraId="410F8443" w14:textId="61552B0B" w:rsidR="00DE596E" w:rsidRPr="000A610A" w:rsidRDefault="000B1D17" w:rsidP="00B43A27">
            <w:pPr>
              <w:ind w:right="-57"/>
              <w:jc w:val="center"/>
              <w:rPr>
                <w:rFonts w:ascii="Times New Roman" w:hAnsi="Times New Roman" w:cs="Times New Roman"/>
              </w:rPr>
            </w:pPr>
            <w:r>
              <w:rPr>
                <w:rFonts w:ascii="Times New Roman" w:hAnsi="Times New Roman" w:cs="Times New Roman"/>
              </w:rPr>
              <w:t>-</w:t>
            </w:r>
          </w:p>
        </w:tc>
        <w:tc>
          <w:tcPr>
            <w:tcW w:w="236" w:type="dxa"/>
          </w:tcPr>
          <w:p w14:paraId="0B51CDB1" w14:textId="77777777" w:rsidR="00DE596E" w:rsidRPr="000A610A" w:rsidRDefault="00DE596E" w:rsidP="00B43A27">
            <w:pPr>
              <w:ind w:right="-57"/>
              <w:jc w:val="center"/>
              <w:rPr>
                <w:rFonts w:ascii="Times New Roman" w:hAnsi="Times New Roman" w:cs="Times New Roman"/>
              </w:rPr>
            </w:pPr>
          </w:p>
        </w:tc>
        <w:tc>
          <w:tcPr>
            <w:tcW w:w="1417" w:type="dxa"/>
          </w:tcPr>
          <w:p w14:paraId="5C4CC07D" w14:textId="77777777" w:rsidR="00DE596E" w:rsidRPr="000A610A" w:rsidRDefault="00DE596E" w:rsidP="00B43A27">
            <w:pPr>
              <w:ind w:right="-57"/>
              <w:jc w:val="center"/>
              <w:rPr>
                <w:rFonts w:ascii="Times New Roman" w:hAnsi="Times New Roman" w:cs="Times New Roman"/>
              </w:rPr>
            </w:pPr>
          </w:p>
        </w:tc>
        <w:tc>
          <w:tcPr>
            <w:tcW w:w="1418" w:type="dxa"/>
          </w:tcPr>
          <w:p w14:paraId="0781564D" w14:textId="77777777" w:rsidR="00DE596E" w:rsidRPr="000A610A" w:rsidRDefault="00DE596E" w:rsidP="00B43A27">
            <w:pPr>
              <w:ind w:right="-57"/>
              <w:jc w:val="center"/>
              <w:rPr>
                <w:rFonts w:ascii="Times New Roman" w:hAnsi="Times New Roman" w:cs="Times New Roman"/>
              </w:rPr>
            </w:pPr>
          </w:p>
        </w:tc>
        <w:tc>
          <w:tcPr>
            <w:tcW w:w="236" w:type="dxa"/>
          </w:tcPr>
          <w:p w14:paraId="07D8881D" w14:textId="77777777" w:rsidR="00DE596E" w:rsidRPr="000A610A" w:rsidRDefault="00DE596E" w:rsidP="00B43A27">
            <w:pPr>
              <w:ind w:right="-57"/>
              <w:jc w:val="center"/>
              <w:rPr>
                <w:rFonts w:ascii="Times New Roman" w:hAnsi="Times New Roman" w:cs="Times New Roman"/>
              </w:rPr>
            </w:pPr>
          </w:p>
        </w:tc>
        <w:tc>
          <w:tcPr>
            <w:tcW w:w="1417" w:type="dxa"/>
          </w:tcPr>
          <w:p w14:paraId="18EA8699" w14:textId="77777777" w:rsidR="00DE596E" w:rsidRPr="000A610A" w:rsidRDefault="00DE596E" w:rsidP="00B43A27">
            <w:pPr>
              <w:ind w:right="-57"/>
              <w:jc w:val="center"/>
              <w:rPr>
                <w:rFonts w:ascii="Times New Roman" w:hAnsi="Times New Roman" w:cs="Times New Roman"/>
              </w:rPr>
            </w:pPr>
          </w:p>
        </w:tc>
        <w:tc>
          <w:tcPr>
            <w:tcW w:w="1418" w:type="dxa"/>
          </w:tcPr>
          <w:p w14:paraId="783A48B0" w14:textId="77777777" w:rsidR="00DE596E" w:rsidRPr="000A610A" w:rsidRDefault="00DE596E" w:rsidP="00B43A27">
            <w:pPr>
              <w:ind w:right="-57"/>
              <w:jc w:val="center"/>
              <w:rPr>
                <w:rFonts w:ascii="Times New Roman" w:hAnsi="Times New Roman" w:cs="Times New Roman"/>
              </w:rPr>
            </w:pPr>
          </w:p>
        </w:tc>
        <w:tc>
          <w:tcPr>
            <w:tcW w:w="236" w:type="dxa"/>
          </w:tcPr>
          <w:p w14:paraId="6F036F1C" w14:textId="77777777" w:rsidR="00DE596E" w:rsidRPr="000A610A" w:rsidRDefault="00DE596E" w:rsidP="00B43A27">
            <w:pPr>
              <w:ind w:right="-57"/>
              <w:jc w:val="center"/>
              <w:rPr>
                <w:rFonts w:ascii="Times New Roman" w:hAnsi="Times New Roman" w:cs="Times New Roman"/>
              </w:rPr>
            </w:pPr>
          </w:p>
        </w:tc>
        <w:tc>
          <w:tcPr>
            <w:tcW w:w="953" w:type="dxa"/>
            <w:vAlign w:val="center"/>
          </w:tcPr>
          <w:p w14:paraId="71CA8A04" w14:textId="77777777" w:rsidR="00DE596E" w:rsidRPr="000A610A" w:rsidRDefault="00DE596E" w:rsidP="00B43A27">
            <w:pPr>
              <w:ind w:right="-57"/>
              <w:jc w:val="center"/>
              <w:rPr>
                <w:rFonts w:ascii="Times New Roman" w:hAnsi="Times New Roman" w:cs="Times New Roman"/>
              </w:rPr>
            </w:pPr>
          </w:p>
        </w:tc>
      </w:tr>
      <w:tr w:rsidR="00DE596E" w:rsidRPr="00B05D7B" w14:paraId="745A9566" w14:textId="77777777" w:rsidTr="0077390C">
        <w:trPr>
          <w:cantSplit/>
          <w:trHeight w:val="283"/>
        </w:trPr>
        <w:tc>
          <w:tcPr>
            <w:tcW w:w="2638" w:type="dxa"/>
          </w:tcPr>
          <w:p w14:paraId="49FFAA6A" w14:textId="6B78AFE6" w:rsidR="00DE596E" w:rsidRPr="000A610A" w:rsidRDefault="00DE596E" w:rsidP="00B43A27">
            <w:pPr>
              <w:rPr>
                <w:rFonts w:ascii="Times New Roman" w:hAnsi="Times New Roman" w:cs="Times New Roman"/>
              </w:rPr>
            </w:pPr>
            <w:r w:rsidRPr="000A610A">
              <w:rPr>
                <w:rFonts w:ascii="Times New Roman" w:hAnsi="Times New Roman" w:cs="Times New Roman"/>
              </w:rPr>
              <w:t xml:space="preserve">          </w:t>
            </w:r>
            <w:r w:rsidRPr="000A610A">
              <w:rPr>
                <w:rFonts w:ascii="Times New Roman" w:hAnsi="Times New Roman" w:cs="Times New Roman"/>
                <w:color w:val="000000" w:themeColor="text1"/>
              </w:rPr>
              <w:t xml:space="preserve">Carbohydrate </w:t>
            </w:r>
          </w:p>
        </w:tc>
        <w:tc>
          <w:tcPr>
            <w:tcW w:w="1416" w:type="dxa"/>
          </w:tcPr>
          <w:p w14:paraId="70398CCF" w14:textId="7A24CFAD" w:rsidR="00DE596E" w:rsidRPr="000A610A" w:rsidRDefault="000B1D17" w:rsidP="00B43A27">
            <w:pPr>
              <w:ind w:right="-57"/>
              <w:jc w:val="center"/>
              <w:rPr>
                <w:rFonts w:ascii="Times New Roman" w:hAnsi="Times New Roman" w:cs="Times New Roman"/>
              </w:rPr>
            </w:pPr>
            <w:r>
              <w:rPr>
                <w:rFonts w:ascii="Times New Roman" w:hAnsi="Times New Roman" w:cs="Times New Roman"/>
              </w:rPr>
              <w:t>-</w:t>
            </w:r>
          </w:p>
        </w:tc>
        <w:tc>
          <w:tcPr>
            <w:tcW w:w="1417" w:type="dxa"/>
          </w:tcPr>
          <w:p w14:paraId="6ADBCC0B" w14:textId="41DE5E21" w:rsidR="00DE596E" w:rsidRPr="000A610A" w:rsidRDefault="000B1D17" w:rsidP="00B43A27">
            <w:pPr>
              <w:ind w:right="-57"/>
              <w:jc w:val="center"/>
              <w:rPr>
                <w:rFonts w:ascii="Times New Roman" w:hAnsi="Times New Roman" w:cs="Times New Roman"/>
              </w:rPr>
            </w:pPr>
            <w:r>
              <w:rPr>
                <w:rFonts w:ascii="Times New Roman" w:hAnsi="Times New Roman" w:cs="Times New Roman"/>
              </w:rPr>
              <w:t>-</w:t>
            </w:r>
          </w:p>
        </w:tc>
        <w:tc>
          <w:tcPr>
            <w:tcW w:w="236" w:type="dxa"/>
          </w:tcPr>
          <w:p w14:paraId="0D2FC2F3" w14:textId="77777777" w:rsidR="00DE596E" w:rsidRPr="000A610A" w:rsidRDefault="00DE596E" w:rsidP="00B43A27">
            <w:pPr>
              <w:ind w:right="-57"/>
              <w:jc w:val="center"/>
              <w:rPr>
                <w:rFonts w:ascii="Times New Roman" w:hAnsi="Times New Roman" w:cs="Times New Roman"/>
              </w:rPr>
            </w:pPr>
          </w:p>
        </w:tc>
        <w:tc>
          <w:tcPr>
            <w:tcW w:w="1417" w:type="dxa"/>
          </w:tcPr>
          <w:p w14:paraId="7C56AEFA"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52.0</w:t>
            </w:r>
          </w:p>
        </w:tc>
        <w:tc>
          <w:tcPr>
            <w:tcW w:w="1418" w:type="dxa"/>
          </w:tcPr>
          <w:p w14:paraId="2483B0B2"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7.8</w:t>
            </w:r>
          </w:p>
        </w:tc>
        <w:tc>
          <w:tcPr>
            <w:tcW w:w="236" w:type="dxa"/>
          </w:tcPr>
          <w:p w14:paraId="6B1E6A83" w14:textId="77777777" w:rsidR="00DE596E" w:rsidRPr="000A610A" w:rsidRDefault="00DE596E" w:rsidP="00B43A27">
            <w:pPr>
              <w:ind w:right="-57"/>
              <w:jc w:val="center"/>
              <w:rPr>
                <w:rFonts w:ascii="Times New Roman" w:hAnsi="Times New Roman" w:cs="Times New Roman"/>
              </w:rPr>
            </w:pPr>
          </w:p>
        </w:tc>
        <w:tc>
          <w:tcPr>
            <w:tcW w:w="1417" w:type="dxa"/>
          </w:tcPr>
          <w:p w14:paraId="08E9193B"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52.5</w:t>
            </w:r>
          </w:p>
        </w:tc>
        <w:tc>
          <w:tcPr>
            <w:tcW w:w="1418" w:type="dxa"/>
          </w:tcPr>
          <w:p w14:paraId="7179A6A6"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8.5</w:t>
            </w:r>
          </w:p>
        </w:tc>
        <w:tc>
          <w:tcPr>
            <w:tcW w:w="236" w:type="dxa"/>
          </w:tcPr>
          <w:p w14:paraId="62FB33AD" w14:textId="77777777" w:rsidR="00DE596E" w:rsidRPr="000A610A" w:rsidRDefault="00DE596E" w:rsidP="00B43A27">
            <w:pPr>
              <w:ind w:right="-57"/>
              <w:jc w:val="center"/>
              <w:rPr>
                <w:rFonts w:ascii="Times New Roman" w:hAnsi="Times New Roman" w:cs="Times New Roman"/>
              </w:rPr>
            </w:pPr>
          </w:p>
        </w:tc>
        <w:tc>
          <w:tcPr>
            <w:tcW w:w="953" w:type="dxa"/>
            <w:vAlign w:val="center"/>
          </w:tcPr>
          <w:p w14:paraId="59FA59F9"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0.493</w:t>
            </w:r>
          </w:p>
        </w:tc>
      </w:tr>
      <w:tr w:rsidR="00DE596E" w:rsidRPr="00B05D7B" w14:paraId="3DAC3FD4" w14:textId="77777777" w:rsidTr="0077390C">
        <w:trPr>
          <w:cantSplit/>
          <w:trHeight w:val="283"/>
        </w:trPr>
        <w:tc>
          <w:tcPr>
            <w:tcW w:w="2638" w:type="dxa"/>
          </w:tcPr>
          <w:p w14:paraId="52225221" w14:textId="12151117" w:rsidR="00DE596E" w:rsidRPr="000A610A" w:rsidRDefault="00DE596E" w:rsidP="00B43A27">
            <w:pPr>
              <w:rPr>
                <w:rFonts w:ascii="Times New Roman" w:hAnsi="Times New Roman" w:cs="Times New Roman"/>
              </w:rPr>
            </w:pPr>
            <w:r w:rsidRPr="000A610A">
              <w:rPr>
                <w:rFonts w:ascii="Times New Roman" w:hAnsi="Times New Roman" w:cs="Times New Roman"/>
              </w:rPr>
              <w:t xml:space="preserve">          </w:t>
            </w:r>
            <w:r w:rsidRPr="000A610A">
              <w:rPr>
                <w:rFonts w:ascii="Times New Roman" w:hAnsi="Times New Roman" w:cs="Times New Roman"/>
                <w:color w:val="000000" w:themeColor="text1"/>
              </w:rPr>
              <w:t>Fat</w:t>
            </w:r>
          </w:p>
        </w:tc>
        <w:tc>
          <w:tcPr>
            <w:tcW w:w="1416" w:type="dxa"/>
          </w:tcPr>
          <w:p w14:paraId="09B5A15F" w14:textId="1BDF8B60" w:rsidR="00DE596E" w:rsidRPr="000A610A" w:rsidRDefault="000B1D17" w:rsidP="00B43A27">
            <w:pPr>
              <w:ind w:right="-57"/>
              <w:jc w:val="center"/>
              <w:rPr>
                <w:rFonts w:ascii="Times New Roman" w:hAnsi="Times New Roman" w:cs="Times New Roman"/>
              </w:rPr>
            </w:pPr>
            <w:r>
              <w:rPr>
                <w:rFonts w:ascii="Times New Roman" w:hAnsi="Times New Roman" w:cs="Times New Roman"/>
              </w:rPr>
              <w:t>-</w:t>
            </w:r>
          </w:p>
        </w:tc>
        <w:tc>
          <w:tcPr>
            <w:tcW w:w="1417" w:type="dxa"/>
          </w:tcPr>
          <w:p w14:paraId="17FC63C6" w14:textId="1EE77ADD" w:rsidR="00DE596E" w:rsidRPr="000A610A" w:rsidRDefault="000B1D17" w:rsidP="00B43A27">
            <w:pPr>
              <w:ind w:right="-57"/>
              <w:jc w:val="center"/>
              <w:rPr>
                <w:rFonts w:ascii="Times New Roman" w:hAnsi="Times New Roman" w:cs="Times New Roman"/>
              </w:rPr>
            </w:pPr>
            <w:r>
              <w:rPr>
                <w:rFonts w:ascii="Times New Roman" w:hAnsi="Times New Roman" w:cs="Times New Roman"/>
              </w:rPr>
              <w:t>-</w:t>
            </w:r>
          </w:p>
        </w:tc>
        <w:tc>
          <w:tcPr>
            <w:tcW w:w="236" w:type="dxa"/>
          </w:tcPr>
          <w:p w14:paraId="488C677D" w14:textId="77777777" w:rsidR="00DE596E" w:rsidRPr="000A610A" w:rsidRDefault="00DE596E" w:rsidP="00B43A27">
            <w:pPr>
              <w:ind w:right="-57"/>
              <w:jc w:val="center"/>
              <w:rPr>
                <w:rFonts w:ascii="Times New Roman" w:hAnsi="Times New Roman" w:cs="Times New Roman"/>
              </w:rPr>
            </w:pPr>
          </w:p>
        </w:tc>
        <w:tc>
          <w:tcPr>
            <w:tcW w:w="1417" w:type="dxa"/>
          </w:tcPr>
          <w:p w14:paraId="4D6B07F7"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33.8</w:t>
            </w:r>
          </w:p>
        </w:tc>
        <w:tc>
          <w:tcPr>
            <w:tcW w:w="1418" w:type="dxa"/>
            <w:vAlign w:val="center"/>
          </w:tcPr>
          <w:p w14:paraId="1E1D7B9B"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7.6</w:t>
            </w:r>
          </w:p>
        </w:tc>
        <w:tc>
          <w:tcPr>
            <w:tcW w:w="236" w:type="dxa"/>
          </w:tcPr>
          <w:p w14:paraId="6C1B99DC" w14:textId="77777777" w:rsidR="00DE596E" w:rsidRPr="000A610A" w:rsidRDefault="00DE596E" w:rsidP="00B43A27">
            <w:pPr>
              <w:ind w:right="-57"/>
              <w:jc w:val="center"/>
              <w:rPr>
                <w:rFonts w:ascii="Times New Roman" w:hAnsi="Times New Roman" w:cs="Times New Roman"/>
              </w:rPr>
            </w:pPr>
          </w:p>
        </w:tc>
        <w:tc>
          <w:tcPr>
            <w:tcW w:w="1417" w:type="dxa"/>
          </w:tcPr>
          <w:p w14:paraId="79EA81BB"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32.6</w:t>
            </w:r>
          </w:p>
        </w:tc>
        <w:tc>
          <w:tcPr>
            <w:tcW w:w="1418" w:type="dxa"/>
          </w:tcPr>
          <w:p w14:paraId="347FEA08"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7.3</w:t>
            </w:r>
          </w:p>
        </w:tc>
        <w:tc>
          <w:tcPr>
            <w:tcW w:w="236" w:type="dxa"/>
          </w:tcPr>
          <w:p w14:paraId="2A41FB91" w14:textId="77777777" w:rsidR="00DE596E" w:rsidRPr="000A610A" w:rsidRDefault="00DE596E" w:rsidP="00B43A27">
            <w:pPr>
              <w:ind w:right="-57"/>
              <w:jc w:val="center"/>
              <w:rPr>
                <w:rFonts w:ascii="Times New Roman" w:hAnsi="Times New Roman" w:cs="Times New Roman"/>
              </w:rPr>
            </w:pPr>
          </w:p>
        </w:tc>
        <w:tc>
          <w:tcPr>
            <w:tcW w:w="953" w:type="dxa"/>
            <w:vAlign w:val="center"/>
          </w:tcPr>
          <w:p w14:paraId="405CA82B"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0.099</w:t>
            </w:r>
          </w:p>
        </w:tc>
      </w:tr>
      <w:tr w:rsidR="00DE596E" w:rsidRPr="00B05D7B" w14:paraId="63607E0C" w14:textId="77777777" w:rsidTr="0077390C">
        <w:trPr>
          <w:cantSplit/>
          <w:trHeight w:val="283"/>
        </w:trPr>
        <w:tc>
          <w:tcPr>
            <w:tcW w:w="2638" w:type="dxa"/>
            <w:tcBorders>
              <w:bottom w:val="single" w:sz="4" w:space="0" w:color="auto"/>
            </w:tcBorders>
          </w:tcPr>
          <w:p w14:paraId="1419896D" w14:textId="45BC1A3F" w:rsidR="00DE596E" w:rsidRPr="000A610A" w:rsidRDefault="00DE596E" w:rsidP="00B43A27">
            <w:pPr>
              <w:rPr>
                <w:rFonts w:ascii="Times New Roman" w:hAnsi="Times New Roman" w:cs="Times New Roman"/>
              </w:rPr>
            </w:pPr>
            <w:r w:rsidRPr="000A610A">
              <w:rPr>
                <w:rFonts w:ascii="Times New Roman" w:hAnsi="Times New Roman" w:cs="Times New Roman"/>
                <w:color w:val="000000" w:themeColor="text1"/>
              </w:rPr>
              <w:t xml:space="preserve"> </w:t>
            </w:r>
            <w:r w:rsidRPr="000A610A">
              <w:rPr>
                <w:rFonts w:ascii="Times New Roman" w:hAnsi="Times New Roman" w:cs="Times New Roman"/>
              </w:rPr>
              <w:t xml:space="preserve">         </w:t>
            </w:r>
            <w:r w:rsidRPr="000A610A">
              <w:rPr>
                <w:rFonts w:ascii="Times New Roman" w:hAnsi="Times New Roman" w:cs="Times New Roman"/>
                <w:color w:val="000000" w:themeColor="text1"/>
              </w:rPr>
              <w:t>Protein</w:t>
            </w:r>
          </w:p>
        </w:tc>
        <w:tc>
          <w:tcPr>
            <w:tcW w:w="1416" w:type="dxa"/>
            <w:tcBorders>
              <w:bottom w:val="single" w:sz="4" w:space="0" w:color="auto"/>
            </w:tcBorders>
          </w:tcPr>
          <w:p w14:paraId="32B9D32B" w14:textId="78CDA8AE" w:rsidR="00DE596E" w:rsidRPr="000A610A" w:rsidRDefault="000B1D17" w:rsidP="00B43A27">
            <w:pPr>
              <w:ind w:right="-57"/>
              <w:jc w:val="center"/>
              <w:rPr>
                <w:rFonts w:ascii="Times New Roman" w:hAnsi="Times New Roman" w:cs="Times New Roman"/>
              </w:rPr>
            </w:pPr>
            <w:r>
              <w:rPr>
                <w:rFonts w:ascii="Times New Roman" w:hAnsi="Times New Roman" w:cs="Times New Roman"/>
              </w:rPr>
              <w:t>-</w:t>
            </w:r>
          </w:p>
        </w:tc>
        <w:tc>
          <w:tcPr>
            <w:tcW w:w="1417" w:type="dxa"/>
            <w:tcBorders>
              <w:bottom w:val="single" w:sz="4" w:space="0" w:color="auto"/>
            </w:tcBorders>
          </w:tcPr>
          <w:p w14:paraId="1DE6F7C8" w14:textId="47F86D6A" w:rsidR="00DE596E" w:rsidRPr="000A610A" w:rsidRDefault="000B1D17" w:rsidP="00B43A27">
            <w:pPr>
              <w:ind w:right="-57"/>
              <w:jc w:val="center"/>
              <w:rPr>
                <w:rFonts w:ascii="Times New Roman" w:hAnsi="Times New Roman" w:cs="Times New Roman"/>
              </w:rPr>
            </w:pPr>
            <w:r>
              <w:rPr>
                <w:rFonts w:ascii="Times New Roman" w:hAnsi="Times New Roman" w:cs="Times New Roman"/>
              </w:rPr>
              <w:t>-</w:t>
            </w:r>
          </w:p>
        </w:tc>
        <w:tc>
          <w:tcPr>
            <w:tcW w:w="236" w:type="dxa"/>
            <w:tcBorders>
              <w:bottom w:val="single" w:sz="4" w:space="0" w:color="auto"/>
            </w:tcBorders>
          </w:tcPr>
          <w:p w14:paraId="40BC815B" w14:textId="77777777" w:rsidR="00DE596E" w:rsidRPr="000A610A" w:rsidRDefault="00DE596E" w:rsidP="00B43A27">
            <w:pPr>
              <w:ind w:right="-57"/>
              <w:jc w:val="center"/>
              <w:rPr>
                <w:rFonts w:ascii="Times New Roman" w:hAnsi="Times New Roman" w:cs="Times New Roman"/>
              </w:rPr>
            </w:pPr>
          </w:p>
        </w:tc>
        <w:tc>
          <w:tcPr>
            <w:tcW w:w="1417" w:type="dxa"/>
            <w:tcBorders>
              <w:bottom w:val="single" w:sz="4" w:space="0" w:color="auto"/>
            </w:tcBorders>
          </w:tcPr>
          <w:p w14:paraId="1ABB67C3"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14.4</w:t>
            </w:r>
          </w:p>
        </w:tc>
        <w:tc>
          <w:tcPr>
            <w:tcW w:w="1418" w:type="dxa"/>
            <w:tcBorders>
              <w:bottom w:val="single" w:sz="4" w:space="0" w:color="auto"/>
            </w:tcBorders>
            <w:vAlign w:val="center"/>
          </w:tcPr>
          <w:p w14:paraId="2288664E"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3.2</w:t>
            </w:r>
          </w:p>
        </w:tc>
        <w:tc>
          <w:tcPr>
            <w:tcW w:w="236" w:type="dxa"/>
            <w:tcBorders>
              <w:bottom w:val="single" w:sz="4" w:space="0" w:color="auto"/>
            </w:tcBorders>
          </w:tcPr>
          <w:p w14:paraId="65C9763B" w14:textId="77777777" w:rsidR="00DE596E" w:rsidRPr="000A610A" w:rsidRDefault="00DE596E" w:rsidP="00B43A27">
            <w:pPr>
              <w:ind w:right="-57"/>
              <w:jc w:val="center"/>
              <w:rPr>
                <w:rFonts w:ascii="Times New Roman" w:hAnsi="Times New Roman" w:cs="Times New Roman"/>
              </w:rPr>
            </w:pPr>
          </w:p>
        </w:tc>
        <w:tc>
          <w:tcPr>
            <w:tcW w:w="1417" w:type="dxa"/>
            <w:tcBorders>
              <w:bottom w:val="single" w:sz="4" w:space="0" w:color="auto"/>
            </w:tcBorders>
          </w:tcPr>
          <w:p w14:paraId="7CC9A29A"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15.0</w:t>
            </w:r>
          </w:p>
        </w:tc>
        <w:tc>
          <w:tcPr>
            <w:tcW w:w="1418" w:type="dxa"/>
            <w:tcBorders>
              <w:bottom w:val="single" w:sz="4" w:space="0" w:color="auto"/>
            </w:tcBorders>
          </w:tcPr>
          <w:p w14:paraId="5E6FE0BC"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3.8</w:t>
            </w:r>
          </w:p>
        </w:tc>
        <w:tc>
          <w:tcPr>
            <w:tcW w:w="236" w:type="dxa"/>
            <w:tcBorders>
              <w:bottom w:val="single" w:sz="4" w:space="0" w:color="auto"/>
            </w:tcBorders>
          </w:tcPr>
          <w:p w14:paraId="050D70A1" w14:textId="77777777" w:rsidR="00DE596E" w:rsidRPr="000A610A" w:rsidRDefault="00DE596E" w:rsidP="00B43A27">
            <w:pPr>
              <w:ind w:right="-57"/>
              <w:jc w:val="center"/>
              <w:rPr>
                <w:rFonts w:ascii="Times New Roman" w:hAnsi="Times New Roman" w:cs="Times New Roman"/>
              </w:rPr>
            </w:pPr>
          </w:p>
        </w:tc>
        <w:tc>
          <w:tcPr>
            <w:tcW w:w="953" w:type="dxa"/>
            <w:tcBorders>
              <w:bottom w:val="single" w:sz="4" w:space="0" w:color="auto"/>
            </w:tcBorders>
            <w:vAlign w:val="center"/>
          </w:tcPr>
          <w:p w14:paraId="6FA68C47" w14:textId="77777777" w:rsidR="00DE596E" w:rsidRPr="000A610A" w:rsidRDefault="00DE596E" w:rsidP="00B43A27">
            <w:pPr>
              <w:ind w:right="-57"/>
              <w:jc w:val="center"/>
              <w:rPr>
                <w:rFonts w:ascii="Times New Roman" w:hAnsi="Times New Roman" w:cs="Times New Roman"/>
              </w:rPr>
            </w:pPr>
            <w:r w:rsidRPr="000A610A">
              <w:rPr>
                <w:rFonts w:ascii="Times New Roman" w:hAnsi="Times New Roman" w:cs="Times New Roman"/>
              </w:rPr>
              <w:t>0.118</w:t>
            </w:r>
          </w:p>
        </w:tc>
      </w:tr>
      <w:tr w:rsidR="00BE4397" w:rsidRPr="00B05D7B" w14:paraId="62356DCD" w14:textId="77777777" w:rsidTr="0077390C">
        <w:trPr>
          <w:cantSplit/>
          <w:trHeight w:val="283"/>
        </w:trPr>
        <w:tc>
          <w:tcPr>
            <w:tcW w:w="12802" w:type="dxa"/>
            <w:gridSpan w:val="11"/>
            <w:tcBorders>
              <w:top w:val="single" w:sz="4" w:space="0" w:color="auto"/>
            </w:tcBorders>
            <w:vAlign w:val="center"/>
          </w:tcPr>
          <w:p w14:paraId="07D06EC0" w14:textId="77777777" w:rsidR="00BE4397" w:rsidRPr="000A610A" w:rsidRDefault="00BE4397" w:rsidP="00BE4397">
            <w:pPr>
              <w:ind w:right="-57"/>
              <w:rPr>
                <w:rFonts w:ascii="Times New Roman" w:hAnsi="Times New Roman" w:cs="Times New Roman"/>
              </w:rPr>
            </w:pPr>
            <w:r w:rsidRPr="000A610A">
              <w:rPr>
                <w:rFonts w:ascii="Times New Roman" w:hAnsi="Times New Roman" w:cs="Times New Roman"/>
                <w:color w:val="000000" w:themeColor="text1"/>
                <w:vertAlign w:val="superscript"/>
              </w:rPr>
              <w:t xml:space="preserve">* </w:t>
            </w:r>
            <w:r w:rsidRPr="000A610A">
              <w:rPr>
                <w:rFonts w:ascii="Times New Roman" w:hAnsi="Times New Roman" w:cs="Times New Roman"/>
                <w:i/>
                <w:color w:val="000000" w:themeColor="text1"/>
              </w:rPr>
              <w:t xml:space="preserve">P </w:t>
            </w:r>
            <w:r w:rsidRPr="000A610A">
              <w:rPr>
                <w:rFonts w:ascii="Times New Roman" w:hAnsi="Times New Roman" w:cs="Times New Roman"/>
                <w:color w:val="000000" w:themeColor="text1"/>
              </w:rPr>
              <w:t xml:space="preserve">values are based on Fisher’s exact test or independent </w:t>
            </w:r>
            <w:r w:rsidRPr="000A610A">
              <w:rPr>
                <w:rFonts w:ascii="Times New Roman" w:hAnsi="Times New Roman" w:cs="Times New Roman"/>
                <w:i/>
                <w:color w:val="000000" w:themeColor="text1"/>
              </w:rPr>
              <w:t xml:space="preserve">t </w:t>
            </w:r>
            <w:r w:rsidRPr="000A610A">
              <w:rPr>
                <w:rFonts w:ascii="Times New Roman" w:hAnsi="Times New Roman" w:cs="Times New Roman"/>
                <w:color w:val="000000" w:themeColor="text1"/>
              </w:rPr>
              <w:t>test as appropriate.</w:t>
            </w:r>
          </w:p>
        </w:tc>
      </w:tr>
    </w:tbl>
    <w:p w14:paraId="56C79194" w14:textId="77777777" w:rsidR="004323A7" w:rsidRDefault="004323A7" w:rsidP="001E6B09">
      <w:pPr>
        <w:rPr>
          <w:rFonts w:ascii="Times New Roman" w:hAnsi="Times New Roman" w:cs="Times New Roman"/>
          <w:sz w:val="20"/>
          <w:szCs w:val="20"/>
        </w:rPr>
      </w:pPr>
    </w:p>
    <w:p w14:paraId="2A7D0146" w14:textId="77777777" w:rsidR="004323A7" w:rsidRDefault="004323A7" w:rsidP="001E6B09">
      <w:pPr>
        <w:rPr>
          <w:rFonts w:ascii="Times New Roman" w:hAnsi="Times New Roman" w:cs="Times New Roman"/>
          <w:sz w:val="20"/>
          <w:szCs w:val="20"/>
        </w:rPr>
      </w:pPr>
    </w:p>
    <w:p w14:paraId="4128C2C4" w14:textId="77777777" w:rsidR="004323A7" w:rsidRDefault="004323A7" w:rsidP="001E6B09">
      <w:pPr>
        <w:rPr>
          <w:rFonts w:ascii="Times New Roman" w:hAnsi="Times New Roman" w:cs="Times New Roman"/>
          <w:sz w:val="20"/>
          <w:szCs w:val="20"/>
        </w:rPr>
      </w:pPr>
    </w:p>
    <w:p w14:paraId="686ED682" w14:textId="77777777" w:rsidR="004323A7" w:rsidRDefault="004323A7" w:rsidP="001E6B09">
      <w:pPr>
        <w:rPr>
          <w:rFonts w:ascii="Times New Roman" w:hAnsi="Times New Roman" w:cs="Times New Roman"/>
          <w:sz w:val="20"/>
          <w:szCs w:val="20"/>
        </w:rPr>
        <w:sectPr w:rsidR="004323A7" w:rsidSect="00724502">
          <w:pgSz w:w="16839" w:h="11907" w:orient="landscape" w:code="9"/>
          <w:pgMar w:top="1134" w:right="1134" w:bottom="1134" w:left="1134" w:header="720" w:footer="720" w:gutter="0"/>
          <w:cols w:space="720"/>
          <w:docGrid w:linePitch="360"/>
        </w:sectPr>
      </w:pPr>
    </w:p>
    <w:tbl>
      <w:tblPr>
        <w:tblStyle w:val="TableGrid"/>
        <w:tblW w:w="105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139"/>
        <w:gridCol w:w="4139"/>
      </w:tblGrid>
      <w:tr w:rsidR="00BE4397" w:rsidRPr="00BA4B24" w14:paraId="3F8AC2FA" w14:textId="74C25C82" w:rsidTr="0077390C">
        <w:trPr>
          <w:trHeight w:val="278"/>
        </w:trPr>
        <w:tc>
          <w:tcPr>
            <w:tcW w:w="10546" w:type="dxa"/>
            <w:gridSpan w:val="3"/>
            <w:tcBorders>
              <w:bottom w:val="single" w:sz="4" w:space="0" w:color="auto"/>
            </w:tcBorders>
            <w:vAlign w:val="center"/>
          </w:tcPr>
          <w:p w14:paraId="3046D0C1" w14:textId="0C2C6627" w:rsidR="00BE4397" w:rsidRDefault="00BE4397" w:rsidP="00BE4397">
            <w:pPr>
              <w:rPr>
                <w:rFonts w:ascii="Times New Roman" w:hAnsi="Times New Roman" w:cs="Times New Roman"/>
              </w:rPr>
            </w:pPr>
            <w:r>
              <w:rPr>
                <w:rFonts w:ascii="Times New Roman" w:hAnsi="Times New Roman" w:cs="Times New Roman"/>
                <w:b/>
              </w:rPr>
              <w:lastRenderedPageBreak/>
              <w:t xml:space="preserve">Table 3. </w:t>
            </w:r>
            <w:r>
              <w:rPr>
                <w:rFonts w:ascii="Times New Roman" w:hAnsi="Times New Roman" w:cs="Times New Roman"/>
              </w:rPr>
              <w:t>Post</w:t>
            </w:r>
            <w:r w:rsidR="000B1D17">
              <w:rPr>
                <w:rFonts w:ascii="Times New Roman" w:hAnsi="Times New Roman" w:cs="Times New Roman"/>
              </w:rPr>
              <w:t>-</w:t>
            </w:r>
            <w:r>
              <w:rPr>
                <w:rFonts w:ascii="Times New Roman" w:hAnsi="Times New Roman" w:cs="Times New Roman"/>
              </w:rPr>
              <w:t>m</w:t>
            </w:r>
            <w:r w:rsidRPr="000511EA">
              <w:rPr>
                <w:rFonts w:ascii="Times New Roman" w:hAnsi="Times New Roman" w:cs="Times New Roman"/>
              </w:rPr>
              <w:t xml:space="preserve">idnight </w:t>
            </w:r>
            <w:r w:rsidR="005A5E4B">
              <w:rPr>
                <w:rFonts w:ascii="Times New Roman" w:hAnsi="Times New Roman" w:cs="Times New Roman"/>
              </w:rPr>
              <w:t>dietary</w:t>
            </w:r>
            <w:r>
              <w:rPr>
                <w:rFonts w:ascii="Times New Roman" w:hAnsi="Times New Roman" w:cs="Times New Roman"/>
              </w:rPr>
              <w:t xml:space="preserve"> </w:t>
            </w:r>
            <w:r w:rsidRPr="000511EA">
              <w:rPr>
                <w:rFonts w:ascii="Times New Roman" w:hAnsi="Times New Roman" w:cs="Times New Roman"/>
              </w:rPr>
              <w:t>intake</w:t>
            </w:r>
            <w:r w:rsidR="009759D0">
              <w:rPr>
                <w:rFonts w:ascii="Times New Roman" w:hAnsi="Times New Roman" w:cs="Times New Roman"/>
              </w:rPr>
              <w:t>s</w:t>
            </w:r>
            <w:r w:rsidRPr="000511EA">
              <w:rPr>
                <w:rFonts w:ascii="Times New Roman" w:hAnsi="Times New Roman" w:cs="Times New Roman"/>
              </w:rPr>
              <w:t xml:space="preserve"> of </w:t>
            </w:r>
            <w:r>
              <w:rPr>
                <w:rFonts w:ascii="Times New Roman" w:hAnsi="Times New Roman" w:cs="Times New Roman"/>
              </w:rPr>
              <w:t>post</w:t>
            </w:r>
            <w:r w:rsidR="000B1D17">
              <w:rPr>
                <w:rFonts w:ascii="Times New Roman" w:hAnsi="Times New Roman" w:cs="Times New Roman"/>
              </w:rPr>
              <w:t>-</w:t>
            </w:r>
            <w:r w:rsidRPr="000511EA">
              <w:rPr>
                <w:rFonts w:ascii="Times New Roman" w:hAnsi="Times New Roman" w:cs="Times New Roman"/>
              </w:rPr>
              <w:t>midnight feeders (</w:t>
            </w:r>
            <w:r w:rsidRPr="000511EA">
              <w:rPr>
                <w:rFonts w:ascii="Times New Roman" w:hAnsi="Times New Roman" w:cs="Times New Roman"/>
                <w:i/>
              </w:rPr>
              <w:t>n</w:t>
            </w:r>
            <w:r w:rsidRPr="000511EA">
              <w:rPr>
                <w:rFonts w:ascii="Times New Roman" w:hAnsi="Times New Roman" w:cs="Times New Roman"/>
              </w:rPr>
              <w:t xml:space="preserve"> 180)</w:t>
            </w:r>
          </w:p>
          <w:p w14:paraId="7BA3373B" w14:textId="0634EC10" w:rsidR="00BE4397" w:rsidRPr="00BA4B24" w:rsidRDefault="00BE4397" w:rsidP="00BE4397">
            <w:pPr>
              <w:jc w:val="both"/>
              <w:rPr>
                <w:rFonts w:ascii="Times New Roman" w:hAnsi="Times New Roman" w:cs="Times New Roman"/>
              </w:rPr>
            </w:pPr>
            <w:r w:rsidRPr="008A2F3F">
              <w:rPr>
                <w:rFonts w:ascii="Times New Roman" w:hAnsi="Times New Roman" w:cs="Times New Roman"/>
              </w:rPr>
              <w:t>(Numbers and percentages for categorical variables or mean values and standard deviations for continuous variables</w:t>
            </w:r>
            <w:r w:rsidRPr="00384086">
              <w:rPr>
                <w:rFonts w:ascii="Times New Roman" w:hAnsi="Times New Roman" w:cs="Times New Roman"/>
              </w:rPr>
              <w:t>)</w:t>
            </w:r>
          </w:p>
        </w:tc>
      </w:tr>
      <w:tr w:rsidR="00BE4397" w:rsidRPr="00BA4B24" w14:paraId="6692A70E" w14:textId="286901B3" w:rsidTr="003363D0">
        <w:trPr>
          <w:trHeight w:val="278"/>
        </w:trPr>
        <w:tc>
          <w:tcPr>
            <w:tcW w:w="2268" w:type="dxa"/>
            <w:tcBorders>
              <w:top w:val="single" w:sz="4" w:space="0" w:color="auto"/>
              <w:bottom w:val="single" w:sz="4" w:space="0" w:color="auto"/>
            </w:tcBorders>
            <w:vAlign w:val="center"/>
          </w:tcPr>
          <w:p w14:paraId="4966C411" w14:textId="3750CC73" w:rsidR="00BE4397" w:rsidRPr="000511EA" w:rsidRDefault="00BE4397" w:rsidP="00CF0F54">
            <w:pPr>
              <w:ind w:right="-57"/>
              <w:jc w:val="center"/>
              <w:rPr>
                <w:rFonts w:ascii="Times New Roman" w:hAnsi="Times New Roman" w:cs="Times New Roman"/>
              </w:rPr>
            </w:pPr>
          </w:p>
        </w:tc>
        <w:tc>
          <w:tcPr>
            <w:tcW w:w="4139" w:type="dxa"/>
            <w:tcBorders>
              <w:top w:val="single" w:sz="4" w:space="0" w:color="auto"/>
              <w:bottom w:val="single" w:sz="4" w:space="0" w:color="auto"/>
            </w:tcBorders>
            <w:vAlign w:val="center"/>
          </w:tcPr>
          <w:p w14:paraId="067C9273" w14:textId="7F3FF091" w:rsidR="00BE4397" w:rsidRPr="00F17F13" w:rsidRDefault="00BE4397" w:rsidP="00CF0F54">
            <w:pPr>
              <w:ind w:right="-57"/>
              <w:jc w:val="center"/>
              <w:rPr>
                <w:rFonts w:ascii="Times New Roman" w:hAnsi="Times New Roman" w:cs="Times New Roman"/>
                <w:i/>
              </w:rPr>
            </w:pPr>
            <w:r w:rsidRPr="000511EA">
              <w:rPr>
                <w:rFonts w:ascii="Times New Roman" w:hAnsi="Times New Roman" w:cs="Times New Roman"/>
              </w:rPr>
              <w:t>Mean</w:t>
            </w:r>
            <w:r>
              <w:rPr>
                <w:rFonts w:ascii="Times New Roman" w:hAnsi="Times New Roman" w:cs="Times New Roman"/>
              </w:rPr>
              <w:t>/</w:t>
            </w:r>
            <w:r>
              <w:rPr>
                <w:rFonts w:ascii="Times New Roman" w:hAnsi="Times New Roman" w:cs="Times New Roman"/>
                <w:i/>
              </w:rPr>
              <w:t>n</w:t>
            </w:r>
          </w:p>
        </w:tc>
        <w:tc>
          <w:tcPr>
            <w:tcW w:w="4139" w:type="dxa"/>
            <w:tcBorders>
              <w:top w:val="single" w:sz="4" w:space="0" w:color="auto"/>
              <w:bottom w:val="single" w:sz="4" w:space="0" w:color="auto"/>
            </w:tcBorders>
            <w:vAlign w:val="center"/>
          </w:tcPr>
          <w:p w14:paraId="740B0A2F" w14:textId="52FCEB8D" w:rsidR="00BE4397" w:rsidRPr="000511EA" w:rsidRDefault="00BE4397" w:rsidP="00CF0F54">
            <w:pPr>
              <w:ind w:right="-57"/>
              <w:jc w:val="center"/>
              <w:rPr>
                <w:rFonts w:ascii="Times New Roman" w:hAnsi="Times New Roman" w:cs="Times New Roman"/>
              </w:rPr>
            </w:pPr>
            <w:r w:rsidRPr="000511EA">
              <w:rPr>
                <w:rFonts w:ascii="Times New Roman" w:hAnsi="Times New Roman" w:cs="Times New Roman"/>
              </w:rPr>
              <w:t>SD</w:t>
            </w:r>
            <w:r>
              <w:rPr>
                <w:rFonts w:ascii="Times New Roman" w:hAnsi="Times New Roman" w:cs="Times New Roman"/>
              </w:rPr>
              <w:t>/%</w:t>
            </w:r>
          </w:p>
        </w:tc>
      </w:tr>
      <w:tr w:rsidR="000A610A" w:rsidRPr="00BA4B24" w14:paraId="617F214A" w14:textId="0B3FAA55" w:rsidTr="003363D0">
        <w:trPr>
          <w:trHeight w:val="278"/>
        </w:trPr>
        <w:tc>
          <w:tcPr>
            <w:tcW w:w="2268" w:type="dxa"/>
            <w:tcBorders>
              <w:top w:val="single" w:sz="4" w:space="0" w:color="auto"/>
            </w:tcBorders>
          </w:tcPr>
          <w:p w14:paraId="5E80D280" w14:textId="589417E5" w:rsidR="000A610A" w:rsidRPr="000A610A" w:rsidRDefault="000A610A" w:rsidP="000A610A">
            <w:pPr>
              <w:rPr>
                <w:rFonts w:ascii="Times New Roman" w:hAnsi="Times New Roman" w:cs="Times New Roman"/>
                <w:color w:val="000000" w:themeColor="text1"/>
              </w:rPr>
            </w:pPr>
            <w:r w:rsidRPr="000A610A">
              <w:rPr>
                <w:rFonts w:ascii="Times New Roman" w:hAnsi="Times New Roman" w:cs="Times New Roman"/>
                <w:color w:val="000000" w:themeColor="text1"/>
              </w:rPr>
              <w:t>Energy (kcal)</w:t>
            </w:r>
          </w:p>
        </w:tc>
        <w:tc>
          <w:tcPr>
            <w:tcW w:w="4139" w:type="dxa"/>
            <w:tcBorders>
              <w:top w:val="single" w:sz="4" w:space="0" w:color="auto"/>
            </w:tcBorders>
          </w:tcPr>
          <w:p w14:paraId="0F186E5E" w14:textId="29513D32" w:rsidR="000A610A" w:rsidRPr="00BA4B24" w:rsidRDefault="000A610A" w:rsidP="000A610A">
            <w:pPr>
              <w:rPr>
                <w:rFonts w:ascii="Times New Roman" w:hAnsi="Times New Roman" w:cs="Times New Roman"/>
                <w:color w:val="000000" w:themeColor="text1"/>
              </w:rPr>
            </w:pPr>
            <w:r>
              <w:rPr>
                <w:rFonts w:ascii="Times New Roman" w:hAnsi="Times New Roman" w:cs="Times New Roman"/>
                <w:color w:val="000000" w:themeColor="text1"/>
              </w:rPr>
              <w:t xml:space="preserve">                             147</w:t>
            </w:r>
          </w:p>
        </w:tc>
        <w:tc>
          <w:tcPr>
            <w:tcW w:w="4139" w:type="dxa"/>
            <w:vAlign w:val="center"/>
          </w:tcPr>
          <w:p w14:paraId="374EB4E9" w14:textId="2CA563DC" w:rsidR="000A610A" w:rsidRPr="00BA4B24" w:rsidRDefault="000A610A" w:rsidP="000A610A">
            <w:pPr>
              <w:ind w:right="-57"/>
              <w:rPr>
                <w:rFonts w:ascii="Times New Roman" w:hAnsi="Times New Roman" w:cs="Times New Roman"/>
              </w:rPr>
            </w:pPr>
            <w:r>
              <w:rPr>
                <w:rFonts w:ascii="Times New Roman" w:hAnsi="Times New Roman" w:cs="Times New Roman"/>
              </w:rPr>
              <w:t xml:space="preserve">                               72</w:t>
            </w:r>
          </w:p>
        </w:tc>
      </w:tr>
      <w:tr w:rsidR="000A610A" w:rsidRPr="00BA4B24" w14:paraId="539D7C82" w14:textId="73BEDB46" w:rsidTr="0077390C">
        <w:trPr>
          <w:trHeight w:val="278"/>
        </w:trPr>
        <w:tc>
          <w:tcPr>
            <w:tcW w:w="2268" w:type="dxa"/>
          </w:tcPr>
          <w:p w14:paraId="652CFB22" w14:textId="126ABE24" w:rsidR="000A610A" w:rsidRPr="000A610A" w:rsidRDefault="000A610A" w:rsidP="000A610A">
            <w:pPr>
              <w:rPr>
                <w:rFonts w:ascii="Times New Roman" w:hAnsi="Times New Roman" w:cs="Times New Roman"/>
                <w:color w:val="000000" w:themeColor="text1"/>
              </w:rPr>
            </w:pPr>
            <w:r w:rsidRPr="000A610A">
              <w:rPr>
                <w:rFonts w:ascii="Times New Roman" w:hAnsi="Times New Roman" w:cs="Times New Roman"/>
                <w:color w:val="000000" w:themeColor="text1"/>
              </w:rPr>
              <w:t>Carbohydrate (g)</w:t>
            </w:r>
          </w:p>
        </w:tc>
        <w:tc>
          <w:tcPr>
            <w:tcW w:w="4139" w:type="dxa"/>
            <w:vAlign w:val="center"/>
          </w:tcPr>
          <w:p w14:paraId="09AB2CBC" w14:textId="77777777" w:rsidR="000A610A" w:rsidRPr="00BA4B24" w:rsidRDefault="000A610A" w:rsidP="000A610A">
            <w:pPr>
              <w:jc w:val="center"/>
              <w:rPr>
                <w:rFonts w:ascii="Times New Roman" w:hAnsi="Times New Roman" w:cs="Times New Roman"/>
                <w:color w:val="000000" w:themeColor="text1"/>
              </w:rPr>
            </w:pPr>
            <w:r w:rsidRPr="00BA4B24">
              <w:rPr>
                <w:rFonts w:ascii="Times New Roman" w:hAnsi="Times New Roman" w:cs="Times New Roman"/>
                <w:color w:val="000000" w:themeColor="text1"/>
              </w:rPr>
              <w:t>17.94</w:t>
            </w:r>
          </w:p>
        </w:tc>
        <w:tc>
          <w:tcPr>
            <w:tcW w:w="4139" w:type="dxa"/>
            <w:vAlign w:val="center"/>
          </w:tcPr>
          <w:p w14:paraId="06DFD28F" w14:textId="5F0EA9BE" w:rsidR="000A610A" w:rsidRPr="00BA4B24" w:rsidRDefault="000A610A" w:rsidP="000A610A">
            <w:pPr>
              <w:ind w:right="-57"/>
              <w:jc w:val="center"/>
              <w:rPr>
                <w:rFonts w:ascii="Times New Roman" w:hAnsi="Times New Roman" w:cs="Times New Roman"/>
              </w:rPr>
            </w:pPr>
            <w:r w:rsidRPr="00BA4B24">
              <w:rPr>
                <w:rFonts w:ascii="Times New Roman" w:hAnsi="Times New Roman" w:cs="Times New Roman"/>
              </w:rPr>
              <w:t>9.31</w:t>
            </w:r>
          </w:p>
        </w:tc>
      </w:tr>
      <w:tr w:rsidR="000A610A" w:rsidRPr="00BA4B24" w14:paraId="7D71ADD0" w14:textId="6522FBAF" w:rsidTr="0077390C">
        <w:trPr>
          <w:trHeight w:val="278"/>
        </w:trPr>
        <w:tc>
          <w:tcPr>
            <w:tcW w:w="2268" w:type="dxa"/>
          </w:tcPr>
          <w:p w14:paraId="5BBE68C8" w14:textId="6BDC0D9F" w:rsidR="000A610A" w:rsidRPr="000A610A" w:rsidRDefault="000A610A" w:rsidP="000A610A">
            <w:pPr>
              <w:rPr>
                <w:rFonts w:ascii="Times New Roman" w:hAnsi="Times New Roman" w:cs="Times New Roman"/>
                <w:color w:val="000000" w:themeColor="text1"/>
              </w:rPr>
            </w:pPr>
            <w:r w:rsidRPr="000A610A">
              <w:rPr>
                <w:rFonts w:ascii="Times New Roman" w:hAnsi="Times New Roman" w:cs="Times New Roman"/>
                <w:color w:val="000000" w:themeColor="text1"/>
              </w:rPr>
              <w:t>Fat (g)</w:t>
            </w:r>
          </w:p>
        </w:tc>
        <w:tc>
          <w:tcPr>
            <w:tcW w:w="4139" w:type="dxa"/>
            <w:vAlign w:val="center"/>
          </w:tcPr>
          <w:p w14:paraId="32C6AD87" w14:textId="4BCA7542" w:rsidR="000A610A" w:rsidRPr="00BA4B24" w:rsidRDefault="000A610A" w:rsidP="000A610A">
            <w:pPr>
              <w:jc w:val="center"/>
              <w:rPr>
                <w:rFonts w:ascii="Times New Roman" w:hAnsi="Times New Roman" w:cs="Times New Roman"/>
                <w:color w:val="000000" w:themeColor="text1"/>
              </w:rPr>
            </w:pPr>
            <w:r w:rsidRPr="00BA4B24">
              <w:rPr>
                <w:rFonts w:ascii="Times New Roman" w:hAnsi="Times New Roman" w:cs="Times New Roman"/>
                <w:color w:val="000000" w:themeColor="text1"/>
              </w:rPr>
              <w:t>6.36</w:t>
            </w:r>
          </w:p>
        </w:tc>
        <w:tc>
          <w:tcPr>
            <w:tcW w:w="4139" w:type="dxa"/>
            <w:vAlign w:val="center"/>
          </w:tcPr>
          <w:p w14:paraId="0AFBEAF7" w14:textId="5092C4F9" w:rsidR="000A610A" w:rsidRPr="00BA4B24" w:rsidRDefault="000A610A" w:rsidP="000A610A">
            <w:pPr>
              <w:ind w:right="-57"/>
              <w:jc w:val="center"/>
              <w:rPr>
                <w:rFonts w:ascii="Times New Roman" w:hAnsi="Times New Roman" w:cs="Times New Roman"/>
              </w:rPr>
            </w:pPr>
            <w:r w:rsidRPr="00BA4B24">
              <w:rPr>
                <w:rFonts w:ascii="Times New Roman" w:hAnsi="Times New Roman" w:cs="Times New Roman"/>
              </w:rPr>
              <w:t>3.82</w:t>
            </w:r>
          </w:p>
        </w:tc>
      </w:tr>
      <w:tr w:rsidR="000A610A" w:rsidRPr="00BA4B24" w14:paraId="71DDC9A9" w14:textId="1902CBB3" w:rsidTr="0077390C">
        <w:trPr>
          <w:trHeight w:val="278"/>
        </w:trPr>
        <w:tc>
          <w:tcPr>
            <w:tcW w:w="2268" w:type="dxa"/>
          </w:tcPr>
          <w:p w14:paraId="0D260B96" w14:textId="30843A1C" w:rsidR="000A610A" w:rsidRPr="000A610A" w:rsidRDefault="000A610A" w:rsidP="000A610A">
            <w:pPr>
              <w:rPr>
                <w:rFonts w:ascii="Times New Roman" w:hAnsi="Times New Roman" w:cs="Times New Roman"/>
                <w:color w:val="000000" w:themeColor="text1"/>
              </w:rPr>
            </w:pPr>
            <w:r>
              <w:rPr>
                <w:rFonts w:ascii="Times New Roman" w:hAnsi="Times New Roman" w:cs="Times New Roman"/>
                <w:color w:val="000000" w:themeColor="text1"/>
              </w:rPr>
              <w:t>P</w:t>
            </w:r>
            <w:r w:rsidRPr="000A610A">
              <w:rPr>
                <w:rFonts w:ascii="Times New Roman" w:hAnsi="Times New Roman" w:cs="Times New Roman"/>
                <w:color w:val="000000" w:themeColor="text1"/>
              </w:rPr>
              <w:t>rotein (g)</w:t>
            </w:r>
          </w:p>
        </w:tc>
        <w:tc>
          <w:tcPr>
            <w:tcW w:w="4139" w:type="dxa"/>
            <w:vAlign w:val="center"/>
          </w:tcPr>
          <w:p w14:paraId="07973943" w14:textId="31014E67" w:rsidR="000A610A" w:rsidRPr="00BA4B24" w:rsidRDefault="000A610A" w:rsidP="000A610A">
            <w:pPr>
              <w:jc w:val="center"/>
              <w:rPr>
                <w:rFonts w:ascii="Times New Roman" w:hAnsi="Times New Roman" w:cs="Times New Roman"/>
                <w:color w:val="000000" w:themeColor="text1"/>
              </w:rPr>
            </w:pPr>
            <w:r w:rsidRPr="00BA4B24">
              <w:rPr>
                <w:rFonts w:ascii="Times New Roman" w:hAnsi="Times New Roman" w:cs="Times New Roman"/>
                <w:color w:val="000000" w:themeColor="text1"/>
              </w:rPr>
              <w:t>4.45</w:t>
            </w:r>
          </w:p>
        </w:tc>
        <w:tc>
          <w:tcPr>
            <w:tcW w:w="4139" w:type="dxa"/>
            <w:vAlign w:val="center"/>
          </w:tcPr>
          <w:p w14:paraId="4F7C628E" w14:textId="299B7454" w:rsidR="000A610A" w:rsidRPr="00BA4B24" w:rsidRDefault="000A610A" w:rsidP="000A610A">
            <w:pPr>
              <w:ind w:right="-57"/>
              <w:jc w:val="center"/>
              <w:rPr>
                <w:rFonts w:ascii="Times New Roman" w:hAnsi="Times New Roman" w:cs="Times New Roman"/>
              </w:rPr>
            </w:pPr>
            <w:r>
              <w:rPr>
                <w:rFonts w:ascii="Times New Roman" w:hAnsi="Times New Roman" w:cs="Times New Roman"/>
              </w:rPr>
              <w:t>2</w:t>
            </w:r>
            <w:r w:rsidRPr="00BA4B24">
              <w:rPr>
                <w:rFonts w:ascii="Times New Roman" w:hAnsi="Times New Roman" w:cs="Times New Roman"/>
              </w:rPr>
              <w:t>.</w:t>
            </w:r>
            <w:r>
              <w:rPr>
                <w:rFonts w:ascii="Times New Roman" w:hAnsi="Times New Roman" w:cs="Times New Roman"/>
              </w:rPr>
              <w:t>05</w:t>
            </w:r>
          </w:p>
        </w:tc>
      </w:tr>
      <w:tr w:rsidR="000A610A" w:rsidRPr="00BA4B24" w14:paraId="144305CC" w14:textId="6EDA86B2" w:rsidTr="0077390C">
        <w:trPr>
          <w:trHeight w:val="278"/>
        </w:trPr>
        <w:tc>
          <w:tcPr>
            <w:tcW w:w="2268" w:type="dxa"/>
          </w:tcPr>
          <w:p w14:paraId="648E3DB2" w14:textId="39EF7CA4" w:rsidR="000A610A" w:rsidRPr="000A610A" w:rsidRDefault="000A610A" w:rsidP="000A610A">
            <w:pPr>
              <w:rPr>
                <w:rFonts w:ascii="Times New Roman" w:hAnsi="Times New Roman" w:cs="Times New Roman"/>
                <w:color w:val="000000" w:themeColor="text1"/>
              </w:rPr>
            </w:pPr>
            <w:r w:rsidRPr="000A610A">
              <w:rPr>
                <w:rFonts w:ascii="Times New Roman" w:hAnsi="Times New Roman" w:cs="Times New Roman"/>
                <w:color w:val="000000" w:themeColor="text1"/>
              </w:rPr>
              <w:t>Proportion (%</w:t>
            </w:r>
            <w:r w:rsidR="003363D0">
              <w:rPr>
                <w:rFonts w:ascii="Times New Roman" w:hAnsi="Times New Roman" w:cs="Times New Roman"/>
                <w:color w:val="000000" w:themeColor="text1"/>
              </w:rPr>
              <w:t xml:space="preserve"> energy</w:t>
            </w:r>
            <w:r w:rsidRPr="000A610A">
              <w:rPr>
                <w:rFonts w:ascii="Times New Roman" w:hAnsi="Times New Roman" w:cs="Times New Roman"/>
                <w:color w:val="000000" w:themeColor="text1"/>
              </w:rPr>
              <w:t>)</w:t>
            </w:r>
          </w:p>
        </w:tc>
        <w:tc>
          <w:tcPr>
            <w:tcW w:w="4139" w:type="dxa"/>
            <w:vAlign w:val="center"/>
          </w:tcPr>
          <w:p w14:paraId="3FE1C5AF" w14:textId="77777777" w:rsidR="000A610A" w:rsidRPr="00BA4B24" w:rsidRDefault="000A610A" w:rsidP="000A610A">
            <w:pPr>
              <w:jc w:val="center"/>
              <w:rPr>
                <w:rFonts w:ascii="Times New Roman" w:hAnsi="Times New Roman" w:cs="Times New Roman"/>
                <w:color w:val="000000" w:themeColor="text1"/>
              </w:rPr>
            </w:pPr>
          </w:p>
        </w:tc>
        <w:tc>
          <w:tcPr>
            <w:tcW w:w="4139" w:type="dxa"/>
            <w:vAlign w:val="center"/>
          </w:tcPr>
          <w:p w14:paraId="53699341" w14:textId="77777777" w:rsidR="000A610A" w:rsidRPr="00BA4B24" w:rsidRDefault="000A610A" w:rsidP="000A610A">
            <w:pPr>
              <w:ind w:right="-57"/>
              <w:jc w:val="center"/>
              <w:rPr>
                <w:rFonts w:ascii="Times New Roman" w:hAnsi="Times New Roman" w:cs="Times New Roman"/>
              </w:rPr>
            </w:pPr>
          </w:p>
        </w:tc>
      </w:tr>
      <w:tr w:rsidR="000A610A" w:rsidRPr="00BA4B24" w14:paraId="11792991" w14:textId="452B59BD" w:rsidTr="0077390C">
        <w:trPr>
          <w:trHeight w:val="278"/>
        </w:trPr>
        <w:tc>
          <w:tcPr>
            <w:tcW w:w="2268" w:type="dxa"/>
          </w:tcPr>
          <w:p w14:paraId="6A422D23" w14:textId="6924D2C8" w:rsidR="000A610A" w:rsidRPr="000A610A" w:rsidRDefault="000D6510" w:rsidP="000A610A">
            <w:pPr>
              <w:rPr>
                <w:rFonts w:ascii="Times New Roman" w:hAnsi="Times New Roman" w:cs="Times New Roman"/>
                <w:color w:val="000000" w:themeColor="text1"/>
              </w:rPr>
            </w:pPr>
            <w:r w:rsidRPr="000A610A">
              <w:rPr>
                <w:rFonts w:ascii="Times New Roman" w:hAnsi="Times New Roman" w:cs="Times New Roman"/>
              </w:rPr>
              <w:t xml:space="preserve">     </w:t>
            </w:r>
            <w:r w:rsidR="000A610A" w:rsidRPr="000A610A">
              <w:rPr>
                <w:rFonts w:ascii="Times New Roman" w:hAnsi="Times New Roman" w:cs="Times New Roman"/>
                <w:color w:val="000000" w:themeColor="text1"/>
              </w:rPr>
              <w:t xml:space="preserve">Carbohydrate </w:t>
            </w:r>
          </w:p>
        </w:tc>
        <w:tc>
          <w:tcPr>
            <w:tcW w:w="4139" w:type="dxa"/>
            <w:vAlign w:val="center"/>
          </w:tcPr>
          <w:p w14:paraId="07CA833E" w14:textId="3448A716" w:rsidR="000A610A" w:rsidRPr="00BA4B24" w:rsidRDefault="000A610A" w:rsidP="000A610A">
            <w:pPr>
              <w:jc w:val="center"/>
              <w:rPr>
                <w:rFonts w:ascii="Times New Roman" w:hAnsi="Times New Roman" w:cs="Times New Roman"/>
                <w:color w:val="000000" w:themeColor="text1"/>
              </w:rPr>
            </w:pPr>
            <w:r>
              <w:rPr>
                <w:rFonts w:ascii="Times New Roman" w:hAnsi="Times New Roman" w:cs="Times New Roman"/>
                <w:color w:val="000000" w:themeColor="text1"/>
              </w:rPr>
              <w:t>48.9</w:t>
            </w:r>
          </w:p>
        </w:tc>
        <w:tc>
          <w:tcPr>
            <w:tcW w:w="4139" w:type="dxa"/>
            <w:vAlign w:val="center"/>
          </w:tcPr>
          <w:p w14:paraId="7F1987BC" w14:textId="05C1905E" w:rsidR="000A610A" w:rsidRPr="00BA4B24" w:rsidRDefault="000A610A" w:rsidP="000A610A">
            <w:pPr>
              <w:ind w:right="-57"/>
              <w:jc w:val="center"/>
              <w:rPr>
                <w:rFonts w:ascii="Times New Roman" w:hAnsi="Times New Roman" w:cs="Times New Roman"/>
              </w:rPr>
            </w:pPr>
            <w:r>
              <w:rPr>
                <w:rFonts w:ascii="Times New Roman" w:hAnsi="Times New Roman" w:cs="Times New Roman"/>
              </w:rPr>
              <w:t>8.4</w:t>
            </w:r>
          </w:p>
        </w:tc>
      </w:tr>
      <w:tr w:rsidR="000A610A" w:rsidRPr="00BA4B24" w14:paraId="0C0EF3C5" w14:textId="39E80429" w:rsidTr="0077390C">
        <w:trPr>
          <w:trHeight w:val="278"/>
        </w:trPr>
        <w:tc>
          <w:tcPr>
            <w:tcW w:w="2268" w:type="dxa"/>
          </w:tcPr>
          <w:p w14:paraId="703C534C" w14:textId="271CE11E" w:rsidR="000A610A" w:rsidRPr="000A610A" w:rsidRDefault="000D6510" w:rsidP="000A610A">
            <w:pPr>
              <w:rPr>
                <w:rFonts w:ascii="Times New Roman" w:hAnsi="Times New Roman" w:cs="Times New Roman"/>
                <w:color w:val="000000" w:themeColor="text1"/>
              </w:rPr>
            </w:pPr>
            <w:r w:rsidRPr="000A610A">
              <w:rPr>
                <w:rFonts w:ascii="Times New Roman" w:hAnsi="Times New Roman" w:cs="Times New Roman"/>
              </w:rPr>
              <w:t xml:space="preserve">     </w:t>
            </w:r>
            <w:r w:rsidR="000A610A" w:rsidRPr="000A610A">
              <w:rPr>
                <w:rFonts w:ascii="Times New Roman" w:hAnsi="Times New Roman" w:cs="Times New Roman"/>
                <w:color w:val="000000" w:themeColor="text1"/>
              </w:rPr>
              <w:t>Fat</w:t>
            </w:r>
          </w:p>
        </w:tc>
        <w:tc>
          <w:tcPr>
            <w:tcW w:w="4139" w:type="dxa"/>
            <w:vAlign w:val="center"/>
          </w:tcPr>
          <w:p w14:paraId="55549095" w14:textId="33C46F65" w:rsidR="000A610A" w:rsidRPr="00BA4B24" w:rsidRDefault="000A610A" w:rsidP="000A610A">
            <w:pPr>
              <w:jc w:val="center"/>
              <w:rPr>
                <w:rFonts w:ascii="Times New Roman" w:hAnsi="Times New Roman" w:cs="Times New Roman"/>
                <w:color w:val="000000" w:themeColor="text1"/>
              </w:rPr>
            </w:pPr>
            <w:r>
              <w:rPr>
                <w:rFonts w:ascii="Times New Roman" w:hAnsi="Times New Roman" w:cs="Times New Roman"/>
                <w:color w:val="000000" w:themeColor="text1"/>
              </w:rPr>
              <w:t>38.8</w:t>
            </w:r>
          </w:p>
        </w:tc>
        <w:tc>
          <w:tcPr>
            <w:tcW w:w="4139" w:type="dxa"/>
            <w:vAlign w:val="center"/>
          </w:tcPr>
          <w:p w14:paraId="283B7547" w14:textId="4ABAB864" w:rsidR="000A610A" w:rsidRPr="00BA4B24" w:rsidRDefault="000A610A" w:rsidP="000A610A">
            <w:pPr>
              <w:ind w:right="-57"/>
              <w:jc w:val="center"/>
              <w:rPr>
                <w:rFonts w:ascii="Times New Roman" w:hAnsi="Times New Roman" w:cs="Times New Roman"/>
              </w:rPr>
            </w:pPr>
            <w:r>
              <w:rPr>
                <w:rFonts w:ascii="Times New Roman" w:hAnsi="Times New Roman" w:cs="Times New Roman"/>
              </w:rPr>
              <w:t>8.0</w:t>
            </w:r>
          </w:p>
        </w:tc>
      </w:tr>
      <w:tr w:rsidR="000A610A" w:rsidRPr="00BA4B24" w14:paraId="152B6274" w14:textId="175911A2" w:rsidTr="0077390C">
        <w:trPr>
          <w:trHeight w:val="278"/>
        </w:trPr>
        <w:tc>
          <w:tcPr>
            <w:tcW w:w="2268" w:type="dxa"/>
          </w:tcPr>
          <w:p w14:paraId="34AA9147" w14:textId="40B8BB34" w:rsidR="000A610A" w:rsidRPr="000A610A" w:rsidRDefault="000D6510" w:rsidP="000A610A">
            <w:pPr>
              <w:rPr>
                <w:rFonts w:ascii="Times New Roman" w:hAnsi="Times New Roman" w:cs="Times New Roman"/>
                <w:color w:val="000000" w:themeColor="text1"/>
              </w:rPr>
            </w:pPr>
            <w:r w:rsidRPr="000A610A">
              <w:rPr>
                <w:rFonts w:ascii="Times New Roman" w:hAnsi="Times New Roman" w:cs="Times New Roman"/>
              </w:rPr>
              <w:t xml:space="preserve">     </w:t>
            </w:r>
            <w:r w:rsidR="000A610A" w:rsidRPr="000A610A">
              <w:rPr>
                <w:rFonts w:ascii="Times New Roman" w:hAnsi="Times New Roman" w:cs="Times New Roman"/>
                <w:color w:val="000000" w:themeColor="text1"/>
              </w:rPr>
              <w:t>Protein</w:t>
            </w:r>
          </w:p>
        </w:tc>
        <w:tc>
          <w:tcPr>
            <w:tcW w:w="4139" w:type="dxa"/>
            <w:vAlign w:val="center"/>
          </w:tcPr>
          <w:p w14:paraId="0E9419ED" w14:textId="51BC6FA0" w:rsidR="000A610A" w:rsidRPr="00BA4B24" w:rsidRDefault="000A610A" w:rsidP="000A610A">
            <w:pPr>
              <w:jc w:val="center"/>
              <w:rPr>
                <w:rFonts w:ascii="Times New Roman" w:hAnsi="Times New Roman" w:cs="Times New Roman"/>
                <w:color w:val="000000" w:themeColor="text1"/>
              </w:rPr>
            </w:pPr>
            <w:r>
              <w:rPr>
                <w:rFonts w:ascii="Times New Roman" w:hAnsi="Times New Roman" w:cs="Times New Roman"/>
                <w:color w:val="000000" w:themeColor="text1"/>
              </w:rPr>
              <w:t>12.4</w:t>
            </w:r>
          </w:p>
        </w:tc>
        <w:tc>
          <w:tcPr>
            <w:tcW w:w="4139" w:type="dxa"/>
            <w:vAlign w:val="center"/>
          </w:tcPr>
          <w:p w14:paraId="62B3575C" w14:textId="6471F8C6" w:rsidR="000A610A" w:rsidRPr="00BA4B24" w:rsidRDefault="000A610A" w:rsidP="000A610A">
            <w:pPr>
              <w:ind w:right="-57"/>
              <w:jc w:val="center"/>
              <w:rPr>
                <w:rFonts w:ascii="Times New Roman" w:hAnsi="Times New Roman" w:cs="Times New Roman"/>
              </w:rPr>
            </w:pPr>
            <w:r>
              <w:rPr>
                <w:rFonts w:ascii="Times New Roman" w:hAnsi="Times New Roman" w:cs="Times New Roman"/>
              </w:rPr>
              <w:t>2.0</w:t>
            </w:r>
          </w:p>
        </w:tc>
      </w:tr>
      <w:tr w:rsidR="000A610A" w:rsidRPr="00BA4B24" w14:paraId="02056FA0" w14:textId="0570AEEF" w:rsidTr="0077390C">
        <w:trPr>
          <w:trHeight w:val="278"/>
        </w:trPr>
        <w:tc>
          <w:tcPr>
            <w:tcW w:w="2268" w:type="dxa"/>
          </w:tcPr>
          <w:p w14:paraId="3C6CC38C" w14:textId="77777777" w:rsidR="000A610A" w:rsidRPr="000A610A" w:rsidRDefault="000A610A" w:rsidP="000A610A">
            <w:pPr>
              <w:rPr>
                <w:rFonts w:ascii="Times New Roman" w:hAnsi="Times New Roman" w:cs="Times New Roman"/>
                <w:color w:val="000000" w:themeColor="text1"/>
              </w:rPr>
            </w:pPr>
            <w:r w:rsidRPr="000A610A">
              <w:rPr>
                <w:rFonts w:ascii="Times New Roman" w:hAnsi="Times New Roman" w:cs="Times New Roman"/>
                <w:color w:val="000000" w:themeColor="text1"/>
              </w:rPr>
              <w:t>Food consumed</w:t>
            </w:r>
          </w:p>
        </w:tc>
        <w:tc>
          <w:tcPr>
            <w:tcW w:w="4139" w:type="dxa"/>
            <w:vAlign w:val="center"/>
          </w:tcPr>
          <w:p w14:paraId="3396AFAC" w14:textId="77777777" w:rsidR="000A610A" w:rsidRPr="00BA4B24" w:rsidRDefault="000A610A" w:rsidP="000A610A">
            <w:pPr>
              <w:jc w:val="center"/>
              <w:rPr>
                <w:rFonts w:ascii="Times New Roman" w:hAnsi="Times New Roman" w:cs="Times New Roman"/>
                <w:color w:val="000000" w:themeColor="text1"/>
              </w:rPr>
            </w:pPr>
          </w:p>
        </w:tc>
        <w:tc>
          <w:tcPr>
            <w:tcW w:w="4139" w:type="dxa"/>
            <w:vAlign w:val="center"/>
          </w:tcPr>
          <w:p w14:paraId="4EF3A791" w14:textId="77777777" w:rsidR="000A610A" w:rsidRPr="00BA4B24" w:rsidRDefault="000A610A" w:rsidP="000A610A">
            <w:pPr>
              <w:jc w:val="center"/>
              <w:rPr>
                <w:rFonts w:ascii="Times New Roman" w:hAnsi="Times New Roman" w:cs="Times New Roman"/>
                <w:color w:val="000000" w:themeColor="text1"/>
              </w:rPr>
            </w:pPr>
          </w:p>
        </w:tc>
      </w:tr>
      <w:tr w:rsidR="000A610A" w:rsidRPr="00BA4B24" w14:paraId="14402116" w14:textId="77777777" w:rsidTr="0077390C">
        <w:trPr>
          <w:trHeight w:val="278"/>
        </w:trPr>
        <w:tc>
          <w:tcPr>
            <w:tcW w:w="2268" w:type="dxa"/>
          </w:tcPr>
          <w:p w14:paraId="22A90737" w14:textId="665CA077" w:rsidR="000A610A" w:rsidRPr="000A610A" w:rsidRDefault="000A610A" w:rsidP="000A610A">
            <w:pPr>
              <w:rPr>
                <w:rFonts w:ascii="Times New Roman" w:hAnsi="Times New Roman" w:cs="Times New Roman"/>
                <w:color w:val="000000" w:themeColor="text1"/>
              </w:rPr>
            </w:pPr>
            <w:r w:rsidRPr="000A610A">
              <w:rPr>
                <w:rFonts w:ascii="Times New Roman" w:hAnsi="Times New Roman" w:cs="Times New Roman"/>
              </w:rPr>
              <w:t xml:space="preserve">     Breastmilk</w:t>
            </w:r>
          </w:p>
        </w:tc>
        <w:tc>
          <w:tcPr>
            <w:tcW w:w="4139" w:type="dxa"/>
            <w:vAlign w:val="center"/>
          </w:tcPr>
          <w:p w14:paraId="49867CE8" w14:textId="0A84F570" w:rsidR="000A610A" w:rsidRPr="00BA4B24" w:rsidRDefault="000A610A" w:rsidP="000A610A">
            <w:pPr>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4139" w:type="dxa"/>
            <w:vAlign w:val="center"/>
          </w:tcPr>
          <w:p w14:paraId="4772A566" w14:textId="29C874FF" w:rsidR="000A610A" w:rsidRPr="00BA4B24" w:rsidRDefault="000A610A" w:rsidP="000A610A">
            <w:pPr>
              <w:jc w:val="center"/>
              <w:rPr>
                <w:rFonts w:ascii="Times New Roman" w:hAnsi="Times New Roman" w:cs="Times New Roman"/>
                <w:color w:val="000000" w:themeColor="text1"/>
              </w:rPr>
            </w:pPr>
            <w:r>
              <w:rPr>
                <w:rFonts w:ascii="Times New Roman" w:hAnsi="Times New Roman" w:cs="Times New Roman"/>
                <w:color w:val="000000" w:themeColor="text1"/>
              </w:rPr>
              <w:t>3.9</w:t>
            </w:r>
          </w:p>
        </w:tc>
      </w:tr>
      <w:tr w:rsidR="000A610A" w:rsidRPr="00BA4B24" w14:paraId="77C87D35" w14:textId="598F0D92" w:rsidTr="0077390C">
        <w:trPr>
          <w:trHeight w:val="278"/>
        </w:trPr>
        <w:tc>
          <w:tcPr>
            <w:tcW w:w="2268" w:type="dxa"/>
            <w:vAlign w:val="center"/>
          </w:tcPr>
          <w:p w14:paraId="259808D8" w14:textId="77777777" w:rsidR="000A610A" w:rsidRPr="000A610A" w:rsidRDefault="000A610A" w:rsidP="000A610A">
            <w:pPr>
              <w:ind w:right="-57"/>
              <w:rPr>
                <w:rFonts w:ascii="Times New Roman" w:hAnsi="Times New Roman" w:cs="Times New Roman"/>
              </w:rPr>
            </w:pPr>
            <w:r w:rsidRPr="000A610A">
              <w:rPr>
                <w:rFonts w:ascii="Times New Roman" w:hAnsi="Times New Roman" w:cs="Times New Roman"/>
              </w:rPr>
              <w:t xml:space="preserve">     Formula milk</w:t>
            </w:r>
          </w:p>
        </w:tc>
        <w:tc>
          <w:tcPr>
            <w:tcW w:w="4139" w:type="dxa"/>
            <w:vAlign w:val="center"/>
          </w:tcPr>
          <w:p w14:paraId="69C64EC3" w14:textId="4C49C5B8" w:rsidR="000A610A" w:rsidRPr="00BA4B24" w:rsidRDefault="000A610A" w:rsidP="000A610A">
            <w:pPr>
              <w:ind w:right="-57"/>
              <w:jc w:val="center"/>
              <w:rPr>
                <w:rFonts w:ascii="Times New Roman" w:hAnsi="Times New Roman" w:cs="Times New Roman"/>
              </w:rPr>
            </w:pPr>
            <w:r>
              <w:rPr>
                <w:rFonts w:ascii="Times New Roman" w:hAnsi="Times New Roman" w:cs="Times New Roman"/>
              </w:rPr>
              <w:t>173</w:t>
            </w:r>
          </w:p>
        </w:tc>
        <w:tc>
          <w:tcPr>
            <w:tcW w:w="4139" w:type="dxa"/>
            <w:vAlign w:val="center"/>
          </w:tcPr>
          <w:p w14:paraId="6008735A" w14:textId="45330759" w:rsidR="000A610A" w:rsidRPr="00BA4B24" w:rsidRDefault="000A610A" w:rsidP="000A610A">
            <w:pPr>
              <w:ind w:right="-57"/>
              <w:jc w:val="center"/>
              <w:rPr>
                <w:rFonts w:ascii="Times New Roman" w:hAnsi="Times New Roman" w:cs="Times New Roman"/>
              </w:rPr>
            </w:pPr>
            <w:r>
              <w:rPr>
                <w:rFonts w:ascii="Times New Roman" w:hAnsi="Times New Roman" w:cs="Times New Roman"/>
              </w:rPr>
              <w:t>96.1</w:t>
            </w:r>
          </w:p>
        </w:tc>
      </w:tr>
      <w:tr w:rsidR="000A610A" w:rsidRPr="00BA4B24" w14:paraId="61F649DB" w14:textId="09FDAAD9" w:rsidTr="00750D12">
        <w:trPr>
          <w:trHeight w:val="278"/>
        </w:trPr>
        <w:tc>
          <w:tcPr>
            <w:tcW w:w="2268" w:type="dxa"/>
            <w:tcBorders>
              <w:bottom w:val="single" w:sz="4" w:space="0" w:color="auto"/>
            </w:tcBorders>
            <w:vAlign w:val="center"/>
          </w:tcPr>
          <w:p w14:paraId="61784972" w14:textId="77777777" w:rsidR="000A610A" w:rsidRPr="00BA4B24" w:rsidRDefault="000A610A" w:rsidP="000A610A">
            <w:pPr>
              <w:ind w:right="-57"/>
              <w:rPr>
                <w:rFonts w:ascii="Times New Roman" w:hAnsi="Times New Roman" w:cs="Times New Roman"/>
              </w:rPr>
            </w:pPr>
            <w:r w:rsidRPr="00BA4B24">
              <w:rPr>
                <w:rFonts w:ascii="Times New Roman" w:hAnsi="Times New Roman" w:cs="Times New Roman"/>
              </w:rPr>
              <w:t xml:space="preserve">     Others</w:t>
            </w:r>
          </w:p>
        </w:tc>
        <w:tc>
          <w:tcPr>
            <w:tcW w:w="4139" w:type="dxa"/>
            <w:tcBorders>
              <w:bottom w:val="single" w:sz="4" w:space="0" w:color="auto"/>
            </w:tcBorders>
            <w:vAlign w:val="center"/>
          </w:tcPr>
          <w:p w14:paraId="35F70E8F" w14:textId="0A3D3408" w:rsidR="000A610A" w:rsidRPr="00BA4B24" w:rsidRDefault="000A610A" w:rsidP="000A610A">
            <w:pPr>
              <w:ind w:right="-57"/>
              <w:jc w:val="center"/>
              <w:rPr>
                <w:rFonts w:ascii="Times New Roman" w:hAnsi="Times New Roman" w:cs="Times New Roman"/>
              </w:rPr>
            </w:pPr>
            <w:r>
              <w:rPr>
                <w:rFonts w:ascii="Times New Roman" w:hAnsi="Times New Roman" w:cs="Times New Roman"/>
              </w:rPr>
              <w:t>10</w:t>
            </w:r>
          </w:p>
        </w:tc>
        <w:tc>
          <w:tcPr>
            <w:tcW w:w="4139" w:type="dxa"/>
            <w:tcBorders>
              <w:bottom w:val="single" w:sz="4" w:space="0" w:color="auto"/>
            </w:tcBorders>
            <w:vAlign w:val="center"/>
          </w:tcPr>
          <w:p w14:paraId="638FF729" w14:textId="6901BEC4" w:rsidR="000A610A" w:rsidRPr="00BA4B24" w:rsidRDefault="000A610A" w:rsidP="000A610A">
            <w:pPr>
              <w:ind w:right="-57"/>
              <w:jc w:val="center"/>
              <w:rPr>
                <w:rFonts w:ascii="Times New Roman" w:hAnsi="Times New Roman" w:cs="Times New Roman"/>
              </w:rPr>
            </w:pPr>
            <w:r>
              <w:rPr>
                <w:rFonts w:ascii="Times New Roman" w:hAnsi="Times New Roman" w:cs="Times New Roman"/>
              </w:rPr>
              <w:t>5.6</w:t>
            </w:r>
          </w:p>
        </w:tc>
      </w:tr>
      <w:tr w:rsidR="00750D12" w:rsidRPr="00BA4B24" w14:paraId="0D3B6E44" w14:textId="77777777" w:rsidTr="00750D12">
        <w:trPr>
          <w:trHeight w:val="278"/>
        </w:trPr>
        <w:tc>
          <w:tcPr>
            <w:tcW w:w="2268" w:type="dxa"/>
            <w:tcBorders>
              <w:top w:val="single" w:sz="4" w:space="0" w:color="auto"/>
            </w:tcBorders>
            <w:vAlign w:val="center"/>
          </w:tcPr>
          <w:p w14:paraId="402B9161" w14:textId="3C01E173" w:rsidR="00750D12" w:rsidRPr="00BA4B24" w:rsidRDefault="00750D12" w:rsidP="000A610A">
            <w:pPr>
              <w:ind w:right="-57"/>
              <w:rPr>
                <w:rFonts w:ascii="Times New Roman" w:hAnsi="Times New Roman" w:cs="Times New Roman"/>
              </w:rPr>
            </w:pPr>
            <w:r>
              <w:rPr>
                <w:rFonts w:ascii="Times New Roman" w:hAnsi="Times New Roman" w:cs="Times New Roman"/>
              </w:rPr>
              <w:t>SD, standard deviation</w:t>
            </w:r>
          </w:p>
        </w:tc>
        <w:tc>
          <w:tcPr>
            <w:tcW w:w="4139" w:type="dxa"/>
            <w:tcBorders>
              <w:top w:val="single" w:sz="4" w:space="0" w:color="auto"/>
            </w:tcBorders>
            <w:vAlign w:val="center"/>
          </w:tcPr>
          <w:p w14:paraId="62750C2E" w14:textId="77777777" w:rsidR="00750D12" w:rsidRDefault="00750D12" w:rsidP="000A610A">
            <w:pPr>
              <w:ind w:right="-57"/>
              <w:jc w:val="center"/>
              <w:rPr>
                <w:rFonts w:ascii="Times New Roman" w:hAnsi="Times New Roman" w:cs="Times New Roman"/>
              </w:rPr>
            </w:pPr>
          </w:p>
        </w:tc>
        <w:tc>
          <w:tcPr>
            <w:tcW w:w="4139" w:type="dxa"/>
            <w:tcBorders>
              <w:top w:val="single" w:sz="4" w:space="0" w:color="auto"/>
            </w:tcBorders>
            <w:vAlign w:val="center"/>
          </w:tcPr>
          <w:p w14:paraId="3F6127AA" w14:textId="77777777" w:rsidR="00750D12" w:rsidRDefault="00750D12" w:rsidP="000A610A">
            <w:pPr>
              <w:ind w:right="-57"/>
              <w:jc w:val="center"/>
              <w:rPr>
                <w:rFonts w:ascii="Times New Roman" w:hAnsi="Times New Roman" w:cs="Times New Roman"/>
              </w:rPr>
            </w:pPr>
          </w:p>
        </w:tc>
      </w:tr>
    </w:tbl>
    <w:p w14:paraId="407C4275" w14:textId="77777777" w:rsidR="00753709" w:rsidRDefault="00753709" w:rsidP="001E6B09">
      <w:pPr>
        <w:suppressAutoHyphens/>
        <w:spacing w:after="0"/>
        <w:jc w:val="both"/>
        <w:rPr>
          <w:lang w:val="en-SG"/>
        </w:rPr>
      </w:pPr>
    </w:p>
    <w:p w14:paraId="7A0E4B8E" w14:textId="77777777" w:rsidR="00753709" w:rsidRPr="00753709" w:rsidRDefault="00753709" w:rsidP="001E6B09">
      <w:pPr>
        <w:spacing w:after="0"/>
        <w:rPr>
          <w:lang w:val="en-SG"/>
        </w:rPr>
      </w:pPr>
    </w:p>
    <w:p w14:paraId="11758A9D" w14:textId="77777777" w:rsidR="00753709" w:rsidRDefault="00753709" w:rsidP="001E6B09">
      <w:pPr>
        <w:spacing w:after="0"/>
        <w:rPr>
          <w:lang w:val="en-SG"/>
        </w:rPr>
      </w:pPr>
    </w:p>
    <w:p w14:paraId="36EFAADC" w14:textId="77777777" w:rsidR="00724502" w:rsidRDefault="00724502" w:rsidP="001E6B09">
      <w:pPr>
        <w:tabs>
          <w:tab w:val="left" w:pos="6285"/>
        </w:tabs>
        <w:spacing w:after="0"/>
        <w:rPr>
          <w:lang w:val="en-SG"/>
        </w:rPr>
      </w:pPr>
    </w:p>
    <w:p w14:paraId="237A8946" w14:textId="77777777" w:rsidR="00724502" w:rsidRDefault="00724502" w:rsidP="001E6B09">
      <w:pPr>
        <w:tabs>
          <w:tab w:val="left" w:pos="6285"/>
        </w:tabs>
        <w:spacing w:after="0"/>
        <w:rPr>
          <w:lang w:val="en-SG"/>
        </w:rPr>
      </w:pPr>
    </w:p>
    <w:p w14:paraId="2EF1039E" w14:textId="77777777" w:rsidR="00724502" w:rsidRDefault="00724502" w:rsidP="001E6B09">
      <w:pPr>
        <w:tabs>
          <w:tab w:val="left" w:pos="6285"/>
        </w:tabs>
        <w:spacing w:after="0"/>
        <w:rPr>
          <w:lang w:val="en-SG"/>
        </w:rPr>
      </w:pPr>
    </w:p>
    <w:p w14:paraId="6F249F49" w14:textId="77777777" w:rsidR="00724502" w:rsidRDefault="00724502" w:rsidP="001E6B09">
      <w:pPr>
        <w:tabs>
          <w:tab w:val="left" w:pos="6285"/>
        </w:tabs>
        <w:spacing w:after="0"/>
        <w:rPr>
          <w:lang w:val="en-SG"/>
        </w:rPr>
      </w:pPr>
    </w:p>
    <w:p w14:paraId="6AFF9A05" w14:textId="77777777" w:rsidR="00724502" w:rsidRDefault="00724502" w:rsidP="001E6B09">
      <w:pPr>
        <w:tabs>
          <w:tab w:val="left" w:pos="6285"/>
        </w:tabs>
        <w:spacing w:after="0"/>
        <w:rPr>
          <w:lang w:val="en-SG"/>
        </w:rPr>
      </w:pPr>
    </w:p>
    <w:p w14:paraId="6AC49E3C" w14:textId="77777777" w:rsidR="00724502" w:rsidRDefault="00724502" w:rsidP="001E6B09">
      <w:pPr>
        <w:tabs>
          <w:tab w:val="left" w:pos="6285"/>
        </w:tabs>
        <w:spacing w:after="0"/>
        <w:rPr>
          <w:lang w:val="en-SG"/>
        </w:rPr>
      </w:pPr>
    </w:p>
    <w:p w14:paraId="13F75DB5" w14:textId="77777777" w:rsidR="00724502" w:rsidRDefault="00724502" w:rsidP="001E6B09">
      <w:pPr>
        <w:tabs>
          <w:tab w:val="left" w:pos="6285"/>
        </w:tabs>
        <w:spacing w:after="0"/>
        <w:rPr>
          <w:lang w:val="en-SG"/>
        </w:rPr>
      </w:pPr>
    </w:p>
    <w:p w14:paraId="13D2B09D" w14:textId="77777777" w:rsidR="00724502" w:rsidRDefault="00724502" w:rsidP="001E6B09">
      <w:pPr>
        <w:tabs>
          <w:tab w:val="left" w:pos="6285"/>
        </w:tabs>
        <w:spacing w:after="0"/>
        <w:rPr>
          <w:lang w:val="en-SG"/>
        </w:rPr>
      </w:pPr>
    </w:p>
    <w:p w14:paraId="14CE31EF" w14:textId="77777777" w:rsidR="00724502" w:rsidRDefault="00724502" w:rsidP="001E6B09">
      <w:pPr>
        <w:tabs>
          <w:tab w:val="left" w:pos="6285"/>
        </w:tabs>
        <w:spacing w:after="0"/>
        <w:rPr>
          <w:lang w:val="en-SG"/>
        </w:rPr>
      </w:pPr>
    </w:p>
    <w:p w14:paraId="455E4875" w14:textId="77777777" w:rsidR="00724502" w:rsidRDefault="00724502" w:rsidP="001E6B09">
      <w:pPr>
        <w:tabs>
          <w:tab w:val="left" w:pos="6285"/>
        </w:tabs>
        <w:spacing w:after="0"/>
        <w:rPr>
          <w:lang w:val="en-SG"/>
        </w:rPr>
      </w:pPr>
    </w:p>
    <w:p w14:paraId="4D0E97E8" w14:textId="77777777" w:rsidR="00724502" w:rsidRDefault="00724502" w:rsidP="001E6B09">
      <w:pPr>
        <w:tabs>
          <w:tab w:val="left" w:pos="6285"/>
        </w:tabs>
        <w:spacing w:after="0"/>
        <w:rPr>
          <w:lang w:val="en-SG"/>
        </w:rPr>
      </w:pPr>
    </w:p>
    <w:p w14:paraId="43E66C3C" w14:textId="77777777" w:rsidR="00724502" w:rsidRDefault="00724502" w:rsidP="001E6B09">
      <w:pPr>
        <w:tabs>
          <w:tab w:val="left" w:pos="6285"/>
        </w:tabs>
        <w:spacing w:after="0"/>
        <w:rPr>
          <w:lang w:val="en-SG"/>
        </w:rPr>
      </w:pPr>
    </w:p>
    <w:p w14:paraId="79D3022D" w14:textId="77777777" w:rsidR="00724502" w:rsidRDefault="00724502" w:rsidP="001E6B09">
      <w:pPr>
        <w:tabs>
          <w:tab w:val="left" w:pos="6285"/>
        </w:tabs>
        <w:spacing w:after="0"/>
        <w:rPr>
          <w:lang w:val="en-SG"/>
        </w:rPr>
      </w:pPr>
    </w:p>
    <w:p w14:paraId="4A615BA4" w14:textId="77777777" w:rsidR="00BB4A05" w:rsidRDefault="00BB4A05" w:rsidP="001E6B09">
      <w:pPr>
        <w:suppressAutoHyphens/>
        <w:spacing w:after="0"/>
        <w:jc w:val="both"/>
        <w:rPr>
          <w:lang w:val="en-SG"/>
        </w:rPr>
        <w:sectPr w:rsidR="00BB4A05" w:rsidSect="00724502">
          <w:pgSz w:w="16839" w:h="11907" w:orient="landscape" w:code="9"/>
          <w:pgMar w:top="1134" w:right="1134" w:bottom="1134" w:left="1134" w:header="720" w:footer="720" w:gutter="0"/>
          <w:cols w:space="720"/>
          <w:docGrid w:linePitch="360"/>
        </w:sectPr>
      </w:pPr>
    </w:p>
    <w:tbl>
      <w:tblPr>
        <w:tblStyle w:val="TableGrid"/>
        <w:tblpPr w:leftFromText="180" w:rightFromText="180" w:vertAnchor="page" w:horzAnchor="margin" w:tblpY="755"/>
        <w:tblW w:w="10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56"/>
        <w:gridCol w:w="2098"/>
        <w:gridCol w:w="56"/>
        <w:gridCol w:w="851"/>
        <w:gridCol w:w="56"/>
        <w:gridCol w:w="2098"/>
        <w:gridCol w:w="56"/>
        <w:gridCol w:w="742"/>
        <w:gridCol w:w="114"/>
        <w:gridCol w:w="56"/>
      </w:tblGrid>
      <w:tr w:rsidR="000C5037" w:rsidRPr="00074DA3" w14:paraId="09DDB1A1" w14:textId="77777777" w:rsidTr="00FF43C5">
        <w:trPr>
          <w:gridAfter w:val="2"/>
          <w:wAfter w:w="170" w:type="dxa"/>
          <w:cantSplit/>
        </w:trPr>
        <w:tc>
          <w:tcPr>
            <w:tcW w:w="10322" w:type="dxa"/>
            <w:gridSpan w:val="9"/>
            <w:tcBorders>
              <w:bottom w:val="single" w:sz="4" w:space="0" w:color="auto"/>
            </w:tcBorders>
          </w:tcPr>
          <w:p w14:paraId="23A3D996" w14:textId="24C77CEC" w:rsidR="000C5037" w:rsidRPr="00074DA3" w:rsidRDefault="000C5037" w:rsidP="00FF43C5">
            <w:pPr>
              <w:tabs>
                <w:tab w:val="left" w:pos="1372"/>
              </w:tabs>
              <w:rPr>
                <w:rFonts w:ascii="Times New Roman" w:hAnsi="Times New Roman" w:cs="Times New Roman"/>
                <w:sz w:val="21"/>
                <w:szCs w:val="21"/>
              </w:rPr>
            </w:pPr>
            <w:r w:rsidRPr="00074DA3">
              <w:rPr>
                <w:rFonts w:ascii="Times New Roman" w:hAnsi="Times New Roman" w:cs="Times New Roman"/>
                <w:b/>
                <w:sz w:val="21"/>
                <w:szCs w:val="21"/>
              </w:rPr>
              <w:lastRenderedPageBreak/>
              <w:t xml:space="preserve">Table 4. </w:t>
            </w:r>
            <w:r w:rsidRPr="00074DA3">
              <w:rPr>
                <w:rFonts w:ascii="Times New Roman" w:hAnsi="Times New Roman" w:cs="Times New Roman"/>
                <w:sz w:val="21"/>
                <w:szCs w:val="21"/>
              </w:rPr>
              <w:t>Association of maternal and infant characteristics with post</w:t>
            </w:r>
            <w:r w:rsidR="000B1D17" w:rsidRPr="00074DA3">
              <w:rPr>
                <w:rFonts w:ascii="Times New Roman" w:hAnsi="Times New Roman" w:cs="Times New Roman"/>
                <w:sz w:val="21"/>
                <w:szCs w:val="21"/>
              </w:rPr>
              <w:t>-</w:t>
            </w:r>
            <w:r w:rsidRPr="00074DA3">
              <w:rPr>
                <w:rFonts w:ascii="Times New Roman" w:hAnsi="Times New Roman" w:cs="Times New Roman"/>
                <w:sz w:val="21"/>
                <w:szCs w:val="21"/>
              </w:rPr>
              <w:t>midnight feeding</w:t>
            </w:r>
          </w:p>
          <w:p w14:paraId="5FDF055D" w14:textId="69121466" w:rsidR="000C5037" w:rsidRPr="00074DA3" w:rsidRDefault="000C5037" w:rsidP="00FF43C5">
            <w:pPr>
              <w:tabs>
                <w:tab w:val="left" w:pos="1372"/>
              </w:tabs>
              <w:rPr>
                <w:rFonts w:ascii="Times New Roman" w:hAnsi="Times New Roman" w:cs="Times New Roman"/>
                <w:b/>
                <w:sz w:val="21"/>
                <w:szCs w:val="21"/>
              </w:rPr>
            </w:pPr>
            <w:r w:rsidRPr="00074DA3">
              <w:rPr>
                <w:rFonts w:ascii="Times New Roman" w:hAnsi="Times New Roman" w:cs="Times New Roman"/>
                <w:sz w:val="21"/>
                <w:szCs w:val="21"/>
              </w:rPr>
              <w:t>(Odd</w:t>
            </w:r>
            <w:r w:rsidR="008F2BE0" w:rsidRPr="00074DA3">
              <w:rPr>
                <w:rFonts w:ascii="Times New Roman" w:hAnsi="Times New Roman" w:cs="Times New Roman"/>
                <w:sz w:val="21"/>
                <w:szCs w:val="21"/>
              </w:rPr>
              <w:t>s</w:t>
            </w:r>
            <w:r w:rsidRPr="00074DA3">
              <w:rPr>
                <w:rFonts w:ascii="Times New Roman" w:hAnsi="Times New Roman" w:cs="Times New Roman"/>
                <w:sz w:val="21"/>
                <w:szCs w:val="21"/>
              </w:rPr>
              <w:t xml:space="preserve"> ratios and 95 % confidence intervals)</w:t>
            </w:r>
          </w:p>
        </w:tc>
      </w:tr>
      <w:tr w:rsidR="000C5037" w:rsidRPr="00074DA3" w14:paraId="0EB26EFA" w14:textId="77777777" w:rsidTr="00FF43C5">
        <w:trPr>
          <w:cantSplit/>
        </w:trPr>
        <w:tc>
          <w:tcPr>
            <w:tcW w:w="4365" w:type="dxa"/>
            <w:gridSpan w:val="2"/>
            <w:vMerge w:val="restart"/>
            <w:tcBorders>
              <w:top w:val="single" w:sz="4" w:space="0" w:color="auto"/>
              <w:bottom w:val="single" w:sz="4" w:space="0" w:color="auto"/>
            </w:tcBorders>
          </w:tcPr>
          <w:p w14:paraId="18F43619" w14:textId="77777777" w:rsidR="000C5037" w:rsidRPr="00074DA3" w:rsidRDefault="000C5037" w:rsidP="00FF43C5">
            <w:pPr>
              <w:jc w:val="center"/>
              <w:rPr>
                <w:rFonts w:ascii="Times New Roman" w:hAnsi="Times New Roman" w:cs="Times New Roman"/>
                <w:b/>
                <w:sz w:val="21"/>
                <w:szCs w:val="21"/>
              </w:rPr>
            </w:pPr>
          </w:p>
        </w:tc>
        <w:tc>
          <w:tcPr>
            <w:tcW w:w="6127" w:type="dxa"/>
            <w:gridSpan w:val="9"/>
            <w:tcBorders>
              <w:top w:val="single" w:sz="4" w:space="0" w:color="auto"/>
              <w:bottom w:val="single" w:sz="4" w:space="0" w:color="auto"/>
            </w:tcBorders>
          </w:tcPr>
          <w:p w14:paraId="6BCC10EE" w14:textId="4B319BC9"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OR for post</w:t>
            </w:r>
            <w:r w:rsidR="000B1D17" w:rsidRPr="00074DA3">
              <w:rPr>
                <w:rFonts w:ascii="Times New Roman" w:hAnsi="Times New Roman" w:cs="Times New Roman"/>
                <w:sz w:val="21"/>
                <w:szCs w:val="21"/>
              </w:rPr>
              <w:t>-</w:t>
            </w:r>
            <w:r w:rsidRPr="00074DA3">
              <w:rPr>
                <w:rFonts w:ascii="Times New Roman" w:hAnsi="Times New Roman" w:cs="Times New Roman"/>
                <w:sz w:val="21"/>
                <w:szCs w:val="21"/>
              </w:rPr>
              <w:t>midnight feeding (95% CI)</w:t>
            </w:r>
          </w:p>
        </w:tc>
      </w:tr>
      <w:tr w:rsidR="000C5037" w:rsidRPr="00074DA3" w14:paraId="18FE4DAA" w14:textId="77777777" w:rsidTr="00FF43C5">
        <w:trPr>
          <w:cantSplit/>
        </w:trPr>
        <w:tc>
          <w:tcPr>
            <w:tcW w:w="4365" w:type="dxa"/>
            <w:gridSpan w:val="2"/>
            <w:vMerge/>
            <w:tcBorders>
              <w:top w:val="single" w:sz="4" w:space="0" w:color="auto"/>
              <w:bottom w:val="single" w:sz="4" w:space="0" w:color="auto"/>
            </w:tcBorders>
          </w:tcPr>
          <w:p w14:paraId="6E5831AD" w14:textId="77777777" w:rsidR="000C5037" w:rsidRPr="00074DA3" w:rsidRDefault="000C5037" w:rsidP="00FF43C5">
            <w:pPr>
              <w:ind w:right="-57"/>
              <w:rPr>
                <w:rFonts w:ascii="Times New Roman" w:hAnsi="Times New Roman" w:cs="Times New Roman"/>
                <w:b/>
                <w:sz w:val="21"/>
                <w:szCs w:val="21"/>
              </w:rPr>
            </w:pPr>
          </w:p>
        </w:tc>
        <w:tc>
          <w:tcPr>
            <w:tcW w:w="2154" w:type="dxa"/>
            <w:gridSpan w:val="2"/>
            <w:tcBorders>
              <w:top w:val="single" w:sz="4" w:space="0" w:color="auto"/>
              <w:bottom w:val="single" w:sz="4" w:space="0" w:color="auto"/>
            </w:tcBorders>
          </w:tcPr>
          <w:p w14:paraId="4876B747"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Crude</w:t>
            </w:r>
          </w:p>
        </w:tc>
        <w:tc>
          <w:tcPr>
            <w:tcW w:w="907" w:type="dxa"/>
            <w:gridSpan w:val="2"/>
            <w:tcBorders>
              <w:top w:val="single" w:sz="4" w:space="0" w:color="auto"/>
              <w:bottom w:val="single" w:sz="4" w:space="0" w:color="auto"/>
            </w:tcBorders>
          </w:tcPr>
          <w:p w14:paraId="0D61FB2F" w14:textId="69861F50" w:rsidR="000C5037" w:rsidRPr="00074DA3" w:rsidRDefault="00C76205" w:rsidP="00FF43C5">
            <w:pPr>
              <w:jc w:val="center"/>
              <w:rPr>
                <w:rFonts w:ascii="Times New Roman" w:hAnsi="Times New Roman" w:cs="Times New Roman"/>
                <w:i/>
                <w:sz w:val="21"/>
                <w:szCs w:val="21"/>
              </w:rPr>
            </w:pPr>
            <w:r w:rsidRPr="00074DA3">
              <w:rPr>
                <w:rFonts w:ascii="Times New Roman" w:hAnsi="Times New Roman" w:cs="Times New Roman"/>
                <w:i/>
                <w:sz w:val="21"/>
                <w:szCs w:val="21"/>
              </w:rPr>
              <w:t>P</w:t>
            </w:r>
          </w:p>
        </w:tc>
        <w:tc>
          <w:tcPr>
            <w:tcW w:w="2154" w:type="dxa"/>
            <w:gridSpan w:val="2"/>
            <w:tcBorders>
              <w:top w:val="single" w:sz="4" w:space="0" w:color="auto"/>
              <w:bottom w:val="single" w:sz="4" w:space="0" w:color="auto"/>
            </w:tcBorders>
          </w:tcPr>
          <w:p w14:paraId="02EDEC21" w14:textId="5F1AFB08" w:rsidR="000C5037" w:rsidRPr="00074DA3" w:rsidRDefault="00F36ED0" w:rsidP="00FF43C5">
            <w:pPr>
              <w:jc w:val="center"/>
              <w:rPr>
                <w:rFonts w:ascii="Times New Roman" w:hAnsi="Times New Roman" w:cs="Times New Roman"/>
                <w:sz w:val="21"/>
                <w:szCs w:val="21"/>
              </w:rPr>
            </w:pPr>
            <w:r w:rsidRPr="00074DA3">
              <w:rPr>
                <w:rFonts w:ascii="Times New Roman" w:hAnsi="Times New Roman" w:cs="Times New Roman"/>
                <w:sz w:val="21"/>
                <w:szCs w:val="21"/>
              </w:rPr>
              <w:t>Adjusted</w:t>
            </w:r>
            <w:r w:rsidRPr="00074DA3">
              <w:rPr>
                <w:rFonts w:ascii="Times New Roman" w:hAnsi="Times New Roman" w:cs="Times New Roman"/>
                <w:sz w:val="21"/>
                <w:szCs w:val="21"/>
                <w:vertAlign w:val="superscript"/>
              </w:rPr>
              <w:t>†</w:t>
            </w:r>
          </w:p>
        </w:tc>
        <w:tc>
          <w:tcPr>
            <w:tcW w:w="912" w:type="dxa"/>
            <w:gridSpan w:val="3"/>
            <w:tcBorders>
              <w:top w:val="single" w:sz="4" w:space="0" w:color="auto"/>
              <w:bottom w:val="single" w:sz="4" w:space="0" w:color="auto"/>
            </w:tcBorders>
          </w:tcPr>
          <w:p w14:paraId="7C886E59" w14:textId="77777777" w:rsidR="000C5037" w:rsidRPr="00074DA3" w:rsidRDefault="000C5037" w:rsidP="00FF43C5">
            <w:pPr>
              <w:jc w:val="center"/>
              <w:rPr>
                <w:rFonts w:ascii="Times New Roman" w:hAnsi="Times New Roman" w:cs="Times New Roman"/>
                <w:sz w:val="21"/>
                <w:szCs w:val="21"/>
                <w:vertAlign w:val="superscript"/>
              </w:rPr>
            </w:pPr>
            <w:r w:rsidRPr="00074DA3">
              <w:rPr>
                <w:rFonts w:ascii="Times New Roman" w:hAnsi="Times New Roman" w:cs="Times New Roman"/>
                <w:i/>
                <w:sz w:val="21"/>
                <w:szCs w:val="21"/>
              </w:rPr>
              <w:t>P</w:t>
            </w:r>
          </w:p>
        </w:tc>
      </w:tr>
      <w:tr w:rsidR="000C5037" w:rsidRPr="00074DA3" w14:paraId="58BE82AA" w14:textId="77777777" w:rsidTr="00FF43C5">
        <w:trPr>
          <w:gridAfter w:val="1"/>
          <w:wAfter w:w="56" w:type="dxa"/>
          <w:cantSplit/>
        </w:trPr>
        <w:tc>
          <w:tcPr>
            <w:tcW w:w="4309" w:type="dxa"/>
            <w:tcBorders>
              <w:top w:val="single" w:sz="4" w:space="0" w:color="auto"/>
            </w:tcBorders>
          </w:tcPr>
          <w:p w14:paraId="6EF62A6D" w14:textId="77777777" w:rsidR="000C5037" w:rsidRPr="00074DA3" w:rsidRDefault="000C5037" w:rsidP="00FF43C5">
            <w:pPr>
              <w:ind w:right="-57"/>
              <w:rPr>
                <w:rFonts w:ascii="Times New Roman" w:hAnsi="Times New Roman" w:cs="Times New Roman"/>
                <w:b/>
                <w:sz w:val="21"/>
                <w:szCs w:val="21"/>
              </w:rPr>
            </w:pPr>
            <w:r w:rsidRPr="00074DA3">
              <w:rPr>
                <w:rFonts w:ascii="Times New Roman" w:hAnsi="Times New Roman" w:cs="Times New Roman"/>
                <w:b/>
                <w:sz w:val="21"/>
                <w:szCs w:val="21"/>
              </w:rPr>
              <w:t>Maternal</w:t>
            </w:r>
          </w:p>
        </w:tc>
        <w:tc>
          <w:tcPr>
            <w:tcW w:w="2154" w:type="dxa"/>
            <w:gridSpan w:val="2"/>
            <w:tcBorders>
              <w:top w:val="single" w:sz="4" w:space="0" w:color="auto"/>
            </w:tcBorders>
          </w:tcPr>
          <w:p w14:paraId="74C69639" w14:textId="77777777" w:rsidR="000C5037" w:rsidRPr="00074DA3" w:rsidRDefault="000C5037" w:rsidP="00FF43C5">
            <w:pPr>
              <w:jc w:val="center"/>
              <w:rPr>
                <w:rFonts w:ascii="Times New Roman" w:hAnsi="Times New Roman" w:cs="Times New Roman"/>
                <w:sz w:val="21"/>
                <w:szCs w:val="21"/>
              </w:rPr>
            </w:pPr>
          </w:p>
        </w:tc>
        <w:tc>
          <w:tcPr>
            <w:tcW w:w="907" w:type="dxa"/>
            <w:gridSpan w:val="2"/>
            <w:tcBorders>
              <w:top w:val="single" w:sz="4" w:space="0" w:color="auto"/>
            </w:tcBorders>
          </w:tcPr>
          <w:p w14:paraId="017E07DD" w14:textId="77777777" w:rsidR="000C5037" w:rsidRPr="00074DA3" w:rsidRDefault="000C5037" w:rsidP="00FF43C5">
            <w:pPr>
              <w:jc w:val="center"/>
              <w:rPr>
                <w:rFonts w:ascii="Times New Roman" w:hAnsi="Times New Roman" w:cs="Times New Roman"/>
                <w:sz w:val="21"/>
                <w:szCs w:val="21"/>
              </w:rPr>
            </w:pPr>
          </w:p>
        </w:tc>
        <w:tc>
          <w:tcPr>
            <w:tcW w:w="2154" w:type="dxa"/>
            <w:gridSpan w:val="2"/>
            <w:tcBorders>
              <w:top w:val="single" w:sz="4" w:space="0" w:color="auto"/>
            </w:tcBorders>
          </w:tcPr>
          <w:p w14:paraId="5B006633" w14:textId="77777777" w:rsidR="000C5037" w:rsidRPr="00074DA3" w:rsidRDefault="000C5037" w:rsidP="00FF43C5">
            <w:pPr>
              <w:jc w:val="center"/>
              <w:rPr>
                <w:rFonts w:ascii="Times New Roman" w:hAnsi="Times New Roman" w:cs="Times New Roman"/>
                <w:b/>
                <w:sz w:val="21"/>
                <w:szCs w:val="21"/>
              </w:rPr>
            </w:pPr>
          </w:p>
        </w:tc>
        <w:tc>
          <w:tcPr>
            <w:tcW w:w="912" w:type="dxa"/>
            <w:gridSpan w:val="3"/>
            <w:tcBorders>
              <w:top w:val="single" w:sz="4" w:space="0" w:color="auto"/>
            </w:tcBorders>
          </w:tcPr>
          <w:p w14:paraId="395DA638" w14:textId="77777777" w:rsidR="000C5037" w:rsidRPr="00074DA3" w:rsidRDefault="000C5037" w:rsidP="00FF43C5">
            <w:pPr>
              <w:jc w:val="center"/>
              <w:rPr>
                <w:rFonts w:ascii="Times New Roman" w:hAnsi="Times New Roman" w:cs="Times New Roman"/>
                <w:sz w:val="21"/>
                <w:szCs w:val="21"/>
              </w:rPr>
            </w:pPr>
          </w:p>
        </w:tc>
      </w:tr>
      <w:tr w:rsidR="000C5037" w:rsidRPr="00074DA3" w14:paraId="4FBAFF1C" w14:textId="77777777" w:rsidTr="00FF43C5">
        <w:trPr>
          <w:gridAfter w:val="1"/>
          <w:wAfter w:w="56" w:type="dxa"/>
          <w:cantSplit/>
        </w:trPr>
        <w:tc>
          <w:tcPr>
            <w:tcW w:w="4309" w:type="dxa"/>
          </w:tcPr>
          <w:p w14:paraId="1FA7A92C"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Ethnicity</w:t>
            </w:r>
          </w:p>
        </w:tc>
        <w:tc>
          <w:tcPr>
            <w:tcW w:w="2154" w:type="dxa"/>
            <w:gridSpan w:val="2"/>
            <w:vAlign w:val="center"/>
          </w:tcPr>
          <w:p w14:paraId="7E11C8A9" w14:textId="77777777" w:rsidR="000C5037" w:rsidRPr="00074DA3" w:rsidRDefault="000C5037" w:rsidP="00FF43C5">
            <w:pPr>
              <w:jc w:val="center"/>
              <w:rPr>
                <w:rFonts w:ascii="Times New Roman" w:hAnsi="Times New Roman" w:cs="Times New Roman"/>
                <w:sz w:val="21"/>
                <w:szCs w:val="21"/>
              </w:rPr>
            </w:pPr>
          </w:p>
        </w:tc>
        <w:tc>
          <w:tcPr>
            <w:tcW w:w="907" w:type="dxa"/>
            <w:gridSpan w:val="2"/>
            <w:vAlign w:val="center"/>
          </w:tcPr>
          <w:p w14:paraId="0B4BE6C5" w14:textId="77777777" w:rsidR="000C5037" w:rsidRPr="00074DA3" w:rsidRDefault="000C5037" w:rsidP="00FF43C5">
            <w:pPr>
              <w:jc w:val="center"/>
              <w:rPr>
                <w:rFonts w:ascii="Times New Roman" w:hAnsi="Times New Roman" w:cs="Times New Roman"/>
                <w:sz w:val="21"/>
                <w:szCs w:val="21"/>
              </w:rPr>
            </w:pPr>
          </w:p>
        </w:tc>
        <w:tc>
          <w:tcPr>
            <w:tcW w:w="2154" w:type="dxa"/>
            <w:gridSpan w:val="2"/>
            <w:vAlign w:val="center"/>
          </w:tcPr>
          <w:p w14:paraId="79E0D247" w14:textId="77777777" w:rsidR="000C5037" w:rsidRPr="00074DA3" w:rsidRDefault="000C5037" w:rsidP="00FF43C5">
            <w:pPr>
              <w:jc w:val="center"/>
              <w:rPr>
                <w:rFonts w:ascii="Times New Roman" w:hAnsi="Times New Roman" w:cs="Times New Roman"/>
                <w:sz w:val="21"/>
                <w:szCs w:val="21"/>
              </w:rPr>
            </w:pPr>
          </w:p>
        </w:tc>
        <w:tc>
          <w:tcPr>
            <w:tcW w:w="912" w:type="dxa"/>
            <w:gridSpan w:val="3"/>
            <w:vAlign w:val="center"/>
          </w:tcPr>
          <w:p w14:paraId="40EFEF45" w14:textId="77777777" w:rsidR="000C5037" w:rsidRPr="00074DA3" w:rsidRDefault="000C5037" w:rsidP="00FF43C5">
            <w:pPr>
              <w:jc w:val="center"/>
              <w:rPr>
                <w:rFonts w:ascii="Times New Roman" w:hAnsi="Times New Roman" w:cs="Times New Roman"/>
                <w:sz w:val="21"/>
                <w:szCs w:val="21"/>
              </w:rPr>
            </w:pPr>
          </w:p>
        </w:tc>
      </w:tr>
      <w:tr w:rsidR="000C5037" w:rsidRPr="00074DA3" w14:paraId="0A9AE005" w14:textId="77777777" w:rsidTr="00FF43C5">
        <w:trPr>
          <w:gridAfter w:val="1"/>
          <w:wAfter w:w="56" w:type="dxa"/>
          <w:cantSplit/>
        </w:trPr>
        <w:tc>
          <w:tcPr>
            <w:tcW w:w="4309" w:type="dxa"/>
          </w:tcPr>
          <w:p w14:paraId="53D9B53B"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Chinese</w:t>
            </w:r>
          </w:p>
        </w:tc>
        <w:tc>
          <w:tcPr>
            <w:tcW w:w="2154" w:type="dxa"/>
            <w:gridSpan w:val="2"/>
            <w:vAlign w:val="center"/>
          </w:tcPr>
          <w:p w14:paraId="620A6D07"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Reference</w:t>
            </w:r>
          </w:p>
        </w:tc>
        <w:tc>
          <w:tcPr>
            <w:tcW w:w="907" w:type="dxa"/>
            <w:gridSpan w:val="2"/>
            <w:vAlign w:val="center"/>
          </w:tcPr>
          <w:p w14:paraId="45058228" w14:textId="77777777" w:rsidR="000C5037" w:rsidRPr="00074DA3" w:rsidRDefault="000C5037" w:rsidP="00FF43C5">
            <w:pPr>
              <w:jc w:val="center"/>
              <w:rPr>
                <w:rFonts w:ascii="Times New Roman" w:hAnsi="Times New Roman" w:cs="Times New Roman"/>
                <w:sz w:val="21"/>
                <w:szCs w:val="21"/>
              </w:rPr>
            </w:pPr>
          </w:p>
        </w:tc>
        <w:tc>
          <w:tcPr>
            <w:tcW w:w="2154" w:type="dxa"/>
            <w:gridSpan w:val="2"/>
            <w:vAlign w:val="center"/>
          </w:tcPr>
          <w:p w14:paraId="7F5EFF7C"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Reference</w:t>
            </w:r>
          </w:p>
        </w:tc>
        <w:tc>
          <w:tcPr>
            <w:tcW w:w="912" w:type="dxa"/>
            <w:gridSpan w:val="3"/>
            <w:vAlign w:val="center"/>
          </w:tcPr>
          <w:p w14:paraId="7A7C38C5" w14:textId="77777777" w:rsidR="000C5037" w:rsidRPr="00074DA3" w:rsidRDefault="000C5037" w:rsidP="00FF43C5">
            <w:pPr>
              <w:jc w:val="center"/>
              <w:rPr>
                <w:rFonts w:ascii="Times New Roman" w:hAnsi="Times New Roman" w:cs="Times New Roman"/>
                <w:sz w:val="21"/>
                <w:szCs w:val="21"/>
              </w:rPr>
            </w:pPr>
          </w:p>
        </w:tc>
      </w:tr>
      <w:tr w:rsidR="000C5037" w:rsidRPr="00074DA3" w14:paraId="71508819" w14:textId="77777777" w:rsidTr="00FF43C5">
        <w:trPr>
          <w:gridAfter w:val="1"/>
          <w:wAfter w:w="56" w:type="dxa"/>
          <w:cantSplit/>
        </w:trPr>
        <w:tc>
          <w:tcPr>
            <w:tcW w:w="4309" w:type="dxa"/>
          </w:tcPr>
          <w:p w14:paraId="7290DC6E"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Malay</w:t>
            </w:r>
          </w:p>
        </w:tc>
        <w:tc>
          <w:tcPr>
            <w:tcW w:w="2154" w:type="dxa"/>
            <w:gridSpan w:val="2"/>
            <w:vAlign w:val="center"/>
          </w:tcPr>
          <w:p w14:paraId="3A656624"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1.68 (1.05, 2.72)</w:t>
            </w:r>
          </w:p>
        </w:tc>
        <w:tc>
          <w:tcPr>
            <w:tcW w:w="907" w:type="dxa"/>
            <w:gridSpan w:val="2"/>
            <w:vAlign w:val="center"/>
          </w:tcPr>
          <w:p w14:paraId="5F0C486B"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0.032</w:t>
            </w:r>
          </w:p>
        </w:tc>
        <w:tc>
          <w:tcPr>
            <w:tcW w:w="2154" w:type="dxa"/>
            <w:gridSpan w:val="2"/>
            <w:vAlign w:val="center"/>
          </w:tcPr>
          <w:p w14:paraId="75432CCD"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1.26 (0.70, 2.28)</w:t>
            </w:r>
          </w:p>
        </w:tc>
        <w:tc>
          <w:tcPr>
            <w:tcW w:w="912" w:type="dxa"/>
            <w:gridSpan w:val="3"/>
            <w:vAlign w:val="center"/>
          </w:tcPr>
          <w:p w14:paraId="2D1A9EF2"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0.437</w:t>
            </w:r>
          </w:p>
        </w:tc>
      </w:tr>
      <w:tr w:rsidR="000C5037" w:rsidRPr="00074DA3" w14:paraId="49B53F0D" w14:textId="77777777" w:rsidTr="00FF43C5">
        <w:trPr>
          <w:gridAfter w:val="1"/>
          <w:wAfter w:w="56" w:type="dxa"/>
          <w:cantSplit/>
        </w:trPr>
        <w:tc>
          <w:tcPr>
            <w:tcW w:w="4309" w:type="dxa"/>
          </w:tcPr>
          <w:p w14:paraId="39820D49"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Indian</w:t>
            </w:r>
          </w:p>
        </w:tc>
        <w:tc>
          <w:tcPr>
            <w:tcW w:w="2154" w:type="dxa"/>
            <w:gridSpan w:val="2"/>
            <w:vAlign w:val="center"/>
          </w:tcPr>
          <w:p w14:paraId="4D447A11"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1.51 (0.95, 2.41)</w:t>
            </w:r>
          </w:p>
        </w:tc>
        <w:tc>
          <w:tcPr>
            <w:tcW w:w="907" w:type="dxa"/>
            <w:gridSpan w:val="2"/>
            <w:vAlign w:val="center"/>
          </w:tcPr>
          <w:p w14:paraId="570BC221"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0.083</w:t>
            </w:r>
          </w:p>
        </w:tc>
        <w:tc>
          <w:tcPr>
            <w:tcW w:w="2154" w:type="dxa"/>
            <w:gridSpan w:val="2"/>
            <w:vAlign w:val="center"/>
          </w:tcPr>
          <w:p w14:paraId="792351AA"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1.33 (0.74, 2.39)</w:t>
            </w:r>
          </w:p>
        </w:tc>
        <w:tc>
          <w:tcPr>
            <w:tcW w:w="912" w:type="dxa"/>
            <w:gridSpan w:val="3"/>
            <w:vAlign w:val="center"/>
          </w:tcPr>
          <w:p w14:paraId="5B00D341"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0.347</w:t>
            </w:r>
          </w:p>
        </w:tc>
      </w:tr>
      <w:tr w:rsidR="000C5037" w:rsidRPr="00074DA3" w14:paraId="5C2E62CF" w14:textId="77777777" w:rsidTr="00FF43C5">
        <w:trPr>
          <w:gridAfter w:val="1"/>
          <w:wAfter w:w="56" w:type="dxa"/>
          <w:cantSplit/>
        </w:trPr>
        <w:tc>
          <w:tcPr>
            <w:tcW w:w="4309" w:type="dxa"/>
          </w:tcPr>
          <w:p w14:paraId="4940B8C7"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Educational level</w:t>
            </w:r>
          </w:p>
        </w:tc>
        <w:tc>
          <w:tcPr>
            <w:tcW w:w="2154" w:type="dxa"/>
            <w:gridSpan w:val="2"/>
            <w:vAlign w:val="center"/>
          </w:tcPr>
          <w:p w14:paraId="52FD8914" w14:textId="77777777" w:rsidR="000C5037" w:rsidRPr="00074DA3" w:rsidRDefault="000C5037" w:rsidP="00FF43C5">
            <w:pPr>
              <w:jc w:val="center"/>
              <w:rPr>
                <w:rFonts w:ascii="Times New Roman" w:hAnsi="Times New Roman" w:cs="Times New Roman"/>
                <w:sz w:val="21"/>
                <w:szCs w:val="21"/>
              </w:rPr>
            </w:pPr>
          </w:p>
        </w:tc>
        <w:tc>
          <w:tcPr>
            <w:tcW w:w="907" w:type="dxa"/>
            <w:gridSpan w:val="2"/>
            <w:vAlign w:val="center"/>
          </w:tcPr>
          <w:p w14:paraId="6380957C" w14:textId="77777777" w:rsidR="000C5037" w:rsidRPr="00074DA3" w:rsidRDefault="000C5037" w:rsidP="00FF43C5">
            <w:pPr>
              <w:jc w:val="center"/>
              <w:rPr>
                <w:rFonts w:ascii="Times New Roman" w:hAnsi="Times New Roman" w:cs="Times New Roman"/>
                <w:sz w:val="21"/>
                <w:szCs w:val="21"/>
              </w:rPr>
            </w:pPr>
          </w:p>
        </w:tc>
        <w:tc>
          <w:tcPr>
            <w:tcW w:w="2154" w:type="dxa"/>
            <w:gridSpan w:val="2"/>
            <w:vAlign w:val="center"/>
          </w:tcPr>
          <w:p w14:paraId="56F3B25A" w14:textId="77777777" w:rsidR="000C5037" w:rsidRPr="00074DA3" w:rsidRDefault="000C5037" w:rsidP="00FF43C5">
            <w:pPr>
              <w:jc w:val="center"/>
              <w:rPr>
                <w:rFonts w:ascii="Times New Roman" w:hAnsi="Times New Roman" w:cs="Times New Roman"/>
                <w:sz w:val="21"/>
                <w:szCs w:val="21"/>
              </w:rPr>
            </w:pPr>
          </w:p>
        </w:tc>
        <w:tc>
          <w:tcPr>
            <w:tcW w:w="912" w:type="dxa"/>
            <w:gridSpan w:val="3"/>
            <w:vAlign w:val="center"/>
          </w:tcPr>
          <w:p w14:paraId="5E0E0DA5" w14:textId="77777777" w:rsidR="000C5037" w:rsidRPr="00074DA3" w:rsidRDefault="000C5037" w:rsidP="00FF43C5">
            <w:pPr>
              <w:jc w:val="center"/>
              <w:rPr>
                <w:rFonts w:ascii="Times New Roman" w:hAnsi="Times New Roman" w:cs="Times New Roman"/>
                <w:sz w:val="21"/>
                <w:szCs w:val="21"/>
              </w:rPr>
            </w:pPr>
          </w:p>
        </w:tc>
      </w:tr>
      <w:tr w:rsidR="000C5037" w:rsidRPr="00074DA3" w14:paraId="6BC40563" w14:textId="77777777" w:rsidTr="00FF43C5">
        <w:trPr>
          <w:gridAfter w:val="1"/>
          <w:wAfter w:w="56" w:type="dxa"/>
          <w:cantSplit/>
        </w:trPr>
        <w:tc>
          <w:tcPr>
            <w:tcW w:w="4309" w:type="dxa"/>
          </w:tcPr>
          <w:p w14:paraId="7A91804E" w14:textId="725DC05C"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w:t>
            </w:r>
            <w:r w:rsidR="00826E7A" w:rsidRPr="00074DA3">
              <w:rPr>
                <w:rFonts w:ascii="Times New Roman" w:hAnsi="Times New Roman" w:cs="Times New Roman"/>
                <w:sz w:val="21"/>
                <w:szCs w:val="21"/>
              </w:rPr>
              <w:t>Secondary or</w:t>
            </w:r>
            <w:r w:rsidRPr="00074DA3">
              <w:rPr>
                <w:rFonts w:ascii="Times New Roman" w:hAnsi="Times New Roman" w:cs="Times New Roman"/>
                <w:sz w:val="21"/>
                <w:szCs w:val="21"/>
              </w:rPr>
              <w:t xml:space="preserve"> lower</w:t>
            </w:r>
          </w:p>
        </w:tc>
        <w:tc>
          <w:tcPr>
            <w:tcW w:w="2154" w:type="dxa"/>
            <w:gridSpan w:val="2"/>
            <w:vAlign w:val="center"/>
          </w:tcPr>
          <w:p w14:paraId="3AF419C3"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Reference</w:t>
            </w:r>
          </w:p>
        </w:tc>
        <w:tc>
          <w:tcPr>
            <w:tcW w:w="907" w:type="dxa"/>
            <w:gridSpan w:val="2"/>
            <w:vAlign w:val="center"/>
          </w:tcPr>
          <w:p w14:paraId="418D1732" w14:textId="77777777" w:rsidR="000C5037" w:rsidRPr="00074DA3" w:rsidRDefault="000C5037" w:rsidP="00FF43C5">
            <w:pPr>
              <w:jc w:val="center"/>
              <w:rPr>
                <w:rFonts w:ascii="Times New Roman" w:hAnsi="Times New Roman" w:cs="Times New Roman"/>
                <w:sz w:val="21"/>
                <w:szCs w:val="21"/>
              </w:rPr>
            </w:pPr>
          </w:p>
        </w:tc>
        <w:tc>
          <w:tcPr>
            <w:tcW w:w="2154" w:type="dxa"/>
            <w:gridSpan w:val="2"/>
            <w:vAlign w:val="center"/>
          </w:tcPr>
          <w:p w14:paraId="5CBFAC55"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Reference</w:t>
            </w:r>
          </w:p>
        </w:tc>
        <w:tc>
          <w:tcPr>
            <w:tcW w:w="912" w:type="dxa"/>
            <w:gridSpan w:val="3"/>
            <w:vAlign w:val="center"/>
          </w:tcPr>
          <w:p w14:paraId="40432A8C" w14:textId="77777777" w:rsidR="000C5037" w:rsidRPr="00074DA3" w:rsidRDefault="000C5037" w:rsidP="00FF43C5">
            <w:pPr>
              <w:jc w:val="center"/>
              <w:rPr>
                <w:rFonts w:ascii="Times New Roman" w:hAnsi="Times New Roman" w:cs="Times New Roman"/>
                <w:sz w:val="21"/>
                <w:szCs w:val="21"/>
              </w:rPr>
            </w:pPr>
          </w:p>
        </w:tc>
      </w:tr>
      <w:tr w:rsidR="000C5037" w:rsidRPr="00074DA3" w14:paraId="6A51236A" w14:textId="77777777" w:rsidTr="00FF43C5">
        <w:trPr>
          <w:gridAfter w:val="1"/>
          <w:wAfter w:w="56" w:type="dxa"/>
          <w:cantSplit/>
        </w:trPr>
        <w:tc>
          <w:tcPr>
            <w:tcW w:w="4309" w:type="dxa"/>
          </w:tcPr>
          <w:p w14:paraId="5A0FA092" w14:textId="2AB080F0"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w:t>
            </w:r>
            <w:r w:rsidR="00826E7A" w:rsidRPr="00074DA3">
              <w:rPr>
                <w:rFonts w:ascii="Times New Roman" w:hAnsi="Times New Roman" w:cs="Times New Roman"/>
                <w:sz w:val="21"/>
                <w:szCs w:val="21"/>
              </w:rPr>
              <w:t>Post</w:t>
            </w:r>
            <w:r w:rsidR="000B1D17" w:rsidRPr="00074DA3">
              <w:rPr>
                <w:rFonts w:ascii="Times New Roman" w:hAnsi="Times New Roman" w:cs="Times New Roman"/>
                <w:sz w:val="21"/>
                <w:szCs w:val="21"/>
              </w:rPr>
              <w:t>-</w:t>
            </w:r>
            <w:r w:rsidR="00826E7A" w:rsidRPr="00074DA3">
              <w:rPr>
                <w:rFonts w:ascii="Times New Roman" w:hAnsi="Times New Roman" w:cs="Times New Roman"/>
                <w:sz w:val="21"/>
                <w:szCs w:val="21"/>
              </w:rPr>
              <w:t>secondary or</w:t>
            </w:r>
            <w:r w:rsidRPr="00074DA3">
              <w:rPr>
                <w:rFonts w:ascii="Times New Roman" w:hAnsi="Times New Roman" w:cs="Times New Roman"/>
                <w:sz w:val="21"/>
                <w:szCs w:val="21"/>
              </w:rPr>
              <w:t xml:space="preserve"> above</w:t>
            </w:r>
          </w:p>
        </w:tc>
        <w:tc>
          <w:tcPr>
            <w:tcW w:w="2154" w:type="dxa"/>
            <w:gridSpan w:val="2"/>
            <w:vAlign w:val="center"/>
          </w:tcPr>
          <w:p w14:paraId="248FF9C0"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0.57 (0.38, 0.86)</w:t>
            </w:r>
          </w:p>
        </w:tc>
        <w:tc>
          <w:tcPr>
            <w:tcW w:w="907" w:type="dxa"/>
            <w:gridSpan w:val="2"/>
            <w:vAlign w:val="center"/>
          </w:tcPr>
          <w:p w14:paraId="426D0621"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0.007</w:t>
            </w:r>
          </w:p>
        </w:tc>
        <w:tc>
          <w:tcPr>
            <w:tcW w:w="2154" w:type="dxa"/>
            <w:gridSpan w:val="2"/>
            <w:vAlign w:val="center"/>
          </w:tcPr>
          <w:p w14:paraId="6B90EF7C"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1.06 (0.62, 1.81)</w:t>
            </w:r>
          </w:p>
        </w:tc>
        <w:tc>
          <w:tcPr>
            <w:tcW w:w="912" w:type="dxa"/>
            <w:gridSpan w:val="3"/>
            <w:vAlign w:val="center"/>
          </w:tcPr>
          <w:p w14:paraId="32405D89"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0.844</w:t>
            </w:r>
          </w:p>
        </w:tc>
      </w:tr>
      <w:tr w:rsidR="000C5037" w:rsidRPr="00074DA3" w14:paraId="4BA2E2A7" w14:textId="77777777" w:rsidTr="00FF43C5">
        <w:trPr>
          <w:gridAfter w:val="1"/>
          <w:wAfter w:w="56" w:type="dxa"/>
          <w:cantSplit/>
        </w:trPr>
        <w:tc>
          <w:tcPr>
            <w:tcW w:w="4309" w:type="dxa"/>
          </w:tcPr>
          <w:p w14:paraId="45C880C2"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Monthly household income (SGD)</w:t>
            </w:r>
          </w:p>
        </w:tc>
        <w:tc>
          <w:tcPr>
            <w:tcW w:w="2154" w:type="dxa"/>
            <w:gridSpan w:val="2"/>
            <w:vAlign w:val="center"/>
          </w:tcPr>
          <w:p w14:paraId="380077DB" w14:textId="77777777" w:rsidR="000C5037" w:rsidRPr="00074DA3" w:rsidRDefault="000C5037" w:rsidP="00FF43C5">
            <w:pPr>
              <w:jc w:val="center"/>
              <w:rPr>
                <w:rFonts w:ascii="Times New Roman" w:hAnsi="Times New Roman" w:cs="Times New Roman"/>
                <w:sz w:val="21"/>
                <w:szCs w:val="21"/>
              </w:rPr>
            </w:pPr>
          </w:p>
        </w:tc>
        <w:tc>
          <w:tcPr>
            <w:tcW w:w="907" w:type="dxa"/>
            <w:gridSpan w:val="2"/>
            <w:vAlign w:val="center"/>
          </w:tcPr>
          <w:p w14:paraId="0502DD2F" w14:textId="77777777" w:rsidR="000C5037" w:rsidRPr="00074DA3" w:rsidRDefault="000C5037" w:rsidP="00FF43C5">
            <w:pPr>
              <w:jc w:val="center"/>
              <w:rPr>
                <w:rFonts w:ascii="Times New Roman" w:hAnsi="Times New Roman" w:cs="Times New Roman"/>
                <w:sz w:val="21"/>
                <w:szCs w:val="21"/>
              </w:rPr>
            </w:pPr>
          </w:p>
        </w:tc>
        <w:tc>
          <w:tcPr>
            <w:tcW w:w="2154" w:type="dxa"/>
            <w:gridSpan w:val="2"/>
            <w:vAlign w:val="center"/>
          </w:tcPr>
          <w:p w14:paraId="59EC18A2" w14:textId="77777777" w:rsidR="000C5037" w:rsidRPr="00074DA3" w:rsidRDefault="000C5037" w:rsidP="00FF43C5">
            <w:pPr>
              <w:jc w:val="center"/>
              <w:rPr>
                <w:rFonts w:ascii="Times New Roman" w:hAnsi="Times New Roman" w:cs="Times New Roman"/>
                <w:sz w:val="21"/>
                <w:szCs w:val="21"/>
              </w:rPr>
            </w:pPr>
          </w:p>
        </w:tc>
        <w:tc>
          <w:tcPr>
            <w:tcW w:w="912" w:type="dxa"/>
            <w:gridSpan w:val="3"/>
            <w:vAlign w:val="center"/>
          </w:tcPr>
          <w:p w14:paraId="5179E068" w14:textId="77777777" w:rsidR="000C5037" w:rsidRPr="00074DA3" w:rsidRDefault="000C5037" w:rsidP="00FF43C5">
            <w:pPr>
              <w:jc w:val="center"/>
              <w:rPr>
                <w:rFonts w:ascii="Times New Roman" w:hAnsi="Times New Roman" w:cs="Times New Roman"/>
                <w:sz w:val="21"/>
                <w:szCs w:val="21"/>
              </w:rPr>
            </w:pPr>
          </w:p>
        </w:tc>
      </w:tr>
      <w:tr w:rsidR="000C5037" w:rsidRPr="00074DA3" w14:paraId="079C2602" w14:textId="77777777" w:rsidTr="00FF43C5">
        <w:trPr>
          <w:gridAfter w:val="1"/>
          <w:wAfter w:w="56" w:type="dxa"/>
          <w:cantSplit/>
        </w:trPr>
        <w:tc>
          <w:tcPr>
            <w:tcW w:w="4309" w:type="dxa"/>
          </w:tcPr>
          <w:p w14:paraId="42DDF796" w14:textId="0BF021B9"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0</w:t>
            </w:r>
            <w:r w:rsidR="000B1D17" w:rsidRPr="00074DA3">
              <w:rPr>
                <w:rFonts w:ascii="Times New Roman" w:hAnsi="Times New Roman" w:cs="Times New Roman"/>
                <w:sz w:val="21"/>
                <w:szCs w:val="21"/>
              </w:rPr>
              <w:t>-</w:t>
            </w:r>
            <w:r w:rsidRPr="00074DA3">
              <w:rPr>
                <w:rFonts w:ascii="Times New Roman" w:hAnsi="Times New Roman" w:cs="Times New Roman"/>
                <w:sz w:val="21"/>
                <w:szCs w:val="21"/>
              </w:rPr>
              <w:t>1999</w:t>
            </w:r>
          </w:p>
        </w:tc>
        <w:tc>
          <w:tcPr>
            <w:tcW w:w="2154" w:type="dxa"/>
            <w:gridSpan w:val="2"/>
            <w:vAlign w:val="center"/>
          </w:tcPr>
          <w:p w14:paraId="587003F1"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Reference</w:t>
            </w:r>
          </w:p>
        </w:tc>
        <w:tc>
          <w:tcPr>
            <w:tcW w:w="907" w:type="dxa"/>
            <w:gridSpan w:val="2"/>
            <w:vAlign w:val="center"/>
          </w:tcPr>
          <w:p w14:paraId="5C541535" w14:textId="77777777" w:rsidR="000C5037" w:rsidRPr="00074DA3" w:rsidRDefault="000C5037" w:rsidP="00FF43C5">
            <w:pPr>
              <w:jc w:val="center"/>
              <w:rPr>
                <w:rFonts w:ascii="Times New Roman" w:hAnsi="Times New Roman" w:cs="Times New Roman"/>
                <w:sz w:val="21"/>
                <w:szCs w:val="21"/>
              </w:rPr>
            </w:pPr>
          </w:p>
        </w:tc>
        <w:tc>
          <w:tcPr>
            <w:tcW w:w="2154" w:type="dxa"/>
            <w:gridSpan w:val="2"/>
            <w:vAlign w:val="center"/>
          </w:tcPr>
          <w:p w14:paraId="20BE783C"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Reference</w:t>
            </w:r>
          </w:p>
        </w:tc>
        <w:tc>
          <w:tcPr>
            <w:tcW w:w="912" w:type="dxa"/>
            <w:gridSpan w:val="3"/>
            <w:vAlign w:val="center"/>
          </w:tcPr>
          <w:p w14:paraId="46175171" w14:textId="77777777" w:rsidR="000C5037" w:rsidRPr="00074DA3" w:rsidRDefault="000C5037" w:rsidP="00FF43C5">
            <w:pPr>
              <w:jc w:val="center"/>
              <w:rPr>
                <w:rFonts w:ascii="Times New Roman" w:hAnsi="Times New Roman" w:cs="Times New Roman"/>
                <w:sz w:val="21"/>
                <w:szCs w:val="21"/>
              </w:rPr>
            </w:pPr>
          </w:p>
        </w:tc>
      </w:tr>
      <w:tr w:rsidR="000C5037" w:rsidRPr="00074DA3" w14:paraId="18226AC5" w14:textId="77777777" w:rsidTr="00FF43C5">
        <w:trPr>
          <w:gridAfter w:val="1"/>
          <w:wAfter w:w="56" w:type="dxa"/>
          <w:cantSplit/>
        </w:trPr>
        <w:tc>
          <w:tcPr>
            <w:tcW w:w="4309" w:type="dxa"/>
          </w:tcPr>
          <w:p w14:paraId="0C6AD8EC" w14:textId="3DEDC575"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2000</w:t>
            </w:r>
            <w:r w:rsidR="000B1D17" w:rsidRPr="00074DA3">
              <w:rPr>
                <w:rFonts w:ascii="Times New Roman" w:hAnsi="Times New Roman" w:cs="Times New Roman"/>
                <w:sz w:val="21"/>
                <w:szCs w:val="21"/>
              </w:rPr>
              <w:t>-</w:t>
            </w:r>
            <w:r w:rsidRPr="00074DA3">
              <w:rPr>
                <w:rFonts w:ascii="Times New Roman" w:hAnsi="Times New Roman" w:cs="Times New Roman"/>
                <w:sz w:val="21"/>
                <w:szCs w:val="21"/>
              </w:rPr>
              <w:t>5999</w:t>
            </w:r>
          </w:p>
        </w:tc>
        <w:tc>
          <w:tcPr>
            <w:tcW w:w="2154" w:type="dxa"/>
            <w:gridSpan w:val="2"/>
            <w:vAlign w:val="center"/>
          </w:tcPr>
          <w:p w14:paraId="7A108011"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0.84 (0.50, 1.41)</w:t>
            </w:r>
          </w:p>
        </w:tc>
        <w:tc>
          <w:tcPr>
            <w:tcW w:w="907" w:type="dxa"/>
            <w:gridSpan w:val="2"/>
            <w:vAlign w:val="center"/>
          </w:tcPr>
          <w:p w14:paraId="660DFE11"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0.508</w:t>
            </w:r>
          </w:p>
        </w:tc>
        <w:tc>
          <w:tcPr>
            <w:tcW w:w="2154" w:type="dxa"/>
            <w:gridSpan w:val="2"/>
            <w:vAlign w:val="center"/>
          </w:tcPr>
          <w:p w14:paraId="41D8AF9D"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0.84 (0.45, 1.56)</w:t>
            </w:r>
          </w:p>
        </w:tc>
        <w:tc>
          <w:tcPr>
            <w:tcW w:w="912" w:type="dxa"/>
            <w:gridSpan w:val="3"/>
            <w:vAlign w:val="center"/>
          </w:tcPr>
          <w:p w14:paraId="30D5E0EB"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0.578</w:t>
            </w:r>
          </w:p>
        </w:tc>
      </w:tr>
      <w:tr w:rsidR="000C5037" w:rsidRPr="00074DA3" w14:paraId="068DB971" w14:textId="77777777" w:rsidTr="00FF43C5">
        <w:trPr>
          <w:gridAfter w:val="1"/>
          <w:wAfter w:w="56" w:type="dxa"/>
          <w:cantSplit/>
        </w:trPr>
        <w:tc>
          <w:tcPr>
            <w:tcW w:w="4309" w:type="dxa"/>
          </w:tcPr>
          <w:p w14:paraId="7B66C168"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6000 and above </w:t>
            </w:r>
          </w:p>
        </w:tc>
        <w:tc>
          <w:tcPr>
            <w:tcW w:w="2154" w:type="dxa"/>
            <w:gridSpan w:val="2"/>
            <w:vAlign w:val="center"/>
          </w:tcPr>
          <w:p w14:paraId="3016BBAD"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0.38 (0.20, 0.71)</w:t>
            </w:r>
          </w:p>
        </w:tc>
        <w:tc>
          <w:tcPr>
            <w:tcW w:w="907" w:type="dxa"/>
            <w:gridSpan w:val="2"/>
            <w:vAlign w:val="center"/>
          </w:tcPr>
          <w:p w14:paraId="732AB04A"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0.002</w:t>
            </w:r>
          </w:p>
        </w:tc>
        <w:tc>
          <w:tcPr>
            <w:tcW w:w="2154" w:type="dxa"/>
            <w:gridSpan w:val="2"/>
            <w:vAlign w:val="center"/>
          </w:tcPr>
          <w:p w14:paraId="47B9FBEC"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0.48 (0.21, 1.09)</w:t>
            </w:r>
          </w:p>
        </w:tc>
        <w:tc>
          <w:tcPr>
            <w:tcW w:w="912" w:type="dxa"/>
            <w:gridSpan w:val="3"/>
            <w:vAlign w:val="center"/>
          </w:tcPr>
          <w:p w14:paraId="45025BEF"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0.079</w:t>
            </w:r>
          </w:p>
        </w:tc>
      </w:tr>
      <w:tr w:rsidR="000C5037" w:rsidRPr="00074DA3" w14:paraId="72980962" w14:textId="77777777" w:rsidTr="00FF43C5">
        <w:trPr>
          <w:gridAfter w:val="1"/>
          <w:wAfter w:w="56" w:type="dxa"/>
          <w:cantSplit/>
        </w:trPr>
        <w:tc>
          <w:tcPr>
            <w:tcW w:w="4309" w:type="dxa"/>
            <w:vAlign w:val="center"/>
          </w:tcPr>
          <w:p w14:paraId="060FE0D2"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Early pregnancy BMI (kg/m</w:t>
            </w:r>
            <w:r w:rsidRPr="00074DA3">
              <w:rPr>
                <w:rFonts w:ascii="Times New Roman" w:hAnsi="Times New Roman" w:cs="Times New Roman"/>
                <w:sz w:val="21"/>
                <w:szCs w:val="21"/>
                <w:vertAlign w:val="superscript"/>
              </w:rPr>
              <w:t>2</w:t>
            </w:r>
            <w:r w:rsidRPr="00074DA3">
              <w:rPr>
                <w:rFonts w:ascii="Times New Roman" w:hAnsi="Times New Roman" w:cs="Times New Roman"/>
                <w:sz w:val="21"/>
                <w:szCs w:val="21"/>
              </w:rPr>
              <w:t>)</w:t>
            </w:r>
          </w:p>
        </w:tc>
        <w:tc>
          <w:tcPr>
            <w:tcW w:w="2154" w:type="dxa"/>
            <w:gridSpan w:val="2"/>
            <w:vAlign w:val="center"/>
          </w:tcPr>
          <w:p w14:paraId="2A3097AE" w14:textId="77777777" w:rsidR="000C5037" w:rsidRPr="00074DA3" w:rsidRDefault="000C5037" w:rsidP="00FF43C5">
            <w:pPr>
              <w:jc w:val="center"/>
              <w:rPr>
                <w:rFonts w:ascii="Times New Roman" w:hAnsi="Times New Roman" w:cs="Times New Roman"/>
                <w:sz w:val="21"/>
                <w:szCs w:val="21"/>
              </w:rPr>
            </w:pPr>
          </w:p>
        </w:tc>
        <w:tc>
          <w:tcPr>
            <w:tcW w:w="907" w:type="dxa"/>
            <w:gridSpan w:val="2"/>
            <w:vAlign w:val="center"/>
          </w:tcPr>
          <w:p w14:paraId="2537BB50" w14:textId="77777777" w:rsidR="000C5037" w:rsidRPr="00074DA3" w:rsidRDefault="000C5037" w:rsidP="00FF43C5">
            <w:pPr>
              <w:jc w:val="center"/>
              <w:rPr>
                <w:rFonts w:ascii="Times New Roman" w:hAnsi="Times New Roman" w:cs="Times New Roman"/>
                <w:sz w:val="21"/>
                <w:szCs w:val="21"/>
              </w:rPr>
            </w:pPr>
          </w:p>
        </w:tc>
        <w:tc>
          <w:tcPr>
            <w:tcW w:w="2154" w:type="dxa"/>
            <w:gridSpan w:val="2"/>
            <w:vAlign w:val="center"/>
          </w:tcPr>
          <w:p w14:paraId="6619C261" w14:textId="77777777" w:rsidR="000C5037" w:rsidRPr="00074DA3" w:rsidRDefault="000C5037" w:rsidP="00FF43C5">
            <w:pPr>
              <w:jc w:val="center"/>
              <w:rPr>
                <w:rFonts w:ascii="Times New Roman" w:hAnsi="Times New Roman" w:cs="Times New Roman"/>
                <w:sz w:val="21"/>
                <w:szCs w:val="21"/>
              </w:rPr>
            </w:pPr>
          </w:p>
        </w:tc>
        <w:tc>
          <w:tcPr>
            <w:tcW w:w="912" w:type="dxa"/>
            <w:gridSpan w:val="3"/>
            <w:vAlign w:val="center"/>
          </w:tcPr>
          <w:p w14:paraId="0542E6AC" w14:textId="77777777" w:rsidR="000C5037" w:rsidRPr="00074DA3" w:rsidRDefault="000C5037" w:rsidP="00FF43C5">
            <w:pPr>
              <w:jc w:val="center"/>
              <w:rPr>
                <w:rFonts w:ascii="Times New Roman" w:hAnsi="Times New Roman" w:cs="Times New Roman"/>
                <w:sz w:val="21"/>
                <w:szCs w:val="21"/>
              </w:rPr>
            </w:pPr>
          </w:p>
        </w:tc>
      </w:tr>
      <w:tr w:rsidR="000C5037" w:rsidRPr="00074DA3" w14:paraId="371CC993" w14:textId="77777777" w:rsidTr="00FF43C5">
        <w:trPr>
          <w:gridAfter w:val="1"/>
          <w:wAfter w:w="56" w:type="dxa"/>
          <w:cantSplit/>
        </w:trPr>
        <w:tc>
          <w:tcPr>
            <w:tcW w:w="4309" w:type="dxa"/>
            <w:vAlign w:val="center"/>
          </w:tcPr>
          <w:p w14:paraId="4DACD795"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Underweight (&lt;18.5)</w:t>
            </w:r>
          </w:p>
        </w:tc>
        <w:tc>
          <w:tcPr>
            <w:tcW w:w="2154" w:type="dxa"/>
            <w:gridSpan w:val="2"/>
            <w:vAlign w:val="center"/>
          </w:tcPr>
          <w:p w14:paraId="7AD74704"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Reference</w:t>
            </w:r>
          </w:p>
        </w:tc>
        <w:tc>
          <w:tcPr>
            <w:tcW w:w="907" w:type="dxa"/>
            <w:gridSpan w:val="2"/>
            <w:vAlign w:val="center"/>
          </w:tcPr>
          <w:p w14:paraId="2FCC6721" w14:textId="77777777" w:rsidR="000C5037" w:rsidRPr="00074DA3" w:rsidRDefault="000C5037" w:rsidP="00FF43C5">
            <w:pPr>
              <w:jc w:val="center"/>
              <w:rPr>
                <w:rFonts w:ascii="Times New Roman" w:hAnsi="Times New Roman" w:cs="Times New Roman"/>
                <w:sz w:val="21"/>
                <w:szCs w:val="21"/>
              </w:rPr>
            </w:pPr>
          </w:p>
        </w:tc>
        <w:tc>
          <w:tcPr>
            <w:tcW w:w="2154" w:type="dxa"/>
            <w:gridSpan w:val="2"/>
            <w:vAlign w:val="center"/>
          </w:tcPr>
          <w:p w14:paraId="4F9D2E6F"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Reference</w:t>
            </w:r>
          </w:p>
        </w:tc>
        <w:tc>
          <w:tcPr>
            <w:tcW w:w="912" w:type="dxa"/>
            <w:gridSpan w:val="3"/>
            <w:vAlign w:val="center"/>
          </w:tcPr>
          <w:p w14:paraId="5C0B432C" w14:textId="77777777" w:rsidR="000C5037" w:rsidRPr="00074DA3" w:rsidRDefault="000C5037" w:rsidP="00FF43C5">
            <w:pPr>
              <w:jc w:val="center"/>
              <w:rPr>
                <w:rFonts w:ascii="Times New Roman" w:hAnsi="Times New Roman" w:cs="Times New Roman"/>
                <w:sz w:val="21"/>
                <w:szCs w:val="21"/>
              </w:rPr>
            </w:pPr>
          </w:p>
        </w:tc>
      </w:tr>
      <w:tr w:rsidR="000C5037" w:rsidRPr="00074DA3" w14:paraId="393F7644" w14:textId="77777777" w:rsidTr="00FF43C5">
        <w:trPr>
          <w:gridAfter w:val="1"/>
          <w:wAfter w:w="56" w:type="dxa"/>
          <w:cantSplit/>
        </w:trPr>
        <w:tc>
          <w:tcPr>
            <w:tcW w:w="4309" w:type="dxa"/>
            <w:vAlign w:val="center"/>
          </w:tcPr>
          <w:p w14:paraId="666DD707" w14:textId="1A8BA2C4"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Normal (18.5</w:t>
            </w:r>
            <w:r w:rsidR="000B1D17" w:rsidRPr="00074DA3">
              <w:rPr>
                <w:rFonts w:ascii="Times New Roman" w:hAnsi="Times New Roman" w:cs="Times New Roman"/>
                <w:sz w:val="21"/>
                <w:szCs w:val="21"/>
              </w:rPr>
              <w:t>-</w:t>
            </w:r>
            <w:r w:rsidRPr="00074DA3">
              <w:rPr>
                <w:rFonts w:ascii="Times New Roman" w:hAnsi="Times New Roman" w:cs="Times New Roman"/>
                <w:sz w:val="21"/>
                <w:szCs w:val="21"/>
              </w:rPr>
              <w:t>22.9)</w:t>
            </w:r>
          </w:p>
        </w:tc>
        <w:tc>
          <w:tcPr>
            <w:tcW w:w="2154" w:type="dxa"/>
            <w:gridSpan w:val="2"/>
            <w:vAlign w:val="center"/>
          </w:tcPr>
          <w:p w14:paraId="1EDF2473"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1.19 (0.55, 2.54)</w:t>
            </w:r>
          </w:p>
        </w:tc>
        <w:tc>
          <w:tcPr>
            <w:tcW w:w="907" w:type="dxa"/>
            <w:gridSpan w:val="2"/>
            <w:vAlign w:val="center"/>
          </w:tcPr>
          <w:p w14:paraId="718621BF"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0.662</w:t>
            </w:r>
          </w:p>
        </w:tc>
        <w:tc>
          <w:tcPr>
            <w:tcW w:w="2154" w:type="dxa"/>
            <w:gridSpan w:val="2"/>
            <w:vAlign w:val="center"/>
          </w:tcPr>
          <w:p w14:paraId="41C991A6"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1.29 (0.52, 3.15)</w:t>
            </w:r>
          </w:p>
        </w:tc>
        <w:tc>
          <w:tcPr>
            <w:tcW w:w="912" w:type="dxa"/>
            <w:gridSpan w:val="3"/>
            <w:vAlign w:val="center"/>
          </w:tcPr>
          <w:p w14:paraId="6CE5717B"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0.583</w:t>
            </w:r>
          </w:p>
        </w:tc>
      </w:tr>
      <w:tr w:rsidR="000C5037" w:rsidRPr="00074DA3" w14:paraId="098945D5" w14:textId="77777777" w:rsidTr="00FF43C5">
        <w:trPr>
          <w:gridAfter w:val="1"/>
          <w:wAfter w:w="56" w:type="dxa"/>
          <w:cantSplit/>
        </w:trPr>
        <w:tc>
          <w:tcPr>
            <w:tcW w:w="4309" w:type="dxa"/>
            <w:vAlign w:val="center"/>
          </w:tcPr>
          <w:p w14:paraId="52A8EED6"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At risk for overweight/Overweight (≥23.0)</w:t>
            </w:r>
          </w:p>
        </w:tc>
        <w:tc>
          <w:tcPr>
            <w:tcW w:w="2154" w:type="dxa"/>
            <w:gridSpan w:val="2"/>
            <w:vAlign w:val="center"/>
          </w:tcPr>
          <w:p w14:paraId="35DF634E"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1.66 (0.782, 3.50)</w:t>
            </w:r>
          </w:p>
        </w:tc>
        <w:tc>
          <w:tcPr>
            <w:tcW w:w="907" w:type="dxa"/>
            <w:gridSpan w:val="2"/>
            <w:vAlign w:val="center"/>
          </w:tcPr>
          <w:p w14:paraId="55F17FD3"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0.188</w:t>
            </w:r>
          </w:p>
        </w:tc>
        <w:tc>
          <w:tcPr>
            <w:tcW w:w="2154" w:type="dxa"/>
            <w:gridSpan w:val="2"/>
            <w:vAlign w:val="center"/>
          </w:tcPr>
          <w:p w14:paraId="2CC1AF59"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1.58 (0.63, 3.93)</w:t>
            </w:r>
          </w:p>
        </w:tc>
        <w:tc>
          <w:tcPr>
            <w:tcW w:w="912" w:type="dxa"/>
            <w:gridSpan w:val="3"/>
            <w:vAlign w:val="center"/>
          </w:tcPr>
          <w:p w14:paraId="1D70C02D"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0.329</w:t>
            </w:r>
          </w:p>
        </w:tc>
      </w:tr>
      <w:tr w:rsidR="000C5037" w:rsidRPr="00074DA3" w14:paraId="663E28FB" w14:textId="77777777" w:rsidTr="00FF43C5">
        <w:trPr>
          <w:gridAfter w:val="1"/>
          <w:wAfter w:w="56" w:type="dxa"/>
          <w:cantSplit/>
        </w:trPr>
        <w:tc>
          <w:tcPr>
            <w:tcW w:w="4309" w:type="dxa"/>
          </w:tcPr>
          <w:p w14:paraId="7248BACB"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Maternal age (years)</w:t>
            </w:r>
          </w:p>
        </w:tc>
        <w:tc>
          <w:tcPr>
            <w:tcW w:w="2154" w:type="dxa"/>
            <w:gridSpan w:val="2"/>
            <w:vAlign w:val="center"/>
          </w:tcPr>
          <w:p w14:paraId="6B32E359"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1.00 (0.97, 1.04)</w:t>
            </w:r>
          </w:p>
        </w:tc>
        <w:tc>
          <w:tcPr>
            <w:tcW w:w="907" w:type="dxa"/>
            <w:gridSpan w:val="2"/>
            <w:vAlign w:val="center"/>
          </w:tcPr>
          <w:p w14:paraId="1A48B2DD"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0.949</w:t>
            </w:r>
          </w:p>
        </w:tc>
        <w:tc>
          <w:tcPr>
            <w:tcW w:w="2154" w:type="dxa"/>
            <w:gridSpan w:val="2"/>
            <w:vAlign w:val="center"/>
          </w:tcPr>
          <w:p w14:paraId="7202808E"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1.03 (0.99, 1.09)</w:t>
            </w:r>
          </w:p>
        </w:tc>
        <w:tc>
          <w:tcPr>
            <w:tcW w:w="912" w:type="dxa"/>
            <w:gridSpan w:val="3"/>
            <w:vAlign w:val="center"/>
          </w:tcPr>
          <w:p w14:paraId="650AB13C"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0.173</w:t>
            </w:r>
          </w:p>
        </w:tc>
      </w:tr>
      <w:tr w:rsidR="000C5037" w:rsidRPr="00074DA3" w14:paraId="66A12F16" w14:textId="77777777" w:rsidTr="00FF43C5">
        <w:trPr>
          <w:gridAfter w:val="1"/>
          <w:wAfter w:w="56" w:type="dxa"/>
          <w:cantSplit/>
        </w:trPr>
        <w:tc>
          <w:tcPr>
            <w:tcW w:w="4309" w:type="dxa"/>
          </w:tcPr>
          <w:p w14:paraId="79B70B62" w14:textId="77777777" w:rsidR="000C5037" w:rsidRPr="00074DA3" w:rsidRDefault="000C5037" w:rsidP="00FF43C5">
            <w:pPr>
              <w:rPr>
                <w:rFonts w:ascii="Times New Roman" w:hAnsi="Times New Roman" w:cs="Times New Roman"/>
                <w:b/>
                <w:sz w:val="21"/>
                <w:szCs w:val="21"/>
              </w:rPr>
            </w:pPr>
            <w:r w:rsidRPr="00074DA3">
              <w:rPr>
                <w:rFonts w:ascii="Times New Roman" w:hAnsi="Times New Roman" w:cs="Times New Roman"/>
                <w:b/>
                <w:sz w:val="21"/>
                <w:szCs w:val="21"/>
              </w:rPr>
              <w:t>Infant</w:t>
            </w:r>
          </w:p>
        </w:tc>
        <w:tc>
          <w:tcPr>
            <w:tcW w:w="2154" w:type="dxa"/>
            <w:gridSpan w:val="2"/>
            <w:vAlign w:val="center"/>
          </w:tcPr>
          <w:p w14:paraId="7E3CA582" w14:textId="77777777" w:rsidR="000C5037" w:rsidRPr="00074DA3" w:rsidRDefault="000C5037" w:rsidP="00FF43C5">
            <w:pPr>
              <w:jc w:val="center"/>
              <w:rPr>
                <w:rFonts w:ascii="Times New Roman" w:hAnsi="Times New Roman" w:cs="Times New Roman"/>
                <w:sz w:val="21"/>
                <w:szCs w:val="21"/>
              </w:rPr>
            </w:pPr>
          </w:p>
        </w:tc>
        <w:tc>
          <w:tcPr>
            <w:tcW w:w="907" w:type="dxa"/>
            <w:gridSpan w:val="2"/>
            <w:vAlign w:val="center"/>
          </w:tcPr>
          <w:p w14:paraId="77A6769E" w14:textId="77777777" w:rsidR="000C5037" w:rsidRPr="00074DA3" w:rsidRDefault="000C5037" w:rsidP="00FF43C5">
            <w:pPr>
              <w:jc w:val="center"/>
              <w:rPr>
                <w:rFonts w:ascii="Times New Roman" w:hAnsi="Times New Roman" w:cs="Times New Roman"/>
                <w:sz w:val="21"/>
                <w:szCs w:val="21"/>
              </w:rPr>
            </w:pPr>
          </w:p>
        </w:tc>
        <w:tc>
          <w:tcPr>
            <w:tcW w:w="2154" w:type="dxa"/>
            <w:gridSpan w:val="2"/>
            <w:vAlign w:val="center"/>
          </w:tcPr>
          <w:p w14:paraId="4821781F" w14:textId="77777777" w:rsidR="000C5037" w:rsidRPr="00074DA3" w:rsidRDefault="000C5037" w:rsidP="00FF43C5">
            <w:pPr>
              <w:jc w:val="center"/>
              <w:rPr>
                <w:rFonts w:ascii="Times New Roman" w:hAnsi="Times New Roman" w:cs="Times New Roman"/>
                <w:sz w:val="21"/>
                <w:szCs w:val="21"/>
              </w:rPr>
            </w:pPr>
          </w:p>
        </w:tc>
        <w:tc>
          <w:tcPr>
            <w:tcW w:w="912" w:type="dxa"/>
            <w:gridSpan w:val="3"/>
            <w:vAlign w:val="center"/>
          </w:tcPr>
          <w:p w14:paraId="470A0651" w14:textId="77777777" w:rsidR="000C5037" w:rsidRPr="00074DA3" w:rsidRDefault="000C5037" w:rsidP="00FF43C5">
            <w:pPr>
              <w:jc w:val="center"/>
              <w:rPr>
                <w:rFonts w:ascii="Times New Roman" w:hAnsi="Times New Roman" w:cs="Times New Roman"/>
                <w:sz w:val="21"/>
                <w:szCs w:val="21"/>
              </w:rPr>
            </w:pPr>
          </w:p>
        </w:tc>
      </w:tr>
      <w:tr w:rsidR="000C5037" w:rsidRPr="00074DA3" w14:paraId="427433A8" w14:textId="77777777" w:rsidTr="00FF43C5">
        <w:trPr>
          <w:gridAfter w:val="1"/>
          <w:wAfter w:w="56" w:type="dxa"/>
          <w:cantSplit/>
        </w:trPr>
        <w:tc>
          <w:tcPr>
            <w:tcW w:w="4309" w:type="dxa"/>
          </w:tcPr>
          <w:p w14:paraId="50983AC7"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Gender </w:t>
            </w:r>
          </w:p>
        </w:tc>
        <w:tc>
          <w:tcPr>
            <w:tcW w:w="2154" w:type="dxa"/>
            <w:gridSpan w:val="2"/>
            <w:vAlign w:val="center"/>
          </w:tcPr>
          <w:p w14:paraId="7B13D1AF" w14:textId="77777777" w:rsidR="000C5037" w:rsidRPr="00074DA3" w:rsidRDefault="000C5037" w:rsidP="00FF43C5">
            <w:pPr>
              <w:jc w:val="center"/>
              <w:rPr>
                <w:rFonts w:ascii="Times New Roman" w:hAnsi="Times New Roman" w:cs="Times New Roman"/>
                <w:sz w:val="21"/>
                <w:szCs w:val="21"/>
              </w:rPr>
            </w:pPr>
          </w:p>
        </w:tc>
        <w:tc>
          <w:tcPr>
            <w:tcW w:w="907" w:type="dxa"/>
            <w:gridSpan w:val="2"/>
            <w:vAlign w:val="center"/>
          </w:tcPr>
          <w:p w14:paraId="42602E45" w14:textId="77777777" w:rsidR="000C5037" w:rsidRPr="00074DA3" w:rsidRDefault="000C5037" w:rsidP="00FF43C5">
            <w:pPr>
              <w:jc w:val="center"/>
              <w:rPr>
                <w:rFonts w:ascii="Times New Roman" w:hAnsi="Times New Roman" w:cs="Times New Roman"/>
                <w:sz w:val="21"/>
                <w:szCs w:val="21"/>
              </w:rPr>
            </w:pPr>
          </w:p>
        </w:tc>
        <w:tc>
          <w:tcPr>
            <w:tcW w:w="2154" w:type="dxa"/>
            <w:gridSpan w:val="2"/>
            <w:vAlign w:val="center"/>
          </w:tcPr>
          <w:p w14:paraId="7EDBE51B" w14:textId="77777777" w:rsidR="000C5037" w:rsidRPr="00074DA3" w:rsidRDefault="000C5037" w:rsidP="00FF43C5">
            <w:pPr>
              <w:jc w:val="center"/>
              <w:rPr>
                <w:rFonts w:ascii="Times New Roman" w:hAnsi="Times New Roman" w:cs="Times New Roman"/>
                <w:sz w:val="21"/>
                <w:szCs w:val="21"/>
              </w:rPr>
            </w:pPr>
          </w:p>
        </w:tc>
        <w:tc>
          <w:tcPr>
            <w:tcW w:w="912" w:type="dxa"/>
            <w:gridSpan w:val="3"/>
            <w:vAlign w:val="center"/>
          </w:tcPr>
          <w:p w14:paraId="54F1270E" w14:textId="77777777" w:rsidR="000C5037" w:rsidRPr="00074DA3" w:rsidRDefault="000C5037" w:rsidP="00FF43C5">
            <w:pPr>
              <w:jc w:val="center"/>
              <w:rPr>
                <w:rFonts w:ascii="Times New Roman" w:hAnsi="Times New Roman" w:cs="Times New Roman"/>
                <w:sz w:val="21"/>
                <w:szCs w:val="21"/>
              </w:rPr>
            </w:pPr>
          </w:p>
        </w:tc>
      </w:tr>
      <w:tr w:rsidR="000C5037" w:rsidRPr="00074DA3" w14:paraId="5A698162" w14:textId="77777777" w:rsidTr="00FF43C5">
        <w:trPr>
          <w:gridAfter w:val="1"/>
          <w:wAfter w:w="56" w:type="dxa"/>
          <w:cantSplit/>
        </w:trPr>
        <w:tc>
          <w:tcPr>
            <w:tcW w:w="4309" w:type="dxa"/>
          </w:tcPr>
          <w:p w14:paraId="7EEE7943"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Male</w:t>
            </w:r>
          </w:p>
        </w:tc>
        <w:tc>
          <w:tcPr>
            <w:tcW w:w="2154" w:type="dxa"/>
            <w:gridSpan w:val="2"/>
            <w:vAlign w:val="center"/>
          </w:tcPr>
          <w:p w14:paraId="1DAEF940"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Reference</w:t>
            </w:r>
          </w:p>
        </w:tc>
        <w:tc>
          <w:tcPr>
            <w:tcW w:w="907" w:type="dxa"/>
            <w:gridSpan w:val="2"/>
            <w:vAlign w:val="center"/>
          </w:tcPr>
          <w:p w14:paraId="5C9CD41B" w14:textId="77777777" w:rsidR="000C5037" w:rsidRPr="00074DA3" w:rsidRDefault="000C5037" w:rsidP="00FF43C5">
            <w:pPr>
              <w:jc w:val="center"/>
              <w:rPr>
                <w:rFonts w:ascii="Times New Roman" w:hAnsi="Times New Roman" w:cs="Times New Roman"/>
                <w:sz w:val="21"/>
                <w:szCs w:val="21"/>
              </w:rPr>
            </w:pPr>
          </w:p>
        </w:tc>
        <w:tc>
          <w:tcPr>
            <w:tcW w:w="2154" w:type="dxa"/>
            <w:gridSpan w:val="2"/>
            <w:vAlign w:val="center"/>
          </w:tcPr>
          <w:p w14:paraId="0781F112"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Reference</w:t>
            </w:r>
          </w:p>
        </w:tc>
        <w:tc>
          <w:tcPr>
            <w:tcW w:w="912" w:type="dxa"/>
            <w:gridSpan w:val="3"/>
            <w:vAlign w:val="center"/>
          </w:tcPr>
          <w:p w14:paraId="1F09EA2D" w14:textId="77777777" w:rsidR="000C5037" w:rsidRPr="00074DA3" w:rsidRDefault="000C5037" w:rsidP="00FF43C5">
            <w:pPr>
              <w:jc w:val="center"/>
              <w:rPr>
                <w:rFonts w:ascii="Times New Roman" w:hAnsi="Times New Roman" w:cs="Times New Roman"/>
                <w:sz w:val="21"/>
                <w:szCs w:val="21"/>
              </w:rPr>
            </w:pPr>
          </w:p>
        </w:tc>
      </w:tr>
      <w:tr w:rsidR="000C5037" w:rsidRPr="00074DA3" w14:paraId="0485A3D0" w14:textId="77777777" w:rsidTr="00FF43C5">
        <w:trPr>
          <w:gridAfter w:val="1"/>
          <w:wAfter w:w="56" w:type="dxa"/>
          <w:cantSplit/>
        </w:trPr>
        <w:tc>
          <w:tcPr>
            <w:tcW w:w="4309" w:type="dxa"/>
          </w:tcPr>
          <w:p w14:paraId="1C957FEB"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Female</w:t>
            </w:r>
          </w:p>
        </w:tc>
        <w:tc>
          <w:tcPr>
            <w:tcW w:w="2154" w:type="dxa"/>
            <w:gridSpan w:val="2"/>
            <w:vAlign w:val="center"/>
          </w:tcPr>
          <w:p w14:paraId="2E5922C1"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0.69 (0.47, 1.02)</w:t>
            </w:r>
          </w:p>
        </w:tc>
        <w:tc>
          <w:tcPr>
            <w:tcW w:w="907" w:type="dxa"/>
            <w:gridSpan w:val="2"/>
            <w:vAlign w:val="center"/>
          </w:tcPr>
          <w:p w14:paraId="2C970B6C"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0.060</w:t>
            </w:r>
          </w:p>
        </w:tc>
        <w:tc>
          <w:tcPr>
            <w:tcW w:w="2154" w:type="dxa"/>
            <w:gridSpan w:val="2"/>
            <w:vAlign w:val="center"/>
          </w:tcPr>
          <w:p w14:paraId="399E08C0"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0.71 (0.45 1.11)</w:t>
            </w:r>
          </w:p>
        </w:tc>
        <w:tc>
          <w:tcPr>
            <w:tcW w:w="912" w:type="dxa"/>
            <w:gridSpan w:val="3"/>
            <w:vAlign w:val="center"/>
          </w:tcPr>
          <w:p w14:paraId="7EC27168"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0.133</w:t>
            </w:r>
          </w:p>
        </w:tc>
      </w:tr>
      <w:tr w:rsidR="000C5037" w:rsidRPr="00074DA3" w14:paraId="781CF48D" w14:textId="77777777" w:rsidTr="00FF43C5">
        <w:trPr>
          <w:gridAfter w:val="1"/>
          <w:wAfter w:w="56" w:type="dxa"/>
          <w:cantSplit/>
        </w:trPr>
        <w:tc>
          <w:tcPr>
            <w:tcW w:w="4309" w:type="dxa"/>
          </w:tcPr>
          <w:p w14:paraId="15EA0DCD"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Gestational age (weeks)</w:t>
            </w:r>
          </w:p>
        </w:tc>
        <w:tc>
          <w:tcPr>
            <w:tcW w:w="2154" w:type="dxa"/>
            <w:gridSpan w:val="2"/>
            <w:vAlign w:val="center"/>
          </w:tcPr>
          <w:p w14:paraId="4F201D88" w14:textId="77777777" w:rsidR="000C5037" w:rsidRPr="00074DA3" w:rsidRDefault="000C5037" w:rsidP="00FF43C5">
            <w:pPr>
              <w:jc w:val="center"/>
              <w:rPr>
                <w:rFonts w:ascii="Times New Roman" w:hAnsi="Times New Roman" w:cs="Times New Roman"/>
                <w:sz w:val="21"/>
                <w:szCs w:val="21"/>
              </w:rPr>
            </w:pPr>
          </w:p>
        </w:tc>
        <w:tc>
          <w:tcPr>
            <w:tcW w:w="907" w:type="dxa"/>
            <w:gridSpan w:val="2"/>
            <w:vAlign w:val="center"/>
          </w:tcPr>
          <w:p w14:paraId="1E19BCC1" w14:textId="77777777" w:rsidR="000C5037" w:rsidRPr="00074DA3" w:rsidRDefault="000C5037" w:rsidP="00FF43C5">
            <w:pPr>
              <w:jc w:val="center"/>
              <w:rPr>
                <w:rFonts w:ascii="Times New Roman" w:hAnsi="Times New Roman" w:cs="Times New Roman"/>
                <w:sz w:val="21"/>
                <w:szCs w:val="21"/>
              </w:rPr>
            </w:pPr>
          </w:p>
        </w:tc>
        <w:tc>
          <w:tcPr>
            <w:tcW w:w="2154" w:type="dxa"/>
            <w:gridSpan w:val="2"/>
            <w:vAlign w:val="center"/>
          </w:tcPr>
          <w:p w14:paraId="5C6B037D" w14:textId="77777777" w:rsidR="000C5037" w:rsidRPr="00074DA3" w:rsidRDefault="000C5037" w:rsidP="00FF43C5">
            <w:pPr>
              <w:jc w:val="center"/>
              <w:rPr>
                <w:rFonts w:ascii="Times New Roman" w:hAnsi="Times New Roman" w:cs="Times New Roman"/>
                <w:sz w:val="21"/>
                <w:szCs w:val="21"/>
              </w:rPr>
            </w:pPr>
          </w:p>
        </w:tc>
        <w:tc>
          <w:tcPr>
            <w:tcW w:w="912" w:type="dxa"/>
            <w:gridSpan w:val="3"/>
            <w:vAlign w:val="center"/>
          </w:tcPr>
          <w:p w14:paraId="1071C847" w14:textId="77777777" w:rsidR="000C5037" w:rsidRPr="00074DA3" w:rsidRDefault="000C5037" w:rsidP="00FF43C5">
            <w:pPr>
              <w:jc w:val="center"/>
              <w:rPr>
                <w:rFonts w:ascii="Times New Roman" w:hAnsi="Times New Roman" w:cs="Times New Roman"/>
                <w:sz w:val="21"/>
                <w:szCs w:val="21"/>
              </w:rPr>
            </w:pPr>
          </w:p>
        </w:tc>
      </w:tr>
      <w:tr w:rsidR="000C5037" w:rsidRPr="00074DA3" w14:paraId="56F28744" w14:textId="77777777" w:rsidTr="00FF43C5">
        <w:trPr>
          <w:gridAfter w:val="1"/>
          <w:wAfter w:w="56" w:type="dxa"/>
          <w:cantSplit/>
        </w:trPr>
        <w:tc>
          <w:tcPr>
            <w:tcW w:w="4309" w:type="dxa"/>
          </w:tcPr>
          <w:p w14:paraId="09DEBE3C"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&lt;37</w:t>
            </w:r>
          </w:p>
        </w:tc>
        <w:tc>
          <w:tcPr>
            <w:tcW w:w="2154" w:type="dxa"/>
            <w:gridSpan w:val="2"/>
            <w:vAlign w:val="center"/>
          </w:tcPr>
          <w:p w14:paraId="4134C4C3"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Reference</w:t>
            </w:r>
          </w:p>
        </w:tc>
        <w:tc>
          <w:tcPr>
            <w:tcW w:w="907" w:type="dxa"/>
            <w:gridSpan w:val="2"/>
            <w:vAlign w:val="center"/>
          </w:tcPr>
          <w:p w14:paraId="206D32D3" w14:textId="77777777" w:rsidR="000C5037" w:rsidRPr="00074DA3" w:rsidRDefault="000C5037" w:rsidP="00FF43C5">
            <w:pPr>
              <w:jc w:val="center"/>
              <w:rPr>
                <w:rFonts w:ascii="Times New Roman" w:hAnsi="Times New Roman" w:cs="Times New Roman"/>
                <w:sz w:val="21"/>
                <w:szCs w:val="21"/>
              </w:rPr>
            </w:pPr>
          </w:p>
        </w:tc>
        <w:tc>
          <w:tcPr>
            <w:tcW w:w="2154" w:type="dxa"/>
            <w:gridSpan w:val="2"/>
            <w:vAlign w:val="center"/>
          </w:tcPr>
          <w:p w14:paraId="18439528"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Reference</w:t>
            </w:r>
          </w:p>
        </w:tc>
        <w:tc>
          <w:tcPr>
            <w:tcW w:w="912" w:type="dxa"/>
            <w:gridSpan w:val="3"/>
            <w:vAlign w:val="center"/>
          </w:tcPr>
          <w:p w14:paraId="73BDE476" w14:textId="77777777" w:rsidR="000C5037" w:rsidRPr="00074DA3" w:rsidRDefault="000C5037" w:rsidP="00FF43C5">
            <w:pPr>
              <w:jc w:val="center"/>
              <w:rPr>
                <w:rFonts w:ascii="Times New Roman" w:hAnsi="Times New Roman" w:cs="Times New Roman"/>
                <w:sz w:val="21"/>
                <w:szCs w:val="21"/>
              </w:rPr>
            </w:pPr>
          </w:p>
        </w:tc>
      </w:tr>
      <w:tr w:rsidR="000C5037" w:rsidRPr="00074DA3" w14:paraId="594AC08F" w14:textId="77777777" w:rsidTr="00FF43C5">
        <w:trPr>
          <w:gridAfter w:val="1"/>
          <w:wAfter w:w="56" w:type="dxa"/>
          <w:cantSplit/>
        </w:trPr>
        <w:tc>
          <w:tcPr>
            <w:tcW w:w="4309" w:type="dxa"/>
          </w:tcPr>
          <w:p w14:paraId="313C140B"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≥37</w:t>
            </w:r>
          </w:p>
        </w:tc>
        <w:tc>
          <w:tcPr>
            <w:tcW w:w="2154" w:type="dxa"/>
            <w:gridSpan w:val="2"/>
            <w:vAlign w:val="center"/>
          </w:tcPr>
          <w:p w14:paraId="68D9C9C1"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1.08 (0.51, 2.31)</w:t>
            </w:r>
          </w:p>
        </w:tc>
        <w:tc>
          <w:tcPr>
            <w:tcW w:w="907" w:type="dxa"/>
            <w:gridSpan w:val="2"/>
            <w:vAlign w:val="center"/>
          </w:tcPr>
          <w:p w14:paraId="061DD033"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0.839</w:t>
            </w:r>
          </w:p>
        </w:tc>
        <w:tc>
          <w:tcPr>
            <w:tcW w:w="2154" w:type="dxa"/>
            <w:gridSpan w:val="2"/>
            <w:vAlign w:val="center"/>
          </w:tcPr>
          <w:p w14:paraId="40C8FB43"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0.99 (0.34, 2.86)</w:t>
            </w:r>
          </w:p>
        </w:tc>
        <w:tc>
          <w:tcPr>
            <w:tcW w:w="912" w:type="dxa"/>
            <w:gridSpan w:val="3"/>
            <w:vAlign w:val="center"/>
          </w:tcPr>
          <w:p w14:paraId="795BFECC"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0.988</w:t>
            </w:r>
          </w:p>
        </w:tc>
      </w:tr>
      <w:tr w:rsidR="000C5037" w:rsidRPr="00074DA3" w14:paraId="6CC14E19" w14:textId="77777777" w:rsidTr="00FF43C5">
        <w:trPr>
          <w:gridAfter w:val="1"/>
          <w:wAfter w:w="56" w:type="dxa"/>
          <w:cantSplit/>
        </w:trPr>
        <w:tc>
          <w:tcPr>
            <w:tcW w:w="4309" w:type="dxa"/>
          </w:tcPr>
          <w:p w14:paraId="23CA0FBC"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Birth order</w:t>
            </w:r>
          </w:p>
        </w:tc>
        <w:tc>
          <w:tcPr>
            <w:tcW w:w="2154" w:type="dxa"/>
            <w:gridSpan w:val="2"/>
            <w:vAlign w:val="center"/>
          </w:tcPr>
          <w:p w14:paraId="19CA5459" w14:textId="77777777" w:rsidR="000C5037" w:rsidRPr="00074DA3" w:rsidRDefault="000C5037" w:rsidP="00FF43C5">
            <w:pPr>
              <w:jc w:val="center"/>
              <w:rPr>
                <w:rFonts w:ascii="Times New Roman" w:hAnsi="Times New Roman" w:cs="Times New Roman"/>
                <w:sz w:val="21"/>
                <w:szCs w:val="21"/>
              </w:rPr>
            </w:pPr>
          </w:p>
        </w:tc>
        <w:tc>
          <w:tcPr>
            <w:tcW w:w="907" w:type="dxa"/>
            <w:gridSpan w:val="2"/>
            <w:vAlign w:val="center"/>
          </w:tcPr>
          <w:p w14:paraId="0212A4E4" w14:textId="77777777" w:rsidR="000C5037" w:rsidRPr="00074DA3" w:rsidRDefault="000C5037" w:rsidP="00FF43C5">
            <w:pPr>
              <w:jc w:val="center"/>
              <w:rPr>
                <w:rFonts w:ascii="Times New Roman" w:hAnsi="Times New Roman" w:cs="Times New Roman"/>
                <w:sz w:val="21"/>
                <w:szCs w:val="21"/>
              </w:rPr>
            </w:pPr>
          </w:p>
        </w:tc>
        <w:tc>
          <w:tcPr>
            <w:tcW w:w="2154" w:type="dxa"/>
            <w:gridSpan w:val="2"/>
            <w:vAlign w:val="center"/>
          </w:tcPr>
          <w:p w14:paraId="204C680A" w14:textId="77777777" w:rsidR="000C5037" w:rsidRPr="00074DA3" w:rsidRDefault="000C5037" w:rsidP="00FF43C5">
            <w:pPr>
              <w:jc w:val="center"/>
              <w:rPr>
                <w:rFonts w:ascii="Times New Roman" w:hAnsi="Times New Roman" w:cs="Times New Roman"/>
                <w:sz w:val="21"/>
                <w:szCs w:val="21"/>
              </w:rPr>
            </w:pPr>
          </w:p>
        </w:tc>
        <w:tc>
          <w:tcPr>
            <w:tcW w:w="912" w:type="dxa"/>
            <w:gridSpan w:val="3"/>
            <w:vAlign w:val="center"/>
          </w:tcPr>
          <w:p w14:paraId="2E401DBB" w14:textId="77777777" w:rsidR="000C5037" w:rsidRPr="00074DA3" w:rsidRDefault="000C5037" w:rsidP="00FF43C5">
            <w:pPr>
              <w:jc w:val="center"/>
              <w:rPr>
                <w:rFonts w:ascii="Times New Roman" w:hAnsi="Times New Roman" w:cs="Times New Roman"/>
                <w:sz w:val="21"/>
                <w:szCs w:val="21"/>
              </w:rPr>
            </w:pPr>
          </w:p>
        </w:tc>
      </w:tr>
      <w:tr w:rsidR="000C5037" w:rsidRPr="00074DA3" w14:paraId="7DD9EC97" w14:textId="77777777" w:rsidTr="00FF43C5">
        <w:trPr>
          <w:gridAfter w:val="1"/>
          <w:wAfter w:w="56" w:type="dxa"/>
          <w:cantSplit/>
        </w:trPr>
        <w:tc>
          <w:tcPr>
            <w:tcW w:w="4309" w:type="dxa"/>
          </w:tcPr>
          <w:p w14:paraId="4EDDF3A4"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First child</w:t>
            </w:r>
          </w:p>
        </w:tc>
        <w:tc>
          <w:tcPr>
            <w:tcW w:w="2154" w:type="dxa"/>
            <w:gridSpan w:val="2"/>
            <w:vAlign w:val="center"/>
          </w:tcPr>
          <w:p w14:paraId="33D8BD42"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Reference</w:t>
            </w:r>
          </w:p>
        </w:tc>
        <w:tc>
          <w:tcPr>
            <w:tcW w:w="907" w:type="dxa"/>
            <w:gridSpan w:val="2"/>
            <w:vAlign w:val="center"/>
          </w:tcPr>
          <w:p w14:paraId="1CE16F49" w14:textId="77777777" w:rsidR="000C5037" w:rsidRPr="00074DA3" w:rsidRDefault="000C5037" w:rsidP="00FF43C5">
            <w:pPr>
              <w:jc w:val="center"/>
              <w:rPr>
                <w:rFonts w:ascii="Times New Roman" w:hAnsi="Times New Roman" w:cs="Times New Roman"/>
                <w:sz w:val="21"/>
                <w:szCs w:val="21"/>
              </w:rPr>
            </w:pPr>
          </w:p>
        </w:tc>
        <w:tc>
          <w:tcPr>
            <w:tcW w:w="2154" w:type="dxa"/>
            <w:gridSpan w:val="2"/>
            <w:vAlign w:val="center"/>
          </w:tcPr>
          <w:p w14:paraId="0F7702FD"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Reference</w:t>
            </w:r>
          </w:p>
        </w:tc>
        <w:tc>
          <w:tcPr>
            <w:tcW w:w="912" w:type="dxa"/>
            <w:gridSpan w:val="3"/>
            <w:vAlign w:val="center"/>
          </w:tcPr>
          <w:p w14:paraId="63BA519D" w14:textId="77777777" w:rsidR="000C5037" w:rsidRPr="00074DA3" w:rsidRDefault="000C5037" w:rsidP="00FF43C5">
            <w:pPr>
              <w:jc w:val="center"/>
              <w:rPr>
                <w:rFonts w:ascii="Times New Roman" w:hAnsi="Times New Roman" w:cs="Times New Roman"/>
                <w:sz w:val="21"/>
                <w:szCs w:val="21"/>
              </w:rPr>
            </w:pPr>
          </w:p>
        </w:tc>
      </w:tr>
      <w:tr w:rsidR="000C5037" w:rsidRPr="00074DA3" w14:paraId="01FCC253" w14:textId="77777777" w:rsidTr="00FF43C5">
        <w:trPr>
          <w:gridAfter w:val="1"/>
          <w:wAfter w:w="56" w:type="dxa"/>
          <w:cantSplit/>
        </w:trPr>
        <w:tc>
          <w:tcPr>
            <w:tcW w:w="4309" w:type="dxa"/>
          </w:tcPr>
          <w:p w14:paraId="2C566706"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Not first child</w:t>
            </w:r>
          </w:p>
        </w:tc>
        <w:tc>
          <w:tcPr>
            <w:tcW w:w="2154" w:type="dxa"/>
            <w:gridSpan w:val="2"/>
            <w:vAlign w:val="center"/>
          </w:tcPr>
          <w:p w14:paraId="09BB28ED"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1.27 (0.86, 1.89)</w:t>
            </w:r>
          </w:p>
        </w:tc>
        <w:tc>
          <w:tcPr>
            <w:tcW w:w="907" w:type="dxa"/>
            <w:gridSpan w:val="2"/>
            <w:vAlign w:val="center"/>
          </w:tcPr>
          <w:p w14:paraId="6C1DB41B"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0.226</w:t>
            </w:r>
          </w:p>
        </w:tc>
        <w:tc>
          <w:tcPr>
            <w:tcW w:w="2154" w:type="dxa"/>
            <w:gridSpan w:val="2"/>
            <w:vAlign w:val="center"/>
          </w:tcPr>
          <w:p w14:paraId="4A936FDC"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1.12 (0.69, 1.82)</w:t>
            </w:r>
          </w:p>
        </w:tc>
        <w:tc>
          <w:tcPr>
            <w:tcW w:w="912" w:type="dxa"/>
            <w:gridSpan w:val="3"/>
            <w:vAlign w:val="center"/>
          </w:tcPr>
          <w:p w14:paraId="15373519"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0.656</w:t>
            </w:r>
          </w:p>
        </w:tc>
      </w:tr>
      <w:tr w:rsidR="000C5037" w:rsidRPr="00074DA3" w14:paraId="182BCDE4" w14:textId="77777777" w:rsidTr="00FF43C5">
        <w:trPr>
          <w:gridAfter w:val="1"/>
          <w:wAfter w:w="56" w:type="dxa"/>
          <w:cantSplit/>
        </w:trPr>
        <w:tc>
          <w:tcPr>
            <w:tcW w:w="4309" w:type="dxa"/>
          </w:tcPr>
          <w:p w14:paraId="58B78D25" w14:textId="77777777"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Feeding modes in the first six months of life</w:t>
            </w:r>
          </w:p>
        </w:tc>
        <w:tc>
          <w:tcPr>
            <w:tcW w:w="2154" w:type="dxa"/>
            <w:gridSpan w:val="2"/>
            <w:vAlign w:val="center"/>
          </w:tcPr>
          <w:p w14:paraId="14AE979E" w14:textId="77777777" w:rsidR="000C5037" w:rsidRPr="00074DA3" w:rsidRDefault="000C5037" w:rsidP="00FF43C5">
            <w:pPr>
              <w:jc w:val="center"/>
              <w:rPr>
                <w:rFonts w:ascii="Times New Roman" w:hAnsi="Times New Roman" w:cs="Times New Roman"/>
                <w:sz w:val="21"/>
                <w:szCs w:val="21"/>
              </w:rPr>
            </w:pPr>
          </w:p>
        </w:tc>
        <w:tc>
          <w:tcPr>
            <w:tcW w:w="907" w:type="dxa"/>
            <w:gridSpan w:val="2"/>
            <w:vAlign w:val="center"/>
          </w:tcPr>
          <w:p w14:paraId="08FB4458" w14:textId="77777777" w:rsidR="000C5037" w:rsidRPr="00074DA3" w:rsidRDefault="000C5037" w:rsidP="00FF43C5">
            <w:pPr>
              <w:jc w:val="center"/>
              <w:rPr>
                <w:rFonts w:ascii="Times New Roman" w:hAnsi="Times New Roman" w:cs="Times New Roman"/>
                <w:sz w:val="21"/>
                <w:szCs w:val="21"/>
              </w:rPr>
            </w:pPr>
          </w:p>
        </w:tc>
        <w:tc>
          <w:tcPr>
            <w:tcW w:w="2154" w:type="dxa"/>
            <w:gridSpan w:val="2"/>
            <w:vAlign w:val="center"/>
          </w:tcPr>
          <w:p w14:paraId="2A79A36F" w14:textId="77777777" w:rsidR="000C5037" w:rsidRPr="00074DA3" w:rsidRDefault="000C5037" w:rsidP="00FF43C5">
            <w:pPr>
              <w:jc w:val="center"/>
              <w:rPr>
                <w:rFonts w:ascii="Times New Roman" w:hAnsi="Times New Roman" w:cs="Times New Roman"/>
                <w:sz w:val="21"/>
                <w:szCs w:val="21"/>
              </w:rPr>
            </w:pPr>
          </w:p>
        </w:tc>
        <w:tc>
          <w:tcPr>
            <w:tcW w:w="912" w:type="dxa"/>
            <w:gridSpan w:val="3"/>
            <w:vAlign w:val="center"/>
          </w:tcPr>
          <w:p w14:paraId="177FAD66" w14:textId="77777777" w:rsidR="000C5037" w:rsidRPr="00074DA3" w:rsidRDefault="000C5037" w:rsidP="00FF43C5">
            <w:pPr>
              <w:jc w:val="center"/>
              <w:rPr>
                <w:rFonts w:ascii="Times New Roman" w:hAnsi="Times New Roman" w:cs="Times New Roman"/>
                <w:sz w:val="21"/>
                <w:szCs w:val="21"/>
              </w:rPr>
            </w:pPr>
          </w:p>
        </w:tc>
      </w:tr>
      <w:tr w:rsidR="000C5037" w:rsidRPr="00074DA3" w14:paraId="6AFCD2C5" w14:textId="77777777" w:rsidTr="00FF43C5">
        <w:trPr>
          <w:gridAfter w:val="1"/>
          <w:wAfter w:w="56" w:type="dxa"/>
          <w:cantSplit/>
        </w:trPr>
        <w:tc>
          <w:tcPr>
            <w:tcW w:w="4309" w:type="dxa"/>
          </w:tcPr>
          <w:p w14:paraId="63866144" w14:textId="084B735D"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Exclusively formula</w:t>
            </w:r>
            <w:r w:rsidR="000B1D17" w:rsidRPr="00074DA3">
              <w:rPr>
                <w:rFonts w:ascii="Times New Roman" w:hAnsi="Times New Roman" w:cs="Times New Roman"/>
                <w:sz w:val="21"/>
                <w:szCs w:val="21"/>
              </w:rPr>
              <w:t>-</w:t>
            </w:r>
            <w:r w:rsidRPr="00074DA3">
              <w:rPr>
                <w:rFonts w:ascii="Times New Roman" w:hAnsi="Times New Roman" w:cs="Times New Roman"/>
                <w:sz w:val="21"/>
                <w:szCs w:val="21"/>
              </w:rPr>
              <w:t>fed</w:t>
            </w:r>
          </w:p>
        </w:tc>
        <w:tc>
          <w:tcPr>
            <w:tcW w:w="2154" w:type="dxa"/>
            <w:gridSpan w:val="2"/>
            <w:vAlign w:val="center"/>
          </w:tcPr>
          <w:p w14:paraId="354E6BCF"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Reference</w:t>
            </w:r>
          </w:p>
        </w:tc>
        <w:tc>
          <w:tcPr>
            <w:tcW w:w="907" w:type="dxa"/>
            <w:gridSpan w:val="2"/>
            <w:vAlign w:val="center"/>
          </w:tcPr>
          <w:p w14:paraId="1C8AB294" w14:textId="77777777" w:rsidR="000C5037" w:rsidRPr="00074DA3" w:rsidRDefault="000C5037" w:rsidP="00FF43C5">
            <w:pPr>
              <w:jc w:val="center"/>
              <w:rPr>
                <w:rFonts w:ascii="Times New Roman" w:hAnsi="Times New Roman" w:cs="Times New Roman"/>
                <w:sz w:val="21"/>
                <w:szCs w:val="21"/>
              </w:rPr>
            </w:pPr>
          </w:p>
        </w:tc>
        <w:tc>
          <w:tcPr>
            <w:tcW w:w="2154" w:type="dxa"/>
            <w:gridSpan w:val="2"/>
            <w:vAlign w:val="center"/>
          </w:tcPr>
          <w:p w14:paraId="0FF18B18"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Reference</w:t>
            </w:r>
          </w:p>
        </w:tc>
        <w:tc>
          <w:tcPr>
            <w:tcW w:w="912" w:type="dxa"/>
            <w:gridSpan w:val="3"/>
            <w:vAlign w:val="center"/>
          </w:tcPr>
          <w:p w14:paraId="4071DB74" w14:textId="77777777" w:rsidR="000C5037" w:rsidRPr="00074DA3" w:rsidRDefault="000C5037" w:rsidP="00FF43C5">
            <w:pPr>
              <w:jc w:val="center"/>
              <w:rPr>
                <w:rFonts w:ascii="Times New Roman" w:hAnsi="Times New Roman" w:cs="Times New Roman"/>
                <w:sz w:val="21"/>
                <w:szCs w:val="21"/>
              </w:rPr>
            </w:pPr>
          </w:p>
        </w:tc>
      </w:tr>
      <w:tr w:rsidR="000C5037" w:rsidRPr="00074DA3" w14:paraId="311345D4" w14:textId="77777777" w:rsidTr="00FF43C5">
        <w:trPr>
          <w:gridAfter w:val="1"/>
          <w:wAfter w:w="56" w:type="dxa"/>
          <w:cantSplit/>
        </w:trPr>
        <w:tc>
          <w:tcPr>
            <w:tcW w:w="4309" w:type="dxa"/>
          </w:tcPr>
          <w:p w14:paraId="002EC369" w14:textId="6D1D125F" w:rsidR="000C5037" w:rsidRPr="00074DA3" w:rsidRDefault="000C5037" w:rsidP="00B61542">
            <w:pPr>
              <w:rPr>
                <w:rFonts w:ascii="Times New Roman" w:hAnsi="Times New Roman" w:cs="Times New Roman"/>
                <w:sz w:val="21"/>
                <w:szCs w:val="21"/>
              </w:rPr>
            </w:pPr>
            <w:r w:rsidRPr="00074DA3">
              <w:rPr>
                <w:rFonts w:ascii="Times New Roman" w:hAnsi="Times New Roman" w:cs="Times New Roman"/>
                <w:sz w:val="21"/>
                <w:szCs w:val="21"/>
              </w:rPr>
              <w:t xml:space="preserve">     </w:t>
            </w:r>
            <w:r w:rsidR="00B61542" w:rsidRPr="00074DA3">
              <w:rPr>
                <w:rFonts w:ascii="Times New Roman" w:hAnsi="Times New Roman" w:cs="Times New Roman"/>
                <w:sz w:val="21"/>
                <w:szCs w:val="21"/>
              </w:rPr>
              <w:t>Mixed</w:t>
            </w:r>
            <w:r w:rsidR="000B1D17" w:rsidRPr="00074DA3">
              <w:rPr>
                <w:rFonts w:ascii="Times New Roman" w:hAnsi="Times New Roman" w:cs="Times New Roman"/>
                <w:sz w:val="21"/>
                <w:szCs w:val="21"/>
              </w:rPr>
              <w:t>-</w:t>
            </w:r>
            <w:r w:rsidRPr="00074DA3">
              <w:rPr>
                <w:rFonts w:ascii="Times New Roman" w:hAnsi="Times New Roman" w:cs="Times New Roman"/>
                <w:sz w:val="21"/>
                <w:szCs w:val="21"/>
              </w:rPr>
              <w:t>fed</w:t>
            </w:r>
          </w:p>
        </w:tc>
        <w:tc>
          <w:tcPr>
            <w:tcW w:w="2154" w:type="dxa"/>
            <w:gridSpan w:val="2"/>
            <w:vAlign w:val="center"/>
          </w:tcPr>
          <w:p w14:paraId="1D0B3F94"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0.77 (0.49, 1.19)</w:t>
            </w:r>
          </w:p>
        </w:tc>
        <w:tc>
          <w:tcPr>
            <w:tcW w:w="907" w:type="dxa"/>
            <w:gridSpan w:val="2"/>
            <w:vAlign w:val="center"/>
          </w:tcPr>
          <w:p w14:paraId="5392DF97"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0.239</w:t>
            </w:r>
          </w:p>
        </w:tc>
        <w:tc>
          <w:tcPr>
            <w:tcW w:w="2154" w:type="dxa"/>
            <w:gridSpan w:val="2"/>
            <w:vAlign w:val="center"/>
          </w:tcPr>
          <w:p w14:paraId="44988F61"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0.72 (0.42, 1.21)</w:t>
            </w:r>
          </w:p>
        </w:tc>
        <w:tc>
          <w:tcPr>
            <w:tcW w:w="912" w:type="dxa"/>
            <w:gridSpan w:val="3"/>
            <w:vAlign w:val="center"/>
          </w:tcPr>
          <w:p w14:paraId="2BC148D1"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0.209</w:t>
            </w:r>
          </w:p>
        </w:tc>
      </w:tr>
      <w:tr w:rsidR="000C5037" w:rsidRPr="00074DA3" w14:paraId="7285D9A8" w14:textId="77777777" w:rsidTr="00FF43C5">
        <w:trPr>
          <w:gridAfter w:val="1"/>
          <w:wAfter w:w="56" w:type="dxa"/>
          <w:cantSplit/>
        </w:trPr>
        <w:tc>
          <w:tcPr>
            <w:tcW w:w="4309" w:type="dxa"/>
          </w:tcPr>
          <w:p w14:paraId="4B6AAFEE" w14:textId="3F008D66" w:rsidR="000C5037" w:rsidRPr="00074DA3" w:rsidRDefault="000C5037" w:rsidP="00FF43C5">
            <w:pPr>
              <w:rPr>
                <w:rFonts w:ascii="Times New Roman" w:hAnsi="Times New Roman" w:cs="Times New Roman"/>
                <w:sz w:val="21"/>
                <w:szCs w:val="21"/>
              </w:rPr>
            </w:pPr>
            <w:r w:rsidRPr="00074DA3">
              <w:rPr>
                <w:rFonts w:ascii="Times New Roman" w:hAnsi="Times New Roman" w:cs="Times New Roman"/>
                <w:sz w:val="21"/>
                <w:szCs w:val="21"/>
              </w:rPr>
              <w:t xml:space="preserve">     Exclusively</w:t>
            </w:r>
            <w:r w:rsidR="00B61542" w:rsidRPr="00074DA3">
              <w:rPr>
                <w:rFonts w:ascii="Times New Roman" w:hAnsi="Times New Roman" w:cs="Times New Roman"/>
                <w:sz w:val="21"/>
                <w:szCs w:val="21"/>
              </w:rPr>
              <w:t>/predominantly</w:t>
            </w:r>
            <w:r w:rsidRPr="00074DA3">
              <w:rPr>
                <w:rFonts w:ascii="Times New Roman" w:hAnsi="Times New Roman" w:cs="Times New Roman"/>
                <w:sz w:val="21"/>
                <w:szCs w:val="21"/>
              </w:rPr>
              <w:t xml:space="preserve"> breastfed</w:t>
            </w:r>
          </w:p>
        </w:tc>
        <w:tc>
          <w:tcPr>
            <w:tcW w:w="2154" w:type="dxa"/>
            <w:gridSpan w:val="2"/>
            <w:vAlign w:val="center"/>
          </w:tcPr>
          <w:p w14:paraId="56EC161A"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0.23 (0.10, 0.57)</w:t>
            </w:r>
          </w:p>
        </w:tc>
        <w:tc>
          <w:tcPr>
            <w:tcW w:w="907" w:type="dxa"/>
            <w:gridSpan w:val="2"/>
            <w:vAlign w:val="center"/>
          </w:tcPr>
          <w:p w14:paraId="3A18B8B7"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0.001</w:t>
            </w:r>
          </w:p>
        </w:tc>
        <w:tc>
          <w:tcPr>
            <w:tcW w:w="2154" w:type="dxa"/>
            <w:gridSpan w:val="2"/>
            <w:vAlign w:val="center"/>
          </w:tcPr>
          <w:p w14:paraId="61731314"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0.31 (0.11, 0.82)</w:t>
            </w:r>
          </w:p>
        </w:tc>
        <w:tc>
          <w:tcPr>
            <w:tcW w:w="912" w:type="dxa"/>
            <w:gridSpan w:val="3"/>
            <w:vAlign w:val="center"/>
          </w:tcPr>
          <w:p w14:paraId="16AFD4DD"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0.019</w:t>
            </w:r>
          </w:p>
        </w:tc>
      </w:tr>
      <w:tr w:rsidR="000C5037" w:rsidRPr="00074DA3" w14:paraId="0B196053" w14:textId="77777777" w:rsidTr="00FF43C5">
        <w:trPr>
          <w:gridAfter w:val="1"/>
          <w:wAfter w:w="56" w:type="dxa"/>
          <w:cantSplit/>
        </w:trPr>
        <w:tc>
          <w:tcPr>
            <w:tcW w:w="4309" w:type="dxa"/>
            <w:tcBorders>
              <w:bottom w:val="single" w:sz="4" w:space="0" w:color="auto"/>
            </w:tcBorders>
          </w:tcPr>
          <w:p w14:paraId="13FBE4CA" w14:textId="0B29D93C" w:rsidR="000C5037" w:rsidRPr="00074DA3" w:rsidRDefault="000C5037" w:rsidP="008F2BE0">
            <w:pPr>
              <w:rPr>
                <w:rFonts w:ascii="Times New Roman" w:hAnsi="Times New Roman" w:cs="Times New Roman"/>
                <w:sz w:val="21"/>
                <w:szCs w:val="21"/>
              </w:rPr>
            </w:pPr>
            <w:r w:rsidRPr="00074DA3">
              <w:rPr>
                <w:rFonts w:ascii="Times New Roman" w:hAnsi="Times New Roman" w:cs="Times New Roman"/>
                <w:sz w:val="21"/>
                <w:szCs w:val="21"/>
              </w:rPr>
              <w:t>WLZ change (</w:t>
            </w:r>
            <w:r w:rsidR="008F2BE0" w:rsidRPr="00074DA3">
              <w:rPr>
                <w:rFonts w:ascii="Times New Roman" w:hAnsi="Times New Roman" w:cs="Times New Roman"/>
                <w:sz w:val="21"/>
                <w:szCs w:val="21"/>
              </w:rPr>
              <w:t>z</w:t>
            </w:r>
            <w:r w:rsidR="000B1D17" w:rsidRPr="00074DA3">
              <w:rPr>
                <w:rFonts w:ascii="Times New Roman" w:hAnsi="Times New Roman" w:cs="Times New Roman"/>
                <w:sz w:val="21"/>
                <w:szCs w:val="21"/>
              </w:rPr>
              <w:t>-</w:t>
            </w:r>
            <w:r w:rsidR="008F2BE0" w:rsidRPr="00074DA3">
              <w:rPr>
                <w:rFonts w:ascii="Times New Roman" w:hAnsi="Times New Roman" w:cs="Times New Roman"/>
                <w:sz w:val="21"/>
                <w:szCs w:val="21"/>
              </w:rPr>
              <w:t>score</w:t>
            </w:r>
            <w:r w:rsidRPr="00074DA3">
              <w:rPr>
                <w:rFonts w:ascii="Times New Roman" w:hAnsi="Times New Roman" w:cs="Times New Roman"/>
                <w:sz w:val="21"/>
                <w:szCs w:val="21"/>
              </w:rPr>
              <w:t>)</w:t>
            </w:r>
          </w:p>
        </w:tc>
        <w:tc>
          <w:tcPr>
            <w:tcW w:w="2154" w:type="dxa"/>
            <w:gridSpan w:val="2"/>
            <w:tcBorders>
              <w:bottom w:val="single" w:sz="4" w:space="0" w:color="auto"/>
            </w:tcBorders>
            <w:vAlign w:val="center"/>
          </w:tcPr>
          <w:p w14:paraId="4184DC4B"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0.93 (0.81, 1.06)</w:t>
            </w:r>
          </w:p>
        </w:tc>
        <w:tc>
          <w:tcPr>
            <w:tcW w:w="907" w:type="dxa"/>
            <w:gridSpan w:val="2"/>
            <w:tcBorders>
              <w:bottom w:val="single" w:sz="4" w:space="0" w:color="auto"/>
            </w:tcBorders>
            <w:vAlign w:val="center"/>
          </w:tcPr>
          <w:p w14:paraId="21040AF4"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0.266</w:t>
            </w:r>
          </w:p>
        </w:tc>
        <w:tc>
          <w:tcPr>
            <w:tcW w:w="2154" w:type="dxa"/>
            <w:gridSpan w:val="2"/>
            <w:tcBorders>
              <w:bottom w:val="single" w:sz="4" w:space="0" w:color="auto"/>
            </w:tcBorders>
            <w:vAlign w:val="center"/>
          </w:tcPr>
          <w:p w14:paraId="33250716"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1.01 (0.86, 1.18)</w:t>
            </w:r>
          </w:p>
        </w:tc>
        <w:tc>
          <w:tcPr>
            <w:tcW w:w="912" w:type="dxa"/>
            <w:gridSpan w:val="3"/>
            <w:tcBorders>
              <w:bottom w:val="single" w:sz="4" w:space="0" w:color="auto"/>
            </w:tcBorders>
            <w:vAlign w:val="center"/>
          </w:tcPr>
          <w:p w14:paraId="2E8DA5AB" w14:textId="77777777" w:rsidR="000C5037" w:rsidRPr="00074DA3" w:rsidRDefault="000C5037" w:rsidP="00FF43C5">
            <w:pPr>
              <w:jc w:val="center"/>
              <w:rPr>
                <w:rFonts w:ascii="Times New Roman" w:hAnsi="Times New Roman" w:cs="Times New Roman"/>
                <w:sz w:val="21"/>
                <w:szCs w:val="21"/>
              </w:rPr>
            </w:pPr>
            <w:r w:rsidRPr="00074DA3">
              <w:rPr>
                <w:rFonts w:ascii="Times New Roman" w:hAnsi="Times New Roman" w:cs="Times New Roman"/>
                <w:sz w:val="21"/>
                <w:szCs w:val="21"/>
              </w:rPr>
              <w:t>0.923</w:t>
            </w:r>
          </w:p>
        </w:tc>
      </w:tr>
      <w:tr w:rsidR="00014DC5" w:rsidRPr="00074DA3" w14:paraId="4073DA44" w14:textId="77777777" w:rsidTr="00FF43C5">
        <w:trPr>
          <w:gridAfter w:val="1"/>
          <w:wAfter w:w="56" w:type="dxa"/>
          <w:cantSplit/>
        </w:trPr>
        <w:tc>
          <w:tcPr>
            <w:tcW w:w="10436" w:type="dxa"/>
            <w:gridSpan w:val="10"/>
            <w:tcBorders>
              <w:top w:val="single" w:sz="4" w:space="0" w:color="auto"/>
            </w:tcBorders>
            <w:vAlign w:val="center"/>
          </w:tcPr>
          <w:p w14:paraId="727D04BA" w14:textId="7FA98246" w:rsidR="00014DC5" w:rsidRPr="00074DA3" w:rsidRDefault="00B61542" w:rsidP="005C06C0">
            <w:pPr>
              <w:jc w:val="both"/>
              <w:rPr>
                <w:rFonts w:ascii="Times New Roman" w:hAnsi="Times New Roman" w:cs="Times New Roman"/>
                <w:color w:val="000000" w:themeColor="text1"/>
                <w:sz w:val="21"/>
                <w:szCs w:val="21"/>
              </w:rPr>
            </w:pPr>
            <w:r w:rsidRPr="00074DA3">
              <w:rPr>
                <w:rFonts w:ascii="Times New Roman" w:hAnsi="Times New Roman" w:cs="Times New Roman"/>
                <w:color w:val="000000" w:themeColor="text1"/>
                <w:sz w:val="21"/>
                <w:szCs w:val="21"/>
              </w:rPr>
              <w:t xml:space="preserve">OR, odds ratio; CI, confidence interval; </w:t>
            </w:r>
            <w:r w:rsidR="00F36ED0" w:rsidRPr="00074DA3">
              <w:rPr>
                <w:rFonts w:ascii="Times New Roman" w:hAnsi="Times New Roman" w:cs="Times New Roman"/>
                <w:color w:val="000000" w:themeColor="text1"/>
                <w:sz w:val="21"/>
                <w:szCs w:val="21"/>
              </w:rPr>
              <w:t>SGD,</w:t>
            </w:r>
            <w:r w:rsidR="00C66F36" w:rsidRPr="00074DA3">
              <w:rPr>
                <w:rFonts w:ascii="Times New Roman" w:hAnsi="Times New Roman" w:cs="Times New Roman"/>
                <w:color w:val="000000" w:themeColor="text1"/>
                <w:sz w:val="21"/>
                <w:szCs w:val="21"/>
              </w:rPr>
              <w:t xml:space="preserve"> Singapore dollar; </w:t>
            </w:r>
            <w:r w:rsidR="00014DC5" w:rsidRPr="00074DA3">
              <w:rPr>
                <w:rFonts w:ascii="Times New Roman" w:hAnsi="Times New Roman" w:cs="Times New Roman"/>
                <w:color w:val="000000" w:themeColor="text1"/>
                <w:sz w:val="21"/>
                <w:szCs w:val="21"/>
              </w:rPr>
              <w:t>BMI, body mass index; WLZ, weight</w:t>
            </w:r>
            <w:r w:rsidR="000B1D17" w:rsidRPr="00074DA3">
              <w:rPr>
                <w:rFonts w:ascii="Times New Roman" w:hAnsi="Times New Roman" w:cs="Times New Roman"/>
                <w:color w:val="000000" w:themeColor="text1"/>
                <w:sz w:val="21"/>
                <w:szCs w:val="21"/>
              </w:rPr>
              <w:t>-</w:t>
            </w:r>
            <w:r w:rsidR="00014DC5" w:rsidRPr="00074DA3">
              <w:rPr>
                <w:rFonts w:ascii="Times New Roman" w:hAnsi="Times New Roman" w:cs="Times New Roman"/>
                <w:color w:val="000000" w:themeColor="text1"/>
                <w:sz w:val="21"/>
                <w:szCs w:val="21"/>
              </w:rPr>
              <w:t>for</w:t>
            </w:r>
            <w:r w:rsidR="000B1D17" w:rsidRPr="00074DA3">
              <w:rPr>
                <w:rFonts w:ascii="Times New Roman" w:hAnsi="Times New Roman" w:cs="Times New Roman"/>
                <w:color w:val="000000" w:themeColor="text1"/>
                <w:sz w:val="21"/>
                <w:szCs w:val="21"/>
              </w:rPr>
              <w:t>-</w:t>
            </w:r>
            <w:r w:rsidR="00014DC5" w:rsidRPr="00074DA3">
              <w:rPr>
                <w:rFonts w:ascii="Times New Roman" w:hAnsi="Times New Roman" w:cs="Times New Roman"/>
                <w:color w:val="000000" w:themeColor="text1"/>
                <w:sz w:val="21"/>
                <w:szCs w:val="21"/>
              </w:rPr>
              <w:t xml:space="preserve">length </w:t>
            </w:r>
            <w:r w:rsidR="005C06C0" w:rsidRPr="00074DA3">
              <w:rPr>
                <w:rFonts w:ascii="Times New Roman" w:hAnsi="Times New Roman" w:cs="Times New Roman"/>
                <w:color w:val="000000" w:themeColor="text1"/>
                <w:sz w:val="21"/>
                <w:szCs w:val="21"/>
              </w:rPr>
              <w:t>z</w:t>
            </w:r>
            <w:r w:rsidR="000B1D17" w:rsidRPr="00074DA3">
              <w:rPr>
                <w:rFonts w:ascii="Times New Roman" w:hAnsi="Times New Roman" w:cs="Times New Roman"/>
                <w:color w:val="000000" w:themeColor="text1"/>
                <w:sz w:val="21"/>
                <w:szCs w:val="21"/>
              </w:rPr>
              <w:t>-</w:t>
            </w:r>
            <w:r w:rsidR="00014DC5" w:rsidRPr="00074DA3">
              <w:rPr>
                <w:rFonts w:ascii="Times New Roman" w:hAnsi="Times New Roman" w:cs="Times New Roman"/>
                <w:color w:val="000000" w:themeColor="text1"/>
                <w:sz w:val="21"/>
                <w:szCs w:val="21"/>
              </w:rPr>
              <w:t>score.</w:t>
            </w:r>
          </w:p>
          <w:p w14:paraId="7CED8E2A" w14:textId="64587FBA" w:rsidR="009C4C72" w:rsidRPr="00074DA3" w:rsidRDefault="00F36ED0" w:rsidP="00FF43C5">
            <w:pPr>
              <w:rPr>
                <w:rFonts w:ascii="Times New Roman" w:hAnsi="Times New Roman" w:cs="Times New Roman"/>
                <w:sz w:val="21"/>
                <w:szCs w:val="21"/>
              </w:rPr>
            </w:pPr>
            <w:r w:rsidRPr="00074DA3">
              <w:rPr>
                <w:rFonts w:ascii="Times New Roman" w:hAnsi="Times New Roman" w:cs="Times New Roman"/>
                <w:sz w:val="21"/>
                <w:szCs w:val="21"/>
                <w:vertAlign w:val="superscript"/>
              </w:rPr>
              <w:t>†</w:t>
            </w:r>
            <w:r w:rsidR="009C4C72" w:rsidRPr="00074DA3">
              <w:rPr>
                <w:rFonts w:ascii="Times New Roman" w:hAnsi="Times New Roman" w:cs="Times New Roman"/>
                <w:color w:val="000000" w:themeColor="text1"/>
                <w:sz w:val="21"/>
                <w:szCs w:val="21"/>
              </w:rPr>
              <w:t xml:space="preserve"> Mutually adjusted model (i.e. adjusted for all other maternal and infants characteristics)</w:t>
            </w:r>
          </w:p>
        </w:tc>
      </w:tr>
    </w:tbl>
    <w:p w14:paraId="7C445593" w14:textId="77777777" w:rsidR="000C5037" w:rsidRDefault="000C5037" w:rsidP="001E6B09">
      <w:pPr>
        <w:suppressAutoHyphens/>
        <w:spacing w:after="0"/>
        <w:jc w:val="both"/>
        <w:rPr>
          <w:lang w:val="en-SG"/>
        </w:rPr>
      </w:pPr>
    </w:p>
    <w:p w14:paraId="6493F318" w14:textId="77777777" w:rsidR="000C5037" w:rsidRDefault="000C5037" w:rsidP="001E6B09">
      <w:pPr>
        <w:suppressAutoHyphens/>
        <w:spacing w:after="0"/>
        <w:jc w:val="both"/>
        <w:rPr>
          <w:lang w:val="en-SG"/>
        </w:rPr>
      </w:pPr>
    </w:p>
    <w:p w14:paraId="1AE1C1F4" w14:textId="77777777" w:rsidR="000C5037" w:rsidRDefault="000C5037" w:rsidP="001E6B09">
      <w:pPr>
        <w:suppressAutoHyphens/>
        <w:spacing w:after="0"/>
        <w:jc w:val="both"/>
        <w:rPr>
          <w:lang w:val="en-SG"/>
        </w:rPr>
      </w:pPr>
    </w:p>
    <w:p w14:paraId="61DA6623" w14:textId="77777777" w:rsidR="000C5037" w:rsidRDefault="000C5037" w:rsidP="001E6B09">
      <w:pPr>
        <w:suppressAutoHyphens/>
        <w:spacing w:after="0"/>
        <w:jc w:val="both"/>
        <w:rPr>
          <w:lang w:val="en-SG"/>
        </w:rPr>
      </w:pPr>
    </w:p>
    <w:p w14:paraId="128D24E9" w14:textId="77777777" w:rsidR="000C5037" w:rsidRDefault="000C5037" w:rsidP="001E6B09">
      <w:pPr>
        <w:suppressAutoHyphens/>
        <w:spacing w:after="0"/>
        <w:jc w:val="both"/>
        <w:rPr>
          <w:lang w:val="en-SG"/>
        </w:rPr>
      </w:pPr>
    </w:p>
    <w:p w14:paraId="4BCDAA1A" w14:textId="77777777" w:rsidR="000C5037" w:rsidRDefault="000C5037" w:rsidP="001E6B09">
      <w:pPr>
        <w:suppressAutoHyphens/>
        <w:spacing w:after="0"/>
        <w:jc w:val="both"/>
        <w:rPr>
          <w:lang w:val="en-SG"/>
        </w:rPr>
      </w:pPr>
    </w:p>
    <w:p w14:paraId="2C038EC6" w14:textId="77777777" w:rsidR="000C5037" w:rsidRDefault="000C5037" w:rsidP="001E6B09">
      <w:pPr>
        <w:suppressAutoHyphens/>
        <w:spacing w:after="0"/>
        <w:jc w:val="both"/>
        <w:rPr>
          <w:lang w:val="en-SG"/>
        </w:rPr>
      </w:pPr>
    </w:p>
    <w:p w14:paraId="1F8907EA" w14:textId="77777777" w:rsidR="000C5037" w:rsidRDefault="000C5037" w:rsidP="001E6B09">
      <w:pPr>
        <w:suppressAutoHyphens/>
        <w:spacing w:after="0"/>
        <w:jc w:val="both"/>
        <w:rPr>
          <w:lang w:val="en-SG"/>
        </w:rPr>
      </w:pPr>
    </w:p>
    <w:p w14:paraId="67016882" w14:textId="77777777" w:rsidR="000C5037" w:rsidRDefault="000C5037" w:rsidP="001E6B09">
      <w:pPr>
        <w:suppressAutoHyphens/>
        <w:spacing w:after="0"/>
        <w:jc w:val="both"/>
        <w:rPr>
          <w:lang w:val="en-SG"/>
        </w:rPr>
      </w:pPr>
    </w:p>
    <w:p w14:paraId="3C132E86" w14:textId="77777777" w:rsidR="000C5037" w:rsidRDefault="000C5037" w:rsidP="001E6B09">
      <w:pPr>
        <w:suppressAutoHyphens/>
        <w:spacing w:after="0"/>
        <w:jc w:val="both"/>
        <w:rPr>
          <w:lang w:val="en-SG"/>
        </w:rPr>
      </w:pPr>
    </w:p>
    <w:p w14:paraId="46ECA8B7" w14:textId="77777777" w:rsidR="000C5037" w:rsidRDefault="000C5037" w:rsidP="001E6B09">
      <w:pPr>
        <w:suppressAutoHyphens/>
        <w:spacing w:after="0"/>
        <w:jc w:val="both"/>
        <w:rPr>
          <w:lang w:val="en-SG"/>
        </w:rPr>
      </w:pPr>
    </w:p>
    <w:p w14:paraId="00114CC0" w14:textId="77777777" w:rsidR="000C5037" w:rsidRDefault="000C5037" w:rsidP="001E6B09">
      <w:pPr>
        <w:suppressAutoHyphens/>
        <w:spacing w:after="0"/>
        <w:jc w:val="both"/>
        <w:rPr>
          <w:lang w:val="en-SG"/>
        </w:rPr>
      </w:pPr>
    </w:p>
    <w:p w14:paraId="32BA142E" w14:textId="77777777" w:rsidR="000C5037" w:rsidRDefault="000C5037" w:rsidP="001E6B09">
      <w:pPr>
        <w:suppressAutoHyphens/>
        <w:spacing w:after="0"/>
        <w:jc w:val="both"/>
        <w:rPr>
          <w:lang w:val="en-SG"/>
        </w:rPr>
      </w:pPr>
    </w:p>
    <w:p w14:paraId="27A4E58E" w14:textId="77777777" w:rsidR="000C5037" w:rsidRDefault="000C5037" w:rsidP="001E6B09">
      <w:pPr>
        <w:suppressAutoHyphens/>
        <w:spacing w:after="0"/>
        <w:jc w:val="both"/>
        <w:rPr>
          <w:lang w:val="en-SG"/>
        </w:rPr>
      </w:pPr>
    </w:p>
    <w:p w14:paraId="7C074C94" w14:textId="77777777" w:rsidR="000C5037" w:rsidRDefault="000C5037" w:rsidP="001E6B09">
      <w:pPr>
        <w:suppressAutoHyphens/>
        <w:spacing w:after="0"/>
        <w:jc w:val="both"/>
        <w:rPr>
          <w:lang w:val="en-SG"/>
        </w:rPr>
      </w:pPr>
    </w:p>
    <w:p w14:paraId="3F11BB5B" w14:textId="77777777" w:rsidR="000C5037" w:rsidRDefault="000C5037" w:rsidP="001E6B09">
      <w:pPr>
        <w:suppressAutoHyphens/>
        <w:spacing w:after="0"/>
        <w:jc w:val="both"/>
        <w:rPr>
          <w:lang w:val="en-SG"/>
        </w:rPr>
      </w:pPr>
    </w:p>
    <w:p w14:paraId="264D79FC" w14:textId="77777777" w:rsidR="000C5037" w:rsidRDefault="000C5037" w:rsidP="001E6B09">
      <w:pPr>
        <w:suppressAutoHyphens/>
        <w:spacing w:after="0"/>
        <w:jc w:val="both"/>
        <w:rPr>
          <w:lang w:val="en-SG"/>
        </w:rPr>
      </w:pPr>
    </w:p>
    <w:p w14:paraId="054D8FEB" w14:textId="77777777" w:rsidR="000C5037" w:rsidRDefault="000C5037" w:rsidP="001E6B09">
      <w:pPr>
        <w:suppressAutoHyphens/>
        <w:spacing w:after="0"/>
        <w:jc w:val="both"/>
        <w:rPr>
          <w:lang w:val="en-SG"/>
        </w:rPr>
      </w:pPr>
    </w:p>
    <w:p w14:paraId="0B96D5E8" w14:textId="77777777" w:rsidR="000C5037" w:rsidRDefault="000C5037" w:rsidP="001E6B09">
      <w:pPr>
        <w:suppressAutoHyphens/>
        <w:spacing w:after="0"/>
        <w:jc w:val="both"/>
        <w:rPr>
          <w:lang w:val="en-SG"/>
        </w:rPr>
      </w:pPr>
    </w:p>
    <w:p w14:paraId="3498ED37" w14:textId="77777777" w:rsidR="000C5037" w:rsidRDefault="000C5037" w:rsidP="001E6B09">
      <w:pPr>
        <w:suppressAutoHyphens/>
        <w:spacing w:after="0"/>
        <w:jc w:val="both"/>
        <w:rPr>
          <w:lang w:val="en-SG"/>
        </w:rPr>
      </w:pPr>
    </w:p>
    <w:p w14:paraId="69D118D7" w14:textId="77777777" w:rsidR="000C5037" w:rsidRDefault="000C5037" w:rsidP="001E6B09">
      <w:pPr>
        <w:suppressAutoHyphens/>
        <w:spacing w:after="0"/>
        <w:jc w:val="both"/>
        <w:rPr>
          <w:lang w:val="en-SG"/>
        </w:rPr>
      </w:pPr>
    </w:p>
    <w:p w14:paraId="15B2E359" w14:textId="77777777" w:rsidR="000C5037" w:rsidRDefault="000C5037" w:rsidP="001E6B09">
      <w:pPr>
        <w:suppressAutoHyphens/>
        <w:spacing w:after="0"/>
        <w:jc w:val="both"/>
        <w:rPr>
          <w:lang w:val="en-SG"/>
        </w:rPr>
      </w:pPr>
    </w:p>
    <w:p w14:paraId="0AC88EBF" w14:textId="77777777" w:rsidR="000C5037" w:rsidRDefault="000C5037" w:rsidP="001E6B09">
      <w:pPr>
        <w:suppressAutoHyphens/>
        <w:spacing w:after="0"/>
        <w:jc w:val="both"/>
        <w:rPr>
          <w:lang w:val="en-SG"/>
        </w:rPr>
      </w:pPr>
    </w:p>
    <w:p w14:paraId="16DB6B9B" w14:textId="77777777" w:rsidR="00ED2134" w:rsidRDefault="00ED2134" w:rsidP="001E6B09">
      <w:pPr>
        <w:suppressAutoHyphens/>
        <w:spacing w:after="0"/>
        <w:jc w:val="both"/>
        <w:rPr>
          <w:lang w:val="en-SG"/>
        </w:rPr>
      </w:pPr>
    </w:p>
    <w:p w14:paraId="74C8BD5B" w14:textId="77777777" w:rsidR="000C5037" w:rsidRDefault="000C5037" w:rsidP="001E6B09">
      <w:pPr>
        <w:suppressAutoHyphens/>
        <w:spacing w:after="0"/>
        <w:jc w:val="both"/>
        <w:rPr>
          <w:lang w:val="en-SG"/>
        </w:rPr>
      </w:pPr>
    </w:p>
    <w:p w14:paraId="7ABBE595" w14:textId="77777777" w:rsidR="00ED2134" w:rsidRDefault="00ED2134" w:rsidP="001E6B09">
      <w:pPr>
        <w:suppressAutoHyphens/>
        <w:spacing w:after="0"/>
        <w:jc w:val="both"/>
        <w:rPr>
          <w:lang w:val="en-SG"/>
        </w:rPr>
      </w:pPr>
    </w:p>
    <w:p w14:paraId="32E19EB6" w14:textId="77777777" w:rsidR="00947EFC" w:rsidRDefault="00947EFC" w:rsidP="001E6B09">
      <w:pPr>
        <w:suppressAutoHyphens/>
        <w:spacing w:after="0"/>
        <w:jc w:val="both"/>
        <w:rPr>
          <w:lang w:val="en-SG"/>
        </w:rPr>
      </w:pPr>
    </w:p>
    <w:p w14:paraId="5159F072" w14:textId="77777777" w:rsidR="00727A60" w:rsidRDefault="00727A60" w:rsidP="00947EFC">
      <w:pPr>
        <w:suppressAutoHyphens/>
        <w:spacing w:after="0"/>
        <w:jc w:val="both"/>
        <w:rPr>
          <w:lang w:val="en-SG"/>
        </w:rPr>
      </w:pPr>
    </w:p>
    <w:p w14:paraId="4B8EB0E4" w14:textId="77777777" w:rsidR="00107878" w:rsidRDefault="00107878" w:rsidP="00947EFC">
      <w:pPr>
        <w:suppressAutoHyphens/>
        <w:spacing w:after="0"/>
        <w:jc w:val="both"/>
        <w:rPr>
          <w:lang w:val="en-SG"/>
        </w:rPr>
      </w:pPr>
    </w:p>
    <w:p w14:paraId="3C24E934" w14:textId="77777777" w:rsidR="00107878" w:rsidRDefault="00107878" w:rsidP="00947EFC">
      <w:pPr>
        <w:suppressAutoHyphens/>
        <w:spacing w:after="0"/>
        <w:jc w:val="both"/>
        <w:rPr>
          <w:lang w:val="en-SG"/>
        </w:rPr>
      </w:pPr>
    </w:p>
    <w:p w14:paraId="51FA9CDD" w14:textId="77777777" w:rsidR="00107878" w:rsidRPr="005B222F" w:rsidRDefault="00107878" w:rsidP="00107878">
      <w:pPr>
        <w:spacing w:after="0"/>
        <w:rPr>
          <w:rFonts w:ascii="Times New Roman" w:hAnsi="Times New Roman" w:cs="Times New Roman"/>
          <w:b/>
        </w:rPr>
      </w:pPr>
      <w:r w:rsidRPr="005B222F">
        <w:rPr>
          <w:rFonts w:ascii="Times New Roman" w:hAnsi="Times New Roman" w:cs="Times New Roman"/>
          <w:b/>
        </w:rPr>
        <w:lastRenderedPageBreak/>
        <w:t xml:space="preserve">Fig. 1. </w:t>
      </w:r>
      <w:r w:rsidRPr="005B222F">
        <w:rPr>
          <w:rFonts w:ascii="Times New Roman" w:hAnsi="Times New Roman" w:cs="Times New Roman"/>
        </w:rPr>
        <w:t xml:space="preserve">Mean hourly </w:t>
      </w:r>
      <w:r w:rsidRPr="005B222F">
        <w:rPr>
          <w:rFonts w:ascii="Times New Roman" w:hAnsi="Times New Roman" w:cs="Times New Roman"/>
          <w:lang w:val="en-SG"/>
        </w:rPr>
        <w:t>energy</w:t>
      </w:r>
      <w:r w:rsidRPr="005B222F">
        <w:rPr>
          <w:rFonts w:ascii="Times New Roman" w:hAnsi="Times New Roman" w:cs="Times New Roman"/>
        </w:rPr>
        <w:t xml:space="preserve"> intake and proportion of infants fed across 24 h</w:t>
      </w:r>
      <w:r>
        <w:rPr>
          <w:rFonts w:ascii="Times New Roman" w:hAnsi="Times New Roman" w:cs="Times New Roman"/>
        </w:rPr>
        <w:t>ours</w:t>
      </w:r>
    </w:p>
    <w:p w14:paraId="6F134994" w14:textId="77777777" w:rsidR="00107878" w:rsidRPr="00392907" w:rsidRDefault="00107878" w:rsidP="00947EFC">
      <w:pPr>
        <w:suppressAutoHyphens/>
        <w:spacing w:after="0"/>
        <w:jc w:val="both"/>
        <w:rPr>
          <w:lang w:val="en-SG"/>
        </w:rPr>
      </w:pPr>
    </w:p>
    <w:sectPr w:rsidR="00107878" w:rsidRPr="00392907" w:rsidSect="005F2FB3">
      <w:headerReference w:type="default" r:id="rId10"/>
      <w:pgSz w:w="16839" w:h="11907" w:orient="landscape" w:code="9"/>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92223" w14:textId="77777777" w:rsidR="009F3A8E" w:rsidRDefault="009F3A8E" w:rsidP="003A1C5F">
      <w:pPr>
        <w:spacing w:after="0" w:line="240" w:lineRule="auto"/>
      </w:pPr>
      <w:r>
        <w:separator/>
      </w:r>
    </w:p>
  </w:endnote>
  <w:endnote w:type="continuationSeparator" w:id="0">
    <w:p w14:paraId="04180090" w14:textId="77777777" w:rsidR="009F3A8E" w:rsidRDefault="009F3A8E" w:rsidP="003A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0891C" w14:textId="77777777" w:rsidR="009F3A8E" w:rsidRDefault="009F3A8E" w:rsidP="003A1C5F">
      <w:pPr>
        <w:spacing w:after="0" w:line="240" w:lineRule="auto"/>
      </w:pPr>
      <w:r>
        <w:separator/>
      </w:r>
    </w:p>
  </w:footnote>
  <w:footnote w:type="continuationSeparator" w:id="0">
    <w:p w14:paraId="06150A56" w14:textId="77777777" w:rsidR="009F3A8E" w:rsidRDefault="009F3A8E" w:rsidP="003A1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237228"/>
      <w:docPartObj>
        <w:docPartGallery w:val="Page Numbers (Top of Page)"/>
        <w:docPartUnique/>
      </w:docPartObj>
    </w:sdtPr>
    <w:sdtEndPr>
      <w:rPr>
        <w:rFonts w:ascii="Times New Roman" w:hAnsi="Times New Roman" w:cs="Times New Roman"/>
        <w:noProof/>
        <w:sz w:val="24"/>
        <w:szCs w:val="24"/>
      </w:rPr>
    </w:sdtEndPr>
    <w:sdtContent>
      <w:p w14:paraId="0C4C2747" w14:textId="77777777" w:rsidR="009F3A8E" w:rsidRPr="00743CD9" w:rsidRDefault="009F3A8E">
        <w:pPr>
          <w:pStyle w:val="Header"/>
          <w:jc w:val="right"/>
          <w:rPr>
            <w:rFonts w:ascii="Times New Roman" w:hAnsi="Times New Roman" w:cs="Times New Roman"/>
            <w:sz w:val="24"/>
            <w:szCs w:val="24"/>
          </w:rPr>
        </w:pPr>
        <w:r w:rsidRPr="00743CD9">
          <w:rPr>
            <w:rFonts w:ascii="Times New Roman" w:hAnsi="Times New Roman" w:cs="Times New Roman"/>
            <w:sz w:val="24"/>
            <w:szCs w:val="24"/>
          </w:rPr>
          <w:fldChar w:fldCharType="begin"/>
        </w:r>
        <w:r w:rsidRPr="008374B5">
          <w:rPr>
            <w:rFonts w:ascii="Times New Roman" w:hAnsi="Times New Roman" w:cs="Times New Roman"/>
            <w:sz w:val="24"/>
            <w:szCs w:val="24"/>
          </w:rPr>
          <w:instrText xml:space="preserve"> PAGE   \* MERGEFORMAT </w:instrText>
        </w:r>
        <w:r w:rsidRPr="00743CD9">
          <w:rPr>
            <w:rFonts w:ascii="Times New Roman" w:hAnsi="Times New Roman" w:cs="Times New Roman"/>
            <w:sz w:val="24"/>
            <w:szCs w:val="24"/>
          </w:rPr>
          <w:fldChar w:fldCharType="separate"/>
        </w:r>
        <w:r w:rsidR="00086AD5">
          <w:rPr>
            <w:rFonts w:ascii="Times New Roman" w:hAnsi="Times New Roman" w:cs="Times New Roman"/>
            <w:noProof/>
            <w:sz w:val="24"/>
            <w:szCs w:val="24"/>
          </w:rPr>
          <w:t>1</w:t>
        </w:r>
        <w:r w:rsidRPr="00743CD9">
          <w:rPr>
            <w:rFonts w:ascii="Times New Roman" w:hAnsi="Times New Roman" w:cs="Times New Roman"/>
            <w:noProof/>
            <w:sz w:val="24"/>
            <w:szCs w:val="24"/>
          </w:rPr>
          <w:fldChar w:fldCharType="end"/>
        </w:r>
      </w:p>
    </w:sdtContent>
  </w:sdt>
  <w:p w14:paraId="608B7CDF" w14:textId="77777777" w:rsidR="009F3A8E" w:rsidRDefault="009F3A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695962"/>
      <w:docPartObj>
        <w:docPartGallery w:val="Page Numbers (Top of Page)"/>
        <w:docPartUnique/>
      </w:docPartObj>
    </w:sdtPr>
    <w:sdtEndPr>
      <w:rPr>
        <w:rFonts w:ascii="Times New Roman" w:hAnsi="Times New Roman" w:cs="Times New Roman"/>
        <w:noProof/>
        <w:sz w:val="24"/>
        <w:szCs w:val="24"/>
      </w:rPr>
    </w:sdtEndPr>
    <w:sdtContent>
      <w:p w14:paraId="5264E286" w14:textId="77777777" w:rsidR="009F3A8E" w:rsidRPr="00743CD9" w:rsidRDefault="009F3A8E">
        <w:pPr>
          <w:pStyle w:val="Header"/>
          <w:jc w:val="right"/>
          <w:rPr>
            <w:rFonts w:ascii="Times New Roman" w:hAnsi="Times New Roman" w:cs="Times New Roman"/>
            <w:sz w:val="24"/>
            <w:szCs w:val="24"/>
          </w:rPr>
        </w:pPr>
        <w:r w:rsidRPr="00743CD9">
          <w:rPr>
            <w:rFonts w:ascii="Times New Roman" w:hAnsi="Times New Roman" w:cs="Times New Roman"/>
            <w:sz w:val="24"/>
            <w:szCs w:val="24"/>
          </w:rPr>
          <w:fldChar w:fldCharType="begin"/>
        </w:r>
        <w:r w:rsidRPr="00743CD9">
          <w:rPr>
            <w:rFonts w:ascii="Times New Roman" w:hAnsi="Times New Roman" w:cs="Times New Roman"/>
            <w:sz w:val="24"/>
            <w:szCs w:val="24"/>
          </w:rPr>
          <w:instrText xml:space="preserve"> PAGE   \* MERGEFORMAT </w:instrText>
        </w:r>
        <w:r w:rsidRPr="00743CD9">
          <w:rPr>
            <w:rFonts w:ascii="Times New Roman" w:hAnsi="Times New Roman" w:cs="Times New Roman"/>
            <w:sz w:val="24"/>
            <w:szCs w:val="24"/>
          </w:rPr>
          <w:fldChar w:fldCharType="separate"/>
        </w:r>
        <w:r w:rsidR="00086AD5">
          <w:rPr>
            <w:rFonts w:ascii="Times New Roman" w:hAnsi="Times New Roman" w:cs="Times New Roman"/>
            <w:noProof/>
            <w:sz w:val="24"/>
            <w:szCs w:val="24"/>
          </w:rPr>
          <w:t>25</w:t>
        </w:r>
        <w:r w:rsidRPr="00743CD9">
          <w:rPr>
            <w:rFonts w:ascii="Times New Roman" w:hAnsi="Times New Roman" w:cs="Times New Roman"/>
            <w:noProof/>
            <w:sz w:val="24"/>
            <w:szCs w:val="24"/>
          </w:rPr>
          <w:fldChar w:fldCharType="end"/>
        </w:r>
      </w:p>
    </w:sdtContent>
  </w:sdt>
  <w:p w14:paraId="035312CA" w14:textId="77777777" w:rsidR="009F3A8E" w:rsidRDefault="009F3A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2D74"/>
    <w:multiLevelType w:val="hybridMultilevel"/>
    <w:tmpl w:val="5FB89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B3481"/>
    <w:multiLevelType w:val="hybridMultilevel"/>
    <w:tmpl w:val="067A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6E1870"/>
    <w:multiLevelType w:val="hybridMultilevel"/>
    <w:tmpl w:val="7BE46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F1579E"/>
    <w:multiLevelType w:val="hybridMultilevel"/>
    <w:tmpl w:val="FC28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60741C"/>
    <w:multiLevelType w:val="hybridMultilevel"/>
    <w:tmpl w:val="514A0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39B"/>
    <w:rsid w:val="000009BA"/>
    <w:rsid w:val="00001C24"/>
    <w:rsid w:val="000029DB"/>
    <w:rsid w:val="00002C9C"/>
    <w:rsid w:val="000030DA"/>
    <w:rsid w:val="0000413D"/>
    <w:rsid w:val="00005142"/>
    <w:rsid w:val="000055D1"/>
    <w:rsid w:val="00005FC7"/>
    <w:rsid w:val="000063DD"/>
    <w:rsid w:val="00006F90"/>
    <w:rsid w:val="00007E4C"/>
    <w:rsid w:val="0001003E"/>
    <w:rsid w:val="000103BB"/>
    <w:rsid w:val="000105AC"/>
    <w:rsid w:val="00010A7C"/>
    <w:rsid w:val="00012405"/>
    <w:rsid w:val="000124FC"/>
    <w:rsid w:val="000128E4"/>
    <w:rsid w:val="00012DC6"/>
    <w:rsid w:val="0001330B"/>
    <w:rsid w:val="00014DC5"/>
    <w:rsid w:val="00015A6F"/>
    <w:rsid w:val="00016A7C"/>
    <w:rsid w:val="000232D7"/>
    <w:rsid w:val="000247C3"/>
    <w:rsid w:val="00024ADC"/>
    <w:rsid w:val="00024CA0"/>
    <w:rsid w:val="00024FAD"/>
    <w:rsid w:val="00024FB7"/>
    <w:rsid w:val="000253BA"/>
    <w:rsid w:val="00025995"/>
    <w:rsid w:val="00025A44"/>
    <w:rsid w:val="00026088"/>
    <w:rsid w:val="00026C6F"/>
    <w:rsid w:val="00026E02"/>
    <w:rsid w:val="00026F0E"/>
    <w:rsid w:val="000301CD"/>
    <w:rsid w:val="0003051A"/>
    <w:rsid w:val="00030764"/>
    <w:rsid w:val="000315F3"/>
    <w:rsid w:val="000319B2"/>
    <w:rsid w:val="000324FA"/>
    <w:rsid w:val="0003277D"/>
    <w:rsid w:val="00034E45"/>
    <w:rsid w:val="00035777"/>
    <w:rsid w:val="00035F90"/>
    <w:rsid w:val="0003605D"/>
    <w:rsid w:val="00037013"/>
    <w:rsid w:val="00037251"/>
    <w:rsid w:val="00037E98"/>
    <w:rsid w:val="000410D0"/>
    <w:rsid w:val="0004157B"/>
    <w:rsid w:val="00042081"/>
    <w:rsid w:val="000421C8"/>
    <w:rsid w:val="000427BD"/>
    <w:rsid w:val="00043080"/>
    <w:rsid w:val="00043330"/>
    <w:rsid w:val="0004418E"/>
    <w:rsid w:val="000442D0"/>
    <w:rsid w:val="00044430"/>
    <w:rsid w:val="0004444A"/>
    <w:rsid w:val="0004488C"/>
    <w:rsid w:val="0004492B"/>
    <w:rsid w:val="00044AAD"/>
    <w:rsid w:val="00045143"/>
    <w:rsid w:val="000453AA"/>
    <w:rsid w:val="00045DD8"/>
    <w:rsid w:val="000466CA"/>
    <w:rsid w:val="00046746"/>
    <w:rsid w:val="0004724E"/>
    <w:rsid w:val="000477E1"/>
    <w:rsid w:val="00047F98"/>
    <w:rsid w:val="0005103A"/>
    <w:rsid w:val="000511EA"/>
    <w:rsid w:val="000515A0"/>
    <w:rsid w:val="00052601"/>
    <w:rsid w:val="0005266C"/>
    <w:rsid w:val="00052893"/>
    <w:rsid w:val="00052AC9"/>
    <w:rsid w:val="00052C59"/>
    <w:rsid w:val="00052C89"/>
    <w:rsid w:val="00052F7D"/>
    <w:rsid w:val="00052FFB"/>
    <w:rsid w:val="00053489"/>
    <w:rsid w:val="0005472E"/>
    <w:rsid w:val="00054966"/>
    <w:rsid w:val="00054EF5"/>
    <w:rsid w:val="00055DF5"/>
    <w:rsid w:val="00056A35"/>
    <w:rsid w:val="00056C2A"/>
    <w:rsid w:val="00056CE7"/>
    <w:rsid w:val="000575C9"/>
    <w:rsid w:val="000601F0"/>
    <w:rsid w:val="0006068B"/>
    <w:rsid w:val="000609BC"/>
    <w:rsid w:val="00060A01"/>
    <w:rsid w:val="000610CA"/>
    <w:rsid w:val="00061517"/>
    <w:rsid w:val="00061E27"/>
    <w:rsid w:val="00061F72"/>
    <w:rsid w:val="000655C9"/>
    <w:rsid w:val="000656C0"/>
    <w:rsid w:val="00065867"/>
    <w:rsid w:val="00065A31"/>
    <w:rsid w:val="00066AB9"/>
    <w:rsid w:val="00067014"/>
    <w:rsid w:val="00067219"/>
    <w:rsid w:val="00067224"/>
    <w:rsid w:val="000678D5"/>
    <w:rsid w:val="00070536"/>
    <w:rsid w:val="00070A41"/>
    <w:rsid w:val="00071BF0"/>
    <w:rsid w:val="00073A61"/>
    <w:rsid w:val="00074DA3"/>
    <w:rsid w:val="000750AA"/>
    <w:rsid w:val="000759C3"/>
    <w:rsid w:val="00075B0E"/>
    <w:rsid w:val="000763CE"/>
    <w:rsid w:val="00077421"/>
    <w:rsid w:val="0007747B"/>
    <w:rsid w:val="000779BD"/>
    <w:rsid w:val="00077C34"/>
    <w:rsid w:val="00077C88"/>
    <w:rsid w:val="00077D8A"/>
    <w:rsid w:val="000827A4"/>
    <w:rsid w:val="00082B95"/>
    <w:rsid w:val="00084DB8"/>
    <w:rsid w:val="000850A7"/>
    <w:rsid w:val="000851CB"/>
    <w:rsid w:val="00086AD5"/>
    <w:rsid w:val="0008707F"/>
    <w:rsid w:val="00090992"/>
    <w:rsid w:val="00090BB9"/>
    <w:rsid w:val="00091757"/>
    <w:rsid w:val="00091CDD"/>
    <w:rsid w:val="00092E12"/>
    <w:rsid w:val="00093E70"/>
    <w:rsid w:val="00094AE1"/>
    <w:rsid w:val="00095A54"/>
    <w:rsid w:val="00096492"/>
    <w:rsid w:val="000A0394"/>
    <w:rsid w:val="000A290D"/>
    <w:rsid w:val="000A2ED4"/>
    <w:rsid w:val="000A2FB4"/>
    <w:rsid w:val="000A3284"/>
    <w:rsid w:val="000A3401"/>
    <w:rsid w:val="000A3B38"/>
    <w:rsid w:val="000A3EA9"/>
    <w:rsid w:val="000A610A"/>
    <w:rsid w:val="000A7481"/>
    <w:rsid w:val="000B174E"/>
    <w:rsid w:val="000B1AEA"/>
    <w:rsid w:val="000B1BF9"/>
    <w:rsid w:val="000B1CAC"/>
    <w:rsid w:val="000B1D17"/>
    <w:rsid w:val="000B38F6"/>
    <w:rsid w:val="000B466E"/>
    <w:rsid w:val="000B4BE2"/>
    <w:rsid w:val="000B4D5C"/>
    <w:rsid w:val="000B58E7"/>
    <w:rsid w:val="000B590D"/>
    <w:rsid w:val="000B6012"/>
    <w:rsid w:val="000B6133"/>
    <w:rsid w:val="000B6685"/>
    <w:rsid w:val="000B7801"/>
    <w:rsid w:val="000B7819"/>
    <w:rsid w:val="000B7BEC"/>
    <w:rsid w:val="000C00FC"/>
    <w:rsid w:val="000C0C3A"/>
    <w:rsid w:val="000C14A8"/>
    <w:rsid w:val="000C15E8"/>
    <w:rsid w:val="000C234C"/>
    <w:rsid w:val="000C25F8"/>
    <w:rsid w:val="000C2AC9"/>
    <w:rsid w:val="000C409A"/>
    <w:rsid w:val="000C4278"/>
    <w:rsid w:val="000C44B5"/>
    <w:rsid w:val="000C4FFE"/>
    <w:rsid w:val="000C5037"/>
    <w:rsid w:val="000C509E"/>
    <w:rsid w:val="000C63AD"/>
    <w:rsid w:val="000C715C"/>
    <w:rsid w:val="000C736A"/>
    <w:rsid w:val="000D132F"/>
    <w:rsid w:val="000D1BA0"/>
    <w:rsid w:val="000D1CD8"/>
    <w:rsid w:val="000D2D58"/>
    <w:rsid w:val="000D2E0B"/>
    <w:rsid w:val="000D2EFD"/>
    <w:rsid w:val="000D36A2"/>
    <w:rsid w:val="000D4549"/>
    <w:rsid w:val="000D4D44"/>
    <w:rsid w:val="000D4D8C"/>
    <w:rsid w:val="000D4FF7"/>
    <w:rsid w:val="000D56A8"/>
    <w:rsid w:val="000D6006"/>
    <w:rsid w:val="000D6510"/>
    <w:rsid w:val="000D670C"/>
    <w:rsid w:val="000D78CB"/>
    <w:rsid w:val="000D7977"/>
    <w:rsid w:val="000E059F"/>
    <w:rsid w:val="000E068B"/>
    <w:rsid w:val="000E0E8C"/>
    <w:rsid w:val="000E127A"/>
    <w:rsid w:val="000E1BD9"/>
    <w:rsid w:val="000E22DD"/>
    <w:rsid w:val="000E2D32"/>
    <w:rsid w:val="000E37DF"/>
    <w:rsid w:val="000E3F75"/>
    <w:rsid w:val="000E4E3A"/>
    <w:rsid w:val="000E5117"/>
    <w:rsid w:val="000E569A"/>
    <w:rsid w:val="000E73E6"/>
    <w:rsid w:val="000E7A9F"/>
    <w:rsid w:val="000E7C05"/>
    <w:rsid w:val="000F0289"/>
    <w:rsid w:val="000F0344"/>
    <w:rsid w:val="000F0745"/>
    <w:rsid w:val="000F1837"/>
    <w:rsid w:val="000F1BC3"/>
    <w:rsid w:val="000F3FEF"/>
    <w:rsid w:val="000F4922"/>
    <w:rsid w:val="000F4A96"/>
    <w:rsid w:val="000F4EF2"/>
    <w:rsid w:val="000F560E"/>
    <w:rsid w:val="000F62A2"/>
    <w:rsid w:val="000F7429"/>
    <w:rsid w:val="000F74E2"/>
    <w:rsid w:val="0010028C"/>
    <w:rsid w:val="00100397"/>
    <w:rsid w:val="0010061C"/>
    <w:rsid w:val="001010A3"/>
    <w:rsid w:val="00101BC3"/>
    <w:rsid w:val="00102E90"/>
    <w:rsid w:val="001031C3"/>
    <w:rsid w:val="0010383D"/>
    <w:rsid w:val="00106078"/>
    <w:rsid w:val="0010662A"/>
    <w:rsid w:val="00106E52"/>
    <w:rsid w:val="00106F83"/>
    <w:rsid w:val="00107878"/>
    <w:rsid w:val="00110202"/>
    <w:rsid w:val="0011061D"/>
    <w:rsid w:val="00110834"/>
    <w:rsid w:val="00110C48"/>
    <w:rsid w:val="00111890"/>
    <w:rsid w:val="001126BC"/>
    <w:rsid w:val="001136ED"/>
    <w:rsid w:val="001140DE"/>
    <w:rsid w:val="0011455C"/>
    <w:rsid w:val="00115134"/>
    <w:rsid w:val="00115C33"/>
    <w:rsid w:val="0011652E"/>
    <w:rsid w:val="00116D85"/>
    <w:rsid w:val="0011706A"/>
    <w:rsid w:val="0011724E"/>
    <w:rsid w:val="001178B8"/>
    <w:rsid w:val="00120B00"/>
    <w:rsid w:val="001210A3"/>
    <w:rsid w:val="0012138A"/>
    <w:rsid w:val="00121470"/>
    <w:rsid w:val="001216A9"/>
    <w:rsid w:val="00121AA3"/>
    <w:rsid w:val="00121CED"/>
    <w:rsid w:val="001230D3"/>
    <w:rsid w:val="00123360"/>
    <w:rsid w:val="001233CA"/>
    <w:rsid w:val="00123898"/>
    <w:rsid w:val="00123ADC"/>
    <w:rsid w:val="001253CB"/>
    <w:rsid w:val="00127636"/>
    <w:rsid w:val="00127C89"/>
    <w:rsid w:val="001301DD"/>
    <w:rsid w:val="00130AD8"/>
    <w:rsid w:val="00132DEA"/>
    <w:rsid w:val="00133211"/>
    <w:rsid w:val="001335D5"/>
    <w:rsid w:val="00134562"/>
    <w:rsid w:val="00134FBA"/>
    <w:rsid w:val="001358E9"/>
    <w:rsid w:val="00136680"/>
    <w:rsid w:val="00137182"/>
    <w:rsid w:val="001403C4"/>
    <w:rsid w:val="0014095E"/>
    <w:rsid w:val="001429EB"/>
    <w:rsid w:val="00142AF4"/>
    <w:rsid w:val="00142B05"/>
    <w:rsid w:val="00142B88"/>
    <w:rsid w:val="001433A2"/>
    <w:rsid w:val="00143492"/>
    <w:rsid w:val="00143A91"/>
    <w:rsid w:val="00143D99"/>
    <w:rsid w:val="001459A4"/>
    <w:rsid w:val="00146219"/>
    <w:rsid w:val="00146410"/>
    <w:rsid w:val="00146915"/>
    <w:rsid w:val="00146C97"/>
    <w:rsid w:val="00147074"/>
    <w:rsid w:val="00150CC8"/>
    <w:rsid w:val="00150D0A"/>
    <w:rsid w:val="00150FE8"/>
    <w:rsid w:val="00151273"/>
    <w:rsid w:val="0015127D"/>
    <w:rsid w:val="00151C01"/>
    <w:rsid w:val="00152E69"/>
    <w:rsid w:val="00153817"/>
    <w:rsid w:val="00153DDA"/>
    <w:rsid w:val="00153F41"/>
    <w:rsid w:val="0015440A"/>
    <w:rsid w:val="00155A3E"/>
    <w:rsid w:val="00155E04"/>
    <w:rsid w:val="00156DFA"/>
    <w:rsid w:val="00157A7C"/>
    <w:rsid w:val="00157EC9"/>
    <w:rsid w:val="00157F40"/>
    <w:rsid w:val="001609F7"/>
    <w:rsid w:val="001612BB"/>
    <w:rsid w:val="00162BE4"/>
    <w:rsid w:val="00162CAB"/>
    <w:rsid w:val="0016368D"/>
    <w:rsid w:val="00163BE9"/>
    <w:rsid w:val="00165506"/>
    <w:rsid w:val="001664FE"/>
    <w:rsid w:val="001675E8"/>
    <w:rsid w:val="00167CBB"/>
    <w:rsid w:val="00167DB2"/>
    <w:rsid w:val="00167DED"/>
    <w:rsid w:val="00170F31"/>
    <w:rsid w:val="00171840"/>
    <w:rsid w:val="00172959"/>
    <w:rsid w:val="001737CF"/>
    <w:rsid w:val="001737F4"/>
    <w:rsid w:val="00175339"/>
    <w:rsid w:val="0017544E"/>
    <w:rsid w:val="00176285"/>
    <w:rsid w:val="00180B5E"/>
    <w:rsid w:val="001812F6"/>
    <w:rsid w:val="00181853"/>
    <w:rsid w:val="001823C3"/>
    <w:rsid w:val="00182530"/>
    <w:rsid w:val="001834F0"/>
    <w:rsid w:val="00183FA3"/>
    <w:rsid w:val="001841D5"/>
    <w:rsid w:val="001845E3"/>
    <w:rsid w:val="00184EFE"/>
    <w:rsid w:val="00185164"/>
    <w:rsid w:val="0018549E"/>
    <w:rsid w:val="00185670"/>
    <w:rsid w:val="00185D00"/>
    <w:rsid w:val="00187BCD"/>
    <w:rsid w:val="00187FC9"/>
    <w:rsid w:val="0019006B"/>
    <w:rsid w:val="001914DF"/>
    <w:rsid w:val="001922A9"/>
    <w:rsid w:val="00192AC2"/>
    <w:rsid w:val="00192ADD"/>
    <w:rsid w:val="00193440"/>
    <w:rsid w:val="001937C8"/>
    <w:rsid w:val="00193B36"/>
    <w:rsid w:val="00193C4D"/>
    <w:rsid w:val="00194FCF"/>
    <w:rsid w:val="00195FE8"/>
    <w:rsid w:val="00196388"/>
    <w:rsid w:val="001964BA"/>
    <w:rsid w:val="00197D0E"/>
    <w:rsid w:val="001A09C3"/>
    <w:rsid w:val="001A0DAC"/>
    <w:rsid w:val="001A1349"/>
    <w:rsid w:val="001A1CD2"/>
    <w:rsid w:val="001A2248"/>
    <w:rsid w:val="001A226E"/>
    <w:rsid w:val="001A34A2"/>
    <w:rsid w:val="001A3531"/>
    <w:rsid w:val="001A36C1"/>
    <w:rsid w:val="001A3BE4"/>
    <w:rsid w:val="001A4481"/>
    <w:rsid w:val="001A4C49"/>
    <w:rsid w:val="001A5916"/>
    <w:rsid w:val="001A5D2A"/>
    <w:rsid w:val="001A6ADC"/>
    <w:rsid w:val="001A7297"/>
    <w:rsid w:val="001A757A"/>
    <w:rsid w:val="001A7712"/>
    <w:rsid w:val="001A77A9"/>
    <w:rsid w:val="001A7FC6"/>
    <w:rsid w:val="001B027E"/>
    <w:rsid w:val="001B2A0C"/>
    <w:rsid w:val="001B331B"/>
    <w:rsid w:val="001B33EF"/>
    <w:rsid w:val="001B4323"/>
    <w:rsid w:val="001B5120"/>
    <w:rsid w:val="001B51C1"/>
    <w:rsid w:val="001B63E3"/>
    <w:rsid w:val="001B6945"/>
    <w:rsid w:val="001B7965"/>
    <w:rsid w:val="001B7E27"/>
    <w:rsid w:val="001C09EE"/>
    <w:rsid w:val="001C3B68"/>
    <w:rsid w:val="001C4A3F"/>
    <w:rsid w:val="001C5D79"/>
    <w:rsid w:val="001C5D7B"/>
    <w:rsid w:val="001C609B"/>
    <w:rsid w:val="001C6A4A"/>
    <w:rsid w:val="001C7699"/>
    <w:rsid w:val="001C7ABA"/>
    <w:rsid w:val="001D0F68"/>
    <w:rsid w:val="001D19E4"/>
    <w:rsid w:val="001D1ED1"/>
    <w:rsid w:val="001D23EF"/>
    <w:rsid w:val="001D28B9"/>
    <w:rsid w:val="001D3407"/>
    <w:rsid w:val="001D4A75"/>
    <w:rsid w:val="001D4D82"/>
    <w:rsid w:val="001D503C"/>
    <w:rsid w:val="001D5207"/>
    <w:rsid w:val="001D6064"/>
    <w:rsid w:val="001D7783"/>
    <w:rsid w:val="001D7D74"/>
    <w:rsid w:val="001D7DE1"/>
    <w:rsid w:val="001D7F29"/>
    <w:rsid w:val="001E08E7"/>
    <w:rsid w:val="001E0D9E"/>
    <w:rsid w:val="001E19A1"/>
    <w:rsid w:val="001E1E03"/>
    <w:rsid w:val="001E2536"/>
    <w:rsid w:val="001E2CEB"/>
    <w:rsid w:val="001E3576"/>
    <w:rsid w:val="001E4C98"/>
    <w:rsid w:val="001E6B09"/>
    <w:rsid w:val="001E6B4A"/>
    <w:rsid w:val="001E6F3C"/>
    <w:rsid w:val="001E766D"/>
    <w:rsid w:val="001E76DB"/>
    <w:rsid w:val="001E7A1B"/>
    <w:rsid w:val="001F01AD"/>
    <w:rsid w:val="001F060F"/>
    <w:rsid w:val="001F0CCF"/>
    <w:rsid w:val="001F0EE5"/>
    <w:rsid w:val="001F10C0"/>
    <w:rsid w:val="001F1699"/>
    <w:rsid w:val="001F1DC2"/>
    <w:rsid w:val="001F21B9"/>
    <w:rsid w:val="001F21D0"/>
    <w:rsid w:val="001F3E66"/>
    <w:rsid w:val="001F404A"/>
    <w:rsid w:val="001F57E0"/>
    <w:rsid w:val="001F693D"/>
    <w:rsid w:val="001F6DDB"/>
    <w:rsid w:val="001F78C8"/>
    <w:rsid w:val="002004F7"/>
    <w:rsid w:val="00200707"/>
    <w:rsid w:val="002029A2"/>
    <w:rsid w:val="002037E8"/>
    <w:rsid w:val="00203CEB"/>
    <w:rsid w:val="00204D39"/>
    <w:rsid w:val="00204FEE"/>
    <w:rsid w:val="002057DC"/>
    <w:rsid w:val="00205E8A"/>
    <w:rsid w:val="002077FC"/>
    <w:rsid w:val="00207AB4"/>
    <w:rsid w:val="00207D9E"/>
    <w:rsid w:val="00207DC1"/>
    <w:rsid w:val="002105A9"/>
    <w:rsid w:val="00211094"/>
    <w:rsid w:val="00211EB4"/>
    <w:rsid w:val="00212F56"/>
    <w:rsid w:val="002151D8"/>
    <w:rsid w:val="00215537"/>
    <w:rsid w:val="002162A9"/>
    <w:rsid w:val="00216DE8"/>
    <w:rsid w:val="002177D1"/>
    <w:rsid w:val="00217B4B"/>
    <w:rsid w:val="00217D83"/>
    <w:rsid w:val="00217E1D"/>
    <w:rsid w:val="00220762"/>
    <w:rsid w:val="002207E6"/>
    <w:rsid w:val="002215E7"/>
    <w:rsid w:val="0022167E"/>
    <w:rsid w:val="002219D7"/>
    <w:rsid w:val="00221D20"/>
    <w:rsid w:val="00222195"/>
    <w:rsid w:val="0022264A"/>
    <w:rsid w:val="00222BBA"/>
    <w:rsid w:val="00223355"/>
    <w:rsid w:val="00223AB7"/>
    <w:rsid w:val="0022426E"/>
    <w:rsid w:val="0022477E"/>
    <w:rsid w:val="002248D6"/>
    <w:rsid w:val="00224D8F"/>
    <w:rsid w:val="00225215"/>
    <w:rsid w:val="00225CBE"/>
    <w:rsid w:val="00225D39"/>
    <w:rsid w:val="00226036"/>
    <w:rsid w:val="00226A45"/>
    <w:rsid w:val="00227DDB"/>
    <w:rsid w:val="00231F11"/>
    <w:rsid w:val="00232FB6"/>
    <w:rsid w:val="002339EB"/>
    <w:rsid w:val="00235AC1"/>
    <w:rsid w:val="00236D87"/>
    <w:rsid w:val="00236DB4"/>
    <w:rsid w:val="0023790C"/>
    <w:rsid w:val="00237AB3"/>
    <w:rsid w:val="00237DC1"/>
    <w:rsid w:val="0024053C"/>
    <w:rsid w:val="00240F7A"/>
    <w:rsid w:val="00241A08"/>
    <w:rsid w:val="002420E7"/>
    <w:rsid w:val="00242499"/>
    <w:rsid w:val="00242685"/>
    <w:rsid w:val="00242834"/>
    <w:rsid w:val="0024350E"/>
    <w:rsid w:val="00243554"/>
    <w:rsid w:val="00244C54"/>
    <w:rsid w:val="00245F3A"/>
    <w:rsid w:val="0024640B"/>
    <w:rsid w:val="00246EAE"/>
    <w:rsid w:val="00246F33"/>
    <w:rsid w:val="0024797C"/>
    <w:rsid w:val="00250CB2"/>
    <w:rsid w:val="00251993"/>
    <w:rsid w:val="00251CE9"/>
    <w:rsid w:val="00254886"/>
    <w:rsid w:val="002548CA"/>
    <w:rsid w:val="00255501"/>
    <w:rsid w:val="00255555"/>
    <w:rsid w:val="00256473"/>
    <w:rsid w:val="00256D2B"/>
    <w:rsid w:val="00257CB5"/>
    <w:rsid w:val="0026042F"/>
    <w:rsid w:val="002605F4"/>
    <w:rsid w:val="002610FE"/>
    <w:rsid w:val="00261FEB"/>
    <w:rsid w:val="00262185"/>
    <w:rsid w:val="00262E58"/>
    <w:rsid w:val="00264181"/>
    <w:rsid w:val="0026458D"/>
    <w:rsid w:val="002648A1"/>
    <w:rsid w:val="0026508E"/>
    <w:rsid w:val="00265302"/>
    <w:rsid w:val="00265642"/>
    <w:rsid w:val="00265E96"/>
    <w:rsid w:val="0026624D"/>
    <w:rsid w:val="002663C4"/>
    <w:rsid w:val="002663F7"/>
    <w:rsid w:val="0026675D"/>
    <w:rsid w:val="00267A0B"/>
    <w:rsid w:val="00270507"/>
    <w:rsid w:val="00270674"/>
    <w:rsid w:val="00270E8C"/>
    <w:rsid w:val="00271BB1"/>
    <w:rsid w:val="00271D8D"/>
    <w:rsid w:val="00272544"/>
    <w:rsid w:val="002726EE"/>
    <w:rsid w:val="00272B98"/>
    <w:rsid w:val="002732F1"/>
    <w:rsid w:val="002733A2"/>
    <w:rsid w:val="0027345F"/>
    <w:rsid w:val="00273767"/>
    <w:rsid w:val="00275B1F"/>
    <w:rsid w:val="002760DB"/>
    <w:rsid w:val="002764F6"/>
    <w:rsid w:val="00276672"/>
    <w:rsid w:val="00277319"/>
    <w:rsid w:val="002800CA"/>
    <w:rsid w:val="00281412"/>
    <w:rsid w:val="00281CD3"/>
    <w:rsid w:val="00282F0A"/>
    <w:rsid w:val="00282FE9"/>
    <w:rsid w:val="002834C2"/>
    <w:rsid w:val="00284274"/>
    <w:rsid w:val="00284D89"/>
    <w:rsid w:val="002853DE"/>
    <w:rsid w:val="00285427"/>
    <w:rsid w:val="00285BC0"/>
    <w:rsid w:val="00286211"/>
    <w:rsid w:val="00286270"/>
    <w:rsid w:val="00287163"/>
    <w:rsid w:val="00291510"/>
    <w:rsid w:val="00292690"/>
    <w:rsid w:val="00292E19"/>
    <w:rsid w:val="002931D1"/>
    <w:rsid w:val="002934ED"/>
    <w:rsid w:val="00293756"/>
    <w:rsid w:val="0029422B"/>
    <w:rsid w:val="00294F6C"/>
    <w:rsid w:val="002951C2"/>
    <w:rsid w:val="00295F1D"/>
    <w:rsid w:val="002960D5"/>
    <w:rsid w:val="00297293"/>
    <w:rsid w:val="002A0500"/>
    <w:rsid w:val="002A0548"/>
    <w:rsid w:val="002A05D0"/>
    <w:rsid w:val="002A1360"/>
    <w:rsid w:val="002A1B1C"/>
    <w:rsid w:val="002A1B9E"/>
    <w:rsid w:val="002A2481"/>
    <w:rsid w:val="002A2A49"/>
    <w:rsid w:val="002A3697"/>
    <w:rsid w:val="002A43A2"/>
    <w:rsid w:val="002A5EB9"/>
    <w:rsid w:val="002A64E3"/>
    <w:rsid w:val="002A6A91"/>
    <w:rsid w:val="002A7059"/>
    <w:rsid w:val="002A709A"/>
    <w:rsid w:val="002B02EC"/>
    <w:rsid w:val="002B0EFD"/>
    <w:rsid w:val="002B10FC"/>
    <w:rsid w:val="002B1A5A"/>
    <w:rsid w:val="002B23FB"/>
    <w:rsid w:val="002B2D98"/>
    <w:rsid w:val="002B4373"/>
    <w:rsid w:val="002B4E39"/>
    <w:rsid w:val="002B6628"/>
    <w:rsid w:val="002B7F5F"/>
    <w:rsid w:val="002C043C"/>
    <w:rsid w:val="002C08E5"/>
    <w:rsid w:val="002C1399"/>
    <w:rsid w:val="002C227A"/>
    <w:rsid w:val="002C26D8"/>
    <w:rsid w:val="002C2D8B"/>
    <w:rsid w:val="002C34C2"/>
    <w:rsid w:val="002C3909"/>
    <w:rsid w:val="002C3941"/>
    <w:rsid w:val="002C3C59"/>
    <w:rsid w:val="002C51B5"/>
    <w:rsid w:val="002C65A8"/>
    <w:rsid w:val="002C6B07"/>
    <w:rsid w:val="002C7A91"/>
    <w:rsid w:val="002D09CA"/>
    <w:rsid w:val="002D2271"/>
    <w:rsid w:val="002D2870"/>
    <w:rsid w:val="002D39EE"/>
    <w:rsid w:val="002D50ED"/>
    <w:rsid w:val="002D5499"/>
    <w:rsid w:val="002D5B79"/>
    <w:rsid w:val="002D5FA5"/>
    <w:rsid w:val="002D6BF2"/>
    <w:rsid w:val="002D6CBD"/>
    <w:rsid w:val="002D6D10"/>
    <w:rsid w:val="002D7603"/>
    <w:rsid w:val="002D79E6"/>
    <w:rsid w:val="002E0D79"/>
    <w:rsid w:val="002E0EA2"/>
    <w:rsid w:val="002E1721"/>
    <w:rsid w:val="002E2158"/>
    <w:rsid w:val="002E28E8"/>
    <w:rsid w:val="002E2D11"/>
    <w:rsid w:val="002E408A"/>
    <w:rsid w:val="002E41E1"/>
    <w:rsid w:val="002E6175"/>
    <w:rsid w:val="002E6260"/>
    <w:rsid w:val="002E7527"/>
    <w:rsid w:val="002E77F4"/>
    <w:rsid w:val="002E7A7A"/>
    <w:rsid w:val="002F06FB"/>
    <w:rsid w:val="002F091E"/>
    <w:rsid w:val="002F0E3B"/>
    <w:rsid w:val="002F14FA"/>
    <w:rsid w:val="002F2BAD"/>
    <w:rsid w:val="002F2EB4"/>
    <w:rsid w:val="002F3E80"/>
    <w:rsid w:val="002F44D4"/>
    <w:rsid w:val="002F5A6E"/>
    <w:rsid w:val="002F5EBE"/>
    <w:rsid w:val="002F6445"/>
    <w:rsid w:val="002F6C0B"/>
    <w:rsid w:val="002F6C29"/>
    <w:rsid w:val="002F764E"/>
    <w:rsid w:val="002F7CC9"/>
    <w:rsid w:val="00300299"/>
    <w:rsid w:val="0030030D"/>
    <w:rsid w:val="00301583"/>
    <w:rsid w:val="0030195E"/>
    <w:rsid w:val="00301AF4"/>
    <w:rsid w:val="00301F84"/>
    <w:rsid w:val="0030201D"/>
    <w:rsid w:val="0030257D"/>
    <w:rsid w:val="0030367D"/>
    <w:rsid w:val="00303FC9"/>
    <w:rsid w:val="00304976"/>
    <w:rsid w:val="00304EF3"/>
    <w:rsid w:val="003059B5"/>
    <w:rsid w:val="00306428"/>
    <w:rsid w:val="00310183"/>
    <w:rsid w:val="0031097B"/>
    <w:rsid w:val="003114A5"/>
    <w:rsid w:val="00311BAD"/>
    <w:rsid w:val="00313A2C"/>
    <w:rsid w:val="00313DF4"/>
    <w:rsid w:val="00314DE0"/>
    <w:rsid w:val="0031538E"/>
    <w:rsid w:val="00315A74"/>
    <w:rsid w:val="00315D97"/>
    <w:rsid w:val="00315E17"/>
    <w:rsid w:val="00316291"/>
    <w:rsid w:val="00316656"/>
    <w:rsid w:val="00316A7F"/>
    <w:rsid w:val="00317106"/>
    <w:rsid w:val="003171A2"/>
    <w:rsid w:val="003172F1"/>
    <w:rsid w:val="003173C9"/>
    <w:rsid w:val="00317DA0"/>
    <w:rsid w:val="003206BF"/>
    <w:rsid w:val="0032086B"/>
    <w:rsid w:val="00320E59"/>
    <w:rsid w:val="0032199D"/>
    <w:rsid w:val="003222DE"/>
    <w:rsid w:val="003228F9"/>
    <w:rsid w:val="00323518"/>
    <w:rsid w:val="0032413B"/>
    <w:rsid w:val="003243CF"/>
    <w:rsid w:val="0032538C"/>
    <w:rsid w:val="00325E8E"/>
    <w:rsid w:val="0032650E"/>
    <w:rsid w:val="00326AD1"/>
    <w:rsid w:val="003273C3"/>
    <w:rsid w:val="003303F6"/>
    <w:rsid w:val="0033224F"/>
    <w:rsid w:val="00332F5E"/>
    <w:rsid w:val="0033316D"/>
    <w:rsid w:val="003337A3"/>
    <w:rsid w:val="00333EF2"/>
    <w:rsid w:val="00334161"/>
    <w:rsid w:val="00334447"/>
    <w:rsid w:val="00334D13"/>
    <w:rsid w:val="00335B21"/>
    <w:rsid w:val="003363D0"/>
    <w:rsid w:val="00336581"/>
    <w:rsid w:val="003408F2"/>
    <w:rsid w:val="003416F6"/>
    <w:rsid w:val="00341EA7"/>
    <w:rsid w:val="00342485"/>
    <w:rsid w:val="003434B4"/>
    <w:rsid w:val="003438EB"/>
    <w:rsid w:val="00343964"/>
    <w:rsid w:val="00343B7C"/>
    <w:rsid w:val="003448AD"/>
    <w:rsid w:val="00345063"/>
    <w:rsid w:val="00345144"/>
    <w:rsid w:val="00346802"/>
    <w:rsid w:val="00346A72"/>
    <w:rsid w:val="00350F78"/>
    <w:rsid w:val="00350F80"/>
    <w:rsid w:val="00351293"/>
    <w:rsid w:val="00352290"/>
    <w:rsid w:val="003524DF"/>
    <w:rsid w:val="003529F7"/>
    <w:rsid w:val="0035360F"/>
    <w:rsid w:val="00353D2A"/>
    <w:rsid w:val="0035420B"/>
    <w:rsid w:val="0035444A"/>
    <w:rsid w:val="003549B9"/>
    <w:rsid w:val="00354B4C"/>
    <w:rsid w:val="00354BB0"/>
    <w:rsid w:val="0035598C"/>
    <w:rsid w:val="00355A25"/>
    <w:rsid w:val="00355E85"/>
    <w:rsid w:val="00355F97"/>
    <w:rsid w:val="0036064A"/>
    <w:rsid w:val="00360E17"/>
    <w:rsid w:val="00361327"/>
    <w:rsid w:val="00361FC4"/>
    <w:rsid w:val="00362837"/>
    <w:rsid w:val="00362AA2"/>
    <w:rsid w:val="003634CB"/>
    <w:rsid w:val="0036352C"/>
    <w:rsid w:val="00363C08"/>
    <w:rsid w:val="00363F1D"/>
    <w:rsid w:val="00364807"/>
    <w:rsid w:val="00364988"/>
    <w:rsid w:val="003652CD"/>
    <w:rsid w:val="00365501"/>
    <w:rsid w:val="003655E8"/>
    <w:rsid w:val="00366E4C"/>
    <w:rsid w:val="00366ED6"/>
    <w:rsid w:val="003670B3"/>
    <w:rsid w:val="00367343"/>
    <w:rsid w:val="003700B7"/>
    <w:rsid w:val="00370470"/>
    <w:rsid w:val="003709D8"/>
    <w:rsid w:val="00370C7A"/>
    <w:rsid w:val="00373B59"/>
    <w:rsid w:val="0037477C"/>
    <w:rsid w:val="00375D2E"/>
    <w:rsid w:val="0037744E"/>
    <w:rsid w:val="00377FE0"/>
    <w:rsid w:val="0038006B"/>
    <w:rsid w:val="00381D47"/>
    <w:rsid w:val="003822EA"/>
    <w:rsid w:val="00382382"/>
    <w:rsid w:val="00382778"/>
    <w:rsid w:val="00382EFE"/>
    <w:rsid w:val="003834D2"/>
    <w:rsid w:val="00383C5E"/>
    <w:rsid w:val="00384086"/>
    <w:rsid w:val="00384AD1"/>
    <w:rsid w:val="00385CF4"/>
    <w:rsid w:val="003861EE"/>
    <w:rsid w:val="00386B0C"/>
    <w:rsid w:val="0038763A"/>
    <w:rsid w:val="00387896"/>
    <w:rsid w:val="00390343"/>
    <w:rsid w:val="0039056E"/>
    <w:rsid w:val="00391093"/>
    <w:rsid w:val="0039115D"/>
    <w:rsid w:val="00391418"/>
    <w:rsid w:val="00391ABF"/>
    <w:rsid w:val="00392907"/>
    <w:rsid w:val="00394578"/>
    <w:rsid w:val="00395027"/>
    <w:rsid w:val="00395067"/>
    <w:rsid w:val="00395386"/>
    <w:rsid w:val="0039658D"/>
    <w:rsid w:val="003969DE"/>
    <w:rsid w:val="00396D22"/>
    <w:rsid w:val="003A0AA6"/>
    <w:rsid w:val="003A10AB"/>
    <w:rsid w:val="003A14C2"/>
    <w:rsid w:val="003A1AFB"/>
    <w:rsid w:val="003A1C5F"/>
    <w:rsid w:val="003A2879"/>
    <w:rsid w:val="003A3B9C"/>
    <w:rsid w:val="003A3BFF"/>
    <w:rsid w:val="003A3E47"/>
    <w:rsid w:val="003A423E"/>
    <w:rsid w:val="003A4990"/>
    <w:rsid w:val="003A49E0"/>
    <w:rsid w:val="003A4C58"/>
    <w:rsid w:val="003A4D01"/>
    <w:rsid w:val="003A5B79"/>
    <w:rsid w:val="003A6ACD"/>
    <w:rsid w:val="003A6D86"/>
    <w:rsid w:val="003A7BC7"/>
    <w:rsid w:val="003A7ECC"/>
    <w:rsid w:val="003B0253"/>
    <w:rsid w:val="003B0AE5"/>
    <w:rsid w:val="003B11D7"/>
    <w:rsid w:val="003B15A4"/>
    <w:rsid w:val="003B1622"/>
    <w:rsid w:val="003B1AA4"/>
    <w:rsid w:val="003B1EF2"/>
    <w:rsid w:val="003B27EF"/>
    <w:rsid w:val="003B2DCA"/>
    <w:rsid w:val="003B5C10"/>
    <w:rsid w:val="003B6491"/>
    <w:rsid w:val="003B7EBA"/>
    <w:rsid w:val="003C1DD0"/>
    <w:rsid w:val="003C2049"/>
    <w:rsid w:val="003C2527"/>
    <w:rsid w:val="003C2715"/>
    <w:rsid w:val="003C2BD2"/>
    <w:rsid w:val="003C2E5F"/>
    <w:rsid w:val="003C2F21"/>
    <w:rsid w:val="003C3327"/>
    <w:rsid w:val="003C39FF"/>
    <w:rsid w:val="003C3F1E"/>
    <w:rsid w:val="003C4881"/>
    <w:rsid w:val="003C4BB8"/>
    <w:rsid w:val="003C59AF"/>
    <w:rsid w:val="003C5CDA"/>
    <w:rsid w:val="003C6C81"/>
    <w:rsid w:val="003C6F81"/>
    <w:rsid w:val="003C71CF"/>
    <w:rsid w:val="003C730F"/>
    <w:rsid w:val="003C73DC"/>
    <w:rsid w:val="003D1570"/>
    <w:rsid w:val="003D1A0F"/>
    <w:rsid w:val="003D239B"/>
    <w:rsid w:val="003D2EEF"/>
    <w:rsid w:val="003D31FE"/>
    <w:rsid w:val="003D43F1"/>
    <w:rsid w:val="003D4AE8"/>
    <w:rsid w:val="003D51FD"/>
    <w:rsid w:val="003D5216"/>
    <w:rsid w:val="003D6D2E"/>
    <w:rsid w:val="003E00D9"/>
    <w:rsid w:val="003E1D9D"/>
    <w:rsid w:val="003E2229"/>
    <w:rsid w:val="003E2324"/>
    <w:rsid w:val="003E258F"/>
    <w:rsid w:val="003E2A00"/>
    <w:rsid w:val="003E2ECC"/>
    <w:rsid w:val="003E42F0"/>
    <w:rsid w:val="003E5034"/>
    <w:rsid w:val="003E52CA"/>
    <w:rsid w:val="003E57FF"/>
    <w:rsid w:val="003E62A2"/>
    <w:rsid w:val="003E6A83"/>
    <w:rsid w:val="003E79F1"/>
    <w:rsid w:val="003E7D75"/>
    <w:rsid w:val="003F0B9D"/>
    <w:rsid w:val="003F1CBA"/>
    <w:rsid w:val="003F26C1"/>
    <w:rsid w:val="003F28E1"/>
    <w:rsid w:val="003F3017"/>
    <w:rsid w:val="003F4133"/>
    <w:rsid w:val="003F5327"/>
    <w:rsid w:val="003F6124"/>
    <w:rsid w:val="003F641F"/>
    <w:rsid w:val="003F6A0E"/>
    <w:rsid w:val="003F6C05"/>
    <w:rsid w:val="003F7121"/>
    <w:rsid w:val="003F7682"/>
    <w:rsid w:val="003F785B"/>
    <w:rsid w:val="00400884"/>
    <w:rsid w:val="00400E55"/>
    <w:rsid w:val="004012E5"/>
    <w:rsid w:val="00401753"/>
    <w:rsid w:val="00401CFB"/>
    <w:rsid w:val="00402AAC"/>
    <w:rsid w:val="00402ACE"/>
    <w:rsid w:val="004035F6"/>
    <w:rsid w:val="0040412C"/>
    <w:rsid w:val="00404501"/>
    <w:rsid w:val="004067FE"/>
    <w:rsid w:val="00406A34"/>
    <w:rsid w:val="00411345"/>
    <w:rsid w:val="00412043"/>
    <w:rsid w:val="0041207E"/>
    <w:rsid w:val="00412560"/>
    <w:rsid w:val="00412F96"/>
    <w:rsid w:val="00414FAF"/>
    <w:rsid w:val="00415BE9"/>
    <w:rsid w:val="00416FDC"/>
    <w:rsid w:val="00417181"/>
    <w:rsid w:val="00417858"/>
    <w:rsid w:val="004179E3"/>
    <w:rsid w:val="0042028B"/>
    <w:rsid w:val="004203B0"/>
    <w:rsid w:val="004208FB"/>
    <w:rsid w:val="00421BBC"/>
    <w:rsid w:val="0042237D"/>
    <w:rsid w:val="00422D42"/>
    <w:rsid w:val="00422E3C"/>
    <w:rsid w:val="004233BF"/>
    <w:rsid w:val="00424B3B"/>
    <w:rsid w:val="0042509C"/>
    <w:rsid w:val="00426084"/>
    <w:rsid w:val="004268AA"/>
    <w:rsid w:val="004304B9"/>
    <w:rsid w:val="004307DA"/>
    <w:rsid w:val="00432252"/>
    <w:rsid w:val="004323A7"/>
    <w:rsid w:val="004324C6"/>
    <w:rsid w:val="00432E20"/>
    <w:rsid w:val="004346C8"/>
    <w:rsid w:val="00434E58"/>
    <w:rsid w:val="00436230"/>
    <w:rsid w:val="0043649B"/>
    <w:rsid w:val="00437363"/>
    <w:rsid w:val="00437B14"/>
    <w:rsid w:val="00440491"/>
    <w:rsid w:val="00440DEC"/>
    <w:rsid w:val="00441048"/>
    <w:rsid w:val="004415A8"/>
    <w:rsid w:val="004419BF"/>
    <w:rsid w:val="004424BE"/>
    <w:rsid w:val="00442840"/>
    <w:rsid w:val="00442E3E"/>
    <w:rsid w:val="00444658"/>
    <w:rsid w:val="00444FA0"/>
    <w:rsid w:val="0044503E"/>
    <w:rsid w:val="004453A2"/>
    <w:rsid w:val="00445553"/>
    <w:rsid w:val="00446708"/>
    <w:rsid w:val="00447823"/>
    <w:rsid w:val="00447843"/>
    <w:rsid w:val="004503FC"/>
    <w:rsid w:val="00450717"/>
    <w:rsid w:val="00450ACC"/>
    <w:rsid w:val="00450E3C"/>
    <w:rsid w:val="004512E5"/>
    <w:rsid w:val="0045145C"/>
    <w:rsid w:val="0045228F"/>
    <w:rsid w:val="00452892"/>
    <w:rsid w:val="00453B20"/>
    <w:rsid w:val="004546F8"/>
    <w:rsid w:val="004559EA"/>
    <w:rsid w:val="00455AA4"/>
    <w:rsid w:val="0045661F"/>
    <w:rsid w:val="004568AD"/>
    <w:rsid w:val="004576F6"/>
    <w:rsid w:val="00462000"/>
    <w:rsid w:val="00462675"/>
    <w:rsid w:val="00462AA0"/>
    <w:rsid w:val="00463ABE"/>
    <w:rsid w:val="004643A6"/>
    <w:rsid w:val="00464460"/>
    <w:rsid w:val="004645A6"/>
    <w:rsid w:val="004647F0"/>
    <w:rsid w:val="00464B50"/>
    <w:rsid w:val="00464B66"/>
    <w:rsid w:val="00464F69"/>
    <w:rsid w:val="0046554E"/>
    <w:rsid w:val="00466CCC"/>
    <w:rsid w:val="00466DE4"/>
    <w:rsid w:val="00467ED0"/>
    <w:rsid w:val="0047089D"/>
    <w:rsid w:val="00470A3A"/>
    <w:rsid w:val="00471320"/>
    <w:rsid w:val="004729AF"/>
    <w:rsid w:val="004731C4"/>
    <w:rsid w:val="004733A8"/>
    <w:rsid w:val="004736C3"/>
    <w:rsid w:val="00473B27"/>
    <w:rsid w:val="00475261"/>
    <w:rsid w:val="00475C6E"/>
    <w:rsid w:val="004762B5"/>
    <w:rsid w:val="00477EF1"/>
    <w:rsid w:val="004806F4"/>
    <w:rsid w:val="00481AEE"/>
    <w:rsid w:val="00482293"/>
    <w:rsid w:val="004827C4"/>
    <w:rsid w:val="00483602"/>
    <w:rsid w:val="00483987"/>
    <w:rsid w:val="00485102"/>
    <w:rsid w:val="004853BA"/>
    <w:rsid w:val="00485796"/>
    <w:rsid w:val="00486C14"/>
    <w:rsid w:val="00487F02"/>
    <w:rsid w:val="00490E56"/>
    <w:rsid w:val="0049106B"/>
    <w:rsid w:val="00491392"/>
    <w:rsid w:val="0049152C"/>
    <w:rsid w:val="00492062"/>
    <w:rsid w:val="004923E7"/>
    <w:rsid w:val="00492CF6"/>
    <w:rsid w:val="00493A82"/>
    <w:rsid w:val="004941E8"/>
    <w:rsid w:val="004943C8"/>
    <w:rsid w:val="00494738"/>
    <w:rsid w:val="004968A9"/>
    <w:rsid w:val="0049789B"/>
    <w:rsid w:val="00497A0E"/>
    <w:rsid w:val="00497D31"/>
    <w:rsid w:val="00497E79"/>
    <w:rsid w:val="004A0914"/>
    <w:rsid w:val="004A0D10"/>
    <w:rsid w:val="004A0E94"/>
    <w:rsid w:val="004A1510"/>
    <w:rsid w:val="004A1DE9"/>
    <w:rsid w:val="004A3D32"/>
    <w:rsid w:val="004A453B"/>
    <w:rsid w:val="004A4BE7"/>
    <w:rsid w:val="004A545B"/>
    <w:rsid w:val="004A61A9"/>
    <w:rsid w:val="004A6AE0"/>
    <w:rsid w:val="004B05A3"/>
    <w:rsid w:val="004B0F87"/>
    <w:rsid w:val="004B154D"/>
    <w:rsid w:val="004B3FB7"/>
    <w:rsid w:val="004B496B"/>
    <w:rsid w:val="004B4972"/>
    <w:rsid w:val="004B4EB7"/>
    <w:rsid w:val="004B6B9F"/>
    <w:rsid w:val="004B7160"/>
    <w:rsid w:val="004B743C"/>
    <w:rsid w:val="004B7593"/>
    <w:rsid w:val="004B779F"/>
    <w:rsid w:val="004B793D"/>
    <w:rsid w:val="004B7FE0"/>
    <w:rsid w:val="004C0000"/>
    <w:rsid w:val="004C0529"/>
    <w:rsid w:val="004C0A15"/>
    <w:rsid w:val="004C0A48"/>
    <w:rsid w:val="004C0AA9"/>
    <w:rsid w:val="004C0D61"/>
    <w:rsid w:val="004C10D6"/>
    <w:rsid w:val="004C15C0"/>
    <w:rsid w:val="004C1A42"/>
    <w:rsid w:val="004C321D"/>
    <w:rsid w:val="004C40F4"/>
    <w:rsid w:val="004C4308"/>
    <w:rsid w:val="004C4802"/>
    <w:rsid w:val="004C4B4A"/>
    <w:rsid w:val="004C5248"/>
    <w:rsid w:val="004C535D"/>
    <w:rsid w:val="004C5547"/>
    <w:rsid w:val="004C6664"/>
    <w:rsid w:val="004C70FF"/>
    <w:rsid w:val="004C7983"/>
    <w:rsid w:val="004D05B6"/>
    <w:rsid w:val="004D20EF"/>
    <w:rsid w:val="004D32A5"/>
    <w:rsid w:val="004D3763"/>
    <w:rsid w:val="004D39A3"/>
    <w:rsid w:val="004D49A1"/>
    <w:rsid w:val="004D4BCE"/>
    <w:rsid w:val="004D6497"/>
    <w:rsid w:val="004D6791"/>
    <w:rsid w:val="004D6973"/>
    <w:rsid w:val="004D6E24"/>
    <w:rsid w:val="004E002F"/>
    <w:rsid w:val="004E0874"/>
    <w:rsid w:val="004E1184"/>
    <w:rsid w:val="004E1627"/>
    <w:rsid w:val="004E1A7B"/>
    <w:rsid w:val="004E2093"/>
    <w:rsid w:val="004E3428"/>
    <w:rsid w:val="004E382E"/>
    <w:rsid w:val="004E394C"/>
    <w:rsid w:val="004E4081"/>
    <w:rsid w:val="004E40AA"/>
    <w:rsid w:val="004E40BE"/>
    <w:rsid w:val="004E4AA2"/>
    <w:rsid w:val="004E5171"/>
    <w:rsid w:val="004E5338"/>
    <w:rsid w:val="004E6056"/>
    <w:rsid w:val="004E6809"/>
    <w:rsid w:val="004E795F"/>
    <w:rsid w:val="004F00DC"/>
    <w:rsid w:val="004F152A"/>
    <w:rsid w:val="004F16E6"/>
    <w:rsid w:val="004F3682"/>
    <w:rsid w:val="004F4345"/>
    <w:rsid w:val="004F4E4E"/>
    <w:rsid w:val="004F4F9B"/>
    <w:rsid w:val="004F5E23"/>
    <w:rsid w:val="00500EE7"/>
    <w:rsid w:val="0050156D"/>
    <w:rsid w:val="00501915"/>
    <w:rsid w:val="00501C5D"/>
    <w:rsid w:val="005021FC"/>
    <w:rsid w:val="0050281D"/>
    <w:rsid w:val="005045B0"/>
    <w:rsid w:val="005066A0"/>
    <w:rsid w:val="00506C50"/>
    <w:rsid w:val="00507203"/>
    <w:rsid w:val="0051101F"/>
    <w:rsid w:val="005114AA"/>
    <w:rsid w:val="0051204E"/>
    <w:rsid w:val="00512688"/>
    <w:rsid w:val="0051316B"/>
    <w:rsid w:val="00513635"/>
    <w:rsid w:val="00514285"/>
    <w:rsid w:val="005167BB"/>
    <w:rsid w:val="005167D8"/>
    <w:rsid w:val="00516B15"/>
    <w:rsid w:val="00517434"/>
    <w:rsid w:val="00517668"/>
    <w:rsid w:val="00520040"/>
    <w:rsid w:val="00520332"/>
    <w:rsid w:val="00520F85"/>
    <w:rsid w:val="00521940"/>
    <w:rsid w:val="00522106"/>
    <w:rsid w:val="0052212A"/>
    <w:rsid w:val="00522470"/>
    <w:rsid w:val="0052254D"/>
    <w:rsid w:val="005232FE"/>
    <w:rsid w:val="00524098"/>
    <w:rsid w:val="00524181"/>
    <w:rsid w:val="0052530E"/>
    <w:rsid w:val="0052542E"/>
    <w:rsid w:val="00526C69"/>
    <w:rsid w:val="00527FFA"/>
    <w:rsid w:val="00530CE5"/>
    <w:rsid w:val="00531107"/>
    <w:rsid w:val="00531408"/>
    <w:rsid w:val="005314A8"/>
    <w:rsid w:val="00532E6C"/>
    <w:rsid w:val="0053332A"/>
    <w:rsid w:val="00533332"/>
    <w:rsid w:val="005335DA"/>
    <w:rsid w:val="0053458A"/>
    <w:rsid w:val="00534E20"/>
    <w:rsid w:val="00535529"/>
    <w:rsid w:val="0053569D"/>
    <w:rsid w:val="00535A2D"/>
    <w:rsid w:val="00536909"/>
    <w:rsid w:val="00537BF4"/>
    <w:rsid w:val="00537F2C"/>
    <w:rsid w:val="00540DDC"/>
    <w:rsid w:val="00540E77"/>
    <w:rsid w:val="00540FB9"/>
    <w:rsid w:val="00541513"/>
    <w:rsid w:val="005416B0"/>
    <w:rsid w:val="00541814"/>
    <w:rsid w:val="005423E6"/>
    <w:rsid w:val="00542CC1"/>
    <w:rsid w:val="00542F71"/>
    <w:rsid w:val="005436FE"/>
    <w:rsid w:val="00544942"/>
    <w:rsid w:val="00545721"/>
    <w:rsid w:val="00545A2B"/>
    <w:rsid w:val="00546929"/>
    <w:rsid w:val="00547209"/>
    <w:rsid w:val="0054791A"/>
    <w:rsid w:val="00550C22"/>
    <w:rsid w:val="00551359"/>
    <w:rsid w:val="0055224D"/>
    <w:rsid w:val="00552782"/>
    <w:rsid w:val="00553E65"/>
    <w:rsid w:val="005546D8"/>
    <w:rsid w:val="005549FC"/>
    <w:rsid w:val="005551AE"/>
    <w:rsid w:val="00555390"/>
    <w:rsid w:val="00556205"/>
    <w:rsid w:val="005562DF"/>
    <w:rsid w:val="00556669"/>
    <w:rsid w:val="00556810"/>
    <w:rsid w:val="00557625"/>
    <w:rsid w:val="00557B84"/>
    <w:rsid w:val="00560191"/>
    <w:rsid w:val="00561070"/>
    <w:rsid w:val="00561F36"/>
    <w:rsid w:val="005623D7"/>
    <w:rsid w:val="00563196"/>
    <w:rsid w:val="00563A34"/>
    <w:rsid w:val="005647AE"/>
    <w:rsid w:val="00566056"/>
    <w:rsid w:val="005674ED"/>
    <w:rsid w:val="005676FC"/>
    <w:rsid w:val="005679BD"/>
    <w:rsid w:val="005701CF"/>
    <w:rsid w:val="00570AEB"/>
    <w:rsid w:val="005713FF"/>
    <w:rsid w:val="00571DE8"/>
    <w:rsid w:val="0057249B"/>
    <w:rsid w:val="005724BA"/>
    <w:rsid w:val="00573961"/>
    <w:rsid w:val="00575F46"/>
    <w:rsid w:val="005771B5"/>
    <w:rsid w:val="005801A4"/>
    <w:rsid w:val="00580ACA"/>
    <w:rsid w:val="00580E1C"/>
    <w:rsid w:val="00581FAD"/>
    <w:rsid w:val="005822F5"/>
    <w:rsid w:val="00582EAE"/>
    <w:rsid w:val="00582ED4"/>
    <w:rsid w:val="00584118"/>
    <w:rsid w:val="00584789"/>
    <w:rsid w:val="00584B25"/>
    <w:rsid w:val="0058557B"/>
    <w:rsid w:val="005868BC"/>
    <w:rsid w:val="00586D4B"/>
    <w:rsid w:val="005871A8"/>
    <w:rsid w:val="005874BD"/>
    <w:rsid w:val="005879E5"/>
    <w:rsid w:val="00590291"/>
    <w:rsid w:val="00590B13"/>
    <w:rsid w:val="00590FBA"/>
    <w:rsid w:val="005915FD"/>
    <w:rsid w:val="00592106"/>
    <w:rsid w:val="005922E2"/>
    <w:rsid w:val="00592931"/>
    <w:rsid w:val="00593AEC"/>
    <w:rsid w:val="00593CBF"/>
    <w:rsid w:val="0059416B"/>
    <w:rsid w:val="00594A30"/>
    <w:rsid w:val="00595128"/>
    <w:rsid w:val="00595AC6"/>
    <w:rsid w:val="00596641"/>
    <w:rsid w:val="00597603"/>
    <w:rsid w:val="005979D1"/>
    <w:rsid w:val="00597F11"/>
    <w:rsid w:val="005A0661"/>
    <w:rsid w:val="005A1FE3"/>
    <w:rsid w:val="005A2235"/>
    <w:rsid w:val="005A23CC"/>
    <w:rsid w:val="005A3262"/>
    <w:rsid w:val="005A33C2"/>
    <w:rsid w:val="005A3AF3"/>
    <w:rsid w:val="005A3D9B"/>
    <w:rsid w:val="005A3F84"/>
    <w:rsid w:val="005A45F7"/>
    <w:rsid w:val="005A5E4B"/>
    <w:rsid w:val="005A67E5"/>
    <w:rsid w:val="005A7F4B"/>
    <w:rsid w:val="005B00B4"/>
    <w:rsid w:val="005B07C1"/>
    <w:rsid w:val="005B183F"/>
    <w:rsid w:val="005B1BB7"/>
    <w:rsid w:val="005B1C61"/>
    <w:rsid w:val="005B222F"/>
    <w:rsid w:val="005B2436"/>
    <w:rsid w:val="005B2FDE"/>
    <w:rsid w:val="005B5354"/>
    <w:rsid w:val="005B59D0"/>
    <w:rsid w:val="005B5AD5"/>
    <w:rsid w:val="005B6701"/>
    <w:rsid w:val="005B6EEC"/>
    <w:rsid w:val="005B746F"/>
    <w:rsid w:val="005B771F"/>
    <w:rsid w:val="005B7FAD"/>
    <w:rsid w:val="005C06C0"/>
    <w:rsid w:val="005C1972"/>
    <w:rsid w:val="005C1ACB"/>
    <w:rsid w:val="005C1C95"/>
    <w:rsid w:val="005C1DB3"/>
    <w:rsid w:val="005C20BA"/>
    <w:rsid w:val="005C2CBC"/>
    <w:rsid w:val="005C37E4"/>
    <w:rsid w:val="005C3906"/>
    <w:rsid w:val="005C3E09"/>
    <w:rsid w:val="005C5557"/>
    <w:rsid w:val="005C6439"/>
    <w:rsid w:val="005C643B"/>
    <w:rsid w:val="005C65BB"/>
    <w:rsid w:val="005C6E3D"/>
    <w:rsid w:val="005C7874"/>
    <w:rsid w:val="005C7B89"/>
    <w:rsid w:val="005D1910"/>
    <w:rsid w:val="005D2465"/>
    <w:rsid w:val="005D4182"/>
    <w:rsid w:val="005D4487"/>
    <w:rsid w:val="005D55F0"/>
    <w:rsid w:val="005D5CAB"/>
    <w:rsid w:val="005D5E43"/>
    <w:rsid w:val="005D7497"/>
    <w:rsid w:val="005D7DEC"/>
    <w:rsid w:val="005E132F"/>
    <w:rsid w:val="005E1EFB"/>
    <w:rsid w:val="005E2075"/>
    <w:rsid w:val="005E2326"/>
    <w:rsid w:val="005E2E27"/>
    <w:rsid w:val="005E3230"/>
    <w:rsid w:val="005E32DF"/>
    <w:rsid w:val="005E3F81"/>
    <w:rsid w:val="005E4960"/>
    <w:rsid w:val="005E533F"/>
    <w:rsid w:val="005E5372"/>
    <w:rsid w:val="005E547A"/>
    <w:rsid w:val="005E5D89"/>
    <w:rsid w:val="005E6162"/>
    <w:rsid w:val="005E6616"/>
    <w:rsid w:val="005E7508"/>
    <w:rsid w:val="005F1A0B"/>
    <w:rsid w:val="005F1BDF"/>
    <w:rsid w:val="005F1FCD"/>
    <w:rsid w:val="005F272C"/>
    <w:rsid w:val="005F2C16"/>
    <w:rsid w:val="005F2E14"/>
    <w:rsid w:val="005F2FB3"/>
    <w:rsid w:val="005F2FFF"/>
    <w:rsid w:val="005F3531"/>
    <w:rsid w:val="005F3EA7"/>
    <w:rsid w:val="005F53A2"/>
    <w:rsid w:val="005F5E5F"/>
    <w:rsid w:val="005F5F1F"/>
    <w:rsid w:val="005F5FE9"/>
    <w:rsid w:val="005F6253"/>
    <w:rsid w:val="005F6797"/>
    <w:rsid w:val="005F67BC"/>
    <w:rsid w:val="005F717F"/>
    <w:rsid w:val="005F7DFA"/>
    <w:rsid w:val="00600664"/>
    <w:rsid w:val="00600E70"/>
    <w:rsid w:val="00601132"/>
    <w:rsid w:val="00602C69"/>
    <w:rsid w:val="00603168"/>
    <w:rsid w:val="00603209"/>
    <w:rsid w:val="00603F8D"/>
    <w:rsid w:val="00604A66"/>
    <w:rsid w:val="0060514F"/>
    <w:rsid w:val="00605FBD"/>
    <w:rsid w:val="00606CE3"/>
    <w:rsid w:val="00606E79"/>
    <w:rsid w:val="00607054"/>
    <w:rsid w:val="00607B35"/>
    <w:rsid w:val="00610683"/>
    <w:rsid w:val="00611495"/>
    <w:rsid w:val="00611E9A"/>
    <w:rsid w:val="0061201D"/>
    <w:rsid w:val="0061251B"/>
    <w:rsid w:val="006128DE"/>
    <w:rsid w:val="00614312"/>
    <w:rsid w:val="00614626"/>
    <w:rsid w:val="0061570F"/>
    <w:rsid w:val="00615BAF"/>
    <w:rsid w:val="00616FF2"/>
    <w:rsid w:val="006204D5"/>
    <w:rsid w:val="006209FF"/>
    <w:rsid w:val="006221BB"/>
    <w:rsid w:val="0062295D"/>
    <w:rsid w:val="00623020"/>
    <w:rsid w:val="006232D7"/>
    <w:rsid w:val="00623CB4"/>
    <w:rsid w:val="006242BC"/>
    <w:rsid w:val="006245AB"/>
    <w:rsid w:val="00625790"/>
    <w:rsid w:val="00625E42"/>
    <w:rsid w:val="006265A9"/>
    <w:rsid w:val="00626A4D"/>
    <w:rsid w:val="00626AFA"/>
    <w:rsid w:val="00626C51"/>
    <w:rsid w:val="006277F1"/>
    <w:rsid w:val="00627A81"/>
    <w:rsid w:val="00627E9D"/>
    <w:rsid w:val="006301AC"/>
    <w:rsid w:val="006302D9"/>
    <w:rsid w:val="00631029"/>
    <w:rsid w:val="00631258"/>
    <w:rsid w:val="00632884"/>
    <w:rsid w:val="00633908"/>
    <w:rsid w:val="00634F7A"/>
    <w:rsid w:val="0063558E"/>
    <w:rsid w:val="00635C41"/>
    <w:rsid w:val="00635DFA"/>
    <w:rsid w:val="0063613D"/>
    <w:rsid w:val="00636537"/>
    <w:rsid w:val="00636550"/>
    <w:rsid w:val="0063720B"/>
    <w:rsid w:val="006372B2"/>
    <w:rsid w:val="00637F8C"/>
    <w:rsid w:val="006407D8"/>
    <w:rsid w:val="00640AF4"/>
    <w:rsid w:val="00641485"/>
    <w:rsid w:val="00641AA0"/>
    <w:rsid w:val="00642461"/>
    <w:rsid w:val="00642888"/>
    <w:rsid w:val="00642BE6"/>
    <w:rsid w:val="00642CAE"/>
    <w:rsid w:val="00642DEB"/>
    <w:rsid w:val="006434D3"/>
    <w:rsid w:val="00643845"/>
    <w:rsid w:val="00643C5B"/>
    <w:rsid w:val="0064429A"/>
    <w:rsid w:val="00645AD8"/>
    <w:rsid w:val="00645EF9"/>
    <w:rsid w:val="00647987"/>
    <w:rsid w:val="0065017F"/>
    <w:rsid w:val="00650BA6"/>
    <w:rsid w:val="00651999"/>
    <w:rsid w:val="00653877"/>
    <w:rsid w:val="00653C09"/>
    <w:rsid w:val="00653D0B"/>
    <w:rsid w:val="006541D2"/>
    <w:rsid w:val="0065524B"/>
    <w:rsid w:val="006554E5"/>
    <w:rsid w:val="00656385"/>
    <w:rsid w:val="006563AA"/>
    <w:rsid w:val="00656D5F"/>
    <w:rsid w:val="006604A2"/>
    <w:rsid w:val="00660650"/>
    <w:rsid w:val="00660C8A"/>
    <w:rsid w:val="00661092"/>
    <w:rsid w:val="006614A0"/>
    <w:rsid w:val="0066229A"/>
    <w:rsid w:val="0066270A"/>
    <w:rsid w:val="006628C4"/>
    <w:rsid w:val="00662913"/>
    <w:rsid w:val="00662DAB"/>
    <w:rsid w:val="006641FC"/>
    <w:rsid w:val="00664297"/>
    <w:rsid w:val="00664EC2"/>
    <w:rsid w:val="0066516F"/>
    <w:rsid w:val="006672CC"/>
    <w:rsid w:val="0067362B"/>
    <w:rsid w:val="006738F4"/>
    <w:rsid w:val="00673DEF"/>
    <w:rsid w:val="00674058"/>
    <w:rsid w:val="006740DD"/>
    <w:rsid w:val="006761A4"/>
    <w:rsid w:val="006764F6"/>
    <w:rsid w:val="00676AFD"/>
    <w:rsid w:val="006772F3"/>
    <w:rsid w:val="00677D45"/>
    <w:rsid w:val="006820D6"/>
    <w:rsid w:val="00682B7C"/>
    <w:rsid w:val="0068345B"/>
    <w:rsid w:val="00683500"/>
    <w:rsid w:val="00683803"/>
    <w:rsid w:val="00683911"/>
    <w:rsid w:val="0068392E"/>
    <w:rsid w:val="00683FC7"/>
    <w:rsid w:val="00684C92"/>
    <w:rsid w:val="00685607"/>
    <w:rsid w:val="006856BF"/>
    <w:rsid w:val="00685845"/>
    <w:rsid w:val="00685C06"/>
    <w:rsid w:val="00686A91"/>
    <w:rsid w:val="00686EFF"/>
    <w:rsid w:val="0068753E"/>
    <w:rsid w:val="00687AE7"/>
    <w:rsid w:val="00687BF2"/>
    <w:rsid w:val="006901D9"/>
    <w:rsid w:val="00691055"/>
    <w:rsid w:val="006921CA"/>
    <w:rsid w:val="006936F2"/>
    <w:rsid w:val="0069453A"/>
    <w:rsid w:val="006948EF"/>
    <w:rsid w:val="00696DA3"/>
    <w:rsid w:val="00697445"/>
    <w:rsid w:val="006A011A"/>
    <w:rsid w:val="006A0963"/>
    <w:rsid w:val="006A0CDF"/>
    <w:rsid w:val="006A0CE2"/>
    <w:rsid w:val="006A11B0"/>
    <w:rsid w:val="006A139A"/>
    <w:rsid w:val="006A21B8"/>
    <w:rsid w:val="006A2B36"/>
    <w:rsid w:val="006A37C9"/>
    <w:rsid w:val="006A38B6"/>
    <w:rsid w:val="006A5EA7"/>
    <w:rsid w:val="006A7237"/>
    <w:rsid w:val="006A7828"/>
    <w:rsid w:val="006A78F2"/>
    <w:rsid w:val="006B01EC"/>
    <w:rsid w:val="006B025C"/>
    <w:rsid w:val="006B034A"/>
    <w:rsid w:val="006B051E"/>
    <w:rsid w:val="006B075C"/>
    <w:rsid w:val="006B08F9"/>
    <w:rsid w:val="006B1AE8"/>
    <w:rsid w:val="006B225C"/>
    <w:rsid w:val="006B3294"/>
    <w:rsid w:val="006B3308"/>
    <w:rsid w:val="006B3647"/>
    <w:rsid w:val="006B46CF"/>
    <w:rsid w:val="006B493D"/>
    <w:rsid w:val="006B498C"/>
    <w:rsid w:val="006B5163"/>
    <w:rsid w:val="006B52C5"/>
    <w:rsid w:val="006B5A2E"/>
    <w:rsid w:val="006B6E1C"/>
    <w:rsid w:val="006B7976"/>
    <w:rsid w:val="006C076F"/>
    <w:rsid w:val="006C3CCC"/>
    <w:rsid w:val="006C4D9C"/>
    <w:rsid w:val="006C4EEB"/>
    <w:rsid w:val="006C5790"/>
    <w:rsid w:val="006C5D04"/>
    <w:rsid w:val="006C6845"/>
    <w:rsid w:val="006C6BC7"/>
    <w:rsid w:val="006C7135"/>
    <w:rsid w:val="006C719F"/>
    <w:rsid w:val="006C7A9B"/>
    <w:rsid w:val="006C7B88"/>
    <w:rsid w:val="006D085E"/>
    <w:rsid w:val="006D10EB"/>
    <w:rsid w:val="006D1265"/>
    <w:rsid w:val="006D15BB"/>
    <w:rsid w:val="006D3859"/>
    <w:rsid w:val="006D41B3"/>
    <w:rsid w:val="006D471E"/>
    <w:rsid w:val="006D4B27"/>
    <w:rsid w:val="006D5311"/>
    <w:rsid w:val="006D5A19"/>
    <w:rsid w:val="006D6482"/>
    <w:rsid w:val="006D76C1"/>
    <w:rsid w:val="006D79AD"/>
    <w:rsid w:val="006E0BB3"/>
    <w:rsid w:val="006E1305"/>
    <w:rsid w:val="006E2084"/>
    <w:rsid w:val="006E311F"/>
    <w:rsid w:val="006E344C"/>
    <w:rsid w:val="006E3740"/>
    <w:rsid w:val="006E47F8"/>
    <w:rsid w:val="006E4A86"/>
    <w:rsid w:val="006E5845"/>
    <w:rsid w:val="006E762B"/>
    <w:rsid w:val="006E7923"/>
    <w:rsid w:val="006E7DD7"/>
    <w:rsid w:val="006F08E2"/>
    <w:rsid w:val="006F0BF4"/>
    <w:rsid w:val="006F0EEB"/>
    <w:rsid w:val="006F1F88"/>
    <w:rsid w:val="006F27C9"/>
    <w:rsid w:val="006F2827"/>
    <w:rsid w:val="006F283C"/>
    <w:rsid w:val="006F507D"/>
    <w:rsid w:val="006F5782"/>
    <w:rsid w:val="006F7188"/>
    <w:rsid w:val="006F7232"/>
    <w:rsid w:val="006F7E05"/>
    <w:rsid w:val="00700961"/>
    <w:rsid w:val="00701299"/>
    <w:rsid w:val="00701805"/>
    <w:rsid w:val="0070227A"/>
    <w:rsid w:val="00702763"/>
    <w:rsid w:val="00705148"/>
    <w:rsid w:val="00706692"/>
    <w:rsid w:val="007066D6"/>
    <w:rsid w:val="00706BF4"/>
    <w:rsid w:val="00707901"/>
    <w:rsid w:val="0071115C"/>
    <w:rsid w:val="007121A0"/>
    <w:rsid w:val="007135E2"/>
    <w:rsid w:val="007137C7"/>
    <w:rsid w:val="00713F6E"/>
    <w:rsid w:val="00716C96"/>
    <w:rsid w:val="0072055A"/>
    <w:rsid w:val="00720877"/>
    <w:rsid w:val="007208B9"/>
    <w:rsid w:val="00720ECD"/>
    <w:rsid w:val="007212B7"/>
    <w:rsid w:val="00721E6D"/>
    <w:rsid w:val="0072231D"/>
    <w:rsid w:val="007237C7"/>
    <w:rsid w:val="0072390D"/>
    <w:rsid w:val="00724418"/>
    <w:rsid w:val="00724502"/>
    <w:rsid w:val="007246A6"/>
    <w:rsid w:val="00724B41"/>
    <w:rsid w:val="007252A3"/>
    <w:rsid w:val="0072593D"/>
    <w:rsid w:val="00725A31"/>
    <w:rsid w:val="00727A60"/>
    <w:rsid w:val="00727DE6"/>
    <w:rsid w:val="00730BCB"/>
    <w:rsid w:val="0073175F"/>
    <w:rsid w:val="00731B03"/>
    <w:rsid w:val="00731BC8"/>
    <w:rsid w:val="00732F38"/>
    <w:rsid w:val="007334CE"/>
    <w:rsid w:val="00733BD2"/>
    <w:rsid w:val="007345AA"/>
    <w:rsid w:val="00734622"/>
    <w:rsid w:val="007361E3"/>
    <w:rsid w:val="007375DF"/>
    <w:rsid w:val="00741B1A"/>
    <w:rsid w:val="00742471"/>
    <w:rsid w:val="007426C4"/>
    <w:rsid w:val="00743122"/>
    <w:rsid w:val="0074393A"/>
    <w:rsid w:val="00743CCB"/>
    <w:rsid w:val="00743CD9"/>
    <w:rsid w:val="00744128"/>
    <w:rsid w:val="007444CC"/>
    <w:rsid w:val="00744BE9"/>
    <w:rsid w:val="007458A9"/>
    <w:rsid w:val="00745E0E"/>
    <w:rsid w:val="00746505"/>
    <w:rsid w:val="00746784"/>
    <w:rsid w:val="007475DB"/>
    <w:rsid w:val="0075010D"/>
    <w:rsid w:val="00750444"/>
    <w:rsid w:val="00750B2D"/>
    <w:rsid w:val="00750D12"/>
    <w:rsid w:val="00751C45"/>
    <w:rsid w:val="00751F40"/>
    <w:rsid w:val="007522BC"/>
    <w:rsid w:val="007524C4"/>
    <w:rsid w:val="0075281B"/>
    <w:rsid w:val="00753709"/>
    <w:rsid w:val="00753D9C"/>
    <w:rsid w:val="00753F44"/>
    <w:rsid w:val="007552CF"/>
    <w:rsid w:val="00755835"/>
    <w:rsid w:val="007563C6"/>
    <w:rsid w:val="007565D6"/>
    <w:rsid w:val="00756B64"/>
    <w:rsid w:val="0076099B"/>
    <w:rsid w:val="00761185"/>
    <w:rsid w:val="0076162B"/>
    <w:rsid w:val="007633AA"/>
    <w:rsid w:val="0076389D"/>
    <w:rsid w:val="00764282"/>
    <w:rsid w:val="00764533"/>
    <w:rsid w:val="0076499C"/>
    <w:rsid w:val="00764CAE"/>
    <w:rsid w:val="00765105"/>
    <w:rsid w:val="00765E63"/>
    <w:rsid w:val="007666D5"/>
    <w:rsid w:val="00766DDE"/>
    <w:rsid w:val="00767BA9"/>
    <w:rsid w:val="00767C25"/>
    <w:rsid w:val="00770A3A"/>
    <w:rsid w:val="007711B9"/>
    <w:rsid w:val="00771D1D"/>
    <w:rsid w:val="0077390C"/>
    <w:rsid w:val="007742E5"/>
    <w:rsid w:val="00774427"/>
    <w:rsid w:val="00774522"/>
    <w:rsid w:val="00774564"/>
    <w:rsid w:val="00774A34"/>
    <w:rsid w:val="0077578E"/>
    <w:rsid w:val="007757D8"/>
    <w:rsid w:val="00775CBF"/>
    <w:rsid w:val="00776A37"/>
    <w:rsid w:val="00777ED6"/>
    <w:rsid w:val="00780AE5"/>
    <w:rsid w:val="007810F4"/>
    <w:rsid w:val="00781A59"/>
    <w:rsid w:val="00782DC5"/>
    <w:rsid w:val="00783228"/>
    <w:rsid w:val="007838FE"/>
    <w:rsid w:val="00784834"/>
    <w:rsid w:val="007856FC"/>
    <w:rsid w:val="00785782"/>
    <w:rsid w:val="00785C56"/>
    <w:rsid w:val="0078686B"/>
    <w:rsid w:val="00787393"/>
    <w:rsid w:val="007879A0"/>
    <w:rsid w:val="0079122B"/>
    <w:rsid w:val="0079168F"/>
    <w:rsid w:val="007918AF"/>
    <w:rsid w:val="0079230E"/>
    <w:rsid w:val="00792CDD"/>
    <w:rsid w:val="00793160"/>
    <w:rsid w:val="00793E96"/>
    <w:rsid w:val="0079431C"/>
    <w:rsid w:val="00794A74"/>
    <w:rsid w:val="00794AC5"/>
    <w:rsid w:val="00795C99"/>
    <w:rsid w:val="00795F6E"/>
    <w:rsid w:val="00796258"/>
    <w:rsid w:val="0079636D"/>
    <w:rsid w:val="00796EE1"/>
    <w:rsid w:val="007975BE"/>
    <w:rsid w:val="00797A54"/>
    <w:rsid w:val="007A080A"/>
    <w:rsid w:val="007A0D3F"/>
    <w:rsid w:val="007A1305"/>
    <w:rsid w:val="007A1A0F"/>
    <w:rsid w:val="007A1AC8"/>
    <w:rsid w:val="007A2064"/>
    <w:rsid w:val="007A2CBB"/>
    <w:rsid w:val="007A2EC2"/>
    <w:rsid w:val="007A36BE"/>
    <w:rsid w:val="007A3880"/>
    <w:rsid w:val="007A3ED5"/>
    <w:rsid w:val="007A4847"/>
    <w:rsid w:val="007A522A"/>
    <w:rsid w:val="007A5375"/>
    <w:rsid w:val="007A618E"/>
    <w:rsid w:val="007A667B"/>
    <w:rsid w:val="007A710C"/>
    <w:rsid w:val="007B0CB6"/>
    <w:rsid w:val="007B10FF"/>
    <w:rsid w:val="007B15C1"/>
    <w:rsid w:val="007B1C50"/>
    <w:rsid w:val="007B2316"/>
    <w:rsid w:val="007B2563"/>
    <w:rsid w:val="007B3B57"/>
    <w:rsid w:val="007B3C7A"/>
    <w:rsid w:val="007B3FD2"/>
    <w:rsid w:val="007B4054"/>
    <w:rsid w:val="007B53AA"/>
    <w:rsid w:val="007B55BB"/>
    <w:rsid w:val="007B60D7"/>
    <w:rsid w:val="007B6309"/>
    <w:rsid w:val="007B67A5"/>
    <w:rsid w:val="007B6E26"/>
    <w:rsid w:val="007B6FA9"/>
    <w:rsid w:val="007B75F4"/>
    <w:rsid w:val="007C18A5"/>
    <w:rsid w:val="007C18B1"/>
    <w:rsid w:val="007C245B"/>
    <w:rsid w:val="007C2551"/>
    <w:rsid w:val="007C3F77"/>
    <w:rsid w:val="007C4B4B"/>
    <w:rsid w:val="007C7D1A"/>
    <w:rsid w:val="007D089D"/>
    <w:rsid w:val="007D08F4"/>
    <w:rsid w:val="007D099C"/>
    <w:rsid w:val="007D1878"/>
    <w:rsid w:val="007D2AC7"/>
    <w:rsid w:val="007D33DF"/>
    <w:rsid w:val="007D346B"/>
    <w:rsid w:val="007D3861"/>
    <w:rsid w:val="007D3950"/>
    <w:rsid w:val="007D3BAA"/>
    <w:rsid w:val="007D4016"/>
    <w:rsid w:val="007D4172"/>
    <w:rsid w:val="007D4666"/>
    <w:rsid w:val="007D5CE7"/>
    <w:rsid w:val="007D757B"/>
    <w:rsid w:val="007D7AAB"/>
    <w:rsid w:val="007E0276"/>
    <w:rsid w:val="007E02D0"/>
    <w:rsid w:val="007E0DF9"/>
    <w:rsid w:val="007E217F"/>
    <w:rsid w:val="007E291A"/>
    <w:rsid w:val="007E3AE0"/>
    <w:rsid w:val="007E3B3F"/>
    <w:rsid w:val="007E3CE7"/>
    <w:rsid w:val="007E48DE"/>
    <w:rsid w:val="007E502D"/>
    <w:rsid w:val="007E5A9E"/>
    <w:rsid w:val="007E697E"/>
    <w:rsid w:val="007E7B25"/>
    <w:rsid w:val="007E7FDB"/>
    <w:rsid w:val="007F0F73"/>
    <w:rsid w:val="007F187E"/>
    <w:rsid w:val="007F26C5"/>
    <w:rsid w:val="007F2FD7"/>
    <w:rsid w:val="007F3640"/>
    <w:rsid w:val="007F4A02"/>
    <w:rsid w:val="007F524A"/>
    <w:rsid w:val="007F618B"/>
    <w:rsid w:val="007F6603"/>
    <w:rsid w:val="007F6B2B"/>
    <w:rsid w:val="007F7E58"/>
    <w:rsid w:val="00800021"/>
    <w:rsid w:val="0080027E"/>
    <w:rsid w:val="00800310"/>
    <w:rsid w:val="008016A3"/>
    <w:rsid w:val="00801F01"/>
    <w:rsid w:val="00803B64"/>
    <w:rsid w:val="00804500"/>
    <w:rsid w:val="008049B9"/>
    <w:rsid w:val="00804D0C"/>
    <w:rsid w:val="00804FC5"/>
    <w:rsid w:val="008055FA"/>
    <w:rsid w:val="00805759"/>
    <w:rsid w:val="008058C5"/>
    <w:rsid w:val="0080607D"/>
    <w:rsid w:val="008070BF"/>
    <w:rsid w:val="00810394"/>
    <w:rsid w:val="008108DB"/>
    <w:rsid w:val="00811B5E"/>
    <w:rsid w:val="00812888"/>
    <w:rsid w:val="00813376"/>
    <w:rsid w:val="008146A2"/>
    <w:rsid w:val="00817423"/>
    <w:rsid w:val="00817ECF"/>
    <w:rsid w:val="00817F32"/>
    <w:rsid w:val="00817FEC"/>
    <w:rsid w:val="00820527"/>
    <w:rsid w:val="00820ABF"/>
    <w:rsid w:val="00821B37"/>
    <w:rsid w:val="008222FA"/>
    <w:rsid w:val="00822591"/>
    <w:rsid w:val="00822D50"/>
    <w:rsid w:val="008236AE"/>
    <w:rsid w:val="0082413A"/>
    <w:rsid w:val="0082459B"/>
    <w:rsid w:val="008246E5"/>
    <w:rsid w:val="008249D2"/>
    <w:rsid w:val="00825BCA"/>
    <w:rsid w:val="00825CE6"/>
    <w:rsid w:val="00825FAE"/>
    <w:rsid w:val="00826247"/>
    <w:rsid w:val="00826E7A"/>
    <w:rsid w:val="00827AC9"/>
    <w:rsid w:val="00827BB6"/>
    <w:rsid w:val="00827D74"/>
    <w:rsid w:val="00830711"/>
    <w:rsid w:val="008307CA"/>
    <w:rsid w:val="00830FE3"/>
    <w:rsid w:val="00831EB3"/>
    <w:rsid w:val="008322AD"/>
    <w:rsid w:val="0083262E"/>
    <w:rsid w:val="00833E17"/>
    <w:rsid w:val="008342EF"/>
    <w:rsid w:val="00834614"/>
    <w:rsid w:val="00834FF0"/>
    <w:rsid w:val="008357C7"/>
    <w:rsid w:val="00835D7A"/>
    <w:rsid w:val="00836753"/>
    <w:rsid w:val="0083687F"/>
    <w:rsid w:val="00836D50"/>
    <w:rsid w:val="008374B5"/>
    <w:rsid w:val="00837EEE"/>
    <w:rsid w:val="008439D2"/>
    <w:rsid w:val="00844C75"/>
    <w:rsid w:val="0084697E"/>
    <w:rsid w:val="008474C1"/>
    <w:rsid w:val="00847E37"/>
    <w:rsid w:val="00847FED"/>
    <w:rsid w:val="00851A93"/>
    <w:rsid w:val="00851EF5"/>
    <w:rsid w:val="008521B7"/>
    <w:rsid w:val="008523E2"/>
    <w:rsid w:val="00853587"/>
    <w:rsid w:val="00853AFA"/>
    <w:rsid w:val="00853C43"/>
    <w:rsid w:val="00854711"/>
    <w:rsid w:val="00854E0B"/>
    <w:rsid w:val="008555BD"/>
    <w:rsid w:val="0085694B"/>
    <w:rsid w:val="00856A76"/>
    <w:rsid w:val="00856B5F"/>
    <w:rsid w:val="00857071"/>
    <w:rsid w:val="00857EC3"/>
    <w:rsid w:val="00860547"/>
    <w:rsid w:val="008608E6"/>
    <w:rsid w:val="00860AA2"/>
    <w:rsid w:val="00860FB0"/>
    <w:rsid w:val="00862489"/>
    <w:rsid w:val="008625C0"/>
    <w:rsid w:val="0086283E"/>
    <w:rsid w:val="008631EA"/>
    <w:rsid w:val="008635E0"/>
    <w:rsid w:val="00863C3E"/>
    <w:rsid w:val="0086478C"/>
    <w:rsid w:val="00864AFE"/>
    <w:rsid w:val="00864FE4"/>
    <w:rsid w:val="00865219"/>
    <w:rsid w:val="00865490"/>
    <w:rsid w:val="00865C9E"/>
    <w:rsid w:val="00866686"/>
    <w:rsid w:val="00867338"/>
    <w:rsid w:val="00867CBC"/>
    <w:rsid w:val="008700D9"/>
    <w:rsid w:val="00870205"/>
    <w:rsid w:val="00870DC6"/>
    <w:rsid w:val="008715E5"/>
    <w:rsid w:val="00871AE0"/>
    <w:rsid w:val="00872068"/>
    <w:rsid w:val="00872602"/>
    <w:rsid w:val="008737A0"/>
    <w:rsid w:val="00873E34"/>
    <w:rsid w:val="00874E63"/>
    <w:rsid w:val="00875E19"/>
    <w:rsid w:val="00876042"/>
    <w:rsid w:val="0087635F"/>
    <w:rsid w:val="008765AE"/>
    <w:rsid w:val="008768A1"/>
    <w:rsid w:val="00876907"/>
    <w:rsid w:val="0087756A"/>
    <w:rsid w:val="00877BCA"/>
    <w:rsid w:val="00877D73"/>
    <w:rsid w:val="0088000F"/>
    <w:rsid w:val="00880498"/>
    <w:rsid w:val="00880755"/>
    <w:rsid w:val="00880B59"/>
    <w:rsid w:val="008820CD"/>
    <w:rsid w:val="00882A81"/>
    <w:rsid w:val="00883BD9"/>
    <w:rsid w:val="0088403C"/>
    <w:rsid w:val="00884B9D"/>
    <w:rsid w:val="00884BF2"/>
    <w:rsid w:val="008853DB"/>
    <w:rsid w:val="00886484"/>
    <w:rsid w:val="008865A4"/>
    <w:rsid w:val="00886833"/>
    <w:rsid w:val="008869DD"/>
    <w:rsid w:val="00886D27"/>
    <w:rsid w:val="008874D1"/>
    <w:rsid w:val="0088799B"/>
    <w:rsid w:val="008906AD"/>
    <w:rsid w:val="00892439"/>
    <w:rsid w:val="008927B8"/>
    <w:rsid w:val="00892AC3"/>
    <w:rsid w:val="00893371"/>
    <w:rsid w:val="00893B98"/>
    <w:rsid w:val="00893BD7"/>
    <w:rsid w:val="00893CA9"/>
    <w:rsid w:val="00894915"/>
    <w:rsid w:val="00894F15"/>
    <w:rsid w:val="008958F9"/>
    <w:rsid w:val="0089630E"/>
    <w:rsid w:val="00896E10"/>
    <w:rsid w:val="008979AE"/>
    <w:rsid w:val="008A0871"/>
    <w:rsid w:val="008A11E8"/>
    <w:rsid w:val="008A1603"/>
    <w:rsid w:val="008A18BB"/>
    <w:rsid w:val="008A1909"/>
    <w:rsid w:val="008A2A57"/>
    <w:rsid w:val="008A2E9B"/>
    <w:rsid w:val="008A2EDC"/>
    <w:rsid w:val="008A2F3F"/>
    <w:rsid w:val="008A343B"/>
    <w:rsid w:val="008A3ED6"/>
    <w:rsid w:val="008A40D6"/>
    <w:rsid w:val="008A40DD"/>
    <w:rsid w:val="008A473D"/>
    <w:rsid w:val="008A4750"/>
    <w:rsid w:val="008A4766"/>
    <w:rsid w:val="008A4CD1"/>
    <w:rsid w:val="008A50CB"/>
    <w:rsid w:val="008A574A"/>
    <w:rsid w:val="008A5FEC"/>
    <w:rsid w:val="008A6302"/>
    <w:rsid w:val="008A6CE3"/>
    <w:rsid w:val="008A768F"/>
    <w:rsid w:val="008A7809"/>
    <w:rsid w:val="008B0511"/>
    <w:rsid w:val="008B0ABE"/>
    <w:rsid w:val="008B121A"/>
    <w:rsid w:val="008B1444"/>
    <w:rsid w:val="008B1C05"/>
    <w:rsid w:val="008B1E82"/>
    <w:rsid w:val="008B3385"/>
    <w:rsid w:val="008B35AB"/>
    <w:rsid w:val="008B4B22"/>
    <w:rsid w:val="008B4F08"/>
    <w:rsid w:val="008B4FCF"/>
    <w:rsid w:val="008B50C1"/>
    <w:rsid w:val="008B6D52"/>
    <w:rsid w:val="008B6EE2"/>
    <w:rsid w:val="008C0344"/>
    <w:rsid w:val="008C1102"/>
    <w:rsid w:val="008C11EE"/>
    <w:rsid w:val="008C2626"/>
    <w:rsid w:val="008C2AF4"/>
    <w:rsid w:val="008C306B"/>
    <w:rsid w:val="008C32C3"/>
    <w:rsid w:val="008C34F7"/>
    <w:rsid w:val="008C4017"/>
    <w:rsid w:val="008C4137"/>
    <w:rsid w:val="008C4875"/>
    <w:rsid w:val="008C4EA7"/>
    <w:rsid w:val="008C51A0"/>
    <w:rsid w:val="008C58A0"/>
    <w:rsid w:val="008C7B33"/>
    <w:rsid w:val="008C7CAD"/>
    <w:rsid w:val="008C7D83"/>
    <w:rsid w:val="008D001A"/>
    <w:rsid w:val="008D0823"/>
    <w:rsid w:val="008D08E7"/>
    <w:rsid w:val="008D09F3"/>
    <w:rsid w:val="008D228B"/>
    <w:rsid w:val="008D229B"/>
    <w:rsid w:val="008D2BB9"/>
    <w:rsid w:val="008D2FCE"/>
    <w:rsid w:val="008D33DB"/>
    <w:rsid w:val="008D37D0"/>
    <w:rsid w:val="008D3E93"/>
    <w:rsid w:val="008D45B9"/>
    <w:rsid w:val="008D52EA"/>
    <w:rsid w:val="008D553C"/>
    <w:rsid w:val="008D5748"/>
    <w:rsid w:val="008D5DCD"/>
    <w:rsid w:val="008D71D8"/>
    <w:rsid w:val="008D7FF8"/>
    <w:rsid w:val="008E1812"/>
    <w:rsid w:val="008E194D"/>
    <w:rsid w:val="008E20F9"/>
    <w:rsid w:val="008E2243"/>
    <w:rsid w:val="008E2D92"/>
    <w:rsid w:val="008E2EED"/>
    <w:rsid w:val="008E3266"/>
    <w:rsid w:val="008E3DD3"/>
    <w:rsid w:val="008E4564"/>
    <w:rsid w:val="008E4A9B"/>
    <w:rsid w:val="008E5E65"/>
    <w:rsid w:val="008E6642"/>
    <w:rsid w:val="008E7D8B"/>
    <w:rsid w:val="008E7EBF"/>
    <w:rsid w:val="008E7F8F"/>
    <w:rsid w:val="008F018E"/>
    <w:rsid w:val="008F01D5"/>
    <w:rsid w:val="008F03E1"/>
    <w:rsid w:val="008F1645"/>
    <w:rsid w:val="008F1A8E"/>
    <w:rsid w:val="008F1F5A"/>
    <w:rsid w:val="008F2BE0"/>
    <w:rsid w:val="008F446F"/>
    <w:rsid w:val="008F5768"/>
    <w:rsid w:val="008F5994"/>
    <w:rsid w:val="008F5AF1"/>
    <w:rsid w:val="008F6FAF"/>
    <w:rsid w:val="008F735A"/>
    <w:rsid w:val="008F7B0F"/>
    <w:rsid w:val="00900356"/>
    <w:rsid w:val="009019C7"/>
    <w:rsid w:val="009034CA"/>
    <w:rsid w:val="0090384E"/>
    <w:rsid w:val="00903C79"/>
    <w:rsid w:val="00903FDD"/>
    <w:rsid w:val="0090471B"/>
    <w:rsid w:val="00905673"/>
    <w:rsid w:val="0090572C"/>
    <w:rsid w:val="009068D2"/>
    <w:rsid w:val="009070FA"/>
    <w:rsid w:val="009102FE"/>
    <w:rsid w:val="00910A40"/>
    <w:rsid w:val="00910BB0"/>
    <w:rsid w:val="00911CD3"/>
    <w:rsid w:val="00911FEB"/>
    <w:rsid w:val="00912617"/>
    <w:rsid w:val="0091272E"/>
    <w:rsid w:val="00912F61"/>
    <w:rsid w:val="0091315F"/>
    <w:rsid w:val="009132D6"/>
    <w:rsid w:val="00913960"/>
    <w:rsid w:val="00914017"/>
    <w:rsid w:val="00914CF5"/>
    <w:rsid w:val="00915B12"/>
    <w:rsid w:val="0091616F"/>
    <w:rsid w:val="00916D94"/>
    <w:rsid w:val="00916FA8"/>
    <w:rsid w:val="009205B2"/>
    <w:rsid w:val="00921425"/>
    <w:rsid w:val="009222CB"/>
    <w:rsid w:val="00922723"/>
    <w:rsid w:val="009230BF"/>
    <w:rsid w:val="00923C6D"/>
    <w:rsid w:val="009241CF"/>
    <w:rsid w:val="00924F34"/>
    <w:rsid w:val="00925573"/>
    <w:rsid w:val="00925E16"/>
    <w:rsid w:val="009260F3"/>
    <w:rsid w:val="0092639F"/>
    <w:rsid w:val="00927EEA"/>
    <w:rsid w:val="009311AA"/>
    <w:rsid w:val="00931220"/>
    <w:rsid w:val="009317A5"/>
    <w:rsid w:val="00931BE7"/>
    <w:rsid w:val="00932625"/>
    <w:rsid w:val="00933878"/>
    <w:rsid w:val="0093449B"/>
    <w:rsid w:val="00934F81"/>
    <w:rsid w:val="0093527A"/>
    <w:rsid w:val="009353D1"/>
    <w:rsid w:val="009365DB"/>
    <w:rsid w:val="009365E8"/>
    <w:rsid w:val="00936767"/>
    <w:rsid w:val="00936D63"/>
    <w:rsid w:val="009373B3"/>
    <w:rsid w:val="00937954"/>
    <w:rsid w:val="00937ABE"/>
    <w:rsid w:val="009400A5"/>
    <w:rsid w:val="00940BFC"/>
    <w:rsid w:val="00941736"/>
    <w:rsid w:val="00942062"/>
    <w:rsid w:val="009425E8"/>
    <w:rsid w:val="009434C7"/>
    <w:rsid w:val="00944FD5"/>
    <w:rsid w:val="00945106"/>
    <w:rsid w:val="00945549"/>
    <w:rsid w:val="009456DE"/>
    <w:rsid w:val="00946B37"/>
    <w:rsid w:val="00947284"/>
    <w:rsid w:val="00947593"/>
    <w:rsid w:val="009476FD"/>
    <w:rsid w:val="00947925"/>
    <w:rsid w:val="00947EFC"/>
    <w:rsid w:val="00950EC2"/>
    <w:rsid w:val="00951ADC"/>
    <w:rsid w:val="00951E22"/>
    <w:rsid w:val="009528A5"/>
    <w:rsid w:val="00953E1B"/>
    <w:rsid w:val="009547EA"/>
    <w:rsid w:val="00954B2D"/>
    <w:rsid w:val="00955B6B"/>
    <w:rsid w:val="00956136"/>
    <w:rsid w:val="0095627F"/>
    <w:rsid w:val="00956416"/>
    <w:rsid w:val="0095694C"/>
    <w:rsid w:val="00956A7C"/>
    <w:rsid w:val="009570C7"/>
    <w:rsid w:val="00957519"/>
    <w:rsid w:val="00957939"/>
    <w:rsid w:val="00957A52"/>
    <w:rsid w:val="009603EC"/>
    <w:rsid w:val="00960914"/>
    <w:rsid w:val="00960AE0"/>
    <w:rsid w:val="0096141A"/>
    <w:rsid w:val="0096166E"/>
    <w:rsid w:val="00961C86"/>
    <w:rsid w:val="00961E89"/>
    <w:rsid w:val="009621A1"/>
    <w:rsid w:val="0096316B"/>
    <w:rsid w:val="0096321E"/>
    <w:rsid w:val="00963958"/>
    <w:rsid w:val="00963EAD"/>
    <w:rsid w:val="00963F11"/>
    <w:rsid w:val="00965C48"/>
    <w:rsid w:val="00966E25"/>
    <w:rsid w:val="00966EAE"/>
    <w:rsid w:val="00967212"/>
    <w:rsid w:val="009674A7"/>
    <w:rsid w:val="00967EC5"/>
    <w:rsid w:val="009700CF"/>
    <w:rsid w:val="0097086A"/>
    <w:rsid w:val="0097139D"/>
    <w:rsid w:val="009726C7"/>
    <w:rsid w:val="009756EF"/>
    <w:rsid w:val="009759D0"/>
    <w:rsid w:val="00975D7B"/>
    <w:rsid w:val="00975E32"/>
    <w:rsid w:val="00976CFB"/>
    <w:rsid w:val="00976FAB"/>
    <w:rsid w:val="009773F8"/>
    <w:rsid w:val="00981734"/>
    <w:rsid w:val="009820E1"/>
    <w:rsid w:val="00982129"/>
    <w:rsid w:val="0098273F"/>
    <w:rsid w:val="00983875"/>
    <w:rsid w:val="0098580A"/>
    <w:rsid w:val="00985FAB"/>
    <w:rsid w:val="009860BD"/>
    <w:rsid w:val="009860F5"/>
    <w:rsid w:val="009860FE"/>
    <w:rsid w:val="00987C2E"/>
    <w:rsid w:val="00990F28"/>
    <w:rsid w:val="009919A7"/>
    <w:rsid w:val="00992522"/>
    <w:rsid w:val="0099396B"/>
    <w:rsid w:val="00994A58"/>
    <w:rsid w:val="00994E77"/>
    <w:rsid w:val="009951CA"/>
    <w:rsid w:val="009955A7"/>
    <w:rsid w:val="00995B56"/>
    <w:rsid w:val="0099666E"/>
    <w:rsid w:val="009974AD"/>
    <w:rsid w:val="00997A7F"/>
    <w:rsid w:val="00997F91"/>
    <w:rsid w:val="009A0283"/>
    <w:rsid w:val="009A0885"/>
    <w:rsid w:val="009A1C9D"/>
    <w:rsid w:val="009A2E8A"/>
    <w:rsid w:val="009A512F"/>
    <w:rsid w:val="009A5468"/>
    <w:rsid w:val="009A71DA"/>
    <w:rsid w:val="009A7B32"/>
    <w:rsid w:val="009A7B6F"/>
    <w:rsid w:val="009B025E"/>
    <w:rsid w:val="009B0E07"/>
    <w:rsid w:val="009B1120"/>
    <w:rsid w:val="009B1144"/>
    <w:rsid w:val="009B1175"/>
    <w:rsid w:val="009B1E2D"/>
    <w:rsid w:val="009B25FB"/>
    <w:rsid w:val="009B3748"/>
    <w:rsid w:val="009B4BE4"/>
    <w:rsid w:val="009B563A"/>
    <w:rsid w:val="009B56E5"/>
    <w:rsid w:val="009B5E8B"/>
    <w:rsid w:val="009B60A4"/>
    <w:rsid w:val="009B61D0"/>
    <w:rsid w:val="009B66CD"/>
    <w:rsid w:val="009B6A41"/>
    <w:rsid w:val="009B7D07"/>
    <w:rsid w:val="009C0686"/>
    <w:rsid w:val="009C1495"/>
    <w:rsid w:val="009C1E58"/>
    <w:rsid w:val="009C20CD"/>
    <w:rsid w:val="009C2FB8"/>
    <w:rsid w:val="009C4090"/>
    <w:rsid w:val="009C4409"/>
    <w:rsid w:val="009C4C72"/>
    <w:rsid w:val="009C514E"/>
    <w:rsid w:val="009C5E4A"/>
    <w:rsid w:val="009C5F60"/>
    <w:rsid w:val="009C7450"/>
    <w:rsid w:val="009C74A4"/>
    <w:rsid w:val="009C7A10"/>
    <w:rsid w:val="009D0EC5"/>
    <w:rsid w:val="009D1064"/>
    <w:rsid w:val="009D169B"/>
    <w:rsid w:val="009D1BF9"/>
    <w:rsid w:val="009D2B35"/>
    <w:rsid w:val="009D431F"/>
    <w:rsid w:val="009D4773"/>
    <w:rsid w:val="009D4C63"/>
    <w:rsid w:val="009D4F5B"/>
    <w:rsid w:val="009D5035"/>
    <w:rsid w:val="009D53A7"/>
    <w:rsid w:val="009D5F3C"/>
    <w:rsid w:val="009D648C"/>
    <w:rsid w:val="009D77EC"/>
    <w:rsid w:val="009E0C43"/>
    <w:rsid w:val="009E0CA8"/>
    <w:rsid w:val="009E0FA6"/>
    <w:rsid w:val="009E1109"/>
    <w:rsid w:val="009E1200"/>
    <w:rsid w:val="009E12E1"/>
    <w:rsid w:val="009E245E"/>
    <w:rsid w:val="009E2FF7"/>
    <w:rsid w:val="009E3378"/>
    <w:rsid w:val="009E43FF"/>
    <w:rsid w:val="009E5D46"/>
    <w:rsid w:val="009E712E"/>
    <w:rsid w:val="009E7B1B"/>
    <w:rsid w:val="009F11D2"/>
    <w:rsid w:val="009F1722"/>
    <w:rsid w:val="009F1AA1"/>
    <w:rsid w:val="009F1B6B"/>
    <w:rsid w:val="009F1F31"/>
    <w:rsid w:val="009F392F"/>
    <w:rsid w:val="009F3A8E"/>
    <w:rsid w:val="009F4C1D"/>
    <w:rsid w:val="009F53EC"/>
    <w:rsid w:val="009F5401"/>
    <w:rsid w:val="009F55D4"/>
    <w:rsid w:val="009F74B7"/>
    <w:rsid w:val="009F7A59"/>
    <w:rsid w:val="00A00455"/>
    <w:rsid w:val="00A00895"/>
    <w:rsid w:val="00A0259D"/>
    <w:rsid w:val="00A03664"/>
    <w:rsid w:val="00A039FF"/>
    <w:rsid w:val="00A03AE4"/>
    <w:rsid w:val="00A0472E"/>
    <w:rsid w:val="00A04A0C"/>
    <w:rsid w:val="00A0542F"/>
    <w:rsid w:val="00A05B17"/>
    <w:rsid w:val="00A067A9"/>
    <w:rsid w:val="00A06844"/>
    <w:rsid w:val="00A07915"/>
    <w:rsid w:val="00A103E2"/>
    <w:rsid w:val="00A108AC"/>
    <w:rsid w:val="00A10C65"/>
    <w:rsid w:val="00A11211"/>
    <w:rsid w:val="00A113F4"/>
    <w:rsid w:val="00A127EB"/>
    <w:rsid w:val="00A12D9E"/>
    <w:rsid w:val="00A14F6E"/>
    <w:rsid w:val="00A16123"/>
    <w:rsid w:val="00A16D2C"/>
    <w:rsid w:val="00A17C44"/>
    <w:rsid w:val="00A20452"/>
    <w:rsid w:val="00A2137B"/>
    <w:rsid w:val="00A21EA9"/>
    <w:rsid w:val="00A225FA"/>
    <w:rsid w:val="00A23D05"/>
    <w:rsid w:val="00A242EA"/>
    <w:rsid w:val="00A24AE2"/>
    <w:rsid w:val="00A24C03"/>
    <w:rsid w:val="00A24FA3"/>
    <w:rsid w:val="00A2542D"/>
    <w:rsid w:val="00A257DD"/>
    <w:rsid w:val="00A2591D"/>
    <w:rsid w:val="00A26E11"/>
    <w:rsid w:val="00A30B72"/>
    <w:rsid w:val="00A31801"/>
    <w:rsid w:val="00A31AEC"/>
    <w:rsid w:val="00A31F7F"/>
    <w:rsid w:val="00A32577"/>
    <w:rsid w:val="00A32955"/>
    <w:rsid w:val="00A32BD2"/>
    <w:rsid w:val="00A32E89"/>
    <w:rsid w:val="00A32FB3"/>
    <w:rsid w:val="00A343B1"/>
    <w:rsid w:val="00A34E4B"/>
    <w:rsid w:val="00A35428"/>
    <w:rsid w:val="00A354AA"/>
    <w:rsid w:val="00A35598"/>
    <w:rsid w:val="00A355F9"/>
    <w:rsid w:val="00A358D0"/>
    <w:rsid w:val="00A35B15"/>
    <w:rsid w:val="00A35DE7"/>
    <w:rsid w:val="00A36D2C"/>
    <w:rsid w:val="00A4044C"/>
    <w:rsid w:val="00A40DDF"/>
    <w:rsid w:val="00A417EA"/>
    <w:rsid w:val="00A4205F"/>
    <w:rsid w:val="00A422B6"/>
    <w:rsid w:val="00A423F5"/>
    <w:rsid w:val="00A42447"/>
    <w:rsid w:val="00A43182"/>
    <w:rsid w:val="00A43545"/>
    <w:rsid w:val="00A43CAC"/>
    <w:rsid w:val="00A448D8"/>
    <w:rsid w:val="00A44DED"/>
    <w:rsid w:val="00A45916"/>
    <w:rsid w:val="00A45934"/>
    <w:rsid w:val="00A45ACB"/>
    <w:rsid w:val="00A46580"/>
    <w:rsid w:val="00A46B04"/>
    <w:rsid w:val="00A50448"/>
    <w:rsid w:val="00A50A5E"/>
    <w:rsid w:val="00A50F02"/>
    <w:rsid w:val="00A516E0"/>
    <w:rsid w:val="00A519FF"/>
    <w:rsid w:val="00A51B3D"/>
    <w:rsid w:val="00A527DA"/>
    <w:rsid w:val="00A52BBB"/>
    <w:rsid w:val="00A52FFE"/>
    <w:rsid w:val="00A534EC"/>
    <w:rsid w:val="00A540B5"/>
    <w:rsid w:val="00A54B5D"/>
    <w:rsid w:val="00A552E2"/>
    <w:rsid w:val="00A5574A"/>
    <w:rsid w:val="00A5605F"/>
    <w:rsid w:val="00A5675A"/>
    <w:rsid w:val="00A60038"/>
    <w:rsid w:val="00A6006F"/>
    <w:rsid w:val="00A60090"/>
    <w:rsid w:val="00A60CA7"/>
    <w:rsid w:val="00A61216"/>
    <w:rsid w:val="00A620A1"/>
    <w:rsid w:val="00A620AD"/>
    <w:rsid w:val="00A62C6C"/>
    <w:rsid w:val="00A6567D"/>
    <w:rsid w:val="00A65818"/>
    <w:rsid w:val="00A65932"/>
    <w:rsid w:val="00A65A7A"/>
    <w:rsid w:val="00A67B9D"/>
    <w:rsid w:val="00A7015E"/>
    <w:rsid w:val="00A70171"/>
    <w:rsid w:val="00A711DA"/>
    <w:rsid w:val="00A7213D"/>
    <w:rsid w:val="00A72DE0"/>
    <w:rsid w:val="00A73648"/>
    <w:rsid w:val="00A75655"/>
    <w:rsid w:val="00A75C7F"/>
    <w:rsid w:val="00A75D78"/>
    <w:rsid w:val="00A76843"/>
    <w:rsid w:val="00A80F0D"/>
    <w:rsid w:val="00A81599"/>
    <w:rsid w:val="00A8202A"/>
    <w:rsid w:val="00A82A34"/>
    <w:rsid w:val="00A82DC5"/>
    <w:rsid w:val="00A83109"/>
    <w:rsid w:val="00A840B4"/>
    <w:rsid w:val="00A84D6D"/>
    <w:rsid w:val="00A851A3"/>
    <w:rsid w:val="00A85D7F"/>
    <w:rsid w:val="00A868F1"/>
    <w:rsid w:val="00A86F3A"/>
    <w:rsid w:val="00A87B6C"/>
    <w:rsid w:val="00A912E7"/>
    <w:rsid w:val="00A92509"/>
    <w:rsid w:val="00A933C5"/>
    <w:rsid w:val="00A958D3"/>
    <w:rsid w:val="00A9667B"/>
    <w:rsid w:val="00A96D17"/>
    <w:rsid w:val="00A975E0"/>
    <w:rsid w:val="00A979A4"/>
    <w:rsid w:val="00AA1506"/>
    <w:rsid w:val="00AA3FBD"/>
    <w:rsid w:val="00AA4BE9"/>
    <w:rsid w:val="00AA57E9"/>
    <w:rsid w:val="00AA59C1"/>
    <w:rsid w:val="00AA6CC0"/>
    <w:rsid w:val="00AB0B0B"/>
    <w:rsid w:val="00AB1011"/>
    <w:rsid w:val="00AB38CB"/>
    <w:rsid w:val="00AB3C93"/>
    <w:rsid w:val="00AB4D1B"/>
    <w:rsid w:val="00AB5995"/>
    <w:rsid w:val="00AB6428"/>
    <w:rsid w:val="00AB7B21"/>
    <w:rsid w:val="00AC0E4A"/>
    <w:rsid w:val="00AC1D4E"/>
    <w:rsid w:val="00AC21B2"/>
    <w:rsid w:val="00AC32FC"/>
    <w:rsid w:val="00AC33E4"/>
    <w:rsid w:val="00AC45C0"/>
    <w:rsid w:val="00AC54CE"/>
    <w:rsid w:val="00AC5A5B"/>
    <w:rsid w:val="00AC5C2C"/>
    <w:rsid w:val="00AC606F"/>
    <w:rsid w:val="00AC69DC"/>
    <w:rsid w:val="00AC7015"/>
    <w:rsid w:val="00AC73BE"/>
    <w:rsid w:val="00AC7AAD"/>
    <w:rsid w:val="00AD0019"/>
    <w:rsid w:val="00AD146F"/>
    <w:rsid w:val="00AD15F9"/>
    <w:rsid w:val="00AD1B44"/>
    <w:rsid w:val="00AD1B90"/>
    <w:rsid w:val="00AD1DA1"/>
    <w:rsid w:val="00AD254C"/>
    <w:rsid w:val="00AD273C"/>
    <w:rsid w:val="00AD361B"/>
    <w:rsid w:val="00AD4F43"/>
    <w:rsid w:val="00AD5D99"/>
    <w:rsid w:val="00AD6E9F"/>
    <w:rsid w:val="00AE150E"/>
    <w:rsid w:val="00AE189E"/>
    <w:rsid w:val="00AE224D"/>
    <w:rsid w:val="00AE2EB6"/>
    <w:rsid w:val="00AE3255"/>
    <w:rsid w:val="00AE391D"/>
    <w:rsid w:val="00AE3CC7"/>
    <w:rsid w:val="00AE3F4A"/>
    <w:rsid w:val="00AE531A"/>
    <w:rsid w:val="00AE5A73"/>
    <w:rsid w:val="00AE6110"/>
    <w:rsid w:val="00AE6348"/>
    <w:rsid w:val="00AE69BA"/>
    <w:rsid w:val="00AE6C36"/>
    <w:rsid w:val="00AE705A"/>
    <w:rsid w:val="00AF07DA"/>
    <w:rsid w:val="00AF194D"/>
    <w:rsid w:val="00AF20B7"/>
    <w:rsid w:val="00AF24AA"/>
    <w:rsid w:val="00AF2DD9"/>
    <w:rsid w:val="00AF465E"/>
    <w:rsid w:val="00AF5419"/>
    <w:rsid w:val="00AF5D6E"/>
    <w:rsid w:val="00AF6122"/>
    <w:rsid w:val="00AF7BE2"/>
    <w:rsid w:val="00B016DE"/>
    <w:rsid w:val="00B02A5B"/>
    <w:rsid w:val="00B02D2C"/>
    <w:rsid w:val="00B02D5F"/>
    <w:rsid w:val="00B04100"/>
    <w:rsid w:val="00B044B6"/>
    <w:rsid w:val="00B05774"/>
    <w:rsid w:val="00B05AF5"/>
    <w:rsid w:val="00B05C10"/>
    <w:rsid w:val="00B05D7B"/>
    <w:rsid w:val="00B07308"/>
    <w:rsid w:val="00B07FDB"/>
    <w:rsid w:val="00B10595"/>
    <w:rsid w:val="00B10678"/>
    <w:rsid w:val="00B10B5F"/>
    <w:rsid w:val="00B114B2"/>
    <w:rsid w:val="00B1152F"/>
    <w:rsid w:val="00B118A2"/>
    <w:rsid w:val="00B11A7F"/>
    <w:rsid w:val="00B12FB3"/>
    <w:rsid w:val="00B13071"/>
    <w:rsid w:val="00B14427"/>
    <w:rsid w:val="00B163DA"/>
    <w:rsid w:val="00B16A93"/>
    <w:rsid w:val="00B17A66"/>
    <w:rsid w:val="00B206BA"/>
    <w:rsid w:val="00B20B16"/>
    <w:rsid w:val="00B216BA"/>
    <w:rsid w:val="00B25B3F"/>
    <w:rsid w:val="00B26CF0"/>
    <w:rsid w:val="00B27399"/>
    <w:rsid w:val="00B27CC3"/>
    <w:rsid w:val="00B302D2"/>
    <w:rsid w:val="00B32D51"/>
    <w:rsid w:val="00B3309B"/>
    <w:rsid w:val="00B3374D"/>
    <w:rsid w:val="00B337D7"/>
    <w:rsid w:val="00B33CEF"/>
    <w:rsid w:val="00B34656"/>
    <w:rsid w:val="00B35D3A"/>
    <w:rsid w:val="00B361A1"/>
    <w:rsid w:val="00B36211"/>
    <w:rsid w:val="00B364A5"/>
    <w:rsid w:val="00B36969"/>
    <w:rsid w:val="00B40CF1"/>
    <w:rsid w:val="00B40D58"/>
    <w:rsid w:val="00B42517"/>
    <w:rsid w:val="00B43221"/>
    <w:rsid w:val="00B43567"/>
    <w:rsid w:val="00B4380D"/>
    <w:rsid w:val="00B43A27"/>
    <w:rsid w:val="00B43C23"/>
    <w:rsid w:val="00B44F3C"/>
    <w:rsid w:val="00B45F68"/>
    <w:rsid w:val="00B4663F"/>
    <w:rsid w:val="00B46B84"/>
    <w:rsid w:val="00B470B5"/>
    <w:rsid w:val="00B50A33"/>
    <w:rsid w:val="00B51D6E"/>
    <w:rsid w:val="00B52A5E"/>
    <w:rsid w:val="00B530AD"/>
    <w:rsid w:val="00B53A51"/>
    <w:rsid w:val="00B54103"/>
    <w:rsid w:val="00B54EDA"/>
    <w:rsid w:val="00B55250"/>
    <w:rsid w:val="00B55C92"/>
    <w:rsid w:val="00B563E8"/>
    <w:rsid w:val="00B57725"/>
    <w:rsid w:val="00B57D65"/>
    <w:rsid w:val="00B60384"/>
    <w:rsid w:val="00B604E5"/>
    <w:rsid w:val="00B61542"/>
    <w:rsid w:val="00B62B72"/>
    <w:rsid w:val="00B62B92"/>
    <w:rsid w:val="00B63927"/>
    <w:rsid w:val="00B63A04"/>
    <w:rsid w:val="00B63EDD"/>
    <w:rsid w:val="00B64BB4"/>
    <w:rsid w:val="00B64C99"/>
    <w:rsid w:val="00B64D04"/>
    <w:rsid w:val="00B6542C"/>
    <w:rsid w:val="00B668A4"/>
    <w:rsid w:val="00B66956"/>
    <w:rsid w:val="00B67FA0"/>
    <w:rsid w:val="00B705C5"/>
    <w:rsid w:val="00B70B11"/>
    <w:rsid w:val="00B70D30"/>
    <w:rsid w:val="00B712F0"/>
    <w:rsid w:val="00B717A0"/>
    <w:rsid w:val="00B71A7D"/>
    <w:rsid w:val="00B71B0E"/>
    <w:rsid w:val="00B72BE5"/>
    <w:rsid w:val="00B73746"/>
    <w:rsid w:val="00B73896"/>
    <w:rsid w:val="00B738A7"/>
    <w:rsid w:val="00B73925"/>
    <w:rsid w:val="00B741F5"/>
    <w:rsid w:val="00B75E5E"/>
    <w:rsid w:val="00B760AE"/>
    <w:rsid w:val="00B7619D"/>
    <w:rsid w:val="00B77DE2"/>
    <w:rsid w:val="00B811D0"/>
    <w:rsid w:val="00B81AB8"/>
    <w:rsid w:val="00B824DB"/>
    <w:rsid w:val="00B825C2"/>
    <w:rsid w:val="00B82CCF"/>
    <w:rsid w:val="00B82DF6"/>
    <w:rsid w:val="00B830D0"/>
    <w:rsid w:val="00B83459"/>
    <w:rsid w:val="00B83565"/>
    <w:rsid w:val="00B83941"/>
    <w:rsid w:val="00B83F55"/>
    <w:rsid w:val="00B84C2E"/>
    <w:rsid w:val="00B85D4B"/>
    <w:rsid w:val="00B87279"/>
    <w:rsid w:val="00B876F9"/>
    <w:rsid w:val="00B90BBF"/>
    <w:rsid w:val="00B912CB"/>
    <w:rsid w:val="00B91898"/>
    <w:rsid w:val="00B9190A"/>
    <w:rsid w:val="00B91CD0"/>
    <w:rsid w:val="00B928C6"/>
    <w:rsid w:val="00B93433"/>
    <w:rsid w:val="00B9374E"/>
    <w:rsid w:val="00B93F86"/>
    <w:rsid w:val="00B94A6C"/>
    <w:rsid w:val="00B94E49"/>
    <w:rsid w:val="00B95393"/>
    <w:rsid w:val="00B959EB"/>
    <w:rsid w:val="00B975B6"/>
    <w:rsid w:val="00B97FD5"/>
    <w:rsid w:val="00BA0456"/>
    <w:rsid w:val="00BA066F"/>
    <w:rsid w:val="00BA4795"/>
    <w:rsid w:val="00BA4B24"/>
    <w:rsid w:val="00BA4E2B"/>
    <w:rsid w:val="00BA523F"/>
    <w:rsid w:val="00BA7016"/>
    <w:rsid w:val="00BA7081"/>
    <w:rsid w:val="00BA726F"/>
    <w:rsid w:val="00BA7734"/>
    <w:rsid w:val="00BA7901"/>
    <w:rsid w:val="00BA7A9F"/>
    <w:rsid w:val="00BA7BF3"/>
    <w:rsid w:val="00BB04DF"/>
    <w:rsid w:val="00BB1777"/>
    <w:rsid w:val="00BB21D4"/>
    <w:rsid w:val="00BB2310"/>
    <w:rsid w:val="00BB3186"/>
    <w:rsid w:val="00BB3232"/>
    <w:rsid w:val="00BB4A05"/>
    <w:rsid w:val="00BB5BF3"/>
    <w:rsid w:val="00BB6724"/>
    <w:rsid w:val="00BB6752"/>
    <w:rsid w:val="00BB683C"/>
    <w:rsid w:val="00BB6B55"/>
    <w:rsid w:val="00BB7992"/>
    <w:rsid w:val="00BB7A8E"/>
    <w:rsid w:val="00BB7FC8"/>
    <w:rsid w:val="00BC0027"/>
    <w:rsid w:val="00BC00F8"/>
    <w:rsid w:val="00BC0B66"/>
    <w:rsid w:val="00BC11DD"/>
    <w:rsid w:val="00BC18E1"/>
    <w:rsid w:val="00BC22FC"/>
    <w:rsid w:val="00BC3480"/>
    <w:rsid w:val="00BC3811"/>
    <w:rsid w:val="00BC484E"/>
    <w:rsid w:val="00BC4B94"/>
    <w:rsid w:val="00BC54CA"/>
    <w:rsid w:val="00BC609F"/>
    <w:rsid w:val="00BC63D2"/>
    <w:rsid w:val="00BC6AFF"/>
    <w:rsid w:val="00BC7269"/>
    <w:rsid w:val="00BC74F2"/>
    <w:rsid w:val="00BC7955"/>
    <w:rsid w:val="00BD0CFD"/>
    <w:rsid w:val="00BD0F0E"/>
    <w:rsid w:val="00BD142D"/>
    <w:rsid w:val="00BD193F"/>
    <w:rsid w:val="00BD2035"/>
    <w:rsid w:val="00BD2348"/>
    <w:rsid w:val="00BD2429"/>
    <w:rsid w:val="00BD4146"/>
    <w:rsid w:val="00BD453E"/>
    <w:rsid w:val="00BD4EE7"/>
    <w:rsid w:val="00BD52E4"/>
    <w:rsid w:val="00BD5EAE"/>
    <w:rsid w:val="00BD6183"/>
    <w:rsid w:val="00BE0A39"/>
    <w:rsid w:val="00BE1F79"/>
    <w:rsid w:val="00BE2263"/>
    <w:rsid w:val="00BE377E"/>
    <w:rsid w:val="00BE3810"/>
    <w:rsid w:val="00BE4397"/>
    <w:rsid w:val="00BE4FB8"/>
    <w:rsid w:val="00BE5E29"/>
    <w:rsid w:val="00BE67FB"/>
    <w:rsid w:val="00BE6A46"/>
    <w:rsid w:val="00BE6EA9"/>
    <w:rsid w:val="00BE711B"/>
    <w:rsid w:val="00BE7644"/>
    <w:rsid w:val="00BE7A61"/>
    <w:rsid w:val="00BE7CA1"/>
    <w:rsid w:val="00BF00EE"/>
    <w:rsid w:val="00BF09D5"/>
    <w:rsid w:val="00BF0F63"/>
    <w:rsid w:val="00BF1BE1"/>
    <w:rsid w:val="00BF1E81"/>
    <w:rsid w:val="00BF2CD9"/>
    <w:rsid w:val="00BF305F"/>
    <w:rsid w:val="00BF3B0F"/>
    <w:rsid w:val="00BF3D87"/>
    <w:rsid w:val="00BF3EF1"/>
    <w:rsid w:val="00BF442F"/>
    <w:rsid w:val="00BF451C"/>
    <w:rsid w:val="00BF4A5B"/>
    <w:rsid w:val="00BF5AD2"/>
    <w:rsid w:val="00BF6147"/>
    <w:rsid w:val="00BF64C7"/>
    <w:rsid w:val="00BF6E0C"/>
    <w:rsid w:val="00BF7331"/>
    <w:rsid w:val="00BF7904"/>
    <w:rsid w:val="00C00139"/>
    <w:rsid w:val="00C01252"/>
    <w:rsid w:val="00C01295"/>
    <w:rsid w:val="00C017F8"/>
    <w:rsid w:val="00C022EA"/>
    <w:rsid w:val="00C029DA"/>
    <w:rsid w:val="00C03067"/>
    <w:rsid w:val="00C03766"/>
    <w:rsid w:val="00C0482A"/>
    <w:rsid w:val="00C04E76"/>
    <w:rsid w:val="00C07D5F"/>
    <w:rsid w:val="00C10508"/>
    <w:rsid w:val="00C10F3F"/>
    <w:rsid w:val="00C11CE8"/>
    <w:rsid w:val="00C13945"/>
    <w:rsid w:val="00C14321"/>
    <w:rsid w:val="00C15617"/>
    <w:rsid w:val="00C16068"/>
    <w:rsid w:val="00C167C4"/>
    <w:rsid w:val="00C169B3"/>
    <w:rsid w:val="00C16F40"/>
    <w:rsid w:val="00C173C0"/>
    <w:rsid w:val="00C2097F"/>
    <w:rsid w:val="00C20A1D"/>
    <w:rsid w:val="00C20BA1"/>
    <w:rsid w:val="00C21CAD"/>
    <w:rsid w:val="00C222A1"/>
    <w:rsid w:val="00C227F1"/>
    <w:rsid w:val="00C22A0A"/>
    <w:rsid w:val="00C22BD9"/>
    <w:rsid w:val="00C2352C"/>
    <w:rsid w:val="00C23B2A"/>
    <w:rsid w:val="00C24971"/>
    <w:rsid w:val="00C256B0"/>
    <w:rsid w:val="00C257E5"/>
    <w:rsid w:val="00C26370"/>
    <w:rsid w:val="00C26EC9"/>
    <w:rsid w:val="00C30892"/>
    <w:rsid w:val="00C311FB"/>
    <w:rsid w:val="00C31361"/>
    <w:rsid w:val="00C34193"/>
    <w:rsid w:val="00C35891"/>
    <w:rsid w:val="00C35D47"/>
    <w:rsid w:val="00C36323"/>
    <w:rsid w:val="00C3671D"/>
    <w:rsid w:val="00C36BC0"/>
    <w:rsid w:val="00C37C5A"/>
    <w:rsid w:val="00C4017C"/>
    <w:rsid w:val="00C4080D"/>
    <w:rsid w:val="00C40A06"/>
    <w:rsid w:val="00C4191F"/>
    <w:rsid w:val="00C41BFF"/>
    <w:rsid w:val="00C4214D"/>
    <w:rsid w:val="00C4253F"/>
    <w:rsid w:val="00C42D61"/>
    <w:rsid w:val="00C43063"/>
    <w:rsid w:val="00C4309E"/>
    <w:rsid w:val="00C435A9"/>
    <w:rsid w:val="00C43738"/>
    <w:rsid w:val="00C439E3"/>
    <w:rsid w:val="00C43E78"/>
    <w:rsid w:val="00C45514"/>
    <w:rsid w:val="00C4560A"/>
    <w:rsid w:val="00C45ABD"/>
    <w:rsid w:val="00C4611D"/>
    <w:rsid w:val="00C46320"/>
    <w:rsid w:val="00C466A5"/>
    <w:rsid w:val="00C4681B"/>
    <w:rsid w:val="00C46F8C"/>
    <w:rsid w:val="00C50B6B"/>
    <w:rsid w:val="00C515B2"/>
    <w:rsid w:val="00C51D14"/>
    <w:rsid w:val="00C526AD"/>
    <w:rsid w:val="00C528BE"/>
    <w:rsid w:val="00C528EB"/>
    <w:rsid w:val="00C53E3B"/>
    <w:rsid w:val="00C545A6"/>
    <w:rsid w:val="00C546A9"/>
    <w:rsid w:val="00C54862"/>
    <w:rsid w:val="00C55215"/>
    <w:rsid w:val="00C559DA"/>
    <w:rsid w:val="00C55AB6"/>
    <w:rsid w:val="00C55E29"/>
    <w:rsid w:val="00C564EE"/>
    <w:rsid w:val="00C57391"/>
    <w:rsid w:val="00C5757D"/>
    <w:rsid w:val="00C60F58"/>
    <w:rsid w:val="00C62B26"/>
    <w:rsid w:val="00C62F99"/>
    <w:rsid w:val="00C6391C"/>
    <w:rsid w:val="00C642FC"/>
    <w:rsid w:val="00C64578"/>
    <w:rsid w:val="00C6537D"/>
    <w:rsid w:val="00C65AE2"/>
    <w:rsid w:val="00C6636E"/>
    <w:rsid w:val="00C66617"/>
    <w:rsid w:val="00C66D8E"/>
    <w:rsid w:val="00C66F36"/>
    <w:rsid w:val="00C678F0"/>
    <w:rsid w:val="00C70649"/>
    <w:rsid w:val="00C70DF2"/>
    <w:rsid w:val="00C70EED"/>
    <w:rsid w:val="00C72B56"/>
    <w:rsid w:val="00C72CFA"/>
    <w:rsid w:val="00C7572F"/>
    <w:rsid w:val="00C75812"/>
    <w:rsid w:val="00C75C8D"/>
    <w:rsid w:val="00C75FAC"/>
    <w:rsid w:val="00C76205"/>
    <w:rsid w:val="00C7717E"/>
    <w:rsid w:val="00C77DFB"/>
    <w:rsid w:val="00C77FA7"/>
    <w:rsid w:val="00C8160D"/>
    <w:rsid w:val="00C816A4"/>
    <w:rsid w:val="00C8268A"/>
    <w:rsid w:val="00C82DFF"/>
    <w:rsid w:val="00C86BC8"/>
    <w:rsid w:val="00C871DD"/>
    <w:rsid w:val="00C87C36"/>
    <w:rsid w:val="00C90865"/>
    <w:rsid w:val="00C90B2F"/>
    <w:rsid w:val="00C90E9A"/>
    <w:rsid w:val="00C90FC8"/>
    <w:rsid w:val="00C91053"/>
    <w:rsid w:val="00C91504"/>
    <w:rsid w:val="00C91A73"/>
    <w:rsid w:val="00C91ADD"/>
    <w:rsid w:val="00C92B79"/>
    <w:rsid w:val="00C92F75"/>
    <w:rsid w:val="00C935C8"/>
    <w:rsid w:val="00C94544"/>
    <w:rsid w:val="00C94A21"/>
    <w:rsid w:val="00C9573A"/>
    <w:rsid w:val="00C959F9"/>
    <w:rsid w:val="00C95A12"/>
    <w:rsid w:val="00C95E70"/>
    <w:rsid w:val="00C95FC3"/>
    <w:rsid w:val="00C972FF"/>
    <w:rsid w:val="00C978BF"/>
    <w:rsid w:val="00C97928"/>
    <w:rsid w:val="00CA0239"/>
    <w:rsid w:val="00CA0F7F"/>
    <w:rsid w:val="00CA303E"/>
    <w:rsid w:val="00CA369F"/>
    <w:rsid w:val="00CA3E9F"/>
    <w:rsid w:val="00CA49E7"/>
    <w:rsid w:val="00CA4B25"/>
    <w:rsid w:val="00CA6772"/>
    <w:rsid w:val="00CA68DA"/>
    <w:rsid w:val="00CA7657"/>
    <w:rsid w:val="00CB03FA"/>
    <w:rsid w:val="00CB1878"/>
    <w:rsid w:val="00CB1973"/>
    <w:rsid w:val="00CB1FD9"/>
    <w:rsid w:val="00CB214E"/>
    <w:rsid w:val="00CB257A"/>
    <w:rsid w:val="00CB2770"/>
    <w:rsid w:val="00CB2BA7"/>
    <w:rsid w:val="00CB2D0D"/>
    <w:rsid w:val="00CB34D4"/>
    <w:rsid w:val="00CB36F0"/>
    <w:rsid w:val="00CB54D3"/>
    <w:rsid w:val="00CB5E28"/>
    <w:rsid w:val="00CB6891"/>
    <w:rsid w:val="00CB6C1D"/>
    <w:rsid w:val="00CB6DC1"/>
    <w:rsid w:val="00CB6DFD"/>
    <w:rsid w:val="00CB71B3"/>
    <w:rsid w:val="00CB7D3A"/>
    <w:rsid w:val="00CB7DD5"/>
    <w:rsid w:val="00CB7E43"/>
    <w:rsid w:val="00CC0212"/>
    <w:rsid w:val="00CC09F4"/>
    <w:rsid w:val="00CC0C1E"/>
    <w:rsid w:val="00CC0DA5"/>
    <w:rsid w:val="00CC121E"/>
    <w:rsid w:val="00CC1D0C"/>
    <w:rsid w:val="00CC2505"/>
    <w:rsid w:val="00CC2607"/>
    <w:rsid w:val="00CC2AE1"/>
    <w:rsid w:val="00CC30DC"/>
    <w:rsid w:val="00CC3E5C"/>
    <w:rsid w:val="00CC415C"/>
    <w:rsid w:val="00CC45EE"/>
    <w:rsid w:val="00CC51BF"/>
    <w:rsid w:val="00CC5ABD"/>
    <w:rsid w:val="00CC6AB6"/>
    <w:rsid w:val="00CC71C7"/>
    <w:rsid w:val="00CC7882"/>
    <w:rsid w:val="00CD0360"/>
    <w:rsid w:val="00CD04C6"/>
    <w:rsid w:val="00CD0775"/>
    <w:rsid w:val="00CD171B"/>
    <w:rsid w:val="00CD1F82"/>
    <w:rsid w:val="00CD29A2"/>
    <w:rsid w:val="00CD2B3A"/>
    <w:rsid w:val="00CD38E3"/>
    <w:rsid w:val="00CD54B2"/>
    <w:rsid w:val="00CD5BF8"/>
    <w:rsid w:val="00CD611F"/>
    <w:rsid w:val="00CD631B"/>
    <w:rsid w:val="00CD6C1F"/>
    <w:rsid w:val="00CD6CA3"/>
    <w:rsid w:val="00CD6E54"/>
    <w:rsid w:val="00CD732E"/>
    <w:rsid w:val="00CE0180"/>
    <w:rsid w:val="00CE0F27"/>
    <w:rsid w:val="00CE211E"/>
    <w:rsid w:val="00CE2843"/>
    <w:rsid w:val="00CE3317"/>
    <w:rsid w:val="00CE3C18"/>
    <w:rsid w:val="00CE3D87"/>
    <w:rsid w:val="00CE3E4C"/>
    <w:rsid w:val="00CE5032"/>
    <w:rsid w:val="00CE53E5"/>
    <w:rsid w:val="00CE7812"/>
    <w:rsid w:val="00CF0181"/>
    <w:rsid w:val="00CF0B02"/>
    <w:rsid w:val="00CF0F54"/>
    <w:rsid w:val="00CF1507"/>
    <w:rsid w:val="00CF26AF"/>
    <w:rsid w:val="00CF33C5"/>
    <w:rsid w:val="00CF3801"/>
    <w:rsid w:val="00CF4555"/>
    <w:rsid w:val="00CF469B"/>
    <w:rsid w:val="00CF47FC"/>
    <w:rsid w:val="00CF4DF2"/>
    <w:rsid w:val="00CF53A3"/>
    <w:rsid w:val="00CF580D"/>
    <w:rsid w:val="00CF6216"/>
    <w:rsid w:val="00CF649A"/>
    <w:rsid w:val="00D01C89"/>
    <w:rsid w:val="00D0263F"/>
    <w:rsid w:val="00D0285F"/>
    <w:rsid w:val="00D02B53"/>
    <w:rsid w:val="00D03597"/>
    <w:rsid w:val="00D06617"/>
    <w:rsid w:val="00D06FCF"/>
    <w:rsid w:val="00D07CCE"/>
    <w:rsid w:val="00D07D0F"/>
    <w:rsid w:val="00D10692"/>
    <w:rsid w:val="00D10AF1"/>
    <w:rsid w:val="00D121C5"/>
    <w:rsid w:val="00D12374"/>
    <w:rsid w:val="00D128A9"/>
    <w:rsid w:val="00D13AD2"/>
    <w:rsid w:val="00D15650"/>
    <w:rsid w:val="00D15FA9"/>
    <w:rsid w:val="00D1714F"/>
    <w:rsid w:val="00D17296"/>
    <w:rsid w:val="00D173E6"/>
    <w:rsid w:val="00D2017E"/>
    <w:rsid w:val="00D212D3"/>
    <w:rsid w:val="00D223DA"/>
    <w:rsid w:val="00D22E85"/>
    <w:rsid w:val="00D23116"/>
    <w:rsid w:val="00D23168"/>
    <w:rsid w:val="00D231F8"/>
    <w:rsid w:val="00D24332"/>
    <w:rsid w:val="00D24B64"/>
    <w:rsid w:val="00D24DCC"/>
    <w:rsid w:val="00D24F5B"/>
    <w:rsid w:val="00D25037"/>
    <w:rsid w:val="00D30BB0"/>
    <w:rsid w:val="00D30F8D"/>
    <w:rsid w:val="00D319C9"/>
    <w:rsid w:val="00D32D97"/>
    <w:rsid w:val="00D332E0"/>
    <w:rsid w:val="00D335FC"/>
    <w:rsid w:val="00D3459E"/>
    <w:rsid w:val="00D34BD2"/>
    <w:rsid w:val="00D34CB4"/>
    <w:rsid w:val="00D3520B"/>
    <w:rsid w:val="00D3524F"/>
    <w:rsid w:val="00D35C59"/>
    <w:rsid w:val="00D36CA8"/>
    <w:rsid w:val="00D3746F"/>
    <w:rsid w:val="00D378C4"/>
    <w:rsid w:val="00D40AD3"/>
    <w:rsid w:val="00D422EF"/>
    <w:rsid w:val="00D427F1"/>
    <w:rsid w:val="00D42A75"/>
    <w:rsid w:val="00D42BD8"/>
    <w:rsid w:val="00D42CE5"/>
    <w:rsid w:val="00D433E7"/>
    <w:rsid w:val="00D44BA1"/>
    <w:rsid w:val="00D4502A"/>
    <w:rsid w:val="00D451D9"/>
    <w:rsid w:val="00D45913"/>
    <w:rsid w:val="00D45CAE"/>
    <w:rsid w:val="00D4677D"/>
    <w:rsid w:val="00D46891"/>
    <w:rsid w:val="00D46FE3"/>
    <w:rsid w:val="00D500B9"/>
    <w:rsid w:val="00D50418"/>
    <w:rsid w:val="00D52E48"/>
    <w:rsid w:val="00D530A1"/>
    <w:rsid w:val="00D533F2"/>
    <w:rsid w:val="00D5353E"/>
    <w:rsid w:val="00D542A0"/>
    <w:rsid w:val="00D5512B"/>
    <w:rsid w:val="00D559CF"/>
    <w:rsid w:val="00D56326"/>
    <w:rsid w:val="00D56B33"/>
    <w:rsid w:val="00D5766D"/>
    <w:rsid w:val="00D607B1"/>
    <w:rsid w:val="00D62874"/>
    <w:rsid w:val="00D62E4C"/>
    <w:rsid w:val="00D63166"/>
    <w:rsid w:val="00D6457A"/>
    <w:rsid w:val="00D65532"/>
    <w:rsid w:val="00D6560C"/>
    <w:rsid w:val="00D661DD"/>
    <w:rsid w:val="00D668A9"/>
    <w:rsid w:val="00D673E8"/>
    <w:rsid w:val="00D67C60"/>
    <w:rsid w:val="00D70218"/>
    <w:rsid w:val="00D712D6"/>
    <w:rsid w:val="00D72CD3"/>
    <w:rsid w:val="00D73152"/>
    <w:rsid w:val="00D734FF"/>
    <w:rsid w:val="00D73544"/>
    <w:rsid w:val="00D73E44"/>
    <w:rsid w:val="00D74A68"/>
    <w:rsid w:val="00D7537A"/>
    <w:rsid w:val="00D75435"/>
    <w:rsid w:val="00D76F11"/>
    <w:rsid w:val="00D770F3"/>
    <w:rsid w:val="00D77C08"/>
    <w:rsid w:val="00D77C29"/>
    <w:rsid w:val="00D80B57"/>
    <w:rsid w:val="00D81817"/>
    <w:rsid w:val="00D81B11"/>
    <w:rsid w:val="00D81B17"/>
    <w:rsid w:val="00D81C84"/>
    <w:rsid w:val="00D81E26"/>
    <w:rsid w:val="00D81E48"/>
    <w:rsid w:val="00D82394"/>
    <w:rsid w:val="00D82892"/>
    <w:rsid w:val="00D82DC6"/>
    <w:rsid w:val="00D83DEE"/>
    <w:rsid w:val="00D842D6"/>
    <w:rsid w:val="00D8474C"/>
    <w:rsid w:val="00D84F4C"/>
    <w:rsid w:val="00D864FB"/>
    <w:rsid w:val="00D8729F"/>
    <w:rsid w:val="00D87A66"/>
    <w:rsid w:val="00D900A9"/>
    <w:rsid w:val="00D90710"/>
    <w:rsid w:val="00D909C0"/>
    <w:rsid w:val="00D90D76"/>
    <w:rsid w:val="00D918D7"/>
    <w:rsid w:val="00D935D2"/>
    <w:rsid w:val="00D93B4D"/>
    <w:rsid w:val="00D948D6"/>
    <w:rsid w:val="00D94B5A"/>
    <w:rsid w:val="00D94B7D"/>
    <w:rsid w:val="00D9649A"/>
    <w:rsid w:val="00D96DC4"/>
    <w:rsid w:val="00D97497"/>
    <w:rsid w:val="00D97882"/>
    <w:rsid w:val="00D97E6A"/>
    <w:rsid w:val="00DA076B"/>
    <w:rsid w:val="00DA1567"/>
    <w:rsid w:val="00DA1D12"/>
    <w:rsid w:val="00DA21E7"/>
    <w:rsid w:val="00DA30BD"/>
    <w:rsid w:val="00DA3404"/>
    <w:rsid w:val="00DA3537"/>
    <w:rsid w:val="00DA37A3"/>
    <w:rsid w:val="00DA5E4C"/>
    <w:rsid w:val="00DA5FEE"/>
    <w:rsid w:val="00DA6B92"/>
    <w:rsid w:val="00DA78F2"/>
    <w:rsid w:val="00DA78F6"/>
    <w:rsid w:val="00DA7904"/>
    <w:rsid w:val="00DA7B4E"/>
    <w:rsid w:val="00DB07B5"/>
    <w:rsid w:val="00DB0E8F"/>
    <w:rsid w:val="00DB1523"/>
    <w:rsid w:val="00DB17CB"/>
    <w:rsid w:val="00DB1FAE"/>
    <w:rsid w:val="00DB262B"/>
    <w:rsid w:val="00DB28D8"/>
    <w:rsid w:val="00DB2CEB"/>
    <w:rsid w:val="00DB413D"/>
    <w:rsid w:val="00DB50DD"/>
    <w:rsid w:val="00DB715A"/>
    <w:rsid w:val="00DB742B"/>
    <w:rsid w:val="00DB793E"/>
    <w:rsid w:val="00DC04F6"/>
    <w:rsid w:val="00DC0597"/>
    <w:rsid w:val="00DC157C"/>
    <w:rsid w:val="00DC2317"/>
    <w:rsid w:val="00DC267D"/>
    <w:rsid w:val="00DC2B17"/>
    <w:rsid w:val="00DC2F44"/>
    <w:rsid w:val="00DC41D6"/>
    <w:rsid w:val="00DC48F6"/>
    <w:rsid w:val="00DC49E4"/>
    <w:rsid w:val="00DC5338"/>
    <w:rsid w:val="00DC57FA"/>
    <w:rsid w:val="00DC652F"/>
    <w:rsid w:val="00DC6A23"/>
    <w:rsid w:val="00DC6ECA"/>
    <w:rsid w:val="00DC7347"/>
    <w:rsid w:val="00DC74E3"/>
    <w:rsid w:val="00DC78AE"/>
    <w:rsid w:val="00DD0F28"/>
    <w:rsid w:val="00DD1F5A"/>
    <w:rsid w:val="00DD2132"/>
    <w:rsid w:val="00DD299D"/>
    <w:rsid w:val="00DD2EAC"/>
    <w:rsid w:val="00DD3EA0"/>
    <w:rsid w:val="00DD3FA8"/>
    <w:rsid w:val="00DD5A59"/>
    <w:rsid w:val="00DD5D0F"/>
    <w:rsid w:val="00DD5EFF"/>
    <w:rsid w:val="00DD663F"/>
    <w:rsid w:val="00DD74FA"/>
    <w:rsid w:val="00DE0747"/>
    <w:rsid w:val="00DE1190"/>
    <w:rsid w:val="00DE160E"/>
    <w:rsid w:val="00DE26BF"/>
    <w:rsid w:val="00DE34C9"/>
    <w:rsid w:val="00DE3643"/>
    <w:rsid w:val="00DE3A4F"/>
    <w:rsid w:val="00DE3B3E"/>
    <w:rsid w:val="00DE4720"/>
    <w:rsid w:val="00DE4C29"/>
    <w:rsid w:val="00DE5718"/>
    <w:rsid w:val="00DE596E"/>
    <w:rsid w:val="00DE6371"/>
    <w:rsid w:val="00DE6CBA"/>
    <w:rsid w:val="00DF00A8"/>
    <w:rsid w:val="00DF07FD"/>
    <w:rsid w:val="00DF0B9C"/>
    <w:rsid w:val="00DF1D95"/>
    <w:rsid w:val="00DF235C"/>
    <w:rsid w:val="00DF25FC"/>
    <w:rsid w:val="00DF2BE9"/>
    <w:rsid w:val="00DF35F3"/>
    <w:rsid w:val="00DF3A66"/>
    <w:rsid w:val="00DF3DB0"/>
    <w:rsid w:val="00DF427A"/>
    <w:rsid w:val="00DF47EF"/>
    <w:rsid w:val="00DF4AC9"/>
    <w:rsid w:val="00DF592D"/>
    <w:rsid w:val="00DF6956"/>
    <w:rsid w:val="00DF7FCE"/>
    <w:rsid w:val="00E00064"/>
    <w:rsid w:val="00E01934"/>
    <w:rsid w:val="00E01AD4"/>
    <w:rsid w:val="00E01CD1"/>
    <w:rsid w:val="00E01D14"/>
    <w:rsid w:val="00E02161"/>
    <w:rsid w:val="00E0330C"/>
    <w:rsid w:val="00E0371A"/>
    <w:rsid w:val="00E03DCC"/>
    <w:rsid w:val="00E041EA"/>
    <w:rsid w:val="00E04B67"/>
    <w:rsid w:val="00E059A9"/>
    <w:rsid w:val="00E06C14"/>
    <w:rsid w:val="00E07B73"/>
    <w:rsid w:val="00E10963"/>
    <w:rsid w:val="00E11B97"/>
    <w:rsid w:val="00E12538"/>
    <w:rsid w:val="00E14012"/>
    <w:rsid w:val="00E14114"/>
    <w:rsid w:val="00E14E73"/>
    <w:rsid w:val="00E150E8"/>
    <w:rsid w:val="00E1654A"/>
    <w:rsid w:val="00E175B3"/>
    <w:rsid w:val="00E179D6"/>
    <w:rsid w:val="00E17DA8"/>
    <w:rsid w:val="00E22310"/>
    <w:rsid w:val="00E22409"/>
    <w:rsid w:val="00E22DE8"/>
    <w:rsid w:val="00E233EC"/>
    <w:rsid w:val="00E23AE2"/>
    <w:rsid w:val="00E23C8B"/>
    <w:rsid w:val="00E254B8"/>
    <w:rsid w:val="00E25A21"/>
    <w:rsid w:val="00E26A4B"/>
    <w:rsid w:val="00E26C7F"/>
    <w:rsid w:val="00E30371"/>
    <w:rsid w:val="00E3259C"/>
    <w:rsid w:val="00E32DC3"/>
    <w:rsid w:val="00E33FFC"/>
    <w:rsid w:val="00E361FA"/>
    <w:rsid w:val="00E36504"/>
    <w:rsid w:val="00E36B97"/>
    <w:rsid w:val="00E374F4"/>
    <w:rsid w:val="00E37720"/>
    <w:rsid w:val="00E4050F"/>
    <w:rsid w:val="00E412F0"/>
    <w:rsid w:val="00E45BF5"/>
    <w:rsid w:val="00E477AF"/>
    <w:rsid w:val="00E47867"/>
    <w:rsid w:val="00E47FD7"/>
    <w:rsid w:val="00E50F9D"/>
    <w:rsid w:val="00E51444"/>
    <w:rsid w:val="00E51A40"/>
    <w:rsid w:val="00E52104"/>
    <w:rsid w:val="00E525A9"/>
    <w:rsid w:val="00E53392"/>
    <w:rsid w:val="00E546E8"/>
    <w:rsid w:val="00E550A1"/>
    <w:rsid w:val="00E57A45"/>
    <w:rsid w:val="00E60369"/>
    <w:rsid w:val="00E603C5"/>
    <w:rsid w:val="00E60BB3"/>
    <w:rsid w:val="00E6123E"/>
    <w:rsid w:val="00E612C2"/>
    <w:rsid w:val="00E62D98"/>
    <w:rsid w:val="00E63CDE"/>
    <w:rsid w:val="00E641C1"/>
    <w:rsid w:val="00E6463F"/>
    <w:rsid w:val="00E64CAE"/>
    <w:rsid w:val="00E676DF"/>
    <w:rsid w:val="00E70B64"/>
    <w:rsid w:val="00E71871"/>
    <w:rsid w:val="00E73CAA"/>
    <w:rsid w:val="00E74365"/>
    <w:rsid w:val="00E7471A"/>
    <w:rsid w:val="00E752FE"/>
    <w:rsid w:val="00E758E6"/>
    <w:rsid w:val="00E75946"/>
    <w:rsid w:val="00E76858"/>
    <w:rsid w:val="00E80120"/>
    <w:rsid w:val="00E81FA8"/>
    <w:rsid w:val="00E82EC5"/>
    <w:rsid w:val="00E83220"/>
    <w:rsid w:val="00E8451F"/>
    <w:rsid w:val="00E85803"/>
    <w:rsid w:val="00E85FF6"/>
    <w:rsid w:val="00E86367"/>
    <w:rsid w:val="00E86E72"/>
    <w:rsid w:val="00E87146"/>
    <w:rsid w:val="00E902DA"/>
    <w:rsid w:val="00E904AB"/>
    <w:rsid w:val="00E904F1"/>
    <w:rsid w:val="00E90D8E"/>
    <w:rsid w:val="00E928A2"/>
    <w:rsid w:val="00E940B7"/>
    <w:rsid w:val="00E946F4"/>
    <w:rsid w:val="00E94A32"/>
    <w:rsid w:val="00E94D59"/>
    <w:rsid w:val="00E94F81"/>
    <w:rsid w:val="00E950A6"/>
    <w:rsid w:val="00E95D6E"/>
    <w:rsid w:val="00E95D8F"/>
    <w:rsid w:val="00E9663F"/>
    <w:rsid w:val="00E96E15"/>
    <w:rsid w:val="00E96E8C"/>
    <w:rsid w:val="00E971B0"/>
    <w:rsid w:val="00E979EB"/>
    <w:rsid w:val="00EA273F"/>
    <w:rsid w:val="00EA2FC8"/>
    <w:rsid w:val="00EA3690"/>
    <w:rsid w:val="00EA4AE0"/>
    <w:rsid w:val="00EA60BA"/>
    <w:rsid w:val="00EA6F5F"/>
    <w:rsid w:val="00EB069A"/>
    <w:rsid w:val="00EB0FA8"/>
    <w:rsid w:val="00EB313D"/>
    <w:rsid w:val="00EB612C"/>
    <w:rsid w:val="00EB6A96"/>
    <w:rsid w:val="00EB7F76"/>
    <w:rsid w:val="00EB7F90"/>
    <w:rsid w:val="00EC0E9E"/>
    <w:rsid w:val="00EC14E4"/>
    <w:rsid w:val="00EC1BD3"/>
    <w:rsid w:val="00EC1C7F"/>
    <w:rsid w:val="00EC3A0F"/>
    <w:rsid w:val="00EC3CA5"/>
    <w:rsid w:val="00EC3F3D"/>
    <w:rsid w:val="00EC79FA"/>
    <w:rsid w:val="00EC7BB4"/>
    <w:rsid w:val="00ED0601"/>
    <w:rsid w:val="00ED0710"/>
    <w:rsid w:val="00ED0C49"/>
    <w:rsid w:val="00ED0DB8"/>
    <w:rsid w:val="00ED0E53"/>
    <w:rsid w:val="00ED0F16"/>
    <w:rsid w:val="00ED2134"/>
    <w:rsid w:val="00ED2BF0"/>
    <w:rsid w:val="00ED3B48"/>
    <w:rsid w:val="00ED416C"/>
    <w:rsid w:val="00ED6E51"/>
    <w:rsid w:val="00ED738D"/>
    <w:rsid w:val="00ED7835"/>
    <w:rsid w:val="00ED7A57"/>
    <w:rsid w:val="00EE0142"/>
    <w:rsid w:val="00EE1FF8"/>
    <w:rsid w:val="00EE22DA"/>
    <w:rsid w:val="00EE316E"/>
    <w:rsid w:val="00EE3983"/>
    <w:rsid w:val="00EE3A77"/>
    <w:rsid w:val="00EE4E03"/>
    <w:rsid w:val="00EE5086"/>
    <w:rsid w:val="00EE5C3E"/>
    <w:rsid w:val="00EE5D41"/>
    <w:rsid w:val="00EE6051"/>
    <w:rsid w:val="00EE67A1"/>
    <w:rsid w:val="00EE6BB4"/>
    <w:rsid w:val="00EE7785"/>
    <w:rsid w:val="00EE7ABC"/>
    <w:rsid w:val="00EF23B2"/>
    <w:rsid w:val="00EF243B"/>
    <w:rsid w:val="00EF2CD9"/>
    <w:rsid w:val="00EF483C"/>
    <w:rsid w:val="00EF4B18"/>
    <w:rsid w:val="00EF5E21"/>
    <w:rsid w:val="00EF657A"/>
    <w:rsid w:val="00EF6B64"/>
    <w:rsid w:val="00EF705A"/>
    <w:rsid w:val="00EF71FE"/>
    <w:rsid w:val="00F0005F"/>
    <w:rsid w:val="00F0073D"/>
    <w:rsid w:val="00F00A77"/>
    <w:rsid w:val="00F01241"/>
    <w:rsid w:val="00F01476"/>
    <w:rsid w:val="00F026EA"/>
    <w:rsid w:val="00F0334C"/>
    <w:rsid w:val="00F056A3"/>
    <w:rsid w:val="00F059AC"/>
    <w:rsid w:val="00F06C58"/>
    <w:rsid w:val="00F07AD4"/>
    <w:rsid w:val="00F107D9"/>
    <w:rsid w:val="00F13277"/>
    <w:rsid w:val="00F13430"/>
    <w:rsid w:val="00F15483"/>
    <w:rsid w:val="00F15C22"/>
    <w:rsid w:val="00F174DA"/>
    <w:rsid w:val="00F17514"/>
    <w:rsid w:val="00F17869"/>
    <w:rsid w:val="00F17F13"/>
    <w:rsid w:val="00F203E4"/>
    <w:rsid w:val="00F205A5"/>
    <w:rsid w:val="00F208E5"/>
    <w:rsid w:val="00F20B2C"/>
    <w:rsid w:val="00F22676"/>
    <w:rsid w:val="00F22CBB"/>
    <w:rsid w:val="00F23A9B"/>
    <w:rsid w:val="00F23E49"/>
    <w:rsid w:val="00F2432B"/>
    <w:rsid w:val="00F25B01"/>
    <w:rsid w:val="00F25C30"/>
    <w:rsid w:val="00F25F4A"/>
    <w:rsid w:val="00F26516"/>
    <w:rsid w:val="00F2718F"/>
    <w:rsid w:val="00F32970"/>
    <w:rsid w:val="00F32C6B"/>
    <w:rsid w:val="00F3306F"/>
    <w:rsid w:val="00F330FD"/>
    <w:rsid w:val="00F33A1E"/>
    <w:rsid w:val="00F347B3"/>
    <w:rsid w:val="00F35362"/>
    <w:rsid w:val="00F35564"/>
    <w:rsid w:val="00F35BA4"/>
    <w:rsid w:val="00F35DE9"/>
    <w:rsid w:val="00F36ED0"/>
    <w:rsid w:val="00F4042D"/>
    <w:rsid w:val="00F41401"/>
    <w:rsid w:val="00F4157B"/>
    <w:rsid w:val="00F417A5"/>
    <w:rsid w:val="00F41C6C"/>
    <w:rsid w:val="00F42093"/>
    <w:rsid w:val="00F429D8"/>
    <w:rsid w:val="00F42B02"/>
    <w:rsid w:val="00F42BFA"/>
    <w:rsid w:val="00F438C2"/>
    <w:rsid w:val="00F456D3"/>
    <w:rsid w:val="00F45B47"/>
    <w:rsid w:val="00F45D26"/>
    <w:rsid w:val="00F468E7"/>
    <w:rsid w:val="00F46CEE"/>
    <w:rsid w:val="00F50C8C"/>
    <w:rsid w:val="00F520F0"/>
    <w:rsid w:val="00F523B3"/>
    <w:rsid w:val="00F53B44"/>
    <w:rsid w:val="00F5425F"/>
    <w:rsid w:val="00F54422"/>
    <w:rsid w:val="00F56334"/>
    <w:rsid w:val="00F56C88"/>
    <w:rsid w:val="00F5723E"/>
    <w:rsid w:val="00F57540"/>
    <w:rsid w:val="00F600B6"/>
    <w:rsid w:val="00F6014A"/>
    <w:rsid w:val="00F601D1"/>
    <w:rsid w:val="00F6183A"/>
    <w:rsid w:val="00F61A39"/>
    <w:rsid w:val="00F61D83"/>
    <w:rsid w:val="00F61D8D"/>
    <w:rsid w:val="00F62577"/>
    <w:rsid w:val="00F63236"/>
    <w:rsid w:val="00F6323D"/>
    <w:rsid w:val="00F644D7"/>
    <w:rsid w:val="00F648F3"/>
    <w:rsid w:val="00F64A7F"/>
    <w:rsid w:val="00F657E8"/>
    <w:rsid w:val="00F65F6E"/>
    <w:rsid w:val="00F6677E"/>
    <w:rsid w:val="00F66BC3"/>
    <w:rsid w:val="00F66FCC"/>
    <w:rsid w:val="00F6737E"/>
    <w:rsid w:val="00F67681"/>
    <w:rsid w:val="00F70A7A"/>
    <w:rsid w:val="00F71373"/>
    <w:rsid w:val="00F71640"/>
    <w:rsid w:val="00F7217C"/>
    <w:rsid w:val="00F7253C"/>
    <w:rsid w:val="00F72E68"/>
    <w:rsid w:val="00F73023"/>
    <w:rsid w:val="00F73BA1"/>
    <w:rsid w:val="00F75126"/>
    <w:rsid w:val="00F752C9"/>
    <w:rsid w:val="00F75798"/>
    <w:rsid w:val="00F759DB"/>
    <w:rsid w:val="00F759DE"/>
    <w:rsid w:val="00F75E1B"/>
    <w:rsid w:val="00F77566"/>
    <w:rsid w:val="00F77A5C"/>
    <w:rsid w:val="00F80D77"/>
    <w:rsid w:val="00F83215"/>
    <w:rsid w:val="00F83AEC"/>
    <w:rsid w:val="00F8432D"/>
    <w:rsid w:val="00F84947"/>
    <w:rsid w:val="00F8566D"/>
    <w:rsid w:val="00F85706"/>
    <w:rsid w:val="00F85EC0"/>
    <w:rsid w:val="00F86833"/>
    <w:rsid w:val="00F87030"/>
    <w:rsid w:val="00F87372"/>
    <w:rsid w:val="00F908B9"/>
    <w:rsid w:val="00F91907"/>
    <w:rsid w:val="00F91F4B"/>
    <w:rsid w:val="00F9495D"/>
    <w:rsid w:val="00F95AE0"/>
    <w:rsid w:val="00F95E13"/>
    <w:rsid w:val="00F96338"/>
    <w:rsid w:val="00F967DF"/>
    <w:rsid w:val="00F97437"/>
    <w:rsid w:val="00F97F1A"/>
    <w:rsid w:val="00FA06CD"/>
    <w:rsid w:val="00FA06F8"/>
    <w:rsid w:val="00FA0FD1"/>
    <w:rsid w:val="00FA16B1"/>
    <w:rsid w:val="00FA1799"/>
    <w:rsid w:val="00FA2046"/>
    <w:rsid w:val="00FA29E1"/>
    <w:rsid w:val="00FA432D"/>
    <w:rsid w:val="00FA4E40"/>
    <w:rsid w:val="00FA5274"/>
    <w:rsid w:val="00FA57A1"/>
    <w:rsid w:val="00FA5D15"/>
    <w:rsid w:val="00FA6032"/>
    <w:rsid w:val="00FA74AA"/>
    <w:rsid w:val="00FB0481"/>
    <w:rsid w:val="00FB084D"/>
    <w:rsid w:val="00FB1520"/>
    <w:rsid w:val="00FB17A2"/>
    <w:rsid w:val="00FB1A73"/>
    <w:rsid w:val="00FB1C7B"/>
    <w:rsid w:val="00FB2A5F"/>
    <w:rsid w:val="00FB30AA"/>
    <w:rsid w:val="00FB30BF"/>
    <w:rsid w:val="00FB3123"/>
    <w:rsid w:val="00FB3854"/>
    <w:rsid w:val="00FB3872"/>
    <w:rsid w:val="00FB536D"/>
    <w:rsid w:val="00FB5552"/>
    <w:rsid w:val="00FB61D0"/>
    <w:rsid w:val="00FB6B87"/>
    <w:rsid w:val="00FB6CFC"/>
    <w:rsid w:val="00FB7C13"/>
    <w:rsid w:val="00FC0478"/>
    <w:rsid w:val="00FC0FC5"/>
    <w:rsid w:val="00FC2393"/>
    <w:rsid w:val="00FC270C"/>
    <w:rsid w:val="00FC2D7F"/>
    <w:rsid w:val="00FC31BA"/>
    <w:rsid w:val="00FC38EC"/>
    <w:rsid w:val="00FC3A57"/>
    <w:rsid w:val="00FC3B15"/>
    <w:rsid w:val="00FC3E0A"/>
    <w:rsid w:val="00FC44AC"/>
    <w:rsid w:val="00FC4839"/>
    <w:rsid w:val="00FC4ED3"/>
    <w:rsid w:val="00FC536B"/>
    <w:rsid w:val="00FC54FA"/>
    <w:rsid w:val="00FC5B98"/>
    <w:rsid w:val="00FC633B"/>
    <w:rsid w:val="00FC7C9B"/>
    <w:rsid w:val="00FC7DEF"/>
    <w:rsid w:val="00FD092D"/>
    <w:rsid w:val="00FD1210"/>
    <w:rsid w:val="00FD199C"/>
    <w:rsid w:val="00FD1F12"/>
    <w:rsid w:val="00FD2D2B"/>
    <w:rsid w:val="00FD3917"/>
    <w:rsid w:val="00FD44D7"/>
    <w:rsid w:val="00FD5571"/>
    <w:rsid w:val="00FD6FA2"/>
    <w:rsid w:val="00FD7236"/>
    <w:rsid w:val="00FD7265"/>
    <w:rsid w:val="00FD753B"/>
    <w:rsid w:val="00FD7FA9"/>
    <w:rsid w:val="00FE2C65"/>
    <w:rsid w:val="00FE2D84"/>
    <w:rsid w:val="00FE309E"/>
    <w:rsid w:val="00FE32C9"/>
    <w:rsid w:val="00FE32F0"/>
    <w:rsid w:val="00FE4189"/>
    <w:rsid w:val="00FE468E"/>
    <w:rsid w:val="00FE49FC"/>
    <w:rsid w:val="00FE5B2F"/>
    <w:rsid w:val="00FE5EDD"/>
    <w:rsid w:val="00FE692A"/>
    <w:rsid w:val="00FE6992"/>
    <w:rsid w:val="00FE6B7D"/>
    <w:rsid w:val="00FE6CF9"/>
    <w:rsid w:val="00FE71D6"/>
    <w:rsid w:val="00FE72FE"/>
    <w:rsid w:val="00FF00E7"/>
    <w:rsid w:val="00FF0194"/>
    <w:rsid w:val="00FF0D2D"/>
    <w:rsid w:val="00FF19B7"/>
    <w:rsid w:val="00FF2833"/>
    <w:rsid w:val="00FF2967"/>
    <w:rsid w:val="00FF2FDD"/>
    <w:rsid w:val="00FF3226"/>
    <w:rsid w:val="00FF33FE"/>
    <w:rsid w:val="00FF39CF"/>
    <w:rsid w:val="00FF43C5"/>
    <w:rsid w:val="00FF469D"/>
    <w:rsid w:val="00FF46ED"/>
    <w:rsid w:val="00FF4784"/>
    <w:rsid w:val="00FF7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7F4D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B02"/>
    <w:pPr>
      <w:ind w:left="720"/>
      <w:contextualSpacing/>
    </w:pPr>
  </w:style>
  <w:style w:type="table" w:styleId="TableGrid">
    <w:name w:val="Table Grid"/>
    <w:basedOn w:val="TableNormal"/>
    <w:uiPriority w:val="59"/>
    <w:rsid w:val="00B30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48"/>
    <w:rPr>
      <w:rFonts w:ascii="Tahoma" w:hAnsi="Tahoma" w:cs="Tahoma"/>
      <w:sz w:val="16"/>
      <w:szCs w:val="16"/>
    </w:rPr>
  </w:style>
  <w:style w:type="character" w:styleId="CommentReference">
    <w:name w:val="annotation reference"/>
    <w:basedOn w:val="DefaultParagraphFont"/>
    <w:uiPriority w:val="99"/>
    <w:semiHidden/>
    <w:unhideWhenUsed/>
    <w:rsid w:val="00D45913"/>
    <w:rPr>
      <w:sz w:val="16"/>
      <w:szCs w:val="16"/>
    </w:rPr>
  </w:style>
  <w:style w:type="paragraph" w:styleId="CommentText">
    <w:name w:val="annotation text"/>
    <w:basedOn w:val="Normal"/>
    <w:link w:val="CommentTextChar"/>
    <w:uiPriority w:val="99"/>
    <w:unhideWhenUsed/>
    <w:rsid w:val="00D45913"/>
    <w:pPr>
      <w:spacing w:line="240" w:lineRule="auto"/>
    </w:pPr>
    <w:rPr>
      <w:sz w:val="20"/>
      <w:szCs w:val="20"/>
    </w:rPr>
  </w:style>
  <w:style w:type="character" w:customStyle="1" w:styleId="CommentTextChar">
    <w:name w:val="Comment Text Char"/>
    <w:basedOn w:val="DefaultParagraphFont"/>
    <w:link w:val="CommentText"/>
    <w:uiPriority w:val="99"/>
    <w:rsid w:val="00D45913"/>
    <w:rPr>
      <w:sz w:val="20"/>
      <w:szCs w:val="20"/>
    </w:rPr>
  </w:style>
  <w:style w:type="paragraph" w:styleId="CommentSubject">
    <w:name w:val="annotation subject"/>
    <w:basedOn w:val="CommentText"/>
    <w:next w:val="CommentText"/>
    <w:link w:val="CommentSubjectChar"/>
    <w:uiPriority w:val="99"/>
    <w:semiHidden/>
    <w:unhideWhenUsed/>
    <w:rsid w:val="00D45913"/>
    <w:rPr>
      <w:b/>
      <w:bCs/>
    </w:rPr>
  </w:style>
  <w:style w:type="character" w:customStyle="1" w:styleId="CommentSubjectChar">
    <w:name w:val="Comment Subject Char"/>
    <w:basedOn w:val="CommentTextChar"/>
    <w:link w:val="CommentSubject"/>
    <w:uiPriority w:val="99"/>
    <w:semiHidden/>
    <w:rsid w:val="00D45913"/>
    <w:rPr>
      <w:b/>
      <w:bCs/>
      <w:sz w:val="20"/>
      <w:szCs w:val="20"/>
    </w:rPr>
  </w:style>
  <w:style w:type="paragraph" w:styleId="Header">
    <w:name w:val="header"/>
    <w:basedOn w:val="Normal"/>
    <w:link w:val="HeaderChar"/>
    <w:uiPriority w:val="99"/>
    <w:unhideWhenUsed/>
    <w:rsid w:val="003A1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C5F"/>
  </w:style>
  <w:style w:type="paragraph" w:styleId="Footer">
    <w:name w:val="footer"/>
    <w:basedOn w:val="Normal"/>
    <w:link w:val="FooterChar"/>
    <w:uiPriority w:val="99"/>
    <w:unhideWhenUsed/>
    <w:rsid w:val="003A1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C5F"/>
  </w:style>
  <w:style w:type="paragraph" w:styleId="FootnoteText">
    <w:name w:val="footnote text"/>
    <w:basedOn w:val="Normal"/>
    <w:link w:val="FootnoteTextChar"/>
    <w:uiPriority w:val="99"/>
    <w:semiHidden/>
    <w:unhideWhenUsed/>
    <w:rsid w:val="001E6B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B09"/>
    <w:rPr>
      <w:sz w:val="20"/>
      <w:szCs w:val="20"/>
    </w:rPr>
  </w:style>
  <w:style w:type="character" w:styleId="FootnoteReference">
    <w:name w:val="footnote reference"/>
    <w:basedOn w:val="DefaultParagraphFont"/>
    <w:uiPriority w:val="99"/>
    <w:semiHidden/>
    <w:unhideWhenUsed/>
    <w:rsid w:val="001E6B09"/>
    <w:rPr>
      <w:vertAlign w:val="superscript"/>
    </w:rPr>
  </w:style>
  <w:style w:type="character" w:styleId="LineNumber">
    <w:name w:val="line number"/>
    <w:basedOn w:val="DefaultParagraphFont"/>
    <w:uiPriority w:val="99"/>
    <w:semiHidden/>
    <w:unhideWhenUsed/>
    <w:rsid w:val="001E6B09"/>
  </w:style>
  <w:style w:type="paragraph" w:styleId="Revision">
    <w:name w:val="Revision"/>
    <w:hidden/>
    <w:uiPriority w:val="99"/>
    <w:semiHidden/>
    <w:rsid w:val="00301F84"/>
    <w:pPr>
      <w:spacing w:after="0" w:line="240" w:lineRule="auto"/>
    </w:pPr>
  </w:style>
  <w:style w:type="paragraph" w:styleId="NormalWeb">
    <w:name w:val="Normal (Web)"/>
    <w:basedOn w:val="Normal"/>
    <w:uiPriority w:val="99"/>
    <w:unhideWhenUsed/>
    <w:rsid w:val="0049206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C20B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B02"/>
    <w:pPr>
      <w:ind w:left="720"/>
      <w:contextualSpacing/>
    </w:pPr>
  </w:style>
  <w:style w:type="table" w:styleId="TableGrid">
    <w:name w:val="Table Grid"/>
    <w:basedOn w:val="TableNormal"/>
    <w:uiPriority w:val="59"/>
    <w:rsid w:val="00B30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48"/>
    <w:rPr>
      <w:rFonts w:ascii="Tahoma" w:hAnsi="Tahoma" w:cs="Tahoma"/>
      <w:sz w:val="16"/>
      <w:szCs w:val="16"/>
    </w:rPr>
  </w:style>
  <w:style w:type="character" w:styleId="CommentReference">
    <w:name w:val="annotation reference"/>
    <w:basedOn w:val="DefaultParagraphFont"/>
    <w:uiPriority w:val="99"/>
    <w:semiHidden/>
    <w:unhideWhenUsed/>
    <w:rsid w:val="00D45913"/>
    <w:rPr>
      <w:sz w:val="16"/>
      <w:szCs w:val="16"/>
    </w:rPr>
  </w:style>
  <w:style w:type="paragraph" w:styleId="CommentText">
    <w:name w:val="annotation text"/>
    <w:basedOn w:val="Normal"/>
    <w:link w:val="CommentTextChar"/>
    <w:uiPriority w:val="99"/>
    <w:unhideWhenUsed/>
    <w:rsid w:val="00D45913"/>
    <w:pPr>
      <w:spacing w:line="240" w:lineRule="auto"/>
    </w:pPr>
    <w:rPr>
      <w:sz w:val="20"/>
      <w:szCs w:val="20"/>
    </w:rPr>
  </w:style>
  <w:style w:type="character" w:customStyle="1" w:styleId="CommentTextChar">
    <w:name w:val="Comment Text Char"/>
    <w:basedOn w:val="DefaultParagraphFont"/>
    <w:link w:val="CommentText"/>
    <w:uiPriority w:val="99"/>
    <w:rsid w:val="00D45913"/>
    <w:rPr>
      <w:sz w:val="20"/>
      <w:szCs w:val="20"/>
    </w:rPr>
  </w:style>
  <w:style w:type="paragraph" w:styleId="CommentSubject">
    <w:name w:val="annotation subject"/>
    <w:basedOn w:val="CommentText"/>
    <w:next w:val="CommentText"/>
    <w:link w:val="CommentSubjectChar"/>
    <w:uiPriority w:val="99"/>
    <w:semiHidden/>
    <w:unhideWhenUsed/>
    <w:rsid w:val="00D45913"/>
    <w:rPr>
      <w:b/>
      <w:bCs/>
    </w:rPr>
  </w:style>
  <w:style w:type="character" w:customStyle="1" w:styleId="CommentSubjectChar">
    <w:name w:val="Comment Subject Char"/>
    <w:basedOn w:val="CommentTextChar"/>
    <w:link w:val="CommentSubject"/>
    <w:uiPriority w:val="99"/>
    <w:semiHidden/>
    <w:rsid w:val="00D45913"/>
    <w:rPr>
      <w:b/>
      <w:bCs/>
      <w:sz w:val="20"/>
      <w:szCs w:val="20"/>
    </w:rPr>
  </w:style>
  <w:style w:type="paragraph" w:styleId="Header">
    <w:name w:val="header"/>
    <w:basedOn w:val="Normal"/>
    <w:link w:val="HeaderChar"/>
    <w:uiPriority w:val="99"/>
    <w:unhideWhenUsed/>
    <w:rsid w:val="003A1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C5F"/>
  </w:style>
  <w:style w:type="paragraph" w:styleId="Footer">
    <w:name w:val="footer"/>
    <w:basedOn w:val="Normal"/>
    <w:link w:val="FooterChar"/>
    <w:uiPriority w:val="99"/>
    <w:unhideWhenUsed/>
    <w:rsid w:val="003A1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C5F"/>
  </w:style>
  <w:style w:type="paragraph" w:styleId="FootnoteText">
    <w:name w:val="footnote text"/>
    <w:basedOn w:val="Normal"/>
    <w:link w:val="FootnoteTextChar"/>
    <w:uiPriority w:val="99"/>
    <w:semiHidden/>
    <w:unhideWhenUsed/>
    <w:rsid w:val="001E6B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B09"/>
    <w:rPr>
      <w:sz w:val="20"/>
      <w:szCs w:val="20"/>
    </w:rPr>
  </w:style>
  <w:style w:type="character" w:styleId="FootnoteReference">
    <w:name w:val="footnote reference"/>
    <w:basedOn w:val="DefaultParagraphFont"/>
    <w:uiPriority w:val="99"/>
    <w:semiHidden/>
    <w:unhideWhenUsed/>
    <w:rsid w:val="001E6B09"/>
    <w:rPr>
      <w:vertAlign w:val="superscript"/>
    </w:rPr>
  </w:style>
  <w:style w:type="character" w:styleId="LineNumber">
    <w:name w:val="line number"/>
    <w:basedOn w:val="DefaultParagraphFont"/>
    <w:uiPriority w:val="99"/>
    <w:semiHidden/>
    <w:unhideWhenUsed/>
    <w:rsid w:val="001E6B09"/>
  </w:style>
  <w:style w:type="paragraph" w:styleId="Revision">
    <w:name w:val="Revision"/>
    <w:hidden/>
    <w:uiPriority w:val="99"/>
    <w:semiHidden/>
    <w:rsid w:val="00301F84"/>
    <w:pPr>
      <w:spacing w:after="0" w:line="240" w:lineRule="auto"/>
    </w:pPr>
  </w:style>
  <w:style w:type="paragraph" w:styleId="NormalWeb">
    <w:name w:val="Normal (Web)"/>
    <w:basedOn w:val="Normal"/>
    <w:uiPriority w:val="99"/>
    <w:unhideWhenUsed/>
    <w:rsid w:val="0049206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C20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90882">
      <w:bodyDiv w:val="1"/>
      <w:marLeft w:val="0"/>
      <w:marRight w:val="0"/>
      <w:marTop w:val="0"/>
      <w:marBottom w:val="0"/>
      <w:divBdr>
        <w:top w:val="none" w:sz="0" w:space="0" w:color="auto"/>
        <w:left w:val="none" w:sz="0" w:space="0" w:color="auto"/>
        <w:bottom w:val="none" w:sz="0" w:space="0" w:color="auto"/>
        <w:right w:val="none" w:sz="0" w:space="0" w:color="auto"/>
      </w:divBdr>
    </w:div>
    <w:div w:id="380179200">
      <w:bodyDiv w:val="1"/>
      <w:marLeft w:val="0"/>
      <w:marRight w:val="0"/>
      <w:marTop w:val="0"/>
      <w:marBottom w:val="0"/>
      <w:divBdr>
        <w:top w:val="none" w:sz="0" w:space="0" w:color="auto"/>
        <w:left w:val="none" w:sz="0" w:space="0" w:color="auto"/>
        <w:bottom w:val="none" w:sz="0" w:space="0" w:color="auto"/>
        <w:right w:val="none" w:sz="0" w:space="0" w:color="auto"/>
      </w:divBdr>
      <w:divsChild>
        <w:div w:id="626661406">
          <w:marLeft w:val="0"/>
          <w:marRight w:val="0"/>
          <w:marTop w:val="0"/>
          <w:marBottom w:val="0"/>
          <w:divBdr>
            <w:top w:val="none" w:sz="0" w:space="0" w:color="auto"/>
            <w:left w:val="none" w:sz="0" w:space="0" w:color="auto"/>
            <w:bottom w:val="none" w:sz="0" w:space="0" w:color="auto"/>
            <w:right w:val="none" w:sz="0" w:space="0" w:color="auto"/>
          </w:divBdr>
        </w:div>
        <w:div w:id="1064765720">
          <w:marLeft w:val="0"/>
          <w:marRight w:val="0"/>
          <w:marTop w:val="0"/>
          <w:marBottom w:val="0"/>
          <w:divBdr>
            <w:top w:val="none" w:sz="0" w:space="0" w:color="auto"/>
            <w:left w:val="none" w:sz="0" w:space="0" w:color="auto"/>
            <w:bottom w:val="none" w:sz="0" w:space="0" w:color="auto"/>
            <w:right w:val="none" w:sz="0" w:space="0" w:color="auto"/>
          </w:divBdr>
        </w:div>
        <w:div w:id="2011062618">
          <w:marLeft w:val="0"/>
          <w:marRight w:val="0"/>
          <w:marTop w:val="0"/>
          <w:marBottom w:val="0"/>
          <w:divBdr>
            <w:top w:val="none" w:sz="0" w:space="0" w:color="auto"/>
            <w:left w:val="none" w:sz="0" w:space="0" w:color="auto"/>
            <w:bottom w:val="none" w:sz="0" w:space="0" w:color="auto"/>
            <w:right w:val="none" w:sz="0" w:space="0" w:color="auto"/>
          </w:divBdr>
        </w:div>
        <w:div w:id="1591697175">
          <w:marLeft w:val="0"/>
          <w:marRight w:val="0"/>
          <w:marTop w:val="0"/>
          <w:marBottom w:val="0"/>
          <w:divBdr>
            <w:top w:val="none" w:sz="0" w:space="0" w:color="auto"/>
            <w:left w:val="none" w:sz="0" w:space="0" w:color="auto"/>
            <w:bottom w:val="none" w:sz="0" w:space="0" w:color="auto"/>
            <w:right w:val="none" w:sz="0" w:space="0" w:color="auto"/>
          </w:divBdr>
        </w:div>
        <w:div w:id="460077200">
          <w:marLeft w:val="0"/>
          <w:marRight w:val="0"/>
          <w:marTop w:val="0"/>
          <w:marBottom w:val="0"/>
          <w:divBdr>
            <w:top w:val="none" w:sz="0" w:space="0" w:color="auto"/>
            <w:left w:val="none" w:sz="0" w:space="0" w:color="auto"/>
            <w:bottom w:val="none" w:sz="0" w:space="0" w:color="auto"/>
            <w:right w:val="none" w:sz="0" w:space="0" w:color="auto"/>
          </w:divBdr>
        </w:div>
      </w:divsChild>
    </w:div>
    <w:div w:id="13424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C1D97-A7C0-4AED-8DC1-4FD1C9FF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30160</Words>
  <Characters>171916</Characters>
  <Application>Microsoft Office Word</Application>
  <DocSecurity>4</DocSecurity>
  <Lines>1432</Lines>
  <Paragraphs>403</Paragraphs>
  <ScaleCrop>false</ScaleCrop>
  <HeadingPairs>
    <vt:vector size="2" baseType="variant">
      <vt:variant>
        <vt:lpstr>Title</vt:lpstr>
      </vt:variant>
      <vt:variant>
        <vt:i4>1</vt:i4>
      </vt:variant>
    </vt:vector>
  </HeadingPairs>
  <TitlesOfParts>
    <vt:vector size="1" baseType="lpstr">
      <vt:lpstr/>
    </vt:vector>
  </TitlesOfParts>
  <Company>KKH</Company>
  <LinksUpToDate>false</LinksUpToDate>
  <CharactersWithSpaces>201673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Wee Poh Hui</dc:creator>
  <cp:lastModifiedBy>Karen Drake</cp:lastModifiedBy>
  <cp:revision>2</cp:revision>
  <cp:lastPrinted>2017-06-15T07:24:00Z</cp:lastPrinted>
  <dcterms:created xsi:type="dcterms:W3CDTF">2017-06-15T07:32:00Z</dcterms:created>
  <dcterms:modified xsi:type="dcterms:W3CDTF">2017-06-15T07:32:00Z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http://www.zotero.org/styles/nature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http://www.zotero.org/styles/elsevier-vancouver</vt:lpwstr>
  </property>
  <property fmtid="{D5CDD505-2E9C-101B-9397-08002B2CF9AE}" pid="9" name="Mendeley Recent Style Name 2_1">
    <vt:lpwstr>Elsevier Vancouver</vt:lpwstr>
  </property>
  <property fmtid="{D5CDD505-2E9C-101B-9397-08002B2CF9AE}" pid="10" name="Mendeley Recent Style Id 3_1">
    <vt:lpwstr>http://www.zotero.org/styles/nature</vt:lpwstr>
  </property>
  <property fmtid="{D5CDD505-2E9C-101B-9397-08002B2CF9AE}" pid="11" name="Mendeley Recent Style Name 3_1">
    <vt:lpwstr>Nature</vt:lpwstr>
  </property>
  <property fmtid="{D5CDD505-2E9C-101B-9397-08002B2CF9AE}" pid="12" name="Mendeley Recent Style Id 4_1">
    <vt:lpwstr>http://www.zotero.org/styles/nature-publishing-group-vancouver</vt:lpwstr>
  </property>
  <property fmtid="{D5CDD505-2E9C-101B-9397-08002B2CF9AE}" pid="13" name="Mendeley Recent Style Name 4_1">
    <vt:lpwstr>Nature Publishing Group Vancouver</vt:lpwstr>
  </property>
  <property fmtid="{D5CDD505-2E9C-101B-9397-08002B2CF9AE}" pid="14" name="Mendeley Recent Style Id 5_1">
    <vt:lpwstr>http://www.zotero.org/styles/springer-vancouver</vt:lpwstr>
  </property>
  <property fmtid="{D5CDD505-2E9C-101B-9397-08002B2CF9AE}" pid="15" name="Mendeley Recent Style Name 5_1">
    <vt:lpwstr>Springer Vancouver</vt:lpwstr>
  </property>
  <property fmtid="{D5CDD505-2E9C-101B-9397-08002B2CF9AE}" pid="16" name="Mendeley Recent Style Id 6_1">
    <vt:lpwstr>http://www.zotero.org/styles/springer-vancouver-author-date</vt:lpwstr>
  </property>
  <property fmtid="{D5CDD505-2E9C-101B-9397-08002B2CF9AE}" pid="17" name="Mendeley Recent Style Name 6_1">
    <vt:lpwstr>Springer Vancouver (author-date)</vt:lpwstr>
  </property>
  <property fmtid="{D5CDD505-2E9C-101B-9397-08002B2CF9AE}" pid="18" name="Mendeley Recent Style Id 7_1">
    <vt:lpwstr>http://www.zotero.org/styles/springer-vancouver-brackets</vt:lpwstr>
  </property>
  <property fmtid="{D5CDD505-2E9C-101B-9397-08002B2CF9AE}" pid="19" name="Mendeley Recent Style Name 7_1">
    <vt:lpwstr>Springer Vancouver (brackets)</vt:lpwstr>
  </property>
  <property fmtid="{D5CDD505-2E9C-101B-9397-08002B2CF9AE}" pid="20" name="Mendeley Recent Style Id 8_1">
    <vt:lpwstr>http://www.zotero.org/styles/vancouver</vt:lpwstr>
  </property>
  <property fmtid="{D5CDD505-2E9C-101B-9397-08002B2CF9AE}" pid="21" name="Mendeley Recent Style Name 8_1">
    <vt:lpwstr>Vancouver</vt:lpwstr>
  </property>
  <property fmtid="{D5CDD505-2E9C-101B-9397-08002B2CF9AE}" pid="22" name="Mendeley Recent Style Id 9_1">
    <vt:lpwstr>http://www.zotero.org/styles/vancouver-superscript-brackets-only-year</vt:lpwstr>
  </property>
  <property fmtid="{D5CDD505-2E9C-101B-9397-08002B2CF9AE}" pid="23" name="Mendeley Recent Style Name 9_1">
    <vt:lpwstr>Vancouver (superscript, brackets, only year in date)</vt:lpwstr>
  </property>
  <property fmtid="{D5CDD505-2E9C-101B-9397-08002B2CF9AE}" pid="24" name="Mendeley Unique User Id_1">
    <vt:lpwstr>04718d6c-a695-374f-9e4d-65ae06b53b21</vt:lpwstr>
  </property>
</Properties>
</file>