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B919E" w14:textId="77777777" w:rsidR="006E1516" w:rsidRPr="00DA6813" w:rsidRDefault="006E1516" w:rsidP="00957794">
      <w:pPr>
        <w:spacing w:line="360" w:lineRule="auto"/>
        <w:outlineLvl w:val="0"/>
        <w:rPr>
          <w:b/>
        </w:rPr>
      </w:pPr>
      <w:bookmarkStart w:id="0" w:name="_GoBack"/>
      <w:bookmarkEnd w:id="0"/>
      <w:r w:rsidRPr="00DA6813">
        <w:rPr>
          <w:b/>
        </w:rPr>
        <w:t>Gestational 25(OH)-vitamin D and offspring bone mass</w:t>
      </w:r>
    </w:p>
    <w:p w14:paraId="134E0F87" w14:textId="77777777" w:rsidR="006E1516" w:rsidRDefault="006E1516" w:rsidP="00957794">
      <w:pPr>
        <w:spacing w:line="360" w:lineRule="auto"/>
        <w:outlineLvl w:val="0"/>
      </w:pPr>
      <w:r>
        <w:t>Nicholas C Harvey</w:t>
      </w:r>
      <w:r w:rsidRPr="00845CE9">
        <w:rPr>
          <w:vertAlign w:val="superscript"/>
        </w:rPr>
        <w:t>1,2</w:t>
      </w:r>
      <w:r>
        <w:t>, Rebecca Moon</w:t>
      </w:r>
      <w:r w:rsidRPr="00845CE9">
        <w:rPr>
          <w:vertAlign w:val="superscript"/>
        </w:rPr>
        <w:t>1,3</w:t>
      </w:r>
      <w:r>
        <w:t>, Hazel M Inskip</w:t>
      </w:r>
      <w:r w:rsidRPr="00845CE9">
        <w:rPr>
          <w:vertAlign w:val="superscript"/>
        </w:rPr>
        <w:t>1</w:t>
      </w:r>
      <w:r>
        <w:t>, Keith M Godfrey</w:t>
      </w:r>
      <w:r w:rsidRPr="00845CE9">
        <w:rPr>
          <w:vertAlign w:val="superscript"/>
        </w:rPr>
        <w:t>1,2</w:t>
      </w:r>
      <w:r>
        <w:t>, Cyrus Cooper</w:t>
      </w:r>
      <w:r w:rsidRPr="00845CE9">
        <w:rPr>
          <w:vertAlign w:val="superscript"/>
        </w:rPr>
        <w:t>1,2,4</w:t>
      </w:r>
      <w:r>
        <w:t xml:space="preserve"> for the MAVIDOS Trial Group</w:t>
      </w:r>
    </w:p>
    <w:p w14:paraId="34B65934" w14:textId="77777777" w:rsidR="006E1516" w:rsidRDefault="006E1516" w:rsidP="003B6ED3">
      <w:pPr>
        <w:spacing w:line="360" w:lineRule="auto"/>
      </w:pPr>
    </w:p>
    <w:p w14:paraId="5288EB58" w14:textId="77777777" w:rsidR="006E1516" w:rsidRPr="00634E17" w:rsidRDefault="006E1516" w:rsidP="006A7541">
      <w:pPr>
        <w:spacing w:after="120" w:line="360" w:lineRule="auto"/>
        <w:jc w:val="both"/>
      </w:pPr>
      <w:r w:rsidRPr="00634E17">
        <w:rPr>
          <w:vertAlign w:val="superscript"/>
        </w:rPr>
        <w:t>1</w:t>
      </w:r>
      <w:r w:rsidRPr="00634E17">
        <w:t>MRC Lifecourse Epidemiology Unit, University o</w:t>
      </w:r>
      <w:r>
        <w:t>f Southampton, Southampton, UK</w:t>
      </w:r>
    </w:p>
    <w:p w14:paraId="69B9656F" w14:textId="77777777" w:rsidR="006E1516" w:rsidRDefault="006E1516" w:rsidP="006A7541">
      <w:pPr>
        <w:spacing w:after="120" w:line="360" w:lineRule="auto"/>
        <w:jc w:val="both"/>
      </w:pPr>
      <w:r w:rsidRPr="006A7541">
        <w:rPr>
          <w:vertAlign w:val="superscript"/>
        </w:rPr>
        <w:t>2</w:t>
      </w:r>
      <w:r w:rsidRPr="00634E17">
        <w:t>NIHR Southampton Nutrition Biomedical Research Centre, University of Southampton and University Hospital Southampton NHS Fou</w:t>
      </w:r>
      <w:r>
        <w:t>ndation Trust, Southampton, UK</w:t>
      </w:r>
    </w:p>
    <w:p w14:paraId="087544B2" w14:textId="77777777" w:rsidR="006E1516" w:rsidRPr="00634E17" w:rsidRDefault="006E1516" w:rsidP="006A7541">
      <w:pPr>
        <w:spacing w:after="120" w:line="360" w:lineRule="auto"/>
        <w:jc w:val="both"/>
      </w:pPr>
      <w:r w:rsidRPr="00A13A99">
        <w:rPr>
          <w:vertAlign w:val="superscript"/>
        </w:rPr>
        <w:t>3</w:t>
      </w:r>
      <w:r w:rsidRPr="00A13A99">
        <w:rPr>
          <w:lang w:val="en"/>
        </w:rPr>
        <w:t>Paediatric Endocrinology, University Hospital Southampton NHS Foundation Trust, Southampton, UK</w:t>
      </w:r>
    </w:p>
    <w:p w14:paraId="15D90D53" w14:textId="77777777" w:rsidR="006E1516" w:rsidRPr="00634E17" w:rsidRDefault="006E1516" w:rsidP="006A7541">
      <w:pPr>
        <w:spacing w:after="120" w:line="360" w:lineRule="auto"/>
        <w:jc w:val="both"/>
      </w:pPr>
      <w:r>
        <w:rPr>
          <w:vertAlign w:val="superscript"/>
        </w:rPr>
        <w:t>4</w:t>
      </w:r>
      <w:r w:rsidRPr="00634E17">
        <w:t>NIHR Musculoskeletal Biomedical Research Unit, Un</w:t>
      </w:r>
      <w:r>
        <w:t>iversity of Oxford, Oxford, UK</w:t>
      </w:r>
    </w:p>
    <w:p w14:paraId="42E0E685" w14:textId="77777777" w:rsidR="006E1516" w:rsidRDefault="006E1516" w:rsidP="003B6ED3">
      <w:pPr>
        <w:spacing w:line="360" w:lineRule="auto"/>
      </w:pPr>
    </w:p>
    <w:p w14:paraId="48F84D17" w14:textId="77777777" w:rsidR="006E1516" w:rsidRPr="00E2610E" w:rsidRDefault="006E1516" w:rsidP="00957794">
      <w:pPr>
        <w:spacing w:line="360" w:lineRule="auto"/>
        <w:jc w:val="both"/>
        <w:outlineLvl w:val="0"/>
        <w:rPr>
          <w:b/>
          <w:lang w:val="en-NZ"/>
        </w:rPr>
      </w:pPr>
      <w:r w:rsidRPr="00E2610E">
        <w:rPr>
          <w:b/>
          <w:lang w:val="en-NZ"/>
        </w:rPr>
        <w:t>Corresponding Author:</w:t>
      </w:r>
    </w:p>
    <w:p w14:paraId="78B23DD9" w14:textId="77777777" w:rsidR="006E1516" w:rsidRPr="00E2610E" w:rsidRDefault="006E1516" w:rsidP="00E2610E">
      <w:pPr>
        <w:spacing w:line="360" w:lineRule="auto"/>
        <w:jc w:val="both"/>
        <w:rPr>
          <w:lang w:val="en-NZ"/>
        </w:rPr>
      </w:pPr>
      <w:r w:rsidRPr="00E2610E">
        <w:rPr>
          <w:lang w:val="en-NZ"/>
        </w:rPr>
        <w:t>Professor Cyrus Cooper,</w:t>
      </w:r>
      <w:r>
        <w:rPr>
          <w:lang w:val="en-NZ"/>
        </w:rPr>
        <w:t xml:space="preserve"> </w:t>
      </w:r>
      <w:r w:rsidRPr="00E2610E">
        <w:rPr>
          <w:lang w:val="en-NZ"/>
        </w:rPr>
        <w:t>MRC Lifecourse Epidemiology Unit,</w:t>
      </w:r>
      <w:r>
        <w:rPr>
          <w:lang w:val="en-NZ"/>
        </w:rPr>
        <w:t xml:space="preserve"> </w:t>
      </w:r>
      <w:r w:rsidRPr="00E2610E">
        <w:rPr>
          <w:lang w:val="en-NZ"/>
        </w:rPr>
        <w:t>University of Southampton,</w:t>
      </w:r>
    </w:p>
    <w:p w14:paraId="68FBAD82" w14:textId="77777777" w:rsidR="006E1516" w:rsidRPr="00E2610E" w:rsidRDefault="006E1516" w:rsidP="00E2610E">
      <w:pPr>
        <w:spacing w:line="360" w:lineRule="auto"/>
        <w:jc w:val="both"/>
        <w:rPr>
          <w:lang w:val="en-NZ"/>
        </w:rPr>
      </w:pPr>
      <w:r w:rsidRPr="00E2610E">
        <w:rPr>
          <w:lang w:val="en-NZ"/>
        </w:rPr>
        <w:t>Southampton General Hospital,</w:t>
      </w:r>
      <w:r>
        <w:rPr>
          <w:lang w:val="en-NZ"/>
        </w:rPr>
        <w:t xml:space="preserve"> </w:t>
      </w:r>
      <w:r w:rsidRPr="00E2610E">
        <w:rPr>
          <w:lang w:val="en-NZ"/>
        </w:rPr>
        <w:t>Southampton.</w:t>
      </w:r>
      <w:r>
        <w:rPr>
          <w:lang w:val="en-NZ"/>
        </w:rPr>
        <w:t xml:space="preserve"> </w:t>
      </w:r>
      <w:r w:rsidRPr="00E2610E">
        <w:rPr>
          <w:lang w:val="en-NZ"/>
        </w:rPr>
        <w:t>SO16 6YD</w:t>
      </w:r>
    </w:p>
    <w:p w14:paraId="1A3C41D9" w14:textId="77777777" w:rsidR="006E1516" w:rsidRDefault="006E1516" w:rsidP="00957794">
      <w:pPr>
        <w:spacing w:line="360" w:lineRule="auto"/>
        <w:jc w:val="both"/>
        <w:outlineLvl w:val="0"/>
        <w:rPr>
          <w:lang w:val="en-NZ"/>
        </w:rPr>
      </w:pPr>
      <w:r w:rsidRPr="00E2610E">
        <w:rPr>
          <w:lang w:val="en-NZ"/>
        </w:rPr>
        <w:t>Tel: 023 8077 7624</w:t>
      </w:r>
      <w:r>
        <w:rPr>
          <w:lang w:val="en-NZ"/>
        </w:rPr>
        <w:t xml:space="preserve">; </w:t>
      </w:r>
      <w:r w:rsidRPr="00E2610E">
        <w:rPr>
          <w:lang w:val="en-NZ"/>
        </w:rPr>
        <w:t>Fax: 023 8070 4021</w:t>
      </w:r>
      <w:r>
        <w:rPr>
          <w:lang w:val="en-NZ"/>
        </w:rPr>
        <w:t xml:space="preserve">; </w:t>
      </w:r>
      <w:r w:rsidRPr="00E2610E">
        <w:rPr>
          <w:lang w:val="en-NZ"/>
        </w:rPr>
        <w:t xml:space="preserve">Email: </w:t>
      </w:r>
      <w:hyperlink r:id="rId7" w:history="1">
        <w:r w:rsidRPr="00972931">
          <w:rPr>
            <w:rStyle w:val="Hyperlink"/>
            <w:lang w:val="en-NZ"/>
          </w:rPr>
          <w:t>cc@mrc.soton.ac.uk</w:t>
        </w:r>
      </w:hyperlink>
    </w:p>
    <w:p w14:paraId="14B6F1B5" w14:textId="77777777" w:rsidR="006E1516" w:rsidRPr="00E2610E" w:rsidRDefault="006E1516" w:rsidP="00E2610E">
      <w:pPr>
        <w:spacing w:line="360" w:lineRule="auto"/>
        <w:jc w:val="both"/>
      </w:pPr>
    </w:p>
    <w:p w14:paraId="4963785B" w14:textId="77777777" w:rsidR="006E1516" w:rsidRPr="00B53244" w:rsidRDefault="006E1516" w:rsidP="00CF3EC9">
      <w:pPr>
        <w:spacing w:line="360" w:lineRule="auto"/>
        <w:jc w:val="both"/>
      </w:pPr>
      <w:r>
        <w:t>The recent paper by Garcia et al</w:t>
      </w:r>
      <w:r w:rsidRPr="004A669D">
        <w:rPr>
          <w:noProof/>
          <w:vertAlign w:val="superscript"/>
        </w:rPr>
        <w:t>1</w:t>
      </w:r>
      <w:r>
        <w:t xml:space="preserve">, exploring potential associations between gestational 25-hydroxyvitamin D [25(OH)D] and offspring bone development, raises a number of questions when read the context of the existing literature. Indeed, comparisons with other studies are problematic: Firstly, the authors adjusted all DXA bone-indices for height. While this might </w:t>
      </w:r>
      <w:r w:rsidRPr="00B53244">
        <w:t>be appropriate</w:t>
      </w:r>
      <w:r>
        <w:t xml:space="preserve"> in the clinical context of paediatric growth retardation</w:t>
      </w:r>
      <w:r w:rsidRPr="001D54AC">
        <w:rPr>
          <w:noProof/>
          <w:vertAlign w:val="superscript"/>
        </w:rPr>
        <w:t>2</w:t>
      </w:r>
      <w:r w:rsidRPr="00B53244">
        <w:t>, it generates a fundamentally different construct to unadjusted measures presented in several previous studies. The</w:t>
      </w:r>
      <w:r>
        <w:t xml:space="preserve"> non-height-adjusted analyses are detailed only online, </w:t>
      </w:r>
      <w:r w:rsidRPr="00B53244">
        <w:t>not in the main paper, but the inclusion of birthweight, birth</w:t>
      </w:r>
      <w:r>
        <w:t>-</w:t>
      </w:r>
      <w:r w:rsidRPr="00B53244">
        <w:t>length and 6</w:t>
      </w:r>
      <w:r>
        <w:t>-</w:t>
      </w:r>
      <w:r w:rsidRPr="00B53244">
        <w:t xml:space="preserve">year fat-plus-lean mass in the regression models means that these analyses are effectively </w:t>
      </w:r>
      <w:r>
        <w:t>over-</w:t>
      </w:r>
      <w:r w:rsidRPr="00B53244">
        <w:t>adjusted for body size</w:t>
      </w:r>
      <w:r>
        <w:t xml:space="preserve"> in any case</w:t>
      </w:r>
      <w:r w:rsidRPr="00B53244">
        <w:t>.</w:t>
      </w:r>
      <w:r>
        <w:t xml:space="preserve"> Secondly, many covariates are included in the models without clear justification. For example, all models include season and ambient sunshine. Since these variables yield very similar information, are likely to act through the exposure [25(OH)D], and are not expected to be related to the outcome, their incorporation seems superfluous. In the “mediator” model, maternal BMI, offspring birth-length, birthweight, 6-year height and fat-plus-lean mass are all included; whilst the authors demonstrate acceptable variance inflation factors, this approach obscures individual covariate contributions, and blurs the distinction between confounding and causal pathway. Finally,</w:t>
      </w:r>
      <w:r w:rsidRPr="00B53244">
        <w:t xml:space="preserve"> when stratified by ethnicity, the only continuous (inverse) 25(OH)D association is with bone mineral content (BMC) in blacks. In whites</w:t>
      </w:r>
      <w:r>
        <w:t xml:space="preserve">, the only significant association </w:t>
      </w:r>
      <w:r>
        <w:lastRenderedPageBreak/>
        <w:t xml:space="preserve">was for </w:t>
      </w:r>
      <w:r w:rsidRPr="00B53244">
        <w:t xml:space="preserve">bone area </w:t>
      </w:r>
      <w:r>
        <w:t>with</w:t>
      </w:r>
      <w:r w:rsidRPr="00B53244">
        <w:t xml:space="preserve"> 25(OH)D&lt;25nmol/l, with no associations in Asians. Given the </w:t>
      </w:r>
      <w:r>
        <w:t>strong</w:t>
      </w:r>
      <w:r w:rsidRPr="00B53244">
        <w:t xml:space="preserve"> ethnicity-25(OH)D interaction</w:t>
      </w:r>
      <w:r>
        <w:t>, results from</w:t>
      </w:r>
      <w:r w:rsidRPr="00B53244">
        <w:t xml:space="preserve"> the whole multi-</w:t>
      </w:r>
      <w:r>
        <w:t>ethnic cohort are hard to interpret</w:t>
      </w:r>
      <w:r w:rsidRPr="00B53244">
        <w:t>.</w:t>
      </w:r>
      <w:r>
        <w:t xml:space="preserve"> The one intervention study cited, the MAVIDOS trial, suggested, in a pre-specified secondary analysis, that maternal gestational cholecalciferol supplementation might increase offspring BMC amongst winter births</w:t>
      </w:r>
      <w:r w:rsidRPr="00DA1B75">
        <w:rPr>
          <w:noProof/>
          <w:vertAlign w:val="superscript"/>
        </w:rPr>
        <w:t>3</w:t>
      </w:r>
      <w:r>
        <w:t>; assessment of these children at 6-8 years, and replication of the birth finding in a second trial (SPRING)</w:t>
      </w:r>
      <w:r w:rsidRPr="00DA1B75">
        <w:rPr>
          <w:noProof/>
          <w:vertAlign w:val="superscript"/>
        </w:rPr>
        <w:t>4</w:t>
      </w:r>
      <w:r>
        <w:t xml:space="preserve"> is ongoing. </w:t>
      </w:r>
    </w:p>
    <w:p w14:paraId="080D1F77" w14:textId="77777777" w:rsidR="006E1516" w:rsidRDefault="006E1516" w:rsidP="00135FDA">
      <w:pPr>
        <w:tabs>
          <w:tab w:val="left" w:pos="5200"/>
        </w:tabs>
        <w:spacing w:after="120" w:line="360" w:lineRule="auto"/>
        <w:jc w:val="both"/>
        <w:rPr>
          <w:b/>
        </w:rPr>
      </w:pPr>
    </w:p>
    <w:p w14:paraId="7A7CDAFD" w14:textId="77777777" w:rsidR="006E1516" w:rsidRPr="001B0501" w:rsidRDefault="006E1516" w:rsidP="00135FDA">
      <w:pPr>
        <w:tabs>
          <w:tab w:val="left" w:pos="5200"/>
        </w:tabs>
        <w:spacing w:after="120" w:line="360" w:lineRule="auto"/>
        <w:jc w:val="both"/>
        <w:outlineLvl w:val="0"/>
        <w:rPr>
          <w:b/>
        </w:rPr>
      </w:pPr>
      <w:r w:rsidRPr="001B0501">
        <w:rPr>
          <w:b/>
        </w:rPr>
        <w:t>Author contributions</w:t>
      </w:r>
    </w:p>
    <w:p w14:paraId="22EA160C" w14:textId="77777777" w:rsidR="006E1516" w:rsidRPr="001B0501" w:rsidRDefault="006E1516" w:rsidP="00135FDA">
      <w:pPr>
        <w:tabs>
          <w:tab w:val="left" w:pos="5200"/>
        </w:tabs>
        <w:spacing w:after="120" w:line="360" w:lineRule="auto"/>
        <w:jc w:val="both"/>
      </w:pPr>
      <w:r w:rsidRPr="001B0501">
        <w:t xml:space="preserve">NCH, RM, HMI, </w:t>
      </w:r>
      <w:r>
        <w:t>KMG</w:t>
      </w:r>
      <w:r w:rsidRPr="001B0501">
        <w:t xml:space="preserve"> and CC all contributed to the preparation of the initial draft,</w:t>
      </w:r>
      <w:r>
        <w:t xml:space="preserve"> and to</w:t>
      </w:r>
      <w:r w:rsidRPr="001B0501">
        <w:t xml:space="preserve"> further development and approval of the final manuscript.</w:t>
      </w:r>
    </w:p>
    <w:p w14:paraId="095C80D6" w14:textId="77777777" w:rsidR="006E1516" w:rsidRPr="001B0501" w:rsidRDefault="006E1516" w:rsidP="00135FDA">
      <w:pPr>
        <w:tabs>
          <w:tab w:val="left" w:pos="5200"/>
        </w:tabs>
        <w:spacing w:after="120" w:line="360" w:lineRule="auto"/>
        <w:jc w:val="both"/>
        <w:outlineLvl w:val="0"/>
        <w:rPr>
          <w:b/>
        </w:rPr>
      </w:pPr>
      <w:r w:rsidRPr="001B0501">
        <w:rPr>
          <w:b/>
        </w:rPr>
        <w:t>Funding</w:t>
      </w:r>
    </w:p>
    <w:p w14:paraId="3CC7473E" w14:textId="77777777" w:rsidR="006E1516" w:rsidRPr="001B0501" w:rsidRDefault="006E1516" w:rsidP="00135FDA">
      <w:pPr>
        <w:tabs>
          <w:tab w:val="left" w:pos="5200"/>
        </w:tabs>
        <w:spacing w:after="120" w:line="360" w:lineRule="auto"/>
        <w:jc w:val="both"/>
      </w:pPr>
      <w:r w:rsidRPr="001B0501">
        <w:t>Not applicable.</w:t>
      </w:r>
    </w:p>
    <w:p w14:paraId="4404E386" w14:textId="77777777" w:rsidR="006E1516" w:rsidRPr="001B0501" w:rsidRDefault="006E1516" w:rsidP="00135FDA">
      <w:pPr>
        <w:tabs>
          <w:tab w:val="left" w:pos="5200"/>
        </w:tabs>
        <w:spacing w:after="120" w:line="360" w:lineRule="auto"/>
        <w:jc w:val="both"/>
        <w:outlineLvl w:val="0"/>
        <w:rPr>
          <w:b/>
        </w:rPr>
      </w:pPr>
      <w:r w:rsidRPr="001B0501">
        <w:rPr>
          <w:b/>
        </w:rPr>
        <w:t>Disclosures</w:t>
      </w:r>
    </w:p>
    <w:p w14:paraId="0A9968E5" w14:textId="77777777" w:rsidR="006E1516" w:rsidRDefault="006E1516" w:rsidP="00135FDA">
      <w:pPr>
        <w:spacing w:after="120" w:line="360" w:lineRule="auto"/>
        <w:jc w:val="both"/>
      </w:pPr>
      <w:r w:rsidRPr="001B0501">
        <w:rPr>
          <w:rFonts w:cs="Times New Roman"/>
        </w:rPr>
        <w:t xml:space="preserve">C. Cooper reports personal fees from ABBH, Amgen, Eli Lilly, GSK, Medtronic, Merck, Novartis, Pfizer, Roche, Servier and Takeda, outside the submitted work.  N. Harvey reports personal fees, consultancy, lecture fees and honoraria from </w:t>
      </w:r>
      <w:r w:rsidRPr="001B0501">
        <w:rPr>
          <w:rFonts w:cs="Times New Roman"/>
          <w:lang w:val="en-US"/>
        </w:rPr>
        <w:t>Alliance for Better Bone Health, AMGEN, MSD, Eli Lilly, Servier, Shire, UCB, Radius, Consilient Healthcare and Internis Pharma,</w:t>
      </w:r>
      <w:r w:rsidRPr="001B0501">
        <w:rPr>
          <w:rFonts w:cs="Times New Roman"/>
        </w:rPr>
        <w:t xml:space="preserve"> outside the submitted work.  R. Moon has nothing to disclose.  K. Godfrey reports reimbursement for speaking at Nestle Nutrition Institute conferences, grants from Abbott Nutrition &amp; Nestec, outside the submitted work; in addition, K. Godfrey has a patent Phenotype Prediction pending, a patent Predictive Use of CpG Methylation pending, and a patent Maternal Nutrition Composition pending, not directly related to this work. </w:t>
      </w:r>
      <w:r>
        <w:t>H. Inskip reports that, whilst not directly receiving funding from other bodies, members of her team have received funding from the following companies from other work: Danone, Nestec, Abbott Nutrition.</w:t>
      </w:r>
    </w:p>
    <w:p w14:paraId="3A59CB2B" w14:textId="77777777" w:rsidR="006E1516" w:rsidRDefault="006E1516" w:rsidP="00135FDA">
      <w:pPr>
        <w:spacing w:after="120" w:line="360" w:lineRule="auto"/>
        <w:jc w:val="both"/>
      </w:pPr>
    </w:p>
    <w:p w14:paraId="21D41062" w14:textId="77777777" w:rsidR="006E1516" w:rsidRPr="001B0501" w:rsidRDefault="006E1516" w:rsidP="00135FDA">
      <w:pPr>
        <w:tabs>
          <w:tab w:val="left" w:pos="5200"/>
        </w:tabs>
        <w:spacing w:after="120" w:line="360" w:lineRule="auto"/>
        <w:jc w:val="both"/>
        <w:rPr>
          <w:rFonts w:cs="Times New Roman"/>
          <w:b/>
        </w:rPr>
      </w:pPr>
      <w:r w:rsidRPr="001B0501">
        <w:rPr>
          <w:rFonts w:cs="Times New Roman"/>
          <w:b/>
        </w:rPr>
        <w:t>References</w:t>
      </w:r>
    </w:p>
    <w:p w14:paraId="5F853852" w14:textId="77777777" w:rsidR="006E1516" w:rsidRPr="004A669D" w:rsidRDefault="006E1516" w:rsidP="00135FDA">
      <w:pPr>
        <w:pStyle w:val="EndNoteBibliography"/>
        <w:spacing w:after="120" w:line="360" w:lineRule="auto"/>
        <w:jc w:val="both"/>
        <w:rPr>
          <w:noProof/>
        </w:rPr>
      </w:pPr>
      <w:bookmarkStart w:id="1" w:name="_ENREF_1"/>
      <w:r w:rsidRPr="004A669D">
        <w:rPr>
          <w:noProof/>
        </w:rPr>
        <w:t>1.</w:t>
      </w:r>
      <w:r w:rsidRPr="004A669D">
        <w:rPr>
          <w:noProof/>
        </w:rPr>
        <w:tab/>
        <w:t xml:space="preserve">Garcia AH, Erler NS, Jaddoe VW, et al. 25-hydroxyvitamin D concentrations during fetal life and bone health in children aged 6 years: a population-based prospective cohort study. </w:t>
      </w:r>
      <w:r>
        <w:rPr>
          <w:i/>
          <w:noProof/>
        </w:rPr>
        <w:t>The Lancet Diabetes &amp; E</w:t>
      </w:r>
      <w:r w:rsidRPr="004A669D">
        <w:rPr>
          <w:i/>
          <w:noProof/>
        </w:rPr>
        <w:t>ndocrinology</w:t>
      </w:r>
      <w:r w:rsidRPr="004A669D">
        <w:rPr>
          <w:noProof/>
        </w:rPr>
        <w:t xml:space="preserve"> 2017.</w:t>
      </w:r>
      <w:bookmarkEnd w:id="1"/>
    </w:p>
    <w:p w14:paraId="14CE8EE3" w14:textId="77777777" w:rsidR="006E1516" w:rsidRPr="004A669D" w:rsidRDefault="006E1516" w:rsidP="00135FDA">
      <w:pPr>
        <w:pStyle w:val="EndNoteBibliography"/>
        <w:spacing w:after="120" w:line="360" w:lineRule="auto"/>
        <w:jc w:val="both"/>
        <w:rPr>
          <w:noProof/>
        </w:rPr>
      </w:pPr>
      <w:bookmarkStart w:id="2" w:name="_ENREF_2"/>
      <w:r w:rsidRPr="004A669D">
        <w:rPr>
          <w:noProof/>
        </w:rPr>
        <w:t>2.</w:t>
      </w:r>
      <w:r w:rsidRPr="004A669D">
        <w:rPr>
          <w:noProof/>
        </w:rPr>
        <w:tab/>
        <w:t xml:space="preserve">Crabtree NJ, Arabi A, Bachrach LK, et al. Dual-energy X-ray absorptiometry interpretation and reporting in children and adolescents: the revised 2013 ISCD Pediatric Official Positions. </w:t>
      </w:r>
      <w:r w:rsidRPr="004A669D">
        <w:rPr>
          <w:i/>
          <w:noProof/>
        </w:rPr>
        <w:t>J Clin Densitom</w:t>
      </w:r>
      <w:r w:rsidRPr="004A669D">
        <w:rPr>
          <w:noProof/>
        </w:rPr>
        <w:t xml:space="preserve"> 2014; </w:t>
      </w:r>
      <w:r w:rsidRPr="004A669D">
        <w:rPr>
          <w:b/>
          <w:noProof/>
        </w:rPr>
        <w:t>17</w:t>
      </w:r>
      <w:r w:rsidRPr="004A669D">
        <w:rPr>
          <w:noProof/>
        </w:rPr>
        <w:t>(2): 225-42.</w:t>
      </w:r>
      <w:bookmarkEnd w:id="2"/>
    </w:p>
    <w:p w14:paraId="534C5FEC" w14:textId="77777777" w:rsidR="006E1516" w:rsidRPr="004A669D" w:rsidRDefault="006E1516" w:rsidP="00135FDA">
      <w:pPr>
        <w:pStyle w:val="EndNoteBibliography"/>
        <w:spacing w:after="120" w:line="360" w:lineRule="auto"/>
        <w:jc w:val="both"/>
        <w:rPr>
          <w:noProof/>
        </w:rPr>
      </w:pPr>
      <w:bookmarkStart w:id="3" w:name="_ENREF_3"/>
      <w:r w:rsidRPr="004A669D">
        <w:rPr>
          <w:noProof/>
        </w:rPr>
        <w:t>3.</w:t>
      </w:r>
      <w:r w:rsidRPr="004A669D">
        <w:rPr>
          <w:noProof/>
        </w:rPr>
        <w:tab/>
        <w:t xml:space="preserve">Cooper C, Harvey NC, Bishop NJ, et al. Maternal gestational vitamin D supplementation and offspring bone health (MAVIDOS): a multicentre, double-blind, randomised placebo-controlled trial. </w:t>
      </w:r>
      <w:r>
        <w:rPr>
          <w:i/>
          <w:noProof/>
        </w:rPr>
        <w:t>The Lancet Diabetes &amp; E</w:t>
      </w:r>
      <w:r w:rsidRPr="004A669D">
        <w:rPr>
          <w:i/>
          <w:noProof/>
        </w:rPr>
        <w:t>ndocrinology</w:t>
      </w:r>
      <w:r w:rsidRPr="004A669D">
        <w:rPr>
          <w:noProof/>
        </w:rPr>
        <w:t xml:space="preserve"> 2016; </w:t>
      </w:r>
      <w:r w:rsidRPr="004A669D">
        <w:rPr>
          <w:b/>
          <w:noProof/>
        </w:rPr>
        <w:t>4</w:t>
      </w:r>
      <w:r w:rsidRPr="004A669D">
        <w:rPr>
          <w:noProof/>
        </w:rPr>
        <w:t>(5): 393-402.</w:t>
      </w:r>
      <w:bookmarkEnd w:id="3"/>
    </w:p>
    <w:p w14:paraId="3408C92F" w14:textId="77777777" w:rsidR="006E1516" w:rsidRPr="004A669D" w:rsidRDefault="006E1516" w:rsidP="00135FDA">
      <w:pPr>
        <w:pStyle w:val="EndNoteBibliography"/>
        <w:spacing w:after="120" w:line="360" w:lineRule="auto"/>
        <w:jc w:val="both"/>
        <w:rPr>
          <w:noProof/>
        </w:rPr>
      </w:pPr>
      <w:bookmarkStart w:id="4" w:name="_ENREF_4"/>
      <w:r w:rsidRPr="004A669D">
        <w:rPr>
          <w:noProof/>
        </w:rPr>
        <w:t>4.</w:t>
      </w:r>
      <w:r w:rsidRPr="004A669D">
        <w:rPr>
          <w:noProof/>
        </w:rPr>
        <w:tab/>
        <w:t xml:space="preserve">Baird J, Barker M, Harvey NC, et al. Southampton PRegnancy Intervention for the Next Generation (SPRING): protocol for a randomised controlled trial. </w:t>
      </w:r>
      <w:r w:rsidRPr="004A669D">
        <w:rPr>
          <w:i/>
          <w:noProof/>
        </w:rPr>
        <w:t>Trials</w:t>
      </w:r>
      <w:r w:rsidRPr="004A669D">
        <w:rPr>
          <w:noProof/>
        </w:rPr>
        <w:t xml:space="preserve"> 2016; </w:t>
      </w:r>
      <w:r w:rsidRPr="004A669D">
        <w:rPr>
          <w:b/>
          <w:noProof/>
        </w:rPr>
        <w:t>17</w:t>
      </w:r>
      <w:r w:rsidRPr="004A669D">
        <w:rPr>
          <w:noProof/>
        </w:rPr>
        <w:t>(1): 493.</w:t>
      </w:r>
      <w:bookmarkEnd w:id="4"/>
    </w:p>
    <w:p w14:paraId="501AF1DB" w14:textId="77777777" w:rsidR="006E1516" w:rsidRDefault="006E1516" w:rsidP="00135FDA">
      <w:pPr>
        <w:spacing w:after="120" w:line="360" w:lineRule="auto"/>
        <w:jc w:val="both"/>
      </w:pPr>
    </w:p>
    <w:p w14:paraId="34BD39F9" w14:textId="77777777" w:rsidR="002A3050" w:rsidRDefault="002A3050"/>
    <w:sectPr w:rsidR="002A3050" w:rsidSect="002D0499">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A76B7" w14:textId="77777777" w:rsidR="00000000" w:rsidRDefault="0067040E">
      <w:r>
        <w:separator/>
      </w:r>
    </w:p>
  </w:endnote>
  <w:endnote w:type="continuationSeparator" w:id="0">
    <w:p w14:paraId="214B5B61" w14:textId="77777777" w:rsidR="00000000" w:rsidRDefault="0067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560781"/>
      <w:docPartObj>
        <w:docPartGallery w:val="Page Numbers (Bottom of Page)"/>
        <w:docPartUnique/>
      </w:docPartObj>
    </w:sdtPr>
    <w:sdtEndPr>
      <w:rPr>
        <w:noProof/>
      </w:rPr>
    </w:sdtEndPr>
    <w:sdtContent>
      <w:p w14:paraId="35B62654" w14:textId="77777777" w:rsidR="007309A5" w:rsidRDefault="00135FDA">
        <w:pPr>
          <w:pStyle w:val="Footer"/>
          <w:jc w:val="center"/>
        </w:pPr>
        <w:r>
          <w:fldChar w:fldCharType="begin"/>
        </w:r>
        <w:r>
          <w:instrText xml:space="preserve"> PAGE   \* MERGEFORMAT </w:instrText>
        </w:r>
        <w:r>
          <w:fldChar w:fldCharType="separate"/>
        </w:r>
        <w:r w:rsidR="0067040E">
          <w:rPr>
            <w:noProof/>
          </w:rPr>
          <w:t>1</w:t>
        </w:r>
        <w:r>
          <w:rPr>
            <w:noProof/>
          </w:rPr>
          <w:fldChar w:fldCharType="end"/>
        </w:r>
      </w:p>
    </w:sdtContent>
  </w:sdt>
  <w:p w14:paraId="27E93477" w14:textId="77777777" w:rsidR="007309A5" w:rsidRDefault="00670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584DB" w14:textId="77777777" w:rsidR="00000000" w:rsidRDefault="0067040E">
      <w:r>
        <w:separator/>
      </w:r>
    </w:p>
  </w:footnote>
  <w:footnote w:type="continuationSeparator" w:id="0">
    <w:p w14:paraId="75D07116" w14:textId="77777777" w:rsidR="00000000" w:rsidRDefault="00670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E1516"/>
    <w:rsid w:val="00000DDF"/>
    <w:rsid w:val="0000218E"/>
    <w:rsid w:val="00004617"/>
    <w:rsid w:val="00006569"/>
    <w:rsid w:val="0000659A"/>
    <w:rsid w:val="0001218A"/>
    <w:rsid w:val="00021BDF"/>
    <w:rsid w:val="00025496"/>
    <w:rsid w:val="00032F5D"/>
    <w:rsid w:val="00041BB7"/>
    <w:rsid w:val="00041DB8"/>
    <w:rsid w:val="00043AB5"/>
    <w:rsid w:val="00046DA6"/>
    <w:rsid w:val="00054CE5"/>
    <w:rsid w:val="0005605F"/>
    <w:rsid w:val="00067DDF"/>
    <w:rsid w:val="000752EC"/>
    <w:rsid w:val="000770F4"/>
    <w:rsid w:val="000772C6"/>
    <w:rsid w:val="000801F5"/>
    <w:rsid w:val="00080A78"/>
    <w:rsid w:val="00082757"/>
    <w:rsid w:val="00082DC9"/>
    <w:rsid w:val="0008583C"/>
    <w:rsid w:val="00087784"/>
    <w:rsid w:val="000910C1"/>
    <w:rsid w:val="00093BF1"/>
    <w:rsid w:val="00097BFE"/>
    <w:rsid w:val="000A3B72"/>
    <w:rsid w:val="000A3BC1"/>
    <w:rsid w:val="000A5E0B"/>
    <w:rsid w:val="000A6225"/>
    <w:rsid w:val="000A76FC"/>
    <w:rsid w:val="000B490B"/>
    <w:rsid w:val="000C6919"/>
    <w:rsid w:val="000D30F7"/>
    <w:rsid w:val="000E12D7"/>
    <w:rsid w:val="000E22F2"/>
    <w:rsid w:val="000E405E"/>
    <w:rsid w:val="000E4931"/>
    <w:rsid w:val="000E5E23"/>
    <w:rsid w:val="000E6815"/>
    <w:rsid w:val="000F56D4"/>
    <w:rsid w:val="000F7F5D"/>
    <w:rsid w:val="00101B67"/>
    <w:rsid w:val="001058CE"/>
    <w:rsid w:val="0010602A"/>
    <w:rsid w:val="00115325"/>
    <w:rsid w:val="00115B8D"/>
    <w:rsid w:val="00116019"/>
    <w:rsid w:val="00116323"/>
    <w:rsid w:val="00121E2B"/>
    <w:rsid w:val="00121EC3"/>
    <w:rsid w:val="0012521B"/>
    <w:rsid w:val="00125703"/>
    <w:rsid w:val="00125FAD"/>
    <w:rsid w:val="0013318E"/>
    <w:rsid w:val="00133905"/>
    <w:rsid w:val="0013500D"/>
    <w:rsid w:val="00135FDA"/>
    <w:rsid w:val="0013702A"/>
    <w:rsid w:val="00140006"/>
    <w:rsid w:val="00141387"/>
    <w:rsid w:val="0014248A"/>
    <w:rsid w:val="00146FE2"/>
    <w:rsid w:val="00153144"/>
    <w:rsid w:val="001548B3"/>
    <w:rsid w:val="00155CE3"/>
    <w:rsid w:val="0015630E"/>
    <w:rsid w:val="00160B91"/>
    <w:rsid w:val="001642FC"/>
    <w:rsid w:val="001675CE"/>
    <w:rsid w:val="001729CD"/>
    <w:rsid w:val="0017352C"/>
    <w:rsid w:val="00175D68"/>
    <w:rsid w:val="001874D3"/>
    <w:rsid w:val="00187EA8"/>
    <w:rsid w:val="001A102D"/>
    <w:rsid w:val="001A1A18"/>
    <w:rsid w:val="001A23DD"/>
    <w:rsid w:val="001A3880"/>
    <w:rsid w:val="001A4757"/>
    <w:rsid w:val="001A61F1"/>
    <w:rsid w:val="001B20C1"/>
    <w:rsid w:val="001B5F28"/>
    <w:rsid w:val="001B6F62"/>
    <w:rsid w:val="001B79D6"/>
    <w:rsid w:val="001C04B0"/>
    <w:rsid w:val="001C413A"/>
    <w:rsid w:val="001C48A2"/>
    <w:rsid w:val="001D1B78"/>
    <w:rsid w:val="001D5C68"/>
    <w:rsid w:val="001D79FB"/>
    <w:rsid w:val="001E129E"/>
    <w:rsid w:val="001E2786"/>
    <w:rsid w:val="001E345B"/>
    <w:rsid w:val="001F0B05"/>
    <w:rsid w:val="001F7B76"/>
    <w:rsid w:val="0020041E"/>
    <w:rsid w:val="00203F71"/>
    <w:rsid w:val="0021038E"/>
    <w:rsid w:val="00213621"/>
    <w:rsid w:val="00214F22"/>
    <w:rsid w:val="00220151"/>
    <w:rsid w:val="002253A6"/>
    <w:rsid w:val="002261F9"/>
    <w:rsid w:val="002334A5"/>
    <w:rsid w:val="00237D48"/>
    <w:rsid w:val="00244626"/>
    <w:rsid w:val="00245ABA"/>
    <w:rsid w:val="00246B68"/>
    <w:rsid w:val="0025052E"/>
    <w:rsid w:val="00252D9A"/>
    <w:rsid w:val="00256A47"/>
    <w:rsid w:val="00257F2A"/>
    <w:rsid w:val="0027373B"/>
    <w:rsid w:val="00273CC5"/>
    <w:rsid w:val="00274F8C"/>
    <w:rsid w:val="00275802"/>
    <w:rsid w:val="002763B2"/>
    <w:rsid w:val="0028025A"/>
    <w:rsid w:val="002808A0"/>
    <w:rsid w:val="00282850"/>
    <w:rsid w:val="00282B78"/>
    <w:rsid w:val="00282E56"/>
    <w:rsid w:val="00287BC6"/>
    <w:rsid w:val="00290426"/>
    <w:rsid w:val="002907F5"/>
    <w:rsid w:val="00290F67"/>
    <w:rsid w:val="0029259C"/>
    <w:rsid w:val="00295D0A"/>
    <w:rsid w:val="00295F1E"/>
    <w:rsid w:val="00296586"/>
    <w:rsid w:val="002A3050"/>
    <w:rsid w:val="002A7C32"/>
    <w:rsid w:val="002A7FB0"/>
    <w:rsid w:val="002B2193"/>
    <w:rsid w:val="002B28FC"/>
    <w:rsid w:val="002B4652"/>
    <w:rsid w:val="002B7EEC"/>
    <w:rsid w:val="002C28A0"/>
    <w:rsid w:val="002D01E4"/>
    <w:rsid w:val="002D2131"/>
    <w:rsid w:val="002E0517"/>
    <w:rsid w:val="002E2EA2"/>
    <w:rsid w:val="002F0803"/>
    <w:rsid w:val="002F3BB1"/>
    <w:rsid w:val="002F46E5"/>
    <w:rsid w:val="0030120C"/>
    <w:rsid w:val="003038F0"/>
    <w:rsid w:val="00304896"/>
    <w:rsid w:val="003105BD"/>
    <w:rsid w:val="00311AEF"/>
    <w:rsid w:val="00314476"/>
    <w:rsid w:val="0031582A"/>
    <w:rsid w:val="003205F4"/>
    <w:rsid w:val="00320A53"/>
    <w:rsid w:val="00320C91"/>
    <w:rsid w:val="00323B04"/>
    <w:rsid w:val="00325F03"/>
    <w:rsid w:val="003307D4"/>
    <w:rsid w:val="00333FF9"/>
    <w:rsid w:val="00335A3C"/>
    <w:rsid w:val="00343302"/>
    <w:rsid w:val="00345E54"/>
    <w:rsid w:val="003511E9"/>
    <w:rsid w:val="00351DF1"/>
    <w:rsid w:val="00353903"/>
    <w:rsid w:val="00355EF5"/>
    <w:rsid w:val="0035613E"/>
    <w:rsid w:val="00357699"/>
    <w:rsid w:val="00357B91"/>
    <w:rsid w:val="00360EC8"/>
    <w:rsid w:val="00361F7B"/>
    <w:rsid w:val="00363FA7"/>
    <w:rsid w:val="00366654"/>
    <w:rsid w:val="00366AAF"/>
    <w:rsid w:val="00373610"/>
    <w:rsid w:val="00384773"/>
    <w:rsid w:val="003851CC"/>
    <w:rsid w:val="00385E0C"/>
    <w:rsid w:val="003910D0"/>
    <w:rsid w:val="00393F35"/>
    <w:rsid w:val="003A0B41"/>
    <w:rsid w:val="003A63AC"/>
    <w:rsid w:val="003B14BB"/>
    <w:rsid w:val="003C296B"/>
    <w:rsid w:val="003C7871"/>
    <w:rsid w:val="003D334F"/>
    <w:rsid w:val="003D4C03"/>
    <w:rsid w:val="003D5CF4"/>
    <w:rsid w:val="003E4599"/>
    <w:rsid w:val="003E7132"/>
    <w:rsid w:val="003E7A75"/>
    <w:rsid w:val="003F0451"/>
    <w:rsid w:val="003F1444"/>
    <w:rsid w:val="003F6831"/>
    <w:rsid w:val="003F782B"/>
    <w:rsid w:val="004046BB"/>
    <w:rsid w:val="00406A29"/>
    <w:rsid w:val="00407B2A"/>
    <w:rsid w:val="00417FBC"/>
    <w:rsid w:val="00420572"/>
    <w:rsid w:val="00420ECC"/>
    <w:rsid w:val="0042471E"/>
    <w:rsid w:val="004258A1"/>
    <w:rsid w:val="004308F7"/>
    <w:rsid w:val="00430932"/>
    <w:rsid w:val="004310CA"/>
    <w:rsid w:val="00445DFF"/>
    <w:rsid w:val="0045421F"/>
    <w:rsid w:val="004604CE"/>
    <w:rsid w:val="004606F1"/>
    <w:rsid w:val="00462EAF"/>
    <w:rsid w:val="00467380"/>
    <w:rsid w:val="0047218F"/>
    <w:rsid w:val="004771A6"/>
    <w:rsid w:val="00486801"/>
    <w:rsid w:val="004869F1"/>
    <w:rsid w:val="00490B76"/>
    <w:rsid w:val="004932EE"/>
    <w:rsid w:val="0049602D"/>
    <w:rsid w:val="004A0E1C"/>
    <w:rsid w:val="004A5AFF"/>
    <w:rsid w:val="004A70F6"/>
    <w:rsid w:val="004B198C"/>
    <w:rsid w:val="004B695F"/>
    <w:rsid w:val="004C0D75"/>
    <w:rsid w:val="004C1F1A"/>
    <w:rsid w:val="004C6CBE"/>
    <w:rsid w:val="004D1DE3"/>
    <w:rsid w:val="004D3EC9"/>
    <w:rsid w:val="004D44A1"/>
    <w:rsid w:val="004D6653"/>
    <w:rsid w:val="004E0B4E"/>
    <w:rsid w:val="004E1BD1"/>
    <w:rsid w:val="004E3D48"/>
    <w:rsid w:val="004F0098"/>
    <w:rsid w:val="004F1EC7"/>
    <w:rsid w:val="00504B9B"/>
    <w:rsid w:val="00510FA4"/>
    <w:rsid w:val="00511C40"/>
    <w:rsid w:val="005206D4"/>
    <w:rsid w:val="00520DEE"/>
    <w:rsid w:val="00522819"/>
    <w:rsid w:val="00532F56"/>
    <w:rsid w:val="0053355F"/>
    <w:rsid w:val="005342F5"/>
    <w:rsid w:val="00535552"/>
    <w:rsid w:val="0053795F"/>
    <w:rsid w:val="005408F0"/>
    <w:rsid w:val="00543DC4"/>
    <w:rsid w:val="00544442"/>
    <w:rsid w:val="00544CD7"/>
    <w:rsid w:val="00547830"/>
    <w:rsid w:val="00551067"/>
    <w:rsid w:val="00554278"/>
    <w:rsid w:val="00572390"/>
    <w:rsid w:val="00572C1B"/>
    <w:rsid w:val="005736BB"/>
    <w:rsid w:val="00575092"/>
    <w:rsid w:val="005752C2"/>
    <w:rsid w:val="005876D8"/>
    <w:rsid w:val="00590980"/>
    <w:rsid w:val="00590BFE"/>
    <w:rsid w:val="005957AB"/>
    <w:rsid w:val="005A3B0C"/>
    <w:rsid w:val="005A4F63"/>
    <w:rsid w:val="005A7B7A"/>
    <w:rsid w:val="005B0167"/>
    <w:rsid w:val="005B0592"/>
    <w:rsid w:val="005B676F"/>
    <w:rsid w:val="005C0037"/>
    <w:rsid w:val="005C10A1"/>
    <w:rsid w:val="005C220D"/>
    <w:rsid w:val="005C3F79"/>
    <w:rsid w:val="005C7B52"/>
    <w:rsid w:val="005D2854"/>
    <w:rsid w:val="005E1EDC"/>
    <w:rsid w:val="005E3F75"/>
    <w:rsid w:val="005E762B"/>
    <w:rsid w:val="005F46E0"/>
    <w:rsid w:val="005F6EEE"/>
    <w:rsid w:val="00601E19"/>
    <w:rsid w:val="006070A3"/>
    <w:rsid w:val="006078BF"/>
    <w:rsid w:val="00610F90"/>
    <w:rsid w:val="0061213E"/>
    <w:rsid w:val="00623AD0"/>
    <w:rsid w:val="0063124E"/>
    <w:rsid w:val="0063208F"/>
    <w:rsid w:val="00636372"/>
    <w:rsid w:val="0064311D"/>
    <w:rsid w:val="00644F4F"/>
    <w:rsid w:val="00645D2D"/>
    <w:rsid w:val="00651A33"/>
    <w:rsid w:val="00652180"/>
    <w:rsid w:val="006533E7"/>
    <w:rsid w:val="00654EE9"/>
    <w:rsid w:val="00656F14"/>
    <w:rsid w:val="0067040E"/>
    <w:rsid w:val="00674513"/>
    <w:rsid w:val="00674AA6"/>
    <w:rsid w:val="00677436"/>
    <w:rsid w:val="00683045"/>
    <w:rsid w:val="006957D8"/>
    <w:rsid w:val="00696440"/>
    <w:rsid w:val="00696B4E"/>
    <w:rsid w:val="006A2516"/>
    <w:rsid w:val="006A56EB"/>
    <w:rsid w:val="006A5CAE"/>
    <w:rsid w:val="006B3B2B"/>
    <w:rsid w:val="006C1550"/>
    <w:rsid w:val="006C2C7F"/>
    <w:rsid w:val="006C65E6"/>
    <w:rsid w:val="006D6B43"/>
    <w:rsid w:val="006D79F8"/>
    <w:rsid w:val="006E1516"/>
    <w:rsid w:val="006E5E83"/>
    <w:rsid w:val="006F1983"/>
    <w:rsid w:val="006F5438"/>
    <w:rsid w:val="00703E9F"/>
    <w:rsid w:val="007134B0"/>
    <w:rsid w:val="0071501B"/>
    <w:rsid w:val="0071549D"/>
    <w:rsid w:val="00732252"/>
    <w:rsid w:val="00736CEA"/>
    <w:rsid w:val="0074659F"/>
    <w:rsid w:val="00746C20"/>
    <w:rsid w:val="00754E48"/>
    <w:rsid w:val="007611F5"/>
    <w:rsid w:val="00765556"/>
    <w:rsid w:val="00766036"/>
    <w:rsid w:val="00766262"/>
    <w:rsid w:val="007662DB"/>
    <w:rsid w:val="0077177C"/>
    <w:rsid w:val="00771B29"/>
    <w:rsid w:val="0077214F"/>
    <w:rsid w:val="00772272"/>
    <w:rsid w:val="00775582"/>
    <w:rsid w:val="00787FF1"/>
    <w:rsid w:val="007932E1"/>
    <w:rsid w:val="00796F50"/>
    <w:rsid w:val="00797CB4"/>
    <w:rsid w:val="007B11FD"/>
    <w:rsid w:val="007B4F8A"/>
    <w:rsid w:val="007C10BC"/>
    <w:rsid w:val="007C15E3"/>
    <w:rsid w:val="007C2D59"/>
    <w:rsid w:val="007C3774"/>
    <w:rsid w:val="007C5014"/>
    <w:rsid w:val="007C5DC0"/>
    <w:rsid w:val="007D0D22"/>
    <w:rsid w:val="007D2C64"/>
    <w:rsid w:val="007E3468"/>
    <w:rsid w:val="007F1843"/>
    <w:rsid w:val="007F2158"/>
    <w:rsid w:val="007F2BC3"/>
    <w:rsid w:val="007F4FC5"/>
    <w:rsid w:val="00800445"/>
    <w:rsid w:val="00801B14"/>
    <w:rsid w:val="0080431E"/>
    <w:rsid w:val="008113DC"/>
    <w:rsid w:val="00813E0E"/>
    <w:rsid w:val="008153B1"/>
    <w:rsid w:val="00825D7A"/>
    <w:rsid w:val="00830EC5"/>
    <w:rsid w:val="00831387"/>
    <w:rsid w:val="00833E67"/>
    <w:rsid w:val="00834ECD"/>
    <w:rsid w:val="00834FC1"/>
    <w:rsid w:val="00840602"/>
    <w:rsid w:val="00840FF8"/>
    <w:rsid w:val="0084635E"/>
    <w:rsid w:val="00846DD5"/>
    <w:rsid w:val="008478E4"/>
    <w:rsid w:val="00855286"/>
    <w:rsid w:val="008569C3"/>
    <w:rsid w:val="008574DB"/>
    <w:rsid w:val="00857660"/>
    <w:rsid w:val="00882540"/>
    <w:rsid w:val="00882F48"/>
    <w:rsid w:val="00895746"/>
    <w:rsid w:val="00896C36"/>
    <w:rsid w:val="008A26B5"/>
    <w:rsid w:val="008A378A"/>
    <w:rsid w:val="008A7338"/>
    <w:rsid w:val="008A7842"/>
    <w:rsid w:val="008B0BED"/>
    <w:rsid w:val="008B1775"/>
    <w:rsid w:val="008B4D0D"/>
    <w:rsid w:val="008B5265"/>
    <w:rsid w:val="008B532C"/>
    <w:rsid w:val="008C29B3"/>
    <w:rsid w:val="008C2D51"/>
    <w:rsid w:val="008C2EF4"/>
    <w:rsid w:val="008C420F"/>
    <w:rsid w:val="008C4A8D"/>
    <w:rsid w:val="008C5473"/>
    <w:rsid w:val="008C6589"/>
    <w:rsid w:val="008C73E9"/>
    <w:rsid w:val="008C7F8D"/>
    <w:rsid w:val="008F1B01"/>
    <w:rsid w:val="008F3B85"/>
    <w:rsid w:val="008F72AB"/>
    <w:rsid w:val="0090305F"/>
    <w:rsid w:val="0090417B"/>
    <w:rsid w:val="00905DB7"/>
    <w:rsid w:val="00923F00"/>
    <w:rsid w:val="009243B8"/>
    <w:rsid w:val="009248E0"/>
    <w:rsid w:val="00924EBC"/>
    <w:rsid w:val="009277D4"/>
    <w:rsid w:val="009306E4"/>
    <w:rsid w:val="00937E07"/>
    <w:rsid w:val="00946F40"/>
    <w:rsid w:val="009506A9"/>
    <w:rsid w:val="00955E33"/>
    <w:rsid w:val="00961B42"/>
    <w:rsid w:val="0097277D"/>
    <w:rsid w:val="00973D64"/>
    <w:rsid w:val="00977321"/>
    <w:rsid w:val="00977675"/>
    <w:rsid w:val="009847AF"/>
    <w:rsid w:val="00990F30"/>
    <w:rsid w:val="00991E9B"/>
    <w:rsid w:val="009934EC"/>
    <w:rsid w:val="0099601A"/>
    <w:rsid w:val="009A4A7E"/>
    <w:rsid w:val="009B4714"/>
    <w:rsid w:val="009B487A"/>
    <w:rsid w:val="009C44AB"/>
    <w:rsid w:val="009D1BA4"/>
    <w:rsid w:val="009D3022"/>
    <w:rsid w:val="009E0DE5"/>
    <w:rsid w:val="009E1062"/>
    <w:rsid w:val="009E2A41"/>
    <w:rsid w:val="009E2DC5"/>
    <w:rsid w:val="009E355D"/>
    <w:rsid w:val="009E6FDA"/>
    <w:rsid w:val="009F467E"/>
    <w:rsid w:val="00A1041C"/>
    <w:rsid w:val="00A239E2"/>
    <w:rsid w:val="00A264EC"/>
    <w:rsid w:val="00A26F49"/>
    <w:rsid w:val="00A30AE4"/>
    <w:rsid w:val="00A31A12"/>
    <w:rsid w:val="00A35E45"/>
    <w:rsid w:val="00A448E3"/>
    <w:rsid w:val="00A47579"/>
    <w:rsid w:val="00A47635"/>
    <w:rsid w:val="00A532B2"/>
    <w:rsid w:val="00A53DCD"/>
    <w:rsid w:val="00A548DF"/>
    <w:rsid w:val="00A5551E"/>
    <w:rsid w:val="00A60023"/>
    <w:rsid w:val="00A60603"/>
    <w:rsid w:val="00A60E0B"/>
    <w:rsid w:val="00A61FFA"/>
    <w:rsid w:val="00A653B2"/>
    <w:rsid w:val="00A75351"/>
    <w:rsid w:val="00A77F01"/>
    <w:rsid w:val="00A83653"/>
    <w:rsid w:val="00A84B7C"/>
    <w:rsid w:val="00A85711"/>
    <w:rsid w:val="00A86EFB"/>
    <w:rsid w:val="00A92AB0"/>
    <w:rsid w:val="00AA370A"/>
    <w:rsid w:val="00AB1911"/>
    <w:rsid w:val="00AB4BE3"/>
    <w:rsid w:val="00AB7484"/>
    <w:rsid w:val="00AC0517"/>
    <w:rsid w:val="00AC0523"/>
    <w:rsid w:val="00AC1EFF"/>
    <w:rsid w:val="00AC211F"/>
    <w:rsid w:val="00AC2F70"/>
    <w:rsid w:val="00AC328A"/>
    <w:rsid w:val="00AC58C0"/>
    <w:rsid w:val="00AE4517"/>
    <w:rsid w:val="00AF15DD"/>
    <w:rsid w:val="00AF1BD2"/>
    <w:rsid w:val="00AF63B2"/>
    <w:rsid w:val="00B020F8"/>
    <w:rsid w:val="00B021E1"/>
    <w:rsid w:val="00B0781E"/>
    <w:rsid w:val="00B15DA0"/>
    <w:rsid w:val="00B24C57"/>
    <w:rsid w:val="00B25718"/>
    <w:rsid w:val="00B2656B"/>
    <w:rsid w:val="00B27D4D"/>
    <w:rsid w:val="00B31C94"/>
    <w:rsid w:val="00B31F91"/>
    <w:rsid w:val="00B34707"/>
    <w:rsid w:val="00B40A70"/>
    <w:rsid w:val="00B4200A"/>
    <w:rsid w:val="00B42E73"/>
    <w:rsid w:val="00B46DA0"/>
    <w:rsid w:val="00B555C7"/>
    <w:rsid w:val="00B619A1"/>
    <w:rsid w:val="00B627BE"/>
    <w:rsid w:val="00B63B07"/>
    <w:rsid w:val="00B63B90"/>
    <w:rsid w:val="00B713F9"/>
    <w:rsid w:val="00B71DA6"/>
    <w:rsid w:val="00B779F3"/>
    <w:rsid w:val="00B77E71"/>
    <w:rsid w:val="00B77F2A"/>
    <w:rsid w:val="00B83E63"/>
    <w:rsid w:val="00B86CBA"/>
    <w:rsid w:val="00B871FD"/>
    <w:rsid w:val="00B87EF3"/>
    <w:rsid w:val="00B9199A"/>
    <w:rsid w:val="00B94FC1"/>
    <w:rsid w:val="00B952A0"/>
    <w:rsid w:val="00B97E9F"/>
    <w:rsid w:val="00BA0283"/>
    <w:rsid w:val="00BA4C4A"/>
    <w:rsid w:val="00BA5297"/>
    <w:rsid w:val="00BA5531"/>
    <w:rsid w:val="00BA6DF9"/>
    <w:rsid w:val="00BB0287"/>
    <w:rsid w:val="00BB7D2F"/>
    <w:rsid w:val="00BC07E0"/>
    <w:rsid w:val="00BC1DEA"/>
    <w:rsid w:val="00BC2742"/>
    <w:rsid w:val="00BC5155"/>
    <w:rsid w:val="00BD6A17"/>
    <w:rsid w:val="00BD6FD2"/>
    <w:rsid w:val="00BE13A5"/>
    <w:rsid w:val="00BE5B50"/>
    <w:rsid w:val="00BF0837"/>
    <w:rsid w:val="00BF0D9A"/>
    <w:rsid w:val="00BF26BE"/>
    <w:rsid w:val="00BF2A43"/>
    <w:rsid w:val="00BF49E9"/>
    <w:rsid w:val="00BF4A06"/>
    <w:rsid w:val="00BF6DA2"/>
    <w:rsid w:val="00BF7829"/>
    <w:rsid w:val="00C04FBC"/>
    <w:rsid w:val="00C060FF"/>
    <w:rsid w:val="00C11378"/>
    <w:rsid w:val="00C128D4"/>
    <w:rsid w:val="00C14E6C"/>
    <w:rsid w:val="00C151AB"/>
    <w:rsid w:val="00C155E8"/>
    <w:rsid w:val="00C17549"/>
    <w:rsid w:val="00C318E4"/>
    <w:rsid w:val="00C32C3C"/>
    <w:rsid w:val="00C3368E"/>
    <w:rsid w:val="00C402BA"/>
    <w:rsid w:val="00C4196E"/>
    <w:rsid w:val="00C4537C"/>
    <w:rsid w:val="00C476BE"/>
    <w:rsid w:val="00C504F5"/>
    <w:rsid w:val="00C50B9A"/>
    <w:rsid w:val="00C52DD2"/>
    <w:rsid w:val="00C54EB3"/>
    <w:rsid w:val="00C60A0E"/>
    <w:rsid w:val="00C618C0"/>
    <w:rsid w:val="00C70A9D"/>
    <w:rsid w:val="00C70CAB"/>
    <w:rsid w:val="00C73516"/>
    <w:rsid w:val="00C75654"/>
    <w:rsid w:val="00C80A1A"/>
    <w:rsid w:val="00C82444"/>
    <w:rsid w:val="00C82904"/>
    <w:rsid w:val="00C96506"/>
    <w:rsid w:val="00CA091B"/>
    <w:rsid w:val="00CA0F8A"/>
    <w:rsid w:val="00CA2F7A"/>
    <w:rsid w:val="00CA3951"/>
    <w:rsid w:val="00CA548C"/>
    <w:rsid w:val="00CA5BB4"/>
    <w:rsid w:val="00CB4E3C"/>
    <w:rsid w:val="00CB6F6F"/>
    <w:rsid w:val="00CB76C8"/>
    <w:rsid w:val="00CD771E"/>
    <w:rsid w:val="00CE5076"/>
    <w:rsid w:val="00CE59B7"/>
    <w:rsid w:val="00CE6992"/>
    <w:rsid w:val="00CF06C1"/>
    <w:rsid w:val="00CF44E8"/>
    <w:rsid w:val="00D0373C"/>
    <w:rsid w:val="00D052AD"/>
    <w:rsid w:val="00D109AA"/>
    <w:rsid w:val="00D10A00"/>
    <w:rsid w:val="00D1605E"/>
    <w:rsid w:val="00D16436"/>
    <w:rsid w:val="00D17687"/>
    <w:rsid w:val="00D25855"/>
    <w:rsid w:val="00D25CED"/>
    <w:rsid w:val="00D26416"/>
    <w:rsid w:val="00D37259"/>
    <w:rsid w:val="00D41DE4"/>
    <w:rsid w:val="00D44CED"/>
    <w:rsid w:val="00D519A5"/>
    <w:rsid w:val="00D634A4"/>
    <w:rsid w:val="00D70BB8"/>
    <w:rsid w:val="00D73DC5"/>
    <w:rsid w:val="00D8410D"/>
    <w:rsid w:val="00D843C5"/>
    <w:rsid w:val="00D91479"/>
    <w:rsid w:val="00D9333B"/>
    <w:rsid w:val="00D93D6F"/>
    <w:rsid w:val="00D95332"/>
    <w:rsid w:val="00D960C3"/>
    <w:rsid w:val="00D963FE"/>
    <w:rsid w:val="00D975D8"/>
    <w:rsid w:val="00D97FC5"/>
    <w:rsid w:val="00DA5868"/>
    <w:rsid w:val="00DB3419"/>
    <w:rsid w:val="00DB6353"/>
    <w:rsid w:val="00DC0FE2"/>
    <w:rsid w:val="00DC1C0C"/>
    <w:rsid w:val="00DC1D9F"/>
    <w:rsid w:val="00DC6073"/>
    <w:rsid w:val="00DC7606"/>
    <w:rsid w:val="00DD309C"/>
    <w:rsid w:val="00DD3CBB"/>
    <w:rsid w:val="00DD416C"/>
    <w:rsid w:val="00DD4B08"/>
    <w:rsid w:val="00DD56A8"/>
    <w:rsid w:val="00DE0208"/>
    <w:rsid w:val="00DF74A4"/>
    <w:rsid w:val="00E009DA"/>
    <w:rsid w:val="00E03B33"/>
    <w:rsid w:val="00E03FFD"/>
    <w:rsid w:val="00E04E32"/>
    <w:rsid w:val="00E062EB"/>
    <w:rsid w:val="00E067A9"/>
    <w:rsid w:val="00E07B16"/>
    <w:rsid w:val="00E16B68"/>
    <w:rsid w:val="00E21D21"/>
    <w:rsid w:val="00E23B9F"/>
    <w:rsid w:val="00E27B59"/>
    <w:rsid w:val="00E321A2"/>
    <w:rsid w:val="00E4094C"/>
    <w:rsid w:val="00E43F64"/>
    <w:rsid w:val="00E47B67"/>
    <w:rsid w:val="00E56579"/>
    <w:rsid w:val="00E56F9C"/>
    <w:rsid w:val="00E573BC"/>
    <w:rsid w:val="00E57670"/>
    <w:rsid w:val="00E60F28"/>
    <w:rsid w:val="00E614C2"/>
    <w:rsid w:val="00E61A70"/>
    <w:rsid w:val="00E65FA6"/>
    <w:rsid w:val="00E75D7B"/>
    <w:rsid w:val="00E825F1"/>
    <w:rsid w:val="00E94825"/>
    <w:rsid w:val="00EA3186"/>
    <w:rsid w:val="00EA34E7"/>
    <w:rsid w:val="00EA753B"/>
    <w:rsid w:val="00EB0353"/>
    <w:rsid w:val="00EB1B1F"/>
    <w:rsid w:val="00EB1BE4"/>
    <w:rsid w:val="00EB595E"/>
    <w:rsid w:val="00EC728A"/>
    <w:rsid w:val="00ED15FE"/>
    <w:rsid w:val="00ED42B3"/>
    <w:rsid w:val="00EE53E6"/>
    <w:rsid w:val="00EE7130"/>
    <w:rsid w:val="00EE7E94"/>
    <w:rsid w:val="00EF4CE9"/>
    <w:rsid w:val="00EF5C55"/>
    <w:rsid w:val="00EF728B"/>
    <w:rsid w:val="00EF7715"/>
    <w:rsid w:val="00F04B6A"/>
    <w:rsid w:val="00F05759"/>
    <w:rsid w:val="00F05762"/>
    <w:rsid w:val="00F07329"/>
    <w:rsid w:val="00F10BDE"/>
    <w:rsid w:val="00F128B0"/>
    <w:rsid w:val="00F130D7"/>
    <w:rsid w:val="00F14BDE"/>
    <w:rsid w:val="00F15A4E"/>
    <w:rsid w:val="00F16A8F"/>
    <w:rsid w:val="00F20F48"/>
    <w:rsid w:val="00F27213"/>
    <w:rsid w:val="00F276A0"/>
    <w:rsid w:val="00F31529"/>
    <w:rsid w:val="00F34C65"/>
    <w:rsid w:val="00F3724F"/>
    <w:rsid w:val="00F37C02"/>
    <w:rsid w:val="00F4184B"/>
    <w:rsid w:val="00F434D7"/>
    <w:rsid w:val="00F43965"/>
    <w:rsid w:val="00F4772C"/>
    <w:rsid w:val="00F536D6"/>
    <w:rsid w:val="00F571E2"/>
    <w:rsid w:val="00F66879"/>
    <w:rsid w:val="00F66ECB"/>
    <w:rsid w:val="00F67673"/>
    <w:rsid w:val="00F678BD"/>
    <w:rsid w:val="00F76DAD"/>
    <w:rsid w:val="00F81908"/>
    <w:rsid w:val="00F867E1"/>
    <w:rsid w:val="00F90186"/>
    <w:rsid w:val="00F913DA"/>
    <w:rsid w:val="00F94FF8"/>
    <w:rsid w:val="00FA0FA8"/>
    <w:rsid w:val="00FA11DB"/>
    <w:rsid w:val="00FA22EC"/>
    <w:rsid w:val="00FA502C"/>
    <w:rsid w:val="00FA5CF5"/>
    <w:rsid w:val="00FA625B"/>
    <w:rsid w:val="00FB41F1"/>
    <w:rsid w:val="00FB5519"/>
    <w:rsid w:val="00FB6CC1"/>
    <w:rsid w:val="00FC08BC"/>
    <w:rsid w:val="00FC3A74"/>
    <w:rsid w:val="00FC7A9A"/>
    <w:rsid w:val="00FD3F21"/>
    <w:rsid w:val="00FD4AF0"/>
    <w:rsid w:val="00FD55CB"/>
    <w:rsid w:val="00FD5867"/>
    <w:rsid w:val="00FD78F3"/>
    <w:rsid w:val="00FE26DD"/>
    <w:rsid w:val="00FE55C1"/>
    <w:rsid w:val="00FF5787"/>
    <w:rsid w:val="00FF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C74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16"/>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516"/>
    <w:rPr>
      <w:rFonts w:ascii="Segoe UI" w:hAnsi="Segoe UI" w:cs="Segoe UI"/>
      <w:sz w:val="18"/>
      <w:szCs w:val="18"/>
      <w:lang w:val="en-GB"/>
    </w:rPr>
  </w:style>
  <w:style w:type="character" w:styleId="Hyperlink">
    <w:name w:val="Hyperlink"/>
    <w:basedOn w:val="DefaultParagraphFont"/>
    <w:uiPriority w:val="99"/>
    <w:unhideWhenUsed/>
    <w:rsid w:val="006E1516"/>
    <w:rPr>
      <w:color w:val="0563C1" w:themeColor="hyperlink"/>
      <w:u w:val="single"/>
    </w:rPr>
  </w:style>
  <w:style w:type="paragraph" w:styleId="Header">
    <w:name w:val="header"/>
    <w:basedOn w:val="Normal"/>
    <w:link w:val="HeaderChar"/>
    <w:uiPriority w:val="99"/>
    <w:unhideWhenUsed/>
    <w:rsid w:val="006E1516"/>
    <w:pPr>
      <w:tabs>
        <w:tab w:val="center" w:pos="4513"/>
        <w:tab w:val="right" w:pos="9026"/>
      </w:tabs>
    </w:pPr>
  </w:style>
  <w:style w:type="character" w:customStyle="1" w:styleId="HeaderChar">
    <w:name w:val="Header Char"/>
    <w:basedOn w:val="DefaultParagraphFont"/>
    <w:link w:val="Header"/>
    <w:uiPriority w:val="99"/>
    <w:rsid w:val="006E1516"/>
    <w:rPr>
      <w:sz w:val="22"/>
      <w:szCs w:val="22"/>
      <w:lang w:val="en-GB"/>
    </w:rPr>
  </w:style>
  <w:style w:type="paragraph" w:styleId="Footer">
    <w:name w:val="footer"/>
    <w:basedOn w:val="Normal"/>
    <w:link w:val="FooterChar"/>
    <w:uiPriority w:val="99"/>
    <w:unhideWhenUsed/>
    <w:rsid w:val="006E1516"/>
    <w:pPr>
      <w:tabs>
        <w:tab w:val="center" w:pos="4513"/>
        <w:tab w:val="right" w:pos="9026"/>
      </w:tabs>
    </w:pPr>
  </w:style>
  <w:style w:type="character" w:customStyle="1" w:styleId="FooterChar">
    <w:name w:val="Footer Char"/>
    <w:basedOn w:val="DefaultParagraphFont"/>
    <w:link w:val="Footer"/>
    <w:uiPriority w:val="99"/>
    <w:rsid w:val="006E1516"/>
    <w:rPr>
      <w:sz w:val="22"/>
      <w:szCs w:val="22"/>
      <w:lang w:val="en-GB"/>
    </w:rPr>
  </w:style>
  <w:style w:type="paragraph" w:customStyle="1" w:styleId="EndNoteBibliographyTitle">
    <w:name w:val="EndNote Bibliography Title"/>
    <w:basedOn w:val="Normal"/>
    <w:rsid w:val="006E1516"/>
    <w:pPr>
      <w:jc w:val="center"/>
    </w:pPr>
    <w:rPr>
      <w:rFonts w:ascii="Calibri" w:hAnsi="Calibri"/>
      <w:lang w:val="en-US"/>
    </w:rPr>
  </w:style>
  <w:style w:type="paragraph" w:customStyle="1" w:styleId="EndNoteBibliography">
    <w:name w:val="EndNote Bibliography"/>
    <w:basedOn w:val="Normal"/>
    <w:rsid w:val="006E1516"/>
    <w:rPr>
      <w:rFonts w:ascii="Calibri" w:hAnsi="Calibri"/>
      <w:lang w:val="en-US"/>
    </w:rPr>
  </w:style>
  <w:style w:type="character" w:styleId="CommentReference">
    <w:name w:val="annotation reference"/>
    <w:basedOn w:val="DefaultParagraphFont"/>
    <w:uiPriority w:val="99"/>
    <w:semiHidden/>
    <w:unhideWhenUsed/>
    <w:rsid w:val="006E1516"/>
    <w:rPr>
      <w:sz w:val="16"/>
      <w:szCs w:val="16"/>
    </w:rPr>
  </w:style>
  <w:style w:type="paragraph" w:styleId="CommentText">
    <w:name w:val="annotation text"/>
    <w:basedOn w:val="Normal"/>
    <w:link w:val="CommentTextChar"/>
    <w:uiPriority w:val="99"/>
    <w:semiHidden/>
    <w:unhideWhenUsed/>
    <w:rsid w:val="006E1516"/>
    <w:rPr>
      <w:sz w:val="20"/>
      <w:szCs w:val="20"/>
    </w:rPr>
  </w:style>
  <w:style w:type="character" w:customStyle="1" w:styleId="CommentTextChar">
    <w:name w:val="Comment Text Char"/>
    <w:basedOn w:val="DefaultParagraphFont"/>
    <w:link w:val="CommentText"/>
    <w:uiPriority w:val="99"/>
    <w:semiHidden/>
    <w:rsid w:val="006E1516"/>
    <w:rPr>
      <w:sz w:val="20"/>
      <w:szCs w:val="20"/>
      <w:lang w:val="en-GB"/>
    </w:rPr>
  </w:style>
  <w:style w:type="paragraph" w:styleId="CommentSubject">
    <w:name w:val="annotation subject"/>
    <w:basedOn w:val="CommentText"/>
    <w:next w:val="CommentText"/>
    <w:link w:val="CommentSubjectChar"/>
    <w:uiPriority w:val="99"/>
    <w:semiHidden/>
    <w:unhideWhenUsed/>
    <w:rsid w:val="006E1516"/>
    <w:rPr>
      <w:b/>
      <w:bCs/>
    </w:rPr>
  </w:style>
  <w:style w:type="character" w:customStyle="1" w:styleId="CommentSubjectChar">
    <w:name w:val="Comment Subject Char"/>
    <w:basedOn w:val="CommentTextChar"/>
    <w:link w:val="CommentSubject"/>
    <w:uiPriority w:val="99"/>
    <w:semiHidden/>
    <w:rsid w:val="006E1516"/>
    <w:rPr>
      <w:b/>
      <w:bCs/>
      <w:sz w:val="20"/>
      <w:szCs w:val="20"/>
      <w:lang w:val="en-GB"/>
    </w:rPr>
  </w:style>
  <w:style w:type="paragraph" w:styleId="Revision">
    <w:name w:val="Revision"/>
    <w:hidden/>
    <w:uiPriority w:val="99"/>
    <w:semiHidden/>
    <w:rsid w:val="006E1516"/>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16"/>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516"/>
    <w:rPr>
      <w:rFonts w:ascii="Segoe UI" w:hAnsi="Segoe UI" w:cs="Segoe UI"/>
      <w:sz w:val="18"/>
      <w:szCs w:val="18"/>
      <w:lang w:val="en-GB"/>
    </w:rPr>
  </w:style>
  <w:style w:type="character" w:styleId="Hyperlink">
    <w:name w:val="Hyperlink"/>
    <w:basedOn w:val="DefaultParagraphFont"/>
    <w:uiPriority w:val="99"/>
    <w:unhideWhenUsed/>
    <w:rsid w:val="006E1516"/>
    <w:rPr>
      <w:color w:val="0563C1" w:themeColor="hyperlink"/>
      <w:u w:val="single"/>
    </w:rPr>
  </w:style>
  <w:style w:type="paragraph" w:styleId="Header">
    <w:name w:val="header"/>
    <w:basedOn w:val="Normal"/>
    <w:link w:val="HeaderChar"/>
    <w:uiPriority w:val="99"/>
    <w:unhideWhenUsed/>
    <w:rsid w:val="006E1516"/>
    <w:pPr>
      <w:tabs>
        <w:tab w:val="center" w:pos="4513"/>
        <w:tab w:val="right" w:pos="9026"/>
      </w:tabs>
    </w:pPr>
  </w:style>
  <w:style w:type="character" w:customStyle="1" w:styleId="HeaderChar">
    <w:name w:val="Header Char"/>
    <w:basedOn w:val="DefaultParagraphFont"/>
    <w:link w:val="Header"/>
    <w:uiPriority w:val="99"/>
    <w:rsid w:val="006E1516"/>
    <w:rPr>
      <w:sz w:val="22"/>
      <w:szCs w:val="22"/>
      <w:lang w:val="en-GB"/>
    </w:rPr>
  </w:style>
  <w:style w:type="paragraph" w:styleId="Footer">
    <w:name w:val="footer"/>
    <w:basedOn w:val="Normal"/>
    <w:link w:val="FooterChar"/>
    <w:uiPriority w:val="99"/>
    <w:unhideWhenUsed/>
    <w:rsid w:val="006E1516"/>
    <w:pPr>
      <w:tabs>
        <w:tab w:val="center" w:pos="4513"/>
        <w:tab w:val="right" w:pos="9026"/>
      </w:tabs>
    </w:pPr>
  </w:style>
  <w:style w:type="character" w:customStyle="1" w:styleId="FooterChar">
    <w:name w:val="Footer Char"/>
    <w:basedOn w:val="DefaultParagraphFont"/>
    <w:link w:val="Footer"/>
    <w:uiPriority w:val="99"/>
    <w:rsid w:val="006E1516"/>
    <w:rPr>
      <w:sz w:val="22"/>
      <w:szCs w:val="22"/>
      <w:lang w:val="en-GB"/>
    </w:rPr>
  </w:style>
  <w:style w:type="paragraph" w:customStyle="1" w:styleId="EndNoteBibliographyTitle">
    <w:name w:val="EndNote Bibliography Title"/>
    <w:basedOn w:val="Normal"/>
    <w:rsid w:val="006E1516"/>
    <w:pPr>
      <w:jc w:val="center"/>
    </w:pPr>
    <w:rPr>
      <w:rFonts w:ascii="Calibri" w:hAnsi="Calibri"/>
      <w:lang w:val="en-US"/>
    </w:rPr>
  </w:style>
  <w:style w:type="paragraph" w:customStyle="1" w:styleId="EndNoteBibliography">
    <w:name w:val="EndNote Bibliography"/>
    <w:basedOn w:val="Normal"/>
    <w:rsid w:val="006E1516"/>
    <w:rPr>
      <w:rFonts w:ascii="Calibri" w:hAnsi="Calibri"/>
      <w:lang w:val="en-US"/>
    </w:rPr>
  </w:style>
  <w:style w:type="character" w:styleId="CommentReference">
    <w:name w:val="annotation reference"/>
    <w:basedOn w:val="DefaultParagraphFont"/>
    <w:uiPriority w:val="99"/>
    <w:semiHidden/>
    <w:unhideWhenUsed/>
    <w:rsid w:val="006E1516"/>
    <w:rPr>
      <w:sz w:val="16"/>
      <w:szCs w:val="16"/>
    </w:rPr>
  </w:style>
  <w:style w:type="paragraph" w:styleId="CommentText">
    <w:name w:val="annotation text"/>
    <w:basedOn w:val="Normal"/>
    <w:link w:val="CommentTextChar"/>
    <w:uiPriority w:val="99"/>
    <w:semiHidden/>
    <w:unhideWhenUsed/>
    <w:rsid w:val="006E1516"/>
    <w:rPr>
      <w:sz w:val="20"/>
      <w:szCs w:val="20"/>
    </w:rPr>
  </w:style>
  <w:style w:type="character" w:customStyle="1" w:styleId="CommentTextChar">
    <w:name w:val="Comment Text Char"/>
    <w:basedOn w:val="DefaultParagraphFont"/>
    <w:link w:val="CommentText"/>
    <w:uiPriority w:val="99"/>
    <w:semiHidden/>
    <w:rsid w:val="006E1516"/>
    <w:rPr>
      <w:sz w:val="20"/>
      <w:szCs w:val="20"/>
      <w:lang w:val="en-GB"/>
    </w:rPr>
  </w:style>
  <w:style w:type="paragraph" w:styleId="CommentSubject">
    <w:name w:val="annotation subject"/>
    <w:basedOn w:val="CommentText"/>
    <w:next w:val="CommentText"/>
    <w:link w:val="CommentSubjectChar"/>
    <w:uiPriority w:val="99"/>
    <w:semiHidden/>
    <w:unhideWhenUsed/>
    <w:rsid w:val="006E1516"/>
    <w:rPr>
      <w:b/>
      <w:bCs/>
    </w:rPr>
  </w:style>
  <w:style w:type="character" w:customStyle="1" w:styleId="CommentSubjectChar">
    <w:name w:val="Comment Subject Char"/>
    <w:basedOn w:val="CommentTextChar"/>
    <w:link w:val="CommentSubject"/>
    <w:uiPriority w:val="99"/>
    <w:semiHidden/>
    <w:rsid w:val="006E1516"/>
    <w:rPr>
      <w:b/>
      <w:bCs/>
      <w:sz w:val="20"/>
      <w:szCs w:val="20"/>
      <w:lang w:val="en-GB"/>
    </w:rPr>
  </w:style>
  <w:style w:type="paragraph" w:styleId="Revision">
    <w:name w:val="Revision"/>
    <w:hidden/>
    <w:uiPriority w:val="99"/>
    <w:semiHidden/>
    <w:rsid w:val="006E1516"/>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c@mrc.soton.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Harvey</dc:creator>
  <cp:lastModifiedBy>Karen Drake</cp:lastModifiedBy>
  <cp:revision>2</cp:revision>
  <cp:lastPrinted>2017-06-06T10:35:00Z</cp:lastPrinted>
  <dcterms:created xsi:type="dcterms:W3CDTF">2017-06-06T10:36:00Z</dcterms:created>
  <dcterms:modified xsi:type="dcterms:W3CDTF">2017-06-06T10:36:00Z</dcterms:modified>
</cp:coreProperties>
</file>