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D4" w:rsidRPr="00165ACF" w:rsidRDefault="003869D4" w:rsidP="003869D4">
      <w:pPr>
        <w:spacing w:line="480" w:lineRule="auto"/>
        <w:rPr>
          <w:b/>
        </w:rPr>
      </w:pPr>
      <w:r w:rsidRPr="00165ACF">
        <w:rPr>
          <w:b/>
        </w:rPr>
        <w:t xml:space="preserve">Table </w:t>
      </w:r>
      <w:r w:rsidR="00D84D1F">
        <w:rPr>
          <w:b/>
        </w:rPr>
        <w:t>5</w:t>
      </w:r>
      <w:r w:rsidRPr="00165ACF">
        <w:rPr>
          <w:b/>
        </w:rPr>
        <w:t xml:space="preserve"> Factors influencing recruitment </w:t>
      </w:r>
      <w:r>
        <w:rPr>
          <w:b/>
        </w:rPr>
        <w:t xml:space="preserve">of </w:t>
      </w:r>
      <w:r w:rsidRPr="00165ACF">
        <w:rPr>
          <w:b/>
        </w:rPr>
        <w:t>study</w:t>
      </w:r>
      <w:r>
        <w:rPr>
          <w:b/>
        </w:rPr>
        <w:t xml:space="preserve"> participants </w:t>
      </w:r>
    </w:p>
    <w:p w:rsidR="003869D4" w:rsidRDefault="003869D4" w:rsidP="003869D4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5743"/>
      </w:tblGrid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b/>
              </w:rPr>
            </w:pPr>
            <w:r w:rsidRPr="00326E25">
              <w:rPr>
                <w:b/>
              </w:rPr>
              <w:t>Obstacles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b/>
              </w:rPr>
            </w:pPr>
            <w:r w:rsidRPr="00326E25">
              <w:rPr>
                <w:b/>
              </w:rPr>
              <w:t>Illustrative quotes from nurse interviews (n=10)*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color w:val="FF0000"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Contextual factors: organisational change; team staffing levels; nurse workloads and variable flow of palliative care referrals (district nurses). 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 xml:space="preserve">‘I then had a full caseload so I wasn’t taking on any new patients for quite a long time. […] We’ve had the consultants doing first visits and I would follow on afterwards because we’ve been so short staffed.’ </w:t>
            </w:r>
            <w:r w:rsidRPr="00326E25">
              <w:rPr>
                <w:sz w:val="20"/>
                <w:szCs w:val="20"/>
              </w:rPr>
              <w:t xml:space="preserve">N02cSE  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A low proportion of palliative care referrals meeting study eligibility criteria. </w:t>
            </w:r>
          </w:p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i/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>‘</w:t>
            </w:r>
            <w:proofErr w:type="gramStart"/>
            <w:r w:rsidRPr="00326E25">
              <w:rPr>
                <w:i/>
                <w:sz w:val="20"/>
                <w:szCs w:val="20"/>
              </w:rPr>
              <w:t>when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we had a new palliative patient I was keen to get there and then they weren’t suitable. […] some of the palliative patients don’t have pain […] If they had a care agency or they didn’t have a regular carer […] quite often they’d manage [their medication] themselves, if they had the capacity to consent’</w:t>
            </w:r>
            <w:r w:rsidRPr="00326E25">
              <w:rPr>
                <w:sz w:val="20"/>
                <w:szCs w:val="20"/>
              </w:rPr>
              <w:t xml:space="preserve"> N14iSW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color w:val="FF0000"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Nurses’ unfamiliarity with research recruitment, coupled with infrequent opportunities to use study procedures.  Nurses emphasised the need for practice to achieve a fluent approach they felt confident about. 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>‘I found [practising the recruitment procedure] quite helpful because it is difficult when you’re adding something. […] it was nice to be able to practice how you might approach it.  And I think I felt much more comfortable doing that.’</w:t>
            </w:r>
            <w:r w:rsidRPr="00326E25">
              <w:rPr>
                <w:sz w:val="20"/>
                <w:szCs w:val="20"/>
              </w:rPr>
              <w:t xml:space="preserve"> N01iSE</w:t>
            </w:r>
          </w:p>
          <w:p w:rsidR="003869D4" w:rsidRPr="00326E25" w:rsidRDefault="003869D4" w:rsidP="00056E10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Incompatibility of recruitment procedures with nursing practice at a first visit. Recruitment could be impeded by patient fatigue, time constraints on the nurse and difficulty assessing capacity to consent.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>‘</w:t>
            </w:r>
            <w:proofErr w:type="gramStart"/>
            <w:r w:rsidRPr="00326E25">
              <w:rPr>
                <w:i/>
                <w:sz w:val="20"/>
                <w:szCs w:val="20"/>
              </w:rPr>
              <w:t>to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start with I found [introducing the study] difficult because there were so many other things that you had to talk about [at the first visit] and I tended to leave it to the end because I could then concentrate solely on that. But </w:t>
            </w:r>
            <w:r w:rsidRPr="00326E25">
              <w:rPr>
                <w:sz w:val="20"/>
                <w:szCs w:val="20"/>
              </w:rPr>
              <w:t xml:space="preserve">[pause] </w:t>
            </w:r>
            <w:r w:rsidRPr="00326E25">
              <w:rPr>
                <w:i/>
                <w:sz w:val="20"/>
                <w:szCs w:val="20"/>
              </w:rPr>
              <w:t>by that stage they’d kind of switched off.  They’d had enough. […] It was all too much to take on board.’</w:t>
            </w:r>
            <w:r w:rsidRPr="00326E25">
              <w:rPr>
                <w:sz w:val="20"/>
                <w:szCs w:val="20"/>
              </w:rPr>
              <w:t xml:space="preserve">  N11iSW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color w:val="FF0000"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Nurses </w:t>
            </w:r>
            <w:r w:rsidR="00F6462E">
              <w:rPr>
                <w:sz w:val="20"/>
                <w:szCs w:val="20"/>
              </w:rPr>
              <w:t>‘protecting’ patients and</w:t>
            </w:r>
            <w:r w:rsidRPr="00326E25">
              <w:rPr>
                <w:sz w:val="20"/>
                <w:szCs w:val="20"/>
              </w:rPr>
              <w:t xml:space="preserve"> carers from additional burden or distress. Some nurses did not approach eligible dyads they judged unable to cope with </w:t>
            </w:r>
            <w:r w:rsidRPr="00326E25">
              <w:rPr>
                <w:sz w:val="20"/>
                <w:szCs w:val="20"/>
              </w:rPr>
              <w:lastRenderedPageBreak/>
              <w:t>research demands.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i/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lastRenderedPageBreak/>
              <w:t xml:space="preserve">‘I felt quite uncomfortable [introducing the study] sometimes, because I knew it was going to add to the burden of everything else that they were doing’ </w:t>
            </w:r>
            <w:r w:rsidRPr="00326E25">
              <w:rPr>
                <w:sz w:val="20"/>
                <w:szCs w:val="20"/>
              </w:rPr>
              <w:t xml:space="preserve"> N01iSE</w:t>
            </w:r>
            <w:r w:rsidRPr="00326E25">
              <w:rPr>
                <w:i/>
                <w:sz w:val="20"/>
                <w:szCs w:val="20"/>
              </w:rPr>
              <w:t xml:space="preserve"> </w:t>
            </w:r>
          </w:p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>‘</w:t>
            </w:r>
            <w:proofErr w:type="gramStart"/>
            <w:r w:rsidRPr="00326E25">
              <w:rPr>
                <w:i/>
                <w:sz w:val="20"/>
                <w:szCs w:val="20"/>
              </w:rPr>
              <w:t>there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was just so much anxiety and so many other problems […] It </w:t>
            </w:r>
            <w:r w:rsidRPr="00326E25">
              <w:rPr>
                <w:i/>
                <w:sz w:val="20"/>
                <w:szCs w:val="20"/>
              </w:rPr>
              <w:lastRenderedPageBreak/>
              <w:t>was almost like [introducing the study] would have been too much and the thing that broke everything and it just fell apart.’</w:t>
            </w:r>
            <w:r w:rsidRPr="00326E25">
              <w:rPr>
                <w:sz w:val="20"/>
                <w:szCs w:val="20"/>
              </w:rPr>
              <w:t xml:space="preserve"> N04cSE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lastRenderedPageBreak/>
              <w:t>Nurses’ avoidance of difficulty and disappointment. Some nurses described p</w:t>
            </w:r>
            <w:r w:rsidR="00F6462E">
              <w:rPr>
                <w:sz w:val="20"/>
                <w:szCs w:val="20"/>
              </w:rPr>
              <w:t xml:space="preserve">re-judging patients’ and </w:t>
            </w:r>
            <w:bookmarkStart w:id="0" w:name="_GoBack"/>
            <w:bookmarkEnd w:id="0"/>
            <w:r w:rsidRPr="00326E25">
              <w:rPr>
                <w:sz w:val="20"/>
                <w:szCs w:val="20"/>
              </w:rPr>
              <w:t xml:space="preserve">carers’ willingness to participate, to avoid invitations being declined, which they found discouraging. </w:t>
            </w:r>
          </w:p>
        </w:tc>
        <w:tc>
          <w:tcPr>
            <w:tcW w:w="8930" w:type="dxa"/>
            <w:shd w:val="clear" w:color="auto" w:fill="auto"/>
          </w:tcPr>
          <w:p w:rsidR="003869D4" w:rsidRPr="00E449F2" w:rsidRDefault="003869D4" w:rsidP="00056E10">
            <w:pPr>
              <w:spacing w:line="480" w:lineRule="auto"/>
            </w:pPr>
            <w:r w:rsidRPr="00326E25">
              <w:rPr>
                <w:i/>
                <w:sz w:val="20"/>
                <w:szCs w:val="20"/>
              </w:rPr>
              <w:t>‘I always went with the idea this is a new palliative patient that could be a candidate for the study. […] [</w:t>
            </w:r>
            <w:proofErr w:type="gramStart"/>
            <w:r w:rsidRPr="00326E25">
              <w:rPr>
                <w:i/>
                <w:sz w:val="20"/>
                <w:szCs w:val="20"/>
              </w:rPr>
              <w:t>in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one case] you could see it was all a bit too much for them so it didn’t seem appropriate. And another person was extremely deaf and his daughter didn’t really engage […]  So I went in with an open mind but on certain cases […] if I felt it would be a very difficult recruit I thought, well don’t even initiate it, you know.’ </w:t>
            </w:r>
            <w:r w:rsidRPr="00326E25">
              <w:rPr>
                <w:sz w:val="20"/>
                <w:szCs w:val="20"/>
              </w:rPr>
              <w:t xml:space="preserve">N13iSW </w:t>
            </w:r>
          </w:p>
        </w:tc>
      </w:tr>
      <w:tr w:rsidR="003869D4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Recruiting fewer dyads than anticipated affected nurses’ engagement and the priority they gave to the study.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i/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>‘</w:t>
            </w:r>
            <w:proofErr w:type="gramStart"/>
            <w:r w:rsidRPr="00326E25">
              <w:rPr>
                <w:i/>
                <w:sz w:val="20"/>
                <w:szCs w:val="20"/>
              </w:rPr>
              <w:t>when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we were doing the training it’s just right there.  And then it slips to tenth place.  And if you haven’t recruited, </w:t>
            </w:r>
            <w:proofErr w:type="gramStart"/>
            <w:r w:rsidRPr="00326E25">
              <w:rPr>
                <w:i/>
                <w:sz w:val="20"/>
                <w:szCs w:val="20"/>
              </w:rPr>
              <w:t>it’s</w:t>
            </w:r>
            <w:proofErr w:type="gramEnd"/>
            <w:r w:rsidRPr="00326E25">
              <w:rPr>
                <w:i/>
                <w:sz w:val="20"/>
                <w:szCs w:val="20"/>
              </w:rPr>
              <w:t xml:space="preserve"> twentieth place because you’re doing this, this and this.’</w:t>
            </w:r>
            <w:r w:rsidRPr="00326E25">
              <w:rPr>
                <w:sz w:val="20"/>
                <w:szCs w:val="20"/>
              </w:rPr>
              <w:t xml:space="preserve">  N06iSE </w:t>
            </w:r>
          </w:p>
        </w:tc>
      </w:tr>
      <w:tr w:rsidR="003869D4" w:rsidRPr="00E449F2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Facilitators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869D4" w:rsidRPr="00E449F2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Nurses’ initial enthusiasm for participating in research and agreement with the purpose of the study</w:t>
            </w:r>
          </w:p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i/>
                <w:sz w:val="20"/>
                <w:szCs w:val="20"/>
              </w:rPr>
            </w:pPr>
            <w:r w:rsidRPr="00326E25">
              <w:rPr>
                <w:i/>
                <w:sz w:val="20"/>
                <w:szCs w:val="20"/>
              </w:rPr>
              <w:t xml:space="preserve">‘I think anything that’s going to improve patient symptoms and also the care, the support they get from the carers. I think often carers can be a forgotten group and they take a lot of responsibility. If there were tools that were going to be helpful that’s a win-win situation.’ </w:t>
            </w:r>
            <w:r w:rsidRPr="00326E25">
              <w:rPr>
                <w:sz w:val="20"/>
                <w:szCs w:val="20"/>
              </w:rPr>
              <w:t>N03iSE</w:t>
            </w:r>
            <w:r w:rsidRPr="00326E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869D4" w:rsidRPr="00E449F2" w:rsidTr="00056E10">
        <w:tc>
          <w:tcPr>
            <w:tcW w:w="4928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Preparation and continuing support provided by the research team </w:t>
            </w:r>
          </w:p>
        </w:tc>
        <w:tc>
          <w:tcPr>
            <w:tcW w:w="8930" w:type="dxa"/>
            <w:shd w:val="clear" w:color="auto" w:fill="auto"/>
          </w:tcPr>
          <w:p w:rsidR="003869D4" w:rsidRPr="00326E25" w:rsidRDefault="003869D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‘</w:t>
            </w:r>
            <w:r w:rsidRPr="00326E25">
              <w:rPr>
                <w:i/>
                <w:sz w:val="20"/>
                <w:szCs w:val="20"/>
              </w:rPr>
              <w:t>I think that was good the way we had instant access to you [researchers]. […] you were OK with us phoning at any time. […] particularly when we weren’t that familiar with it. […] and you followed us up regularly and you were accessible when we needed you. You were there which was nice.’</w:t>
            </w:r>
            <w:r w:rsidRPr="00326E25">
              <w:rPr>
                <w:sz w:val="20"/>
                <w:szCs w:val="20"/>
              </w:rPr>
              <w:t xml:space="preserve"> N01iSE  </w:t>
            </w:r>
          </w:p>
        </w:tc>
      </w:tr>
    </w:tbl>
    <w:p w:rsidR="003869D4" w:rsidRPr="00066727" w:rsidRDefault="003869D4" w:rsidP="003869D4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066727">
        <w:rPr>
          <w:sz w:val="20"/>
          <w:szCs w:val="20"/>
        </w:rPr>
        <w:t xml:space="preserve">Quotes are tagged with a composite code that provides </w:t>
      </w:r>
      <w:r>
        <w:rPr>
          <w:sz w:val="20"/>
          <w:szCs w:val="20"/>
        </w:rPr>
        <w:t xml:space="preserve">unique </w:t>
      </w:r>
      <w:r w:rsidRPr="00066727">
        <w:rPr>
          <w:sz w:val="20"/>
          <w:szCs w:val="20"/>
        </w:rPr>
        <w:t xml:space="preserve">nurse </w:t>
      </w:r>
      <w:r>
        <w:rPr>
          <w:sz w:val="20"/>
          <w:szCs w:val="20"/>
        </w:rPr>
        <w:t xml:space="preserve">study </w:t>
      </w:r>
      <w:r w:rsidRPr="00066727">
        <w:rPr>
          <w:sz w:val="20"/>
          <w:szCs w:val="20"/>
        </w:rPr>
        <w:t>ID (first letter followed by two digits); group allocation (</w:t>
      </w:r>
      <w:proofErr w:type="spellStart"/>
      <w:r w:rsidRPr="00066727">
        <w:rPr>
          <w:sz w:val="20"/>
          <w:szCs w:val="20"/>
        </w:rPr>
        <w:t>i</w:t>
      </w:r>
      <w:proofErr w:type="spellEnd"/>
      <w:r w:rsidRPr="00066727">
        <w:rPr>
          <w:sz w:val="20"/>
          <w:szCs w:val="20"/>
        </w:rPr>
        <w:t xml:space="preserve"> or c, intervention or control); and study site (south England (SE) or south Wales (SW))</w:t>
      </w:r>
      <w:r>
        <w:rPr>
          <w:sz w:val="20"/>
          <w:szCs w:val="20"/>
        </w:rPr>
        <w:t xml:space="preserve"> […] indicates text of transcript has been edited for clarity and brevity</w:t>
      </w:r>
    </w:p>
    <w:p w:rsidR="003869D4" w:rsidRPr="00F82C43" w:rsidRDefault="003869D4" w:rsidP="003869D4">
      <w:pPr>
        <w:spacing w:line="480" w:lineRule="auto"/>
        <w:rPr>
          <w:sz w:val="20"/>
          <w:szCs w:val="20"/>
          <w:highlight w:val="lightGray"/>
        </w:rPr>
      </w:pPr>
    </w:p>
    <w:p w:rsidR="00EB5663" w:rsidRDefault="00EB5663"/>
    <w:sectPr w:rsidR="00EB5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D4"/>
    <w:rsid w:val="003869D4"/>
    <w:rsid w:val="00D84D1F"/>
    <w:rsid w:val="00DD27D8"/>
    <w:rsid w:val="00EB5663"/>
    <w:rsid w:val="00F6462E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C3B33-9B75-43A8-8D9C-78437572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Latter S.M.</dc:creator>
  <cp:lastModifiedBy>Latter S.M.</cp:lastModifiedBy>
  <cp:revision>2</cp:revision>
  <dcterms:created xsi:type="dcterms:W3CDTF">2017-03-30T15:40:00Z</dcterms:created>
  <dcterms:modified xsi:type="dcterms:W3CDTF">2017-03-30T15:40:00Z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-1363705167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7" name="_PreviousAdHocReviewCycleID">
    <vt:i4>1734905564</vt:i4>
  </property>
</Properties>
</file>